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8E8F0" w14:textId="66BEEB70" w:rsidR="004B0B08" w:rsidRDefault="004B0B08" w:rsidP="004B0B08">
      <w:pPr>
        <w:pStyle w:val="Reportsubtitle"/>
        <w:rPr>
          <w:b/>
          <w:color w:val="auto"/>
        </w:rPr>
      </w:pPr>
      <w:r>
        <w:rPr>
          <w:b/>
          <w:color w:val="auto"/>
        </w:rPr>
        <w:t xml:space="preserve">Updating benchmark datasets for </w:t>
      </w:r>
      <w:r w:rsidR="00145977">
        <w:rPr>
          <w:b/>
          <w:color w:val="auto"/>
        </w:rPr>
        <w:t>e</w:t>
      </w:r>
      <w:r>
        <w:rPr>
          <w:b/>
          <w:color w:val="auto"/>
        </w:rPr>
        <w:t xml:space="preserve">xpiring </w:t>
      </w:r>
      <w:r w:rsidR="00145977">
        <w:rPr>
          <w:b/>
          <w:color w:val="auto"/>
        </w:rPr>
        <w:t>s</w:t>
      </w:r>
      <w:r>
        <w:rPr>
          <w:b/>
          <w:color w:val="auto"/>
        </w:rPr>
        <w:t xml:space="preserve">pectrum </w:t>
      </w:r>
      <w:r w:rsidR="00145977">
        <w:rPr>
          <w:b/>
          <w:color w:val="auto"/>
        </w:rPr>
        <w:t>l</w:t>
      </w:r>
      <w:r>
        <w:rPr>
          <w:b/>
          <w:color w:val="auto"/>
        </w:rPr>
        <w:t>icences</w:t>
      </w:r>
    </w:p>
    <w:p w14:paraId="228BA04C" w14:textId="7A3B502D" w:rsidR="00F06E14" w:rsidRPr="00A17B1B" w:rsidRDefault="00ED1769" w:rsidP="00F06E14">
      <w:pPr>
        <w:pStyle w:val="Reportsubtitle"/>
      </w:pPr>
      <w:r>
        <w:t>Consultation</w:t>
      </w:r>
      <w:r w:rsidR="00BD4421" w:rsidRPr="00A17B1B">
        <w:t xml:space="preserve"> </w:t>
      </w:r>
      <w:r w:rsidR="004B0B08">
        <w:t>paper</w:t>
      </w:r>
    </w:p>
    <w:p w14:paraId="6191543B" w14:textId="39413A2B" w:rsidR="00C97736" w:rsidRDefault="004B0B08" w:rsidP="00EC2B68">
      <w:pPr>
        <w:pStyle w:val="Reportdate"/>
        <w:spacing w:after="720"/>
      </w:pPr>
      <w:r>
        <w:t>October</w:t>
      </w:r>
      <w:r w:rsidR="00BD4421" w:rsidRPr="00A17B1B">
        <w:t xml:space="preserve"> 20</w:t>
      </w:r>
      <w:r w:rsidR="000971BD" w:rsidRPr="00A17B1B">
        <w:t>2</w:t>
      </w:r>
      <w:r w:rsidR="006300BF">
        <w:t>6</w:t>
      </w:r>
    </w:p>
    <w:p w14:paraId="1F59465C" w14:textId="77777777" w:rsidR="00401FFD" w:rsidRDefault="00401FFD" w:rsidP="00EC2B68">
      <w:pPr>
        <w:pStyle w:val="Reportdate"/>
        <w:spacing w:after="720"/>
      </w:pPr>
    </w:p>
    <w:p w14:paraId="3EECF29E" w14:textId="77777777" w:rsidR="00401FFD" w:rsidRPr="00A17B1B" w:rsidRDefault="00401FFD" w:rsidP="00EC2B68">
      <w:pPr>
        <w:pStyle w:val="Reportdate"/>
        <w:spacing w:after="720"/>
        <w:rPr>
          <w:rFonts w:cs="Arial"/>
        </w:rPr>
        <w:sectPr w:rsidR="00401FFD" w:rsidRPr="00A17B1B" w:rsidSect="005A62E5">
          <w:headerReference w:type="even" r:id="rId11"/>
          <w:headerReference w:type="default" r:id="rId12"/>
          <w:footerReference w:type="even" r:id="rId13"/>
          <w:footerReference w:type="default" r:id="rId14"/>
          <w:headerReference w:type="first" r:id="rId15"/>
          <w:footerReference w:type="first" r:id="rId16"/>
          <w:pgSz w:w="11906" w:h="16838" w:code="9"/>
          <w:pgMar w:top="3924" w:right="1418" w:bottom="1134" w:left="1418" w:header="850" w:footer="454" w:gutter="0"/>
          <w:cols w:space="708"/>
          <w:docGrid w:linePitch="360"/>
        </w:sectPr>
      </w:pPr>
    </w:p>
    <w:p w14:paraId="23245DE8" w14:textId="77777777" w:rsidR="00284A74" w:rsidRPr="00A17B1B" w:rsidRDefault="00284A74" w:rsidP="00284A74">
      <w:pPr>
        <w:pStyle w:val="ACMACorporateAddressHeader"/>
      </w:pPr>
      <w:r w:rsidRPr="00A17B1B">
        <w:t>Canberra</w:t>
      </w:r>
    </w:p>
    <w:p w14:paraId="45336433" w14:textId="77777777" w:rsidR="00284A74" w:rsidRPr="00A17B1B" w:rsidRDefault="00181180" w:rsidP="00284A74">
      <w:pPr>
        <w:pStyle w:val="ACMACorporateAddresses"/>
      </w:pPr>
      <w:r>
        <w:t>Level 3</w:t>
      </w:r>
      <w:r>
        <w:br/>
        <w:t>40 Cameron Avenue</w:t>
      </w:r>
      <w:r w:rsidR="00284A74" w:rsidRPr="00A17B1B">
        <w:t xml:space="preserve"> </w:t>
      </w:r>
      <w:r w:rsidR="00284A74" w:rsidRPr="00A17B1B">
        <w:br/>
        <w:t>Belconnen ACT</w:t>
      </w:r>
    </w:p>
    <w:p w14:paraId="5F97C6FA" w14:textId="77777777" w:rsidR="00284A74" w:rsidRPr="00A17B1B" w:rsidRDefault="00284A74" w:rsidP="00284A74">
      <w:pPr>
        <w:pStyle w:val="ACMACorporateAddresses"/>
      </w:pPr>
      <w:r w:rsidRPr="00A17B1B">
        <w:t>PO Box 78</w:t>
      </w:r>
      <w:r w:rsidRPr="00A17B1B">
        <w:br/>
        <w:t>Belconnen ACT 2616</w:t>
      </w:r>
    </w:p>
    <w:p w14:paraId="5CB9457A" w14:textId="77777777" w:rsidR="00284A74" w:rsidRPr="00A17B1B" w:rsidRDefault="00284A74" w:rsidP="00284A74">
      <w:pPr>
        <w:pStyle w:val="ACMACorporateAddresses"/>
      </w:pPr>
      <w:r w:rsidRPr="00A17B1B">
        <w:t>T</w:t>
      </w:r>
      <w:r w:rsidRPr="00A17B1B">
        <w:tab/>
        <w:t>+61 2 6219 5555</w:t>
      </w:r>
      <w:r w:rsidRPr="00A17B1B">
        <w:br/>
        <w:t>F</w:t>
      </w:r>
      <w:r w:rsidRPr="00A17B1B">
        <w:tab/>
        <w:t>+61 2 6219 5353</w:t>
      </w:r>
    </w:p>
    <w:p w14:paraId="4AAB3F4C" w14:textId="77777777" w:rsidR="00284A74" w:rsidRPr="00A17B1B" w:rsidRDefault="00284A74" w:rsidP="00284A74">
      <w:pPr>
        <w:pStyle w:val="ACMACorporateAddressHeader"/>
      </w:pPr>
      <w:r w:rsidRPr="00A17B1B">
        <w:t>Melbourne</w:t>
      </w:r>
    </w:p>
    <w:p w14:paraId="26A8289E" w14:textId="77777777" w:rsidR="00284A74" w:rsidRPr="00A17B1B" w:rsidRDefault="00284A74" w:rsidP="00284A74">
      <w:pPr>
        <w:pStyle w:val="ACMACorporateAddresses"/>
      </w:pPr>
      <w:r w:rsidRPr="00A17B1B">
        <w:t xml:space="preserve">Level 32 </w:t>
      </w:r>
      <w:r w:rsidRPr="00A17B1B">
        <w:br/>
        <w:t>Melbourne Central Tower</w:t>
      </w:r>
      <w:r w:rsidRPr="00A17B1B">
        <w:br/>
        <w:t xml:space="preserve">360 Elizabeth Street </w:t>
      </w:r>
      <w:r w:rsidRPr="00A17B1B">
        <w:br/>
        <w:t>Melbourne VIC</w:t>
      </w:r>
    </w:p>
    <w:p w14:paraId="1C2AFF5B" w14:textId="77777777" w:rsidR="00284A74" w:rsidRPr="00A17B1B" w:rsidRDefault="00284A74" w:rsidP="00284A74">
      <w:pPr>
        <w:pStyle w:val="ACMACorporateAddresses"/>
      </w:pPr>
      <w:r w:rsidRPr="00A17B1B">
        <w:t>PO Box 13112</w:t>
      </w:r>
      <w:r w:rsidRPr="00A17B1B">
        <w:br/>
        <w:t xml:space="preserve">Law Courts </w:t>
      </w:r>
      <w:r w:rsidRPr="00A17B1B">
        <w:br/>
        <w:t>Melbourne VIC 8010</w:t>
      </w:r>
    </w:p>
    <w:p w14:paraId="38930440" w14:textId="77777777" w:rsidR="00284A74" w:rsidRPr="00A17B1B" w:rsidRDefault="00284A74" w:rsidP="00284A74">
      <w:pPr>
        <w:pStyle w:val="ACMACorporateAddresses"/>
      </w:pPr>
      <w:r w:rsidRPr="00A17B1B">
        <w:t>T</w:t>
      </w:r>
      <w:r w:rsidRPr="00A17B1B">
        <w:tab/>
        <w:t>+61 3 9963 6800</w:t>
      </w:r>
      <w:r w:rsidRPr="00A17B1B">
        <w:br/>
        <w:t>F</w:t>
      </w:r>
      <w:r w:rsidRPr="00A17B1B">
        <w:tab/>
        <w:t>+61 3 9963 6899</w:t>
      </w:r>
    </w:p>
    <w:p w14:paraId="7B16DBF2" w14:textId="77777777" w:rsidR="00284A74" w:rsidRPr="00A17B1B" w:rsidRDefault="00284A74" w:rsidP="00284A74">
      <w:pPr>
        <w:pStyle w:val="ACMACorporateAddressHeader"/>
      </w:pPr>
      <w:r w:rsidRPr="00A17B1B">
        <w:t>Sydney</w:t>
      </w:r>
    </w:p>
    <w:p w14:paraId="3700C4CE" w14:textId="77777777" w:rsidR="00284A74" w:rsidRPr="00A17B1B" w:rsidRDefault="00284A74" w:rsidP="00284A74">
      <w:pPr>
        <w:pStyle w:val="ACMACorporateAddresses"/>
      </w:pPr>
      <w:r w:rsidRPr="00A17B1B">
        <w:t xml:space="preserve">Level 5 </w:t>
      </w:r>
      <w:r w:rsidRPr="00A17B1B">
        <w:br/>
        <w:t>The Bay Centre</w:t>
      </w:r>
      <w:r w:rsidRPr="00A17B1B">
        <w:br/>
        <w:t xml:space="preserve">65 Pirrama Road </w:t>
      </w:r>
      <w:r w:rsidRPr="00A17B1B">
        <w:br/>
        <w:t>Pyrmont NSW</w:t>
      </w:r>
    </w:p>
    <w:p w14:paraId="338AF046" w14:textId="77777777" w:rsidR="00284A74" w:rsidRPr="00A17B1B" w:rsidRDefault="00284A74" w:rsidP="00284A74">
      <w:pPr>
        <w:pStyle w:val="ACMACorporateAddresses"/>
      </w:pPr>
      <w:r w:rsidRPr="00A17B1B">
        <w:t>PO Box Q500</w:t>
      </w:r>
      <w:r w:rsidRPr="00A17B1B">
        <w:br/>
        <w:t xml:space="preserve">Queen Victoria Building </w:t>
      </w:r>
      <w:r w:rsidRPr="00A17B1B">
        <w:br/>
        <w:t>NSW 1230</w:t>
      </w:r>
    </w:p>
    <w:p w14:paraId="7430744F" w14:textId="77777777" w:rsidR="00284A74" w:rsidRPr="00A17B1B" w:rsidRDefault="00284A74" w:rsidP="00284A74">
      <w:pPr>
        <w:pStyle w:val="ACMACorporateAddresses"/>
      </w:pPr>
      <w:r w:rsidRPr="00A17B1B">
        <w:t>T</w:t>
      </w:r>
      <w:r w:rsidRPr="00A17B1B">
        <w:tab/>
        <w:t>+61 2 9334 7700</w:t>
      </w:r>
      <w:r w:rsidRPr="00A17B1B">
        <w:br/>
        <w:t>F</w:t>
      </w:r>
      <w:r w:rsidRPr="00A17B1B">
        <w:tab/>
        <w:t>+61 2 9334 7799</w:t>
      </w:r>
    </w:p>
    <w:p w14:paraId="01EAF476" w14:textId="77777777" w:rsidR="00284A74" w:rsidRPr="00A17B1B" w:rsidRDefault="00284A74" w:rsidP="005A62E5">
      <w:pPr>
        <w:pStyle w:val="ACMACopyrightHeader"/>
        <w:spacing w:before="4200"/>
      </w:pPr>
      <w:r w:rsidRPr="00A17B1B">
        <w:t>Copyright notice</w:t>
      </w:r>
    </w:p>
    <w:p w14:paraId="2DB10CCA" w14:textId="77777777" w:rsidR="00284A74" w:rsidRPr="00A17B1B" w:rsidRDefault="00284A74" w:rsidP="00284A74">
      <w:pPr>
        <w:pStyle w:val="ACMACClogo"/>
      </w:pPr>
      <w:r w:rsidRPr="00A17B1B">
        <w:rPr>
          <w:noProof/>
        </w:rPr>
        <w:drawing>
          <wp:inline distT="0" distB="0" distL="0" distR="0" wp14:anchorId="3AAAA72E" wp14:editId="3FDC6162">
            <wp:extent cx="838200" cy="295275"/>
            <wp:effectExtent l="0" t="0" r="0" b="0"/>
            <wp:docPr id="1" name="Picture 1" title="Creative Commons log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y">
                      <a:hlinkClick r:id="rId17"/>
                    </pic:cNvPr>
                    <pic:cNvPicPr>
                      <a:picLocks noChangeAspect="1" noChangeArrowheads="1"/>
                    </pic:cNvPicPr>
                  </pic:nvPicPr>
                  <pic:blipFill>
                    <a:blip r:embed="rId18" cstate="print"/>
                    <a:srcRect/>
                    <a:stretch>
                      <a:fillRect/>
                    </a:stretch>
                  </pic:blipFill>
                  <pic:spPr bwMode="auto">
                    <a:xfrm>
                      <a:off x="0" y="0"/>
                      <a:ext cx="838200" cy="295275"/>
                    </a:xfrm>
                    <a:prstGeom prst="rect">
                      <a:avLst/>
                    </a:prstGeom>
                    <a:noFill/>
                  </pic:spPr>
                </pic:pic>
              </a:graphicData>
            </a:graphic>
          </wp:inline>
        </w:drawing>
      </w:r>
    </w:p>
    <w:p w14:paraId="7C446484" w14:textId="77777777" w:rsidR="00284A74" w:rsidRPr="00A17B1B" w:rsidRDefault="00284A74" w:rsidP="00284A74">
      <w:pPr>
        <w:pStyle w:val="ACMACorporateAddresses"/>
        <w:rPr>
          <w:rStyle w:val="Hyperlink"/>
        </w:rPr>
      </w:pPr>
      <w:hyperlink r:id="rId19" w:history="1">
        <w:r w:rsidRPr="00A17B1B">
          <w:rPr>
            <w:rStyle w:val="Hyperlink"/>
          </w:rPr>
          <w:t>https://creativecommons.org/licenses/by/4.0/</w:t>
        </w:r>
      </w:hyperlink>
    </w:p>
    <w:p w14:paraId="66D12991" w14:textId="77777777" w:rsidR="00AA1F0B" w:rsidRPr="00E162C4" w:rsidRDefault="00AA1F0B" w:rsidP="00AA1F0B">
      <w:pPr>
        <w:pStyle w:val="ACMACorporateAddresses"/>
      </w:pPr>
      <w:r>
        <w:t>Except for the Commonwealth</w:t>
      </w:r>
      <w:r w:rsidRPr="00E162C4">
        <w:t xml:space="preserve"> </w:t>
      </w:r>
      <w:r>
        <w:t>C</w:t>
      </w:r>
      <w:r w:rsidRPr="00E162C4">
        <w:t xml:space="preserve">oat of </w:t>
      </w:r>
      <w:r>
        <w:t>A</w:t>
      </w:r>
      <w:r w:rsidRPr="00E162C4">
        <w:t xml:space="preserve">rms, logos, emblems, images, other third-party material or devices protected by a trademark, this content is made available under the terms of the Creative Commons Attribution 4.0 International (CC BY 4.0) licence. </w:t>
      </w:r>
    </w:p>
    <w:p w14:paraId="01348535" w14:textId="77777777" w:rsidR="00AA1F0B" w:rsidRPr="00E162C4" w:rsidRDefault="00AA1F0B" w:rsidP="00AA1F0B">
      <w:pPr>
        <w:pStyle w:val="ACMACorporateAddresses"/>
      </w:pPr>
      <w:r w:rsidRPr="00E162C4">
        <w:t>All other rights are reserved.</w:t>
      </w:r>
    </w:p>
    <w:p w14:paraId="56E6FA73" w14:textId="77777777" w:rsidR="00AA1F0B" w:rsidRDefault="00AA1F0B" w:rsidP="00AA1F0B">
      <w:pPr>
        <w:pStyle w:val="ACMACorporateAddresses"/>
      </w:pPr>
      <w:r w:rsidRPr="00E162C4">
        <w:t>The Australian Communications and Media Authority has undertaken reasonable enquiries to identify material owned by third parties and secure permission for its reproduction. Permission may need to be obtained from third parties to re-use their material.</w:t>
      </w:r>
    </w:p>
    <w:p w14:paraId="7622F075" w14:textId="77777777" w:rsidR="00AA1F0B" w:rsidRPr="00D04C32" w:rsidRDefault="00AA1F0B" w:rsidP="00AA1F0B">
      <w:pPr>
        <w:pStyle w:val="ACMACorporateAddresses"/>
        <w:rPr>
          <w:rStyle w:val="Hyperlink"/>
          <w:color w:val="auto"/>
          <w:u w:val="none"/>
        </w:rPr>
      </w:pPr>
      <w:r w:rsidRPr="00E162C4">
        <w:t>We request attribution as © Commonwealth of Australia (Australian Communications and Media Authority) 202</w:t>
      </w:r>
      <w:r w:rsidR="006300BF">
        <w:t>6</w:t>
      </w:r>
      <w:r w:rsidRPr="00E162C4">
        <w:t xml:space="preserve">. </w:t>
      </w:r>
    </w:p>
    <w:p w14:paraId="356FA646" w14:textId="77777777" w:rsidR="00D16FE3" w:rsidRPr="00A17B1B" w:rsidRDefault="00D16FE3" w:rsidP="00D16FE3">
      <w:pPr>
        <w:pStyle w:val="ACMACorporateAddresses"/>
        <w:sectPr w:rsidR="00D16FE3" w:rsidRPr="00A17B1B" w:rsidSect="005A62E5">
          <w:headerReference w:type="even" r:id="rId20"/>
          <w:headerReference w:type="default" r:id="rId21"/>
          <w:footerReference w:type="even" r:id="rId22"/>
          <w:footerReference w:type="default" r:id="rId23"/>
          <w:pgSz w:w="11906" w:h="16838" w:code="9"/>
          <w:pgMar w:top="3924" w:right="1418" w:bottom="1134" w:left="1418" w:header="709" w:footer="119" w:gutter="0"/>
          <w:cols w:space="708"/>
          <w:docGrid w:linePitch="360"/>
        </w:sectPr>
      </w:pPr>
    </w:p>
    <w:p w14:paraId="7C0D90C6" w14:textId="15EF37F9" w:rsidR="005C7467" w:rsidRDefault="00401FFD">
      <w:pPr>
        <w:pStyle w:val="TOC1"/>
        <w:rPr>
          <w:rFonts w:asciiTheme="minorHAnsi" w:eastAsiaTheme="minorEastAsia" w:hAnsiTheme="minorHAnsi" w:cstheme="minorBidi"/>
          <w:b w:val="0"/>
          <w:spacing w:val="0"/>
          <w:kern w:val="2"/>
          <w:sz w:val="24"/>
          <w14:ligatures w14:val="standardContextual"/>
        </w:rPr>
      </w:pPr>
      <w:r>
        <w:rPr>
          <w:rFonts w:cs="Arial"/>
          <w:b w:val="0"/>
        </w:rPr>
        <w:fldChar w:fldCharType="begin"/>
      </w:r>
      <w:r>
        <w:rPr>
          <w:rFonts w:cs="Arial"/>
          <w:b w:val="0"/>
        </w:rPr>
        <w:instrText xml:space="preserve"> TOC \o "1-2" \h \z \t "Exec summary heading,1" </w:instrText>
      </w:r>
      <w:r>
        <w:rPr>
          <w:rFonts w:cs="Arial"/>
          <w:b w:val="0"/>
        </w:rPr>
        <w:fldChar w:fldCharType="separate"/>
      </w:r>
      <w:hyperlink w:anchor="_Toc242777931" w:history="1">
        <w:r w:rsidR="005C7467" w:rsidRPr="00797153">
          <w:rPr>
            <w:rStyle w:val="Hyperlink"/>
          </w:rPr>
          <w:t>Executive summary</w:t>
        </w:r>
        <w:r w:rsidR="005C7467">
          <w:rPr>
            <w:webHidden/>
          </w:rPr>
          <w:tab/>
        </w:r>
        <w:r w:rsidR="005C7467">
          <w:rPr>
            <w:webHidden/>
          </w:rPr>
          <w:fldChar w:fldCharType="begin"/>
        </w:r>
        <w:r w:rsidR="005C7467">
          <w:rPr>
            <w:webHidden/>
          </w:rPr>
          <w:instrText xml:space="preserve"> PAGEREF _Toc242777931 \h </w:instrText>
        </w:r>
        <w:r w:rsidR="005C7467">
          <w:rPr>
            <w:webHidden/>
          </w:rPr>
        </w:r>
        <w:r w:rsidR="005C7467">
          <w:rPr>
            <w:webHidden/>
          </w:rPr>
          <w:fldChar w:fldCharType="separate"/>
        </w:r>
        <w:r w:rsidR="005C7467">
          <w:rPr>
            <w:webHidden/>
          </w:rPr>
          <w:t>1</w:t>
        </w:r>
        <w:r w:rsidR="005C7467">
          <w:rPr>
            <w:webHidden/>
          </w:rPr>
          <w:fldChar w:fldCharType="end"/>
        </w:r>
      </w:hyperlink>
    </w:p>
    <w:p w14:paraId="2F77FCCF" w14:textId="495FC449"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32" w:history="1">
        <w:r w:rsidRPr="00797153">
          <w:rPr>
            <w:rStyle w:val="Hyperlink"/>
          </w:rPr>
          <w:t>Issues for comment</w:t>
        </w:r>
        <w:r>
          <w:rPr>
            <w:webHidden/>
          </w:rPr>
          <w:tab/>
        </w:r>
        <w:r>
          <w:rPr>
            <w:webHidden/>
          </w:rPr>
          <w:fldChar w:fldCharType="begin"/>
        </w:r>
        <w:r>
          <w:rPr>
            <w:webHidden/>
          </w:rPr>
          <w:instrText xml:space="preserve"> PAGEREF _Toc242777932 \h </w:instrText>
        </w:r>
        <w:r>
          <w:rPr>
            <w:webHidden/>
          </w:rPr>
        </w:r>
        <w:r>
          <w:rPr>
            <w:webHidden/>
          </w:rPr>
          <w:fldChar w:fldCharType="separate"/>
        </w:r>
        <w:r>
          <w:rPr>
            <w:webHidden/>
          </w:rPr>
          <w:t>3</w:t>
        </w:r>
        <w:r>
          <w:rPr>
            <w:webHidden/>
          </w:rPr>
          <w:fldChar w:fldCharType="end"/>
        </w:r>
      </w:hyperlink>
    </w:p>
    <w:p w14:paraId="292A54DC" w14:textId="061BA70C"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33" w:history="1">
        <w:r w:rsidRPr="00797153">
          <w:rPr>
            <w:rStyle w:val="Hyperlink"/>
          </w:rPr>
          <w:t>Introduction</w:t>
        </w:r>
        <w:r>
          <w:rPr>
            <w:webHidden/>
          </w:rPr>
          <w:tab/>
        </w:r>
        <w:r>
          <w:rPr>
            <w:webHidden/>
          </w:rPr>
          <w:fldChar w:fldCharType="begin"/>
        </w:r>
        <w:r>
          <w:rPr>
            <w:webHidden/>
          </w:rPr>
          <w:instrText xml:space="preserve"> PAGEREF _Toc242777933 \h </w:instrText>
        </w:r>
        <w:r>
          <w:rPr>
            <w:webHidden/>
          </w:rPr>
        </w:r>
        <w:r>
          <w:rPr>
            <w:webHidden/>
          </w:rPr>
          <w:fldChar w:fldCharType="separate"/>
        </w:r>
        <w:r>
          <w:rPr>
            <w:webHidden/>
          </w:rPr>
          <w:t>4</w:t>
        </w:r>
        <w:r>
          <w:rPr>
            <w:webHidden/>
          </w:rPr>
          <w:fldChar w:fldCharType="end"/>
        </w:r>
      </w:hyperlink>
    </w:p>
    <w:p w14:paraId="58065695" w14:textId="64E4AA11"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34" w:history="1">
        <w:r w:rsidRPr="00797153">
          <w:rPr>
            <w:rStyle w:val="Hyperlink"/>
          </w:rPr>
          <w:t>Future updates to benchmarking data</w:t>
        </w:r>
        <w:r>
          <w:rPr>
            <w:webHidden/>
          </w:rPr>
          <w:tab/>
        </w:r>
        <w:r>
          <w:rPr>
            <w:webHidden/>
          </w:rPr>
          <w:fldChar w:fldCharType="begin"/>
        </w:r>
        <w:r>
          <w:rPr>
            <w:webHidden/>
          </w:rPr>
          <w:instrText xml:space="preserve"> PAGEREF _Toc242777934 \h </w:instrText>
        </w:r>
        <w:r>
          <w:rPr>
            <w:webHidden/>
          </w:rPr>
        </w:r>
        <w:r>
          <w:rPr>
            <w:webHidden/>
          </w:rPr>
          <w:fldChar w:fldCharType="separate"/>
        </w:r>
        <w:r>
          <w:rPr>
            <w:webHidden/>
          </w:rPr>
          <w:t>5</w:t>
        </w:r>
        <w:r>
          <w:rPr>
            <w:webHidden/>
          </w:rPr>
          <w:fldChar w:fldCharType="end"/>
        </w:r>
      </w:hyperlink>
    </w:p>
    <w:p w14:paraId="06348A18" w14:textId="1CC5BA39"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35" w:history="1">
        <w:r w:rsidRPr="00797153">
          <w:rPr>
            <w:rStyle w:val="Hyperlink"/>
          </w:rPr>
          <w:t>Assessing and incorporating new spectrum awards</w:t>
        </w:r>
        <w:r>
          <w:rPr>
            <w:webHidden/>
          </w:rPr>
          <w:tab/>
        </w:r>
        <w:r>
          <w:rPr>
            <w:webHidden/>
          </w:rPr>
          <w:fldChar w:fldCharType="begin"/>
        </w:r>
        <w:r>
          <w:rPr>
            <w:webHidden/>
          </w:rPr>
          <w:instrText xml:space="preserve"> PAGEREF _Toc242777935 \h </w:instrText>
        </w:r>
        <w:r>
          <w:rPr>
            <w:webHidden/>
          </w:rPr>
        </w:r>
        <w:r>
          <w:rPr>
            <w:webHidden/>
          </w:rPr>
          <w:fldChar w:fldCharType="separate"/>
        </w:r>
        <w:r>
          <w:rPr>
            <w:webHidden/>
          </w:rPr>
          <w:t>5</w:t>
        </w:r>
        <w:r>
          <w:rPr>
            <w:webHidden/>
          </w:rPr>
          <w:fldChar w:fldCharType="end"/>
        </w:r>
      </w:hyperlink>
    </w:p>
    <w:p w14:paraId="28A266C7" w14:textId="74B7FCE5"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36" w:history="1">
        <w:r w:rsidRPr="00797153">
          <w:rPr>
            <w:rStyle w:val="Hyperlink"/>
          </w:rPr>
          <w:t>Currency conversion</w:t>
        </w:r>
        <w:r>
          <w:rPr>
            <w:webHidden/>
          </w:rPr>
          <w:tab/>
        </w:r>
        <w:r>
          <w:rPr>
            <w:webHidden/>
          </w:rPr>
          <w:fldChar w:fldCharType="begin"/>
        </w:r>
        <w:r>
          <w:rPr>
            <w:webHidden/>
          </w:rPr>
          <w:instrText xml:space="preserve"> PAGEREF _Toc242777936 \h </w:instrText>
        </w:r>
        <w:r>
          <w:rPr>
            <w:webHidden/>
          </w:rPr>
        </w:r>
        <w:r>
          <w:rPr>
            <w:webHidden/>
          </w:rPr>
          <w:fldChar w:fldCharType="separate"/>
        </w:r>
        <w:r>
          <w:rPr>
            <w:webHidden/>
          </w:rPr>
          <w:t>6</w:t>
        </w:r>
        <w:r>
          <w:rPr>
            <w:webHidden/>
          </w:rPr>
          <w:fldChar w:fldCharType="end"/>
        </w:r>
      </w:hyperlink>
    </w:p>
    <w:p w14:paraId="794DB2A3" w14:textId="7A77EF9D"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37" w:history="1">
        <w:r w:rsidRPr="00797153">
          <w:rPr>
            <w:rStyle w:val="Hyperlink"/>
          </w:rPr>
          <w:t>Indexation</w:t>
        </w:r>
        <w:r>
          <w:rPr>
            <w:webHidden/>
          </w:rPr>
          <w:tab/>
        </w:r>
        <w:r>
          <w:rPr>
            <w:webHidden/>
          </w:rPr>
          <w:fldChar w:fldCharType="begin"/>
        </w:r>
        <w:r>
          <w:rPr>
            <w:webHidden/>
          </w:rPr>
          <w:instrText xml:space="preserve"> PAGEREF _Toc242777937 \h </w:instrText>
        </w:r>
        <w:r>
          <w:rPr>
            <w:webHidden/>
          </w:rPr>
        </w:r>
        <w:r>
          <w:rPr>
            <w:webHidden/>
          </w:rPr>
          <w:fldChar w:fldCharType="separate"/>
        </w:r>
        <w:r>
          <w:rPr>
            <w:webHidden/>
          </w:rPr>
          <w:t>7</w:t>
        </w:r>
        <w:r>
          <w:rPr>
            <w:webHidden/>
          </w:rPr>
          <w:fldChar w:fldCharType="end"/>
        </w:r>
      </w:hyperlink>
    </w:p>
    <w:p w14:paraId="34CB08F5" w14:textId="672551F0"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38" w:history="1">
        <w:r w:rsidRPr="00797153">
          <w:rPr>
            <w:rStyle w:val="Hyperlink"/>
          </w:rPr>
          <w:t>Converting prices into spectrum access charges</w:t>
        </w:r>
        <w:r>
          <w:rPr>
            <w:webHidden/>
          </w:rPr>
          <w:tab/>
        </w:r>
        <w:r>
          <w:rPr>
            <w:webHidden/>
          </w:rPr>
          <w:fldChar w:fldCharType="begin"/>
        </w:r>
        <w:r>
          <w:rPr>
            <w:webHidden/>
          </w:rPr>
          <w:instrText xml:space="preserve"> PAGEREF _Toc242777938 \h </w:instrText>
        </w:r>
        <w:r>
          <w:rPr>
            <w:webHidden/>
          </w:rPr>
        </w:r>
        <w:r>
          <w:rPr>
            <w:webHidden/>
          </w:rPr>
          <w:fldChar w:fldCharType="separate"/>
        </w:r>
        <w:r>
          <w:rPr>
            <w:webHidden/>
          </w:rPr>
          <w:t>9</w:t>
        </w:r>
        <w:r>
          <w:rPr>
            <w:webHidden/>
          </w:rPr>
          <w:fldChar w:fldCharType="end"/>
        </w:r>
      </w:hyperlink>
    </w:p>
    <w:p w14:paraId="6C236EA6" w14:textId="367E5AF6"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39" w:history="1">
        <w:r w:rsidRPr="00797153">
          <w:rPr>
            <w:rStyle w:val="Hyperlink"/>
          </w:rPr>
          <w:t>Population projection approach</w:t>
        </w:r>
        <w:r>
          <w:rPr>
            <w:webHidden/>
          </w:rPr>
          <w:tab/>
        </w:r>
        <w:r>
          <w:rPr>
            <w:webHidden/>
          </w:rPr>
          <w:fldChar w:fldCharType="begin"/>
        </w:r>
        <w:r>
          <w:rPr>
            <w:webHidden/>
          </w:rPr>
          <w:instrText xml:space="preserve"> PAGEREF _Toc242777939 \h </w:instrText>
        </w:r>
        <w:r>
          <w:rPr>
            <w:webHidden/>
          </w:rPr>
        </w:r>
        <w:r>
          <w:rPr>
            <w:webHidden/>
          </w:rPr>
          <w:fldChar w:fldCharType="separate"/>
        </w:r>
        <w:r>
          <w:rPr>
            <w:webHidden/>
          </w:rPr>
          <w:t>9</w:t>
        </w:r>
        <w:r>
          <w:rPr>
            <w:webHidden/>
          </w:rPr>
          <w:fldChar w:fldCharType="end"/>
        </w:r>
      </w:hyperlink>
    </w:p>
    <w:p w14:paraId="2658D9BB" w14:textId="1359DA6C"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0" w:history="1">
        <w:r w:rsidRPr="00797153">
          <w:rPr>
            <w:rStyle w:val="Hyperlink"/>
          </w:rPr>
          <w:t>Population projections for the 850 MHz and 1800 MHz bands</w:t>
        </w:r>
        <w:r>
          <w:rPr>
            <w:webHidden/>
          </w:rPr>
          <w:tab/>
        </w:r>
        <w:r>
          <w:rPr>
            <w:webHidden/>
          </w:rPr>
          <w:fldChar w:fldCharType="begin"/>
        </w:r>
        <w:r>
          <w:rPr>
            <w:webHidden/>
          </w:rPr>
          <w:instrText xml:space="preserve"> PAGEREF _Toc242777940 \h </w:instrText>
        </w:r>
        <w:r>
          <w:rPr>
            <w:webHidden/>
          </w:rPr>
        </w:r>
        <w:r>
          <w:rPr>
            <w:webHidden/>
          </w:rPr>
          <w:fldChar w:fldCharType="separate"/>
        </w:r>
        <w:r>
          <w:rPr>
            <w:webHidden/>
          </w:rPr>
          <w:t>10</w:t>
        </w:r>
        <w:r>
          <w:rPr>
            <w:webHidden/>
          </w:rPr>
          <w:fldChar w:fldCharType="end"/>
        </w:r>
      </w:hyperlink>
    </w:p>
    <w:p w14:paraId="39A5A57D" w14:textId="6DB2E4A3"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1" w:history="1">
        <w:r w:rsidRPr="00797153">
          <w:rPr>
            <w:rStyle w:val="Hyperlink"/>
          </w:rPr>
          <w:t>Timing of population projections for later-expiring bands</w:t>
        </w:r>
        <w:r>
          <w:rPr>
            <w:webHidden/>
          </w:rPr>
          <w:tab/>
        </w:r>
        <w:r>
          <w:rPr>
            <w:webHidden/>
          </w:rPr>
          <w:fldChar w:fldCharType="begin"/>
        </w:r>
        <w:r>
          <w:rPr>
            <w:webHidden/>
          </w:rPr>
          <w:instrText xml:space="preserve"> PAGEREF _Toc242777941 \h </w:instrText>
        </w:r>
        <w:r>
          <w:rPr>
            <w:webHidden/>
          </w:rPr>
        </w:r>
        <w:r>
          <w:rPr>
            <w:webHidden/>
          </w:rPr>
          <w:fldChar w:fldCharType="separate"/>
        </w:r>
        <w:r>
          <w:rPr>
            <w:webHidden/>
          </w:rPr>
          <w:t>12</w:t>
        </w:r>
        <w:r>
          <w:rPr>
            <w:webHidden/>
          </w:rPr>
          <w:fldChar w:fldCharType="end"/>
        </w:r>
      </w:hyperlink>
    </w:p>
    <w:p w14:paraId="22CA7BFC" w14:textId="544DC765"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42" w:history="1">
        <w:r w:rsidRPr="00797153">
          <w:rPr>
            <w:rStyle w:val="Hyperlink"/>
          </w:rPr>
          <w:t>Proposed consultation on benchmark data updates</w:t>
        </w:r>
        <w:r>
          <w:rPr>
            <w:webHidden/>
          </w:rPr>
          <w:tab/>
        </w:r>
        <w:r>
          <w:rPr>
            <w:webHidden/>
          </w:rPr>
          <w:fldChar w:fldCharType="begin"/>
        </w:r>
        <w:r>
          <w:rPr>
            <w:webHidden/>
          </w:rPr>
          <w:instrText xml:space="preserve"> PAGEREF _Toc242777942 \h </w:instrText>
        </w:r>
        <w:r>
          <w:rPr>
            <w:webHidden/>
          </w:rPr>
        </w:r>
        <w:r>
          <w:rPr>
            <w:webHidden/>
          </w:rPr>
          <w:fldChar w:fldCharType="separate"/>
        </w:r>
        <w:r>
          <w:rPr>
            <w:webHidden/>
          </w:rPr>
          <w:t>14</w:t>
        </w:r>
        <w:r>
          <w:rPr>
            <w:webHidden/>
          </w:rPr>
          <w:fldChar w:fldCharType="end"/>
        </w:r>
      </w:hyperlink>
    </w:p>
    <w:p w14:paraId="4D0348A4" w14:textId="334562D9"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3" w:history="1">
        <w:r w:rsidRPr="00797153">
          <w:rPr>
            <w:rStyle w:val="Hyperlink"/>
          </w:rPr>
          <w:t>Scope of consultations</w:t>
        </w:r>
        <w:r>
          <w:rPr>
            <w:webHidden/>
          </w:rPr>
          <w:tab/>
        </w:r>
        <w:r>
          <w:rPr>
            <w:webHidden/>
          </w:rPr>
          <w:fldChar w:fldCharType="begin"/>
        </w:r>
        <w:r>
          <w:rPr>
            <w:webHidden/>
          </w:rPr>
          <w:instrText xml:space="preserve"> PAGEREF _Toc242777943 \h </w:instrText>
        </w:r>
        <w:r>
          <w:rPr>
            <w:webHidden/>
          </w:rPr>
        </w:r>
        <w:r>
          <w:rPr>
            <w:webHidden/>
          </w:rPr>
          <w:fldChar w:fldCharType="separate"/>
        </w:r>
        <w:r>
          <w:rPr>
            <w:webHidden/>
          </w:rPr>
          <w:t>14</w:t>
        </w:r>
        <w:r>
          <w:rPr>
            <w:webHidden/>
          </w:rPr>
          <w:fldChar w:fldCharType="end"/>
        </w:r>
      </w:hyperlink>
    </w:p>
    <w:p w14:paraId="12068A1B" w14:textId="4D250A48"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4" w:history="1">
        <w:r w:rsidRPr="00797153">
          <w:rPr>
            <w:rStyle w:val="Hyperlink"/>
          </w:rPr>
          <w:t>Timing of consultations</w:t>
        </w:r>
        <w:r>
          <w:rPr>
            <w:webHidden/>
          </w:rPr>
          <w:tab/>
        </w:r>
        <w:r>
          <w:rPr>
            <w:webHidden/>
          </w:rPr>
          <w:fldChar w:fldCharType="begin"/>
        </w:r>
        <w:r>
          <w:rPr>
            <w:webHidden/>
          </w:rPr>
          <w:instrText xml:space="preserve"> PAGEREF _Toc242777944 \h </w:instrText>
        </w:r>
        <w:r>
          <w:rPr>
            <w:webHidden/>
          </w:rPr>
        </w:r>
        <w:r>
          <w:rPr>
            <w:webHidden/>
          </w:rPr>
          <w:fldChar w:fldCharType="separate"/>
        </w:r>
        <w:r>
          <w:rPr>
            <w:webHidden/>
          </w:rPr>
          <w:t>14</w:t>
        </w:r>
        <w:r>
          <w:rPr>
            <w:webHidden/>
          </w:rPr>
          <w:fldChar w:fldCharType="end"/>
        </w:r>
      </w:hyperlink>
    </w:p>
    <w:p w14:paraId="1FECEF13" w14:textId="53A62E00"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5" w:history="1">
        <w:r w:rsidRPr="00797153">
          <w:rPr>
            <w:rStyle w:val="Hyperlink"/>
          </w:rPr>
          <w:t>Consideration of submissions and finalisation</w:t>
        </w:r>
        <w:r>
          <w:rPr>
            <w:webHidden/>
          </w:rPr>
          <w:tab/>
        </w:r>
        <w:r>
          <w:rPr>
            <w:webHidden/>
          </w:rPr>
          <w:fldChar w:fldCharType="begin"/>
        </w:r>
        <w:r>
          <w:rPr>
            <w:webHidden/>
          </w:rPr>
          <w:instrText xml:space="preserve"> PAGEREF _Toc242777945 \h </w:instrText>
        </w:r>
        <w:r>
          <w:rPr>
            <w:webHidden/>
          </w:rPr>
        </w:r>
        <w:r>
          <w:rPr>
            <w:webHidden/>
          </w:rPr>
          <w:fldChar w:fldCharType="separate"/>
        </w:r>
        <w:r>
          <w:rPr>
            <w:webHidden/>
          </w:rPr>
          <w:t>15</w:t>
        </w:r>
        <w:r>
          <w:rPr>
            <w:webHidden/>
          </w:rPr>
          <w:fldChar w:fldCharType="end"/>
        </w:r>
      </w:hyperlink>
    </w:p>
    <w:p w14:paraId="5F9C6765" w14:textId="0780B124"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46" w:history="1">
        <w:r w:rsidRPr="00797153">
          <w:rPr>
            <w:rStyle w:val="Hyperlink"/>
          </w:rPr>
          <w:t>Invitation to comment</w:t>
        </w:r>
        <w:r>
          <w:rPr>
            <w:webHidden/>
          </w:rPr>
          <w:tab/>
        </w:r>
        <w:r>
          <w:rPr>
            <w:webHidden/>
          </w:rPr>
          <w:fldChar w:fldCharType="begin"/>
        </w:r>
        <w:r>
          <w:rPr>
            <w:webHidden/>
          </w:rPr>
          <w:instrText xml:space="preserve"> PAGEREF _Toc242777946 \h </w:instrText>
        </w:r>
        <w:r>
          <w:rPr>
            <w:webHidden/>
          </w:rPr>
        </w:r>
        <w:r>
          <w:rPr>
            <w:webHidden/>
          </w:rPr>
          <w:fldChar w:fldCharType="separate"/>
        </w:r>
        <w:r>
          <w:rPr>
            <w:webHidden/>
          </w:rPr>
          <w:t>16</w:t>
        </w:r>
        <w:r>
          <w:rPr>
            <w:webHidden/>
          </w:rPr>
          <w:fldChar w:fldCharType="end"/>
        </w:r>
      </w:hyperlink>
    </w:p>
    <w:p w14:paraId="0E377013" w14:textId="17D4350D"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47" w:history="1">
        <w:r w:rsidRPr="00797153">
          <w:rPr>
            <w:rStyle w:val="Hyperlink"/>
          </w:rPr>
          <w:t>Making a submission</w:t>
        </w:r>
        <w:r>
          <w:rPr>
            <w:webHidden/>
          </w:rPr>
          <w:tab/>
        </w:r>
        <w:r>
          <w:rPr>
            <w:webHidden/>
          </w:rPr>
          <w:fldChar w:fldCharType="begin"/>
        </w:r>
        <w:r>
          <w:rPr>
            <w:webHidden/>
          </w:rPr>
          <w:instrText xml:space="preserve"> PAGEREF _Toc242777947 \h </w:instrText>
        </w:r>
        <w:r>
          <w:rPr>
            <w:webHidden/>
          </w:rPr>
        </w:r>
        <w:r>
          <w:rPr>
            <w:webHidden/>
          </w:rPr>
          <w:fldChar w:fldCharType="separate"/>
        </w:r>
        <w:r>
          <w:rPr>
            <w:webHidden/>
          </w:rPr>
          <w:t>16</w:t>
        </w:r>
        <w:r>
          <w:rPr>
            <w:webHidden/>
          </w:rPr>
          <w:fldChar w:fldCharType="end"/>
        </w:r>
      </w:hyperlink>
    </w:p>
    <w:p w14:paraId="7FD34F55" w14:textId="09F1485F"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48" w:history="1">
        <w:r w:rsidRPr="00797153">
          <w:rPr>
            <w:rStyle w:val="Hyperlink"/>
          </w:rPr>
          <w:t>Appendix A: Exclusion criteria</w:t>
        </w:r>
        <w:r>
          <w:rPr>
            <w:webHidden/>
          </w:rPr>
          <w:tab/>
        </w:r>
        <w:r>
          <w:rPr>
            <w:webHidden/>
          </w:rPr>
          <w:fldChar w:fldCharType="begin"/>
        </w:r>
        <w:r>
          <w:rPr>
            <w:webHidden/>
          </w:rPr>
          <w:instrText xml:space="preserve"> PAGEREF _Toc242777948 \h </w:instrText>
        </w:r>
        <w:r>
          <w:rPr>
            <w:webHidden/>
          </w:rPr>
        </w:r>
        <w:r>
          <w:rPr>
            <w:webHidden/>
          </w:rPr>
          <w:fldChar w:fldCharType="separate"/>
        </w:r>
        <w:r>
          <w:rPr>
            <w:webHidden/>
          </w:rPr>
          <w:t>17</w:t>
        </w:r>
        <w:r>
          <w:rPr>
            <w:webHidden/>
          </w:rPr>
          <w:fldChar w:fldCharType="end"/>
        </w:r>
      </w:hyperlink>
    </w:p>
    <w:p w14:paraId="68976630" w14:textId="1E25BE88" w:rsidR="005C7467" w:rsidRDefault="005C7467">
      <w:pPr>
        <w:pStyle w:val="TOC1"/>
        <w:rPr>
          <w:rFonts w:asciiTheme="minorHAnsi" w:eastAsiaTheme="minorEastAsia" w:hAnsiTheme="minorHAnsi" w:cstheme="minorBidi"/>
          <w:b w:val="0"/>
          <w:spacing w:val="0"/>
          <w:kern w:val="2"/>
          <w:sz w:val="24"/>
          <w14:ligatures w14:val="standardContextual"/>
        </w:rPr>
      </w:pPr>
      <w:hyperlink w:anchor="_Toc242777949" w:history="1">
        <w:r w:rsidRPr="00797153">
          <w:rPr>
            <w:rStyle w:val="Hyperlink"/>
          </w:rPr>
          <w:t>Appendix B: Pricing methodology</w:t>
        </w:r>
        <w:r>
          <w:rPr>
            <w:webHidden/>
          </w:rPr>
          <w:tab/>
        </w:r>
        <w:r>
          <w:rPr>
            <w:webHidden/>
          </w:rPr>
          <w:fldChar w:fldCharType="begin"/>
        </w:r>
        <w:r>
          <w:rPr>
            <w:webHidden/>
          </w:rPr>
          <w:instrText xml:space="preserve"> PAGEREF _Toc242777949 \h </w:instrText>
        </w:r>
        <w:r>
          <w:rPr>
            <w:webHidden/>
          </w:rPr>
        </w:r>
        <w:r>
          <w:rPr>
            <w:webHidden/>
          </w:rPr>
          <w:fldChar w:fldCharType="separate"/>
        </w:r>
        <w:r>
          <w:rPr>
            <w:webHidden/>
          </w:rPr>
          <w:t>18</w:t>
        </w:r>
        <w:r>
          <w:rPr>
            <w:webHidden/>
          </w:rPr>
          <w:fldChar w:fldCharType="end"/>
        </w:r>
      </w:hyperlink>
    </w:p>
    <w:p w14:paraId="13383873" w14:textId="2A1EA142"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0" w:history="1">
        <w:r w:rsidRPr="00797153">
          <w:rPr>
            <w:rStyle w:val="Hyperlink"/>
          </w:rPr>
          <w:t>Step 1: Compile benchmark dataset</w:t>
        </w:r>
        <w:r>
          <w:rPr>
            <w:webHidden/>
          </w:rPr>
          <w:tab/>
        </w:r>
        <w:r>
          <w:rPr>
            <w:webHidden/>
          </w:rPr>
          <w:fldChar w:fldCharType="begin"/>
        </w:r>
        <w:r>
          <w:rPr>
            <w:webHidden/>
          </w:rPr>
          <w:instrText xml:space="preserve"> PAGEREF _Toc242777950 \h </w:instrText>
        </w:r>
        <w:r>
          <w:rPr>
            <w:webHidden/>
          </w:rPr>
        </w:r>
        <w:r>
          <w:rPr>
            <w:webHidden/>
          </w:rPr>
          <w:fldChar w:fldCharType="separate"/>
        </w:r>
        <w:r>
          <w:rPr>
            <w:webHidden/>
          </w:rPr>
          <w:t>18</w:t>
        </w:r>
        <w:r>
          <w:rPr>
            <w:webHidden/>
          </w:rPr>
          <w:fldChar w:fldCharType="end"/>
        </w:r>
      </w:hyperlink>
    </w:p>
    <w:p w14:paraId="6EDA54AA" w14:textId="1DDC92D4"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1" w:history="1">
        <w:r w:rsidRPr="00797153">
          <w:rPr>
            <w:rStyle w:val="Hyperlink"/>
          </w:rPr>
          <w:t>Step 2: Convert valuations to consistent duration</w:t>
        </w:r>
        <w:r>
          <w:rPr>
            <w:webHidden/>
          </w:rPr>
          <w:tab/>
        </w:r>
        <w:r>
          <w:rPr>
            <w:webHidden/>
          </w:rPr>
          <w:fldChar w:fldCharType="begin"/>
        </w:r>
        <w:r>
          <w:rPr>
            <w:webHidden/>
          </w:rPr>
          <w:instrText xml:space="preserve"> PAGEREF _Toc242777951 \h </w:instrText>
        </w:r>
        <w:r>
          <w:rPr>
            <w:webHidden/>
          </w:rPr>
        </w:r>
        <w:r>
          <w:rPr>
            <w:webHidden/>
          </w:rPr>
          <w:fldChar w:fldCharType="separate"/>
        </w:r>
        <w:r>
          <w:rPr>
            <w:webHidden/>
          </w:rPr>
          <w:t>19</w:t>
        </w:r>
        <w:r>
          <w:rPr>
            <w:webHidden/>
          </w:rPr>
          <w:fldChar w:fldCharType="end"/>
        </w:r>
      </w:hyperlink>
    </w:p>
    <w:p w14:paraId="48EEE323" w14:textId="4D96DBDB"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2" w:history="1">
        <w:r w:rsidRPr="00797153">
          <w:rPr>
            <w:rStyle w:val="Hyperlink"/>
          </w:rPr>
          <w:t>Step 3: Convert to Australian dollars using PPP exchange rates</w:t>
        </w:r>
        <w:r>
          <w:rPr>
            <w:webHidden/>
          </w:rPr>
          <w:tab/>
        </w:r>
        <w:r>
          <w:rPr>
            <w:webHidden/>
          </w:rPr>
          <w:fldChar w:fldCharType="begin"/>
        </w:r>
        <w:r>
          <w:rPr>
            <w:webHidden/>
          </w:rPr>
          <w:instrText xml:space="preserve"> PAGEREF _Toc242777952 \h </w:instrText>
        </w:r>
        <w:r>
          <w:rPr>
            <w:webHidden/>
          </w:rPr>
        </w:r>
        <w:r>
          <w:rPr>
            <w:webHidden/>
          </w:rPr>
          <w:fldChar w:fldCharType="separate"/>
        </w:r>
        <w:r>
          <w:rPr>
            <w:webHidden/>
          </w:rPr>
          <w:t>21</w:t>
        </w:r>
        <w:r>
          <w:rPr>
            <w:webHidden/>
          </w:rPr>
          <w:fldChar w:fldCharType="end"/>
        </w:r>
      </w:hyperlink>
    </w:p>
    <w:p w14:paraId="0F8C866A" w14:textId="7463D3A2"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3" w:history="1">
        <w:r w:rsidRPr="00797153">
          <w:rPr>
            <w:rStyle w:val="Hyperlink"/>
          </w:rPr>
          <w:t>Step 4: Carry forward valuations to commencement</w:t>
        </w:r>
        <w:r>
          <w:rPr>
            <w:webHidden/>
          </w:rPr>
          <w:tab/>
        </w:r>
        <w:r>
          <w:rPr>
            <w:webHidden/>
          </w:rPr>
          <w:fldChar w:fldCharType="begin"/>
        </w:r>
        <w:r>
          <w:rPr>
            <w:webHidden/>
          </w:rPr>
          <w:instrText xml:space="preserve"> PAGEREF _Toc242777953 \h </w:instrText>
        </w:r>
        <w:r>
          <w:rPr>
            <w:webHidden/>
          </w:rPr>
        </w:r>
        <w:r>
          <w:rPr>
            <w:webHidden/>
          </w:rPr>
          <w:fldChar w:fldCharType="separate"/>
        </w:r>
        <w:r>
          <w:rPr>
            <w:webHidden/>
          </w:rPr>
          <w:t>21</w:t>
        </w:r>
        <w:r>
          <w:rPr>
            <w:webHidden/>
          </w:rPr>
          <w:fldChar w:fldCharType="end"/>
        </w:r>
      </w:hyperlink>
    </w:p>
    <w:p w14:paraId="1D0D5C0A" w14:textId="0325D702"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4" w:history="1">
        <w:r w:rsidRPr="00797153">
          <w:rPr>
            <w:rStyle w:val="Hyperlink"/>
          </w:rPr>
          <w:t>Step 5: Conduct time trend testing</w:t>
        </w:r>
        <w:r>
          <w:rPr>
            <w:webHidden/>
          </w:rPr>
          <w:tab/>
        </w:r>
        <w:r>
          <w:rPr>
            <w:webHidden/>
          </w:rPr>
          <w:fldChar w:fldCharType="begin"/>
        </w:r>
        <w:r>
          <w:rPr>
            <w:webHidden/>
          </w:rPr>
          <w:instrText xml:space="preserve"> PAGEREF _Toc242777954 \h </w:instrText>
        </w:r>
        <w:r>
          <w:rPr>
            <w:webHidden/>
          </w:rPr>
        </w:r>
        <w:r>
          <w:rPr>
            <w:webHidden/>
          </w:rPr>
          <w:fldChar w:fldCharType="separate"/>
        </w:r>
        <w:r>
          <w:rPr>
            <w:webHidden/>
          </w:rPr>
          <w:t>22</w:t>
        </w:r>
        <w:r>
          <w:rPr>
            <w:webHidden/>
          </w:rPr>
          <w:fldChar w:fldCharType="end"/>
        </w:r>
      </w:hyperlink>
    </w:p>
    <w:p w14:paraId="2490A2B5" w14:textId="2E470B2E"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5" w:history="1">
        <w:r w:rsidRPr="00797153">
          <w:rPr>
            <w:rStyle w:val="Hyperlink"/>
          </w:rPr>
          <w:t>Step 6: Deriving a single price point</w:t>
        </w:r>
        <w:r>
          <w:rPr>
            <w:webHidden/>
          </w:rPr>
          <w:tab/>
        </w:r>
        <w:r>
          <w:rPr>
            <w:webHidden/>
          </w:rPr>
          <w:fldChar w:fldCharType="begin"/>
        </w:r>
        <w:r>
          <w:rPr>
            <w:webHidden/>
          </w:rPr>
          <w:instrText xml:space="preserve"> PAGEREF _Toc242777955 \h </w:instrText>
        </w:r>
        <w:r>
          <w:rPr>
            <w:webHidden/>
          </w:rPr>
        </w:r>
        <w:r>
          <w:rPr>
            <w:webHidden/>
          </w:rPr>
          <w:fldChar w:fldCharType="separate"/>
        </w:r>
        <w:r>
          <w:rPr>
            <w:webHidden/>
          </w:rPr>
          <w:t>22</w:t>
        </w:r>
        <w:r>
          <w:rPr>
            <w:webHidden/>
          </w:rPr>
          <w:fldChar w:fldCharType="end"/>
        </w:r>
      </w:hyperlink>
    </w:p>
    <w:p w14:paraId="5BBEC0A2" w14:textId="592FCC85" w:rsidR="005C7467" w:rsidRDefault="005C7467">
      <w:pPr>
        <w:pStyle w:val="TOC2"/>
        <w:rPr>
          <w:rFonts w:asciiTheme="minorHAnsi" w:eastAsiaTheme="minorEastAsia" w:hAnsiTheme="minorHAnsi" w:cstheme="minorBidi"/>
          <w:spacing w:val="0"/>
          <w:kern w:val="2"/>
          <w:sz w:val="24"/>
          <w:szCs w:val="24"/>
          <w14:ligatures w14:val="standardContextual"/>
        </w:rPr>
      </w:pPr>
      <w:hyperlink w:anchor="_Toc242777956" w:history="1">
        <w:r w:rsidRPr="00797153">
          <w:rPr>
            <w:rStyle w:val="Hyperlink"/>
          </w:rPr>
          <w:t>Step 7: Expand valuations to desired durations</w:t>
        </w:r>
        <w:r>
          <w:rPr>
            <w:webHidden/>
          </w:rPr>
          <w:tab/>
        </w:r>
        <w:r>
          <w:rPr>
            <w:webHidden/>
          </w:rPr>
          <w:fldChar w:fldCharType="begin"/>
        </w:r>
        <w:r>
          <w:rPr>
            <w:webHidden/>
          </w:rPr>
          <w:instrText xml:space="preserve"> PAGEREF _Toc242777956 \h </w:instrText>
        </w:r>
        <w:r>
          <w:rPr>
            <w:webHidden/>
          </w:rPr>
        </w:r>
        <w:r>
          <w:rPr>
            <w:webHidden/>
          </w:rPr>
          <w:fldChar w:fldCharType="separate"/>
        </w:r>
        <w:r>
          <w:rPr>
            <w:webHidden/>
          </w:rPr>
          <w:t>25</w:t>
        </w:r>
        <w:r>
          <w:rPr>
            <w:webHidden/>
          </w:rPr>
          <w:fldChar w:fldCharType="end"/>
        </w:r>
      </w:hyperlink>
    </w:p>
    <w:p w14:paraId="4F4D8154" w14:textId="3FF1009C" w:rsidR="006300BF" w:rsidRDefault="00401FFD" w:rsidP="00EA01E3">
      <w:pPr>
        <w:rPr>
          <w:rFonts w:cs="Arial"/>
          <w:b/>
          <w:noProof/>
          <w:spacing w:val="-14"/>
          <w:sz w:val="28"/>
        </w:rPr>
      </w:pPr>
      <w:r>
        <w:rPr>
          <w:rFonts w:cs="Arial"/>
          <w:b/>
          <w:noProof/>
          <w:spacing w:val="-14"/>
          <w:sz w:val="28"/>
        </w:rPr>
        <w:fldChar w:fldCharType="end"/>
      </w:r>
      <w:r w:rsidR="006300BF">
        <w:rPr>
          <w:rFonts w:cs="Arial"/>
          <w:b/>
          <w:noProof/>
          <w:spacing w:val="-14"/>
          <w:sz w:val="28"/>
        </w:rPr>
        <w:br w:type="page"/>
      </w:r>
    </w:p>
    <w:p w14:paraId="6B6765C7" w14:textId="77777777" w:rsidR="004D56FF" w:rsidRPr="00A17B1B" w:rsidRDefault="004D56FF">
      <w:pPr>
        <w:rPr>
          <w:rFonts w:cs="Arial"/>
        </w:rPr>
        <w:sectPr w:rsidR="004D56FF" w:rsidRPr="00A17B1B" w:rsidSect="005A62E5">
          <w:headerReference w:type="even" r:id="rId24"/>
          <w:headerReference w:type="default" r:id="rId25"/>
          <w:footerReference w:type="even" r:id="rId26"/>
          <w:footerReference w:type="default" r:id="rId27"/>
          <w:footerReference w:type="first" r:id="rId28"/>
          <w:pgSz w:w="11906" w:h="16838" w:code="9"/>
          <w:pgMar w:top="1418" w:right="1418" w:bottom="1134" w:left="1418" w:header="709" w:footer="119" w:gutter="0"/>
          <w:pgNumType w:fmt="lowerRoman" w:start="3"/>
          <w:cols w:space="708"/>
          <w:titlePg/>
          <w:docGrid w:linePitch="360"/>
        </w:sectPr>
      </w:pPr>
    </w:p>
    <w:p w14:paraId="78B88391" w14:textId="77777777" w:rsidR="009D6C71" w:rsidRPr="00A17B1B" w:rsidRDefault="009D6C71" w:rsidP="009174F3">
      <w:pPr>
        <w:pStyle w:val="Execsummaryheading"/>
      </w:pPr>
      <w:bookmarkStart w:id="0" w:name="_Toc237357648"/>
      <w:bookmarkStart w:id="1" w:name="_Toc242777931"/>
      <w:r w:rsidRPr="00A17B1B">
        <w:t>Executive summary</w:t>
      </w:r>
      <w:bookmarkEnd w:id="0"/>
      <w:bookmarkEnd w:id="1"/>
    </w:p>
    <w:p w14:paraId="7730100E" w14:textId="7CB4A07E" w:rsidR="00F10FF0" w:rsidRPr="00A17B1B" w:rsidRDefault="005772CA" w:rsidP="00A311BD">
      <w:pPr>
        <w:pStyle w:val="Paragraphbeforelist"/>
      </w:pPr>
      <w:proofErr w:type="gramStart"/>
      <w:r>
        <w:t>T</w:t>
      </w:r>
      <w:r w:rsidR="00C06C81">
        <w:t>he majority of</w:t>
      </w:r>
      <w:proofErr w:type="gramEnd"/>
      <w:r w:rsidR="00C06C81">
        <w:t xml:space="preserve"> in-force spectrum licences are due to expire</w:t>
      </w:r>
      <w:r w:rsidR="00142548">
        <w:t xml:space="preserve"> between June 2028 and October 2032</w:t>
      </w:r>
      <w:r w:rsidR="00C06C81">
        <w:t>. Since 2023, the A</w:t>
      </w:r>
      <w:r w:rsidR="00142548">
        <w:t xml:space="preserve">ustralian </w:t>
      </w:r>
      <w:r w:rsidR="00C06C81">
        <w:t>C</w:t>
      </w:r>
      <w:r w:rsidR="00142548">
        <w:t xml:space="preserve">ommunications and </w:t>
      </w:r>
      <w:r w:rsidR="00C06C81">
        <w:t>M</w:t>
      </w:r>
      <w:r w:rsidR="00142548">
        <w:t xml:space="preserve">edia </w:t>
      </w:r>
      <w:r w:rsidR="00C06C81">
        <w:t>A</w:t>
      </w:r>
      <w:r w:rsidR="00411267">
        <w:t>uthority (ACMA)</w:t>
      </w:r>
      <w:r w:rsidR="00C06C81">
        <w:t xml:space="preserve"> has </w:t>
      </w:r>
      <w:r w:rsidR="00C874A4">
        <w:t>undertaken</w:t>
      </w:r>
      <w:r w:rsidR="00C06C81">
        <w:t xml:space="preserve"> a consultative process to guide our assessmen</w:t>
      </w:r>
      <w:r w:rsidR="00D91FE3">
        <w:t xml:space="preserve">t of options for the spectrum covered by expiring spectrum licences (ESLs) and </w:t>
      </w:r>
      <w:r w:rsidR="00B66FD8">
        <w:t xml:space="preserve">to </w:t>
      </w:r>
      <w:r w:rsidR="00D91FE3">
        <w:t xml:space="preserve">facilitate applications for renewal by incumbent licensees. </w:t>
      </w:r>
      <w:r w:rsidR="000F5C23">
        <w:t xml:space="preserve">The ESL process </w:t>
      </w:r>
      <w:r w:rsidR="00411267">
        <w:t xml:space="preserve">has </w:t>
      </w:r>
      <w:r w:rsidR="000F5C23">
        <w:t xml:space="preserve">comprised 4 stages: </w:t>
      </w:r>
    </w:p>
    <w:p w14:paraId="2DDE9E18" w14:textId="7E97FE51" w:rsidR="00D73A1A" w:rsidRDefault="00D73A1A" w:rsidP="00AE0DCD">
      <w:pPr>
        <w:pStyle w:val="Bulletlevel1"/>
      </w:pPr>
      <w:r w:rsidRPr="00D73A1A">
        <w:t>consultation on the process</w:t>
      </w:r>
    </w:p>
    <w:p w14:paraId="30EBF666" w14:textId="77777777" w:rsidR="00D73A1A" w:rsidRDefault="00D73A1A" w:rsidP="00AE0DCD">
      <w:pPr>
        <w:pStyle w:val="Bulletlevel1"/>
      </w:pPr>
      <w:r w:rsidRPr="00D73A1A">
        <w:t>information-gathering and stakeholder views on spectrum use</w:t>
      </w:r>
    </w:p>
    <w:p w14:paraId="70D46E2A" w14:textId="77777777" w:rsidR="00D73A1A" w:rsidRDefault="00D73A1A" w:rsidP="00AE0DCD">
      <w:pPr>
        <w:pStyle w:val="Bulletlevel1"/>
      </w:pPr>
      <w:r w:rsidRPr="00D73A1A">
        <w:t>preliminary views on renewal and pricing arrangements</w:t>
      </w:r>
    </w:p>
    <w:p w14:paraId="7F4F2B63" w14:textId="258EC2D0" w:rsidR="000F5C23" w:rsidRDefault="00D73A1A" w:rsidP="00D73A1A">
      <w:pPr>
        <w:pStyle w:val="Bulletlevel1last"/>
      </w:pPr>
      <w:r w:rsidRPr="00D73A1A">
        <w:t>preferred views on renewal application and pricing.</w:t>
      </w:r>
    </w:p>
    <w:p w14:paraId="782E9D0A" w14:textId="491278EC" w:rsidR="00D73A1A" w:rsidRDefault="00461051" w:rsidP="00D73A1A">
      <w:pPr>
        <w:pStyle w:val="Paragraph"/>
      </w:pPr>
      <w:r>
        <w:t xml:space="preserve">For the pricing component of the process, </w:t>
      </w:r>
      <w:r w:rsidR="00C874A4">
        <w:t>S</w:t>
      </w:r>
      <w:r>
        <w:t>tage 4 culminated in the release of the ACMA</w:t>
      </w:r>
      <w:r w:rsidR="00906BDB">
        <w:t>’</w:t>
      </w:r>
      <w:r>
        <w:t xml:space="preserve">s </w:t>
      </w:r>
      <w:hyperlink r:id="rId29" w:history="1">
        <w:r w:rsidR="0084438F">
          <w:rPr>
            <w:rStyle w:val="Hyperlink"/>
          </w:rPr>
          <w:t>p</w:t>
        </w:r>
        <w:r w:rsidR="00A25D37" w:rsidRPr="00DA4F2A">
          <w:rPr>
            <w:rStyle w:val="Hyperlink"/>
          </w:rPr>
          <w:t>referred views on pricing</w:t>
        </w:r>
      </w:hyperlink>
      <w:r w:rsidR="00A25D37">
        <w:t xml:space="preserve"> paper</w:t>
      </w:r>
      <w:r w:rsidR="00003104">
        <w:t xml:space="preserve"> (the </w:t>
      </w:r>
      <w:r w:rsidR="004E3349">
        <w:t>p</w:t>
      </w:r>
      <w:r w:rsidR="00003104">
        <w:t xml:space="preserve">referred </w:t>
      </w:r>
      <w:r w:rsidR="009E4EEA">
        <w:t>v</w:t>
      </w:r>
      <w:r w:rsidR="00003104">
        <w:t>iews paper)</w:t>
      </w:r>
      <w:r w:rsidR="00E15EDD">
        <w:t xml:space="preserve"> on </w:t>
      </w:r>
      <w:r w:rsidR="003F14FF">
        <w:t>20 May 2026</w:t>
      </w:r>
      <w:r w:rsidR="00A25D37">
        <w:t xml:space="preserve">. </w:t>
      </w:r>
      <w:r w:rsidR="006B31F8">
        <w:t xml:space="preserve">This paper </w:t>
      </w:r>
      <w:r w:rsidR="008A0305">
        <w:t xml:space="preserve">outlined the </w:t>
      </w:r>
      <w:r w:rsidR="00C96D2B">
        <w:t>benchmarking</w:t>
      </w:r>
      <w:r w:rsidR="008A0305">
        <w:t xml:space="preserve"> methodology </w:t>
      </w:r>
      <w:r w:rsidR="005249C1">
        <w:t xml:space="preserve">used to </w:t>
      </w:r>
      <w:r w:rsidR="006A5F87">
        <w:t xml:space="preserve">derive </w:t>
      </w:r>
      <w:r w:rsidR="00382C13">
        <w:t>indicative</w:t>
      </w:r>
      <w:r w:rsidR="006A5F87">
        <w:t xml:space="preserve"> prices for licences in each frequency band that is included in this ESL process, </w:t>
      </w:r>
      <w:r w:rsidR="003E76F1">
        <w:t>expressed</w:t>
      </w:r>
      <w:r w:rsidR="006A5F87">
        <w:t xml:space="preserve"> as single </w:t>
      </w:r>
      <w:r w:rsidR="00264D64">
        <w:t>dollar per MHz per head of population ($/MHz/pop) prices</w:t>
      </w:r>
      <w:r w:rsidR="00AD3C0C">
        <w:t>.</w:t>
      </w:r>
    </w:p>
    <w:p w14:paraId="5A00D65D" w14:textId="55627544" w:rsidR="00AD3C0C" w:rsidRDefault="00AD3C0C" w:rsidP="00D73A1A">
      <w:pPr>
        <w:pStyle w:val="Paragraph"/>
      </w:pPr>
      <w:r>
        <w:t xml:space="preserve">This paper outlines </w:t>
      </w:r>
      <w:r w:rsidR="004A2F40">
        <w:t>our</w:t>
      </w:r>
      <w:r>
        <w:t xml:space="preserve"> proposed approach to updating benchmarking datasets </w:t>
      </w:r>
      <w:r w:rsidR="00DC1E63">
        <w:t xml:space="preserve">with </w:t>
      </w:r>
      <w:r w:rsidR="00CF2380">
        <w:t xml:space="preserve">new spectrum award information, </w:t>
      </w:r>
      <w:r w:rsidR="00FD305E">
        <w:t>co</w:t>
      </w:r>
      <w:r w:rsidR="00DA4407">
        <w:t>nverting renewal prices into spectrum access charges (SACs) using population projections, and</w:t>
      </w:r>
      <w:r w:rsidR="00347D98">
        <w:t xml:space="preserve"> the consultation arrangements that will </w:t>
      </w:r>
      <w:r w:rsidR="003F5628">
        <w:t xml:space="preserve">support </w:t>
      </w:r>
      <w:r w:rsidR="00210E13">
        <w:t>a transparent and predictable approach to renewal pricing</w:t>
      </w:r>
      <w:r w:rsidR="00E0427B">
        <w:t xml:space="preserve"> for</w:t>
      </w:r>
      <w:r w:rsidR="00971519">
        <w:t xml:space="preserve"> </w:t>
      </w:r>
      <w:r w:rsidR="00A0163C">
        <w:t>licensees.</w:t>
      </w:r>
    </w:p>
    <w:p w14:paraId="73B22079" w14:textId="77777777" w:rsidR="00700E79" w:rsidRDefault="00700E79" w:rsidP="006D4A55">
      <w:pPr>
        <w:pStyle w:val="Executivesummarysubheading"/>
      </w:pPr>
      <w:r w:rsidRPr="00700E79">
        <w:t>Benchmark datasets will be updated until 6 months before each renewal application period</w:t>
      </w:r>
    </w:p>
    <w:p w14:paraId="12059FB7" w14:textId="2E592708" w:rsidR="00F439D2" w:rsidRPr="00F439D2" w:rsidRDefault="00A7248A" w:rsidP="00F439D2">
      <w:pPr>
        <w:pStyle w:val="Paragraph"/>
      </w:pPr>
      <w:r>
        <w:t xml:space="preserve">In the </w:t>
      </w:r>
      <w:r w:rsidR="009E4EEA">
        <w:t>p</w:t>
      </w:r>
      <w:r>
        <w:t xml:space="preserve">referred </w:t>
      </w:r>
      <w:r w:rsidR="009E4EEA">
        <w:t>v</w:t>
      </w:r>
      <w:r>
        <w:t>iews paper, we</w:t>
      </w:r>
      <w:r w:rsidR="00F439D2" w:rsidRPr="00F439D2">
        <w:t xml:space="preserve"> propose</w:t>
      </w:r>
      <w:r w:rsidR="008A02B7">
        <w:t>d</w:t>
      </w:r>
      <w:r w:rsidR="00F439D2" w:rsidRPr="00F439D2">
        <w:t xml:space="preserve"> to update the benchmark dataset before each renewal application period by incorporating new spectrum awards. This will ensure renewal prices continue to reflect the most recent market evidence available when renewal decisions are made. </w:t>
      </w:r>
      <w:r w:rsidR="00F439D2">
        <w:t>The suitability of n</w:t>
      </w:r>
      <w:r w:rsidR="00F439D2" w:rsidRPr="00F439D2">
        <w:t xml:space="preserve">ew </w:t>
      </w:r>
      <w:r w:rsidR="00F439D2">
        <w:t xml:space="preserve">spectrum </w:t>
      </w:r>
      <w:r w:rsidR="00F439D2" w:rsidRPr="00F439D2">
        <w:t xml:space="preserve">awards will be </w:t>
      </w:r>
      <w:r w:rsidR="00F439D2">
        <w:t xml:space="preserve">assessed against </w:t>
      </w:r>
      <w:r w:rsidR="00F439D2" w:rsidRPr="00F439D2">
        <w:t xml:space="preserve">the established exclusion criteria developed through the Stage 4 consultation process. Consistent with stakeholder feedback and advice from DotEcon, </w:t>
      </w:r>
      <w:r w:rsidR="003F112B" w:rsidRPr="003F112B">
        <w:t>eligible</w:t>
      </w:r>
      <w:r w:rsidR="00AA512A">
        <w:t xml:space="preserve"> awards </w:t>
      </w:r>
      <w:r w:rsidR="003F112B" w:rsidRPr="003F112B">
        <w:t>occurring</w:t>
      </w:r>
      <w:r w:rsidR="00AA512A">
        <w:t xml:space="preserve"> up </w:t>
      </w:r>
      <w:r w:rsidR="003F112B" w:rsidRPr="003F112B">
        <w:t>to</w:t>
      </w:r>
      <w:r w:rsidR="00AA512A">
        <w:t xml:space="preserve"> 6</w:t>
      </w:r>
      <w:r w:rsidR="00F439D2" w:rsidRPr="00F439D2">
        <w:t xml:space="preserve"> months before the commencement of each renewal application period</w:t>
      </w:r>
      <w:r w:rsidR="003F112B" w:rsidRPr="003F112B">
        <w:t xml:space="preserve"> will be included in the benchmark </w:t>
      </w:r>
      <w:r w:rsidR="006D4A55" w:rsidRPr="003F112B">
        <w:t>dataset.</w:t>
      </w:r>
      <w:r w:rsidR="00F439D2" w:rsidRPr="00F439D2">
        <w:t xml:space="preserve"> This approach balances the use of contemporary market evidence with the need to provide certainty to licensees.</w:t>
      </w:r>
      <w:r w:rsidR="00E44CD5">
        <w:t xml:space="preserve"> </w:t>
      </w:r>
      <w:r w:rsidR="00600234">
        <w:t>The renewal application period for 850 MHz and 1800 MHz is currently open, so no new awards will be added to the datasets for these bands.</w:t>
      </w:r>
    </w:p>
    <w:p w14:paraId="7C08C849" w14:textId="24DF6F70" w:rsidR="00141C6E" w:rsidRDefault="00217A41" w:rsidP="009B3BCE">
      <w:pPr>
        <w:pStyle w:val="Executivesummarysubheading"/>
      </w:pPr>
      <w:r>
        <w:t xml:space="preserve">The benchmarking methodology will incorporate updated World </w:t>
      </w:r>
      <w:r w:rsidR="4D3BE152">
        <w:t>B</w:t>
      </w:r>
      <w:r>
        <w:t xml:space="preserve">ank data and a minor amendment to the treatment of </w:t>
      </w:r>
      <w:r w:rsidR="00141C6E">
        <w:t>indexation</w:t>
      </w:r>
    </w:p>
    <w:p w14:paraId="042F3E84" w14:textId="6215FC10" w:rsidR="0069106B" w:rsidRDefault="00141C6E" w:rsidP="00774E19">
      <w:pPr>
        <w:pStyle w:val="Paragraph"/>
      </w:pPr>
      <w:r>
        <w:t xml:space="preserve">The benchmarking methodology relies on World Bank </w:t>
      </w:r>
      <w:r w:rsidR="00215F1D">
        <w:t>purchasing power parity (PPP) and related economic datasets, which are update</w:t>
      </w:r>
      <w:r w:rsidR="0060689D">
        <w:t>d</w:t>
      </w:r>
      <w:r w:rsidR="00215F1D">
        <w:t xml:space="preserve"> annually. </w:t>
      </w:r>
      <w:r w:rsidR="00E479B0" w:rsidRPr="00E479B0">
        <w:t xml:space="preserve">We propose to use the latest available World Bank </w:t>
      </w:r>
      <w:r w:rsidR="0039711C">
        <w:t xml:space="preserve">datasets </w:t>
      </w:r>
      <w:r w:rsidR="00567B6C">
        <w:t>in the currency conversion step of the pricing methodology</w:t>
      </w:r>
      <w:r w:rsidR="00A83126">
        <w:t xml:space="preserve"> to support the </w:t>
      </w:r>
      <w:r w:rsidR="00FC79A1">
        <w:t xml:space="preserve">incorporation of new benchmark </w:t>
      </w:r>
      <w:r w:rsidR="000C483D">
        <w:t>observations</w:t>
      </w:r>
      <w:r w:rsidR="00D2639F">
        <w:t xml:space="preserve">. </w:t>
      </w:r>
      <w:r w:rsidR="00E1370C">
        <w:t>As these inputs va</w:t>
      </w:r>
      <w:r w:rsidR="003139E5">
        <w:t>ry across countries and years</w:t>
      </w:r>
      <w:r w:rsidR="008407A5">
        <w:t>, they cannot be readily replaced with a single equivalent assumption</w:t>
      </w:r>
      <w:r w:rsidR="003E7835">
        <w:t>.</w:t>
      </w:r>
      <w:r w:rsidR="00E479B0" w:rsidRPr="00E479B0">
        <w:t xml:space="preserve"> </w:t>
      </w:r>
      <w:r w:rsidR="001B6B9A" w:rsidRPr="001B6B9A">
        <w:t>The preferred pric</w:t>
      </w:r>
      <w:r w:rsidR="00C0789C">
        <w:t>es</w:t>
      </w:r>
      <w:r w:rsidR="001B6B9A" w:rsidRPr="001B6B9A">
        <w:t xml:space="preserve"> for the 850 MHz and 1800 MHz bands will not change </w:t>
      </w:r>
      <w:proofErr w:type="gramStart"/>
      <w:r w:rsidR="001B6B9A" w:rsidRPr="001B6B9A">
        <w:t>as a result of</w:t>
      </w:r>
      <w:proofErr w:type="gramEnd"/>
      <w:r w:rsidR="001B6B9A" w:rsidRPr="001B6B9A">
        <w:t xml:space="preserve"> these updates, as the application windows for those bands have already opened</w:t>
      </w:r>
      <w:r w:rsidR="00E479B0" w:rsidRPr="00E479B0">
        <w:t xml:space="preserve">. </w:t>
      </w:r>
    </w:p>
    <w:p w14:paraId="088E4B60" w14:textId="75C4039F" w:rsidR="006D6332" w:rsidRDefault="00E479B0" w:rsidP="00774E19">
      <w:pPr>
        <w:pStyle w:val="Paragraph"/>
      </w:pPr>
      <w:r w:rsidRPr="00E479B0">
        <w:t xml:space="preserve">We also propose a minor amendment to the application of indexation in the </w:t>
      </w:r>
      <w:r w:rsidR="0011463B">
        <w:t>p</w:t>
      </w:r>
      <w:r w:rsidRPr="00E479B0">
        <w:t xml:space="preserve">referred </w:t>
      </w:r>
      <w:r w:rsidR="0011463B">
        <w:t>v</w:t>
      </w:r>
      <w:r w:rsidRPr="00E479B0">
        <w:t>iews methodology</w:t>
      </w:r>
      <w:r w:rsidR="001156E1">
        <w:t xml:space="preserve"> to </w:t>
      </w:r>
      <w:r w:rsidR="008778B1">
        <w:t>simplify the incorporation of</w:t>
      </w:r>
      <w:r w:rsidR="001156E1">
        <w:t xml:space="preserve"> new awards</w:t>
      </w:r>
      <w:r w:rsidRPr="00E479B0">
        <w:t>. Under this approach, benchmark values would continue to be indexed using the fixed annual rate of 2.5</w:t>
      </w:r>
      <w:r w:rsidR="00331EC2">
        <w:t xml:space="preserve">% </w:t>
      </w:r>
      <w:r w:rsidRPr="00E479B0">
        <w:t xml:space="preserve">adopted in the </w:t>
      </w:r>
      <w:r w:rsidR="0011463B">
        <w:t>p</w:t>
      </w:r>
      <w:r w:rsidRPr="00E479B0">
        <w:t xml:space="preserve">referred </w:t>
      </w:r>
      <w:r w:rsidR="0011463B">
        <w:t>v</w:t>
      </w:r>
      <w:r w:rsidRPr="00E479B0">
        <w:t>iews paper</w:t>
      </w:r>
      <w:r w:rsidR="00970ECD">
        <w:t xml:space="preserve">. </w:t>
      </w:r>
      <w:r w:rsidR="00BD16FD">
        <w:t xml:space="preserve">The </w:t>
      </w:r>
      <w:r w:rsidR="003F3E80">
        <w:t xml:space="preserve">key change </w:t>
      </w:r>
      <w:r w:rsidR="00B30898">
        <w:t>is that</w:t>
      </w:r>
      <w:r w:rsidR="00BD16FD">
        <w:t xml:space="preserve"> </w:t>
      </w:r>
      <w:r w:rsidRPr="00E479B0">
        <w:t xml:space="preserve">both existing and newly included benchmark awards </w:t>
      </w:r>
      <w:r w:rsidR="00845EB7">
        <w:t>will</w:t>
      </w:r>
      <w:r w:rsidR="00845EB7" w:rsidRPr="00E479B0">
        <w:t xml:space="preserve"> </w:t>
      </w:r>
      <w:r w:rsidRPr="00E479B0">
        <w:t>be indexed directly to the commencement date of</w:t>
      </w:r>
      <w:r w:rsidR="00FC0EBB">
        <w:t xml:space="preserve"> licences in</w:t>
      </w:r>
      <w:r w:rsidRPr="00E479B0">
        <w:t xml:space="preserve"> the relevant ESL band</w:t>
      </w:r>
      <w:r w:rsidR="00422D04">
        <w:t xml:space="preserve"> </w:t>
      </w:r>
      <w:r w:rsidR="008A40F2">
        <w:t xml:space="preserve">before </w:t>
      </w:r>
      <w:r w:rsidR="00CA335E">
        <w:t xml:space="preserve">we </w:t>
      </w:r>
      <w:r w:rsidR="00BC12B6">
        <w:t>deriv</w:t>
      </w:r>
      <w:r w:rsidR="0077091A">
        <w:t>e</w:t>
      </w:r>
      <w:r w:rsidR="006A127E">
        <w:t xml:space="preserve"> a single price point</w:t>
      </w:r>
      <w:r w:rsidR="0077091A">
        <w:t>,</w:t>
      </w:r>
      <w:r w:rsidR="0043190D">
        <w:t xml:space="preserve"> rather than after</w:t>
      </w:r>
      <w:r w:rsidRPr="00E479B0">
        <w:t xml:space="preserve">. </w:t>
      </w:r>
      <w:r w:rsidR="004A599A">
        <w:t xml:space="preserve">This is a mechanical change </w:t>
      </w:r>
      <w:r w:rsidR="008C1238">
        <w:t>to the sequencing of calculations</w:t>
      </w:r>
      <w:r w:rsidR="004A599A">
        <w:t xml:space="preserve"> </w:t>
      </w:r>
      <w:r w:rsidR="00C1070C">
        <w:t xml:space="preserve">to ensure </w:t>
      </w:r>
      <w:r w:rsidR="00F64512">
        <w:t xml:space="preserve">new benchmarks can be added simply </w:t>
      </w:r>
      <w:r w:rsidR="007A28F1">
        <w:t xml:space="preserve">and </w:t>
      </w:r>
      <w:r w:rsidR="006644B0">
        <w:t>will</w:t>
      </w:r>
      <w:r w:rsidR="007A28F1">
        <w:t xml:space="preserve"> not impact on </w:t>
      </w:r>
      <w:r w:rsidR="006644B0">
        <w:t>unit prices.</w:t>
      </w:r>
      <w:r w:rsidR="00E65BBE">
        <w:t xml:space="preserve"> </w:t>
      </w:r>
    </w:p>
    <w:p w14:paraId="00742C91" w14:textId="57CE5E7C" w:rsidR="00F6254B" w:rsidRDefault="008D7A80" w:rsidP="009B3BCE">
      <w:pPr>
        <w:pStyle w:val="Executivesummarysubheading"/>
      </w:pPr>
      <w:r>
        <w:t xml:space="preserve">Fixing population estimates </w:t>
      </w:r>
      <w:r w:rsidR="00624349">
        <w:t xml:space="preserve">in advance will provide greater certainty and </w:t>
      </w:r>
      <w:r w:rsidR="001D24D2">
        <w:t>transparency</w:t>
      </w:r>
      <w:r w:rsidR="00624349">
        <w:t xml:space="preserve"> for licensees </w:t>
      </w:r>
    </w:p>
    <w:p w14:paraId="2CAF5C37" w14:textId="58C85A10" w:rsidR="00D73A1A" w:rsidRPr="00A17B1B" w:rsidRDefault="005059DF" w:rsidP="00AE0DCD">
      <w:pPr>
        <w:pStyle w:val="Paragraph"/>
      </w:pPr>
      <w:r w:rsidRPr="005059DF">
        <w:t xml:space="preserve">SACs are </w:t>
      </w:r>
      <w:r w:rsidR="00F06A8C">
        <w:t xml:space="preserve">proposed to be </w:t>
      </w:r>
      <w:r w:rsidRPr="005059DF">
        <w:t>calculated using</w:t>
      </w:r>
      <w:r>
        <w:t xml:space="preserve"> the </w:t>
      </w:r>
      <w:r w:rsidRPr="005059DF">
        <w:t>$/MHz/pop price</w:t>
      </w:r>
      <w:r w:rsidR="00C918A7">
        <w:t xml:space="preserve"> identified by the ACMA</w:t>
      </w:r>
      <w:r w:rsidR="00EC313C">
        <w:t xml:space="preserve"> for the relevant band</w:t>
      </w:r>
      <w:r>
        <w:t>, the licence</w:t>
      </w:r>
      <w:r w:rsidR="00EC313C">
        <w:t xml:space="preserve"> bandwidth</w:t>
      </w:r>
      <w:r w:rsidRPr="005059DF">
        <w:t xml:space="preserve"> and the population of the licence area. As population changes over time, a clear and consistent approach </w:t>
      </w:r>
      <w:r w:rsidR="00BA115A">
        <w:t xml:space="preserve">is required </w:t>
      </w:r>
      <w:r w:rsidR="00AD27D0">
        <w:t>for</w:t>
      </w:r>
      <w:r w:rsidRPr="005059DF">
        <w:t xml:space="preserve"> estimating the population used in SAC calculations. </w:t>
      </w:r>
      <w:r w:rsidR="00614AFC">
        <w:t>Our</w:t>
      </w:r>
      <w:r w:rsidRPr="005059DF">
        <w:t xml:space="preserve"> approach relies on Australian Bureau of Statistics </w:t>
      </w:r>
      <w:r w:rsidR="00A3246B">
        <w:t xml:space="preserve">(ABS) </w:t>
      </w:r>
      <w:r w:rsidRPr="005059DF">
        <w:t>population data and population projections</w:t>
      </w:r>
      <w:r w:rsidR="00C91B1F">
        <w:t xml:space="preserve"> from the </w:t>
      </w:r>
      <w:r w:rsidR="00A3246B">
        <w:t>F</w:t>
      </w:r>
      <w:r w:rsidR="00C91B1F">
        <w:t>ederal Budget</w:t>
      </w:r>
      <w:r w:rsidRPr="005059DF">
        <w:t xml:space="preserve">. </w:t>
      </w:r>
      <w:r w:rsidR="00614AFC">
        <w:t>We seek</w:t>
      </w:r>
      <w:r w:rsidRPr="005059DF">
        <w:t xml:space="preserve"> stakeholder views on </w:t>
      </w:r>
      <w:r w:rsidR="003C5D98">
        <w:t xml:space="preserve">this methodology and on </w:t>
      </w:r>
      <w:r w:rsidRPr="005059DF">
        <w:t>when population estimates should be fixed during the renewal process, with the objective of balancing the use of up-to-date information with certainty and transparency for licensees.</w:t>
      </w:r>
    </w:p>
    <w:p w14:paraId="5C627800" w14:textId="4B32D4DB" w:rsidR="009D00CD" w:rsidRDefault="00F9666C" w:rsidP="008A41A4">
      <w:pPr>
        <w:pStyle w:val="Executivesummarysubheading"/>
      </w:pPr>
      <w:r>
        <w:t xml:space="preserve">We propose consultation arrangements to support transparency and stakeholder input on </w:t>
      </w:r>
      <w:r w:rsidR="008A41A4">
        <w:t>benchmark dataset updates and updated renewal prices</w:t>
      </w:r>
    </w:p>
    <w:p w14:paraId="727F8E1B" w14:textId="2CBA6A11" w:rsidR="00772E27" w:rsidRPr="00772E27" w:rsidRDefault="00AD6624" w:rsidP="00772E27">
      <w:pPr>
        <w:pStyle w:val="Paragraph"/>
      </w:pPr>
      <w:r w:rsidRPr="00AD6624">
        <w:t xml:space="preserve">The </w:t>
      </w:r>
      <w:r w:rsidR="0043544F">
        <w:t>p</w:t>
      </w:r>
      <w:r w:rsidRPr="00AD6624">
        <w:t xml:space="preserve">referred </w:t>
      </w:r>
      <w:r w:rsidR="0043544F">
        <w:t>v</w:t>
      </w:r>
      <w:r w:rsidRPr="00AD6624">
        <w:t>iews paper proposed targeted consultations on updates to benchmark datasets and resulting renewal prices before future renewal application periods</w:t>
      </w:r>
      <w:r w:rsidR="0048000B">
        <w:t xml:space="preserve"> begin</w:t>
      </w:r>
      <w:r w:rsidRPr="00AD6624">
        <w:t xml:space="preserve">. In this paper, we set out the proposed arrangements for those consultations, including their scope, timing and duration. The proposed consultations are intended to enhance transparency and stakeholder participation by providing visibility of proposed additions to benchmark datasets, </w:t>
      </w:r>
      <w:r w:rsidR="00772E27" w:rsidRPr="00772E27">
        <w:t xml:space="preserve">their </w:t>
      </w:r>
      <w:r w:rsidRPr="00AD6624">
        <w:t xml:space="preserve">impact on benchmark prices and the </w:t>
      </w:r>
      <w:r w:rsidR="00772E27" w:rsidRPr="00772E27">
        <w:t xml:space="preserve">resulting </w:t>
      </w:r>
      <w:r w:rsidRPr="00AD6624">
        <w:t>updated $/MHz/pop prices for the relevant band.</w:t>
      </w:r>
    </w:p>
    <w:p w14:paraId="1343BF87" w14:textId="227B9E57" w:rsidR="00AD6624" w:rsidRPr="00AD6624" w:rsidRDefault="00AD6624" w:rsidP="00AD6624">
      <w:pPr>
        <w:pStyle w:val="Paragraph"/>
      </w:pPr>
    </w:p>
    <w:p w14:paraId="29EA6B16" w14:textId="0683CD32" w:rsidR="004B2960" w:rsidRPr="00E162C4" w:rsidRDefault="004B2960" w:rsidP="004B2960">
      <w:pPr>
        <w:pStyle w:val="Heading1"/>
      </w:pPr>
      <w:bookmarkStart w:id="2" w:name="_Toc92265082"/>
      <w:bookmarkStart w:id="3" w:name="_Toc237357649"/>
      <w:bookmarkStart w:id="4" w:name="_Toc242777932"/>
      <w:r w:rsidRPr="00E162C4">
        <w:t>Issues for comment</w:t>
      </w:r>
      <w:bookmarkEnd w:id="2"/>
      <w:bookmarkEnd w:id="3"/>
      <w:bookmarkEnd w:id="4"/>
    </w:p>
    <w:p w14:paraId="24B7AF80" w14:textId="77777777" w:rsidR="004B2960" w:rsidRPr="008E4FDB" w:rsidRDefault="004B2960" w:rsidP="004B2960">
      <w:pPr>
        <w:pStyle w:val="Paragraphbeforelist"/>
      </w:pPr>
      <w:r w:rsidRPr="008E4FDB">
        <w:t>We invite comments on the issues set out in this paper:</w:t>
      </w:r>
    </w:p>
    <w:p w14:paraId="775C9418" w14:textId="16473958" w:rsidR="00D366BE" w:rsidRDefault="00A440DD" w:rsidP="00A311BD">
      <w:pPr>
        <w:pStyle w:val="Paragraph"/>
        <w:numPr>
          <w:ilvl w:val="0"/>
          <w:numId w:val="40"/>
        </w:numPr>
        <w:spacing w:after="80"/>
        <w:ind w:left="357"/>
      </w:pPr>
      <w:r w:rsidRPr="00862B5F">
        <w:rPr>
          <w:rStyle w:val="Strong"/>
          <w:b w:val="0"/>
          <w:bCs w:val="0"/>
          <w:szCs w:val="22"/>
        </w:rPr>
        <w:t xml:space="preserve">We propose to continue using the latest available World Bank PPP datasets </w:t>
      </w:r>
      <w:r w:rsidR="005773C0">
        <w:rPr>
          <w:rStyle w:val="Strong"/>
          <w:b w:val="0"/>
          <w:bCs w:val="0"/>
          <w:szCs w:val="22"/>
        </w:rPr>
        <w:t>in the currency conversion step of the ESL pricing methodology</w:t>
      </w:r>
      <w:r w:rsidRPr="00862B5F">
        <w:rPr>
          <w:rStyle w:val="Strong"/>
          <w:b w:val="0"/>
          <w:bCs w:val="0"/>
          <w:szCs w:val="22"/>
        </w:rPr>
        <w:t xml:space="preserve">. </w:t>
      </w:r>
      <w:r w:rsidR="00BA2128">
        <w:t xml:space="preserve">Do </w:t>
      </w:r>
      <w:r w:rsidR="006C1153">
        <w:t xml:space="preserve">you </w:t>
      </w:r>
      <w:r w:rsidR="00BA2128">
        <w:t xml:space="preserve">have any comments on the proposed </w:t>
      </w:r>
      <w:r w:rsidR="00C0062F">
        <w:t xml:space="preserve">use </w:t>
      </w:r>
      <w:r w:rsidR="00AE3EA9">
        <w:t>of the latest</w:t>
      </w:r>
      <w:r w:rsidR="00BA2128">
        <w:t xml:space="preserve"> available World Bank data </w:t>
      </w:r>
      <w:r w:rsidR="00AE3EA9">
        <w:t>when updating</w:t>
      </w:r>
      <w:r w:rsidR="00BA2128">
        <w:t xml:space="preserve"> benchmark prices?</w:t>
      </w:r>
    </w:p>
    <w:p w14:paraId="19D8FB5D" w14:textId="65759707" w:rsidR="003721BF" w:rsidRDefault="00CB2CCF" w:rsidP="00A311BD">
      <w:pPr>
        <w:pStyle w:val="Paragraph"/>
        <w:numPr>
          <w:ilvl w:val="0"/>
          <w:numId w:val="40"/>
        </w:numPr>
        <w:spacing w:after="80"/>
        <w:ind w:left="357"/>
      </w:pPr>
      <w:r w:rsidRPr="00CB2CCF">
        <w:t xml:space="preserve">We propose </w:t>
      </w:r>
      <w:r w:rsidR="003C19CA">
        <w:t xml:space="preserve">a minor amendment to the </w:t>
      </w:r>
      <w:r w:rsidR="002A4C6E">
        <w:t>p</w:t>
      </w:r>
      <w:r w:rsidR="003C19CA">
        <w:t xml:space="preserve">referred </w:t>
      </w:r>
      <w:r w:rsidR="002A4C6E">
        <w:t>v</w:t>
      </w:r>
      <w:r w:rsidR="0023443B">
        <w:t xml:space="preserve">iews </w:t>
      </w:r>
      <w:r w:rsidR="003C19CA">
        <w:t>methodology</w:t>
      </w:r>
      <w:r w:rsidRPr="00CB2CCF">
        <w:t xml:space="preserve"> to apply indexation directly to the commencement date of the relevant ESL band. Under this approach, benchmark awards in the original dataset would </w:t>
      </w:r>
      <w:r w:rsidR="00F13672">
        <w:t xml:space="preserve">first be expressed </w:t>
      </w:r>
      <w:r w:rsidR="008463C7">
        <w:t>in 2025-dollar values and then</w:t>
      </w:r>
      <w:r w:rsidRPr="00CB2CCF">
        <w:t xml:space="preserve"> be indexed from 31 December 2025</w:t>
      </w:r>
      <w:r w:rsidR="00F94AD4">
        <w:t xml:space="preserve"> to the relevant commencement date</w:t>
      </w:r>
      <w:r w:rsidRPr="00CB2CCF">
        <w:t>, while newly included benchmark awards would be indexed from the date of issue of the award</w:t>
      </w:r>
      <w:r w:rsidR="000C278B">
        <w:t>.</w:t>
      </w:r>
      <w:r w:rsidR="00B62D70">
        <w:t xml:space="preserve"> </w:t>
      </w:r>
      <w:r w:rsidR="00BA2128">
        <w:t xml:space="preserve">Do </w:t>
      </w:r>
      <w:r w:rsidR="006C1153">
        <w:t>you</w:t>
      </w:r>
      <w:r w:rsidR="005D7B4C">
        <w:t xml:space="preserve"> have any comments on the proposed treatment of indexation </w:t>
      </w:r>
      <w:r w:rsidR="00BA2128">
        <w:t>for both existing and new benchmark</w:t>
      </w:r>
      <w:r w:rsidR="0000034F">
        <w:t>s?</w:t>
      </w:r>
      <w:r w:rsidR="00CF41E4">
        <w:t xml:space="preserve"> </w:t>
      </w:r>
      <w:proofErr w:type="gramStart"/>
      <w:r w:rsidR="001A34BE">
        <w:t>In particular, a</w:t>
      </w:r>
      <w:r w:rsidR="00CF41E4" w:rsidRPr="008E4FDB">
        <w:t>re</w:t>
      </w:r>
      <w:proofErr w:type="gramEnd"/>
      <w:r w:rsidR="00CF41E4" w:rsidRPr="008E4FDB">
        <w:t xml:space="preserve"> there alternative approaches that </w:t>
      </w:r>
      <w:r w:rsidR="001A34BE">
        <w:t>should be considered</w:t>
      </w:r>
      <w:r w:rsidR="00E11BF0">
        <w:t>?</w:t>
      </w:r>
    </w:p>
    <w:p w14:paraId="3B517F30" w14:textId="388183CC" w:rsidR="0000034F" w:rsidRDefault="009647D8" w:rsidP="00A311BD">
      <w:pPr>
        <w:pStyle w:val="Numberlistlevel1"/>
        <w:numPr>
          <w:ilvl w:val="0"/>
          <w:numId w:val="40"/>
        </w:numPr>
        <w:spacing w:line="240" w:lineRule="atLeast"/>
        <w:ind w:left="357"/>
      </w:pPr>
      <w:r>
        <w:t xml:space="preserve">To project population figures out to licence commencement dates, we plan to use the methodology outlined in the </w:t>
      </w:r>
      <w:hyperlink w:anchor="_Converting_prices_into" w:history="1">
        <w:r w:rsidRPr="00F82A96">
          <w:rPr>
            <w:rStyle w:val="Hyperlink"/>
          </w:rPr>
          <w:t xml:space="preserve">Converting </w:t>
        </w:r>
        <w:r w:rsidR="00F82A96" w:rsidRPr="00F82A96">
          <w:rPr>
            <w:rStyle w:val="Hyperlink"/>
          </w:rPr>
          <w:t>prices into spectrum access charges</w:t>
        </w:r>
      </w:hyperlink>
      <w:r w:rsidR="00F82A96">
        <w:t xml:space="preserve"> chapter of this paper.</w:t>
      </w:r>
      <w:r w:rsidR="00081091">
        <w:t xml:space="preserve"> </w:t>
      </w:r>
      <w:r w:rsidR="0000034F">
        <w:t xml:space="preserve">Do </w:t>
      </w:r>
      <w:r w:rsidR="001A34BE">
        <w:t xml:space="preserve">you </w:t>
      </w:r>
      <w:r w:rsidR="0000034F">
        <w:t xml:space="preserve">have any comments on the proposed </w:t>
      </w:r>
      <w:r w:rsidR="007352EA">
        <w:t xml:space="preserve">methodology for projecting </w:t>
      </w:r>
      <w:r w:rsidR="0000034F">
        <w:t>licence area populations</w:t>
      </w:r>
      <w:r w:rsidR="003A229E">
        <w:t xml:space="preserve"> to licence </w:t>
      </w:r>
      <w:r w:rsidR="00877148">
        <w:t xml:space="preserve">commencement </w:t>
      </w:r>
      <w:r w:rsidR="003A229E">
        <w:t>dates</w:t>
      </w:r>
      <w:r w:rsidR="0000034F">
        <w:t>?</w:t>
      </w:r>
    </w:p>
    <w:p w14:paraId="29C7A72F" w14:textId="4BA3030F" w:rsidR="0000034F" w:rsidRDefault="0012705D" w:rsidP="00A311BD">
      <w:pPr>
        <w:pStyle w:val="Numberlistlevel1"/>
        <w:numPr>
          <w:ilvl w:val="0"/>
          <w:numId w:val="40"/>
        </w:numPr>
        <w:spacing w:line="240" w:lineRule="atLeast"/>
      </w:pPr>
      <w:r>
        <w:t>The ACMA</w:t>
      </w:r>
      <w:r w:rsidR="000F2A3F">
        <w:t>’</w:t>
      </w:r>
      <w:r>
        <w:t xml:space="preserve">s preference is to </w:t>
      </w:r>
      <w:r w:rsidR="00482B71">
        <w:t>fix the population projections to be used in the SACs</w:t>
      </w:r>
      <w:r w:rsidR="00ED3149">
        <w:t xml:space="preserve"> </w:t>
      </w:r>
      <w:r w:rsidR="00C21383">
        <w:t xml:space="preserve">for a band </w:t>
      </w:r>
      <w:r w:rsidR="00A55B8D">
        <w:t>at a point before the renewal application period for</w:t>
      </w:r>
      <w:r w:rsidR="00C21383">
        <w:t xml:space="preserve"> licences in</w:t>
      </w:r>
      <w:r w:rsidR="00A55B8D">
        <w:t xml:space="preserve"> the </w:t>
      </w:r>
      <w:r w:rsidR="00C2281D">
        <w:t>band begins.</w:t>
      </w:r>
      <w:r w:rsidR="00081091">
        <w:t xml:space="preserve"> </w:t>
      </w:r>
      <w:r w:rsidR="0000034F">
        <w:t xml:space="preserve">Do </w:t>
      </w:r>
      <w:r w:rsidR="001A34BE">
        <w:t>you</w:t>
      </w:r>
      <w:r w:rsidR="0000034F">
        <w:t xml:space="preserve"> </w:t>
      </w:r>
      <w:r w:rsidR="00B37F49">
        <w:t xml:space="preserve">have any comments on our preferred </w:t>
      </w:r>
      <w:r w:rsidR="00923177">
        <w:t xml:space="preserve">timing for fixing population projections, being </w:t>
      </w:r>
      <w:r w:rsidR="00E91D9D">
        <w:t xml:space="preserve">6 </w:t>
      </w:r>
      <w:r w:rsidR="0000034F">
        <w:t>months before commencement of the relevant renewal application period?</w:t>
      </w:r>
    </w:p>
    <w:p w14:paraId="0282A249" w14:textId="4E95A4A8" w:rsidR="00701CD2" w:rsidRPr="00E162C4" w:rsidRDefault="00CF1219" w:rsidP="00A311BD">
      <w:pPr>
        <w:pStyle w:val="Numberlistlevel1"/>
        <w:numPr>
          <w:ilvl w:val="0"/>
          <w:numId w:val="40"/>
        </w:numPr>
        <w:spacing w:line="240" w:lineRule="atLeast"/>
      </w:pPr>
      <w:r>
        <w:t xml:space="preserve">We seek stakeholder views on the proposed timing of band-specific consultations </w:t>
      </w:r>
      <w:r w:rsidR="00CA04EC">
        <w:t xml:space="preserve">on updated renewal prices. This includes </w:t>
      </w:r>
      <w:r w:rsidR="00C22967">
        <w:t xml:space="preserve">whether consultation papers should be published </w:t>
      </w:r>
      <w:r w:rsidR="00F350EB">
        <w:t xml:space="preserve">according to a predetermined </w:t>
      </w:r>
      <w:r w:rsidR="004F14F5">
        <w:t xml:space="preserve">schedule, or as soon as practicable </w:t>
      </w:r>
      <w:r w:rsidR="006A540D">
        <w:t xml:space="preserve">following </w:t>
      </w:r>
      <w:r w:rsidR="00252F32">
        <w:t>the derivation of</w:t>
      </w:r>
      <w:r w:rsidR="00A941D0">
        <w:t xml:space="preserve"> </w:t>
      </w:r>
      <w:r w:rsidR="00993ED8">
        <w:t>updated renewal prices</w:t>
      </w:r>
      <w:r w:rsidR="000E7010">
        <w:t>.</w:t>
      </w:r>
      <w:r w:rsidR="00081091">
        <w:t xml:space="preserve"> </w:t>
      </w:r>
      <w:r w:rsidR="00701CD2">
        <w:t xml:space="preserve">Which approach do </w:t>
      </w:r>
      <w:r w:rsidR="003806BB">
        <w:t>you</w:t>
      </w:r>
      <w:r w:rsidR="00701CD2">
        <w:t xml:space="preserve"> prefer for the timing of the band-specific consultations? </w:t>
      </w:r>
    </w:p>
    <w:p w14:paraId="78390713" w14:textId="30788209" w:rsidR="009654A9" w:rsidRDefault="009654A9" w:rsidP="00A440DD">
      <w:pPr>
        <w:pStyle w:val="Numberlistlevel1"/>
        <w:numPr>
          <w:ilvl w:val="0"/>
          <w:numId w:val="40"/>
        </w:numPr>
        <w:spacing w:line="240" w:lineRule="atLeast"/>
      </w:pPr>
      <w:r>
        <w:t xml:space="preserve">We invite stakeholder feedback on whether a 6-week consultation period </w:t>
      </w:r>
      <w:r w:rsidR="005F2C02">
        <w:t xml:space="preserve">for </w:t>
      </w:r>
      <w:r w:rsidR="00562F94">
        <w:t xml:space="preserve">each band </w:t>
      </w:r>
      <w:r>
        <w:t>provides an appropriate balance between allowing sufficient time for stakeholder engagement and ensuring the timely publication of final benchmark prices</w:t>
      </w:r>
      <w:r w:rsidR="000A19D0">
        <w:t>.</w:t>
      </w:r>
    </w:p>
    <w:p w14:paraId="73E168F4" w14:textId="34B4A613" w:rsidR="004B2960" w:rsidRPr="00E162C4" w:rsidRDefault="004B2960" w:rsidP="007C29CF">
      <w:pPr>
        <w:pStyle w:val="Paragraphbeforelist"/>
      </w:pPr>
    </w:p>
    <w:p w14:paraId="51F98596" w14:textId="6B6F7D37" w:rsidR="004B0B08" w:rsidRDefault="004B0B08" w:rsidP="004B0B08">
      <w:pPr>
        <w:pStyle w:val="Heading1"/>
      </w:pPr>
      <w:bookmarkStart w:id="5" w:name="_Toc237250595"/>
      <w:bookmarkStart w:id="6" w:name="_Toc242777933"/>
      <w:bookmarkStart w:id="7" w:name="_Toc237357650"/>
      <w:r>
        <w:t>Introduction</w:t>
      </w:r>
      <w:bookmarkEnd w:id="5"/>
      <w:bookmarkEnd w:id="6"/>
      <w:r w:rsidR="001A1369">
        <w:t xml:space="preserve"> </w:t>
      </w:r>
      <w:bookmarkEnd w:id="7"/>
    </w:p>
    <w:p w14:paraId="06CD6D62" w14:textId="261B12B2" w:rsidR="00361DBD" w:rsidRDefault="00BA69FE" w:rsidP="007C79BF">
      <w:pPr>
        <w:pStyle w:val="Paragraph"/>
      </w:pPr>
      <w:r w:rsidRPr="00BA69FE">
        <w:t>In this paper</w:t>
      </w:r>
      <w:r w:rsidR="000E0158">
        <w:t xml:space="preserve">, </w:t>
      </w:r>
      <w:r w:rsidR="00361DBD">
        <w:t xml:space="preserve">the ACMA </w:t>
      </w:r>
      <w:r w:rsidR="000E0158">
        <w:t>present</w:t>
      </w:r>
      <w:r w:rsidR="00361DBD">
        <w:t>s</w:t>
      </w:r>
      <w:r w:rsidR="000E0158">
        <w:t xml:space="preserve"> the </w:t>
      </w:r>
      <w:r w:rsidR="00A14866">
        <w:t xml:space="preserve">proposed process for updating the benchmark dataset used to derive </w:t>
      </w:r>
      <w:r w:rsidR="007C79BF">
        <w:t xml:space="preserve">the </w:t>
      </w:r>
      <w:r w:rsidR="00184F23">
        <w:t>$</w:t>
      </w:r>
      <w:r w:rsidR="007C79BF">
        <w:t xml:space="preserve">/MHz/pop prices </w:t>
      </w:r>
      <w:r w:rsidR="00F3312C">
        <w:t xml:space="preserve">for ESLs. </w:t>
      </w:r>
    </w:p>
    <w:p w14:paraId="21D999A0" w14:textId="249F7D21" w:rsidR="00383CCB" w:rsidRDefault="00361DBD" w:rsidP="007C79BF">
      <w:pPr>
        <w:pStyle w:val="Paragraph"/>
      </w:pPr>
      <w:r>
        <w:t>In our</w:t>
      </w:r>
      <w:r w:rsidR="00B45D67">
        <w:t xml:space="preserve"> </w:t>
      </w:r>
      <w:r w:rsidR="001E249B">
        <w:t xml:space="preserve">preferred views paper </w:t>
      </w:r>
      <w:r>
        <w:t>released in May 2026</w:t>
      </w:r>
      <w:r w:rsidR="00B45D67">
        <w:t xml:space="preserve">, </w:t>
      </w:r>
      <w:r w:rsidR="006778CC">
        <w:t xml:space="preserve">we </w:t>
      </w:r>
      <w:r w:rsidR="00E11A4D">
        <w:t xml:space="preserve">indicated that </w:t>
      </w:r>
      <w:r w:rsidR="00713E95">
        <w:t>benchmark</w:t>
      </w:r>
      <w:r w:rsidR="003776AE">
        <w:t xml:space="preserve"> </w:t>
      </w:r>
      <w:r w:rsidR="000F46B1">
        <w:t>dataset</w:t>
      </w:r>
      <w:r w:rsidR="003776AE">
        <w:t>s</w:t>
      </w:r>
      <w:r w:rsidR="000F46B1">
        <w:t xml:space="preserve"> </w:t>
      </w:r>
      <w:r w:rsidR="003776AE">
        <w:t>would be updated</w:t>
      </w:r>
      <w:r w:rsidR="000F46B1">
        <w:t xml:space="preserve"> to include </w:t>
      </w:r>
      <w:r w:rsidR="00E73F83">
        <w:t xml:space="preserve">more </w:t>
      </w:r>
      <w:r w:rsidR="000A4CEE">
        <w:t>recent spectrum awards</w:t>
      </w:r>
      <w:r w:rsidR="00665BCE">
        <w:t xml:space="preserve"> to ensure that </w:t>
      </w:r>
      <w:r w:rsidR="00142BF1">
        <w:t>ESL</w:t>
      </w:r>
      <w:r w:rsidR="00665BCE">
        <w:t xml:space="preserve"> renewal prices reflect contemporary market conditions.</w:t>
      </w:r>
      <w:r w:rsidR="00973F8F">
        <w:t xml:space="preserve"> </w:t>
      </w:r>
      <w:r w:rsidR="00142BF1">
        <w:t>This paper focuses on the arrangements for implementing</w:t>
      </w:r>
      <w:r w:rsidR="00162D03">
        <w:t xml:space="preserve"> </w:t>
      </w:r>
      <w:r w:rsidR="00EA5007">
        <w:t xml:space="preserve">that approach, </w:t>
      </w:r>
      <w:r w:rsidR="00267542">
        <w:t xml:space="preserve">including how </w:t>
      </w:r>
      <w:r w:rsidR="00A072F5">
        <w:t>new spectrum awards would be assessed and incorporated into the dataset</w:t>
      </w:r>
      <w:r w:rsidR="00B85233">
        <w:t xml:space="preserve"> used to derive $/MHz/pop renewal prices. </w:t>
      </w:r>
    </w:p>
    <w:p w14:paraId="0172E874" w14:textId="75937643" w:rsidR="00383CCB" w:rsidRDefault="0087467A" w:rsidP="00D250C4">
      <w:pPr>
        <w:pStyle w:val="Paragraph"/>
      </w:pPr>
      <w:r>
        <w:t xml:space="preserve">The benchmarking methodology itself </w:t>
      </w:r>
      <w:r w:rsidR="00383CCB">
        <w:t xml:space="preserve">will </w:t>
      </w:r>
      <w:r>
        <w:t xml:space="preserve">remain broadly unchanged from </w:t>
      </w:r>
      <w:r w:rsidR="00F0772B">
        <w:t xml:space="preserve">that adopted in the </w:t>
      </w:r>
      <w:r w:rsidR="003E709E">
        <w:t>p</w:t>
      </w:r>
      <w:r w:rsidR="00F0772B">
        <w:t xml:space="preserve">referred </w:t>
      </w:r>
      <w:r w:rsidR="003E709E">
        <w:t>v</w:t>
      </w:r>
      <w:r w:rsidR="00F0772B">
        <w:t>iews paper.</w:t>
      </w:r>
      <w:r w:rsidR="00383CCB" w:rsidRPr="00383CCB">
        <w:t xml:space="preserve"> </w:t>
      </w:r>
      <w:r w:rsidR="00383CCB">
        <w:t>T</w:t>
      </w:r>
      <w:r w:rsidR="00947006">
        <w:t xml:space="preserve">he methodology </w:t>
      </w:r>
      <w:r w:rsidR="00541050">
        <w:t xml:space="preserve">was informed by </w:t>
      </w:r>
      <w:r w:rsidR="00383CCB">
        <w:t xml:space="preserve">2 </w:t>
      </w:r>
      <w:r w:rsidR="00541050">
        <w:t xml:space="preserve">previous </w:t>
      </w:r>
      <w:r w:rsidR="00383CCB">
        <w:t>rounds of consultation</w:t>
      </w:r>
      <w:r w:rsidR="00BA0E17">
        <w:t xml:space="preserve">, through the release of the </w:t>
      </w:r>
      <w:hyperlink r:id="rId30" w:history="1">
        <w:r w:rsidR="00383CCB" w:rsidRPr="00753842">
          <w:rPr>
            <w:rStyle w:val="Hyperlink"/>
          </w:rPr>
          <w:t>preliminary views on pricing</w:t>
        </w:r>
      </w:hyperlink>
      <w:r w:rsidR="00383CCB">
        <w:t xml:space="preserve"> </w:t>
      </w:r>
      <w:r w:rsidR="005A1927">
        <w:t xml:space="preserve">paper in April 2025 and the </w:t>
      </w:r>
      <w:hyperlink r:id="rId31" w:history="1">
        <w:r w:rsidR="005A1927" w:rsidRPr="00044F92">
          <w:rPr>
            <w:rStyle w:val="Hyperlink"/>
          </w:rPr>
          <w:t>updated preliminary views on pricing</w:t>
        </w:r>
      </w:hyperlink>
      <w:r w:rsidR="005A1927">
        <w:t xml:space="preserve"> paper in December 2025. </w:t>
      </w:r>
      <w:r w:rsidR="00631506">
        <w:t>During that process, w</w:t>
      </w:r>
      <w:r w:rsidR="00383CCB">
        <w:t>e also engaged DotEcon</w:t>
      </w:r>
      <w:r w:rsidR="00631506">
        <w:t xml:space="preserve"> </w:t>
      </w:r>
      <w:r w:rsidR="00383CCB">
        <w:t>to independently review the approach to benchmarking</w:t>
      </w:r>
      <w:r w:rsidR="00D47B1E">
        <w:t xml:space="preserve"> </w:t>
      </w:r>
      <w:r w:rsidR="004152B7">
        <w:t xml:space="preserve">on 2 separate occasions. </w:t>
      </w:r>
      <w:r w:rsidR="00C90958">
        <w:t xml:space="preserve">The final approach adopted in the </w:t>
      </w:r>
      <w:r w:rsidR="00E060C8">
        <w:t>p</w:t>
      </w:r>
      <w:r w:rsidR="00C90958">
        <w:t xml:space="preserve">referred </w:t>
      </w:r>
      <w:r w:rsidR="00E060C8">
        <w:t>v</w:t>
      </w:r>
      <w:r w:rsidR="00E06825">
        <w:t>iews</w:t>
      </w:r>
      <w:r w:rsidR="00C90958">
        <w:t xml:space="preserve"> paper reflects stakeholder feedback and that independent expert advice.</w:t>
      </w:r>
    </w:p>
    <w:p w14:paraId="67DC237B" w14:textId="169A118E" w:rsidR="00434B55" w:rsidRDefault="00CD184B" w:rsidP="00CD184B">
      <w:pPr>
        <w:pStyle w:val="Paragraph"/>
      </w:pPr>
      <w:r>
        <w:t>The renewal application period for</w:t>
      </w:r>
      <w:r w:rsidR="001616BC">
        <w:t xml:space="preserve"> licences in</w:t>
      </w:r>
      <w:r>
        <w:t xml:space="preserve"> the 850 MHz and 1800 MHz bands commenced on 18</w:t>
      </w:r>
      <w:r w:rsidR="00AF3F89">
        <w:t> </w:t>
      </w:r>
      <w:r>
        <w:t xml:space="preserve">June 2026. As the renewal application period for these bands is already open, we </w:t>
      </w:r>
      <w:r w:rsidR="00591369">
        <w:t>do</w:t>
      </w:r>
      <w:r>
        <w:t xml:space="preserve"> not </w:t>
      </w:r>
      <w:r w:rsidR="00591369">
        <w:t>intend to</w:t>
      </w:r>
      <w:r>
        <w:t xml:space="preserve"> update the benchmark datasets, population estimates or any other supporting data inputs used to derive </w:t>
      </w:r>
      <w:r w:rsidR="006A21BF">
        <w:t>proposed spectrum access charges (SACs)</w:t>
      </w:r>
      <w:r>
        <w:t xml:space="preserve"> for those licences. </w:t>
      </w:r>
      <w:r w:rsidR="00AF3F89">
        <w:t>The</w:t>
      </w:r>
      <w:r w:rsidR="003C3246">
        <w:t xml:space="preserve"> </w:t>
      </w:r>
      <w:r w:rsidR="005A787F">
        <w:t>proposed SACs</w:t>
      </w:r>
      <w:r w:rsidR="003C3246">
        <w:t xml:space="preserve"> </w:t>
      </w:r>
      <w:r w:rsidR="00B575FD">
        <w:t xml:space="preserve">for the 850 MHz and 1800 MHz bands </w:t>
      </w:r>
      <w:r w:rsidR="00AF3F89">
        <w:t xml:space="preserve">will </w:t>
      </w:r>
      <w:r w:rsidR="00B575FD">
        <w:t>continu</w:t>
      </w:r>
      <w:r w:rsidR="00AF3F89">
        <w:t>e</w:t>
      </w:r>
      <w:r w:rsidR="00B575FD">
        <w:t xml:space="preserve"> to be informed by</w:t>
      </w:r>
      <w:r w:rsidR="003C3246">
        <w:t xml:space="preserve"> the </w:t>
      </w:r>
      <w:r w:rsidR="00E060C8">
        <w:t>p</w:t>
      </w:r>
      <w:r w:rsidR="003C3246">
        <w:t xml:space="preserve">referred </w:t>
      </w:r>
      <w:r w:rsidR="00E060C8">
        <w:t>v</w:t>
      </w:r>
      <w:r w:rsidR="003C3246">
        <w:t>iews paper</w:t>
      </w:r>
      <w:r w:rsidR="0092224F">
        <w:t>.</w:t>
      </w:r>
    </w:p>
    <w:p w14:paraId="046AB5CE" w14:textId="572D4AD7" w:rsidR="00CD184B" w:rsidRPr="00451737" w:rsidRDefault="00CD184B" w:rsidP="00CD184B">
      <w:pPr>
        <w:pStyle w:val="Paragraph"/>
        <w:rPr>
          <w:highlight w:val="yellow"/>
        </w:rPr>
      </w:pPr>
      <w:r>
        <w:t xml:space="preserve">For </w:t>
      </w:r>
      <w:r w:rsidR="0065269B">
        <w:t xml:space="preserve">licences in </w:t>
      </w:r>
      <w:r>
        <w:t>the remaining spectrum bands</w:t>
      </w:r>
      <w:r w:rsidR="0065269B">
        <w:t>,</w:t>
      </w:r>
      <w:r>
        <w:t xml:space="preserve"> with renewal application periods commencing between 2027 and 2030, we propose to include new spec</w:t>
      </w:r>
      <w:r w:rsidRPr="00C6170A">
        <w:t>trum awards</w:t>
      </w:r>
      <w:r w:rsidRPr="00D015A5">
        <w:t xml:space="preserve"> </w:t>
      </w:r>
      <w:r>
        <w:t xml:space="preserve">that have occurred up </w:t>
      </w:r>
      <w:r w:rsidRPr="00D015A5">
        <w:t xml:space="preserve">until 6 months </w:t>
      </w:r>
      <w:r>
        <w:t>before the opening of the relevant application period. This approach would allow newly available benchmark evidence to be identified, assessed and, where appropriate, incorporated into the pricing analysis.</w:t>
      </w:r>
    </w:p>
    <w:p w14:paraId="6074945C" w14:textId="2FA0297D" w:rsidR="00CD184B" w:rsidRPr="000F517E" w:rsidRDefault="0033430F" w:rsidP="000F517E">
      <w:pPr>
        <w:pStyle w:val="Paragraphbeforelist"/>
      </w:pPr>
      <w:r w:rsidRPr="000F517E">
        <w:t xml:space="preserve">The paper </w:t>
      </w:r>
      <w:r w:rsidR="00822756" w:rsidRPr="000F517E">
        <w:t>outlines</w:t>
      </w:r>
      <w:r w:rsidRPr="000F517E">
        <w:t>:</w:t>
      </w:r>
    </w:p>
    <w:p w14:paraId="118592C5" w14:textId="5B51AD5C" w:rsidR="0033430F" w:rsidRDefault="003C7A67" w:rsidP="002A6704">
      <w:pPr>
        <w:pStyle w:val="Bulletlevel1"/>
      </w:pPr>
      <w:r>
        <w:t>t</w:t>
      </w:r>
      <w:r w:rsidR="0033430F">
        <w:t xml:space="preserve">he proposed approach for updating the benchmark dataset. This includes </w:t>
      </w:r>
      <w:r w:rsidR="003800C4">
        <w:t>how new spectrum awards would be incorporated into the dataset</w:t>
      </w:r>
      <w:r w:rsidR="004644E8">
        <w:t xml:space="preserve"> and reaffirms the proposed cut-off date for the inclusion of new awards</w:t>
      </w:r>
    </w:p>
    <w:p w14:paraId="0560EEED" w14:textId="25DE34D2" w:rsidR="0033430F" w:rsidRDefault="003C7A67" w:rsidP="002A6704">
      <w:pPr>
        <w:pStyle w:val="Bulletlevel1"/>
      </w:pPr>
      <w:r>
        <w:t>h</w:t>
      </w:r>
      <w:r w:rsidR="00822756">
        <w:t>ow</w:t>
      </w:r>
      <w:r w:rsidR="00173C45">
        <w:t xml:space="preserve"> $/MHz/pop </w:t>
      </w:r>
      <w:r w:rsidR="00E23E6F">
        <w:t>renewal prices would be converted into SACs</w:t>
      </w:r>
      <w:r w:rsidR="00C11873">
        <w:t xml:space="preserve">, including the use of population projections and the proposed point at which </w:t>
      </w:r>
      <w:r w:rsidR="00DC3378">
        <w:t>population estimates would be fixed for each ESL band</w:t>
      </w:r>
    </w:p>
    <w:p w14:paraId="3BAB2C59" w14:textId="589D1C20" w:rsidR="00DC3378" w:rsidRDefault="003C7A67" w:rsidP="002A6704">
      <w:pPr>
        <w:pStyle w:val="Bulletlevel1last"/>
      </w:pPr>
      <w:r>
        <w:t>t</w:t>
      </w:r>
      <w:r w:rsidR="001B4FBB">
        <w:t>he proposed consultation process for updating benchmark data and</w:t>
      </w:r>
      <w:r w:rsidR="00B24F4E">
        <w:t xml:space="preserve"> </w:t>
      </w:r>
      <w:r w:rsidR="001B4FBB">
        <w:t>prices</w:t>
      </w:r>
      <w:r w:rsidR="00002A15">
        <w:t xml:space="preserve">. It explains how </w:t>
      </w:r>
      <w:r w:rsidR="00E15730">
        <w:t xml:space="preserve">we propose to </w:t>
      </w:r>
      <w:r w:rsidR="00FD1966">
        <w:t>undertake focused, time-limited consultation for each individual band on additions to the benchmark dataset and the resulting $/MHz/pop price.</w:t>
      </w:r>
    </w:p>
    <w:p w14:paraId="7DE0CF46" w14:textId="144B5BE3" w:rsidR="00BA69FE" w:rsidRDefault="004B2575" w:rsidP="007C79BF">
      <w:pPr>
        <w:pStyle w:val="Paragraph"/>
      </w:pPr>
      <w:r>
        <w:t xml:space="preserve">Given the </w:t>
      </w:r>
      <w:r w:rsidRPr="00A8021A">
        <w:t>pricing methodology</w:t>
      </w:r>
      <w:r>
        <w:t xml:space="preserve"> was </w:t>
      </w:r>
      <w:r w:rsidR="00E5568C">
        <w:t xml:space="preserve">settled through the </w:t>
      </w:r>
      <w:r w:rsidR="009A50EF">
        <w:t>p</w:t>
      </w:r>
      <w:r w:rsidR="00E5568C">
        <w:t xml:space="preserve">referred </w:t>
      </w:r>
      <w:r w:rsidR="009A50EF">
        <w:t>v</w:t>
      </w:r>
      <w:r w:rsidR="00E5568C">
        <w:t xml:space="preserve">iews paper, the principal focus of this consultation is </w:t>
      </w:r>
      <w:r w:rsidR="00953B3A">
        <w:t xml:space="preserve">implementation of </w:t>
      </w:r>
      <w:r w:rsidR="006B0678">
        <w:t xml:space="preserve">the process for updating benchmark data in the period leading up to </w:t>
      </w:r>
      <w:r w:rsidR="002B238B">
        <w:t>each band’s renewal application period</w:t>
      </w:r>
      <w:r w:rsidRPr="00A8021A">
        <w:t xml:space="preserve">. </w:t>
      </w:r>
      <w:proofErr w:type="gramStart"/>
      <w:r w:rsidR="002B238B">
        <w:t xml:space="preserve">In </w:t>
      </w:r>
      <w:r w:rsidR="001D28C8">
        <w:t>particular, we</w:t>
      </w:r>
      <w:proofErr w:type="gramEnd"/>
      <w:r w:rsidR="001D28C8">
        <w:t xml:space="preserve"> seek stakeholder views on</w:t>
      </w:r>
      <w:r w:rsidRPr="00A8021A">
        <w:t xml:space="preserve"> </w:t>
      </w:r>
      <w:r w:rsidR="00571B7E">
        <w:t xml:space="preserve">the timing </w:t>
      </w:r>
      <w:r w:rsidR="009B009E">
        <w:t xml:space="preserve">and duration of </w:t>
      </w:r>
      <w:r w:rsidR="00F36BAA">
        <w:t xml:space="preserve">the </w:t>
      </w:r>
      <w:r w:rsidR="00595BC1">
        <w:t>consultat</w:t>
      </w:r>
      <w:r w:rsidR="00842C3F">
        <w:t>ion</w:t>
      </w:r>
      <w:r w:rsidR="006E74AF">
        <w:t>s</w:t>
      </w:r>
      <w:r w:rsidR="00F36BAA">
        <w:t xml:space="preserve"> for each band</w:t>
      </w:r>
      <w:r w:rsidR="007D4029">
        <w:t xml:space="preserve"> </w:t>
      </w:r>
      <w:r w:rsidR="00570F37">
        <w:t>and on the appropriate point at which population estimates used in the calculation of SACs should be fixed for an ESL band.</w:t>
      </w:r>
    </w:p>
    <w:p w14:paraId="7F72DE0C" w14:textId="3290C941" w:rsidR="004B0B08" w:rsidRDefault="004B0B08" w:rsidP="00934229">
      <w:pPr>
        <w:pStyle w:val="Heading1"/>
        <w:jc w:val="both"/>
      </w:pPr>
      <w:bookmarkStart w:id="8" w:name="_Toc237250596"/>
      <w:bookmarkStart w:id="9" w:name="_Toc237357651"/>
      <w:bookmarkStart w:id="10" w:name="_Toc242777934"/>
      <w:r>
        <w:t>Future updates to benchmarking data</w:t>
      </w:r>
      <w:bookmarkEnd w:id="8"/>
      <w:bookmarkEnd w:id="9"/>
      <w:bookmarkEnd w:id="10"/>
    </w:p>
    <w:p w14:paraId="502D3C76" w14:textId="78FB8350" w:rsidR="00103DB0" w:rsidRPr="00D414CE" w:rsidRDefault="000B588A" w:rsidP="00F15056">
      <w:pPr>
        <w:pStyle w:val="Paragraph"/>
      </w:pPr>
      <w:r>
        <w:t>This chapter outlines the proposed approach to updating benchmark datasets in the future</w:t>
      </w:r>
      <w:r w:rsidR="002D2929">
        <w:t>.</w:t>
      </w:r>
      <w:r w:rsidRPr="00D414CE" w:rsidDel="00C91679">
        <w:t xml:space="preserve"> </w:t>
      </w:r>
      <w:r w:rsidR="00103DB0" w:rsidRPr="00D414CE">
        <w:rPr>
          <w:rStyle w:val="Strong"/>
          <w:b w:val="0"/>
          <w:bCs w:val="0"/>
        </w:rPr>
        <w:t xml:space="preserve">Figure 1 provides an overview of the proposed process for updating benchmark datasets, consulting on any resulting price changes and finalising updated $/MHz/pop prices before the commencement of the relevant renewal application period. </w:t>
      </w:r>
    </w:p>
    <w:p w14:paraId="7D31F651" w14:textId="416900DC" w:rsidR="00CA039E" w:rsidRDefault="00C6634B" w:rsidP="00F15056">
      <w:pPr>
        <w:pStyle w:val="Figureheading"/>
      </w:pPr>
      <w:r>
        <w:t>Proposed process for updating benchmark datasets</w:t>
      </w:r>
    </w:p>
    <w:p w14:paraId="70B02B24" w14:textId="37F1C2D2" w:rsidR="00CA039E" w:rsidRPr="003E76DE" w:rsidRDefault="00CA039E" w:rsidP="00471DDE">
      <w:pPr>
        <w:pStyle w:val="Paragraph"/>
      </w:pPr>
      <w:r w:rsidRPr="00A85975">
        <w:rPr>
          <w:noProof/>
        </w:rPr>
        <w:drawing>
          <wp:inline distT="0" distB="0" distL="0" distR="0" wp14:anchorId="50CBCDC7" wp14:editId="64EC5107">
            <wp:extent cx="5759450" cy="2634721"/>
            <wp:effectExtent l="19050" t="19050" r="12700" b="13335"/>
            <wp:docPr id="1611841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41183" name=""/>
                    <pic:cNvPicPr/>
                  </pic:nvPicPr>
                  <pic:blipFill rotWithShape="1">
                    <a:blip r:embed="rId32"/>
                    <a:srcRect b="7878"/>
                    <a:stretch>
                      <a:fillRect/>
                    </a:stretch>
                  </pic:blipFill>
                  <pic:spPr bwMode="auto">
                    <a:xfrm>
                      <a:off x="0" y="0"/>
                      <a:ext cx="5759450" cy="263472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B9905D5" w14:textId="2A10D999" w:rsidR="00C91679" w:rsidRDefault="007C5039" w:rsidP="00F15056">
      <w:pPr>
        <w:pStyle w:val="Paragraph"/>
      </w:pPr>
      <w:r w:rsidRPr="00A9356D">
        <w:t xml:space="preserve">The discussion in this chapter focuses on how new spectrum awards will be identified and incorporated, </w:t>
      </w:r>
      <w:r w:rsidR="00EF146A">
        <w:t xml:space="preserve">how </w:t>
      </w:r>
      <w:r w:rsidR="00747B14">
        <w:t>we wi</w:t>
      </w:r>
      <w:r w:rsidR="00804E97">
        <w:t>ll incorporate updated economic data fro</w:t>
      </w:r>
      <w:r w:rsidR="004F2FE1">
        <w:t>m</w:t>
      </w:r>
      <w:r w:rsidR="001F0EDB">
        <w:t xml:space="preserve"> the World Bank in the currency conversion step</w:t>
      </w:r>
      <w:r w:rsidRPr="00A9356D">
        <w:t xml:space="preserve"> and how benchmark values will be indexed to the relevant licence commencement date. The proposed arrangements for population projections and </w:t>
      </w:r>
      <w:r w:rsidR="00D90A82">
        <w:t xml:space="preserve">the </w:t>
      </w:r>
      <w:r w:rsidR="004E6DEA">
        <w:t xml:space="preserve">scope and timing </w:t>
      </w:r>
      <w:r w:rsidR="005D2E3A">
        <w:t>of</w:t>
      </w:r>
      <w:r w:rsidR="004E6DEA">
        <w:t xml:space="preserve"> the targeted consultations</w:t>
      </w:r>
      <w:r w:rsidR="00A9356D">
        <w:t xml:space="preserve"> </w:t>
      </w:r>
      <w:r w:rsidRPr="00A9356D">
        <w:t>are discussed in subsequent chapters.</w:t>
      </w:r>
    </w:p>
    <w:p w14:paraId="20AC4051" w14:textId="13DFCBC5" w:rsidR="005C41A4" w:rsidRDefault="005C41A4" w:rsidP="00694E58">
      <w:pPr>
        <w:pStyle w:val="Heading2"/>
      </w:pPr>
      <w:bookmarkStart w:id="11" w:name="_Toc242777935"/>
      <w:r>
        <w:t>Assessing and incorporating new spectrum awards</w:t>
      </w:r>
      <w:bookmarkEnd w:id="11"/>
    </w:p>
    <w:p w14:paraId="063E228F" w14:textId="246959A8" w:rsidR="003E3B3C" w:rsidRPr="00F93CC1" w:rsidRDefault="003E3B3C" w:rsidP="00464402">
      <w:pPr>
        <w:pStyle w:val="Heading3"/>
      </w:pPr>
      <w:r w:rsidRPr="00F93CC1">
        <w:t>Identifying awards for inclusion</w:t>
      </w:r>
    </w:p>
    <w:p w14:paraId="26E34756" w14:textId="78A7BFB2" w:rsidR="00151CAE" w:rsidRPr="00F93CC1" w:rsidRDefault="00960E03" w:rsidP="00EE68CC">
      <w:pPr>
        <w:pStyle w:val="Paragraph"/>
      </w:pPr>
      <w:r w:rsidRPr="00F93CC1">
        <w:t>New awards will be identified through publicly available sources</w:t>
      </w:r>
      <w:r w:rsidR="00F21D99">
        <w:t>,</w:t>
      </w:r>
      <w:r w:rsidRPr="00F93CC1">
        <w:t xml:space="preserve"> including regulator websites and industry publications. </w:t>
      </w:r>
      <w:r w:rsidR="00EC357A">
        <w:t>W</w:t>
      </w:r>
      <w:r w:rsidR="00D2214F" w:rsidRPr="00F93CC1">
        <w:t>e</w:t>
      </w:r>
      <w:r w:rsidR="003D2F86" w:rsidRPr="003D51AB">
        <w:t xml:space="preserve"> </w:t>
      </w:r>
      <w:r w:rsidR="00D2214F" w:rsidRPr="003D51AB">
        <w:t xml:space="preserve">will </w:t>
      </w:r>
      <w:r w:rsidR="003D2F86" w:rsidRPr="003D51AB">
        <w:t xml:space="preserve">assess relevant </w:t>
      </w:r>
      <w:r w:rsidR="00D2214F" w:rsidRPr="003D51AB">
        <w:t xml:space="preserve">new awards </w:t>
      </w:r>
      <w:r w:rsidR="00F21D99">
        <w:t>for</w:t>
      </w:r>
      <w:r w:rsidR="00F21D99" w:rsidRPr="003D51AB">
        <w:t xml:space="preserve"> </w:t>
      </w:r>
      <w:r w:rsidR="00D2214F" w:rsidRPr="003D51AB">
        <w:t>inclusion in the benchmark dataset</w:t>
      </w:r>
      <w:r w:rsidR="003D2F86" w:rsidRPr="003D51AB">
        <w:t xml:space="preserve"> and</w:t>
      </w:r>
      <w:r w:rsidR="00D2214F" w:rsidRPr="003D51AB">
        <w:t xml:space="preserve"> publish </w:t>
      </w:r>
      <w:r w:rsidR="003D2F86" w:rsidRPr="003D51AB">
        <w:t>the proposed additions</w:t>
      </w:r>
      <w:r w:rsidR="00E52DB5">
        <w:t>.</w:t>
      </w:r>
      <w:r w:rsidR="00D2214F" w:rsidRPr="00F93CC1" w:rsidDel="00A07ABF">
        <w:t xml:space="preserve"> </w:t>
      </w:r>
      <w:r w:rsidR="0047541E" w:rsidRPr="003D51AB">
        <w:t xml:space="preserve">We </w:t>
      </w:r>
      <w:r w:rsidR="00A9228D">
        <w:t>intend</w:t>
      </w:r>
      <w:r w:rsidR="00A9228D" w:rsidRPr="003D51AB">
        <w:t xml:space="preserve"> </w:t>
      </w:r>
      <w:r w:rsidR="0047541E" w:rsidRPr="003D51AB">
        <w:t xml:space="preserve">to undertake </w:t>
      </w:r>
      <w:r w:rsidR="00190476" w:rsidRPr="003D51AB">
        <w:t>a focused</w:t>
      </w:r>
      <w:r w:rsidR="00A9228D">
        <w:t xml:space="preserve"> public</w:t>
      </w:r>
      <w:r w:rsidR="00190476" w:rsidRPr="003D51AB">
        <w:t xml:space="preserve"> consultation </w:t>
      </w:r>
      <w:r w:rsidR="008C6978" w:rsidRPr="003D51AB">
        <w:t>for each individual band</w:t>
      </w:r>
      <w:r w:rsidR="00E60871" w:rsidRPr="003D51AB">
        <w:t xml:space="preserve"> on these additions and </w:t>
      </w:r>
      <w:r w:rsidR="00451E7D" w:rsidRPr="003D51AB">
        <w:t>th</w:t>
      </w:r>
      <w:r w:rsidR="00E60871" w:rsidRPr="003D51AB">
        <w:t>e resulting</w:t>
      </w:r>
      <w:r w:rsidR="00A9228D">
        <w:t xml:space="preserve"> updated preferred</w:t>
      </w:r>
      <w:r w:rsidR="00E60871" w:rsidRPr="003D51AB">
        <w:t xml:space="preserve"> $/MHz/pop price. </w:t>
      </w:r>
      <w:r w:rsidR="00FB75CB" w:rsidRPr="003D51AB">
        <w:t xml:space="preserve">This will provide </w:t>
      </w:r>
      <w:r w:rsidR="00EB1B03" w:rsidRPr="003D51AB">
        <w:t xml:space="preserve">stakeholders with visibility of the </w:t>
      </w:r>
      <w:r w:rsidR="00A9228D">
        <w:t xml:space="preserve">included </w:t>
      </w:r>
      <w:r w:rsidR="00EB1B03" w:rsidRPr="003D51AB">
        <w:t xml:space="preserve">awards and an opportunity </w:t>
      </w:r>
      <w:r w:rsidR="00451E7D" w:rsidRPr="003D51AB">
        <w:t>to provide feedback. Further details on the</w:t>
      </w:r>
      <w:r w:rsidR="00151CAE" w:rsidRPr="003D51AB">
        <w:t xml:space="preserve"> proposed scope and timing of these consultations </w:t>
      </w:r>
      <w:r w:rsidR="00705698">
        <w:t>are</w:t>
      </w:r>
      <w:r w:rsidR="006F6763">
        <w:t xml:space="preserve"> provided </w:t>
      </w:r>
      <w:r w:rsidR="00151CAE" w:rsidRPr="003D51AB">
        <w:t xml:space="preserve">in the </w:t>
      </w:r>
      <w:hyperlink w:anchor="_Proposed_consultation_on" w:history="1">
        <w:r w:rsidR="00151CAE" w:rsidRPr="003D51AB">
          <w:rPr>
            <w:rStyle w:val="Hyperlink"/>
          </w:rPr>
          <w:t>Proposed consultation on benchmark data updates</w:t>
        </w:r>
      </w:hyperlink>
      <w:r w:rsidR="00151CAE" w:rsidRPr="003D51AB">
        <w:t xml:space="preserve"> chapter of this paper</w:t>
      </w:r>
      <w:r w:rsidR="00705698">
        <w:t>.</w:t>
      </w:r>
    </w:p>
    <w:p w14:paraId="35EA18EF" w14:textId="77777777" w:rsidR="00464402" w:rsidRDefault="00464402" w:rsidP="003D51AB">
      <w:pPr>
        <w:pStyle w:val="Heading3"/>
      </w:pPr>
      <w:r>
        <w:t>Exclusion criteria</w:t>
      </w:r>
    </w:p>
    <w:p w14:paraId="7F52952A" w14:textId="252CABE0" w:rsidR="00622616" w:rsidRDefault="00E25871" w:rsidP="00622616">
      <w:pPr>
        <w:pStyle w:val="Paragraph"/>
      </w:pPr>
      <w:r>
        <w:t xml:space="preserve">New spectrum awards </w:t>
      </w:r>
      <w:r w:rsidR="002C6051">
        <w:t xml:space="preserve">identified for potential inclusion in the benchmark dataset will be assessed against the exclusion criteria </w:t>
      </w:r>
      <w:r w:rsidR="00622616" w:rsidRPr="00110F41">
        <w:t>developed</w:t>
      </w:r>
      <w:r w:rsidR="00622616">
        <w:t xml:space="preserve"> through consultation</w:t>
      </w:r>
      <w:r w:rsidR="00622616" w:rsidRPr="00110F41">
        <w:t xml:space="preserve"> during Stage 4 </w:t>
      </w:r>
      <w:r w:rsidR="00622616">
        <w:t>of the ESL</w:t>
      </w:r>
      <w:r w:rsidR="00622616" w:rsidRPr="00110F41">
        <w:t xml:space="preserve"> process</w:t>
      </w:r>
      <w:r w:rsidR="00622616">
        <w:t xml:space="preserve"> and informed by advice from</w:t>
      </w:r>
      <w:r w:rsidR="00622616" w:rsidRPr="00110F41">
        <w:t xml:space="preserve"> DotEcon</w:t>
      </w:r>
      <w:r w:rsidR="00622616">
        <w:t>.</w:t>
      </w:r>
      <w:r w:rsidR="00622616" w:rsidRPr="00110F41">
        <w:t xml:space="preserve"> </w:t>
      </w:r>
      <w:r w:rsidR="0077405A">
        <w:t>T</w:t>
      </w:r>
      <w:r w:rsidR="00622616">
        <w:t>hese criteria,</w:t>
      </w:r>
      <w:r w:rsidR="00F21D99">
        <w:t xml:space="preserve"> which were published in our </w:t>
      </w:r>
      <w:r w:rsidR="0022236F">
        <w:t>p</w:t>
      </w:r>
      <w:r w:rsidR="00F21D99">
        <w:t xml:space="preserve">referred </w:t>
      </w:r>
      <w:r w:rsidR="0022236F">
        <w:t>v</w:t>
      </w:r>
      <w:r w:rsidR="00F21D99">
        <w:t>iews paper and are</w:t>
      </w:r>
      <w:r w:rsidR="00622616">
        <w:t xml:space="preserve"> set out in </w:t>
      </w:r>
      <w:hyperlink w:anchor="_Appendix_A:_Exclusion" w:history="1">
        <w:r w:rsidR="00622616" w:rsidRPr="008C09FA">
          <w:rPr>
            <w:rStyle w:val="Hyperlink"/>
          </w:rPr>
          <w:t>Appendix A</w:t>
        </w:r>
      </w:hyperlink>
      <w:r w:rsidR="00622616">
        <w:t xml:space="preserve">, </w:t>
      </w:r>
      <w:r w:rsidR="0077405A">
        <w:t>will continue to be applied when determining whether</w:t>
      </w:r>
      <w:r w:rsidR="00C62372">
        <w:t xml:space="preserve"> a spectrum award will be included in the benchmark dataset. </w:t>
      </w:r>
    </w:p>
    <w:p w14:paraId="6D964195" w14:textId="7CAA3700" w:rsidR="00695528" w:rsidRDefault="007D2CFF" w:rsidP="00695528">
      <w:pPr>
        <w:pStyle w:val="Heading3"/>
      </w:pPr>
      <w:r>
        <w:t xml:space="preserve">Time trend analysis </w:t>
      </w:r>
    </w:p>
    <w:p w14:paraId="0CABA11B" w14:textId="19232B56" w:rsidR="005356C3" w:rsidRPr="005356C3" w:rsidRDefault="002D743B" w:rsidP="002D743B">
      <w:pPr>
        <w:pStyle w:val="Paragraph"/>
      </w:pPr>
      <w:r>
        <w:t xml:space="preserve">The time trend analysis and associated benchmark sample restrictions adopted in our </w:t>
      </w:r>
      <w:r w:rsidR="005E28EB">
        <w:t>p</w:t>
      </w:r>
      <w:r>
        <w:t xml:space="preserve">referred </w:t>
      </w:r>
      <w:r w:rsidR="005E28EB">
        <w:t>v</w:t>
      </w:r>
      <w:r>
        <w:t>iews paper will continue to be applied when updating benchmark datasets. Where a statistically significant time trend was identified for a band, we will retain the corresponding benchmark sample restrictions rather than rerunning the time trend analysis as new awards become available.</w:t>
      </w:r>
      <w:r w:rsidR="00A20E3E">
        <w:t xml:space="preserve"> </w:t>
      </w:r>
      <w:r>
        <w:t>This approach is intended to maintain the stability of the benchmarking methodology and ensure that changes in $/MHz/pop prices are driven primarily by new benchmark evidence</w:t>
      </w:r>
      <w:r w:rsidR="0021504B">
        <w:t>.</w:t>
      </w:r>
    </w:p>
    <w:p w14:paraId="4AD6D553" w14:textId="11E0868B" w:rsidR="00464402" w:rsidRDefault="00464402" w:rsidP="00B76520">
      <w:pPr>
        <w:pStyle w:val="Heading3"/>
      </w:pPr>
      <w:r>
        <w:t xml:space="preserve">Cut-off date </w:t>
      </w:r>
    </w:p>
    <w:p w14:paraId="660CDFCA" w14:textId="077E2C3F" w:rsidR="00622616" w:rsidRDefault="00774E21" w:rsidP="00170A8C">
      <w:pPr>
        <w:pStyle w:val="Paragraph"/>
      </w:pPr>
      <w:r>
        <w:t xml:space="preserve">In the </w:t>
      </w:r>
      <w:r w:rsidR="006D6683">
        <w:t>u</w:t>
      </w:r>
      <w:r>
        <w:t>pdated preliminary views on pricing consultation</w:t>
      </w:r>
      <w:r w:rsidR="00EA44EA">
        <w:t xml:space="preserve">, we </w:t>
      </w:r>
      <w:r w:rsidR="00367081">
        <w:t>proposed applying a cut-off date o</w:t>
      </w:r>
      <w:r w:rsidR="000E76B5">
        <w:t>f</w:t>
      </w:r>
      <w:r w:rsidR="00367081">
        <w:t xml:space="preserve"> 6 months before </w:t>
      </w:r>
      <w:r w:rsidR="009359F3">
        <w:t xml:space="preserve">the commencement of a renewal </w:t>
      </w:r>
      <w:r w:rsidR="000E76B5">
        <w:t xml:space="preserve">application period </w:t>
      </w:r>
      <w:r w:rsidR="00622616" w:rsidRPr="00484F01">
        <w:t>for the inclusion of new spectrum awards</w:t>
      </w:r>
      <w:r w:rsidR="00D663F5">
        <w:t xml:space="preserve">. </w:t>
      </w:r>
      <w:r w:rsidR="002F57DD" w:rsidRPr="002F57DD">
        <w:t xml:space="preserve">This approach received support from </w:t>
      </w:r>
      <w:proofErr w:type="gramStart"/>
      <w:r w:rsidR="002F57DD" w:rsidRPr="002F57DD">
        <w:t>a number of</w:t>
      </w:r>
      <w:proofErr w:type="gramEnd"/>
      <w:r w:rsidR="002F57DD" w:rsidRPr="002F57DD">
        <w:t xml:space="preserve"> stakeholders during consultation and was also supported by DotEcon. It was subsequently adopted in the </w:t>
      </w:r>
      <w:r w:rsidR="005E28EB">
        <w:t>p</w:t>
      </w:r>
      <w:r w:rsidR="002F57DD" w:rsidRPr="002F57DD">
        <w:t xml:space="preserve">referred </w:t>
      </w:r>
      <w:r w:rsidR="005E28EB">
        <w:t>v</w:t>
      </w:r>
      <w:r w:rsidR="002F57DD" w:rsidRPr="002F57DD">
        <w:t>iews paper.</w:t>
      </w:r>
      <w:r w:rsidR="002F57DD">
        <w:t xml:space="preserve"> </w:t>
      </w:r>
      <w:r w:rsidR="002E0569">
        <w:t>Th</w:t>
      </w:r>
      <w:r w:rsidR="002F57DD">
        <w:t>is</w:t>
      </w:r>
      <w:r w:rsidR="00622616">
        <w:t xml:space="preserve"> timing w</w:t>
      </w:r>
      <w:r w:rsidR="00622616" w:rsidRPr="00484F01">
        <w:t xml:space="preserve">ould </w:t>
      </w:r>
      <w:r w:rsidR="00622616">
        <w:t>provide</w:t>
      </w:r>
      <w:r w:rsidR="00622616" w:rsidRPr="00484F01">
        <w:t xml:space="preserve"> sufficient opportunity to verify any additions to the benchmark dataset, update the benchmarking analysis, recalculate </w:t>
      </w:r>
      <w:r w:rsidR="00AD2F46">
        <w:t xml:space="preserve">preferred </w:t>
      </w:r>
      <w:r w:rsidR="00622616">
        <w:t>renewal</w:t>
      </w:r>
      <w:r w:rsidR="00622616" w:rsidRPr="00484F01">
        <w:t xml:space="preserve"> prices on a $/MHz/pop basis and </w:t>
      </w:r>
      <w:r w:rsidR="008F528F">
        <w:t>consult on</w:t>
      </w:r>
      <w:r w:rsidR="00622616" w:rsidRPr="00484F01">
        <w:t xml:space="preserve"> any resulting changes. Establishing the cut-off in advance of the </w:t>
      </w:r>
      <w:r w:rsidR="00DE3364">
        <w:t xml:space="preserve">renewal </w:t>
      </w:r>
      <w:r w:rsidR="00622616" w:rsidRPr="00484F01">
        <w:t>application period would also ensure that updated preferred renewal prices are available to licensees before renewal applications open, supporting informed decision-making and providing greater planning certainty.</w:t>
      </w:r>
      <w:r w:rsidR="00622616">
        <w:t xml:space="preserve"> The proposed cut-off dates under this approach are outlined in Table </w:t>
      </w:r>
      <w:r w:rsidR="006B1FD9">
        <w:t>1</w:t>
      </w:r>
      <w:r w:rsidR="00622616">
        <w:t>.</w:t>
      </w:r>
    </w:p>
    <w:p w14:paraId="16F23123" w14:textId="77777777" w:rsidR="00622616" w:rsidRDefault="00622616" w:rsidP="00622616">
      <w:pPr>
        <w:pStyle w:val="Tableheading"/>
      </w:pPr>
      <w:r>
        <w:t xml:space="preserve">Cut-off dates for each band </w:t>
      </w:r>
    </w:p>
    <w:tbl>
      <w:tblPr>
        <w:tblStyle w:val="ACMAtablestyle"/>
        <w:tblW w:w="0" w:type="auto"/>
        <w:tblLook w:val="04A0" w:firstRow="1" w:lastRow="0" w:firstColumn="1" w:lastColumn="0" w:noHBand="0" w:noVBand="1"/>
      </w:tblPr>
      <w:tblGrid>
        <w:gridCol w:w="1696"/>
        <w:gridCol w:w="1276"/>
        <w:gridCol w:w="1891"/>
        <w:gridCol w:w="2103"/>
        <w:gridCol w:w="2094"/>
      </w:tblGrid>
      <w:tr w:rsidR="008A6F8A" w14:paraId="698662E4" w14:textId="77777777">
        <w:trPr>
          <w:cnfStyle w:val="100000000000" w:firstRow="1" w:lastRow="0" w:firstColumn="0" w:lastColumn="0" w:oddVBand="0" w:evenVBand="0" w:oddHBand="0" w:evenHBand="0" w:firstRowFirstColumn="0" w:firstRowLastColumn="0" w:lastRowFirstColumn="0" w:lastRowLastColumn="0"/>
        </w:trPr>
        <w:tc>
          <w:tcPr>
            <w:tcW w:w="1696" w:type="dxa"/>
          </w:tcPr>
          <w:p w14:paraId="41BB4120" w14:textId="77777777" w:rsidR="008A6F8A" w:rsidRPr="00DF1CF6" w:rsidRDefault="008A6F8A">
            <w:pPr>
              <w:pStyle w:val="Tableheaderrow"/>
            </w:pPr>
            <w:r w:rsidRPr="00DF1CF6">
              <w:t xml:space="preserve">Band </w:t>
            </w:r>
            <w:r>
              <w:t>g</w:t>
            </w:r>
            <w:r w:rsidRPr="00DF1CF6">
              <w:t>rouping</w:t>
            </w:r>
          </w:p>
        </w:tc>
        <w:tc>
          <w:tcPr>
            <w:tcW w:w="1276" w:type="dxa"/>
          </w:tcPr>
          <w:p w14:paraId="47BE4829" w14:textId="77777777" w:rsidR="008A6F8A" w:rsidRPr="00DF1CF6" w:rsidRDefault="008A6F8A">
            <w:pPr>
              <w:pStyle w:val="Tableheaderrow"/>
              <w:jc w:val="center"/>
            </w:pPr>
            <w:r w:rsidRPr="00DF1CF6">
              <w:t>Band</w:t>
            </w:r>
          </w:p>
        </w:tc>
        <w:tc>
          <w:tcPr>
            <w:tcW w:w="1891" w:type="dxa"/>
          </w:tcPr>
          <w:p w14:paraId="69E31712" w14:textId="77777777" w:rsidR="008A6F8A" w:rsidRPr="00703ADB" w:rsidRDefault="008A6F8A">
            <w:pPr>
              <w:pStyle w:val="Tableheaderrow"/>
              <w:jc w:val="center"/>
            </w:pPr>
            <w:r>
              <w:t>Benchmarking dataset cut-off</w:t>
            </w:r>
          </w:p>
        </w:tc>
        <w:tc>
          <w:tcPr>
            <w:tcW w:w="2103" w:type="dxa"/>
          </w:tcPr>
          <w:p w14:paraId="47F906FF" w14:textId="77777777" w:rsidR="008A6F8A" w:rsidRPr="00703ADB" w:rsidRDefault="008A6F8A">
            <w:pPr>
              <w:pStyle w:val="Tableheaderrow"/>
              <w:jc w:val="center"/>
            </w:pPr>
            <w:r>
              <w:t>Beginning of renewal application period</w:t>
            </w:r>
          </w:p>
        </w:tc>
        <w:tc>
          <w:tcPr>
            <w:tcW w:w="2094" w:type="dxa"/>
          </w:tcPr>
          <w:p w14:paraId="378E4F56" w14:textId="77777777" w:rsidR="008A6F8A" w:rsidRDefault="008A6F8A">
            <w:pPr>
              <w:pStyle w:val="Tableheaderrow"/>
              <w:jc w:val="center"/>
            </w:pPr>
            <w:r>
              <w:t>Licence expiry</w:t>
            </w:r>
          </w:p>
        </w:tc>
      </w:tr>
      <w:tr w:rsidR="008A6F8A" w14:paraId="0DA9EF1E" w14:textId="77777777">
        <w:trPr>
          <w:cnfStyle w:val="000000100000" w:firstRow="0" w:lastRow="0" w:firstColumn="0" w:lastColumn="0" w:oddVBand="0" w:evenVBand="0" w:oddHBand="1" w:evenHBand="0" w:firstRowFirstColumn="0" w:firstRowLastColumn="0" w:lastRowFirstColumn="0" w:lastRowLastColumn="0"/>
        </w:trPr>
        <w:tc>
          <w:tcPr>
            <w:tcW w:w="1696" w:type="dxa"/>
          </w:tcPr>
          <w:p w14:paraId="638CBE0F" w14:textId="21B922F4" w:rsidR="008A6F8A" w:rsidRPr="00703ADB" w:rsidRDefault="008A6F8A">
            <w:pPr>
              <w:pStyle w:val="TableBody"/>
              <w:rPr>
                <w:b/>
              </w:rPr>
            </w:pPr>
            <w:r w:rsidRPr="00703ADB">
              <w:t>Sub</w:t>
            </w:r>
            <w:r>
              <w:t>-</w:t>
            </w:r>
            <w:r w:rsidRPr="00703ADB">
              <w:t>1 GHz</w:t>
            </w:r>
          </w:p>
        </w:tc>
        <w:tc>
          <w:tcPr>
            <w:tcW w:w="1276" w:type="dxa"/>
          </w:tcPr>
          <w:p w14:paraId="2964419B" w14:textId="77777777" w:rsidR="008A6F8A" w:rsidRPr="00703ADB" w:rsidRDefault="008A6F8A">
            <w:pPr>
              <w:pStyle w:val="TableBody"/>
              <w:jc w:val="center"/>
              <w:rPr>
                <w:b/>
              </w:rPr>
            </w:pPr>
            <w:r w:rsidRPr="00703ADB">
              <w:t>850 MHz</w:t>
            </w:r>
          </w:p>
        </w:tc>
        <w:tc>
          <w:tcPr>
            <w:tcW w:w="1891" w:type="dxa"/>
          </w:tcPr>
          <w:p w14:paraId="0635B054" w14:textId="77777777" w:rsidR="008A6F8A" w:rsidRPr="00703ADB" w:rsidRDefault="008A6F8A">
            <w:pPr>
              <w:pStyle w:val="TableBody"/>
              <w:jc w:val="center"/>
              <w:rPr>
                <w:b/>
              </w:rPr>
            </w:pPr>
            <w:r w:rsidRPr="00703ADB">
              <w:t>N/A</w:t>
            </w:r>
            <w:r>
              <w:t xml:space="preserve"> – application period open</w:t>
            </w:r>
          </w:p>
        </w:tc>
        <w:tc>
          <w:tcPr>
            <w:tcW w:w="2103" w:type="dxa"/>
          </w:tcPr>
          <w:p w14:paraId="54BA31E6" w14:textId="77777777" w:rsidR="008A6F8A" w:rsidRPr="00703ADB" w:rsidRDefault="008A6F8A">
            <w:pPr>
              <w:pStyle w:val="TableBody"/>
              <w:jc w:val="center"/>
              <w:rPr>
                <w:b/>
              </w:rPr>
            </w:pPr>
            <w:r>
              <w:t>18 June 2026</w:t>
            </w:r>
          </w:p>
        </w:tc>
        <w:tc>
          <w:tcPr>
            <w:tcW w:w="2094" w:type="dxa"/>
          </w:tcPr>
          <w:p w14:paraId="061924EB" w14:textId="77777777" w:rsidR="008A6F8A" w:rsidRDefault="008A6F8A">
            <w:pPr>
              <w:pStyle w:val="TableBody"/>
              <w:jc w:val="center"/>
              <w:rPr>
                <w:b/>
              </w:rPr>
            </w:pPr>
            <w:r>
              <w:t>17 June 2028</w:t>
            </w:r>
          </w:p>
        </w:tc>
      </w:tr>
      <w:tr w:rsidR="008A6F8A" w14:paraId="58C44EA7" w14:textId="77777777">
        <w:trPr>
          <w:cnfStyle w:val="000000010000" w:firstRow="0" w:lastRow="0" w:firstColumn="0" w:lastColumn="0" w:oddVBand="0" w:evenVBand="0" w:oddHBand="0" w:evenHBand="1" w:firstRowFirstColumn="0" w:firstRowLastColumn="0" w:lastRowFirstColumn="0" w:lastRowLastColumn="0"/>
        </w:trPr>
        <w:tc>
          <w:tcPr>
            <w:tcW w:w="1696" w:type="dxa"/>
          </w:tcPr>
          <w:p w14:paraId="4B46F7A9" w14:textId="77777777" w:rsidR="008A6F8A" w:rsidRPr="00F615F6" w:rsidRDefault="008A6F8A">
            <w:pPr>
              <w:pStyle w:val="TableBody"/>
              <w:rPr>
                <w:b/>
              </w:rPr>
            </w:pPr>
            <w:r>
              <w:t>Lower 1–3 GHz</w:t>
            </w:r>
          </w:p>
        </w:tc>
        <w:tc>
          <w:tcPr>
            <w:tcW w:w="1276" w:type="dxa"/>
          </w:tcPr>
          <w:p w14:paraId="7C97FD36" w14:textId="77777777" w:rsidR="008A6F8A" w:rsidRPr="00703ADB" w:rsidRDefault="008A6F8A">
            <w:pPr>
              <w:pStyle w:val="TableBody"/>
              <w:jc w:val="center"/>
              <w:rPr>
                <w:b/>
              </w:rPr>
            </w:pPr>
            <w:r w:rsidRPr="00703ADB">
              <w:t>1800 MHz</w:t>
            </w:r>
          </w:p>
        </w:tc>
        <w:tc>
          <w:tcPr>
            <w:tcW w:w="1891" w:type="dxa"/>
          </w:tcPr>
          <w:p w14:paraId="6DD9F341" w14:textId="77777777" w:rsidR="008A6F8A" w:rsidRPr="00703ADB" w:rsidRDefault="008A6F8A">
            <w:pPr>
              <w:pStyle w:val="TableBody"/>
              <w:jc w:val="center"/>
              <w:rPr>
                <w:b/>
              </w:rPr>
            </w:pPr>
            <w:r w:rsidRPr="00703ADB">
              <w:t>N/A</w:t>
            </w:r>
            <w:r>
              <w:t xml:space="preserve"> – application period open</w:t>
            </w:r>
          </w:p>
        </w:tc>
        <w:tc>
          <w:tcPr>
            <w:tcW w:w="2103" w:type="dxa"/>
          </w:tcPr>
          <w:p w14:paraId="5D560184" w14:textId="77777777" w:rsidR="008A6F8A" w:rsidRPr="00703ADB" w:rsidRDefault="008A6F8A">
            <w:pPr>
              <w:pStyle w:val="TableBody"/>
              <w:jc w:val="center"/>
              <w:rPr>
                <w:b/>
              </w:rPr>
            </w:pPr>
            <w:r>
              <w:t>18 June 2026</w:t>
            </w:r>
          </w:p>
        </w:tc>
        <w:tc>
          <w:tcPr>
            <w:tcW w:w="2094" w:type="dxa"/>
          </w:tcPr>
          <w:p w14:paraId="47851D5D" w14:textId="77777777" w:rsidR="008A6F8A" w:rsidRDefault="008A6F8A">
            <w:pPr>
              <w:pStyle w:val="TableBody"/>
              <w:jc w:val="center"/>
              <w:rPr>
                <w:b/>
              </w:rPr>
            </w:pPr>
            <w:r>
              <w:t>17 June 2028</w:t>
            </w:r>
          </w:p>
        </w:tc>
      </w:tr>
      <w:tr w:rsidR="008A6F8A" w14:paraId="4BF551AF" w14:textId="77777777">
        <w:trPr>
          <w:cnfStyle w:val="000000100000" w:firstRow="0" w:lastRow="0" w:firstColumn="0" w:lastColumn="0" w:oddVBand="0" w:evenVBand="0" w:oddHBand="1" w:evenHBand="0" w:firstRowFirstColumn="0" w:firstRowLastColumn="0" w:lastRowFirstColumn="0" w:lastRowLastColumn="0"/>
        </w:trPr>
        <w:tc>
          <w:tcPr>
            <w:tcW w:w="1696" w:type="dxa"/>
          </w:tcPr>
          <w:p w14:paraId="7E0A3CA6" w14:textId="77777777" w:rsidR="008A6F8A" w:rsidRPr="00703ADB" w:rsidRDefault="008A6F8A">
            <w:pPr>
              <w:pStyle w:val="TableBody"/>
              <w:rPr>
                <w:b/>
              </w:rPr>
            </w:pPr>
            <w:r>
              <w:t>Upper 1–3 GHz</w:t>
            </w:r>
          </w:p>
        </w:tc>
        <w:tc>
          <w:tcPr>
            <w:tcW w:w="1276" w:type="dxa"/>
          </w:tcPr>
          <w:p w14:paraId="69C5A04B" w14:textId="77777777" w:rsidR="008A6F8A" w:rsidRPr="00703ADB" w:rsidRDefault="008A6F8A">
            <w:pPr>
              <w:pStyle w:val="TableBody"/>
              <w:jc w:val="center"/>
              <w:rPr>
                <w:b/>
              </w:rPr>
            </w:pPr>
            <w:r w:rsidRPr="00703ADB">
              <w:t>2.5 GHz</w:t>
            </w:r>
          </w:p>
        </w:tc>
        <w:tc>
          <w:tcPr>
            <w:tcW w:w="1891" w:type="dxa"/>
          </w:tcPr>
          <w:p w14:paraId="5DA33DFA" w14:textId="77777777" w:rsidR="008A6F8A" w:rsidRPr="00703ADB" w:rsidRDefault="008A6F8A">
            <w:pPr>
              <w:pStyle w:val="TableBody"/>
              <w:jc w:val="center"/>
              <w:rPr>
                <w:b/>
              </w:rPr>
            </w:pPr>
            <w:r>
              <w:t>1 April 2027</w:t>
            </w:r>
          </w:p>
        </w:tc>
        <w:tc>
          <w:tcPr>
            <w:tcW w:w="2103" w:type="dxa"/>
          </w:tcPr>
          <w:p w14:paraId="5A8D8CC4" w14:textId="77777777" w:rsidR="008A6F8A" w:rsidRPr="00703ADB" w:rsidRDefault="008A6F8A">
            <w:pPr>
              <w:pStyle w:val="TableBody"/>
              <w:jc w:val="center"/>
              <w:rPr>
                <w:b/>
              </w:rPr>
            </w:pPr>
            <w:r>
              <w:t>1 October 2027</w:t>
            </w:r>
          </w:p>
        </w:tc>
        <w:tc>
          <w:tcPr>
            <w:tcW w:w="2094" w:type="dxa"/>
          </w:tcPr>
          <w:p w14:paraId="035E1918" w14:textId="77777777" w:rsidR="008A6F8A" w:rsidRDefault="008A6F8A">
            <w:pPr>
              <w:pStyle w:val="TableBody"/>
              <w:jc w:val="center"/>
              <w:rPr>
                <w:b/>
              </w:rPr>
            </w:pPr>
            <w:r>
              <w:t>30 September 2029</w:t>
            </w:r>
          </w:p>
        </w:tc>
      </w:tr>
      <w:tr w:rsidR="008A6F8A" w14:paraId="353B300C" w14:textId="77777777">
        <w:trPr>
          <w:cnfStyle w:val="000000010000" w:firstRow="0" w:lastRow="0" w:firstColumn="0" w:lastColumn="0" w:oddVBand="0" w:evenVBand="0" w:oddHBand="0" w:evenHBand="1" w:firstRowFirstColumn="0" w:firstRowLastColumn="0" w:lastRowFirstColumn="0" w:lastRowLastColumn="0"/>
        </w:trPr>
        <w:tc>
          <w:tcPr>
            <w:tcW w:w="1696" w:type="dxa"/>
          </w:tcPr>
          <w:p w14:paraId="1D4B879C" w14:textId="6241B4AA" w:rsidR="008A6F8A" w:rsidRDefault="008A6F8A">
            <w:pPr>
              <w:pStyle w:val="TableBody"/>
              <w:rPr>
                <w:b/>
              </w:rPr>
            </w:pPr>
            <w:r w:rsidRPr="00703ADB">
              <w:t>Sub</w:t>
            </w:r>
            <w:r w:rsidR="00994726">
              <w:t>-</w:t>
            </w:r>
            <w:r w:rsidRPr="00703ADB">
              <w:t>1 GHz</w:t>
            </w:r>
          </w:p>
        </w:tc>
        <w:tc>
          <w:tcPr>
            <w:tcW w:w="1276" w:type="dxa"/>
          </w:tcPr>
          <w:p w14:paraId="759E27C3" w14:textId="77777777" w:rsidR="008A6F8A" w:rsidRPr="00703ADB" w:rsidRDefault="008A6F8A">
            <w:pPr>
              <w:pStyle w:val="TableBody"/>
              <w:jc w:val="center"/>
              <w:rPr>
                <w:b/>
              </w:rPr>
            </w:pPr>
            <w:r w:rsidRPr="00703ADB">
              <w:t>700 MHz</w:t>
            </w:r>
          </w:p>
        </w:tc>
        <w:tc>
          <w:tcPr>
            <w:tcW w:w="1891" w:type="dxa"/>
          </w:tcPr>
          <w:p w14:paraId="4F68579A" w14:textId="77777777" w:rsidR="008A6F8A" w:rsidRDefault="008A6F8A">
            <w:pPr>
              <w:pStyle w:val="TableBody"/>
              <w:jc w:val="center"/>
              <w:rPr>
                <w:b/>
              </w:rPr>
            </w:pPr>
            <w:r>
              <w:t>1 July 2027</w:t>
            </w:r>
          </w:p>
        </w:tc>
        <w:tc>
          <w:tcPr>
            <w:tcW w:w="2103" w:type="dxa"/>
          </w:tcPr>
          <w:p w14:paraId="70F5A135" w14:textId="77777777" w:rsidR="008A6F8A" w:rsidRPr="00703ADB" w:rsidRDefault="008A6F8A">
            <w:pPr>
              <w:pStyle w:val="TableBody"/>
              <w:jc w:val="center"/>
              <w:rPr>
                <w:b/>
              </w:rPr>
            </w:pPr>
            <w:r>
              <w:t>1 January 2028</w:t>
            </w:r>
          </w:p>
        </w:tc>
        <w:tc>
          <w:tcPr>
            <w:tcW w:w="2094" w:type="dxa"/>
          </w:tcPr>
          <w:p w14:paraId="1A366E89" w14:textId="77777777" w:rsidR="008A6F8A" w:rsidRDefault="008A6F8A">
            <w:pPr>
              <w:pStyle w:val="TableBody"/>
              <w:jc w:val="center"/>
              <w:rPr>
                <w:b/>
              </w:rPr>
            </w:pPr>
            <w:r>
              <w:t>31 December 2030</w:t>
            </w:r>
          </w:p>
        </w:tc>
      </w:tr>
      <w:tr w:rsidR="008A6F8A" w14:paraId="0F0FE4CD" w14:textId="77777777">
        <w:trPr>
          <w:cnfStyle w:val="000000100000" w:firstRow="0" w:lastRow="0" w:firstColumn="0" w:lastColumn="0" w:oddVBand="0" w:evenVBand="0" w:oddHBand="1" w:evenHBand="0" w:firstRowFirstColumn="0" w:firstRowLastColumn="0" w:lastRowFirstColumn="0" w:lastRowLastColumn="0"/>
        </w:trPr>
        <w:tc>
          <w:tcPr>
            <w:tcW w:w="1696" w:type="dxa"/>
          </w:tcPr>
          <w:p w14:paraId="3AAF11A1" w14:textId="77777777" w:rsidR="008A6F8A" w:rsidRPr="00703ADB" w:rsidRDefault="008A6F8A">
            <w:pPr>
              <w:pStyle w:val="TableBody"/>
              <w:rPr>
                <w:b/>
              </w:rPr>
            </w:pPr>
            <w:r>
              <w:t>Upper 1–3 GHz</w:t>
            </w:r>
          </w:p>
        </w:tc>
        <w:tc>
          <w:tcPr>
            <w:tcW w:w="1276" w:type="dxa"/>
          </w:tcPr>
          <w:p w14:paraId="69441C16" w14:textId="77777777" w:rsidR="008A6F8A" w:rsidRPr="00703ADB" w:rsidRDefault="008A6F8A">
            <w:pPr>
              <w:pStyle w:val="TableBody"/>
              <w:jc w:val="center"/>
              <w:rPr>
                <w:b/>
              </w:rPr>
            </w:pPr>
            <w:r w:rsidRPr="00703ADB">
              <w:t>2.3 GHz</w:t>
            </w:r>
          </w:p>
        </w:tc>
        <w:tc>
          <w:tcPr>
            <w:tcW w:w="1891" w:type="dxa"/>
          </w:tcPr>
          <w:p w14:paraId="74F66695" w14:textId="77777777" w:rsidR="008A6F8A" w:rsidRPr="00703ADB" w:rsidRDefault="008A6F8A">
            <w:pPr>
              <w:pStyle w:val="TableBody"/>
              <w:jc w:val="center"/>
              <w:rPr>
                <w:b/>
              </w:rPr>
            </w:pPr>
            <w:r>
              <w:t>25 January 2028</w:t>
            </w:r>
          </w:p>
        </w:tc>
        <w:tc>
          <w:tcPr>
            <w:tcW w:w="2103" w:type="dxa"/>
          </w:tcPr>
          <w:p w14:paraId="2BCA663B" w14:textId="77777777" w:rsidR="008A6F8A" w:rsidRPr="00703ADB" w:rsidRDefault="008A6F8A">
            <w:pPr>
              <w:pStyle w:val="TableBody"/>
              <w:jc w:val="center"/>
              <w:rPr>
                <w:b/>
              </w:rPr>
            </w:pPr>
            <w:r>
              <w:t>25 July 2028</w:t>
            </w:r>
          </w:p>
        </w:tc>
        <w:tc>
          <w:tcPr>
            <w:tcW w:w="2094" w:type="dxa"/>
          </w:tcPr>
          <w:p w14:paraId="0EC0A1E7" w14:textId="77777777" w:rsidR="008A6F8A" w:rsidRDefault="008A6F8A">
            <w:pPr>
              <w:pStyle w:val="TableBody"/>
              <w:jc w:val="center"/>
              <w:rPr>
                <w:b/>
              </w:rPr>
            </w:pPr>
            <w:r>
              <w:t>24 July 2030</w:t>
            </w:r>
          </w:p>
        </w:tc>
      </w:tr>
      <w:tr w:rsidR="008A6F8A" w14:paraId="73C5AE5D" w14:textId="77777777">
        <w:trPr>
          <w:cnfStyle w:val="000000010000" w:firstRow="0" w:lastRow="0" w:firstColumn="0" w:lastColumn="0" w:oddVBand="0" w:evenVBand="0" w:oddHBand="0" w:evenHBand="1" w:firstRowFirstColumn="0" w:firstRowLastColumn="0" w:lastRowFirstColumn="0" w:lastRowLastColumn="0"/>
        </w:trPr>
        <w:tc>
          <w:tcPr>
            <w:tcW w:w="1696" w:type="dxa"/>
          </w:tcPr>
          <w:p w14:paraId="6FC943B1" w14:textId="77777777" w:rsidR="008A6F8A" w:rsidRPr="00703ADB" w:rsidRDefault="008A6F8A">
            <w:pPr>
              <w:pStyle w:val="TableBody"/>
              <w:rPr>
                <w:b/>
              </w:rPr>
            </w:pPr>
            <w:r>
              <w:t>3.4 GHz</w:t>
            </w:r>
          </w:p>
        </w:tc>
        <w:tc>
          <w:tcPr>
            <w:tcW w:w="1276" w:type="dxa"/>
          </w:tcPr>
          <w:p w14:paraId="1736D87C" w14:textId="77777777" w:rsidR="008A6F8A" w:rsidRPr="00703ADB" w:rsidRDefault="008A6F8A">
            <w:pPr>
              <w:pStyle w:val="TableBody"/>
              <w:jc w:val="center"/>
              <w:rPr>
                <w:b/>
              </w:rPr>
            </w:pPr>
            <w:r w:rsidRPr="00703ADB">
              <w:t>3.4 GHz</w:t>
            </w:r>
          </w:p>
        </w:tc>
        <w:tc>
          <w:tcPr>
            <w:tcW w:w="1891" w:type="dxa"/>
          </w:tcPr>
          <w:p w14:paraId="2E1BD834" w14:textId="77777777" w:rsidR="008A6F8A" w:rsidRPr="00703ADB" w:rsidRDefault="008A6F8A">
            <w:pPr>
              <w:pStyle w:val="TableBody"/>
              <w:jc w:val="center"/>
              <w:rPr>
                <w:b/>
              </w:rPr>
            </w:pPr>
            <w:r>
              <w:t>14 June 2028</w:t>
            </w:r>
          </w:p>
        </w:tc>
        <w:tc>
          <w:tcPr>
            <w:tcW w:w="2103" w:type="dxa"/>
          </w:tcPr>
          <w:p w14:paraId="7D41FD7B" w14:textId="77777777" w:rsidR="008A6F8A" w:rsidRPr="00703ADB" w:rsidRDefault="008A6F8A">
            <w:pPr>
              <w:pStyle w:val="TableBody"/>
              <w:jc w:val="center"/>
              <w:rPr>
                <w:b/>
              </w:rPr>
            </w:pPr>
            <w:r>
              <w:t>14 December 2028</w:t>
            </w:r>
          </w:p>
        </w:tc>
        <w:tc>
          <w:tcPr>
            <w:tcW w:w="2094" w:type="dxa"/>
          </w:tcPr>
          <w:p w14:paraId="67A65988" w14:textId="77777777" w:rsidR="008A6F8A" w:rsidRDefault="008A6F8A">
            <w:pPr>
              <w:pStyle w:val="TableBody"/>
              <w:jc w:val="center"/>
              <w:rPr>
                <w:b/>
              </w:rPr>
            </w:pPr>
            <w:r>
              <w:t>13 December 2030</w:t>
            </w:r>
          </w:p>
        </w:tc>
      </w:tr>
      <w:tr w:rsidR="008A6F8A" w14:paraId="291308ED" w14:textId="77777777">
        <w:trPr>
          <w:cnfStyle w:val="000000100000" w:firstRow="0" w:lastRow="0" w:firstColumn="0" w:lastColumn="0" w:oddVBand="0" w:evenVBand="0" w:oddHBand="1" w:evenHBand="0" w:firstRowFirstColumn="0" w:firstRowLastColumn="0" w:lastRowFirstColumn="0" w:lastRowLastColumn="0"/>
        </w:trPr>
        <w:tc>
          <w:tcPr>
            <w:tcW w:w="1696" w:type="dxa"/>
          </w:tcPr>
          <w:p w14:paraId="01BF1E93" w14:textId="77777777" w:rsidR="008A6F8A" w:rsidRPr="00703ADB" w:rsidRDefault="008A6F8A">
            <w:pPr>
              <w:pStyle w:val="TableBody"/>
              <w:rPr>
                <w:b/>
              </w:rPr>
            </w:pPr>
            <w:r w:rsidRPr="00703ADB">
              <w:t>Lower 1</w:t>
            </w:r>
            <w:r>
              <w:t>–</w:t>
            </w:r>
            <w:r w:rsidRPr="00703ADB">
              <w:t>3 GHz</w:t>
            </w:r>
          </w:p>
        </w:tc>
        <w:tc>
          <w:tcPr>
            <w:tcW w:w="1276" w:type="dxa"/>
          </w:tcPr>
          <w:p w14:paraId="1C049963" w14:textId="77777777" w:rsidR="008A6F8A" w:rsidRPr="00703ADB" w:rsidRDefault="008A6F8A">
            <w:pPr>
              <w:pStyle w:val="TableBody"/>
              <w:jc w:val="center"/>
              <w:rPr>
                <w:b/>
              </w:rPr>
            </w:pPr>
            <w:r w:rsidRPr="00703ADB">
              <w:t>2 GHz</w:t>
            </w:r>
          </w:p>
        </w:tc>
        <w:tc>
          <w:tcPr>
            <w:tcW w:w="1891" w:type="dxa"/>
          </w:tcPr>
          <w:p w14:paraId="777D3658" w14:textId="77777777" w:rsidR="008A6F8A" w:rsidRPr="00703ADB" w:rsidRDefault="008A6F8A">
            <w:pPr>
              <w:pStyle w:val="TableBody"/>
              <w:jc w:val="center"/>
              <w:rPr>
                <w:b/>
              </w:rPr>
            </w:pPr>
            <w:r>
              <w:t>12 April 2030</w:t>
            </w:r>
          </w:p>
        </w:tc>
        <w:tc>
          <w:tcPr>
            <w:tcW w:w="2103" w:type="dxa"/>
          </w:tcPr>
          <w:p w14:paraId="199AB479" w14:textId="77777777" w:rsidR="008A6F8A" w:rsidRPr="00703ADB" w:rsidRDefault="008A6F8A">
            <w:pPr>
              <w:pStyle w:val="TableBody"/>
              <w:jc w:val="center"/>
              <w:rPr>
                <w:b/>
              </w:rPr>
            </w:pPr>
            <w:r>
              <w:t>12 October 2030</w:t>
            </w:r>
          </w:p>
        </w:tc>
        <w:tc>
          <w:tcPr>
            <w:tcW w:w="2094" w:type="dxa"/>
          </w:tcPr>
          <w:p w14:paraId="5F0A4C03" w14:textId="77777777" w:rsidR="008A6F8A" w:rsidRDefault="008A6F8A">
            <w:pPr>
              <w:pStyle w:val="TableBody"/>
              <w:jc w:val="center"/>
              <w:rPr>
                <w:b/>
              </w:rPr>
            </w:pPr>
            <w:r>
              <w:t>11 October 2032</w:t>
            </w:r>
          </w:p>
        </w:tc>
      </w:tr>
    </w:tbl>
    <w:p w14:paraId="5810B89E" w14:textId="77777777" w:rsidR="00622616" w:rsidRDefault="00622616" w:rsidP="00002C1D">
      <w:pPr>
        <w:pStyle w:val="Paragraph"/>
      </w:pPr>
    </w:p>
    <w:p w14:paraId="5B602A1E" w14:textId="3D05F2EC" w:rsidR="008D3A3B" w:rsidRDefault="008D3A3B" w:rsidP="0038239D">
      <w:pPr>
        <w:pStyle w:val="Heading2"/>
      </w:pPr>
      <w:bookmarkStart w:id="12" w:name="_Toc242777936"/>
      <w:r>
        <w:t>Currency conversion</w:t>
      </w:r>
      <w:bookmarkEnd w:id="12"/>
      <w:r w:rsidR="00E96306">
        <w:t xml:space="preserve"> </w:t>
      </w:r>
    </w:p>
    <w:p w14:paraId="1267E707" w14:textId="64A7A89D" w:rsidR="00E96306" w:rsidRDefault="00153C4D" w:rsidP="00E96306">
      <w:pPr>
        <w:pStyle w:val="Paragraph"/>
      </w:pPr>
      <w:r>
        <w:t>The benchmarking methodology rel</w:t>
      </w:r>
      <w:r w:rsidR="00FE281C">
        <w:t>i</w:t>
      </w:r>
      <w:r>
        <w:t>es on Worl</w:t>
      </w:r>
      <w:r w:rsidR="000B5532">
        <w:t>d</w:t>
      </w:r>
      <w:r>
        <w:t xml:space="preserve"> Bank </w:t>
      </w:r>
      <w:r w:rsidR="00C024DE">
        <w:t>PPP</w:t>
      </w:r>
      <w:r w:rsidR="00405C0E">
        <w:t xml:space="preserve"> </w:t>
      </w:r>
      <w:r w:rsidR="00872DC1">
        <w:t xml:space="preserve">exchange rates </w:t>
      </w:r>
      <w:r w:rsidR="00FA37F8">
        <w:t xml:space="preserve">and other economic </w:t>
      </w:r>
      <w:r>
        <w:t xml:space="preserve">data to convert </w:t>
      </w:r>
      <w:r w:rsidR="00CA4633">
        <w:t xml:space="preserve">international </w:t>
      </w:r>
      <w:r w:rsidR="00E83008">
        <w:t xml:space="preserve">benchmark </w:t>
      </w:r>
      <w:r w:rsidR="00CA4633">
        <w:t xml:space="preserve">prices into </w:t>
      </w:r>
      <w:r w:rsidR="00164FFB">
        <w:t>equivalent</w:t>
      </w:r>
      <w:r w:rsidR="00CA4633">
        <w:t xml:space="preserve"> </w:t>
      </w:r>
      <w:r w:rsidR="002B65D3">
        <w:t>A$</w:t>
      </w:r>
      <w:r w:rsidR="00164FFB">
        <w:t xml:space="preserve"> values</w:t>
      </w:r>
      <w:r w:rsidR="00203F6C">
        <w:t xml:space="preserve">. </w:t>
      </w:r>
      <w:r w:rsidR="00FA37F8" w:rsidRPr="00FA37F8">
        <w:t xml:space="preserve">The World Bank </w:t>
      </w:r>
      <w:r w:rsidR="000B1670">
        <w:t xml:space="preserve">publishes </w:t>
      </w:r>
      <w:r w:rsidR="00C33E9A">
        <w:t>updates for</w:t>
      </w:r>
      <w:r w:rsidR="00FA37F8" w:rsidRPr="00FA37F8">
        <w:t xml:space="preserve"> these datasets annually on 1 July</w:t>
      </w:r>
      <w:r w:rsidR="00C33E9A">
        <w:t>, which</w:t>
      </w:r>
      <w:r w:rsidR="00725070">
        <w:t xml:space="preserve"> also</w:t>
      </w:r>
      <w:r w:rsidR="00C33E9A">
        <w:t xml:space="preserve"> include </w:t>
      </w:r>
      <w:r w:rsidR="00725070">
        <w:t xml:space="preserve">revisions to </w:t>
      </w:r>
      <w:r w:rsidR="00F67327">
        <w:t xml:space="preserve">figures from </w:t>
      </w:r>
      <w:r w:rsidR="003447FA">
        <w:t xml:space="preserve">the </w:t>
      </w:r>
      <w:r w:rsidR="00543F98">
        <w:t xml:space="preserve">preceding </w:t>
      </w:r>
      <w:r w:rsidR="003447FA">
        <w:t>2</w:t>
      </w:r>
      <w:r w:rsidR="00D07713">
        <w:t xml:space="preserve"> years</w:t>
      </w:r>
      <w:r w:rsidR="00F67327">
        <w:t xml:space="preserve">. </w:t>
      </w:r>
    </w:p>
    <w:p w14:paraId="3E19BFFA" w14:textId="0E74102E" w:rsidR="00F67327" w:rsidRPr="00E96306" w:rsidRDefault="004D5784" w:rsidP="0035258D">
      <w:pPr>
        <w:pStyle w:val="Paragraph"/>
      </w:pPr>
      <w:r>
        <w:t xml:space="preserve">As a result of the most recent update, </w:t>
      </w:r>
      <w:r w:rsidR="00893878">
        <w:t>the value</w:t>
      </w:r>
      <w:r w:rsidR="00F02EA7">
        <w:t>s</w:t>
      </w:r>
      <w:r w:rsidR="00893878">
        <w:t xml:space="preserve"> of some benchmark observations </w:t>
      </w:r>
      <w:r w:rsidR="00D07713">
        <w:t>have</w:t>
      </w:r>
      <w:r w:rsidR="00893878">
        <w:t xml:space="preserve"> changed</w:t>
      </w:r>
      <w:r w:rsidR="00D07713">
        <w:t>,</w:t>
      </w:r>
      <w:r w:rsidR="00893878">
        <w:t xml:space="preserve"> </w:t>
      </w:r>
      <w:r w:rsidR="005D623F">
        <w:t>leading to new</w:t>
      </w:r>
      <w:r w:rsidR="000D2686">
        <w:t xml:space="preserve"> $/MHz/</w:t>
      </w:r>
      <w:r w:rsidR="009D1BD8">
        <w:t>p</w:t>
      </w:r>
      <w:r w:rsidR="000D2686">
        <w:t xml:space="preserve">op prices </w:t>
      </w:r>
      <w:r w:rsidR="00F02EA7">
        <w:t>that differ</w:t>
      </w:r>
      <w:r w:rsidR="00C62EBC">
        <w:t xml:space="preserve"> slightly</w:t>
      </w:r>
      <w:r w:rsidR="007E32DF">
        <w:t xml:space="preserve"> from those </w:t>
      </w:r>
      <w:r w:rsidR="000D2686">
        <w:t xml:space="preserve">published in our </w:t>
      </w:r>
      <w:r w:rsidR="00CC20DD">
        <w:t>p</w:t>
      </w:r>
      <w:r w:rsidR="000D2686">
        <w:t>re</w:t>
      </w:r>
      <w:r w:rsidR="00A974E9">
        <w:t xml:space="preserve">ferred </w:t>
      </w:r>
      <w:r w:rsidR="00CC20DD">
        <w:t>v</w:t>
      </w:r>
      <w:r w:rsidR="00A974E9">
        <w:t>iews paper</w:t>
      </w:r>
      <w:r w:rsidR="005174C0">
        <w:t xml:space="preserve">. </w:t>
      </w:r>
      <w:r w:rsidR="00F66562">
        <w:t>The</w:t>
      </w:r>
      <w:r w:rsidR="00324B43" w:rsidRPr="00324B43">
        <w:t xml:space="preserve"> magnitude and direction of price changes </w:t>
      </w:r>
      <w:r w:rsidR="00426508">
        <w:t>vary across bands</w:t>
      </w:r>
      <w:r w:rsidR="00324B43" w:rsidRPr="00324B43">
        <w:t xml:space="preserve">, </w:t>
      </w:r>
      <w:r w:rsidR="005439A8">
        <w:t xml:space="preserve">because </w:t>
      </w:r>
      <w:r w:rsidR="005A5CC9">
        <w:t>each band</w:t>
      </w:r>
      <w:r w:rsidR="00FD6763">
        <w:t>’</w:t>
      </w:r>
      <w:r w:rsidR="005A5CC9">
        <w:t>s benchmark sample contains a different mix of countries and award dates</w:t>
      </w:r>
      <w:r w:rsidR="00BC6B06">
        <w:t xml:space="preserve">. For example, bands with a greater proportion of benchmark </w:t>
      </w:r>
      <w:r w:rsidR="00AB466C">
        <w:t xml:space="preserve">awards from 2024 and 2025 are likely to be more affected by the World Bank’s revisions than bands with relatively few awards from those years, as the annual updates revise data from the preceding 2 years. </w:t>
      </w:r>
      <w:r w:rsidR="00C359A3" w:rsidRPr="00C359A3">
        <w:t xml:space="preserve">Changes to the </w:t>
      </w:r>
      <w:r w:rsidR="00676A18">
        <w:t>p</w:t>
      </w:r>
      <w:r w:rsidR="006F6688" w:rsidRPr="00C359A3">
        <w:t xml:space="preserve">referred </w:t>
      </w:r>
      <w:r w:rsidR="00676A18">
        <w:t>v</w:t>
      </w:r>
      <w:r w:rsidR="00C359A3" w:rsidRPr="00C359A3">
        <w:t xml:space="preserve">iews $/MHz/pop prices resulting from these updates, which </w:t>
      </w:r>
      <w:r w:rsidR="00A759C3">
        <w:t>will</w:t>
      </w:r>
      <w:r w:rsidR="00C359A3" w:rsidRPr="00C359A3">
        <w:t xml:space="preserve"> serve as the reference point for assessing any future changes to </w:t>
      </w:r>
      <w:r w:rsidR="00676A18">
        <w:t>p</w:t>
      </w:r>
      <w:r w:rsidR="0064318D" w:rsidRPr="00C359A3">
        <w:t xml:space="preserve">referred </w:t>
      </w:r>
      <w:r w:rsidR="00676A18">
        <w:t>v</w:t>
      </w:r>
      <w:r w:rsidR="00C359A3" w:rsidRPr="00C359A3">
        <w:t>iews $/MHz/pop prices, are summarised in Table 2</w:t>
      </w:r>
      <w:r w:rsidR="0043645D">
        <w:t>.</w:t>
      </w:r>
      <w:r w:rsidR="00C62EBC">
        <w:rPr>
          <w:rStyle w:val="FootnoteReference"/>
        </w:rPr>
        <w:footnoteReference w:id="1"/>
      </w:r>
    </w:p>
    <w:p w14:paraId="5FD78B60" w14:textId="77777777" w:rsidR="0043645D" w:rsidRDefault="0043645D" w:rsidP="0043645D">
      <w:pPr>
        <w:pStyle w:val="Tableheading"/>
      </w:pPr>
      <w:r>
        <w:t>Price in $/MHz/pop</w:t>
      </w:r>
    </w:p>
    <w:tbl>
      <w:tblPr>
        <w:tblStyle w:val="ACMAtablestyle"/>
        <w:tblW w:w="0" w:type="auto"/>
        <w:tblLook w:val="04A0" w:firstRow="1" w:lastRow="0" w:firstColumn="1" w:lastColumn="0" w:noHBand="0" w:noVBand="1"/>
      </w:tblPr>
      <w:tblGrid>
        <w:gridCol w:w="2265"/>
        <w:gridCol w:w="2265"/>
        <w:gridCol w:w="2265"/>
        <w:gridCol w:w="2265"/>
      </w:tblGrid>
      <w:tr w:rsidR="0043645D" w14:paraId="64DB3904" w14:textId="77777777" w:rsidTr="00DC6F94">
        <w:trPr>
          <w:cnfStyle w:val="100000000000" w:firstRow="1" w:lastRow="0" w:firstColumn="0" w:lastColumn="0" w:oddVBand="0" w:evenVBand="0" w:oddHBand="0" w:evenHBand="0" w:firstRowFirstColumn="0" w:firstRowLastColumn="0" w:lastRowFirstColumn="0" w:lastRowLastColumn="0"/>
        </w:trPr>
        <w:tc>
          <w:tcPr>
            <w:tcW w:w="2265" w:type="dxa"/>
            <w:vAlign w:val="center"/>
          </w:tcPr>
          <w:p w14:paraId="6B0AC647" w14:textId="159D7D65" w:rsidR="0043645D" w:rsidRPr="00A86A03" w:rsidRDefault="0043645D" w:rsidP="00DC6F94">
            <w:pPr>
              <w:pStyle w:val="Tableheaderrow"/>
              <w:jc w:val="center"/>
            </w:pPr>
            <w:r w:rsidRPr="00A86A03">
              <w:t xml:space="preserve">Band </w:t>
            </w:r>
            <w:r w:rsidR="00F25C2D">
              <w:t>g</w:t>
            </w:r>
            <w:r w:rsidRPr="00A86A03">
              <w:t>rouping</w:t>
            </w:r>
          </w:p>
        </w:tc>
        <w:tc>
          <w:tcPr>
            <w:tcW w:w="2265" w:type="dxa"/>
            <w:vAlign w:val="center"/>
          </w:tcPr>
          <w:p w14:paraId="17657AEC" w14:textId="77777777" w:rsidR="0043645D" w:rsidRPr="00A86A03" w:rsidRDefault="0043645D" w:rsidP="00DC6F94">
            <w:pPr>
              <w:pStyle w:val="Tableheaderrow"/>
              <w:jc w:val="center"/>
            </w:pPr>
            <w:r w:rsidRPr="00A86A03">
              <w:t>Band</w:t>
            </w:r>
          </w:p>
        </w:tc>
        <w:tc>
          <w:tcPr>
            <w:tcW w:w="2265" w:type="dxa"/>
            <w:vAlign w:val="center"/>
          </w:tcPr>
          <w:p w14:paraId="2B295D38" w14:textId="55E04682" w:rsidR="0043645D" w:rsidRPr="00A86A03" w:rsidRDefault="0043645D" w:rsidP="00DC6F94">
            <w:pPr>
              <w:pStyle w:val="Tableheaderrow"/>
              <w:jc w:val="center"/>
            </w:pPr>
            <w:r w:rsidRPr="00A86A03">
              <w:t xml:space="preserve">Preferred </w:t>
            </w:r>
            <w:r w:rsidR="00F25C2D">
              <w:t>v</w:t>
            </w:r>
            <w:r w:rsidRPr="00A86A03">
              <w:t>iews</w:t>
            </w:r>
          </w:p>
        </w:tc>
        <w:tc>
          <w:tcPr>
            <w:tcW w:w="2265" w:type="dxa"/>
            <w:vAlign w:val="center"/>
          </w:tcPr>
          <w:p w14:paraId="6CE9EAA2" w14:textId="17FDD99F" w:rsidR="0043645D" w:rsidRPr="00A86A03" w:rsidRDefault="00551099" w:rsidP="00DC6F94">
            <w:pPr>
              <w:pStyle w:val="Tableheaderrow"/>
              <w:jc w:val="center"/>
            </w:pPr>
            <w:r>
              <w:rPr>
                <w:bCs/>
              </w:rPr>
              <w:t xml:space="preserve">2026 World Bank </w:t>
            </w:r>
            <w:r w:rsidR="00F25C2D">
              <w:rPr>
                <w:bCs/>
              </w:rPr>
              <w:t>u</w:t>
            </w:r>
            <w:r>
              <w:rPr>
                <w:bCs/>
              </w:rPr>
              <w:t>pdates</w:t>
            </w:r>
          </w:p>
        </w:tc>
      </w:tr>
      <w:tr w:rsidR="00CE687B" w14:paraId="7CADC85A" w14:textId="77777777" w:rsidTr="00E9143C">
        <w:trPr>
          <w:cnfStyle w:val="000000100000" w:firstRow="0" w:lastRow="0" w:firstColumn="0" w:lastColumn="0" w:oddVBand="0" w:evenVBand="0" w:oddHBand="1" w:evenHBand="0" w:firstRowFirstColumn="0" w:firstRowLastColumn="0" w:lastRowFirstColumn="0" w:lastRowLastColumn="0"/>
        </w:trPr>
        <w:tc>
          <w:tcPr>
            <w:tcW w:w="2265" w:type="dxa"/>
            <w:vAlign w:val="center"/>
          </w:tcPr>
          <w:p w14:paraId="49274B82" w14:textId="77777777" w:rsidR="00CE687B" w:rsidRDefault="00CE687B" w:rsidP="00CE687B">
            <w:pPr>
              <w:pStyle w:val="TableBody"/>
              <w:jc w:val="center"/>
            </w:pPr>
            <w:r>
              <w:t>Sub-1 GHz</w:t>
            </w:r>
          </w:p>
        </w:tc>
        <w:tc>
          <w:tcPr>
            <w:tcW w:w="2265" w:type="dxa"/>
            <w:vAlign w:val="center"/>
          </w:tcPr>
          <w:p w14:paraId="03889A24" w14:textId="77777777" w:rsidR="00CE687B" w:rsidRDefault="00CE687B" w:rsidP="00CE687B">
            <w:pPr>
              <w:pStyle w:val="TableBody"/>
              <w:jc w:val="center"/>
            </w:pPr>
            <w:r>
              <w:t>700 MHz</w:t>
            </w:r>
          </w:p>
        </w:tc>
        <w:tc>
          <w:tcPr>
            <w:tcW w:w="2265" w:type="dxa"/>
            <w:vAlign w:val="center"/>
          </w:tcPr>
          <w:p w14:paraId="2A8DF760" w14:textId="77777777" w:rsidR="00CE687B" w:rsidRDefault="00CE687B" w:rsidP="00CE687B">
            <w:pPr>
              <w:pStyle w:val="TableBody"/>
              <w:jc w:val="center"/>
            </w:pPr>
            <w:r>
              <w:t>0.6618</w:t>
            </w:r>
          </w:p>
        </w:tc>
        <w:tc>
          <w:tcPr>
            <w:tcW w:w="2265" w:type="dxa"/>
          </w:tcPr>
          <w:p w14:paraId="2357DC5E" w14:textId="1BF53502" w:rsidR="00CE687B" w:rsidRDefault="00CE687B" w:rsidP="00CE687B">
            <w:pPr>
              <w:pStyle w:val="TableBody"/>
              <w:jc w:val="center"/>
            </w:pPr>
            <w:r>
              <w:t>0.6604</w:t>
            </w:r>
          </w:p>
        </w:tc>
      </w:tr>
      <w:tr w:rsidR="00CE687B" w14:paraId="222BF0BE" w14:textId="77777777" w:rsidTr="00E9143C">
        <w:trPr>
          <w:cnfStyle w:val="000000010000" w:firstRow="0" w:lastRow="0" w:firstColumn="0" w:lastColumn="0" w:oddVBand="0" w:evenVBand="0" w:oddHBand="0" w:evenHBand="1" w:firstRowFirstColumn="0" w:firstRowLastColumn="0" w:lastRowFirstColumn="0" w:lastRowLastColumn="0"/>
        </w:trPr>
        <w:tc>
          <w:tcPr>
            <w:tcW w:w="2265" w:type="dxa"/>
            <w:vAlign w:val="center"/>
          </w:tcPr>
          <w:p w14:paraId="31EC2C77" w14:textId="00926DED" w:rsidR="00CE687B" w:rsidRDefault="00CE687B" w:rsidP="00CE687B">
            <w:pPr>
              <w:pStyle w:val="TableBody"/>
              <w:jc w:val="center"/>
            </w:pPr>
            <w:r>
              <w:t>Lower 1</w:t>
            </w:r>
            <w:r w:rsidR="00006143">
              <w:t>–</w:t>
            </w:r>
            <w:r>
              <w:t>3 GHz</w:t>
            </w:r>
          </w:p>
        </w:tc>
        <w:tc>
          <w:tcPr>
            <w:tcW w:w="2265" w:type="dxa"/>
            <w:vAlign w:val="center"/>
          </w:tcPr>
          <w:p w14:paraId="4C72B02A" w14:textId="77777777" w:rsidR="00CE687B" w:rsidRDefault="00CE687B" w:rsidP="00CE687B">
            <w:pPr>
              <w:pStyle w:val="TableBody"/>
              <w:jc w:val="center"/>
            </w:pPr>
            <w:r>
              <w:t>2 GHz</w:t>
            </w:r>
          </w:p>
        </w:tc>
        <w:tc>
          <w:tcPr>
            <w:tcW w:w="2265" w:type="dxa"/>
            <w:vAlign w:val="center"/>
          </w:tcPr>
          <w:p w14:paraId="66DD1A6A" w14:textId="77777777" w:rsidR="00CE687B" w:rsidRDefault="00CE687B" w:rsidP="00CE687B">
            <w:pPr>
              <w:pStyle w:val="TableBody"/>
              <w:jc w:val="center"/>
            </w:pPr>
            <w:r>
              <w:t>0.3389</w:t>
            </w:r>
          </w:p>
        </w:tc>
        <w:tc>
          <w:tcPr>
            <w:tcW w:w="2265" w:type="dxa"/>
          </w:tcPr>
          <w:p w14:paraId="4B4B4892" w14:textId="28FF470C" w:rsidR="00CE687B" w:rsidRDefault="00CE687B" w:rsidP="00CE687B">
            <w:pPr>
              <w:pStyle w:val="TableBody"/>
              <w:jc w:val="center"/>
            </w:pPr>
            <w:r>
              <w:t>0.3404</w:t>
            </w:r>
          </w:p>
        </w:tc>
      </w:tr>
      <w:tr w:rsidR="00CE687B" w14:paraId="627174DE" w14:textId="77777777" w:rsidTr="00E9143C">
        <w:trPr>
          <w:cnfStyle w:val="000000100000" w:firstRow="0" w:lastRow="0" w:firstColumn="0" w:lastColumn="0" w:oddVBand="0" w:evenVBand="0" w:oddHBand="1" w:evenHBand="0" w:firstRowFirstColumn="0" w:firstRowLastColumn="0" w:lastRowFirstColumn="0" w:lastRowLastColumn="0"/>
        </w:trPr>
        <w:tc>
          <w:tcPr>
            <w:tcW w:w="2265" w:type="dxa"/>
            <w:vMerge w:val="restart"/>
            <w:vAlign w:val="center"/>
          </w:tcPr>
          <w:p w14:paraId="0ABF6B7D" w14:textId="0C8FC351" w:rsidR="00CE687B" w:rsidRDefault="00CE687B" w:rsidP="00CE687B">
            <w:pPr>
              <w:pStyle w:val="TableBody"/>
              <w:jc w:val="center"/>
            </w:pPr>
            <w:r>
              <w:t>Upper 1</w:t>
            </w:r>
            <w:r w:rsidR="00006143">
              <w:t>–</w:t>
            </w:r>
            <w:r>
              <w:t>3 GHz</w:t>
            </w:r>
          </w:p>
        </w:tc>
        <w:tc>
          <w:tcPr>
            <w:tcW w:w="2265" w:type="dxa"/>
            <w:vAlign w:val="center"/>
          </w:tcPr>
          <w:p w14:paraId="6C8B524E" w14:textId="77777777" w:rsidR="00CE687B" w:rsidRDefault="00CE687B" w:rsidP="00CE687B">
            <w:pPr>
              <w:pStyle w:val="TableBody"/>
              <w:jc w:val="center"/>
            </w:pPr>
            <w:r>
              <w:t>2.3 GHz</w:t>
            </w:r>
          </w:p>
        </w:tc>
        <w:tc>
          <w:tcPr>
            <w:tcW w:w="2265" w:type="dxa"/>
            <w:vAlign w:val="center"/>
          </w:tcPr>
          <w:p w14:paraId="37E16782" w14:textId="77777777" w:rsidR="00CE687B" w:rsidRDefault="00CE687B" w:rsidP="00CE687B">
            <w:pPr>
              <w:pStyle w:val="TableBody"/>
              <w:jc w:val="center"/>
            </w:pPr>
            <w:r>
              <w:t>0.1754</w:t>
            </w:r>
          </w:p>
        </w:tc>
        <w:tc>
          <w:tcPr>
            <w:tcW w:w="2265" w:type="dxa"/>
          </w:tcPr>
          <w:p w14:paraId="5D4CB2BA" w14:textId="64556F79" w:rsidR="00CE687B" w:rsidRDefault="00CE687B" w:rsidP="00CE687B">
            <w:pPr>
              <w:pStyle w:val="TableBody"/>
              <w:jc w:val="center"/>
            </w:pPr>
            <w:r>
              <w:t>0.1759</w:t>
            </w:r>
          </w:p>
        </w:tc>
      </w:tr>
      <w:tr w:rsidR="00CE687B" w14:paraId="64C9DE48" w14:textId="77777777" w:rsidTr="00E9143C">
        <w:trPr>
          <w:cnfStyle w:val="000000010000" w:firstRow="0" w:lastRow="0" w:firstColumn="0" w:lastColumn="0" w:oddVBand="0" w:evenVBand="0" w:oddHBand="0" w:evenHBand="1" w:firstRowFirstColumn="0" w:firstRowLastColumn="0" w:lastRowFirstColumn="0" w:lastRowLastColumn="0"/>
        </w:trPr>
        <w:tc>
          <w:tcPr>
            <w:tcW w:w="2265" w:type="dxa"/>
            <w:vMerge/>
            <w:vAlign w:val="center"/>
          </w:tcPr>
          <w:p w14:paraId="359D46AF" w14:textId="77777777" w:rsidR="00CE687B" w:rsidRDefault="00CE687B" w:rsidP="00CE687B">
            <w:pPr>
              <w:pStyle w:val="TableBody"/>
              <w:jc w:val="center"/>
            </w:pPr>
          </w:p>
        </w:tc>
        <w:tc>
          <w:tcPr>
            <w:tcW w:w="2265" w:type="dxa"/>
            <w:vAlign w:val="center"/>
          </w:tcPr>
          <w:p w14:paraId="6DAD7FD6" w14:textId="77777777" w:rsidR="00CE687B" w:rsidRDefault="00CE687B" w:rsidP="00CE687B">
            <w:pPr>
              <w:pStyle w:val="TableBody"/>
              <w:jc w:val="center"/>
            </w:pPr>
            <w:r>
              <w:t>2.5 GHz</w:t>
            </w:r>
          </w:p>
        </w:tc>
        <w:tc>
          <w:tcPr>
            <w:tcW w:w="2265" w:type="dxa"/>
            <w:vAlign w:val="center"/>
          </w:tcPr>
          <w:p w14:paraId="340E33E6" w14:textId="77777777" w:rsidR="00CE687B" w:rsidRDefault="00CE687B" w:rsidP="00CE687B">
            <w:pPr>
              <w:pStyle w:val="TableBody"/>
              <w:jc w:val="center"/>
            </w:pPr>
            <w:r>
              <w:t>0.1774</w:t>
            </w:r>
          </w:p>
        </w:tc>
        <w:tc>
          <w:tcPr>
            <w:tcW w:w="2265" w:type="dxa"/>
          </w:tcPr>
          <w:p w14:paraId="1FE9BB79" w14:textId="3CA2662D" w:rsidR="00CE687B" w:rsidRDefault="00CE687B" w:rsidP="00CE687B">
            <w:pPr>
              <w:pStyle w:val="TableBody"/>
              <w:jc w:val="center"/>
            </w:pPr>
            <w:r>
              <w:t>0.1779</w:t>
            </w:r>
          </w:p>
        </w:tc>
      </w:tr>
      <w:tr w:rsidR="00CE687B" w14:paraId="1CAA7E7E" w14:textId="77777777" w:rsidTr="00E9143C">
        <w:trPr>
          <w:cnfStyle w:val="000000100000" w:firstRow="0" w:lastRow="0" w:firstColumn="0" w:lastColumn="0" w:oddVBand="0" w:evenVBand="0" w:oddHBand="1" w:evenHBand="0" w:firstRowFirstColumn="0" w:firstRowLastColumn="0" w:lastRowFirstColumn="0" w:lastRowLastColumn="0"/>
        </w:trPr>
        <w:tc>
          <w:tcPr>
            <w:tcW w:w="2265" w:type="dxa"/>
            <w:vAlign w:val="center"/>
          </w:tcPr>
          <w:p w14:paraId="2F615B61" w14:textId="77777777" w:rsidR="00CE687B" w:rsidRDefault="00CE687B" w:rsidP="00CE687B">
            <w:pPr>
              <w:pStyle w:val="TableBody"/>
              <w:jc w:val="center"/>
            </w:pPr>
            <w:r>
              <w:t>3.4 GHz</w:t>
            </w:r>
          </w:p>
        </w:tc>
        <w:tc>
          <w:tcPr>
            <w:tcW w:w="2265" w:type="dxa"/>
            <w:vAlign w:val="center"/>
          </w:tcPr>
          <w:p w14:paraId="44FB6F4E" w14:textId="77777777" w:rsidR="00CE687B" w:rsidRDefault="00CE687B" w:rsidP="00CE687B">
            <w:pPr>
              <w:pStyle w:val="TableBody"/>
              <w:jc w:val="center"/>
            </w:pPr>
            <w:r>
              <w:t>3.4 GHz</w:t>
            </w:r>
          </w:p>
        </w:tc>
        <w:tc>
          <w:tcPr>
            <w:tcW w:w="2265" w:type="dxa"/>
            <w:vAlign w:val="center"/>
          </w:tcPr>
          <w:p w14:paraId="7CE9DFB8" w14:textId="77777777" w:rsidR="00CE687B" w:rsidRDefault="00CE687B" w:rsidP="00CE687B">
            <w:pPr>
              <w:pStyle w:val="TableBody"/>
              <w:jc w:val="center"/>
            </w:pPr>
            <w:r>
              <w:t>0.1732</w:t>
            </w:r>
          </w:p>
        </w:tc>
        <w:tc>
          <w:tcPr>
            <w:tcW w:w="2265" w:type="dxa"/>
          </w:tcPr>
          <w:p w14:paraId="333894A0" w14:textId="3D36916F" w:rsidR="00CE687B" w:rsidRDefault="00CE687B" w:rsidP="00CE687B">
            <w:pPr>
              <w:pStyle w:val="TableBody"/>
              <w:jc w:val="center"/>
            </w:pPr>
            <w:r>
              <w:t>0.1731</w:t>
            </w:r>
          </w:p>
        </w:tc>
      </w:tr>
    </w:tbl>
    <w:p w14:paraId="10D1026A" w14:textId="77777777" w:rsidR="008D3A3B" w:rsidRDefault="008D3A3B" w:rsidP="003E5A6D">
      <w:pPr>
        <w:pStyle w:val="Spaceaftertable"/>
      </w:pPr>
    </w:p>
    <w:p w14:paraId="7924F848" w14:textId="71D81564" w:rsidR="003E5A6D" w:rsidRDefault="00945620" w:rsidP="00A311BD">
      <w:pPr>
        <w:pStyle w:val="Paragraph"/>
        <w:spacing w:before="240"/>
      </w:pPr>
      <w:r w:rsidRPr="00945620">
        <w:t>To support the incorporation of new benchmark awards,</w:t>
      </w:r>
      <w:r w:rsidR="00944099" w:rsidRPr="00944099">
        <w:t xml:space="preserve"> we propose to continue using the latest available World Bank datasets when updating benchmark prices. New benchmark observations require corresponding PPP exchange rates from the year in which the award occurred to </w:t>
      </w:r>
      <w:r w:rsidR="004B5B5B">
        <w:t>provide equivalent</w:t>
      </w:r>
      <w:r w:rsidR="00CB019B">
        <w:t xml:space="preserve"> A</w:t>
      </w:r>
      <w:r w:rsidR="00D376BB">
        <w:t>$</w:t>
      </w:r>
      <w:r w:rsidR="004B5B5B">
        <w:t xml:space="preserve"> values</w:t>
      </w:r>
      <w:r w:rsidR="00B9319A">
        <w:t xml:space="preserve">. </w:t>
      </w:r>
      <w:r w:rsidR="0082475F">
        <w:t xml:space="preserve">Unlike other </w:t>
      </w:r>
      <w:r w:rsidR="008D0B10">
        <w:t>benchmarking</w:t>
      </w:r>
      <w:r w:rsidR="0082475F">
        <w:t xml:space="preserve"> inputs</w:t>
      </w:r>
      <w:r w:rsidR="008D0B10">
        <w:t>,</w:t>
      </w:r>
      <w:r w:rsidR="00D67F8D">
        <w:t xml:space="preserve"> these </w:t>
      </w:r>
      <w:r w:rsidR="008D0B10">
        <w:t>exchange</w:t>
      </w:r>
      <w:r w:rsidR="00D67F8D">
        <w:t xml:space="preserve"> rates </w:t>
      </w:r>
      <w:r w:rsidR="00B032A4">
        <w:t>vary across countries</w:t>
      </w:r>
      <w:r w:rsidR="008D0B10">
        <w:t xml:space="preserve"> and therefore</w:t>
      </w:r>
      <w:r w:rsidR="007640A6">
        <w:t xml:space="preserve"> cannot </w:t>
      </w:r>
      <w:r w:rsidR="00584D69">
        <w:t>reliably be estimated using a single equivalent assumption</w:t>
      </w:r>
      <w:r w:rsidR="008D0B10">
        <w:t xml:space="preserve"> based on previous years</w:t>
      </w:r>
      <w:r w:rsidR="00526234">
        <w:t xml:space="preserve">. </w:t>
      </w:r>
      <w:r w:rsidR="00AB1AC8" w:rsidRPr="00AB1AC8">
        <w:t xml:space="preserve">All other aspects of the currency conversion and cohort </w:t>
      </w:r>
      <w:r w:rsidR="00AB1AC8">
        <w:t>analysis in the methodology</w:t>
      </w:r>
      <w:r w:rsidR="00AB1AC8" w:rsidRPr="00AB1AC8">
        <w:t xml:space="preserve"> would remain unchanged.</w:t>
      </w:r>
    </w:p>
    <w:p w14:paraId="25E4DFA9" w14:textId="77777777" w:rsidR="00D86DC9" w:rsidRDefault="00D86DC9" w:rsidP="00D86DC9">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pPr>
      <w:r w:rsidRPr="00E162C4">
        <w:t xml:space="preserve">Question </w:t>
      </w:r>
      <w:r>
        <w:t xml:space="preserve">1 </w:t>
      </w:r>
    </w:p>
    <w:p w14:paraId="58ECAEC9" w14:textId="47CFBE43" w:rsidR="00150D9A" w:rsidRDefault="00D86DC9" w:rsidP="00D86DC9">
      <w:pPr>
        <w:pStyle w:val="Paragraph"/>
        <w:pBdr>
          <w:top w:val="single" w:sz="4" w:space="1" w:color="auto"/>
          <w:left w:val="single" w:sz="4" w:space="4" w:color="auto"/>
          <w:bottom w:val="single" w:sz="4" w:space="1" w:color="auto"/>
          <w:right w:val="single" w:sz="4" w:space="4" w:color="auto"/>
          <w:between w:val="single" w:sz="4" w:space="1" w:color="auto"/>
          <w:bar w:val="single" w:sz="4" w:color="auto"/>
        </w:pBdr>
      </w:pPr>
      <w:r w:rsidRPr="00A378EB">
        <w:t xml:space="preserve">Do </w:t>
      </w:r>
      <w:r>
        <w:t xml:space="preserve">you have any comments on the proposed use of the latest available World Bank data when updating benchmark prices? </w:t>
      </w:r>
    </w:p>
    <w:p w14:paraId="27CBDCCD" w14:textId="0F33FFE5" w:rsidR="00320562" w:rsidRDefault="00320562" w:rsidP="00DC6F94">
      <w:pPr>
        <w:pStyle w:val="Heading2"/>
      </w:pPr>
      <w:bookmarkStart w:id="13" w:name="_Toc242777937"/>
      <w:r>
        <w:t>Indexation</w:t>
      </w:r>
      <w:bookmarkEnd w:id="13"/>
    </w:p>
    <w:p w14:paraId="52E27B17" w14:textId="6515634A" w:rsidR="00320562" w:rsidRDefault="00422C4D" w:rsidP="00320562">
      <w:pPr>
        <w:pStyle w:val="Paragraph"/>
      </w:pPr>
      <w:r>
        <w:t>O</w:t>
      </w:r>
      <w:r w:rsidRPr="00422C4D">
        <w:t>ur preferred view is to apply a fixed annual indexation rate</w:t>
      </w:r>
      <w:r w:rsidR="00FE23AE" w:rsidRPr="00FE23AE">
        <w:t xml:space="preserve"> of 2.5% to benchmark values from 31 December 2025 </w:t>
      </w:r>
      <w:r w:rsidR="00F41121">
        <w:t xml:space="preserve">when updating </w:t>
      </w:r>
      <w:r w:rsidR="00FE23AE" w:rsidRPr="00FE23AE">
        <w:t>the benchmark dataset</w:t>
      </w:r>
      <w:r w:rsidR="0032279C">
        <w:t xml:space="preserve"> in the future</w:t>
      </w:r>
      <w:r w:rsidR="00FE23AE" w:rsidRPr="00FE23AE">
        <w:t>.</w:t>
      </w:r>
      <w:r w:rsidR="00F05A8D" w:rsidRPr="00F05A8D">
        <w:t xml:space="preserve"> Retaining a fixed indexation assumption provides certainty and stability by ensuring that changes in preferred prices are driven primarily by new market evidence, rather than differences between forecast and actual inflation outcomes</w:t>
      </w:r>
      <w:r w:rsidR="00320562">
        <w:t>.</w:t>
      </w:r>
    </w:p>
    <w:p w14:paraId="4F3F3E09" w14:textId="4AB6F785" w:rsidR="00240189" w:rsidRDefault="004D2754" w:rsidP="00A311BD">
      <w:pPr>
        <w:pStyle w:val="Paragraphbeforelist"/>
      </w:pPr>
      <w:r w:rsidRPr="004D2754">
        <w:t xml:space="preserve">To incorporate new benchmark awards within this fixed indexation framework, </w:t>
      </w:r>
      <w:r w:rsidR="00A60849">
        <w:t xml:space="preserve">it </w:t>
      </w:r>
      <w:r w:rsidR="001212DC">
        <w:t xml:space="preserve">is necessary to bring both existing and new benchmark awards to a consistent timing so that a single price can be determined. </w:t>
      </w:r>
      <w:r w:rsidR="00672295">
        <w:t>As prices will be determined separately for each band</w:t>
      </w:r>
      <w:r w:rsidR="003B7879">
        <w:t xml:space="preserve"> and all licences in a band will, if renewed, commence on the same day,</w:t>
      </w:r>
      <w:r w:rsidR="00672295">
        <w:t xml:space="preserve"> there will be a single licence commencement date </w:t>
      </w:r>
      <w:r w:rsidR="003B7879">
        <w:t>associated with</w:t>
      </w:r>
      <w:r w:rsidR="00672295">
        <w:t xml:space="preserve"> each </w:t>
      </w:r>
      <w:r w:rsidR="00422D9D">
        <w:t>preferred price update</w:t>
      </w:r>
      <w:r w:rsidR="0088749B">
        <w:t xml:space="preserve">. </w:t>
      </w:r>
      <w:r w:rsidR="0004176B">
        <w:t>Therefore,</w:t>
      </w:r>
      <w:r w:rsidR="00422D9D">
        <w:t xml:space="preserve"> benchmark values can </w:t>
      </w:r>
      <w:r w:rsidRPr="004D2754">
        <w:t>be indexed directly to the relevant licence commencement date using the compounded daily equivalent of the annual 2.5% rate</w:t>
      </w:r>
      <w:r w:rsidR="00240189">
        <w:t>.</w:t>
      </w:r>
    </w:p>
    <w:p w14:paraId="5AA69CE2" w14:textId="7C900F60" w:rsidR="00240189" w:rsidRDefault="004D2754" w:rsidP="00AB6ECA">
      <w:pPr>
        <w:pStyle w:val="Bulletlevel1"/>
      </w:pPr>
      <w:r w:rsidRPr="004D2754">
        <w:t xml:space="preserve">For benchmark awards included in the original dataset, which are expressed in 2025 </w:t>
      </w:r>
      <w:r w:rsidR="00472B62">
        <w:t>A$</w:t>
      </w:r>
      <w:r w:rsidRPr="004D2754">
        <w:t xml:space="preserve"> values, indexation will be applied from </w:t>
      </w:r>
      <w:r w:rsidR="00240189">
        <w:t xml:space="preserve">31 December </w:t>
      </w:r>
      <w:r w:rsidRPr="004D2754">
        <w:t>2025 to the relevant licence commencement date.</w:t>
      </w:r>
      <w:r w:rsidR="00972E91">
        <w:rPr>
          <w:rStyle w:val="FootnoteReference"/>
        </w:rPr>
        <w:footnoteReference w:id="2"/>
      </w:r>
      <w:r w:rsidRPr="004D2754">
        <w:t xml:space="preserve"> </w:t>
      </w:r>
    </w:p>
    <w:p w14:paraId="5598FA4B" w14:textId="6C8C689D" w:rsidR="00320562" w:rsidRDefault="004D2754" w:rsidP="00204697">
      <w:pPr>
        <w:pStyle w:val="Bulletlevel1last"/>
      </w:pPr>
      <w:r w:rsidRPr="004D2754">
        <w:t xml:space="preserve">For new benchmark awards </w:t>
      </w:r>
      <w:r w:rsidR="00B02BF1">
        <w:t xml:space="preserve">to be included since our </w:t>
      </w:r>
      <w:r w:rsidR="00B22D30">
        <w:t>p</w:t>
      </w:r>
      <w:r w:rsidR="00B02BF1">
        <w:t xml:space="preserve">referred </w:t>
      </w:r>
      <w:r w:rsidR="00B22D30">
        <w:t>v</w:t>
      </w:r>
      <w:r w:rsidR="00B02BF1">
        <w:t>iews paper was released</w:t>
      </w:r>
      <w:r w:rsidRPr="004D2754">
        <w:t>, indexation will be applied from each award</w:t>
      </w:r>
      <w:r w:rsidR="00E64B4A">
        <w:t>’</w:t>
      </w:r>
      <w:r w:rsidRPr="004D2754">
        <w:t>s date of issue to the licence commencement date</w:t>
      </w:r>
      <w:r w:rsidR="00DE460C">
        <w:t xml:space="preserve"> for the relevant ESL band</w:t>
      </w:r>
      <w:r w:rsidRPr="004D2754">
        <w:t>. This adjustment will be made individually for each new award included in the benchmark dataset.</w:t>
      </w:r>
    </w:p>
    <w:p w14:paraId="1298AE64" w14:textId="73C87EE4" w:rsidR="00F5457A" w:rsidRDefault="001F3442" w:rsidP="00F2736D">
      <w:pPr>
        <w:pStyle w:val="Paragraph"/>
      </w:pPr>
      <w:r>
        <w:t>While p</w:t>
      </w:r>
      <w:r w:rsidR="00F2736D">
        <w:t xml:space="preserve">rices will be determined separately for each band, </w:t>
      </w:r>
      <w:r>
        <w:t xml:space="preserve">we note that we will </w:t>
      </w:r>
      <w:r w:rsidR="00F2736D">
        <w:t>continu</w:t>
      </w:r>
      <w:r>
        <w:t>e</w:t>
      </w:r>
      <w:r w:rsidR="00F2736D">
        <w:t xml:space="preserve"> to take account of benchmark evidence from the broader band group. This </w:t>
      </w:r>
      <w:r w:rsidR="001D04A4">
        <w:t xml:space="preserve">approach </w:t>
      </w:r>
      <w:r w:rsidR="00F2736D">
        <w:t xml:space="preserve">enables </w:t>
      </w:r>
      <w:r w:rsidR="00F5457A">
        <w:t xml:space="preserve">the </w:t>
      </w:r>
      <w:r w:rsidR="00716EFA">
        <w:t>fullest</w:t>
      </w:r>
      <w:r w:rsidR="00F5457A">
        <w:t xml:space="preserve"> </w:t>
      </w:r>
      <w:r w:rsidR="00F2736D">
        <w:t xml:space="preserve">additional market evidence </w:t>
      </w:r>
      <w:r w:rsidR="00F5457A">
        <w:t xml:space="preserve">possible </w:t>
      </w:r>
      <w:r w:rsidR="00F2736D">
        <w:t xml:space="preserve">to be incorporated for bands with later licence commencement dates. </w:t>
      </w:r>
    </w:p>
    <w:p w14:paraId="68C70063" w14:textId="53906EF3" w:rsidR="00320562" w:rsidRDefault="00F2736D" w:rsidP="005E69FF">
      <w:pPr>
        <w:pStyle w:val="Paragraph"/>
      </w:pPr>
      <w:r>
        <w:t xml:space="preserve">This change </w:t>
      </w:r>
      <w:r w:rsidR="00F5457A">
        <w:t xml:space="preserve">is effectively an amendment to </w:t>
      </w:r>
      <w:r>
        <w:t xml:space="preserve">step 4 </w:t>
      </w:r>
      <w:r w:rsidR="00F5457A">
        <w:t xml:space="preserve">of our </w:t>
      </w:r>
      <w:r w:rsidR="00D74ECA">
        <w:t xml:space="preserve">pricing methodology, as it will now </w:t>
      </w:r>
      <w:r>
        <w:t xml:space="preserve">index benchmark values directly to the </w:t>
      </w:r>
      <w:r w:rsidR="00D74ECA">
        <w:t xml:space="preserve">licence </w:t>
      </w:r>
      <w:r>
        <w:t xml:space="preserve">commencement date of the relevant </w:t>
      </w:r>
      <w:r w:rsidR="00D74ECA">
        <w:t>ESL band</w:t>
      </w:r>
      <w:r w:rsidR="00CE6D6B">
        <w:t xml:space="preserve"> for both existing and new benchmark awards, rather than to an earlier</w:t>
      </w:r>
      <w:r w:rsidR="005E69FF">
        <w:t xml:space="preserve"> </w:t>
      </w:r>
      <w:r>
        <w:t>common reference date.</w:t>
      </w:r>
      <w:r w:rsidR="005E468E">
        <w:t xml:space="preserve"> </w:t>
      </w:r>
      <w:r w:rsidR="0058242D">
        <w:t xml:space="preserve">The </w:t>
      </w:r>
      <w:r w:rsidR="00A073B2">
        <w:t xml:space="preserve">updated preferred </w:t>
      </w:r>
      <w:r w:rsidR="00AE2EE0">
        <w:t xml:space="preserve">single-year </w:t>
      </w:r>
      <w:r w:rsidR="00A073B2">
        <w:t xml:space="preserve">price for </w:t>
      </w:r>
      <w:r w:rsidR="00350EC9">
        <w:t xml:space="preserve">an ESL band will </w:t>
      </w:r>
      <w:r w:rsidR="0001030D">
        <w:t xml:space="preserve">therefore reflect the </w:t>
      </w:r>
      <w:r w:rsidR="00AE2EE0">
        <w:t>value</w:t>
      </w:r>
      <w:r w:rsidR="0001030D">
        <w:t xml:space="preserve"> at the licence commencement date. </w:t>
      </w:r>
      <w:r w:rsidR="005E69FF">
        <w:t>Consequently</w:t>
      </w:r>
      <w:r>
        <w:t xml:space="preserve">, step 7 </w:t>
      </w:r>
      <w:r w:rsidR="005E69FF">
        <w:t>of the methodology</w:t>
      </w:r>
      <w:r w:rsidR="008728A6">
        <w:t xml:space="preserve">, which </w:t>
      </w:r>
      <w:r w:rsidR="00680A99">
        <w:t xml:space="preserve">in our </w:t>
      </w:r>
      <w:r w:rsidR="00D9368E">
        <w:t>p</w:t>
      </w:r>
      <w:r w:rsidR="00680A99">
        <w:t xml:space="preserve">referred </w:t>
      </w:r>
      <w:r w:rsidR="00D9368E">
        <w:t>v</w:t>
      </w:r>
      <w:r w:rsidR="00680A99">
        <w:t xml:space="preserve">iews </w:t>
      </w:r>
      <w:r w:rsidR="00923CED">
        <w:t xml:space="preserve">indexed </w:t>
      </w:r>
      <w:r>
        <w:t>benchmark values from the common reference date to the licence commencement date</w:t>
      </w:r>
      <w:r w:rsidR="00923CED">
        <w:t>, will no longer be required</w:t>
      </w:r>
      <w:r>
        <w:t xml:space="preserve">. </w:t>
      </w:r>
      <w:r w:rsidR="00503CDA" w:rsidRPr="00A31CB8">
        <w:t xml:space="preserve">This refinement is </w:t>
      </w:r>
      <w:r w:rsidR="00503CDA">
        <w:t>mechanical</w:t>
      </w:r>
      <w:r w:rsidR="00503CDA" w:rsidRPr="00A31CB8">
        <w:t xml:space="preserve"> in nature and </w:t>
      </w:r>
      <w:r w:rsidR="00503CDA">
        <w:t>will</w:t>
      </w:r>
      <w:r w:rsidR="00921269">
        <w:t xml:space="preserve"> not</w:t>
      </w:r>
      <w:r w:rsidR="00503CDA" w:rsidRPr="00A31CB8">
        <w:t xml:space="preserve"> result in any </w:t>
      </w:r>
      <w:r w:rsidR="00503CDA">
        <w:t xml:space="preserve">changes to </w:t>
      </w:r>
      <w:r w:rsidR="00503CDA" w:rsidRPr="00A31CB8">
        <w:t>price outcomes</w:t>
      </w:r>
      <w:r w:rsidR="00503CDA">
        <w:t xml:space="preserve">. </w:t>
      </w:r>
      <w:r w:rsidR="00921269">
        <w:t>Additionally, all</w:t>
      </w:r>
      <w:r>
        <w:t xml:space="preserve"> other aspects of the methodology will remain unchanged.</w:t>
      </w:r>
      <w:r w:rsidR="00CD6E5E">
        <w:t xml:space="preserve"> </w:t>
      </w:r>
      <w:r w:rsidR="00063B52">
        <w:t xml:space="preserve">A summary of the </w:t>
      </w:r>
      <w:r w:rsidR="00AA3DC0">
        <w:t>pricing methodology</w:t>
      </w:r>
      <w:r w:rsidR="00BD12BE">
        <w:t xml:space="preserve"> reflecting this amendment is available at </w:t>
      </w:r>
      <w:hyperlink w:anchor="_Appendix_B:_Pricing" w:history="1">
        <w:r w:rsidR="00BD12BE" w:rsidRPr="00F15056">
          <w:rPr>
            <w:rStyle w:val="Hyperlink"/>
          </w:rPr>
          <w:t>Appendix B</w:t>
        </w:r>
      </w:hyperlink>
      <w:r w:rsidR="00BD12BE" w:rsidRPr="00BD12BE">
        <w:rPr>
          <w:b/>
          <w:bCs/>
        </w:rPr>
        <w:t>.</w:t>
      </w:r>
      <w:r w:rsidR="00BD12BE">
        <w:t xml:space="preserve"> </w:t>
      </w:r>
    </w:p>
    <w:p w14:paraId="65BCEAF1" w14:textId="77777777" w:rsidR="007A6B7C" w:rsidRDefault="007A6B7C" w:rsidP="007A6B7C">
      <w:pPr>
        <w:pStyle w:val="Heading3"/>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2F2F2" w:themeFill="background1" w:themeFillShade="F2"/>
      </w:pPr>
      <w:bookmarkStart w:id="14" w:name="_Toc298924672"/>
      <w:bookmarkStart w:id="15" w:name="_Toc300909555"/>
      <w:bookmarkStart w:id="16" w:name="_Toc348105636"/>
      <w:r w:rsidRPr="00E162C4">
        <w:t xml:space="preserve">Question </w:t>
      </w:r>
      <w:r>
        <w:t xml:space="preserve">2 </w:t>
      </w:r>
    </w:p>
    <w:p w14:paraId="1B8E0767" w14:textId="77777777" w:rsidR="007A6B7C" w:rsidRPr="00A378EB" w:rsidRDefault="007A6B7C" w:rsidP="007A6B7C">
      <w:pPr>
        <w:pStyle w:val="Paragraph"/>
        <w:pBdr>
          <w:top w:val="single" w:sz="4" w:space="1" w:color="auto"/>
          <w:left w:val="single" w:sz="4" w:space="1" w:color="auto"/>
          <w:bottom w:val="single" w:sz="4" w:space="1" w:color="auto"/>
          <w:right w:val="single" w:sz="4" w:space="1" w:color="auto"/>
          <w:between w:val="single" w:sz="4" w:space="1" w:color="auto"/>
          <w:bar w:val="single" w:sz="4" w:color="auto"/>
        </w:pBdr>
      </w:pPr>
      <w:r w:rsidRPr="00A378EB">
        <w:t xml:space="preserve">Do </w:t>
      </w:r>
      <w:r>
        <w:t xml:space="preserve">you have any comments on the proposed treatment of indexation for both existing and new benchmarks? </w:t>
      </w:r>
      <w:proofErr w:type="gramStart"/>
      <w:r>
        <w:t>In particular, are</w:t>
      </w:r>
      <w:proofErr w:type="gramEnd"/>
      <w:r>
        <w:t xml:space="preserve"> there any alternative approaches that should be considered?</w:t>
      </w:r>
    </w:p>
    <w:p w14:paraId="3A520F70" w14:textId="77777777" w:rsidR="004B2960" w:rsidRPr="00A17B1B" w:rsidRDefault="004B2960" w:rsidP="00F26009">
      <w:pPr>
        <w:pStyle w:val="Tableorfigurenote"/>
      </w:pPr>
    </w:p>
    <w:p w14:paraId="3C1AAB0F" w14:textId="56DF5C8E" w:rsidR="004B0B08" w:rsidRDefault="004B0B08" w:rsidP="004B0B08">
      <w:pPr>
        <w:pStyle w:val="Heading1"/>
      </w:pPr>
      <w:bookmarkStart w:id="17" w:name="_Converting_prices_into"/>
      <w:bookmarkStart w:id="18" w:name="_Toc237250598"/>
      <w:bookmarkStart w:id="19" w:name="_Toc237357653"/>
      <w:bookmarkStart w:id="20" w:name="_Toc242777938"/>
      <w:bookmarkStart w:id="21" w:name="_Toc92265098"/>
      <w:bookmarkStart w:id="22" w:name="_Toc348105641"/>
      <w:bookmarkEnd w:id="14"/>
      <w:bookmarkEnd w:id="15"/>
      <w:bookmarkEnd w:id="16"/>
      <w:bookmarkEnd w:id="17"/>
      <w:r>
        <w:t>Converting prices into spectrum access charges</w:t>
      </w:r>
      <w:bookmarkEnd w:id="18"/>
      <w:bookmarkEnd w:id="19"/>
      <w:bookmarkEnd w:id="20"/>
    </w:p>
    <w:p w14:paraId="4B9BDA4C" w14:textId="129C8A00" w:rsidR="00D87F9D" w:rsidRDefault="006D49D8" w:rsidP="00E850E5">
      <w:pPr>
        <w:pStyle w:val="Paragraph"/>
      </w:pPr>
      <w:r>
        <w:t xml:space="preserve">A </w:t>
      </w:r>
      <w:r w:rsidR="00D87F9D">
        <w:t>SAC</w:t>
      </w:r>
      <w:r w:rsidR="00AF696A">
        <w:t xml:space="preserve"> for a licence is</w:t>
      </w:r>
      <w:r w:rsidR="00D87F9D">
        <w:t xml:space="preserve"> calculated by multiplying </w:t>
      </w:r>
      <w:r w:rsidR="00121A0A">
        <w:t>the</w:t>
      </w:r>
      <w:r w:rsidR="00D87F9D">
        <w:t xml:space="preserve"> licence</w:t>
      </w:r>
      <w:r w:rsidR="00510ACC">
        <w:t>’</w:t>
      </w:r>
      <w:r w:rsidR="00D87F9D">
        <w:t>s</w:t>
      </w:r>
      <w:r w:rsidR="00121A0A">
        <w:t xml:space="preserve"> band</w:t>
      </w:r>
      <w:r w:rsidR="00510ACC">
        <w:t>’</w:t>
      </w:r>
      <w:r w:rsidR="00121A0A">
        <w:t>s</w:t>
      </w:r>
      <w:r w:rsidR="00D87F9D">
        <w:t xml:space="preserve"> $/MHz/pop price by </w:t>
      </w:r>
      <w:r w:rsidR="00121A0A">
        <w:t xml:space="preserve">the </w:t>
      </w:r>
      <w:r w:rsidR="00D87F9D">
        <w:t xml:space="preserve">bandwidth and </w:t>
      </w:r>
      <w:r w:rsidR="00200A10">
        <w:t xml:space="preserve">licence area </w:t>
      </w:r>
      <w:r w:rsidR="00D87F9D">
        <w:t xml:space="preserve">population. While </w:t>
      </w:r>
      <w:r w:rsidR="00D338E3">
        <w:t>licence</w:t>
      </w:r>
      <w:r w:rsidR="00D87F9D">
        <w:t xml:space="preserve"> bandwidth is fixed, the population of licence area</w:t>
      </w:r>
      <w:r w:rsidR="009240E6">
        <w:t>s</w:t>
      </w:r>
      <w:r w:rsidR="00D87F9D">
        <w:t xml:space="preserve"> </w:t>
      </w:r>
      <w:r w:rsidR="009240E6">
        <w:t xml:space="preserve">can </w:t>
      </w:r>
      <w:r w:rsidR="00D87F9D">
        <w:t xml:space="preserve">change over time and should therefore be updated </w:t>
      </w:r>
      <w:r w:rsidR="00FD4810">
        <w:t>before</w:t>
      </w:r>
      <w:r w:rsidR="00D87F9D">
        <w:t xml:space="preserve"> calculating SACs. </w:t>
      </w:r>
    </w:p>
    <w:p w14:paraId="245EF315" w14:textId="142C9737" w:rsidR="00F12FF7" w:rsidRDefault="003534E5" w:rsidP="00E850E5">
      <w:pPr>
        <w:pStyle w:val="Paragraph"/>
      </w:pPr>
      <w:r>
        <w:t xml:space="preserve">In this </w:t>
      </w:r>
      <w:r w:rsidR="002B0F83">
        <w:t>chapter</w:t>
      </w:r>
      <w:r>
        <w:t xml:space="preserve">, we outline our approach to projecting population figures </w:t>
      </w:r>
      <w:r w:rsidR="00B67854">
        <w:t xml:space="preserve">out </w:t>
      </w:r>
      <w:r>
        <w:t>to licence commencement dates</w:t>
      </w:r>
      <w:r w:rsidR="00C27EF6">
        <w:t xml:space="preserve"> and illustrate</w:t>
      </w:r>
      <w:r w:rsidR="009932D2">
        <w:t xml:space="preserve"> </w:t>
      </w:r>
      <w:r w:rsidR="007A229E">
        <w:t>its application</w:t>
      </w:r>
      <w:r w:rsidR="009932D2">
        <w:t xml:space="preserve"> for the 850 MHz and 1800 MHz bands</w:t>
      </w:r>
      <w:r w:rsidR="002B6FC2">
        <w:t>, for which renewal application periods have already commenced</w:t>
      </w:r>
      <w:r w:rsidR="00E403FC">
        <w:t xml:space="preserve">. </w:t>
      </w:r>
      <w:r w:rsidR="003F6FA9">
        <w:t xml:space="preserve">We seek stakeholder views on </w:t>
      </w:r>
      <w:r w:rsidR="00C135D7">
        <w:t xml:space="preserve">this approach and, importantly, on </w:t>
      </w:r>
      <w:r w:rsidR="003F6FA9">
        <w:t xml:space="preserve">the timing </w:t>
      </w:r>
      <w:r w:rsidR="00C473B5">
        <w:t xml:space="preserve">of </w:t>
      </w:r>
      <w:r w:rsidR="00200A10">
        <w:t>when we undertake population projections for later-expiring ESL bands.</w:t>
      </w:r>
      <w:r w:rsidR="00455249">
        <w:t xml:space="preserve"> </w:t>
      </w:r>
    </w:p>
    <w:p w14:paraId="6CEB97D4" w14:textId="0F5F755F" w:rsidR="00F12FF7" w:rsidRDefault="005515F1" w:rsidP="00387F32">
      <w:pPr>
        <w:pStyle w:val="Heading2"/>
      </w:pPr>
      <w:bookmarkStart w:id="23" w:name="_Toc242777939"/>
      <w:r>
        <w:t>Population projection</w:t>
      </w:r>
      <w:r w:rsidR="0058500E">
        <w:t xml:space="preserve"> approach</w:t>
      </w:r>
      <w:bookmarkEnd w:id="23"/>
    </w:p>
    <w:p w14:paraId="6DEF4481" w14:textId="39265DC8" w:rsidR="00E850E5" w:rsidRPr="00E850E5" w:rsidRDefault="00240125" w:rsidP="00E850E5">
      <w:pPr>
        <w:pStyle w:val="Paragraph"/>
      </w:pPr>
      <w:r>
        <w:t>W</w:t>
      </w:r>
      <w:r w:rsidR="00E850E5">
        <w:t xml:space="preserve">e </w:t>
      </w:r>
      <w:r w:rsidR="002201BD">
        <w:t>intend to</w:t>
      </w:r>
      <w:r w:rsidR="00E850E5">
        <w:t xml:space="preserve"> </w:t>
      </w:r>
      <w:r w:rsidR="00E850E5" w:rsidRPr="00E850E5">
        <w:t xml:space="preserve">estimate the population of each spectrum licence area </w:t>
      </w:r>
      <w:r w:rsidR="00517BEE">
        <w:t>on the commencement date of renewed licences</w:t>
      </w:r>
      <w:r w:rsidR="00E850E5" w:rsidRPr="00E850E5">
        <w:t xml:space="preserve"> by applying a </w:t>
      </w:r>
      <w:r w:rsidR="00E850E5" w:rsidRPr="00A311BD">
        <w:rPr>
          <w:iCs/>
        </w:rPr>
        <w:t>population growth factor</w:t>
      </w:r>
      <w:r w:rsidR="00E850E5" w:rsidRPr="00E850E5">
        <w:t xml:space="preserve"> to the </w:t>
      </w:r>
      <w:r w:rsidR="00B72C66">
        <w:t xml:space="preserve">2021 </w:t>
      </w:r>
      <w:r w:rsidR="00E850E5" w:rsidRPr="00E850E5">
        <w:t xml:space="preserve">Census population figures contained in the </w:t>
      </w:r>
      <w:r w:rsidR="00E850E5" w:rsidRPr="00E850E5">
        <w:rPr>
          <w:i/>
          <w:iCs/>
        </w:rPr>
        <w:t xml:space="preserve">Hierarchical </w:t>
      </w:r>
      <w:r w:rsidR="00FA30AD">
        <w:rPr>
          <w:i/>
          <w:iCs/>
        </w:rPr>
        <w:t>c</w:t>
      </w:r>
      <w:r w:rsidR="00E850E5" w:rsidRPr="00E850E5">
        <w:rPr>
          <w:i/>
          <w:iCs/>
        </w:rPr>
        <w:t xml:space="preserve">ell </w:t>
      </w:r>
      <w:r w:rsidR="00FA30AD">
        <w:rPr>
          <w:i/>
          <w:iCs/>
        </w:rPr>
        <w:t>i</w:t>
      </w:r>
      <w:r w:rsidR="00E850E5" w:rsidRPr="00E850E5">
        <w:rPr>
          <w:i/>
          <w:iCs/>
        </w:rPr>
        <w:t xml:space="preserve">dentification </w:t>
      </w:r>
      <w:r w:rsidR="008D6178">
        <w:rPr>
          <w:i/>
          <w:iCs/>
        </w:rPr>
        <w:t>s</w:t>
      </w:r>
      <w:r w:rsidR="00E850E5" w:rsidRPr="00E850E5">
        <w:rPr>
          <w:i/>
          <w:iCs/>
        </w:rPr>
        <w:t xml:space="preserve">cheme (HCIS) - List of </w:t>
      </w:r>
      <w:r w:rsidR="00FF7433">
        <w:rPr>
          <w:i/>
          <w:iCs/>
        </w:rPr>
        <w:t>p</w:t>
      </w:r>
      <w:r w:rsidR="00E850E5" w:rsidRPr="00E850E5">
        <w:rPr>
          <w:i/>
          <w:iCs/>
        </w:rPr>
        <w:t xml:space="preserve">opulation </w:t>
      </w:r>
      <w:r w:rsidR="00FF7433">
        <w:rPr>
          <w:i/>
          <w:iCs/>
        </w:rPr>
        <w:t>d</w:t>
      </w:r>
      <w:r w:rsidR="00E850E5" w:rsidRPr="00E850E5">
        <w:rPr>
          <w:i/>
          <w:iCs/>
        </w:rPr>
        <w:t>ata</w:t>
      </w:r>
      <w:r w:rsidR="00BC0CFD" w:rsidRPr="00A311BD">
        <w:t>,</w:t>
      </w:r>
      <w:r w:rsidR="00BC0CFD" w:rsidRPr="009045E9">
        <w:t xml:space="preserve"> </w:t>
      </w:r>
      <w:r w:rsidR="00FA30AD">
        <w:t xml:space="preserve">which is </w:t>
      </w:r>
      <w:r w:rsidR="00BC0CFD" w:rsidRPr="00BC0CFD">
        <w:t>available</w:t>
      </w:r>
      <w:r w:rsidR="00BC0CFD">
        <w:rPr>
          <w:i/>
          <w:iCs/>
        </w:rPr>
        <w:t xml:space="preserve"> </w:t>
      </w:r>
      <w:r w:rsidR="0091170D">
        <w:t>to download via</w:t>
      </w:r>
      <w:r w:rsidR="00BC0CFD" w:rsidRPr="00BC0CFD">
        <w:t xml:space="preserve"> the </w:t>
      </w:r>
      <w:hyperlink r:id="rId33" w:history="1">
        <w:r w:rsidR="00BC0CFD" w:rsidRPr="008E070A">
          <w:rPr>
            <w:rStyle w:val="Hyperlink"/>
          </w:rPr>
          <w:t>ACMA website</w:t>
        </w:r>
      </w:hyperlink>
      <w:r w:rsidR="00E850E5" w:rsidRPr="00E850E5">
        <w:t>.</w:t>
      </w:r>
      <w:r w:rsidR="006B7BFB">
        <w:t xml:space="preserve"> </w:t>
      </w:r>
      <w:r w:rsidR="00A33EBB">
        <w:t xml:space="preserve">This is consistent with </w:t>
      </w:r>
      <w:r w:rsidR="00315041">
        <w:t xml:space="preserve">how SACs were calculated in the previous ESL process and </w:t>
      </w:r>
      <w:r w:rsidR="00E83B3A">
        <w:t xml:space="preserve">how starting prices for spectrum auctions have historically been </w:t>
      </w:r>
      <w:r w:rsidR="00CA482F">
        <w:t xml:space="preserve">calculated. </w:t>
      </w:r>
    </w:p>
    <w:p w14:paraId="084653A8" w14:textId="7B7A92F8" w:rsidR="009906DA" w:rsidRPr="00E850E5" w:rsidRDefault="009906DA" w:rsidP="00F3081F">
      <w:pPr>
        <w:pStyle w:val="Paragraph"/>
      </w:pPr>
      <w:r w:rsidRPr="00E22354">
        <w:t>We consider it appropriate to determine a single population growth factor for each ESL band and apply that factor consistently across all licences within the band. Fixing the factor at a defined point in the renewal process would provide greater certainty regarding the population estimates used to calculate SACs, while supporting the timely preparation of SAC determinations</w:t>
      </w:r>
      <w:r>
        <w:t xml:space="preserve">. </w:t>
      </w:r>
      <w:r w:rsidRPr="00E22354">
        <w:t xml:space="preserve">Further </w:t>
      </w:r>
      <w:r>
        <w:t>details</w:t>
      </w:r>
      <w:r w:rsidRPr="00E22354">
        <w:t xml:space="preserve"> on the options </w:t>
      </w:r>
      <w:r>
        <w:t>for this approach</w:t>
      </w:r>
      <w:r w:rsidRPr="00E22354">
        <w:t xml:space="preserve"> </w:t>
      </w:r>
      <w:r>
        <w:t>are</w:t>
      </w:r>
      <w:r w:rsidRPr="00E22354">
        <w:t xml:space="preserve"> provided in the </w:t>
      </w:r>
      <w:hyperlink w:anchor="_Timing_of_population" w:history="1">
        <w:r w:rsidRPr="003A24CB">
          <w:rPr>
            <w:rStyle w:val="Hyperlink"/>
          </w:rPr>
          <w:t>Timing of population projections for later-expiring bands</w:t>
        </w:r>
      </w:hyperlink>
      <w:r w:rsidRPr="003A24CB">
        <w:t xml:space="preserve"> </w:t>
      </w:r>
      <w:r w:rsidRPr="00E22354">
        <w:t>section</w:t>
      </w:r>
      <w:r>
        <w:t xml:space="preserve"> of this </w:t>
      </w:r>
      <w:r w:rsidR="007710EB">
        <w:t>chapter</w:t>
      </w:r>
      <w:r>
        <w:t>.</w:t>
      </w:r>
    </w:p>
    <w:p w14:paraId="30665837" w14:textId="4D65EBAC" w:rsidR="00026332" w:rsidRDefault="00E65C5A" w:rsidP="0032091A">
      <w:pPr>
        <w:pStyle w:val="Paragraphbeforelist"/>
      </w:pPr>
      <w:r>
        <w:t>To</w:t>
      </w:r>
      <w:r w:rsidDel="00C43980">
        <w:t xml:space="preserve"> </w:t>
      </w:r>
      <w:r w:rsidR="00C43980">
        <w:t xml:space="preserve">calculate </w:t>
      </w:r>
      <w:r w:rsidR="00884FB1">
        <w:t>the</w:t>
      </w:r>
      <w:r>
        <w:t xml:space="preserve"> population growth factor</w:t>
      </w:r>
      <w:r w:rsidR="00884FB1">
        <w:t xml:space="preserve"> for each ESL band</w:t>
      </w:r>
      <w:r>
        <w:t xml:space="preserve">, we calculate projected national population growth between </w:t>
      </w:r>
      <w:r w:rsidR="00E041D3">
        <w:t xml:space="preserve">the </w:t>
      </w:r>
      <w:r w:rsidR="00DD2B45">
        <w:t xml:space="preserve">date </w:t>
      </w:r>
      <w:r w:rsidR="004278D4">
        <w:t xml:space="preserve">of the Census </w:t>
      </w:r>
      <w:r w:rsidR="00DD2B45">
        <w:t xml:space="preserve">that the HCIS </w:t>
      </w:r>
      <w:r w:rsidR="00BA2F7C">
        <w:t>data</w:t>
      </w:r>
      <w:r w:rsidR="004278D4">
        <w:t xml:space="preserve"> is derived from (currently the 2021 Census, </w:t>
      </w:r>
      <w:r w:rsidR="001F7021">
        <w:t xml:space="preserve">which was on </w:t>
      </w:r>
      <w:r w:rsidR="004278D4">
        <w:t>10 August 2021</w:t>
      </w:r>
      <w:r w:rsidR="001F7021">
        <w:t>)</w:t>
      </w:r>
      <w:r w:rsidR="00C15AE7">
        <w:t xml:space="preserve"> and the licence </w:t>
      </w:r>
      <w:r w:rsidR="00B575F6">
        <w:t xml:space="preserve">commencement </w:t>
      </w:r>
      <w:r w:rsidR="00C15AE7">
        <w:t>date of the relevant ESL band.</w:t>
      </w:r>
      <w:r w:rsidR="001C5770">
        <w:rPr>
          <w:rStyle w:val="FootnoteReference"/>
        </w:rPr>
        <w:footnoteReference w:id="3"/>
      </w:r>
      <w:r w:rsidR="00C15AE7">
        <w:t xml:space="preserve"> We </w:t>
      </w:r>
      <w:r w:rsidR="004E19A6" w:rsidRPr="004E19A6">
        <w:t>derive</w:t>
      </w:r>
      <w:r w:rsidR="00C15AE7">
        <w:t xml:space="preserve"> this</w:t>
      </w:r>
      <w:r w:rsidR="004E19A6" w:rsidRPr="004E19A6">
        <w:t xml:space="preserve"> using </w:t>
      </w:r>
      <w:r w:rsidR="00B84719">
        <w:t xml:space="preserve">the </w:t>
      </w:r>
      <w:r w:rsidR="00712A43">
        <w:t>Estimated Resident Pop</w:t>
      </w:r>
      <w:r w:rsidR="000563A1">
        <w:t xml:space="preserve">ulation </w:t>
      </w:r>
      <w:r w:rsidR="00180F47">
        <w:t xml:space="preserve">(ERP) </w:t>
      </w:r>
      <w:r w:rsidR="006A6064">
        <w:t xml:space="preserve">series published by the </w:t>
      </w:r>
      <w:r w:rsidR="004E19A6" w:rsidRPr="004E19A6">
        <w:t>ABS</w:t>
      </w:r>
      <w:r w:rsidR="00A434CA">
        <w:t xml:space="preserve"> in its </w:t>
      </w:r>
      <w:r w:rsidR="00A434CA" w:rsidRPr="008F7119">
        <w:rPr>
          <w:i/>
          <w:iCs/>
        </w:rPr>
        <w:t>National, state and territory population</w:t>
      </w:r>
      <w:r w:rsidR="00A434CA">
        <w:t xml:space="preserve"> pub</w:t>
      </w:r>
      <w:r w:rsidR="006957CC">
        <w:t>lication</w:t>
      </w:r>
      <w:r w:rsidR="00026332">
        <w:t>, as well as Budget forecasts</w:t>
      </w:r>
      <w:r w:rsidR="00B808FF">
        <w:t>.</w:t>
      </w:r>
    </w:p>
    <w:p w14:paraId="6E9219A4" w14:textId="5A0EF116" w:rsidR="00026332" w:rsidRPr="008034B5" w:rsidRDefault="00C15AE7" w:rsidP="00AB6ECA">
      <w:pPr>
        <w:pStyle w:val="Bulletlevel1"/>
      </w:pPr>
      <w:r>
        <w:t xml:space="preserve">We </w:t>
      </w:r>
      <w:r w:rsidR="00044710">
        <w:t xml:space="preserve">first </w:t>
      </w:r>
      <w:r>
        <w:t xml:space="preserve">find </w:t>
      </w:r>
      <w:r w:rsidR="00044710">
        <w:t>the estimated national population in t</w:t>
      </w:r>
      <w:r w:rsidR="00B05237">
        <w:t>he ERP series at the Census date</w:t>
      </w:r>
      <w:r w:rsidR="00044710">
        <w:t xml:space="preserve">. For the 2021 Census, this </w:t>
      </w:r>
      <w:r w:rsidR="00AE3FB8">
        <w:t>is based</w:t>
      </w:r>
      <w:r w:rsidR="00B05237">
        <w:t xml:space="preserve"> on the published June </w:t>
      </w:r>
      <w:proofErr w:type="gramStart"/>
      <w:r w:rsidR="00F62F18">
        <w:t>2021</w:t>
      </w:r>
      <w:proofErr w:type="gramEnd"/>
      <w:r w:rsidR="00B05237">
        <w:t xml:space="preserve"> and Septem</w:t>
      </w:r>
      <w:r w:rsidR="003E7850">
        <w:t xml:space="preserve">ber </w:t>
      </w:r>
      <w:r w:rsidR="00F62F18">
        <w:t>2021</w:t>
      </w:r>
      <w:r w:rsidR="003E7850">
        <w:t xml:space="preserve"> quart</w:t>
      </w:r>
      <w:r w:rsidR="00FB6EEB">
        <w:t xml:space="preserve">er population estimates and the </w:t>
      </w:r>
      <w:r w:rsidR="00F05B8B">
        <w:t>implied daily growth rate between those quarters</w:t>
      </w:r>
      <w:r w:rsidR="009F5216">
        <w:rPr>
          <w:rFonts w:ascii="Segoe UI" w:hAnsi="Segoe UI" w:cs="Segoe UI"/>
          <w:sz w:val="21"/>
          <w:szCs w:val="21"/>
        </w:rPr>
        <w:t xml:space="preserve">. </w:t>
      </w:r>
    </w:p>
    <w:p w14:paraId="2F9EFA68" w14:textId="0A43BD66" w:rsidR="00C33715" w:rsidRPr="003F0E24" w:rsidRDefault="00E32624" w:rsidP="008034B5">
      <w:pPr>
        <w:pStyle w:val="Bulletlevel1"/>
      </w:pPr>
      <w:r>
        <w:t>We then</w:t>
      </w:r>
      <w:r w:rsidR="00BA7272">
        <w:t xml:space="preserve"> take the </w:t>
      </w:r>
      <w:r w:rsidR="00DC29C0" w:rsidRPr="00170A8C">
        <w:t xml:space="preserve">latest available </w:t>
      </w:r>
      <w:r w:rsidR="00EB11AF">
        <w:t xml:space="preserve">quarterly </w:t>
      </w:r>
      <w:r w:rsidR="00DC29C0" w:rsidRPr="00170A8C">
        <w:t xml:space="preserve">ERP </w:t>
      </w:r>
      <w:r w:rsidR="00C81ABD">
        <w:t>estimate</w:t>
      </w:r>
      <w:r w:rsidR="007F1E19">
        <w:t xml:space="preserve"> </w:t>
      </w:r>
      <w:r w:rsidR="00EB11AF">
        <w:t xml:space="preserve">and extend that figure </w:t>
      </w:r>
      <w:r w:rsidR="007F1E19">
        <w:t xml:space="preserve">to the licence </w:t>
      </w:r>
      <w:r w:rsidR="005B4235">
        <w:t xml:space="preserve">commencement </w:t>
      </w:r>
      <w:r w:rsidR="00665181">
        <w:t xml:space="preserve">date </w:t>
      </w:r>
      <w:r w:rsidR="00405A97">
        <w:t xml:space="preserve">for the relevant ESL band </w:t>
      </w:r>
      <w:r w:rsidR="00665181">
        <w:t>usin</w:t>
      </w:r>
      <w:r w:rsidR="00993143">
        <w:t xml:space="preserve">g </w:t>
      </w:r>
      <w:r w:rsidR="00EB11AF">
        <w:t xml:space="preserve">population </w:t>
      </w:r>
      <w:r w:rsidR="00264CB9">
        <w:t xml:space="preserve">growth rates </w:t>
      </w:r>
      <w:r w:rsidR="009E5331">
        <w:t>derived from</w:t>
      </w:r>
      <w:r w:rsidR="004A736C">
        <w:t xml:space="preserve"> the latest</w:t>
      </w:r>
      <w:r w:rsidR="009E5331">
        <w:t xml:space="preserve"> Budget population forecasts.</w:t>
      </w:r>
      <w:r w:rsidR="00117C8C">
        <w:t xml:space="preserve"> </w:t>
      </w:r>
    </w:p>
    <w:p w14:paraId="5076B86B" w14:textId="543F09B9" w:rsidR="00AB5143" w:rsidRDefault="00E57292" w:rsidP="008034B5">
      <w:pPr>
        <w:pStyle w:val="Bulletlevel1last"/>
      </w:pPr>
      <w:r w:rsidRPr="00E57292">
        <w:t xml:space="preserve">The population growth factor for each ESL band is then calculated as the change in estimated national population between the Census date and the licence </w:t>
      </w:r>
      <w:r w:rsidR="00437548">
        <w:t>commencement</w:t>
      </w:r>
      <w:r w:rsidR="00394341" w:rsidRPr="00E57292">
        <w:t xml:space="preserve"> </w:t>
      </w:r>
      <w:r w:rsidRPr="00E57292">
        <w:t>date.</w:t>
      </w:r>
      <w:r>
        <w:t xml:space="preserve"> </w:t>
      </w:r>
    </w:p>
    <w:p w14:paraId="335CC80B" w14:textId="63C5B4D0" w:rsidR="00CF0AA4" w:rsidRPr="00CB03D7" w:rsidRDefault="00CF0AA4" w:rsidP="00CF0AA4">
      <w:pPr>
        <w:pStyle w:val="Paragraph"/>
      </w:pPr>
      <w:r>
        <w:t>We can then estimate the</w:t>
      </w:r>
      <w:r w:rsidRPr="00CB03D7">
        <w:t xml:space="preserve"> population </w:t>
      </w:r>
      <w:r>
        <w:t>of each</w:t>
      </w:r>
      <w:r w:rsidR="000A217D">
        <w:t xml:space="preserve"> licence area of an</w:t>
      </w:r>
      <w:r>
        <w:t xml:space="preserve"> ESL</w:t>
      </w:r>
      <w:r w:rsidRPr="00CB03D7">
        <w:t xml:space="preserve"> at the licence </w:t>
      </w:r>
      <w:r>
        <w:t>commencement</w:t>
      </w:r>
      <w:r w:rsidRPr="00CB03D7">
        <w:t xml:space="preserve"> date by multiplying the licence area</w:t>
      </w:r>
      <w:r w:rsidR="004E3C02">
        <w:t>’</w:t>
      </w:r>
      <w:r w:rsidRPr="00CB03D7">
        <w:t xml:space="preserve">s </w:t>
      </w:r>
      <w:r>
        <w:t>HCIS</w:t>
      </w:r>
      <w:r w:rsidRPr="00CB03D7">
        <w:t xml:space="preserve"> population</w:t>
      </w:r>
      <w:r w:rsidR="00793CF1">
        <w:t xml:space="preserve"> (based on </w:t>
      </w:r>
      <w:r w:rsidR="00F63F85">
        <w:t>Census data)</w:t>
      </w:r>
      <w:r w:rsidRPr="00CB03D7">
        <w:t xml:space="preserve"> by the population growth factor.</w:t>
      </w:r>
      <w:r w:rsidR="00F62150">
        <w:t xml:space="preserve"> This is outlined</w:t>
      </w:r>
      <w:r w:rsidR="001C5770">
        <w:t xml:space="preserve"> in more detail by way of example for the 850 MHz and 1800 MHz bands in the following section.</w:t>
      </w:r>
      <w:r w:rsidRPr="00CB03D7">
        <w:t xml:space="preserve"> </w:t>
      </w:r>
    </w:p>
    <w:p w14:paraId="188C1287" w14:textId="757A4093" w:rsidR="0053507A" w:rsidRDefault="00186B6E" w:rsidP="00B92AFE">
      <w:pPr>
        <w:pStyle w:val="Heading2"/>
      </w:pPr>
      <w:bookmarkStart w:id="24" w:name="_Toc242777940"/>
      <w:r>
        <w:t>Population projections for the 850 MHz and 1800 MHz bands</w:t>
      </w:r>
      <w:bookmarkEnd w:id="24"/>
    </w:p>
    <w:p w14:paraId="6F68B75C" w14:textId="1FCD4E5A" w:rsidR="00C45007" w:rsidRDefault="003130EB" w:rsidP="00C45007">
      <w:pPr>
        <w:pStyle w:val="Paragraph"/>
      </w:pPr>
      <w:r>
        <w:t>T</w:t>
      </w:r>
      <w:r w:rsidR="00C45007" w:rsidRPr="00C45007">
        <w:t xml:space="preserve">he renewal </w:t>
      </w:r>
      <w:r w:rsidR="00517298">
        <w:t>application</w:t>
      </w:r>
      <w:r w:rsidR="00C45007" w:rsidRPr="00C45007">
        <w:t xml:space="preserve"> </w:t>
      </w:r>
      <w:r w:rsidR="00297E51">
        <w:t>period</w:t>
      </w:r>
      <w:r w:rsidR="00C45007" w:rsidRPr="00C45007">
        <w:t xml:space="preserve"> for the 850 MHz and 1800 MHz bands </w:t>
      </w:r>
      <w:r w:rsidR="00B87C07">
        <w:t>commenced on 18</w:t>
      </w:r>
      <w:r w:rsidR="003972C0">
        <w:t> </w:t>
      </w:r>
      <w:r w:rsidR="00B87C07">
        <w:t xml:space="preserve">June 2026. </w:t>
      </w:r>
      <w:r w:rsidR="00517298">
        <w:t>The</w:t>
      </w:r>
      <w:r w:rsidR="00F403BC">
        <w:t xml:space="preserve"> </w:t>
      </w:r>
      <w:r w:rsidR="00C45007" w:rsidRPr="00C45007">
        <w:t xml:space="preserve">population estimates for these bands </w:t>
      </w:r>
      <w:r w:rsidR="00CC4B96">
        <w:t xml:space="preserve">are </w:t>
      </w:r>
      <w:r w:rsidR="00517298">
        <w:t xml:space="preserve">therefore </w:t>
      </w:r>
      <w:r w:rsidR="00CC4B96">
        <w:t xml:space="preserve">based on </w:t>
      </w:r>
      <w:r w:rsidR="00084650">
        <w:t xml:space="preserve">the </w:t>
      </w:r>
      <w:r w:rsidR="00F02F98">
        <w:t xml:space="preserve">most recent ERP </w:t>
      </w:r>
      <w:r w:rsidR="00517298">
        <w:t>data</w:t>
      </w:r>
      <w:r w:rsidR="00DA0194">
        <w:t xml:space="preserve"> available at that time</w:t>
      </w:r>
      <w:r w:rsidR="00B76FB2">
        <w:t xml:space="preserve"> (the December 2025 quarter release, which was published on </w:t>
      </w:r>
      <w:r w:rsidR="004F789E">
        <w:t>18 June 2026</w:t>
      </w:r>
      <w:r w:rsidR="00B76FB2">
        <w:t>)</w:t>
      </w:r>
      <w:r w:rsidR="00DA0194">
        <w:t xml:space="preserve"> </w:t>
      </w:r>
      <w:r w:rsidR="00CD1C0E">
        <w:t xml:space="preserve">and the </w:t>
      </w:r>
      <w:r w:rsidR="00B76FB2">
        <w:t>B</w:t>
      </w:r>
      <w:r w:rsidR="00CD1C0E">
        <w:t>udget p</w:t>
      </w:r>
      <w:r w:rsidR="00915B3E">
        <w:t>rojections released in May 2026.</w:t>
      </w:r>
      <w:r w:rsidR="00D836AB">
        <w:t xml:space="preserve"> </w:t>
      </w:r>
      <w:r w:rsidR="00361D82">
        <w:t>T</w:t>
      </w:r>
      <w:r w:rsidR="00361D82" w:rsidRPr="00170A8C">
        <w:t xml:space="preserve">he calculations </w:t>
      </w:r>
      <w:r w:rsidR="00361D82" w:rsidRPr="007C29CF">
        <w:t xml:space="preserve">use 2021 Census population data, </w:t>
      </w:r>
      <w:r w:rsidR="00517298">
        <w:t xml:space="preserve">which was the most recent </w:t>
      </w:r>
      <w:r w:rsidR="002A56DA">
        <w:t>Census information available when the renewal application period commenced</w:t>
      </w:r>
      <w:r w:rsidR="00713016" w:rsidRPr="0081699A">
        <w:t>.</w:t>
      </w:r>
      <w:r w:rsidR="00713016">
        <w:t xml:space="preserve"> </w:t>
      </w:r>
      <w:r w:rsidR="00C45007" w:rsidRPr="00C45007">
        <w:t>To illustrate the application of the methodology described above, we set out the calculation steps used to derive the population growth factor</w:t>
      </w:r>
      <w:r w:rsidR="00721EAD">
        <w:t xml:space="preserve"> for these bands</w:t>
      </w:r>
      <w:r w:rsidR="004C55B9">
        <w:t xml:space="preserve"> below</w:t>
      </w:r>
      <w:r w:rsidR="00721EAD">
        <w:t xml:space="preserve">. </w:t>
      </w:r>
    </w:p>
    <w:p w14:paraId="32374BFD" w14:textId="4E79FECA" w:rsidR="001C789C" w:rsidRDefault="007D3BFF" w:rsidP="00DC6F94">
      <w:pPr>
        <w:pStyle w:val="Heading3"/>
      </w:pPr>
      <w:r>
        <w:t xml:space="preserve">Step </w:t>
      </w:r>
      <w:r w:rsidR="00A04995">
        <w:t>1</w:t>
      </w:r>
      <w:r>
        <w:t xml:space="preserve">: </w:t>
      </w:r>
      <w:r w:rsidR="001C789C">
        <w:t xml:space="preserve">Estimate the national population on the Census date </w:t>
      </w:r>
    </w:p>
    <w:p w14:paraId="022F6046" w14:textId="5F51BDB6" w:rsidR="006E5AB7" w:rsidRPr="006E5AB7" w:rsidRDefault="005C4D39" w:rsidP="005C4D39">
      <w:pPr>
        <w:pStyle w:val="Paragraph"/>
      </w:pPr>
      <w:r>
        <w:t>The Census date (10 August 2021) falls between the June and September 2021 quarters in the</w:t>
      </w:r>
      <w:r w:rsidRPr="005C4D39">
        <w:rPr>
          <w:i/>
          <w:iCs/>
        </w:rPr>
        <w:t xml:space="preserve"> </w:t>
      </w:r>
      <w:r w:rsidR="00F67945" w:rsidRPr="00A311BD">
        <w:t>ERP</w:t>
      </w:r>
      <w:r w:rsidR="000E2345">
        <w:rPr>
          <w:i/>
          <w:iCs/>
        </w:rPr>
        <w:t xml:space="preserve"> </w:t>
      </w:r>
      <w:r w:rsidRPr="00A311BD">
        <w:t>series</w:t>
      </w:r>
      <w:r>
        <w:t xml:space="preserve">. </w:t>
      </w:r>
    </w:p>
    <w:p w14:paraId="065EFB3A" w14:textId="0A67B0CC" w:rsidR="007D3BFF" w:rsidRPr="00F908B3" w:rsidRDefault="00A33AAD" w:rsidP="00DC6F94">
      <w:pPr>
        <w:pStyle w:val="Heading4"/>
      </w:pPr>
      <w:r w:rsidRPr="00F908B3">
        <w:t>Step 1</w:t>
      </w:r>
      <w:r w:rsidR="007B18D8" w:rsidRPr="00A311BD">
        <w:t>(a)</w:t>
      </w:r>
      <w:r w:rsidR="003E3A7C" w:rsidRPr="00A311BD">
        <w:t>:</w:t>
      </w:r>
      <w:r w:rsidRPr="00A311BD">
        <w:t xml:space="preserve"> </w:t>
      </w:r>
      <w:r w:rsidR="007D3BFF" w:rsidRPr="00A311BD">
        <w:t xml:space="preserve">Calculate </w:t>
      </w:r>
      <w:r w:rsidR="0004468B" w:rsidRPr="00A311BD">
        <w:t>the daily</w:t>
      </w:r>
      <w:r w:rsidR="00A26E00" w:rsidRPr="00A311BD">
        <w:t xml:space="preserve"> population</w:t>
      </w:r>
      <w:r w:rsidR="0004468B" w:rsidRPr="00A311BD">
        <w:t xml:space="preserve"> growth </w:t>
      </w:r>
      <w:r w:rsidR="00A26E00" w:rsidRPr="00A311BD">
        <w:t>factor</w:t>
      </w:r>
      <w:r w:rsidR="0004468B" w:rsidRPr="00A311BD">
        <w:t xml:space="preserve"> between the June 2021 and September 2021 quarters </w:t>
      </w:r>
    </w:p>
    <w:p w14:paraId="526E1277" w14:textId="18C2BAE4" w:rsidR="0004468B" w:rsidRPr="00373A3A" w:rsidRDefault="00B262EC" w:rsidP="00DC6F94">
      <w:pPr>
        <w:pStyle w:val="Paragraph"/>
      </w:pPr>
      <m:oMathPara>
        <m:oMathParaPr>
          <m:jc m:val="left"/>
        </m:oMathParaPr>
        <m:oMath>
          <m:r>
            <w:rPr>
              <w:rFonts w:ascii="Cambria Math" w:hAnsi="Cambria Math"/>
            </w:rPr>
            <m:t>A= Daily</m:t>
          </m:r>
          <m:r>
            <m:rPr>
              <m:sty m:val="p"/>
            </m:rPr>
            <w:rPr>
              <w:rFonts w:ascii="Cambria Math" w:hAnsi="Cambria Math"/>
            </w:rPr>
            <m:t xml:space="preserve"> </m:t>
          </m:r>
          <m:r>
            <w:rPr>
              <w:rFonts w:ascii="Cambria Math" w:hAnsi="Cambria Math"/>
            </w:rPr>
            <m:t>population</m:t>
          </m:r>
          <m:r>
            <m:rPr>
              <m:sty m:val="p"/>
            </m:rPr>
            <w:rPr>
              <w:rFonts w:ascii="Cambria Math" w:hAnsi="Cambria Math"/>
            </w:rPr>
            <m:t xml:space="preserve"> </m:t>
          </m:r>
          <m:r>
            <w:rPr>
              <w:rFonts w:ascii="Cambria Math" w:hAnsi="Cambria Math"/>
            </w:rPr>
            <m:t>growth</m:t>
          </m:r>
          <m:r>
            <m:rPr>
              <m:sty m:val="p"/>
            </m:rPr>
            <w:rPr>
              <w:rFonts w:ascii="Cambria Math" w:hAnsi="Cambria Math"/>
            </w:rPr>
            <m:t xml:space="preserve"> </m:t>
          </m:r>
          <m:r>
            <w:rPr>
              <w:rFonts w:ascii="Cambria Math" w:hAnsi="Cambria Math"/>
            </w:rPr>
            <m:t>factor</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September</m:t>
                      </m:r>
                      <m:r>
                        <m:rPr>
                          <m:sty m:val="p"/>
                        </m:rPr>
                        <w:rPr>
                          <w:rFonts w:ascii="Cambria Math" w:hAnsi="Cambria Math"/>
                        </w:rPr>
                        <m:t xml:space="preserve"> 2021 </m:t>
                      </m:r>
                      <m:r>
                        <w:rPr>
                          <w:rFonts w:ascii="Cambria Math" w:hAnsi="Cambria Math"/>
                        </w:rPr>
                        <m:t>population</m:t>
                      </m:r>
                    </m:num>
                    <m:den>
                      <m:r>
                        <w:rPr>
                          <w:rFonts w:ascii="Cambria Math" w:hAnsi="Cambria Math"/>
                        </w:rPr>
                        <m:t>June</m:t>
                      </m:r>
                      <m:r>
                        <m:rPr>
                          <m:sty m:val="p"/>
                        </m:rPr>
                        <w:rPr>
                          <w:rFonts w:ascii="Cambria Math" w:hAnsi="Cambria Math"/>
                        </w:rPr>
                        <m:t xml:space="preserve"> 2021 </m:t>
                      </m:r>
                      <m:r>
                        <w:rPr>
                          <w:rFonts w:ascii="Cambria Math" w:hAnsi="Cambria Math"/>
                        </w:rPr>
                        <m:t>population</m:t>
                      </m:r>
                      <m:r>
                        <m:rPr>
                          <m:sty m:val="p"/>
                        </m:rPr>
                        <w:rPr>
                          <w:rFonts w:ascii="Cambria Math" w:hAnsi="Cambria Math"/>
                        </w:rPr>
                        <m:t xml:space="preserve"> </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92</m:t>
                  </m:r>
                </m:den>
              </m:f>
            </m:sup>
          </m:sSup>
        </m:oMath>
      </m:oMathPara>
    </w:p>
    <w:p w14:paraId="57DEF59A" w14:textId="43BDC49B" w:rsidR="00B138EB" w:rsidRPr="00923E84" w:rsidRDefault="00B138EB" w:rsidP="009E47A7">
      <w:pPr>
        <w:pStyle w:val="Paragraph"/>
      </w:pPr>
      <w:r>
        <w:t xml:space="preserve">Where 92 is the number of days between </w:t>
      </w:r>
      <w:r w:rsidR="007F7909">
        <w:t xml:space="preserve">30 June 2021 and 30 </w:t>
      </w:r>
      <w:r w:rsidR="00267926">
        <w:t xml:space="preserve">September 2021. </w:t>
      </w:r>
    </w:p>
    <w:p w14:paraId="62E7C47F" w14:textId="4EACF24E" w:rsidR="00923E84" w:rsidRPr="00373A3A" w:rsidRDefault="00B262EC" w:rsidP="009E47A7">
      <m:oMathPara>
        <m:oMathParaPr>
          <m:jc m:val="left"/>
        </m:oMathParaPr>
        <m:oMath>
          <m:r>
            <w:rPr>
              <w:rFonts w:ascii="Cambria Math" w:hAnsi="Cambria Math"/>
            </w:rPr>
            <m:t xml:space="preserve">A=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25,704,774</m:t>
                      </m:r>
                    </m:num>
                    <m:den>
                      <m:r>
                        <w:rPr>
                          <w:rFonts w:ascii="Cambria Math" w:hAnsi="Cambria Math"/>
                        </w:rPr>
                        <m:t>25,685,412</m:t>
                      </m:r>
                    </m:den>
                  </m:f>
                </m:e>
              </m:d>
            </m:e>
            <m:sup>
              <m:f>
                <m:fPr>
                  <m:ctrlPr>
                    <w:rPr>
                      <w:rFonts w:ascii="Cambria Math" w:hAnsi="Cambria Math"/>
                      <w:i/>
                    </w:rPr>
                  </m:ctrlPr>
                </m:fPr>
                <m:num>
                  <m:r>
                    <w:rPr>
                      <w:rFonts w:ascii="Cambria Math" w:hAnsi="Cambria Math"/>
                    </w:rPr>
                    <m:t>1</m:t>
                  </m:r>
                </m:num>
                <m:den>
                  <m:r>
                    <w:rPr>
                      <w:rFonts w:ascii="Cambria Math" w:hAnsi="Cambria Math"/>
                    </w:rPr>
                    <m:t>92</m:t>
                  </m:r>
                </m:den>
              </m:f>
            </m:sup>
          </m:sSup>
        </m:oMath>
      </m:oMathPara>
    </w:p>
    <w:p w14:paraId="6518C401" w14:textId="4A845641" w:rsidR="00AA465F" w:rsidRPr="00373A3A" w:rsidRDefault="00B262EC" w:rsidP="009E47A7">
      <w:pPr>
        <w:pStyle w:val="Paragraph"/>
        <w:rPr>
          <w:rFonts w:ascii="Aptos Narrow" w:hAnsi="Aptos Narrow"/>
          <w:color w:val="000000"/>
          <w:szCs w:val="22"/>
        </w:rPr>
      </w:pPr>
      <m:oMathPara>
        <m:oMathParaPr>
          <m:jc m:val="left"/>
        </m:oMathParaPr>
        <m:oMath>
          <m:r>
            <w:rPr>
              <w:rFonts w:ascii="Cambria Math" w:hAnsi="Cambria Math"/>
            </w:rPr>
            <m:t xml:space="preserve">A= </m:t>
          </m:r>
          <m:r>
            <m:rPr>
              <m:sty m:val="p"/>
            </m:rPr>
            <w:rPr>
              <w:rFonts w:ascii="Cambria Math" w:hAnsi="Cambria Math"/>
              <w:color w:val="000000"/>
              <w:szCs w:val="22"/>
            </w:rPr>
            <m:t>1.000008191</m:t>
          </m:r>
        </m:oMath>
      </m:oMathPara>
    </w:p>
    <w:p w14:paraId="4CDAE85C" w14:textId="468BE86F" w:rsidR="00C71C64" w:rsidRPr="00F908B3" w:rsidRDefault="00C61619" w:rsidP="00DC6F94">
      <w:pPr>
        <w:pStyle w:val="Heading4"/>
      </w:pPr>
      <w:r w:rsidRPr="00F908B3">
        <w:t xml:space="preserve">Step 1(b): </w:t>
      </w:r>
      <w:r w:rsidR="00A26C2C" w:rsidRPr="00A311BD">
        <w:t xml:space="preserve">Find the implied population </w:t>
      </w:r>
      <w:r w:rsidR="00080D49" w:rsidRPr="00A311BD">
        <w:t xml:space="preserve">at the Census date </w:t>
      </w:r>
    </w:p>
    <w:p w14:paraId="6C65FE73" w14:textId="0C90DD0B" w:rsidR="007C41BA" w:rsidRPr="00373A3A" w:rsidRDefault="00EB2C9F" w:rsidP="00DC6F94">
      <w:pPr>
        <w:pStyle w:val="Paragraph"/>
        <w:spacing w:before="240"/>
      </w:pPr>
      <m:oMathPara>
        <m:oMathParaPr>
          <m:jc m:val="left"/>
        </m:oMathParaPr>
        <m:oMath>
          <m:r>
            <w:rPr>
              <w:rFonts w:ascii="Cambria Math" w:hAnsi="Cambria Math"/>
            </w:rPr>
            <m:t>B</m:t>
          </m:r>
          <m:r>
            <m:rPr>
              <m:sty m:val="p"/>
            </m:rPr>
            <w:rPr>
              <w:rFonts w:ascii="Cambria Math" w:hAnsi="Cambria Math"/>
            </w:rPr>
            <m:t>=</m:t>
          </m:r>
          <m:r>
            <w:rPr>
              <w:rFonts w:ascii="Cambria Math" w:hAnsi="Cambria Math"/>
            </w:rPr>
            <m:t>June</m:t>
          </m:r>
          <m:r>
            <m:rPr>
              <m:sty m:val="p"/>
            </m:rPr>
            <w:rPr>
              <w:rFonts w:ascii="Cambria Math" w:hAnsi="Cambria Math"/>
            </w:rPr>
            <m:t xml:space="preserve"> 2021 </m:t>
          </m:r>
          <m:r>
            <w:rPr>
              <w:rFonts w:ascii="Cambria Math" w:hAnsi="Cambria Math"/>
            </w:rPr>
            <m:t>population</m:t>
          </m:r>
          <m:r>
            <m:rPr>
              <m:sty m:val="p"/>
            </m:rPr>
            <w:rPr>
              <w:rFonts w:ascii="Cambria Math" w:hAnsi="Cambria Math"/>
            </w:rPr>
            <m:t xml:space="preserve"> ×</m:t>
          </m:r>
          <m:sSup>
            <m:sSupPr>
              <m:ctrlPr>
                <w:rPr>
                  <w:rFonts w:ascii="Cambria Math" w:hAnsi="Cambria Math"/>
                </w:rPr>
              </m:ctrlPr>
            </m:sSupPr>
            <m:e>
              <m:r>
                <w:rPr>
                  <w:rFonts w:ascii="Cambria Math" w:hAnsi="Cambria Math"/>
                </w:rPr>
                <m:t>Daily</m:t>
              </m:r>
              <m:r>
                <m:rPr>
                  <m:sty m:val="p"/>
                </m:rPr>
                <w:rPr>
                  <w:rFonts w:ascii="Cambria Math" w:hAnsi="Cambria Math"/>
                </w:rPr>
                <m:t xml:space="preserve"> </m:t>
              </m:r>
              <m:r>
                <w:rPr>
                  <w:rFonts w:ascii="Cambria Math" w:hAnsi="Cambria Math"/>
                </w:rPr>
                <m:t>growth</m:t>
              </m:r>
              <m:r>
                <m:rPr>
                  <m:sty m:val="p"/>
                </m:rPr>
                <w:rPr>
                  <w:rFonts w:ascii="Cambria Math" w:hAnsi="Cambria Math"/>
                </w:rPr>
                <m:t xml:space="preserve"> </m:t>
              </m:r>
              <m:r>
                <w:rPr>
                  <w:rFonts w:ascii="Cambria Math" w:hAnsi="Cambria Math"/>
                </w:rPr>
                <m:t>factor</m:t>
              </m:r>
            </m:e>
            <m:sup>
              <m:r>
                <m:rPr>
                  <m:sty m:val="p"/>
                </m:rPr>
                <w:rPr>
                  <w:rFonts w:ascii="Cambria Math" w:hAnsi="Cambria Math"/>
                </w:rPr>
                <m:t>41</m:t>
              </m:r>
            </m:sup>
          </m:sSup>
        </m:oMath>
      </m:oMathPara>
    </w:p>
    <w:p w14:paraId="6D31C67A" w14:textId="5A14F6F3" w:rsidR="0064585A" w:rsidRDefault="00D7540C" w:rsidP="00903F2F">
      <w:pPr>
        <w:pStyle w:val="Paragraph"/>
      </w:pPr>
      <w:r>
        <w:t xml:space="preserve">Where 41 </w:t>
      </w:r>
      <w:r w:rsidR="005C401C">
        <w:t xml:space="preserve">is the number of </w:t>
      </w:r>
      <w:r w:rsidR="00AD1894">
        <w:t>days between 30 June 2021 and 10 August 2021.</w:t>
      </w:r>
    </w:p>
    <w:p w14:paraId="17CBD4C3" w14:textId="716A6370" w:rsidR="00903F2F" w:rsidRPr="00373A3A" w:rsidRDefault="00903F2F" w:rsidP="0036362B">
      <w:pPr>
        <w:pStyle w:val="Paragraph"/>
        <w:rPr>
          <w:color w:val="000000"/>
          <w:szCs w:val="22"/>
        </w:rPr>
      </w:pPr>
      <m:oMathPara>
        <m:oMathParaPr>
          <m:jc m:val="left"/>
        </m:oMathParaPr>
        <m:oMath>
          <m:r>
            <w:rPr>
              <w:rFonts w:ascii="Cambria Math" w:hAnsi="Cambria Math"/>
            </w:rPr>
            <m:t xml:space="preserve">B=25,685,412 × </m:t>
          </m:r>
          <m:sSup>
            <m:sSupPr>
              <m:ctrlPr>
                <w:rPr>
                  <w:rFonts w:ascii="Cambria Math" w:hAnsi="Cambria Math"/>
                  <w:color w:val="000000"/>
                  <w:szCs w:val="22"/>
                </w:rPr>
              </m:ctrlPr>
            </m:sSupPr>
            <m:e>
              <m:r>
                <m:rPr>
                  <m:sty m:val="p"/>
                </m:rPr>
                <w:rPr>
                  <w:rFonts w:ascii="Cambria Math" w:hAnsi="Cambria Math"/>
                  <w:color w:val="000000"/>
                  <w:szCs w:val="22"/>
                </w:rPr>
                <m:t>A</m:t>
              </m:r>
            </m:e>
            <m:sup>
              <m:r>
                <w:rPr>
                  <w:rFonts w:ascii="Cambria Math" w:hAnsi="Cambria Math"/>
                  <w:color w:val="000000"/>
                  <w:szCs w:val="22"/>
                </w:rPr>
                <m:t>41</m:t>
              </m:r>
            </m:sup>
          </m:sSup>
        </m:oMath>
      </m:oMathPara>
    </w:p>
    <w:p w14:paraId="119BCC22" w14:textId="10F648AB" w:rsidR="000C1018" w:rsidRPr="00373A3A" w:rsidRDefault="00903F2F" w:rsidP="0036362B">
      <w:pPr>
        <w:pStyle w:val="Paragraph"/>
        <w:rPr>
          <w:color w:val="000000"/>
          <w:szCs w:val="22"/>
        </w:rPr>
      </w:pPr>
      <m:oMathPara>
        <m:oMathParaPr>
          <m:jc m:val="left"/>
        </m:oMathParaPr>
        <m:oMath>
          <m:r>
            <w:rPr>
              <w:rFonts w:ascii="Cambria Math" w:hAnsi="Cambria Math"/>
            </w:rPr>
            <m:t xml:space="preserve">B=25,685,412 × </m:t>
          </m:r>
          <m:sSup>
            <m:sSupPr>
              <m:ctrlPr>
                <w:rPr>
                  <w:rFonts w:ascii="Cambria Math" w:hAnsi="Cambria Math"/>
                  <w:color w:val="000000"/>
                  <w:szCs w:val="22"/>
                </w:rPr>
              </m:ctrlPr>
            </m:sSupPr>
            <m:e>
              <m:r>
                <m:rPr>
                  <m:sty m:val="p"/>
                </m:rPr>
                <w:rPr>
                  <w:rFonts w:ascii="Cambria Math" w:hAnsi="Cambria Math"/>
                  <w:color w:val="000000"/>
                  <w:szCs w:val="22"/>
                </w:rPr>
                <m:t>1.000008191</m:t>
              </m:r>
            </m:e>
            <m:sup>
              <m:r>
                <w:rPr>
                  <w:rFonts w:ascii="Cambria Math" w:hAnsi="Cambria Math"/>
                  <w:color w:val="000000"/>
                  <w:szCs w:val="22"/>
                </w:rPr>
                <m:t>41</m:t>
              </m:r>
            </m:sup>
          </m:sSup>
        </m:oMath>
      </m:oMathPara>
    </w:p>
    <w:p w14:paraId="4C8FBD8F" w14:textId="187ED5D1" w:rsidR="00D92369" w:rsidRPr="00373A3A" w:rsidRDefault="00903F2F" w:rsidP="0036362B">
      <w:pPr>
        <w:pStyle w:val="Paragraph"/>
        <w:rPr>
          <w:color w:val="000000"/>
          <w:szCs w:val="22"/>
        </w:rPr>
      </w:pPr>
      <m:oMathPara>
        <m:oMathParaPr>
          <m:jc m:val="left"/>
        </m:oMathParaPr>
        <m:oMath>
          <m:r>
            <w:rPr>
              <w:rFonts w:ascii="Cambria Math" w:hAnsi="Cambria Math"/>
              <w:color w:val="000000"/>
              <w:szCs w:val="22"/>
            </w:rPr>
            <m:t>B=25,694,039</m:t>
          </m:r>
        </m:oMath>
      </m:oMathPara>
    </w:p>
    <w:p w14:paraId="349C9D43" w14:textId="7F3BA4EF" w:rsidR="00E222B3" w:rsidRDefault="001C1253" w:rsidP="00213565">
      <w:pPr>
        <w:pStyle w:val="Heading3"/>
      </w:pPr>
      <w:r>
        <w:t xml:space="preserve">Step 2: Estimate the national population at the licence </w:t>
      </w:r>
      <w:r w:rsidR="0078200D">
        <w:t xml:space="preserve">commencement </w:t>
      </w:r>
      <w:r>
        <w:t>date</w:t>
      </w:r>
    </w:p>
    <w:p w14:paraId="2ED31334" w14:textId="359299CF" w:rsidR="00302522" w:rsidRDefault="00E41D24" w:rsidP="00213565">
      <w:pPr>
        <w:pStyle w:val="Paragraph"/>
      </w:pPr>
      <w:r>
        <w:t>We next find t</w:t>
      </w:r>
      <w:r w:rsidR="00073263" w:rsidRPr="00073263">
        <w:t xml:space="preserve">he latest available </w:t>
      </w:r>
      <w:r>
        <w:t xml:space="preserve">population figure </w:t>
      </w:r>
      <w:r w:rsidR="00073263" w:rsidRPr="00073263">
        <w:t>in the ABS ERP series</w:t>
      </w:r>
      <w:r w:rsidR="002D5DEF">
        <w:t xml:space="preserve">, then </w:t>
      </w:r>
      <w:r w:rsidR="00AB09D1">
        <w:t>project</w:t>
      </w:r>
      <w:r w:rsidR="002D5DEF">
        <w:t xml:space="preserve"> the </w:t>
      </w:r>
      <w:r w:rsidR="00DD5415">
        <w:t xml:space="preserve">population </w:t>
      </w:r>
      <w:r w:rsidR="002D5DEF">
        <w:t xml:space="preserve">series </w:t>
      </w:r>
      <w:r w:rsidR="00DD5415">
        <w:t xml:space="preserve">to the </w:t>
      </w:r>
      <w:r w:rsidR="00073263" w:rsidRPr="00073263">
        <w:t xml:space="preserve">licence </w:t>
      </w:r>
      <w:r w:rsidR="0078200D">
        <w:t xml:space="preserve">commencement </w:t>
      </w:r>
      <w:r w:rsidR="00073263" w:rsidRPr="00073263">
        <w:t>date</w:t>
      </w:r>
      <w:r w:rsidR="00DD5415">
        <w:t>. To perform these projections</w:t>
      </w:r>
      <w:r w:rsidR="00073263" w:rsidRPr="00073263">
        <w:t xml:space="preserve">, </w:t>
      </w:r>
      <w:r w:rsidR="00391EAA">
        <w:t xml:space="preserve">we </w:t>
      </w:r>
      <w:r w:rsidR="00DD5415">
        <w:t xml:space="preserve">use </w:t>
      </w:r>
      <w:r w:rsidR="003459E8">
        <w:t>implied growth rates from</w:t>
      </w:r>
      <w:r w:rsidR="00073263" w:rsidRPr="00073263">
        <w:t xml:space="preserve"> population </w:t>
      </w:r>
      <w:r w:rsidR="00EC43A4">
        <w:t xml:space="preserve">estimates </w:t>
      </w:r>
      <w:r w:rsidR="00073263" w:rsidRPr="00073263">
        <w:t>published in</w:t>
      </w:r>
      <w:r w:rsidR="000A0092">
        <w:t xml:space="preserve"> Appendix A of</w:t>
      </w:r>
      <w:r w:rsidR="00073263" w:rsidRPr="00073263">
        <w:t xml:space="preserve"> </w:t>
      </w:r>
      <w:hyperlink r:id="rId34" w:history="1">
        <w:r w:rsidR="00073263" w:rsidRPr="00257AB5">
          <w:rPr>
            <w:rStyle w:val="Hyperlink"/>
          </w:rPr>
          <w:t>Budget Paper</w:t>
        </w:r>
        <w:r w:rsidR="00EC43A4" w:rsidRPr="00257AB5">
          <w:rPr>
            <w:rStyle w:val="Hyperlink"/>
          </w:rPr>
          <w:t xml:space="preserve"> No. 3</w:t>
        </w:r>
      </w:hyperlink>
      <w:r w:rsidR="007F349F">
        <w:t xml:space="preserve">, which </w:t>
      </w:r>
      <w:r w:rsidR="00DC6DAF">
        <w:t xml:space="preserve">include estimates for 30 June and 31 December </w:t>
      </w:r>
      <w:r w:rsidR="00254697">
        <w:t xml:space="preserve">each year. </w:t>
      </w:r>
      <w:r w:rsidR="00F364FA">
        <w:t xml:space="preserve">These forecasts are intended to </w:t>
      </w:r>
      <w:r w:rsidR="004B6BFF">
        <w:t xml:space="preserve">extend the ERP series </w:t>
      </w:r>
      <w:r w:rsidR="00CE248A">
        <w:t xml:space="preserve">and therefore provide a consistent basis for </w:t>
      </w:r>
      <w:r w:rsidR="0081382A">
        <w:t>projecting</w:t>
      </w:r>
      <w:r w:rsidR="00531A90">
        <w:t xml:space="preserve"> population growth from the latest available ERP estimate to the </w:t>
      </w:r>
      <w:r w:rsidR="0081382A">
        <w:t xml:space="preserve">licence </w:t>
      </w:r>
      <w:r w:rsidR="0078200D">
        <w:t xml:space="preserve">commencement </w:t>
      </w:r>
      <w:r w:rsidR="0081382A">
        <w:t>date.</w:t>
      </w:r>
    </w:p>
    <w:p w14:paraId="5EBC031A" w14:textId="5D3BFD61" w:rsidR="00DD5415" w:rsidRPr="001D5682" w:rsidRDefault="00DD5415" w:rsidP="001D5682">
      <w:pPr>
        <w:pStyle w:val="Heading4"/>
      </w:pPr>
      <w:r w:rsidRPr="001D5682">
        <w:t>Step 2(a): Identify latest ABS ERP population figure</w:t>
      </w:r>
    </w:p>
    <w:p w14:paraId="2DA485B6" w14:textId="7333E75C" w:rsidR="00DD5415" w:rsidRDefault="00AB09D1" w:rsidP="00DD5415">
      <w:pPr>
        <w:pStyle w:val="Paragraph"/>
      </w:pPr>
      <w:r>
        <w:t>The latest available population figure is for December 2025: 27,801,0</w:t>
      </w:r>
      <w:r w:rsidR="000B70DE">
        <w:t>23</w:t>
      </w:r>
      <w:r>
        <w:t>.</w:t>
      </w:r>
    </w:p>
    <w:p w14:paraId="26077C28" w14:textId="07BCE105" w:rsidR="008A55A7" w:rsidRPr="001F6B1F" w:rsidRDefault="0000357D" w:rsidP="00DD5415">
      <w:pPr>
        <w:pStyle w:val="Paragraph"/>
      </w:pPr>
      <m:oMathPara>
        <m:oMathParaPr>
          <m:jc m:val="left"/>
        </m:oMathParaPr>
        <m:oMath>
          <m:r>
            <w:rPr>
              <w:rFonts w:ascii="Cambria Math" w:hAnsi="Cambria Math"/>
            </w:rPr>
            <m:t>C=27,801,023</m:t>
          </m:r>
        </m:oMath>
      </m:oMathPara>
    </w:p>
    <w:p w14:paraId="61836426" w14:textId="450D06A5" w:rsidR="00302522" w:rsidRDefault="00302522" w:rsidP="00A36062">
      <w:pPr>
        <w:pStyle w:val="Heading4"/>
      </w:pPr>
      <w:r>
        <w:t>Step 2(</w:t>
      </w:r>
      <w:r w:rsidR="00AB09D1">
        <w:t>b</w:t>
      </w:r>
      <w:r>
        <w:t xml:space="preserve">): </w:t>
      </w:r>
      <w:r w:rsidR="00A36062">
        <w:t>Estimate national population</w:t>
      </w:r>
      <w:r w:rsidR="000F61C6">
        <w:t xml:space="preserve"> </w:t>
      </w:r>
      <w:r w:rsidR="00AB09D1">
        <w:t xml:space="preserve">at </w:t>
      </w:r>
      <w:r w:rsidR="008F19A0">
        <w:t xml:space="preserve">latest available date </w:t>
      </w:r>
      <w:r w:rsidR="00AB09D1">
        <w:t xml:space="preserve">in Budget estimates </w:t>
      </w:r>
      <w:r w:rsidR="008F091A">
        <w:t>before</w:t>
      </w:r>
      <w:r w:rsidR="008F19A0">
        <w:t xml:space="preserve"> </w:t>
      </w:r>
      <w:r w:rsidR="00917A29">
        <w:t xml:space="preserve">licence </w:t>
      </w:r>
      <w:r w:rsidR="005D4BB4">
        <w:t xml:space="preserve">commencement </w:t>
      </w:r>
      <w:r w:rsidR="00917A29">
        <w:t>date</w:t>
      </w:r>
    </w:p>
    <w:p w14:paraId="3F372AE1" w14:textId="5B5EDAE9" w:rsidR="007D03B7" w:rsidRDefault="00D2215A" w:rsidP="00213565">
      <w:pPr>
        <w:pStyle w:val="Paragraph"/>
      </w:pPr>
      <w:r>
        <w:t>T</w:t>
      </w:r>
      <w:r w:rsidR="00384C79">
        <w:t xml:space="preserve">he </w:t>
      </w:r>
      <w:r w:rsidR="00D8299C">
        <w:t xml:space="preserve">last </w:t>
      </w:r>
      <w:r w:rsidR="00775436">
        <w:t xml:space="preserve">population estimate </w:t>
      </w:r>
      <w:r w:rsidR="008F091A">
        <w:t>before</w:t>
      </w:r>
      <w:r w:rsidR="00775436">
        <w:t xml:space="preserve"> the licence </w:t>
      </w:r>
      <w:r w:rsidR="00877148">
        <w:t xml:space="preserve">commencement </w:t>
      </w:r>
      <w:r w:rsidR="00775436">
        <w:t xml:space="preserve">date </w:t>
      </w:r>
      <w:r>
        <w:t xml:space="preserve">is </w:t>
      </w:r>
      <w:r w:rsidR="009700EE">
        <w:t>for</w:t>
      </w:r>
      <w:r>
        <w:t xml:space="preserve"> </w:t>
      </w:r>
      <w:r w:rsidR="00C77AE8">
        <w:t>31 December 2027</w:t>
      </w:r>
      <w:r>
        <w:t xml:space="preserve"> (</w:t>
      </w:r>
      <w:r w:rsidR="0088461A">
        <w:t>before</w:t>
      </w:r>
      <w:r w:rsidR="003D1A8D">
        <w:t xml:space="preserve"> 1</w:t>
      </w:r>
      <w:r w:rsidR="003465B2">
        <w:t>8</w:t>
      </w:r>
      <w:r w:rsidR="003D1A8D">
        <w:t xml:space="preserve"> June 2028)</w:t>
      </w:r>
      <w:r w:rsidR="007D03B7">
        <w:t>.</w:t>
      </w:r>
      <w:r>
        <w:t xml:space="preserve"> </w:t>
      </w:r>
    </w:p>
    <w:p w14:paraId="140E6729" w14:textId="00DF57FA" w:rsidR="007D03B7" w:rsidRDefault="007D03B7" w:rsidP="00213565">
      <w:pPr>
        <w:pStyle w:val="Paragraph"/>
      </w:pPr>
      <w:r>
        <w:t xml:space="preserve">The 2026–27 Budget </w:t>
      </w:r>
      <w:r w:rsidR="007238F8">
        <w:t xml:space="preserve">included population estimates of </w:t>
      </w:r>
      <w:r w:rsidR="00A86BF9">
        <w:t>27,8</w:t>
      </w:r>
      <w:r w:rsidR="00901E2F">
        <w:t>13</w:t>
      </w:r>
      <w:r w:rsidR="00A86BF9">
        <w:t>,000</w:t>
      </w:r>
      <w:r w:rsidR="00D0377F">
        <w:t xml:space="preserve"> </w:t>
      </w:r>
      <w:r w:rsidR="004C68BF">
        <w:t>for 31 December 2025 and 28,5</w:t>
      </w:r>
      <w:r w:rsidR="00652FDA">
        <w:t>32</w:t>
      </w:r>
      <w:r w:rsidR="004C68BF">
        <w:t>,000 for 31 December 202</w:t>
      </w:r>
      <w:r w:rsidR="00F654D0">
        <w:t>7</w:t>
      </w:r>
      <w:r w:rsidR="004C68BF">
        <w:t xml:space="preserve">, </w:t>
      </w:r>
      <w:r w:rsidR="006D1618">
        <w:t>implying population growth of 2.5</w:t>
      </w:r>
      <w:r w:rsidR="002456CC">
        <w:t>9</w:t>
      </w:r>
      <w:r w:rsidR="006D1618">
        <w:t>%.</w:t>
      </w:r>
    </w:p>
    <w:p w14:paraId="10C56760" w14:textId="1107D38D" w:rsidR="00D67EC3" w:rsidRPr="00646AC9" w:rsidRDefault="0000357D" w:rsidP="00A36062">
      <w:pPr>
        <w:pStyle w:val="Paragraph"/>
      </w:pPr>
      <m:oMathPara>
        <m:oMathParaPr>
          <m:jc m:val="left"/>
        </m:oMathParaPr>
        <m:oMath>
          <m:r>
            <w:rPr>
              <w:rFonts w:ascii="Cambria Math" w:hAnsi="Cambria Math"/>
            </w:rPr>
            <m:t>D</m:t>
          </m:r>
          <m:r>
            <m:rPr>
              <m:sty m:val="p"/>
            </m:rPr>
            <w:rPr>
              <w:rFonts w:ascii="Cambria Math" w:hAnsi="Cambria Math"/>
            </w:rPr>
            <m:t>=</m:t>
          </m:r>
          <m:r>
            <w:rPr>
              <w:rFonts w:ascii="Cambria Math" w:hAnsi="Cambria Math"/>
            </w:rPr>
            <m:t>C</m:t>
          </m:r>
          <m:r>
            <m:rPr>
              <m:sty m:val="p"/>
            </m:rPr>
            <w:rPr>
              <w:rFonts w:ascii="Cambria Math" w:hAnsi="Cambria Math"/>
            </w:rPr>
            <m:t>×</m:t>
          </m:r>
          <m:f>
            <m:fPr>
              <m:ctrlPr>
                <w:rPr>
                  <w:rFonts w:ascii="Cambria Math" w:hAnsi="Cambria Math"/>
                  <w:iCs/>
                </w:rPr>
              </m:ctrlPr>
            </m:fPr>
            <m:num>
              <m:r>
                <m:rPr>
                  <m:sty m:val="p"/>
                </m:rPr>
                <w:rPr>
                  <w:rFonts w:ascii="Cambria Math" w:hAnsi="Cambria Math"/>
                </w:rPr>
                <m:t>Budget December 2027 population</m:t>
              </m:r>
            </m:num>
            <m:den>
              <m:r>
                <m:rPr>
                  <m:sty m:val="p"/>
                </m:rPr>
                <w:rPr>
                  <w:rFonts w:ascii="Cambria Math" w:hAnsi="Cambria Math"/>
                </w:rPr>
                <m:t>Budget December 2025 population</m:t>
              </m:r>
              <m:ctrlPr>
                <w:rPr>
                  <w:rFonts w:ascii="Cambria Math" w:hAnsi="Cambria Math"/>
                </w:rPr>
              </m:ctrlPr>
            </m:den>
          </m:f>
        </m:oMath>
      </m:oMathPara>
    </w:p>
    <w:p w14:paraId="217772CF" w14:textId="666B735D" w:rsidR="00F51955" w:rsidRPr="00646AC9" w:rsidRDefault="0000357D" w:rsidP="00A36062">
      <w:pPr>
        <w:pStyle w:val="Paragraph"/>
      </w:pPr>
      <m:oMathPara>
        <m:oMathParaPr>
          <m:jc m:val="left"/>
        </m:oMathParaPr>
        <m:oMath>
          <m:r>
            <w:rPr>
              <w:rFonts w:ascii="Cambria Math" w:hAnsi="Cambria Math"/>
            </w:rPr>
            <m:t>D</m:t>
          </m:r>
          <m:r>
            <m:rPr>
              <m:sty m:val="p"/>
            </m:rPr>
            <w:rPr>
              <w:rFonts w:ascii="Cambria Math" w:hAnsi="Cambria Math"/>
            </w:rPr>
            <m:t>=27,801,023×</m:t>
          </m:r>
          <m:f>
            <m:fPr>
              <m:ctrlPr>
                <w:rPr>
                  <w:rFonts w:ascii="Cambria Math" w:hAnsi="Cambria Math"/>
                </w:rPr>
              </m:ctrlPr>
            </m:fPr>
            <m:num>
              <m:r>
                <m:rPr>
                  <m:sty m:val="p"/>
                </m:rPr>
                <w:rPr>
                  <w:rFonts w:ascii="Cambria Math" w:hAnsi="Cambria Math"/>
                </w:rPr>
                <m:t>28,532,000</m:t>
              </m:r>
            </m:num>
            <m:den>
              <m:r>
                <m:rPr>
                  <m:sty m:val="p"/>
                </m:rPr>
                <w:rPr>
                  <w:rFonts w:ascii="Cambria Math" w:hAnsi="Cambria Math"/>
                </w:rPr>
                <m:t>27,813,000</m:t>
              </m:r>
            </m:den>
          </m:f>
        </m:oMath>
      </m:oMathPara>
    </w:p>
    <w:p w14:paraId="3A5DF7DD" w14:textId="7C0AD87D" w:rsidR="00ED58D4" w:rsidRPr="00646AC9" w:rsidRDefault="0000357D" w:rsidP="00A36062">
      <w:pPr>
        <w:pStyle w:val="Paragraph"/>
      </w:pPr>
      <m:oMath>
        <m:r>
          <w:rPr>
            <w:rFonts w:ascii="Cambria Math" w:hAnsi="Cambria Math"/>
          </w:rPr>
          <m:t>D</m:t>
        </m:r>
        <m:r>
          <m:rPr>
            <m:sty m:val="p"/>
          </m:rPr>
          <w:rPr>
            <w:rFonts w:ascii="Cambria Math" w:hAnsi="Cambria Math"/>
          </w:rPr>
          <m:t>=27,801,023×1.02585</m:t>
        </m:r>
      </m:oMath>
      <w:r w:rsidR="00085C0F">
        <w:t>1</w:t>
      </w:r>
    </w:p>
    <w:p w14:paraId="2840B3DE" w14:textId="472026A6" w:rsidR="00943A8F" w:rsidRPr="00A86E53" w:rsidRDefault="0000357D" w:rsidP="00A36062">
      <w:pPr>
        <w:pStyle w:val="Paragraph"/>
      </w:pPr>
      <m:oMathPara>
        <m:oMathParaPr>
          <m:jc m:val="left"/>
        </m:oMathParaPr>
        <m:oMath>
          <m:r>
            <w:rPr>
              <w:rFonts w:ascii="Cambria Math" w:hAnsi="Cambria Math"/>
            </w:rPr>
            <m:t>D</m:t>
          </m:r>
          <m:r>
            <m:rPr>
              <m:sty m:val="p"/>
            </m:rPr>
            <w:rPr>
              <w:rFonts w:ascii="Cambria Math" w:hAnsi="Cambria Math"/>
            </w:rPr>
            <m:t>=28,519,</m:t>
          </m:r>
          <m:r>
            <w:rPr>
              <w:rFonts w:ascii="Cambria Math" w:hAnsi="Cambria Math"/>
            </w:rPr>
            <m:t>713</m:t>
          </m:r>
        </m:oMath>
      </m:oMathPara>
    </w:p>
    <w:p w14:paraId="276BBB7B" w14:textId="582C8F1B" w:rsidR="00A86E53" w:rsidRPr="00A86E53" w:rsidRDefault="00A86E53" w:rsidP="00A36062">
      <w:pPr>
        <w:pStyle w:val="Paragraph"/>
      </w:pPr>
      <w:r>
        <w:t>It should be noted that if the latest ABS ERP population figure was for the March or September quarter</w:t>
      </w:r>
      <w:r w:rsidR="005A5D6C">
        <w:t>,</w:t>
      </w:r>
      <w:r w:rsidR="00780274">
        <w:t xml:space="preserve"> there would not be </w:t>
      </w:r>
      <w:r w:rsidR="004F652C">
        <w:t xml:space="preserve">a directly corresponding population estimate in the </w:t>
      </w:r>
      <w:r w:rsidR="001B060D">
        <w:t>Budget</w:t>
      </w:r>
      <w:r w:rsidR="002D496C">
        <w:t>, as forecasts are only published for June and December each year.</w:t>
      </w:r>
      <w:r w:rsidR="00FA4443">
        <w:t xml:space="preserve"> In these cases,</w:t>
      </w:r>
      <w:r w:rsidR="005A5D6C">
        <w:t xml:space="preserve"> we would </w:t>
      </w:r>
      <w:r w:rsidR="00C712D9">
        <w:t>take the equivalent Budget figure as the midpoint between the relevant June and December figures published (</w:t>
      </w:r>
      <w:r w:rsidR="00D5634A">
        <w:t>for example,</w:t>
      </w:r>
      <w:r w:rsidR="00C712D9">
        <w:t xml:space="preserve"> September 2025 would be the midpoint of June 2025 and December 2025 in the Budget).</w:t>
      </w:r>
    </w:p>
    <w:p w14:paraId="2A8F806D" w14:textId="6CDD1C81" w:rsidR="00147EA4" w:rsidRPr="009B1DF9" w:rsidRDefault="00147EA4" w:rsidP="009B1DF9">
      <w:pPr>
        <w:pStyle w:val="Heading4"/>
      </w:pPr>
      <w:r w:rsidRPr="009B1DF9">
        <w:t>Step 2(</w:t>
      </w:r>
      <w:r w:rsidR="00F1578A" w:rsidRPr="009B1DF9">
        <w:t>c</w:t>
      </w:r>
      <w:r w:rsidRPr="009B1DF9">
        <w:t xml:space="preserve">): </w:t>
      </w:r>
      <w:r w:rsidR="00A36062" w:rsidRPr="009B1DF9">
        <w:t xml:space="preserve">Estimate </w:t>
      </w:r>
      <w:r w:rsidR="00F921E0">
        <w:t>implied daily</w:t>
      </w:r>
      <w:r w:rsidR="00F4749F">
        <w:t xml:space="preserve"> population growth</w:t>
      </w:r>
      <w:r w:rsidR="00AC50AF">
        <w:t xml:space="preserve"> in 6-month period that incorporates the licence </w:t>
      </w:r>
      <w:r w:rsidR="00144D27">
        <w:t xml:space="preserve">commencement </w:t>
      </w:r>
      <w:r w:rsidR="00AC50AF">
        <w:t>date</w:t>
      </w:r>
    </w:p>
    <w:p w14:paraId="5E3E9D87" w14:textId="248153C2" w:rsidR="00147EA4" w:rsidRPr="00F1578A" w:rsidRDefault="0000357D" w:rsidP="00A36062">
      <w:pPr>
        <w:pStyle w:val="Paragraph"/>
      </w:pPr>
      <m:oMathPara>
        <m:oMathParaPr>
          <m:jc m:val="left"/>
        </m:oMathParaPr>
        <m:oMath>
          <m:r>
            <w:rPr>
              <w:rFonts w:ascii="Cambria Math" w:hAnsi="Cambria Math"/>
            </w:rPr>
            <m:t>E</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Budget June 2028 population</m:t>
                      </m:r>
                    </m:num>
                    <m:den>
                      <m:r>
                        <m:rPr>
                          <m:sty m:val="p"/>
                        </m:rPr>
                        <w:rPr>
                          <w:rFonts w:ascii="Cambria Math" w:hAnsi="Cambria Math"/>
                        </w:rPr>
                        <m:t>Budget December 2027 population</m:t>
                      </m:r>
                    </m:den>
                  </m:f>
                </m:e>
              </m:d>
            </m:e>
            <m:sup>
              <m:f>
                <m:fPr>
                  <m:ctrlPr>
                    <w:rPr>
                      <w:rFonts w:ascii="Cambria Math" w:hAnsi="Cambria Math"/>
                    </w:rPr>
                  </m:ctrlPr>
                </m:fPr>
                <m:num>
                  <m:r>
                    <m:rPr>
                      <m:sty m:val="p"/>
                    </m:rPr>
                    <w:rPr>
                      <w:rFonts w:ascii="Cambria Math" w:hAnsi="Cambria Math"/>
                    </w:rPr>
                    <m:t>1</m:t>
                  </m:r>
                </m:num>
                <m:den>
                  <m:r>
                    <m:rPr>
                      <m:sty m:val="p"/>
                    </m:rPr>
                    <w:rPr>
                      <w:rFonts w:ascii="Cambria Math" w:hAnsi="Cambria Math"/>
                    </w:rPr>
                    <m:t>182</m:t>
                  </m:r>
                </m:den>
              </m:f>
            </m:sup>
          </m:sSup>
        </m:oMath>
      </m:oMathPara>
    </w:p>
    <w:p w14:paraId="232E2C45" w14:textId="77777777" w:rsidR="00147EA4" w:rsidRDefault="00147EA4" w:rsidP="00147EA4">
      <w:pPr>
        <w:pStyle w:val="Paragraph"/>
      </w:pPr>
      <w:r>
        <w:t>Where 182 is the number of days between 31 December 2027 and 30 June 2028.</w:t>
      </w:r>
    </w:p>
    <w:p w14:paraId="3D651FF1" w14:textId="6DEF9847" w:rsidR="00147EA4" w:rsidRPr="00967423" w:rsidRDefault="0000357D" w:rsidP="00147EA4">
      <m:oMathPara>
        <m:oMathParaPr>
          <m:jc m:val="left"/>
        </m:oMathParaPr>
        <m:oMath>
          <m:r>
            <w:rPr>
              <w:rFonts w:ascii="Cambria Math" w:hAnsi="Cambria Math"/>
            </w:rPr>
            <m:t xml:space="preserve">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28,700,000</m:t>
                      </m:r>
                    </m:num>
                    <m:den>
                      <m:r>
                        <w:rPr>
                          <w:rFonts w:ascii="Cambria Math" w:hAnsi="Cambria Math"/>
                        </w:rPr>
                        <m:t>28,532,000</m:t>
                      </m:r>
                    </m:den>
                  </m:f>
                </m:e>
              </m:d>
            </m:e>
            <m:sup>
              <m:f>
                <m:fPr>
                  <m:ctrlPr>
                    <w:rPr>
                      <w:rFonts w:ascii="Cambria Math" w:hAnsi="Cambria Math"/>
                      <w:i/>
                    </w:rPr>
                  </m:ctrlPr>
                </m:fPr>
                <m:num>
                  <m:r>
                    <w:rPr>
                      <w:rFonts w:ascii="Cambria Math" w:hAnsi="Cambria Math"/>
                    </w:rPr>
                    <m:t>1</m:t>
                  </m:r>
                </m:num>
                <m:den>
                  <m:r>
                    <w:rPr>
                      <w:rFonts w:ascii="Cambria Math" w:hAnsi="Cambria Math"/>
                    </w:rPr>
                    <m:t>182</m:t>
                  </m:r>
                </m:den>
              </m:f>
            </m:sup>
          </m:sSup>
        </m:oMath>
      </m:oMathPara>
    </w:p>
    <w:p w14:paraId="6B874853" w14:textId="1BB1C5F8" w:rsidR="00147EA4" w:rsidRPr="00967423" w:rsidRDefault="0000357D" w:rsidP="00147EA4">
      <m:oMathPara>
        <m:oMathParaPr>
          <m:jc m:val="left"/>
        </m:oMathParaPr>
        <m:oMath>
          <m:r>
            <w:rPr>
              <w:rFonts w:ascii="Cambria Math" w:hAnsi="Cambria Math"/>
            </w:rPr>
            <m:t>E=1.0000332258</m:t>
          </m:r>
        </m:oMath>
      </m:oMathPara>
    </w:p>
    <w:p w14:paraId="3FEE87F2" w14:textId="459DB582" w:rsidR="00147EA4" w:rsidRPr="00213565" w:rsidRDefault="00147EA4" w:rsidP="00DA00A8">
      <w:pPr>
        <w:pStyle w:val="Heading4"/>
      </w:pPr>
      <w:r w:rsidRPr="00213565">
        <w:rPr>
          <w:bCs/>
        </w:rPr>
        <w:t>Step 2(</w:t>
      </w:r>
      <w:r w:rsidR="00AC50AF">
        <w:rPr>
          <w:bCs/>
        </w:rPr>
        <w:t>d</w:t>
      </w:r>
      <w:r w:rsidRPr="00213565">
        <w:rPr>
          <w:bCs/>
        </w:rPr>
        <w:t>):</w:t>
      </w:r>
      <w:r>
        <w:t xml:space="preserve"> </w:t>
      </w:r>
      <w:r w:rsidRPr="00213565">
        <w:t xml:space="preserve">Estimate the national population at </w:t>
      </w:r>
      <w:r w:rsidR="001D35D3">
        <w:t xml:space="preserve">licence </w:t>
      </w:r>
      <w:r w:rsidR="00C80349">
        <w:t xml:space="preserve">commencement </w:t>
      </w:r>
      <w:r w:rsidRPr="00213565">
        <w:t>date</w:t>
      </w:r>
    </w:p>
    <w:p w14:paraId="3CE2290E" w14:textId="2F383642" w:rsidR="00147EA4" w:rsidRPr="00DA00A8" w:rsidRDefault="0000357D" w:rsidP="00147EA4">
      <w:pPr>
        <w:pStyle w:val="Paragraph"/>
        <w:rPr>
          <w:i/>
          <w:iCs/>
        </w:rPr>
      </w:pPr>
      <m:oMathPara>
        <m:oMathParaPr>
          <m:jc m:val="left"/>
        </m:oMathParaPr>
        <m:oMath>
          <m:r>
            <w:rPr>
              <w:rFonts w:ascii="Cambria Math" w:hAnsi="Cambria Math"/>
            </w:rPr>
            <m:t>F=D×</m:t>
          </m:r>
          <m:sSup>
            <m:sSupPr>
              <m:ctrlPr>
                <w:rPr>
                  <w:rFonts w:ascii="Cambria Math" w:hAnsi="Cambria Math"/>
                  <w:i/>
                  <w:iCs/>
                </w:rPr>
              </m:ctrlPr>
            </m:sSupPr>
            <m:e>
              <m:r>
                <w:rPr>
                  <w:rFonts w:ascii="Cambria Math" w:hAnsi="Cambria Math"/>
                </w:rPr>
                <m:t>E</m:t>
              </m:r>
            </m:e>
            <m:sup>
              <m:r>
                <w:rPr>
                  <w:rFonts w:ascii="Cambria Math" w:hAnsi="Cambria Math"/>
                </w:rPr>
                <m:t>170</m:t>
              </m:r>
            </m:sup>
          </m:sSup>
        </m:oMath>
      </m:oMathPara>
    </w:p>
    <w:p w14:paraId="4B4DC544" w14:textId="71B7A231" w:rsidR="00147EA4" w:rsidRDefault="00147EA4" w:rsidP="00147EA4">
      <w:pPr>
        <w:pStyle w:val="Paragraph"/>
      </w:pPr>
      <w:r>
        <w:t>Where</w:t>
      </w:r>
      <w:r w:rsidR="001D35D3">
        <w:t xml:space="preserve"> </w:t>
      </w:r>
      <m:oMath>
        <m:r>
          <w:rPr>
            <w:rFonts w:ascii="Cambria Math" w:hAnsi="Cambria Math"/>
          </w:rPr>
          <m:t>F</m:t>
        </m:r>
      </m:oMath>
      <w:r w:rsidR="001D35D3">
        <w:t xml:space="preserve"> equals the estimated national population at the licence </w:t>
      </w:r>
      <w:r w:rsidR="00C80349">
        <w:t xml:space="preserve">commencement </w:t>
      </w:r>
      <w:r w:rsidR="001D35D3">
        <w:t>date, and</w:t>
      </w:r>
      <w:r>
        <w:t xml:space="preserve"> 1</w:t>
      </w:r>
      <w:r w:rsidR="00F93F96">
        <w:t>70</w:t>
      </w:r>
      <w:r>
        <w:t xml:space="preserve"> is the number of days between 31 December 2027 and 1</w:t>
      </w:r>
      <w:r w:rsidR="00F93F96">
        <w:t>8</w:t>
      </w:r>
      <w:r>
        <w:t xml:space="preserve"> June 2028. </w:t>
      </w:r>
    </w:p>
    <w:p w14:paraId="66B3102E" w14:textId="50FD49A5" w:rsidR="00147EA4" w:rsidRPr="001D35D3" w:rsidRDefault="0000357D" w:rsidP="00147EA4">
      <w:pPr>
        <w:pStyle w:val="Paragraph"/>
      </w:pPr>
      <m:oMathPara>
        <m:oMathParaPr>
          <m:jc m:val="left"/>
        </m:oMathParaPr>
        <m:oMath>
          <m:r>
            <m:rPr>
              <m:sty m:val="p"/>
            </m:rPr>
            <w:rPr>
              <w:rFonts w:ascii="Cambria Math" w:hAnsi="Cambria Math"/>
            </w:rPr>
            <m:t>F=28,519,713×</m:t>
          </m:r>
          <m:sSup>
            <m:sSupPr>
              <m:ctrlPr>
                <w:rPr>
                  <w:rFonts w:ascii="Cambria Math" w:hAnsi="Cambria Math"/>
                </w:rPr>
              </m:ctrlPr>
            </m:sSupPr>
            <m:e>
              <m:r>
                <m:rPr>
                  <m:sty m:val="p"/>
                </m:rPr>
                <w:rPr>
                  <w:rFonts w:ascii="Cambria Math" w:hAnsi="Cambria Math"/>
                </w:rPr>
                <m:t>1.0000332258</m:t>
              </m:r>
            </m:e>
            <m:sup>
              <m:r>
                <m:rPr>
                  <m:sty m:val="p"/>
                </m:rPr>
                <w:rPr>
                  <w:rFonts w:ascii="Cambria Math" w:hAnsi="Cambria Math"/>
                </w:rPr>
                <m:t>170</m:t>
              </m:r>
            </m:sup>
          </m:sSup>
        </m:oMath>
      </m:oMathPara>
    </w:p>
    <w:p w14:paraId="7E8098BD" w14:textId="1FFF1317" w:rsidR="00147EA4" w:rsidRPr="001D35D3" w:rsidRDefault="0000357D" w:rsidP="00147EA4">
      <w:pPr>
        <w:pStyle w:val="Paragraph"/>
      </w:pPr>
      <m:oMathPara>
        <m:oMathParaPr>
          <m:jc m:val="left"/>
        </m:oMathParaPr>
        <m:oMath>
          <m:r>
            <m:rPr>
              <m:sty m:val="p"/>
            </m:rPr>
            <w:rPr>
              <w:rFonts w:ascii="Cambria Math" w:hAnsi="Cambria Math"/>
            </w:rPr>
            <m:t>F = 28,676,538</m:t>
          </m:r>
        </m:oMath>
      </m:oMathPara>
    </w:p>
    <w:p w14:paraId="374CDC69" w14:textId="178C0C29" w:rsidR="00F51955" w:rsidRDefault="000C180E" w:rsidP="00DA00A8">
      <w:pPr>
        <w:pStyle w:val="Paragraph"/>
      </w:pPr>
      <w:r>
        <w:t>The estimated national population on 1</w:t>
      </w:r>
      <w:r w:rsidR="000E2180">
        <w:t>8</w:t>
      </w:r>
      <w:r>
        <w:t xml:space="preserve"> June 2028 is therefore 28,6</w:t>
      </w:r>
      <w:r w:rsidR="000E2180">
        <w:t>76</w:t>
      </w:r>
      <w:r>
        <w:t>,</w:t>
      </w:r>
      <w:r w:rsidR="00607BC0">
        <w:t>5</w:t>
      </w:r>
      <w:r w:rsidR="00840291">
        <w:t>38</w:t>
      </w:r>
      <w:r>
        <w:t>.</w:t>
      </w:r>
    </w:p>
    <w:p w14:paraId="4A3BD776" w14:textId="576D8640" w:rsidR="008107E0" w:rsidRDefault="008107E0" w:rsidP="00A53847">
      <w:pPr>
        <w:pStyle w:val="Heading3"/>
      </w:pPr>
      <w:r w:rsidRPr="008107E0">
        <w:t xml:space="preserve">Step </w:t>
      </w:r>
      <w:r w:rsidR="000C180E">
        <w:t>3</w:t>
      </w:r>
      <w:r w:rsidRPr="008107E0">
        <w:t xml:space="preserve">: </w:t>
      </w:r>
      <w:r w:rsidR="009A11F7">
        <w:t>Calculate the population growth factor</w:t>
      </w:r>
    </w:p>
    <w:p w14:paraId="4A62DBBA" w14:textId="404F7D88" w:rsidR="000C180E" w:rsidRPr="000C180E" w:rsidRDefault="000C180E" w:rsidP="00A53847">
      <w:pPr>
        <w:pStyle w:val="Paragraph"/>
      </w:pPr>
      <w:r>
        <w:t xml:space="preserve">We now need to find the </w:t>
      </w:r>
      <w:r w:rsidR="00C05FB5">
        <w:t>difference between the estimated</w:t>
      </w:r>
      <w:r w:rsidR="00B40753">
        <w:t xml:space="preserve"> national population on the licence </w:t>
      </w:r>
      <w:r w:rsidR="00494E93">
        <w:t xml:space="preserve">commencement </w:t>
      </w:r>
      <w:r w:rsidR="00B40753">
        <w:t xml:space="preserve">date and the estimated national population on the </w:t>
      </w:r>
      <w:r w:rsidR="008034C2">
        <w:t>Census date to determine the population growth factor.</w:t>
      </w:r>
    </w:p>
    <w:p w14:paraId="23FF866B" w14:textId="0F0489CF" w:rsidR="009A11F7" w:rsidRPr="008034C2" w:rsidRDefault="0000357D" w:rsidP="0036362B">
      <w:pPr>
        <w:pStyle w:val="Paragraph"/>
      </w:pPr>
      <m:oMathPara>
        <m:oMathParaPr>
          <m:jc m:val="left"/>
        </m:oMathParaPr>
        <m:oMath>
          <m:r>
            <m:rPr>
              <m:sty m:val="p"/>
            </m:rPr>
            <w:rPr>
              <w:rFonts w:ascii="Cambria Math" w:hAnsi="Cambria Math"/>
            </w:rPr>
            <m:t xml:space="preserve">G= </m:t>
          </m:r>
          <m:f>
            <m:fPr>
              <m:ctrlPr>
                <w:rPr>
                  <w:rFonts w:ascii="Cambria Math" w:hAnsi="Cambria Math"/>
                </w:rPr>
              </m:ctrlPr>
            </m:fPr>
            <m:num>
              <m:r>
                <w:rPr>
                  <w:rFonts w:ascii="Cambria Math" w:hAnsi="Cambria Math"/>
                </w:rPr>
                <m:t>F</m:t>
              </m:r>
            </m:num>
            <m:den>
              <m:r>
                <w:rPr>
                  <w:rFonts w:ascii="Cambria Math" w:hAnsi="Cambria Math"/>
                </w:rPr>
                <m:t>B</m:t>
              </m:r>
            </m:den>
          </m:f>
        </m:oMath>
      </m:oMathPara>
    </w:p>
    <w:p w14:paraId="4B264E85" w14:textId="27D011F0" w:rsidR="00845B38" w:rsidRPr="008034C2" w:rsidRDefault="00000239" w:rsidP="0036362B">
      <w:pPr>
        <w:pStyle w:val="Paragraph"/>
      </w:pPr>
      <m:oMathPara>
        <m:oMathParaPr>
          <m:jc m:val="left"/>
        </m:oMathParaPr>
        <m:oMath>
          <m:r>
            <m:rPr>
              <m:sty m:val="p"/>
            </m:rPr>
            <w:rPr>
              <w:rFonts w:ascii="Cambria Math" w:hAnsi="Cambria Math"/>
            </w:rPr>
            <m:t>G=</m:t>
          </m:r>
          <m:f>
            <m:fPr>
              <m:ctrlPr>
                <w:rPr>
                  <w:rFonts w:ascii="Cambria Math" w:hAnsi="Cambria Math"/>
                </w:rPr>
              </m:ctrlPr>
            </m:fPr>
            <m:num>
              <m:r>
                <m:rPr>
                  <m:sty m:val="p"/>
                </m:rPr>
                <w:rPr>
                  <w:rFonts w:ascii="Cambria Math" w:hAnsi="Cambria Math"/>
                </w:rPr>
                <m:t>28,676,538</m:t>
              </m:r>
            </m:num>
            <m:den>
              <m:r>
                <m:rPr>
                  <m:sty m:val="p"/>
                </m:rPr>
                <w:rPr>
                  <w:rFonts w:ascii="Cambria Math" w:hAnsi="Cambria Math"/>
                </w:rPr>
                <m:t>25,694,039</m:t>
              </m:r>
            </m:den>
          </m:f>
        </m:oMath>
      </m:oMathPara>
    </w:p>
    <w:p w14:paraId="1C01CB89" w14:textId="459DE80A" w:rsidR="00845B38" w:rsidRPr="008034C2" w:rsidRDefault="00000239" w:rsidP="0036362B">
      <w:pPr>
        <w:pStyle w:val="Paragraph"/>
      </w:pPr>
      <m:oMathPara>
        <m:oMathParaPr>
          <m:jc m:val="left"/>
        </m:oMathParaPr>
        <m:oMath>
          <m:r>
            <m:rPr>
              <m:sty m:val="p"/>
            </m:rPr>
            <w:rPr>
              <w:rFonts w:ascii="Cambria Math" w:hAnsi="Cambria Math"/>
            </w:rPr>
            <m:t>G =1.116077488</m:t>
          </m:r>
        </m:oMath>
      </m:oMathPara>
    </w:p>
    <w:p w14:paraId="1047293E" w14:textId="104DBB98" w:rsidR="00CA22D0" w:rsidRDefault="007C56F9" w:rsidP="0036362B">
      <w:pPr>
        <w:pStyle w:val="Heading3"/>
      </w:pPr>
      <w:r w:rsidRPr="007C56F9">
        <w:t xml:space="preserve">Step </w:t>
      </w:r>
      <w:r w:rsidR="003B78DB">
        <w:t>4</w:t>
      </w:r>
      <w:r w:rsidRPr="007C56F9">
        <w:t xml:space="preserve">: </w:t>
      </w:r>
      <w:r w:rsidR="00CA22D0">
        <w:t>Estimate the licence area population</w:t>
      </w:r>
      <w:r w:rsidR="00005BA4">
        <w:t xml:space="preserve"> at the licence </w:t>
      </w:r>
      <w:r w:rsidR="001F298D" w:rsidRPr="001F298D">
        <w:t>commencement</w:t>
      </w:r>
      <w:r w:rsidR="00005BA4">
        <w:t xml:space="preserve"> date</w:t>
      </w:r>
    </w:p>
    <w:p w14:paraId="7EB02494" w14:textId="5C13564C" w:rsidR="002F7B1E" w:rsidRPr="002F7B1E" w:rsidRDefault="0055158A" w:rsidP="00A13169">
      <w:pPr>
        <w:pStyle w:val="Paragraph"/>
      </w:pPr>
      <w:r>
        <w:t>The population growth factor</w:t>
      </w:r>
      <w:r w:rsidR="00A13169">
        <w:t xml:space="preserve"> derived in the previous step</w:t>
      </w:r>
      <w:r>
        <w:t xml:space="preserve"> can be used to </w:t>
      </w:r>
      <w:r w:rsidR="000148E2">
        <w:t>estimate</w:t>
      </w:r>
      <w:r>
        <w:t xml:space="preserve"> the </w:t>
      </w:r>
      <w:r w:rsidR="00A13169">
        <w:t xml:space="preserve">population of </w:t>
      </w:r>
      <w:r w:rsidR="003D2C49">
        <w:t xml:space="preserve">licence areas in each </w:t>
      </w:r>
      <w:r w:rsidR="00A13169">
        <w:t>ESL in the 850 MHz and 1800 MHz bands</w:t>
      </w:r>
      <w:r w:rsidR="00BF04E4">
        <w:t xml:space="preserve"> </w:t>
      </w:r>
      <w:r w:rsidR="00C04F44" w:rsidRPr="00C04F44">
        <w:t>by</w:t>
      </w:r>
      <w:r w:rsidR="00BF04E4">
        <w:t xml:space="preserve"> multiplying it by </w:t>
      </w:r>
      <w:r w:rsidR="003D2C49">
        <w:t xml:space="preserve">the 2021 Census HCIS </w:t>
      </w:r>
      <w:r w:rsidR="00BF04E4">
        <w:t xml:space="preserve">population </w:t>
      </w:r>
      <w:r w:rsidR="003D2C49">
        <w:t>data</w:t>
      </w:r>
      <w:r w:rsidR="00A13169">
        <w:t>.</w:t>
      </w:r>
    </w:p>
    <w:p w14:paraId="3F952985" w14:textId="5D87C9D3" w:rsidR="00D27EED" w:rsidRPr="00BF04E4" w:rsidRDefault="0000357D" w:rsidP="00387F32">
      <w:pPr>
        <w:pStyle w:val="Paragraph"/>
      </w:pPr>
      <m:oMathPara>
        <m:oMathParaPr>
          <m:jc m:val="left"/>
        </m:oMathParaPr>
        <m:oMath>
          <m:r>
            <w:rPr>
              <w:rFonts w:ascii="Cambria Math" w:hAnsi="Cambria Math"/>
            </w:rPr>
            <m:t>Licence</m:t>
          </m:r>
          <m:r>
            <m:rPr>
              <m:sty m:val="p"/>
            </m:rPr>
            <w:rPr>
              <w:rFonts w:ascii="Cambria Math" w:hAnsi="Cambria Math"/>
            </w:rPr>
            <m:t xml:space="preserve"> </m:t>
          </m:r>
          <m:r>
            <w:rPr>
              <w:rFonts w:ascii="Cambria Math" w:hAnsi="Cambria Math"/>
            </w:rPr>
            <m:t>area</m:t>
          </m:r>
          <m:r>
            <m:rPr>
              <m:sty m:val="p"/>
            </m:rPr>
            <w:rPr>
              <w:rFonts w:ascii="Cambria Math" w:hAnsi="Cambria Math"/>
            </w:rPr>
            <m:t xml:space="preserve"> </m:t>
          </m:r>
          <m:r>
            <w:rPr>
              <w:rFonts w:ascii="Cambria Math" w:hAnsi="Cambria Math"/>
            </w:rPr>
            <m:t>population</m:t>
          </m:r>
          <m:r>
            <m:rPr>
              <m:sty m:val="p"/>
            </m:rPr>
            <w:rPr>
              <w:rFonts w:ascii="Cambria Math" w:hAnsi="Cambria Math"/>
            </w:rPr>
            <m:t>=</m:t>
          </m:r>
          <m:r>
            <w:rPr>
              <w:rFonts w:ascii="Cambria Math" w:hAnsi="Cambria Math"/>
            </w:rPr>
            <m:t>HCIS</m:t>
          </m:r>
          <m:r>
            <m:rPr>
              <m:sty m:val="p"/>
            </m:rPr>
            <w:rPr>
              <w:rFonts w:ascii="Cambria Math" w:hAnsi="Cambria Math"/>
            </w:rPr>
            <m:t xml:space="preserve"> </m:t>
          </m:r>
          <m:r>
            <w:rPr>
              <w:rFonts w:ascii="Cambria Math" w:hAnsi="Cambria Math"/>
            </w:rPr>
            <m:t>population</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licence</m:t>
          </m:r>
          <m:r>
            <m:rPr>
              <m:sty m:val="p"/>
            </m:rPr>
            <w:rPr>
              <w:rFonts w:ascii="Cambria Math" w:hAnsi="Cambria Math"/>
            </w:rPr>
            <m:t xml:space="preserve"> </m:t>
          </m:r>
          <m:r>
            <w:rPr>
              <w:rFonts w:ascii="Cambria Math" w:hAnsi="Cambria Math"/>
            </w:rPr>
            <m:t>area</m:t>
          </m:r>
          <m:r>
            <m:rPr>
              <m:sty m:val="p"/>
            </m:rPr>
            <w:rPr>
              <w:rFonts w:ascii="Cambria Math" w:hAnsi="Cambria Math"/>
            </w:rPr>
            <m:t xml:space="preserve"> ×</m:t>
          </m:r>
          <m:r>
            <w:rPr>
              <w:rFonts w:ascii="Cambria Math" w:hAnsi="Cambria Math"/>
            </w:rPr>
            <m:t>G</m:t>
          </m:r>
          <m:r>
            <m:rPr>
              <m:sty m:val="p"/>
            </m:rPr>
            <w:rPr>
              <w:rFonts w:ascii="Cambria Math" w:hAnsi="Cambria Math"/>
            </w:rPr>
            <m:t xml:space="preserve"> </m:t>
          </m:r>
        </m:oMath>
      </m:oMathPara>
    </w:p>
    <w:p w14:paraId="1D69A327" w14:textId="77777777" w:rsidR="00973F53" w:rsidRPr="00E162C4" w:rsidRDefault="00973F53" w:rsidP="00973F53">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pPr>
      <w:r w:rsidRPr="0000034F">
        <w:t xml:space="preserve">Question </w:t>
      </w:r>
      <w:r w:rsidRPr="006A4069">
        <w:t>3</w:t>
      </w:r>
    </w:p>
    <w:p w14:paraId="78A4C962" w14:textId="55E19048" w:rsidR="00973F53" w:rsidRPr="00E162C4" w:rsidRDefault="00973F53" w:rsidP="00973F53">
      <w:pPr>
        <w:pStyle w:val="Paragraph"/>
        <w:pBdr>
          <w:top w:val="single" w:sz="4" w:space="1" w:color="auto"/>
          <w:left w:val="single" w:sz="4" w:space="4" w:color="auto"/>
          <w:bottom w:val="single" w:sz="4" w:space="1" w:color="auto"/>
          <w:right w:val="single" w:sz="4" w:space="4" w:color="auto"/>
          <w:between w:val="single" w:sz="4" w:space="1" w:color="auto"/>
          <w:bar w:val="single" w:sz="4" w:color="auto"/>
        </w:pBdr>
      </w:pPr>
      <w:r w:rsidRPr="00D64247">
        <w:t>Do you have any comments on the proposed methodology for projecting licence area populations to licence commencement dates?</w:t>
      </w:r>
    </w:p>
    <w:p w14:paraId="09A8E180" w14:textId="55E19048" w:rsidR="00186B6E" w:rsidRDefault="00186B6E" w:rsidP="008C67E6">
      <w:pPr>
        <w:pStyle w:val="Heading2"/>
      </w:pPr>
      <w:bookmarkStart w:id="25" w:name="_Timing_of_population"/>
      <w:bookmarkStart w:id="26" w:name="_Toc242777941"/>
      <w:bookmarkEnd w:id="25"/>
      <w:r>
        <w:t>Timing of population projections</w:t>
      </w:r>
      <w:r w:rsidR="001C064F">
        <w:t xml:space="preserve"> for later-expiring bands</w:t>
      </w:r>
      <w:bookmarkEnd w:id="26"/>
    </w:p>
    <w:p w14:paraId="44B9C79E" w14:textId="77777777" w:rsidR="003F09D5" w:rsidRDefault="00A034DC" w:rsidP="00510AC2">
      <w:pPr>
        <w:pStyle w:val="Paragraph"/>
      </w:pPr>
      <w:r w:rsidRPr="00B11C54">
        <w:t>For the remaining ESL bands</w:t>
      </w:r>
      <w:r w:rsidR="00CB7FF8" w:rsidRPr="00B11C54">
        <w:t xml:space="preserve"> expiring </w:t>
      </w:r>
      <w:r w:rsidR="0016215C">
        <w:t>later than the 850 MHz and 1800 MHz bands</w:t>
      </w:r>
      <w:r w:rsidR="00CB7FF8" w:rsidRPr="00B11C54">
        <w:t>,</w:t>
      </w:r>
      <w:r w:rsidR="005A18F3" w:rsidRPr="00B11C54">
        <w:t xml:space="preserve"> </w:t>
      </w:r>
      <w:r w:rsidR="006F4879" w:rsidRPr="00B11C54">
        <w:t xml:space="preserve">we </w:t>
      </w:r>
      <w:r w:rsidR="00556DA8">
        <w:t>have considered whether population projections should be updated in re</w:t>
      </w:r>
      <w:r w:rsidR="0016215C">
        <w:t>s</w:t>
      </w:r>
      <w:r w:rsidR="00556DA8">
        <w:t>po</w:t>
      </w:r>
      <w:r w:rsidR="0016215C">
        <w:t>n</w:t>
      </w:r>
      <w:r w:rsidR="00556DA8">
        <w:t xml:space="preserve">se to each individual renewal </w:t>
      </w:r>
      <w:r w:rsidR="00697AEC">
        <w:t>application or</w:t>
      </w:r>
      <w:r w:rsidR="0016215C">
        <w:t xml:space="preserve"> whether they should be</w:t>
      </w:r>
      <w:r w:rsidR="00556DA8">
        <w:t xml:space="preserve"> fixed at an earlier point in the renewal process. Updating projections for each appli</w:t>
      </w:r>
      <w:r w:rsidR="00314820">
        <w:t>cation would allow the most rec</w:t>
      </w:r>
      <w:r w:rsidR="00697AEC">
        <w:t>ent available population data to be used. However, we consider it preferable to fix the projections at an earlier point to provide licensees with greater certainty about the population inputs that will be used to calculate their SACs</w:t>
      </w:r>
      <w:r w:rsidR="008601AF">
        <w:t xml:space="preserve"> with reference to preferred $/MHz/pop prices</w:t>
      </w:r>
      <w:r w:rsidR="00697AEC">
        <w:t xml:space="preserve">. We are therefore </w:t>
      </w:r>
      <w:r w:rsidR="006F4879" w:rsidRPr="00B11C54">
        <w:t xml:space="preserve">seeking stakeholder feedback </w:t>
      </w:r>
      <w:r w:rsidR="00E87D76" w:rsidRPr="00B11C54">
        <w:t>on</w:t>
      </w:r>
      <w:r w:rsidR="00D426F4" w:rsidRPr="00B11C54">
        <w:t xml:space="preserve"> </w:t>
      </w:r>
      <w:r w:rsidR="006625B9" w:rsidRPr="00B11C54">
        <w:t xml:space="preserve">the point in the renewal process at which population </w:t>
      </w:r>
      <w:r w:rsidR="003841D7">
        <w:t>projections</w:t>
      </w:r>
      <w:r w:rsidR="003841D7" w:rsidRPr="00B11C54">
        <w:t xml:space="preserve"> </w:t>
      </w:r>
      <w:r w:rsidR="00073724" w:rsidRPr="00B11C54">
        <w:t>should be fixed</w:t>
      </w:r>
      <w:r w:rsidR="00697AEC">
        <w:t>.</w:t>
      </w:r>
      <w:r w:rsidR="000D1009" w:rsidRPr="00B11C54">
        <w:t xml:space="preserve"> </w:t>
      </w:r>
    </w:p>
    <w:p w14:paraId="0D62A68A" w14:textId="476D3C94" w:rsidR="00B855C6" w:rsidRDefault="00E41966" w:rsidP="00510AC2">
      <w:pPr>
        <w:pStyle w:val="Paragraph"/>
      </w:pPr>
      <w:r w:rsidRPr="005330F4">
        <w:t xml:space="preserve">Our </w:t>
      </w:r>
      <w:r w:rsidR="00F35E64" w:rsidRPr="005330F4">
        <w:t>p</w:t>
      </w:r>
      <w:r w:rsidR="000840E8" w:rsidRPr="005330F4">
        <w:t>refer</w:t>
      </w:r>
      <w:r w:rsidR="007A2AA8" w:rsidRPr="005330F4">
        <w:t xml:space="preserve">ence </w:t>
      </w:r>
      <w:r w:rsidR="00FC43FC" w:rsidRPr="005330F4">
        <w:t>is that</w:t>
      </w:r>
      <w:r w:rsidR="00B3231F" w:rsidRPr="005330F4">
        <w:t xml:space="preserve"> the population projections should be fixed at the 6-month benchmark cut-off date. Under</w:t>
      </w:r>
      <w:r w:rsidR="00B3231F">
        <w:t xml:space="preserve"> this approach, the </w:t>
      </w:r>
      <w:r w:rsidR="00173282">
        <w:t>populatio</w:t>
      </w:r>
      <w:r w:rsidR="005C3E59">
        <w:t>n growth factor would be determined using the most recent population data available at the</w:t>
      </w:r>
      <w:r w:rsidR="00E3392F">
        <w:t xml:space="preserve"> 6-month</w:t>
      </w:r>
      <w:r w:rsidR="005C3E59">
        <w:t xml:space="preserve"> benchmark cut-off date and would not be updated </w:t>
      </w:r>
      <w:r w:rsidR="00F03149">
        <w:t>further</w:t>
      </w:r>
      <w:r w:rsidR="005C3E59">
        <w:t xml:space="preserve">. </w:t>
      </w:r>
      <w:r w:rsidR="00DF2FA2">
        <w:t xml:space="preserve">We consider this approach </w:t>
      </w:r>
      <w:r w:rsidR="00420DF4">
        <w:t xml:space="preserve">would provide </w:t>
      </w:r>
      <w:r w:rsidR="00DF2FA2">
        <w:t xml:space="preserve">greater certainty to licensees </w:t>
      </w:r>
      <w:r w:rsidR="001E1E6C">
        <w:t>regarding the basis on which SACs will be calculated and</w:t>
      </w:r>
      <w:r w:rsidR="00B91D6A">
        <w:t xml:space="preserve"> would allow the proposed population estimates to be published and consulted on as part of the band-specific </w:t>
      </w:r>
      <w:r w:rsidR="00D25945">
        <w:t>consultations.</w:t>
      </w:r>
      <w:r w:rsidR="00B91D6A">
        <w:t xml:space="preserve"> </w:t>
      </w:r>
      <w:r w:rsidR="009468F4">
        <w:t xml:space="preserve"> </w:t>
      </w:r>
    </w:p>
    <w:p w14:paraId="13AD578D" w14:textId="52F7B155" w:rsidR="00FE1E9D" w:rsidRDefault="00FE1E9D" w:rsidP="003A0D5C">
      <w:pPr>
        <w:pStyle w:val="Paragraphbeforelist"/>
        <w:rPr>
          <w:rFonts w:ascii="Aptos" w:hAnsi="Aptos"/>
        </w:rPr>
      </w:pPr>
      <w:r>
        <w:t xml:space="preserve">We have </w:t>
      </w:r>
      <w:r w:rsidR="000B0E9B">
        <w:t xml:space="preserve">also </w:t>
      </w:r>
      <w:r>
        <w:t xml:space="preserve">considered the following </w:t>
      </w:r>
      <w:r w:rsidR="000B0E9B">
        <w:t xml:space="preserve">timings for </w:t>
      </w:r>
      <w:r>
        <w:t xml:space="preserve">population projections </w:t>
      </w:r>
      <w:r w:rsidR="000B0E9B">
        <w:t xml:space="preserve">to </w:t>
      </w:r>
      <w:r>
        <w:t>be fixed</w:t>
      </w:r>
      <w:r w:rsidR="00FA23D8">
        <w:t xml:space="preserve"> as either</w:t>
      </w:r>
      <w:r>
        <w:t>:</w:t>
      </w:r>
    </w:p>
    <w:p w14:paraId="42455356" w14:textId="1BBA8EC9" w:rsidR="009E2217" w:rsidRDefault="00156263" w:rsidP="009E2217">
      <w:pPr>
        <w:pStyle w:val="Bulletlevel1"/>
      </w:pPr>
      <w:r>
        <w:t>the start date of the</w:t>
      </w:r>
      <w:r w:rsidR="009E2217">
        <w:t xml:space="preserve"> renewal application period for the relevant band</w:t>
      </w:r>
    </w:p>
    <w:p w14:paraId="789AEA5F" w14:textId="139C0428" w:rsidR="005B4266" w:rsidRDefault="009E2217" w:rsidP="005B4266">
      <w:pPr>
        <w:pStyle w:val="Bulletlevel1last"/>
      </w:pPr>
      <w:r>
        <w:t>when the first application in a band is received.</w:t>
      </w:r>
    </w:p>
    <w:p w14:paraId="2E090FE6" w14:textId="067157A2" w:rsidR="005F6EE9" w:rsidRDefault="00092769" w:rsidP="005F6EE9">
      <w:pPr>
        <w:pStyle w:val="Paragraph"/>
      </w:pPr>
      <w:r>
        <w:t xml:space="preserve">These alternatives would allow more recent population data to be incorporated into SAC determinations than under the 6-month benchmark cut-off date approach. However, given the relatively short period between the benchmark cut-off date and the </w:t>
      </w:r>
      <w:r w:rsidR="00B4305A">
        <w:t xml:space="preserve">commencement of the </w:t>
      </w:r>
      <w:r>
        <w:t xml:space="preserve">renewal application </w:t>
      </w:r>
      <w:r w:rsidR="00B4305A">
        <w:t>period</w:t>
      </w:r>
      <w:r>
        <w:t xml:space="preserve">, any resulting change in </w:t>
      </w:r>
      <w:r w:rsidR="000B0E9B">
        <w:t xml:space="preserve">the </w:t>
      </w:r>
      <w:r>
        <w:t xml:space="preserve">population </w:t>
      </w:r>
      <w:r w:rsidR="000B0E9B">
        <w:t xml:space="preserve">growth factor </w:t>
      </w:r>
      <w:r>
        <w:t xml:space="preserve">is likely to be minor. On balance, we consider that the marginal increase in accuracy from using more recent population data </w:t>
      </w:r>
      <w:r w:rsidR="001A17CB">
        <w:t xml:space="preserve">and </w:t>
      </w:r>
      <w:r w:rsidR="00530F8E">
        <w:t xml:space="preserve">forecasts </w:t>
      </w:r>
      <w:r>
        <w:t>would not outweigh the benefits of certainty and transparency associated with fixing population estimates 6 months before each renewal application period opens.</w:t>
      </w:r>
    </w:p>
    <w:p w14:paraId="01F4560F" w14:textId="77777777" w:rsidR="00011E6F" w:rsidRPr="00E162C4" w:rsidRDefault="00011E6F" w:rsidP="00011E6F">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pPr>
      <w:r w:rsidRPr="00E162C4">
        <w:t xml:space="preserve">Question </w:t>
      </w:r>
      <w:r w:rsidRPr="005C5B93">
        <w:t>4</w:t>
      </w:r>
    </w:p>
    <w:p w14:paraId="15963BDE" w14:textId="77777777" w:rsidR="00011E6F" w:rsidRPr="00E162C4" w:rsidRDefault="00011E6F" w:rsidP="00011E6F">
      <w:pPr>
        <w:pStyle w:val="Paragraph"/>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Do you have any comments on our preferred timing for </w:t>
      </w:r>
      <w:r w:rsidDel="00EF55FA">
        <w:t xml:space="preserve">fixing population </w:t>
      </w:r>
      <w:r>
        <w:t>projections, being 6 months before commencement of the relevant renewal application period?</w:t>
      </w:r>
    </w:p>
    <w:p w14:paraId="1D0E1C35" w14:textId="77777777" w:rsidR="00545EA3" w:rsidRPr="002B5AAB" w:rsidRDefault="00545EA3" w:rsidP="005F6EE9">
      <w:pPr>
        <w:pStyle w:val="Paragraph"/>
        <w:rPr>
          <w:rFonts w:ascii="Aptos" w:hAnsi="Aptos"/>
        </w:rPr>
      </w:pPr>
    </w:p>
    <w:p w14:paraId="54915BE5" w14:textId="3DAE55E5" w:rsidR="00D92973" w:rsidRPr="00D92973" w:rsidRDefault="004B0B08" w:rsidP="001A685F">
      <w:pPr>
        <w:pStyle w:val="Heading1"/>
      </w:pPr>
      <w:bookmarkStart w:id="27" w:name="_Proposed_consultation_on"/>
      <w:bookmarkStart w:id="28" w:name="_Toc237250599"/>
      <w:bookmarkStart w:id="29" w:name="_Toc237357654"/>
      <w:bookmarkStart w:id="30" w:name="_Toc242777942"/>
      <w:bookmarkEnd w:id="27"/>
      <w:r>
        <w:t>Proposed consultation on benchmark data updates</w:t>
      </w:r>
      <w:bookmarkEnd w:id="28"/>
      <w:bookmarkEnd w:id="29"/>
      <w:bookmarkEnd w:id="30"/>
    </w:p>
    <w:p w14:paraId="4F7F7B8B" w14:textId="73B97E3C" w:rsidR="003E624B" w:rsidRPr="003E624B" w:rsidRDefault="003E624B" w:rsidP="003E624B">
      <w:pPr>
        <w:pStyle w:val="Paragraph"/>
      </w:pPr>
      <w:bookmarkStart w:id="31" w:name="_Toc237250600"/>
      <w:r w:rsidRPr="003E624B">
        <w:t xml:space="preserve">Before the commencement of each relevant renewal application period, we </w:t>
      </w:r>
      <w:r w:rsidR="00C07F07">
        <w:t>intend</w:t>
      </w:r>
      <w:r w:rsidR="00C07F07" w:rsidRPr="003E624B">
        <w:t xml:space="preserve"> </w:t>
      </w:r>
      <w:r w:rsidRPr="003E624B">
        <w:t>to undertake targeted public consultation</w:t>
      </w:r>
      <w:r w:rsidR="00B66C9D">
        <w:t>s</w:t>
      </w:r>
      <w:r w:rsidRPr="003E624B">
        <w:t xml:space="preserve"> on updates to the benchmark dataset. Separate consultations would be conducted for each spectrum band, aligned with the timing of the relevant renewal application period. </w:t>
      </w:r>
    </w:p>
    <w:p w14:paraId="5BF43101" w14:textId="77777777" w:rsidR="004B0B08" w:rsidRDefault="004B0B08" w:rsidP="004B0B08">
      <w:pPr>
        <w:pStyle w:val="Heading2"/>
      </w:pPr>
      <w:bookmarkStart w:id="32" w:name="_Toc237357655"/>
      <w:bookmarkStart w:id="33" w:name="_Toc242777943"/>
      <w:r>
        <w:t>Scope of consultations</w:t>
      </w:r>
      <w:bookmarkEnd w:id="31"/>
      <w:bookmarkEnd w:id="32"/>
      <w:bookmarkEnd w:id="33"/>
    </w:p>
    <w:p w14:paraId="37F6523B" w14:textId="1969FA2A" w:rsidR="00615797" w:rsidRDefault="000F087D" w:rsidP="00A311BD">
      <w:pPr>
        <w:pStyle w:val="Paragraphbeforelist"/>
      </w:pPr>
      <w:r w:rsidRPr="003E624B">
        <w:t xml:space="preserve">As part of each consultation, we </w:t>
      </w:r>
      <w:r w:rsidR="00411D94">
        <w:t xml:space="preserve">propose to </w:t>
      </w:r>
      <w:r w:rsidR="00D95D8B">
        <w:t>publish</w:t>
      </w:r>
      <w:r w:rsidR="00615797">
        <w:t>:</w:t>
      </w:r>
    </w:p>
    <w:p w14:paraId="0AF85B1E" w14:textId="37C2D386" w:rsidR="00B17E95" w:rsidRDefault="002070D8" w:rsidP="00FA69D3">
      <w:pPr>
        <w:pStyle w:val="Bulletlevel1"/>
      </w:pPr>
      <w:r>
        <w:t>s</w:t>
      </w:r>
      <w:r w:rsidR="00615797">
        <w:t>pectrum a</w:t>
      </w:r>
      <w:r w:rsidR="000F087D" w:rsidRPr="003E624B">
        <w:t>wards proposed for inclusion in the benchmark dataset</w:t>
      </w:r>
      <w:r w:rsidR="00FA69D3">
        <w:t xml:space="preserve"> (country, band, award date and equivalent A$/MHz/pop price)</w:t>
      </w:r>
    </w:p>
    <w:p w14:paraId="0DF6FA2C" w14:textId="2839C9BF" w:rsidR="009E1F91" w:rsidRDefault="00A771B3" w:rsidP="00615797">
      <w:pPr>
        <w:pStyle w:val="Bulletlevel1"/>
      </w:pPr>
      <w:r>
        <w:t>t</w:t>
      </w:r>
      <w:r w:rsidR="009E1F91">
        <w:t xml:space="preserve">he </w:t>
      </w:r>
      <w:r w:rsidR="00C5728E">
        <w:t xml:space="preserve">net </w:t>
      </w:r>
      <w:r w:rsidR="009E1F91">
        <w:t xml:space="preserve">effect of the </w:t>
      </w:r>
      <w:r w:rsidR="00C5728E">
        <w:t xml:space="preserve">new </w:t>
      </w:r>
      <w:r w:rsidR="008A408B">
        <w:t>data</w:t>
      </w:r>
      <w:r w:rsidR="00253630">
        <w:t xml:space="preserve"> </w:t>
      </w:r>
      <w:r w:rsidR="00A20AFE">
        <w:t xml:space="preserve">on the </w:t>
      </w:r>
      <w:proofErr w:type="gramStart"/>
      <w:r w:rsidR="00A20AFE">
        <w:t>single</w:t>
      </w:r>
      <w:r w:rsidR="00411D94">
        <w:t>-</w:t>
      </w:r>
      <w:r w:rsidR="00A20AFE">
        <w:t>year</w:t>
      </w:r>
      <w:proofErr w:type="gramEnd"/>
      <w:r w:rsidR="00A20AFE">
        <w:t xml:space="preserve"> $/MHz/pop price </w:t>
      </w:r>
      <w:r w:rsidR="00C756C6">
        <w:t xml:space="preserve">as compared </w:t>
      </w:r>
      <w:r w:rsidR="00411D94">
        <w:t>with</w:t>
      </w:r>
      <w:r w:rsidR="00EF5207">
        <w:t xml:space="preserve"> what was set out in</w:t>
      </w:r>
      <w:r w:rsidR="00411D94">
        <w:t xml:space="preserve"> </w:t>
      </w:r>
      <w:r w:rsidR="00C756C6">
        <w:t xml:space="preserve">our </w:t>
      </w:r>
      <w:r>
        <w:t>p</w:t>
      </w:r>
      <w:r w:rsidR="00C756C6">
        <w:t xml:space="preserve">referred </w:t>
      </w:r>
      <w:r>
        <w:t>v</w:t>
      </w:r>
      <w:r w:rsidR="00C756C6">
        <w:t>iews</w:t>
      </w:r>
      <w:r w:rsidR="00EF5207">
        <w:t xml:space="preserve"> paper</w:t>
      </w:r>
    </w:p>
    <w:p w14:paraId="3B821358" w14:textId="4BFD7948" w:rsidR="00161B96" w:rsidRDefault="00A771B3" w:rsidP="00CA31C9">
      <w:pPr>
        <w:pStyle w:val="Bulletlevel1"/>
      </w:pPr>
      <w:r>
        <w:t>t</w:t>
      </w:r>
      <w:r w:rsidR="00C5728E">
        <w:t xml:space="preserve">he updated </w:t>
      </w:r>
      <w:r w:rsidR="00016D8D">
        <w:t>$/MHz</w:t>
      </w:r>
      <w:r w:rsidR="00E20483">
        <w:t xml:space="preserve">/pop value </w:t>
      </w:r>
      <w:r w:rsidR="00700D6E">
        <w:t>for the</w:t>
      </w:r>
      <w:r w:rsidR="001B4FFE">
        <w:t xml:space="preserve"> full </w:t>
      </w:r>
      <w:r w:rsidR="00722F17">
        <w:t xml:space="preserve">licence </w:t>
      </w:r>
      <w:r w:rsidR="001B4FFE">
        <w:t>duration of the</w:t>
      </w:r>
      <w:r w:rsidR="00700D6E">
        <w:t xml:space="preserve"> relevant ba</w:t>
      </w:r>
      <w:r w:rsidR="001B4FFE">
        <w:t>n</w:t>
      </w:r>
      <w:r w:rsidR="00700D6E">
        <w:t>d</w:t>
      </w:r>
    </w:p>
    <w:p w14:paraId="02E25D87" w14:textId="56229147" w:rsidR="004007AB" w:rsidRPr="00923CC6" w:rsidRDefault="00A771B3" w:rsidP="00923CC6">
      <w:pPr>
        <w:pStyle w:val="Bulletlevel1last"/>
      </w:pPr>
      <w:r>
        <w:t>t</w:t>
      </w:r>
      <w:r w:rsidR="004007AB" w:rsidRPr="00923CC6">
        <w:t>he m</w:t>
      </w:r>
      <w:r w:rsidR="00923CC6">
        <w:t xml:space="preserve">odelling </w:t>
      </w:r>
      <w:r w:rsidR="00BA251D">
        <w:t>spreadsheet</w:t>
      </w:r>
      <w:r w:rsidR="00760CE0">
        <w:t xml:space="preserve"> </w:t>
      </w:r>
      <w:r w:rsidR="0015525C">
        <w:t>underp</w:t>
      </w:r>
      <w:r w:rsidR="00794234">
        <w:t xml:space="preserve">inning </w:t>
      </w:r>
      <w:r w:rsidR="00B24696">
        <w:t xml:space="preserve">the updated </w:t>
      </w:r>
      <w:r w:rsidR="00166B13">
        <w:t xml:space="preserve">$/MHz/pop </w:t>
      </w:r>
      <w:r w:rsidR="00B24696">
        <w:t>price.</w:t>
      </w:r>
    </w:p>
    <w:p w14:paraId="40790CA0" w14:textId="77777777" w:rsidR="004678D0" w:rsidRDefault="00610A5B" w:rsidP="007C29CF">
      <w:pPr>
        <w:pStyle w:val="Paragraphbeforelist"/>
        <w:rPr>
          <w:szCs w:val="22"/>
        </w:rPr>
      </w:pPr>
      <w:bookmarkStart w:id="34" w:name="_Toc237250601"/>
      <w:bookmarkStart w:id="35" w:name="_Toc237357656"/>
      <w:r w:rsidRPr="00046A80">
        <w:rPr>
          <w:szCs w:val="22"/>
        </w:rPr>
        <w:t>Each consultation process will provide stakeholders with an opportunity to comment on</w:t>
      </w:r>
      <w:r w:rsidR="004678D0">
        <w:rPr>
          <w:szCs w:val="22"/>
        </w:rPr>
        <w:t>:</w:t>
      </w:r>
    </w:p>
    <w:p w14:paraId="41B5CAB0" w14:textId="072C2DA2" w:rsidR="00FA229E" w:rsidRDefault="00EE5B80" w:rsidP="004678D0">
      <w:pPr>
        <w:pStyle w:val="Bulletlevel1"/>
      </w:pPr>
      <w:r>
        <w:t>t</w:t>
      </w:r>
      <w:r w:rsidR="00610A5B" w:rsidRPr="00046A80">
        <w:t>he suitability of proposed additions to the benchmark dataset, including the comparability of those awards and their consistency with the ACMA's exclusion criteria</w:t>
      </w:r>
    </w:p>
    <w:p w14:paraId="05F01C15" w14:textId="44DF555A" w:rsidR="008E5730" w:rsidRDefault="00EE5B80" w:rsidP="007C29CF">
      <w:pPr>
        <w:pStyle w:val="Bulletlevel1"/>
      </w:pPr>
      <w:r>
        <w:t>a</w:t>
      </w:r>
      <w:r w:rsidR="00610A5B" w:rsidRPr="00046A80">
        <w:t>ny additional spectrum awards they consider should be included in the dataset</w:t>
      </w:r>
    </w:p>
    <w:p w14:paraId="508B31E7" w14:textId="1EEBF1B8" w:rsidR="00445B29" w:rsidRPr="008E5730" w:rsidRDefault="00EE5B80" w:rsidP="00445B29">
      <w:pPr>
        <w:pStyle w:val="Bulletlevel1last"/>
      </w:pPr>
      <w:r>
        <w:t>t</w:t>
      </w:r>
      <w:r w:rsidR="008E5730" w:rsidRPr="008E5730">
        <w:t xml:space="preserve">he extent of any changes to </w:t>
      </w:r>
      <w:r w:rsidR="008404CA">
        <w:t>updated $/MHz/pop prices</w:t>
      </w:r>
      <w:r w:rsidR="008E5730" w:rsidRPr="008E5730">
        <w:t xml:space="preserve"> relative to those published in the </w:t>
      </w:r>
      <w:r w:rsidR="00985C1E">
        <w:rPr>
          <w:rStyle w:val="Emphasis"/>
          <w:i w:val="0"/>
          <w:iCs w:val="0"/>
        </w:rPr>
        <w:t>p</w:t>
      </w:r>
      <w:r w:rsidR="008E5730" w:rsidRPr="008E5730">
        <w:rPr>
          <w:rStyle w:val="Emphasis"/>
          <w:i w:val="0"/>
          <w:iCs w:val="0"/>
        </w:rPr>
        <w:t xml:space="preserve">referred </w:t>
      </w:r>
      <w:r w:rsidR="00985C1E">
        <w:rPr>
          <w:rStyle w:val="Emphasis"/>
          <w:i w:val="0"/>
          <w:iCs w:val="0"/>
        </w:rPr>
        <w:t>v</w:t>
      </w:r>
      <w:r w:rsidR="008E5730" w:rsidRPr="008E5730">
        <w:rPr>
          <w:rStyle w:val="Emphasis"/>
          <w:i w:val="0"/>
          <w:iCs w:val="0"/>
        </w:rPr>
        <w:t>iews</w:t>
      </w:r>
      <w:r w:rsidR="008E5730" w:rsidRPr="008E5730">
        <w:t xml:space="preserve"> paper.</w:t>
      </w:r>
    </w:p>
    <w:p w14:paraId="76DE65D8" w14:textId="346B4F65" w:rsidR="004678D0" w:rsidRDefault="009966F2" w:rsidP="007C29CF">
      <w:pPr>
        <w:pStyle w:val="Paragraph"/>
      </w:pPr>
      <w:r>
        <w:t>The matters outlined above are intended to guide stakeholder feedback</w:t>
      </w:r>
      <w:r w:rsidR="0039504C">
        <w:t xml:space="preserve">, but </w:t>
      </w:r>
      <w:r>
        <w:t>comment</w:t>
      </w:r>
      <w:r w:rsidR="0039504C">
        <w:t>s are welcome</w:t>
      </w:r>
      <w:r>
        <w:t xml:space="preserve"> on any aspect of the approach that </w:t>
      </w:r>
      <w:r w:rsidR="0039504C">
        <w:t xml:space="preserve">stakeholders </w:t>
      </w:r>
      <w:r>
        <w:t xml:space="preserve">consider relevant. </w:t>
      </w:r>
    </w:p>
    <w:p w14:paraId="0B565252" w14:textId="55D9D335" w:rsidR="004B0B08" w:rsidRDefault="004B0B08" w:rsidP="004B0B08">
      <w:pPr>
        <w:pStyle w:val="Heading2"/>
      </w:pPr>
      <w:bookmarkStart w:id="36" w:name="_Toc242777944"/>
      <w:r>
        <w:t>Timing of consultation</w:t>
      </w:r>
      <w:bookmarkEnd w:id="34"/>
      <w:bookmarkEnd w:id="35"/>
      <w:r w:rsidR="00985C1E">
        <w:t>s</w:t>
      </w:r>
      <w:bookmarkEnd w:id="36"/>
    </w:p>
    <w:p w14:paraId="3D2EFEEE" w14:textId="4D7E6B5E" w:rsidR="00664198" w:rsidRPr="00664198" w:rsidRDefault="00F8534C" w:rsidP="007C29CF">
      <w:pPr>
        <w:pStyle w:val="Heading3"/>
      </w:pPr>
      <w:r>
        <w:t>When consultation papers should be released</w:t>
      </w:r>
    </w:p>
    <w:p w14:paraId="63B7A7CB" w14:textId="77777777" w:rsidR="002F6111" w:rsidRDefault="00E71EEF" w:rsidP="00E71EEF">
      <w:pPr>
        <w:pStyle w:val="Paragraph"/>
      </w:pPr>
      <w:bookmarkStart w:id="37" w:name="_Toc237250602"/>
      <w:bookmarkStart w:id="38" w:name="_Toc237357657"/>
      <w:r>
        <w:t xml:space="preserve">We are considering </w:t>
      </w:r>
      <w:r w:rsidR="00483504">
        <w:t>2</w:t>
      </w:r>
      <w:r>
        <w:t xml:space="preserve"> options for the timing of the consultations on updated benchmark prices for each band. We invite stakeholders to comment on whether consultation papers for each band should be released </w:t>
      </w:r>
      <w:r w:rsidR="00084E7A">
        <w:t>according to a set publication schedu</w:t>
      </w:r>
      <w:r w:rsidR="00D35FA4">
        <w:t xml:space="preserve">le, or </w:t>
      </w:r>
      <w:r>
        <w:t>as soon as practicable after the relevant benchmark cut-off date</w:t>
      </w:r>
      <w:r w:rsidR="00D35FA4">
        <w:t xml:space="preserve">. </w:t>
      </w:r>
    </w:p>
    <w:p w14:paraId="420687AE" w14:textId="00A1B39F" w:rsidR="008F23A6" w:rsidRDefault="00E71EEF" w:rsidP="00367EF3">
      <w:pPr>
        <w:pStyle w:val="Paragraph"/>
      </w:pPr>
      <w:r>
        <w:t xml:space="preserve">Under the </w:t>
      </w:r>
      <w:r w:rsidR="00D35FA4">
        <w:t>first</w:t>
      </w:r>
      <w:r>
        <w:t xml:space="preserve"> approach, consultation papers would be released a set period after the cut-off date, such as </w:t>
      </w:r>
      <w:r w:rsidR="007D3986">
        <w:t xml:space="preserve">2 </w:t>
      </w:r>
      <w:r>
        <w:t xml:space="preserve">months. For example, for the 2.5 GHz band, where the benchmark cut-off date would be 1 April 2027, </w:t>
      </w:r>
      <w:r w:rsidR="00094A43">
        <w:t xml:space="preserve">we would aim to release </w:t>
      </w:r>
      <w:r>
        <w:t xml:space="preserve">the consultation paper </w:t>
      </w:r>
      <w:r w:rsidRPr="00A617DC">
        <w:t>on</w:t>
      </w:r>
      <w:r>
        <w:t xml:space="preserve"> </w:t>
      </w:r>
      <w:r w:rsidR="00A617DC">
        <w:t xml:space="preserve">or around </w:t>
      </w:r>
      <w:r>
        <w:t>1</w:t>
      </w:r>
      <w:r w:rsidR="00094A43">
        <w:t> </w:t>
      </w:r>
      <w:r>
        <w:t>June 2027</w:t>
      </w:r>
      <w:r w:rsidR="00095E44">
        <w:t>.</w:t>
      </w:r>
      <w:r w:rsidR="006C55BA" w:rsidRPr="006C55BA">
        <w:t xml:space="preserve"> </w:t>
      </w:r>
      <w:r w:rsidR="00725DF4">
        <w:t xml:space="preserve">The </w:t>
      </w:r>
      <w:r w:rsidR="001324F6">
        <w:t>renewal application period would then open on 1 October 202</w:t>
      </w:r>
      <w:r w:rsidR="00527C0F">
        <w:t>7</w:t>
      </w:r>
      <w:r w:rsidR="00400F1D">
        <w:t>.</w:t>
      </w:r>
      <w:r w:rsidR="006C55BA" w:rsidRPr="006C55BA">
        <w:t xml:space="preserve"> </w:t>
      </w:r>
    </w:p>
    <w:p w14:paraId="271A49ED" w14:textId="02C24E9B" w:rsidR="00367EF3" w:rsidRDefault="006C55BA" w:rsidP="00367EF3">
      <w:pPr>
        <w:pStyle w:val="Paragraph"/>
      </w:pPr>
      <w:r w:rsidRPr="006C55BA">
        <w:t>Under the second approach</w:t>
      </w:r>
      <w:r>
        <w:t xml:space="preserve">, </w:t>
      </w:r>
      <w:r w:rsidR="00072616">
        <w:t xml:space="preserve">consultation </w:t>
      </w:r>
      <w:r w:rsidR="00CC13C8">
        <w:t>paper</w:t>
      </w:r>
      <w:r w:rsidR="00072616">
        <w:t>s</w:t>
      </w:r>
      <w:r w:rsidR="00CC13C8">
        <w:t xml:space="preserve"> would be released </w:t>
      </w:r>
      <w:r w:rsidR="004554CB">
        <w:t xml:space="preserve">after the benchmark cut-off date and </w:t>
      </w:r>
      <w:r w:rsidR="00CC13C8">
        <w:t>once we have</w:t>
      </w:r>
      <w:r w:rsidR="00E363CB">
        <w:t xml:space="preserve"> completed our analysis of the new </w:t>
      </w:r>
      <w:r w:rsidR="009C60C9">
        <w:t xml:space="preserve">spectrum awards and </w:t>
      </w:r>
      <w:r w:rsidR="004C0FCD">
        <w:t>reached the updated $/MHz/pop prices.</w:t>
      </w:r>
      <w:r w:rsidR="00367EF3">
        <w:t xml:space="preserve"> </w:t>
      </w:r>
      <w:r w:rsidR="00367EF3" w:rsidRPr="00367EF3">
        <w:t>This approach would make updated benchmark prices available to stakeholders at the earliest opportunity, although the timing of publication may vary between bands</w:t>
      </w:r>
      <w:r w:rsidR="00B637C0">
        <w:t>.</w:t>
      </w:r>
    </w:p>
    <w:p w14:paraId="2E6628EC" w14:textId="26E1E675" w:rsidR="000820BB" w:rsidRDefault="00091AE4" w:rsidP="00367EF3">
      <w:pPr>
        <w:pStyle w:val="Paragraph"/>
      </w:pPr>
      <w:r>
        <w:t>We</w:t>
      </w:r>
      <w:r w:rsidR="00A84522">
        <w:t xml:space="preserve"> prefer the first option, under which consultation </w:t>
      </w:r>
      <w:r w:rsidR="00B53608">
        <w:t>p</w:t>
      </w:r>
      <w:r w:rsidR="00A84522">
        <w:t xml:space="preserve">apers would be released according to a predetermined publication schedule. </w:t>
      </w:r>
      <w:r w:rsidR="00594589">
        <w:t>We consider this</w:t>
      </w:r>
      <w:r w:rsidR="00A84522">
        <w:t xml:space="preserve"> </w:t>
      </w:r>
      <w:r w:rsidR="00D4084B">
        <w:t xml:space="preserve">approach </w:t>
      </w:r>
      <w:r w:rsidR="00680C19">
        <w:t>strikes</w:t>
      </w:r>
      <w:r w:rsidR="000820BB">
        <w:t xml:space="preserve"> </w:t>
      </w:r>
      <w:r w:rsidR="00594589">
        <w:t>an</w:t>
      </w:r>
      <w:r w:rsidR="000820BB">
        <w:t xml:space="preserve"> appropriate </w:t>
      </w:r>
      <w:r w:rsidR="00680C19">
        <w:t xml:space="preserve">balance </w:t>
      </w:r>
      <w:r w:rsidR="00594589">
        <w:t>between</w:t>
      </w:r>
      <w:r w:rsidR="00250D19">
        <w:t xml:space="preserve"> providing stakeholders with certainty about </w:t>
      </w:r>
      <w:r w:rsidR="003608EC">
        <w:t xml:space="preserve">the timing of consultations and supporting the timely update of </w:t>
      </w:r>
      <w:r w:rsidR="00C52554">
        <w:t>renewal prices.</w:t>
      </w:r>
    </w:p>
    <w:p w14:paraId="5BBF6EA6" w14:textId="77777777" w:rsidR="000A7495" w:rsidRPr="00E162C4" w:rsidRDefault="000A7495" w:rsidP="000A7495">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pPr>
      <w:r w:rsidRPr="00E162C4">
        <w:t xml:space="preserve">Question </w:t>
      </w:r>
      <w:r>
        <w:t>5</w:t>
      </w:r>
    </w:p>
    <w:p w14:paraId="5A04C127" w14:textId="77777777" w:rsidR="000A7495" w:rsidRDefault="000A7495" w:rsidP="000A7495">
      <w:pPr>
        <w:pStyle w:val="Paragraph"/>
        <w:pBdr>
          <w:top w:val="single" w:sz="4" w:space="1" w:color="auto"/>
          <w:left w:val="single" w:sz="4" w:space="4" w:color="auto"/>
          <w:bottom w:val="single" w:sz="4" w:space="1" w:color="auto"/>
          <w:right w:val="single" w:sz="4" w:space="4" w:color="auto"/>
          <w:between w:val="single" w:sz="4" w:space="1" w:color="auto"/>
          <w:bar w:val="single" w:sz="4" w:color="auto"/>
        </w:pBdr>
      </w:pPr>
      <w:r>
        <w:t>Which approach do you prefer for the timing of band-specific consultations?</w:t>
      </w:r>
    </w:p>
    <w:p w14:paraId="085A0BB9" w14:textId="48F76017" w:rsidR="008A39AA" w:rsidRDefault="009C5423" w:rsidP="007C29CF">
      <w:pPr>
        <w:pStyle w:val="Heading3"/>
      </w:pPr>
      <w:r>
        <w:t xml:space="preserve">Duration of </w:t>
      </w:r>
      <w:r w:rsidR="00CE0172">
        <w:t>c</w:t>
      </w:r>
      <w:r w:rsidR="008A39AA">
        <w:t>onsultation</w:t>
      </w:r>
      <w:r w:rsidR="00CE0172">
        <w:t>s</w:t>
      </w:r>
    </w:p>
    <w:p w14:paraId="4BE49DF5" w14:textId="17C26B2D" w:rsidR="00413915" w:rsidRDefault="008A7249" w:rsidP="00541179">
      <w:pPr>
        <w:pStyle w:val="Paragraph"/>
      </w:pPr>
      <w:r w:rsidRPr="00541179">
        <w:t xml:space="preserve">We propose that under either approach, the consultations would remain open for </w:t>
      </w:r>
      <w:r w:rsidR="00B47B46">
        <w:t>6</w:t>
      </w:r>
      <w:r w:rsidRPr="00541179">
        <w:t xml:space="preserve"> weeks</w:t>
      </w:r>
      <w:r w:rsidR="008E2622">
        <w:t>, as we expect t</w:t>
      </w:r>
      <w:r w:rsidR="00E71EEF" w:rsidRPr="00541179">
        <w:t xml:space="preserve">his would provide stakeholders with sufficient time to review proposed additions to the benchmark dataset and </w:t>
      </w:r>
      <w:r w:rsidR="003920ED" w:rsidRPr="00541179">
        <w:t>calculate their</w:t>
      </w:r>
      <w:r w:rsidR="00E71EEF" w:rsidRPr="00541179">
        <w:t xml:space="preserve"> resulting </w:t>
      </w:r>
      <w:r w:rsidR="000A7495">
        <w:t>SACs</w:t>
      </w:r>
      <w:r w:rsidR="008F23A6" w:rsidRPr="00541179">
        <w:t xml:space="preserve">. </w:t>
      </w:r>
      <w:r w:rsidR="006B60E1" w:rsidRPr="00541179">
        <w:t>We note that extending the consultation period</w:t>
      </w:r>
      <w:r w:rsidR="001E6CBE">
        <w:t xml:space="preserve"> further</w:t>
      </w:r>
      <w:r w:rsidR="006B60E1" w:rsidRPr="00541179">
        <w:t xml:space="preserve"> may disadvantage </w:t>
      </w:r>
      <w:r w:rsidR="00AD2201" w:rsidRPr="00541179">
        <w:t>licensees</w:t>
      </w:r>
      <w:r w:rsidR="006B60E1" w:rsidRPr="00541179">
        <w:t xml:space="preserve"> by </w:t>
      </w:r>
      <w:r w:rsidR="00AD2201" w:rsidRPr="00541179">
        <w:t xml:space="preserve">delaying the publication of </w:t>
      </w:r>
      <w:r w:rsidR="00152560" w:rsidRPr="00541179">
        <w:t>final</w:t>
      </w:r>
      <w:r w:rsidR="004E584A" w:rsidRPr="00541179">
        <w:t xml:space="preserve"> </w:t>
      </w:r>
      <w:r w:rsidR="00AD2201" w:rsidRPr="00541179">
        <w:t>prices</w:t>
      </w:r>
      <w:r w:rsidR="00541179" w:rsidRPr="00541179">
        <w:t>.</w:t>
      </w:r>
      <w:r w:rsidR="007A4FD3">
        <w:t xml:space="preserve"> </w:t>
      </w:r>
    </w:p>
    <w:p w14:paraId="2A76BC14" w14:textId="77777777" w:rsidR="009F09FE" w:rsidRPr="00E162C4" w:rsidRDefault="009F09FE" w:rsidP="009F09FE">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pPr>
      <w:r w:rsidRPr="00E162C4">
        <w:t xml:space="preserve">Question </w:t>
      </w:r>
      <w:r>
        <w:t>6</w:t>
      </w:r>
    </w:p>
    <w:p w14:paraId="281A251B" w14:textId="77777777" w:rsidR="009F09FE" w:rsidRPr="003A2C94" w:rsidRDefault="009F09FE" w:rsidP="009F09FE">
      <w:pPr>
        <w:pStyle w:val="Paragraph"/>
        <w:pBdr>
          <w:top w:val="single" w:sz="4" w:space="1" w:color="auto"/>
          <w:left w:val="single" w:sz="4" w:space="4" w:color="auto"/>
          <w:bottom w:val="single" w:sz="4" w:space="1" w:color="auto"/>
          <w:right w:val="single" w:sz="4" w:space="4" w:color="auto"/>
          <w:between w:val="single" w:sz="4" w:space="1" w:color="auto"/>
          <w:bar w:val="single" w:sz="4" w:color="auto"/>
        </w:pBdr>
        <w:rPr>
          <w:rStyle w:val="ParagraphChar"/>
        </w:rPr>
      </w:pPr>
      <w:r w:rsidRPr="000247BA">
        <w:t xml:space="preserve">We invite stakeholder feedback on whether a 6-week consultation period for each band provides an appropriate balance between allowing sufficient time for stakeholder engagement and ensuring the timely publication of final benchmark </w:t>
      </w:r>
      <w:r w:rsidRPr="003A2C94">
        <w:rPr>
          <w:rStyle w:val="ParagraphChar"/>
        </w:rPr>
        <w:t xml:space="preserve">prices. </w:t>
      </w:r>
    </w:p>
    <w:p w14:paraId="020437DC" w14:textId="77777777" w:rsidR="004B0B08" w:rsidRDefault="004B0B08" w:rsidP="00541179">
      <w:pPr>
        <w:pStyle w:val="Heading2"/>
      </w:pPr>
      <w:bookmarkStart w:id="39" w:name="_Toc242777945"/>
      <w:r>
        <w:t>Consideration of submissions and finalisation</w:t>
      </w:r>
      <w:bookmarkEnd w:id="37"/>
      <w:bookmarkEnd w:id="38"/>
      <w:bookmarkEnd w:id="39"/>
    </w:p>
    <w:p w14:paraId="42350AB3" w14:textId="3CF149B9" w:rsidR="00237B1D" w:rsidRPr="00237B1D" w:rsidRDefault="00C80033" w:rsidP="00237B1D">
      <w:pPr>
        <w:pStyle w:val="Paragraph"/>
        <w:rPr>
          <w:szCs w:val="22"/>
        </w:rPr>
      </w:pPr>
      <w:r>
        <w:rPr>
          <w:szCs w:val="22"/>
        </w:rPr>
        <w:t xml:space="preserve">Following the close of each consultation period, </w:t>
      </w:r>
      <w:r w:rsidR="00E9153C">
        <w:rPr>
          <w:szCs w:val="22"/>
        </w:rPr>
        <w:t xml:space="preserve">we will consider stakeholder </w:t>
      </w:r>
      <w:r w:rsidR="009E0849">
        <w:rPr>
          <w:szCs w:val="22"/>
        </w:rPr>
        <w:t xml:space="preserve">submissions </w:t>
      </w:r>
      <w:r w:rsidR="00F8110F">
        <w:rPr>
          <w:szCs w:val="22"/>
        </w:rPr>
        <w:t xml:space="preserve">before finalising the benchmarking dataset and the </w:t>
      </w:r>
      <w:r w:rsidR="00703FCD">
        <w:rPr>
          <w:szCs w:val="22"/>
        </w:rPr>
        <w:t>resulting $/MHz/pop price.</w:t>
      </w:r>
      <w:r w:rsidR="00237B1D" w:rsidRPr="00237B1D">
        <w:rPr>
          <w:rFonts w:ascii="Segoe UI" w:hAnsi="Segoe UI" w:cs="Segoe UI"/>
          <w:sz w:val="21"/>
          <w:szCs w:val="21"/>
        </w:rPr>
        <w:t xml:space="preserve"> </w:t>
      </w:r>
      <w:r w:rsidR="00237B1D" w:rsidRPr="00237B1D">
        <w:rPr>
          <w:szCs w:val="22"/>
        </w:rPr>
        <w:t>We encourage stakeholders</w:t>
      </w:r>
      <w:r w:rsidR="00C538DC">
        <w:rPr>
          <w:szCs w:val="22"/>
        </w:rPr>
        <w:t xml:space="preserve"> to provide supporting evidenc</w:t>
      </w:r>
      <w:r w:rsidR="008E542C">
        <w:rPr>
          <w:szCs w:val="22"/>
        </w:rPr>
        <w:t xml:space="preserve">e </w:t>
      </w:r>
      <w:r w:rsidR="005C3DF8">
        <w:rPr>
          <w:szCs w:val="22"/>
        </w:rPr>
        <w:t>for any additional spectrum awards they consider should be included</w:t>
      </w:r>
      <w:r w:rsidR="00237B1D" w:rsidRPr="00237B1D">
        <w:rPr>
          <w:szCs w:val="22"/>
        </w:rPr>
        <w:t xml:space="preserve"> in the dataset. </w:t>
      </w:r>
      <w:r w:rsidR="00C71686">
        <w:rPr>
          <w:szCs w:val="22"/>
        </w:rPr>
        <w:t>Where appropriate, we may</w:t>
      </w:r>
      <w:r w:rsidR="00417E9D">
        <w:rPr>
          <w:szCs w:val="22"/>
        </w:rPr>
        <w:t xml:space="preserve"> revise the dataset and recalculate the </w:t>
      </w:r>
      <w:r w:rsidR="008A3EC2">
        <w:rPr>
          <w:szCs w:val="22"/>
        </w:rPr>
        <w:t xml:space="preserve">$/MHz/pop </w:t>
      </w:r>
      <w:r w:rsidR="00417E9D">
        <w:rPr>
          <w:szCs w:val="22"/>
        </w:rPr>
        <w:t>price</w:t>
      </w:r>
      <w:r w:rsidR="001327E8">
        <w:rPr>
          <w:szCs w:val="22"/>
        </w:rPr>
        <w:t xml:space="preserve"> </w:t>
      </w:r>
      <w:r w:rsidR="00510479">
        <w:rPr>
          <w:szCs w:val="22"/>
        </w:rPr>
        <w:t xml:space="preserve">in response to </w:t>
      </w:r>
      <w:r w:rsidR="00DF6187">
        <w:rPr>
          <w:szCs w:val="22"/>
        </w:rPr>
        <w:t xml:space="preserve">views </w:t>
      </w:r>
      <w:r w:rsidR="00510479">
        <w:rPr>
          <w:szCs w:val="22"/>
        </w:rPr>
        <w:t>raised</w:t>
      </w:r>
      <w:r w:rsidR="00DF6187">
        <w:rPr>
          <w:szCs w:val="22"/>
        </w:rPr>
        <w:t xml:space="preserve"> in submissions.</w:t>
      </w:r>
      <w:r w:rsidR="001327E8">
        <w:rPr>
          <w:szCs w:val="22"/>
        </w:rPr>
        <w:t xml:space="preserve"> </w:t>
      </w:r>
      <w:r w:rsidR="00031816">
        <w:rPr>
          <w:szCs w:val="22"/>
        </w:rPr>
        <w:t>The</w:t>
      </w:r>
      <w:r w:rsidR="00237B1D" w:rsidRPr="00237B1D" w:rsidDel="00DF6187">
        <w:rPr>
          <w:szCs w:val="22"/>
        </w:rPr>
        <w:t xml:space="preserve"> </w:t>
      </w:r>
      <w:r w:rsidR="00DF6187">
        <w:rPr>
          <w:szCs w:val="22"/>
        </w:rPr>
        <w:t>up</w:t>
      </w:r>
      <w:r w:rsidR="00C714C0">
        <w:rPr>
          <w:szCs w:val="22"/>
        </w:rPr>
        <w:t>dated preferred</w:t>
      </w:r>
      <w:r w:rsidR="00E81AAB">
        <w:rPr>
          <w:szCs w:val="22"/>
        </w:rPr>
        <w:t xml:space="preserve"> </w:t>
      </w:r>
      <w:r w:rsidR="00676C80">
        <w:rPr>
          <w:szCs w:val="22"/>
        </w:rPr>
        <w:t xml:space="preserve">$/MHz/pop </w:t>
      </w:r>
      <w:r w:rsidR="00237B1D" w:rsidRPr="00237B1D">
        <w:rPr>
          <w:szCs w:val="22"/>
        </w:rPr>
        <w:t>price</w:t>
      </w:r>
      <w:r w:rsidR="00676C80">
        <w:rPr>
          <w:szCs w:val="22"/>
        </w:rPr>
        <w:t xml:space="preserve"> </w:t>
      </w:r>
      <w:r w:rsidR="002C25CF">
        <w:rPr>
          <w:szCs w:val="22"/>
        </w:rPr>
        <w:t>will be published before the commencement of the renewal application period for the relevant band.</w:t>
      </w:r>
    </w:p>
    <w:p w14:paraId="7A5DD99D" w14:textId="03E523D9" w:rsidR="00FB0266" w:rsidRDefault="00FB0266" w:rsidP="003B4208">
      <w:pPr>
        <w:pStyle w:val="Paragraph"/>
        <w:rPr>
          <w:szCs w:val="22"/>
        </w:rPr>
      </w:pPr>
    </w:p>
    <w:p w14:paraId="7927185F" w14:textId="7EF47663" w:rsidR="004B2960" w:rsidRPr="00E162C4" w:rsidRDefault="004B2960" w:rsidP="004B2960">
      <w:pPr>
        <w:pStyle w:val="Heading1"/>
      </w:pPr>
      <w:bookmarkStart w:id="40" w:name="_Toc237357658"/>
      <w:bookmarkStart w:id="41" w:name="_Toc242777946"/>
      <w:r w:rsidRPr="00E162C4">
        <w:t>Invitation to comment</w:t>
      </w:r>
      <w:bookmarkEnd w:id="21"/>
      <w:bookmarkEnd w:id="40"/>
      <w:bookmarkEnd w:id="41"/>
    </w:p>
    <w:p w14:paraId="6BDEE8CC" w14:textId="77777777" w:rsidR="004B2960" w:rsidRPr="00E162C4" w:rsidRDefault="004B2960" w:rsidP="004B2960">
      <w:pPr>
        <w:pStyle w:val="Heading2"/>
      </w:pPr>
      <w:bookmarkStart w:id="42" w:name="_Toc433122131"/>
      <w:bookmarkStart w:id="43" w:name="_Toc348105637"/>
      <w:bookmarkStart w:id="44" w:name="_Toc300909556"/>
      <w:bookmarkStart w:id="45" w:name="_Toc298924673"/>
      <w:bookmarkStart w:id="46" w:name="_Toc92265099"/>
      <w:bookmarkStart w:id="47" w:name="_Toc237357659"/>
      <w:bookmarkStart w:id="48" w:name="_Toc242777947"/>
      <w:bookmarkStart w:id="49" w:name="_Toc348105638"/>
      <w:bookmarkStart w:id="50" w:name="_Toc300909557"/>
      <w:bookmarkStart w:id="51" w:name="_Toc298924674"/>
      <w:bookmarkStart w:id="52" w:name="_Toc274296357"/>
      <w:r w:rsidRPr="00E162C4">
        <w:t>Making a submission</w:t>
      </w:r>
      <w:bookmarkEnd w:id="42"/>
      <w:bookmarkEnd w:id="43"/>
      <w:bookmarkEnd w:id="44"/>
      <w:bookmarkEnd w:id="45"/>
      <w:bookmarkEnd w:id="46"/>
      <w:bookmarkEnd w:id="47"/>
      <w:bookmarkEnd w:id="48"/>
    </w:p>
    <w:p w14:paraId="6195D6B7" w14:textId="77777777" w:rsidR="004B2960" w:rsidRPr="00E162C4" w:rsidRDefault="004B2960" w:rsidP="004B2960">
      <w:pPr>
        <w:pStyle w:val="Paragraph"/>
      </w:pPr>
      <w:r w:rsidRPr="00E162C4">
        <w:t xml:space="preserve">We invite comments on the issues set out in this discussion paper. </w:t>
      </w:r>
    </w:p>
    <w:p w14:paraId="4C5B0704" w14:textId="77777777" w:rsidR="004B2960" w:rsidRPr="00E162C4" w:rsidRDefault="004B2960" w:rsidP="004B2960">
      <w:pPr>
        <w:pStyle w:val="Bulletlevel1"/>
      </w:pPr>
      <w:hyperlink r:id="rId35" w:history="1">
        <w:r w:rsidRPr="00E162C4">
          <w:rPr>
            <w:rStyle w:val="Hyperlink"/>
          </w:rPr>
          <w:t>Online submissions</w:t>
        </w:r>
      </w:hyperlink>
      <w:r w:rsidRPr="00E162C4">
        <w:t xml:space="preserve"> can be made by uploading a document. Submissions in PDF, Microsoft Word or Rich Text Format are preferred.</w:t>
      </w:r>
    </w:p>
    <w:p w14:paraId="5B290ACE" w14:textId="77777777" w:rsidR="004B2960" w:rsidRPr="00E162C4" w:rsidRDefault="004B2960" w:rsidP="004B2960">
      <w:pPr>
        <w:pStyle w:val="Bulletlevel1"/>
      </w:pPr>
      <w:r w:rsidRPr="00E162C4">
        <w:t xml:space="preserve">Submissions by post can be </w:t>
      </w:r>
      <w:r w:rsidRPr="004B2960">
        <w:t>sent</w:t>
      </w:r>
      <w:r w:rsidRPr="00E162C4">
        <w:t xml:space="preserve"> to: </w:t>
      </w:r>
    </w:p>
    <w:p w14:paraId="50905F52" w14:textId="4F2FCD81" w:rsidR="004B2960" w:rsidRPr="00FB18C9" w:rsidRDefault="004B2960" w:rsidP="004B2960">
      <w:pPr>
        <w:pStyle w:val="Bulletlevel1last"/>
        <w:numPr>
          <w:ilvl w:val="0"/>
          <w:numId w:val="0"/>
        </w:numPr>
        <w:ind w:left="284"/>
      </w:pPr>
      <w:r w:rsidRPr="00FB18C9">
        <w:t>The Manager</w:t>
      </w:r>
      <w:r w:rsidRPr="00FB18C9">
        <w:br/>
      </w:r>
      <w:r w:rsidR="00CA4F2D" w:rsidRPr="00FB18C9">
        <w:t>Economics Advisory Section</w:t>
      </w:r>
      <w:r w:rsidRPr="00FB18C9">
        <w:br/>
        <w:t>Australian Communications and Media Authority</w:t>
      </w:r>
      <w:r w:rsidRPr="00FB18C9">
        <w:br/>
        <w:t>PO Box 78</w:t>
      </w:r>
      <w:r w:rsidRPr="00FB18C9">
        <w:br/>
        <w:t>Belconnen ACT 2616</w:t>
      </w:r>
    </w:p>
    <w:p w14:paraId="4DA5A880" w14:textId="2F26D725" w:rsidR="004B2960" w:rsidRPr="00E162C4" w:rsidRDefault="004B2960" w:rsidP="004B2960">
      <w:pPr>
        <w:pStyle w:val="Paragraph"/>
      </w:pPr>
      <w:r w:rsidRPr="00E162C4">
        <w:t xml:space="preserve">The closing date for submissions is </w:t>
      </w:r>
      <w:r w:rsidR="009F09FE">
        <w:t>5pm (AEDT)</w:t>
      </w:r>
      <w:r w:rsidRPr="00E162C4">
        <w:t xml:space="preserve">, </w:t>
      </w:r>
      <w:r w:rsidR="005C4BD0" w:rsidRPr="00A311BD">
        <w:rPr>
          <w:b/>
          <w:bCs/>
        </w:rPr>
        <w:t xml:space="preserve">Wednesday </w:t>
      </w:r>
      <w:r w:rsidR="004C07C2" w:rsidRPr="00A311BD">
        <w:rPr>
          <w:b/>
          <w:bCs/>
        </w:rPr>
        <w:t>9</w:t>
      </w:r>
      <w:r w:rsidRPr="00A311BD">
        <w:rPr>
          <w:b/>
          <w:bCs/>
        </w:rPr>
        <w:t xml:space="preserve"> </w:t>
      </w:r>
      <w:r w:rsidR="004C07C2" w:rsidRPr="00A311BD">
        <w:rPr>
          <w:b/>
          <w:bCs/>
        </w:rPr>
        <w:t xml:space="preserve">December </w:t>
      </w:r>
      <w:r w:rsidRPr="00A311BD">
        <w:rPr>
          <w:b/>
          <w:bCs/>
        </w:rPr>
        <w:t>20</w:t>
      </w:r>
      <w:r w:rsidR="004C07C2" w:rsidRPr="00A311BD">
        <w:rPr>
          <w:b/>
          <w:bCs/>
        </w:rPr>
        <w:t>26</w:t>
      </w:r>
      <w:r w:rsidRPr="00E10F6F">
        <w:t>.</w:t>
      </w:r>
    </w:p>
    <w:p w14:paraId="673E1CED" w14:textId="00187AAA" w:rsidR="004B2960" w:rsidRPr="00E162C4" w:rsidRDefault="004B2960" w:rsidP="004B2960">
      <w:pPr>
        <w:pStyle w:val="Paragraph"/>
        <w:rPr>
          <w:szCs w:val="20"/>
        </w:rPr>
      </w:pPr>
      <w:r w:rsidRPr="00E162C4">
        <w:t xml:space="preserve">Consultation enquiries can be emailed </w:t>
      </w:r>
      <w:r w:rsidRPr="00E162C4">
        <w:rPr>
          <w:szCs w:val="20"/>
        </w:rPr>
        <w:t xml:space="preserve">to </w:t>
      </w:r>
      <w:hyperlink r:id="rId36" w:history="1">
        <w:r w:rsidR="00E10F6F" w:rsidRPr="00A311BD">
          <w:rPr>
            <w:rStyle w:val="Hyperlink"/>
            <w:szCs w:val="20"/>
          </w:rPr>
          <w:t>ESL@acma.gov.au</w:t>
        </w:r>
      </w:hyperlink>
      <w:r w:rsidRPr="00E25153">
        <w:rPr>
          <w:szCs w:val="20"/>
        </w:rPr>
        <w:t>.</w:t>
      </w:r>
    </w:p>
    <w:p w14:paraId="54E8958D" w14:textId="77777777" w:rsidR="004B2960" w:rsidRPr="00E162C4" w:rsidRDefault="004B2960" w:rsidP="004B2960">
      <w:pPr>
        <w:pStyle w:val="Heading3"/>
      </w:pPr>
      <w:bookmarkStart w:id="53" w:name="_Toc348105639"/>
      <w:bookmarkStart w:id="54" w:name="_Toc300909558"/>
      <w:bookmarkStart w:id="55" w:name="_Hlk59627494"/>
      <w:bookmarkEnd w:id="49"/>
      <w:bookmarkEnd w:id="50"/>
      <w:r w:rsidRPr="00E162C4">
        <w:t>Publication of submissions</w:t>
      </w:r>
      <w:bookmarkEnd w:id="51"/>
      <w:bookmarkEnd w:id="52"/>
      <w:bookmarkEnd w:id="53"/>
      <w:bookmarkEnd w:id="54"/>
    </w:p>
    <w:p w14:paraId="79BE19D0" w14:textId="77777777" w:rsidR="004B2960" w:rsidRPr="00E162C4" w:rsidRDefault="004B2960" w:rsidP="004B2960">
      <w:pPr>
        <w:pStyle w:val="Paragraph"/>
      </w:pPr>
      <w:bookmarkStart w:id="56" w:name="_Toc348105640"/>
      <w:bookmarkStart w:id="57" w:name="_Toc300909559"/>
      <w:bookmarkStart w:id="58" w:name="_Toc265246234"/>
      <w:r w:rsidRPr="00E162C4">
        <w:t xml:space="preserve">We publish submissions on our website, including personal information (such as names and contact details), except for information that you have claimed (and we have accepted) is confidential. </w:t>
      </w:r>
    </w:p>
    <w:p w14:paraId="0CF1275E" w14:textId="77777777" w:rsidR="004B2960" w:rsidRPr="00E162C4" w:rsidRDefault="004B2960" w:rsidP="004B2960">
      <w:pPr>
        <w:pStyle w:val="Paragraph"/>
      </w:pPr>
      <w:r w:rsidRPr="00E162C4">
        <w:t>Confidential information will not be published or otherwise released unless required or authorised by law.</w:t>
      </w:r>
    </w:p>
    <w:p w14:paraId="1A7FFCB8" w14:textId="77777777" w:rsidR="004B2960" w:rsidRPr="00E162C4" w:rsidRDefault="004B2960" w:rsidP="004B2960">
      <w:pPr>
        <w:pStyle w:val="Heading3"/>
      </w:pPr>
      <w:r w:rsidRPr="00E162C4">
        <w:t>Privacy</w:t>
      </w:r>
    </w:p>
    <w:p w14:paraId="3B0EE1D5" w14:textId="77777777" w:rsidR="004B2960" w:rsidRPr="004B2960" w:rsidRDefault="004B2960" w:rsidP="004B2960">
      <w:pPr>
        <w:pStyle w:val="Paragraph"/>
      </w:pPr>
      <w:r w:rsidRPr="00E162C4">
        <w:t xml:space="preserve">View information about our </w:t>
      </w:r>
      <w:r w:rsidRPr="004B2960">
        <w:t xml:space="preserve">policy on the </w:t>
      </w:r>
      <w:hyperlink r:id="rId37" w:history="1">
        <w:r w:rsidRPr="004B2960">
          <w:rPr>
            <w:rStyle w:val="Hyperlink"/>
            <w:color w:val="auto"/>
            <w:u w:val="none"/>
          </w:rPr>
          <w:t>publication of submissions</w:t>
        </w:r>
      </w:hyperlink>
      <w:r w:rsidRPr="004B2960">
        <w:t>, including collection of personal information during consultation and how we handle that information.</w:t>
      </w:r>
    </w:p>
    <w:bookmarkEnd w:id="56"/>
    <w:bookmarkEnd w:id="57"/>
    <w:bookmarkEnd w:id="58"/>
    <w:p w14:paraId="44FA6AB1" w14:textId="77777777" w:rsidR="004B2960" w:rsidRDefault="004B2960" w:rsidP="004B2960">
      <w:pPr>
        <w:pStyle w:val="Paragraph"/>
      </w:pPr>
      <w:r w:rsidRPr="004B2960">
        <w:t>Information on the Privacy Act 1988, how to access or correct personal information, how to make a privacy complaint an</w:t>
      </w:r>
      <w:r w:rsidRPr="00E162C4">
        <w:t xml:space="preserve">d how we will deal with any complaints, is available in our </w:t>
      </w:r>
      <w:hyperlink r:id="rId38" w:history="1">
        <w:r w:rsidRPr="00E162C4">
          <w:rPr>
            <w:rStyle w:val="Hyperlink"/>
          </w:rPr>
          <w:t>privacy policy</w:t>
        </w:r>
      </w:hyperlink>
      <w:r w:rsidRPr="00E162C4">
        <w:t xml:space="preserve">. </w:t>
      </w:r>
    </w:p>
    <w:p w14:paraId="0AE5342C" w14:textId="4EDD679B" w:rsidR="00BE08C4" w:rsidRPr="00E162C4" w:rsidRDefault="00BE08C4" w:rsidP="004B2960">
      <w:pPr>
        <w:pStyle w:val="Paragraph"/>
      </w:pPr>
      <w:r w:rsidRPr="00BE08C4">
        <w:t xml:space="preserve">We may use an </w:t>
      </w:r>
      <w:r w:rsidR="00302A3C">
        <w:t>a</w:t>
      </w:r>
      <w:r w:rsidRPr="00BE08C4">
        <w:t xml:space="preserve">rtificial </w:t>
      </w:r>
      <w:r w:rsidR="00302A3C">
        <w:t>i</w:t>
      </w:r>
      <w:r w:rsidRPr="00BE08C4">
        <w:t>ntelligence (AI) tool to analyse and summarise your submissions for internal purposes to inform the</w:t>
      </w:r>
      <w:r w:rsidR="00164550">
        <w:t xml:space="preserve"> process for updating benchmarks</w:t>
      </w:r>
      <w:r w:rsidR="00570EC3">
        <w:t xml:space="preserve"> and </w:t>
      </w:r>
      <w:r w:rsidR="00A66421">
        <w:t xml:space="preserve">future </w:t>
      </w:r>
      <w:r w:rsidR="00570EC3">
        <w:t>individual band consultations</w:t>
      </w:r>
      <w:r w:rsidRPr="00BE08C4">
        <w:t>. This may include using AI to summarise submissions you provide that may contain personal information.</w:t>
      </w:r>
    </w:p>
    <w:p w14:paraId="55DBD89F" w14:textId="0F8FB2FA" w:rsidR="00240CE9" w:rsidRPr="00A17B1B" w:rsidRDefault="00FF3C69" w:rsidP="00FF3C69">
      <w:pPr>
        <w:pStyle w:val="Heading1"/>
      </w:pPr>
      <w:bookmarkStart w:id="59" w:name="_Appendix_A:_Exclusion"/>
      <w:bookmarkStart w:id="60" w:name="_Toc237357660"/>
      <w:bookmarkStart w:id="61" w:name="_Toc242777948"/>
      <w:bookmarkEnd w:id="22"/>
      <w:bookmarkEnd w:id="55"/>
      <w:bookmarkEnd w:id="59"/>
      <w:r w:rsidRPr="00A17B1B">
        <w:t xml:space="preserve">Appendix </w:t>
      </w:r>
      <w:r w:rsidR="00400B48">
        <w:t>A</w:t>
      </w:r>
      <w:r w:rsidR="00DF0799" w:rsidRPr="00A17B1B">
        <w:t xml:space="preserve">: </w:t>
      </w:r>
      <w:bookmarkEnd w:id="60"/>
      <w:r w:rsidR="00C44A0B">
        <w:t>Exclusion criteria</w:t>
      </w:r>
      <w:bookmarkEnd w:id="61"/>
    </w:p>
    <w:tbl>
      <w:tblPr>
        <w:tblStyle w:val="ACMAtablestyle"/>
        <w:tblW w:w="9209" w:type="dxa"/>
        <w:tblLook w:val="04A0" w:firstRow="1" w:lastRow="0" w:firstColumn="1" w:lastColumn="0" w:noHBand="0" w:noVBand="1"/>
      </w:tblPr>
      <w:tblGrid>
        <w:gridCol w:w="1696"/>
        <w:gridCol w:w="2410"/>
        <w:gridCol w:w="5103"/>
      </w:tblGrid>
      <w:tr w:rsidR="00323D2C" w14:paraId="0629662D" w14:textId="77777777" w:rsidTr="00BC1F90">
        <w:trPr>
          <w:cnfStyle w:val="100000000000" w:firstRow="1" w:lastRow="0" w:firstColumn="0" w:lastColumn="0" w:oddVBand="0" w:evenVBand="0" w:oddHBand="0" w:evenHBand="0" w:firstRowFirstColumn="0" w:firstRowLastColumn="0" w:lastRowFirstColumn="0" w:lastRowLastColumn="0"/>
          <w:cantSplit/>
        </w:trPr>
        <w:tc>
          <w:tcPr>
            <w:tcW w:w="1696" w:type="dxa"/>
          </w:tcPr>
          <w:p w14:paraId="070C497A" w14:textId="77777777" w:rsidR="00323D2C" w:rsidRDefault="00323D2C">
            <w:pPr>
              <w:pStyle w:val="Tableheading"/>
              <w:numPr>
                <w:ilvl w:val="0"/>
                <w:numId w:val="0"/>
              </w:numPr>
            </w:pPr>
            <w:r w:rsidRPr="00703ADB">
              <w:rPr>
                <w:color w:val="FFFFFF" w:themeColor="background1"/>
              </w:rPr>
              <w:t>Category</w:t>
            </w:r>
          </w:p>
        </w:tc>
        <w:tc>
          <w:tcPr>
            <w:tcW w:w="2410" w:type="dxa"/>
          </w:tcPr>
          <w:p w14:paraId="7D6B8C68" w14:textId="77777777" w:rsidR="00323D2C" w:rsidRDefault="00323D2C">
            <w:pPr>
              <w:pStyle w:val="Tableheading"/>
              <w:numPr>
                <w:ilvl w:val="0"/>
                <w:numId w:val="0"/>
              </w:numPr>
            </w:pPr>
            <w:r w:rsidRPr="00703ADB">
              <w:rPr>
                <w:color w:val="FFFFFF" w:themeColor="background1"/>
              </w:rPr>
              <w:t>Criterion</w:t>
            </w:r>
          </w:p>
        </w:tc>
        <w:tc>
          <w:tcPr>
            <w:tcW w:w="5103" w:type="dxa"/>
          </w:tcPr>
          <w:p w14:paraId="21F66FBD" w14:textId="77777777" w:rsidR="00323D2C" w:rsidRDefault="00323D2C">
            <w:pPr>
              <w:pStyle w:val="Tableheading"/>
              <w:numPr>
                <w:ilvl w:val="0"/>
                <w:numId w:val="0"/>
              </w:numPr>
            </w:pPr>
            <w:r w:rsidRPr="00703ADB">
              <w:rPr>
                <w:color w:val="FFFFFF" w:themeColor="background1"/>
              </w:rPr>
              <w:t>Description</w:t>
            </w:r>
          </w:p>
        </w:tc>
      </w:tr>
      <w:tr w:rsidR="00323D2C" w14:paraId="4A286B59" w14:textId="77777777" w:rsidTr="00BC1F90">
        <w:trPr>
          <w:cnfStyle w:val="000000100000" w:firstRow="0" w:lastRow="0" w:firstColumn="0" w:lastColumn="0" w:oddVBand="0" w:evenVBand="0" w:oddHBand="1" w:evenHBand="0" w:firstRowFirstColumn="0" w:firstRowLastColumn="0" w:lastRowFirstColumn="0" w:lastRowLastColumn="0"/>
          <w:cantSplit/>
          <w:trHeight w:val="1127"/>
        </w:trPr>
        <w:tc>
          <w:tcPr>
            <w:tcW w:w="1696" w:type="dxa"/>
            <w:vMerge w:val="restart"/>
          </w:tcPr>
          <w:p w14:paraId="7D418EE1" w14:textId="77777777" w:rsidR="00323D2C" w:rsidRDefault="00323D2C" w:rsidP="00697697">
            <w:pPr>
              <w:pStyle w:val="Tableheading"/>
              <w:numPr>
                <w:ilvl w:val="0"/>
                <w:numId w:val="0"/>
              </w:numPr>
              <w:spacing w:after="0"/>
            </w:pPr>
            <w:r>
              <w:t>Uncompetitive award</w:t>
            </w:r>
          </w:p>
        </w:tc>
        <w:tc>
          <w:tcPr>
            <w:tcW w:w="2410" w:type="dxa"/>
          </w:tcPr>
          <w:p w14:paraId="57135954" w14:textId="77777777" w:rsidR="00323D2C" w:rsidRPr="00A67A83" w:rsidRDefault="00323D2C" w:rsidP="00697697">
            <w:pPr>
              <w:pStyle w:val="Tableheading"/>
              <w:numPr>
                <w:ilvl w:val="0"/>
                <w:numId w:val="0"/>
              </w:numPr>
              <w:spacing w:after="0"/>
            </w:pPr>
            <w:r w:rsidRPr="00A311BD">
              <w:t>Uncompetitive format</w:t>
            </w:r>
          </w:p>
        </w:tc>
        <w:tc>
          <w:tcPr>
            <w:tcW w:w="5103" w:type="dxa"/>
          </w:tcPr>
          <w:p w14:paraId="1C56D4A4" w14:textId="1B4945C8" w:rsidR="00323D2C" w:rsidRDefault="00323D2C" w:rsidP="00697697">
            <w:pPr>
              <w:pStyle w:val="Tableheading"/>
              <w:numPr>
                <w:ilvl w:val="0"/>
                <w:numId w:val="0"/>
              </w:numPr>
              <w:spacing w:after="0"/>
            </w:pPr>
            <w:r w:rsidRPr="00703ADB">
              <w:rPr>
                <w:b w:val="0"/>
                <w:bCs w:val="0"/>
              </w:rPr>
              <w:t>Spectrum awards that were administrative and do not provide genuine market information (</w:t>
            </w:r>
            <w:r w:rsidR="009F5414">
              <w:rPr>
                <w:b w:val="0"/>
                <w:bCs w:val="0"/>
              </w:rPr>
              <w:t>for example,</w:t>
            </w:r>
            <w:r w:rsidRPr="00703ADB">
              <w:rPr>
                <w:b w:val="0"/>
                <w:bCs w:val="0"/>
              </w:rPr>
              <w:t xml:space="preserve"> ‘beauty contests’, direct allocations</w:t>
            </w:r>
            <w:r w:rsidR="007052FD">
              <w:rPr>
                <w:b w:val="0"/>
                <w:bCs w:val="0"/>
              </w:rPr>
              <w:t xml:space="preserve"> and</w:t>
            </w:r>
            <w:r w:rsidRPr="00703ADB">
              <w:rPr>
                <w:b w:val="0"/>
                <w:bCs w:val="0"/>
              </w:rPr>
              <w:t xml:space="preserve"> licence renewals).</w:t>
            </w:r>
          </w:p>
        </w:tc>
      </w:tr>
      <w:tr w:rsidR="00323D2C" w14:paraId="42F6CF2A" w14:textId="77777777" w:rsidTr="00BC1F90">
        <w:trPr>
          <w:cnfStyle w:val="000000010000" w:firstRow="0" w:lastRow="0" w:firstColumn="0" w:lastColumn="0" w:oddVBand="0" w:evenVBand="0" w:oddHBand="0" w:evenHBand="1" w:firstRowFirstColumn="0" w:firstRowLastColumn="0" w:lastRowFirstColumn="0" w:lastRowLastColumn="0"/>
          <w:cantSplit/>
        </w:trPr>
        <w:tc>
          <w:tcPr>
            <w:tcW w:w="1696" w:type="dxa"/>
            <w:vMerge/>
          </w:tcPr>
          <w:p w14:paraId="0BAB1206" w14:textId="77777777" w:rsidR="00323D2C" w:rsidRDefault="00323D2C" w:rsidP="00697697">
            <w:pPr>
              <w:pStyle w:val="Tableheading"/>
              <w:numPr>
                <w:ilvl w:val="0"/>
                <w:numId w:val="0"/>
              </w:numPr>
              <w:spacing w:after="0"/>
            </w:pPr>
          </w:p>
        </w:tc>
        <w:tc>
          <w:tcPr>
            <w:tcW w:w="2410" w:type="dxa"/>
          </w:tcPr>
          <w:p w14:paraId="3CDF17BE" w14:textId="77777777" w:rsidR="00323D2C" w:rsidRPr="00A67A83" w:rsidRDefault="00323D2C" w:rsidP="00697697">
            <w:pPr>
              <w:pStyle w:val="Tableheading"/>
              <w:numPr>
                <w:ilvl w:val="0"/>
                <w:numId w:val="0"/>
              </w:numPr>
              <w:spacing w:after="0"/>
            </w:pPr>
            <w:r w:rsidRPr="00A311BD">
              <w:t>Limited participation</w:t>
            </w:r>
          </w:p>
        </w:tc>
        <w:tc>
          <w:tcPr>
            <w:tcW w:w="5103" w:type="dxa"/>
          </w:tcPr>
          <w:p w14:paraId="559EAA44" w14:textId="77777777" w:rsidR="00323D2C" w:rsidRDefault="00323D2C" w:rsidP="00697697">
            <w:pPr>
              <w:pStyle w:val="Tableheading"/>
              <w:numPr>
                <w:ilvl w:val="0"/>
                <w:numId w:val="0"/>
              </w:numPr>
              <w:spacing w:after="0"/>
            </w:pPr>
            <w:r w:rsidRPr="00703ADB">
              <w:rPr>
                <w:b w:val="0"/>
                <w:bCs w:val="0"/>
              </w:rPr>
              <w:t>Spectrum awards where it was infeasible to increase above reserve given the number of bidders participating and/or binding caps.</w:t>
            </w:r>
          </w:p>
        </w:tc>
      </w:tr>
      <w:tr w:rsidR="00323D2C" w14:paraId="51828B6A" w14:textId="77777777" w:rsidTr="00BC1F90">
        <w:trPr>
          <w:cnfStyle w:val="000000100000" w:firstRow="0" w:lastRow="0" w:firstColumn="0" w:lastColumn="0" w:oddVBand="0" w:evenVBand="0" w:oddHBand="1" w:evenHBand="0" w:firstRowFirstColumn="0" w:firstRowLastColumn="0" w:lastRowFirstColumn="0" w:lastRowLastColumn="0"/>
          <w:cantSplit/>
          <w:trHeight w:val="1746"/>
        </w:trPr>
        <w:tc>
          <w:tcPr>
            <w:tcW w:w="1696" w:type="dxa"/>
            <w:vMerge/>
          </w:tcPr>
          <w:p w14:paraId="11765DA5" w14:textId="77777777" w:rsidR="00323D2C" w:rsidRDefault="00323D2C" w:rsidP="00697697">
            <w:pPr>
              <w:pStyle w:val="Tableheading"/>
              <w:numPr>
                <w:ilvl w:val="0"/>
                <w:numId w:val="0"/>
              </w:numPr>
              <w:spacing w:after="0"/>
            </w:pPr>
          </w:p>
        </w:tc>
        <w:tc>
          <w:tcPr>
            <w:tcW w:w="2410" w:type="dxa"/>
          </w:tcPr>
          <w:p w14:paraId="04F33F30" w14:textId="77777777" w:rsidR="00323D2C" w:rsidRPr="00A67A83" w:rsidRDefault="00323D2C" w:rsidP="00697697">
            <w:pPr>
              <w:pStyle w:val="Tableheading"/>
              <w:numPr>
                <w:ilvl w:val="0"/>
                <w:numId w:val="0"/>
              </w:numPr>
              <w:spacing w:after="0"/>
            </w:pPr>
            <w:r w:rsidRPr="00A311BD">
              <w:t>Material amounts of spectrum unsold</w:t>
            </w:r>
          </w:p>
        </w:tc>
        <w:tc>
          <w:tcPr>
            <w:tcW w:w="5103" w:type="dxa"/>
          </w:tcPr>
          <w:p w14:paraId="02CBC96A" w14:textId="77777777" w:rsidR="00323D2C" w:rsidRPr="00703ADB" w:rsidRDefault="00323D2C" w:rsidP="00697697">
            <w:pPr>
              <w:pStyle w:val="Tableheading"/>
              <w:numPr>
                <w:ilvl w:val="0"/>
                <w:numId w:val="0"/>
              </w:numPr>
              <w:spacing w:after="0"/>
              <w:rPr>
                <w:b w:val="0"/>
                <w:bCs w:val="0"/>
              </w:rPr>
            </w:pPr>
            <w:r w:rsidRPr="00703ADB">
              <w:rPr>
                <w:b w:val="0"/>
                <w:bCs w:val="0"/>
              </w:rPr>
              <w:t xml:space="preserve">Spectrum awards where significant amounts of the spectrum offered went unsold. </w:t>
            </w:r>
          </w:p>
          <w:p w14:paraId="5EFAAB17" w14:textId="6506C898" w:rsidR="00323D2C" w:rsidRDefault="00323D2C" w:rsidP="00697697">
            <w:pPr>
              <w:pStyle w:val="Tableheading"/>
              <w:numPr>
                <w:ilvl w:val="0"/>
                <w:numId w:val="0"/>
              </w:numPr>
              <w:spacing w:after="0"/>
            </w:pPr>
            <w:r w:rsidRPr="00703ADB">
              <w:rPr>
                <w:b w:val="0"/>
                <w:bCs w:val="0"/>
              </w:rPr>
              <w:t>It is not necessary to exclude all awards with unsold spectrum (</w:t>
            </w:r>
            <w:r w:rsidR="00A15A26">
              <w:rPr>
                <w:b w:val="0"/>
                <w:bCs w:val="0"/>
              </w:rPr>
              <w:t xml:space="preserve">for example, </w:t>
            </w:r>
            <w:r w:rsidRPr="00703ADB">
              <w:rPr>
                <w:b w:val="0"/>
                <w:bCs w:val="0"/>
              </w:rPr>
              <w:t xml:space="preserve">if spectrum only went unsold in unattractive regions or encumbered lot categories). </w:t>
            </w:r>
          </w:p>
        </w:tc>
      </w:tr>
      <w:tr w:rsidR="00323D2C" w14:paraId="36749259" w14:textId="77777777" w:rsidTr="00BC1F90">
        <w:trPr>
          <w:cnfStyle w:val="000000010000" w:firstRow="0" w:lastRow="0" w:firstColumn="0" w:lastColumn="0" w:oddVBand="0" w:evenVBand="0" w:oddHBand="0" w:evenHBand="1" w:firstRowFirstColumn="0" w:firstRowLastColumn="0" w:lastRowFirstColumn="0" w:lastRowLastColumn="0"/>
          <w:cantSplit/>
        </w:trPr>
        <w:tc>
          <w:tcPr>
            <w:tcW w:w="1696" w:type="dxa"/>
            <w:vMerge w:val="restart"/>
          </w:tcPr>
          <w:p w14:paraId="182B4E3B" w14:textId="77777777" w:rsidR="00323D2C" w:rsidRDefault="00323D2C" w:rsidP="00697697">
            <w:pPr>
              <w:pStyle w:val="Tableheading"/>
              <w:numPr>
                <w:ilvl w:val="0"/>
                <w:numId w:val="0"/>
              </w:numPr>
              <w:spacing w:after="0"/>
            </w:pPr>
            <w:r>
              <w:t>Licences not comparable</w:t>
            </w:r>
          </w:p>
        </w:tc>
        <w:tc>
          <w:tcPr>
            <w:tcW w:w="2410" w:type="dxa"/>
          </w:tcPr>
          <w:p w14:paraId="5064F66A" w14:textId="77777777" w:rsidR="00323D2C" w:rsidRDefault="00323D2C" w:rsidP="00697697">
            <w:pPr>
              <w:pStyle w:val="Tableheading"/>
              <w:numPr>
                <w:ilvl w:val="0"/>
                <w:numId w:val="0"/>
              </w:numPr>
              <w:spacing w:after="0"/>
            </w:pPr>
            <w:r>
              <w:t>Special obligations</w:t>
            </w:r>
          </w:p>
        </w:tc>
        <w:tc>
          <w:tcPr>
            <w:tcW w:w="5103" w:type="dxa"/>
          </w:tcPr>
          <w:p w14:paraId="4C4E1733" w14:textId="77777777" w:rsidR="00323D2C" w:rsidRPr="00703ADB" w:rsidRDefault="00323D2C" w:rsidP="00697697">
            <w:pPr>
              <w:pStyle w:val="Tableheading"/>
              <w:numPr>
                <w:ilvl w:val="0"/>
                <w:numId w:val="0"/>
              </w:numPr>
              <w:spacing w:after="0"/>
              <w:rPr>
                <w:b w:val="0"/>
                <w:bCs w:val="0"/>
              </w:rPr>
            </w:pPr>
            <w:r w:rsidRPr="00703ADB">
              <w:rPr>
                <w:b w:val="0"/>
                <w:bCs w:val="0"/>
              </w:rPr>
              <w:t xml:space="preserve">Prices of awards that incorporate onerous rollout obligations or investment commitments that do not reflect full market valuation. </w:t>
            </w:r>
          </w:p>
          <w:p w14:paraId="6ADCDF6F" w14:textId="7B33E47D" w:rsidR="00323D2C" w:rsidRDefault="00323D2C" w:rsidP="00697697">
            <w:pPr>
              <w:pStyle w:val="Tableheading"/>
              <w:numPr>
                <w:ilvl w:val="0"/>
                <w:numId w:val="0"/>
              </w:numPr>
              <w:spacing w:after="0"/>
            </w:pPr>
            <w:r w:rsidRPr="00703ADB">
              <w:rPr>
                <w:b w:val="0"/>
                <w:bCs w:val="0"/>
              </w:rPr>
              <w:t xml:space="preserve">Awards will only be excluded under this criterion if the obligations are explicitly interventionist (not </w:t>
            </w:r>
            <w:r w:rsidR="00F53089">
              <w:rPr>
                <w:b w:val="0"/>
                <w:bCs w:val="0"/>
              </w:rPr>
              <w:t>‘</w:t>
            </w:r>
            <w:r w:rsidRPr="00703ADB">
              <w:rPr>
                <w:b w:val="0"/>
                <w:bCs w:val="0"/>
              </w:rPr>
              <w:t>use-it-or-lose-it</w:t>
            </w:r>
            <w:r w:rsidR="00442332">
              <w:rPr>
                <w:b w:val="0"/>
                <w:bCs w:val="0"/>
              </w:rPr>
              <w:t>’</w:t>
            </w:r>
            <w:r w:rsidRPr="00703ADB">
              <w:rPr>
                <w:b w:val="0"/>
                <w:bCs w:val="0"/>
              </w:rPr>
              <w:t xml:space="preserve"> conditions)</w:t>
            </w:r>
            <w:r>
              <w:rPr>
                <w:b w:val="0"/>
                <w:bCs w:val="0"/>
              </w:rPr>
              <w:t>.</w:t>
            </w:r>
          </w:p>
        </w:tc>
      </w:tr>
      <w:tr w:rsidR="00323D2C" w14:paraId="02FDB4A8" w14:textId="77777777" w:rsidTr="00BC1F90">
        <w:trPr>
          <w:cnfStyle w:val="000000100000" w:firstRow="0" w:lastRow="0" w:firstColumn="0" w:lastColumn="0" w:oddVBand="0" w:evenVBand="0" w:oddHBand="1" w:evenHBand="0" w:firstRowFirstColumn="0" w:firstRowLastColumn="0" w:lastRowFirstColumn="0" w:lastRowLastColumn="0"/>
          <w:cantSplit/>
        </w:trPr>
        <w:tc>
          <w:tcPr>
            <w:tcW w:w="1696" w:type="dxa"/>
            <w:vMerge/>
          </w:tcPr>
          <w:p w14:paraId="311F1EE6" w14:textId="77777777" w:rsidR="00323D2C" w:rsidRDefault="00323D2C" w:rsidP="00697697">
            <w:pPr>
              <w:pStyle w:val="Tableheading"/>
              <w:numPr>
                <w:ilvl w:val="0"/>
                <w:numId w:val="0"/>
              </w:numPr>
              <w:spacing w:after="0"/>
            </w:pPr>
          </w:p>
        </w:tc>
        <w:tc>
          <w:tcPr>
            <w:tcW w:w="2410" w:type="dxa"/>
          </w:tcPr>
          <w:p w14:paraId="11F12ABC" w14:textId="504A5F3C" w:rsidR="00323D2C" w:rsidRDefault="00323D2C" w:rsidP="00697697">
            <w:pPr>
              <w:pStyle w:val="Tableheading"/>
              <w:numPr>
                <w:ilvl w:val="0"/>
                <w:numId w:val="0"/>
              </w:numPr>
              <w:spacing w:after="0"/>
            </w:pPr>
            <w:r>
              <w:t>Use</w:t>
            </w:r>
            <w:r w:rsidR="008B62F5">
              <w:t>-</w:t>
            </w:r>
            <w:r>
              <w:t>case restricted</w:t>
            </w:r>
          </w:p>
        </w:tc>
        <w:tc>
          <w:tcPr>
            <w:tcW w:w="5103" w:type="dxa"/>
          </w:tcPr>
          <w:p w14:paraId="6C012538" w14:textId="77777777" w:rsidR="00323D2C" w:rsidRDefault="00323D2C" w:rsidP="00697697">
            <w:pPr>
              <w:pStyle w:val="Tableheading"/>
              <w:numPr>
                <w:ilvl w:val="0"/>
                <w:numId w:val="0"/>
              </w:numPr>
              <w:spacing w:after="0"/>
            </w:pPr>
            <w:r w:rsidRPr="00703ADB">
              <w:rPr>
                <w:b w:val="0"/>
                <w:bCs w:val="0"/>
              </w:rPr>
              <w:t>The licences on offer are not comparable as they could not be held by the operators holding existing licences in Australia due to being restricted to or configured for a different use case.</w:t>
            </w:r>
          </w:p>
        </w:tc>
      </w:tr>
      <w:tr w:rsidR="00323D2C" w14:paraId="6F9C1F4D" w14:textId="77777777" w:rsidTr="00BC1F90">
        <w:trPr>
          <w:cnfStyle w:val="000000010000" w:firstRow="0" w:lastRow="0" w:firstColumn="0" w:lastColumn="0" w:oddVBand="0" w:evenVBand="0" w:oddHBand="0" w:evenHBand="1" w:firstRowFirstColumn="0" w:firstRowLastColumn="0" w:lastRowFirstColumn="0" w:lastRowLastColumn="0"/>
          <w:cantSplit/>
        </w:trPr>
        <w:tc>
          <w:tcPr>
            <w:tcW w:w="1696" w:type="dxa"/>
            <w:vMerge/>
          </w:tcPr>
          <w:p w14:paraId="5A08464E" w14:textId="77777777" w:rsidR="00323D2C" w:rsidRDefault="00323D2C" w:rsidP="00697697">
            <w:pPr>
              <w:pStyle w:val="Tableheading"/>
              <w:numPr>
                <w:ilvl w:val="0"/>
                <w:numId w:val="0"/>
              </w:numPr>
              <w:spacing w:after="0"/>
            </w:pPr>
          </w:p>
        </w:tc>
        <w:tc>
          <w:tcPr>
            <w:tcW w:w="2410" w:type="dxa"/>
          </w:tcPr>
          <w:p w14:paraId="0A7DFDCD" w14:textId="77777777" w:rsidR="00323D2C" w:rsidRDefault="00323D2C" w:rsidP="00697697">
            <w:pPr>
              <w:pStyle w:val="Tableheading"/>
              <w:numPr>
                <w:ilvl w:val="0"/>
                <w:numId w:val="0"/>
              </w:numPr>
              <w:spacing w:after="0"/>
            </w:pPr>
            <w:r>
              <w:t>Residual awards</w:t>
            </w:r>
          </w:p>
        </w:tc>
        <w:tc>
          <w:tcPr>
            <w:tcW w:w="5103" w:type="dxa"/>
          </w:tcPr>
          <w:p w14:paraId="1E7E5553" w14:textId="77777777" w:rsidR="00323D2C" w:rsidRDefault="00323D2C" w:rsidP="00697697">
            <w:pPr>
              <w:pStyle w:val="Tableheading"/>
              <w:numPr>
                <w:ilvl w:val="0"/>
                <w:numId w:val="0"/>
              </w:numPr>
              <w:spacing w:after="0"/>
            </w:pPr>
            <w:r w:rsidRPr="00703ADB">
              <w:rPr>
                <w:b w:val="0"/>
                <w:bCs w:val="0"/>
              </w:rPr>
              <w:t>Awards of lots that were undesirable in the main award, typically involving materially limited bandwidths or short-term licences.</w:t>
            </w:r>
          </w:p>
        </w:tc>
      </w:tr>
      <w:tr w:rsidR="00323D2C" w14:paraId="15693049" w14:textId="77777777" w:rsidTr="00BC1F90">
        <w:trPr>
          <w:cnfStyle w:val="000000100000" w:firstRow="0" w:lastRow="0" w:firstColumn="0" w:lastColumn="0" w:oddVBand="0" w:evenVBand="0" w:oddHBand="1" w:evenHBand="0" w:firstRowFirstColumn="0" w:firstRowLastColumn="0" w:lastRowFirstColumn="0" w:lastRowLastColumn="0"/>
          <w:cantSplit/>
        </w:trPr>
        <w:tc>
          <w:tcPr>
            <w:tcW w:w="1696" w:type="dxa"/>
            <w:vMerge w:val="restart"/>
          </w:tcPr>
          <w:p w14:paraId="5369B81F" w14:textId="77777777" w:rsidR="00323D2C" w:rsidRDefault="00323D2C" w:rsidP="00697697">
            <w:pPr>
              <w:pStyle w:val="Tableheading"/>
              <w:numPr>
                <w:ilvl w:val="0"/>
                <w:numId w:val="0"/>
              </w:numPr>
              <w:spacing w:after="0"/>
            </w:pPr>
            <w:r>
              <w:t>Measurement issues</w:t>
            </w:r>
          </w:p>
        </w:tc>
        <w:tc>
          <w:tcPr>
            <w:tcW w:w="2410" w:type="dxa"/>
          </w:tcPr>
          <w:p w14:paraId="19C94D83" w14:textId="77777777" w:rsidR="00323D2C" w:rsidRDefault="00323D2C" w:rsidP="00697697">
            <w:pPr>
              <w:pStyle w:val="Tableheading"/>
              <w:numPr>
                <w:ilvl w:val="0"/>
                <w:numId w:val="0"/>
              </w:numPr>
              <w:spacing w:after="0"/>
            </w:pPr>
            <w:r>
              <w:t>Incorrect information</w:t>
            </w:r>
          </w:p>
        </w:tc>
        <w:tc>
          <w:tcPr>
            <w:tcW w:w="5103" w:type="dxa"/>
          </w:tcPr>
          <w:p w14:paraId="5AAF62AB" w14:textId="77777777" w:rsidR="00323D2C" w:rsidRDefault="00323D2C" w:rsidP="00697697">
            <w:pPr>
              <w:pStyle w:val="Tableheading"/>
              <w:numPr>
                <w:ilvl w:val="0"/>
                <w:numId w:val="0"/>
              </w:numPr>
              <w:spacing w:after="0"/>
            </w:pPr>
            <w:r w:rsidRPr="00703ADB">
              <w:rPr>
                <w:b w:val="0"/>
                <w:bCs w:val="0"/>
              </w:rPr>
              <w:t>Spectrum awards where there is a clear reason to expect prices or other information are incorrect and a correction is not possible.</w:t>
            </w:r>
          </w:p>
        </w:tc>
      </w:tr>
      <w:tr w:rsidR="00323D2C" w14:paraId="356675E3" w14:textId="77777777" w:rsidTr="00BC1F90">
        <w:trPr>
          <w:cnfStyle w:val="000000010000" w:firstRow="0" w:lastRow="0" w:firstColumn="0" w:lastColumn="0" w:oddVBand="0" w:evenVBand="0" w:oddHBand="0" w:evenHBand="1" w:firstRowFirstColumn="0" w:firstRowLastColumn="0" w:lastRowFirstColumn="0" w:lastRowLastColumn="0"/>
          <w:cantSplit/>
          <w:trHeight w:val="1228"/>
        </w:trPr>
        <w:tc>
          <w:tcPr>
            <w:tcW w:w="1696" w:type="dxa"/>
            <w:vMerge/>
          </w:tcPr>
          <w:p w14:paraId="7F6E2526" w14:textId="77777777" w:rsidR="00323D2C" w:rsidRDefault="00323D2C" w:rsidP="00697697">
            <w:pPr>
              <w:pStyle w:val="Tableheading"/>
              <w:numPr>
                <w:ilvl w:val="0"/>
                <w:numId w:val="0"/>
              </w:numPr>
              <w:spacing w:after="0"/>
            </w:pPr>
          </w:p>
        </w:tc>
        <w:tc>
          <w:tcPr>
            <w:tcW w:w="2410" w:type="dxa"/>
          </w:tcPr>
          <w:p w14:paraId="3F9431B1" w14:textId="77777777" w:rsidR="00323D2C" w:rsidRDefault="00323D2C" w:rsidP="00697697">
            <w:pPr>
              <w:pStyle w:val="Tableheading"/>
              <w:numPr>
                <w:ilvl w:val="0"/>
                <w:numId w:val="0"/>
              </w:numPr>
              <w:spacing w:after="0"/>
            </w:pPr>
            <w:r>
              <w:t>Lack of information</w:t>
            </w:r>
          </w:p>
        </w:tc>
        <w:tc>
          <w:tcPr>
            <w:tcW w:w="5103" w:type="dxa"/>
          </w:tcPr>
          <w:p w14:paraId="33433C20" w14:textId="50346FD7" w:rsidR="00323D2C" w:rsidRDefault="00323D2C" w:rsidP="00697697">
            <w:pPr>
              <w:pStyle w:val="Tableheading"/>
              <w:numPr>
                <w:ilvl w:val="0"/>
                <w:numId w:val="0"/>
              </w:numPr>
              <w:spacing w:after="0"/>
            </w:pPr>
            <w:r w:rsidRPr="00703ADB">
              <w:rPr>
                <w:b w:val="0"/>
                <w:bCs w:val="0"/>
              </w:rPr>
              <w:t>Sufficient information to calculate award prices is unavailable (</w:t>
            </w:r>
            <w:r w:rsidR="008B62F5">
              <w:rPr>
                <w:b w:val="0"/>
                <w:bCs w:val="0"/>
              </w:rPr>
              <w:t>for example,</w:t>
            </w:r>
            <w:r w:rsidRPr="00703ADB">
              <w:rPr>
                <w:b w:val="0"/>
                <w:bCs w:val="0"/>
              </w:rPr>
              <w:t xml:space="preserve"> prices, bandwidths, durations or population numbers are not public, per band prices cannot be calculated, there is insufficient information on annual fees).</w:t>
            </w:r>
          </w:p>
        </w:tc>
      </w:tr>
    </w:tbl>
    <w:p w14:paraId="6E12412C" w14:textId="4339F028" w:rsidR="00844D96" w:rsidRDefault="00844D96" w:rsidP="00D414E9">
      <w:pPr>
        <w:pStyle w:val="Paragraph"/>
      </w:pPr>
    </w:p>
    <w:p w14:paraId="20BF17A8" w14:textId="77777777" w:rsidR="00844D96" w:rsidRDefault="00844D96">
      <w:pPr>
        <w:spacing w:after="0" w:line="240" w:lineRule="auto"/>
        <w:rPr>
          <w:rFonts w:cs="Arial"/>
          <w:sz w:val="22"/>
        </w:rPr>
      </w:pPr>
      <w:r>
        <w:br w:type="page"/>
      </w:r>
    </w:p>
    <w:p w14:paraId="348F23E3" w14:textId="77777777" w:rsidR="00FC4C9C" w:rsidRDefault="00FC4C9C" w:rsidP="00FC4C9C">
      <w:pPr>
        <w:pStyle w:val="Heading1"/>
      </w:pPr>
      <w:bookmarkStart w:id="62" w:name="_Appendix_B:_Pricing"/>
      <w:bookmarkStart w:id="63" w:name="_Toc239677698"/>
      <w:bookmarkStart w:id="64" w:name="_Toc242777949"/>
      <w:bookmarkEnd w:id="62"/>
      <w:r w:rsidRPr="004E299E">
        <w:t xml:space="preserve">Appendix </w:t>
      </w:r>
      <w:r>
        <w:t>B</w:t>
      </w:r>
      <w:r w:rsidRPr="004E299E">
        <w:t>: Pricing methodology</w:t>
      </w:r>
      <w:bookmarkEnd w:id="63"/>
      <w:bookmarkEnd w:id="64"/>
    </w:p>
    <w:p w14:paraId="179F774F" w14:textId="06B36C4B" w:rsidR="00111AD1" w:rsidRPr="00111AD1" w:rsidRDefault="00111AD1" w:rsidP="00AE4FFD">
      <w:pPr>
        <w:pStyle w:val="Heading2"/>
        <w:rPr>
          <w:b w:val="0"/>
          <w:bCs w:val="0"/>
          <w:iCs w:val="0"/>
        </w:rPr>
      </w:pPr>
      <w:bookmarkStart w:id="65" w:name="_Toc239677699"/>
      <w:bookmarkStart w:id="66" w:name="_Toc242777950"/>
      <w:r w:rsidRPr="00111AD1">
        <w:t xml:space="preserve">Step 1: </w:t>
      </w:r>
      <w:r w:rsidR="0074431F">
        <w:t>C</w:t>
      </w:r>
      <w:r w:rsidRPr="00111AD1">
        <w:t>ompile benchmark dataset</w:t>
      </w:r>
      <w:bookmarkEnd w:id="65"/>
      <w:bookmarkEnd w:id="66"/>
    </w:p>
    <w:p w14:paraId="088A70C3" w14:textId="77777777" w:rsidR="006B4744" w:rsidRDefault="006B4744" w:rsidP="006B4744">
      <w:pPr>
        <w:pStyle w:val="Paragraph"/>
      </w:pPr>
      <w:r w:rsidRPr="008C6F78">
        <w:t xml:space="preserve">The benchmarking dataset used in this methodology is compiled from publicly available sources on market-based spectrum allocations and is designed to capture a diverse range of observed market outcomes. </w:t>
      </w:r>
      <w:r w:rsidRPr="00343BE1">
        <w:t xml:space="preserve">Any benchmarking exercise requires a sufficiently large and relevant sample, </w:t>
      </w:r>
      <w:r>
        <w:t>therefore</w:t>
      </w:r>
      <w:r w:rsidRPr="00343BE1">
        <w:t xml:space="preserve"> our dataset includes a substantial number of domestic and international spectrum awards to ensure broad coverage and representativeness.</w:t>
      </w:r>
    </w:p>
    <w:p w14:paraId="42149592" w14:textId="77777777" w:rsidR="006B4744" w:rsidRPr="00F37B47" w:rsidRDefault="006B4744" w:rsidP="006B4744">
      <w:pPr>
        <w:pStyle w:val="Paragraph"/>
      </w:pPr>
      <w:r w:rsidRPr="00F37B47">
        <w:t xml:space="preserve">The dataset </w:t>
      </w:r>
      <w:r>
        <w:t>has been</w:t>
      </w:r>
      <w:r w:rsidRPr="00F37B47">
        <w:t xml:space="preserve"> constructed based on a default position of including spectrum awards, unless there is a clear and compelling reason to exclude them. While all spectrum awards occur within specific political, regulatory, market and technological contexts, the majority are considered to provide a reasonable indication of market value when assessed as part of a large international sample.</w:t>
      </w:r>
    </w:p>
    <w:p w14:paraId="2ABAECBD" w14:textId="77777777" w:rsidR="006B4744" w:rsidRDefault="006B4744" w:rsidP="006B4744">
      <w:pPr>
        <w:pStyle w:val="Paragraph"/>
      </w:pPr>
      <w:r>
        <w:t>The benchmark</w:t>
      </w:r>
      <w:r w:rsidRPr="00497EDF">
        <w:t xml:space="preserve"> data have been compiled </w:t>
      </w:r>
      <w:r>
        <w:t>from</w:t>
      </w:r>
      <w:r w:rsidRPr="00497EDF">
        <w:t xml:space="preserve"> </w:t>
      </w:r>
      <w:r>
        <w:t>a range of sources such as</w:t>
      </w:r>
      <w:r w:rsidRPr="00497EDF">
        <w:t xml:space="preserve"> </w:t>
      </w:r>
      <w:r>
        <w:t xml:space="preserve">the </w:t>
      </w:r>
      <w:r w:rsidRPr="00497EDF">
        <w:t>ACMA</w:t>
      </w:r>
      <w:r>
        <w:t>’s</w:t>
      </w:r>
      <w:r w:rsidRPr="00497EDF">
        <w:t xml:space="preserve"> internal </w:t>
      </w:r>
      <w:r>
        <w:t xml:space="preserve">awards database, </w:t>
      </w:r>
      <w:r w:rsidRPr="00497EDF">
        <w:t xml:space="preserve">market research services and official publications </w:t>
      </w:r>
      <w:r>
        <w:t>released</w:t>
      </w:r>
      <w:r w:rsidRPr="00497EDF">
        <w:t xml:space="preserve"> by national regulators.</w:t>
      </w:r>
      <w:r w:rsidRPr="00517DF2">
        <w:t xml:space="preserve"> </w:t>
      </w:r>
      <w:r w:rsidRPr="002F668C">
        <w:t>The dataset has also been supplemented with spectrum award information provided by industry stakeholders and consultants involved in the ESL process, where this information could be independently verified.</w:t>
      </w:r>
      <w:r>
        <w:t xml:space="preserve"> </w:t>
      </w:r>
    </w:p>
    <w:p w14:paraId="6018DB4F" w14:textId="77777777" w:rsidR="006B4744" w:rsidRPr="00686B73" w:rsidRDefault="006B4744" w:rsidP="006B4744">
      <w:pPr>
        <w:pStyle w:val="Paragraph"/>
      </w:pPr>
      <w:r w:rsidRPr="007D0AEF">
        <w:t xml:space="preserve">The outcome of </w:t>
      </w:r>
      <w:r>
        <w:t>this step is the creation of</w:t>
      </w:r>
      <w:r w:rsidRPr="007D0AEF">
        <w:t xml:space="preserve"> a benchmarking dataset that is sufficiently broad to support robust analysis, while excluding awards that are unlikely to provide reliable information about market value</w:t>
      </w:r>
      <w:r w:rsidRPr="005654E3">
        <w:t xml:space="preserve"> </w:t>
      </w:r>
      <w:r>
        <w:t xml:space="preserve">or </w:t>
      </w:r>
      <w:r w:rsidRPr="00686B73">
        <w:t xml:space="preserve">where </w:t>
      </w:r>
      <w:r>
        <w:t>there is in</w:t>
      </w:r>
      <w:r w:rsidRPr="00686B73">
        <w:t>sufficient information available to calculate consistent $/MHz/pop prices</w:t>
      </w:r>
      <w:r w:rsidRPr="007D0AEF">
        <w:t>. This dataset forms the basis for subsequent standardisation steps</w:t>
      </w:r>
      <w:r>
        <w:t>.</w:t>
      </w:r>
    </w:p>
    <w:p w14:paraId="34A25EEF" w14:textId="77777777" w:rsidR="006B4744" w:rsidRPr="00E21900" w:rsidRDefault="006B4744" w:rsidP="00A311BD">
      <w:pPr>
        <w:pStyle w:val="Heading3"/>
      </w:pPr>
      <w:r w:rsidRPr="00E21900">
        <w:t>Information collected for each spectrum award</w:t>
      </w:r>
    </w:p>
    <w:p w14:paraId="5420CC9E" w14:textId="77777777" w:rsidR="006B4744" w:rsidRDefault="006B4744" w:rsidP="006B4744">
      <w:pPr>
        <w:pStyle w:val="Paragraph"/>
      </w:pPr>
      <w:r w:rsidRPr="00EC7AB0">
        <w:t>For each spectrum award considered for inclusion, the following information is collected. This information is required to calculate benchmark prices and to apply the standardisation steps set out later in this appendix.</w:t>
      </w:r>
    </w:p>
    <w:p w14:paraId="0956A26B" w14:textId="77777777" w:rsidR="006B4744" w:rsidRDefault="006B4744" w:rsidP="006B4744">
      <w:pPr>
        <w:pStyle w:val="Tableheading"/>
      </w:pPr>
      <w:r w:rsidRPr="00BA345E">
        <w:t>Information required for benchmark prices</w:t>
      </w:r>
    </w:p>
    <w:tbl>
      <w:tblPr>
        <w:tblStyle w:val="ACMAtablestyle"/>
        <w:tblW w:w="9207" w:type="dxa"/>
        <w:tblLayout w:type="fixed"/>
        <w:tblLook w:val="01E0" w:firstRow="1" w:lastRow="1" w:firstColumn="1" w:lastColumn="1" w:noHBand="0" w:noVBand="0"/>
        <w:tblCaption w:val="Table title to go here"/>
        <w:tblDescription w:val="Table description to go here"/>
      </w:tblPr>
      <w:tblGrid>
        <w:gridCol w:w="2821"/>
        <w:gridCol w:w="6386"/>
      </w:tblGrid>
      <w:tr w:rsidR="006B4744" w:rsidRPr="006D46E5" w14:paraId="7765A18F" w14:textId="77777777">
        <w:trPr>
          <w:cnfStyle w:val="100000000000" w:firstRow="1" w:lastRow="0" w:firstColumn="0" w:lastColumn="0" w:oddVBand="0" w:evenVBand="0" w:oddHBand="0" w:evenHBand="0" w:firstRowFirstColumn="0" w:firstRowLastColumn="0" w:lastRowFirstColumn="0" w:lastRowLastColumn="0"/>
          <w:trHeight w:val="303"/>
        </w:trPr>
        <w:tc>
          <w:tcPr>
            <w:tcW w:w="2821" w:type="dxa"/>
          </w:tcPr>
          <w:p w14:paraId="5BA18E41" w14:textId="77777777" w:rsidR="006B4744" w:rsidRPr="00756CE4" w:rsidRDefault="006B4744">
            <w:pPr>
              <w:pStyle w:val="Tableheaderrow"/>
            </w:pPr>
            <w:r>
              <w:t>Item</w:t>
            </w:r>
          </w:p>
        </w:tc>
        <w:tc>
          <w:tcPr>
            <w:tcW w:w="6386" w:type="dxa"/>
          </w:tcPr>
          <w:p w14:paraId="5FDB33F8" w14:textId="77777777" w:rsidR="006B4744" w:rsidRPr="00756CE4" w:rsidRDefault="006B4744">
            <w:pPr>
              <w:pStyle w:val="Tableheaderrow"/>
            </w:pPr>
            <w:r>
              <w:t>Description</w:t>
            </w:r>
          </w:p>
        </w:tc>
      </w:tr>
      <w:tr w:rsidR="006B4744" w:rsidRPr="006D46E5" w14:paraId="1AB74782" w14:textId="77777777">
        <w:trPr>
          <w:cnfStyle w:val="000000100000" w:firstRow="0" w:lastRow="0" w:firstColumn="0" w:lastColumn="0" w:oddVBand="0" w:evenVBand="0" w:oddHBand="1" w:evenHBand="0" w:firstRowFirstColumn="0" w:firstRowLastColumn="0" w:lastRowFirstColumn="0" w:lastRowLastColumn="0"/>
          <w:trHeight w:val="419"/>
        </w:trPr>
        <w:tc>
          <w:tcPr>
            <w:tcW w:w="2821" w:type="dxa"/>
          </w:tcPr>
          <w:p w14:paraId="10F3DD71" w14:textId="77777777" w:rsidR="006B4744" w:rsidRPr="00930510" w:rsidRDefault="006B4744">
            <w:pPr>
              <w:pStyle w:val="TableBody"/>
            </w:pPr>
            <w:r>
              <w:t>Price</w:t>
            </w:r>
          </w:p>
        </w:tc>
        <w:tc>
          <w:tcPr>
            <w:tcW w:w="6386" w:type="dxa"/>
          </w:tcPr>
          <w:p w14:paraId="76830081" w14:textId="77777777" w:rsidR="006B4744" w:rsidRPr="00930510" w:rsidRDefault="006B4744">
            <w:pPr>
              <w:pStyle w:val="TableBody"/>
            </w:pPr>
            <w:r w:rsidRPr="001D7B7F">
              <w:t>Total price of the allocation in local currency. This includes upfront payments and ongoing fees</w:t>
            </w:r>
            <w:r>
              <w:t xml:space="preserve"> where relevant.</w:t>
            </w:r>
          </w:p>
        </w:tc>
      </w:tr>
      <w:tr w:rsidR="006B4744" w:rsidRPr="006D46E5" w14:paraId="06D24C04" w14:textId="77777777">
        <w:trPr>
          <w:cnfStyle w:val="000000010000" w:firstRow="0" w:lastRow="0" w:firstColumn="0" w:lastColumn="0" w:oddVBand="0" w:evenVBand="0" w:oddHBand="0" w:evenHBand="1" w:firstRowFirstColumn="0" w:firstRowLastColumn="0" w:lastRowFirstColumn="0" w:lastRowLastColumn="0"/>
          <w:trHeight w:val="301"/>
        </w:trPr>
        <w:tc>
          <w:tcPr>
            <w:tcW w:w="2821" w:type="dxa"/>
          </w:tcPr>
          <w:p w14:paraId="043EF669" w14:textId="77777777" w:rsidR="006B4744" w:rsidRDefault="006B4744">
            <w:pPr>
              <w:pStyle w:val="TableBody"/>
            </w:pPr>
            <w:r>
              <w:t xml:space="preserve">Bandwidth </w:t>
            </w:r>
          </w:p>
        </w:tc>
        <w:tc>
          <w:tcPr>
            <w:tcW w:w="6386" w:type="dxa"/>
          </w:tcPr>
          <w:p w14:paraId="7E7FC5C0" w14:textId="77777777" w:rsidR="006B4744" w:rsidRDefault="006B4744">
            <w:pPr>
              <w:pStyle w:val="TableBody"/>
            </w:pPr>
            <w:r w:rsidRPr="009F5D5A">
              <w:t xml:space="preserve">The amount of spectrum awarded, expressed in </w:t>
            </w:r>
            <w:proofErr w:type="spellStart"/>
            <w:r w:rsidRPr="009F5D5A">
              <w:t>MHz</w:t>
            </w:r>
            <w:r>
              <w:t>.</w:t>
            </w:r>
            <w:proofErr w:type="spellEnd"/>
          </w:p>
        </w:tc>
      </w:tr>
      <w:tr w:rsidR="006B4744" w:rsidRPr="006D46E5" w14:paraId="74143AA6" w14:textId="77777777">
        <w:trPr>
          <w:cnfStyle w:val="000000100000" w:firstRow="0" w:lastRow="0" w:firstColumn="0" w:lastColumn="0" w:oddVBand="0" w:evenVBand="0" w:oddHBand="1" w:evenHBand="0" w:firstRowFirstColumn="0" w:firstRowLastColumn="0" w:lastRowFirstColumn="0" w:lastRowLastColumn="0"/>
          <w:trHeight w:val="109"/>
        </w:trPr>
        <w:tc>
          <w:tcPr>
            <w:tcW w:w="2821" w:type="dxa"/>
          </w:tcPr>
          <w:p w14:paraId="4CBAF345" w14:textId="77777777" w:rsidR="006B4744" w:rsidRDefault="006B4744">
            <w:pPr>
              <w:pStyle w:val="TableBody"/>
            </w:pPr>
            <w:r>
              <w:t>Population</w:t>
            </w:r>
          </w:p>
        </w:tc>
        <w:tc>
          <w:tcPr>
            <w:tcW w:w="6386" w:type="dxa"/>
          </w:tcPr>
          <w:p w14:paraId="3B137249" w14:textId="77777777" w:rsidR="006B4744" w:rsidRDefault="006B4744">
            <w:pPr>
              <w:pStyle w:val="TableBody"/>
            </w:pPr>
            <w:r w:rsidRPr="00D20A69">
              <w:t>Population covered by the award. This is typically national population but may be a subset of the population where the allocation does not cover the entire country.</w:t>
            </w:r>
          </w:p>
        </w:tc>
      </w:tr>
      <w:tr w:rsidR="006B4744" w:rsidRPr="006D46E5" w14:paraId="705E322B" w14:textId="77777777">
        <w:trPr>
          <w:cnfStyle w:val="000000010000" w:firstRow="0" w:lastRow="0" w:firstColumn="0" w:lastColumn="0" w:oddVBand="0" w:evenVBand="0" w:oddHBand="0" w:evenHBand="1" w:firstRowFirstColumn="0" w:firstRowLastColumn="0" w:lastRowFirstColumn="0" w:lastRowLastColumn="0"/>
          <w:trHeight w:val="1215"/>
        </w:trPr>
        <w:tc>
          <w:tcPr>
            <w:tcW w:w="2821" w:type="dxa"/>
          </w:tcPr>
          <w:p w14:paraId="471AF43B" w14:textId="77777777" w:rsidR="006B4744" w:rsidRDefault="006B4744">
            <w:pPr>
              <w:pStyle w:val="TableBody"/>
            </w:pPr>
            <w:r>
              <w:t>$/MHz/pop</w:t>
            </w:r>
          </w:p>
        </w:tc>
        <w:tc>
          <w:tcPr>
            <w:tcW w:w="6386" w:type="dxa"/>
          </w:tcPr>
          <w:p w14:paraId="70185412" w14:textId="77777777" w:rsidR="006B4744" w:rsidRDefault="006B4744">
            <w:pPr>
              <w:pStyle w:val="TableBody"/>
            </w:pPr>
            <w:r>
              <w:t>T</w:t>
            </w:r>
            <w:r w:rsidRPr="00996F3D">
              <w:t>he price divided by the bandwidth divided by the population. This is the actual benchmark price to be used to inform our methodology. It may be a weighted average if the bandwidth sold is not the same across the whole population being considered.</w:t>
            </w:r>
          </w:p>
        </w:tc>
      </w:tr>
      <w:tr w:rsidR="006B4744" w:rsidRPr="006D46E5" w14:paraId="3CC35498" w14:textId="77777777">
        <w:trPr>
          <w:cnfStyle w:val="000000100000" w:firstRow="0" w:lastRow="0" w:firstColumn="0" w:lastColumn="0" w:oddVBand="0" w:evenVBand="0" w:oddHBand="1" w:evenHBand="0" w:firstRowFirstColumn="0" w:firstRowLastColumn="0" w:lastRowFirstColumn="0" w:lastRowLastColumn="0"/>
          <w:trHeight w:val="171"/>
        </w:trPr>
        <w:tc>
          <w:tcPr>
            <w:tcW w:w="2821" w:type="dxa"/>
          </w:tcPr>
          <w:p w14:paraId="68B790BB" w14:textId="77777777" w:rsidR="006B4744" w:rsidRPr="00802114" w:rsidRDefault="006B4744">
            <w:pPr>
              <w:pStyle w:val="TableBody"/>
            </w:pPr>
            <w:r w:rsidRPr="00DA5161">
              <w:t>Licence dates and duration</w:t>
            </w:r>
          </w:p>
        </w:tc>
        <w:tc>
          <w:tcPr>
            <w:tcW w:w="6386" w:type="dxa"/>
          </w:tcPr>
          <w:p w14:paraId="6538528A" w14:textId="77777777" w:rsidR="006B4744" w:rsidRDefault="006B4744">
            <w:pPr>
              <w:pStyle w:val="TableBody"/>
            </w:pPr>
            <w:r w:rsidRPr="0095330B">
              <w:t>Licence commencement and expiry dates, from which the licence duration is derived and used to standardise awards to a consistent duration.</w:t>
            </w:r>
          </w:p>
        </w:tc>
      </w:tr>
      <w:tr w:rsidR="006B4744" w:rsidRPr="006D46E5" w14:paraId="4DB2548F" w14:textId="77777777">
        <w:trPr>
          <w:cnfStyle w:val="000000010000" w:firstRow="0" w:lastRow="0" w:firstColumn="0" w:lastColumn="0" w:oddVBand="0" w:evenVBand="0" w:oddHBand="0" w:evenHBand="1" w:firstRowFirstColumn="0" w:firstRowLastColumn="0" w:lastRowFirstColumn="0" w:lastRowLastColumn="0"/>
          <w:trHeight w:val="171"/>
        </w:trPr>
        <w:tc>
          <w:tcPr>
            <w:tcW w:w="2821" w:type="dxa"/>
          </w:tcPr>
          <w:p w14:paraId="2C912A9B" w14:textId="77777777" w:rsidR="006B4744" w:rsidRDefault="006B4744">
            <w:pPr>
              <w:pStyle w:val="TableBody"/>
            </w:pPr>
            <w:r>
              <w:t>Exchange rate information</w:t>
            </w:r>
          </w:p>
        </w:tc>
        <w:tc>
          <w:tcPr>
            <w:tcW w:w="6386" w:type="dxa"/>
          </w:tcPr>
          <w:p w14:paraId="581C388D" w14:textId="77777777" w:rsidR="006B4744" w:rsidRDefault="006B4744">
            <w:pPr>
              <w:pStyle w:val="TableBody"/>
            </w:pPr>
            <w:r w:rsidRPr="007761D2">
              <w:t>Purchasing power parity (PPP) exchange rates applicable at the time of allocation, used to convert benchmark prices to Australian dollars.</w:t>
            </w:r>
          </w:p>
        </w:tc>
      </w:tr>
      <w:tr w:rsidR="006B4744" w:rsidRPr="006D46E5" w14:paraId="23B39EF8" w14:textId="77777777">
        <w:trPr>
          <w:cnfStyle w:val="000000100000" w:firstRow="0" w:lastRow="0" w:firstColumn="0" w:lastColumn="0" w:oddVBand="0" w:evenVBand="0" w:oddHBand="1" w:evenHBand="0" w:firstRowFirstColumn="0" w:firstRowLastColumn="0" w:lastRowFirstColumn="0" w:lastRowLastColumn="0"/>
          <w:trHeight w:val="171"/>
        </w:trPr>
        <w:tc>
          <w:tcPr>
            <w:tcW w:w="2821" w:type="dxa"/>
          </w:tcPr>
          <w:p w14:paraId="4D62DBE6" w14:textId="77777777" w:rsidR="006B4744" w:rsidRDefault="006B4744">
            <w:pPr>
              <w:pStyle w:val="TableBody"/>
            </w:pPr>
            <w:r>
              <w:t>Award format and conditions</w:t>
            </w:r>
          </w:p>
        </w:tc>
        <w:tc>
          <w:tcPr>
            <w:tcW w:w="6386" w:type="dxa"/>
          </w:tcPr>
          <w:p w14:paraId="649ADA3F" w14:textId="77777777" w:rsidR="006B4744" w:rsidRDefault="006B4744">
            <w:pPr>
              <w:pStyle w:val="TableBody"/>
            </w:pPr>
            <w:r w:rsidRPr="00560E43">
              <w:t>Information on the award mechanism and any material licence conditions relevant to comparability.</w:t>
            </w:r>
          </w:p>
        </w:tc>
      </w:tr>
    </w:tbl>
    <w:p w14:paraId="3CE66224" w14:textId="77777777" w:rsidR="006B4744" w:rsidRDefault="006B4744" w:rsidP="007F1FD3">
      <w:pPr>
        <w:pStyle w:val="Spaceaftertable"/>
      </w:pPr>
    </w:p>
    <w:p w14:paraId="6D4FD4F2" w14:textId="77777777" w:rsidR="006B4744" w:rsidRPr="00C64B15" w:rsidRDefault="006B4744" w:rsidP="00A311BD">
      <w:pPr>
        <w:pStyle w:val="Paragraph"/>
        <w:spacing w:before="240"/>
      </w:pPr>
      <w:r w:rsidRPr="00C64B15">
        <w:t>Only awards for which this information is publicly available or can be reliably derived are included in the benchmarking dataset.</w:t>
      </w:r>
    </w:p>
    <w:p w14:paraId="2AA927E6" w14:textId="77777777" w:rsidR="006B4744" w:rsidRDefault="006B4744" w:rsidP="00A311BD">
      <w:pPr>
        <w:pStyle w:val="Heading3"/>
      </w:pPr>
      <w:r>
        <w:t>Exclusion criteria</w:t>
      </w:r>
    </w:p>
    <w:p w14:paraId="366C7042" w14:textId="77777777" w:rsidR="006B4744" w:rsidRPr="0006467A" w:rsidRDefault="006B4744" w:rsidP="006B4744">
      <w:pPr>
        <w:pStyle w:val="Paragraph"/>
      </w:pPr>
      <w:r w:rsidRPr="008975C0">
        <w:t xml:space="preserve">While the methodology generally favours inclusion, spectrum awards are excluded where there is strong evidence that observed prices do not reliably reflect market value or are not suitable for benchmarking. Exclusions </w:t>
      </w:r>
      <w:r>
        <w:t>are</w:t>
      </w:r>
      <w:r w:rsidRPr="008975C0">
        <w:t xml:space="preserve"> intended to remove awards </w:t>
      </w:r>
      <w:r>
        <w:t>that</w:t>
      </w:r>
      <w:r w:rsidRPr="008975C0">
        <w:t xml:space="preserve"> likely</w:t>
      </w:r>
      <w:r>
        <w:t xml:space="preserve"> </w:t>
      </w:r>
      <w:r w:rsidRPr="008975C0">
        <w:t xml:space="preserve">deviate </w:t>
      </w:r>
      <w:r>
        <w:t xml:space="preserve">significantly </w:t>
      </w:r>
      <w:r w:rsidRPr="008975C0">
        <w:t>from market-based valuations, rather than to exclude awards simply because prices appear unusually high or low.</w:t>
      </w:r>
    </w:p>
    <w:p w14:paraId="791B5550" w14:textId="4A274C87" w:rsidR="006B4744" w:rsidRPr="002F668C" w:rsidRDefault="006B4744" w:rsidP="006B4744">
      <w:pPr>
        <w:pStyle w:val="Paragraph"/>
      </w:pPr>
      <w:r w:rsidRPr="00CE7196">
        <w:t xml:space="preserve">The exclusion criteria are grouped into three broad categories and are summarised in </w:t>
      </w:r>
      <w:hyperlink w:anchor="_Appendix_A:_Exclusion" w:history="1">
        <w:r w:rsidRPr="008C09FA">
          <w:rPr>
            <w:rStyle w:val="Hyperlink"/>
          </w:rPr>
          <w:t>Appendix A</w:t>
        </w:r>
      </w:hyperlink>
      <w:r w:rsidRPr="00CE7196">
        <w:t xml:space="preserve">. </w:t>
      </w:r>
    </w:p>
    <w:p w14:paraId="74939F52" w14:textId="77777777" w:rsidR="0051190D" w:rsidRPr="0051190D" w:rsidRDefault="0051190D" w:rsidP="00A311BD">
      <w:pPr>
        <w:pStyle w:val="Heading3"/>
      </w:pPr>
      <w:r w:rsidRPr="0051190D">
        <w:t xml:space="preserve">Dataset maintenance </w:t>
      </w:r>
    </w:p>
    <w:p w14:paraId="5E540E0A" w14:textId="77777777" w:rsidR="0051190D" w:rsidRDefault="0051190D" w:rsidP="0051190D">
      <w:pPr>
        <w:pStyle w:val="Paragraph"/>
      </w:pPr>
      <w:r w:rsidRPr="0051190D">
        <w:t>The benchmarking dataset is regularly reviewed and updated as new spectrum awards are issued and additional information becomes available. Awards suggested by stakeholders are evaluated against the same inclusion and exclusion criteria applied to all other awards. If previously included awards are later found to meet the exclusion criteria, they are removed from the dataset to maintain consistency.</w:t>
      </w:r>
    </w:p>
    <w:p w14:paraId="66950002" w14:textId="2C4E1CEA" w:rsidR="00394889" w:rsidRPr="00394889" w:rsidRDefault="00394889" w:rsidP="007F1FD3">
      <w:pPr>
        <w:pStyle w:val="Heading2"/>
      </w:pPr>
      <w:bookmarkStart w:id="67" w:name="_Toc239677700"/>
      <w:bookmarkStart w:id="68" w:name="_Toc242777951"/>
      <w:r w:rsidRPr="00394889">
        <w:t xml:space="preserve">Step 2: </w:t>
      </w:r>
      <w:r w:rsidR="00DD42F7">
        <w:t>C</w:t>
      </w:r>
      <w:r w:rsidRPr="00394889">
        <w:t>onvert valuations to consistent duration</w:t>
      </w:r>
      <w:bookmarkEnd w:id="67"/>
      <w:bookmarkEnd w:id="68"/>
    </w:p>
    <w:p w14:paraId="7D2E4BF4" w14:textId="2A7F1A27" w:rsidR="00394889" w:rsidRPr="00394889" w:rsidRDefault="00394889" w:rsidP="00394889">
      <w:pPr>
        <w:pStyle w:val="Paragraph"/>
      </w:pPr>
      <w:r w:rsidRPr="00394889">
        <w:t>In step 2 we apply a flat annuity approach to convert benchmark prices with different licence durations into a common 365</w:t>
      </w:r>
      <w:r w:rsidRPr="00394889">
        <w:rPr>
          <w:rFonts w:ascii="Cambria Math" w:hAnsi="Cambria Math" w:cs="Cambria Math"/>
        </w:rPr>
        <w:t>‑</w:t>
      </w:r>
      <w:r w:rsidRPr="00394889">
        <w:t>day valuation. This conversion is undertaken using a discount rate based on the weighted average cost of capital (WACC) of 8.49%.</w:t>
      </w:r>
      <w:r w:rsidRPr="00394889">
        <w:rPr>
          <w:vertAlign w:val="superscript"/>
        </w:rPr>
        <w:footnoteReference w:id="4"/>
      </w:r>
      <w:r w:rsidRPr="00394889">
        <w:t xml:space="preserve"> </w:t>
      </w:r>
    </w:p>
    <w:p w14:paraId="7424B9D0" w14:textId="77777777" w:rsidR="00394889" w:rsidRPr="00394889" w:rsidRDefault="00394889" w:rsidP="00394889">
      <w:pPr>
        <w:pStyle w:val="Paragraph"/>
      </w:pPr>
      <w:r w:rsidRPr="00394889">
        <w:t>A post</w:t>
      </w:r>
      <w:r w:rsidRPr="00394889">
        <w:rPr>
          <w:rFonts w:ascii="Cambria Math" w:hAnsi="Cambria Math" w:cs="Cambria Math"/>
        </w:rPr>
        <w:t>‑</w:t>
      </w:r>
      <w:r w:rsidRPr="00394889">
        <w:t>tax WACC is used rather than a pre</w:t>
      </w:r>
      <w:r w:rsidRPr="00394889">
        <w:rPr>
          <w:rFonts w:ascii="Cambria Math" w:hAnsi="Cambria Math" w:cs="Cambria Math"/>
        </w:rPr>
        <w:t>‑</w:t>
      </w:r>
      <w:r w:rsidRPr="00394889">
        <w:t>tax measure, as this facilitates international benchmarking by controlling for differences in corporate tax regimes across countries. A nominal WACC is applied to ensure consistency with the use of nominal cash flows.</w:t>
      </w:r>
    </w:p>
    <w:p w14:paraId="3FF9493D" w14:textId="77777777" w:rsidR="00394889" w:rsidRPr="00394889" w:rsidRDefault="00394889" w:rsidP="00394889">
      <w:pPr>
        <w:pStyle w:val="Paragraph"/>
      </w:pPr>
      <w:r w:rsidRPr="00394889">
        <w:t>Given the long duration of spectrum licences, valuations are appropriately informed by long</w:t>
      </w:r>
      <w:r w:rsidRPr="00394889">
        <w:rPr>
          <w:rFonts w:ascii="Cambria Math" w:hAnsi="Cambria Math" w:cs="Cambria Math"/>
        </w:rPr>
        <w:t>‑</w:t>
      </w:r>
      <w:r w:rsidRPr="00394889">
        <w:t>term investment considerations rather than short</w:t>
      </w:r>
      <w:r w:rsidRPr="00394889">
        <w:rPr>
          <w:rFonts w:ascii="Cambria Math" w:hAnsi="Cambria Math" w:cs="Cambria Math"/>
        </w:rPr>
        <w:t>‑</w:t>
      </w:r>
      <w:r w:rsidRPr="00394889">
        <w:t>term market conditions. We apply a WACC that reflects long</w:t>
      </w:r>
      <w:r w:rsidRPr="00394889">
        <w:rPr>
          <w:rFonts w:ascii="Cambria Math" w:hAnsi="Cambria Math" w:cs="Cambria Math"/>
        </w:rPr>
        <w:t>‑</w:t>
      </w:r>
      <w:r w:rsidRPr="00394889">
        <w:t>run investment expectations and can be applied consistently across allocations undertaken in different years.</w:t>
      </w:r>
    </w:p>
    <w:p w14:paraId="597B798F" w14:textId="77777777" w:rsidR="00394889" w:rsidRPr="00394889" w:rsidRDefault="00394889" w:rsidP="00394889">
      <w:pPr>
        <w:pStyle w:val="Paragraph"/>
      </w:pPr>
      <w:r w:rsidRPr="00394889">
        <w:t>While ideally a country</w:t>
      </w:r>
      <w:r w:rsidRPr="00394889">
        <w:rPr>
          <w:rFonts w:ascii="Cambria Math" w:hAnsi="Cambria Math" w:cs="Cambria Math"/>
        </w:rPr>
        <w:t>‑</w:t>
      </w:r>
      <w:r w:rsidRPr="00394889">
        <w:t xml:space="preserve"> and year</w:t>
      </w:r>
      <w:r w:rsidRPr="00394889">
        <w:rPr>
          <w:rFonts w:ascii="Cambria Math" w:hAnsi="Cambria Math" w:cs="Cambria Math"/>
        </w:rPr>
        <w:t>‑</w:t>
      </w:r>
      <w:r w:rsidRPr="00394889">
        <w:t>specific WACC would be applied to each benchmark valuation, doing so would be heavily resource intensive for limited benefit. For practical and methodological consistency, a single long</w:t>
      </w:r>
      <w:r w:rsidRPr="00394889">
        <w:rPr>
          <w:rFonts w:ascii="Cambria Math" w:hAnsi="Cambria Math" w:cs="Cambria Math"/>
        </w:rPr>
        <w:t>‑</w:t>
      </w:r>
      <w:r w:rsidRPr="00394889">
        <w:t>term WACC applicable across a range of contexts is therefore adopted.</w:t>
      </w:r>
    </w:p>
    <w:p w14:paraId="70F338F7" w14:textId="77777777" w:rsidR="00394889" w:rsidRPr="00394889" w:rsidRDefault="00394889" w:rsidP="00394889">
      <w:pPr>
        <w:pStyle w:val="Paragraph"/>
      </w:pPr>
      <w:r w:rsidRPr="00394889">
        <w:t xml:space="preserve">Standardising licence lengths is complicated by the presence of licence durations that are not multiples of whole years. To account for this, we amend the standard flat annuity formula to derive </w:t>
      </w:r>
      <w:r w:rsidRPr="00394889" w:rsidDel="000713E2">
        <w:t>365-day</w:t>
      </w:r>
      <w:r w:rsidRPr="00394889">
        <w:t xml:space="preserve"> valuations from any licence duration. The standard flat annuity formula to calculate the present value of a series of cashflows is:</w:t>
      </w:r>
    </w:p>
    <w:p w14:paraId="3DDD49A7" w14:textId="3DD90A4A" w:rsidR="00394889" w:rsidRPr="00394889" w:rsidRDefault="00394889" w:rsidP="00394889">
      <w:pPr>
        <w:pStyle w:val="Paragraph"/>
      </w:pP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=A×</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1+r</m:t>
                        </m:r>
                      </m:den>
                    </m:f>
                    <m:r>
                      <w:rPr>
                        <w:rFonts w:ascii="Cambria Math" w:hAnsi="Cambria Math"/>
                      </w:rPr>
                      <m:t>)</m:t>
                    </m:r>
                  </m:e>
                  <m:sup>
                    <m:r>
                      <w:rPr>
                        <w:rFonts w:ascii="Cambria Math" w:hAnsi="Cambria Math"/>
                      </w:rPr>
                      <m:t>n</m:t>
                    </m:r>
                  </m:sup>
                </m:sSup>
              </m:num>
              <m:den>
                <m:r>
                  <w:rPr>
                    <w:rFonts w:ascii="Cambria Math" w:hAnsi="Cambria Math"/>
                  </w:rPr>
                  <m:t>r</m:t>
                </m:r>
              </m:den>
            </m:f>
          </m:e>
        </m:d>
      </m:oMath>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t>(1)</w:t>
      </w:r>
    </w:p>
    <w:p w14:paraId="6D5F5120" w14:textId="10419A94" w:rsidR="00394889" w:rsidRPr="00394889" w:rsidRDefault="00394889" w:rsidP="00394889">
      <w:pPr>
        <w:pStyle w:val="Paragraph"/>
      </w:pPr>
      <w:r w:rsidRPr="00394889">
        <w:t>Where:</w:t>
      </w:r>
      <w:r w:rsidRPr="00394889">
        <w:br/>
      </w: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oMath>
      <w:r w:rsidRPr="00394889">
        <w:t xml:space="preserve"> present value of the series of cashflows</w:t>
      </w:r>
      <w:r w:rsidRPr="00394889">
        <w:br/>
      </w:r>
      <m:oMath>
        <m:r>
          <w:rPr>
            <w:rFonts w:ascii="Cambria Math" w:hAnsi="Cambria Math"/>
          </w:rPr>
          <m:t>A=</m:t>
        </m:r>
      </m:oMath>
      <w:r w:rsidRPr="00394889">
        <w:t xml:space="preserve"> the nominal value of each cashflow</w:t>
      </w:r>
      <w:r w:rsidRPr="00394889">
        <w:br/>
      </w:r>
      <m:oMath>
        <m:r>
          <w:rPr>
            <w:rFonts w:ascii="Cambria Math" w:hAnsi="Cambria Math"/>
          </w:rPr>
          <m:t>r=</m:t>
        </m:r>
      </m:oMath>
      <w:r w:rsidRPr="00394889">
        <w:t xml:space="preserve"> discount rate</w:t>
      </w:r>
      <w:r w:rsidRPr="00394889">
        <w:br/>
      </w:r>
      <m:oMath>
        <m:r>
          <w:rPr>
            <w:rFonts w:ascii="Cambria Math" w:hAnsi="Cambria Math"/>
          </w:rPr>
          <m:t>n=</m:t>
        </m:r>
      </m:oMath>
      <w:r w:rsidRPr="00394889">
        <w:t xml:space="preserve"> number of cashflows in the series.</w:t>
      </w:r>
    </w:p>
    <w:p w14:paraId="7CB82112" w14:textId="1485A243" w:rsidR="00394889" w:rsidRPr="00394889" w:rsidRDefault="00394889" w:rsidP="00394889">
      <w:pPr>
        <w:pStyle w:val="Paragraph"/>
      </w:pPr>
      <w:r w:rsidRPr="00394889">
        <w:t xml:space="preserve">The equation can also be rearranged to calculate the value of </w:t>
      </w:r>
      <m:oMath>
        <m:r>
          <w:rPr>
            <w:rFonts w:ascii="Cambria Math" w:hAnsi="Cambria Math"/>
          </w:rPr>
          <m:t>A</m:t>
        </m:r>
      </m:oMath>
      <w:r w:rsidRPr="00394889">
        <w:t xml:space="preserve"> in terms of </w:t>
      </w: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oMath>
      <w:r w:rsidRPr="00394889">
        <w:t>:</w:t>
      </w:r>
    </w:p>
    <w:p w14:paraId="3ED9B7D6" w14:textId="10A6F78E" w:rsidR="00394889" w:rsidRPr="00394889" w:rsidRDefault="00394889" w:rsidP="00394889">
      <w:pPr>
        <w:pStyle w:val="Paragraph"/>
      </w:pPr>
      <m:oMath>
        <m:r>
          <w:rPr>
            <w:rFonts w:ascii="Cambria Math" w:hAnsi="Cambria Math"/>
          </w:rPr>
          <m:t>A=P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 xml:space="preserve"> / </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1+r</m:t>
                        </m:r>
                      </m:den>
                    </m:f>
                    <m:r>
                      <w:rPr>
                        <w:rFonts w:ascii="Cambria Math" w:hAnsi="Cambria Math"/>
                      </w:rPr>
                      <m:t>)</m:t>
                    </m:r>
                  </m:e>
                  <m:sup>
                    <m:r>
                      <w:rPr>
                        <w:rFonts w:ascii="Cambria Math" w:hAnsi="Cambria Math"/>
                      </w:rPr>
                      <m:t>n</m:t>
                    </m:r>
                  </m:sup>
                </m:sSup>
              </m:num>
              <m:den>
                <m:r>
                  <w:rPr>
                    <w:rFonts w:ascii="Cambria Math" w:hAnsi="Cambria Math"/>
                  </w:rPr>
                  <m:t>r</m:t>
                </m:r>
              </m:den>
            </m:f>
          </m:e>
        </m:d>
        <m:r>
          <w:rPr>
            <w:rFonts w:ascii="Cambria Math" w:hAnsi="Cambria Math"/>
          </w:rPr>
          <m:t xml:space="preserve"> </m:t>
        </m:r>
      </m:oMath>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t>(2)</w:t>
      </w:r>
    </w:p>
    <w:p w14:paraId="416E4FCE" w14:textId="33781226" w:rsidR="00394889" w:rsidRPr="00394889" w:rsidRDefault="00394889" w:rsidP="00394889">
      <w:pPr>
        <w:pStyle w:val="Paragraph"/>
      </w:pPr>
      <w:r w:rsidRPr="00394889">
        <w:t xml:space="preserve">We want to calculate the present value of the cashflows for </w:t>
      </w:r>
      <m:oMath>
        <m:r>
          <w:rPr>
            <w:rFonts w:ascii="Cambria Math" w:hAnsi="Cambria Math"/>
          </w:rPr>
          <m:t>n</m:t>
        </m:r>
      </m:oMath>
      <w:r w:rsidRPr="00394889">
        <w:t xml:space="preserve"> periods (where </w:t>
      </w:r>
      <m:oMath>
        <m:r>
          <w:rPr>
            <w:rFonts w:ascii="Cambria Math" w:hAnsi="Cambria Math"/>
          </w:rPr>
          <m:t>n=365</m:t>
        </m:r>
      </m:oMath>
      <w:r w:rsidRPr="00394889">
        <w:t>) based on the present value of cashflows for a longer number of periods (</w:t>
      </w:r>
      <m:oMath>
        <m:r>
          <w:rPr>
            <w:rFonts w:ascii="Cambria Math" w:hAnsi="Cambria Math"/>
          </w:rPr>
          <m:t>L</m:t>
        </m:r>
      </m:oMath>
      <w:r w:rsidRPr="00394889">
        <w:t xml:space="preserve"> periods). To do this, we effectively determine the value of </w:t>
      </w:r>
      <m:oMath>
        <m:r>
          <w:rPr>
            <w:rFonts w:ascii="Cambria Math" w:hAnsi="Cambria Math"/>
          </w:rPr>
          <m:t>A</m:t>
        </m:r>
      </m:oMath>
      <w:r w:rsidRPr="00394889">
        <w:t xml:space="preserve"> based on the present value of cashflows for </w:t>
      </w:r>
      <m:oMath>
        <m:r>
          <w:rPr>
            <w:rFonts w:ascii="Cambria Math" w:hAnsi="Cambria Math"/>
          </w:rPr>
          <m:t>L</m:t>
        </m:r>
      </m:oMath>
      <w:r w:rsidRPr="00394889">
        <w:t xml:space="preserve"> periods (</w:t>
      </w: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L</m:t>
            </m:r>
          </m:sub>
        </m:sSub>
      </m:oMath>
      <w:r w:rsidRPr="00394889">
        <w:t xml:space="preserve">), then use the value of </w:t>
      </w:r>
      <m:oMath>
        <m:r>
          <w:rPr>
            <w:rFonts w:ascii="Cambria Math" w:hAnsi="Cambria Math"/>
          </w:rPr>
          <m:t>A</m:t>
        </m:r>
      </m:oMath>
      <w:r w:rsidRPr="00394889">
        <w:t xml:space="preserve"> to determine </w:t>
      </w: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oMath>
      <w:r w:rsidRPr="00394889">
        <w:t>:</w:t>
      </w:r>
    </w:p>
    <w:p w14:paraId="3FF85B1E" w14:textId="1EE760B5" w:rsidR="00394889" w:rsidRPr="00394889" w:rsidRDefault="00394889" w:rsidP="00394889">
      <w:pPr>
        <w:pStyle w:val="Paragraph"/>
      </w:pP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=A×</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1+r</m:t>
                        </m:r>
                      </m:den>
                    </m:f>
                    <m:r>
                      <w:rPr>
                        <w:rFonts w:ascii="Cambria Math" w:hAnsi="Cambria Math"/>
                      </w:rPr>
                      <m:t>)</m:t>
                    </m:r>
                  </m:e>
                  <m:sup>
                    <m:r>
                      <w:rPr>
                        <w:rFonts w:ascii="Cambria Math" w:hAnsi="Cambria Math"/>
                      </w:rPr>
                      <m:t>n</m:t>
                    </m:r>
                  </m:sup>
                </m:sSup>
              </m:num>
              <m:den>
                <m:r>
                  <w:rPr>
                    <w:rFonts w:ascii="Cambria Math" w:hAnsi="Cambria Math"/>
                  </w:rPr>
                  <m:t>r</m:t>
                </m:r>
              </m:den>
            </m:f>
          </m:e>
        </m:d>
      </m:oMath>
      <w:r w:rsidRPr="00394889">
        <w:tab/>
      </w:r>
    </w:p>
    <w:p w14:paraId="35CC5A1A" w14:textId="324ADC96" w:rsidR="00394889" w:rsidRPr="00394889" w:rsidRDefault="00394889" w:rsidP="00394889">
      <w:pPr>
        <w:pStyle w:val="Paragraph"/>
      </w:pP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d>
          <m:dPr>
            <m:begChr m:val="["/>
            <m:endChr m:val="]"/>
            <m:ctrlPr>
              <w:rPr>
                <w:rFonts w:ascii="Cambria Math" w:hAnsi="Cambria Math"/>
                <w:i/>
              </w:rPr>
            </m:ctrlPr>
          </m:dPr>
          <m:e>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1+r</m:t>
                            </m:r>
                          </m:den>
                        </m:f>
                        <m:r>
                          <w:rPr>
                            <w:rFonts w:ascii="Cambria Math" w:hAnsi="Cambria Math"/>
                          </w:rPr>
                          <m:t>)</m:t>
                        </m:r>
                      </m:e>
                      <m:sup>
                        <m:r>
                          <w:rPr>
                            <w:rFonts w:ascii="Cambria Math" w:hAnsi="Cambria Math"/>
                          </w:rPr>
                          <m:t>L</m:t>
                        </m:r>
                      </m:sup>
                    </m:sSup>
                  </m:num>
                  <m:den>
                    <m:r>
                      <w:rPr>
                        <w:rFonts w:ascii="Cambria Math" w:hAnsi="Cambria Math"/>
                      </w:rPr>
                      <m:t>r</m:t>
                    </m:r>
                  </m:den>
                </m:f>
              </m:e>
            </m:d>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1+r</m:t>
                        </m:r>
                      </m:den>
                    </m:f>
                    <m:r>
                      <w:rPr>
                        <w:rFonts w:ascii="Cambria Math" w:hAnsi="Cambria Math"/>
                      </w:rPr>
                      <m:t>)</m:t>
                    </m:r>
                  </m:e>
                  <m:sup>
                    <m:r>
                      <w:rPr>
                        <w:rFonts w:ascii="Cambria Math" w:hAnsi="Cambria Math"/>
                      </w:rPr>
                      <m:t>n</m:t>
                    </m:r>
                  </m:sup>
                </m:sSup>
              </m:num>
              <m:den>
                <m:r>
                  <w:rPr>
                    <w:rFonts w:ascii="Cambria Math" w:hAnsi="Cambria Math"/>
                  </w:rPr>
                  <m:t>r</m:t>
                </m:r>
              </m:den>
            </m:f>
          </m:e>
        </m:d>
      </m:oMath>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t>(3)</w:t>
      </w:r>
    </w:p>
    <w:p w14:paraId="7BA966DE" w14:textId="77777777" w:rsidR="00394889" w:rsidRPr="00394889" w:rsidRDefault="00394889" w:rsidP="00394889">
      <w:pPr>
        <w:pStyle w:val="Paragraph"/>
      </w:pPr>
      <w:r w:rsidRPr="00394889">
        <w:t xml:space="preserve">This formula can be simplified into what we have used in our benchmarking process for licence duration adjustments: </w:t>
      </w:r>
    </w:p>
    <w:p w14:paraId="2CDC412B" w14:textId="525941FE" w:rsidR="00394889" w:rsidRPr="00394889" w:rsidRDefault="00394889" w:rsidP="00394889">
      <w:pPr>
        <w:pStyle w:val="Paragraph"/>
      </w:pPr>
      <m:oMath>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=P</m:t>
        </m:r>
        <m:sSub>
          <m:sSubPr>
            <m:ctrlPr>
              <w:rPr>
                <w:rFonts w:ascii="Cambria Math" w:hAnsi="Cambria Math"/>
                <w:i/>
              </w:rPr>
            </m:ctrlPr>
          </m:sSubPr>
          <m:e>
            <m:r>
              <w:rPr>
                <w:rFonts w:ascii="Cambria Math" w:hAnsi="Cambria Math"/>
              </w:rPr>
              <m:t>V</m:t>
            </m:r>
          </m:e>
          <m:sub>
            <m:r>
              <w:rPr>
                <w:rFonts w:ascii="Cambria Math" w:hAnsi="Cambria Math"/>
              </w:rPr>
              <m:t>L</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1+r</m:t>
                            </m:r>
                          </m:den>
                        </m:f>
                      </m:e>
                    </m:d>
                  </m:e>
                  <m:sup>
                    <m:r>
                      <w:rPr>
                        <w:rFonts w:ascii="Cambria Math" w:hAnsi="Cambria Math"/>
                      </w:rPr>
                      <m:t>n</m:t>
                    </m:r>
                  </m:sup>
                </m:sSup>
              </m:num>
              <m:den>
                <m:r>
                  <w:rPr>
                    <w:rFonts w:ascii="Cambria Math" w:hAnsi="Cambria Math"/>
                  </w:rPr>
                  <m:t>1-</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1+r</m:t>
                            </m:r>
                          </m:den>
                        </m:f>
                      </m:e>
                    </m:d>
                  </m:e>
                  <m:sup>
                    <m:r>
                      <w:rPr>
                        <w:rFonts w:ascii="Cambria Math" w:hAnsi="Cambria Math"/>
                      </w:rPr>
                      <m:t>L</m:t>
                    </m:r>
                  </m:sup>
                </m:sSup>
              </m:den>
            </m:f>
          </m:e>
        </m:d>
      </m:oMath>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r>
      <w:r w:rsidRPr="00394889">
        <w:tab/>
        <w:t>(4)</w:t>
      </w:r>
    </w:p>
    <w:p w14:paraId="18BCE577" w14:textId="25DB52FB" w:rsidR="00394889" w:rsidRPr="00394889" w:rsidRDefault="00394889" w:rsidP="00394889">
      <w:pPr>
        <w:pStyle w:val="Paragraph"/>
      </w:pPr>
      <w:r w:rsidRPr="00394889">
        <w:t xml:space="preserve">When using the formula in this step, </w:t>
      </w:r>
      <m:oMath>
        <m:r>
          <w:rPr>
            <w:rFonts w:ascii="Cambria Math" w:hAnsi="Cambria Math"/>
          </w:rPr>
          <m:t>n=365</m:t>
        </m:r>
      </m:oMath>
      <w:r w:rsidRPr="00394889">
        <w:t xml:space="preserve"> and </w:t>
      </w:r>
      <m:oMath>
        <m:r>
          <w:rPr>
            <w:rFonts w:ascii="Cambria Math" w:hAnsi="Cambria Math"/>
          </w:rPr>
          <m:t>L=</m:t>
        </m:r>
      </m:oMath>
      <w:r w:rsidRPr="00394889">
        <w:t xml:space="preserve"> number of days of the original licence duration. Because we are calculating licence length based on the number of days,</w:t>
      </w:r>
      <w:r w:rsidRPr="00394889">
        <w:rPr>
          <w:i/>
        </w:rPr>
        <w:t xml:space="preserve"> </w:t>
      </w:r>
      <m:oMath>
        <m:r>
          <w:rPr>
            <w:rFonts w:ascii="Cambria Math" w:hAnsi="Cambria Math"/>
          </w:rPr>
          <m:t>r</m:t>
        </m:r>
      </m:oMath>
      <w:r w:rsidRPr="00394889">
        <w:t xml:space="preserve"> is set to 0.02233%, which is the compounded daily equivalent of the annual WACC of 8.49%</w:t>
      </w:r>
    </w:p>
    <w:p w14:paraId="21BBCDB7" w14:textId="77777777" w:rsidR="00394889" w:rsidRPr="00394889" w:rsidRDefault="00394889" w:rsidP="00394889">
      <w:pPr>
        <w:pStyle w:val="Paragraph"/>
      </w:pPr>
      <w:r w:rsidRPr="00394889">
        <w:t>This step results in the ‘per MHz per pop’ prices in local currencies all being converted to have the same single-year valuation in days.</w:t>
      </w:r>
    </w:p>
    <w:p w14:paraId="2C3D5B12" w14:textId="77777777" w:rsidR="0051190D" w:rsidRPr="0051190D" w:rsidRDefault="0051190D" w:rsidP="00CA31C9">
      <w:pPr>
        <w:pStyle w:val="Paragraph"/>
      </w:pPr>
    </w:p>
    <w:p w14:paraId="37C03E51" w14:textId="77777777" w:rsidR="002F1659" w:rsidRDefault="002F1659" w:rsidP="0051190D">
      <w:pPr>
        <w:pStyle w:val="Paragraph"/>
      </w:pPr>
    </w:p>
    <w:p w14:paraId="5F7043DA" w14:textId="4BB8022B" w:rsidR="00E32941" w:rsidRPr="00E32941" w:rsidRDefault="00E32941" w:rsidP="007F1FD3">
      <w:pPr>
        <w:pStyle w:val="Heading2"/>
      </w:pPr>
      <w:bookmarkStart w:id="69" w:name="_Toc239677701"/>
      <w:bookmarkStart w:id="70" w:name="_Toc242777952"/>
      <w:r w:rsidRPr="00E32941">
        <w:t xml:space="preserve">Step 3: </w:t>
      </w:r>
      <w:r w:rsidR="00E13280">
        <w:t>C</w:t>
      </w:r>
      <w:r w:rsidRPr="00E32941">
        <w:t>onvert to Australian dollars using PPP exchange rates</w:t>
      </w:r>
      <w:bookmarkEnd w:id="69"/>
      <w:bookmarkEnd w:id="70"/>
    </w:p>
    <w:p w14:paraId="70E7E120" w14:textId="77777777" w:rsidR="00E32941" w:rsidRPr="00E32941" w:rsidRDefault="00E32941" w:rsidP="00E32941">
      <w:pPr>
        <w:pStyle w:val="Paragraph"/>
      </w:pPr>
      <w:r w:rsidRPr="00E32941">
        <w:t xml:space="preserve">Step 3 will convert all benchmark valuations into Australian dollars using purchasing power parity (PPP) exchange rates.  </w:t>
      </w:r>
    </w:p>
    <w:p w14:paraId="0AB48E27" w14:textId="5C7A2DB6" w:rsidR="00E32941" w:rsidRPr="00E32941" w:rsidRDefault="00E32941" w:rsidP="00E32941">
      <w:pPr>
        <w:pStyle w:val="Paragraph"/>
      </w:pPr>
      <w:r w:rsidRPr="00E32941">
        <w:t>PPP exchange rates reflect the relative prices for an equivalent basket of items in different countries. PPP exchange rates are less volatile</w:t>
      </w:r>
      <w:r w:rsidR="000134C0">
        <w:t xml:space="preserve"> than spot exchange rates</w:t>
      </w:r>
      <w:r w:rsidRPr="00E32941">
        <w:t xml:space="preserve"> and are likely to better reflect both domestic labour costs and the purchasing power of WBB customers within a country.</w:t>
      </w:r>
    </w:p>
    <w:p w14:paraId="4BBE15A8" w14:textId="77777777" w:rsidR="00E32941" w:rsidRPr="00E32941" w:rsidRDefault="00E32941" w:rsidP="00E32941">
      <w:pPr>
        <w:pStyle w:val="Paragraph"/>
      </w:pPr>
      <w:r w:rsidRPr="00E32941">
        <w:t xml:space="preserve">We use the ‘PPP conversion factor, GDP (LCU per international $)’ indicator from World Development Indicators data from the World Bank, and data from the International Monetary Fund for Taiwan’s PPP exchange rate. The World Bank periodically updates these </w:t>
      </w:r>
      <w:proofErr w:type="gramStart"/>
      <w:r w:rsidRPr="00E32941">
        <w:t>datasets</w:t>
      </w:r>
      <w:proofErr w:type="gramEnd"/>
      <w:r w:rsidRPr="00E32941">
        <w:t xml:space="preserve"> and the most recent available data are used when converting benchmark values.</w:t>
      </w:r>
    </w:p>
    <w:p w14:paraId="56519D4E" w14:textId="77777777" w:rsidR="00E32941" w:rsidRPr="00E32941" w:rsidRDefault="00E32941" w:rsidP="00E32941">
      <w:pPr>
        <w:pStyle w:val="Paragraph"/>
      </w:pPr>
      <w:r w:rsidRPr="00E32941">
        <w:t>Where spectrum awards are conducted in a non-local currency, such as US dollars or euros instead of the local currency, we calculate an implied PPP exchange rate. We take the ratio of PPP to spot exchange rates against the Australian dollar, then apply that ratio to the spot exchange rate of the currency that was used for the award.</w:t>
      </w:r>
      <w:r w:rsidRPr="00E32941">
        <w:rPr>
          <w:vertAlign w:val="superscript"/>
        </w:rPr>
        <w:footnoteReference w:id="5"/>
      </w:r>
      <w:r w:rsidRPr="00E32941">
        <w:t xml:space="preserve"> </w:t>
      </w:r>
    </w:p>
    <w:p w14:paraId="140C99EC" w14:textId="6D37F832" w:rsidR="00E32941" w:rsidRPr="00E32941" w:rsidRDefault="00E32941" w:rsidP="007F1FD3">
      <w:pPr>
        <w:pStyle w:val="Heading2"/>
      </w:pPr>
      <w:bookmarkStart w:id="71" w:name="_Toc239677702"/>
      <w:bookmarkStart w:id="72" w:name="_Toc242777953"/>
      <w:r w:rsidRPr="00E32941">
        <w:t xml:space="preserve">Step 4: </w:t>
      </w:r>
      <w:r w:rsidR="00E13280">
        <w:t>C</w:t>
      </w:r>
      <w:r w:rsidRPr="00E32941">
        <w:t>arry forward valuations to commencement</w:t>
      </w:r>
      <w:bookmarkEnd w:id="71"/>
      <w:bookmarkEnd w:id="72"/>
    </w:p>
    <w:p w14:paraId="4279AB61" w14:textId="77777777" w:rsidR="00E32941" w:rsidRPr="00E32941" w:rsidRDefault="00E32941" w:rsidP="00E32941">
      <w:pPr>
        <w:pStyle w:val="Paragraph"/>
      </w:pPr>
      <w:r w:rsidRPr="00E32941">
        <w:t>As spectrum licences are awarded in different years, benchmark prices are not directly comparable without an adjustment for changes in the general price level over time. Step 4 therefore applies Consumer Price Index (CPI) adjustments so that benchmark observations are expressed at the commencement date of the relevant ESL band.</w:t>
      </w:r>
    </w:p>
    <w:p w14:paraId="50B08E5D" w14:textId="7D0AF2E2" w:rsidR="00E32941" w:rsidRPr="00E32941" w:rsidRDefault="00E32941" w:rsidP="00E32941">
      <w:pPr>
        <w:pStyle w:val="Paragraph"/>
      </w:pPr>
      <w:r w:rsidRPr="00E32941">
        <w:t xml:space="preserve">We use </w:t>
      </w:r>
      <w:r w:rsidR="00E13280">
        <w:t>ABS</w:t>
      </w:r>
      <w:r w:rsidRPr="00E32941">
        <w:t xml:space="preserve"> CPI data to account for changes in the general price level over time. For each year, a single CPI value is calculated as the average of the available quarterly indices. The CPI series is then rebased to 2025, which is set equal to one, with all other years expressed relative to this base year. Benchmark prices observed in 2025 or earlier are first carried forward to 2025 by dividing each price by the corresponding rebased CPI index value for the year in which it was observed. These rebased observations are then indexed from the end of 2025 to the relevant licence commencement date. For periods beyond 2025, we apply a constant annual inflation rate of 2.5%, consistent with the midpoint of the </w:t>
      </w:r>
      <w:r w:rsidR="007F4D28">
        <w:t>Reserve Bank of Australia’</w:t>
      </w:r>
      <w:r w:rsidR="007F4D28" w:rsidRPr="00E32941">
        <w:t xml:space="preserve">s </w:t>
      </w:r>
      <w:r w:rsidRPr="00E32941">
        <w:t>target inflation range.</w:t>
      </w:r>
      <w:r w:rsidRPr="00E32941">
        <w:rPr>
          <w:vertAlign w:val="superscript"/>
        </w:rPr>
        <w:footnoteReference w:id="6"/>
      </w:r>
    </w:p>
    <w:p w14:paraId="205275BB" w14:textId="09BE9983" w:rsidR="00E32941" w:rsidRPr="00E32941" w:rsidRDefault="00E32941" w:rsidP="00E32941">
      <w:pPr>
        <w:pStyle w:val="Paragraph"/>
      </w:pPr>
      <w:r w:rsidRPr="00E32941">
        <w:t>New benchmark awards incorporated into the dataset after 2025 are not rebased to 2025-dollar values. Instead, these observations are indexed directly from the award date to the relevant licence commencement date using the same 2.5% annual inflation assumption.</w:t>
      </w:r>
    </w:p>
    <w:p w14:paraId="167B48A6" w14:textId="77777777" w:rsidR="00E32941" w:rsidRPr="00E32941" w:rsidRDefault="00E32941" w:rsidP="00E32941">
      <w:pPr>
        <w:pStyle w:val="Paragraph"/>
      </w:pPr>
      <w:r w:rsidRPr="00E32941">
        <w:t>The annual inflation rate is converted into a daily rate and applied over the relevant number of days. The result of this step is that all benchmark observations are expressed in Australian dollars at the commencement date of the relevant ESL band. As benchmark observations are indexed directly to the licence commencement date, no further inflation adjustment is required later in the methodology.</w:t>
      </w:r>
    </w:p>
    <w:p w14:paraId="129EC73F" w14:textId="77777777" w:rsidR="00E32941" w:rsidRPr="00E32941" w:rsidRDefault="00E32941" w:rsidP="00E32941">
      <w:pPr>
        <w:pStyle w:val="Paragraph"/>
      </w:pPr>
      <w:r w:rsidRPr="00E32941">
        <w:t>Under this approach, the remaining steps of the methodology are applied separately for each ESL band rather than at the band-group level. This better aligns the methodology with future benchmark updates, while not resulting in any material change to benchmark price outcomes.</w:t>
      </w:r>
    </w:p>
    <w:p w14:paraId="2DED1E34" w14:textId="2814BF9D" w:rsidR="00C35782" w:rsidRPr="00AF0A2C" w:rsidRDefault="00C35782" w:rsidP="007F1FD3">
      <w:pPr>
        <w:pStyle w:val="Heading2"/>
      </w:pPr>
      <w:bookmarkStart w:id="73" w:name="_Toc239677703"/>
      <w:bookmarkStart w:id="74" w:name="_Toc242777954"/>
      <w:r w:rsidRPr="00AF0A2C">
        <w:t xml:space="preserve">Step 5: </w:t>
      </w:r>
      <w:r w:rsidR="007F4D28">
        <w:t>C</w:t>
      </w:r>
      <w:r w:rsidRPr="00AF0A2C">
        <w:t>onduct time trend testing</w:t>
      </w:r>
      <w:bookmarkEnd w:id="73"/>
      <w:bookmarkEnd w:id="74"/>
    </w:p>
    <w:p w14:paraId="7CAC7BD1" w14:textId="2981D65A" w:rsidR="00C35782" w:rsidRPr="00C35782" w:rsidRDefault="00C35782" w:rsidP="0059782F">
      <w:pPr>
        <w:pStyle w:val="Paragraph"/>
      </w:pPr>
      <w:r w:rsidRPr="00C35782">
        <w:t xml:space="preserve">It is important that the methodology reflects time trends in spectrum valuations. Changes in underlying market conditions over time, including shifts in spectrum supply and demand, technological developments and evolving use cases, mean that prices observed in earlier awards may not be representative of </w:t>
      </w:r>
      <w:r w:rsidR="00E13E82" w:rsidRPr="00E13E82">
        <w:t>contemporary</w:t>
      </w:r>
      <w:r w:rsidRPr="00C35782">
        <w:t xml:space="preserve"> market conditions.</w:t>
      </w:r>
    </w:p>
    <w:p w14:paraId="0016F358" w14:textId="26544CAC" w:rsidR="00C35782" w:rsidRPr="00C35782" w:rsidRDefault="00094DD4" w:rsidP="0059782F">
      <w:pPr>
        <w:pStyle w:val="Paragraph"/>
      </w:pPr>
      <w:r w:rsidRPr="00094DD4">
        <w:t>As part of</w:t>
      </w:r>
      <w:r w:rsidR="00C35782" w:rsidRPr="00C35782">
        <w:t xml:space="preserve"> the </w:t>
      </w:r>
      <w:r w:rsidR="007F4D28">
        <w:t>p</w:t>
      </w:r>
      <w:r w:rsidRPr="00094DD4">
        <w:t xml:space="preserve">referred </w:t>
      </w:r>
      <w:r w:rsidR="007F4D28">
        <w:t>v</w:t>
      </w:r>
      <w:r w:rsidRPr="00094DD4">
        <w:t xml:space="preserve">iews benchmarking analysis, </w:t>
      </w:r>
      <w:r w:rsidR="00C35782" w:rsidRPr="00C35782">
        <w:t xml:space="preserve">benchmark awards </w:t>
      </w:r>
      <w:r w:rsidRPr="00094DD4">
        <w:t xml:space="preserve">for each band group </w:t>
      </w:r>
      <w:r w:rsidR="00C35782" w:rsidRPr="00C35782">
        <w:t>were divided into 2 periods</w:t>
      </w:r>
      <w:r w:rsidRPr="00094DD4">
        <w:t>:</w:t>
      </w:r>
      <w:r w:rsidR="00C35782" w:rsidRPr="00C35782">
        <w:t xml:space="preserve"> awards before 2018 and awards from 2018 onwards. Mann-Whitney U tests were then applied to assess whether there </w:t>
      </w:r>
      <w:r w:rsidRPr="00094DD4">
        <w:t>were</w:t>
      </w:r>
      <w:r w:rsidR="00C35782" w:rsidRPr="00C35782">
        <w:t xml:space="preserve"> statistically significant differences between the 2 periods. This approach </w:t>
      </w:r>
      <w:r w:rsidRPr="00094DD4">
        <w:t>was used</w:t>
      </w:r>
      <w:r w:rsidR="00C35782" w:rsidRPr="00C35782">
        <w:t xml:space="preserve"> to identify whether prices observed in more recent awards </w:t>
      </w:r>
      <w:r w:rsidRPr="00094DD4">
        <w:t>differed</w:t>
      </w:r>
      <w:r w:rsidR="00C35782" w:rsidRPr="00C35782">
        <w:t xml:space="preserve"> systematically from earlier outcomes, without imposing strong assumptions about the form of any underlying time trend.</w:t>
      </w:r>
    </w:p>
    <w:p w14:paraId="4CA59D5C" w14:textId="08D4CB4A" w:rsidR="00AF4598" w:rsidRDefault="00C35782" w:rsidP="00AF4598">
      <w:pPr>
        <w:pStyle w:val="Paragraph"/>
      </w:pPr>
      <w:r w:rsidRPr="00C35782">
        <w:t xml:space="preserve">Where a statistically significant difference between time periods is identified at the p &lt;= 0.05 level, the benchmark </w:t>
      </w:r>
      <w:r w:rsidR="00AF4598">
        <w:t>dataset was restricted</w:t>
      </w:r>
      <w:r w:rsidRPr="00C35782">
        <w:t xml:space="preserve"> to awards from 2018 onwards. This year represents the midpoint of the dataset and aligns with the global commencement of spectrum awards for 5G services. Applying this </w:t>
      </w:r>
      <w:r w:rsidR="00AF4598">
        <w:t>restriction helped</w:t>
      </w:r>
      <w:r w:rsidRPr="00C35782">
        <w:t xml:space="preserve"> ensure that the benchmarking analysis </w:t>
      </w:r>
      <w:r w:rsidR="00AF4598">
        <w:t>was</w:t>
      </w:r>
      <w:r w:rsidRPr="00C35782">
        <w:t xml:space="preserve"> anchored to valuations that </w:t>
      </w:r>
      <w:r w:rsidR="00AF4598">
        <w:t>reflected</w:t>
      </w:r>
      <w:r w:rsidRPr="00C35782">
        <w:t xml:space="preserve"> contemporary technologies, market structures and demand conditions</w:t>
      </w:r>
      <w:r w:rsidR="00AF4598">
        <w:t>.</w:t>
      </w:r>
    </w:p>
    <w:p w14:paraId="0B823889" w14:textId="390DF1C7" w:rsidR="00C35782" w:rsidRPr="00C35782" w:rsidRDefault="00AF4598" w:rsidP="0059782F">
      <w:pPr>
        <w:pStyle w:val="Paragraph"/>
      </w:pPr>
      <w:r>
        <w:t xml:space="preserve">For future benchmark updates, the time trend analysis undertaken as part of the </w:t>
      </w:r>
      <w:r w:rsidR="007F4D28">
        <w:t>p</w:t>
      </w:r>
      <w:r>
        <w:t xml:space="preserve">referred </w:t>
      </w:r>
      <w:r w:rsidR="007F4D28">
        <w:t>v</w:t>
      </w:r>
      <w:r>
        <w:t>iews process will not be rerun. Instead, the benchmark sample restrictions established through</w:t>
      </w:r>
      <w:r w:rsidR="00C35782" w:rsidRPr="00C35782">
        <w:t xml:space="preserve"> that </w:t>
      </w:r>
      <w:r>
        <w:t>analysis will continue to apply. Accordingly, benchmark datasets for the 700</w:t>
      </w:r>
      <w:r w:rsidR="00620254">
        <w:t> </w:t>
      </w:r>
      <w:r>
        <w:t>MHz, 850 MHz, 1800 MHz and 2 GHz bands will remain restricted to benchmark observations from 2018 onwards, while the existing benchmark samples for all other bands will continue to apply. This approach maintains the stability of the benchmarking methodology and ensures that changes in benchmark prices are driven primarily by new benchmark evidence</w:t>
      </w:r>
      <w:r w:rsidR="00C35782" w:rsidRPr="00C35782">
        <w:t>.</w:t>
      </w:r>
    </w:p>
    <w:p w14:paraId="1DBF90C7" w14:textId="6701336F" w:rsidR="00C35782" w:rsidRPr="00AF0A2C" w:rsidRDefault="00C35782" w:rsidP="007F1FD3">
      <w:pPr>
        <w:pStyle w:val="Heading2"/>
      </w:pPr>
      <w:bookmarkStart w:id="75" w:name="_Toc239677704"/>
      <w:bookmarkStart w:id="76" w:name="_Toc242777955"/>
      <w:r w:rsidRPr="00AF0A2C">
        <w:t xml:space="preserve">Step 6: </w:t>
      </w:r>
      <w:r w:rsidR="00C56E11">
        <w:t>D</w:t>
      </w:r>
      <w:r w:rsidRPr="00AF0A2C">
        <w:t>eriving a single price point</w:t>
      </w:r>
      <w:bookmarkEnd w:id="75"/>
      <w:bookmarkEnd w:id="76"/>
    </w:p>
    <w:p w14:paraId="5921DB7B" w14:textId="77777777" w:rsidR="00C35782" w:rsidRPr="00C35782" w:rsidRDefault="00C35782" w:rsidP="0059782F">
      <w:pPr>
        <w:pStyle w:val="Paragraph"/>
      </w:pPr>
      <w:r w:rsidRPr="00C35782">
        <w:t xml:space="preserve">After we have tested and controlled for time trends within our benchmark prices, single price points are derived from the resulting sample of benchmark observations expressed at the commencement date of the relevant ESL band. This is done through calculating a robust and efficient measure of central tendency and then conducting cohort analysis to determine if this result is reflective of jurisdictions most </w:t>
      </w:r>
      <w:proofErr w:type="gramStart"/>
      <w:r w:rsidRPr="00C35782">
        <w:t>similar to</w:t>
      </w:r>
      <w:proofErr w:type="gramEnd"/>
      <w:r w:rsidRPr="00C35782">
        <w:t xml:space="preserve"> Australia. </w:t>
      </w:r>
    </w:p>
    <w:p w14:paraId="02EDE65D" w14:textId="341F28DA" w:rsidR="00C35782" w:rsidRPr="00AF0A2C" w:rsidRDefault="00C35782" w:rsidP="00A311BD">
      <w:pPr>
        <w:pStyle w:val="Heading3"/>
      </w:pPr>
      <w:bookmarkStart w:id="77" w:name="_Toc239677705"/>
      <w:r w:rsidRPr="00AF0A2C">
        <w:t xml:space="preserve">Step 6A: </w:t>
      </w:r>
      <w:r w:rsidR="00F46617">
        <w:t>C</w:t>
      </w:r>
      <w:r w:rsidRPr="00AF0A2C">
        <w:t>alculating central estimates for each band sample</w:t>
      </w:r>
      <w:bookmarkEnd w:id="77"/>
    </w:p>
    <w:p w14:paraId="7BAB27BE" w14:textId="77777777" w:rsidR="00C35782" w:rsidRPr="00C35782" w:rsidRDefault="00C35782" w:rsidP="0059782F">
      <w:pPr>
        <w:pStyle w:val="Paragraph"/>
      </w:pPr>
      <w:r w:rsidRPr="00C35782">
        <w:t xml:space="preserve">We calculate single prices using the geometric mean. The geometric mean is calculated by taking the </w:t>
      </w:r>
      <w:r w:rsidRPr="00C35782">
        <w:rPr>
          <w:i/>
          <w:iCs/>
        </w:rPr>
        <w:t>n</w:t>
      </w:r>
      <w:r w:rsidRPr="00C35782">
        <w:t xml:space="preserve">th root of the product of all values in the sample, where </w:t>
      </w:r>
      <w:r w:rsidRPr="00C35782">
        <w:rPr>
          <w:i/>
        </w:rPr>
        <w:t>n</w:t>
      </w:r>
      <w:r w:rsidRPr="00C35782">
        <w:t xml:space="preserve"> is the number of observations.</w:t>
      </w:r>
      <w:r w:rsidRPr="00C35782">
        <w:rPr>
          <w:vertAlign w:val="superscript"/>
        </w:rPr>
        <w:footnoteReference w:id="7"/>
      </w:r>
      <w:r w:rsidRPr="00C35782">
        <w:t xml:space="preserve"> It is effectively the same as averaging the values after they have been converted to logarithms, then converting that average back to a normal number. This makes it well suited to spectrum prices, which usually cluster and spread out in a pattern where differences are best understood in percentage terms. Using the geometric mean helps reduce the impact of unusually high or low prices and gives a more representative central estimate.</w:t>
      </w:r>
    </w:p>
    <w:p w14:paraId="70209970" w14:textId="2A6F12E1" w:rsidR="00C35782" w:rsidRPr="00AF0A2C" w:rsidRDefault="00C35782" w:rsidP="00A311BD">
      <w:pPr>
        <w:pStyle w:val="Heading3"/>
      </w:pPr>
      <w:bookmarkStart w:id="78" w:name="_Toc239677706"/>
      <w:r w:rsidRPr="00AF0A2C">
        <w:t xml:space="preserve">Step 6B: </w:t>
      </w:r>
      <w:r w:rsidR="00F46617">
        <w:t>C</w:t>
      </w:r>
      <w:r w:rsidRPr="00AF0A2C">
        <w:t>ohort analysis</w:t>
      </w:r>
      <w:bookmarkEnd w:id="78"/>
    </w:p>
    <w:p w14:paraId="2DAB405F" w14:textId="77777777" w:rsidR="00C35782" w:rsidRPr="00C35782" w:rsidRDefault="00C35782" w:rsidP="0059782F">
      <w:pPr>
        <w:pStyle w:val="Paragraph"/>
      </w:pPr>
      <w:r w:rsidRPr="00C35782">
        <w:t>Cohort analysis is used to identify subsets of benchmark observations that are most comparable to Australia, ensuring the final price estimate reflects relevant market evidence. This process involves compiling supplementary data to assess comparability and applying sequential statistical tests to determine which cohort’s geometric mean should be used.</w:t>
      </w:r>
    </w:p>
    <w:p w14:paraId="1DD13888" w14:textId="77777777" w:rsidR="00C35782" w:rsidRPr="00AF0A2C" w:rsidRDefault="00C35782" w:rsidP="00A311BD">
      <w:pPr>
        <w:pStyle w:val="Heading4"/>
      </w:pPr>
      <w:r w:rsidRPr="00AF0A2C">
        <w:t>Compiling supplementary data and assigning observations to cohorts</w:t>
      </w:r>
    </w:p>
    <w:p w14:paraId="7E727FD6" w14:textId="77777777" w:rsidR="00C35782" w:rsidRPr="00C35782" w:rsidRDefault="00C35782" w:rsidP="0059782F">
      <w:pPr>
        <w:pStyle w:val="Paragraph"/>
      </w:pPr>
      <w:r w:rsidRPr="00C35782">
        <w:t xml:space="preserve">In assessing international benchmark prices, we consider their relevance to Australian market conditions. The cohort variables we have used to determine comparability are population density and real GDP per capita, reflecting comparability in geography and income levels. </w:t>
      </w:r>
    </w:p>
    <w:p w14:paraId="099F2B0F" w14:textId="1AF63821" w:rsidR="00C35782" w:rsidRPr="00AF0A2C" w:rsidRDefault="00C35782" w:rsidP="007E7A24">
      <w:pPr>
        <w:pStyle w:val="Tableheading"/>
      </w:pPr>
      <w:r w:rsidRPr="00AF0A2C">
        <w:t>Information required for benchmark prices</w:t>
      </w:r>
    </w:p>
    <w:tbl>
      <w:tblPr>
        <w:tblStyle w:val="ACMAtablestyle"/>
        <w:tblW w:w="9207" w:type="dxa"/>
        <w:tblLayout w:type="fixed"/>
        <w:tblLook w:val="01E0" w:firstRow="1" w:lastRow="1" w:firstColumn="1" w:lastColumn="1" w:noHBand="0" w:noVBand="0"/>
        <w:tblCaption w:val="Table title to go here"/>
        <w:tblDescription w:val="Table description to go here"/>
      </w:tblPr>
      <w:tblGrid>
        <w:gridCol w:w="2821"/>
        <w:gridCol w:w="6386"/>
      </w:tblGrid>
      <w:tr w:rsidR="00C35782" w:rsidRPr="00C35782" w14:paraId="1E096374" w14:textId="77777777">
        <w:trPr>
          <w:cnfStyle w:val="100000000000" w:firstRow="1" w:lastRow="0" w:firstColumn="0" w:lastColumn="0" w:oddVBand="0" w:evenVBand="0" w:oddHBand="0" w:evenHBand="0" w:firstRowFirstColumn="0" w:firstRowLastColumn="0" w:lastRowFirstColumn="0" w:lastRowLastColumn="0"/>
          <w:trHeight w:val="303"/>
        </w:trPr>
        <w:tc>
          <w:tcPr>
            <w:tcW w:w="2821" w:type="dxa"/>
          </w:tcPr>
          <w:p w14:paraId="3A438ABC" w14:textId="77777777" w:rsidR="00C35782" w:rsidRPr="00AF0A2C" w:rsidRDefault="00C35782" w:rsidP="00AF0A2C">
            <w:pPr>
              <w:spacing w:after="0"/>
              <w:rPr>
                <w:b/>
                <w:sz w:val="22"/>
              </w:rPr>
            </w:pPr>
            <w:r w:rsidRPr="00AF0A2C">
              <w:rPr>
                <w:b/>
                <w:sz w:val="22"/>
              </w:rPr>
              <w:t>Item</w:t>
            </w:r>
          </w:p>
        </w:tc>
        <w:tc>
          <w:tcPr>
            <w:tcW w:w="6386" w:type="dxa"/>
          </w:tcPr>
          <w:p w14:paraId="4C2E0F2F" w14:textId="77777777" w:rsidR="00C35782" w:rsidRPr="00AF0A2C" w:rsidRDefault="00C35782" w:rsidP="00AF0A2C">
            <w:pPr>
              <w:spacing w:after="0"/>
              <w:rPr>
                <w:b/>
                <w:sz w:val="22"/>
              </w:rPr>
            </w:pPr>
            <w:r w:rsidRPr="00AF0A2C">
              <w:rPr>
                <w:b/>
                <w:sz w:val="22"/>
              </w:rPr>
              <w:t>Description</w:t>
            </w:r>
          </w:p>
        </w:tc>
      </w:tr>
      <w:tr w:rsidR="00C35782" w:rsidRPr="00C35782" w14:paraId="22D10266" w14:textId="77777777">
        <w:trPr>
          <w:cnfStyle w:val="000000100000" w:firstRow="0" w:lastRow="0" w:firstColumn="0" w:lastColumn="0" w:oddVBand="0" w:evenVBand="0" w:oddHBand="1" w:evenHBand="0" w:firstRowFirstColumn="0" w:firstRowLastColumn="0" w:lastRowFirstColumn="0" w:lastRowLastColumn="0"/>
          <w:trHeight w:val="419"/>
        </w:trPr>
        <w:tc>
          <w:tcPr>
            <w:tcW w:w="2821" w:type="dxa"/>
          </w:tcPr>
          <w:p w14:paraId="693929C3" w14:textId="77777777" w:rsidR="00C35782" w:rsidRPr="00AF0A2C" w:rsidRDefault="00C35782" w:rsidP="00AF0A2C">
            <w:pPr>
              <w:spacing w:after="0" w:line="240" w:lineRule="auto"/>
              <w:rPr>
                <w:sz w:val="22"/>
              </w:rPr>
            </w:pPr>
            <w:r w:rsidRPr="00AF0A2C">
              <w:rPr>
                <w:sz w:val="22"/>
              </w:rPr>
              <w:t>Population density</w:t>
            </w:r>
          </w:p>
        </w:tc>
        <w:tc>
          <w:tcPr>
            <w:tcW w:w="6386" w:type="dxa"/>
          </w:tcPr>
          <w:p w14:paraId="510408C3" w14:textId="77777777" w:rsidR="00C35782" w:rsidRPr="00AF0A2C" w:rsidRDefault="00C35782" w:rsidP="00AF0A2C">
            <w:pPr>
              <w:spacing w:after="0" w:line="240" w:lineRule="auto"/>
              <w:rPr>
                <w:sz w:val="22"/>
              </w:rPr>
            </w:pPr>
            <w:r w:rsidRPr="00AF0A2C">
              <w:rPr>
                <w:sz w:val="22"/>
              </w:rPr>
              <w:t>Population divided by the land area of a country, measured in persons per kilometre squared. Population density often correlates negatively with spectrum prices.</w:t>
            </w:r>
          </w:p>
        </w:tc>
      </w:tr>
      <w:tr w:rsidR="00C35782" w:rsidRPr="00C35782" w14:paraId="613855E2" w14:textId="77777777">
        <w:trPr>
          <w:cnfStyle w:val="000000010000" w:firstRow="0" w:lastRow="0" w:firstColumn="0" w:lastColumn="0" w:oddVBand="0" w:evenVBand="0" w:oddHBand="0" w:evenHBand="1" w:firstRowFirstColumn="0" w:firstRowLastColumn="0" w:lastRowFirstColumn="0" w:lastRowLastColumn="0"/>
          <w:trHeight w:val="419"/>
        </w:trPr>
        <w:tc>
          <w:tcPr>
            <w:tcW w:w="2821" w:type="dxa"/>
          </w:tcPr>
          <w:p w14:paraId="4755C990" w14:textId="77777777" w:rsidR="00C35782" w:rsidRPr="00AF0A2C" w:rsidRDefault="00C35782" w:rsidP="00AF0A2C">
            <w:pPr>
              <w:spacing w:after="0" w:line="240" w:lineRule="auto"/>
              <w:rPr>
                <w:sz w:val="22"/>
              </w:rPr>
            </w:pPr>
            <w:r w:rsidRPr="00AF0A2C">
              <w:rPr>
                <w:sz w:val="22"/>
              </w:rPr>
              <w:t>Real GDP per capita</w:t>
            </w:r>
          </w:p>
        </w:tc>
        <w:tc>
          <w:tcPr>
            <w:tcW w:w="6386" w:type="dxa"/>
          </w:tcPr>
          <w:p w14:paraId="4122703B" w14:textId="77777777" w:rsidR="00C35782" w:rsidRPr="00AF0A2C" w:rsidRDefault="00C35782" w:rsidP="00AF0A2C">
            <w:pPr>
              <w:spacing w:after="0" w:line="240" w:lineRule="auto"/>
              <w:rPr>
                <w:sz w:val="22"/>
              </w:rPr>
            </w:pPr>
            <w:r w:rsidRPr="00AF0A2C">
              <w:rPr>
                <w:sz w:val="22"/>
              </w:rPr>
              <w:t>Real GDP reflects the value of all goods and services produced in an economy and is also a measure of national income. Real GDP per capita correlates positively with spectrum prices.</w:t>
            </w:r>
          </w:p>
        </w:tc>
      </w:tr>
    </w:tbl>
    <w:p w14:paraId="49439FC2" w14:textId="75DE47D4" w:rsidR="00C35782" w:rsidRPr="00AF0A2C" w:rsidRDefault="00C35782" w:rsidP="00A311BD">
      <w:pPr>
        <w:pStyle w:val="Tableorfigurenotemultiple"/>
      </w:pPr>
      <w:r w:rsidRPr="00AF0A2C">
        <w:t xml:space="preserve">World Development Indicators data from the World Bank is used for population density and real GDP per capita. For population density, we use the </w:t>
      </w:r>
      <w:r w:rsidR="00720FF7">
        <w:t>‘</w:t>
      </w:r>
      <w:r w:rsidRPr="00AF0A2C">
        <w:t>Population density (people per sq. km of land area)</w:t>
      </w:r>
      <w:r w:rsidR="00456B65">
        <w:t>’</w:t>
      </w:r>
      <w:r w:rsidRPr="00AF0A2C">
        <w:t xml:space="preserve"> indicator, and for real GDP per capita, we use the </w:t>
      </w:r>
      <w:r w:rsidR="002E6636">
        <w:t>‘</w:t>
      </w:r>
      <w:r w:rsidR="002E6636" w:rsidRPr="00AF0A2C">
        <w:t>GDP per capita (constant 2015 US$)</w:t>
      </w:r>
      <w:r w:rsidR="002E6636">
        <w:t>’</w:t>
      </w:r>
      <w:r w:rsidR="002E6636" w:rsidRPr="00AF0A2C">
        <w:t xml:space="preserve"> indicator.</w:t>
      </w:r>
      <w:r w:rsidR="002E6636" w:rsidRPr="00AF0A2C" w:rsidDel="002E6636">
        <w:t xml:space="preserve"> </w:t>
      </w:r>
    </w:p>
    <w:p w14:paraId="4254BB74" w14:textId="6B767D55" w:rsidR="00C35782" w:rsidRPr="00AF0A2C" w:rsidRDefault="00C35782" w:rsidP="00A311BD">
      <w:pPr>
        <w:pStyle w:val="Tableorfigurenotemultiple"/>
      </w:pPr>
      <w:r w:rsidRPr="00AF0A2C">
        <w:t>For Taiwan, data was sourced from the International Monetary Fund and converted into a format consistent with World Bank data, as equivalent World Bank data were not available for this jurisdiction.</w:t>
      </w:r>
    </w:p>
    <w:p w14:paraId="47A83326" w14:textId="3D7C235C" w:rsidR="00C35782" w:rsidRPr="00C35782" w:rsidRDefault="00C35782" w:rsidP="0059782F">
      <w:pPr>
        <w:pStyle w:val="Paragraph"/>
      </w:pPr>
      <w:r w:rsidRPr="00C35782">
        <w:t>For each benchmark price, we calculate the ratio of the relevant cohort variable for the benchmark country to Australia</w:t>
      </w:r>
      <w:r w:rsidR="00C16C2F">
        <w:t>’</w:t>
      </w:r>
      <w:r w:rsidRPr="00C35782">
        <w:t>s corresponding value in the same year. Where a benchmark country</w:t>
      </w:r>
      <w:r w:rsidR="00845373">
        <w:t>’</w:t>
      </w:r>
      <w:r w:rsidRPr="00C35782">
        <w:t>s value exceeds Australia’s, the ratio is mirrored to ensure that the maximum weight remains one and that proportional deviations in either direction attract the same weight (for example, values that are half or double Australia</w:t>
      </w:r>
      <w:r w:rsidR="006703E7">
        <w:t>’</w:t>
      </w:r>
      <w:r w:rsidRPr="00C35782">
        <w:t xml:space="preserve">s both receive a weight of 0.5). </w:t>
      </w:r>
    </w:p>
    <w:p w14:paraId="1ABF02C3" w14:textId="77777777" w:rsidR="00C35782" w:rsidRPr="00C35782" w:rsidRDefault="00C35782" w:rsidP="0059782F">
      <w:pPr>
        <w:pStyle w:val="Paragraph"/>
      </w:pPr>
      <w:r w:rsidRPr="00C35782">
        <w:t>Benchmarks are included in the population density cohort if their ratio is greater than or equal to 0.1, while benchmarks are included in the real GDP per capita cohort if their ratio is greater than or equal to 0.7.</w:t>
      </w:r>
    </w:p>
    <w:p w14:paraId="2CD9B108" w14:textId="77777777" w:rsidR="00C35782" w:rsidRPr="00AF0A2C" w:rsidRDefault="00C35782" w:rsidP="007F1FD3">
      <w:pPr>
        <w:pStyle w:val="Heading3"/>
      </w:pPr>
      <w:r w:rsidRPr="00AF0A2C">
        <w:t>Cohort analysis decision tree</w:t>
      </w:r>
    </w:p>
    <w:p w14:paraId="3669509B" w14:textId="77777777" w:rsidR="00C35782" w:rsidRPr="00C35782" w:rsidRDefault="00C35782" w:rsidP="00184A1C">
      <w:pPr>
        <w:pStyle w:val="Paragraph"/>
      </w:pPr>
      <w:r w:rsidRPr="00C35782">
        <w:t>The cohort analysis process uses a sequential decision tree to identify which group of benchmark observations provides the most relevant evidence for Australia. At each step, statistical tests are applied to determine whether the geometric mean should be based on the full sample, a single cohort, or an intersection of cohorts. The diagram below shows how this process works, followed by a step-by-step explanation of each decision point.</w:t>
      </w:r>
    </w:p>
    <w:p w14:paraId="19436CEE" w14:textId="77777777" w:rsidR="002F1659" w:rsidRPr="0051190D" w:rsidRDefault="002F1659" w:rsidP="00340E06">
      <w:pPr>
        <w:pStyle w:val="Paragraph"/>
      </w:pPr>
    </w:p>
    <w:p w14:paraId="4AB6AEB1" w14:textId="77777777" w:rsidR="00340E06" w:rsidRPr="00340E06" w:rsidRDefault="00340E06" w:rsidP="00340E06">
      <w:pPr>
        <w:pStyle w:val="Figureheading"/>
      </w:pPr>
      <w:r w:rsidRPr="00340E06">
        <w:t>Cohort analysis – decision tree diagram</w:t>
      </w:r>
    </w:p>
    <w:p w14:paraId="5D589A09" w14:textId="77777777" w:rsidR="00340E06" w:rsidRDefault="00340E06" w:rsidP="00340E06">
      <w:pPr>
        <w:pStyle w:val="Paragraph"/>
      </w:pPr>
      <w:r w:rsidRPr="00321E9D">
        <w:rPr>
          <w:noProof/>
        </w:rPr>
        <w:drawing>
          <wp:inline distT="0" distB="0" distL="0" distR="0" wp14:anchorId="07E5CECA" wp14:editId="163AC8F1">
            <wp:extent cx="5759450" cy="3226435"/>
            <wp:effectExtent l="19050" t="19050" r="12700" b="12065"/>
            <wp:docPr id="1776189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9723" name=""/>
                    <pic:cNvPicPr/>
                  </pic:nvPicPr>
                  <pic:blipFill>
                    <a:blip r:embed="rId39"/>
                    <a:stretch>
                      <a:fillRect/>
                    </a:stretch>
                  </pic:blipFill>
                  <pic:spPr>
                    <a:xfrm>
                      <a:off x="0" y="0"/>
                      <a:ext cx="5759450" cy="3226435"/>
                    </a:xfrm>
                    <a:prstGeom prst="rect">
                      <a:avLst/>
                    </a:prstGeom>
                    <a:ln>
                      <a:solidFill>
                        <a:schemeClr val="tx2"/>
                      </a:solidFill>
                    </a:ln>
                  </pic:spPr>
                </pic:pic>
              </a:graphicData>
            </a:graphic>
          </wp:inline>
        </w:drawing>
      </w:r>
    </w:p>
    <w:p w14:paraId="2B1A2E07" w14:textId="77777777" w:rsidR="00340E06" w:rsidRPr="00340E06" w:rsidRDefault="00340E06" w:rsidP="00340E06">
      <w:pPr>
        <w:pStyle w:val="Heading4"/>
      </w:pPr>
      <w:r w:rsidRPr="00340E06">
        <w:t>Step 1: Population density cohort test</w:t>
      </w:r>
    </w:p>
    <w:p w14:paraId="26648575" w14:textId="77777777" w:rsidR="00340E06" w:rsidRPr="00913A67" w:rsidRDefault="00340E06" w:rsidP="00340E06">
      <w:pPr>
        <w:pStyle w:val="Paragraph"/>
      </w:pPr>
      <w:r>
        <w:t xml:space="preserve">We first consider observations that fall within the population density cohort and the remainder of the dataset. A Mann-Whitney U test is conducted at the p &lt;= 0.01 significance level to assess whether prices in the population density </w:t>
      </w:r>
      <w:r w:rsidRPr="00867F6E">
        <w:t>cohort are statistically different from those in the rest of the sample.</w:t>
      </w:r>
    </w:p>
    <w:p w14:paraId="796094D8" w14:textId="77777777" w:rsidR="00340E06" w:rsidRPr="00340E06" w:rsidRDefault="00340E06" w:rsidP="00340E06">
      <w:pPr>
        <w:pStyle w:val="Heading4"/>
      </w:pPr>
      <w:r w:rsidRPr="00340E06">
        <w:t>Step 2: Dual cohort subset test (population density and real GDP per capita)</w:t>
      </w:r>
    </w:p>
    <w:p w14:paraId="093B1D48" w14:textId="77777777" w:rsidR="00340E06" w:rsidRDefault="00340E06" w:rsidP="00340E06">
      <w:pPr>
        <w:pStyle w:val="Paragraph"/>
      </w:pPr>
      <w:r w:rsidRPr="00D319C4">
        <w:t xml:space="preserve">If a </w:t>
      </w:r>
      <w:r>
        <w:t>statistically</w:t>
      </w:r>
      <w:r w:rsidRPr="00D319C4">
        <w:t xml:space="preserve"> significant difference is found, the analysis proceeds to the dual-cohort subset</w:t>
      </w:r>
      <w:r>
        <w:t>, which includes observations within both cohorts</w:t>
      </w:r>
      <w:r w:rsidRPr="00D319C4">
        <w:t xml:space="preserve">. The Mann–Whitney U test is again conducted </w:t>
      </w:r>
      <w:r>
        <w:t xml:space="preserve">for </w:t>
      </w:r>
      <w:r w:rsidRPr="00D319C4">
        <w:t>this subset</w:t>
      </w:r>
      <w:r>
        <w:t>, comparing for statistically significant differences between observations in both cohorts versus observations only in the population density cohort. If evidence of a statistically significant difference is detected, the geometric mean for this group is used. If not, the geometric mean for the population density cohort is used</w:t>
      </w:r>
      <w:r w:rsidRPr="00D319C4">
        <w:t>.</w:t>
      </w:r>
    </w:p>
    <w:p w14:paraId="3BDEFB8B" w14:textId="77777777" w:rsidR="00340E06" w:rsidRPr="00340E06" w:rsidRDefault="00340E06" w:rsidP="00340E06">
      <w:pPr>
        <w:pStyle w:val="Heading4"/>
      </w:pPr>
      <w:r w:rsidRPr="00340E06">
        <w:t>Step 3: GDP per capita test</w:t>
      </w:r>
    </w:p>
    <w:p w14:paraId="7464D9A9" w14:textId="77777777" w:rsidR="00340E06" w:rsidRDefault="00340E06" w:rsidP="00340E06">
      <w:pPr>
        <w:pStyle w:val="Paragraph"/>
      </w:pPr>
      <w:r w:rsidRPr="005A4726">
        <w:t xml:space="preserve">If no evidence is found for the </w:t>
      </w:r>
      <w:r>
        <w:t xml:space="preserve">population density </w:t>
      </w:r>
      <w:r w:rsidRPr="005A4726">
        <w:t xml:space="preserve">cohort, the same process is repeated for the </w:t>
      </w:r>
      <w:r>
        <w:t xml:space="preserve">real </w:t>
      </w:r>
      <w:r w:rsidRPr="005A4726">
        <w:t xml:space="preserve">GDP </w:t>
      </w:r>
      <w:r>
        <w:t xml:space="preserve">per capita </w:t>
      </w:r>
      <w:r w:rsidRPr="005A4726">
        <w:t>cohort</w:t>
      </w:r>
      <w:r>
        <w:t>.</w:t>
      </w:r>
    </w:p>
    <w:p w14:paraId="5BFF2440" w14:textId="77777777" w:rsidR="00340E06" w:rsidRPr="00340E06" w:rsidRDefault="00340E06" w:rsidP="00340E06">
      <w:pPr>
        <w:pStyle w:val="Heading4"/>
      </w:pPr>
      <w:r w:rsidRPr="00340E06">
        <w:t>Step 4: Dual cohort subset test (real GDP per capita and population density)</w:t>
      </w:r>
    </w:p>
    <w:p w14:paraId="661E8ED4" w14:textId="77777777" w:rsidR="00340E06" w:rsidRDefault="00340E06" w:rsidP="00340E06">
      <w:pPr>
        <w:pStyle w:val="Paragraphbeforelist"/>
      </w:pPr>
      <w:r w:rsidRPr="00ED3D2E">
        <w:t xml:space="preserve">If a </w:t>
      </w:r>
      <w:r>
        <w:t>statistically</w:t>
      </w:r>
      <w:r w:rsidRPr="00ED3D2E">
        <w:t xml:space="preserve"> significant difference is found, the analysis proceeds to the dual-cohort subset</w:t>
      </w:r>
      <w:r>
        <w:t xml:space="preserve">. </w:t>
      </w:r>
      <w:r w:rsidRPr="00ED3D2E">
        <w:t>The Mann–Whitney U test is again conducted for this subset</w:t>
      </w:r>
      <w:r>
        <w:t>, comparing for statistically significant differences between observations in both cohorts versus observations only in the</w:t>
      </w:r>
      <w:r w:rsidRPr="00ED3D2E">
        <w:t xml:space="preserve"> </w:t>
      </w:r>
      <w:r>
        <w:t>real GDP per capita cohort. I</w:t>
      </w:r>
      <w:r w:rsidRPr="00ED3D2E">
        <w:t xml:space="preserve">f evidence of a </w:t>
      </w:r>
      <w:r>
        <w:t xml:space="preserve">statistically significant </w:t>
      </w:r>
      <w:r w:rsidRPr="00ED3D2E">
        <w:t xml:space="preserve">difference is detected, the </w:t>
      </w:r>
      <w:r>
        <w:t xml:space="preserve">geometric mean </w:t>
      </w:r>
      <w:r w:rsidRPr="00ED3D2E">
        <w:t>for this group is used. If not</w:t>
      </w:r>
      <w:r>
        <w:t>,</w:t>
      </w:r>
      <w:r w:rsidRPr="00ED3D2E">
        <w:t xml:space="preserve"> the </w:t>
      </w:r>
      <w:r>
        <w:t xml:space="preserve">geometric mean </w:t>
      </w:r>
      <w:r w:rsidRPr="00ED3D2E">
        <w:t xml:space="preserve">for the </w:t>
      </w:r>
      <w:r>
        <w:t>real</w:t>
      </w:r>
      <w:r w:rsidRPr="00ED3D2E">
        <w:t xml:space="preserve"> </w:t>
      </w:r>
      <w:r>
        <w:t>GDP per capita</w:t>
      </w:r>
      <w:r w:rsidRPr="00ED3D2E">
        <w:t xml:space="preserve"> cohort is used.</w:t>
      </w:r>
    </w:p>
    <w:p w14:paraId="3D5A4437" w14:textId="77777777" w:rsidR="00340E06" w:rsidRPr="00340E06" w:rsidRDefault="00340E06" w:rsidP="00340E06">
      <w:pPr>
        <w:pStyle w:val="Heading4"/>
      </w:pPr>
      <w:r w:rsidRPr="00340E06">
        <w:t>Step 5: Default to full benchmark sample</w:t>
      </w:r>
    </w:p>
    <w:p w14:paraId="4AF7CCB8" w14:textId="77777777" w:rsidR="00340E06" w:rsidRPr="00ED3D2E" w:rsidRDefault="00340E06" w:rsidP="007F1FD3">
      <w:pPr>
        <w:pStyle w:val="Paragraph"/>
      </w:pPr>
      <w:r>
        <w:t>I</w:t>
      </w:r>
      <w:r w:rsidRPr="008E13EC">
        <w:t xml:space="preserve">f neither the </w:t>
      </w:r>
      <w:r>
        <w:t>population density</w:t>
      </w:r>
      <w:r w:rsidRPr="008E13EC">
        <w:t xml:space="preserve"> nor </w:t>
      </w:r>
      <w:r>
        <w:t xml:space="preserve">real </w:t>
      </w:r>
      <w:r w:rsidRPr="008E13EC">
        <w:t xml:space="preserve">GDP </w:t>
      </w:r>
      <w:r>
        <w:t>per capita</w:t>
      </w:r>
      <w:r w:rsidRPr="008E13EC">
        <w:t xml:space="preserve"> cohorts</w:t>
      </w:r>
      <w:r>
        <w:t xml:space="preserve"> </w:t>
      </w:r>
      <w:r w:rsidRPr="008E13EC">
        <w:t xml:space="preserve">show evidence of statistically significant differences, the </w:t>
      </w:r>
      <w:r>
        <w:t xml:space="preserve">geometric mean </w:t>
      </w:r>
      <w:r w:rsidRPr="008E13EC">
        <w:t>is calculated from the full benchmark</w:t>
      </w:r>
      <w:r>
        <w:t>ing</w:t>
      </w:r>
      <w:r w:rsidRPr="008E13EC">
        <w:t xml:space="preserve"> </w:t>
      </w:r>
      <w:r>
        <w:t>dataset</w:t>
      </w:r>
      <w:r w:rsidRPr="008E13EC">
        <w:t>.</w:t>
      </w:r>
    </w:p>
    <w:p w14:paraId="1F758769" w14:textId="5E654D86" w:rsidR="00340E06" w:rsidRPr="007C0351" w:rsidRDefault="00340E06" w:rsidP="007C0351">
      <w:pPr>
        <w:pStyle w:val="Heading2"/>
      </w:pPr>
      <w:bookmarkStart w:id="79" w:name="_Toc239677707"/>
      <w:bookmarkStart w:id="80" w:name="_Toc242777956"/>
      <w:r w:rsidRPr="007C0351">
        <w:t xml:space="preserve">Step 7: </w:t>
      </w:r>
      <w:r w:rsidR="00DF7957">
        <w:t>E</w:t>
      </w:r>
      <w:r w:rsidRPr="007C0351">
        <w:t>xpand valuations to desired durations</w:t>
      </w:r>
      <w:bookmarkEnd w:id="79"/>
      <w:bookmarkEnd w:id="80"/>
    </w:p>
    <w:p w14:paraId="7AD89571" w14:textId="691B152B" w:rsidR="00340E06" w:rsidRPr="000772EF" w:rsidRDefault="00340E06" w:rsidP="000772EF">
      <w:pPr>
        <w:pStyle w:val="Paragraph"/>
      </w:pPr>
      <w:r w:rsidRPr="000772EF">
        <w:t xml:space="preserve">Having derived a single benchmark price that represents a robust measure of central tendency for the relevant band, we now expand the value ranges from 365 days to the desired full licence duration. This is performed using the flat annuity formula (equation (4)) from step 2, with the only difference being that </w:t>
      </w:r>
      <m:oMath>
        <m:r>
          <w:rPr>
            <w:rFonts w:ascii="Cambria Math" w:hAnsi="Cambria Math"/>
          </w:rPr>
          <m:t>L</m:t>
        </m:r>
      </m:oMath>
      <w:r w:rsidRPr="000772EF">
        <w:t xml:space="preserve"> will equal 365 days, while </w:t>
      </w:r>
      <m:oMath>
        <m:r>
          <w:rPr>
            <w:rFonts w:ascii="Cambria Math" w:hAnsi="Cambria Math"/>
          </w:rPr>
          <m:t>n</m:t>
        </m:r>
      </m:oMath>
      <w:r w:rsidRPr="000772EF">
        <w:t xml:space="preserve"> will equal the number of days of the desired licence duration. </w:t>
      </w:r>
    </w:p>
    <w:p w14:paraId="61EA0922" w14:textId="77777777" w:rsidR="00340E06" w:rsidRPr="000772EF" w:rsidRDefault="00340E06" w:rsidP="007F1FD3">
      <w:pPr>
        <w:pStyle w:val="Paragraph"/>
      </w:pPr>
      <w:r w:rsidRPr="000772EF">
        <w:t>For example, to convert a valuation from 365 days to 4,784 days (which would be the duration of renewed 3.4 GHz band licences that expire on 18 January 2044), we could use the following flat annuity formula:</w:t>
      </w:r>
    </w:p>
    <w:p w14:paraId="6A6D4B92" w14:textId="77777777" w:rsidR="00340E06" w:rsidRPr="000772EF" w:rsidRDefault="00020761" w:rsidP="007F1FD3">
      <w:pPr>
        <w:pStyle w:val="Paragraph"/>
      </w:pPr>
      <m:oMath>
        <m:r>
          <w:rPr>
            <w:rFonts w:ascii="Cambria Math" w:hAnsi="Cambria Math"/>
          </w:rPr>
          <m:t>P</m:t>
        </m:r>
        <m:sSub>
          <m:sSubPr>
            <m:ctrlPr>
              <w:rPr>
                <w:rFonts w:ascii="Cambria Math" w:hAnsi="Cambria Math"/>
              </w:rPr>
            </m:ctrlPr>
          </m:sSubPr>
          <m:e>
            <m:r>
              <w:rPr>
                <w:rFonts w:ascii="Cambria Math" w:hAnsi="Cambria Math"/>
              </w:rPr>
              <m:t>V</m:t>
            </m:r>
          </m:e>
          <m:sub>
            <m:r>
              <w:rPr>
                <w:rFonts w:ascii="Cambria Math" w:hAnsi="Cambria Math"/>
              </w:rPr>
              <m:t>n</m:t>
            </m:r>
          </m:sub>
        </m:sSub>
        <m:r>
          <m:rPr>
            <m:sty m:val="p"/>
          </m:rPr>
          <w:rPr>
            <w:rFonts w:ascii="Cambria Math" w:hAnsi="Cambria Math"/>
          </w:rPr>
          <m:t>=</m:t>
        </m:r>
        <m:r>
          <w:rPr>
            <w:rFonts w:ascii="Cambria Math" w:hAnsi="Cambria Math"/>
          </w:rPr>
          <m:t>P</m:t>
        </m:r>
        <m:sSub>
          <m:sSubPr>
            <m:ctrlPr>
              <w:rPr>
                <w:rFonts w:ascii="Cambria Math" w:hAnsi="Cambria Math"/>
              </w:rPr>
            </m:ctrlPr>
          </m:sSubPr>
          <m:e>
            <m:r>
              <w:rPr>
                <w:rFonts w:ascii="Cambria Math" w:hAnsi="Cambria Math"/>
              </w:rPr>
              <m:t>V</m:t>
            </m:r>
          </m:e>
          <m:sub>
            <m:r>
              <w:rPr>
                <w:rFonts w:ascii="Cambria Math" w:hAnsi="Cambria Math"/>
              </w:rPr>
              <m:t>L</m:t>
            </m:r>
          </m:sub>
        </m:sSub>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r</m:t>
                            </m:r>
                          </m:den>
                        </m:f>
                      </m:e>
                    </m:d>
                  </m:e>
                  <m:sup>
                    <m:r>
                      <w:rPr>
                        <w:rFonts w:ascii="Cambria Math" w:hAnsi="Cambria Math"/>
                      </w:rPr>
                      <m:t>n</m:t>
                    </m:r>
                  </m:sup>
                </m:sSup>
              </m:num>
              <m:den>
                <m:r>
                  <m:rPr>
                    <m:sty m:val="p"/>
                  </m:rPr>
                  <w:rPr>
                    <w:rFonts w:ascii="Cambria Math" w:hAnsi="Cambria Math"/>
                  </w:rPr>
                  <m:t>1-</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m:t>
                            </m:r>
                          </m:num>
                          <m:den>
                            <m:r>
                              <m:rPr>
                                <m:sty m:val="p"/>
                              </m:rPr>
                              <w:rPr>
                                <w:rFonts w:ascii="Cambria Math" w:hAnsi="Cambria Math"/>
                              </w:rPr>
                              <m:t>1+</m:t>
                            </m:r>
                            <m:r>
                              <w:rPr>
                                <w:rFonts w:ascii="Cambria Math" w:hAnsi="Cambria Math"/>
                              </w:rPr>
                              <m:t>r</m:t>
                            </m:r>
                          </m:den>
                        </m:f>
                      </m:e>
                    </m:d>
                  </m:e>
                  <m:sup>
                    <m:r>
                      <w:rPr>
                        <w:rFonts w:ascii="Cambria Math" w:hAnsi="Cambria Math"/>
                      </w:rPr>
                      <m:t>L</m:t>
                    </m:r>
                  </m:sup>
                </m:sSup>
              </m:den>
            </m:f>
          </m:e>
        </m:d>
      </m:oMath>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r>
      <w:r w:rsidR="00340E06" w:rsidRPr="000772EF">
        <w:tab/>
        <w:t>(4)</w:t>
      </w:r>
    </w:p>
    <w:p w14:paraId="7DF9014B" w14:textId="77777777" w:rsidR="00340E06" w:rsidRPr="000772EF" w:rsidRDefault="00340E06" w:rsidP="000772EF">
      <w:pPr>
        <w:pStyle w:val="Paragraph"/>
      </w:pPr>
      <w:r w:rsidRPr="000772EF">
        <w:t>Where:</w:t>
      </w:r>
      <w:r w:rsidRPr="000772EF">
        <w:br/>
      </w:r>
      <m:oMath>
        <m:r>
          <w:rPr>
            <w:rFonts w:ascii="Cambria Math" w:hAnsi="Cambria Math"/>
          </w:rPr>
          <m:t>P</m:t>
        </m:r>
        <m:sSub>
          <m:sSubPr>
            <m:ctrlPr>
              <w:rPr>
                <w:rFonts w:ascii="Cambria Math" w:hAnsi="Cambria Math"/>
              </w:rPr>
            </m:ctrlPr>
          </m:sSubPr>
          <m:e>
            <m:r>
              <w:rPr>
                <w:rFonts w:ascii="Cambria Math" w:hAnsi="Cambria Math"/>
              </w:rPr>
              <m:t>V</m:t>
            </m:r>
          </m:e>
          <m:sub>
            <m:r>
              <w:rPr>
                <w:rFonts w:ascii="Cambria Math" w:hAnsi="Cambria Math"/>
              </w:rPr>
              <m:t>n</m:t>
            </m:r>
          </m:sub>
        </m:sSub>
        <m:r>
          <m:rPr>
            <m:sty m:val="p"/>
          </m:rPr>
          <w:rPr>
            <w:rFonts w:ascii="Cambria Math" w:hAnsi="Cambria Math"/>
          </w:rPr>
          <m:t>=</m:t>
        </m:r>
      </m:oMath>
      <w:r w:rsidRPr="000772EF">
        <w:t xml:space="preserve"> present value of the series of cashflows for the desired licence duration</w:t>
      </w:r>
      <w:r w:rsidRPr="000772EF">
        <w:br/>
      </w:r>
      <m:oMath>
        <m:sSub>
          <m:sSubPr>
            <m:ctrlPr>
              <w:rPr>
                <w:rFonts w:ascii="Cambria Math" w:hAnsi="Cambria Math"/>
              </w:rPr>
            </m:ctrlPr>
          </m:sSubPr>
          <m:e>
            <m:r>
              <w:rPr>
                <w:rFonts w:ascii="Cambria Math" w:hAnsi="Cambria Math"/>
              </w:rPr>
              <m:t>PV</m:t>
            </m:r>
          </m:e>
          <m:sub>
            <m:r>
              <w:rPr>
                <w:rFonts w:ascii="Cambria Math" w:hAnsi="Cambria Math"/>
              </w:rPr>
              <m:t>L</m:t>
            </m:r>
          </m:sub>
        </m:sSub>
        <m:r>
          <m:rPr>
            <m:sty m:val="p"/>
          </m:rPr>
          <w:rPr>
            <w:rFonts w:ascii="Cambria Math" w:hAnsi="Cambria Math"/>
          </w:rPr>
          <m:t>=</m:t>
        </m:r>
      </m:oMath>
      <w:r w:rsidRPr="000772EF">
        <w:t xml:space="preserve"> present value of the series of cashflows for the known valuation</w:t>
      </w:r>
      <w:r w:rsidRPr="000772EF">
        <w:br/>
      </w:r>
      <m:oMath>
        <m:r>
          <w:rPr>
            <w:rFonts w:ascii="Cambria Math" w:hAnsi="Cambria Math"/>
          </w:rPr>
          <m:t>r</m:t>
        </m:r>
        <m:r>
          <m:rPr>
            <m:sty m:val="p"/>
          </m:rPr>
          <w:rPr>
            <w:rFonts w:ascii="Cambria Math" w:hAnsi="Cambria Math"/>
          </w:rPr>
          <m:t>=</m:t>
        </m:r>
      </m:oMath>
      <w:r w:rsidRPr="000772EF">
        <w:t xml:space="preserve"> discount rate – the compounded daily value (0.02233%) of the annual WACC value of 8.49%</w:t>
      </w:r>
      <w:r w:rsidRPr="000772EF">
        <w:br/>
      </w:r>
      <m:oMath>
        <m:r>
          <w:rPr>
            <w:rFonts w:ascii="Cambria Math" w:hAnsi="Cambria Math"/>
          </w:rPr>
          <m:t>n</m:t>
        </m:r>
        <m:r>
          <m:rPr>
            <m:sty m:val="p"/>
          </m:rPr>
          <w:rPr>
            <w:rFonts w:ascii="Cambria Math" w:hAnsi="Cambria Math"/>
          </w:rPr>
          <m:t>=</m:t>
        </m:r>
      </m:oMath>
      <w:r w:rsidRPr="000772EF">
        <w:t xml:space="preserve"> number of days in the desired licence duration (4,784)</w:t>
      </w:r>
      <w:r w:rsidRPr="000772EF">
        <w:br/>
      </w:r>
      <m:oMath>
        <m:r>
          <w:rPr>
            <w:rFonts w:ascii="Cambria Math" w:hAnsi="Cambria Math"/>
          </w:rPr>
          <m:t>L</m:t>
        </m:r>
        <m:r>
          <m:rPr>
            <m:sty m:val="p"/>
          </m:rPr>
          <w:rPr>
            <w:rFonts w:ascii="Cambria Math" w:hAnsi="Cambria Math"/>
          </w:rPr>
          <m:t>=</m:t>
        </m:r>
      </m:oMath>
      <w:r w:rsidRPr="000772EF">
        <w:t xml:space="preserve"> number of days for the known valuation (365)</w:t>
      </w:r>
    </w:p>
    <w:p w14:paraId="54B3919B" w14:textId="252D644E" w:rsidR="00FF3C69" w:rsidRPr="00A17B1B" w:rsidRDefault="00340E06" w:rsidP="000772EF">
      <w:pPr>
        <w:pStyle w:val="Paragraph"/>
      </w:pPr>
      <w:r w:rsidRPr="000772EF">
        <w:t>Following the use of this formula, we have estimated a single price for the desired licence duration at the commencement date of the relevant ESL band.</w:t>
      </w:r>
    </w:p>
    <w:sectPr w:rsidR="00FF3C69" w:rsidRPr="00A17B1B" w:rsidSect="005A62E5">
      <w:headerReference w:type="even" r:id="rId40"/>
      <w:headerReference w:type="default" r:id="rId41"/>
      <w:footerReference w:type="even" r:id="rId42"/>
      <w:footerReference w:type="default" r:id="rId43"/>
      <w:pgSz w:w="11906" w:h="16838" w:code="9"/>
      <w:pgMar w:top="1418" w:right="1418" w:bottom="1134" w:left="1418" w:header="709" w:footer="11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82F00" w14:textId="77777777" w:rsidR="004F72DC" w:rsidRDefault="004F72DC">
      <w:r>
        <w:separator/>
      </w:r>
    </w:p>
  </w:endnote>
  <w:endnote w:type="continuationSeparator" w:id="0">
    <w:p w14:paraId="2BAD9A45" w14:textId="77777777" w:rsidR="004F72DC" w:rsidRDefault="004F7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HelveticaNeueLT Std">
    <w:altName w:val="Arial"/>
    <w:panose1 w:val="00000000000000000000"/>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1EEC" w14:textId="77777777" w:rsidR="002C71B2" w:rsidRDefault="006300BF">
    <w:pPr>
      <w:pStyle w:val="Footer"/>
    </w:pPr>
    <w:r>
      <w:rPr>
        <w:noProof/>
      </w:rPr>
      <mc:AlternateContent>
        <mc:Choice Requires="wps">
          <w:drawing>
            <wp:anchor distT="0" distB="0" distL="0" distR="0" simplePos="0" relativeHeight="251658245" behindDoc="0" locked="0" layoutInCell="1" allowOverlap="1" wp14:anchorId="1EAAD329" wp14:editId="1A739A46">
              <wp:simplePos x="635" y="635"/>
              <wp:positionH relativeFrom="page">
                <wp:align>center</wp:align>
              </wp:positionH>
              <wp:positionV relativeFrom="page">
                <wp:align>bottom</wp:align>
              </wp:positionV>
              <wp:extent cx="551815" cy="376555"/>
              <wp:effectExtent l="0" t="0" r="635" b="0"/>
              <wp:wrapNone/>
              <wp:docPr id="38826975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3EA7AA3"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AAD329" id="_x0000_t202" coordsize="21600,21600" o:spt="202" path="m,l,21600r21600,l21600,xe">
              <v:stroke joinstyle="miter"/>
              <v:path gradientshapeok="t" o:connecttype="rect"/>
            </v:shapetype>
            <v:shape id="Text Box 11" o:spid="_x0000_s1027"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43EA7AA3"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B948" w14:textId="77777777" w:rsidR="005E250B" w:rsidRDefault="005E250B" w:rsidP="005E250B">
    <w:pPr>
      <w:pStyle w:val="Footer"/>
      <w:jc w:val="right"/>
    </w:pPr>
    <w:r w:rsidRPr="005E250B">
      <w:rPr>
        <w:noProof/>
        <w:vertAlign w:val="subscript"/>
      </w:rPr>
      <w:drawing>
        <wp:inline distT="0" distB="0" distL="0" distR="0" wp14:anchorId="5FF239C2" wp14:editId="6A9EA882">
          <wp:extent cx="1066800" cy="277368"/>
          <wp:effectExtent l="0" t="0" r="0" b="0"/>
          <wp:docPr id="15" name="Picture 15" descr="acma.gov.au">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
                  </pic:cNvPr>
                  <pic:cNvPicPr/>
                </pic:nvPicPr>
                <pic:blipFill>
                  <a:blip r:embed="rId2"/>
                  <a:stretch>
                    <a:fillRect/>
                  </a:stretch>
                </pic:blipFill>
                <pic:spPr>
                  <a:xfrm>
                    <a:off x="0" y="0"/>
                    <a:ext cx="1133985" cy="29483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A2B0" w14:textId="77777777" w:rsidR="002C71B2" w:rsidRDefault="006300BF">
    <w:pPr>
      <w:pStyle w:val="Footer"/>
    </w:pPr>
    <w:r>
      <w:rPr>
        <w:noProof/>
      </w:rPr>
      <mc:AlternateContent>
        <mc:Choice Requires="wps">
          <w:drawing>
            <wp:anchor distT="0" distB="0" distL="0" distR="0" simplePos="0" relativeHeight="251658244" behindDoc="0" locked="0" layoutInCell="1" allowOverlap="1" wp14:anchorId="63B365AE" wp14:editId="7450B7F9">
              <wp:simplePos x="635" y="635"/>
              <wp:positionH relativeFrom="page">
                <wp:align>center</wp:align>
              </wp:positionH>
              <wp:positionV relativeFrom="page">
                <wp:align>bottom</wp:align>
              </wp:positionV>
              <wp:extent cx="551815" cy="376555"/>
              <wp:effectExtent l="0" t="0" r="635" b="0"/>
              <wp:wrapNone/>
              <wp:docPr id="79266422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5FED7DE"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B365AE" id="_x0000_t202" coordsize="21600,21600" o:spt="202" path="m,l,21600r21600,l21600,xe">
              <v:stroke joinstyle="miter"/>
              <v:path gradientshapeok="t" o:connecttype="rect"/>
            </v:shapetype>
            <v:shape id="Text Box 10" o:spid="_x0000_s1028" type="#_x0000_t202" alt="OFFICIAL" style="position:absolute;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75FED7DE"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30C4" w14:textId="77777777" w:rsidR="00C053A1" w:rsidRDefault="00C053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0A62" w14:textId="77777777" w:rsidR="00C053A1" w:rsidRDefault="006300BF">
    <w:pPr>
      <w:pStyle w:val="Footer"/>
    </w:pPr>
    <w:r>
      <w:rPr>
        <w:noProof/>
      </w:rPr>
      <mc:AlternateContent>
        <mc:Choice Requires="wps">
          <w:drawing>
            <wp:anchor distT="0" distB="0" distL="0" distR="0" simplePos="0" relativeHeight="251658246" behindDoc="0" locked="0" layoutInCell="1" allowOverlap="1" wp14:anchorId="6D15E002" wp14:editId="7B3FA7FB">
              <wp:simplePos x="635" y="635"/>
              <wp:positionH relativeFrom="page">
                <wp:align>center</wp:align>
              </wp:positionH>
              <wp:positionV relativeFrom="page">
                <wp:align>bottom</wp:align>
              </wp:positionV>
              <wp:extent cx="551815" cy="376555"/>
              <wp:effectExtent l="0" t="0" r="635" b="0"/>
              <wp:wrapNone/>
              <wp:docPr id="162743559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C81B40A"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15E002" id="_x0000_t202" coordsize="21600,21600" o:spt="202" path="m,l,21600r21600,l21600,xe">
              <v:stroke joinstyle="miter"/>
              <v:path gradientshapeok="t" o:connecttype="rect"/>
            </v:shapetype>
            <v:shape id="Text Box 14" o:spid="_x0000_s1030" type="#_x0000_t202" alt="OFFICIAL" style="position:absolute;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textbox style="mso-fit-shape-to-text:t" inset="0,0,0,15pt">
                <w:txbxContent>
                  <w:p w14:paraId="5C81B40A"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7B2A" w14:textId="77777777" w:rsidR="00C053A1" w:rsidRPr="00401FFD" w:rsidRDefault="006300BF" w:rsidP="00401FFD">
    <w:pPr>
      <w:pStyle w:val="Header"/>
      <w:tabs>
        <w:tab w:val="clear" w:pos="4153"/>
        <w:tab w:val="clear" w:pos="8306"/>
        <w:tab w:val="right" w:pos="9072"/>
      </w:tabs>
      <w:rPr>
        <w:noProof/>
        <w:sz w:val="20"/>
      </w:rPr>
    </w:pPr>
    <w:r>
      <w:rPr>
        <w:noProof/>
        <w:color w:val="505050"/>
      </w:rPr>
      <mc:AlternateContent>
        <mc:Choice Requires="wps">
          <w:drawing>
            <wp:anchor distT="0" distB="0" distL="0" distR="0" simplePos="0" relativeHeight="251658247" behindDoc="0" locked="0" layoutInCell="1" allowOverlap="1" wp14:anchorId="11A1BD17" wp14:editId="04DFDBB9">
              <wp:simplePos x="635" y="635"/>
              <wp:positionH relativeFrom="page">
                <wp:align>center</wp:align>
              </wp:positionH>
              <wp:positionV relativeFrom="page">
                <wp:align>bottom</wp:align>
              </wp:positionV>
              <wp:extent cx="551815" cy="376555"/>
              <wp:effectExtent l="0" t="0" r="635" b="0"/>
              <wp:wrapNone/>
              <wp:docPr id="202328172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BF4D887"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A1BD17" id="_x0000_t202" coordsize="21600,21600" o:spt="202" path="m,l,21600r21600,l21600,xe">
              <v:stroke joinstyle="miter"/>
              <v:path gradientshapeok="t" o:connecttype="rect"/>
            </v:shapetype>
            <v:shape id="Text Box 16" o:spid="_x0000_s1033"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3BF4D887"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r w:rsidR="00401FFD">
      <w:rPr>
        <w:color w:val="505050"/>
      </w:rPr>
      <w:t>Australian Communications and Media Authority</w:t>
    </w:r>
    <w:r w:rsidR="00401FFD">
      <w:rPr>
        <w:color w:val="505050"/>
      </w:rPr>
      <w:tab/>
    </w:r>
    <w:r w:rsidR="00401FFD" w:rsidRPr="005A62E5">
      <w:rPr>
        <w:color w:val="505050"/>
      </w:rPr>
      <w:fldChar w:fldCharType="begin"/>
    </w:r>
    <w:r w:rsidR="00401FFD" w:rsidRPr="005A62E5">
      <w:rPr>
        <w:color w:val="505050"/>
      </w:rPr>
      <w:instrText xml:space="preserve"> PAGE   \* MERGEFORMAT </w:instrText>
    </w:r>
    <w:r w:rsidR="00401FFD" w:rsidRPr="005A62E5">
      <w:rPr>
        <w:color w:val="505050"/>
      </w:rPr>
      <w:fldChar w:fldCharType="separate"/>
    </w:r>
    <w:r w:rsidR="00401FFD">
      <w:rPr>
        <w:color w:val="505050"/>
      </w:rPr>
      <w:t>ii</w:t>
    </w:r>
    <w:proofErr w:type="spellStart"/>
    <w:r w:rsidR="00401FFD">
      <w:rPr>
        <w:color w:val="505050"/>
      </w:rPr>
      <w:t>i</w:t>
    </w:r>
    <w:proofErr w:type="spellEnd"/>
    <w:r w:rsidR="00401FFD" w:rsidRPr="005A62E5">
      <w:rPr>
        <w:noProof/>
        <w:color w:val="50505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23F2" w14:textId="77777777" w:rsidR="00C053A1" w:rsidRPr="00401FFD" w:rsidRDefault="006300BF" w:rsidP="00401FFD">
    <w:pPr>
      <w:pStyle w:val="Header"/>
      <w:tabs>
        <w:tab w:val="clear" w:pos="4153"/>
        <w:tab w:val="clear" w:pos="8306"/>
        <w:tab w:val="right" w:pos="9072"/>
      </w:tabs>
      <w:rPr>
        <w:noProof/>
        <w:sz w:val="20"/>
      </w:rPr>
    </w:pPr>
    <w:r>
      <w:rPr>
        <w:noProof/>
        <w:color w:val="505050"/>
      </w:rPr>
      <mc:AlternateContent>
        <mc:Choice Requires="wps">
          <w:drawing>
            <wp:anchor distT="0" distB="0" distL="0" distR="0" simplePos="0" relativeHeight="251658248" behindDoc="0" locked="0" layoutInCell="1" allowOverlap="1" wp14:anchorId="1AFCFCCF" wp14:editId="767B584E">
              <wp:simplePos x="635" y="635"/>
              <wp:positionH relativeFrom="page">
                <wp:align>center</wp:align>
              </wp:positionH>
              <wp:positionV relativeFrom="page">
                <wp:align>bottom</wp:align>
              </wp:positionV>
              <wp:extent cx="551815" cy="376555"/>
              <wp:effectExtent l="0" t="0" r="635" b="0"/>
              <wp:wrapNone/>
              <wp:docPr id="548865238"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C42416"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FCFCCF" id="_x0000_t202" coordsize="21600,21600" o:spt="202" path="m,l,21600r21600,l21600,xe">
              <v:stroke joinstyle="miter"/>
              <v:path gradientshapeok="t" o:connecttype="rect"/>
            </v:shapetype>
            <v:shape id="Text Box 17" o:spid="_x0000_s1034"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5BC42416"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r w:rsidR="00401FFD">
      <w:rPr>
        <w:color w:val="505050"/>
      </w:rPr>
      <w:t>Australian Communications and Media Authority</w:t>
    </w:r>
    <w:r w:rsidR="00401FFD">
      <w:rPr>
        <w:color w:val="505050"/>
      </w:rPr>
      <w:tab/>
    </w:r>
    <w:r w:rsidR="00401FFD" w:rsidRPr="005A62E5">
      <w:rPr>
        <w:color w:val="505050"/>
      </w:rPr>
      <w:fldChar w:fldCharType="begin"/>
    </w:r>
    <w:r w:rsidR="00401FFD" w:rsidRPr="005A62E5">
      <w:rPr>
        <w:color w:val="505050"/>
      </w:rPr>
      <w:instrText xml:space="preserve"> PAGE   \* MERGEFORMAT </w:instrText>
    </w:r>
    <w:r w:rsidR="00401FFD" w:rsidRPr="005A62E5">
      <w:rPr>
        <w:color w:val="505050"/>
      </w:rPr>
      <w:fldChar w:fldCharType="separate"/>
    </w:r>
    <w:r w:rsidR="00401FFD">
      <w:rPr>
        <w:color w:val="505050"/>
      </w:rPr>
      <w:t>ii</w:t>
    </w:r>
    <w:proofErr w:type="spellStart"/>
    <w:r w:rsidR="00401FFD">
      <w:rPr>
        <w:color w:val="505050"/>
      </w:rPr>
      <w:t>i</w:t>
    </w:r>
    <w:proofErr w:type="spellEnd"/>
    <w:r w:rsidR="00401FFD" w:rsidRPr="005A62E5">
      <w:rPr>
        <w:noProof/>
        <w:color w:val="50505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BEA0" w14:textId="77777777" w:rsidR="00C053A1" w:rsidRPr="005A62E5" w:rsidRDefault="005A62E5" w:rsidP="002C71B2">
    <w:pPr>
      <w:pStyle w:val="Header"/>
      <w:tabs>
        <w:tab w:val="clear" w:pos="4153"/>
        <w:tab w:val="clear" w:pos="8306"/>
        <w:tab w:val="right" w:pos="9072"/>
      </w:tabs>
      <w:spacing w:after="360"/>
      <w:rPr>
        <w:noProof/>
        <w:sz w:val="20"/>
      </w:rPr>
    </w:pPr>
    <w:r>
      <w:rPr>
        <w:color w:val="505050"/>
      </w:rPr>
      <w:t>Australian Communications and Media Authority</w:t>
    </w:r>
    <w:r>
      <w:rPr>
        <w:color w:val="505050"/>
      </w:rPr>
      <w:tab/>
    </w:r>
    <w:r w:rsidRPr="005A62E5">
      <w:rPr>
        <w:color w:val="505050"/>
      </w:rPr>
      <w:fldChar w:fldCharType="begin"/>
    </w:r>
    <w:r w:rsidRPr="005A62E5">
      <w:rPr>
        <w:color w:val="505050"/>
      </w:rPr>
      <w:instrText xml:space="preserve"> PAGE   \* MERGEFORMAT </w:instrText>
    </w:r>
    <w:r w:rsidRPr="005A62E5">
      <w:rPr>
        <w:color w:val="505050"/>
      </w:rPr>
      <w:fldChar w:fldCharType="separate"/>
    </w:r>
    <w:r w:rsidRPr="005A62E5">
      <w:rPr>
        <w:noProof/>
        <w:color w:val="505050"/>
      </w:rPr>
      <w:t>1</w:t>
    </w:r>
    <w:r w:rsidRPr="005A62E5">
      <w:rPr>
        <w:noProof/>
        <w:color w:val="50505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6E41" w14:textId="77777777" w:rsidR="00C053A1" w:rsidRPr="005A62E5" w:rsidRDefault="005A62E5" w:rsidP="002C71B2">
    <w:pPr>
      <w:pStyle w:val="Header"/>
      <w:tabs>
        <w:tab w:val="clear" w:pos="4153"/>
        <w:tab w:val="clear" w:pos="8306"/>
        <w:tab w:val="left" w:pos="5445"/>
        <w:tab w:val="right" w:pos="9072"/>
      </w:tabs>
      <w:spacing w:after="360"/>
      <w:rPr>
        <w:noProof/>
        <w:sz w:val="20"/>
      </w:rPr>
    </w:pPr>
    <w:r>
      <w:rPr>
        <w:color w:val="505050"/>
      </w:rPr>
      <w:t>Australian Communications and Media Authority</w:t>
    </w:r>
    <w:r>
      <w:rPr>
        <w:color w:val="505050"/>
      </w:rPr>
      <w:tab/>
    </w:r>
    <w:r>
      <w:rPr>
        <w:color w:val="505050"/>
      </w:rPr>
      <w:tab/>
    </w:r>
    <w:sdt>
      <w:sdtPr>
        <w:id w:val="-3051688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C0EB" w14:textId="77777777" w:rsidR="00C053A1" w:rsidRPr="005A62E5" w:rsidRDefault="005A62E5" w:rsidP="002C71B2">
    <w:pPr>
      <w:pStyle w:val="Header"/>
      <w:tabs>
        <w:tab w:val="clear" w:pos="4153"/>
        <w:tab w:val="clear" w:pos="8306"/>
        <w:tab w:val="left" w:pos="5445"/>
        <w:tab w:val="right" w:pos="9072"/>
      </w:tabs>
      <w:spacing w:after="360"/>
      <w:rPr>
        <w:noProof/>
        <w:sz w:val="20"/>
      </w:rPr>
    </w:pPr>
    <w:r>
      <w:rPr>
        <w:color w:val="505050"/>
      </w:rPr>
      <w:t>Australian Communications and Media Authority</w:t>
    </w:r>
    <w:r>
      <w:rPr>
        <w:color w:val="505050"/>
      </w:rPr>
      <w:tab/>
    </w:r>
    <w:r>
      <w:rPr>
        <w:color w:val="505050"/>
      </w:rPr>
      <w:tab/>
    </w:r>
    <w:sdt>
      <w:sdtPr>
        <w:id w:val="7264935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9F14E" w14:textId="77777777" w:rsidR="004F72DC" w:rsidRDefault="004F72DC" w:rsidP="00DB3A64">
      <w:pPr>
        <w:spacing w:after="0"/>
      </w:pPr>
      <w:r>
        <w:separator/>
      </w:r>
    </w:p>
  </w:footnote>
  <w:footnote w:type="continuationSeparator" w:id="0">
    <w:p w14:paraId="785604E2" w14:textId="77777777" w:rsidR="004F72DC" w:rsidRDefault="004F72DC">
      <w:r>
        <w:continuationSeparator/>
      </w:r>
    </w:p>
  </w:footnote>
  <w:footnote w:id="1">
    <w:p w14:paraId="0D6E0E3C" w14:textId="35381484" w:rsidR="00C62EBC" w:rsidRDefault="00C62EBC">
      <w:pPr>
        <w:pStyle w:val="FootnoteText"/>
      </w:pPr>
      <w:r>
        <w:rPr>
          <w:rStyle w:val="FootnoteReference"/>
        </w:rPr>
        <w:footnoteRef/>
      </w:r>
      <w:r>
        <w:t xml:space="preserve"> </w:t>
      </w:r>
      <w:r w:rsidR="007B2136">
        <w:t xml:space="preserve">Table 2 </w:t>
      </w:r>
      <w:r w:rsidR="00A325F8">
        <w:t xml:space="preserve">includes only the later-expiring bands for which we </w:t>
      </w:r>
      <w:r w:rsidR="006A5F7F">
        <w:t xml:space="preserve">intend to update preferred prices with future benchmarking </w:t>
      </w:r>
      <w:proofErr w:type="gramStart"/>
      <w:r w:rsidR="006A5F7F">
        <w:t>data</w:t>
      </w:r>
      <w:proofErr w:type="gramEnd"/>
      <w:r w:rsidR="006A5F7F">
        <w:t xml:space="preserve"> but t</w:t>
      </w:r>
      <w:r>
        <w:t xml:space="preserve">hese updates </w:t>
      </w:r>
      <w:r w:rsidR="00576871">
        <w:t xml:space="preserve">may </w:t>
      </w:r>
      <w:r>
        <w:t>have also affected</w:t>
      </w:r>
      <w:r w:rsidR="00484204">
        <w:t xml:space="preserve"> existing</w:t>
      </w:r>
      <w:r>
        <w:t xml:space="preserve"> benchmark datasets </w:t>
      </w:r>
      <w:r w:rsidR="00484204">
        <w:t xml:space="preserve">used </w:t>
      </w:r>
      <w:r>
        <w:t xml:space="preserve">for the 850 MHz and 1800 MHz bands. However, given the renewal application period opened for these bands </w:t>
      </w:r>
      <w:r w:rsidR="00504262">
        <w:t xml:space="preserve">on 18 June 2026, </w:t>
      </w:r>
      <w:r w:rsidR="00B63EBC">
        <w:t>before</w:t>
      </w:r>
      <w:r>
        <w:t xml:space="preserve"> the World Bank data updates</w:t>
      </w:r>
      <w:r w:rsidR="00504262">
        <w:t xml:space="preserve"> on 1 July 2026</w:t>
      </w:r>
      <w:r>
        <w:t xml:space="preserve">, we do not intend to amend the preferred $/MHz/pop price for </w:t>
      </w:r>
      <w:r w:rsidR="00EA1854">
        <w:t xml:space="preserve">these </w:t>
      </w:r>
      <w:r>
        <w:t>band</w:t>
      </w:r>
      <w:r w:rsidR="00EA1854">
        <w:t>s</w:t>
      </w:r>
      <w:r>
        <w:t>.</w:t>
      </w:r>
    </w:p>
  </w:footnote>
  <w:footnote w:id="2">
    <w:p w14:paraId="4646D5EF" w14:textId="3E2DD762" w:rsidR="00972E91" w:rsidRDefault="00972E91" w:rsidP="00972E91">
      <w:pPr>
        <w:pStyle w:val="FootnoteText"/>
      </w:pPr>
      <w:r>
        <w:rPr>
          <w:rStyle w:val="FootnoteReference"/>
        </w:rPr>
        <w:footnoteRef/>
      </w:r>
      <w:r>
        <w:t xml:space="preserve"> For example, assume a licence start date is 1 January 2030. There are 1,462 days between the end </w:t>
      </w:r>
      <w:r w:rsidR="00DC5D9A">
        <w:t xml:space="preserve">of </w:t>
      </w:r>
      <w:r>
        <w:t>2025 and the licence start date. An annual inflation rate of 2.5% corresponds to a daily compounded rate of approximately 0.006765%. Applying this rate over 1,462 days results in a CPI index value of 1.103962, calculated as (1 + 0.006765</w:t>
      </w:r>
      <w:proofErr w:type="gramStart"/>
      <w:r>
        <w:t>%)^</w:t>
      </w:r>
      <w:proofErr w:type="gramEnd"/>
      <w:r>
        <w:t xml:space="preserve">1462. </w:t>
      </w:r>
      <w:r w:rsidRPr="00261186">
        <w:t xml:space="preserve">The benchmark value would therefore be increased by around </w:t>
      </w:r>
      <w:r>
        <w:t>~</w:t>
      </w:r>
      <w:r w:rsidRPr="00261186">
        <w:t xml:space="preserve">10.4% to express it </w:t>
      </w:r>
      <w:proofErr w:type="gramStart"/>
      <w:r w:rsidRPr="00261186">
        <w:t>in</w:t>
      </w:r>
      <w:proofErr w:type="gramEnd"/>
      <w:r w:rsidRPr="00261186">
        <w:t xml:space="preserve"> </w:t>
      </w:r>
      <w:r w:rsidR="00052821">
        <w:t>1</w:t>
      </w:r>
      <w:r w:rsidRPr="00261186">
        <w:t xml:space="preserve"> January 2030 dollar terms.</w:t>
      </w:r>
    </w:p>
  </w:footnote>
  <w:footnote w:id="3">
    <w:p w14:paraId="46252F0C" w14:textId="4377CF8A" w:rsidR="001C5770" w:rsidRDefault="001C5770">
      <w:pPr>
        <w:pStyle w:val="FootnoteText"/>
      </w:pPr>
      <w:r>
        <w:rPr>
          <w:rStyle w:val="FootnoteReference"/>
        </w:rPr>
        <w:footnoteRef/>
      </w:r>
      <w:r>
        <w:t xml:space="preserve"> </w:t>
      </w:r>
      <w:r w:rsidR="000F0053">
        <w:t>We</w:t>
      </w:r>
      <w:r w:rsidRPr="001C5770">
        <w:t xml:space="preserve"> will use the most recent Census data for the HCIS cells as it becomes available, to ensure the SACs best reflect the value of the geographic coverage of individual spectrum licences.</w:t>
      </w:r>
      <w:r w:rsidR="00143A68">
        <w:t xml:space="preserve"> We expect 2026 Census</w:t>
      </w:r>
      <w:r w:rsidR="007C321D">
        <w:t xml:space="preserve"> population</w:t>
      </w:r>
      <w:r w:rsidR="00143A68">
        <w:t xml:space="preserve"> dat</w:t>
      </w:r>
      <w:r w:rsidR="00362455">
        <w:t>a</w:t>
      </w:r>
      <w:r w:rsidR="00143A68">
        <w:t xml:space="preserve"> to be available</w:t>
      </w:r>
      <w:r w:rsidR="00712681">
        <w:t xml:space="preserve"> for </w:t>
      </w:r>
      <w:r w:rsidR="007C321D">
        <w:t xml:space="preserve">HCIS cells </w:t>
      </w:r>
      <w:r w:rsidR="00DB5216">
        <w:t>in the second half of 2027.</w:t>
      </w:r>
    </w:p>
  </w:footnote>
  <w:footnote w:id="4">
    <w:p w14:paraId="3CCFA3E5" w14:textId="77777777" w:rsidR="00394889" w:rsidRDefault="00394889" w:rsidP="00394889">
      <w:pPr>
        <w:pStyle w:val="FootnoteText"/>
      </w:pPr>
      <w:r>
        <w:rPr>
          <w:rStyle w:val="FootnoteReference"/>
        </w:rPr>
        <w:footnoteRef/>
      </w:r>
      <w:r>
        <w:t xml:space="preserve"> </w:t>
      </w:r>
      <w:r w:rsidRPr="0089714F">
        <w:t>The WACC is the cost of debt and the cost of equity combined</w:t>
      </w:r>
      <w:r>
        <w:t xml:space="preserve">, which can be used </w:t>
      </w:r>
      <w:r w:rsidRPr="0089714F">
        <w:t xml:space="preserve">to discount cash flows for predetermined future </w:t>
      </w:r>
      <w:r>
        <w:t>periods to estimate present value</w:t>
      </w:r>
      <w:r w:rsidRPr="0089714F">
        <w:t>.</w:t>
      </w:r>
    </w:p>
  </w:footnote>
  <w:footnote w:id="5">
    <w:p w14:paraId="704E858A" w14:textId="77777777" w:rsidR="00E32941" w:rsidRDefault="00E32941" w:rsidP="00E32941">
      <w:pPr>
        <w:pStyle w:val="FootnoteText"/>
      </w:pPr>
      <w:r>
        <w:rPr>
          <w:rStyle w:val="FootnoteReference"/>
        </w:rPr>
        <w:footnoteRef/>
      </w:r>
      <w:r>
        <w:t xml:space="preserve"> </w:t>
      </w:r>
      <w:r w:rsidRPr="0098113A">
        <w:t>For example, Uruguay auctioned the 700 MHz band in 2017 in US dollars. In 2017, Uruguay’s PPP exchange rate was 15.77 Uruguayan pesos to A$1, while its spot exchange rate was 21.98 Uruguayan pesos to A$1, which means the PPP exchange rate was 71.8% of the spot exchange rate. We</w:t>
      </w:r>
      <w:r w:rsidRPr="0098113A" w:rsidDel="005547E5">
        <w:t xml:space="preserve"> </w:t>
      </w:r>
      <w:r w:rsidRPr="0098113A">
        <w:t>took the spot exchange rate of US$0.7664 = A$1 and multiplied it by 71.8% to find an implied PPP exchange rate of US$0.55</w:t>
      </w:r>
      <w:r>
        <w:t>00</w:t>
      </w:r>
      <w:r w:rsidRPr="0098113A">
        <w:t xml:space="preserve"> for Uruguay.</w:t>
      </w:r>
    </w:p>
  </w:footnote>
  <w:footnote w:id="6">
    <w:p w14:paraId="0F65EE2E" w14:textId="09036100" w:rsidR="00E32941" w:rsidRDefault="00E32941" w:rsidP="00E32941">
      <w:pPr>
        <w:pStyle w:val="FootnoteText"/>
      </w:pPr>
      <w:r>
        <w:rPr>
          <w:rStyle w:val="FootnoteReference"/>
        </w:rPr>
        <w:footnoteRef/>
      </w:r>
      <w:r>
        <w:t xml:space="preserve"> </w:t>
      </w:r>
      <w:r w:rsidRPr="00CF2559">
        <w:t>For example, assume the licence commencement date is 1 January 2030, and the present value is current</w:t>
      </w:r>
      <w:r w:rsidR="00F821A1">
        <w:t xml:space="preserve"> for</w:t>
      </w:r>
      <w:r w:rsidRPr="00CF2559">
        <w:t xml:space="preserve"> 31 December 2025. There are 1,462 days between the end </w:t>
      </w:r>
      <w:r w:rsidR="002D2290">
        <w:t xml:space="preserve">of </w:t>
      </w:r>
      <w:r w:rsidRPr="00CF2559">
        <w:t>2025 and the licence commencement. An annual inflation rate of 2.5% corresponds to a daily compounded rate of approximately 0.006765%. Applying this rate over 1,462 days results in a CPI index value of 1.103962, calculated as (1 + 0.006765</w:t>
      </w:r>
      <w:proofErr w:type="gramStart"/>
      <w:r w:rsidRPr="00CF2559">
        <w:t>%)^</w:t>
      </w:r>
      <w:proofErr w:type="gramEnd"/>
      <w:r w:rsidRPr="00CF2559">
        <w:t>1462.</w:t>
      </w:r>
    </w:p>
  </w:footnote>
  <w:footnote w:id="7">
    <w:p w14:paraId="014615D7" w14:textId="77777777" w:rsidR="00C35782" w:rsidRDefault="00C35782" w:rsidP="00C35782">
      <w:pPr>
        <w:pStyle w:val="FootnoteText"/>
      </w:pPr>
      <w:r>
        <w:rPr>
          <w:rStyle w:val="FootnoteReference"/>
        </w:rPr>
        <w:footnoteRef/>
      </w:r>
      <w:r>
        <w:t xml:space="preserve"> </w:t>
      </w:r>
      <w:r w:rsidRPr="00734B8E">
        <w:t xml:space="preserve">For example, multiplying </w:t>
      </w:r>
      <w:r>
        <w:t>4</w:t>
      </w:r>
      <w:r w:rsidRPr="00734B8E">
        <w:t xml:space="preserve"> values (0.6, 0.4, 0.1 and 1.1) gives 0.0264; taking the </w:t>
      </w:r>
      <w:r>
        <w:t>4th</w:t>
      </w:r>
      <w:r w:rsidRPr="00734B8E">
        <w:t xml:space="preserve"> root of this value results in an average of 0.403</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FA2DC" w14:textId="77777777" w:rsidR="002C71B2" w:rsidRDefault="006300BF">
    <w:pPr>
      <w:pStyle w:val="Header"/>
    </w:pPr>
    <w:r>
      <w:rPr>
        <w:noProof/>
      </w:rPr>
      <mc:AlternateContent>
        <mc:Choice Requires="wps">
          <w:drawing>
            <wp:anchor distT="0" distB="0" distL="0" distR="0" simplePos="0" relativeHeight="251658240" behindDoc="0" locked="0" layoutInCell="1" allowOverlap="1" wp14:anchorId="7EC0F4B9" wp14:editId="4B795877">
              <wp:simplePos x="635" y="635"/>
              <wp:positionH relativeFrom="page">
                <wp:align>center</wp:align>
              </wp:positionH>
              <wp:positionV relativeFrom="page">
                <wp:align>top</wp:align>
              </wp:positionV>
              <wp:extent cx="551815" cy="376555"/>
              <wp:effectExtent l="0" t="0" r="635" b="4445"/>
              <wp:wrapNone/>
              <wp:docPr id="16633517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308FFE"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C0F4B9"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B308FFE"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5C36" w14:textId="77777777" w:rsidR="00C053A1" w:rsidRPr="005A62E5" w:rsidRDefault="005A62E5" w:rsidP="005A62E5">
    <w:pPr>
      <w:pStyle w:val="Header"/>
    </w:pPr>
    <w:r>
      <w:rPr>
        <w:noProof/>
      </w:rPr>
      <w:drawing>
        <wp:inline distT="0" distB="0" distL="0" distR="0" wp14:anchorId="09439F6E" wp14:editId="38E6435B">
          <wp:extent cx="3229598" cy="381000"/>
          <wp:effectExtent l="0" t="0" r="9525" b="0"/>
          <wp:docPr id="5" name="Picture 5" descr="AC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CMA logo"/>
                  <pic:cNvPicPr/>
                </pic:nvPicPr>
                <pic:blipFill>
                  <a:blip r:embed="rId1"/>
                  <a:stretch>
                    <a:fillRect/>
                  </a:stretch>
                </pic:blipFill>
                <pic:spPr>
                  <a:xfrm>
                    <a:off x="0" y="0"/>
                    <a:ext cx="3300801" cy="389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1196" w14:textId="77777777" w:rsidR="00C053A1" w:rsidRPr="00A5474E" w:rsidRDefault="00C053A1" w:rsidP="00594E9C">
    <w:pPr>
      <w:pStyle w:val="TOCHeading"/>
    </w:pPr>
    <w:r w:rsidRPr="0029593B">
      <w:t>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D67D" w14:textId="77777777" w:rsidR="00C053A1" w:rsidRDefault="00C053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2026" w14:textId="77777777" w:rsidR="00C053A1" w:rsidRDefault="006300BF">
    <w:pPr>
      <w:pStyle w:val="Header"/>
    </w:pPr>
    <w:r>
      <w:rPr>
        <w:noProof/>
      </w:rPr>
      <mc:AlternateContent>
        <mc:Choice Requires="wps">
          <w:drawing>
            <wp:anchor distT="0" distB="0" distL="0" distR="0" simplePos="0" relativeHeight="251658241" behindDoc="0" locked="0" layoutInCell="1" allowOverlap="1" wp14:anchorId="57AEBDA6" wp14:editId="65AE5C40">
              <wp:simplePos x="635" y="635"/>
              <wp:positionH relativeFrom="page">
                <wp:align>center</wp:align>
              </wp:positionH>
              <wp:positionV relativeFrom="page">
                <wp:align>top</wp:align>
              </wp:positionV>
              <wp:extent cx="551815" cy="376555"/>
              <wp:effectExtent l="0" t="0" r="635" b="4445"/>
              <wp:wrapNone/>
              <wp:docPr id="70862488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8A74565"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AEBDA6" id="_x0000_t202" coordsize="21600,21600" o:spt="202" path="m,l,21600r21600,l21600,xe">
              <v:stroke joinstyle="miter"/>
              <v:path gradientshapeok="t" o:connecttype="rect"/>
            </v:shapetype>
            <v:shape id="Text Box 5" o:spid="_x0000_s1029"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08A74565"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78" w:type="dxa"/>
      <w:tblLayout w:type="fixed"/>
      <w:tblCellMar>
        <w:left w:w="0" w:type="dxa"/>
        <w:right w:w="0" w:type="dxa"/>
      </w:tblCellMar>
      <w:tblLook w:val="01E0" w:firstRow="1" w:lastRow="1" w:firstColumn="1" w:lastColumn="1" w:noHBand="0" w:noVBand="0"/>
    </w:tblPr>
    <w:tblGrid>
      <w:gridCol w:w="7678"/>
    </w:tblGrid>
    <w:tr w:rsidR="00971914" w14:paraId="79D09B47" w14:textId="77777777" w:rsidTr="00DF5394">
      <w:trPr>
        <w:trHeight w:hRule="exact" w:val="988"/>
      </w:trPr>
      <w:tc>
        <w:tcPr>
          <w:tcW w:w="7678" w:type="dxa"/>
        </w:tcPr>
        <w:p w14:paraId="31F40781" w14:textId="77777777" w:rsidR="00971914" w:rsidRDefault="006300BF" w:rsidP="00971914">
          <w:pPr>
            <w:pStyle w:val="Header"/>
          </w:pPr>
          <w:r>
            <w:rPr>
              <w:noProof/>
            </w:rPr>
            <mc:AlternateContent>
              <mc:Choice Requires="wps">
                <w:drawing>
                  <wp:anchor distT="0" distB="0" distL="0" distR="0" simplePos="0" relativeHeight="251658242" behindDoc="0" locked="0" layoutInCell="1" allowOverlap="1" wp14:anchorId="541C40BE" wp14:editId="5AEC9CE7">
                    <wp:simplePos x="635" y="635"/>
                    <wp:positionH relativeFrom="page">
                      <wp:align>center</wp:align>
                    </wp:positionH>
                    <wp:positionV relativeFrom="page">
                      <wp:align>top</wp:align>
                    </wp:positionV>
                    <wp:extent cx="551815" cy="376555"/>
                    <wp:effectExtent l="0" t="0" r="635" b="4445"/>
                    <wp:wrapNone/>
                    <wp:docPr id="199019708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50F09A"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1C40BE" id="_x0000_t202" coordsize="21600,21600" o:spt="202" path="m,l,21600r21600,l21600,xe">
                    <v:stroke joinstyle="miter"/>
                    <v:path gradientshapeok="t" o:connecttype="rect"/>
                  </v:shapetype>
                  <v:shape id="Text Box 6" o:spid="_x0000_s1031"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FN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kan7LTRHHMrBuG9v+arD0mvmwxNzuGCcA0Ub&#10;HvGQCvqawsmipAX36z1/zEfeMUpJj4KpqUFFU6J+GNxH1FYyiq95mePNTe7tZJi9vgOUYYEvwvJk&#10;xrygJlM60C8o52UshCFmOJaraZjMuzAqF58DF8tlSkIZWRbWZmN5hI50RS6fhxfm7InwgJt6gElN&#10;rHrF+5gb//R2uQ/IflpKpHYk8sQ4SjCt9fRcosb/vKesy6Ne/AY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PvKMU0NAgAAHAQA&#10;AA4AAAAAAAAAAAAAAAAALgIAAGRycy9lMm9Eb2MueG1sUEsBAi0AFAAGAAgAAAAhAMOJHXfaAAAA&#10;AwEAAA8AAAAAAAAAAAAAAAAAZwQAAGRycy9kb3ducmV2LnhtbFBLBQYAAAAABAAEAPMAAABuBQAA&#10;AAA=&#10;" filled="f" stroked="f">
                    <v:textbox style="mso-fit-shape-to-text:t" inset="0,15pt,0,0">
                      <w:txbxContent>
                        <w:p w14:paraId="4150F09A"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tc>
    </w:tr>
    <w:tr w:rsidR="00971914" w14:paraId="41704F98" w14:textId="77777777" w:rsidTr="00DF5394">
      <w:tc>
        <w:tcPr>
          <w:tcW w:w="7678" w:type="dxa"/>
        </w:tcPr>
        <w:p w14:paraId="52E1F491" w14:textId="77777777" w:rsidR="00971914" w:rsidRDefault="00971914" w:rsidP="00971914">
          <w:pPr>
            <w:pStyle w:val="GridTable31"/>
          </w:pPr>
          <w:r>
            <w:t xml:space="preserve">Contents </w:t>
          </w:r>
          <w:r w:rsidRPr="00915B1C">
            <w:rPr>
              <w:b w:val="0"/>
              <w:spacing w:val="0"/>
              <w:sz w:val="28"/>
              <w:szCs w:val="28"/>
            </w:rPr>
            <w:t>(Continued)</w:t>
          </w:r>
        </w:p>
      </w:tc>
    </w:tr>
    <w:tr w:rsidR="00971914" w14:paraId="7BDDC6D6" w14:textId="77777777" w:rsidTr="00DF5394">
      <w:trPr>
        <w:trHeight w:val="1220"/>
      </w:trPr>
      <w:tc>
        <w:tcPr>
          <w:tcW w:w="7678" w:type="dxa"/>
        </w:tcPr>
        <w:p w14:paraId="0CAA49CC" w14:textId="77777777" w:rsidR="00971914" w:rsidRDefault="00971914" w:rsidP="00971914"/>
      </w:tc>
    </w:tr>
  </w:tbl>
  <w:p w14:paraId="0621F4A2" w14:textId="77777777" w:rsidR="00971914" w:rsidRDefault="00971914" w:rsidP="009719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78" w:type="dxa"/>
      <w:tblLayout w:type="fixed"/>
      <w:tblCellMar>
        <w:left w:w="0" w:type="dxa"/>
        <w:right w:w="0" w:type="dxa"/>
      </w:tblCellMar>
      <w:tblLook w:val="01E0" w:firstRow="1" w:lastRow="1" w:firstColumn="1" w:lastColumn="1" w:noHBand="0" w:noVBand="0"/>
    </w:tblPr>
    <w:tblGrid>
      <w:gridCol w:w="7678"/>
    </w:tblGrid>
    <w:tr w:rsidR="00971914" w14:paraId="5F3EFCB5" w14:textId="77777777" w:rsidTr="00DF5394">
      <w:trPr>
        <w:trHeight w:hRule="exact" w:val="988"/>
      </w:trPr>
      <w:tc>
        <w:tcPr>
          <w:tcW w:w="7678" w:type="dxa"/>
        </w:tcPr>
        <w:p w14:paraId="6481B664" w14:textId="77777777" w:rsidR="00971914" w:rsidRDefault="006300BF" w:rsidP="00971914">
          <w:pPr>
            <w:pStyle w:val="Header"/>
          </w:pPr>
          <w:r>
            <w:rPr>
              <w:noProof/>
            </w:rPr>
            <mc:AlternateContent>
              <mc:Choice Requires="wps">
                <w:drawing>
                  <wp:anchor distT="0" distB="0" distL="0" distR="0" simplePos="0" relativeHeight="251658243" behindDoc="0" locked="0" layoutInCell="1" allowOverlap="1" wp14:anchorId="424C28A1" wp14:editId="7EBF72BD">
                    <wp:simplePos x="635" y="635"/>
                    <wp:positionH relativeFrom="page">
                      <wp:align>center</wp:align>
                    </wp:positionH>
                    <wp:positionV relativeFrom="page">
                      <wp:align>top</wp:align>
                    </wp:positionV>
                    <wp:extent cx="551815" cy="376555"/>
                    <wp:effectExtent l="0" t="0" r="635" b="4445"/>
                    <wp:wrapNone/>
                    <wp:docPr id="108157407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62279B0"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C28A1" id="_x0000_t202" coordsize="21600,21600" o:spt="202" path="m,l,21600r21600,l21600,xe">
                    <v:stroke joinstyle="miter"/>
                    <v:path gradientshapeok="t" o:connecttype="rect"/>
                  </v:shapetype>
                  <v:shape id="Text Box 7" o:spid="_x0000_s1032"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662279B0" w14:textId="77777777" w:rsidR="006300BF" w:rsidRPr="006300BF" w:rsidRDefault="006300BF" w:rsidP="006300BF">
                          <w:pPr>
                            <w:spacing w:after="0"/>
                            <w:rPr>
                              <w:rFonts w:ascii="Aptos" w:eastAsia="Aptos" w:hAnsi="Aptos" w:cs="Aptos"/>
                              <w:noProof/>
                              <w:color w:val="FF0000"/>
                              <w:sz w:val="24"/>
                            </w:rPr>
                          </w:pPr>
                          <w:r w:rsidRPr="006300BF">
                            <w:rPr>
                              <w:rFonts w:ascii="Aptos" w:eastAsia="Aptos" w:hAnsi="Aptos" w:cs="Aptos"/>
                              <w:noProof/>
                              <w:color w:val="FF0000"/>
                              <w:sz w:val="24"/>
                            </w:rPr>
                            <w:t>OFFICIAL</w:t>
                          </w:r>
                        </w:p>
                      </w:txbxContent>
                    </v:textbox>
                    <w10:wrap anchorx="page" anchory="page"/>
                  </v:shape>
                </w:pict>
              </mc:Fallback>
            </mc:AlternateContent>
          </w:r>
        </w:p>
      </w:tc>
    </w:tr>
    <w:tr w:rsidR="00971914" w14:paraId="36F6292C" w14:textId="77777777" w:rsidTr="00DF5394">
      <w:tc>
        <w:tcPr>
          <w:tcW w:w="7678" w:type="dxa"/>
        </w:tcPr>
        <w:p w14:paraId="0E71988E" w14:textId="77777777" w:rsidR="00971914" w:rsidRDefault="00971914" w:rsidP="00971914">
          <w:pPr>
            <w:pStyle w:val="GridTable31"/>
          </w:pPr>
          <w:r>
            <w:t xml:space="preserve">Contents </w:t>
          </w:r>
          <w:r w:rsidRPr="00915B1C">
            <w:rPr>
              <w:b w:val="0"/>
              <w:spacing w:val="0"/>
              <w:sz w:val="28"/>
              <w:szCs w:val="28"/>
            </w:rPr>
            <w:t>(Continued)</w:t>
          </w:r>
        </w:p>
      </w:tc>
    </w:tr>
    <w:tr w:rsidR="00971914" w14:paraId="4D76DADE" w14:textId="77777777" w:rsidTr="00DF5394">
      <w:trPr>
        <w:trHeight w:val="1220"/>
      </w:trPr>
      <w:tc>
        <w:tcPr>
          <w:tcW w:w="7678" w:type="dxa"/>
        </w:tcPr>
        <w:p w14:paraId="1C964F8F" w14:textId="77777777" w:rsidR="00971914" w:rsidRDefault="00971914" w:rsidP="00971914"/>
      </w:tc>
    </w:tr>
  </w:tbl>
  <w:p w14:paraId="63B76025" w14:textId="77777777" w:rsidR="00C053A1" w:rsidRPr="00A5474E" w:rsidRDefault="00C053A1" w:rsidP="00A54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4E27" w14:textId="77777777" w:rsidR="00C053A1" w:rsidRDefault="00C053A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25F8B" w14:textId="77777777" w:rsidR="00C053A1" w:rsidRDefault="00C05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5F22F60"/>
    <w:lvl w:ilvl="0">
      <w:start w:val="1"/>
      <w:numFmt w:val="lowerRoman"/>
      <w:pStyle w:val="ListNumber2"/>
      <w:lvlText w:val="%1."/>
      <w:lvlJc w:val="right"/>
      <w:pPr>
        <w:ind w:left="717" w:hanging="360"/>
      </w:pPr>
      <w:rPr>
        <w:rFonts w:hint="default"/>
      </w:rPr>
    </w:lvl>
  </w:abstractNum>
  <w:abstractNum w:abstractNumId="1" w15:restartNumberingAfterBreak="0">
    <w:nsid w:val="FFFFFF83"/>
    <w:multiLevelType w:val="singleLevel"/>
    <w:tmpl w:val="909E78BC"/>
    <w:lvl w:ilvl="0">
      <w:start w:val="1"/>
      <w:numFmt w:val="bullet"/>
      <w:pStyle w:val="ListBullet2"/>
      <w:lvlText w:val="&gt;"/>
      <w:lvlJc w:val="left"/>
      <w:pPr>
        <w:tabs>
          <w:tab w:val="num" w:pos="845"/>
        </w:tabs>
        <w:ind w:left="845" w:hanging="544"/>
      </w:pPr>
      <w:rPr>
        <w:rFonts w:ascii="HelveticaNeueLT Std Lt" w:hAnsi="HelveticaNeueLT Std Lt" w:hint="default"/>
        <w:sz w:val="20"/>
      </w:rPr>
    </w:lvl>
  </w:abstractNum>
  <w:abstractNum w:abstractNumId="2" w15:restartNumberingAfterBreak="0">
    <w:nsid w:val="FFFFFF88"/>
    <w:multiLevelType w:val="singleLevel"/>
    <w:tmpl w:val="93C0CEB6"/>
    <w:lvl w:ilvl="0">
      <w:start w:val="1"/>
      <w:numFmt w:val="decimal"/>
      <w:pStyle w:val="ListNumber"/>
      <w:lvlText w:val="%1."/>
      <w:lvlJc w:val="left"/>
      <w:pPr>
        <w:ind w:left="360" w:hanging="360"/>
      </w:pPr>
      <w:rPr>
        <w:rFonts w:hint="default"/>
        <w:b w:val="0"/>
        <w:bCs/>
        <w:caps/>
        <w:sz w:val="22"/>
        <w:szCs w:val="28"/>
      </w:rPr>
    </w:lvl>
  </w:abstractNum>
  <w:abstractNum w:abstractNumId="3" w15:restartNumberingAfterBreak="0">
    <w:nsid w:val="FFFFFF89"/>
    <w:multiLevelType w:val="singleLevel"/>
    <w:tmpl w:val="E552FEBA"/>
    <w:lvl w:ilvl="0">
      <w:start w:val="1"/>
      <w:numFmt w:val="bullet"/>
      <w:pStyle w:val="ListBullet"/>
      <w:lvlText w:val="&gt;"/>
      <w:lvlJc w:val="left"/>
      <w:pPr>
        <w:tabs>
          <w:tab w:val="num" w:pos="295"/>
        </w:tabs>
        <w:ind w:left="295" w:hanging="295"/>
      </w:pPr>
      <w:rPr>
        <w:rFonts w:ascii="HelveticaNeueLT Std Lt" w:hAnsi="HelveticaNeueLT Std Lt" w:hint="default"/>
        <w:sz w:val="20"/>
      </w:rPr>
    </w:lvl>
  </w:abstractNum>
  <w:abstractNum w:abstractNumId="4" w15:restartNumberingAfterBreak="0">
    <w:nsid w:val="07AB6B89"/>
    <w:multiLevelType w:val="hybridMultilevel"/>
    <w:tmpl w:val="800825F4"/>
    <w:lvl w:ilvl="0" w:tplc="46AEE088">
      <w:start w:val="1"/>
      <w:numFmt w:val="bullet"/>
      <w:lvlText w:val=""/>
      <w:lvlJc w:val="left"/>
      <w:pPr>
        <w:ind w:left="1280" w:hanging="360"/>
      </w:pPr>
      <w:rPr>
        <w:rFonts w:ascii="Symbol" w:hAnsi="Symbol"/>
      </w:rPr>
    </w:lvl>
    <w:lvl w:ilvl="1" w:tplc="40F6A88E">
      <w:start w:val="1"/>
      <w:numFmt w:val="bullet"/>
      <w:lvlText w:val=""/>
      <w:lvlJc w:val="left"/>
      <w:pPr>
        <w:ind w:left="1280" w:hanging="360"/>
      </w:pPr>
      <w:rPr>
        <w:rFonts w:ascii="Symbol" w:hAnsi="Symbol"/>
      </w:rPr>
    </w:lvl>
    <w:lvl w:ilvl="2" w:tplc="D3A85A36">
      <w:start w:val="1"/>
      <w:numFmt w:val="bullet"/>
      <w:lvlText w:val=""/>
      <w:lvlJc w:val="left"/>
      <w:pPr>
        <w:ind w:left="1280" w:hanging="360"/>
      </w:pPr>
      <w:rPr>
        <w:rFonts w:ascii="Symbol" w:hAnsi="Symbol"/>
      </w:rPr>
    </w:lvl>
    <w:lvl w:ilvl="3" w:tplc="4CACF314">
      <w:start w:val="1"/>
      <w:numFmt w:val="bullet"/>
      <w:lvlText w:val=""/>
      <w:lvlJc w:val="left"/>
      <w:pPr>
        <w:ind w:left="1280" w:hanging="360"/>
      </w:pPr>
      <w:rPr>
        <w:rFonts w:ascii="Symbol" w:hAnsi="Symbol"/>
      </w:rPr>
    </w:lvl>
    <w:lvl w:ilvl="4" w:tplc="0DFE2FF2">
      <w:start w:val="1"/>
      <w:numFmt w:val="bullet"/>
      <w:lvlText w:val=""/>
      <w:lvlJc w:val="left"/>
      <w:pPr>
        <w:ind w:left="1280" w:hanging="360"/>
      </w:pPr>
      <w:rPr>
        <w:rFonts w:ascii="Symbol" w:hAnsi="Symbol"/>
      </w:rPr>
    </w:lvl>
    <w:lvl w:ilvl="5" w:tplc="E0DE37DA">
      <w:start w:val="1"/>
      <w:numFmt w:val="bullet"/>
      <w:lvlText w:val=""/>
      <w:lvlJc w:val="left"/>
      <w:pPr>
        <w:ind w:left="1280" w:hanging="360"/>
      </w:pPr>
      <w:rPr>
        <w:rFonts w:ascii="Symbol" w:hAnsi="Symbol"/>
      </w:rPr>
    </w:lvl>
    <w:lvl w:ilvl="6" w:tplc="2BC0DF18">
      <w:start w:val="1"/>
      <w:numFmt w:val="bullet"/>
      <w:lvlText w:val=""/>
      <w:lvlJc w:val="left"/>
      <w:pPr>
        <w:ind w:left="1280" w:hanging="360"/>
      </w:pPr>
      <w:rPr>
        <w:rFonts w:ascii="Symbol" w:hAnsi="Symbol"/>
      </w:rPr>
    </w:lvl>
    <w:lvl w:ilvl="7" w:tplc="1B1C4BFE">
      <w:start w:val="1"/>
      <w:numFmt w:val="bullet"/>
      <w:lvlText w:val=""/>
      <w:lvlJc w:val="left"/>
      <w:pPr>
        <w:ind w:left="1280" w:hanging="360"/>
      </w:pPr>
      <w:rPr>
        <w:rFonts w:ascii="Symbol" w:hAnsi="Symbol"/>
      </w:rPr>
    </w:lvl>
    <w:lvl w:ilvl="8" w:tplc="B240B1F0">
      <w:start w:val="1"/>
      <w:numFmt w:val="bullet"/>
      <w:lvlText w:val=""/>
      <w:lvlJc w:val="left"/>
      <w:pPr>
        <w:ind w:left="1280" w:hanging="360"/>
      </w:pPr>
      <w:rPr>
        <w:rFonts w:ascii="Symbol" w:hAnsi="Symbol"/>
      </w:rPr>
    </w:lvl>
  </w:abstractNum>
  <w:abstractNum w:abstractNumId="5" w15:restartNumberingAfterBreak="0">
    <w:nsid w:val="087C268C"/>
    <w:multiLevelType w:val="hybridMultilevel"/>
    <w:tmpl w:val="E0A6CA9A"/>
    <w:lvl w:ilvl="0" w:tplc="44EEC084">
      <w:start w:val="1"/>
      <w:numFmt w:val="bullet"/>
      <w:lvlText w:val="&gt;"/>
      <w:lvlJc w:val="left"/>
      <w:pPr>
        <w:ind w:left="720" w:hanging="360"/>
      </w:pPr>
      <w:rPr>
        <w:rFonts w:ascii="HelveticaNeueLT Std" w:hAnsi="HelveticaNeueLT St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D7425B"/>
    <w:multiLevelType w:val="hybridMultilevel"/>
    <w:tmpl w:val="BC86EDFE"/>
    <w:lvl w:ilvl="0" w:tplc="E410D6E0">
      <w:start w:val="1"/>
      <w:numFmt w:val="bullet"/>
      <w:lvlText w:val=""/>
      <w:lvlJc w:val="left"/>
      <w:pPr>
        <w:ind w:left="1000" w:hanging="360"/>
      </w:pPr>
      <w:rPr>
        <w:rFonts w:ascii="Symbol" w:hAnsi="Symbol"/>
      </w:rPr>
    </w:lvl>
    <w:lvl w:ilvl="1" w:tplc="01962E80">
      <w:start w:val="1"/>
      <w:numFmt w:val="bullet"/>
      <w:lvlText w:val=""/>
      <w:lvlJc w:val="left"/>
      <w:pPr>
        <w:ind w:left="1000" w:hanging="360"/>
      </w:pPr>
      <w:rPr>
        <w:rFonts w:ascii="Symbol" w:hAnsi="Symbol"/>
      </w:rPr>
    </w:lvl>
    <w:lvl w:ilvl="2" w:tplc="512A3A8C">
      <w:start w:val="1"/>
      <w:numFmt w:val="bullet"/>
      <w:lvlText w:val=""/>
      <w:lvlJc w:val="left"/>
      <w:pPr>
        <w:ind w:left="1000" w:hanging="360"/>
      </w:pPr>
      <w:rPr>
        <w:rFonts w:ascii="Symbol" w:hAnsi="Symbol"/>
      </w:rPr>
    </w:lvl>
    <w:lvl w:ilvl="3" w:tplc="7A0223E6">
      <w:start w:val="1"/>
      <w:numFmt w:val="bullet"/>
      <w:lvlText w:val=""/>
      <w:lvlJc w:val="left"/>
      <w:pPr>
        <w:ind w:left="1000" w:hanging="360"/>
      </w:pPr>
      <w:rPr>
        <w:rFonts w:ascii="Symbol" w:hAnsi="Symbol"/>
      </w:rPr>
    </w:lvl>
    <w:lvl w:ilvl="4" w:tplc="840070D0">
      <w:start w:val="1"/>
      <w:numFmt w:val="bullet"/>
      <w:lvlText w:val=""/>
      <w:lvlJc w:val="left"/>
      <w:pPr>
        <w:ind w:left="1000" w:hanging="360"/>
      </w:pPr>
      <w:rPr>
        <w:rFonts w:ascii="Symbol" w:hAnsi="Symbol"/>
      </w:rPr>
    </w:lvl>
    <w:lvl w:ilvl="5" w:tplc="5AD87ECC">
      <w:start w:val="1"/>
      <w:numFmt w:val="bullet"/>
      <w:lvlText w:val=""/>
      <w:lvlJc w:val="left"/>
      <w:pPr>
        <w:ind w:left="1000" w:hanging="360"/>
      </w:pPr>
      <w:rPr>
        <w:rFonts w:ascii="Symbol" w:hAnsi="Symbol"/>
      </w:rPr>
    </w:lvl>
    <w:lvl w:ilvl="6" w:tplc="F3D61BE0">
      <w:start w:val="1"/>
      <w:numFmt w:val="bullet"/>
      <w:lvlText w:val=""/>
      <w:lvlJc w:val="left"/>
      <w:pPr>
        <w:ind w:left="1000" w:hanging="360"/>
      </w:pPr>
      <w:rPr>
        <w:rFonts w:ascii="Symbol" w:hAnsi="Symbol"/>
      </w:rPr>
    </w:lvl>
    <w:lvl w:ilvl="7" w:tplc="D53C1DC0">
      <w:start w:val="1"/>
      <w:numFmt w:val="bullet"/>
      <w:lvlText w:val=""/>
      <w:lvlJc w:val="left"/>
      <w:pPr>
        <w:ind w:left="1000" w:hanging="360"/>
      </w:pPr>
      <w:rPr>
        <w:rFonts w:ascii="Symbol" w:hAnsi="Symbol"/>
      </w:rPr>
    </w:lvl>
    <w:lvl w:ilvl="8" w:tplc="A0C409B0">
      <w:start w:val="1"/>
      <w:numFmt w:val="bullet"/>
      <w:lvlText w:val=""/>
      <w:lvlJc w:val="left"/>
      <w:pPr>
        <w:ind w:left="1000" w:hanging="360"/>
      </w:pPr>
      <w:rPr>
        <w:rFonts w:ascii="Symbol" w:hAnsi="Symbol"/>
      </w:rPr>
    </w:lvl>
  </w:abstractNum>
  <w:abstractNum w:abstractNumId="7" w15:restartNumberingAfterBreak="0">
    <w:nsid w:val="11AD521D"/>
    <w:multiLevelType w:val="hybridMultilevel"/>
    <w:tmpl w:val="B108FD84"/>
    <w:lvl w:ilvl="0" w:tplc="DD00C67E">
      <w:start w:val="1"/>
      <w:numFmt w:val="bullet"/>
      <w:pStyle w:val="Bulletlevel2"/>
      <w:lvlText w:val=""/>
      <w:lvlJc w:val="left"/>
      <w:pPr>
        <w:ind w:left="2708" w:hanging="360"/>
      </w:pPr>
      <w:rPr>
        <w:rFonts w:ascii="Symbol" w:hAnsi="Symbol" w:hint="default"/>
      </w:rPr>
    </w:lvl>
    <w:lvl w:ilvl="1" w:tplc="0C090003">
      <w:start w:val="1"/>
      <w:numFmt w:val="bullet"/>
      <w:lvlText w:val="o"/>
      <w:lvlJc w:val="left"/>
      <w:pPr>
        <w:ind w:left="3428" w:hanging="360"/>
      </w:pPr>
      <w:rPr>
        <w:rFonts w:ascii="Courier New" w:hAnsi="Courier New" w:cs="Courier New" w:hint="default"/>
      </w:rPr>
    </w:lvl>
    <w:lvl w:ilvl="2" w:tplc="0C090005" w:tentative="1">
      <w:start w:val="1"/>
      <w:numFmt w:val="bullet"/>
      <w:lvlText w:val=""/>
      <w:lvlJc w:val="left"/>
      <w:pPr>
        <w:ind w:left="4148" w:hanging="360"/>
      </w:pPr>
      <w:rPr>
        <w:rFonts w:ascii="Wingdings" w:hAnsi="Wingdings" w:hint="default"/>
      </w:rPr>
    </w:lvl>
    <w:lvl w:ilvl="3" w:tplc="0C090001" w:tentative="1">
      <w:start w:val="1"/>
      <w:numFmt w:val="bullet"/>
      <w:lvlText w:val=""/>
      <w:lvlJc w:val="left"/>
      <w:pPr>
        <w:ind w:left="4868" w:hanging="360"/>
      </w:pPr>
      <w:rPr>
        <w:rFonts w:ascii="Symbol" w:hAnsi="Symbol" w:hint="default"/>
      </w:rPr>
    </w:lvl>
    <w:lvl w:ilvl="4" w:tplc="0C090003" w:tentative="1">
      <w:start w:val="1"/>
      <w:numFmt w:val="bullet"/>
      <w:lvlText w:val="o"/>
      <w:lvlJc w:val="left"/>
      <w:pPr>
        <w:ind w:left="5588" w:hanging="360"/>
      </w:pPr>
      <w:rPr>
        <w:rFonts w:ascii="Courier New" w:hAnsi="Courier New" w:cs="Courier New" w:hint="default"/>
      </w:rPr>
    </w:lvl>
    <w:lvl w:ilvl="5" w:tplc="0C090005" w:tentative="1">
      <w:start w:val="1"/>
      <w:numFmt w:val="bullet"/>
      <w:lvlText w:val=""/>
      <w:lvlJc w:val="left"/>
      <w:pPr>
        <w:ind w:left="6308" w:hanging="360"/>
      </w:pPr>
      <w:rPr>
        <w:rFonts w:ascii="Wingdings" w:hAnsi="Wingdings" w:hint="default"/>
      </w:rPr>
    </w:lvl>
    <w:lvl w:ilvl="6" w:tplc="0C090001" w:tentative="1">
      <w:start w:val="1"/>
      <w:numFmt w:val="bullet"/>
      <w:lvlText w:val=""/>
      <w:lvlJc w:val="left"/>
      <w:pPr>
        <w:ind w:left="7028" w:hanging="360"/>
      </w:pPr>
      <w:rPr>
        <w:rFonts w:ascii="Symbol" w:hAnsi="Symbol" w:hint="default"/>
      </w:rPr>
    </w:lvl>
    <w:lvl w:ilvl="7" w:tplc="0C090003" w:tentative="1">
      <w:start w:val="1"/>
      <w:numFmt w:val="bullet"/>
      <w:lvlText w:val="o"/>
      <w:lvlJc w:val="left"/>
      <w:pPr>
        <w:ind w:left="7748" w:hanging="360"/>
      </w:pPr>
      <w:rPr>
        <w:rFonts w:ascii="Courier New" w:hAnsi="Courier New" w:cs="Courier New" w:hint="default"/>
      </w:rPr>
    </w:lvl>
    <w:lvl w:ilvl="8" w:tplc="0C090005" w:tentative="1">
      <w:start w:val="1"/>
      <w:numFmt w:val="bullet"/>
      <w:lvlText w:val=""/>
      <w:lvlJc w:val="left"/>
      <w:pPr>
        <w:ind w:left="8468" w:hanging="360"/>
      </w:pPr>
      <w:rPr>
        <w:rFonts w:ascii="Wingdings" w:hAnsi="Wingdings" w:hint="default"/>
      </w:rPr>
    </w:lvl>
  </w:abstractNum>
  <w:abstractNum w:abstractNumId="8" w15:restartNumberingAfterBreak="0">
    <w:nsid w:val="13C652FF"/>
    <w:multiLevelType w:val="hybridMultilevel"/>
    <w:tmpl w:val="8F3C8C22"/>
    <w:lvl w:ilvl="0" w:tplc="5DA293C0">
      <w:start w:val="1"/>
      <w:numFmt w:val="bullet"/>
      <w:lvlText w:val=""/>
      <w:lvlJc w:val="left"/>
      <w:pPr>
        <w:ind w:left="1000" w:hanging="360"/>
      </w:pPr>
      <w:rPr>
        <w:rFonts w:ascii="Symbol" w:hAnsi="Symbol"/>
      </w:rPr>
    </w:lvl>
    <w:lvl w:ilvl="1" w:tplc="D556E012">
      <w:start w:val="1"/>
      <w:numFmt w:val="bullet"/>
      <w:lvlText w:val=""/>
      <w:lvlJc w:val="left"/>
      <w:pPr>
        <w:ind w:left="1000" w:hanging="360"/>
      </w:pPr>
      <w:rPr>
        <w:rFonts w:ascii="Symbol" w:hAnsi="Symbol"/>
      </w:rPr>
    </w:lvl>
    <w:lvl w:ilvl="2" w:tplc="9298684C">
      <w:start w:val="1"/>
      <w:numFmt w:val="bullet"/>
      <w:lvlText w:val=""/>
      <w:lvlJc w:val="left"/>
      <w:pPr>
        <w:ind w:left="1000" w:hanging="360"/>
      </w:pPr>
      <w:rPr>
        <w:rFonts w:ascii="Symbol" w:hAnsi="Symbol"/>
      </w:rPr>
    </w:lvl>
    <w:lvl w:ilvl="3" w:tplc="C44C499E">
      <w:start w:val="1"/>
      <w:numFmt w:val="bullet"/>
      <w:lvlText w:val=""/>
      <w:lvlJc w:val="left"/>
      <w:pPr>
        <w:ind w:left="1000" w:hanging="360"/>
      </w:pPr>
      <w:rPr>
        <w:rFonts w:ascii="Symbol" w:hAnsi="Symbol"/>
      </w:rPr>
    </w:lvl>
    <w:lvl w:ilvl="4" w:tplc="BE1493BC">
      <w:start w:val="1"/>
      <w:numFmt w:val="bullet"/>
      <w:lvlText w:val=""/>
      <w:lvlJc w:val="left"/>
      <w:pPr>
        <w:ind w:left="1000" w:hanging="360"/>
      </w:pPr>
      <w:rPr>
        <w:rFonts w:ascii="Symbol" w:hAnsi="Symbol"/>
      </w:rPr>
    </w:lvl>
    <w:lvl w:ilvl="5" w:tplc="386C0106">
      <w:start w:val="1"/>
      <w:numFmt w:val="bullet"/>
      <w:lvlText w:val=""/>
      <w:lvlJc w:val="left"/>
      <w:pPr>
        <w:ind w:left="1000" w:hanging="360"/>
      </w:pPr>
      <w:rPr>
        <w:rFonts w:ascii="Symbol" w:hAnsi="Symbol"/>
      </w:rPr>
    </w:lvl>
    <w:lvl w:ilvl="6" w:tplc="80A0E3F0">
      <w:start w:val="1"/>
      <w:numFmt w:val="bullet"/>
      <w:lvlText w:val=""/>
      <w:lvlJc w:val="left"/>
      <w:pPr>
        <w:ind w:left="1000" w:hanging="360"/>
      </w:pPr>
      <w:rPr>
        <w:rFonts w:ascii="Symbol" w:hAnsi="Symbol"/>
      </w:rPr>
    </w:lvl>
    <w:lvl w:ilvl="7" w:tplc="353244A8">
      <w:start w:val="1"/>
      <w:numFmt w:val="bullet"/>
      <w:lvlText w:val=""/>
      <w:lvlJc w:val="left"/>
      <w:pPr>
        <w:ind w:left="1000" w:hanging="360"/>
      </w:pPr>
      <w:rPr>
        <w:rFonts w:ascii="Symbol" w:hAnsi="Symbol"/>
      </w:rPr>
    </w:lvl>
    <w:lvl w:ilvl="8" w:tplc="428EC9E4">
      <w:start w:val="1"/>
      <w:numFmt w:val="bullet"/>
      <w:lvlText w:val=""/>
      <w:lvlJc w:val="left"/>
      <w:pPr>
        <w:ind w:left="1000" w:hanging="360"/>
      </w:pPr>
      <w:rPr>
        <w:rFonts w:ascii="Symbol" w:hAnsi="Symbol"/>
      </w:rPr>
    </w:lvl>
  </w:abstractNum>
  <w:abstractNum w:abstractNumId="9" w15:restartNumberingAfterBreak="0">
    <w:nsid w:val="16126351"/>
    <w:multiLevelType w:val="hybridMultilevel"/>
    <w:tmpl w:val="DE0C126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B9D03C5"/>
    <w:multiLevelType w:val="hybridMultilevel"/>
    <w:tmpl w:val="BD948C94"/>
    <w:lvl w:ilvl="0" w:tplc="A63025FA">
      <w:start w:val="1"/>
      <w:numFmt w:val="bullet"/>
      <w:lvlText w:val=""/>
      <w:lvlJc w:val="left"/>
      <w:pPr>
        <w:ind w:left="1280" w:hanging="360"/>
      </w:pPr>
      <w:rPr>
        <w:rFonts w:ascii="Symbol" w:hAnsi="Symbol"/>
      </w:rPr>
    </w:lvl>
    <w:lvl w:ilvl="1" w:tplc="389C0106">
      <w:start w:val="1"/>
      <w:numFmt w:val="bullet"/>
      <w:lvlText w:val=""/>
      <w:lvlJc w:val="left"/>
      <w:pPr>
        <w:ind w:left="1280" w:hanging="360"/>
      </w:pPr>
      <w:rPr>
        <w:rFonts w:ascii="Symbol" w:hAnsi="Symbol"/>
      </w:rPr>
    </w:lvl>
    <w:lvl w:ilvl="2" w:tplc="A59016D4">
      <w:start w:val="1"/>
      <w:numFmt w:val="bullet"/>
      <w:lvlText w:val=""/>
      <w:lvlJc w:val="left"/>
      <w:pPr>
        <w:ind w:left="1280" w:hanging="360"/>
      </w:pPr>
      <w:rPr>
        <w:rFonts w:ascii="Symbol" w:hAnsi="Symbol"/>
      </w:rPr>
    </w:lvl>
    <w:lvl w:ilvl="3" w:tplc="31E21B76">
      <w:start w:val="1"/>
      <w:numFmt w:val="bullet"/>
      <w:lvlText w:val=""/>
      <w:lvlJc w:val="left"/>
      <w:pPr>
        <w:ind w:left="1280" w:hanging="360"/>
      </w:pPr>
      <w:rPr>
        <w:rFonts w:ascii="Symbol" w:hAnsi="Symbol"/>
      </w:rPr>
    </w:lvl>
    <w:lvl w:ilvl="4" w:tplc="FE663D52">
      <w:start w:val="1"/>
      <w:numFmt w:val="bullet"/>
      <w:lvlText w:val=""/>
      <w:lvlJc w:val="left"/>
      <w:pPr>
        <w:ind w:left="1280" w:hanging="360"/>
      </w:pPr>
      <w:rPr>
        <w:rFonts w:ascii="Symbol" w:hAnsi="Symbol"/>
      </w:rPr>
    </w:lvl>
    <w:lvl w:ilvl="5" w:tplc="EA44EDCE">
      <w:start w:val="1"/>
      <w:numFmt w:val="bullet"/>
      <w:lvlText w:val=""/>
      <w:lvlJc w:val="left"/>
      <w:pPr>
        <w:ind w:left="1280" w:hanging="360"/>
      </w:pPr>
      <w:rPr>
        <w:rFonts w:ascii="Symbol" w:hAnsi="Symbol"/>
      </w:rPr>
    </w:lvl>
    <w:lvl w:ilvl="6" w:tplc="A066045E">
      <w:start w:val="1"/>
      <w:numFmt w:val="bullet"/>
      <w:lvlText w:val=""/>
      <w:lvlJc w:val="left"/>
      <w:pPr>
        <w:ind w:left="1280" w:hanging="360"/>
      </w:pPr>
      <w:rPr>
        <w:rFonts w:ascii="Symbol" w:hAnsi="Symbol"/>
      </w:rPr>
    </w:lvl>
    <w:lvl w:ilvl="7" w:tplc="D5A6B98A">
      <w:start w:val="1"/>
      <w:numFmt w:val="bullet"/>
      <w:lvlText w:val=""/>
      <w:lvlJc w:val="left"/>
      <w:pPr>
        <w:ind w:left="1280" w:hanging="360"/>
      </w:pPr>
      <w:rPr>
        <w:rFonts w:ascii="Symbol" w:hAnsi="Symbol"/>
      </w:rPr>
    </w:lvl>
    <w:lvl w:ilvl="8" w:tplc="790C30C4">
      <w:start w:val="1"/>
      <w:numFmt w:val="bullet"/>
      <w:lvlText w:val=""/>
      <w:lvlJc w:val="left"/>
      <w:pPr>
        <w:ind w:left="1280" w:hanging="360"/>
      </w:pPr>
      <w:rPr>
        <w:rFonts w:ascii="Symbol" w:hAnsi="Symbol"/>
      </w:rPr>
    </w:lvl>
  </w:abstractNum>
  <w:abstractNum w:abstractNumId="11" w15:restartNumberingAfterBreak="0">
    <w:nsid w:val="2E301DD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2F0C0A52"/>
    <w:multiLevelType w:val="hybridMultilevel"/>
    <w:tmpl w:val="5A8E61E6"/>
    <w:lvl w:ilvl="0" w:tplc="3C50167E">
      <w:start w:val="1"/>
      <w:numFmt w:val="bullet"/>
      <w:lvlText w:val=""/>
      <w:lvlJc w:val="left"/>
      <w:pPr>
        <w:ind w:left="1000" w:hanging="360"/>
      </w:pPr>
      <w:rPr>
        <w:rFonts w:ascii="Symbol" w:hAnsi="Symbol"/>
      </w:rPr>
    </w:lvl>
    <w:lvl w:ilvl="1" w:tplc="1E505A72">
      <w:start w:val="1"/>
      <w:numFmt w:val="bullet"/>
      <w:lvlText w:val=""/>
      <w:lvlJc w:val="left"/>
      <w:pPr>
        <w:ind w:left="1000" w:hanging="360"/>
      </w:pPr>
      <w:rPr>
        <w:rFonts w:ascii="Symbol" w:hAnsi="Symbol"/>
      </w:rPr>
    </w:lvl>
    <w:lvl w:ilvl="2" w:tplc="45F64FE8">
      <w:start w:val="1"/>
      <w:numFmt w:val="bullet"/>
      <w:lvlText w:val=""/>
      <w:lvlJc w:val="left"/>
      <w:pPr>
        <w:ind w:left="1000" w:hanging="360"/>
      </w:pPr>
      <w:rPr>
        <w:rFonts w:ascii="Symbol" w:hAnsi="Symbol"/>
      </w:rPr>
    </w:lvl>
    <w:lvl w:ilvl="3" w:tplc="023C347C">
      <w:start w:val="1"/>
      <w:numFmt w:val="bullet"/>
      <w:lvlText w:val=""/>
      <w:lvlJc w:val="left"/>
      <w:pPr>
        <w:ind w:left="1000" w:hanging="360"/>
      </w:pPr>
      <w:rPr>
        <w:rFonts w:ascii="Symbol" w:hAnsi="Symbol"/>
      </w:rPr>
    </w:lvl>
    <w:lvl w:ilvl="4" w:tplc="CB226308">
      <w:start w:val="1"/>
      <w:numFmt w:val="bullet"/>
      <w:lvlText w:val=""/>
      <w:lvlJc w:val="left"/>
      <w:pPr>
        <w:ind w:left="1000" w:hanging="360"/>
      </w:pPr>
      <w:rPr>
        <w:rFonts w:ascii="Symbol" w:hAnsi="Symbol"/>
      </w:rPr>
    </w:lvl>
    <w:lvl w:ilvl="5" w:tplc="C6FC4BDC">
      <w:start w:val="1"/>
      <w:numFmt w:val="bullet"/>
      <w:lvlText w:val=""/>
      <w:lvlJc w:val="left"/>
      <w:pPr>
        <w:ind w:left="1000" w:hanging="360"/>
      </w:pPr>
      <w:rPr>
        <w:rFonts w:ascii="Symbol" w:hAnsi="Symbol"/>
      </w:rPr>
    </w:lvl>
    <w:lvl w:ilvl="6" w:tplc="8AE28A86">
      <w:start w:val="1"/>
      <w:numFmt w:val="bullet"/>
      <w:lvlText w:val=""/>
      <w:lvlJc w:val="left"/>
      <w:pPr>
        <w:ind w:left="1000" w:hanging="360"/>
      </w:pPr>
      <w:rPr>
        <w:rFonts w:ascii="Symbol" w:hAnsi="Symbol"/>
      </w:rPr>
    </w:lvl>
    <w:lvl w:ilvl="7" w:tplc="C02859E2">
      <w:start w:val="1"/>
      <w:numFmt w:val="bullet"/>
      <w:lvlText w:val=""/>
      <w:lvlJc w:val="left"/>
      <w:pPr>
        <w:ind w:left="1000" w:hanging="360"/>
      </w:pPr>
      <w:rPr>
        <w:rFonts w:ascii="Symbol" w:hAnsi="Symbol"/>
      </w:rPr>
    </w:lvl>
    <w:lvl w:ilvl="8" w:tplc="86FAAAFE">
      <w:start w:val="1"/>
      <w:numFmt w:val="bullet"/>
      <w:lvlText w:val=""/>
      <w:lvlJc w:val="left"/>
      <w:pPr>
        <w:ind w:left="1000" w:hanging="360"/>
      </w:pPr>
      <w:rPr>
        <w:rFonts w:ascii="Symbol" w:hAnsi="Symbol"/>
      </w:rPr>
    </w:lvl>
  </w:abstractNum>
  <w:abstractNum w:abstractNumId="13" w15:restartNumberingAfterBreak="0">
    <w:nsid w:val="3435097D"/>
    <w:multiLevelType w:val="hybridMultilevel"/>
    <w:tmpl w:val="7326FCDC"/>
    <w:lvl w:ilvl="0" w:tplc="8DFEE398">
      <w:start w:val="1"/>
      <w:numFmt w:val="bullet"/>
      <w:pStyle w:val="Bulletlevel2las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3B957F3A"/>
    <w:multiLevelType w:val="hybridMultilevel"/>
    <w:tmpl w:val="7380753C"/>
    <w:lvl w:ilvl="0" w:tplc="E054967A">
      <w:start w:val="1"/>
      <w:numFmt w:val="bullet"/>
      <w:lvlText w:val=""/>
      <w:lvlJc w:val="left"/>
      <w:pPr>
        <w:ind w:left="1280" w:hanging="360"/>
      </w:pPr>
      <w:rPr>
        <w:rFonts w:ascii="Symbol" w:hAnsi="Symbol"/>
      </w:rPr>
    </w:lvl>
    <w:lvl w:ilvl="1" w:tplc="6008A024">
      <w:start w:val="1"/>
      <w:numFmt w:val="bullet"/>
      <w:lvlText w:val=""/>
      <w:lvlJc w:val="left"/>
      <w:pPr>
        <w:ind w:left="1280" w:hanging="360"/>
      </w:pPr>
      <w:rPr>
        <w:rFonts w:ascii="Symbol" w:hAnsi="Symbol"/>
      </w:rPr>
    </w:lvl>
    <w:lvl w:ilvl="2" w:tplc="F1D4F9DA">
      <w:start w:val="1"/>
      <w:numFmt w:val="bullet"/>
      <w:lvlText w:val=""/>
      <w:lvlJc w:val="left"/>
      <w:pPr>
        <w:ind w:left="1280" w:hanging="360"/>
      </w:pPr>
      <w:rPr>
        <w:rFonts w:ascii="Symbol" w:hAnsi="Symbol"/>
      </w:rPr>
    </w:lvl>
    <w:lvl w:ilvl="3" w:tplc="ED321E16">
      <w:start w:val="1"/>
      <w:numFmt w:val="bullet"/>
      <w:lvlText w:val=""/>
      <w:lvlJc w:val="left"/>
      <w:pPr>
        <w:ind w:left="1280" w:hanging="360"/>
      </w:pPr>
      <w:rPr>
        <w:rFonts w:ascii="Symbol" w:hAnsi="Symbol"/>
      </w:rPr>
    </w:lvl>
    <w:lvl w:ilvl="4" w:tplc="771624FC">
      <w:start w:val="1"/>
      <w:numFmt w:val="bullet"/>
      <w:lvlText w:val=""/>
      <w:lvlJc w:val="left"/>
      <w:pPr>
        <w:ind w:left="1280" w:hanging="360"/>
      </w:pPr>
      <w:rPr>
        <w:rFonts w:ascii="Symbol" w:hAnsi="Symbol"/>
      </w:rPr>
    </w:lvl>
    <w:lvl w:ilvl="5" w:tplc="61520EF8">
      <w:start w:val="1"/>
      <w:numFmt w:val="bullet"/>
      <w:lvlText w:val=""/>
      <w:lvlJc w:val="left"/>
      <w:pPr>
        <w:ind w:left="1280" w:hanging="360"/>
      </w:pPr>
      <w:rPr>
        <w:rFonts w:ascii="Symbol" w:hAnsi="Symbol"/>
      </w:rPr>
    </w:lvl>
    <w:lvl w:ilvl="6" w:tplc="7E60851A">
      <w:start w:val="1"/>
      <w:numFmt w:val="bullet"/>
      <w:lvlText w:val=""/>
      <w:lvlJc w:val="left"/>
      <w:pPr>
        <w:ind w:left="1280" w:hanging="360"/>
      </w:pPr>
      <w:rPr>
        <w:rFonts w:ascii="Symbol" w:hAnsi="Symbol"/>
      </w:rPr>
    </w:lvl>
    <w:lvl w:ilvl="7" w:tplc="C3DAFE9E">
      <w:start w:val="1"/>
      <w:numFmt w:val="bullet"/>
      <w:lvlText w:val=""/>
      <w:lvlJc w:val="left"/>
      <w:pPr>
        <w:ind w:left="1280" w:hanging="360"/>
      </w:pPr>
      <w:rPr>
        <w:rFonts w:ascii="Symbol" w:hAnsi="Symbol"/>
      </w:rPr>
    </w:lvl>
    <w:lvl w:ilvl="8" w:tplc="8BF2263C">
      <w:start w:val="1"/>
      <w:numFmt w:val="bullet"/>
      <w:lvlText w:val=""/>
      <w:lvlJc w:val="left"/>
      <w:pPr>
        <w:ind w:left="1280" w:hanging="360"/>
      </w:pPr>
      <w:rPr>
        <w:rFonts w:ascii="Symbol" w:hAnsi="Symbol"/>
      </w:rPr>
    </w:lvl>
  </w:abstractNum>
  <w:abstractNum w:abstractNumId="15" w15:restartNumberingAfterBreak="0">
    <w:nsid w:val="44A114A5"/>
    <w:multiLevelType w:val="multilevel"/>
    <w:tmpl w:val="53FA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A2447"/>
    <w:multiLevelType w:val="hybridMultilevel"/>
    <w:tmpl w:val="E8D6038E"/>
    <w:lvl w:ilvl="0" w:tplc="AE021502">
      <w:start w:val="1"/>
      <w:numFmt w:val="lowerLetter"/>
      <w:lvlText w:val="%1)"/>
      <w:lvlJc w:val="left"/>
      <w:pPr>
        <w:ind w:left="1020" w:hanging="360"/>
      </w:pPr>
    </w:lvl>
    <w:lvl w:ilvl="1" w:tplc="50F686B6">
      <w:start w:val="1"/>
      <w:numFmt w:val="lowerLetter"/>
      <w:lvlText w:val="%2)"/>
      <w:lvlJc w:val="left"/>
      <w:pPr>
        <w:ind w:left="1020" w:hanging="360"/>
      </w:pPr>
    </w:lvl>
    <w:lvl w:ilvl="2" w:tplc="5E6A6E2E">
      <w:start w:val="1"/>
      <w:numFmt w:val="lowerLetter"/>
      <w:lvlText w:val="%3)"/>
      <w:lvlJc w:val="left"/>
      <w:pPr>
        <w:ind w:left="1020" w:hanging="360"/>
      </w:pPr>
    </w:lvl>
    <w:lvl w:ilvl="3" w:tplc="7400AA58">
      <w:start w:val="1"/>
      <w:numFmt w:val="lowerLetter"/>
      <w:lvlText w:val="%4)"/>
      <w:lvlJc w:val="left"/>
      <w:pPr>
        <w:ind w:left="1020" w:hanging="360"/>
      </w:pPr>
    </w:lvl>
    <w:lvl w:ilvl="4" w:tplc="9702CAB4">
      <w:start w:val="1"/>
      <w:numFmt w:val="lowerLetter"/>
      <w:lvlText w:val="%5)"/>
      <w:lvlJc w:val="left"/>
      <w:pPr>
        <w:ind w:left="1020" w:hanging="360"/>
      </w:pPr>
    </w:lvl>
    <w:lvl w:ilvl="5" w:tplc="10760470">
      <w:start w:val="1"/>
      <w:numFmt w:val="lowerLetter"/>
      <w:lvlText w:val="%6)"/>
      <w:lvlJc w:val="left"/>
      <w:pPr>
        <w:ind w:left="1020" w:hanging="360"/>
      </w:pPr>
    </w:lvl>
    <w:lvl w:ilvl="6" w:tplc="8BAA66C6">
      <w:start w:val="1"/>
      <w:numFmt w:val="lowerLetter"/>
      <w:lvlText w:val="%7)"/>
      <w:lvlJc w:val="left"/>
      <w:pPr>
        <w:ind w:left="1020" w:hanging="360"/>
      </w:pPr>
    </w:lvl>
    <w:lvl w:ilvl="7" w:tplc="35EAA942">
      <w:start w:val="1"/>
      <w:numFmt w:val="lowerLetter"/>
      <w:lvlText w:val="%8)"/>
      <w:lvlJc w:val="left"/>
      <w:pPr>
        <w:ind w:left="1020" w:hanging="360"/>
      </w:pPr>
    </w:lvl>
    <w:lvl w:ilvl="8" w:tplc="E5CC4826">
      <w:start w:val="1"/>
      <w:numFmt w:val="lowerLetter"/>
      <w:lvlText w:val="%9)"/>
      <w:lvlJc w:val="left"/>
      <w:pPr>
        <w:ind w:left="1020" w:hanging="360"/>
      </w:pPr>
    </w:lvl>
  </w:abstractNum>
  <w:abstractNum w:abstractNumId="17" w15:restartNumberingAfterBreak="0">
    <w:nsid w:val="4EF711F7"/>
    <w:multiLevelType w:val="hybridMultilevel"/>
    <w:tmpl w:val="E22A06A8"/>
    <w:lvl w:ilvl="0" w:tplc="9E2A175A">
      <w:start w:val="1"/>
      <w:numFmt w:val="bullet"/>
      <w:lvlText w:val=""/>
      <w:lvlJc w:val="left"/>
      <w:pPr>
        <w:ind w:left="1000" w:hanging="360"/>
      </w:pPr>
      <w:rPr>
        <w:rFonts w:ascii="Symbol" w:hAnsi="Symbol"/>
      </w:rPr>
    </w:lvl>
    <w:lvl w:ilvl="1" w:tplc="39C227BC">
      <w:start w:val="1"/>
      <w:numFmt w:val="bullet"/>
      <w:lvlText w:val=""/>
      <w:lvlJc w:val="left"/>
      <w:pPr>
        <w:ind w:left="1000" w:hanging="360"/>
      </w:pPr>
      <w:rPr>
        <w:rFonts w:ascii="Symbol" w:hAnsi="Symbol"/>
      </w:rPr>
    </w:lvl>
    <w:lvl w:ilvl="2" w:tplc="CFAA3B30">
      <w:start w:val="1"/>
      <w:numFmt w:val="bullet"/>
      <w:lvlText w:val=""/>
      <w:lvlJc w:val="left"/>
      <w:pPr>
        <w:ind w:left="1000" w:hanging="360"/>
      </w:pPr>
      <w:rPr>
        <w:rFonts w:ascii="Symbol" w:hAnsi="Symbol"/>
      </w:rPr>
    </w:lvl>
    <w:lvl w:ilvl="3" w:tplc="18689936">
      <w:start w:val="1"/>
      <w:numFmt w:val="bullet"/>
      <w:lvlText w:val=""/>
      <w:lvlJc w:val="left"/>
      <w:pPr>
        <w:ind w:left="1000" w:hanging="360"/>
      </w:pPr>
      <w:rPr>
        <w:rFonts w:ascii="Symbol" w:hAnsi="Symbol"/>
      </w:rPr>
    </w:lvl>
    <w:lvl w:ilvl="4" w:tplc="3A4A92D0">
      <w:start w:val="1"/>
      <w:numFmt w:val="bullet"/>
      <w:lvlText w:val=""/>
      <w:lvlJc w:val="left"/>
      <w:pPr>
        <w:ind w:left="1000" w:hanging="360"/>
      </w:pPr>
      <w:rPr>
        <w:rFonts w:ascii="Symbol" w:hAnsi="Symbol"/>
      </w:rPr>
    </w:lvl>
    <w:lvl w:ilvl="5" w:tplc="D652C11C">
      <w:start w:val="1"/>
      <w:numFmt w:val="bullet"/>
      <w:lvlText w:val=""/>
      <w:lvlJc w:val="left"/>
      <w:pPr>
        <w:ind w:left="1000" w:hanging="360"/>
      </w:pPr>
      <w:rPr>
        <w:rFonts w:ascii="Symbol" w:hAnsi="Symbol"/>
      </w:rPr>
    </w:lvl>
    <w:lvl w:ilvl="6" w:tplc="0B5E60AC">
      <w:start w:val="1"/>
      <w:numFmt w:val="bullet"/>
      <w:lvlText w:val=""/>
      <w:lvlJc w:val="left"/>
      <w:pPr>
        <w:ind w:left="1000" w:hanging="360"/>
      </w:pPr>
      <w:rPr>
        <w:rFonts w:ascii="Symbol" w:hAnsi="Symbol"/>
      </w:rPr>
    </w:lvl>
    <w:lvl w:ilvl="7" w:tplc="349A5A70">
      <w:start w:val="1"/>
      <w:numFmt w:val="bullet"/>
      <w:lvlText w:val=""/>
      <w:lvlJc w:val="left"/>
      <w:pPr>
        <w:ind w:left="1000" w:hanging="360"/>
      </w:pPr>
      <w:rPr>
        <w:rFonts w:ascii="Symbol" w:hAnsi="Symbol"/>
      </w:rPr>
    </w:lvl>
    <w:lvl w:ilvl="8" w:tplc="14987234">
      <w:start w:val="1"/>
      <w:numFmt w:val="bullet"/>
      <w:lvlText w:val=""/>
      <w:lvlJc w:val="left"/>
      <w:pPr>
        <w:ind w:left="1000" w:hanging="360"/>
      </w:pPr>
      <w:rPr>
        <w:rFonts w:ascii="Symbol" w:hAnsi="Symbol"/>
      </w:rPr>
    </w:lvl>
  </w:abstractNum>
  <w:abstractNum w:abstractNumId="18" w15:restartNumberingAfterBreak="0">
    <w:nsid w:val="55AA21F0"/>
    <w:multiLevelType w:val="hybridMultilevel"/>
    <w:tmpl w:val="9B5CB936"/>
    <w:lvl w:ilvl="0" w:tplc="CCA08FFA">
      <w:start w:val="1"/>
      <w:numFmt w:val="decimal"/>
      <w:pStyle w:val="ACMATableHeader"/>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13F64"/>
    <w:multiLevelType w:val="multilevel"/>
    <w:tmpl w:val="2218756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DCA69CA"/>
    <w:multiLevelType w:val="hybridMultilevel"/>
    <w:tmpl w:val="6A9E9A20"/>
    <w:lvl w:ilvl="0" w:tplc="5408316E">
      <w:start w:val="1"/>
      <w:numFmt w:val="bullet"/>
      <w:lvlText w:val=""/>
      <w:lvlJc w:val="left"/>
      <w:pPr>
        <w:ind w:left="1000" w:hanging="360"/>
      </w:pPr>
      <w:rPr>
        <w:rFonts w:ascii="Symbol" w:hAnsi="Symbol"/>
      </w:rPr>
    </w:lvl>
    <w:lvl w:ilvl="1" w:tplc="D3C81DE0">
      <w:start w:val="1"/>
      <w:numFmt w:val="bullet"/>
      <w:lvlText w:val=""/>
      <w:lvlJc w:val="left"/>
      <w:pPr>
        <w:ind w:left="1000" w:hanging="360"/>
      </w:pPr>
      <w:rPr>
        <w:rFonts w:ascii="Symbol" w:hAnsi="Symbol"/>
      </w:rPr>
    </w:lvl>
    <w:lvl w:ilvl="2" w:tplc="70E09BA0">
      <w:start w:val="1"/>
      <w:numFmt w:val="bullet"/>
      <w:lvlText w:val=""/>
      <w:lvlJc w:val="left"/>
      <w:pPr>
        <w:ind w:left="1000" w:hanging="360"/>
      </w:pPr>
      <w:rPr>
        <w:rFonts w:ascii="Symbol" w:hAnsi="Symbol"/>
      </w:rPr>
    </w:lvl>
    <w:lvl w:ilvl="3" w:tplc="C9CA0722">
      <w:start w:val="1"/>
      <w:numFmt w:val="bullet"/>
      <w:lvlText w:val=""/>
      <w:lvlJc w:val="left"/>
      <w:pPr>
        <w:ind w:left="1000" w:hanging="360"/>
      </w:pPr>
      <w:rPr>
        <w:rFonts w:ascii="Symbol" w:hAnsi="Symbol"/>
      </w:rPr>
    </w:lvl>
    <w:lvl w:ilvl="4" w:tplc="F132A4F2">
      <w:start w:val="1"/>
      <w:numFmt w:val="bullet"/>
      <w:lvlText w:val=""/>
      <w:lvlJc w:val="left"/>
      <w:pPr>
        <w:ind w:left="1000" w:hanging="360"/>
      </w:pPr>
      <w:rPr>
        <w:rFonts w:ascii="Symbol" w:hAnsi="Symbol"/>
      </w:rPr>
    </w:lvl>
    <w:lvl w:ilvl="5" w:tplc="7CECD13C">
      <w:start w:val="1"/>
      <w:numFmt w:val="bullet"/>
      <w:lvlText w:val=""/>
      <w:lvlJc w:val="left"/>
      <w:pPr>
        <w:ind w:left="1000" w:hanging="360"/>
      </w:pPr>
      <w:rPr>
        <w:rFonts w:ascii="Symbol" w:hAnsi="Symbol"/>
      </w:rPr>
    </w:lvl>
    <w:lvl w:ilvl="6" w:tplc="827C3132">
      <w:start w:val="1"/>
      <w:numFmt w:val="bullet"/>
      <w:lvlText w:val=""/>
      <w:lvlJc w:val="left"/>
      <w:pPr>
        <w:ind w:left="1000" w:hanging="360"/>
      </w:pPr>
      <w:rPr>
        <w:rFonts w:ascii="Symbol" w:hAnsi="Symbol"/>
      </w:rPr>
    </w:lvl>
    <w:lvl w:ilvl="7" w:tplc="CB40E57C">
      <w:start w:val="1"/>
      <w:numFmt w:val="bullet"/>
      <w:lvlText w:val=""/>
      <w:lvlJc w:val="left"/>
      <w:pPr>
        <w:ind w:left="1000" w:hanging="360"/>
      </w:pPr>
      <w:rPr>
        <w:rFonts w:ascii="Symbol" w:hAnsi="Symbol"/>
      </w:rPr>
    </w:lvl>
    <w:lvl w:ilvl="8" w:tplc="43A6CD34">
      <w:start w:val="1"/>
      <w:numFmt w:val="bullet"/>
      <w:lvlText w:val=""/>
      <w:lvlJc w:val="left"/>
      <w:pPr>
        <w:ind w:left="1000" w:hanging="360"/>
      </w:pPr>
      <w:rPr>
        <w:rFonts w:ascii="Symbol" w:hAnsi="Symbol"/>
      </w:rPr>
    </w:lvl>
  </w:abstractNum>
  <w:abstractNum w:abstractNumId="21" w15:restartNumberingAfterBreak="0">
    <w:nsid w:val="60F0168B"/>
    <w:multiLevelType w:val="hybridMultilevel"/>
    <w:tmpl w:val="EAA09132"/>
    <w:lvl w:ilvl="0" w:tplc="96CA5FEC">
      <w:start w:val="1"/>
      <w:numFmt w:val="bullet"/>
      <w:lvlText w:val=""/>
      <w:lvlJc w:val="left"/>
      <w:pPr>
        <w:ind w:left="1280" w:hanging="360"/>
      </w:pPr>
      <w:rPr>
        <w:rFonts w:ascii="Symbol" w:hAnsi="Symbol"/>
      </w:rPr>
    </w:lvl>
    <w:lvl w:ilvl="1" w:tplc="3E4EC0C4">
      <w:start w:val="1"/>
      <w:numFmt w:val="bullet"/>
      <w:lvlText w:val=""/>
      <w:lvlJc w:val="left"/>
      <w:pPr>
        <w:ind w:left="1280" w:hanging="360"/>
      </w:pPr>
      <w:rPr>
        <w:rFonts w:ascii="Symbol" w:hAnsi="Symbol"/>
      </w:rPr>
    </w:lvl>
    <w:lvl w:ilvl="2" w:tplc="DA965D0A">
      <w:start w:val="1"/>
      <w:numFmt w:val="bullet"/>
      <w:lvlText w:val=""/>
      <w:lvlJc w:val="left"/>
      <w:pPr>
        <w:ind w:left="1280" w:hanging="360"/>
      </w:pPr>
      <w:rPr>
        <w:rFonts w:ascii="Symbol" w:hAnsi="Symbol"/>
      </w:rPr>
    </w:lvl>
    <w:lvl w:ilvl="3" w:tplc="C21A17D6">
      <w:start w:val="1"/>
      <w:numFmt w:val="bullet"/>
      <w:lvlText w:val=""/>
      <w:lvlJc w:val="left"/>
      <w:pPr>
        <w:ind w:left="1280" w:hanging="360"/>
      </w:pPr>
      <w:rPr>
        <w:rFonts w:ascii="Symbol" w:hAnsi="Symbol"/>
      </w:rPr>
    </w:lvl>
    <w:lvl w:ilvl="4" w:tplc="C3645C6A">
      <w:start w:val="1"/>
      <w:numFmt w:val="bullet"/>
      <w:lvlText w:val=""/>
      <w:lvlJc w:val="left"/>
      <w:pPr>
        <w:ind w:left="1280" w:hanging="360"/>
      </w:pPr>
      <w:rPr>
        <w:rFonts w:ascii="Symbol" w:hAnsi="Symbol"/>
      </w:rPr>
    </w:lvl>
    <w:lvl w:ilvl="5" w:tplc="D14872CC">
      <w:start w:val="1"/>
      <w:numFmt w:val="bullet"/>
      <w:lvlText w:val=""/>
      <w:lvlJc w:val="left"/>
      <w:pPr>
        <w:ind w:left="1280" w:hanging="360"/>
      </w:pPr>
      <w:rPr>
        <w:rFonts w:ascii="Symbol" w:hAnsi="Symbol"/>
      </w:rPr>
    </w:lvl>
    <w:lvl w:ilvl="6" w:tplc="8D8E1634">
      <w:start w:val="1"/>
      <w:numFmt w:val="bullet"/>
      <w:lvlText w:val=""/>
      <w:lvlJc w:val="left"/>
      <w:pPr>
        <w:ind w:left="1280" w:hanging="360"/>
      </w:pPr>
      <w:rPr>
        <w:rFonts w:ascii="Symbol" w:hAnsi="Symbol"/>
      </w:rPr>
    </w:lvl>
    <w:lvl w:ilvl="7" w:tplc="1BE80830">
      <w:start w:val="1"/>
      <w:numFmt w:val="bullet"/>
      <w:lvlText w:val=""/>
      <w:lvlJc w:val="left"/>
      <w:pPr>
        <w:ind w:left="1280" w:hanging="360"/>
      </w:pPr>
      <w:rPr>
        <w:rFonts w:ascii="Symbol" w:hAnsi="Symbol"/>
      </w:rPr>
    </w:lvl>
    <w:lvl w:ilvl="8" w:tplc="65E4351E">
      <w:start w:val="1"/>
      <w:numFmt w:val="bullet"/>
      <w:lvlText w:val=""/>
      <w:lvlJc w:val="left"/>
      <w:pPr>
        <w:ind w:left="1280" w:hanging="360"/>
      </w:pPr>
      <w:rPr>
        <w:rFonts w:ascii="Symbol" w:hAnsi="Symbol"/>
      </w:rPr>
    </w:lvl>
  </w:abstractNum>
  <w:abstractNum w:abstractNumId="22" w15:restartNumberingAfterBreak="0">
    <w:nsid w:val="61D14CF4"/>
    <w:multiLevelType w:val="hybridMultilevel"/>
    <w:tmpl w:val="017683E8"/>
    <w:lvl w:ilvl="0" w:tplc="C2EEB85C">
      <w:start w:val="1"/>
      <w:numFmt w:val="bullet"/>
      <w:lvlText w:val=""/>
      <w:lvlJc w:val="left"/>
      <w:pPr>
        <w:ind w:left="1000" w:hanging="360"/>
      </w:pPr>
      <w:rPr>
        <w:rFonts w:ascii="Symbol" w:hAnsi="Symbol"/>
      </w:rPr>
    </w:lvl>
    <w:lvl w:ilvl="1" w:tplc="4D4EFF28">
      <w:start w:val="1"/>
      <w:numFmt w:val="bullet"/>
      <w:lvlText w:val=""/>
      <w:lvlJc w:val="left"/>
      <w:pPr>
        <w:ind w:left="1000" w:hanging="360"/>
      </w:pPr>
      <w:rPr>
        <w:rFonts w:ascii="Symbol" w:hAnsi="Symbol"/>
      </w:rPr>
    </w:lvl>
    <w:lvl w:ilvl="2" w:tplc="314EDDFA">
      <w:start w:val="1"/>
      <w:numFmt w:val="bullet"/>
      <w:lvlText w:val=""/>
      <w:lvlJc w:val="left"/>
      <w:pPr>
        <w:ind w:left="1000" w:hanging="360"/>
      </w:pPr>
      <w:rPr>
        <w:rFonts w:ascii="Symbol" w:hAnsi="Symbol"/>
      </w:rPr>
    </w:lvl>
    <w:lvl w:ilvl="3" w:tplc="808E6CE6">
      <w:start w:val="1"/>
      <w:numFmt w:val="bullet"/>
      <w:lvlText w:val=""/>
      <w:lvlJc w:val="left"/>
      <w:pPr>
        <w:ind w:left="1000" w:hanging="360"/>
      </w:pPr>
      <w:rPr>
        <w:rFonts w:ascii="Symbol" w:hAnsi="Symbol"/>
      </w:rPr>
    </w:lvl>
    <w:lvl w:ilvl="4" w:tplc="32846F70">
      <w:start w:val="1"/>
      <w:numFmt w:val="bullet"/>
      <w:lvlText w:val=""/>
      <w:lvlJc w:val="left"/>
      <w:pPr>
        <w:ind w:left="1000" w:hanging="360"/>
      </w:pPr>
      <w:rPr>
        <w:rFonts w:ascii="Symbol" w:hAnsi="Symbol"/>
      </w:rPr>
    </w:lvl>
    <w:lvl w:ilvl="5" w:tplc="7820C650">
      <w:start w:val="1"/>
      <w:numFmt w:val="bullet"/>
      <w:lvlText w:val=""/>
      <w:lvlJc w:val="left"/>
      <w:pPr>
        <w:ind w:left="1000" w:hanging="360"/>
      </w:pPr>
      <w:rPr>
        <w:rFonts w:ascii="Symbol" w:hAnsi="Symbol"/>
      </w:rPr>
    </w:lvl>
    <w:lvl w:ilvl="6" w:tplc="6FDCAE12">
      <w:start w:val="1"/>
      <w:numFmt w:val="bullet"/>
      <w:lvlText w:val=""/>
      <w:lvlJc w:val="left"/>
      <w:pPr>
        <w:ind w:left="1000" w:hanging="360"/>
      </w:pPr>
      <w:rPr>
        <w:rFonts w:ascii="Symbol" w:hAnsi="Symbol"/>
      </w:rPr>
    </w:lvl>
    <w:lvl w:ilvl="7" w:tplc="8058389C">
      <w:start w:val="1"/>
      <w:numFmt w:val="bullet"/>
      <w:lvlText w:val=""/>
      <w:lvlJc w:val="left"/>
      <w:pPr>
        <w:ind w:left="1000" w:hanging="360"/>
      </w:pPr>
      <w:rPr>
        <w:rFonts w:ascii="Symbol" w:hAnsi="Symbol"/>
      </w:rPr>
    </w:lvl>
    <w:lvl w:ilvl="8" w:tplc="2EBAF49A">
      <w:start w:val="1"/>
      <w:numFmt w:val="bullet"/>
      <w:lvlText w:val=""/>
      <w:lvlJc w:val="left"/>
      <w:pPr>
        <w:ind w:left="1000" w:hanging="360"/>
      </w:pPr>
      <w:rPr>
        <w:rFonts w:ascii="Symbol" w:hAnsi="Symbol"/>
      </w:rPr>
    </w:lvl>
  </w:abstractNum>
  <w:abstractNum w:abstractNumId="23" w15:restartNumberingAfterBreak="0">
    <w:nsid w:val="62F0635E"/>
    <w:multiLevelType w:val="hybridMultilevel"/>
    <w:tmpl w:val="5C6640B0"/>
    <w:lvl w:ilvl="0" w:tplc="CEB21808">
      <w:start w:val="1"/>
      <w:numFmt w:val="decimal"/>
      <w:lvlText w:val="%1."/>
      <w:lvlJc w:val="left"/>
      <w:pPr>
        <w:ind w:left="360" w:hanging="360"/>
      </w:pPr>
      <w:rPr>
        <w:rFonts w:hint="default"/>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3C30333"/>
    <w:multiLevelType w:val="hybridMultilevel"/>
    <w:tmpl w:val="A5FC2D54"/>
    <w:lvl w:ilvl="0" w:tplc="65EA47EC">
      <w:start w:val="1"/>
      <w:numFmt w:val="decimal"/>
      <w:pStyle w:val="Captionfigure"/>
      <w:lvlText w:val="Figure %1:"/>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71478"/>
    <w:multiLevelType w:val="hybridMultilevel"/>
    <w:tmpl w:val="16D2B96E"/>
    <w:lvl w:ilvl="0" w:tplc="3A9CF91A">
      <w:start w:val="1"/>
      <w:numFmt w:val="decimal"/>
      <w:pStyle w:val="ACMAFigureHeader"/>
      <w:lvlText w:val="Figure %1: "/>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1C0C86"/>
    <w:multiLevelType w:val="hybridMultilevel"/>
    <w:tmpl w:val="4CC817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D757AE6"/>
    <w:multiLevelType w:val="hybridMultilevel"/>
    <w:tmpl w:val="4BAEE1E2"/>
    <w:lvl w:ilvl="0" w:tplc="0DA4929C">
      <w:start w:val="1"/>
      <w:numFmt w:val="decimal"/>
      <w:pStyle w:val="Caption"/>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2E1A81"/>
    <w:multiLevelType w:val="hybridMultilevel"/>
    <w:tmpl w:val="D8885FB6"/>
    <w:lvl w:ilvl="0" w:tplc="1026004E">
      <w:start w:val="1"/>
      <w:numFmt w:val="bullet"/>
      <w:pStyle w:val="Bulletlevel1la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526C96"/>
    <w:multiLevelType w:val="hybridMultilevel"/>
    <w:tmpl w:val="57A0FECC"/>
    <w:lvl w:ilvl="0" w:tplc="A6045D6C">
      <w:start w:val="1800"/>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BC098E"/>
    <w:multiLevelType w:val="hybridMultilevel"/>
    <w:tmpl w:val="2E386898"/>
    <w:lvl w:ilvl="0" w:tplc="BD340FDA">
      <w:start w:val="1"/>
      <w:numFmt w:val="bullet"/>
      <w:pStyle w:val="Bullet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DF2078F"/>
    <w:multiLevelType w:val="hybridMultilevel"/>
    <w:tmpl w:val="AAF889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17521768">
    <w:abstractNumId w:val="3"/>
  </w:num>
  <w:num w:numId="2" w16cid:durableId="969045093">
    <w:abstractNumId w:val="1"/>
  </w:num>
  <w:num w:numId="3" w16cid:durableId="1714190328">
    <w:abstractNumId w:val="2"/>
  </w:num>
  <w:num w:numId="4" w16cid:durableId="1292904938">
    <w:abstractNumId w:val="0"/>
  </w:num>
  <w:num w:numId="5" w16cid:durableId="1192914688">
    <w:abstractNumId w:val="11"/>
  </w:num>
  <w:num w:numId="6" w16cid:durableId="818768531">
    <w:abstractNumId w:val="25"/>
  </w:num>
  <w:num w:numId="7" w16cid:durableId="636617026">
    <w:abstractNumId w:val="18"/>
  </w:num>
  <w:num w:numId="8" w16cid:durableId="227307242">
    <w:abstractNumId w:val="24"/>
  </w:num>
  <w:num w:numId="9" w16cid:durableId="1325478460">
    <w:abstractNumId w:val="27"/>
  </w:num>
  <w:num w:numId="10" w16cid:durableId="26877423">
    <w:abstractNumId w:val="5"/>
  </w:num>
  <w:num w:numId="11" w16cid:durableId="529613017">
    <w:abstractNumId w:val="2"/>
    <w:lvlOverride w:ilvl="0">
      <w:startOverride w:val="1"/>
    </w:lvlOverride>
  </w:num>
  <w:num w:numId="12" w16cid:durableId="506287035">
    <w:abstractNumId w:val="2"/>
    <w:lvlOverride w:ilvl="0">
      <w:startOverride w:val="1"/>
    </w:lvlOverride>
  </w:num>
  <w:num w:numId="13" w16cid:durableId="44449778">
    <w:abstractNumId w:val="30"/>
  </w:num>
  <w:num w:numId="14" w16cid:durableId="319240718">
    <w:abstractNumId w:val="28"/>
  </w:num>
  <w:num w:numId="15" w16cid:durableId="1091731347">
    <w:abstractNumId w:val="7"/>
  </w:num>
  <w:num w:numId="16" w16cid:durableId="1733236431">
    <w:abstractNumId w:val="13"/>
  </w:num>
  <w:num w:numId="17" w16cid:durableId="1480268017">
    <w:abstractNumId w:val="2"/>
    <w:lvlOverride w:ilvl="0">
      <w:startOverride w:val="1"/>
    </w:lvlOverride>
  </w:num>
  <w:num w:numId="18" w16cid:durableId="964309664">
    <w:abstractNumId w:val="2"/>
    <w:lvlOverride w:ilvl="0">
      <w:startOverride w:val="1"/>
    </w:lvlOverride>
  </w:num>
  <w:num w:numId="19" w16cid:durableId="1025836865">
    <w:abstractNumId w:val="2"/>
    <w:lvlOverride w:ilvl="0">
      <w:startOverride w:val="1"/>
    </w:lvlOverride>
  </w:num>
  <w:num w:numId="20" w16cid:durableId="1678726611">
    <w:abstractNumId w:val="2"/>
    <w:lvlOverride w:ilvl="0">
      <w:startOverride w:val="1"/>
    </w:lvlOverride>
  </w:num>
  <w:num w:numId="21" w16cid:durableId="475730963">
    <w:abstractNumId w:val="2"/>
    <w:lvlOverride w:ilvl="0">
      <w:startOverride w:val="1"/>
    </w:lvlOverride>
  </w:num>
  <w:num w:numId="22" w16cid:durableId="1304847979">
    <w:abstractNumId w:val="2"/>
    <w:lvlOverride w:ilvl="0">
      <w:startOverride w:val="1"/>
    </w:lvlOverride>
  </w:num>
  <w:num w:numId="23" w16cid:durableId="647516741">
    <w:abstractNumId w:val="26"/>
  </w:num>
  <w:num w:numId="24" w16cid:durableId="690575037">
    <w:abstractNumId w:val="29"/>
  </w:num>
  <w:num w:numId="25" w16cid:durableId="584341912">
    <w:abstractNumId w:val="16"/>
  </w:num>
  <w:num w:numId="26" w16cid:durableId="1020205970">
    <w:abstractNumId w:val="22"/>
  </w:num>
  <w:num w:numId="27" w16cid:durableId="506021266">
    <w:abstractNumId w:val="10"/>
  </w:num>
  <w:num w:numId="28" w16cid:durableId="1813213771">
    <w:abstractNumId w:val="17"/>
  </w:num>
  <w:num w:numId="29" w16cid:durableId="227615053">
    <w:abstractNumId w:val="14"/>
  </w:num>
  <w:num w:numId="30" w16cid:durableId="1695883045">
    <w:abstractNumId w:val="8"/>
  </w:num>
  <w:num w:numId="31" w16cid:durableId="1923567753">
    <w:abstractNumId w:val="20"/>
  </w:num>
  <w:num w:numId="32" w16cid:durableId="1864203099">
    <w:abstractNumId w:val="4"/>
  </w:num>
  <w:num w:numId="33" w16cid:durableId="1987515807">
    <w:abstractNumId w:val="6"/>
  </w:num>
  <w:num w:numId="34" w16cid:durableId="237055081">
    <w:abstractNumId w:val="21"/>
  </w:num>
  <w:num w:numId="35" w16cid:durableId="500464537">
    <w:abstractNumId w:val="12"/>
  </w:num>
  <w:num w:numId="36" w16cid:durableId="1798989527">
    <w:abstractNumId w:val="15"/>
  </w:num>
  <w:num w:numId="37" w16cid:durableId="1671254940">
    <w:abstractNumId w:val="31"/>
  </w:num>
  <w:num w:numId="38" w16cid:durableId="1571039833">
    <w:abstractNumId w:val="19"/>
  </w:num>
  <w:num w:numId="39" w16cid:durableId="1712849558">
    <w:abstractNumId w:val="9"/>
  </w:num>
  <w:num w:numId="40" w16cid:durableId="1359233911">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284"/>
  <w:evenAndOddHeaders/>
  <w:drawingGridHorizontalSpacing w:val="100"/>
  <w:displayHorizontalDrawingGridEvery w:val="2"/>
  <w:characterSpacingControl w:val="doNotCompress"/>
  <w:hdrShapeDefaults>
    <o:shapedefaults v:ext="edit" spidmax="2050">
      <o:colormru v:ext="edit" colors="red,#4d4d4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08"/>
    <w:rsid w:val="00000239"/>
    <w:rsid w:val="00000329"/>
    <w:rsid w:val="0000034F"/>
    <w:rsid w:val="00000C08"/>
    <w:rsid w:val="0000101E"/>
    <w:rsid w:val="0000136D"/>
    <w:rsid w:val="00001595"/>
    <w:rsid w:val="000015F3"/>
    <w:rsid w:val="00001D43"/>
    <w:rsid w:val="000020CC"/>
    <w:rsid w:val="000022D9"/>
    <w:rsid w:val="00002A15"/>
    <w:rsid w:val="00002C1D"/>
    <w:rsid w:val="00003104"/>
    <w:rsid w:val="0000357D"/>
    <w:rsid w:val="0000365F"/>
    <w:rsid w:val="00003849"/>
    <w:rsid w:val="000047EF"/>
    <w:rsid w:val="00004915"/>
    <w:rsid w:val="00004BA8"/>
    <w:rsid w:val="00004CE3"/>
    <w:rsid w:val="00004E7E"/>
    <w:rsid w:val="00004F06"/>
    <w:rsid w:val="000051C7"/>
    <w:rsid w:val="00005453"/>
    <w:rsid w:val="00005AE8"/>
    <w:rsid w:val="00005BA4"/>
    <w:rsid w:val="00005C69"/>
    <w:rsid w:val="00006039"/>
    <w:rsid w:val="00006143"/>
    <w:rsid w:val="00006575"/>
    <w:rsid w:val="00006978"/>
    <w:rsid w:val="00006CC5"/>
    <w:rsid w:val="00006E88"/>
    <w:rsid w:val="00006F15"/>
    <w:rsid w:val="00007098"/>
    <w:rsid w:val="0000788C"/>
    <w:rsid w:val="00007A3A"/>
    <w:rsid w:val="0001030D"/>
    <w:rsid w:val="00010667"/>
    <w:rsid w:val="000106DD"/>
    <w:rsid w:val="00010908"/>
    <w:rsid w:val="00010BEF"/>
    <w:rsid w:val="00011206"/>
    <w:rsid w:val="000113A2"/>
    <w:rsid w:val="00011CB3"/>
    <w:rsid w:val="00011D6C"/>
    <w:rsid w:val="00011E6F"/>
    <w:rsid w:val="00011F81"/>
    <w:rsid w:val="00011FFA"/>
    <w:rsid w:val="00012044"/>
    <w:rsid w:val="00012442"/>
    <w:rsid w:val="00012918"/>
    <w:rsid w:val="000129D5"/>
    <w:rsid w:val="000129FD"/>
    <w:rsid w:val="00012AA5"/>
    <w:rsid w:val="00012E2B"/>
    <w:rsid w:val="000134C0"/>
    <w:rsid w:val="00013BE7"/>
    <w:rsid w:val="00013D35"/>
    <w:rsid w:val="00013E1A"/>
    <w:rsid w:val="000144CE"/>
    <w:rsid w:val="000148E2"/>
    <w:rsid w:val="00014C7B"/>
    <w:rsid w:val="00014D71"/>
    <w:rsid w:val="00015444"/>
    <w:rsid w:val="0001556D"/>
    <w:rsid w:val="000156FE"/>
    <w:rsid w:val="00015AE7"/>
    <w:rsid w:val="000160A8"/>
    <w:rsid w:val="00016204"/>
    <w:rsid w:val="00016292"/>
    <w:rsid w:val="00016C6A"/>
    <w:rsid w:val="00016D8D"/>
    <w:rsid w:val="00016E21"/>
    <w:rsid w:val="00016E63"/>
    <w:rsid w:val="0001707D"/>
    <w:rsid w:val="0001719C"/>
    <w:rsid w:val="0001729A"/>
    <w:rsid w:val="000176F6"/>
    <w:rsid w:val="000178E2"/>
    <w:rsid w:val="00017AEE"/>
    <w:rsid w:val="0002047C"/>
    <w:rsid w:val="000205AB"/>
    <w:rsid w:val="00020761"/>
    <w:rsid w:val="0002076D"/>
    <w:rsid w:val="0002079A"/>
    <w:rsid w:val="00020A9A"/>
    <w:rsid w:val="00020C04"/>
    <w:rsid w:val="00020C06"/>
    <w:rsid w:val="000211DC"/>
    <w:rsid w:val="000211F5"/>
    <w:rsid w:val="000214F6"/>
    <w:rsid w:val="000215BD"/>
    <w:rsid w:val="000217AD"/>
    <w:rsid w:val="0002224E"/>
    <w:rsid w:val="0002233E"/>
    <w:rsid w:val="00022442"/>
    <w:rsid w:val="00022627"/>
    <w:rsid w:val="00022845"/>
    <w:rsid w:val="0002289B"/>
    <w:rsid w:val="00022A72"/>
    <w:rsid w:val="00022C52"/>
    <w:rsid w:val="000231B5"/>
    <w:rsid w:val="00023530"/>
    <w:rsid w:val="00023B6D"/>
    <w:rsid w:val="00023C4D"/>
    <w:rsid w:val="00023FAB"/>
    <w:rsid w:val="00023FE8"/>
    <w:rsid w:val="000245E5"/>
    <w:rsid w:val="000246D7"/>
    <w:rsid w:val="0002497D"/>
    <w:rsid w:val="00024AD2"/>
    <w:rsid w:val="00024BC6"/>
    <w:rsid w:val="00024C8F"/>
    <w:rsid w:val="0002501D"/>
    <w:rsid w:val="0002520C"/>
    <w:rsid w:val="00025681"/>
    <w:rsid w:val="000256A9"/>
    <w:rsid w:val="00025BD0"/>
    <w:rsid w:val="00025C05"/>
    <w:rsid w:val="00025C30"/>
    <w:rsid w:val="00025D36"/>
    <w:rsid w:val="00025E53"/>
    <w:rsid w:val="00025F22"/>
    <w:rsid w:val="0002607F"/>
    <w:rsid w:val="00026332"/>
    <w:rsid w:val="00026944"/>
    <w:rsid w:val="00026967"/>
    <w:rsid w:val="000269E6"/>
    <w:rsid w:val="00026F91"/>
    <w:rsid w:val="000270BF"/>
    <w:rsid w:val="00027175"/>
    <w:rsid w:val="000274AF"/>
    <w:rsid w:val="00027A74"/>
    <w:rsid w:val="00027CB0"/>
    <w:rsid w:val="00027D3D"/>
    <w:rsid w:val="00027EAA"/>
    <w:rsid w:val="00030401"/>
    <w:rsid w:val="000304B9"/>
    <w:rsid w:val="00030577"/>
    <w:rsid w:val="00030F78"/>
    <w:rsid w:val="00031423"/>
    <w:rsid w:val="000314A7"/>
    <w:rsid w:val="00031816"/>
    <w:rsid w:val="000318EF"/>
    <w:rsid w:val="000320FF"/>
    <w:rsid w:val="0003216B"/>
    <w:rsid w:val="000327A6"/>
    <w:rsid w:val="00032BDE"/>
    <w:rsid w:val="00033E6C"/>
    <w:rsid w:val="00034357"/>
    <w:rsid w:val="00034A6A"/>
    <w:rsid w:val="00034EAC"/>
    <w:rsid w:val="000356BE"/>
    <w:rsid w:val="00035766"/>
    <w:rsid w:val="000359A7"/>
    <w:rsid w:val="00035C01"/>
    <w:rsid w:val="00035CB9"/>
    <w:rsid w:val="00035CE2"/>
    <w:rsid w:val="00035F92"/>
    <w:rsid w:val="00036022"/>
    <w:rsid w:val="000360B8"/>
    <w:rsid w:val="0003644F"/>
    <w:rsid w:val="00036C2A"/>
    <w:rsid w:val="00036C4F"/>
    <w:rsid w:val="00036D63"/>
    <w:rsid w:val="00036DA2"/>
    <w:rsid w:val="00036ECC"/>
    <w:rsid w:val="000370C3"/>
    <w:rsid w:val="00037185"/>
    <w:rsid w:val="0003747E"/>
    <w:rsid w:val="0003750A"/>
    <w:rsid w:val="000376B3"/>
    <w:rsid w:val="000377BB"/>
    <w:rsid w:val="00037D1B"/>
    <w:rsid w:val="00037E47"/>
    <w:rsid w:val="0004020C"/>
    <w:rsid w:val="0004042B"/>
    <w:rsid w:val="0004075F"/>
    <w:rsid w:val="00040B1E"/>
    <w:rsid w:val="00040D11"/>
    <w:rsid w:val="000413FE"/>
    <w:rsid w:val="000416C4"/>
    <w:rsid w:val="0004176B"/>
    <w:rsid w:val="0004197A"/>
    <w:rsid w:val="000422BB"/>
    <w:rsid w:val="0004232E"/>
    <w:rsid w:val="00042B3C"/>
    <w:rsid w:val="00042BBB"/>
    <w:rsid w:val="00042F50"/>
    <w:rsid w:val="00044114"/>
    <w:rsid w:val="00044601"/>
    <w:rsid w:val="0004468B"/>
    <w:rsid w:val="00044710"/>
    <w:rsid w:val="00044EC1"/>
    <w:rsid w:val="00044F92"/>
    <w:rsid w:val="00045139"/>
    <w:rsid w:val="000452FB"/>
    <w:rsid w:val="000455B4"/>
    <w:rsid w:val="0004585E"/>
    <w:rsid w:val="00045A46"/>
    <w:rsid w:val="00046A37"/>
    <w:rsid w:val="00046A80"/>
    <w:rsid w:val="00046B78"/>
    <w:rsid w:val="00047058"/>
    <w:rsid w:val="000470E9"/>
    <w:rsid w:val="00047227"/>
    <w:rsid w:val="00047301"/>
    <w:rsid w:val="0004764C"/>
    <w:rsid w:val="000479EF"/>
    <w:rsid w:val="00047B6C"/>
    <w:rsid w:val="0005011A"/>
    <w:rsid w:val="00050262"/>
    <w:rsid w:val="0005045A"/>
    <w:rsid w:val="00050597"/>
    <w:rsid w:val="00050890"/>
    <w:rsid w:val="00050E83"/>
    <w:rsid w:val="00051611"/>
    <w:rsid w:val="0005167D"/>
    <w:rsid w:val="00051BA7"/>
    <w:rsid w:val="00051C1E"/>
    <w:rsid w:val="00052339"/>
    <w:rsid w:val="0005247C"/>
    <w:rsid w:val="00052821"/>
    <w:rsid w:val="00052AFB"/>
    <w:rsid w:val="00052DA4"/>
    <w:rsid w:val="00052E34"/>
    <w:rsid w:val="00052EA2"/>
    <w:rsid w:val="00053052"/>
    <w:rsid w:val="00053115"/>
    <w:rsid w:val="00053429"/>
    <w:rsid w:val="0005346D"/>
    <w:rsid w:val="00053693"/>
    <w:rsid w:val="000537E0"/>
    <w:rsid w:val="000539F9"/>
    <w:rsid w:val="0005460C"/>
    <w:rsid w:val="0005486A"/>
    <w:rsid w:val="0005495D"/>
    <w:rsid w:val="00054C27"/>
    <w:rsid w:val="00054E8C"/>
    <w:rsid w:val="000555A6"/>
    <w:rsid w:val="00055A39"/>
    <w:rsid w:val="00055EC3"/>
    <w:rsid w:val="000560A6"/>
    <w:rsid w:val="00056248"/>
    <w:rsid w:val="00056361"/>
    <w:rsid w:val="000563A1"/>
    <w:rsid w:val="000563CE"/>
    <w:rsid w:val="000565AB"/>
    <w:rsid w:val="000565B8"/>
    <w:rsid w:val="000565E3"/>
    <w:rsid w:val="00056D3E"/>
    <w:rsid w:val="00056DC5"/>
    <w:rsid w:val="0005714B"/>
    <w:rsid w:val="000573B6"/>
    <w:rsid w:val="00057C77"/>
    <w:rsid w:val="00057F12"/>
    <w:rsid w:val="000600EC"/>
    <w:rsid w:val="00060314"/>
    <w:rsid w:val="00060647"/>
    <w:rsid w:val="000609FB"/>
    <w:rsid w:val="000609FE"/>
    <w:rsid w:val="0006125F"/>
    <w:rsid w:val="000618E2"/>
    <w:rsid w:val="00061D3C"/>
    <w:rsid w:val="00062298"/>
    <w:rsid w:val="0006296E"/>
    <w:rsid w:val="00062FA6"/>
    <w:rsid w:val="000630FD"/>
    <w:rsid w:val="000631E7"/>
    <w:rsid w:val="00063250"/>
    <w:rsid w:val="000632A1"/>
    <w:rsid w:val="0006334F"/>
    <w:rsid w:val="000638B6"/>
    <w:rsid w:val="00063B52"/>
    <w:rsid w:val="00063FCC"/>
    <w:rsid w:val="000641A2"/>
    <w:rsid w:val="00064266"/>
    <w:rsid w:val="0006429A"/>
    <w:rsid w:val="00064613"/>
    <w:rsid w:val="000648B7"/>
    <w:rsid w:val="00064CF2"/>
    <w:rsid w:val="00065463"/>
    <w:rsid w:val="000659B6"/>
    <w:rsid w:val="00065A5A"/>
    <w:rsid w:val="00065AB9"/>
    <w:rsid w:val="00066601"/>
    <w:rsid w:val="0006674C"/>
    <w:rsid w:val="0006686F"/>
    <w:rsid w:val="00066A3B"/>
    <w:rsid w:val="00066C75"/>
    <w:rsid w:val="00066FD9"/>
    <w:rsid w:val="0006722A"/>
    <w:rsid w:val="0006755D"/>
    <w:rsid w:val="00067965"/>
    <w:rsid w:val="00067C41"/>
    <w:rsid w:val="00067C65"/>
    <w:rsid w:val="00067CA9"/>
    <w:rsid w:val="000702A3"/>
    <w:rsid w:val="00070688"/>
    <w:rsid w:val="00070F38"/>
    <w:rsid w:val="00071182"/>
    <w:rsid w:val="000719AB"/>
    <w:rsid w:val="00071EC2"/>
    <w:rsid w:val="00072616"/>
    <w:rsid w:val="00072849"/>
    <w:rsid w:val="000730B5"/>
    <w:rsid w:val="00073184"/>
    <w:rsid w:val="00073263"/>
    <w:rsid w:val="000732CF"/>
    <w:rsid w:val="00073724"/>
    <w:rsid w:val="00073C3B"/>
    <w:rsid w:val="00074304"/>
    <w:rsid w:val="000744FF"/>
    <w:rsid w:val="0007471F"/>
    <w:rsid w:val="000749E3"/>
    <w:rsid w:val="00074D35"/>
    <w:rsid w:val="00074FB6"/>
    <w:rsid w:val="00075513"/>
    <w:rsid w:val="00075925"/>
    <w:rsid w:val="00075AAD"/>
    <w:rsid w:val="00075B39"/>
    <w:rsid w:val="00075B96"/>
    <w:rsid w:val="00075C43"/>
    <w:rsid w:val="00075DFD"/>
    <w:rsid w:val="0007642E"/>
    <w:rsid w:val="000769B0"/>
    <w:rsid w:val="000772EF"/>
    <w:rsid w:val="000776AF"/>
    <w:rsid w:val="00077702"/>
    <w:rsid w:val="00077BE8"/>
    <w:rsid w:val="00077F3A"/>
    <w:rsid w:val="00077F7E"/>
    <w:rsid w:val="000800E6"/>
    <w:rsid w:val="000808B7"/>
    <w:rsid w:val="0008098E"/>
    <w:rsid w:val="00080CE8"/>
    <w:rsid w:val="00080CF0"/>
    <w:rsid w:val="00080D49"/>
    <w:rsid w:val="00081091"/>
    <w:rsid w:val="00081315"/>
    <w:rsid w:val="0008136A"/>
    <w:rsid w:val="000816DA"/>
    <w:rsid w:val="0008176D"/>
    <w:rsid w:val="00081901"/>
    <w:rsid w:val="0008196A"/>
    <w:rsid w:val="00081A78"/>
    <w:rsid w:val="00081B5B"/>
    <w:rsid w:val="000820BB"/>
    <w:rsid w:val="000822BC"/>
    <w:rsid w:val="00082738"/>
    <w:rsid w:val="000832FB"/>
    <w:rsid w:val="00083C55"/>
    <w:rsid w:val="000840E3"/>
    <w:rsid w:val="000840E8"/>
    <w:rsid w:val="000841CA"/>
    <w:rsid w:val="00084650"/>
    <w:rsid w:val="000847A9"/>
    <w:rsid w:val="000849BA"/>
    <w:rsid w:val="00084E7A"/>
    <w:rsid w:val="00085359"/>
    <w:rsid w:val="000855E4"/>
    <w:rsid w:val="00085BE5"/>
    <w:rsid w:val="00085C0F"/>
    <w:rsid w:val="00085EAC"/>
    <w:rsid w:val="00085FF7"/>
    <w:rsid w:val="000862DA"/>
    <w:rsid w:val="000863DF"/>
    <w:rsid w:val="00086700"/>
    <w:rsid w:val="00086E3D"/>
    <w:rsid w:val="00087359"/>
    <w:rsid w:val="0008764C"/>
    <w:rsid w:val="000876C0"/>
    <w:rsid w:val="00087A14"/>
    <w:rsid w:val="00087D1F"/>
    <w:rsid w:val="00090F23"/>
    <w:rsid w:val="00090FB0"/>
    <w:rsid w:val="00090FB2"/>
    <w:rsid w:val="00091095"/>
    <w:rsid w:val="00091320"/>
    <w:rsid w:val="000915ED"/>
    <w:rsid w:val="00091AE4"/>
    <w:rsid w:val="00091EFD"/>
    <w:rsid w:val="00091FF2"/>
    <w:rsid w:val="0009209D"/>
    <w:rsid w:val="00092769"/>
    <w:rsid w:val="00092A58"/>
    <w:rsid w:val="00092ABE"/>
    <w:rsid w:val="00092BBE"/>
    <w:rsid w:val="00092C96"/>
    <w:rsid w:val="000938AB"/>
    <w:rsid w:val="00093AA7"/>
    <w:rsid w:val="00093D01"/>
    <w:rsid w:val="00093F11"/>
    <w:rsid w:val="000943A9"/>
    <w:rsid w:val="0009463C"/>
    <w:rsid w:val="00094A43"/>
    <w:rsid w:val="00094A57"/>
    <w:rsid w:val="00094B98"/>
    <w:rsid w:val="00094DD4"/>
    <w:rsid w:val="00094F3A"/>
    <w:rsid w:val="0009516A"/>
    <w:rsid w:val="000958DE"/>
    <w:rsid w:val="00095E44"/>
    <w:rsid w:val="000969BD"/>
    <w:rsid w:val="000969BF"/>
    <w:rsid w:val="00096C46"/>
    <w:rsid w:val="00096ED1"/>
    <w:rsid w:val="00096F27"/>
    <w:rsid w:val="00097169"/>
    <w:rsid w:val="000971BD"/>
    <w:rsid w:val="00097932"/>
    <w:rsid w:val="00097BBE"/>
    <w:rsid w:val="00097C31"/>
    <w:rsid w:val="00097C3D"/>
    <w:rsid w:val="00097F23"/>
    <w:rsid w:val="00097F8B"/>
    <w:rsid w:val="000A0092"/>
    <w:rsid w:val="000A0629"/>
    <w:rsid w:val="000A0740"/>
    <w:rsid w:val="000A0AC8"/>
    <w:rsid w:val="000A0C22"/>
    <w:rsid w:val="000A0D0A"/>
    <w:rsid w:val="000A0DBA"/>
    <w:rsid w:val="000A0F6C"/>
    <w:rsid w:val="000A0F72"/>
    <w:rsid w:val="000A1400"/>
    <w:rsid w:val="000A173E"/>
    <w:rsid w:val="000A19D0"/>
    <w:rsid w:val="000A19DF"/>
    <w:rsid w:val="000A217D"/>
    <w:rsid w:val="000A2189"/>
    <w:rsid w:val="000A2791"/>
    <w:rsid w:val="000A29F4"/>
    <w:rsid w:val="000A2A39"/>
    <w:rsid w:val="000A2A94"/>
    <w:rsid w:val="000A2D1E"/>
    <w:rsid w:val="000A2D68"/>
    <w:rsid w:val="000A2ED2"/>
    <w:rsid w:val="000A34CD"/>
    <w:rsid w:val="000A35F6"/>
    <w:rsid w:val="000A35FE"/>
    <w:rsid w:val="000A3BBB"/>
    <w:rsid w:val="000A3C43"/>
    <w:rsid w:val="000A3F91"/>
    <w:rsid w:val="000A4483"/>
    <w:rsid w:val="000A45AB"/>
    <w:rsid w:val="000A4A51"/>
    <w:rsid w:val="000A4BEB"/>
    <w:rsid w:val="000A4CEE"/>
    <w:rsid w:val="000A522B"/>
    <w:rsid w:val="000A5D2B"/>
    <w:rsid w:val="000A5E9E"/>
    <w:rsid w:val="000A5EB5"/>
    <w:rsid w:val="000A5F1F"/>
    <w:rsid w:val="000A6200"/>
    <w:rsid w:val="000A64AB"/>
    <w:rsid w:val="000A6A05"/>
    <w:rsid w:val="000A6DDA"/>
    <w:rsid w:val="000A6E7C"/>
    <w:rsid w:val="000A7495"/>
    <w:rsid w:val="000A75A1"/>
    <w:rsid w:val="000A79D5"/>
    <w:rsid w:val="000A7D82"/>
    <w:rsid w:val="000A7F6A"/>
    <w:rsid w:val="000B0E9B"/>
    <w:rsid w:val="000B0ED5"/>
    <w:rsid w:val="000B1670"/>
    <w:rsid w:val="000B173A"/>
    <w:rsid w:val="000B183C"/>
    <w:rsid w:val="000B1A65"/>
    <w:rsid w:val="000B25CE"/>
    <w:rsid w:val="000B276D"/>
    <w:rsid w:val="000B2ED4"/>
    <w:rsid w:val="000B3170"/>
    <w:rsid w:val="000B33B3"/>
    <w:rsid w:val="000B39F4"/>
    <w:rsid w:val="000B3AE6"/>
    <w:rsid w:val="000B3B3A"/>
    <w:rsid w:val="000B3C0F"/>
    <w:rsid w:val="000B3FA8"/>
    <w:rsid w:val="000B4145"/>
    <w:rsid w:val="000B424B"/>
    <w:rsid w:val="000B446D"/>
    <w:rsid w:val="000B4664"/>
    <w:rsid w:val="000B47AD"/>
    <w:rsid w:val="000B4B2C"/>
    <w:rsid w:val="000B4C29"/>
    <w:rsid w:val="000B4C4C"/>
    <w:rsid w:val="000B5318"/>
    <w:rsid w:val="000B53F1"/>
    <w:rsid w:val="000B54EB"/>
    <w:rsid w:val="000B5532"/>
    <w:rsid w:val="000B563A"/>
    <w:rsid w:val="000B588A"/>
    <w:rsid w:val="000B5ABD"/>
    <w:rsid w:val="000B5CA9"/>
    <w:rsid w:val="000B5DA3"/>
    <w:rsid w:val="000B5DE3"/>
    <w:rsid w:val="000B5E64"/>
    <w:rsid w:val="000B6040"/>
    <w:rsid w:val="000B6133"/>
    <w:rsid w:val="000B64FD"/>
    <w:rsid w:val="000B65C0"/>
    <w:rsid w:val="000B6782"/>
    <w:rsid w:val="000B696E"/>
    <w:rsid w:val="000B70DE"/>
    <w:rsid w:val="000B76E8"/>
    <w:rsid w:val="000B78CE"/>
    <w:rsid w:val="000B7E60"/>
    <w:rsid w:val="000C0777"/>
    <w:rsid w:val="000C0A57"/>
    <w:rsid w:val="000C0D07"/>
    <w:rsid w:val="000C1018"/>
    <w:rsid w:val="000C11D8"/>
    <w:rsid w:val="000C123E"/>
    <w:rsid w:val="000C12D5"/>
    <w:rsid w:val="000C1581"/>
    <w:rsid w:val="000C172E"/>
    <w:rsid w:val="000C180E"/>
    <w:rsid w:val="000C1DB8"/>
    <w:rsid w:val="000C1FDA"/>
    <w:rsid w:val="000C20F6"/>
    <w:rsid w:val="000C230C"/>
    <w:rsid w:val="000C25D1"/>
    <w:rsid w:val="000C278B"/>
    <w:rsid w:val="000C2845"/>
    <w:rsid w:val="000C2DAB"/>
    <w:rsid w:val="000C3824"/>
    <w:rsid w:val="000C386E"/>
    <w:rsid w:val="000C3915"/>
    <w:rsid w:val="000C3998"/>
    <w:rsid w:val="000C3CFA"/>
    <w:rsid w:val="000C41A7"/>
    <w:rsid w:val="000C46E4"/>
    <w:rsid w:val="000C483D"/>
    <w:rsid w:val="000C55BB"/>
    <w:rsid w:val="000C5669"/>
    <w:rsid w:val="000C6023"/>
    <w:rsid w:val="000C6203"/>
    <w:rsid w:val="000C6207"/>
    <w:rsid w:val="000C63AC"/>
    <w:rsid w:val="000C6457"/>
    <w:rsid w:val="000C653E"/>
    <w:rsid w:val="000C6AB4"/>
    <w:rsid w:val="000C6AFB"/>
    <w:rsid w:val="000C6C0D"/>
    <w:rsid w:val="000C6C69"/>
    <w:rsid w:val="000C6F89"/>
    <w:rsid w:val="000C7214"/>
    <w:rsid w:val="000C7270"/>
    <w:rsid w:val="000C72A5"/>
    <w:rsid w:val="000C73E9"/>
    <w:rsid w:val="000C741D"/>
    <w:rsid w:val="000C7577"/>
    <w:rsid w:val="000D008F"/>
    <w:rsid w:val="000D051E"/>
    <w:rsid w:val="000D0536"/>
    <w:rsid w:val="000D09F6"/>
    <w:rsid w:val="000D0E10"/>
    <w:rsid w:val="000D0E58"/>
    <w:rsid w:val="000D0E7A"/>
    <w:rsid w:val="000D0ED7"/>
    <w:rsid w:val="000D1009"/>
    <w:rsid w:val="000D1738"/>
    <w:rsid w:val="000D1A26"/>
    <w:rsid w:val="000D1A9C"/>
    <w:rsid w:val="000D1B06"/>
    <w:rsid w:val="000D1C51"/>
    <w:rsid w:val="000D2487"/>
    <w:rsid w:val="000D2501"/>
    <w:rsid w:val="000D2686"/>
    <w:rsid w:val="000D2A78"/>
    <w:rsid w:val="000D320B"/>
    <w:rsid w:val="000D3657"/>
    <w:rsid w:val="000D3E7E"/>
    <w:rsid w:val="000D3EDA"/>
    <w:rsid w:val="000D47E4"/>
    <w:rsid w:val="000D4832"/>
    <w:rsid w:val="000D4C1D"/>
    <w:rsid w:val="000D4E1F"/>
    <w:rsid w:val="000D5378"/>
    <w:rsid w:val="000D564B"/>
    <w:rsid w:val="000D580B"/>
    <w:rsid w:val="000D5A06"/>
    <w:rsid w:val="000D5D2B"/>
    <w:rsid w:val="000D6066"/>
    <w:rsid w:val="000D6067"/>
    <w:rsid w:val="000D6415"/>
    <w:rsid w:val="000D6754"/>
    <w:rsid w:val="000D71D9"/>
    <w:rsid w:val="000D71FA"/>
    <w:rsid w:val="000D7273"/>
    <w:rsid w:val="000D73FA"/>
    <w:rsid w:val="000D7677"/>
    <w:rsid w:val="000D76E0"/>
    <w:rsid w:val="000D77EA"/>
    <w:rsid w:val="000D784F"/>
    <w:rsid w:val="000D7AB5"/>
    <w:rsid w:val="000D7AD5"/>
    <w:rsid w:val="000D7E8B"/>
    <w:rsid w:val="000E0158"/>
    <w:rsid w:val="000E028C"/>
    <w:rsid w:val="000E0536"/>
    <w:rsid w:val="000E08E2"/>
    <w:rsid w:val="000E0D28"/>
    <w:rsid w:val="000E123C"/>
    <w:rsid w:val="000E1252"/>
    <w:rsid w:val="000E159E"/>
    <w:rsid w:val="000E1729"/>
    <w:rsid w:val="000E1BB6"/>
    <w:rsid w:val="000E1C59"/>
    <w:rsid w:val="000E1D3D"/>
    <w:rsid w:val="000E204F"/>
    <w:rsid w:val="000E2180"/>
    <w:rsid w:val="000E22C6"/>
    <w:rsid w:val="000E2301"/>
    <w:rsid w:val="000E2345"/>
    <w:rsid w:val="000E26F3"/>
    <w:rsid w:val="000E2B0C"/>
    <w:rsid w:val="000E33D4"/>
    <w:rsid w:val="000E3B19"/>
    <w:rsid w:val="000E4314"/>
    <w:rsid w:val="000E4346"/>
    <w:rsid w:val="000E4449"/>
    <w:rsid w:val="000E4CB3"/>
    <w:rsid w:val="000E50C5"/>
    <w:rsid w:val="000E542F"/>
    <w:rsid w:val="000E54D1"/>
    <w:rsid w:val="000E56EE"/>
    <w:rsid w:val="000E5AE2"/>
    <w:rsid w:val="000E5DCA"/>
    <w:rsid w:val="000E5E00"/>
    <w:rsid w:val="000E5F0B"/>
    <w:rsid w:val="000E6097"/>
    <w:rsid w:val="000E6692"/>
    <w:rsid w:val="000E6ADA"/>
    <w:rsid w:val="000E6DCD"/>
    <w:rsid w:val="000E7010"/>
    <w:rsid w:val="000E7129"/>
    <w:rsid w:val="000E76B5"/>
    <w:rsid w:val="000E79CC"/>
    <w:rsid w:val="000E7C12"/>
    <w:rsid w:val="000E7D0B"/>
    <w:rsid w:val="000F0053"/>
    <w:rsid w:val="000F087D"/>
    <w:rsid w:val="000F0D2C"/>
    <w:rsid w:val="000F11D9"/>
    <w:rsid w:val="000F183C"/>
    <w:rsid w:val="000F19B7"/>
    <w:rsid w:val="000F22B9"/>
    <w:rsid w:val="000F2643"/>
    <w:rsid w:val="000F2709"/>
    <w:rsid w:val="000F2A3F"/>
    <w:rsid w:val="000F2ECA"/>
    <w:rsid w:val="000F35A8"/>
    <w:rsid w:val="000F3B59"/>
    <w:rsid w:val="000F46B1"/>
    <w:rsid w:val="000F4C32"/>
    <w:rsid w:val="000F517E"/>
    <w:rsid w:val="000F54A0"/>
    <w:rsid w:val="000F565F"/>
    <w:rsid w:val="000F5740"/>
    <w:rsid w:val="000F5938"/>
    <w:rsid w:val="000F59B4"/>
    <w:rsid w:val="000F5C23"/>
    <w:rsid w:val="000F614C"/>
    <w:rsid w:val="000F61C6"/>
    <w:rsid w:val="000F6762"/>
    <w:rsid w:val="000F683A"/>
    <w:rsid w:val="000F68A4"/>
    <w:rsid w:val="000F6C0E"/>
    <w:rsid w:val="000F71FD"/>
    <w:rsid w:val="00100C29"/>
    <w:rsid w:val="00100E40"/>
    <w:rsid w:val="00100F59"/>
    <w:rsid w:val="00101059"/>
    <w:rsid w:val="0010142A"/>
    <w:rsid w:val="00101B3B"/>
    <w:rsid w:val="00101E67"/>
    <w:rsid w:val="001022B5"/>
    <w:rsid w:val="0010237D"/>
    <w:rsid w:val="0010267F"/>
    <w:rsid w:val="00102A16"/>
    <w:rsid w:val="001034F3"/>
    <w:rsid w:val="00103829"/>
    <w:rsid w:val="00103934"/>
    <w:rsid w:val="00103A19"/>
    <w:rsid w:val="00103DB0"/>
    <w:rsid w:val="00103EE9"/>
    <w:rsid w:val="00103F79"/>
    <w:rsid w:val="0010401A"/>
    <w:rsid w:val="00104067"/>
    <w:rsid w:val="001040DC"/>
    <w:rsid w:val="001041C5"/>
    <w:rsid w:val="001043E5"/>
    <w:rsid w:val="001043EC"/>
    <w:rsid w:val="001044EE"/>
    <w:rsid w:val="001049EB"/>
    <w:rsid w:val="00104BD0"/>
    <w:rsid w:val="00104C36"/>
    <w:rsid w:val="00104E3A"/>
    <w:rsid w:val="001054ED"/>
    <w:rsid w:val="0010554C"/>
    <w:rsid w:val="00105885"/>
    <w:rsid w:val="001058A9"/>
    <w:rsid w:val="00105FC7"/>
    <w:rsid w:val="001063A6"/>
    <w:rsid w:val="00106A42"/>
    <w:rsid w:val="00106AAE"/>
    <w:rsid w:val="00106E28"/>
    <w:rsid w:val="00107477"/>
    <w:rsid w:val="001074A7"/>
    <w:rsid w:val="00107500"/>
    <w:rsid w:val="00107741"/>
    <w:rsid w:val="00107844"/>
    <w:rsid w:val="0010789E"/>
    <w:rsid w:val="00107AB3"/>
    <w:rsid w:val="00107B6E"/>
    <w:rsid w:val="00107C26"/>
    <w:rsid w:val="00107C68"/>
    <w:rsid w:val="00107C86"/>
    <w:rsid w:val="001106BC"/>
    <w:rsid w:val="00110B6B"/>
    <w:rsid w:val="00110EAF"/>
    <w:rsid w:val="00110F41"/>
    <w:rsid w:val="00111357"/>
    <w:rsid w:val="00111AD1"/>
    <w:rsid w:val="00111BCE"/>
    <w:rsid w:val="00111FCE"/>
    <w:rsid w:val="001122D1"/>
    <w:rsid w:val="00112353"/>
    <w:rsid w:val="0011242A"/>
    <w:rsid w:val="00112565"/>
    <w:rsid w:val="0011277A"/>
    <w:rsid w:val="00112AE3"/>
    <w:rsid w:val="001137AC"/>
    <w:rsid w:val="00113E3D"/>
    <w:rsid w:val="00113E9F"/>
    <w:rsid w:val="00113F84"/>
    <w:rsid w:val="0011463B"/>
    <w:rsid w:val="00114CA7"/>
    <w:rsid w:val="00115503"/>
    <w:rsid w:val="0011550E"/>
    <w:rsid w:val="001156E1"/>
    <w:rsid w:val="00115D6F"/>
    <w:rsid w:val="00116B29"/>
    <w:rsid w:val="00116E13"/>
    <w:rsid w:val="00117524"/>
    <w:rsid w:val="0011769E"/>
    <w:rsid w:val="00117A8B"/>
    <w:rsid w:val="00117C8C"/>
    <w:rsid w:val="00120040"/>
    <w:rsid w:val="00120308"/>
    <w:rsid w:val="00120B03"/>
    <w:rsid w:val="00120B52"/>
    <w:rsid w:val="00120DEA"/>
    <w:rsid w:val="00121218"/>
    <w:rsid w:val="001212DC"/>
    <w:rsid w:val="00121797"/>
    <w:rsid w:val="00121A0A"/>
    <w:rsid w:val="00121A0D"/>
    <w:rsid w:val="00121F5F"/>
    <w:rsid w:val="001222D1"/>
    <w:rsid w:val="001227DF"/>
    <w:rsid w:val="001227F3"/>
    <w:rsid w:val="001229A5"/>
    <w:rsid w:val="00122B05"/>
    <w:rsid w:val="00122C4C"/>
    <w:rsid w:val="00122CA1"/>
    <w:rsid w:val="00122DB2"/>
    <w:rsid w:val="00122E19"/>
    <w:rsid w:val="001238E1"/>
    <w:rsid w:val="00123FE3"/>
    <w:rsid w:val="00124096"/>
    <w:rsid w:val="00124121"/>
    <w:rsid w:val="0012444C"/>
    <w:rsid w:val="00124797"/>
    <w:rsid w:val="0012489B"/>
    <w:rsid w:val="00124D19"/>
    <w:rsid w:val="00124DF1"/>
    <w:rsid w:val="00124E36"/>
    <w:rsid w:val="0012507A"/>
    <w:rsid w:val="001255CE"/>
    <w:rsid w:val="00125606"/>
    <w:rsid w:val="0012577F"/>
    <w:rsid w:val="00125C62"/>
    <w:rsid w:val="00126134"/>
    <w:rsid w:val="00126158"/>
    <w:rsid w:val="0012705D"/>
    <w:rsid w:val="001277C4"/>
    <w:rsid w:val="00127865"/>
    <w:rsid w:val="0012790B"/>
    <w:rsid w:val="00127B86"/>
    <w:rsid w:val="00127EFF"/>
    <w:rsid w:val="00130017"/>
    <w:rsid w:val="001300BB"/>
    <w:rsid w:val="00130711"/>
    <w:rsid w:val="00130B62"/>
    <w:rsid w:val="00130BB8"/>
    <w:rsid w:val="00130F91"/>
    <w:rsid w:val="00130FFD"/>
    <w:rsid w:val="0013105A"/>
    <w:rsid w:val="00131403"/>
    <w:rsid w:val="0013182C"/>
    <w:rsid w:val="001319AC"/>
    <w:rsid w:val="00131A9C"/>
    <w:rsid w:val="0013211E"/>
    <w:rsid w:val="001324F6"/>
    <w:rsid w:val="001327B4"/>
    <w:rsid w:val="001327E8"/>
    <w:rsid w:val="001333A0"/>
    <w:rsid w:val="0013345F"/>
    <w:rsid w:val="00133868"/>
    <w:rsid w:val="001341B1"/>
    <w:rsid w:val="001341B8"/>
    <w:rsid w:val="001347FB"/>
    <w:rsid w:val="00134852"/>
    <w:rsid w:val="001349ED"/>
    <w:rsid w:val="00134CA3"/>
    <w:rsid w:val="00134D93"/>
    <w:rsid w:val="00134FE1"/>
    <w:rsid w:val="0013517A"/>
    <w:rsid w:val="001351E5"/>
    <w:rsid w:val="00135554"/>
    <w:rsid w:val="0013587C"/>
    <w:rsid w:val="00136346"/>
    <w:rsid w:val="00136371"/>
    <w:rsid w:val="001365F9"/>
    <w:rsid w:val="00136C45"/>
    <w:rsid w:val="0013730D"/>
    <w:rsid w:val="00137327"/>
    <w:rsid w:val="001373C3"/>
    <w:rsid w:val="00137424"/>
    <w:rsid w:val="001375F5"/>
    <w:rsid w:val="0013771A"/>
    <w:rsid w:val="00137894"/>
    <w:rsid w:val="00137C70"/>
    <w:rsid w:val="00137CD3"/>
    <w:rsid w:val="001400F3"/>
    <w:rsid w:val="001401EA"/>
    <w:rsid w:val="001402A2"/>
    <w:rsid w:val="00140318"/>
    <w:rsid w:val="00140725"/>
    <w:rsid w:val="00140A22"/>
    <w:rsid w:val="00140AC3"/>
    <w:rsid w:val="00140BAB"/>
    <w:rsid w:val="00140BAE"/>
    <w:rsid w:val="00140C44"/>
    <w:rsid w:val="00140E76"/>
    <w:rsid w:val="0014104C"/>
    <w:rsid w:val="0014105D"/>
    <w:rsid w:val="001410D9"/>
    <w:rsid w:val="0014124E"/>
    <w:rsid w:val="00141542"/>
    <w:rsid w:val="00141AD9"/>
    <w:rsid w:val="00141BE9"/>
    <w:rsid w:val="00141C6E"/>
    <w:rsid w:val="00141D9C"/>
    <w:rsid w:val="00141DF0"/>
    <w:rsid w:val="00141E22"/>
    <w:rsid w:val="00141E43"/>
    <w:rsid w:val="00141E77"/>
    <w:rsid w:val="00142548"/>
    <w:rsid w:val="00142B78"/>
    <w:rsid w:val="00142BF1"/>
    <w:rsid w:val="00142CBB"/>
    <w:rsid w:val="00142CDC"/>
    <w:rsid w:val="00142E61"/>
    <w:rsid w:val="00143003"/>
    <w:rsid w:val="00143445"/>
    <w:rsid w:val="0014399F"/>
    <w:rsid w:val="00143A68"/>
    <w:rsid w:val="00143A7D"/>
    <w:rsid w:val="00143F32"/>
    <w:rsid w:val="00143F51"/>
    <w:rsid w:val="00143F85"/>
    <w:rsid w:val="00144678"/>
    <w:rsid w:val="001447F7"/>
    <w:rsid w:val="00144D27"/>
    <w:rsid w:val="00144DFC"/>
    <w:rsid w:val="001453DA"/>
    <w:rsid w:val="001454A8"/>
    <w:rsid w:val="00145977"/>
    <w:rsid w:val="00146482"/>
    <w:rsid w:val="00146AE6"/>
    <w:rsid w:val="00146CE6"/>
    <w:rsid w:val="00147017"/>
    <w:rsid w:val="00147270"/>
    <w:rsid w:val="001473DA"/>
    <w:rsid w:val="00147C11"/>
    <w:rsid w:val="00147C22"/>
    <w:rsid w:val="00147EA4"/>
    <w:rsid w:val="00150AE6"/>
    <w:rsid w:val="00150D85"/>
    <w:rsid w:val="00150D9A"/>
    <w:rsid w:val="00150E89"/>
    <w:rsid w:val="001511CC"/>
    <w:rsid w:val="00151218"/>
    <w:rsid w:val="001512BD"/>
    <w:rsid w:val="0015157D"/>
    <w:rsid w:val="00151916"/>
    <w:rsid w:val="00151CAE"/>
    <w:rsid w:val="0015214C"/>
    <w:rsid w:val="00152560"/>
    <w:rsid w:val="001526E4"/>
    <w:rsid w:val="00152755"/>
    <w:rsid w:val="0015289C"/>
    <w:rsid w:val="00152903"/>
    <w:rsid w:val="00152BDC"/>
    <w:rsid w:val="00152DFD"/>
    <w:rsid w:val="00152F4C"/>
    <w:rsid w:val="00153A8D"/>
    <w:rsid w:val="00153AF6"/>
    <w:rsid w:val="00153C4D"/>
    <w:rsid w:val="00153FD5"/>
    <w:rsid w:val="0015443E"/>
    <w:rsid w:val="001544F7"/>
    <w:rsid w:val="0015525C"/>
    <w:rsid w:val="0015577D"/>
    <w:rsid w:val="00155A91"/>
    <w:rsid w:val="00155EAD"/>
    <w:rsid w:val="0015614F"/>
    <w:rsid w:val="00156263"/>
    <w:rsid w:val="001575B9"/>
    <w:rsid w:val="001577C2"/>
    <w:rsid w:val="001578B9"/>
    <w:rsid w:val="00157B87"/>
    <w:rsid w:val="00157CF9"/>
    <w:rsid w:val="00157F24"/>
    <w:rsid w:val="00160389"/>
    <w:rsid w:val="00160474"/>
    <w:rsid w:val="001604EC"/>
    <w:rsid w:val="00160DEB"/>
    <w:rsid w:val="00160F4B"/>
    <w:rsid w:val="00161201"/>
    <w:rsid w:val="001616BC"/>
    <w:rsid w:val="00161875"/>
    <w:rsid w:val="00161B96"/>
    <w:rsid w:val="0016215C"/>
    <w:rsid w:val="001629DC"/>
    <w:rsid w:val="00162D03"/>
    <w:rsid w:val="00162E8F"/>
    <w:rsid w:val="00162F47"/>
    <w:rsid w:val="001633C4"/>
    <w:rsid w:val="00163418"/>
    <w:rsid w:val="00163BFD"/>
    <w:rsid w:val="00163C0F"/>
    <w:rsid w:val="00164287"/>
    <w:rsid w:val="00164473"/>
    <w:rsid w:val="00164550"/>
    <w:rsid w:val="00164EC1"/>
    <w:rsid w:val="00164FFB"/>
    <w:rsid w:val="00165094"/>
    <w:rsid w:val="0016522A"/>
    <w:rsid w:val="0016534C"/>
    <w:rsid w:val="00165B97"/>
    <w:rsid w:val="00165C05"/>
    <w:rsid w:val="00166721"/>
    <w:rsid w:val="00166723"/>
    <w:rsid w:val="00166B13"/>
    <w:rsid w:val="001674DE"/>
    <w:rsid w:val="00167CB5"/>
    <w:rsid w:val="00170210"/>
    <w:rsid w:val="0017033C"/>
    <w:rsid w:val="001704D5"/>
    <w:rsid w:val="00170847"/>
    <w:rsid w:val="00170952"/>
    <w:rsid w:val="00170A8C"/>
    <w:rsid w:val="00170E28"/>
    <w:rsid w:val="00170FDB"/>
    <w:rsid w:val="00171345"/>
    <w:rsid w:val="00171591"/>
    <w:rsid w:val="0017175D"/>
    <w:rsid w:val="00171A20"/>
    <w:rsid w:val="00171BAF"/>
    <w:rsid w:val="00171CCE"/>
    <w:rsid w:val="00172029"/>
    <w:rsid w:val="001724FD"/>
    <w:rsid w:val="0017285D"/>
    <w:rsid w:val="00172B3E"/>
    <w:rsid w:val="00172DEC"/>
    <w:rsid w:val="001731C5"/>
    <w:rsid w:val="0017326C"/>
    <w:rsid w:val="00173282"/>
    <w:rsid w:val="001735D1"/>
    <w:rsid w:val="0017370D"/>
    <w:rsid w:val="00173899"/>
    <w:rsid w:val="00173981"/>
    <w:rsid w:val="00173BD7"/>
    <w:rsid w:val="00173C45"/>
    <w:rsid w:val="00174C06"/>
    <w:rsid w:val="00174D57"/>
    <w:rsid w:val="00174FF8"/>
    <w:rsid w:val="001752A3"/>
    <w:rsid w:val="00175699"/>
    <w:rsid w:val="00175BFE"/>
    <w:rsid w:val="00175C94"/>
    <w:rsid w:val="001760D5"/>
    <w:rsid w:val="0017619A"/>
    <w:rsid w:val="001769E6"/>
    <w:rsid w:val="00176F33"/>
    <w:rsid w:val="001770C3"/>
    <w:rsid w:val="00177118"/>
    <w:rsid w:val="0017719D"/>
    <w:rsid w:val="0017752E"/>
    <w:rsid w:val="0017753A"/>
    <w:rsid w:val="001776F7"/>
    <w:rsid w:val="0017776D"/>
    <w:rsid w:val="00177D5B"/>
    <w:rsid w:val="00177E12"/>
    <w:rsid w:val="001802EA"/>
    <w:rsid w:val="001806BD"/>
    <w:rsid w:val="00180A13"/>
    <w:rsid w:val="00180EE7"/>
    <w:rsid w:val="00180F47"/>
    <w:rsid w:val="00180FDF"/>
    <w:rsid w:val="001810DF"/>
    <w:rsid w:val="00181180"/>
    <w:rsid w:val="0018169C"/>
    <w:rsid w:val="00181823"/>
    <w:rsid w:val="00181917"/>
    <w:rsid w:val="00181F44"/>
    <w:rsid w:val="0018210E"/>
    <w:rsid w:val="00182A52"/>
    <w:rsid w:val="00182BF5"/>
    <w:rsid w:val="001830C2"/>
    <w:rsid w:val="00183894"/>
    <w:rsid w:val="00183FD7"/>
    <w:rsid w:val="00184456"/>
    <w:rsid w:val="001849B0"/>
    <w:rsid w:val="00184A1C"/>
    <w:rsid w:val="00184AE7"/>
    <w:rsid w:val="00184F23"/>
    <w:rsid w:val="001856CC"/>
    <w:rsid w:val="00185740"/>
    <w:rsid w:val="00185843"/>
    <w:rsid w:val="00185CAB"/>
    <w:rsid w:val="00185F5E"/>
    <w:rsid w:val="00186068"/>
    <w:rsid w:val="00186123"/>
    <w:rsid w:val="00186B62"/>
    <w:rsid w:val="00186B6E"/>
    <w:rsid w:val="001872C8"/>
    <w:rsid w:val="001875B7"/>
    <w:rsid w:val="00187CB3"/>
    <w:rsid w:val="00187DFB"/>
    <w:rsid w:val="00190155"/>
    <w:rsid w:val="001901DB"/>
    <w:rsid w:val="001903D7"/>
    <w:rsid w:val="00190476"/>
    <w:rsid w:val="0019050A"/>
    <w:rsid w:val="00190645"/>
    <w:rsid w:val="00190EC9"/>
    <w:rsid w:val="00191043"/>
    <w:rsid w:val="00191058"/>
    <w:rsid w:val="001910D4"/>
    <w:rsid w:val="001911B7"/>
    <w:rsid w:val="00191CB7"/>
    <w:rsid w:val="00192B45"/>
    <w:rsid w:val="00192C6E"/>
    <w:rsid w:val="00192F01"/>
    <w:rsid w:val="00192FE6"/>
    <w:rsid w:val="001930E8"/>
    <w:rsid w:val="0019354C"/>
    <w:rsid w:val="00193A20"/>
    <w:rsid w:val="00193DD5"/>
    <w:rsid w:val="00194325"/>
    <w:rsid w:val="001943F8"/>
    <w:rsid w:val="00194A36"/>
    <w:rsid w:val="00194BA9"/>
    <w:rsid w:val="00194F48"/>
    <w:rsid w:val="001952B3"/>
    <w:rsid w:val="001953DF"/>
    <w:rsid w:val="00195673"/>
    <w:rsid w:val="0019580E"/>
    <w:rsid w:val="00195860"/>
    <w:rsid w:val="00195BE4"/>
    <w:rsid w:val="00195CCE"/>
    <w:rsid w:val="00195D72"/>
    <w:rsid w:val="00196016"/>
    <w:rsid w:val="0019649A"/>
    <w:rsid w:val="001966B0"/>
    <w:rsid w:val="0019694E"/>
    <w:rsid w:val="001972EA"/>
    <w:rsid w:val="00197410"/>
    <w:rsid w:val="001976E3"/>
    <w:rsid w:val="00197A35"/>
    <w:rsid w:val="00197A50"/>
    <w:rsid w:val="00197ADA"/>
    <w:rsid w:val="00197B45"/>
    <w:rsid w:val="001A0445"/>
    <w:rsid w:val="001A06B1"/>
    <w:rsid w:val="001A0A9B"/>
    <w:rsid w:val="001A113E"/>
    <w:rsid w:val="001A1369"/>
    <w:rsid w:val="001A13B6"/>
    <w:rsid w:val="001A17CB"/>
    <w:rsid w:val="001A1837"/>
    <w:rsid w:val="001A1C40"/>
    <w:rsid w:val="001A1EC3"/>
    <w:rsid w:val="001A213A"/>
    <w:rsid w:val="001A21D4"/>
    <w:rsid w:val="001A24A1"/>
    <w:rsid w:val="001A34BE"/>
    <w:rsid w:val="001A3E39"/>
    <w:rsid w:val="001A4047"/>
    <w:rsid w:val="001A44EC"/>
    <w:rsid w:val="001A44FE"/>
    <w:rsid w:val="001A4512"/>
    <w:rsid w:val="001A4590"/>
    <w:rsid w:val="001A4954"/>
    <w:rsid w:val="001A513A"/>
    <w:rsid w:val="001A5468"/>
    <w:rsid w:val="001A564A"/>
    <w:rsid w:val="001A58CA"/>
    <w:rsid w:val="001A5B86"/>
    <w:rsid w:val="001A677D"/>
    <w:rsid w:val="001A67DA"/>
    <w:rsid w:val="001A685F"/>
    <w:rsid w:val="001A69B1"/>
    <w:rsid w:val="001A6F19"/>
    <w:rsid w:val="001A6F78"/>
    <w:rsid w:val="001A727C"/>
    <w:rsid w:val="001A730F"/>
    <w:rsid w:val="001A751D"/>
    <w:rsid w:val="001A754C"/>
    <w:rsid w:val="001A7844"/>
    <w:rsid w:val="001A7C47"/>
    <w:rsid w:val="001B0231"/>
    <w:rsid w:val="001B0238"/>
    <w:rsid w:val="001B05D5"/>
    <w:rsid w:val="001B060D"/>
    <w:rsid w:val="001B063C"/>
    <w:rsid w:val="001B09C4"/>
    <w:rsid w:val="001B0AC3"/>
    <w:rsid w:val="001B0DFF"/>
    <w:rsid w:val="001B110B"/>
    <w:rsid w:val="001B11EE"/>
    <w:rsid w:val="001B173D"/>
    <w:rsid w:val="001B221A"/>
    <w:rsid w:val="001B28D9"/>
    <w:rsid w:val="001B2AFB"/>
    <w:rsid w:val="001B2D91"/>
    <w:rsid w:val="001B31E1"/>
    <w:rsid w:val="001B3763"/>
    <w:rsid w:val="001B3BD5"/>
    <w:rsid w:val="001B3C4E"/>
    <w:rsid w:val="001B3D75"/>
    <w:rsid w:val="001B4040"/>
    <w:rsid w:val="001B420E"/>
    <w:rsid w:val="001B4A84"/>
    <w:rsid w:val="001B4FBB"/>
    <w:rsid w:val="001B4FFE"/>
    <w:rsid w:val="001B53DF"/>
    <w:rsid w:val="001B5441"/>
    <w:rsid w:val="001B5572"/>
    <w:rsid w:val="001B557F"/>
    <w:rsid w:val="001B565E"/>
    <w:rsid w:val="001B58AA"/>
    <w:rsid w:val="001B599A"/>
    <w:rsid w:val="001B5EA2"/>
    <w:rsid w:val="001B609E"/>
    <w:rsid w:val="001B6B9A"/>
    <w:rsid w:val="001B6CE8"/>
    <w:rsid w:val="001B7533"/>
    <w:rsid w:val="001B7760"/>
    <w:rsid w:val="001B77B8"/>
    <w:rsid w:val="001B793C"/>
    <w:rsid w:val="001B7B19"/>
    <w:rsid w:val="001B7BF2"/>
    <w:rsid w:val="001B7E48"/>
    <w:rsid w:val="001C0617"/>
    <w:rsid w:val="001C064F"/>
    <w:rsid w:val="001C0B67"/>
    <w:rsid w:val="001C1253"/>
    <w:rsid w:val="001C17CE"/>
    <w:rsid w:val="001C274B"/>
    <w:rsid w:val="001C279E"/>
    <w:rsid w:val="001C2D7E"/>
    <w:rsid w:val="001C2E0C"/>
    <w:rsid w:val="001C3241"/>
    <w:rsid w:val="001C36CA"/>
    <w:rsid w:val="001C3901"/>
    <w:rsid w:val="001C3AF5"/>
    <w:rsid w:val="001C3B2E"/>
    <w:rsid w:val="001C3EF9"/>
    <w:rsid w:val="001C44D1"/>
    <w:rsid w:val="001C46B7"/>
    <w:rsid w:val="001C4B0E"/>
    <w:rsid w:val="001C4C1A"/>
    <w:rsid w:val="001C4F5A"/>
    <w:rsid w:val="001C52E5"/>
    <w:rsid w:val="001C55FF"/>
    <w:rsid w:val="001C5770"/>
    <w:rsid w:val="001C5792"/>
    <w:rsid w:val="001C5857"/>
    <w:rsid w:val="001C5A0D"/>
    <w:rsid w:val="001C5F50"/>
    <w:rsid w:val="001C6355"/>
    <w:rsid w:val="001C648E"/>
    <w:rsid w:val="001C6662"/>
    <w:rsid w:val="001C6AEE"/>
    <w:rsid w:val="001C6B0B"/>
    <w:rsid w:val="001C7094"/>
    <w:rsid w:val="001C7630"/>
    <w:rsid w:val="001C789C"/>
    <w:rsid w:val="001C7A66"/>
    <w:rsid w:val="001C7D8F"/>
    <w:rsid w:val="001C7FC2"/>
    <w:rsid w:val="001D00AA"/>
    <w:rsid w:val="001D04A4"/>
    <w:rsid w:val="001D05CC"/>
    <w:rsid w:val="001D05D6"/>
    <w:rsid w:val="001D0BC5"/>
    <w:rsid w:val="001D10DA"/>
    <w:rsid w:val="001D1272"/>
    <w:rsid w:val="001D183C"/>
    <w:rsid w:val="001D190E"/>
    <w:rsid w:val="001D195C"/>
    <w:rsid w:val="001D1B0D"/>
    <w:rsid w:val="001D1DD4"/>
    <w:rsid w:val="001D20D9"/>
    <w:rsid w:val="001D21EF"/>
    <w:rsid w:val="001D223E"/>
    <w:rsid w:val="001D24D2"/>
    <w:rsid w:val="001D277E"/>
    <w:rsid w:val="001D28C8"/>
    <w:rsid w:val="001D2B01"/>
    <w:rsid w:val="001D2C90"/>
    <w:rsid w:val="001D304A"/>
    <w:rsid w:val="001D32AD"/>
    <w:rsid w:val="001D34F7"/>
    <w:rsid w:val="001D3570"/>
    <w:rsid w:val="001D35D3"/>
    <w:rsid w:val="001D3916"/>
    <w:rsid w:val="001D45C1"/>
    <w:rsid w:val="001D461E"/>
    <w:rsid w:val="001D469F"/>
    <w:rsid w:val="001D47BF"/>
    <w:rsid w:val="001D4CDF"/>
    <w:rsid w:val="001D4DD0"/>
    <w:rsid w:val="001D5682"/>
    <w:rsid w:val="001D5977"/>
    <w:rsid w:val="001D6019"/>
    <w:rsid w:val="001D68BC"/>
    <w:rsid w:val="001D6A1D"/>
    <w:rsid w:val="001D6ACC"/>
    <w:rsid w:val="001D6B5E"/>
    <w:rsid w:val="001D6D15"/>
    <w:rsid w:val="001D7386"/>
    <w:rsid w:val="001D7C35"/>
    <w:rsid w:val="001D7D47"/>
    <w:rsid w:val="001D7D88"/>
    <w:rsid w:val="001D7EDC"/>
    <w:rsid w:val="001E03F6"/>
    <w:rsid w:val="001E051C"/>
    <w:rsid w:val="001E0F4E"/>
    <w:rsid w:val="001E11B4"/>
    <w:rsid w:val="001E1356"/>
    <w:rsid w:val="001E1443"/>
    <w:rsid w:val="001E1AAB"/>
    <w:rsid w:val="001E1C46"/>
    <w:rsid w:val="001E1E6C"/>
    <w:rsid w:val="001E216A"/>
    <w:rsid w:val="001E22CE"/>
    <w:rsid w:val="001E233E"/>
    <w:rsid w:val="001E249B"/>
    <w:rsid w:val="001E255E"/>
    <w:rsid w:val="001E25AC"/>
    <w:rsid w:val="001E26D0"/>
    <w:rsid w:val="001E2747"/>
    <w:rsid w:val="001E2836"/>
    <w:rsid w:val="001E2933"/>
    <w:rsid w:val="001E29B1"/>
    <w:rsid w:val="001E2A06"/>
    <w:rsid w:val="001E2CA0"/>
    <w:rsid w:val="001E2E39"/>
    <w:rsid w:val="001E2F20"/>
    <w:rsid w:val="001E36C5"/>
    <w:rsid w:val="001E39A3"/>
    <w:rsid w:val="001E3D36"/>
    <w:rsid w:val="001E3E4E"/>
    <w:rsid w:val="001E403E"/>
    <w:rsid w:val="001E414D"/>
    <w:rsid w:val="001E4858"/>
    <w:rsid w:val="001E49D9"/>
    <w:rsid w:val="001E4F03"/>
    <w:rsid w:val="001E50BE"/>
    <w:rsid w:val="001E53A5"/>
    <w:rsid w:val="001E55C1"/>
    <w:rsid w:val="001E56CE"/>
    <w:rsid w:val="001E5DEF"/>
    <w:rsid w:val="001E64A2"/>
    <w:rsid w:val="001E6836"/>
    <w:rsid w:val="001E6856"/>
    <w:rsid w:val="001E6CB5"/>
    <w:rsid w:val="001E6CBE"/>
    <w:rsid w:val="001E6F20"/>
    <w:rsid w:val="001E7053"/>
    <w:rsid w:val="001E78D3"/>
    <w:rsid w:val="001E79FE"/>
    <w:rsid w:val="001F045C"/>
    <w:rsid w:val="001F05BF"/>
    <w:rsid w:val="001F05ED"/>
    <w:rsid w:val="001F08D5"/>
    <w:rsid w:val="001F0D36"/>
    <w:rsid w:val="001F0D9F"/>
    <w:rsid w:val="001F0EDB"/>
    <w:rsid w:val="001F1132"/>
    <w:rsid w:val="001F142C"/>
    <w:rsid w:val="001F1477"/>
    <w:rsid w:val="001F1916"/>
    <w:rsid w:val="001F1D59"/>
    <w:rsid w:val="001F1E31"/>
    <w:rsid w:val="001F1ECB"/>
    <w:rsid w:val="001F2237"/>
    <w:rsid w:val="001F28E2"/>
    <w:rsid w:val="001F298D"/>
    <w:rsid w:val="001F29B1"/>
    <w:rsid w:val="001F2FE3"/>
    <w:rsid w:val="001F30FE"/>
    <w:rsid w:val="001F3442"/>
    <w:rsid w:val="001F3526"/>
    <w:rsid w:val="001F3BFB"/>
    <w:rsid w:val="001F3BFF"/>
    <w:rsid w:val="001F3CD3"/>
    <w:rsid w:val="001F3D02"/>
    <w:rsid w:val="001F3E0A"/>
    <w:rsid w:val="001F422D"/>
    <w:rsid w:val="001F42EC"/>
    <w:rsid w:val="001F4353"/>
    <w:rsid w:val="001F4FE2"/>
    <w:rsid w:val="001F58FA"/>
    <w:rsid w:val="001F5AD0"/>
    <w:rsid w:val="001F5E07"/>
    <w:rsid w:val="001F6052"/>
    <w:rsid w:val="001F6524"/>
    <w:rsid w:val="001F6900"/>
    <w:rsid w:val="001F6B1F"/>
    <w:rsid w:val="001F6B57"/>
    <w:rsid w:val="001F6B6D"/>
    <w:rsid w:val="001F6B74"/>
    <w:rsid w:val="001F6C05"/>
    <w:rsid w:val="001F6C9F"/>
    <w:rsid w:val="001F6CCB"/>
    <w:rsid w:val="001F6E47"/>
    <w:rsid w:val="001F6F86"/>
    <w:rsid w:val="001F7021"/>
    <w:rsid w:val="001F73E6"/>
    <w:rsid w:val="001F73F6"/>
    <w:rsid w:val="001F7558"/>
    <w:rsid w:val="001F7B02"/>
    <w:rsid w:val="001F7D30"/>
    <w:rsid w:val="001F7DC3"/>
    <w:rsid w:val="00200148"/>
    <w:rsid w:val="002003CD"/>
    <w:rsid w:val="00200898"/>
    <w:rsid w:val="00200A10"/>
    <w:rsid w:val="00200A45"/>
    <w:rsid w:val="00200B94"/>
    <w:rsid w:val="00200BB2"/>
    <w:rsid w:val="00200D33"/>
    <w:rsid w:val="00201017"/>
    <w:rsid w:val="0020101D"/>
    <w:rsid w:val="002011EE"/>
    <w:rsid w:val="002011EF"/>
    <w:rsid w:val="002014F0"/>
    <w:rsid w:val="00201C27"/>
    <w:rsid w:val="00202A5F"/>
    <w:rsid w:val="00202D90"/>
    <w:rsid w:val="00203136"/>
    <w:rsid w:val="00203511"/>
    <w:rsid w:val="00203F6C"/>
    <w:rsid w:val="0020420F"/>
    <w:rsid w:val="002042EB"/>
    <w:rsid w:val="00204697"/>
    <w:rsid w:val="00204AF3"/>
    <w:rsid w:val="002051FF"/>
    <w:rsid w:val="00205783"/>
    <w:rsid w:val="00205B57"/>
    <w:rsid w:val="00205EB8"/>
    <w:rsid w:val="00205F1D"/>
    <w:rsid w:val="00206019"/>
    <w:rsid w:val="0020636D"/>
    <w:rsid w:val="002065DB"/>
    <w:rsid w:val="002067CC"/>
    <w:rsid w:val="00206B02"/>
    <w:rsid w:val="00206D58"/>
    <w:rsid w:val="00206DB6"/>
    <w:rsid w:val="00206FA1"/>
    <w:rsid w:val="002070D8"/>
    <w:rsid w:val="002071E3"/>
    <w:rsid w:val="002075AA"/>
    <w:rsid w:val="002076D1"/>
    <w:rsid w:val="00207B7A"/>
    <w:rsid w:val="00210055"/>
    <w:rsid w:val="002102D2"/>
    <w:rsid w:val="002102E0"/>
    <w:rsid w:val="00210529"/>
    <w:rsid w:val="0021072E"/>
    <w:rsid w:val="00210E13"/>
    <w:rsid w:val="00211032"/>
    <w:rsid w:val="00211388"/>
    <w:rsid w:val="00211C69"/>
    <w:rsid w:val="00211C72"/>
    <w:rsid w:val="002120A4"/>
    <w:rsid w:val="00212600"/>
    <w:rsid w:val="00212D4F"/>
    <w:rsid w:val="00213036"/>
    <w:rsid w:val="002130F7"/>
    <w:rsid w:val="00213565"/>
    <w:rsid w:val="0021356C"/>
    <w:rsid w:val="002137D1"/>
    <w:rsid w:val="0021380C"/>
    <w:rsid w:val="002139A9"/>
    <w:rsid w:val="00213CE8"/>
    <w:rsid w:val="00213DEB"/>
    <w:rsid w:val="00213EB8"/>
    <w:rsid w:val="0021456B"/>
    <w:rsid w:val="0021483F"/>
    <w:rsid w:val="00214943"/>
    <w:rsid w:val="00214B6D"/>
    <w:rsid w:val="00214B8D"/>
    <w:rsid w:val="0021504B"/>
    <w:rsid w:val="00215185"/>
    <w:rsid w:val="002151D7"/>
    <w:rsid w:val="002157E0"/>
    <w:rsid w:val="002158FE"/>
    <w:rsid w:val="00215A82"/>
    <w:rsid w:val="00215B0B"/>
    <w:rsid w:val="00215C37"/>
    <w:rsid w:val="00215F1D"/>
    <w:rsid w:val="00215FDF"/>
    <w:rsid w:val="00216312"/>
    <w:rsid w:val="00216379"/>
    <w:rsid w:val="00216722"/>
    <w:rsid w:val="00216839"/>
    <w:rsid w:val="00216A57"/>
    <w:rsid w:val="00216C78"/>
    <w:rsid w:val="002172C1"/>
    <w:rsid w:val="00217448"/>
    <w:rsid w:val="002174C1"/>
    <w:rsid w:val="00217506"/>
    <w:rsid w:val="002178E1"/>
    <w:rsid w:val="00217A41"/>
    <w:rsid w:val="00217F09"/>
    <w:rsid w:val="0022008C"/>
    <w:rsid w:val="002201BD"/>
    <w:rsid w:val="0022041C"/>
    <w:rsid w:val="0022073A"/>
    <w:rsid w:val="0022098E"/>
    <w:rsid w:val="00220B6E"/>
    <w:rsid w:val="00220D08"/>
    <w:rsid w:val="0022222F"/>
    <w:rsid w:val="0022236F"/>
    <w:rsid w:val="0022273C"/>
    <w:rsid w:val="00222BCC"/>
    <w:rsid w:val="00222DC2"/>
    <w:rsid w:val="0022334F"/>
    <w:rsid w:val="0022351C"/>
    <w:rsid w:val="00223567"/>
    <w:rsid w:val="00223DA0"/>
    <w:rsid w:val="00223E66"/>
    <w:rsid w:val="00223F61"/>
    <w:rsid w:val="0022405F"/>
    <w:rsid w:val="00224519"/>
    <w:rsid w:val="002248B1"/>
    <w:rsid w:val="00224D96"/>
    <w:rsid w:val="00224DC3"/>
    <w:rsid w:val="002250DB"/>
    <w:rsid w:val="002253C3"/>
    <w:rsid w:val="0022555E"/>
    <w:rsid w:val="00225857"/>
    <w:rsid w:val="00225904"/>
    <w:rsid w:val="0022626E"/>
    <w:rsid w:val="0022665B"/>
    <w:rsid w:val="00226819"/>
    <w:rsid w:val="00226CDD"/>
    <w:rsid w:val="00227052"/>
    <w:rsid w:val="0022706D"/>
    <w:rsid w:val="00227203"/>
    <w:rsid w:val="002274A0"/>
    <w:rsid w:val="0022781C"/>
    <w:rsid w:val="00227CAA"/>
    <w:rsid w:val="00227FD4"/>
    <w:rsid w:val="00230512"/>
    <w:rsid w:val="002305F0"/>
    <w:rsid w:val="0023080C"/>
    <w:rsid w:val="00230CE7"/>
    <w:rsid w:val="00230E85"/>
    <w:rsid w:val="00230FBB"/>
    <w:rsid w:val="002315B8"/>
    <w:rsid w:val="002319A4"/>
    <w:rsid w:val="00231EA4"/>
    <w:rsid w:val="00231ED9"/>
    <w:rsid w:val="002322ED"/>
    <w:rsid w:val="00232394"/>
    <w:rsid w:val="0023241B"/>
    <w:rsid w:val="0023256D"/>
    <w:rsid w:val="002328CF"/>
    <w:rsid w:val="00232AD5"/>
    <w:rsid w:val="00232B4E"/>
    <w:rsid w:val="00232D1C"/>
    <w:rsid w:val="002330B1"/>
    <w:rsid w:val="00233101"/>
    <w:rsid w:val="00233327"/>
    <w:rsid w:val="0023338A"/>
    <w:rsid w:val="002334EA"/>
    <w:rsid w:val="00233817"/>
    <w:rsid w:val="0023399E"/>
    <w:rsid w:val="00233BB1"/>
    <w:rsid w:val="002341C0"/>
    <w:rsid w:val="002341FA"/>
    <w:rsid w:val="0023443B"/>
    <w:rsid w:val="00234BE3"/>
    <w:rsid w:val="00234F29"/>
    <w:rsid w:val="00234F5C"/>
    <w:rsid w:val="002350C2"/>
    <w:rsid w:val="00235752"/>
    <w:rsid w:val="002358D8"/>
    <w:rsid w:val="002363D9"/>
    <w:rsid w:val="002364E1"/>
    <w:rsid w:val="0023655B"/>
    <w:rsid w:val="00236607"/>
    <w:rsid w:val="00236655"/>
    <w:rsid w:val="002367FF"/>
    <w:rsid w:val="0023682B"/>
    <w:rsid w:val="0023745B"/>
    <w:rsid w:val="0023799A"/>
    <w:rsid w:val="00237B1D"/>
    <w:rsid w:val="00237C5E"/>
    <w:rsid w:val="00240125"/>
    <w:rsid w:val="00240189"/>
    <w:rsid w:val="0024076C"/>
    <w:rsid w:val="00240C00"/>
    <w:rsid w:val="00240CE9"/>
    <w:rsid w:val="002412B3"/>
    <w:rsid w:val="002418D3"/>
    <w:rsid w:val="0024196D"/>
    <w:rsid w:val="00241C3A"/>
    <w:rsid w:val="002423C8"/>
    <w:rsid w:val="0024258D"/>
    <w:rsid w:val="00242D93"/>
    <w:rsid w:val="00242EE6"/>
    <w:rsid w:val="002430B9"/>
    <w:rsid w:val="002434BA"/>
    <w:rsid w:val="002434CB"/>
    <w:rsid w:val="002437F8"/>
    <w:rsid w:val="00243D72"/>
    <w:rsid w:val="00243EB8"/>
    <w:rsid w:val="002443AC"/>
    <w:rsid w:val="00244593"/>
    <w:rsid w:val="002447D6"/>
    <w:rsid w:val="002447FF"/>
    <w:rsid w:val="002448CD"/>
    <w:rsid w:val="00244B9E"/>
    <w:rsid w:val="00244C0F"/>
    <w:rsid w:val="00244C1D"/>
    <w:rsid w:val="00244CA8"/>
    <w:rsid w:val="00244F3C"/>
    <w:rsid w:val="00244FDF"/>
    <w:rsid w:val="002456CC"/>
    <w:rsid w:val="00245940"/>
    <w:rsid w:val="00245C4D"/>
    <w:rsid w:val="00245ED8"/>
    <w:rsid w:val="00246089"/>
    <w:rsid w:val="00246093"/>
    <w:rsid w:val="00246394"/>
    <w:rsid w:val="0024652C"/>
    <w:rsid w:val="00246702"/>
    <w:rsid w:val="00246746"/>
    <w:rsid w:val="00246A91"/>
    <w:rsid w:val="0024737F"/>
    <w:rsid w:val="00247848"/>
    <w:rsid w:val="00247B72"/>
    <w:rsid w:val="00247C39"/>
    <w:rsid w:val="00247C59"/>
    <w:rsid w:val="00247E30"/>
    <w:rsid w:val="00247F2E"/>
    <w:rsid w:val="0025069B"/>
    <w:rsid w:val="00250978"/>
    <w:rsid w:val="00250ADC"/>
    <w:rsid w:val="00250B07"/>
    <w:rsid w:val="00250D0A"/>
    <w:rsid w:val="00250D19"/>
    <w:rsid w:val="002510F4"/>
    <w:rsid w:val="00251830"/>
    <w:rsid w:val="00251B62"/>
    <w:rsid w:val="00252124"/>
    <w:rsid w:val="002521AF"/>
    <w:rsid w:val="00252CDE"/>
    <w:rsid w:val="00252F32"/>
    <w:rsid w:val="00252FB9"/>
    <w:rsid w:val="00253630"/>
    <w:rsid w:val="00253738"/>
    <w:rsid w:val="002538A9"/>
    <w:rsid w:val="00253D99"/>
    <w:rsid w:val="00254053"/>
    <w:rsid w:val="00254084"/>
    <w:rsid w:val="00254145"/>
    <w:rsid w:val="00254697"/>
    <w:rsid w:val="0025569B"/>
    <w:rsid w:val="00255ABD"/>
    <w:rsid w:val="00255FC1"/>
    <w:rsid w:val="00256018"/>
    <w:rsid w:val="0025657D"/>
    <w:rsid w:val="002566E6"/>
    <w:rsid w:val="00256870"/>
    <w:rsid w:val="00256A2B"/>
    <w:rsid w:val="0025743E"/>
    <w:rsid w:val="00257553"/>
    <w:rsid w:val="00257745"/>
    <w:rsid w:val="00257AB5"/>
    <w:rsid w:val="00257C1F"/>
    <w:rsid w:val="0026036B"/>
    <w:rsid w:val="002606DB"/>
    <w:rsid w:val="00260AD4"/>
    <w:rsid w:val="00260FB2"/>
    <w:rsid w:val="00261186"/>
    <w:rsid w:val="00261421"/>
    <w:rsid w:val="00261A85"/>
    <w:rsid w:val="00261C7D"/>
    <w:rsid w:val="00261E74"/>
    <w:rsid w:val="00261E7D"/>
    <w:rsid w:val="00262128"/>
    <w:rsid w:val="0026231F"/>
    <w:rsid w:val="00262545"/>
    <w:rsid w:val="002626FD"/>
    <w:rsid w:val="0026315E"/>
    <w:rsid w:val="002632E8"/>
    <w:rsid w:val="00263481"/>
    <w:rsid w:val="00263566"/>
    <w:rsid w:val="002636E6"/>
    <w:rsid w:val="0026482B"/>
    <w:rsid w:val="002649E9"/>
    <w:rsid w:val="00264B12"/>
    <w:rsid w:val="00264B3F"/>
    <w:rsid w:val="00264CB9"/>
    <w:rsid w:val="00264D64"/>
    <w:rsid w:val="002654B4"/>
    <w:rsid w:val="00265870"/>
    <w:rsid w:val="00265EC4"/>
    <w:rsid w:val="00266166"/>
    <w:rsid w:val="0026665C"/>
    <w:rsid w:val="0026666E"/>
    <w:rsid w:val="002667EC"/>
    <w:rsid w:val="00266A5F"/>
    <w:rsid w:val="00267411"/>
    <w:rsid w:val="002674DD"/>
    <w:rsid w:val="00267542"/>
    <w:rsid w:val="002678EE"/>
    <w:rsid w:val="00267926"/>
    <w:rsid w:val="00270F30"/>
    <w:rsid w:val="00270FCD"/>
    <w:rsid w:val="002713B6"/>
    <w:rsid w:val="002713FB"/>
    <w:rsid w:val="00271563"/>
    <w:rsid w:val="0027165D"/>
    <w:rsid w:val="002717CE"/>
    <w:rsid w:val="002718A8"/>
    <w:rsid w:val="002719F6"/>
    <w:rsid w:val="00271E20"/>
    <w:rsid w:val="00272376"/>
    <w:rsid w:val="002724F0"/>
    <w:rsid w:val="002725EB"/>
    <w:rsid w:val="00272772"/>
    <w:rsid w:val="00273C36"/>
    <w:rsid w:val="00273C7F"/>
    <w:rsid w:val="00273CEB"/>
    <w:rsid w:val="00273E27"/>
    <w:rsid w:val="00273EE8"/>
    <w:rsid w:val="0027403E"/>
    <w:rsid w:val="00274139"/>
    <w:rsid w:val="00274262"/>
    <w:rsid w:val="00274788"/>
    <w:rsid w:val="0027494F"/>
    <w:rsid w:val="002751BB"/>
    <w:rsid w:val="0027553E"/>
    <w:rsid w:val="002755B4"/>
    <w:rsid w:val="00275718"/>
    <w:rsid w:val="00275ACE"/>
    <w:rsid w:val="00275EBC"/>
    <w:rsid w:val="002760E7"/>
    <w:rsid w:val="002762DE"/>
    <w:rsid w:val="0027689A"/>
    <w:rsid w:val="00276DB0"/>
    <w:rsid w:val="00276E7D"/>
    <w:rsid w:val="00276F5F"/>
    <w:rsid w:val="002773FE"/>
    <w:rsid w:val="00277AB0"/>
    <w:rsid w:val="00277C8D"/>
    <w:rsid w:val="00277D72"/>
    <w:rsid w:val="00277F4C"/>
    <w:rsid w:val="00277FAB"/>
    <w:rsid w:val="002803B8"/>
    <w:rsid w:val="0028049D"/>
    <w:rsid w:val="00280917"/>
    <w:rsid w:val="00280CBD"/>
    <w:rsid w:val="00281452"/>
    <w:rsid w:val="002816E8"/>
    <w:rsid w:val="002817CE"/>
    <w:rsid w:val="00281939"/>
    <w:rsid w:val="00281B32"/>
    <w:rsid w:val="00281C89"/>
    <w:rsid w:val="00282089"/>
    <w:rsid w:val="0028220E"/>
    <w:rsid w:val="0028242A"/>
    <w:rsid w:val="0028282F"/>
    <w:rsid w:val="00282C3E"/>
    <w:rsid w:val="00282CF5"/>
    <w:rsid w:val="00282F62"/>
    <w:rsid w:val="0028305F"/>
    <w:rsid w:val="0028415F"/>
    <w:rsid w:val="002843F3"/>
    <w:rsid w:val="00284A74"/>
    <w:rsid w:val="00284C1C"/>
    <w:rsid w:val="00284ED9"/>
    <w:rsid w:val="0028501B"/>
    <w:rsid w:val="00285155"/>
    <w:rsid w:val="002851E1"/>
    <w:rsid w:val="002852BC"/>
    <w:rsid w:val="002854E5"/>
    <w:rsid w:val="00285D9B"/>
    <w:rsid w:val="00286E18"/>
    <w:rsid w:val="0028715B"/>
    <w:rsid w:val="002877E3"/>
    <w:rsid w:val="00287C20"/>
    <w:rsid w:val="00287DF5"/>
    <w:rsid w:val="00287EE5"/>
    <w:rsid w:val="00287F87"/>
    <w:rsid w:val="0029010D"/>
    <w:rsid w:val="002903FB"/>
    <w:rsid w:val="00290A4F"/>
    <w:rsid w:val="0029116B"/>
    <w:rsid w:val="002916C0"/>
    <w:rsid w:val="00291920"/>
    <w:rsid w:val="002919BC"/>
    <w:rsid w:val="002919F2"/>
    <w:rsid w:val="00291CBC"/>
    <w:rsid w:val="00291D4B"/>
    <w:rsid w:val="002920F1"/>
    <w:rsid w:val="00292306"/>
    <w:rsid w:val="00292385"/>
    <w:rsid w:val="002923EA"/>
    <w:rsid w:val="00292661"/>
    <w:rsid w:val="00292764"/>
    <w:rsid w:val="0029283B"/>
    <w:rsid w:val="00292982"/>
    <w:rsid w:val="002931D7"/>
    <w:rsid w:val="00293281"/>
    <w:rsid w:val="002933E2"/>
    <w:rsid w:val="0029386F"/>
    <w:rsid w:val="002939F6"/>
    <w:rsid w:val="00293B0E"/>
    <w:rsid w:val="00293EFE"/>
    <w:rsid w:val="002940E3"/>
    <w:rsid w:val="002947FB"/>
    <w:rsid w:val="00295211"/>
    <w:rsid w:val="0029547E"/>
    <w:rsid w:val="0029593B"/>
    <w:rsid w:val="002959CD"/>
    <w:rsid w:val="00296574"/>
    <w:rsid w:val="002965EF"/>
    <w:rsid w:val="00297525"/>
    <w:rsid w:val="00297794"/>
    <w:rsid w:val="00297954"/>
    <w:rsid w:val="00297A22"/>
    <w:rsid w:val="00297E51"/>
    <w:rsid w:val="00297EC3"/>
    <w:rsid w:val="00297FC5"/>
    <w:rsid w:val="002A0417"/>
    <w:rsid w:val="002A063B"/>
    <w:rsid w:val="002A076A"/>
    <w:rsid w:val="002A0A60"/>
    <w:rsid w:val="002A0B3A"/>
    <w:rsid w:val="002A0F49"/>
    <w:rsid w:val="002A13DC"/>
    <w:rsid w:val="002A16D8"/>
    <w:rsid w:val="002A1BC8"/>
    <w:rsid w:val="002A296D"/>
    <w:rsid w:val="002A2F7B"/>
    <w:rsid w:val="002A3243"/>
    <w:rsid w:val="002A3EF2"/>
    <w:rsid w:val="002A3F07"/>
    <w:rsid w:val="002A4209"/>
    <w:rsid w:val="002A4259"/>
    <w:rsid w:val="002A42D6"/>
    <w:rsid w:val="002A4C6E"/>
    <w:rsid w:val="002A4DB3"/>
    <w:rsid w:val="002A523E"/>
    <w:rsid w:val="002A5321"/>
    <w:rsid w:val="002A56DA"/>
    <w:rsid w:val="002A5FFA"/>
    <w:rsid w:val="002A6704"/>
    <w:rsid w:val="002A67C5"/>
    <w:rsid w:val="002A7544"/>
    <w:rsid w:val="002A7573"/>
    <w:rsid w:val="002A782D"/>
    <w:rsid w:val="002B0527"/>
    <w:rsid w:val="002B0DED"/>
    <w:rsid w:val="002B0E28"/>
    <w:rsid w:val="002B0F83"/>
    <w:rsid w:val="002B1435"/>
    <w:rsid w:val="002B14F3"/>
    <w:rsid w:val="002B15BB"/>
    <w:rsid w:val="002B19A2"/>
    <w:rsid w:val="002B1AC1"/>
    <w:rsid w:val="002B1EEA"/>
    <w:rsid w:val="002B1F31"/>
    <w:rsid w:val="002B2018"/>
    <w:rsid w:val="002B20EF"/>
    <w:rsid w:val="002B2148"/>
    <w:rsid w:val="002B238B"/>
    <w:rsid w:val="002B3224"/>
    <w:rsid w:val="002B32FB"/>
    <w:rsid w:val="002B3648"/>
    <w:rsid w:val="002B381A"/>
    <w:rsid w:val="002B3843"/>
    <w:rsid w:val="002B3941"/>
    <w:rsid w:val="002B3D53"/>
    <w:rsid w:val="002B41B8"/>
    <w:rsid w:val="002B4667"/>
    <w:rsid w:val="002B49C8"/>
    <w:rsid w:val="002B4FCC"/>
    <w:rsid w:val="002B5294"/>
    <w:rsid w:val="002B59D3"/>
    <w:rsid w:val="002B5AAB"/>
    <w:rsid w:val="002B5B2E"/>
    <w:rsid w:val="002B5D48"/>
    <w:rsid w:val="002B5EDB"/>
    <w:rsid w:val="002B626E"/>
    <w:rsid w:val="002B65D3"/>
    <w:rsid w:val="002B6646"/>
    <w:rsid w:val="002B6FC2"/>
    <w:rsid w:val="002B7408"/>
    <w:rsid w:val="002B753C"/>
    <w:rsid w:val="002B76CE"/>
    <w:rsid w:val="002B796F"/>
    <w:rsid w:val="002B7A3D"/>
    <w:rsid w:val="002B7CFD"/>
    <w:rsid w:val="002C029A"/>
    <w:rsid w:val="002C0359"/>
    <w:rsid w:val="002C03A2"/>
    <w:rsid w:val="002C047F"/>
    <w:rsid w:val="002C04EE"/>
    <w:rsid w:val="002C072E"/>
    <w:rsid w:val="002C0A04"/>
    <w:rsid w:val="002C0DE9"/>
    <w:rsid w:val="002C106A"/>
    <w:rsid w:val="002C114A"/>
    <w:rsid w:val="002C1204"/>
    <w:rsid w:val="002C1212"/>
    <w:rsid w:val="002C12C8"/>
    <w:rsid w:val="002C155C"/>
    <w:rsid w:val="002C1A38"/>
    <w:rsid w:val="002C1D58"/>
    <w:rsid w:val="002C210F"/>
    <w:rsid w:val="002C2379"/>
    <w:rsid w:val="002C25CF"/>
    <w:rsid w:val="002C2D62"/>
    <w:rsid w:val="002C2FCE"/>
    <w:rsid w:val="002C3014"/>
    <w:rsid w:val="002C3599"/>
    <w:rsid w:val="002C3A68"/>
    <w:rsid w:val="002C3DDB"/>
    <w:rsid w:val="002C3FA6"/>
    <w:rsid w:val="002C3FBD"/>
    <w:rsid w:val="002C4391"/>
    <w:rsid w:val="002C4C09"/>
    <w:rsid w:val="002C4F8D"/>
    <w:rsid w:val="002C5194"/>
    <w:rsid w:val="002C5481"/>
    <w:rsid w:val="002C57EA"/>
    <w:rsid w:val="002C5CD8"/>
    <w:rsid w:val="002C6051"/>
    <w:rsid w:val="002C6072"/>
    <w:rsid w:val="002C64EA"/>
    <w:rsid w:val="002C6686"/>
    <w:rsid w:val="002C6B9B"/>
    <w:rsid w:val="002C6DB3"/>
    <w:rsid w:val="002C71B2"/>
    <w:rsid w:val="002C7317"/>
    <w:rsid w:val="002C789C"/>
    <w:rsid w:val="002C7A6E"/>
    <w:rsid w:val="002C7C71"/>
    <w:rsid w:val="002C7D12"/>
    <w:rsid w:val="002C7F15"/>
    <w:rsid w:val="002D000F"/>
    <w:rsid w:val="002D0204"/>
    <w:rsid w:val="002D1609"/>
    <w:rsid w:val="002D1873"/>
    <w:rsid w:val="002D1930"/>
    <w:rsid w:val="002D1B8A"/>
    <w:rsid w:val="002D1F98"/>
    <w:rsid w:val="002D2290"/>
    <w:rsid w:val="002D27F8"/>
    <w:rsid w:val="002D290A"/>
    <w:rsid w:val="002D2929"/>
    <w:rsid w:val="002D2A75"/>
    <w:rsid w:val="002D2E69"/>
    <w:rsid w:val="002D2F6A"/>
    <w:rsid w:val="002D3020"/>
    <w:rsid w:val="002D3600"/>
    <w:rsid w:val="002D36FB"/>
    <w:rsid w:val="002D371F"/>
    <w:rsid w:val="002D38AD"/>
    <w:rsid w:val="002D39F4"/>
    <w:rsid w:val="002D3BAE"/>
    <w:rsid w:val="002D3C34"/>
    <w:rsid w:val="002D3FC3"/>
    <w:rsid w:val="002D4365"/>
    <w:rsid w:val="002D4426"/>
    <w:rsid w:val="002D46E2"/>
    <w:rsid w:val="002D496C"/>
    <w:rsid w:val="002D4D09"/>
    <w:rsid w:val="002D54C9"/>
    <w:rsid w:val="002D575B"/>
    <w:rsid w:val="002D59BC"/>
    <w:rsid w:val="002D5DEF"/>
    <w:rsid w:val="002D5E6F"/>
    <w:rsid w:val="002D6360"/>
    <w:rsid w:val="002D642F"/>
    <w:rsid w:val="002D66A9"/>
    <w:rsid w:val="002D691A"/>
    <w:rsid w:val="002D6A3B"/>
    <w:rsid w:val="002D6E39"/>
    <w:rsid w:val="002D70A0"/>
    <w:rsid w:val="002D726B"/>
    <w:rsid w:val="002D7311"/>
    <w:rsid w:val="002D743B"/>
    <w:rsid w:val="002D79D2"/>
    <w:rsid w:val="002D7EE1"/>
    <w:rsid w:val="002E0569"/>
    <w:rsid w:val="002E0950"/>
    <w:rsid w:val="002E09D0"/>
    <w:rsid w:val="002E0F55"/>
    <w:rsid w:val="002E1177"/>
    <w:rsid w:val="002E124C"/>
    <w:rsid w:val="002E127A"/>
    <w:rsid w:val="002E12E1"/>
    <w:rsid w:val="002E135E"/>
    <w:rsid w:val="002E1933"/>
    <w:rsid w:val="002E198B"/>
    <w:rsid w:val="002E1A62"/>
    <w:rsid w:val="002E1BEA"/>
    <w:rsid w:val="002E1DEC"/>
    <w:rsid w:val="002E216F"/>
    <w:rsid w:val="002E22C8"/>
    <w:rsid w:val="002E24F4"/>
    <w:rsid w:val="002E2718"/>
    <w:rsid w:val="002E285C"/>
    <w:rsid w:val="002E2B41"/>
    <w:rsid w:val="002E2B49"/>
    <w:rsid w:val="002E3372"/>
    <w:rsid w:val="002E3885"/>
    <w:rsid w:val="002E458B"/>
    <w:rsid w:val="002E48A6"/>
    <w:rsid w:val="002E4C07"/>
    <w:rsid w:val="002E4C86"/>
    <w:rsid w:val="002E4DDC"/>
    <w:rsid w:val="002E508E"/>
    <w:rsid w:val="002E5682"/>
    <w:rsid w:val="002E5875"/>
    <w:rsid w:val="002E58D1"/>
    <w:rsid w:val="002E6176"/>
    <w:rsid w:val="002E6232"/>
    <w:rsid w:val="002E6636"/>
    <w:rsid w:val="002E6A02"/>
    <w:rsid w:val="002E6ACD"/>
    <w:rsid w:val="002E73D9"/>
    <w:rsid w:val="002E742F"/>
    <w:rsid w:val="002E7536"/>
    <w:rsid w:val="002E789D"/>
    <w:rsid w:val="002E7A84"/>
    <w:rsid w:val="002E7C45"/>
    <w:rsid w:val="002E7EAD"/>
    <w:rsid w:val="002F00FA"/>
    <w:rsid w:val="002F0185"/>
    <w:rsid w:val="002F04CA"/>
    <w:rsid w:val="002F0A85"/>
    <w:rsid w:val="002F0BC1"/>
    <w:rsid w:val="002F0CBD"/>
    <w:rsid w:val="002F0DE0"/>
    <w:rsid w:val="002F10A7"/>
    <w:rsid w:val="002F10F5"/>
    <w:rsid w:val="002F14F4"/>
    <w:rsid w:val="002F1659"/>
    <w:rsid w:val="002F192A"/>
    <w:rsid w:val="002F1E87"/>
    <w:rsid w:val="002F23A0"/>
    <w:rsid w:val="002F2BE4"/>
    <w:rsid w:val="002F32B4"/>
    <w:rsid w:val="002F346D"/>
    <w:rsid w:val="002F3856"/>
    <w:rsid w:val="002F39CF"/>
    <w:rsid w:val="002F3AF8"/>
    <w:rsid w:val="002F3B6A"/>
    <w:rsid w:val="002F3C5C"/>
    <w:rsid w:val="002F40D2"/>
    <w:rsid w:val="002F4326"/>
    <w:rsid w:val="002F4494"/>
    <w:rsid w:val="002F4B4E"/>
    <w:rsid w:val="002F5203"/>
    <w:rsid w:val="002F57DD"/>
    <w:rsid w:val="002F5A7B"/>
    <w:rsid w:val="002F5FBC"/>
    <w:rsid w:val="002F6111"/>
    <w:rsid w:val="002F6160"/>
    <w:rsid w:val="002F638C"/>
    <w:rsid w:val="002F6F7C"/>
    <w:rsid w:val="002F7082"/>
    <w:rsid w:val="002F7139"/>
    <w:rsid w:val="002F73FB"/>
    <w:rsid w:val="002F760C"/>
    <w:rsid w:val="002F7B1E"/>
    <w:rsid w:val="002F7C6D"/>
    <w:rsid w:val="002F7EE9"/>
    <w:rsid w:val="003002CB"/>
    <w:rsid w:val="0030085D"/>
    <w:rsid w:val="00300BAC"/>
    <w:rsid w:val="00300BAD"/>
    <w:rsid w:val="00300D71"/>
    <w:rsid w:val="003015C5"/>
    <w:rsid w:val="00301770"/>
    <w:rsid w:val="0030192D"/>
    <w:rsid w:val="00301F31"/>
    <w:rsid w:val="0030213D"/>
    <w:rsid w:val="00302354"/>
    <w:rsid w:val="0030240E"/>
    <w:rsid w:val="00302480"/>
    <w:rsid w:val="003024D5"/>
    <w:rsid w:val="00302522"/>
    <w:rsid w:val="00302758"/>
    <w:rsid w:val="00302909"/>
    <w:rsid w:val="00302A3C"/>
    <w:rsid w:val="00302EE7"/>
    <w:rsid w:val="003032C9"/>
    <w:rsid w:val="00303693"/>
    <w:rsid w:val="00303CC9"/>
    <w:rsid w:val="00303CE5"/>
    <w:rsid w:val="0030401E"/>
    <w:rsid w:val="00304092"/>
    <w:rsid w:val="0030415D"/>
    <w:rsid w:val="003041E2"/>
    <w:rsid w:val="003042A2"/>
    <w:rsid w:val="00304478"/>
    <w:rsid w:val="0030491F"/>
    <w:rsid w:val="003049B1"/>
    <w:rsid w:val="00304B55"/>
    <w:rsid w:val="00304D4B"/>
    <w:rsid w:val="00305134"/>
    <w:rsid w:val="00305A8E"/>
    <w:rsid w:val="00305B83"/>
    <w:rsid w:val="00305E01"/>
    <w:rsid w:val="0030601F"/>
    <w:rsid w:val="00306491"/>
    <w:rsid w:val="00306686"/>
    <w:rsid w:val="00306A33"/>
    <w:rsid w:val="00306C99"/>
    <w:rsid w:val="00306D5A"/>
    <w:rsid w:val="00306E41"/>
    <w:rsid w:val="00306EE5"/>
    <w:rsid w:val="003072BB"/>
    <w:rsid w:val="003072DC"/>
    <w:rsid w:val="00307CF3"/>
    <w:rsid w:val="00307DC8"/>
    <w:rsid w:val="00310225"/>
    <w:rsid w:val="00310244"/>
    <w:rsid w:val="00310EC7"/>
    <w:rsid w:val="003113F3"/>
    <w:rsid w:val="003119FA"/>
    <w:rsid w:val="00311EF3"/>
    <w:rsid w:val="003120A3"/>
    <w:rsid w:val="003120B7"/>
    <w:rsid w:val="00312334"/>
    <w:rsid w:val="003125DD"/>
    <w:rsid w:val="00312BB1"/>
    <w:rsid w:val="00312CE5"/>
    <w:rsid w:val="003130EB"/>
    <w:rsid w:val="0031332A"/>
    <w:rsid w:val="003135C3"/>
    <w:rsid w:val="00313892"/>
    <w:rsid w:val="003139E5"/>
    <w:rsid w:val="00313E97"/>
    <w:rsid w:val="003141C8"/>
    <w:rsid w:val="0031466F"/>
    <w:rsid w:val="00314820"/>
    <w:rsid w:val="00314A45"/>
    <w:rsid w:val="00314CB1"/>
    <w:rsid w:val="00314EA6"/>
    <w:rsid w:val="00314EEB"/>
    <w:rsid w:val="00315041"/>
    <w:rsid w:val="003151AD"/>
    <w:rsid w:val="003155AA"/>
    <w:rsid w:val="00315630"/>
    <w:rsid w:val="0031617D"/>
    <w:rsid w:val="00316252"/>
    <w:rsid w:val="003163D9"/>
    <w:rsid w:val="003165E6"/>
    <w:rsid w:val="003167AE"/>
    <w:rsid w:val="0031697F"/>
    <w:rsid w:val="00316E3B"/>
    <w:rsid w:val="00316E7D"/>
    <w:rsid w:val="00317004"/>
    <w:rsid w:val="0031747C"/>
    <w:rsid w:val="0031776C"/>
    <w:rsid w:val="00317B7A"/>
    <w:rsid w:val="00317BCF"/>
    <w:rsid w:val="00320517"/>
    <w:rsid w:val="00320562"/>
    <w:rsid w:val="00320738"/>
    <w:rsid w:val="00320848"/>
    <w:rsid w:val="0032091A"/>
    <w:rsid w:val="00320E81"/>
    <w:rsid w:val="00321335"/>
    <w:rsid w:val="00321500"/>
    <w:rsid w:val="00321570"/>
    <w:rsid w:val="003215B5"/>
    <w:rsid w:val="003218C3"/>
    <w:rsid w:val="00321C41"/>
    <w:rsid w:val="003221CF"/>
    <w:rsid w:val="0032251D"/>
    <w:rsid w:val="003225F8"/>
    <w:rsid w:val="0032279C"/>
    <w:rsid w:val="00323377"/>
    <w:rsid w:val="003233ED"/>
    <w:rsid w:val="00323555"/>
    <w:rsid w:val="00323645"/>
    <w:rsid w:val="00323BFF"/>
    <w:rsid w:val="00323D2C"/>
    <w:rsid w:val="00323E6B"/>
    <w:rsid w:val="00323F0B"/>
    <w:rsid w:val="00324125"/>
    <w:rsid w:val="00324181"/>
    <w:rsid w:val="0032418C"/>
    <w:rsid w:val="003242C6"/>
    <w:rsid w:val="00324363"/>
    <w:rsid w:val="003249DA"/>
    <w:rsid w:val="00324B43"/>
    <w:rsid w:val="00324D9F"/>
    <w:rsid w:val="00324E5D"/>
    <w:rsid w:val="0032627C"/>
    <w:rsid w:val="00326402"/>
    <w:rsid w:val="003268C2"/>
    <w:rsid w:val="00326E01"/>
    <w:rsid w:val="00326E15"/>
    <w:rsid w:val="003275C6"/>
    <w:rsid w:val="00327948"/>
    <w:rsid w:val="00327A46"/>
    <w:rsid w:val="00327CA0"/>
    <w:rsid w:val="0033000F"/>
    <w:rsid w:val="003301E2"/>
    <w:rsid w:val="00330211"/>
    <w:rsid w:val="00330A5D"/>
    <w:rsid w:val="003310BA"/>
    <w:rsid w:val="0033127E"/>
    <w:rsid w:val="003316C3"/>
    <w:rsid w:val="00331EC2"/>
    <w:rsid w:val="00332011"/>
    <w:rsid w:val="0033203D"/>
    <w:rsid w:val="00332181"/>
    <w:rsid w:val="0033228E"/>
    <w:rsid w:val="003322CE"/>
    <w:rsid w:val="0033245A"/>
    <w:rsid w:val="0033245D"/>
    <w:rsid w:val="00332518"/>
    <w:rsid w:val="00332925"/>
    <w:rsid w:val="00332DA0"/>
    <w:rsid w:val="00332E28"/>
    <w:rsid w:val="00332E5A"/>
    <w:rsid w:val="003332ED"/>
    <w:rsid w:val="00333597"/>
    <w:rsid w:val="003336FD"/>
    <w:rsid w:val="00333D1D"/>
    <w:rsid w:val="0033430F"/>
    <w:rsid w:val="00334CB7"/>
    <w:rsid w:val="00334E3D"/>
    <w:rsid w:val="00334F33"/>
    <w:rsid w:val="0033578A"/>
    <w:rsid w:val="00335CB8"/>
    <w:rsid w:val="003368DC"/>
    <w:rsid w:val="00336C55"/>
    <w:rsid w:val="00336C67"/>
    <w:rsid w:val="00336E51"/>
    <w:rsid w:val="00336E97"/>
    <w:rsid w:val="00336F9A"/>
    <w:rsid w:val="00337471"/>
    <w:rsid w:val="003374D5"/>
    <w:rsid w:val="00337922"/>
    <w:rsid w:val="00337D2E"/>
    <w:rsid w:val="00340D05"/>
    <w:rsid w:val="00340D10"/>
    <w:rsid w:val="00340E06"/>
    <w:rsid w:val="003412B3"/>
    <w:rsid w:val="0034135C"/>
    <w:rsid w:val="003416E6"/>
    <w:rsid w:val="003417F4"/>
    <w:rsid w:val="0034197D"/>
    <w:rsid w:val="003420F7"/>
    <w:rsid w:val="0034223F"/>
    <w:rsid w:val="003424C1"/>
    <w:rsid w:val="00342F77"/>
    <w:rsid w:val="00343153"/>
    <w:rsid w:val="003436DB"/>
    <w:rsid w:val="00343AEE"/>
    <w:rsid w:val="003443F8"/>
    <w:rsid w:val="00344698"/>
    <w:rsid w:val="003447FA"/>
    <w:rsid w:val="00344D90"/>
    <w:rsid w:val="0034504C"/>
    <w:rsid w:val="003452E1"/>
    <w:rsid w:val="0034532F"/>
    <w:rsid w:val="003455A2"/>
    <w:rsid w:val="00345927"/>
    <w:rsid w:val="003459E8"/>
    <w:rsid w:val="00345D2A"/>
    <w:rsid w:val="00345F94"/>
    <w:rsid w:val="003465B2"/>
    <w:rsid w:val="00346601"/>
    <w:rsid w:val="00346750"/>
    <w:rsid w:val="00346876"/>
    <w:rsid w:val="003468D0"/>
    <w:rsid w:val="00346936"/>
    <w:rsid w:val="00346BBC"/>
    <w:rsid w:val="00346DD0"/>
    <w:rsid w:val="00346F1D"/>
    <w:rsid w:val="003473C3"/>
    <w:rsid w:val="003473CF"/>
    <w:rsid w:val="0034778C"/>
    <w:rsid w:val="00347D98"/>
    <w:rsid w:val="003504AC"/>
    <w:rsid w:val="00350584"/>
    <w:rsid w:val="003506DB"/>
    <w:rsid w:val="00350EC9"/>
    <w:rsid w:val="00351133"/>
    <w:rsid w:val="00351221"/>
    <w:rsid w:val="0035149A"/>
    <w:rsid w:val="00351552"/>
    <w:rsid w:val="00351857"/>
    <w:rsid w:val="00351907"/>
    <w:rsid w:val="00351BBF"/>
    <w:rsid w:val="00351C94"/>
    <w:rsid w:val="00351DC0"/>
    <w:rsid w:val="00351F86"/>
    <w:rsid w:val="003520F7"/>
    <w:rsid w:val="0035258D"/>
    <w:rsid w:val="003526CB"/>
    <w:rsid w:val="00352799"/>
    <w:rsid w:val="00352A08"/>
    <w:rsid w:val="00352F90"/>
    <w:rsid w:val="003534E5"/>
    <w:rsid w:val="003534F3"/>
    <w:rsid w:val="00353543"/>
    <w:rsid w:val="00353794"/>
    <w:rsid w:val="003537A9"/>
    <w:rsid w:val="00353AD1"/>
    <w:rsid w:val="00353B38"/>
    <w:rsid w:val="00353D9C"/>
    <w:rsid w:val="003540CA"/>
    <w:rsid w:val="003545E8"/>
    <w:rsid w:val="0035466C"/>
    <w:rsid w:val="00354B57"/>
    <w:rsid w:val="00354D79"/>
    <w:rsid w:val="00354DAB"/>
    <w:rsid w:val="00354EA4"/>
    <w:rsid w:val="0035538A"/>
    <w:rsid w:val="00355468"/>
    <w:rsid w:val="00355B4E"/>
    <w:rsid w:val="00355DDF"/>
    <w:rsid w:val="0035629A"/>
    <w:rsid w:val="00356D41"/>
    <w:rsid w:val="00356DA1"/>
    <w:rsid w:val="0035742A"/>
    <w:rsid w:val="00357695"/>
    <w:rsid w:val="003577EC"/>
    <w:rsid w:val="00357876"/>
    <w:rsid w:val="003602E3"/>
    <w:rsid w:val="003608EC"/>
    <w:rsid w:val="0036097E"/>
    <w:rsid w:val="003610E1"/>
    <w:rsid w:val="00361445"/>
    <w:rsid w:val="00361708"/>
    <w:rsid w:val="00361830"/>
    <w:rsid w:val="0036183F"/>
    <w:rsid w:val="0036188F"/>
    <w:rsid w:val="00361899"/>
    <w:rsid w:val="00361CA0"/>
    <w:rsid w:val="00361CA2"/>
    <w:rsid w:val="00361D82"/>
    <w:rsid w:val="00361DBD"/>
    <w:rsid w:val="00361F51"/>
    <w:rsid w:val="00361FF0"/>
    <w:rsid w:val="0036203D"/>
    <w:rsid w:val="00362455"/>
    <w:rsid w:val="00363307"/>
    <w:rsid w:val="003633BA"/>
    <w:rsid w:val="00363487"/>
    <w:rsid w:val="00363493"/>
    <w:rsid w:val="0036362B"/>
    <w:rsid w:val="003639BB"/>
    <w:rsid w:val="0036459A"/>
    <w:rsid w:val="00365163"/>
    <w:rsid w:val="00365383"/>
    <w:rsid w:val="00365D6B"/>
    <w:rsid w:val="00366250"/>
    <w:rsid w:val="003664A3"/>
    <w:rsid w:val="0036669C"/>
    <w:rsid w:val="00366D13"/>
    <w:rsid w:val="00367081"/>
    <w:rsid w:val="003671BE"/>
    <w:rsid w:val="00367A84"/>
    <w:rsid w:val="00367EE3"/>
    <w:rsid w:val="00367EF3"/>
    <w:rsid w:val="0037011E"/>
    <w:rsid w:val="003701EE"/>
    <w:rsid w:val="0037022E"/>
    <w:rsid w:val="00370471"/>
    <w:rsid w:val="003705FE"/>
    <w:rsid w:val="003706AB"/>
    <w:rsid w:val="00370726"/>
    <w:rsid w:val="00370746"/>
    <w:rsid w:val="00370AA3"/>
    <w:rsid w:val="00370D6E"/>
    <w:rsid w:val="00370D7C"/>
    <w:rsid w:val="0037100F"/>
    <w:rsid w:val="00371839"/>
    <w:rsid w:val="003718C7"/>
    <w:rsid w:val="003719CE"/>
    <w:rsid w:val="00371B86"/>
    <w:rsid w:val="00371C16"/>
    <w:rsid w:val="003721BF"/>
    <w:rsid w:val="00372485"/>
    <w:rsid w:val="00373200"/>
    <w:rsid w:val="003737D1"/>
    <w:rsid w:val="00373A3A"/>
    <w:rsid w:val="00374BE2"/>
    <w:rsid w:val="00374C5D"/>
    <w:rsid w:val="00375084"/>
    <w:rsid w:val="003750C8"/>
    <w:rsid w:val="00375879"/>
    <w:rsid w:val="00375DDA"/>
    <w:rsid w:val="00375EF5"/>
    <w:rsid w:val="003767A5"/>
    <w:rsid w:val="00377075"/>
    <w:rsid w:val="003773C4"/>
    <w:rsid w:val="003776AE"/>
    <w:rsid w:val="00377B1F"/>
    <w:rsid w:val="00377CBD"/>
    <w:rsid w:val="00377D52"/>
    <w:rsid w:val="00377DA1"/>
    <w:rsid w:val="00377F2C"/>
    <w:rsid w:val="003800C4"/>
    <w:rsid w:val="003802C4"/>
    <w:rsid w:val="00380503"/>
    <w:rsid w:val="003806BB"/>
    <w:rsid w:val="003809D5"/>
    <w:rsid w:val="00380C7A"/>
    <w:rsid w:val="00380E3B"/>
    <w:rsid w:val="00380F16"/>
    <w:rsid w:val="00381521"/>
    <w:rsid w:val="003815E7"/>
    <w:rsid w:val="00381779"/>
    <w:rsid w:val="003817B4"/>
    <w:rsid w:val="003817C5"/>
    <w:rsid w:val="00381D15"/>
    <w:rsid w:val="00381D79"/>
    <w:rsid w:val="00381E85"/>
    <w:rsid w:val="0038239D"/>
    <w:rsid w:val="0038265B"/>
    <w:rsid w:val="00382C13"/>
    <w:rsid w:val="00383146"/>
    <w:rsid w:val="003836C9"/>
    <w:rsid w:val="00383843"/>
    <w:rsid w:val="00383A88"/>
    <w:rsid w:val="00383AA2"/>
    <w:rsid w:val="00383CCB"/>
    <w:rsid w:val="00383F84"/>
    <w:rsid w:val="003841D7"/>
    <w:rsid w:val="00384713"/>
    <w:rsid w:val="00384812"/>
    <w:rsid w:val="00384B47"/>
    <w:rsid w:val="00384B5F"/>
    <w:rsid w:val="00384C79"/>
    <w:rsid w:val="00384DBE"/>
    <w:rsid w:val="00384F21"/>
    <w:rsid w:val="00385043"/>
    <w:rsid w:val="00385254"/>
    <w:rsid w:val="00385824"/>
    <w:rsid w:val="00385A6C"/>
    <w:rsid w:val="00385C31"/>
    <w:rsid w:val="003860A1"/>
    <w:rsid w:val="003871D8"/>
    <w:rsid w:val="0038728D"/>
    <w:rsid w:val="00387EB9"/>
    <w:rsid w:val="00387F32"/>
    <w:rsid w:val="003900BF"/>
    <w:rsid w:val="00390191"/>
    <w:rsid w:val="00390553"/>
    <w:rsid w:val="0039067B"/>
    <w:rsid w:val="00390D50"/>
    <w:rsid w:val="00390FB0"/>
    <w:rsid w:val="003914FF"/>
    <w:rsid w:val="0039155D"/>
    <w:rsid w:val="00391657"/>
    <w:rsid w:val="00391873"/>
    <w:rsid w:val="00391B89"/>
    <w:rsid w:val="00391EA9"/>
    <w:rsid w:val="00391EAA"/>
    <w:rsid w:val="003920ED"/>
    <w:rsid w:val="00392121"/>
    <w:rsid w:val="003922C2"/>
    <w:rsid w:val="00392A7F"/>
    <w:rsid w:val="00392DB2"/>
    <w:rsid w:val="003931B6"/>
    <w:rsid w:val="003936C6"/>
    <w:rsid w:val="00393706"/>
    <w:rsid w:val="00393F7D"/>
    <w:rsid w:val="00394341"/>
    <w:rsid w:val="0039438A"/>
    <w:rsid w:val="00394889"/>
    <w:rsid w:val="0039489A"/>
    <w:rsid w:val="00394F80"/>
    <w:rsid w:val="0039504C"/>
    <w:rsid w:val="003957F6"/>
    <w:rsid w:val="00395818"/>
    <w:rsid w:val="00395BFB"/>
    <w:rsid w:val="00396090"/>
    <w:rsid w:val="003960C6"/>
    <w:rsid w:val="003963BE"/>
    <w:rsid w:val="0039649C"/>
    <w:rsid w:val="00396D13"/>
    <w:rsid w:val="00396D86"/>
    <w:rsid w:val="0039711C"/>
    <w:rsid w:val="003972C0"/>
    <w:rsid w:val="0039738F"/>
    <w:rsid w:val="003973AB"/>
    <w:rsid w:val="003977CA"/>
    <w:rsid w:val="00397BF8"/>
    <w:rsid w:val="00397C13"/>
    <w:rsid w:val="00397D31"/>
    <w:rsid w:val="00397EE7"/>
    <w:rsid w:val="003A011F"/>
    <w:rsid w:val="003A04DB"/>
    <w:rsid w:val="003A0B18"/>
    <w:rsid w:val="003A0D2F"/>
    <w:rsid w:val="003A0D5C"/>
    <w:rsid w:val="003A0E5F"/>
    <w:rsid w:val="003A12AE"/>
    <w:rsid w:val="003A135C"/>
    <w:rsid w:val="003A16A8"/>
    <w:rsid w:val="003A19A7"/>
    <w:rsid w:val="003A1BDC"/>
    <w:rsid w:val="003A229E"/>
    <w:rsid w:val="003A24CB"/>
    <w:rsid w:val="003A257F"/>
    <w:rsid w:val="003A25E3"/>
    <w:rsid w:val="003A2602"/>
    <w:rsid w:val="003A317B"/>
    <w:rsid w:val="003A32AA"/>
    <w:rsid w:val="003A34A2"/>
    <w:rsid w:val="003A390D"/>
    <w:rsid w:val="003A3A0D"/>
    <w:rsid w:val="003A3FD2"/>
    <w:rsid w:val="003A4118"/>
    <w:rsid w:val="003A4216"/>
    <w:rsid w:val="003A47CB"/>
    <w:rsid w:val="003A5385"/>
    <w:rsid w:val="003A5634"/>
    <w:rsid w:val="003A57F3"/>
    <w:rsid w:val="003A59E1"/>
    <w:rsid w:val="003A5C66"/>
    <w:rsid w:val="003A5EA6"/>
    <w:rsid w:val="003A5F5B"/>
    <w:rsid w:val="003A6872"/>
    <w:rsid w:val="003A699B"/>
    <w:rsid w:val="003A789A"/>
    <w:rsid w:val="003A7DF9"/>
    <w:rsid w:val="003B00C8"/>
    <w:rsid w:val="003B0226"/>
    <w:rsid w:val="003B02D1"/>
    <w:rsid w:val="003B077D"/>
    <w:rsid w:val="003B0CC7"/>
    <w:rsid w:val="003B0CFB"/>
    <w:rsid w:val="003B0D85"/>
    <w:rsid w:val="003B0FB6"/>
    <w:rsid w:val="003B1086"/>
    <w:rsid w:val="003B12EC"/>
    <w:rsid w:val="003B1B98"/>
    <w:rsid w:val="003B2337"/>
    <w:rsid w:val="003B2A5B"/>
    <w:rsid w:val="003B371D"/>
    <w:rsid w:val="003B4208"/>
    <w:rsid w:val="003B431A"/>
    <w:rsid w:val="003B48ED"/>
    <w:rsid w:val="003B4C7E"/>
    <w:rsid w:val="003B4DAC"/>
    <w:rsid w:val="003B517A"/>
    <w:rsid w:val="003B51CE"/>
    <w:rsid w:val="003B52FC"/>
    <w:rsid w:val="003B54FC"/>
    <w:rsid w:val="003B5505"/>
    <w:rsid w:val="003B55EF"/>
    <w:rsid w:val="003B57EC"/>
    <w:rsid w:val="003B5890"/>
    <w:rsid w:val="003B5A84"/>
    <w:rsid w:val="003B5C4A"/>
    <w:rsid w:val="003B5CD0"/>
    <w:rsid w:val="003B6AB7"/>
    <w:rsid w:val="003B6CBE"/>
    <w:rsid w:val="003B6D87"/>
    <w:rsid w:val="003B76E1"/>
    <w:rsid w:val="003B7879"/>
    <w:rsid w:val="003B78DB"/>
    <w:rsid w:val="003B7BFB"/>
    <w:rsid w:val="003C004C"/>
    <w:rsid w:val="003C065B"/>
    <w:rsid w:val="003C08F1"/>
    <w:rsid w:val="003C120A"/>
    <w:rsid w:val="003C19CA"/>
    <w:rsid w:val="003C1B23"/>
    <w:rsid w:val="003C1B29"/>
    <w:rsid w:val="003C1C1A"/>
    <w:rsid w:val="003C1E9F"/>
    <w:rsid w:val="003C2262"/>
    <w:rsid w:val="003C22B4"/>
    <w:rsid w:val="003C24E7"/>
    <w:rsid w:val="003C26FE"/>
    <w:rsid w:val="003C272D"/>
    <w:rsid w:val="003C2865"/>
    <w:rsid w:val="003C3246"/>
    <w:rsid w:val="003C38D2"/>
    <w:rsid w:val="003C3BAB"/>
    <w:rsid w:val="003C3DDE"/>
    <w:rsid w:val="003C4470"/>
    <w:rsid w:val="003C4560"/>
    <w:rsid w:val="003C4631"/>
    <w:rsid w:val="003C4876"/>
    <w:rsid w:val="003C4AD4"/>
    <w:rsid w:val="003C4E88"/>
    <w:rsid w:val="003C5015"/>
    <w:rsid w:val="003C509D"/>
    <w:rsid w:val="003C572A"/>
    <w:rsid w:val="003C5D98"/>
    <w:rsid w:val="003C5EC7"/>
    <w:rsid w:val="003C6106"/>
    <w:rsid w:val="003C6114"/>
    <w:rsid w:val="003C649E"/>
    <w:rsid w:val="003C64F5"/>
    <w:rsid w:val="003C66B7"/>
    <w:rsid w:val="003C66C6"/>
    <w:rsid w:val="003C6B50"/>
    <w:rsid w:val="003C6EE3"/>
    <w:rsid w:val="003C71C6"/>
    <w:rsid w:val="003C74E1"/>
    <w:rsid w:val="003C77E0"/>
    <w:rsid w:val="003C7823"/>
    <w:rsid w:val="003C7891"/>
    <w:rsid w:val="003C7A67"/>
    <w:rsid w:val="003D08DC"/>
    <w:rsid w:val="003D0B5A"/>
    <w:rsid w:val="003D0E1C"/>
    <w:rsid w:val="003D1055"/>
    <w:rsid w:val="003D135D"/>
    <w:rsid w:val="003D137C"/>
    <w:rsid w:val="003D17D7"/>
    <w:rsid w:val="003D190D"/>
    <w:rsid w:val="003D19ED"/>
    <w:rsid w:val="003D1A8D"/>
    <w:rsid w:val="003D1D5A"/>
    <w:rsid w:val="003D1D66"/>
    <w:rsid w:val="003D2385"/>
    <w:rsid w:val="003D2537"/>
    <w:rsid w:val="003D261F"/>
    <w:rsid w:val="003D2678"/>
    <w:rsid w:val="003D2C49"/>
    <w:rsid w:val="003D2DA1"/>
    <w:rsid w:val="003D2F20"/>
    <w:rsid w:val="003D2F86"/>
    <w:rsid w:val="003D311A"/>
    <w:rsid w:val="003D3260"/>
    <w:rsid w:val="003D32BE"/>
    <w:rsid w:val="003D363D"/>
    <w:rsid w:val="003D3A3E"/>
    <w:rsid w:val="003D3A47"/>
    <w:rsid w:val="003D4483"/>
    <w:rsid w:val="003D45BE"/>
    <w:rsid w:val="003D4A6C"/>
    <w:rsid w:val="003D51AB"/>
    <w:rsid w:val="003D5453"/>
    <w:rsid w:val="003D5D28"/>
    <w:rsid w:val="003D5D68"/>
    <w:rsid w:val="003D5EDC"/>
    <w:rsid w:val="003D6701"/>
    <w:rsid w:val="003D680F"/>
    <w:rsid w:val="003D6AC0"/>
    <w:rsid w:val="003D6BCE"/>
    <w:rsid w:val="003D71A3"/>
    <w:rsid w:val="003D7346"/>
    <w:rsid w:val="003D7699"/>
    <w:rsid w:val="003D77E7"/>
    <w:rsid w:val="003D78A2"/>
    <w:rsid w:val="003D7D21"/>
    <w:rsid w:val="003E03F9"/>
    <w:rsid w:val="003E04CB"/>
    <w:rsid w:val="003E0663"/>
    <w:rsid w:val="003E0D83"/>
    <w:rsid w:val="003E0DA3"/>
    <w:rsid w:val="003E1023"/>
    <w:rsid w:val="003E1390"/>
    <w:rsid w:val="003E1454"/>
    <w:rsid w:val="003E14E6"/>
    <w:rsid w:val="003E16A7"/>
    <w:rsid w:val="003E1AA9"/>
    <w:rsid w:val="003E1D4F"/>
    <w:rsid w:val="003E1E55"/>
    <w:rsid w:val="003E1E64"/>
    <w:rsid w:val="003E2B8A"/>
    <w:rsid w:val="003E3309"/>
    <w:rsid w:val="003E34D3"/>
    <w:rsid w:val="003E34FC"/>
    <w:rsid w:val="003E3A7C"/>
    <w:rsid w:val="003E3B3C"/>
    <w:rsid w:val="003E3B43"/>
    <w:rsid w:val="003E3CE6"/>
    <w:rsid w:val="003E3D14"/>
    <w:rsid w:val="003E3E2A"/>
    <w:rsid w:val="003E4045"/>
    <w:rsid w:val="003E4201"/>
    <w:rsid w:val="003E47AF"/>
    <w:rsid w:val="003E4B72"/>
    <w:rsid w:val="003E4B78"/>
    <w:rsid w:val="003E51F0"/>
    <w:rsid w:val="003E5302"/>
    <w:rsid w:val="003E55EC"/>
    <w:rsid w:val="003E55F7"/>
    <w:rsid w:val="003E572F"/>
    <w:rsid w:val="003E58D4"/>
    <w:rsid w:val="003E5902"/>
    <w:rsid w:val="003E5A6D"/>
    <w:rsid w:val="003E5F95"/>
    <w:rsid w:val="003E624B"/>
    <w:rsid w:val="003E6CCF"/>
    <w:rsid w:val="003E709E"/>
    <w:rsid w:val="003E73E9"/>
    <w:rsid w:val="003E75E1"/>
    <w:rsid w:val="003E76D8"/>
    <w:rsid w:val="003E76DE"/>
    <w:rsid w:val="003E76F1"/>
    <w:rsid w:val="003E7835"/>
    <w:rsid w:val="003E7850"/>
    <w:rsid w:val="003E7D7D"/>
    <w:rsid w:val="003F09D5"/>
    <w:rsid w:val="003F0E24"/>
    <w:rsid w:val="003F0EAC"/>
    <w:rsid w:val="003F101D"/>
    <w:rsid w:val="003F10EE"/>
    <w:rsid w:val="003F112B"/>
    <w:rsid w:val="003F12F5"/>
    <w:rsid w:val="003F14FF"/>
    <w:rsid w:val="003F16F6"/>
    <w:rsid w:val="003F170B"/>
    <w:rsid w:val="003F1B3F"/>
    <w:rsid w:val="003F1B47"/>
    <w:rsid w:val="003F1C29"/>
    <w:rsid w:val="003F20E0"/>
    <w:rsid w:val="003F23F5"/>
    <w:rsid w:val="003F24C1"/>
    <w:rsid w:val="003F275D"/>
    <w:rsid w:val="003F2C24"/>
    <w:rsid w:val="003F2D4A"/>
    <w:rsid w:val="003F2FC8"/>
    <w:rsid w:val="003F3584"/>
    <w:rsid w:val="003F36B7"/>
    <w:rsid w:val="003F3997"/>
    <w:rsid w:val="003F3B13"/>
    <w:rsid w:val="003F3D51"/>
    <w:rsid w:val="003F3E80"/>
    <w:rsid w:val="003F3FC9"/>
    <w:rsid w:val="003F432C"/>
    <w:rsid w:val="003F436A"/>
    <w:rsid w:val="003F4711"/>
    <w:rsid w:val="003F483E"/>
    <w:rsid w:val="003F4950"/>
    <w:rsid w:val="003F49CD"/>
    <w:rsid w:val="003F4A36"/>
    <w:rsid w:val="003F4A71"/>
    <w:rsid w:val="003F4AEE"/>
    <w:rsid w:val="003F4DC7"/>
    <w:rsid w:val="003F50FE"/>
    <w:rsid w:val="003F5235"/>
    <w:rsid w:val="003F5319"/>
    <w:rsid w:val="003F541C"/>
    <w:rsid w:val="003F5452"/>
    <w:rsid w:val="003F5628"/>
    <w:rsid w:val="003F5ADD"/>
    <w:rsid w:val="003F5C75"/>
    <w:rsid w:val="003F63BD"/>
    <w:rsid w:val="003F650B"/>
    <w:rsid w:val="003F653F"/>
    <w:rsid w:val="003F683B"/>
    <w:rsid w:val="003F6B56"/>
    <w:rsid w:val="003F6F2B"/>
    <w:rsid w:val="003F6FA9"/>
    <w:rsid w:val="003F7338"/>
    <w:rsid w:val="003F7542"/>
    <w:rsid w:val="003F7791"/>
    <w:rsid w:val="003F77D1"/>
    <w:rsid w:val="003F77EB"/>
    <w:rsid w:val="003F7DA5"/>
    <w:rsid w:val="00400194"/>
    <w:rsid w:val="00400663"/>
    <w:rsid w:val="004007AB"/>
    <w:rsid w:val="0040098D"/>
    <w:rsid w:val="00400A89"/>
    <w:rsid w:val="00400B48"/>
    <w:rsid w:val="00400F1D"/>
    <w:rsid w:val="0040107B"/>
    <w:rsid w:val="0040161C"/>
    <w:rsid w:val="00401FFD"/>
    <w:rsid w:val="004020B7"/>
    <w:rsid w:val="004027E4"/>
    <w:rsid w:val="004028CE"/>
    <w:rsid w:val="00403246"/>
    <w:rsid w:val="00403986"/>
    <w:rsid w:val="00403ED1"/>
    <w:rsid w:val="00404057"/>
    <w:rsid w:val="004041C4"/>
    <w:rsid w:val="0040496E"/>
    <w:rsid w:val="004049BA"/>
    <w:rsid w:val="00404B09"/>
    <w:rsid w:val="00404BB1"/>
    <w:rsid w:val="00404D26"/>
    <w:rsid w:val="00404E0F"/>
    <w:rsid w:val="004055EA"/>
    <w:rsid w:val="0040567E"/>
    <w:rsid w:val="00405687"/>
    <w:rsid w:val="004057A2"/>
    <w:rsid w:val="00405A17"/>
    <w:rsid w:val="00405A8A"/>
    <w:rsid w:val="00405A97"/>
    <w:rsid w:val="00405BD9"/>
    <w:rsid w:val="00405C0E"/>
    <w:rsid w:val="004062D4"/>
    <w:rsid w:val="0040644E"/>
    <w:rsid w:val="00406A25"/>
    <w:rsid w:val="00406BBD"/>
    <w:rsid w:val="00407517"/>
    <w:rsid w:val="00410109"/>
    <w:rsid w:val="004106F7"/>
    <w:rsid w:val="0041071D"/>
    <w:rsid w:val="00410E54"/>
    <w:rsid w:val="004110A6"/>
    <w:rsid w:val="00411213"/>
    <w:rsid w:val="00411267"/>
    <w:rsid w:val="00411D94"/>
    <w:rsid w:val="00412010"/>
    <w:rsid w:val="0041201A"/>
    <w:rsid w:val="00412077"/>
    <w:rsid w:val="004122EA"/>
    <w:rsid w:val="00413001"/>
    <w:rsid w:val="004130A5"/>
    <w:rsid w:val="0041317B"/>
    <w:rsid w:val="0041317F"/>
    <w:rsid w:val="00413210"/>
    <w:rsid w:val="00413901"/>
    <w:rsid w:val="00413915"/>
    <w:rsid w:val="004139F7"/>
    <w:rsid w:val="004143EA"/>
    <w:rsid w:val="0041466E"/>
    <w:rsid w:val="0041467F"/>
    <w:rsid w:val="00414AFC"/>
    <w:rsid w:val="00414EF8"/>
    <w:rsid w:val="00415014"/>
    <w:rsid w:val="004151A7"/>
    <w:rsid w:val="004152B7"/>
    <w:rsid w:val="00415310"/>
    <w:rsid w:val="00415318"/>
    <w:rsid w:val="00415363"/>
    <w:rsid w:val="0041538B"/>
    <w:rsid w:val="004153CA"/>
    <w:rsid w:val="0041579E"/>
    <w:rsid w:val="00415B09"/>
    <w:rsid w:val="00415BCC"/>
    <w:rsid w:val="0041603B"/>
    <w:rsid w:val="0041628F"/>
    <w:rsid w:val="00416E3B"/>
    <w:rsid w:val="00417710"/>
    <w:rsid w:val="00417851"/>
    <w:rsid w:val="00417925"/>
    <w:rsid w:val="004179F0"/>
    <w:rsid w:val="00417C8A"/>
    <w:rsid w:val="00417E9D"/>
    <w:rsid w:val="00417F81"/>
    <w:rsid w:val="004206F3"/>
    <w:rsid w:val="00420BD4"/>
    <w:rsid w:val="00420D98"/>
    <w:rsid w:val="00420DF4"/>
    <w:rsid w:val="00421253"/>
    <w:rsid w:val="004216EF"/>
    <w:rsid w:val="00421709"/>
    <w:rsid w:val="004217F7"/>
    <w:rsid w:val="0042193B"/>
    <w:rsid w:val="00421D48"/>
    <w:rsid w:val="00421DE7"/>
    <w:rsid w:val="00421FF4"/>
    <w:rsid w:val="00422588"/>
    <w:rsid w:val="0042292C"/>
    <w:rsid w:val="00422944"/>
    <w:rsid w:val="00422AE1"/>
    <w:rsid w:val="00422B26"/>
    <w:rsid w:val="00422C30"/>
    <w:rsid w:val="00422C4D"/>
    <w:rsid w:val="00422CC3"/>
    <w:rsid w:val="00422D04"/>
    <w:rsid w:val="00422D9D"/>
    <w:rsid w:val="004232CB"/>
    <w:rsid w:val="00423763"/>
    <w:rsid w:val="00423D78"/>
    <w:rsid w:val="00423D7D"/>
    <w:rsid w:val="0042461D"/>
    <w:rsid w:val="00424C68"/>
    <w:rsid w:val="00424D50"/>
    <w:rsid w:val="00424DA9"/>
    <w:rsid w:val="00424ECF"/>
    <w:rsid w:val="00425646"/>
    <w:rsid w:val="00426320"/>
    <w:rsid w:val="00426508"/>
    <w:rsid w:val="004267B6"/>
    <w:rsid w:val="00426E88"/>
    <w:rsid w:val="00426F68"/>
    <w:rsid w:val="0042717D"/>
    <w:rsid w:val="00427261"/>
    <w:rsid w:val="0042762F"/>
    <w:rsid w:val="004278D4"/>
    <w:rsid w:val="00427A14"/>
    <w:rsid w:val="00427DC7"/>
    <w:rsid w:val="004300A1"/>
    <w:rsid w:val="004300C3"/>
    <w:rsid w:val="0043017C"/>
    <w:rsid w:val="00430366"/>
    <w:rsid w:val="004307B9"/>
    <w:rsid w:val="004309D6"/>
    <w:rsid w:val="00430BFC"/>
    <w:rsid w:val="00431613"/>
    <w:rsid w:val="00431792"/>
    <w:rsid w:val="004318FF"/>
    <w:rsid w:val="0043190D"/>
    <w:rsid w:val="00432241"/>
    <w:rsid w:val="004326E0"/>
    <w:rsid w:val="00432957"/>
    <w:rsid w:val="0043297A"/>
    <w:rsid w:val="00432C1C"/>
    <w:rsid w:val="00432EB2"/>
    <w:rsid w:val="00433C3A"/>
    <w:rsid w:val="00433F2E"/>
    <w:rsid w:val="004342D5"/>
    <w:rsid w:val="00434B4F"/>
    <w:rsid w:val="00434B55"/>
    <w:rsid w:val="00434D80"/>
    <w:rsid w:val="00435040"/>
    <w:rsid w:val="0043544F"/>
    <w:rsid w:val="00435F89"/>
    <w:rsid w:val="00436288"/>
    <w:rsid w:val="0043645D"/>
    <w:rsid w:val="00436A11"/>
    <w:rsid w:val="00436E5A"/>
    <w:rsid w:val="0043714F"/>
    <w:rsid w:val="00437548"/>
    <w:rsid w:val="00437931"/>
    <w:rsid w:val="00437B19"/>
    <w:rsid w:val="00437E56"/>
    <w:rsid w:val="004409E6"/>
    <w:rsid w:val="00440C74"/>
    <w:rsid w:val="00440D1E"/>
    <w:rsid w:val="00440E4D"/>
    <w:rsid w:val="00440EC9"/>
    <w:rsid w:val="00441026"/>
    <w:rsid w:val="004410BC"/>
    <w:rsid w:val="00441A81"/>
    <w:rsid w:val="00441AC5"/>
    <w:rsid w:val="00441C35"/>
    <w:rsid w:val="0044200D"/>
    <w:rsid w:val="00442256"/>
    <w:rsid w:val="00442332"/>
    <w:rsid w:val="004424C3"/>
    <w:rsid w:val="004428DD"/>
    <w:rsid w:val="00442BF0"/>
    <w:rsid w:val="00442E2B"/>
    <w:rsid w:val="004434AA"/>
    <w:rsid w:val="0044384A"/>
    <w:rsid w:val="004438B5"/>
    <w:rsid w:val="0044395D"/>
    <w:rsid w:val="004439BD"/>
    <w:rsid w:val="004439D8"/>
    <w:rsid w:val="00443A42"/>
    <w:rsid w:val="00443AC8"/>
    <w:rsid w:val="00443F8C"/>
    <w:rsid w:val="00444140"/>
    <w:rsid w:val="00444198"/>
    <w:rsid w:val="004444FA"/>
    <w:rsid w:val="004446A5"/>
    <w:rsid w:val="00444D14"/>
    <w:rsid w:val="004450FA"/>
    <w:rsid w:val="0044525B"/>
    <w:rsid w:val="0044554B"/>
    <w:rsid w:val="0044567D"/>
    <w:rsid w:val="00445B29"/>
    <w:rsid w:val="00446C26"/>
    <w:rsid w:val="00446D71"/>
    <w:rsid w:val="00447037"/>
    <w:rsid w:val="00447320"/>
    <w:rsid w:val="0044752B"/>
    <w:rsid w:val="0044761C"/>
    <w:rsid w:val="004476CF"/>
    <w:rsid w:val="00447770"/>
    <w:rsid w:val="00447A51"/>
    <w:rsid w:val="00447AB5"/>
    <w:rsid w:val="00447ED5"/>
    <w:rsid w:val="004502E1"/>
    <w:rsid w:val="00450497"/>
    <w:rsid w:val="00450808"/>
    <w:rsid w:val="004508B4"/>
    <w:rsid w:val="00450A50"/>
    <w:rsid w:val="00450BC6"/>
    <w:rsid w:val="004511C5"/>
    <w:rsid w:val="0045124D"/>
    <w:rsid w:val="00451261"/>
    <w:rsid w:val="004513C3"/>
    <w:rsid w:val="00451579"/>
    <w:rsid w:val="00451737"/>
    <w:rsid w:val="0045194F"/>
    <w:rsid w:val="00451D21"/>
    <w:rsid w:val="00451E7D"/>
    <w:rsid w:val="004520A4"/>
    <w:rsid w:val="004520B0"/>
    <w:rsid w:val="00452139"/>
    <w:rsid w:val="00452188"/>
    <w:rsid w:val="004523D8"/>
    <w:rsid w:val="00452CF4"/>
    <w:rsid w:val="004531E3"/>
    <w:rsid w:val="0045335D"/>
    <w:rsid w:val="00453607"/>
    <w:rsid w:val="004537A5"/>
    <w:rsid w:val="004537DB"/>
    <w:rsid w:val="00453FC3"/>
    <w:rsid w:val="00453FF3"/>
    <w:rsid w:val="00454596"/>
    <w:rsid w:val="004545F8"/>
    <w:rsid w:val="00454619"/>
    <w:rsid w:val="004546A8"/>
    <w:rsid w:val="00454801"/>
    <w:rsid w:val="00454894"/>
    <w:rsid w:val="004548F1"/>
    <w:rsid w:val="00454C7B"/>
    <w:rsid w:val="00454E20"/>
    <w:rsid w:val="00455196"/>
    <w:rsid w:val="00455249"/>
    <w:rsid w:val="004554CB"/>
    <w:rsid w:val="0045568C"/>
    <w:rsid w:val="004558D9"/>
    <w:rsid w:val="00455D01"/>
    <w:rsid w:val="00455F21"/>
    <w:rsid w:val="0045605D"/>
    <w:rsid w:val="00456B65"/>
    <w:rsid w:val="00456C04"/>
    <w:rsid w:val="00457618"/>
    <w:rsid w:val="004577C7"/>
    <w:rsid w:val="00457C1D"/>
    <w:rsid w:val="00457E6D"/>
    <w:rsid w:val="004601E9"/>
    <w:rsid w:val="0046038F"/>
    <w:rsid w:val="004605CF"/>
    <w:rsid w:val="00460652"/>
    <w:rsid w:val="00460D40"/>
    <w:rsid w:val="00460E50"/>
    <w:rsid w:val="00460F8B"/>
    <w:rsid w:val="00461051"/>
    <w:rsid w:val="00461167"/>
    <w:rsid w:val="0046135B"/>
    <w:rsid w:val="004615E1"/>
    <w:rsid w:val="00461791"/>
    <w:rsid w:val="00461B7B"/>
    <w:rsid w:val="00461C11"/>
    <w:rsid w:val="00461D47"/>
    <w:rsid w:val="004624E8"/>
    <w:rsid w:val="004628F1"/>
    <w:rsid w:val="00462984"/>
    <w:rsid w:val="00462E3D"/>
    <w:rsid w:val="00463654"/>
    <w:rsid w:val="00463C6B"/>
    <w:rsid w:val="00464168"/>
    <w:rsid w:val="00464402"/>
    <w:rsid w:val="00464461"/>
    <w:rsid w:val="004644B3"/>
    <w:rsid w:val="004644E8"/>
    <w:rsid w:val="00464612"/>
    <w:rsid w:val="00464E24"/>
    <w:rsid w:val="00464F4F"/>
    <w:rsid w:val="0046500C"/>
    <w:rsid w:val="0046546E"/>
    <w:rsid w:val="00465762"/>
    <w:rsid w:val="00465B7E"/>
    <w:rsid w:val="00465E48"/>
    <w:rsid w:val="00465FB6"/>
    <w:rsid w:val="00466042"/>
    <w:rsid w:val="0046622A"/>
    <w:rsid w:val="004664EF"/>
    <w:rsid w:val="004665B4"/>
    <w:rsid w:val="00466866"/>
    <w:rsid w:val="00466E72"/>
    <w:rsid w:val="0046734B"/>
    <w:rsid w:val="004673F9"/>
    <w:rsid w:val="004678D0"/>
    <w:rsid w:val="0046799B"/>
    <w:rsid w:val="00467CBD"/>
    <w:rsid w:val="0047017F"/>
    <w:rsid w:val="0047018D"/>
    <w:rsid w:val="004707FA"/>
    <w:rsid w:val="004715B4"/>
    <w:rsid w:val="004715BA"/>
    <w:rsid w:val="004716B3"/>
    <w:rsid w:val="00471720"/>
    <w:rsid w:val="0047181E"/>
    <w:rsid w:val="004718CC"/>
    <w:rsid w:val="00471A50"/>
    <w:rsid w:val="00471DDE"/>
    <w:rsid w:val="00472684"/>
    <w:rsid w:val="00472B62"/>
    <w:rsid w:val="00472EB7"/>
    <w:rsid w:val="0047324D"/>
    <w:rsid w:val="00473269"/>
    <w:rsid w:val="004732EF"/>
    <w:rsid w:val="00473B9B"/>
    <w:rsid w:val="00473BE0"/>
    <w:rsid w:val="0047400F"/>
    <w:rsid w:val="00474D59"/>
    <w:rsid w:val="00474D99"/>
    <w:rsid w:val="00474DDB"/>
    <w:rsid w:val="00475378"/>
    <w:rsid w:val="0047541E"/>
    <w:rsid w:val="00475463"/>
    <w:rsid w:val="00475A1B"/>
    <w:rsid w:val="00475A3D"/>
    <w:rsid w:val="00475F13"/>
    <w:rsid w:val="00475F22"/>
    <w:rsid w:val="00476657"/>
    <w:rsid w:val="004766C7"/>
    <w:rsid w:val="004768B0"/>
    <w:rsid w:val="00476B8D"/>
    <w:rsid w:val="00476CE2"/>
    <w:rsid w:val="00476F76"/>
    <w:rsid w:val="00477B8F"/>
    <w:rsid w:val="0048000B"/>
    <w:rsid w:val="004801CF"/>
    <w:rsid w:val="004802C5"/>
    <w:rsid w:val="0048070E"/>
    <w:rsid w:val="00480B5E"/>
    <w:rsid w:val="00481071"/>
    <w:rsid w:val="00481681"/>
    <w:rsid w:val="00481695"/>
    <w:rsid w:val="00481B75"/>
    <w:rsid w:val="00481DC3"/>
    <w:rsid w:val="00481DFF"/>
    <w:rsid w:val="00482315"/>
    <w:rsid w:val="004824D1"/>
    <w:rsid w:val="004829A5"/>
    <w:rsid w:val="00482B71"/>
    <w:rsid w:val="00482D74"/>
    <w:rsid w:val="00482FA3"/>
    <w:rsid w:val="00483504"/>
    <w:rsid w:val="00483662"/>
    <w:rsid w:val="00484204"/>
    <w:rsid w:val="00484BDA"/>
    <w:rsid w:val="004850CD"/>
    <w:rsid w:val="00485106"/>
    <w:rsid w:val="0048516E"/>
    <w:rsid w:val="0048585B"/>
    <w:rsid w:val="00485943"/>
    <w:rsid w:val="00485CBF"/>
    <w:rsid w:val="004867BC"/>
    <w:rsid w:val="00486D06"/>
    <w:rsid w:val="00490326"/>
    <w:rsid w:val="004907AF"/>
    <w:rsid w:val="00490C1E"/>
    <w:rsid w:val="00490CB6"/>
    <w:rsid w:val="00490DD4"/>
    <w:rsid w:val="00490F27"/>
    <w:rsid w:val="0049112A"/>
    <w:rsid w:val="004917EF"/>
    <w:rsid w:val="004919AB"/>
    <w:rsid w:val="00491E48"/>
    <w:rsid w:val="00492316"/>
    <w:rsid w:val="0049244B"/>
    <w:rsid w:val="0049248E"/>
    <w:rsid w:val="00492901"/>
    <w:rsid w:val="00492A83"/>
    <w:rsid w:val="00492CD9"/>
    <w:rsid w:val="00492F75"/>
    <w:rsid w:val="004930C0"/>
    <w:rsid w:val="00493158"/>
    <w:rsid w:val="004933CC"/>
    <w:rsid w:val="004935C7"/>
    <w:rsid w:val="00493B5E"/>
    <w:rsid w:val="00493D08"/>
    <w:rsid w:val="00493FEB"/>
    <w:rsid w:val="00494AB6"/>
    <w:rsid w:val="00494AD0"/>
    <w:rsid w:val="00494E93"/>
    <w:rsid w:val="0049508A"/>
    <w:rsid w:val="00495103"/>
    <w:rsid w:val="0049546C"/>
    <w:rsid w:val="0049577E"/>
    <w:rsid w:val="00495782"/>
    <w:rsid w:val="00495A96"/>
    <w:rsid w:val="00495B0E"/>
    <w:rsid w:val="00495BB3"/>
    <w:rsid w:val="00495C97"/>
    <w:rsid w:val="0049624E"/>
    <w:rsid w:val="004962DC"/>
    <w:rsid w:val="0049688F"/>
    <w:rsid w:val="00496C38"/>
    <w:rsid w:val="0049754E"/>
    <w:rsid w:val="0049766C"/>
    <w:rsid w:val="004979E2"/>
    <w:rsid w:val="00497A07"/>
    <w:rsid w:val="00497BF2"/>
    <w:rsid w:val="004A0149"/>
    <w:rsid w:val="004A0321"/>
    <w:rsid w:val="004A0469"/>
    <w:rsid w:val="004A0F94"/>
    <w:rsid w:val="004A1303"/>
    <w:rsid w:val="004A1C64"/>
    <w:rsid w:val="004A1CE4"/>
    <w:rsid w:val="004A1DB1"/>
    <w:rsid w:val="004A242C"/>
    <w:rsid w:val="004A24A1"/>
    <w:rsid w:val="004A24F9"/>
    <w:rsid w:val="004A25D3"/>
    <w:rsid w:val="004A264C"/>
    <w:rsid w:val="004A28C6"/>
    <w:rsid w:val="004A2B11"/>
    <w:rsid w:val="004A2B80"/>
    <w:rsid w:val="004A2BAD"/>
    <w:rsid w:val="004A2E32"/>
    <w:rsid w:val="004A2F40"/>
    <w:rsid w:val="004A3391"/>
    <w:rsid w:val="004A3641"/>
    <w:rsid w:val="004A36CE"/>
    <w:rsid w:val="004A3A3F"/>
    <w:rsid w:val="004A3DB8"/>
    <w:rsid w:val="004A3F1D"/>
    <w:rsid w:val="004A3FE1"/>
    <w:rsid w:val="004A444C"/>
    <w:rsid w:val="004A458D"/>
    <w:rsid w:val="004A45CD"/>
    <w:rsid w:val="004A4639"/>
    <w:rsid w:val="004A4E33"/>
    <w:rsid w:val="004A4F27"/>
    <w:rsid w:val="004A504A"/>
    <w:rsid w:val="004A56BB"/>
    <w:rsid w:val="004A5970"/>
    <w:rsid w:val="004A599A"/>
    <w:rsid w:val="004A5D35"/>
    <w:rsid w:val="004A5F37"/>
    <w:rsid w:val="004A5FF8"/>
    <w:rsid w:val="004A65CE"/>
    <w:rsid w:val="004A6884"/>
    <w:rsid w:val="004A6A94"/>
    <w:rsid w:val="004A70D6"/>
    <w:rsid w:val="004A736C"/>
    <w:rsid w:val="004A7FB0"/>
    <w:rsid w:val="004B0B08"/>
    <w:rsid w:val="004B0D6F"/>
    <w:rsid w:val="004B1453"/>
    <w:rsid w:val="004B1577"/>
    <w:rsid w:val="004B1609"/>
    <w:rsid w:val="004B1751"/>
    <w:rsid w:val="004B23EA"/>
    <w:rsid w:val="004B2488"/>
    <w:rsid w:val="004B2575"/>
    <w:rsid w:val="004B2960"/>
    <w:rsid w:val="004B2A10"/>
    <w:rsid w:val="004B2E86"/>
    <w:rsid w:val="004B328B"/>
    <w:rsid w:val="004B32D0"/>
    <w:rsid w:val="004B356C"/>
    <w:rsid w:val="004B361F"/>
    <w:rsid w:val="004B4002"/>
    <w:rsid w:val="004B5320"/>
    <w:rsid w:val="004B551D"/>
    <w:rsid w:val="004B56DE"/>
    <w:rsid w:val="004B59CA"/>
    <w:rsid w:val="004B5B5B"/>
    <w:rsid w:val="004B6279"/>
    <w:rsid w:val="004B66EB"/>
    <w:rsid w:val="004B6791"/>
    <w:rsid w:val="004B6864"/>
    <w:rsid w:val="004B6ADF"/>
    <w:rsid w:val="004B6BFF"/>
    <w:rsid w:val="004B749D"/>
    <w:rsid w:val="004B7621"/>
    <w:rsid w:val="004B7B44"/>
    <w:rsid w:val="004B7CA7"/>
    <w:rsid w:val="004C013F"/>
    <w:rsid w:val="004C0253"/>
    <w:rsid w:val="004C05DD"/>
    <w:rsid w:val="004C0731"/>
    <w:rsid w:val="004C07C2"/>
    <w:rsid w:val="004C0905"/>
    <w:rsid w:val="004C0FCD"/>
    <w:rsid w:val="004C1499"/>
    <w:rsid w:val="004C1528"/>
    <w:rsid w:val="004C1EB3"/>
    <w:rsid w:val="004C285E"/>
    <w:rsid w:val="004C3001"/>
    <w:rsid w:val="004C32E0"/>
    <w:rsid w:val="004C3350"/>
    <w:rsid w:val="004C35EF"/>
    <w:rsid w:val="004C3D16"/>
    <w:rsid w:val="004C42C2"/>
    <w:rsid w:val="004C43A4"/>
    <w:rsid w:val="004C4749"/>
    <w:rsid w:val="004C4923"/>
    <w:rsid w:val="004C4A01"/>
    <w:rsid w:val="004C4E4B"/>
    <w:rsid w:val="004C50C6"/>
    <w:rsid w:val="004C5452"/>
    <w:rsid w:val="004C55B9"/>
    <w:rsid w:val="004C5819"/>
    <w:rsid w:val="004C58C9"/>
    <w:rsid w:val="004C5B6D"/>
    <w:rsid w:val="004C5FD6"/>
    <w:rsid w:val="004C632D"/>
    <w:rsid w:val="004C65D5"/>
    <w:rsid w:val="004C6671"/>
    <w:rsid w:val="004C68BF"/>
    <w:rsid w:val="004C6DFE"/>
    <w:rsid w:val="004C7024"/>
    <w:rsid w:val="004C758C"/>
    <w:rsid w:val="004C7D83"/>
    <w:rsid w:val="004D021B"/>
    <w:rsid w:val="004D02F6"/>
    <w:rsid w:val="004D0391"/>
    <w:rsid w:val="004D04F9"/>
    <w:rsid w:val="004D0F46"/>
    <w:rsid w:val="004D2251"/>
    <w:rsid w:val="004D2619"/>
    <w:rsid w:val="004D2754"/>
    <w:rsid w:val="004D2777"/>
    <w:rsid w:val="004D2A07"/>
    <w:rsid w:val="004D2F0D"/>
    <w:rsid w:val="004D3773"/>
    <w:rsid w:val="004D3F3F"/>
    <w:rsid w:val="004D404D"/>
    <w:rsid w:val="004D40F3"/>
    <w:rsid w:val="004D42BB"/>
    <w:rsid w:val="004D44A2"/>
    <w:rsid w:val="004D4C7F"/>
    <w:rsid w:val="004D4F4E"/>
    <w:rsid w:val="004D528E"/>
    <w:rsid w:val="004D56FF"/>
    <w:rsid w:val="004D5760"/>
    <w:rsid w:val="004D5784"/>
    <w:rsid w:val="004D583C"/>
    <w:rsid w:val="004D5892"/>
    <w:rsid w:val="004D5906"/>
    <w:rsid w:val="004D5985"/>
    <w:rsid w:val="004D5A35"/>
    <w:rsid w:val="004D5B37"/>
    <w:rsid w:val="004D5D69"/>
    <w:rsid w:val="004D60A4"/>
    <w:rsid w:val="004D64E2"/>
    <w:rsid w:val="004D6CCB"/>
    <w:rsid w:val="004D6DEB"/>
    <w:rsid w:val="004D7BEA"/>
    <w:rsid w:val="004D7DD6"/>
    <w:rsid w:val="004E038A"/>
    <w:rsid w:val="004E04F8"/>
    <w:rsid w:val="004E08CB"/>
    <w:rsid w:val="004E0B6D"/>
    <w:rsid w:val="004E100A"/>
    <w:rsid w:val="004E1453"/>
    <w:rsid w:val="004E1455"/>
    <w:rsid w:val="004E19A6"/>
    <w:rsid w:val="004E2175"/>
    <w:rsid w:val="004E24A5"/>
    <w:rsid w:val="004E263A"/>
    <w:rsid w:val="004E2735"/>
    <w:rsid w:val="004E2E1C"/>
    <w:rsid w:val="004E303A"/>
    <w:rsid w:val="004E3127"/>
    <w:rsid w:val="004E3207"/>
    <w:rsid w:val="004E3349"/>
    <w:rsid w:val="004E341A"/>
    <w:rsid w:val="004E35F6"/>
    <w:rsid w:val="004E36DB"/>
    <w:rsid w:val="004E36DC"/>
    <w:rsid w:val="004E36E6"/>
    <w:rsid w:val="004E387C"/>
    <w:rsid w:val="004E39D3"/>
    <w:rsid w:val="004E3C02"/>
    <w:rsid w:val="004E407B"/>
    <w:rsid w:val="004E498D"/>
    <w:rsid w:val="004E4993"/>
    <w:rsid w:val="004E4C0A"/>
    <w:rsid w:val="004E508A"/>
    <w:rsid w:val="004E50E8"/>
    <w:rsid w:val="004E52A1"/>
    <w:rsid w:val="004E55EE"/>
    <w:rsid w:val="004E584A"/>
    <w:rsid w:val="004E58B4"/>
    <w:rsid w:val="004E593D"/>
    <w:rsid w:val="004E5C7A"/>
    <w:rsid w:val="004E5E5F"/>
    <w:rsid w:val="004E616D"/>
    <w:rsid w:val="004E6202"/>
    <w:rsid w:val="004E6892"/>
    <w:rsid w:val="004E6A4F"/>
    <w:rsid w:val="004E6BD8"/>
    <w:rsid w:val="004E6CDE"/>
    <w:rsid w:val="004E6DEA"/>
    <w:rsid w:val="004E73BB"/>
    <w:rsid w:val="004E740C"/>
    <w:rsid w:val="004E7C70"/>
    <w:rsid w:val="004E7CDC"/>
    <w:rsid w:val="004E7E03"/>
    <w:rsid w:val="004E7F0C"/>
    <w:rsid w:val="004F0037"/>
    <w:rsid w:val="004F0038"/>
    <w:rsid w:val="004F0258"/>
    <w:rsid w:val="004F0DE0"/>
    <w:rsid w:val="004F0F09"/>
    <w:rsid w:val="004F0F47"/>
    <w:rsid w:val="004F1444"/>
    <w:rsid w:val="004F14F5"/>
    <w:rsid w:val="004F1ABD"/>
    <w:rsid w:val="004F1B7A"/>
    <w:rsid w:val="004F1BDE"/>
    <w:rsid w:val="004F2944"/>
    <w:rsid w:val="004F2CEE"/>
    <w:rsid w:val="004F2F83"/>
    <w:rsid w:val="004F2FE1"/>
    <w:rsid w:val="004F3374"/>
    <w:rsid w:val="004F3515"/>
    <w:rsid w:val="004F375E"/>
    <w:rsid w:val="004F3B3A"/>
    <w:rsid w:val="004F4242"/>
    <w:rsid w:val="004F435E"/>
    <w:rsid w:val="004F47C7"/>
    <w:rsid w:val="004F4E7A"/>
    <w:rsid w:val="004F5107"/>
    <w:rsid w:val="004F551E"/>
    <w:rsid w:val="004F556E"/>
    <w:rsid w:val="004F55ED"/>
    <w:rsid w:val="004F591C"/>
    <w:rsid w:val="004F5EB6"/>
    <w:rsid w:val="004F5F06"/>
    <w:rsid w:val="004F6133"/>
    <w:rsid w:val="004F652C"/>
    <w:rsid w:val="004F6D33"/>
    <w:rsid w:val="004F6E9D"/>
    <w:rsid w:val="004F6F6B"/>
    <w:rsid w:val="004F72DC"/>
    <w:rsid w:val="004F735A"/>
    <w:rsid w:val="004F7455"/>
    <w:rsid w:val="004F76B7"/>
    <w:rsid w:val="004F789E"/>
    <w:rsid w:val="004F7BCA"/>
    <w:rsid w:val="004F7F44"/>
    <w:rsid w:val="004F7FE0"/>
    <w:rsid w:val="00500012"/>
    <w:rsid w:val="00500041"/>
    <w:rsid w:val="00501515"/>
    <w:rsid w:val="005018B3"/>
    <w:rsid w:val="00501964"/>
    <w:rsid w:val="00501BFE"/>
    <w:rsid w:val="00501D24"/>
    <w:rsid w:val="00501DA5"/>
    <w:rsid w:val="00501E06"/>
    <w:rsid w:val="00501E83"/>
    <w:rsid w:val="00501F4D"/>
    <w:rsid w:val="00502263"/>
    <w:rsid w:val="0050244C"/>
    <w:rsid w:val="005030EC"/>
    <w:rsid w:val="00503116"/>
    <w:rsid w:val="00503352"/>
    <w:rsid w:val="0050350E"/>
    <w:rsid w:val="005037B4"/>
    <w:rsid w:val="00503CDA"/>
    <w:rsid w:val="00504262"/>
    <w:rsid w:val="005044DD"/>
    <w:rsid w:val="00504A5A"/>
    <w:rsid w:val="00504BB5"/>
    <w:rsid w:val="00504DEF"/>
    <w:rsid w:val="005054DA"/>
    <w:rsid w:val="005059DF"/>
    <w:rsid w:val="00505AB9"/>
    <w:rsid w:val="00505C51"/>
    <w:rsid w:val="00505DEB"/>
    <w:rsid w:val="00506237"/>
    <w:rsid w:val="005065FB"/>
    <w:rsid w:val="00506755"/>
    <w:rsid w:val="00506824"/>
    <w:rsid w:val="005073FE"/>
    <w:rsid w:val="005074B6"/>
    <w:rsid w:val="005075F0"/>
    <w:rsid w:val="005076FA"/>
    <w:rsid w:val="005077DD"/>
    <w:rsid w:val="005079BF"/>
    <w:rsid w:val="00507C5C"/>
    <w:rsid w:val="00507F41"/>
    <w:rsid w:val="00510479"/>
    <w:rsid w:val="0051047A"/>
    <w:rsid w:val="00510AC2"/>
    <w:rsid w:val="00510ACC"/>
    <w:rsid w:val="005117EC"/>
    <w:rsid w:val="00511867"/>
    <w:rsid w:val="0051190D"/>
    <w:rsid w:val="00511AE9"/>
    <w:rsid w:val="00511D88"/>
    <w:rsid w:val="00512521"/>
    <w:rsid w:val="0051269A"/>
    <w:rsid w:val="00512A6F"/>
    <w:rsid w:val="00512B28"/>
    <w:rsid w:val="00512BF4"/>
    <w:rsid w:val="00512ECF"/>
    <w:rsid w:val="00513026"/>
    <w:rsid w:val="00513229"/>
    <w:rsid w:val="005135CC"/>
    <w:rsid w:val="00513B9C"/>
    <w:rsid w:val="00513BF1"/>
    <w:rsid w:val="00513CFE"/>
    <w:rsid w:val="00513F3C"/>
    <w:rsid w:val="00513F54"/>
    <w:rsid w:val="005140B9"/>
    <w:rsid w:val="005144FA"/>
    <w:rsid w:val="005149A3"/>
    <w:rsid w:val="00514AC6"/>
    <w:rsid w:val="00514BF9"/>
    <w:rsid w:val="005151B1"/>
    <w:rsid w:val="005152E1"/>
    <w:rsid w:val="00515389"/>
    <w:rsid w:val="005157D9"/>
    <w:rsid w:val="00515930"/>
    <w:rsid w:val="00515A81"/>
    <w:rsid w:val="00515DFE"/>
    <w:rsid w:val="00516242"/>
    <w:rsid w:val="005163BC"/>
    <w:rsid w:val="00517298"/>
    <w:rsid w:val="005174C0"/>
    <w:rsid w:val="00517716"/>
    <w:rsid w:val="00517BEE"/>
    <w:rsid w:val="0052030C"/>
    <w:rsid w:val="0052081B"/>
    <w:rsid w:val="00520942"/>
    <w:rsid w:val="00520BE4"/>
    <w:rsid w:val="005212B1"/>
    <w:rsid w:val="00521413"/>
    <w:rsid w:val="005219E7"/>
    <w:rsid w:val="00521A07"/>
    <w:rsid w:val="00521C23"/>
    <w:rsid w:val="00521ED4"/>
    <w:rsid w:val="00521EE7"/>
    <w:rsid w:val="005228FB"/>
    <w:rsid w:val="00522FF2"/>
    <w:rsid w:val="00523588"/>
    <w:rsid w:val="005240B6"/>
    <w:rsid w:val="00524190"/>
    <w:rsid w:val="00524306"/>
    <w:rsid w:val="00524558"/>
    <w:rsid w:val="005247B8"/>
    <w:rsid w:val="005249C1"/>
    <w:rsid w:val="00524AE7"/>
    <w:rsid w:val="00524E7C"/>
    <w:rsid w:val="00524FB3"/>
    <w:rsid w:val="0052537D"/>
    <w:rsid w:val="0052540B"/>
    <w:rsid w:val="00525AF5"/>
    <w:rsid w:val="00525B37"/>
    <w:rsid w:val="00525ED6"/>
    <w:rsid w:val="00525EE5"/>
    <w:rsid w:val="00526234"/>
    <w:rsid w:val="00526358"/>
    <w:rsid w:val="00526AF1"/>
    <w:rsid w:val="00526B6D"/>
    <w:rsid w:val="00527432"/>
    <w:rsid w:val="005274CB"/>
    <w:rsid w:val="00527571"/>
    <w:rsid w:val="0052769B"/>
    <w:rsid w:val="005278C7"/>
    <w:rsid w:val="00527C0F"/>
    <w:rsid w:val="00527F92"/>
    <w:rsid w:val="00530940"/>
    <w:rsid w:val="00530F8E"/>
    <w:rsid w:val="005311B9"/>
    <w:rsid w:val="00531349"/>
    <w:rsid w:val="0053154A"/>
    <w:rsid w:val="00531692"/>
    <w:rsid w:val="0053181E"/>
    <w:rsid w:val="00531A90"/>
    <w:rsid w:val="00531B40"/>
    <w:rsid w:val="00531B9A"/>
    <w:rsid w:val="00531D15"/>
    <w:rsid w:val="00531FFB"/>
    <w:rsid w:val="00532120"/>
    <w:rsid w:val="005327A4"/>
    <w:rsid w:val="00532BEF"/>
    <w:rsid w:val="005330F4"/>
    <w:rsid w:val="0053310D"/>
    <w:rsid w:val="005332E4"/>
    <w:rsid w:val="00533B31"/>
    <w:rsid w:val="00533F47"/>
    <w:rsid w:val="00534301"/>
    <w:rsid w:val="00534716"/>
    <w:rsid w:val="00534969"/>
    <w:rsid w:val="00534B6A"/>
    <w:rsid w:val="00534E04"/>
    <w:rsid w:val="0053507A"/>
    <w:rsid w:val="005350F2"/>
    <w:rsid w:val="0053552F"/>
    <w:rsid w:val="005356C3"/>
    <w:rsid w:val="00535D42"/>
    <w:rsid w:val="00535D9E"/>
    <w:rsid w:val="00535F9A"/>
    <w:rsid w:val="00535FEA"/>
    <w:rsid w:val="00536065"/>
    <w:rsid w:val="00536394"/>
    <w:rsid w:val="005369D9"/>
    <w:rsid w:val="00536B5B"/>
    <w:rsid w:val="00537604"/>
    <w:rsid w:val="00537791"/>
    <w:rsid w:val="00537947"/>
    <w:rsid w:val="00537DF1"/>
    <w:rsid w:val="00540590"/>
    <w:rsid w:val="00540CEE"/>
    <w:rsid w:val="00540D1A"/>
    <w:rsid w:val="00540D3F"/>
    <w:rsid w:val="00541050"/>
    <w:rsid w:val="00541179"/>
    <w:rsid w:val="00541193"/>
    <w:rsid w:val="005411CA"/>
    <w:rsid w:val="00541299"/>
    <w:rsid w:val="005412DE"/>
    <w:rsid w:val="0054145C"/>
    <w:rsid w:val="00541B61"/>
    <w:rsid w:val="00541BC7"/>
    <w:rsid w:val="0054219E"/>
    <w:rsid w:val="00542377"/>
    <w:rsid w:val="00542BB2"/>
    <w:rsid w:val="00542ED1"/>
    <w:rsid w:val="00543296"/>
    <w:rsid w:val="00543389"/>
    <w:rsid w:val="005433D9"/>
    <w:rsid w:val="00543843"/>
    <w:rsid w:val="005439A8"/>
    <w:rsid w:val="00543AD6"/>
    <w:rsid w:val="00543CCA"/>
    <w:rsid w:val="00543F98"/>
    <w:rsid w:val="00544030"/>
    <w:rsid w:val="00544474"/>
    <w:rsid w:val="005445BC"/>
    <w:rsid w:val="00544683"/>
    <w:rsid w:val="00544854"/>
    <w:rsid w:val="005448F4"/>
    <w:rsid w:val="00544A60"/>
    <w:rsid w:val="00544A6F"/>
    <w:rsid w:val="00545096"/>
    <w:rsid w:val="005451F7"/>
    <w:rsid w:val="00545512"/>
    <w:rsid w:val="00545EA3"/>
    <w:rsid w:val="0054600F"/>
    <w:rsid w:val="00546035"/>
    <w:rsid w:val="00546A6D"/>
    <w:rsid w:val="00547630"/>
    <w:rsid w:val="005476EB"/>
    <w:rsid w:val="0054774B"/>
    <w:rsid w:val="0054796E"/>
    <w:rsid w:val="00547AEA"/>
    <w:rsid w:val="00547E04"/>
    <w:rsid w:val="00547EFD"/>
    <w:rsid w:val="0055076B"/>
    <w:rsid w:val="00550BF0"/>
    <w:rsid w:val="00550BFC"/>
    <w:rsid w:val="00550D3A"/>
    <w:rsid w:val="00551099"/>
    <w:rsid w:val="0055126D"/>
    <w:rsid w:val="0055158A"/>
    <w:rsid w:val="005515F1"/>
    <w:rsid w:val="0055164E"/>
    <w:rsid w:val="00551782"/>
    <w:rsid w:val="00551806"/>
    <w:rsid w:val="005522AE"/>
    <w:rsid w:val="00552777"/>
    <w:rsid w:val="005528D6"/>
    <w:rsid w:val="005529B4"/>
    <w:rsid w:val="00552F62"/>
    <w:rsid w:val="00553169"/>
    <w:rsid w:val="0055330D"/>
    <w:rsid w:val="005535D6"/>
    <w:rsid w:val="0055399E"/>
    <w:rsid w:val="00553C56"/>
    <w:rsid w:val="00553E0F"/>
    <w:rsid w:val="00554007"/>
    <w:rsid w:val="00554146"/>
    <w:rsid w:val="005545BC"/>
    <w:rsid w:val="00554880"/>
    <w:rsid w:val="00554988"/>
    <w:rsid w:val="00555108"/>
    <w:rsid w:val="005552E7"/>
    <w:rsid w:val="00555427"/>
    <w:rsid w:val="005559DE"/>
    <w:rsid w:val="00555B7E"/>
    <w:rsid w:val="00555F45"/>
    <w:rsid w:val="005560A9"/>
    <w:rsid w:val="005561EC"/>
    <w:rsid w:val="005562D8"/>
    <w:rsid w:val="00556647"/>
    <w:rsid w:val="00556DA1"/>
    <w:rsid w:val="00556DA8"/>
    <w:rsid w:val="00557552"/>
    <w:rsid w:val="00557754"/>
    <w:rsid w:val="00557853"/>
    <w:rsid w:val="00557B09"/>
    <w:rsid w:val="00557BF2"/>
    <w:rsid w:val="005601CB"/>
    <w:rsid w:val="00560256"/>
    <w:rsid w:val="00560449"/>
    <w:rsid w:val="005604F2"/>
    <w:rsid w:val="00560598"/>
    <w:rsid w:val="0056076E"/>
    <w:rsid w:val="0056089D"/>
    <w:rsid w:val="005608C0"/>
    <w:rsid w:val="00560977"/>
    <w:rsid w:val="00560989"/>
    <w:rsid w:val="0056162E"/>
    <w:rsid w:val="005616E7"/>
    <w:rsid w:val="00561C3C"/>
    <w:rsid w:val="00562008"/>
    <w:rsid w:val="00562321"/>
    <w:rsid w:val="00562491"/>
    <w:rsid w:val="00562766"/>
    <w:rsid w:val="00562E58"/>
    <w:rsid w:val="00562F94"/>
    <w:rsid w:val="005630EB"/>
    <w:rsid w:val="00563179"/>
    <w:rsid w:val="0056349E"/>
    <w:rsid w:val="00563806"/>
    <w:rsid w:val="00563EF1"/>
    <w:rsid w:val="00564096"/>
    <w:rsid w:val="00564560"/>
    <w:rsid w:val="0056484C"/>
    <w:rsid w:val="005650DA"/>
    <w:rsid w:val="0056531E"/>
    <w:rsid w:val="005655EB"/>
    <w:rsid w:val="0056586E"/>
    <w:rsid w:val="00565A3C"/>
    <w:rsid w:val="00565C8E"/>
    <w:rsid w:val="00566AB4"/>
    <w:rsid w:val="00566D71"/>
    <w:rsid w:val="00566E6E"/>
    <w:rsid w:val="00567018"/>
    <w:rsid w:val="005673E6"/>
    <w:rsid w:val="0056744A"/>
    <w:rsid w:val="00567543"/>
    <w:rsid w:val="005675BF"/>
    <w:rsid w:val="00567B6C"/>
    <w:rsid w:val="00567BA5"/>
    <w:rsid w:val="00570571"/>
    <w:rsid w:val="005705B0"/>
    <w:rsid w:val="00570EC3"/>
    <w:rsid w:val="00570F21"/>
    <w:rsid w:val="00570F37"/>
    <w:rsid w:val="00571173"/>
    <w:rsid w:val="005713BC"/>
    <w:rsid w:val="005714DF"/>
    <w:rsid w:val="005715BA"/>
    <w:rsid w:val="00571B7E"/>
    <w:rsid w:val="005723ED"/>
    <w:rsid w:val="00572591"/>
    <w:rsid w:val="00572F9E"/>
    <w:rsid w:val="00572FE9"/>
    <w:rsid w:val="0057315B"/>
    <w:rsid w:val="005733BE"/>
    <w:rsid w:val="00573609"/>
    <w:rsid w:val="00573672"/>
    <w:rsid w:val="005737B8"/>
    <w:rsid w:val="00573824"/>
    <w:rsid w:val="00573BC5"/>
    <w:rsid w:val="005742AA"/>
    <w:rsid w:val="00574666"/>
    <w:rsid w:val="005747A3"/>
    <w:rsid w:val="00574CA9"/>
    <w:rsid w:val="00575354"/>
    <w:rsid w:val="00575AC5"/>
    <w:rsid w:val="00575B1A"/>
    <w:rsid w:val="00575B4F"/>
    <w:rsid w:val="00575F90"/>
    <w:rsid w:val="0057605D"/>
    <w:rsid w:val="00576725"/>
    <w:rsid w:val="00576871"/>
    <w:rsid w:val="00576AB7"/>
    <w:rsid w:val="00576BEA"/>
    <w:rsid w:val="005772CA"/>
    <w:rsid w:val="005773C0"/>
    <w:rsid w:val="0057751A"/>
    <w:rsid w:val="005775CF"/>
    <w:rsid w:val="00577A16"/>
    <w:rsid w:val="00577B21"/>
    <w:rsid w:val="00577B9E"/>
    <w:rsid w:val="00577E77"/>
    <w:rsid w:val="00577F67"/>
    <w:rsid w:val="00577F78"/>
    <w:rsid w:val="0058002E"/>
    <w:rsid w:val="005801BE"/>
    <w:rsid w:val="0058048B"/>
    <w:rsid w:val="00580CCE"/>
    <w:rsid w:val="00580D72"/>
    <w:rsid w:val="00580E04"/>
    <w:rsid w:val="00581347"/>
    <w:rsid w:val="005814F6"/>
    <w:rsid w:val="005815B8"/>
    <w:rsid w:val="0058179A"/>
    <w:rsid w:val="00581AC9"/>
    <w:rsid w:val="00581D5A"/>
    <w:rsid w:val="00581E27"/>
    <w:rsid w:val="00581F04"/>
    <w:rsid w:val="005822BC"/>
    <w:rsid w:val="0058242D"/>
    <w:rsid w:val="005827B9"/>
    <w:rsid w:val="005827CE"/>
    <w:rsid w:val="00582974"/>
    <w:rsid w:val="00582CB7"/>
    <w:rsid w:val="00582CD1"/>
    <w:rsid w:val="005830F8"/>
    <w:rsid w:val="005832DE"/>
    <w:rsid w:val="005833E9"/>
    <w:rsid w:val="00583550"/>
    <w:rsid w:val="0058373E"/>
    <w:rsid w:val="00583892"/>
    <w:rsid w:val="00583B5C"/>
    <w:rsid w:val="00583E37"/>
    <w:rsid w:val="005841DC"/>
    <w:rsid w:val="005843EF"/>
    <w:rsid w:val="00584780"/>
    <w:rsid w:val="00584850"/>
    <w:rsid w:val="005849F8"/>
    <w:rsid w:val="00584C05"/>
    <w:rsid w:val="00584C7D"/>
    <w:rsid w:val="00584D69"/>
    <w:rsid w:val="0058500E"/>
    <w:rsid w:val="00585878"/>
    <w:rsid w:val="00585AED"/>
    <w:rsid w:val="00585F9F"/>
    <w:rsid w:val="00585FC5"/>
    <w:rsid w:val="0058619D"/>
    <w:rsid w:val="00586544"/>
    <w:rsid w:val="005873FB"/>
    <w:rsid w:val="005878A4"/>
    <w:rsid w:val="00587917"/>
    <w:rsid w:val="00587E28"/>
    <w:rsid w:val="00587E2D"/>
    <w:rsid w:val="005900C2"/>
    <w:rsid w:val="005900E6"/>
    <w:rsid w:val="0059030B"/>
    <w:rsid w:val="00590C62"/>
    <w:rsid w:val="00591369"/>
    <w:rsid w:val="00591A03"/>
    <w:rsid w:val="00591A41"/>
    <w:rsid w:val="00591B23"/>
    <w:rsid w:val="00591C2E"/>
    <w:rsid w:val="00591D67"/>
    <w:rsid w:val="00592166"/>
    <w:rsid w:val="005924DB"/>
    <w:rsid w:val="00592757"/>
    <w:rsid w:val="00592A99"/>
    <w:rsid w:val="005930EA"/>
    <w:rsid w:val="00593154"/>
    <w:rsid w:val="00593424"/>
    <w:rsid w:val="005937C0"/>
    <w:rsid w:val="005938DF"/>
    <w:rsid w:val="00594184"/>
    <w:rsid w:val="005942FA"/>
    <w:rsid w:val="00594468"/>
    <w:rsid w:val="00594589"/>
    <w:rsid w:val="005945F9"/>
    <w:rsid w:val="005946ED"/>
    <w:rsid w:val="005949EB"/>
    <w:rsid w:val="00594BE3"/>
    <w:rsid w:val="00594C4C"/>
    <w:rsid w:val="00594DC1"/>
    <w:rsid w:val="00594E9C"/>
    <w:rsid w:val="00595B2C"/>
    <w:rsid w:val="00595BC1"/>
    <w:rsid w:val="00595D6C"/>
    <w:rsid w:val="00595ED6"/>
    <w:rsid w:val="00595F65"/>
    <w:rsid w:val="00596099"/>
    <w:rsid w:val="005962F1"/>
    <w:rsid w:val="005963B5"/>
    <w:rsid w:val="00596457"/>
    <w:rsid w:val="005965B5"/>
    <w:rsid w:val="005966A4"/>
    <w:rsid w:val="00596F83"/>
    <w:rsid w:val="00597060"/>
    <w:rsid w:val="005970F9"/>
    <w:rsid w:val="005971FC"/>
    <w:rsid w:val="00597286"/>
    <w:rsid w:val="00597350"/>
    <w:rsid w:val="005973FD"/>
    <w:rsid w:val="00597636"/>
    <w:rsid w:val="00597661"/>
    <w:rsid w:val="005976CF"/>
    <w:rsid w:val="00597727"/>
    <w:rsid w:val="0059782F"/>
    <w:rsid w:val="00597C93"/>
    <w:rsid w:val="005A03FB"/>
    <w:rsid w:val="005A06EC"/>
    <w:rsid w:val="005A099B"/>
    <w:rsid w:val="005A1022"/>
    <w:rsid w:val="005A150A"/>
    <w:rsid w:val="005A18F3"/>
    <w:rsid w:val="005A1927"/>
    <w:rsid w:val="005A1B48"/>
    <w:rsid w:val="005A1CE4"/>
    <w:rsid w:val="005A1D01"/>
    <w:rsid w:val="005A26A7"/>
    <w:rsid w:val="005A2D9C"/>
    <w:rsid w:val="005A3134"/>
    <w:rsid w:val="005A323F"/>
    <w:rsid w:val="005A359C"/>
    <w:rsid w:val="005A37D0"/>
    <w:rsid w:val="005A3B5B"/>
    <w:rsid w:val="005A3CBE"/>
    <w:rsid w:val="005A3E1B"/>
    <w:rsid w:val="005A3E2C"/>
    <w:rsid w:val="005A3FFB"/>
    <w:rsid w:val="005A40BB"/>
    <w:rsid w:val="005A4119"/>
    <w:rsid w:val="005A4AC2"/>
    <w:rsid w:val="005A4E10"/>
    <w:rsid w:val="005A528B"/>
    <w:rsid w:val="005A54EA"/>
    <w:rsid w:val="005A55FE"/>
    <w:rsid w:val="005A561D"/>
    <w:rsid w:val="005A5653"/>
    <w:rsid w:val="005A5747"/>
    <w:rsid w:val="005A5CC9"/>
    <w:rsid w:val="005A5D6C"/>
    <w:rsid w:val="005A5F50"/>
    <w:rsid w:val="005A62E5"/>
    <w:rsid w:val="005A6341"/>
    <w:rsid w:val="005A66FF"/>
    <w:rsid w:val="005A6A11"/>
    <w:rsid w:val="005A6CAC"/>
    <w:rsid w:val="005A787F"/>
    <w:rsid w:val="005A793F"/>
    <w:rsid w:val="005A7C08"/>
    <w:rsid w:val="005B0529"/>
    <w:rsid w:val="005B071C"/>
    <w:rsid w:val="005B0B00"/>
    <w:rsid w:val="005B0BF8"/>
    <w:rsid w:val="005B0D09"/>
    <w:rsid w:val="005B1034"/>
    <w:rsid w:val="005B15EA"/>
    <w:rsid w:val="005B1C32"/>
    <w:rsid w:val="005B26E9"/>
    <w:rsid w:val="005B27FB"/>
    <w:rsid w:val="005B3C3A"/>
    <w:rsid w:val="005B3C4C"/>
    <w:rsid w:val="005B4235"/>
    <w:rsid w:val="005B4266"/>
    <w:rsid w:val="005B458B"/>
    <w:rsid w:val="005B5071"/>
    <w:rsid w:val="005B50D1"/>
    <w:rsid w:val="005B5131"/>
    <w:rsid w:val="005B52DE"/>
    <w:rsid w:val="005B532D"/>
    <w:rsid w:val="005B535B"/>
    <w:rsid w:val="005B6068"/>
    <w:rsid w:val="005B6374"/>
    <w:rsid w:val="005B6408"/>
    <w:rsid w:val="005B65E4"/>
    <w:rsid w:val="005B6A17"/>
    <w:rsid w:val="005B6FFB"/>
    <w:rsid w:val="005B782A"/>
    <w:rsid w:val="005B7A12"/>
    <w:rsid w:val="005B7B22"/>
    <w:rsid w:val="005B7F2A"/>
    <w:rsid w:val="005C042C"/>
    <w:rsid w:val="005C06E9"/>
    <w:rsid w:val="005C0B16"/>
    <w:rsid w:val="005C0E10"/>
    <w:rsid w:val="005C11B5"/>
    <w:rsid w:val="005C169C"/>
    <w:rsid w:val="005C18BE"/>
    <w:rsid w:val="005C2F49"/>
    <w:rsid w:val="005C30C6"/>
    <w:rsid w:val="005C3158"/>
    <w:rsid w:val="005C3256"/>
    <w:rsid w:val="005C366A"/>
    <w:rsid w:val="005C36AC"/>
    <w:rsid w:val="005C36C9"/>
    <w:rsid w:val="005C3B05"/>
    <w:rsid w:val="005C3DF8"/>
    <w:rsid w:val="005C3E59"/>
    <w:rsid w:val="005C3F9E"/>
    <w:rsid w:val="005C401C"/>
    <w:rsid w:val="005C41A4"/>
    <w:rsid w:val="005C44A5"/>
    <w:rsid w:val="005C453C"/>
    <w:rsid w:val="005C4968"/>
    <w:rsid w:val="005C4BD0"/>
    <w:rsid w:val="005C4BF0"/>
    <w:rsid w:val="005C4D39"/>
    <w:rsid w:val="005C5071"/>
    <w:rsid w:val="005C50F3"/>
    <w:rsid w:val="005C53AC"/>
    <w:rsid w:val="005C53B6"/>
    <w:rsid w:val="005C550D"/>
    <w:rsid w:val="005C56E8"/>
    <w:rsid w:val="005C5B93"/>
    <w:rsid w:val="005C5EE3"/>
    <w:rsid w:val="005C640C"/>
    <w:rsid w:val="005C678D"/>
    <w:rsid w:val="005C6C94"/>
    <w:rsid w:val="005C6CBB"/>
    <w:rsid w:val="005C6F9B"/>
    <w:rsid w:val="005C72A2"/>
    <w:rsid w:val="005C7467"/>
    <w:rsid w:val="005C78AD"/>
    <w:rsid w:val="005C790D"/>
    <w:rsid w:val="005C798E"/>
    <w:rsid w:val="005C7F29"/>
    <w:rsid w:val="005D031C"/>
    <w:rsid w:val="005D03A8"/>
    <w:rsid w:val="005D054A"/>
    <w:rsid w:val="005D074D"/>
    <w:rsid w:val="005D0C97"/>
    <w:rsid w:val="005D0FB3"/>
    <w:rsid w:val="005D1366"/>
    <w:rsid w:val="005D193B"/>
    <w:rsid w:val="005D1949"/>
    <w:rsid w:val="005D1E26"/>
    <w:rsid w:val="005D1EBD"/>
    <w:rsid w:val="005D203E"/>
    <w:rsid w:val="005D2098"/>
    <w:rsid w:val="005D2497"/>
    <w:rsid w:val="005D2502"/>
    <w:rsid w:val="005D255A"/>
    <w:rsid w:val="005D2A32"/>
    <w:rsid w:val="005D2B4F"/>
    <w:rsid w:val="005D2E3A"/>
    <w:rsid w:val="005D32A1"/>
    <w:rsid w:val="005D34B6"/>
    <w:rsid w:val="005D368E"/>
    <w:rsid w:val="005D36C9"/>
    <w:rsid w:val="005D3A78"/>
    <w:rsid w:val="005D3D03"/>
    <w:rsid w:val="005D40BB"/>
    <w:rsid w:val="005D460B"/>
    <w:rsid w:val="005D47F3"/>
    <w:rsid w:val="005D49BF"/>
    <w:rsid w:val="005D4AA5"/>
    <w:rsid w:val="005D4BB4"/>
    <w:rsid w:val="005D4CAF"/>
    <w:rsid w:val="005D5136"/>
    <w:rsid w:val="005D540D"/>
    <w:rsid w:val="005D546F"/>
    <w:rsid w:val="005D57C8"/>
    <w:rsid w:val="005D5834"/>
    <w:rsid w:val="005D5961"/>
    <w:rsid w:val="005D596A"/>
    <w:rsid w:val="005D5AAC"/>
    <w:rsid w:val="005D5AFF"/>
    <w:rsid w:val="005D5C1F"/>
    <w:rsid w:val="005D6162"/>
    <w:rsid w:val="005D620A"/>
    <w:rsid w:val="005D623F"/>
    <w:rsid w:val="005D6725"/>
    <w:rsid w:val="005D6DE9"/>
    <w:rsid w:val="005D6EC5"/>
    <w:rsid w:val="005D6F4E"/>
    <w:rsid w:val="005D714F"/>
    <w:rsid w:val="005D73CB"/>
    <w:rsid w:val="005D7781"/>
    <w:rsid w:val="005D7809"/>
    <w:rsid w:val="005D7B4C"/>
    <w:rsid w:val="005D7B65"/>
    <w:rsid w:val="005D7C5C"/>
    <w:rsid w:val="005D7C73"/>
    <w:rsid w:val="005D7C8D"/>
    <w:rsid w:val="005D7E79"/>
    <w:rsid w:val="005E006C"/>
    <w:rsid w:val="005E0220"/>
    <w:rsid w:val="005E0427"/>
    <w:rsid w:val="005E0653"/>
    <w:rsid w:val="005E07A9"/>
    <w:rsid w:val="005E10C6"/>
    <w:rsid w:val="005E1866"/>
    <w:rsid w:val="005E1AD9"/>
    <w:rsid w:val="005E1AF5"/>
    <w:rsid w:val="005E1C30"/>
    <w:rsid w:val="005E1DEB"/>
    <w:rsid w:val="005E250B"/>
    <w:rsid w:val="005E28EB"/>
    <w:rsid w:val="005E29AB"/>
    <w:rsid w:val="005E2A08"/>
    <w:rsid w:val="005E2BAB"/>
    <w:rsid w:val="005E2D36"/>
    <w:rsid w:val="005E2E16"/>
    <w:rsid w:val="005E2E68"/>
    <w:rsid w:val="005E3262"/>
    <w:rsid w:val="005E3457"/>
    <w:rsid w:val="005E3564"/>
    <w:rsid w:val="005E36AC"/>
    <w:rsid w:val="005E3981"/>
    <w:rsid w:val="005E3A80"/>
    <w:rsid w:val="005E3ACD"/>
    <w:rsid w:val="005E3C77"/>
    <w:rsid w:val="005E3E68"/>
    <w:rsid w:val="005E4216"/>
    <w:rsid w:val="005E4344"/>
    <w:rsid w:val="005E468E"/>
    <w:rsid w:val="005E49C2"/>
    <w:rsid w:val="005E55D4"/>
    <w:rsid w:val="005E5C9E"/>
    <w:rsid w:val="005E5F8C"/>
    <w:rsid w:val="005E6078"/>
    <w:rsid w:val="005E62DA"/>
    <w:rsid w:val="005E6431"/>
    <w:rsid w:val="005E69FF"/>
    <w:rsid w:val="005E6B2C"/>
    <w:rsid w:val="005E7226"/>
    <w:rsid w:val="005E754D"/>
    <w:rsid w:val="005E78E9"/>
    <w:rsid w:val="005E7A57"/>
    <w:rsid w:val="005E7A7D"/>
    <w:rsid w:val="005F0515"/>
    <w:rsid w:val="005F08EE"/>
    <w:rsid w:val="005F0E7C"/>
    <w:rsid w:val="005F134E"/>
    <w:rsid w:val="005F1890"/>
    <w:rsid w:val="005F1D80"/>
    <w:rsid w:val="005F24B0"/>
    <w:rsid w:val="005F2638"/>
    <w:rsid w:val="005F268F"/>
    <w:rsid w:val="005F2C02"/>
    <w:rsid w:val="005F2FCC"/>
    <w:rsid w:val="005F361B"/>
    <w:rsid w:val="005F3BC8"/>
    <w:rsid w:val="005F3F54"/>
    <w:rsid w:val="005F4066"/>
    <w:rsid w:val="005F41F6"/>
    <w:rsid w:val="005F4EC7"/>
    <w:rsid w:val="005F5EC5"/>
    <w:rsid w:val="005F6169"/>
    <w:rsid w:val="005F643A"/>
    <w:rsid w:val="005F6EE9"/>
    <w:rsid w:val="005F708A"/>
    <w:rsid w:val="005F7357"/>
    <w:rsid w:val="005F7570"/>
    <w:rsid w:val="005F7B57"/>
    <w:rsid w:val="005F7EE1"/>
    <w:rsid w:val="005F7F18"/>
    <w:rsid w:val="00600234"/>
    <w:rsid w:val="00600C35"/>
    <w:rsid w:val="00601081"/>
    <w:rsid w:val="006010FB"/>
    <w:rsid w:val="006011D6"/>
    <w:rsid w:val="00601487"/>
    <w:rsid w:val="006014F1"/>
    <w:rsid w:val="00601B57"/>
    <w:rsid w:val="00601D0E"/>
    <w:rsid w:val="00602256"/>
    <w:rsid w:val="00602273"/>
    <w:rsid w:val="0060243E"/>
    <w:rsid w:val="0060286E"/>
    <w:rsid w:val="00602A33"/>
    <w:rsid w:val="00602A8A"/>
    <w:rsid w:val="00602ADD"/>
    <w:rsid w:val="00602AEB"/>
    <w:rsid w:val="00602E4F"/>
    <w:rsid w:val="00602F9F"/>
    <w:rsid w:val="0060312B"/>
    <w:rsid w:val="006031B1"/>
    <w:rsid w:val="006034CA"/>
    <w:rsid w:val="006037B0"/>
    <w:rsid w:val="00604315"/>
    <w:rsid w:val="006048AA"/>
    <w:rsid w:val="00604C12"/>
    <w:rsid w:val="00604C3C"/>
    <w:rsid w:val="00604E26"/>
    <w:rsid w:val="00604ECE"/>
    <w:rsid w:val="00604EF1"/>
    <w:rsid w:val="0060523F"/>
    <w:rsid w:val="006052CF"/>
    <w:rsid w:val="006053AE"/>
    <w:rsid w:val="00605575"/>
    <w:rsid w:val="00605596"/>
    <w:rsid w:val="0060576A"/>
    <w:rsid w:val="00605871"/>
    <w:rsid w:val="00605B8D"/>
    <w:rsid w:val="00605EC9"/>
    <w:rsid w:val="006065EF"/>
    <w:rsid w:val="0060676E"/>
    <w:rsid w:val="0060689D"/>
    <w:rsid w:val="00606B8E"/>
    <w:rsid w:val="00606D4F"/>
    <w:rsid w:val="0060717F"/>
    <w:rsid w:val="0060729E"/>
    <w:rsid w:val="00607475"/>
    <w:rsid w:val="00607B8D"/>
    <w:rsid w:val="00607BC0"/>
    <w:rsid w:val="006106A0"/>
    <w:rsid w:val="006109F2"/>
    <w:rsid w:val="00610A5B"/>
    <w:rsid w:val="00610C1E"/>
    <w:rsid w:val="00610FCD"/>
    <w:rsid w:val="00611DE0"/>
    <w:rsid w:val="00611F5C"/>
    <w:rsid w:val="00611FB2"/>
    <w:rsid w:val="00612487"/>
    <w:rsid w:val="00612651"/>
    <w:rsid w:val="00612730"/>
    <w:rsid w:val="006137E8"/>
    <w:rsid w:val="0061383B"/>
    <w:rsid w:val="00613B78"/>
    <w:rsid w:val="00613CF8"/>
    <w:rsid w:val="00613E97"/>
    <w:rsid w:val="00613F0D"/>
    <w:rsid w:val="00614AFC"/>
    <w:rsid w:val="00614B72"/>
    <w:rsid w:val="00614C68"/>
    <w:rsid w:val="00615223"/>
    <w:rsid w:val="006155F2"/>
    <w:rsid w:val="00615797"/>
    <w:rsid w:val="006159DC"/>
    <w:rsid w:val="00615AD7"/>
    <w:rsid w:val="00616009"/>
    <w:rsid w:val="00616213"/>
    <w:rsid w:val="00616818"/>
    <w:rsid w:val="00616B97"/>
    <w:rsid w:val="00616C26"/>
    <w:rsid w:val="00616E09"/>
    <w:rsid w:val="0061733C"/>
    <w:rsid w:val="00617341"/>
    <w:rsid w:val="00617403"/>
    <w:rsid w:val="006178EE"/>
    <w:rsid w:val="0061790A"/>
    <w:rsid w:val="006179F3"/>
    <w:rsid w:val="00617E47"/>
    <w:rsid w:val="00620254"/>
    <w:rsid w:val="0062064C"/>
    <w:rsid w:val="00620CF0"/>
    <w:rsid w:val="00621407"/>
    <w:rsid w:val="006214FB"/>
    <w:rsid w:val="00621948"/>
    <w:rsid w:val="00621BCA"/>
    <w:rsid w:val="00622015"/>
    <w:rsid w:val="006221DD"/>
    <w:rsid w:val="00622616"/>
    <w:rsid w:val="006226D0"/>
    <w:rsid w:val="0062276C"/>
    <w:rsid w:val="00622876"/>
    <w:rsid w:val="00622A3B"/>
    <w:rsid w:val="00622AD8"/>
    <w:rsid w:val="00622B95"/>
    <w:rsid w:val="00622BEC"/>
    <w:rsid w:val="00622EEA"/>
    <w:rsid w:val="006232C7"/>
    <w:rsid w:val="006235B0"/>
    <w:rsid w:val="006235E4"/>
    <w:rsid w:val="006236E1"/>
    <w:rsid w:val="006237D7"/>
    <w:rsid w:val="0062396C"/>
    <w:rsid w:val="00623F7D"/>
    <w:rsid w:val="00623FF9"/>
    <w:rsid w:val="00624170"/>
    <w:rsid w:val="0062421E"/>
    <w:rsid w:val="00624349"/>
    <w:rsid w:val="0062465F"/>
    <w:rsid w:val="00624712"/>
    <w:rsid w:val="0062489D"/>
    <w:rsid w:val="00624977"/>
    <w:rsid w:val="00624D7E"/>
    <w:rsid w:val="00624FDC"/>
    <w:rsid w:val="0062504F"/>
    <w:rsid w:val="0062566E"/>
    <w:rsid w:val="006259B2"/>
    <w:rsid w:val="00625B4F"/>
    <w:rsid w:val="0062626F"/>
    <w:rsid w:val="006264F9"/>
    <w:rsid w:val="0062668C"/>
    <w:rsid w:val="00626831"/>
    <w:rsid w:val="006268BF"/>
    <w:rsid w:val="00627187"/>
    <w:rsid w:val="006271B5"/>
    <w:rsid w:val="00627AB7"/>
    <w:rsid w:val="00627C8C"/>
    <w:rsid w:val="00627D4E"/>
    <w:rsid w:val="006300BF"/>
    <w:rsid w:val="00630B54"/>
    <w:rsid w:val="00630EAD"/>
    <w:rsid w:val="006313A8"/>
    <w:rsid w:val="00631461"/>
    <w:rsid w:val="00631488"/>
    <w:rsid w:val="00631506"/>
    <w:rsid w:val="00631B2E"/>
    <w:rsid w:val="00631F9C"/>
    <w:rsid w:val="00631FC1"/>
    <w:rsid w:val="0063220B"/>
    <w:rsid w:val="006325A8"/>
    <w:rsid w:val="00632625"/>
    <w:rsid w:val="006327F2"/>
    <w:rsid w:val="00632B89"/>
    <w:rsid w:val="00632CC7"/>
    <w:rsid w:val="00632E71"/>
    <w:rsid w:val="0063316A"/>
    <w:rsid w:val="006331C7"/>
    <w:rsid w:val="0063346D"/>
    <w:rsid w:val="00633931"/>
    <w:rsid w:val="00633CAA"/>
    <w:rsid w:val="00633E1D"/>
    <w:rsid w:val="00634478"/>
    <w:rsid w:val="006345A7"/>
    <w:rsid w:val="00634964"/>
    <w:rsid w:val="00634B97"/>
    <w:rsid w:val="0063542E"/>
    <w:rsid w:val="006358A3"/>
    <w:rsid w:val="00635ECE"/>
    <w:rsid w:val="006364B2"/>
    <w:rsid w:val="0063654B"/>
    <w:rsid w:val="006366AF"/>
    <w:rsid w:val="00636864"/>
    <w:rsid w:val="00636949"/>
    <w:rsid w:val="006370E5"/>
    <w:rsid w:val="00637526"/>
    <w:rsid w:val="0063765E"/>
    <w:rsid w:val="00637919"/>
    <w:rsid w:val="00637D9D"/>
    <w:rsid w:val="00640030"/>
    <w:rsid w:val="006403A6"/>
    <w:rsid w:val="00640430"/>
    <w:rsid w:val="0064065C"/>
    <w:rsid w:val="00640730"/>
    <w:rsid w:val="00640873"/>
    <w:rsid w:val="00640D62"/>
    <w:rsid w:val="0064173A"/>
    <w:rsid w:val="00641887"/>
    <w:rsid w:val="00641E47"/>
    <w:rsid w:val="00641E7B"/>
    <w:rsid w:val="006424D5"/>
    <w:rsid w:val="00642731"/>
    <w:rsid w:val="006430A6"/>
    <w:rsid w:val="0064318D"/>
    <w:rsid w:val="006433FC"/>
    <w:rsid w:val="0064356E"/>
    <w:rsid w:val="00643FEC"/>
    <w:rsid w:val="00644076"/>
    <w:rsid w:val="00644373"/>
    <w:rsid w:val="006446A3"/>
    <w:rsid w:val="00644782"/>
    <w:rsid w:val="006448D4"/>
    <w:rsid w:val="00644973"/>
    <w:rsid w:val="00644B80"/>
    <w:rsid w:val="00644EEE"/>
    <w:rsid w:val="00644FA4"/>
    <w:rsid w:val="0064578B"/>
    <w:rsid w:val="0064585A"/>
    <w:rsid w:val="00645915"/>
    <w:rsid w:val="006459D8"/>
    <w:rsid w:val="00645B05"/>
    <w:rsid w:val="006465CB"/>
    <w:rsid w:val="006466A5"/>
    <w:rsid w:val="006466D7"/>
    <w:rsid w:val="00646817"/>
    <w:rsid w:val="00646AC9"/>
    <w:rsid w:val="00646AEE"/>
    <w:rsid w:val="00646AF7"/>
    <w:rsid w:val="00646D69"/>
    <w:rsid w:val="0064701C"/>
    <w:rsid w:val="00647856"/>
    <w:rsid w:val="00647E2A"/>
    <w:rsid w:val="00647FDB"/>
    <w:rsid w:val="006502F8"/>
    <w:rsid w:val="00650D7F"/>
    <w:rsid w:val="006516F2"/>
    <w:rsid w:val="00651997"/>
    <w:rsid w:val="006519C3"/>
    <w:rsid w:val="0065269B"/>
    <w:rsid w:val="00652B30"/>
    <w:rsid w:val="00652D28"/>
    <w:rsid w:val="00652FDA"/>
    <w:rsid w:val="0065310F"/>
    <w:rsid w:val="00653357"/>
    <w:rsid w:val="0065391F"/>
    <w:rsid w:val="00653959"/>
    <w:rsid w:val="00653EDC"/>
    <w:rsid w:val="006540D8"/>
    <w:rsid w:val="00654126"/>
    <w:rsid w:val="006542B8"/>
    <w:rsid w:val="00654530"/>
    <w:rsid w:val="0065479D"/>
    <w:rsid w:val="006547AE"/>
    <w:rsid w:val="006552DF"/>
    <w:rsid w:val="00655634"/>
    <w:rsid w:val="00655C64"/>
    <w:rsid w:val="00655D0B"/>
    <w:rsid w:val="00656345"/>
    <w:rsid w:val="00656DC6"/>
    <w:rsid w:val="00656FE7"/>
    <w:rsid w:val="006570D7"/>
    <w:rsid w:val="00657398"/>
    <w:rsid w:val="006577D0"/>
    <w:rsid w:val="006577FD"/>
    <w:rsid w:val="00657A36"/>
    <w:rsid w:val="00657ADC"/>
    <w:rsid w:val="00657BA8"/>
    <w:rsid w:val="00657BAB"/>
    <w:rsid w:val="00657D5A"/>
    <w:rsid w:val="00657F5D"/>
    <w:rsid w:val="00660058"/>
    <w:rsid w:val="00660114"/>
    <w:rsid w:val="0066084C"/>
    <w:rsid w:val="006608A5"/>
    <w:rsid w:val="00660941"/>
    <w:rsid w:val="00660EC6"/>
    <w:rsid w:val="006615BB"/>
    <w:rsid w:val="006615F1"/>
    <w:rsid w:val="00661EAE"/>
    <w:rsid w:val="00661F8F"/>
    <w:rsid w:val="00662002"/>
    <w:rsid w:val="006624B5"/>
    <w:rsid w:val="006625B9"/>
    <w:rsid w:val="0066279F"/>
    <w:rsid w:val="00662FDD"/>
    <w:rsid w:val="00663245"/>
    <w:rsid w:val="0066373A"/>
    <w:rsid w:val="00663DA6"/>
    <w:rsid w:val="00663F70"/>
    <w:rsid w:val="00664110"/>
    <w:rsid w:val="00664198"/>
    <w:rsid w:val="006644B0"/>
    <w:rsid w:val="00664822"/>
    <w:rsid w:val="00664D17"/>
    <w:rsid w:val="00664E4E"/>
    <w:rsid w:val="00664ED3"/>
    <w:rsid w:val="00665181"/>
    <w:rsid w:val="006656AA"/>
    <w:rsid w:val="006657C1"/>
    <w:rsid w:val="00665A8E"/>
    <w:rsid w:val="00665BCE"/>
    <w:rsid w:val="00665BFF"/>
    <w:rsid w:val="00665E17"/>
    <w:rsid w:val="00665F77"/>
    <w:rsid w:val="00666265"/>
    <w:rsid w:val="0066651D"/>
    <w:rsid w:val="00666520"/>
    <w:rsid w:val="00666B5C"/>
    <w:rsid w:val="00666E1F"/>
    <w:rsid w:val="00666E3A"/>
    <w:rsid w:val="00666EFE"/>
    <w:rsid w:val="00666F72"/>
    <w:rsid w:val="00667ADB"/>
    <w:rsid w:val="00667C5B"/>
    <w:rsid w:val="00667FD5"/>
    <w:rsid w:val="0067039D"/>
    <w:rsid w:val="006703E7"/>
    <w:rsid w:val="006704A8"/>
    <w:rsid w:val="00670818"/>
    <w:rsid w:val="0067088E"/>
    <w:rsid w:val="00672295"/>
    <w:rsid w:val="00672548"/>
    <w:rsid w:val="00672B69"/>
    <w:rsid w:val="00672CD7"/>
    <w:rsid w:val="00672DF3"/>
    <w:rsid w:val="006730DE"/>
    <w:rsid w:val="0067372E"/>
    <w:rsid w:val="0067375E"/>
    <w:rsid w:val="006739A7"/>
    <w:rsid w:val="00674292"/>
    <w:rsid w:val="00674316"/>
    <w:rsid w:val="0067478E"/>
    <w:rsid w:val="00674DAF"/>
    <w:rsid w:val="00675769"/>
    <w:rsid w:val="00675D7D"/>
    <w:rsid w:val="00675D99"/>
    <w:rsid w:val="00675E30"/>
    <w:rsid w:val="006761A9"/>
    <w:rsid w:val="0067638D"/>
    <w:rsid w:val="0067663A"/>
    <w:rsid w:val="0067665B"/>
    <w:rsid w:val="00676A18"/>
    <w:rsid w:val="00676C10"/>
    <w:rsid w:val="00676C80"/>
    <w:rsid w:val="00676CB7"/>
    <w:rsid w:val="00677244"/>
    <w:rsid w:val="006772D0"/>
    <w:rsid w:val="0067741C"/>
    <w:rsid w:val="0067751D"/>
    <w:rsid w:val="006775B1"/>
    <w:rsid w:val="006778CC"/>
    <w:rsid w:val="006779C7"/>
    <w:rsid w:val="00677C87"/>
    <w:rsid w:val="006805BF"/>
    <w:rsid w:val="00680A99"/>
    <w:rsid w:val="00680C19"/>
    <w:rsid w:val="00680F7A"/>
    <w:rsid w:val="0068118D"/>
    <w:rsid w:val="0068124C"/>
    <w:rsid w:val="00681454"/>
    <w:rsid w:val="00681C1B"/>
    <w:rsid w:val="00681D2A"/>
    <w:rsid w:val="00681FEC"/>
    <w:rsid w:val="006822A3"/>
    <w:rsid w:val="00682F1F"/>
    <w:rsid w:val="00682FF0"/>
    <w:rsid w:val="0068331C"/>
    <w:rsid w:val="00683AE4"/>
    <w:rsid w:val="00683AE9"/>
    <w:rsid w:val="00683B38"/>
    <w:rsid w:val="00684120"/>
    <w:rsid w:val="00684231"/>
    <w:rsid w:val="00684A3A"/>
    <w:rsid w:val="00684DE6"/>
    <w:rsid w:val="00684E95"/>
    <w:rsid w:val="00685144"/>
    <w:rsid w:val="0068523C"/>
    <w:rsid w:val="006852BC"/>
    <w:rsid w:val="00685653"/>
    <w:rsid w:val="00685872"/>
    <w:rsid w:val="006858C1"/>
    <w:rsid w:val="00685A85"/>
    <w:rsid w:val="00685CD5"/>
    <w:rsid w:val="00685EFE"/>
    <w:rsid w:val="00686393"/>
    <w:rsid w:val="006869EC"/>
    <w:rsid w:val="00686AD7"/>
    <w:rsid w:val="00686D23"/>
    <w:rsid w:val="00686F01"/>
    <w:rsid w:val="00687639"/>
    <w:rsid w:val="006876EC"/>
    <w:rsid w:val="00687750"/>
    <w:rsid w:val="006878E0"/>
    <w:rsid w:val="00687981"/>
    <w:rsid w:val="0069030F"/>
    <w:rsid w:val="006903D3"/>
    <w:rsid w:val="006904B1"/>
    <w:rsid w:val="006909F1"/>
    <w:rsid w:val="00690AC5"/>
    <w:rsid w:val="00690B52"/>
    <w:rsid w:val="0069106B"/>
    <w:rsid w:val="006914B0"/>
    <w:rsid w:val="00691C86"/>
    <w:rsid w:val="00691E22"/>
    <w:rsid w:val="00691EB8"/>
    <w:rsid w:val="006926C8"/>
    <w:rsid w:val="00692902"/>
    <w:rsid w:val="00692CDE"/>
    <w:rsid w:val="00693004"/>
    <w:rsid w:val="00693073"/>
    <w:rsid w:val="0069319D"/>
    <w:rsid w:val="006932CA"/>
    <w:rsid w:val="006935AE"/>
    <w:rsid w:val="006937D7"/>
    <w:rsid w:val="006938DC"/>
    <w:rsid w:val="00693928"/>
    <w:rsid w:val="00693A27"/>
    <w:rsid w:val="00693F95"/>
    <w:rsid w:val="00694974"/>
    <w:rsid w:val="00694B35"/>
    <w:rsid w:val="00694E58"/>
    <w:rsid w:val="006950C3"/>
    <w:rsid w:val="006954C2"/>
    <w:rsid w:val="00695528"/>
    <w:rsid w:val="006957CC"/>
    <w:rsid w:val="00695A15"/>
    <w:rsid w:val="0069612E"/>
    <w:rsid w:val="006964AC"/>
    <w:rsid w:val="00696511"/>
    <w:rsid w:val="006969A5"/>
    <w:rsid w:val="00696CEB"/>
    <w:rsid w:val="006970D1"/>
    <w:rsid w:val="006973BB"/>
    <w:rsid w:val="00697697"/>
    <w:rsid w:val="0069769E"/>
    <w:rsid w:val="006977FF"/>
    <w:rsid w:val="00697A5F"/>
    <w:rsid w:val="00697A66"/>
    <w:rsid w:val="00697AEC"/>
    <w:rsid w:val="00697FC6"/>
    <w:rsid w:val="006A01FA"/>
    <w:rsid w:val="006A04AF"/>
    <w:rsid w:val="006A0745"/>
    <w:rsid w:val="006A0AA3"/>
    <w:rsid w:val="006A0B54"/>
    <w:rsid w:val="006A0D33"/>
    <w:rsid w:val="006A0E9E"/>
    <w:rsid w:val="006A0FD1"/>
    <w:rsid w:val="006A1078"/>
    <w:rsid w:val="006A123B"/>
    <w:rsid w:val="006A127E"/>
    <w:rsid w:val="006A17D3"/>
    <w:rsid w:val="006A1E21"/>
    <w:rsid w:val="006A21BF"/>
    <w:rsid w:val="006A23CF"/>
    <w:rsid w:val="006A25C7"/>
    <w:rsid w:val="006A2688"/>
    <w:rsid w:val="006A2869"/>
    <w:rsid w:val="006A2ED6"/>
    <w:rsid w:val="006A3064"/>
    <w:rsid w:val="006A4069"/>
    <w:rsid w:val="006A4AAD"/>
    <w:rsid w:val="006A4C9E"/>
    <w:rsid w:val="006A50CB"/>
    <w:rsid w:val="006A518C"/>
    <w:rsid w:val="006A520F"/>
    <w:rsid w:val="006A540D"/>
    <w:rsid w:val="006A5F7F"/>
    <w:rsid w:val="006A5F87"/>
    <w:rsid w:val="006A6064"/>
    <w:rsid w:val="006A637B"/>
    <w:rsid w:val="006A6917"/>
    <w:rsid w:val="006A6ACD"/>
    <w:rsid w:val="006A6D0C"/>
    <w:rsid w:val="006A6DA2"/>
    <w:rsid w:val="006A731A"/>
    <w:rsid w:val="006A7AB2"/>
    <w:rsid w:val="006A7BD3"/>
    <w:rsid w:val="006A7BFC"/>
    <w:rsid w:val="006A7F72"/>
    <w:rsid w:val="006B0678"/>
    <w:rsid w:val="006B0C88"/>
    <w:rsid w:val="006B0E14"/>
    <w:rsid w:val="006B1507"/>
    <w:rsid w:val="006B1A84"/>
    <w:rsid w:val="006B1BC1"/>
    <w:rsid w:val="006B1FD9"/>
    <w:rsid w:val="006B221A"/>
    <w:rsid w:val="006B235D"/>
    <w:rsid w:val="006B2992"/>
    <w:rsid w:val="006B2BA9"/>
    <w:rsid w:val="006B2D01"/>
    <w:rsid w:val="006B2EBB"/>
    <w:rsid w:val="006B2F8B"/>
    <w:rsid w:val="006B31F8"/>
    <w:rsid w:val="006B35CF"/>
    <w:rsid w:val="006B4448"/>
    <w:rsid w:val="006B445D"/>
    <w:rsid w:val="006B44AF"/>
    <w:rsid w:val="006B45F1"/>
    <w:rsid w:val="006B4744"/>
    <w:rsid w:val="006B476C"/>
    <w:rsid w:val="006B48AE"/>
    <w:rsid w:val="006B4A13"/>
    <w:rsid w:val="006B4C60"/>
    <w:rsid w:val="006B4DBE"/>
    <w:rsid w:val="006B52DE"/>
    <w:rsid w:val="006B546E"/>
    <w:rsid w:val="006B5693"/>
    <w:rsid w:val="006B5717"/>
    <w:rsid w:val="006B573D"/>
    <w:rsid w:val="006B5823"/>
    <w:rsid w:val="006B582F"/>
    <w:rsid w:val="006B5EB2"/>
    <w:rsid w:val="006B60E1"/>
    <w:rsid w:val="006B6B10"/>
    <w:rsid w:val="006B6DFF"/>
    <w:rsid w:val="006B7BFB"/>
    <w:rsid w:val="006B7C14"/>
    <w:rsid w:val="006B7DBA"/>
    <w:rsid w:val="006B7F0F"/>
    <w:rsid w:val="006C00B4"/>
    <w:rsid w:val="006C0708"/>
    <w:rsid w:val="006C0CEB"/>
    <w:rsid w:val="006C1153"/>
    <w:rsid w:val="006C159A"/>
    <w:rsid w:val="006C1631"/>
    <w:rsid w:val="006C1B67"/>
    <w:rsid w:val="006C1D40"/>
    <w:rsid w:val="006C1EF1"/>
    <w:rsid w:val="006C2145"/>
    <w:rsid w:val="006C27BB"/>
    <w:rsid w:val="006C2944"/>
    <w:rsid w:val="006C2AE3"/>
    <w:rsid w:val="006C3037"/>
    <w:rsid w:val="006C363D"/>
    <w:rsid w:val="006C37A4"/>
    <w:rsid w:val="006C3B1E"/>
    <w:rsid w:val="006C3C3C"/>
    <w:rsid w:val="006C3E5C"/>
    <w:rsid w:val="006C4475"/>
    <w:rsid w:val="006C47FD"/>
    <w:rsid w:val="006C4D4C"/>
    <w:rsid w:val="006C55BA"/>
    <w:rsid w:val="006C5709"/>
    <w:rsid w:val="006C5C19"/>
    <w:rsid w:val="006C60FF"/>
    <w:rsid w:val="006C68ED"/>
    <w:rsid w:val="006C6957"/>
    <w:rsid w:val="006C6BBE"/>
    <w:rsid w:val="006C6C3A"/>
    <w:rsid w:val="006C70A0"/>
    <w:rsid w:val="006C747C"/>
    <w:rsid w:val="006C7954"/>
    <w:rsid w:val="006C7B2C"/>
    <w:rsid w:val="006C7BF4"/>
    <w:rsid w:val="006C7D5B"/>
    <w:rsid w:val="006D002F"/>
    <w:rsid w:val="006D01C1"/>
    <w:rsid w:val="006D0332"/>
    <w:rsid w:val="006D0876"/>
    <w:rsid w:val="006D0D68"/>
    <w:rsid w:val="006D1030"/>
    <w:rsid w:val="006D139E"/>
    <w:rsid w:val="006D13D7"/>
    <w:rsid w:val="006D1618"/>
    <w:rsid w:val="006D18CA"/>
    <w:rsid w:val="006D1B45"/>
    <w:rsid w:val="006D1CE1"/>
    <w:rsid w:val="006D1DAF"/>
    <w:rsid w:val="006D1E94"/>
    <w:rsid w:val="006D2002"/>
    <w:rsid w:val="006D262D"/>
    <w:rsid w:val="006D2748"/>
    <w:rsid w:val="006D2793"/>
    <w:rsid w:val="006D27CB"/>
    <w:rsid w:val="006D2AFC"/>
    <w:rsid w:val="006D2D89"/>
    <w:rsid w:val="006D2D91"/>
    <w:rsid w:val="006D2F08"/>
    <w:rsid w:val="006D2F46"/>
    <w:rsid w:val="006D32D3"/>
    <w:rsid w:val="006D34AE"/>
    <w:rsid w:val="006D37EA"/>
    <w:rsid w:val="006D41EB"/>
    <w:rsid w:val="006D435E"/>
    <w:rsid w:val="006D49D8"/>
    <w:rsid w:val="006D4A55"/>
    <w:rsid w:val="006D4B59"/>
    <w:rsid w:val="006D4D33"/>
    <w:rsid w:val="006D4E9C"/>
    <w:rsid w:val="006D563B"/>
    <w:rsid w:val="006D576C"/>
    <w:rsid w:val="006D5865"/>
    <w:rsid w:val="006D6332"/>
    <w:rsid w:val="006D6683"/>
    <w:rsid w:val="006D6825"/>
    <w:rsid w:val="006D6936"/>
    <w:rsid w:val="006D78A9"/>
    <w:rsid w:val="006E00DB"/>
    <w:rsid w:val="006E081F"/>
    <w:rsid w:val="006E0903"/>
    <w:rsid w:val="006E0962"/>
    <w:rsid w:val="006E0A1E"/>
    <w:rsid w:val="006E0C37"/>
    <w:rsid w:val="006E12AB"/>
    <w:rsid w:val="006E1645"/>
    <w:rsid w:val="006E18C3"/>
    <w:rsid w:val="006E2123"/>
    <w:rsid w:val="006E2330"/>
    <w:rsid w:val="006E24FD"/>
    <w:rsid w:val="006E27CA"/>
    <w:rsid w:val="006E2C03"/>
    <w:rsid w:val="006E2F7E"/>
    <w:rsid w:val="006E38BA"/>
    <w:rsid w:val="006E397A"/>
    <w:rsid w:val="006E39A3"/>
    <w:rsid w:val="006E3DAB"/>
    <w:rsid w:val="006E3E2A"/>
    <w:rsid w:val="006E4B1B"/>
    <w:rsid w:val="006E508D"/>
    <w:rsid w:val="006E5445"/>
    <w:rsid w:val="006E56E1"/>
    <w:rsid w:val="006E590A"/>
    <w:rsid w:val="006E5A48"/>
    <w:rsid w:val="006E5AB7"/>
    <w:rsid w:val="006E5B2F"/>
    <w:rsid w:val="006E5CCF"/>
    <w:rsid w:val="006E5D88"/>
    <w:rsid w:val="006E6060"/>
    <w:rsid w:val="006E6996"/>
    <w:rsid w:val="006E6AF7"/>
    <w:rsid w:val="006E6FBE"/>
    <w:rsid w:val="006E6FE4"/>
    <w:rsid w:val="006E74AF"/>
    <w:rsid w:val="006E7744"/>
    <w:rsid w:val="006E777D"/>
    <w:rsid w:val="006E77DB"/>
    <w:rsid w:val="006E7D93"/>
    <w:rsid w:val="006F0130"/>
    <w:rsid w:val="006F0227"/>
    <w:rsid w:val="006F052C"/>
    <w:rsid w:val="006F1152"/>
    <w:rsid w:val="006F126D"/>
    <w:rsid w:val="006F1B72"/>
    <w:rsid w:val="006F1F89"/>
    <w:rsid w:val="006F20E6"/>
    <w:rsid w:val="006F2241"/>
    <w:rsid w:val="006F22EF"/>
    <w:rsid w:val="006F2640"/>
    <w:rsid w:val="006F2B0E"/>
    <w:rsid w:val="006F2E59"/>
    <w:rsid w:val="006F3043"/>
    <w:rsid w:val="006F3476"/>
    <w:rsid w:val="006F3596"/>
    <w:rsid w:val="006F3637"/>
    <w:rsid w:val="006F377F"/>
    <w:rsid w:val="006F3D93"/>
    <w:rsid w:val="006F4002"/>
    <w:rsid w:val="006F417D"/>
    <w:rsid w:val="006F42F4"/>
    <w:rsid w:val="006F430F"/>
    <w:rsid w:val="006F46BE"/>
    <w:rsid w:val="006F4879"/>
    <w:rsid w:val="006F48FA"/>
    <w:rsid w:val="006F4DAE"/>
    <w:rsid w:val="006F532C"/>
    <w:rsid w:val="006F5648"/>
    <w:rsid w:val="006F5857"/>
    <w:rsid w:val="006F5FA2"/>
    <w:rsid w:val="006F6528"/>
    <w:rsid w:val="006F659B"/>
    <w:rsid w:val="006F6688"/>
    <w:rsid w:val="006F6763"/>
    <w:rsid w:val="006F6820"/>
    <w:rsid w:val="006F6A29"/>
    <w:rsid w:val="006F6A4E"/>
    <w:rsid w:val="006F7458"/>
    <w:rsid w:val="006F7588"/>
    <w:rsid w:val="006F7D22"/>
    <w:rsid w:val="007003FB"/>
    <w:rsid w:val="007005FC"/>
    <w:rsid w:val="00700B93"/>
    <w:rsid w:val="00700D6E"/>
    <w:rsid w:val="00700E79"/>
    <w:rsid w:val="00701B03"/>
    <w:rsid w:val="00701CD2"/>
    <w:rsid w:val="00701CEA"/>
    <w:rsid w:val="00701F99"/>
    <w:rsid w:val="007022F1"/>
    <w:rsid w:val="007023AC"/>
    <w:rsid w:val="007025DB"/>
    <w:rsid w:val="007029A3"/>
    <w:rsid w:val="00702C72"/>
    <w:rsid w:val="00702E4A"/>
    <w:rsid w:val="00702EA1"/>
    <w:rsid w:val="007031DB"/>
    <w:rsid w:val="00703223"/>
    <w:rsid w:val="007032BD"/>
    <w:rsid w:val="00703565"/>
    <w:rsid w:val="00703CA0"/>
    <w:rsid w:val="00703FCD"/>
    <w:rsid w:val="00704555"/>
    <w:rsid w:val="00704565"/>
    <w:rsid w:val="00704654"/>
    <w:rsid w:val="007046D1"/>
    <w:rsid w:val="00704DEB"/>
    <w:rsid w:val="00704F4C"/>
    <w:rsid w:val="007052FD"/>
    <w:rsid w:val="00705310"/>
    <w:rsid w:val="00705698"/>
    <w:rsid w:val="00705C3D"/>
    <w:rsid w:val="00705C87"/>
    <w:rsid w:val="0070602E"/>
    <w:rsid w:val="00706B8D"/>
    <w:rsid w:val="00706E4E"/>
    <w:rsid w:val="00706FA0"/>
    <w:rsid w:val="00707053"/>
    <w:rsid w:val="007076D2"/>
    <w:rsid w:val="0070791C"/>
    <w:rsid w:val="00707C8E"/>
    <w:rsid w:val="00707D4A"/>
    <w:rsid w:val="00707EE3"/>
    <w:rsid w:val="00707F06"/>
    <w:rsid w:val="00707F57"/>
    <w:rsid w:val="00710185"/>
    <w:rsid w:val="007104C4"/>
    <w:rsid w:val="00710573"/>
    <w:rsid w:val="007108F4"/>
    <w:rsid w:val="00710C4A"/>
    <w:rsid w:val="00710EB7"/>
    <w:rsid w:val="00711000"/>
    <w:rsid w:val="00711246"/>
    <w:rsid w:val="0071139D"/>
    <w:rsid w:val="007116A3"/>
    <w:rsid w:val="00711ACA"/>
    <w:rsid w:val="00712330"/>
    <w:rsid w:val="00712681"/>
    <w:rsid w:val="007129CF"/>
    <w:rsid w:val="00712A43"/>
    <w:rsid w:val="00712A91"/>
    <w:rsid w:val="00712AED"/>
    <w:rsid w:val="00713016"/>
    <w:rsid w:val="007134C9"/>
    <w:rsid w:val="0071352D"/>
    <w:rsid w:val="0071383C"/>
    <w:rsid w:val="00713994"/>
    <w:rsid w:val="00713CDF"/>
    <w:rsid w:val="00713E95"/>
    <w:rsid w:val="007141A7"/>
    <w:rsid w:val="007146EE"/>
    <w:rsid w:val="00714851"/>
    <w:rsid w:val="0071510F"/>
    <w:rsid w:val="007152CD"/>
    <w:rsid w:val="00715663"/>
    <w:rsid w:val="00715722"/>
    <w:rsid w:val="007159ED"/>
    <w:rsid w:val="007160A2"/>
    <w:rsid w:val="007161CA"/>
    <w:rsid w:val="007163E8"/>
    <w:rsid w:val="007164D2"/>
    <w:rsid w:val="00716EFA"/>
    <w:rsid w:val="007170B4"/>
    <w:rsid w:val="00717478"/>
    <w:rsid w:val="00717700"/>
    <w:rsid w:val="00717DB0"/>
    <w:rsid w:val="007202A9"/>
    <w:rsid w:val="0072032E"/>
    <w:rsid w:val="00720C48"/>
    <w:rsid w:val="00720DE8"/>
    <w:rsid w:val="00720F6D"/>
    <w:rsid w:val="00720FF7"/>
    <w:rsid w:val="00721032"/>
    <w:rsid w:val="0072179B"/>
    <w:rsid w:val="00721B55"/>
    <w:rsid w:val="00721EAD"/>
    <w:rsid w:val="0072294D"/>
    <w:rsid w:val="00722F17"/>
    <w:rsid w:val="007232E1"/>
    <w:rsid w:val="007235A6"/>
    <w:rsid w:val="007238F8"/>
    <w:rsid w:val="00723FF8"/>
    <w:rsid w:val="007240B0"/>
    <w:rsid w:val="00724118"/>
    <w:rsid w:val="00724751"/>
    <w:rsid w:val="0072499E"/>
    <w:rsid w:val="007249B1"/>
    <w:rsid w:val="00724A30"/>
    <w:rsid w:val="00724B84"/>
    <w:rsid w:val="00725070"/>
    <w:rsid w:val="007250ED"/>
    <w:rsid w:val="007253AB"/>
    <w:rsid w:val="007255D2"/>
    <w:rsid w:val="0072565A"/>
    <w:rsid w:val="00725842"/>
    <w:rsid w:val="00725B1B"/>
    <w:rsid w:val="00725DF4"/>
    <w:rsid w:val="0072670E"/>
    <w:rsid w:val="0072688C"/>
    <w:rsid w:val="00726CE4"/>
    <w:rsid w:val="00726DA1"/>
    <w:rsid w:val="00726E22"/>
    <w:rsid w:val="00726E45"/>
    <w:rsid w:val="00726EDD"/>
    <w:rsid w:val="007273BA"/>
    <w:rsid w:val="00727800"/>
    <w:rsid w:val="00727F23"/>
    <w:rsid w:val="00727F44"/>
    <w:rsid w:val="00730352"/>
    <w:rsid w:val="007305EE"/>
    <w:rsid w:val="00730637"/>
    <w:rsid w:val="00730797"/>
    <w:rsid w:val="00730798"/>
    <w:rsid w:val="00731057"/>
    <w:rsid w:val="0073156D"/>
    <w:rsid w:val="00731870"/>
    <w:rsid w:val="00731EA1"/>
    <w:rsid w:val="00732247"/>
    <w:rsid w:val="0073249E"/>
    <w:rsid w:val="007324C3"/>
    <w:rsid w:val="007324C8"/>
    <w:rsid w:val="00732680"/>
    <w:rsid w:val="00732F68"/>
    <w:rsid w:val="0073301A"/>
    <w:rsid w:val="00733212"/>
    <w:rsid w:val="0073325B"/>
    <w:rsid w:val="007334BE"/>
    <w:rsid w:val="00733650"/>
    <w:rsid w:val="00733E7C"/>
    <w:rsid w:val="00734143"/>
    <w:rsid w:val="0073433A"/>
    <w:rsid w:val="007344A5"/>
    <w:rsid w:val="00734C3E"/>
    <w:rsid w:val="00735176"/>
    <w:rsid w:val="007352EA"/>
    <w:rsid w:val="007356E4"/>
    <w:rsid w:val="00735E7A"/>
    <w:rsid w:val="007362C6"/>
    <w:rsid w:val="00736355"/>
    <w:rsid w:val="007364C6"/>
    <w:rsid w:val="00736E1D"/>
    <w:rsid w:val="0073740B"/>
    <w:rsid w:val="00737CBF"/>
    <w:rsid w:val="00737E47"/>
    <w:rsid w:val="007402A7"/>
    <w:rsid w:val="007408D0"/>
    <w:rsid w:val="00740C16"/>
    <w:rsid w:val="00740DC5"/>
    <w:rsid w:val="00740EAC"/>
    <w:rsid w:val="0074129D"/>
    <w:rsid w:val="00741844"/>
    <w:rsid w:val="00741950"/>
    <w:rsid w:val="00741C18"/>
    <w:rsid w:val="00741E49"/>
    <w:rsid w:val="00741F8D"/>
    <w:rsid w:val="0074282D"/>
    <w:rsid w:val="00742D20"/>
    <w:rsid w:val="007432CA"/>
    <w:rsid w:val="00743570"/>
    <w:rsid w:val="00743A0B"/>
    <w:rsid w:val="00743D96"/>
    <w:rsid w:val="00743E90"/>
    <w:rsid w:val="007440A4"/>
    <w:rsid w:val="0074431F"/>
    <w:rsid w:val="00744882"/>
    <w:rsid w:val="00744956"/>
    <w:rsid w:val="00744B39"/>
    <w:rsid w:val="00744D3A"/>
    <w:rsid w:val="00744F5D"/>
    <w:rsid w:val="00744F68"/>
    <w:rsid w:val="00745589"/>
    <w:rsid w:val="00745983"/>
    <w:rsid w:val="00745A4E"/>
    <w:rsid w:val="00745A5C"/>
    <w:rsid w:val="00745B5F"/>
    <w:rsid w:val="0074605F"/>
    <w:rsid w:val="007460AB"/>
    <w:rsid w:val="00746246"/>
    <w:rsid w:val="00746650"/>
    <w:rsid w:val="0074675C"/>
    <w:rsid w:val="00746DC0"/>
    <w:rsid w:val="0074751B"/>
    <w:rsid w:val="0074777A"/>
    <w:rsid w:val="00747B14"/>
    <w:rsid w:val="00747B1A"/>
    <w:rsid w:val="00747C12"/>
    <w:rsid w:val="00747CAC"/>
    <w:rsid w:val="00747E94"/>
    <w:rsid w:val="00747F67"/>
    <w:rsid w:val="00750231"/>
    <w:rsid w:val="00750F35"/>
    <w:rsid w:val="00751432"/>
    <w:rsid w:val="00751589"/>
    <w:rsid w:val="00751ABF"/>
    <w:rsid w:val="00751C2C"/>
    <w:rsid w:val="00751C5B"/>
    <w:rsid w:val="0075205B"/>
    <w:rsid w:val="00752485"/>
    <w:rsid w:val="007526D6"/>
    <w:rsid w:val="0075297E"/>
    <w:rsid w:val="00752D43"/>
    <w:rsid w:val="007530C5"/>
    <w:rsid w:val="0075310C"/>
    <w:rsid w:val="007534DE"/>
    <w:rsid w:val="00753720"/>
    <w:rsid w:val="007537FB"/>
    <w:rsid w:val="00753842"/>
    <w:rsid w:val="007539FB"/>
    <w:rsid w:val="007546FB"/>
    <w:rsid w:val="00754C83"/>
    <w:rsid w:val="00754E17"/>
    <w:rsid w:val="0075545F"/>
    <w:rsid w:val="007559B0"/>
    <w:rsid w:val="00755B6B"/>
    <w:rsid w:val="00756B29"/>
    <w:rsid w:val="00756B54"/>
    <w:rsid w:val="00756BF8"/>
    <w:rsid w:val="00757018"/>
    <w:rsid w:val="00757792"/>
    <w:rsid w:val="00757882"/>
    <w:rsid w:val="00757AFB"/>
    <w:rsid w:val="007603E9"/>
    <w:rsid w:val="0076099A"/>
    <w:rsid w:val="00760BBE"/>
    <w:rsid w:val="00760BFD"/>
    <w:rsid w:val="00760CE0"/>
    <w:rsid w:val="00760D01"/>
    <w:rsid w:val="00760E34"/>
    <w:rsid w:val="00761E5C"/>
    <w:rsid w:val="00762016"/>
    <w:rsid w:val="007623E8"/>
    <w:rsid w:val="00762584"/>
    <w:rsid w:val="00762639"/>
    <w:rsid w:val="007626F0"/>
    <w:rsid w:val="00762A8D"/>
    <w:rsid w:val="00762DFE"/>
    <w:rsid w:val="00762EC7"/>
    <w:rsid w:val="00762EF1"/>
    <w:rsid w:val="00762F25"/>
    <w:rsid w:val="007630C1"/>
    <w:rsid w:val="00763977"/>
    <w:rsid w:val="00763AEF"/>
    <w:rsid w:val="00763B71"/>
    <w:rsid w:val="00763BA9"/>
    <w:rsid w:val="00763E27"/>
    <w:rsid w:val="007640A6"/>
    <w:rsid w:val="007645A6"/>
    <w:rsid w:val="0076480E"/>
    <w:rsid w:val="007648E4"/>
    <w:rsid w:val="0076498D"/>
    <w:rsid w:val="00764D19"/>
    <w:rsid w:val="00764D5F"/>
    <w:rsid w:val="00764F56"/>
    <w:rsid w:val="00765098"/>
    <w:rsid w:val="0076521D"/>
    <w:rsid w:val="0076556A"/>
    <w:rsid w:val="007658D5"/>
    <w:rsid w:val="00765A9A"/>
    <w:rsid w:val="00765DF8"/>
    <w:rsid w:val="00765E7D"/>
    <w:rsid w:val="00765FD2"/>
    <w:rsid w:val="0076606E"/>
    <w:rsid w:val="0076653E"/>
    <w:rsid w:val="00766749"/>
    <w:rsid w:val="00766761"/>
    <w:rsid w:val="0076678D"/>
    <w:rsid w:val="007668A0"/>
    <w:rsid w:val="00766ACE"/>
    <w:rsid w:val="00766BB1"/>
    <w:rsid w:val="007672D8"/>
    <w:rsid w:val="007677E9"/>
    <w:rsid w:val="00767ADC"/>
    <w:rsid w:val="00767C1B"/>
    <w:rsid w:val="00767CB0"/>
    <w:rsid w:val="00767FDD"/>
    <w:rsid w:val="00770353"/>
    <w:rsid w:val="0077091A"/>
    <w:rsid w:val="00770944"/>
    <w:rsid w:val="00770CAE"/>
    <w:rsid w:val="00770D4B"/>
    <w:rsid w:val="00771069"/>
    <w:rsid w:val="007710EB"/>
    <w:rsid w:val="0077110E"/>
    <w:rsid w:val="0077131A"/>
    <w:rsid w:val="007714A9"/>
    <w:rsid w:val="00771A78"/>
    <w:rsid w:val="00771E50"/>
    <w:rsid w:val="0077222B"/>
    <w:rsid w:val="00772AD8"/>
    <w:rsid w:val="00772BBC"/>
    <w:rsid w:val="00772DE2"/>
    <w:rsid w:val="00772E27"/>
    <w:rsid w:val="007733BC"/>
    <w:rsid w:val="007733DE"/>
    <w:rsid w:val="007736E9"/>
    <w:rsid w:val="00773AC2"/>
    <w:rsid w:val="00773BD0"/>
    <w:rsid w:val="00773CA9"/>
    <w:rsid w:val="00773F8A"/>
    <w:rsid w:val="0077405A"/>
    <w:rsid w:val="007741A9"/>
    <w:rsid w:val="0077421C"/>
    <w:rsid w:val="007748FD"/>
    <w:rsid w:val="007749BA"/>
    <w:rsid w:val="00774B62"/>
    <w:rsid w:val="00774E19"/>
    <w:rsid w:val="00774E21"/>
    <w:rsid w:val="00774E4D"/>
    <w:rsid w:val="00774F7A"/>
    <w:rsid w:val="00774F88"/>
    <w:rsid w:val="00774FDB"/>
    <w:rsid w:val="007751F3"/>
    <w:rsid w:val="00775436"/>
    <w:rsid w:val="00775A34"/>
    <w:rsid w:val="00775A3F"/>
    <w:rsid w:val="00775F70"/>
    <w:rsid w:val="007761A8"/>
    <w:rsid w:val="007762B2"/>
    <w:rsid w:val="00777128"/>
    <w:rsid w:val="007773AA"/>
    <w:rsid w:val="007775FC"/>
    <w:rsid w:val="007776D0"/>
    <w:rsid w:val="007777B9"/>
    <w:rsid w:val="00777A7E"/>
    <w:rsid w:val="00777B21"/>
    <w:rsid w:val="00777BA2"/>
    <w:rsid w:val="00777C44"/>
    <w:rsid w:val="00777CD1"/>
    <w:rsid w:val="00780111"/>
    <w:rsid w:val="00780274"/>
    <w:rsid w:val="0078050A"/>
    <w:rsid w:val="00780A8C"/>
    <w:rsid w:val="00780B83"/>
    <w:rsid w:val="00780BC0"/>
    <w:rsid w:val="00780E54"/>
    <w:rsid w:val="00781408"/>
    <w:rsid w:val="0078168E"/>
    <w:rsid w:val="00781C9B"/>
    <w:rsid w:val="0078200D"/>
    <w:rsid w:val="00782906"/>
    <w:rsid w:val="00782CEF"/>
    <w:rsid w:val="00782FEA"/>
    <w:rsid w:val="00783002"/>
    <w:rsid w:val="0078306F"/>
    <w:rsid w:val="0078339A"/>
    <w:rsid w:val="007833EB"/>
    <w:rsid w:val="007838C9"/>
    <w:rsid w:val="00783FA9"/>
    <w:rsid w:val="00784591"/>
    <w:rsid w:val="007847D1"/>
    <w:rsid w:val="00784B0F"/>
    <w:rsid w:val="00784B59"/>
    <w:rsid w:val="00784F7F"/>
    <w:rsid w:val="00785753"/>
    <w:rsid w:val="00785C42"/>
    <w:rsid w:val="00785F8A"/>
    <w:rsid w:val="00786754"/>
    <w:rsid w:val="007867F8"/>
    <w:rsid w:val="00786840"/>
    <w:rsid w:val="007868D2"/>
    <w:rsid w:val="00786B6A"/>
    <w:rsid w:val="00786EE7"/>
    <w:rsid w:val="007870EF"/>
    <w:rsid w:val="0078710C"/>
    <w:rsid w:val="0078743D"/>
    <w:rsid w:val="00787698"/>
    <w:rsid w:val="007878BD"/>
    <w:rsid w:val="007879E6"/>
    <w:rsid w:val="00787B4F"/>
    <w:rsid w:val="00787BC5"/>
    <w:rsid w:val="007906B5"/>
    <w:rsid w:val="00790CEC"/>
    <w:rsid w:val="00790E04"/>
    <w:rsid w:val="0079104A"/>
    <w:rsid w:val="007910D4"/>
    <w:rsid w:val="007911C8"/>
    <w:rsid w:val="00791411"/>
    <w:rsid w:val="00791445"/>
    <w:rsid w:val="0079145E"/>
    <w:rsid w:val="007914A7"/>
    <w:rsid w:val="00791577"/>
    <w:rsid w:val="00791CC2"/>
    <w:rsid w:val="00791DAC"/>
    <w:rsid w:val="00791EC2"/>
    <w:rsid w:val="00792743"/>
    <w:rsid w:val="00792766"/>
    <w:rsid w:val="00792B04"/>
    <w:rsid w:val="0079365D"/>
    <w:rsid w:val="00793882"/>
    <w:rsid w:val="00793BF3"/>
    <w:rsid w:val="00793CF1"/>
    <w:rsid w:val="00793D15"/>
    <w:rsid w:val="00793F86"/>
    <w:rsid w:val="00794234"/>
    <w:rsid w:val="007947A1"/>
    <w:rsid w:val="007954A2"/>
    <w:rsid w:val="007956D9"/>
    <w:rsid w:val="007957C6"/>
    <w:rsid w:val="00795A6F"/>
    <w:rsid w:val="00795BD8"/>
    <w:rsid w:val="007960F5"/>
    <w:rsid w:val="00796564"/>
    <w:rsid w:val="0079686F"/>
    <w:rsid w:val="00796BD1"/>
    <w:rsid w:val="00796BF4"/>
    <w:rsid w:val="00796E44"/>
    <w:rsid w:val="00796F25"/>
    <w:rsid w:val="00797230"/>
    <w:rsid w:val="00797873"/>
    <w:rsid w:val="007979E9"/>
    <w:rsid w:val="007A0037"/>
    <w:rsid w:val="007A00C5"/>
    <w:rsid w:val="007A09DD"/>
    <w:rsid w:val="007A0D0C"/>
    <w:rsid w:val="007A0F16"/>
    <w:rsid w:val="007A11F1"/>
    <w:rsid w:val="007A136E"/>
    <w:rsid w:val="007A154B"/>
    <w:rsid w:val="007A1875"/>
    <w:rsid w:val="007A1929"/>
    <w:rsid w:val="007A229E"/>
    <w:rsid w:val="007A231E"/>
    <w:rsid w:val="007A28F1"/>
    <w:rsid w:val="007A2AA8"/>
    <w:rsid w:val="007A2E98"/>
    <w:rsid w:val="007A32CB"/>
    <w:rsid w:val="007A35BC"/>
    <w:rsid w:val="007A37F7"/>
    <w:rsid w:val="007A3918"/>
    <w:rsid w:val="007A3BA3"/>
    <w:rsid w:val="007A3CF9"/>
    <w:rsid w:val="007A3EBC"/>
    <w:rsid w:val="007A41D6"/>
    <w:rsid w:val="007A490D"/>
    <w:rsid w:val="007A49FF"/>
    <w:rsid w:val="007A4DA8"/>
    <w:rsid w:val="007A4FD3"/>
    <w:rsid w:val="007A51EB"/>
    <w:rsid w:val="007A54BB"/>
    <w:rsid w:val="007A5BBE"/>
    <w:rsid w:val="007A5D9A"/>
    <w:rsid w:val="007A5E91"/>
    <w:rsid w:val="007A62C9"/>
    <w:rsid w:val="007A6A2D"/>
    <w:rsid w:val="007A6B7C"/>
    <w:rsid w:val="007A6CC0"/>
    <w:rsid w:val="007A72E0"/>
    <w:rsid w:val="007A7FEC"/>
    <w:rsid w:val="007B016E"/>
    <w:rsid w:val="007B019F"/>
    <w:rsid w:val="007B068F"/>
    <w:rsid w:val="007B07B5"/>
    <w:rsid w:val="007B0AF2"/>
    <w:rsid w:val="007B0BF6"/>
    <w:rsid w:val="007B11B4"/>
    <w:rsid w:val="007B1499"/>
    <w:rsid w:val="007B14B6"/>
    <w:rsid w:val="007B165F"/>
    <w:rsid w:val="007B1790"/>
    <w:rsid w:val="007B18D8"/>
    <w:rsid w:val="007B18ED"/>
    <w:rsid w:val="007B1BBF"/>
    <w:rsid w:val="007B1D1C"/>
    <w:rsid w:val="007B2136"/>
    <w:rsid w:val="007B24E0"/>
    <w:rsid w:val="007B286E"/>
    <w:rsid w:val="007B2960"/>
    <w:rsid w:val="007B2CFD"/>
    <w:rsid w:val="007B355D"/>
    <w:rsid w:val="007B371D"/>
    <w:rsid w:val="007B3CFE"/>
    <w:rsid w:val="007B3F12"/>
    <w:rsid w:val="007B4082"/>
    <w:rsid w:val="007B42F7"/>
    <w:rsid w:val="007B4598"/>
    <w:rsid w:val="007B4876"/>
    <w:rsid w:val="007B5048"/>
    <w:rsid w:val="007B5371"/>
    <w:rsid w:val="007B53F8"/>
    <w:rsid w:val="007B55E1"/>
    <w:rsid w:val="007B5916"/>
    <w:rsid w:val="007B5D56"/>
    <w:rsid w:val="007B606E"/>
    <w:rsid w:val="007B6711"/>
    <w:rsid w:val="007B6756"/>
    <w:rsid w:val="007B6874"/>
    <w:rsid w:val="007B68A2"/>
    <w:rsid w:val="007B6AAD"/>
    <w:rsid w:val="007B6AD5"/>
    <w:rsid w:val="007B6CC1"/>
    <w:rsid w:val="007B6EF9"/>
    <w:rsid w:val="007B7379"/>
    <w:rsid w:val="007B73C6"/>
    <w:rsid w:val="007B73D1"/>
    <w:rsid w:val="007B7454"/>
    <w:rsid w:val="007B7980"/>
    <w:rsid w:val="007B79EF"/>
    <w:rsid w:val="007B7E34"/>
    <w:rsid w:val="007B7E83"/>
    <w:rsid w:val="007C0162"/>
    <w:rsid w:val="007C0351"/>
    <w:rsid w:val="007C0D9D"/>
    <w:rsid w:val="007C0DEF"/>
    <w:rsid w:val="007C10EA"/>
    <w:rsid w:val="007C1493"/>
    <w:rsid w:val="007C1541"/>
    <w:rsid w:val="007C2285"/>
    <w:rsid w:val="007C22AB"/>
    <w:rsid w:val="007C22C4"/>
    <w:rsid w:val="007C2418"/>
    <w:rsid w:val="007C2747"/>
    <w:rsid w:val="007C27A3"/>
    <w:rsid w:val="007C27AB"/>
    <w:rsid w:val="007C29CF"/>
    <w:rsid w:val="007C2A0D"/>
    <w:rsid w:val="007C2A92"/>
    <w:rsid w:val="007C2B3C"/>
    <w:rsid w:val="007C2B3D"/>
    <w:rsid w:val="007C2C70"/>
    <w:rsid w:val="007C3111"/>
    <w:rsid w:val="007C321D"/>
    <w:rsid w:val="007C3476"/>
    <w:rsid w:val="007C35F7"/>
    <w:rsid w:val="007C3670"/>
    <w:rsid w:val="007C379C"/>
    <w:rsid w:val="007C41BA"/>
    <w:rsid w:val="007C450A"/>
    <w:rsid w:val="007C49EA"/>
    <w:rsid w:val="007C4B39"/>
    <w:rsid w:val="007C4CB0"/>
    <w:rsid w:val="007C4EA3"/>
    <w:rsid w:val="007C4F59"/>
    <w:rsid w:val="007C5039"/>
    <w:rsid w:val="007C55C2"/>
    <w:rsid w:val="007C56F9"/>
    <w:rsid w:val="007C5854"/>
    <w:rsid w:val="007C5D5A"/>
    <w:rsid w:val="007C607F"/>
    <w:rsid w:val="007C6139"/>
    <w:rsid w:val="007C6820"/>
    <w:rsid w:val="007C697D"/>
    <w:rsid w:val="007C6AEA"/>
    <w:rsid w:val="007C6B4F"/>
    <w:rsid w:val="007C6C00"/>
    <w:rsid w:val="007C6E44"/>
    <w:rsid w:val="007C7065"/>
    <w:rsid w:val="007C75CB"/>
    <w:rsid w:val="007C7774"/>
    <w:rsid w:val="007C77BC"/>
    <w:rsid w:val="007C79BF"/>
    <w:rsid w:val="007C79DD"/>
    <w:rsid w:val="007C7AEF"/>
    <w:rsid w:val="007D03B7"/>
    <w:rsid w:val="007D044F"/>
    <w:rsid w:val="007D0731"/>
    <w:rsid w:val="007D126C"/>
    <w:rsid w:val="007D14EF"/>
    <w:rsid w:val="007D187C"/>
    <w:rsid w:val="007D1A97"/>
    <w:rsid w:val="007D1F43"/>
    <w:rsid w:val="007D1FA4"/>
    <w:rsid w:val="007D2061"/>
    <w:rsid w:val="007D2190"/>
    <w:rsid w:val="007D21EB"/>
    <w:rsid w:val="007D22E9"/>
    <w:rsid w:val="007D24F0"/>
    <w:rsid w:val="007D25D9"/>
    <w:rsid w:val="007D2CD6"/>
    <w:rsid w:val="007D2CFF"/>
    <w:rsid w:val="007D2FB8"/>
    <w:rsid w:val="007D2FF4"/>
    <w:rsid w:val="007D3063"/>
    <w:rsid w:val="007D366E"/>
    <w:rsid w:val="007D3986"/>
    <w:rsid w:val="007D3BFF"/>
    <w:rsid w:val="007D3CCF"/>
    <w:rsid w:val="007D3CEB"/>
    <w:rsid w:val="007D4029"/>
    <w:rsid w:val="007D4245"/>
    <w:rsid w:val="007D4356"/>
    <w:rsid w:val="007D44D3"/>
    <w:rsid w:val="007D4790"/>
    <w:rsid w:val="007D4A38"/>
    <w:rsid w:val="007D4F2E"/>
    <w:rsid w:val="007D505C"/>
    <w:rsid w:val="007D5244"/>
    <w:rsid w:val="007D54D4"/>
    <w:rsid w:val="007D5E34"/>
    <w:rsid w:val="007D5FBB"/>
    <w:rsid w:val="007D643C"/>
    <w:rsid w:val="007D654C"/>
    <w:rsid w:val="007D6EB5"/>
    <w:rsid w:val="007D6FD0"/>
    <w:rsid w:val="007D7191"/>
    <w:rsid w:val="007D7279"/>
    <w:rsid w:val="007D75E4"/>
    <w:rsid w:val="007D79F2"/>
    <w:rsid w:val="007E037F"/>
    <w:rsid w:val="007E04E8"/>
    <w:rsid w:val="007E0956"/>
    <w:rsid w:val="007E0C35"/>
    <w:rsid w:val="007E10D4"/>
    <w:rsid w:val="007E1117"/>
    <w:rsid w:val="007E1212"/>
    <w:rsid w:val="007E16A2"/>
    <w:rsid w:val="007E1977"/>
    <w:rsid w:val="007E216A"/>
    <w:rsid w:val="007E2446"/>
    <w:rsid w:val="007E2588"/>
    <w:rsid w:val="007E2A98"/>
    <w:rsid w:val="007E31E2"/>
    <w:rsid w:val="007E32DF"/>
    <w:rsid w:val="007E3375"/>
    <w:rsid w:val="007E3666"/>
    <w:rsid w:val="007E3D90"/>
    <w:rsid w:val="007E3DBB"/>
    <w:rsid w:val="007E412D"/>
    <w:rsid w:val="007E4734"/>
    <w:rsid w:val="007E47F5"/>
    <w:rsid w:val="007E58C1"/>
    <w:rsid w:val="007E5995"/>
    <w:rsid w:val="007E66FC"/>
    <w:rsid w:val="007E69E1"/>
    <w:rsid w:val="007E6A8D"/>
    <w:rsid w:val="007E7194"/>
    <w:rsid w:val="007E72BF"/>
    <w:rsid w:val="007E7683"/>
    <w:rsid w:val="007E7A24"/>
    <w:rsid w:val="007F0268"/>
    <w:rsid w:val="007F02AA"/>
    <w:rsid w:val="007F03B9"/>
    <w:rsid w:val="007F0620"/>
    <w:rsid w:val="007F0B25"/>
    <w:rsid w:val="007F13FA"/>
    <w:rsid w:val="007F17D1"/>
    <w:rsid w:val="007F1BC3"/>
    <w:rsid w:val="007F1DA6"/>
    <w:rsid w:val="007F1DDE"/>
    <w:rsid w:val="007F1E19"/>
    <w:rsid w:val="007F1EBA"/>
    <w:rsid w:val="007F1FD3"/>
    <w:rsid w:val="007F274D"/>
    <w:rsid w:val="007F279C"/>
    <w:rsid w:val="007F2917"/>
    <w:rsid w:val="007F2960"/>
    <w:rsid w:val="007F2B0C"/>
    <w:rsid w:val="007F349F"/>
    <w:rsid w:val="007F3847"/>
    <w:rsid w:val="007F391D"/>
    <w:rsid w:val="007F4284"/>
    <w:rsid w:val="007F428E"/>
    <w:rsid w:val="007F49FA"/>
    <w:rsid w:val="007F4D28"/>
    <w:rsid w:val="007F4D77"/>
    <w:rsid w:val="007F5051"/>
    <w:rsid w:val="007F547C"/>
    <w:rsid w:val="007F54C4"/>
    <w:rsid w:val="007F59BA"/>
    <w:rsid w:val="007F5B5D"/>
    <w:rsid w:val="007F5DD4"/>
    <w:rsid w:val="007F603A"/>
    <w:rsid w:val="007F6296"/>
    <w:rsid w:val="007F68DC"/>
    <w:rsid w:val="007F6E9A"/>
    <w:rsid w:val="007F7364"/>
    <w:rsid w:val="007F75CC"/>
    <w:rsid w:val="007F7909"/>
    <w:rsid w:val="007F792D"/>
    <w:rsid w:val="007F7B65"/>
    <w:rsid w:val="007F7F20"/>
    <w:rsid w:val="008006A9"/>
    <w:rsid w:val="00800CCD"/>
    <w:rsid w:val="008011DD"/>
    <w:rsid w:val="0080126F"/>
    <w:rsid w:val="008012DC"/>
    <w:rsid w:val="008018A2"/>
    <w:rsid w:val="008021A8"/>
    <w:rsid w:val="0080222D"/>
    <w:rsid w:val="0080239A"/>
    <w:rsid w:val="0080246A"/>
    <w:rsid w:val="008026A4"/>
    <w:rsid w:val="008028D4"/>
    <w:rsid w:val="00802D99"/>
    <w:rsid w:val="00802EA1"/>
    <w:rsid w:val="008030E5"/>
    <w:rsid w:val="008034B5"/>
    <w:rsid w:val="008034C2"/>
    <w:rsid w:val="00803976"/>
    <w:rsid w:val="00804169"/>
    <w:rsid w:val="00804480"/>
    <w:rsid w:val="008044D4"/>
    <w:rsid w:val="00804DAA"/>
    <w:rsid w:val="00804E97"/>
    <w:rsid w:val="008050D9"/>
    <w:rsid w:val="00805407"/>
    <w:rsid w:val="0080558A"/>
    <w:rsid w:val="008056C2"/>
    <w:rsid w:val="008059EE"/>
    <w:rsid w:val="00805A51"/>
    <w:rsid w:val="00805E05"/>
    <w:rsid w:val="008060B2"/>
    <w:rsid w:val="00806524"/>
    <w:rsid w:val="00806A19"/>
    <w:rsid w:val="00806CBB"/>
    <w:rsid w:val="00806F78"/>
    <w:rsid w:val="00807224"/>
    <w:rsid w:val="0080736F"/>
    <w:rsid w:val="00807615"/>
    <w:rsid w:val="00807936"/>
    <w:rsid w:val="0080798A"/>
    <w:rsid w:val="00807A31"/>
    <w:rsid w:val="00807B72"/>
    <w:rsid w:val="00807B93"/>
    <w:rsid w:val="00807ED9"/>
    <w:rsid w:val="008100BE"/>
    <w:rsid w:val="008107E0"/>
    <w:rsid w:val="00810AB4"/>
    <w:rsid w:val="008111FF"/>
    <w:rsid w:val="00811564"/>
    <w:rsid w:val="008116DE"/>
    <w:rsid w:val="0081198C"/>
    <w:rsid w:val="008120A5"/>
    <w:rsid w:val="0081214A"/>
    <w:rsid w:val="00812228"/>
    <w:rsid w:val="00812653"/>
    <w:rsid w:val="008128CE"/>
    <w:rsid w:val="00812E37"/>
    <w:rsid w:val="0081317D"/>
    <w:rsid w:val="0081342C"/>
    <w:rsid w:val="0081382A"/>
    <w:rsid w:val="00814522"/>
    <w:rsid w:val="008149F6"/>
    <w:rsid w:val="00815269"/>
    <w:rsid w:val="008152B4"/>
    <w:rsid w:val="00815726"/>
    <w:rsid w:val="0081617D"/>
    <w:rsid w:val="00816964"/>
    <w:rsid w:val="0081699A"/>
    <w:rsid w:val="00816F71"/>
    <w:rsid w:val="00816FDD"/>
    <w:rsid w:val="00817229"/>
    <w:rsid w:val="00817474"/>
    <w:rsid w:val="0081775C"/>
    <w:rsid w:val="00817971"/>
    <w:rsid w:val="00817B56"/>
    <w:rsid w:val="0082042F"/>
    <w:rsid w:val="008206BD"/>
    <w:rsid w:val="00820707"/>
    <w:rsid w:val="00820B82"/>
    <w:rsid w:val="00820DEC"/>
    <w:rsid w:val="0082178B"/>
    <w:rsid w:val="00821A88"/>
    <w:rsid w:val="00821C7F"/>
    <w:rsid w:val="00821EEF"/>
    <w:rsid w:val="00821F0B"/>
    <w:rsid w:val="0082227B"/>
    <w:rsid w:val="0082269C"/>
    <w:rsid w:val="00822756"/>
    <w:rsid w:val="00822811"/>
    <w:rsid w:val="00822CE8"/>
    <w:rsid w:val="00822EB7"/>
    <w:rsid w:val="00822F71"/>
    <w:rsid w:val="008231C4"/>
    <w:rsid w:val="0082329F"/>
    <w:rsid w:val="008239A8"/>
    <w:rsid w:val="00823A7B"/>
    <w:rsid w:val="008244E2"/>
    <w:rsid w:val="0082456F"/>
    <w:rsid w:val="0082458E"/>
    <w:rsid w:val="00824657"/>
    <w:rsid w:val="0082475F"/>
    <w:rsid w:val="008248FC"/>
    <w:rsid w:val="0082495D"/>
    <w:rsid w:val="00824F81"/>
    <w:rsid w:val="0082515E"/>
    <w:rsid w:val="008251A1"/>
    <w:rsid w:val="00825307"/>
    <w:rsid w:val="00825A05"/>
    <w:rsid w:val="0082604E"/>
    <w:rsid w:val="008265DD"/>
    <w:rsid w:val="00826838"/>
    <w:rsid w:val="0082697B"/>
    <w:rsid w:val="00826AB8"/>
    <w:rsid w:val="00826CE8"/>
    <w:rsid w:val="00826E37"/>
    <w:rsid w:val="0082711D"/>
    <w:rsid w:val="008271BF"/>
    <w:rsid w:val="008276E4"/>
    <w:rsid w:val="008277C9"/>
    <w:rsid w:val="00827D79"/>
    <w:rsid w:val="008300D9"/>
    <w:rsid w:val="008301BE"/>
    <w:rsid w:val="00830259"/>
    <w:rsid w:val="0083026E"/>
    <w:rsid w:val="0083060E"/>
    <w:rsid w:val="00830E12"/>
    <w:rsid w:val="00830EAC"/>
    <w:rsid w:val="008310DC"/>
    <w:rsid w:val="0083141F"/>
    <w:rsid w:val="008315CD"/>
    <w:rsid w:val="0083185F"/>
    <w:rsid w:val="008318EF"/>
    <w:rsid w:val="00831AC3"/>
    <w:rsid w:val="00831B03"/>
    <w:rsid w:val="00831BE9"/>
    <w:rsid w:val="00831D02"/>
    <w:rsid w:val="00831EB2"/>
    <w:rsid w:val="008321F9"/>
    <w:rsid w:val="008326EC"/>
    <w:rsid w:val="00832C44"/>
    <w:rsid w:val="00833093"/>
    <w:rsid w:val="0083316C"/>
    <w:rsid w:val="00833263"/>
    <w:rsid w:val="00833463"/>
    <w:rsid w:val="00833535"/>
    <w:rsid w:val="0083366A"/>
    <w:rsid w:val="00833B35"/>
    <w:rsid w:val="00833DE8"/>
    <w:rsid w:val="00833F1D"/>
    <w:rsid w:val="00833FF6"/>
    <w:rsid w:val="008341B6"/>
    <w:rsid w:val="00834456"/>
    <w:rsid w:val="00834C83"/>
    <w:rsid w:val="008353BC"/>
    <w:rsid w:val="00835420"/>
    <w:rsid w:val="00835BDA"/>
    <w:rsid w:val="00835D79"/>
    <w:rsid w:val="00836172"/>
    <w:rsid w:val="0083627F"/>
    <w:rsid w:val="00836295"/>
    <w:rsid w:val="00836A13"/>
    <w:rsid w:val="00836A82"/>
    <w:rsid w:val="00836CC5"/>
    <w:rsid w:val="00836D16"/>
    <w:rsid w:val="00836FCE"/>
    <w:rsid w:val="00836FE5"/>
    <w:rsid w:val="00837458"/>
    <w:rsid w:val="00837536"/>
    <w:rsid w:val="008375DB"/>
    <w:rsid w:val="0083776B"/>
    <w:rsid w:val="00837C37"/>
    <w:rsid w:val="00840197"/>
    <w:rsid w:val="00840291"/>
    <w:rsid w:val="008404CA"/>
    <w:rsid w:val="008407A5"/>
    <w:rsid w:val="00840880"/>
    <w:rsid w:val="008408FF"/>
    <w:rsid w:val="008409C6"/>
    <w:rsid w:val="008409F8"/>
    <w:rsid w:val="00840AF8"/>
    <w:rsid w:val="008410CB"/>
    <w:rsid w:val="008413AA"/>
    <w:rsid w:val="008413C4"/>
    <w:rsid w:val="00841689"/>
    <w:rsid w:val="008416A3"/>
    <w:rsid w:val="0084175E"/>
    <w:rsid w:val="008418EC"/>
    <w:rsid w:val="00841F47"/>
    <w:rsid w:val="008426C8"/>
    <w:rsid w:val="00842792"/>
    <w:rsid w:val="0084291F"/>
    <w:rsid w:val="008429DB"/>
    <w:rsid w:val="00842B20"/>
    <w:rsid w:val="00842C3F"/>
    <w:rsid w:val="00842C58"/>
    <w:rsid w:val="00843E90"/>
    <w:rsid w:val="0084438F"/>
    <w:rsid w:val="0084466E"/>
    <w:rsid w:val="00844681"/>
    <w:rsid w:val="008446E2"/>
    <w:rsid w:val="0084478D"/>
    <w:rsid w:val="00844991"/>
    <w:rsid w:val="00844ACC"/>
    <w:rsid w:val="00844D1C"/>
    <w:rsid w:val="00844D96"/>
    <w:rsid w:val="00844F47"/>
    <w:rsid w:val="0084513D"/>
    <w:rsid w:val="00845373"/>
    <w:rsid w:val="008453BC"/>
    <w:rsid w:val="00845424"/>
    <w:rsid w:val="00845545"/>
    <w:rsid w:val="00845B38"/>
    <w:rsid w:val="00845E25"/>
    <w:rsid w:val="00845EB7"/>
    <w:rsid w:val="0084604F"/>
    <w:rsid w:val="00846265"/>
    <w:rsid w:val="008463C7"/>
    <w:rsid w:val="00846610"/>
    <w:rsid w:val="00846813"/>
    <w:rsid w:val="00846CD9"/>
    <w:rsid w:val="008472FA"/>
    <w:rsid w:val="00847C85"/>
    <w:rsid w:val="00847E66"/>
    <w:rsid w:val="0085039D"/>
    <w:rsid w:val="0085094E"/>
    <w:rsid w:val="00850F7D"/>
    <w:rsid w:val="00851098"/>
    <w:rsid w:val="0085113F"/>
    <w:rsid w:val="008519B7"/>
    <w:rsid w:val="00851F3F"/>
    <w:rsid w:val="00852EEE"/>
    <w:rsid w:val="0085307B"/>
    <w:rsid w:val="0085308C"/>
    <w:rsid w:val="00853172"/>
    <w:rsid w:val="008532CA"/>
    <w:rsid w:val="008539F2"/>
    <w:rsid w:val="00853F88"/>
    <w:rsid w:val="00854563"/>
    <w:rsid w:val="008547C4"/>
    <w:rsid w:val="00854E64"/>
    <w:rsid w:val="00855269"/>
    <w:rsid w:val="00855BE5"/>
    <w:rsid w:val="00855C19"/>
    <w:rsid w:val="00855D89"/>
    <w:rsid w:val="008560FC"/>
    <w:rsid w:val="0085618F"/>
    <w:rsid w:val="008565FF"/>
    <w:rsid w:val="008566AB"/>
    <w:rsid w:val="00856A35"/>
    <w:rsid w:val="00856EDC"/>
    <w:rsid w:val="0085728D"/>
    <w:rsid w:val="00857331"/>
    <w:rsid w:val="008575FB"/>
    <w:rsid w:val="008601AF"/>
    <w:rsid w:val="00860520"/>
    <w:rsid w:val="00860636"/>
    <w:rsid w:val="00860EB5"/>
    <w:rsid w:val="00861316"/>
    <w:rsid w:val="00861396"/>
    <w:rsid w:val="0086148F"/>
    <w:rsid w:val="0086149A"/>
    <w:rsid w:val="00861505"/>
    <w:rsid w:val="0086158F"/>
    <w:rsid w:val="0086182E"/>
    <w:rsid w:val="00861A5A"/>
    <w:rsid w:val="00861F8C"/>
    <w:rsid w:val="008622EA"/>
    <w:rsid w:val="0086236C"/>
    <w:rsid w:val="008623B5"/>
    <w:rsid w:val="00862705"/>
    <w:rsid w:val="00862770"/>
    <w:rsid w:val="008628E7"/>
    <w:rsid w:val="00862924"/>
    <w:rsid w:val="00862B5F"/>
    <w:rsid w:val="00863683"/>
    <w:rsid w:val="00863913"/>
    <w:rsid w:val="00863935"/>
    <w:rsid w:val="00863C88"/>
    <w:rsid w:val="00863C9D"/>
    <w:rsid w:val="00863D21"/>
    <w:rsid w:val="00864052"/>
    <w:rsid w:val="008640C0"/>
    <w:rsid w:val="008640DA"/>
    <w:rsid w:val="008642EB"/>
    <w:rsid w:val="00864641"/>
    <w:rsid w:val="008649BE"/>
    <w:rsid w:val="00864D49"/>
    <w:rsid w:val="00864EEF"/>
    <w:rsid w:val="00864F2F"/>
    <w:rsid w:val="00864FA1"/>
    <w:rsid w:val="008650FE"/>
    <w:rsid w:val="008651EB"/>
    <w:rsid w:val="008652D9"/>
    <w:rsid w:val="008657C1"/>
    <w:rsid w:val="00865BE0"/>
    <w:rsid w:val="0086619E"/>
    <w:rsid w:val="00866203"/>
    <w:rsid w:val="008664AD"/>
    <w:rsid w:val="008666E8"/>
    <w:rsid w:val="008668EC"/>
    <w:rsid w:val="00866AA6"/>
    <w:rsid w:val="00866B33"/>
    <w:rsid w:val="00866D45"/>
    <w:rsid w:val="008670F9"/>
    <w:rsid w:val="00867AEA"/>
    <w:rsid w:val="00867B43"/>
    <w:rsid w:val="00867BB7"/>
    <w:rsid w:val="00867CDE"/>
    <w:rsid w:val="00867D14"/>
    <w:rsid w:val="00867DA8"/>
    <w:rsid w:val="00870089"/>
    <w:rsid w:val="0087073F"/>
    <w:rsid w:val="008708A8"/>
    <w:rsid w:val="00870A41"/>
    <w:rsid w:val="00870ABA"/>
    <w:rsid w:val="008710E1"/>
    <w:rsid w:val="00871145"/>
    <w:rsid w:val="008716E5"/>
    <w:rsid w:val="00871735"/>
    <w:rsid w:val="00871AD1"/>
    <w:rsid w:val="00871B53"/>
    <w:rsid w:val="00871C46"/>
    <w:rsid w:val="00872038"/>
    <w:rsid w:val="008723A8"/>
    <w:rsid w:val="008728A6"/>
    <w:rsid w:val="0087292C"/>
    <w:rsid w:val="00872DC1"/>
    <w:rsid w:val="00872DC6"/>
    <w:rsid w:val="00873114"/>
    <w:rsid w:val="00873201"/>
    <w:rsid w:val="008734C8"/>
    <w:rsid w:val="008736DD"/>
    <w:rsid w:val="0087393C"/>
    <w:rsid w:val="00873F0D"/>
    <w:rsid w:val="00874387"/>
    <w:rsid w:val="0087467A"/>
    <w:rsid w:val="0087520F"/>
    <w:rsid w:val="00875286"/>
    <w:rsid w:val="00875539"/>
    <w:rsid w:val="00875A59"/>
    <w:rsid w:val="008763FD"/>
    <w:rsid w:val="008765FB"/>
    <w:rsid w:val="0087692E"/>
    <w:rsid w:val="00877148"/>
    <w:rsid w:val="00877393"/>
    <w:rsid w:val="008776AC"/>
    <w:rsid w:val="0087776A"/>
    <w:rsid w:val="008778B1"/>
    <w:rsid w:val="00877C02"/>
    <w:rsid w:val="0088095E"/>
    <w:rsid w:val="00881BFC"/>
    <w:rsid w:val="00881CA9"/>
    <w:rsid w:val="00882196"/>
    <w:rsid w:val="00882811"/>
    <w:rsid w:val="00882954"/>
    <w:rsid w:val="00882D06"/>
    <w:rsid w:val="0088339A"/>
    <w:rsid w:val="00883628"/>
    <w:rsid w:val="008837A9"/>
    <w:rsid w:val="00883877"/>
    <w:rsid w:val="00883B8B"/>
    <w:rsid w:val="00883BF0"/>
    <w:rsid w:val="00884614"/>
    <w:rsid w:val="0088461A"/>
    <w:rsid w:val="0088473B"/>
    <w:rsid w:val="008848B7"/>
    <w:rsid w:val="00884968"/>
    <w:rsid w:val="00884FB1"/>
    <w:rsid w:val="008854B7"/>
    <w:rsid w:val="00885544"/>
    <w:rsid w:val="00885699"/>
    <w:rsid w:val="00886129"/>
    <w:rsid w:val="0088634E"/>
    <w:rsid w:val="00886976"/>
    <w:rsid w:val="00887443"/>
    <w:rsid w:val="0088749B"/>
    <w:rsid w:val="00887631"/>
    <w:rsid w:val="00887DC7"/>
    <w:rsid w:val="0089004A"/>
    <w:rsid w:val="0089007C"/>
    <w:rsid w:val="008900AC"/>
    <w:rsid w:val="008900DC"/>
    <w:rsid w:val="008901C3"/>
    <w:rsid w:val="00890511"/>
    <w:rsid w:val="008908E9"/>
    <w:rsid w:val="00890B1A"/>
    <w:rsid w:val="00890B6C"/>
    <w:rsid w:val="00890F45"/>
    <w:rsid w:val="0089109C"/>
    <w:rsid w:val="008915FF"/>
    <w:rsid w:val="0089169C"/>
    <w:rsid w:val="008916C9"/>
    <w:rsid w:val="00891775"/>
    <w:rsid w:val="00891840"/>
    <w:rsid w:val="008918BF"/>
    <w:rsid w:val="008919E1"/>
    <w:rsid w:val="00891A87"/>
    <w:rsid w:val="00891A92"/>
    <w:rsid w:val="00891B2F"/>
    <w:rsid w:val="00891B80"/>
    <w:rsid w:val="008921BA"/>
    <w:rsid w:val="0089268F"/>
    <w:rsid w:val="00892E5A"/>
    <w:rsid w:val="00892EE9"/>
    <w:rsid w:val="00892FD9"/>
    <w:rsid w:val="00893381"/>
    <w:rsid w:val="008934C3"/>
    <w:rsid w:val="00893556"/>
    <w:rsid w:val="008935E1"/>
    <w:rsid w:val="00893635"/>
    <w:rsid w:val="00893878"/>
    <w:rsid w:val="00893AB8"/>
    <w:rsid w:val="008946D6"/>
    <w:rsid w:val="00894821"/>
    <w:rsid w:val="008948E7"/>
    <w:rsid w:val="0089535C"/>
    <w:rsid w:val="008954CF"/>
    <w:rsid w:val="00895CB8"/>
    <w:rsid w:val="00895DC8"/>
    <w:rsid w:val="00895EF0"/>
    <w:rsid w:val="00896014"/>
    <w:rsid w:val="008964E9"/>
    <w:rsid w:val="0089663B"/>
    <w:rsid w:val="0089691B"/>
    <w:rsid w:val="00896E38"/>
    <w:rsid w:val="008975B7"/>
    <w:rsid w:val="00897858"/>
    <w:rsid w:val="0089797B"/>
    <w:rsid w:val="008979C1"/>
    <w:rsid w:val="00897BEC"/>
    <w:rsid w:val="00897D0B"/>
    <w:rsid w:val="00897E15"/>
    <w:rsid w:val="008A02B7"/>
    <w:rsid w:val="008A0305"/>
    <w:rsid w:val="008A03F1"/>
    <w:rsid w:val="008A04C8"/>
    <w:rsid w:val="008A0568"/>
    <w:rsid w:val="008A087C"/>
    <w:rsid w:val="008A0B0D"/>
    <w:rsid w:val="008A1F72"/>
    <w:rsid w:val="008A222D"/>
    <w:rsid w:val="008A2524"/>
    <w:rsid w:val="008A2536"/>
    <w:rsid w:val="008A256F"/>
    <w:rsid w:val="008A26D5"/>
    <w:rsid w:val="008A27EF"/>
    <w:rsid w:val="008A2828"/>
    <w:rsid w:val="008A3621"/>
    <w:rsid w:val="008A39AA"/>
    <w:rsid w:val="008A3C6F"/>
    <w:rsid w:val="008A3EC2"/>
    <w:rsid w:val="008A408B"/>
    <w:rsid w:val="008A40F2"/>
    <w:rsid w:val="008A41A4"/>
    <w:rsid w:val="008A4907"/>
    <w:rsid w:val="008A4F71"/>
    <w:rsid w:val="008A5068"/>
    <w:rsid w:val="008A5131"/>
    <w:rsid w:val="008A55A7"/>
    <w:rsid w:val="008A56F7"/>
    <w:rsid w:val="008A58D7"/>
    <w:rsid w:val="008A5BA8"/>
    <w:rsid w:val="008A5D82"/>
    <w:rsid w:val="008A5ED6"/>
    <w:rsid w:val="008A60D5"/>
    <w:rsid w:val="008A612B"/>
    <w:rsid w:val="008A66FA"/>
    <w:rsid w:val="008A68BB"/>
    <w:rsid w:val="008A6913"/>
    <w:rsid w:val="008A6AC8"/>
    <w:rsid w:val="008A6C35"/>
    <w:rsid w:val="008A6F8A"/>
    <w:rsid w:val="008A7249"/>
    <w:rsid w:val="008A7581"/>
    <w:rsid w:val="008B0251"/>
    <w:rsid w:val="008B0878"/>
    <w:rsid w:val="008B089D"/>
    <w:rsid w:val="008B0B59"/>
    <w:rsid w:val="008B0E12"/>
    <w:rsid w:val="008B0FE5"/>
    <w:rsid w:val="008B14D7"/>
    <w:rsid w:val="008B1569"/>
    <w:rsid w:val="008B187C"/>
    <w:rsid w:val="008B1D49"/>
    <w:rsid w:val="008B2418"/>
    <w:rsid w:val="008B2449"/>
    <w:rsid w:val="008B252A"/>
    <w:rsid w:val="008B28EC"/>
    <w:rsid w:val="008B2C9E"/>
    <w:rsid w:val="008B2F4D"/>
    <w:rsid w:val="008B321C"/>
    <w:rsid w:val="008B3BA0"/>
    <w:rsid w:val="008B3C29"/>
    <w:rsid w:val="008B4025"/>
    <w:rsid w:val="008B44BD"/>
    <w:rsid w:val="008B4629"/>
    <w:rsid w:val="008B46F3"/>
    <w:rsid w:val="008B4A21"/>
    <w:rsid w:val="008B4B6A"/>
    <w:rsid w:val="008B4FA2"/>
    <w:rsid w:val="008B509F"/>
    <w:rsid w:val="008B5573"/>
    <w:rsid w:val="008B56A6"/>
    <w:rsid w:val="008B57A6"/>
    <w:rsid w:val="008B5978"/>
    <w:rsid w:val="008B5E47"/>
    <w:rsid w:val="008B5EA6"/>
    <w:rsid w:val="008B5FE5"/>
    <w:rsid w:val="008B62F5"/>
    <w:rsid w:val="008B668C"/>
    <w:rsid w:val="008B6724"/>
    <w:rsid w:val="008B6732"/>
    <w:rsid w:val="008B68A4"/>
    <w:rsid w:val="008B70F3"/>
    <w:rsid w:val="008B71C4"/>
    <w:rsid w:val="008B76DF"/>
    <w:rsid w:val="008B7FD9"/>
    <w:rsid w:val="008C091D"/>
    <w:rsid w:val="008C09FA"/>
    <w:rsid w:val="008C0B63"/>
    <w:rsid w:val="008C0FDD"/>
    <w:rsid w:val="008C10F4"/>
    <w:rsid w:val="008C1238"/>
    <w:rsid w:val="008C1253"/>
    <w:rsid w:val="008C1364"/>
    <w:rsid w:val="008C1579"/>
    <w:rsid w:val="008C1765"/>
    <w:rsid w:val="008C21A8"/>
    <w:rsid w:val="008C21F5"/>
    <w:rsid w:val="008C2BD5"/>
    <w:rsid w:val="008C2FD9"/>
    <w:rsid w:val="008C3540"/>
    <w:rsid w:val="008C394C"/>
    <w:rsid w:val="008C3958"/>
    <w:rsid w:val="008C3B90"/>
    <w:rsid w:val="008C3E51"/>
    <w:rsid w:val="008C40BD"/>
    <w:rsid w:val="008C42F7"/>
    <w:rsid w:val="008C491D"/>
    <w:rsid w:val="008C4958"/>
    <w:rsid w:val="008C49DF"/>
    <w:rsid w:val="008C4AC4"/>
    <w:rsid w:val="008C54B9"/>
    <w:rsid w:val="008C55F9"/>
    <w:rsid w:val="008C5A9F"/>
    <w:rsid w:val="008C61D2"/>
    <w:rsid w:val="008C61E7"/>
    <w:rsid w:val="008C6268"/>
    <w:rsid w:val="008C6580"/>
    <w:rsid w:val="008C65F7"/>
    <w:rsid w:val="008C6619"/>
    <w:rsid w:val="008C6756"/>
    <w:rsid w:val="008C67E6"/>
    <w:rsid w:val="008C6978"/>
    <w:rsid w:val="008C699C"/>
    <w:rsid w:val="008C6D43"/>
    <w:rsid w:val="008C6F03"/>
    <w:rsid w:val="008C7344"/>
    <w:rsid w:val="008C736C"/>
    <w:rsid w:val="008D0125"/>
    <w:rsid w:val="008D0B10"/>
    <w:rsid w:val="008D1162"/>
    <w:rsid w:val="008D12A1"/>
    <w:rsid w:val="008D1A24"/>
    <w:rsid w:val="008D232C"/>
    <w:rsid w:val="008D25B0"/>
    <w:rsid w:val="008D2617"/>
    <w:rsid w:val="008D2B9E"/>
    <w:rsid w:val="008D31A5"/>
    <w:rsid w:val="008D32A1"/>
    <w:rsid w:val="008D3321"/>
    <w:rsid w:val="008D3676"/>
    <w:rsid w:val="008D3A3B"/>
    <w:rsid w:val="008D3A46"/>
    <w:rsid w:val="008D3D3E"/>
    <w:rsid w:val="008D3F01"/>
    <w:rsid w:val="008D3F31"/>
    <w:rsid w:val="008D42A6"/>
    <w:rsid w:val="008D4895"/>
    <w:rsid w:val="008D4EE2"/>
    <w:rsid w:val="008D50E8"/>
    <w:rsid w:val="008D550C"/>
    <w:rsid w:val="008D5AA2"/>
    <w:rsid w:val="008D5B04"/>
    <w:rsid w:val="008D5CAA"/>
    <w:rsid w:val="008D6178"/>
    <w:rsid w:val="008D6214"/>
    <w:rsid w:val="008D689A"/>
    <w:rsid w:val="008D6A31"/>
    <w:rsid w:val="008D6F80"/>
    <w:rsid w:val="008D7434"/>
    <w:rsid w:val="008D76E9"/>
    <w:rsid w:val="008D785F"/>
    <w:rsid w:val="008D7A80"/>
    <w:rsid w:val="008E0390"/>
    <w:rsid w:val="008E03BF"/>
    <w:rsid w:val="008E03C5"/>
    <w:rsid w:val="008E0580"/>
    <w:rsid w:val="008E070A"/>
    <w:rsid w:val="008E1216"/>
    <w:rsid w:val="008E1558"/>
    <w:rsid w:val="008E237E"/>
    <w:rsid w:val="008E24EC"/>
    <w:rsid w:val="008E2528"/>
    <w:rsid w:val="008E2622"/>
    <w:rsid w:val="008E2780"/>
    <w:rsid w:val="008E2D47"/>
    <w:rsid w:val="008E2EFD"/>
    <w:rsid w:val="008E2F93"/>
    <w:rsid w:val="008E3314"/>
    <w:rsid w:val="008E3514"/>
    <w:rsid w:val="008E3A8D"/>
    <w:rsid w:val="008E3C6C"/>
    <w:rsid w:val="008E3E44"/>
    <w:rsid w:val="008E447B"/>
    <w:rsid w:val="008E45D8"/>
    <w:rsid w:val="008E4767"/>
    <w:rsid w:val="008E49EC"/>
    <w:rsid w:val="008E4A62"/>
    <w:rsid w:val="008E4B0A"/>
    <w:rsid w:val="008E4FDB"/>
    <w:rsid w:val="008E542C"/>
    <w:rsid w:val="008E5730"/>
    <w:rsid w:val="008E581B"/>
    <w:rsid w:val="008E5E9D"/>
    <w:rsid w:val="008E5FB6"/>
    <w:rsid w:val="008E5FBE"/>
    <w:rsid w:val="008E640E"/>
    <w:rsid w:val="008E64E1"/>
    <w:rsid w:val="008E6818"/>
    <w:rsid w:val="008E6C20"/>
    <w:rsid w:val="008E6D44"/>
    <w:rsid w:val="008E6FDB"/>
    <w:rsid w:val="008E70CB"/>
    <w:rsid w:val="008E76CB"/>
    <w:rsid w:val="008E7739"/>
    <w:rsid w:val="008E7790"/>
    <w:rsid w:val="008E7883"/>
    <w:rsid w:val="008E7A8C"/>
    <w:rsid w:val="008F025C"/>
    <w:rsid w:val="008F03D7"/>
    <w:rsid w:val="008F091A"/>
    <w:rsid w:val="008F0E72"/>
    <w:rsid w:val="008F0EF0"/>
    <w:rsid w:val="008F10B5"/>
    <w:rsid w:val="008F1280"/>
    <w:rsid w:val="008F12CC"/>
    <w:rsid w:val="008F1419"/>
    <w:rsid w:val="008F16DD"/>
    <w:rsid w:val="008F18B0"/>
    <w:rsid w:val="008F19A0"/>
    <w:rsid w:val="008F1AA8"/>
    <w:rsid w:val="008F1FDD"/>
    <w:rsid w:val="008F2249"/>
    <w:rsid w:val="008F23A6"/>
    <w:rsid w:val="008F2EED"/>
    <w:rsid w:val="008F308D"/>
    <w:rsid w:val="008F345D"/>
    <w:rsid w:val="008F35D8"/>
    <w:rsid w:val="008F3D84"/>
    <w:rsid w:val="008F43BA"/>
    <w:rsid w:val="008F4424"/>
    <w:rsid w:val="008F4BB3"/>
    <w:rsid w:val="008F4BE4"/>
    <w:rsid w:val="008F4C84"/>
    <w:rsid w:val="008F51BF"/>
    <w:rsid w:val="008F528F"/>
    <w:rsid w:val="008F53F4"/>
    <w:rsid w:val="008F54A4"/>
    <w:rsid w:val="008F5661"/>
    <w:rsid w:val="008F6862"/>
    <w:rsid w:val="008F6867"/>
    <w:rsid w:val="008F6EF3"/>
    <w:rsid w:val="008F7119"/>
    <w:rsid w:val="008F7564"/>
    <w:rsid w:val="00900120"/>
    <w:rsid w:val="00900C75"/>
    <w:rsid w:val="00900DFB"/>
    <w:rsid w:val="00900EBD"/>
    <w:rsid w:val="009010FE"/>
    <w:rsid w:val="0090143D"/>
    <w:rsid w:val="00901E2F"/>
    <w:rsid w:val="00901F3C"/>
    <w:rsid w:val="0090203B"/>
    <w:rsid w:val="00902432"/>
    <w:rsid w:val="00902BD9"/>
    <w:rsid w:val="00903285"/>
    <w:rsid w:val="00903646"/>
    <w:rsid w:val="009036C8"/>
    <w:rsid w:val="00903771"/>
    <w:rsid w:val="0090378B"/>
    <w:rsid w:val="00903F18"/>
    <w:rsid w:val="00903F2F"/>
    <w:rsid w:val="009042C7"/>
    <w:rsid w:val="009045E9"/>
    <w:rsid w:val="009046BA"/>
    <w:rsid w:val="00904B17"/>
    <w:rsid w:val="00904EBC"/>
    <w:rsid w:val="00904FDA"/>
    <w:rsid w:val="009056C2"/>
    <w:rsid w:val="00905DCF"/>
    <w:rsid w:val="00906303"/>
    <w:rsid w:val="00906312"/>
    <w:rsid w:val="00906A27"/>
    <w:rsid w:val="00906BDB"/>
    <w:rsid w:val="00906F40"/>
    <w:rsid w:val="00907260"/>
    <w:rsid w:val="00907314"/>
    <w:rsid w:val="0090731E"/>
    <w:rsid w:val="0090771D"/>
    <w:rsid w:val="00910010"/>
    <w:rsid w:val="009100F4"/>
    <w:rsid w:val="00910180"/>
    <w:rsid w:val="0091029F"/>
    <w:rsid w:val="00910889"/>
    <w:rsid w:val="00910A56"/>
    <w:rsid w:val="00910C4F"/>
    <w:rsid w:val="00910DD6"/>
    <w:rsid w:val="00910FF5"/>
    <w:rsid w:val="0091170D"/>
    <w:rsid w:val="009119D9"/>
    <w:rsid w:val="00911D4E"/>
    <w:rsid w:val="00912291"/>
    <w:rsid w:val="00912DCA"/>
    <w:rsid w:val="00912E6F"/>
    <w:rsid w:val="00912EFB"/>
    <w:rsid w:val="00913031"/>
    <w:rsid w:val="00913315"/>
    <w:rsid w:val="00913D41"/>
    <w:rsid w:val="0091465B"/>
    <w:rsid w:val="009148D6"/>
    <w:rsid w:val="009151D8"/>
    <w:rsid w:val="00915295"/>
    <w:rsid w:val="009152B5"/>
    <w:rsid w:val="00915B1C"/>
    <w:rsid w:val="00915B3E"/>
    <w:rsid w:val="00915EB3"/>
    <w:rsid w:val="009162C5"/>
    <w:rsid w:val="009167E7"/>
    <w:rsid w:val="0091727A"/>
    <w:rsid w:val="0091737D"/>
    <w:rsid w:val="009174F3"/>
    <w:rsid w:val="0091788A"/>
    <w:rsid w:val="0091797D"/>
    <w:rsid w:val="00917A29"/>
    <w:rsid w:val="009200A6"/>
    <w:rsid w:val="00920442"/>
    <w:rsid w:val="00920564"/>
    <w:rsid w:val="009205B4"/>
    <w:rsid w:val="009206A0"/>
    <w:rsid w:val="00920F29"/>
    <w:rsid w:val="00921264"/>
    <w:rsid w:val="00921269"/>
    <w:rsid w:val="00921616"/>
    <w:rsid w:val="00921B09"/>
    <w:rsid w:val="00921E7D"/>
    <w:rsid w:val="00921F55"/>
    <w:rsid w:val="0092224F"/>
    <w:rsid w:val="009229B0"/>
    <w:rsid w:val="00922B36"/>
    <w:rsid w:val="00922E73"/>
    <w:rsid w:val="00922FCA"/>
    <w:rsid w:val="00923009"/>
    <w:rsid w:val="00923177"/>
    <w:rsid w:val="00923273"/>
    <w:rsid w:val="00923330"/>
    <w:rsid w:val="00923925"/>
    <w:rsid w:val="00923A1A"/>
    <w:rsid w:val="00923CBA"/>
    <w:rsid w:val="00923CC6"/>
    <w:rsid w:val="00923CED"/>
    <w:rsid w:val="00923E84"/>
    <w:rsid w:val="00924035"/>
    <w:rsid w:val="00924077"/>
    <w:rsid w:val="009240C1"/>
    <w:rsid w:val="009240E6"/>
    <w:rsid w:val="009242EB"/>
    <w:rsid w:val="00924335"/>
    <w:rsid w:val="0092446E"/>
    <w:rsid w:val="00924899"/>
    <w:rsid w:val="00924AEB"/>
    <w:rsid w:val="00924DE7"/>
    <w:rsid w:val="00924EB7"/>
    <w:rsid w:val="00925616"/>
    <w:rsid w:val="00925724"/>
    <w:rsid w:val="00925B52"/>
    <w:rsid w:val="00925E03"/>
    <w:rsid w:val="009262F3"/>
    <w:rsid w:val="009263CF"/>
    <w:rsid w:val="00926423"/>
    <w:rsid w:val="009264EB"/>
    <w:rsid w:val="00926703"/>
    <w:rsid w:val="00926708"/>
    <w:rsid w:val="00926AB6"/>
    <w:rsid w:val="00926FDF"/>
    <w:rsid w:val="00927691"/>
    <w:rsid w:val="00927A5F"/>
    <w:rsid w:val="00930510"/>
    <w:rsid w:val="009307DA"/>
    <w:rsid w:val="00930853"/>
    <w:rsid w:val="009309F3"/>
    <w:rsid w:val="00930B64"/>
    <w:rsid w:val="00930D3B"/>
    <w:rsid w:val="00930DE6"/>
    <w:rsid w:val="009311AF"/>
    <w:rsid w:val="009318D0"/>
    <w:rsid w:val="00931DEF"/>
    <w:rsid w:val="009326E8"/>
    <w:rsid w:val="00932ACD"/>
    <w:rsid w:val="0093366D"/>
    <w:rsid w:val="00933735"/>
    <w:rsid w:val="00933F48"/>
    <w:rsid w:val="00934041"/>
    <w:rsid w:val="00934229"/>
    <w:rsid w:val="0093446B"/>
    <w:rsid w:val="009344C9"/>
    <w:rsid w:val="0093483A"/>
    <w:rsid w:val="00934915"/>
    <w:rsid w:val="00934B95"/>
    <w:rsid w:val="00934F68"/>
    <w:rsid w:val="00934F6F"/>
    <w:rsid w:val="0093536D"/>
    <w:rsid w:val="00935384"/>
    <w:rsid w:val="009359F3"/>
    <w:rsid w:val="00935A21"/>
    <w:rsid w:val="00935A4F"/>
    <w:rsid w:val="00935AEF"/>
    <w:rsid w:val="00935B63"/>
    <w:rsid w:val="00935C77"/>
    <w:rsid w:val="00935DE1"/>
    <w:rsid w:val="00936A70"/>
    <w:rsid w:val="00936C34"/>
    <w:rsid w:val="00936D6B"/>
    <w:rsid w:val="009373CE"/>
    <w:rsid w:val="00937720"/>
    <w:rsid w:val="009377BD"/>
    <w:rsid w:val="00937F04"/>
    <w:rsid w:val="0094078F"/>
    <w:rsid w:val="00940FA3"/>
    <w:rsid w:val="0094108E"/>
    <w:rsid w:val="0094117C"/>
    <w:rsid w:val="00941A3F"/>
    <w:rsid w:val="00941EAD"/>
    <w:rsid w:val="00941FB0"/>
    <w:rsid w:val="0094240D"/>
    <w:rsid w:val="009424D7"/>
    <w:rsid w:val="009426D4"/>
    <w:rsid w:val="00942A2E"/>
    <w:rsid w:val="00942D84"/>
    <w:rsid w:val="00943544"/>
    <w:rsid w:val="00943A8F"/>
    <w:rsid w:val="00943EB6"/>
    <w:rsid w:val="00944099"/>
    <w:rsid w:val="0094426B"/>
    <w:rsid w:val="00944273"/>
    <w:rsid w:val="00944845"/>
    <w:rsid w:val="009449FE"/>
    <w:rsid w:val="00944E55"/>
    <w:rsid w:val="00944F07"/>
    <w:rsid w:val="00945544"/>
    <w:rsid w:val="00945620"/>
    <w:rsid w:val="009458A2"/>
    <w:rsid w:val="009458B6"/>
    <w:rsid w:val="00945913"/>
    <w:rsid w:val="00945C7E"/>
    <w:rsid w:val="00946381"/>
    <w:rsid w:val="00946657"/>
    <w:rsid w:val="00946804"/>
    <w:rsid w:val="009468F4"/>
    <w:rsid w:val="00946CD3"/>
    <w:rsid w:val="00946F17"/>
    <w:rsid w:val="00947006"/>
    <w:rsid w:val="00947327"/>
    <w:rsid w:val="009473B9"/>
    <w:rsid w:val="009474DD"/>
    <w:rsid w:val="00947786"/>
    <w:rsid w:val="00947F25"/>
    <w:rsid w:val="0095003B"/>
    <w:rsid w:val="00950159"/>
    <w:rsid w:val="00950176"/>
    <w:rsid w:val="00950BEF"/>
    <w:rsid w:val="0095146C"/>
    <w:rsid w:val="00951A0F"/>
    <w:rsid w:val="00951CB8"/>
    <w:rsid w:val="00951DDD"/>
    <w:rsid w:val="00952352"/>
    <w:rsid w:val="00952617"/>
    <w:rsid w:val="00952F93"/>
    <w:rsid w:val="00953108"/>
    <w:rsid w:val="00953189"/>
    <w:rsid w:val="0095321F"/>
    <w:rsid w:val="00953B3A"/>
    <w:rsid w:val="00953C8A"/>
    <w:rsid w:val="009543B9"/>
    <w:rsid w:val="00954760"/>
    <w:rsid w:val="00954765"/>
    <w:rsid w:val="0095488E"/>
    <w:rsid w:val="0095490B"/>
    <w:rsid w:val="009549BA"/>
    <w:rsid w:val="0095535F"/>
    <w:rsid w:val="0095551D"/>
    <w:rsid w:val="00955EBE"/>
    <w:rsid w:val="00956092"/>
    <w:rsid w:val="00956150"/>
    <w:rsid w:val="0095686C"/>
    <w:rsid w:val="00956B72"/>
    <w:rsid w:val="00956CE4"/>
    <w:rsid w:val="00956E8F"/>
    <w:rsid w:val="00956EC3"/>
    <w:rsid w:val="00957001"/>
    <w:rsid w:val="009570D0"/>
    <w:rsid w:val="0095715A"/>
    <w:rsid w:val="00957A19"/>
    <w:rsid w:val="00957E0B"/>
    <w:rsid w:val="00957E39"/>
    <w:rsid w:val="00960A33"/>
    <w:rsid w:val="00960E03"/>
    <w:rsid w:val="00960FA2"/>
    <w:rsid w:val="00961480"/>
    <w:rsid w:val="00961E8A"/>
    <w:rsid w:val="0096202B"/>
    <w:rsid w:val="009623FA"/>
    <w:rsid w:val="009627F5"/>
    <w:rsid w:val="00962841"/>
    <w:rsid w:val="00962971"/>
    <w:rsid w:val="009629F1"/>
    <w:rsid w:val="00962C63"/>
    <w:rsid w:val="00962D3B"/>
    <w:rsid w:val="00962F39"/>
    <w:rsid w:val="00962F3D"/>
    <w:rsid w:val="00963CA7"/>
    <w:rsid w:val="0096423E"/>
    <w:rsid w:val="009647D8"/>
    <w:rsid w:val="00965379"/>
    <w:rsid w:val="009654A9"/>
    <w:rsid w:val="00965A74"/>
    <w:rsid w:val="0096630A"/>
    <w:rsid w:val="00966A20"/>
    <w:rsid w:val="00966D52"/>
    <w:rsid w:val="009671F9"/>
    <w:rsid w:val="00967423"/>
    <w:rsid w:val="0096770F"/>
    <w:rsid w:val="009677F0"/>
    <w:rsid w:val="0096788A"/>
    <w:rsid w:val="00970061"/>
    <w:rsid w:val="009700EE"/>
    <w:rsid w:val="009703C4"/>
    <w:rsid w:val="0097042F"/>
    <w:rsid w:val="00970571"/>
    <w:rsid w:val="00970725"/>
    <w:rsid w:val="0097075D"/>
    <w:rsid w:val="009708B4"/>
    <w:rsid w:val="00970E0E"/>
    <w:rsid w:val="00970E71"/>
    <w:rsid w:val="00970ECD"/>
    <w:rsid w:val="009713DC"/>
    <w:rsid w:val="00971519"/>
    <w:rsid w:val="009715F6"/>
    <w:rsid w:val="00971914"/>
    <w:rsid w:val="00971963"/>
    <w:rsid w:val="00971E28"/>
    <w:rsid w:val="009720FC"/>
    <w:rsid w:val="00972105"/>
    <w:rsid w:val="00972427"/>
    <w:rsid w:val="00972E91"/>
    <w:rsid w:val="009730D5"/>
    <w:rsid w:val="00973106"/>
    <w:rsid w:val="009732F0"/>
    <w:rsid w:val="00973A7D"/>
    <w:rsid w:val="00973B7F"/>
    <w:rsid w:val="00973C24"/>
    <w:rsid w:val="00973C5D"/>
    <w:rsid w:val="00973F53"/>
    <w:rsid w:val="00973F8F"/>
    <w:rsid w:val="00974363"/>
    <w:rsid w:val="009748CB"/>
    <w:rsid w:val="00975137"/>
    <w:rsid w:val="009756C3"/>
    <w:rsid w:val="0097571C"/>
    <w:rsid w:val="00975964"/>
    <w:rsid w:val="00975E79"/>
    <w:rsid w:val="00975F0D"/>
    <w:rsid w:val="00976691"/>
    <w:rsid w:val="009768FC"/>
    <w:rsid w:val="00976A47"/>
    <w:rsid w:val="00977533"/>
    <w:rsid w:val="009778BE"/>
    <w:rsid w:val="00977BF0"/>
    <w:rsid w:val="00977DF1"/>
    <w:rsid w:val="009802DD"/>
    <w:rsid w:val="0098055A"/>
    <w:rsid w:val="00980942"/>
    <w:rsid w:val="00980CEE"/>
    <w:rsid w:val="0098116B"/>
    <w:rsid w:val="00981898"/>
    <w:rsid w:val="00981DBA"/>
    <w:rsid w:val="00981F5A"/>
    <w:rsid w:val="009822AD"/>
    <w:rsid w:val="00982442"/>
    <w:rsid w:val="00982A70"/>
    <w:rsid w:val="00982B62"/>
    <w:rsid w:val="0098326F"/>
    <w:rsid w:val="009837BB"/>
    <w:rsid w:val="009841CB"/>
    <w:rsid w:val="00984372"/>
    <w:rsid w:val="0098482E"/>
    <w:rsid w:val="00984F77"/>
    <w:rsid w:val="00985C1E"/>
    <w:rsid w:val="00985E0D"/>
    <w:rsid w:val="00985F4E"/>
    <w:rsid w:val="00986622"/>
    <w:rsid w:val="009866A9"/>
    <w:rsid w:val="00986792"/>
    <w:rsid w:val="00986ACA"/>
    <w:rsid w:val="00986DA3"/>
    <w:rsid w:val="00987471"/>
    <w:rsid w:val="00987557"/>
    <w:rsid w:val="009877CE"/>
    <w:rsid w:val="00987937"/>
    <w:rsid w:val="00987D08"/>
    <w:rsid w:val="00987D59"/>
    <w:rsid w:val="009901CD"/>
    <w:rsid w:val="00990412"/>
    <w:rsid w:val="009906DA"/>
    <w:rsid w:val="009908DD"/>
    <w:rsid w:val="00990951"/>
    <w:rsid w:val="00990B5D"/>
    <w:rsid w:val="00990FC8"/>
    <w:rsid w:val="0099158C"/>
    <w:rsid w:val="009916CE"/>
    <w:rsid w:val="00991703"/>
    <w:rsid w:val="00991E1A"/>
    <w:rsid w:val="00991F74"/>
    <w:rsid w:val="0099239F"/>
    <w:rsid w:val="009924A1"/>
    <w:rsid w:val="009924DA"/>
    <w:rsid w:val="00992FB1"/>
    <w:rsid w:val="00993143"/>
    <w:rsid w:val="009932D2"/>
    <w:rsid w:val="00993482"/>
    <w:rsid w:val="00993A91"/>
    <w:rsid w:val="00993ED8"/>
    <w:rsid w:val="00994695"/>
    <w:rsid w:val="009946E6"/>
    <w:rsid w:val="00994726"/>
    <w:rsid w:val="009953CA"/>
    <w:rsid w:val="00995439"/>
    <w:rsid w:val="00995628"/>
    <w:rsid w:val="0099577C"/>
    <w:rsid w:val="00995A5E"/>
    <w:rsid w:val="00995D83"/>
    <w:rsid w:val="00995F06"/>
    <w:rsid w:val="00996106"/>
    <w:rsid w:val="0099611B"/>
    <w:rsid w:val="00996244"/>
    <w:rsid w:val="00996339"/>
    <w:rsid w:val="009966F2"/>
    <w:rsid w:val="009978ED"/>
    <w:rsid w:val="00997CB0"/>
    <w:rsid w:val="00997CFC"/>
    <w:rsid w:val="00997DCF"/>
    <w:rsid w:val="009A00F8"/>
    <w:rsid w:val="009A03A5"/>
    <w:rsid w:val="009A05A0"/>
    <w:rsid w:val="009A087C"/>
    <w:rsid w:val="009A0DED"/>
    <w:rsid w:val="009A11F7"/>
    <w:rsid w:val="009A17F5"/>
    <w:rsid w:val="009A200A"/>
    <w:rsid w:val="009A2233"/>
    <w:rsid w:val="009A2430"/>
    <w:rsid w:val="009A24C1"/>
    <w:rsid w:val="009A3547"/>
    <w:rsid w:val="009A37C4"/>
    <w:rsid w:val="009A3BE7"/>
    <w:rsid w:val="009A40CE"/>
    <w:rsid w:val="009A41E0"/>
    <w:rsid w:val="009A4466"/>
    <w:rsid w:val="009A4641"/>
    <w:rsid w:val="009A4A69"/>
    <w:rsid w:val="009A4CE3"/>
    <w:rsid w:val="009A4D15"/>
    <w:rsid w:val="009A4D37"/>
    <w:rsid w:val="009A50EF"/>
    <w:rsid w:val="009A5158"/>
    <w:rsid w:val="009A57B8"/>
    <w:rsid w:val="009A5BE6"/>
    <w:rsid w:val="009A615E"/>
    <w:rsid w:val="009A6979"/>
    <w:rsid w:val="009A6BF3"/>
    <w:rsid w:val="009A7230"/>
    <w:rsid w:val="009A760C"/>
    <w:rsid w:val="009A7784"/>
    <w:rsid w:val="009A7AA5"/>
    <w:rsid w:val="009B0021"/>
    <w:rsid w:val="009B009E"/>
    <w:rsid w:val="009B0685"/>
    <w:rsid w:val="009B06F6"/>
    <w:rsid w:val="009B073F"/>
    <w:rsid w:val="009B0745"/>
    <w:rsid w:val="009B10CA"/>
    <w:rsid w:val="009B176D"/>
    <w:rsid w:val="009B17E3"/>
    <w:rsid w:val="009B1835"/>
    <w:rsid w:val="009B1DF9"/>
    <w:rsid w:val="009B1F0B"/>
    <w:rsid w:val="009B2213"/>
    <w:rsid w:val="009B24A5"/>
    <w:rsid w:val="009B2601"/>
    <w:rsid w:val="009B3415"/>
    <w:rsid w:val="009B3519"/>
    <w:rsid w:val="009B3AB6"/>
    <w:rsid w:val="009B3BCE"/>
    <w:rsid w:val="009B3DBC"/>
    <w:rsid w:val="009B3E33"/>
    <w:rsid w:val="009B40C6"/>
    <w:rsid w:val="009B44D6"/>
    <w:rsid w:val="009B47C0"/>
    <w:rsid w:val="009B4E9E"/>
    <w:rsid w:val="009B5011"/>
    <w:rsid w:val="009B543C"/>
    <w:rsid w:val="009B5705"/>
    <w:rsid w:val="009B5B57"/>
    <w:rsid w:val="009B5C92"/>
    <w:rsid w:val="009B63F5"/>
    <w:rsid w:val="009B6433"/>
    <w:rsid w:val="009B69E1"/>
    <w:rsid w:val="009B6C4A"/>
    <w:rsid w:val="009B6E63"/>
    <w:rsid w:val="009B7627"/>
    <w:rsid w:val="009C00CF"/>
    <w:rsid w:val="009C01C8"/>
    <w:rsid w:val="009C041E"/>
    <w:rsid w:val="009C0543"/>
    <w:rsid w:val="009C06D2"/>
    <w:rsid w:val="009C0AE3"/>
    <w:rsid w:val="009C0B4B"/>
    <w:rsid w:val="009C0E1F"/>
    <w:rsid w:val="009C0E46"/>
    <w:rsid w:val="009C1223"/>
    <w:rsid w:val="009C1440"/>
    <w:rsid w:val="009C1690"/>
    <w:rsid w:val="009C18E5"/>
    <w:rsid w:val="009C194A"/>
    <w:rsid w:val="009C1E25"/>
    <w:rsid w:val="009C36F7"/>
    <w:rsid w:val="009C3BBB"/>
    <w:rsid w:val="009C3BF5"/>
    <w:rsid w:val="009C3CB6"/>
    <w:rsid w:val="009C3CFB"/>
    <w:rsid w:val="009C3EB9"/>
    <w:rsid w:val="009C4176"/>
    <w:rsid w:val="009C4543"/>
    <w:rsid w:val="009C4561"/>
    <w:rsid w:val="009C4E40"/>
    <w:rsid w:val="009C5056"/>
    <w:rsid w:val="009C5247"/>
    <w:rsid w:val="009C5423"/>
    <w:rsid w:val="009C5722"/>
    <w:rsid w:val="009C5E88"/>
    <w:rsid w:val="009C60C9"/>
    <w:rsid w:val="009C630F"/>
    <w:rsid w:val="009C63C5"/>
    <w:rsid w:val="009C6786"/>
    <w:rsid w:val="009C6881"/>
    <w:rsid w:val="009C6888"/>
    <w:rsid w:val="009C6DDB"/>
    <w:rsid w:val="009C709F"/>
    <w:rsid w:val="009C7370"/>
    <w:rsid w:val="009C74DA"/>
    <w:rsid w:val="009C7666"/>
    <w:rsid w:val="009C769A"/>
    <w:rsid w:val="009C7759"/>
    <w:rsid w:val="009C7C0F"/>
    <w:rsid w:val="009C7DFE"/>
    <w:rsid w:val="009D00CD"/>
    <w:rsid w:val="009D01C9"/>
    <w:rsid w:val="009D036C"/>
    <w:rsid w:val="009D043D"/>
    <w:rsid w:val="009D07C8"/>
    <w:rsid w:val="009D0BE4"/>
    <w:rsid w:val="009D141F"/>
    <w:rsid w:val="009D1743"/>
    <w:rsid w:val="009D1878"/>
    <w:rsid w:val="009D19E9"/>
    <w:rsid w:val="009D1BD8"/>
    <w:rsid w:val="009D1D05"/>
    <w:rsid w:val="009D226C"/>
    <w:rsid w:val="009D2529"/>
    <w:rsid w:val="009D284B"/>
    <w:rsid w:val="009D29CA"/>
    <w:rsid w:val="009D2A61"/>
    <w:rsid w:val="009D2E18"/>
    <w:rsid w:val="009D2F27"/>
    <w:rsid w:val="009D2FFF"/>
    <w:rsid w:val="009D304A"/>
    <w:rsid w:val="009D3B89"/>
    <w:rsid w:val="009D405F"/>
    <w:rsid w:val="009D4237"/>
    <w:rsid w:val="009D4A5B"/>
    <w:rsid w:val="009D4D99"/>
    <w:rsid w:val="009D4E7D"/>
    <w:rsid w:val="009D5367"/>
    <w:rsid w:val="009D5881"/>
    <w:rsid w:val="009D5BB9"/>
    <w:rsid w:val="009D6135"/>
    <w:rsid w:val="009D63B0"/>
    <w:rsid w:val="009D684D"/>
    <w:rsid w:val="009D6965"/>
    <w:rsid w:val="009D6C71"/>
    <w:rsid w:val="009D72B9"/>
    <w:rsid w:val="009D738A"/>
    <w:rsid w:val="009D76BC"/>
    <w:rsid w:val="009D7987"/>
    <w:rsid w:val="009D7E12"/>
    <w:rsid w:val="009E008E"/>
    <w:rsid w:val="009E0527"/>
    <w:rsid w:val="009E0631"/>
    <w:rsid w:val="009E0849"/>
    <w:rsid w:val="009E0A10"/>
    <w:rsid w:val="009E0E12"/>
    <w:rsid w:val="009E10A5"/>
    <w:rsid w:val="009E1652"/>
    <w:rsid w:val="009E16D0"/>
    <w:rsid w:val="009E16F6"/>
    <w:rsid w:val="009E18B4"/>
    <w:rsid w:val="009E19CC"/>
    <w:rsid w:val="009E1A50"/>
    <w:rsid w:val="009E1EFA"/>
    <w:rsid w:val="009E1F77"/>
    <w:rsid w:val="009E1F91"/>
    <w:rsid w:val="009E2051"/>
    <w:rsid w:val="009E2150"/>
    <w:rsid w:val="009E2217"/>
    <w:rsid w:val="009E221A"/>
    <w:rsid w:val="009E224D"/>
    <w:rsid w:val="009E2463"/>
    <w:rsid w:val="009E2B4C"/>
    <w:rsid w:val="009E2F0A"/>
    <w:rsid w:val="009E3473"/>
    <w:rsid w:val="009E350B"/>
    <w:rsid w:val="009E38FD"/>
    <w:rsid w:val="009E3C95"/>
    <w:rsid w:val="009E3DD2"/>
    <w:rsid w:val="009E3F45"/>
    <w:rsid w:val="009E3FAC"/>
    <w:rsid w:val="009E4345"/>
    <w:rsid w:val="009E441F"/>
    <w:rsid w:val="009E45BC"/>
    <w:rsid w:val="009E4628"/>
    <w:rsid w:val="009E47A7"/>
    <w:rsid w:val="009E49A6"/>
    <w:rsid w:val="009E4CBC"/>
    <w:rsid w:val="009E4EEA"/>
    <w:rsid w:val="009E5060"/>
    <w:rsid w:val="009E50AA"/>
    <w:rsid w:val="009E5331"/>
    <w:rsid w:val="009E593D"/>
    <w:rsid w:val="009E5A3D"/>
    <w:rsid w:val="009E5FB4"/>
    <w:rsid w:val="009E647B"/>
    <w:rsid w:val="009E6900"/>
    <w:rsid w:val="009F034F"/>
    <w:rsid w:val="009F05F3"/>
    <w:rsid w:val="009F0976"/>
    <w:rsid w:val="009F09FE"/>
    <w:rsid w:val="009F0CD9"/>
    <w:rsid w:val="009F0EFD"/>
    <w:rsid w:val="009F12FF"/>
    <w:rsid w:val="009F1334"/>
    <w:rsid w:val="009F1367"/>
    <w:rsid w:val="009F13D6"/>
    <w:rsid w:val="009F1576"/>
    <w:rsid w:val="009F1F0D"/>
    <w:rsid w:val="009F21A6"/>
    <w:rsid w:val="009F2664"/>
    <w:rsid w:val="009F2955"/>
    <w:rsid w:val="009F2C6E"/>
    <w:rsid w:val="009F2E01"/>
    <w:rsid w:val="009F2F1C"/>
    <w:rsid w:val="009F3680"/>
    <w:rsid w:val="009F38D0"/>
    <w:rsid w:val="009F39BE"/>
    <w:rsid w:val="009F3DB2"/>
    <w:rsid w:val="009F3EBB"/>
    <w:rsid w:val="009F433F"/>
    <w:rsid w:val="009F4C6B"/>
    <w:rsid w:val="009F4C9A"/>
    <w:rsid w:val="009F4F34"/>
    <w:rsid w:val="009F4FFB"/>
    <w:rsid w:val="009F5216"/>
    <w:rsid w:val="009F535B"/>
    <w:rsid w:val="009F5414"/>
    <w:rsid w:val="009F5A83"/>
    <w:rsid w:val="009F5C0F"/>
    <w:rsid w:val="009F5C1E"/>
    <w:rsid w:val="009F62F5"/>
    <w:rsid w:val="009F6B0E"/>
    <w:rsid w:val="009F6EE6"/>
    <w:rsid w:val="009F70C8"/>
    <w:rsid w:val="009F7415"/>
    <w:rsid w:val="009F75AB"/>
    <w:rsid w:val="009F7876"/>
    <w:rsid w:val="009F78A8"/>
    <w:rsid w:val="009F7A14"/>
    <w:rsid w:val="009F7B7E"/>
    <w:rsid w:val="00A005FE"/>
    <w:rsid w:val="00A00796"/>
    <w:rsid w:val="00A00AA2"/>
    <w:rsid w:val="00A0163C"/>
    <w:rsid w:val="00A01C80"/>
    <w:rsid w:val="00A01E71"/>
    <w:rsid w:val="00A01F57"/>
    <w:rsid w:val="00A02906"/>
    <w:rsid w:val="00A02AD6"/>
    <w:rsid w:val="00A02F06"/>
    <w:rsid w:val="00A02F82"/>
    <w:rsid w:val="00A034DC"/>
    <w:rsid w:val="00A036EF"/>
    <w:rsid w:val="00A03CC4"/>
    <w:rsid w:val="00A03DEE"/>
    <w:rsid w:val="00A0417B"/>
    <w:rsid w:val="00A0428F"/>
    <w:rsid w:val="00A04644"/>
    <w:rsid w:val="00A04718"/>
    <w:rsid w:val="00A04995"/>
    <w:rsid w:val="00A04D41"/>
    <w:rsid w:val="00A04DA0"/>
    <w:rsid w:val="00A052B7"/>
    <w:rsid w:val="00A052BD"/>
    <w:rsid w:val="00A055A8"/>
    <w:rsid w:val="00A05EC6"/>
    <w:rsid w:val="00A05F43"/>
    <w:rsid w:val="00A05FCD"/>
    <w:rsid w:val="00A06153"/>
    <w:rsid w:val="00A06764"/>
    <w:rsid w:val="00A06CEC"/>
    <w:rsid w:val="00A07096"/>
    <w:rsid w:val="00A072F5"/>
    <w:rsid w:val="00A07318"/>
    <w:rsid w:val="00A073B2"/>
    <w:rsid w:val="00A07605"/>
    <w:rsid w:val="00A07ABF"/>
    <w:rsid w:val="00A07D66"/>
    <w:rsid w:val="00A07D90"/>
    <w:rsid w:val="00A07E5A"/>
    <w:rsid w:val="00A103AD"/>
    <w:rsid w:val="00A10768"/>
    <w:rsid w:val="00A10AAC"/>
    <w:rsid w:val="00A10D02"/>
    <w:rsid w:val="00A10FE7"/>
    <w:rsid w:val="00A11370"/>
    <w:rsid w:val="00A11539"/>
    <w:rsid w:val="00A11546"/>
    <w:rsid w:val="00A1163F"/>
    <w:rsid w:val="00A11872"/>
    <w:rsid w:val="00A11C84"/>
    <w:rsid w:val="00A11D8D"/>
    <w:rsid w:val="00A11E78"/>
    <w:rsid w:val="00A1215E"/>
    <w:rsid w:val="00A126BF"/>
    <w:rsid w:val="00A12B33"/>
    <w:rsid w:val="00A12EDF"/>
    <w:rsid w:val="00A13169"/>
    <w:rsid w:val="00A1335E"/>
    <w:rsid w:val="00A139B6"/>
    <w:rsid w:val="00A1405B"/>
    <w:rsid w:val="00A145E4"/>
    <w:rsid w:val="00A147FC"/>
    <w:rsid w:val="00A14866"/>
    <w:rsid w:val="00A149A7"/>
    <w:rsid w:val="00A14F28"/>
    <w:rsid w:val="00A14FD7"/>
    <w:rsid w:val="00A15566"/>
    <w:rsid w:val="00A15874"/>
    <w:rsid w:val="00A159EA"/>
    <w:rsid w:val="00A15A26"/>
    <w:rsid w:val="00A15AEC"/>
    <w:rsid w:val="00A15F1C"/>
    <w:rsid w:val="00A16609"/>
    <w:rsid w:val="00A16F48"/>
    <w:rsid w:val="00A170D2"/>
    <w:rsid w:val="00A17253"/>
    <w:rsid w:val="00A173B7"/>
    <w:rsid w:val="00A17532"/>
    <w:rsid w:val="00A175AF"/>
    <w:rsid w:val="00A1776A"/>
    <w:rsid w:val="00A177D2"/>
    <w:rsid w:val="00A1787A"/>
    <w:rsid w:val="00A17B1B"/>
    <w:rsid w:val="00A2037B"/>
    <w:rsid w:val="00A209E6"/>
    <w:rsid w:val="00A20AFE"/>
    <w:rsid w:val="00A20B5A"/>
    <w:rsid w:val="00A20DE1"/>
    <w:rsid w:val="00A20E3E"/>
    <w:rsid w:val="00A210AE"/>
    <w:rsid w:val="00A21A94"/>
    <w:rsid w:val="00A21F80"/>
    <w:rsid w:val="00A21FED"/>
    <w:rsid w:val="00A224CE"/>
    <w:rsid w:val="00A22522"/>
    <w:rsid w:val="00A22B9A"/>
    <w:rsid w:val="00A22C56"/>
    <w:rsid w:val="00A22E62"/>
    <w:rsid w:val="00A22E95"/>
    <w:rsid w:val="00A2349C"/>
    <w:rsid w:val="00A237CB"/>
    <w:rsid w:val="00A23EF1"/>
    <w:rsid w:val="00A2434F"/>
    <w:rsid w:val="00A2440D"/>
    <w:rsid w:val="00A24882"/>
    <w:rsid w:val="00A24AFD"/>
    <w:rsid w:val="00A24BA2"/>
    <w:rsid w:val="00A24C1B"/>
    <w:rsid w:val="00A24C42"/>
    <w:rsid w:val="00A24F5C"/>
    <w:rsid w:val="00A25157"/>
    <w:rsid w:val="00A25933"/>
    <w:rsid w:val="00A259E2"/>
    <w:rsid w:val="00A25C30"/>
    <w:rsid w:val="00A25D37"/>
    <w:rsid w:val="00A26301"/>
    <w:rsid w:val="00A26328"/>
    <w:rsid w:val="00A266B4"/>
    <w:rsid w:val="00A2677E"/>
    <w:rsid w:val="00A2692D"/>
    <w:rsid w:val="00A26975"/>
    <w:rsid w:val="00A26BB9"/>
    <w:rsid w:val="00A26C2C"/>
    <w:rsid w:val="00A26E00"/>
    <w:rsid w:val="00A270EC"/>
    <w:rsid w:val="00A272D9"/>
    <w:rsid w:val="00A27430"/>
    <w:rsid w:val="00A27947"/>
    <w:rsid w:val="00A27C60"/>
    <w:rsid w:val="00A30162"/>
    <w:rsid w:val="00A3037B"/>
    <w:rsid w:val="00A306B7"/>
    <w:rsid w:val="00A306BE"/>
    <w:rsid w:val="00A307E5"/>
    <w:rsid w:val="00A30810"/>
    <w:rsid w:val="00A30937"/>
    <w:rsid w:val="00A30ADF"/>
    <w:rsid w:val="00A30BD1"/>
    <w:rsid w:val="00A310D5"/>
    <w:rsid w:val="00A311BD"/>
    <w:rsid w:val="00A315CF"/>
    <w:rsid w:val="00A317C1"/>
    <w:rsid w:val="00A31CB8"/>
    <w:rsid w:val="00A3246B"/>
    <w:rsid w:val="00A325F8"/>
    <w:rsid w:val="00A326D4"/>
    <w:rsid w:val="00A32F96"/>
    <w:rsid w:val="00A333FF"/>
    <w:rsid w:val="00A33535"/>
    <w:rsid w:val="00A33AAD"/>
    <w:rsid w:val="00A33EBB"/>
    <w:rsid w:val="00A34241"/>
    <w:rsid w:val="00A343EE"/>
    <w:rsid w:val="00A34A22"/>
    <w:rsid w:val="00A34B77"/>
    <w:rsid w:val="00A34C49"/>
    <w:rsid w:val="00A34CE0"/>
    <w:rsid w:val="00A34EE7"/>
    <w:rsid w:val="00A34FB8"/>
    <w:rsid w:val="00A35038"/>
    <w:rsid w:val="00A355B6"/>
    <w:rsid w:val="00A35817"/>
    <w:rsid w:val="00A35963"/>
    <w:rsid w:val="00A36062"/>
    <w:rsid w:val="00A3644A"/>
    <w:rsid w:val="00A36B5C"/>
    <w:rsid w:val="00A36D5F"/>
    <w:rsid w:val="00A36E49"/>
    <w:rsid w:val="00A36E72"/>
    <w:rsid w:val="00A378EB"/>
    <w:rsid w:val="00A37993"/>
    <w:rsid w:val="00A37B5A"/>
    <w:rsid w:val="00A37EE1"/>
    <w:rsid w:val="00A40626"/>
    <w:rsid w:val="00A40871"/>
    <w:rsid w:val="00A40889"/>
    <w:rsid w:val="00A40C42"/>
    <w:rsid w:val="00A40F83"/>
    <w:rsid w:val="00A410D7"/>
    <w:rsid w:val="00A411E2"/>
    <w:rsid w:val="00A412AB"/>
    <w:rsid w:val="00A4193E"/>
    <w:rsid w:val="00A4250E"/>
    <w:rsid w:val="00A4281E"/>
    <w:rsid w:val="00A429B1"/>
    <w:rsid w:val="00A42BCB"/>
    <w:rsid w:val="00A430BB"/>
    <w:rsid w:val="00A43177"/>
    <w:rsid w:val="00A432F9"/>
    <w:rsid w:val="00A434B1"/>
    <w:rsid w:val="00A434CA"/>
    <w:rsid w:val="00A43549"/>
    <w:rsid w:val="00A437FC"/>
    <w:rsid w:val="00A438AB"/>
    <w:rsid w:val="00A43EAA"/>
    <w:rsid w:val="00A440DD"/>
    <w:rsid w:val="00A440E0"/>
    <w:rsid w:val="00A442EF"/>
    <w:rsid w:val="00A44613"/>
    <w:rsid w:val="00A451FA"/>
    <w:rsid w:val="00A4580F"/>
    <w:rsid w:val="00A45DDA"/>
    <w:rsid w:val="00A4635C"/>
    <w:rsid w:val="00A46510"/>
    <w:rsid w:val="00A46520"/>
    <w:rsid w:val="00A46D71"/>
    <w:rsid w:val="00A470BD"/>
    <w:rsid w:val="00A476AB"/>
    <w:rsid w:val="00A47751"/>
    <w:rsid w:val="00A47BB4"/>
    <w:rsid w:val="00A47F43"/>
    <w:rsid w:val="00A50A4B"/>
    <w:rsid w:val="00A50B40"/>
    <w:rsid w:val="00A5115E"/>
    <w:rsid w:val="00A512F0"/>
    <w:rsid w:val="00A51A1A"/>
    <w:rsid w:val="00A51A9A"/>
    <w:rsid w:val="00A51BF2"/>
    <w:rsid w:val="00A51D1A"/>
    <w:rsid w:val="00A51D7D"/>
    <w:rsid w:val="00A52216"/>
    <w:rsid w:val="00A527B7"/>
    <w:rsid w:val="00A534AF"/>
    <w:rsid w:val="00A5358F"/>
    <w:rsid w:val="00A53691"/>
    <w:rsid w:val="00A536D2"/>
    <w:rsid w:val="00A5376A"/>
    <w:rsid w:val="00A53847"/>
    <w:rsid w:val="00A5397B"/>
    <w:rsid w:val="00A5398D"/>
    <w:rsid w:val="00A53D60"/>
    <w:rsid w:val="00A5418D"/>
    <w:rsid w:val="00A5474E"/>
    <w:rsid w:val="00A5489B"/>
    <w:rsid w:val="00A54A0C"/>
    <w:rsid w:val="00A54F7B"/>
    <w:rsid w:val="00A55B8D"/>
    <w:rsid w:val="00A55C94"/>
    <w:rsid w:val="00A55EF4"/>
    <w:rsid w:val="00A561C7"/>
    <w:rsid w:val="00A567EB"/>
    <w:rsid w:val="00A56D47"/>
    <w:rsid w:val="00A56DF7"/>
    <w:rsid w:val="00A57A13"/>
    <w:rsid w:val="00A57F5E"/>
    <w:rsid w:val="00A600E1"/>
    <w:rsid w:val="00A60468"/>
    <w:rsid w:val="00A60849"/>
    <w:rsid w:val="00A60B0E"/>
    <w:rsid w:val="00A60D34"/>
    <w:rsid w:val="00A60E44"/>
    <w:rsid w:val="00A61055"/>
    <w:rsid w:val="00A6128A"/>
    <w:rsid w:val="00A61574"/>
    <w:rsid w:val="00A617DC"/>
    <w:rsid w:val="00A61860"/>
    <w:rsid w:val="00A626C0"/>
    <w:rsid w:val="00A627E7"/>
    <w:rsid w:val="00A627F9"/>
    <w:rsid w:val="00A634A1"/>
    <w:rsid w:val="00A634AA"/>
    <w:rsid w:val="00A63D5C"/>
    <w:rsid w:val="00A63E03"/>
    <w:rsid w:val="00A63FF2"/>
    <w:rsid w:val="00A64093"/>
    <w:rsid w:val="00A64234"/>
    <w:rsid w:val="00A6469B"/>
    <w:rsid w:val="00A64813"/>
    <w:rsid w:val="00A64B0C"/>
    <w:rsid w:val="00A65014"/>
    <w:rsid w:val="00A6526B"/>
    <w:rsid w:val="00A655DD"/>
    <w:rsid w:val="00A6579E"/>
    <w:rsid w:val="00A65D55"/>
    <w:rsid w:val="00A660BA"/>
    <w:rsid w:val="00A66421"/>
    <w:rsid w:val="00A664FC"/>
    <w:rsid w:val="00A66D68"/>
    <w:rsid w:val="00A66F81"/>
    <w:rsid w:val="00A675C0"/>
    <w:rsid w:val="00A67650"/>
    <w:rsid w:val="00A67A80"/>
    <w:rsid w:val="00A67A83"/>
    <w:rsid w:val="00A67B35"/>
    <w:rsid w:val="00A67B7F"/>
    <w:rsid w:val="00A67E39"/>
    <w:rsid w:val="00A70267"/>
    <w:rsid w:val="00A702C6"/>
    <w:rsid w:val="00A70632"/>
    <w:rsid w:val="00A70ADF"/>
    <w:rsid w:val="00A71466"/>
    <w:rsid w:val="00A71635"/>
    <w:rsid w:val="00A7248A"/>
    <w:rsid w:val="00A72688"/>
    <w:rsid w:val="00A727CE"/>
    <w:rsid w:val="00A72C65"/>
    <w:rsid w:val="00A72C85"/>
    <w:rsid w:val="00A72D7A"/>
    <w:rsid w:val="00A72DD7"/>
    <w:rsid w:val="00A72EBF"/>
    <w:rsid w:val="00A7332E"/>
    <w:rsid w:val="00A738FA"/>
    <w:rsid w:val="00A739DF"/>
    <w:rsid w:val="00A739E8"/>
    <w:rsid w:val="00A73CEC"/>
    <w:rsid w:val="00A73D28"/>
    <w:rsid w:val="00A73D79"/>
    <w:rsid w:val="00A73E1A"/>
    <w:rsid w:val="00A740B5"/>
    <w:rsid w:val="00A74B1E"/>
    <w:rsid w:val="00A74B5E"/>
    <w:rsid w:val="00A74E14"/>
    <w:rsid w:val="00A74FD1"/>
    <w:rsid w:val="00A751EE"/>
    <w:rsid w:val="00A754EA"/>
    <w:rsid w:val="00A7584E"/>
    <w:rsid w:val="00A75879"/>
    <w:rsid w:val="00A759C3"/>
    <w:rsid w:val="00A75AB9"/>
    <w:rsid w:val="00A75D3F"/>
    <w:rsid w:val="00A76818"/>
    <w:rsid w:val="00A768AC"/>
    <w:rsid w:val="00A76F67"/>
    <w:rsid w:val="00A771B3"/>
    <w:rsid w:val="00A772D1"/>
    <w:rsid w:val="00A77B9A"/>
    <w:rsid w:val="00A77CF7"/>
    <w:rsid w:val="00A77F7E"/>
    <w:rsid w:val="00A80096"/>
    <w:rsid w:val="00A801A9"/>
    <w:rsid w:val="00A801F5"/>
    <w:rsid w:val="00A805A3"/>
    <w:rsid w:val="00A81BED"/>
    <w:rsid w:val="00A81EC4"/>
    <w:rsid w:val="00A81F28"/>
    <w:rsid w:val="00A824E8"/>
    <w:rsid w:val="00A82FF2"/>
    <w:rsid w:val="00A83126"/>
    <w:rsid w:val="00A832B3"/>
    <w:rsid w:val="00A837BD"/>
    <w:rsid w:val="00A83F3D"/>
    <w:rsid w:val="00A8408A"/>
    <w:rsid w:val="00A84179"/>
    <w:rsid w:val="00A843EF"/>
    <w:rsid w:val="00A843F4"/>
    <w:rsid w:val="00A84522"/>
    <w:rsid w:val="00A84659"/>
    <w:rsid w:val="00A847A2"/>
    <w:rsid w:val="00A849A1"/>
    <w:rsid w:val="00A84BAC"/>
    <w:rsid w:val="00A8550B"/>
    <w:rsid w:val="00A8556D"/>
    <w:rsid w:val="00A8587C"/>
    <w:rsid w:val="00A859C2"/>
    <w:rsid w:val="00A85A9C"/>
    <w:rsid w:val="00A85B10"/>
    <w:rsid w:val="00A85EC4"/>
    <w:rsid w:val="00A86551"/>
    <w:rsid w:val="00A86A03"/>
    <w:rsid w:val="00A86BF9"/>
    <w:rsid w:val="00A86C19"/>
    <w:rsid w:val="00A86E53"/>
    <w:rsid w:val="00A86EFE"/>
    <w:rsid w:val="00A877A4"/>
    <w:rsid w:val="00A87A03"/>
    <w:rsid w:val="00A90218"/>
    <w:rsid w:val="00A904BC"/>
    <w:rsid w:val="00A905BE"/>
    <w:rsid w:val="00A90AA0"/>
    <w:rsid w:val="00A90D2F"/>
    <w:rsid w:val="00A9228D"/>
    <w:rsid w:val="00A9234C"/>
    <w:rsid w:val="00A92597"/>
    <w:rsid w:val="00A926E0"/>
    <w:rsid w:val="00A9287C"/>
    <w:rsid w:val="00A92BCE"/>
    <w:rsid w:val="00A9315E"/>
    <w:rsid w:val="00A9339E"/>
    <w:rsid w:val="00A934C2"/>
    <w:rsid w:val="00A93532"/>
    <w:rsid w:val="00A9356D"/>
    <w:rsid w:val="00A93B41"/>
    <w:rsid w:val="00A93BDB"/>
    <w:rsid w:val="00A941D0"/>
    <w:rsid w:val="00A9425C"/>
    <w:rsid w:val="00A9454C"/>
    <w:rsid w:val="00A94556"/>
    <w:rsid w:val="00A946FE"/>
    <w:rsid w:val="00A9488E"/>
    <w:rsid w:val="00A94AA5"/>
    <w:rsid w:val="00A94F93"/>
    <w:rsid w:val="00A95209"/>
    <w:rsid w:val="00A957B1"/>
    <w:rsid w:val="00A957B7"/>
    <w:rsid w:val="00A957D8"/>
    <w:rsid w:val="00A95979"/>
    <w:rsid w:val="00A95CEB"/>
    <w:rsid w:val="00A9668A"/>
    <w:rsid w:val="00A967FD"/>
    <w:rsid w:val="00A96B8C"/>
    <w:rsid w:val="00A96BB4"/>
    <w:rsid w:val="00A97063"/>
    <w:rsid w:val="00A97142"/>
    <w:rsid w:val="00A974E9"/>
    <w:rsid w:val="00A9772D"/>
    <w:rsid w:val="00A9794C"/>
    <w:rsid w:val="00A97C1E"/>
    <w:rsid w:val="00A97EAC"/>
    <w:rsid w:val="00AA066B"/>
    <w:rsid w:val="00AA0AEE"/>
    <w:rsid w:val="00AA0F31"/>
    <w:rsid w:val="00AA0F3C"/>
    <w:rsid w:val="00AA1337"/>
    <w:rsid w:val="00AA1396"/>
    <w:rsid w:val="00AA154B"/>
    <w:rsid w:val="00AA18FA"/>
    <w:rsid w:val="00AA1F0B"/>
    <w:rsid w:val="00AA1F58"/>
    <w:rsid w:val="00AA1F95"/>
    <w:rsid w:val="00AA2120"/>
    <w:rsid w:val="00AA2153"/>
    <w:rsid w:val="00AA267C"/>
    <w:rsid w:val="00AA2726"/>
    <w:rsid w:val="00AA27EE"/>
    <w:rsid w:val="00AA28A9"/>
    <w:rsid w:val="00AA2AF7"/>
    <w:rsid w:val="00AA2C69"/>
    <w:rsid w:val="00AA2DAD"/>
    <w:rsid w:val="00AA2DDB"/>
    <w:rsid w:val="00AA2DE5"/>
    <w:rsid w:val="00AA31F5"/>
    <w:rsid w:val="00AA3AC5"/>
    <w:rsid w:val="00AA3DC0"/>
    <w:rsid w:val="00AA465F"/>
    <w:rsid w:val="00AA4746"/>
    <w:rsid w:val="00AA478E"/>
    <w:rsid w:val="00AA49DA"/>
    <w:rsid w:val="00AA4FA2"/>
    <w:rsid w:val="00AA50F5"/>
    <w:rsid w:val="00AA512A"/>
    <w:rsid w:val="00AA60C2"/>
    <w:rsid w:val="00AA6453"/>
    <w:rsid w:val="00AA6491"/>
    <w:rsid w:val="00AA6847"/>
    <w:rsid w:val="00AA6D11"/>
    <w:rsid w:val="00AA6FAA"/>
    <w:rsid w:val="00AA77A4"/>
    <w:rsid w:val="00AA7A53"/>
    <w:rsid w:val="00AA7AD8"/>
    <w:rsid w:val="00AA7BEF"/>
    <w:rsid w:val="00AA7CB6"/>
    <w:rsid w:val="00AB0010"/>
    <w:rsid w:val="00AB0258"/>
    <w:rsid w:val="00AB07AA"/>
    <w:rsid w:val="00AB09D1"/>
    <w:rsid w:val="00AB0F16"/>
    <w:rsid w:val="00AB113B"/>
    <w:rsid w:val="00AB123D"/>
    <w:rsid w:val="00AB142F"/>
    <w:rsid w:val="00AB156C"/>
    <w:rsid w:val="00AB168B"/>
    <w:rsid w:val="00AB1A2B"/>
    <w:rsid w:val="00AB1AC8"/>
    <w:rsid w:val="00AB1BC9"/>
    <w:rsid w:val="00AB1C4C"/>
    <w:rsid w:val="00AB1D72"/>
    <w:rsid w:val="00AB1E30"/>
    <w:rsid w:val="00AB23C3"/>
    <w:rsid w:val="00AB24FE"/>
    <w:rsid w:val="00AB267B"/>
    <w:rsid w:val="00AB281D"/>
    <w:rsid w:val="00AB28D4"/>
    <w:rsid w:val="00AB28F6"/>
    <w:rsid w:val="00AB2D39"/>
    <w:rsid w:val="00AB2F74"/>
    <w:rsid w:val="00AB3D47"/>
    <w:rsid w:val="00AB466C"/>
    <w:rsid w:val="00AB4C7D"/>
    <w:rsid w:val="00AB5143"/>
    <w:rsid w:val="00AB55D9"/>
    <w:rsid w:val="00AB57A9"/>
    <w:rsid w:val="00AB5818"/>
    <w:rsid w:val="00AB5952"/>
    <w:rsid w:val="00AB5A0D"/>
    <w:rsid w:val="00AB5ADD"/>
    <w:rsid w:val="00AB5C8C"/>
    <w:rsid w:val="00AB5EE0"/>
    <w:rsid w:val="00AB6814"/>
    <w:rsid w:val="00AB69DF"/>
    <w:rsid w:val="00AB6E3B"/>
    <w:rsid w:val="00AB6E6F"/>
    <w:rsid w:val="00AB6ECA"/>
    <w:rsid w:val="00AB6ECC"/>
    <w:rsid w:val="00AB73A3"/>
    <w:rsid w:val="00AB7401"/>
    <w:rsid w:val="00AB7590"/>
    <w:rsid w:val="00AB769A"/>
    <w:rsid w:val="00AB7C8A"/>
    <w:rsid w:val="00AC005F"/>
    <w:rsid w:val="00AC04BA"/>
    <w:rsid w:val="00AC0C11"/>
    <w:rsid w:val="00AC0E39"/>
    <w:rsid w:val="00AC1101"/>
    <w:rsid w:val="00AC1A94"/>
    <w:rsid w:val="00AC1CDC"/>
    <w:rsid w:val="00AC2308"/>
    <w:rsid w:val="00AC238D"/>
    <w:rsid w:val="00AC2DD6"/>
    <w:rsid w:val="00AC303C"/>
    <w:rsid w:val="00AC34C0"/>
    <w:rsid w:val="00AC3BF6"/>
    <w:rsid w:val="00AC3C43"/>
    <w:rsid w:val="00AC3D89"/>
    <w:rsid w:val="00AC3DD3"/>
    <w:rsid w:val="00AC3EB4"/>
    <w:rsid w:val="00AC409F"/>
    <w:rsid w:val="00AC456A"/>
    <w:rsid w:val="00AC49F2"/>
    <w:rsid w:val="00AC4B63"/>
    <w:rsid w:val="00AC4C8E"/>
    <w:rsid w:val="00AC50AF"/>
    <w:rsid w:val="00AC537E"/>
    <w:rsid w:val="00AC547D"/>
    <w:rsid w:val="00AC552E"/>
    <w:rsid w:val="00AC5A60"/>
    <w:rsid w:val="00AC5CBC"/>
    <w:rsid w:val="00AC6B18"/>
    <w:rsid w:val="00AC6D85"/>
    <w:rsid w:val="00AC7BFD"/>
    <w:rsid w:val="00AC7C5E"/>
    <w:rsid w:val="00AD0303"/>
    <w:rsid w:val="00AD06DA"/>
    <w:rsid w:val="00AD07BB"/>
    <w:rsid w:val="00AD082E"/>
    <w:rsid w:val="00AD10B4"/>
    <w:rsid w:val="00AD11DA"/>
    <w:rsid w:val="00AD12D6"/>
    <w:rsid w:val="00AD13EE"/>
    <w:rsid w:val="00AD14C3"/>
    <w:rsid w:val="00AD16E2"/>
    <w:rsid w:val="00AD17C3"/>
    <w:rsid w:val="00AD181B"/>
    <w:rsid w:val="00AD1894"/>
    <w:rsid w:val="00AD1895"/>
    <w:rsid w:val="00AD1C35"/>
    <w:rsid w:val="00AD1C91"/>
    <w:rsid w:val="00AD1F71"/>
    <w:rsid w:val="00AD1FE3"/>
    <w:rsid w:val="00AD2095"/>
    <w:rsid w:val="00AD2201"/>
    <w:rsid w:val="00AD223F"/>
    <w:rsid w:val="00AD22B4"/>
    <w:rsid w:val="00AD233A"/>
    <w:rsid w:val="00AD2358"/>
    <w:rsid w:val="00AD23BF"/>
    <w:rsid w:val="00AD241A"/>
    <w:rsid w:val="00AD27D0"/>
    <w:rsid w:val="00AD2F46"/>
    <w:rsid w:val="00AD3082"/>
    <w:rsid w:val="00AD32B4"/>
    <w:rsid w:val="00AD3964"/>
    <w:rsid w:val="00AD3C0C"/>
    <w:rsid w:val="00AD3E9D"/>
    <w:rsid w:val="00AD44FD"/>
    <w:rsid w:val="00AD4AD0"/>
    <w:rsid w:val="00AD52CC"/>
    <w:rsid w:val="00AD52E7"/>
    <w:rsid w:val="00AD5436"/>
    <w:rsid w:val="00AD5BC9"/>
    <w:rsid w:val="00AD60CD"/>
    <w:rsid w:val="00AD65A3"/>
    <w:rsid w:val="00AD6624"/>
    <w:rsid w:val="00AD6C8C"/>
    <w:rsid w:val="00AD6FA8"/>
    <w:rsid w:val="00AD7369"/>
    <w:rsid w:val="00AD75A2"/>
    <w:rsid w:val="00AD7843"/>
    <w:rsid w:val="00AD7AC3"/>
    <w:rsid w:val="00AD7AD2"/>
    <w:rsid w:val="00AD7B04"/>
    <w:rsid w:val="00AE0488"/>
    <w:rsid w:val="00AE091D"/>
    <w:rsid w:val="00AE092B"/>
    <w:rsid w:val="00AE0A82"/>
    <w:rsid w:val="00AE0D45"/>
    <w:rsid w:val="00AE0DCD"/>
    <w:rsid w:val="00AE0E0E"/>
    <w:rsid w:val="00AE1063"/>
    <w:rsid w:val="00AE10E1"/>
    <w:rsid w:val="00AE1389"/>
    <w:rsid w:val="00AE16F3"/>
    <w:rsid w:val="00AE1865"/>
    <w:rsid w:val="00AE1C69"/>
    <w:rsid w:val="00AE1EE2"/>
    <w:rsid w:val="00AE1FA2"/>
    <w:rsid w:val="00AE209D"/>
    <w:rsid w:val="00AE220D"/>
    <w:rsid w:val="00AE24EB"/>
    <w:rsid w:val="00AE2B68"/>
    <w:rsid w:val="00AE2D2D"/>
    <w:rsid w:val="00AE2EB2"/>
    <w:rsid w:val="00AE2EE0"/>
    <w:rsid w:val="00AE382B"/>
    <w:rsid w:val="00AE3A8B"/>
    <w:rsid w:val="00AE3B60"/>
    <w:rsid w:val="00AE3D41"/>
    <w:rsid w:val="00AE3EA9"/>
    <w:rsid w:val="00AE3FB8"/>
    <w:rsid w:val="00AE3FBA"/>
    <w:rsid w:val="00AE416F"/>
    <w:rsid w:val="00AE4B76"/>
    <w:rsid w:val="00AE4BF4"/>
    <w:rsid w:val="00AE4FFD"/>
    <w:rsid w:val="00AE508E"/>
    <w:rsid w:val="00AE51EE"/>
    <w:rsid w:val="00AE5278"/>
    <w:rsid w:val="00AE52A6"/>
    <w:rsid w:val="00AE53A1"/>
    <w:rsid w:val="00AE53BA"/>
    <w:rsid w:val="00AE55B3"/>
    <w:rsid w:val="00AE5DAD"/>
    <w:rsid w:val="00AE5FB6"/>
    <w:rsid w:val="00AE6153"/>
    <w:rsid w:val="00AE64D3"/>
    <w:rsid w:val="00AE658A"/>
    <w:rsid w:val="00AE672B"/>
    <w:rsid w:val="00AE6744"/>
    <w:rsid w:val="00AE6B24"/>
    <w:rsid w:val="00AE758C"/>
    <w:rsid w:val="00AE7AA4"/>
    <w:rsid w:val="00AE7B67"/>
    <w:rsid w:val="00AF0135"/>
    <w:rsid w:val="00AF01D9"/>
    <w:rsid w:val="00AF069B"/>
    <w:rsid w:val="00AF0A2C"/>
    <w:rsid w:val="00AF1B08"/>
    <w:rsid w:val="00AF1E2F"/>
    <w:rsid w:val="00AF20A9"/>
    <w:rsid w:val="00AF20B5"/>
    <w:rsid w:val="00AF2484"/>
    <w:rsid w:val="00AF24B0"/>
    <w:rsid w:val="00AF27E0"/>
    <w:rsid w:val="00AF2C56"/>
    <w:rsid w:val="00AF2D35"/>
    <w:rsid w:val="00AF2E06"/>
    <w:rsid w:val="00AF31CD"/>
    <w:rsid w:val="00AF375A"/>
    <w:rsid w:val="00AF3CFD"/>
    <w:rsid w:val="00AF3D3A"/>
    <w:rsid w:val="00AF3F2B"/>
    <w:rsid w:val="00AF3F89"/>
    <w:rsid w:val="00AF42BD"/>
    <w:rsid w:val="00AF4567"/>
    <w:rsid w:val="00AF4598"/>
    <w:rsid w:val="00AF4725"/>
    <w:rsid w:val="00AF4F67"/>
    <w:rsid w:val="00AF5797"/>
    <w:rsid w:val="00AF590D"/>
    <w:rsid w:val="00AF5A7D"/>
    <w:rsid w:val="00AF5AE8"/>
    <w:rsid w:val="00AF5C34"/>
    <w:rsid w:val="00AF5EE8"/>
    <w:rsid w:val="00AF6034"/>
    <w:rsid w:val="00AF63E7"/>
    <w:rsid w:val="00AF669F"/>
    <w:rsid w:val="00AF696A"/>
    <w:rsid w:val="00AF6E17"/>
    <w:rsid w:val="00AF6F6E"/>
    <w:rsid w:val="00AF7028"/>
    <w:rsid w:val="00AF7766"/>
    <w:rsid w:val="00AF7DC7"/>
    <w:rsid w:val="00AF7FB2"/>
    <w:rsid w:val="00B002D5"/>
    <w:rsid w:val="00B00780"/>
    <w:rsid w:val="00B00865"/>
    <w:rsid w:val="00B00AD1"/>
    <w:rsid w:val="00B00C7F"/>
    <w:rsid w:val="00B00FB5"/>
    <w:rsid w:val="00B0107D"/>
    <w:rsid w:val="00B013C4"/>
    <w:rsid w:val="00B014E1"/>
    <w:rsid w:val="00B014FD"/>
    <w:rsid w:val="00B0165D"/>
    <w:rsid w:val="00B01B60"/>
    <w:rsid w:val="00B0202A"/>
    <w:rsid w:val="00B020D6"/>
    <w:rsid w:val="00B0220F"/>
    <w:rsid w:val="00B02306"/>
    <w:rsid w:val="00B023B9"/>
    <w:rsid w:val="00B026AA"/>
    <w:rsid w:val="00B027EA"/>
    <w:rsid w:val="00B02A62"/>
    <w:rsid w:val="00B02BF1"/>
    <w:rsid w:val="00B02EE1"/>
    <w:rsid w:val="00B03051"/>
    <w:rsid w:val="00B031E8"/>
    <w:rsid w:val="00B031F3"/>
    <w:rsid w:val="00B032A4"/>
    <w:rsid w:val="00B04121"/>
    <w:rsid w:val="00B04124"/>
    <w:rsid w:val="00B0445A"/>
    <w:rsid w:val="00B04799"/>
    <w:rsid w:val="00B048F1"/>
    <w:rsid w:val="00B050D0"/>
    <w:rsid w:val="00B05237"/>
    <w:rsid w:val="00B052A4"/>
    <w:rsid w:val="00B05451"/>
    <w:rsid w:val="00B05D0E"/>
    <w:rsid w:val="00B05DB0"/>
    <w:rsid w:val="00B05E96"/>
    <w:rsid w:val="00B06AE9"/>
    <w:rsid w:val="00B06F69"/>
    <w:rsid w:val="00B0706F"/>
    <w:rsid w:val="00B0710D"/>
    <w:rsid w:val="00B0711D"/>
    <w:rsid w:val="00B0712D"/>
    <w:rsid w:val="00B07243"/>
    <w:rsid w:val="00B07518"/>
    <w:rsid w:val="00B07F74"/>
    <w:rsid w:val="00B102CE"/>
    <w:rsid w:val="00B108C3"/>
    <w:rsid w:val="00B10A8A"/>
    <w:rsid w:val="00B10B4A"/>
    <w:rsid w:val="00B10E0D"/>
    <w:rsid w:val="00B10EDD"/>
    <w:rsid w:val="00B110DF"/>
    <w:rsid w:val="00B115EA"/>
    <w:rsid w:val="00B115FB"/>
    <w:rsid w:val="00B11A7F"/>
    <w:rsid w:val="00B11C54"/>
    <w:rsid w:val="00B121AA"/>
    <w:rsid w:val="00B12465"/>
    <w:rsid w:val="00B12572"/>
    <w:rsid w:val="00B125DE"/>
    <w:rsid w:val="00B138EB"/>
    <w:rsid w:val="00B13BC7"/>
    <w:rsid w:val="00B13DE9"/>
    <w:rsid w:val="00B13FDD"/>
    <w:rsid w:val="00B14668"/>
    <w:rsid w:val="00B14ACD"/>
    <w:rsid w:val="00B14B14"/>
    <w:rsid w:val="00B150AA"/>
    <w:rsid w:val="00B1516F"/>
    <w:rsid w:val="00B1541D"/>
    <w:rsid w:val="00B154E2"/>
    <w:rsid w:val="00B15BD2"/>
    <w:rsid w:val="00B15CD3"/>
    <w:rsid w:val="00B16293"/>
    <w:rsid w:val="00B167DF"/>
    <w:rsid w:val="00B16942"/>
    <w:rsid w:val="00B16C67"/>
    <w:rsid w:val="00B16E47"/>
    <w:rsid w:val="00B1709B"/>
    <w:rsid w:val="00B17393"/>
    <w:rsid w:val="00B177F0"/>
    <w:rsid w:val="00B177F6"/>
    <w:rsid w:val="00B17E95"/>
    <w:rsid w:val="00B203AA"/>
    <w:rsid w:val="00B207AD"/>
    <w:rsid w:val="00B207F0"/>
    <w:rsid w:val="00B2188E"/>
    <w:rsid w:val="00B21E13"/>
    <w:rsid w:val="00B21F02"/>
    <w:rsid w:val="00B21FE1"/>
    <w:rsid w:val="00B22144"/>
    <w:rsid w:val="00B22844"/>
    <w:rsid w:val="00B2288D"/>
    <w:rsid w:val="00B22D30"/>
    <w:rsid w:val="00B22EB2"/>
    <w:rsid w:val="00B22F51"/>
    <w:rsid w:val="00B2303C"/>
    <w:rsid w:val="00B233BB"/>
    <w:rsid w:val="00B238EC"/>
    <w:rsid w:val="00B2395F"/>
    <w:rsid w:val="00B23CA5"/>
    <w:rsid w:val="00B243FA"/>
    <w:rsid w:val="00B24633"/>
    <w:rsid w:val="00B24696"/>
    <w:rsid w:val="00B248E8"/>
    <w:rsid w:val="00B24954"/>
    <w:rsid w:val="00B24F4E"/>
    <w:rsid w:val="00B251F3"/>
    <w:rsid w:val="00B25915"/>
    <w:rsid w:val="00B25947"/>
    <w:rsid w:val="00B25BE2"/>
    <w:rsid w:val="00B25BFB"/>
    <w:rsid w:val="00B25F87"/>
    <w:rsid w:val="00B25FAC"/>
    <w:rsid w:val="00B26214"/>
    <w:rsid w:val="00B262EC"/>
    <w:rsid w:val="00B26431"/>
    <w:rsid w:val="00B264AE"/>
    <w:rsid w:val="00B26986"/>
    <w:rsid w:val="00B26A08"/>
    <w:rsid w:val="00B26E72"/>
    <w:rsid w:val="00B27061"/>
    <w:rsid w:val="00B27442"/>
    <w:rsid w:val="00B2775C"/>
    <w:rsid w:val="00B27A14"/>
    <w:rsid w:val="00B27BB6"/>
    <w:rsid w:val="00B27D0F"/>
    <w:rsid w:val="00B27F14"/>
    <w:rsid w:val="00B27F62"/>
    <w:rsid w:val="00B301CC"/>
    <w:rsid w:val="00B30450"/>
    <w:rsid w:val="00B30898"/>
    <w:rsid w:val="00B30BA4"/>
    <w:rsid w:val="00B31167"/>
    <w:rsid w:val="00B313E1"/>
    <w:rsid w:val="00B314B6"/>
    <w:rsid w:val="00B315F0"/>
    <w:rsid w:val="00B31B82"/>
    <w:rsid w:val="00B31BFA"/>
    <w:rsid w:val="00B31DBE"/>
    <w:rsid w:val="00B322D4"/>
    <w:rsid w:val="00B3231F"/>
    <w:rsid w:val="00B329D8"/>
    <w:rsid w:val="00B329FA"/>
    <w:rsid w:val="00B32B9D"/>
    <w:rsid w:val="00B32BB9"/>
    <w:rsid w:val="00B32D52"/>
    <w:rsid w:val="00B3307D"/>
    <w:rsid w:val="00B33AE1"/>
    <w:rsid w:val="00B34099"/>
    <w:rsid w:val="00B34488"/>
    <w:rsid w:val="00B346CD"/>
    <w:rsid w:val="00B3475E"/>
    <w:rsid w:val="00B34A57"/>
    <w:rsid w:val="00B34AC0"/>
    <w:rsid w:val="00B34E55"/>
    <w:rsid w:val="00B35344"/>
    <w:rsid w:val="00B3578B"/>
    <w:rsid w:val="00B35869"/>
    <w:rsid w:val="00B35B46"/>
    <w:rsid w:val="00B3608E"/>
    <w:rsid w:val="00B36386"/>
    <w:rsid w:val="00B363FE"/>
    <w:rsid w:val="00B366F1"/>
    <w:rsid w:val="00B3671C"/>
    <w:rsid w:val="00B369C8"/>
    <w:rsid w:val="00B36A83"/>
    <w:rsid w:val="00B371BE"/>
    <w:rsid w:val="00B37449"/>
    <w:rsid w:val="00B37514"/>
    <w:rsid w:val="00B37565"/>
    <w:rsid w:val="00B378B6"/>
    <w:rsid w:val="00B37AC8"/>
    <w:rsid w:val="00B37C38"/>
    <w:rsid w:val="00B37CA4"/>
    <w:rsid w:val="00B37CBB"/>
    <w:rsid w:val="00B37F49"/>
    <w:rsid w:val="00B403DB"/>
    <w:rsid w:val="00B40753"/>
    <w:rsid w:val="00B4085B"/>
    <w:rsid w:val="00B40890"/>
    <w:rsid w:val="00B40FEA"/>
    <w:rsid w:val="00B410E7"/>
    <w:rsid w:val="00B413A7"/>
    <w:rsid w:val="00B41662"/>
    <w:rsid w:val="00B416A5"/>
    <w:rsid w:val="00B417C0"/>
    <w:rsid w:val="00B41953"/>
    <w:rsid w:val="00B4288C"/>
    <w:rsid w:val="00B42C4F"/>
    <w:rsid w:val="00B42CE3"/>
    <w:rsid w:val="00B42E02"/>
    <w:rsid w:val="00B4305A"/>
    <w:rsid w:val="00B4319B"/>
    <w:rsid w:val="00B43262"/>
    <w:rsid w:val="00B439BC"/>
    <w:rsid w:val="00B43D67"/>
    <w:rsid w:val="00B43D6B"/>
    <w:rsid w:val="00B43D82"/>
    <w:rsid w:val="00B43EB9"/>
    <w:rsid w:val="00B4409F"/>
    <w:rsid w:val="00B44100"/>
    <w:rsid w:val="00B44244"/>
    <w:rsid w:val="00B44980"/>
    <w:rsid w:val="00B44A54"/>
    <w:rsid w:val="00B44D29"/>
    <w:rsid w:val="00B44DFD"/>
    <w:rsid w:val="00B44F32"/>
    <w:rsid w:val="00B44FF8"/>
    <w:rsid w:val="00B4511B"/>
    <w:rsid w:val="00B45739"/>
    <w:rsid w:val="00B45A16"/>
    <w:rsid w:val="00B45D67"/>
    <w:rsid w:val="00B45F18"/>
    <w:rsid w:val="00B45F1B"/>
    <w:rsid w:val="00B45FAF"/>
    <w:rsid w:val="00B461DC"/>
    <w:rsid w:val="00B465FF"/>
    <w:rsid w:val="00B46C12"/>
    <w:rsid w:val="00B46CBA"/>
    <w:rsid w:val="00B46F94"/>
    <w:rsid w:val="00B472D7"/>
    <w:rsid w:val="00B47555"/>
    <w:rsid w:val="00B47B46"/>
    <w:rsid w:val="00B47FB0"/>
    <w:rsid w:val="00B502C0"/>
    <w:rsid w:val="00B5068C"/>
    <w:rsid w:val="00B51256"/>
    <w:rsid w:val="00B5128F"/>
    <w:rsid w:val="00B51315"/>
    <w:rsid w:val="00B516A8"/>
    <w:rsid w:val="00B516B5"/>
    <w:rsid w:val="00B5196D"/>
    <w:rsid w:val="00B519E6"/>
    <w:rsid w:val="00B51F34"/>
    <w:rsid w:val="00B5203C"/>
    <w:rsid w:val="00B521D0"/>
    <w:rsid w:val="00B52339"/>
    <w:rsid w:val="00B52638"/>
    <w:rsid w:val="00B52817"/>
    <w:rsid w:val="00B52874"/>
    <w:rsid w:val="00B5297F"/>
    <w:rsid w:val="00B53608"/>
    <w:rsid w:val="00B53A19"/>
    <w:rsid w:val="00B53B15"/>
    <w:rsid w:val="00B53EE0"/>
    <w:rsid w:val="00B53EEB"/>
    <w:rsid w:val="00B53FFB"/>
    <w:rsid w:val="00B5408F"/>
    <w:rsid w:val="00B546A1"/>
    <w:rsid w:val="00B54BA3"/>
    <w:rsid w:val="00B55662"/>
    <w:rsid w:val="00B5576C"/>
    <w:rsid w:val="00B55B27"/>
    <w:rsid w:val="00B56073"/>
    <w:rsid w:val="00B560E7"/>
    <w:rsid w:val="00B56873"/>
    <w:rsid w:val="00B56CAF"/>
    <w:rsid w:val="00B572D0"/>
    <w:rsid w:val="00B575F6"/>
    <w:rsid w:val="00B575FD"/>
    <w:rsid w:val="00B576E8"/>
    <w:rsid w:val="00B57A1D"/>
    <w:rsid w:val="00B57CAF"/>
    <w:rsid w:val="00B57F4D"/>
    <w:rsid w:val="00B6003C"/>
    <w:rsid w:val="00B600A5"/>
    <w:rsid w:val="00B60C24"/>
    <w:rsid w:val="00B6103B"/>
    <w:rsid w:val="00B61896"/>
    <w:rsid w:val="00B61F03"/>
    <w:rsid w:val="00B62096"/>
    <w:rsid w:val="00B62477"/>
    <w:rsid w:val="00B62496"/>
    <w:rsid w:val="00B6264D"/>
    <w:rsid w:val="00B626E4"/>
    <w:rsid w:val="00B628C0"/>
    <w:rsid w:val="00B62C9E"/>
    <w:rsid w:val="00B62CF5"/>
    <w:rsid w:val="00B62D70"/>
    <w:rsid w:val="00B62F60"/>
    <w:rsid w:val="00B630D8"/>
    <w:rsid w:val="00B633D7"/>
    <w:rsid w:val="00B636E5"/>
    <w:rsid w:val="00B637C0"/>
    <w:rsid w:val="00B63AC5"/>
    <w:rsid w:val="00B63EBC"/>
    <w:rsid w:val="00B64217"/>
    <w:rsid w:val="00B642EA"/>
    <w:rsid w:val="00B647FF"/>
    <w:rsid w:val="00B64A97"/>
    <w:rsid w:val="00B6516E"/>
    <w:rsid w:val="00B651EC"/>
    <w:rsid w:val="00B6540B"/>
    <w:rsid w:val="00B65ACE"/>
    <w:rsid w:val="00B66006"/>
    <w:rsid w:val="00B6638E"/>
    <w:rsid w:val="00B66428"/>
    <w:rsid w:val="00B66C9D"/>
    <w:rsid w:val="00B66FD8"/>
    <w:rsid w:val="00B67615"/>
    <w:rsid w:val="00B6767E"/>
    <w:rsid w:val="00B67692"/>
    <w:rsid w:val="00B67854"/>
    <w:rsid w:val="00B67B54"/>
    <w:rsid w:val="00B67D11"/>
    <w:rsid w:val="00B702F4"/>
    <w:rsid w:val="00B70307"/>
    <w:rsid w:val="00B70A6D"/>
    <w:rsid w:val="00B70FEE"/>
    <w:rsid w:val="00B71703"/>
    <w:rsid w:val="00B71AE5"/>
    <w:rsid w:val="00B71D7C"/>
    <w:rsid w:val="00B72C66"/>
    <w:rsid w:val="00B72F4A"/>
    <w:rsid w:val="00B733CB"/>
    <w:rsid w:val="00B734E9"/>
    <w:rsid w:val="00B73678"/>
    <w:rsid w:val="00B73827"/>
    <w:rsid w:val="00B73863"/>
    <w:rsid w:val="00B73A0A"/>
    <w:rsid w:val="00B73A9C"/>
    <w:rsid w:val="00B7413F"/>
    <w:rsid w:val="00B74338"/>
    <w:rsid w:val="00B74664"/>
    <w:rsid w:val="00B75457"/>
    <w:rsid w:val="00B7586F"/>
    <w:rsid w:val="00B759A6"/>
    <w:rsid w:val="00B75CED"/>
    <w:rsid w:val="00B75DEB"/>
    <w:rsid w:val="00B7612D"/>
    <w:rsid w:val="00B7616F"/>
    <w:rsid w:val="00B76520"/>
    <w:rsid w:val="00B767A6"/>
    <w:rsid w:val="00B769BC"/>
    <w:rsid w:val="00B76A2E"/>
    <w:rsid w:val="00B76FB2"/>
    <w:rsid w:val="00B7734E"/>
    <w:rsid w:val="00B7744E"/>
    <w:rsid w:val="00B77A61"/>
    <w:rsid w:val="00B77CE0"/>
    <w:rsid w:val="00B77E63"/>
    <w:rsid w:val="00B8004C"/>
    <w:rsid w:val="00B8012C"/>
    <w:rsid w:val="00B8022D"/>
    <w:rsid w:val="00B808FF"/>
    <w:rsid w:val="00B80A6D"/>
    <w:rsid w:val="00B80C93"/>
    <w:rsid w:val="00B80D2F"/>
    <w:rsid w:val="00B81081"/>
    <w:rsid w:val="00B81631"/>
    <w:rsid w:val="00B81A16"/>
    <w:rsid w:val="00B81CE2"/>
    <w:rsid w:val="00B81CED"/>
    <w:rsid w:val="00B81D6D"/>
    <w:rsid w:val="00B81E48"/>
    <w:rsid w:val="00B81F18"/>
    <w:rsid w:val="00B82010"/>
    <w:rsid w:val="00B820A5"/>
    <w:rsid w:val="00B82780"/>
    <w:rsid w:val="00B82958"/>
    <w:rsid w:val="00B829C3"/>
    <w:rsid w:val="00B82B8F"/>
    <w:rsid w:val="00B830FB"/>
    <w:rsid w:val="00B83C27"/>
    <w:rsid w:val="00B83D89"/>
    <w:rsid w:val="00B83F96"/>
    <w:rsid w:val="00B845C8"/>
    <w:rsid w:val="00B84719"/>
    <w:rsid w:val="00B849CC"/>
    <w:rsid w:val="00B84BC3"/>
    <w:rsid w:val="00B84BDD"/>
    <w:rsid w:val="00B84DCD"/>
    <w:rsid w:val="00B84FAA"/>
    <w:rsid w:val="00B8504B"/>
    <w:rsid w:val="00B8511B"/>
    <w:rsid w:val="00B85233"/>
    <w:rsid w:val="00B855C6"/>
    <w:rsid w:val="00B8571C"/>
    <w:rsid w:val="00B85EFC"/>
    <w:rsid w:val="00B861A3"/>
    <w:rsid w:val="00B86EB3"/>
    <w:rsid w:val="00B8707A"/>
    <w:rsid w:val="00B87128"/>
    <w:rsid w:val="00B87906"/>
    <w:rsid w:val="00B8799B"/>
    <w:rsid w:val="00B87C07"/>
    <w:rsid w:val="00B87DA8"/>
    <w:rsid w:val="00B907C8"/>
    <w:rsid w:val="00B90878"/>
    <w:rsid w:val="00B91018"/>
    <w:rsid w:val="00B91834"/>
    <w:rsid w:val="00B91BC7"/>
    <w:rsid w:val="00B91D6A"/>
    <w:rsid w:val="00B9219D"/>
    <w:rsid w:val="00B924C8"/>
    <w:rsid w:val="00B92812"/>
    <w:rsid w:val="00B92926"/>
    <w:rsid w:val="00B92AB9"/>
    <w:rsid w:val="00B92AFE"/>
    <w:rsid w:val="00B93078"/>
    <w:rsid w:val="00B9319A"/>
    <w:rsid w:val="00B9347F"/>
    <w:rsid w:val="00B9357B"/>
    <w:rsid w:val="00B93698"/>
    <w:rsid w:val="00B936A1"/>
    <w:rsid w:val="00B940C5"/>
    <w:rsid w:val="00B940F1"/>
    <w:rsid w:val="00B94110"/>
    <w:rsid w:val="00B941BD"/>
    <w:rsid w:val="00B942D1"/>
    <w:rsid w:val="00B94A7A"/>
    <w:rsid w:val="00B94C8E"/>
    <w:rsid w:val="00B9554D"/>
    <w:rsid w:val="00B95629"/>
    <w:rsid w:val="00B9580B"/>
    <w:rsid w:val="00B95AEB"/>
    <w:rsid w:val="00B95BA5"/>
    <w:rsid w:val="00B96187"/>
    <w:rsid w:val="00B964D1"/>
    <w:rsid w:val="00B965C0"/>
    <w:rsid w:val="00B96678"/>
    <w:rsid w:val="00B96733"/>
    <w:rsid w:val="00B96935"/>
    <w:rsid w:val="00B96984"/>
    <w:rsid w:val="00B96CDB"/>
    <w:rsid w:val="00B970C9"/>
    <w:rsid w:val="00B97156"/>
    <w:rsid w:val="00B97798"/>
    <w:rsid w:val="00B979B2"/>
    <w:rsid w:val="00B97B2E"/>
    <w:rsid w:val="00BA0061"/>
    <w:rsid w:val="00BA01F6"/>
    <w:rsid w:val="00BA0AE5"/>
    <w:rsid w:val="00BA0E17"/>
    <w:rsid w:val="00BA115A"/>
    <w:rsid w:val="00BA1225"/>
    <w:rsid w:val="00BA1A79"/>
    <w:rsid w:val="00BA1AE2"/>
    <w:rsid w:val="00BA2026"/>
    <w:rsid w:val="00BA2128"/>
    <w:rsid w:val="00BA251D"/>
    <w:rsid w:val="00BA2605"/>
    <w:rsid w:val="00BA2BFA"/>
    <w:rsid w:val="00BA2F2D"/>
    <w:rsid w:val="00BA2F7C"/>
    <w:rsid w:val="00BA333C"/>
    <w:rsid w:val="00BA3387"/>
    <w:rsid w:val="00BA353D"/>
    <w:rsid w:val="00BA383D"/>
    <w:rsid w:val="00BA3A9B"/>
    <w:rsid w:val="00BA41B6"/>
    <w:rsid w:val="00BA41CA"/>
    <w:rsid w:val="00BA42C3"/>
    <w:rsid w:val="00BA4368"/>
    <w:rsid w:val="00BA44AB"/>
    <w:rsid w:val="00BA48AC"/>
    <w:rsid w:val="00BA4A46"/>
    <w:rsid w:val="00BA613C"/>
    <w:rsid w:val="00BA61CE"/>
    <w:rsid w:val="00BA65B4"/>
    <w:rsid w:val="00BA66BC"/>
    <w:rsid w:val="00BA69FE"/>
    <w:rsid w:val="00BA6F1C"/>
    <w:rsid w:val="00BA70E9"/>
    <w:rsid w:val="00BA7272"/>
    <w:rsid w:val="00BA7472"/>
    <w:rsid w:val="00BA760F"/>
    <w:rsid w:val="00BA7617"/>
    <w:rsid w:val="00BA7637"/>
    <w:rsid w:val="00BA7B96"/>
    <w:rsid w:val="00BA7C1C"/>
    <w:rsid w:val="00BA7FCD"/>
    <w:rsid w:val="00BB0938"/>
    <w:rsid w:val="00BB12E0"/>
    <w:rsid w:val="00BB1330"/>
    <w:rsid w:val="00BB16A5"/>
    <w:rsid w:val="00BB1961"/>
    <w:rsid w:val="00BB26C2"/>
    <w:rsid w:val="00BB2770"/>
    <w:rsid w:val="00BB2946"/>
    <w:rsid w:val="00BB2A61"/>
    <w:rsid w:val="00BB2C4C"/>
    <w:rsid w:val="00BB3275"/>
    <w:rsid w:val="00BB365A"/>
    <w:rsid w:val="00BB3857"/>
    <w:rsid w:val="00BB45A1"/>
    <w:rsid w:val="00BB46A0"/>
    <w:rsid w:val="00BB5263"/>
    <w:rsid w:val="00BB57C6"/>
    <w:rsid w:val="00BB57F4"/>
    <w:rsid w:val="00BB6540"/>
    <w:rsid w:val="00BB6B58"/>
    <w:rsid w:val="00BB6C69"/>
    <w:rsid w:val="00BB6E75"/>
    <w:rsid w:val="00BB714E"/>
    <w:rsid w:val="00BB72CD"/>
    <w:rsid w:val="00BB73F3"/>
    <w:rsid w:val="00BB75B5"/>
    <w:rsid w:val="00BB7686"/>
    <w:rsid w:val="00BB775A"/>
    <w:rsid w:val="00BB78D2"/>
    <w:rsid w:val="00BB7936"/>
    <w:rsid w:val="00BB7CE6"/>
    <w:rsid w:val="00BC0523"/>
    <w:rsid w:val="00BC0650"/>
    <w:rsid w:val="00BC0BAA"/>
    <w:rsid w:val="00BC0CFD"/>
    <w:rsid w:val="00BC11A5"/>
    <w:rsid w:val="00BC12B6"/>
    <w:rsid w:val="00BC193B"/>
    <w:rsid w:val="00BC1960"/>
    <w:rsid w:val="00BC1A1D"/>
    <w:rsid w:val="00BC1A85"/>
    <w:rsid w:val="00BC1C1C"/>
    <w:rsid w:val="00BC1CF2"/>
    <w:rsid w:val="00BC1E7E"/>
    <w:rsid w:val="00BC1F90"/>
    <w:rsid w:val="00BC21BD"/>
    <w:rsid w:val="00BC22FD"/>
    <w:rsid w:val="00BC23C7"/>
    <w:rsid w:val="00BC23F9"/>
    <w:rsid w:val="00BC24DD"/>
    <w:rsid w:val="00BC2A89"/>
    <w:rsid w:val="00BC2BE2"/>
    <w:rsid w:val="00BC2EE6"/>
    <w:rsid w:val="00BC3199"/>
    <w:rsid w:val="00BC32D6"/>
    <w:rsid w:val="00BC3421"/>
    <w:rsid w:val="00BC366B"/>
    <w:rsid w:val="00BC3A25"/>
    <w:rsid w:val="00BC3CCF"/>
    <w:rsid w:val="00BC408D"/>
    <w:rsid w:val="00BC44F7"/>
    <w:rsid w:val="00BC456C"/>
    <w:rsid w:val="00BC50FA"/>
    <w:rsid w:val="00BC526E"/>
    <w:rsid w:val="00BC5C07"/>
    <w:rsid w:val="00BC6370"/>
    <w:rsid w:val="00BC6B06"/>
    <w:rsid w:val="00BC6F1B"/>
    <w:rsid w:val="00BC732C"/>
    <w:rsid w:val="00BC7915"/>
    <w:rsid w:val="00BC7D2A"/>
    <w:rsid w:val="00BC7F8B"/>
    <w:rsid w:val="00BD00C1"/>
    <w:rsid w:val="00BD0CAA"/>
    <w:rsid w:val="00BD0F52"/>
    <w:rsid w:val="00BD128C"/>
    <w:rsid w:val="00BD12BE"/>
    <w:rsid w:val="00BD16FD"/>
    <w:rsid w:val="00BD1859"/>
    <w:rsid w:val="00BD1880"/>
    <w:rsid w:val="00BD1B51"/>
    <w:rsid w:val="00BD2409"/>
    <w:rsid w:val="00BD243D"/>
    <w:rsid w:val="00BD263A"/>
    <w:rsid w:val="00BD2857"/>
    <w:rsid w:val="00BD2990"/>
    <w:rsid w:val="00BD2A1D"/>
    <w:rsid w:val="00BD2C48"/>
    <w:rsid w:val="00BD2F16"/>
    <w:rsid w:val="00BD3075"/>
    <w:rsid w:val="00BD3108"/>
    <w:rsid w:val="00BD33C8"/>
    <w:rsid w:val="00BD3470"/>
    <w:rsid w:val="00BD38DC"/>
    <w:rsid w:val="00BD3C35"/>
    <w:rsid w:val="00BD3EF0"/>
    <w:rsid w:val="00BD3FD3"/>
    <w:rsid w:val="00BD40AA"/>
    <w:rsid w:val="00BD42F1"/>
    <w:rsid w:val="00BD4421"/>
    <w:rsid w:val="00BD4D42"/>
    <w:rsid w:val="00BD506A"/>
    <w:rsid w:val="00BD6372"/>
    <w:rsid w:val="00BD6721"/>
    <w:rsid w:val="00BD6F43"/>
    <w:rsid w:val="00BD6FD7"/>
    <w:rsid w:val="00BD7249"/>
    <w:rsid w:val="00BD7324"/>
    <w:rsid w:val="00BD7699"/>
    <w:rsid w:val="00BE038D"/>
    <w:rsid w:val="00BE08C4"/>
    <w:rsid w:val="00BE0A85"/>
    <w:rsid w:val="00BE0D2B"/>
    <w:rsid w:val="00BE136E"/>
    <w:rsid w:val="00BE13F6"/>
    <w:rsid w:val="00BE16EB"/>
    <w:rsid w:val="00BE2580"/>
    <w:rsid w:val="00BE2663"/>
    <w:rsid w:val="00BE266D"/>
    <w:rsid w:val="00BE29CA"/>
    <w:rsid w:val="00BE2FF7"/>
    <w:rsid w:val="00BE3065"/>
    <w:rsid w:val="00BE35CB"/>
    <w:rsid w:val="00BE35D7"/>
    <w:rsid w:val="00BE3879"/>
    <w:rsid w:val="00BE3938"/>
    <w:rsid w:val="00BE39F1"/>
    <w:rsid w:val="00BE4510"/>
    <w:rsid w:val="00BE4C11"/>
    <w:rsid w:val="00BE536C"/>
    <w:rsid w:val="00BE579B"/>
    <w:rsid w:val="00BE59AF"/>
    <w:rsid w:val="00BE5C48"/>
    <w:rsid w:val="00BE5F26"/>
    <w:rsid w:val="00BE5F32"/>
    <w:rsid w:val="00BE6064"/>
    <w:rsid w:val="00BE63E6"/>
    <w:rsid w:val="00BE6805"/>
    <w:rsid w:val="00BE6CE9"/>
    <w:rsid w:val="00BE71C0"/>
    <w:rsid w:val="00BE7583"/>
    <w:rsid w:val="00BE77A2"/>
    <w:rsid w:val="00BE7FF8"/>
    <w:rsid w:val="00BF04E4"/>
    <w:rsid w:val="00BF0BAE"/>
    <w:rsid w:val="00BF0E39"/>
    <w:rsid w:val="00BF138C"/>
    <w:rsid w:val="00BF1431"/>
    <w:rsid w:val="00BF181D"/>
    <w:rsid w:val="00BF1951"/>
    <w:rsid w:val="00BF1A87"/>
    <w:rsid w:val="00BF1C23"/>
    <w:rsid w:val="00BF1D65"/>
    <w:rsid w:val="00BF2369"/>
    <w:rsid w:val="00BF23A4"/>
    <w:rsid w:val="00BF2579"/>
    <w:rsid w:val="00BF2892"/>
    <w:rsid w:val="00BF2E61"/>
    <w:rsid w:val="00BF3342"/>
    <w:rsid w:val="00BF3957"/>
    <w:rsid w:val="00BF3A2B"/>
    <w:rsid w:val="00BF3B02"/>
    <w:rsid w:val="00BF3B4B"/>
    <w:rsid w:val="00BF52A6"/>
    <w:rsid w:val="00BF5C26"/>
    <w:rsid w:val="00BF5E07"/>
    <w:rsid w:val="00BF6016"/>
    <w:rsid w:val="00BF610C"/>
    <w:rsid w:val="00BF629F"/>
    <w:rsid w:val="00BF6357"/>
    <w:rsid w:val="00BF64CE"/>
    <w:rsid w:val="00BF7771"/>
    <w:rsid w:val="00BF7C74"/>
    <w:rsid w:val="00BF7D3A"/>
    <w:rsid w:val="00BF7F16"/>
    <w:rsid w:val="00C004CC"/>
    <w:rsid w:val="00C0060B"/>
    <w:rsid w:val="00C0062F"/>
    <w:rsid w:val="00C0071A"/>
    <w:rsid w:val="00C0084A"/>
    <w:rsid w:val="00C009E0"/>
    <w:rsid w:val="00C00A97"/>
    <w:rsid w:val="00C00BA6"/>
    <w:rsid w:val="00C010CF"/>
    <w:rsid w:val="00C0121F"/>
    <w:rsid w:val="00C013AB"/>
    <w:rsid w:val="00C016D1"/>
    <w:rsid w:val="00C01772"/>
    <w:rsid w:val="00C01988"/>
    <w:rsid w:val="00C01A6C"/>
    <w:rsid w:val="00C0216C"/>
    <w:rsid w:val="00C02441"/>
    <w:rsid w:val="00C024AD"/>
    <w:rsid w:val="00C024DE"/>
    <w:rsid w:val="00C025BA"/>
    <w:rsid w:val="00C02642"/>
    <w:rsid w:val="00C0277D"/>
    <w:rsid w:val="00C02A39"/>
    <w:rsid w:val="00C02D34"/>
    <w:rsid w:val="00C02D9F"/>
    <w:rsid w:val="00C02F1A"/>
    <w:rsid w:val="00C03357"/>
    <w:rsid w:val="00C03390"/>
    <w:rsid w:val="00C03D2A"/>
    <w:rsid w:val="00C04244"/>
    <w:rsid w:val="00C0468B"/>
    <w:rsid w:val="00C046A5"/>
    <w:rsid w:val="00C04F44"/>
    <w:rsid w:val="00C052F5"/>
    <w:rsid w:val="00C053A1"/>
    <w:rsid w:val="00C053D8"/>
    <w:rsid w:val="00C0553B"/>
    <w:rsid w:val="00C0586E"/>
    <w:rsid w:val="00C05992"/>
    <w:rsid w:val="00C05EAF"/>
    <w:rsid w:val="00C05FB5"/>
    <w:rsid w:val="00C06837"/>
    <w:rsid w:val="00C068B7"/>
    <w:rsid w:val="00C06A87"/>
    <w:rsid w:val="00C06AFD"/>
    <w:rsid w:val="00C06C81"/>
    <w:rsid w:val="00C073FC"/>
    <w:rsid w:val="00C0789C"/>
    <w:rsid w:val="00C07F07"/>
    <w:rsid w:val="00C1005C"/>
    <w:rsid w:val="00C102B8"/>
    <w:rsid w:val="00C102FB"/>
    <w:rsid w:val="00C1070C"/>
    <w:rsid w:val="00C10874"/>
    <w:rsid w:val="00C109BE"/>
    <w:rsid w:val="00C10C20"/>
    <w:rsid w:val="00C10DC0"/>
    <w:rsid w:val="00C10FE0"/>
    <w:rsid w:val="00C114E1"/>
    <w:rsid w:val="00C115F4"/>
    <w:rsid w:val="00C11873"/>
    <w:rsid w:val="00C1188E"/>
    <w:rsid w:val="00C11AE0"/>
    <w:rsid w:val="00C11E61"/>
    <w:rsid w:val="00C1265C"/>
    <w:rsid w:val="00C12872"/>
    <w:rsid w:val="00C12A6A"/>
    <w:rsid w:val="00C12E3B"/>
    <w:rsid w:val="00C1331D"/>
    <w:rsid w:val="00C135C0"/>
    <w:rsid w:val="00C135D7"/>
    <w:rsid w:val="00C13D6E"/>
    <w:rsid w:val="00C13F59"/>
    <w:rsid w:val="00C1406B"/>
    <w:rsid w:val="00C141A8"/>
    <w:rsid w:val="00C14630"/>
    <w:rsid w:val="00C14D69"/>
    <w:rsid w:val="00C15095"/>
    <w:rsid w:val="00C1520F"/>
    <w:rsid w:val="00C15AE7"/>
    <w:rsid w:val="00C15B33"/>
    <w:rsid w:val="00C16198"/>
    <w:rsid w:val="00C1668D"/>
    <w:rsid w:val="00C168A0"/>
    <w:rsid w:val="00C168B9"/>
    <w:rsid w:val="00C16973"/>
    <w:rsid w:val="00C16A67"/>
    <w:rsid w:val="00C16C2F"/>
    <w:rsid w:val="00C16C5B"/>
    <w:rsid w:val="00C16F35"/>
    <w:rsid w:val="00C16F89"/>
    <w:rsid w:val="00C17197"/>
    <w:rsid w:val="00C17C7E"/>
    <w:rsid w:val="00C17CFE"/>
    <w:rsid w:val="00C20230"/>
    <w:rsid w:val="00C20271"/>
    <w:rsid w:val="00C205E5"/>
    <w:rsid w:val="00C2083D"/>
    <w:rsid w:val="00C21383"/>
    <w:rsid w:val="00C216C9"/>
    <w:rsid w:val="00C21A2C"/>
    <w:rsid w:val="00C21D51"/>
    <w:rsid w:val="00C22262"/>
    <w:rsid w:val="00C224B4"/>
    <w:rsid w:val="00C2281D"/>
    <w:rsid w:val="00C22967"/>
    <w:rsid w:val="00C22BBC"/>
    <w:rsid w:val="00C23103"/>
    <w:rsid w:val="00C232D4"/>
    <w:rsid w:val="00C23ACE"/>
    <w:rsid w:val="00C2413E"/>
    <w:rsid w:val="00C2428A"/>
    <w:rsid w:val="00C24327"/>
    <w:rsid w:val="00C24A53"/>
    <w:rsid w:val="00C25178"/>
    <w:rsid w:val="00C2595C"/>
    <w:rsid w:val="00C259FC"/>
    <w:rsid w:val="00C25A7C"/>
    <w:rsid w:val="00C25D18"/>
    <w:rsid w:val="00C25E40"/>
    <w:rsid w:val="00C2610D"/>
    <w:rsid w:val="00C26289"/>
    <w:rsid w:val="00C26297"/>
    <w:rsid w:val="00C26D66"/>
    <w:rsid w:val="00C26D9C"/>
    <w:rsid w:val="00C2718F"/>
    <w:rsid w:val="00C27296"/>
    <w:rsid w:val="00C27919"/>
    <w:rsid w:val="00C27CD3"/>
    <w:rsid w:val="00C27EF6"/>
    <w:rsid w:val="00C30147"/>
    <w:rsid w:val="00C30743"/>
    <w:rsid w:val="00C309E0"/>
    <w:rsid w:val="00C30BA2"/>
    <w:rsid w:val="00C30D08"/>
    <w:rsid w:val="00C30D47"/>
    <w:rsid w:val="00C31208"/>
    <w:rsid w:val="00C31235"/>
    <w:rsid w:val="00C3188A"/>
    <w:rsid w:val="00C31A4E"/>
    <w:rsid w:val="00C31AEC"/>
    <w:rsid w:val="00C32506"/>
    <w:rsid w:val="00C32517"/>
    <w:rsid w:val="00C32931"/>
    <w:rsid w:val="00C32D40"/>
    <w:rsid w:val="00C32D60"/>
    <w:rsid w:val="00C33029"/>
    <w:rsid w:val="00C3309D"/>
    <w:rsid w:val="00C33715"/>
    <w:rsid w:val="00C33721"/>
    <w:rsid w:val="00C33992"/>
    <w:rsid w:val="00C339E0"/>
    <w:rsid w:val="00C33E9A"/>
    <w:rsid w:val="00C33EA2"/>
    <w:rsid w:val="00C3406F"/>
    <w:rsid w:val="00C340B9"/>
    <w:rsid w:val="00C34330"/>
    <w:rsid w:val="00C3450C"/>
    <w:rsid w:val="00C346B1"/>
    <w:rsid w:val="00C34A05"/>
    <w:rsid w:val="00C34D84"/>
    <w:rsid w:val="00C34DCD"/>
    <w:rsid w:val="00C35782"/>
    <w:rsid w:val="00C359A3"/>
    <w:rsid w:val="00C35B33"/>
    <w:rsid w:val="00C35C4B"/>
    <w:rsid w:val="00C35CCE"/>
    <w:rsid w:val="00C3619F"/>
    <w:rsid w:val="00C365BE"/>
    <w:rsid w:val="00C3665A"/>
    <w:rsid w:val="00C3671F"/>
    <w:rsid w:val="00C36976"/>
    <w:rsid w:val="00C36DDC"/>
    <w:rsid w:val="00C3704A"/>
    <w:rsid w:val="00C371E0"/>
    <w:rsid w:val="00C371F0"/>
    <w:rsid w:val="00C37578"/>
    <w:rsid w:val="00C37E4F"/>
    <w:rsid w:val="00C4032F"/>
    <w:rsid w:val="00C403B3"/>
    <w:rsid w:val="00C404F2"/>
    <w:rsid w:val="00C40544"/>
    <w:rsid w:val="00C40620"/>
    <w:rsid w:val="00C40886"/>
    <w:rsid w:val="00C40917"/>
    <w:rsid w:val="00C40E1B"/>
    <w:rsid w:val="00C418D9"/>
    <w:rsid w:val="00C418E1"/>
    <w:rsid w:val="00C41C9D"/>
    <w:rsid w:val="00C41FCD"/>
    <w:rsid w:val="00C4222C"/>
    <w:rsid w:val="00C42489"/>
    <w:rsid w:val="00C424AB"/>
    <w:rsid w:val="00C42516"/>
    <w:rsid w:val="00C425B5"/>
    <w:rsid w:val="00C4267A"/>
    <w:rsid w:val="00C4293F"/>
    <w:rsid w:val="00C42B21"/>
    <w:rsid w:val="00C42F00"/>
    <w:rsid w:val="00C43192"/>
    <w:rsid w:val="00C433BB"/>
    <w:rsid w:val="00C43755"/>
    <w:rsid w:val="00C438DD"/>
    <w:rsid w:val="00C43980"/>
    <w:rsid w:val="00C44047"/>
    <w:rsid w:val="00C44768"/>
    <w:rsid w:val="00C44A0B"/>
    <w:rsid w:val="00C44D90"/>
    <w:rsid w:val="00C45007"/>
    <w:rsid w:val="00C45155"/>
    <w:rsid w:val="00C4522A"/>
    <w:rsid w:val="00C4568B"/>
    <w:rsid w:val="00C45698"/>
    <w:rsid w:val="00C456EA"/>
    <w:rsid w:val="00C45730"/>
    <w:rsid w:val="00C45B29"/>
    <w:rsid w:val="00C45F5A"/>
    <w:rsid w:val="00C45F94"/>
    <w:rsid w:val="00C46020"/>
    <w:rsid w:val="00C461A2"/>
    <w:rsid w:val="00C461B8"/>
    <w:rsid w:val="00C465CD"/>
    <w:rsid w:val="00C46766"/>
    <w:rsid w:val="00C46C5C"/>
    <w:rsid w:val="00C470BE"/>
    <w:rsid w:val="00C47225"/>
    <w:rsid w:val="00C472EA"/>
    <w:rsid w:val="00C47381"/>
    <w:rsid w:val="00C473B5"/>
    <w:rsid w:val="00C47C12"/>
    <w:rsid w:val="00C47E6C"/>
    <w:rsid w:val="00C500A2"/>
    <w:rsid w:val="00C503EC"/>
    <w:rsid w:val="00C509FA"/>
    <w:rsid w:val="00C50B99"/>
    <w:rsid w:val="00C50E3B"/>
    <w:rsid w:val="00C5141B"/>
    <w:rsid w:val="00C51498"/>
    <w:rsid w:val="00C514B0"/>
    <w:rsid w:val="00C514BB"/>
    <w:rsid w:val="00C516B5"/>
    <w:rsid w:val="00C51B35"/>
    <w:rsid w:val="00C51F58"/>
    <w:rsid w:val="00C5247D"/>
    <w:rsid w:val="00C52554"/>
    <w:rsid w:val="00C52B4F"/>
    <w:rsid w:val="00C52DBA"/>
    <w:rsid w:val="00C53781"/>
    <w:rsid w:val="00C538DC"/>
    <w:rsid w:val="00C53AAF"/>
    <w:rsid w:val="00C53B0C"/>
    <w:rsid w:val="00C53D54"/>
    <w:rsid w:val="00C53E57"/>
    <w:rsid w:val="00C5454A"/>
    <w:rsid w:val="00C5459A"/>
    <w:rsid w:val="00C5498F"/>
    <w:rsid w:val="00C54ABE"/>
    <w:rsid w:val="00C55235"/>
    <w:rsid w:val="00C554EB"/>
    <w:rsid w:val="00C55660"/>
    <w:rsid w:val="00C55D36"/>
    <w:rsid w:val="00C561F5"/>
    <w:rsid w:val="00C56446"/>
    <w:rsid w:val="00C565DE"/>
    <w:rsid w:val="00C56E11"/>
    <w:rsid w:val="00C56E32"/>
    <w:rsid w:val="00C571FF"/>
    <w:rsid w:val="00C5728E"/>
    <w:rsid w:val="00C5744D"/>
    <w:rsid w:val="00C577A0"/>
    <w:rsid w:val="00C57E1E"/>
    <w:rsid w:val="00C60926"/>
    <w:rsid w:val="00C60B9D"/>
    <w:rsid w:val="00C60C3A"/>
    <w:rsid w:val="00C6129F"/>
    <w:rsid w:val="00C61523"/>
    <w:rsid w:val="00C61619"/>
    <w:rsid w:val="00C61624"/>
    <w:rsid w:val="00C6170A"/>
    <w:rsid w:val="00C6182B"/>
    <w:rsid w:val="00C61C34"/>
    <w:rsid w:val="00C6217C"/>
    <w:rsid w:val="00C62339"/>
    <w:rsid w:val="00C62372"/>
    <w:rsid w:val="00C623F8"/>
    <w:rsid w:val="00C624C1"/>
    <w:rsid w:val="00C6293F"/>
    <w:rsid w:val="00C62A4B"/>
    <w:rsid w:val="00C62E21"/>
    <w:rsid w:val="00C62EBC"/>
    <w:rsid w:val="00C63201"/>
    <w:rsid w:val="00C63511"/>
    <w:rsid w:val="00C6367E"/>
    <w:rsid w:val="00C63A15"/>
    <w:rsid w:val="00C63F24"/>
    <w:rsid w:val="00C63FDE"/>
    <w:rsid w:val="00C642A2"/>
    <w:rsid w:val="00C645AC"/>
    <w:rsid w:val="00C64666"/>
    <w:rsid w:val="00C647B4"/>
    <w:rsid w:val="00C64908"/>
    <w:rsid w:val="00C64CD0"/>
    <w:rsid w:val="00C64DBE"/>
    <w:rsid w:val="00C650E2"/>
    <w:rsid w:val="00C65221"/>
    <w:rsid w:val="00C65246"/>
    <w:rsid w:val="00C65E2D"/>
    <w:rsid w:val="00C65E6D"/>
    <w:rsid w:val="00C65F93"/>
    <w:rsid w:val="00C6634B"/>
    <w:rsid w:val="00C667F5"/>
    <w:rsid w:val="00C6684F"/>
    <w:rsid w:val="00C669E4"/>
    <w:rsid w:val="00C66B2C"/>
    <w:rsid w:val="00C66FCA"/>
    <w:rsid w:val="00C674E0"/>
    <w:rsid w:val="00C675DD"/>
    <w:rsid w:val="00C679B6"/>
    <w:rsid w:val="00C67B9C"/>
    <w:rsid w:val="00C67FB0"/>
    <w:rsid w:val="00C704C3"/>
    <w:rsid w:val="00C7067E"/>
    <w:rsid w:val="00C70A38"/>
    <w:rsid w:val="00C70BB5"/>
    <w:rsid w:val="00C70E70"/>
    <w:rsid w:val="00C7118B"/>
    <w:rsid w:val="00C712D9"/>
    <w:rsid w:val="00C714C0"/>
    <w:rsid w:val="00C71610"/>
    <w:rsid w:val="00C71686"/>
    <w:rsid w:val="00C71C64"/>
    <w:rsid w:val="00C72258"/>
    <w:rsid w:val="00C72A60"/>
    <w:rsid w:val="00C730FC"/>
    <w:rsid w:val="00C73213"/>
    <w:rsid w:val="00C733F0"/>
    <w:rsid w:val="00C73542"/>
    <w:rsid w:val="00C735A9"/>
    <w:rsid w:val="00C7374D"/>
    <w:rsid w:val="00C737B0"/>
    <w:rsid w:val="00C7394E"/>
    <w:rsid w:val="00C742D4"/>
    <w:rsid w:val="00C744F4"/>
    <w:rsid w:val="00C749BB"/>
    <w:rsid w:val="00C74C3F"/>
    <w:rsid w:val="00C75155"/>
    <w:rsid w:val="00C756C6"/>
    <w:rsid w:val="00C7587E"/>
    <w:rsid w:val="00C75B92"/>
    <w:rsid w:val="00C75CBE"/>
    <w:rsid w:val="00C75F8D"/>
    <w:rsid w:val="00C761C0"/>
    <w:rsid w:val="00C76567"/>
    <w:rsid w:val="00C76949"/>
    <w:rsid w:val="00C77154"/>
    <w:rsid w:val="00C77380"/>
    <w:rsid w:val="00C77416"/>
    <w:rsid w:val="00C776F4"/>
    <w:rsid w:val="00C77A78"/>
    <w:rsid w:val="00C77AE8"/>
    <w:rsid w:val="00C77C06"/>
    <w:rsid w:val="00C77C1D"/>
    <w:rsid w:val="00C77D3D"/>
    <w:rsid w:val="00C8001E"/>
    <w:rsid w:val="00C80033"/>
    <w:rsid w:val="00C8008F"/>
    <w:rsid w:val="00C80349"/>
    <w:rsid w:val="00C80830"/>
    <w:rsid w:val="00C80CDD"/>
    <w:rsid w:val="00C811BA"/>
    <w:rsid w:val="00C811DD"/>
    <w:rsid w:val="00C81487"/>
    <w:rsid w:val="00C81692"/>
    <w:rsid w:val="00C81854"/>
    <w:rsid w:val="00C81A65"/>
    <w:rsid w:val="00C81A88"/>
    <w:rsid w:val="00C81ABD"/>
    <w:rsid w:val="00C820B8"/>
    <w:rsid w:val="00C827C7"/>
    <w:rsid w:val="00C82940"/>
    <w:rsid w:val="00C82B2D"/>
    <w:rsid w:val="00C82B70"/>
    <w:rsid w:val="00C82D53"/>
    <w:rsid w:val="00C83058"/>
    <w:rsid w:val="00C83186"/>
    <w:rsid w:val="00C83546"/>
    <w:rsid w:val="00C8389D"/>
    <w:rsid w:val="00C839F7"/>
    <w:rsid w:val="00C83DC4"/>
    <w:rsid w:val="00C83EFD"/>
    <w:rsid w:val="00C841B9"/>
    <w:rsid w:val="00C8437B"/>
    <w:rsid w:val="00C84867"/>
    <w:rsid w:val="00C84B82"/>
    <w:rsid w:val="00C84CD2"/>
    <w:rsid w:val="00C854B0"/>
    <w:rsid w:val="00C855BE"/>
    <w:rsid w:val="00C85892"/>
    <w:rsid w:val="00C85C29"/>
    <w:rsid w:val="00C862A1"/>
    <w:rsid w:val="00C86498"/>
    <w:rsid w:val="00C86551"/>
    <w:rsid w:val="00C86C44"/>
    <w:rsid w:val="00C86CE0"/>
    <w:rsid w:val="00C87213"/>
    <w:rsid w:val="00C87468"/>
    <w:rsid w:val="00C874A4"/>
    <w:rsid w:val="00C87528"/>
    <w:rsid w:val="00C87E8A"/>
    <w:rsid w:val="00C9003B"/>
    <w:rsid w:val="00C90669"/>
    <w:rsid w:val="00C90854"/>
    <w:rsid w:val="00C90958"/>
    <w:rsid w:val="00C91679"/>
    <w:rsid w:val="00C9168C"/>
    <w:rsid w:val="00C91722"/>
    <w:rsid w:val="00C918A7"/>
    <w:rsid w:val="00C91B1F"/>
    <w:rsid w:val="00C91EB8"/>
    <w:rsid w:val="00C91EB9"/>
    <w:rsid w:val="00C92281"/>
    <w:rsid w:val="00C9245B"/>
    <w:rsid w:val="00C92770"/>
    <w:rsid w:val="00C92973"/>
    <w:rsid w:val="00C92F35"/>
    <w:rsid w:val="00C934E7"/>
    <w:rsid w:val="00C93731"/>
    <w:rsid w:val="00C93BF5"/>
    <w:rsid w:val="00C93DD5"/>
    <w:rsid w:val="00C9445B"/>
    <w:rsid w:val="00C94AA0"/>
    <w:rsid w:val="00C952EB"/>
    <w:rsid w:val="00C9538B"/>
    <w:rsid w:val="00C95870"/>
    <w:rsid w:val="00C95F4D"/>
    <w:rsid w:val="00C9613E"/>
    <w:rsid w:val="00C963E5"/>
    <w:rsid w:val="00C96456"/>
    <w:rsid w:val="00C966C2"/>
    <w:rsid w:val="00C96D2B"/>
    <w:rsid w:val="00C96D5C"/>
    <w:rsid w:val="00C96D83"/>
    <w:rsid w:val="00C96F12"/>
    <w:rsid w:val="00C96F4D"/>
    <w:rsid w:val="00C97736"/>
    <w:rsid w:val="00CA039E"/>
    <w:rsid w:val="00CA04EC"/>
    <w:rsid w:val="00CA0768"/>
    <w:rsid w:val="00CA0911"/>
    <w:rsid w:val="00CA0ABD"/>
    <w:rsid w:val="00CA0F24"/>
    <w:rsid w:val="00CA11C5"/>
    <w:rsid w:val="00CA11E2"/>
    <w:rsid w:val="00CA1248"/>
    <w:rsid w:val="00CA1573"/>
    <w:rsid w:val="00CA17C1"/>
    <w:rsid w:val="00CA2148"/>
    <w:rsid w:val="00CA22D0"/>
    <w:rsid w:val="00CA2A81"/>
    <w:rsid w:val="00CA2E0D"/>
    <w:rsid w:val="00CA30AD"/>
    <w:rsid w:val="00CA31C9"/>
    <w:rsid w:val="00CA3326"/>
    <w:rsid w:val="00CA335E"/>
    <w:rsid w:val="00CA345A"/>
    <w:rsid w:val="00CA3F9D"/>
    <w:rsid w:val="00CA438D"/>
    <w:rsid w:val="00CA4633"/>
    <w:rsid w:val="00CA482F"/>
    <w:rsid w:val="00CA4F2D"/>
    <w:rsid w:val="00CA5F08"/>
    <w:rsid w:val="00CA63A8"/>
    <w:rsid w:val="00CA6A35"/>
    <w:rsid w:val="00CA7A8E"/>
    <w:rsid w:val="00CA7AFE"/>
    <w:rsid w:val="00CB0082"/>
    <w:rsid w:val="00CB019B"/>
    <w:rsid w:val="00CB03D7"/>
    <w:rsid w:val="00CB0555"/>
    <w:rsid w:val="00CB065A"/>
    <w:rsid w:val="00CB067B"/>
    <w:rsid w:val="00CB11BC"/>
    <w:rsid w:val="00CB11FE"/>
    <w:rsid w:val="00CB165F"/>
    <w:rsid w:val="00CB1E82"/>
    <w:rsid w:val="00CB2331"/>
    <w:rsid w:val="00CB2447"/>
    <w:rsid w:val="00CB27D9"/>
    <w:rsid w:val="00CB28B8"/>
    <w:rsid w:val="00CB2CCF"/>
    <w:rsid w:val="00CB2D25"/>
    <w:rsid w:val="00CB2D2F"/>
    <w:rsid w:val="00CB3A16"/>
    <w:rsid w:val="00CB3FE2"/>
    <w:rsid w:val="00CB44FD"/>
    <w:rsid w:val="00CB4B77"/>
    <w:rsid w:val="00CB4BA8"/>
    <w:rsid w:val="00CB4D56"/>
    <w:rsid w:val="00CB4E00"/>
    <w:rsid w:val="00CB52D7"/>
    <w:rsid w:val="00CB56B0"/>
    <w:rsid w:val="00CB5E11"/>
    <w:rsid w:val="00CB639C"/>
    <w:rsid w:val="00CB67F9"/>
    <w:rsid w:val="00CB6C18"/>
    <w:rsid w:val="00CB6DC3"/>
    <w:rsid w:val="00CB7312"/>
    <w:rsid w:val="00CB76F7"/>
    <w:rsid w:val="00CB7B48"/>
    <w:rsid w:val="00CB7E09"/>
    <w:rsid w:val="00CB7FF8"/>
    <w:rsid w:val="00CC0236"/>
    <w:rsid w:val="00CC06F5"/>
    <w:rsid w:val="00CC0A17"/>
    <w:rsid w:val="00CC0A61"/>
    <w:rsid w:val="00CC0B31"/>
    <w:rsid w:val="00CC0B84"/>
    <w:rsid w:val="00CC0C2D"/>
    <w:rsid w:val="00CC0CE6"/>
    <w:rsid w:val="00CC13C8"/>
    <w:rsid w:val="00CC1408"/>
    <w:rsid w:val="00CC158E"/>
    <w:rsid w:val="00CC187C"/>
    <w:rsid w:val="00CC1926"/>
    <w:rsid w:val="00CC1CCD"/>
    <w:rsid w:val="00CC2075"/>
    <w:rsid w:val="00CC20DD"/>
    <w:rsid w:val="00CC235F"/>
    <w:rsid w:val="00CC2600"/>
    <w:rsid w:val="00CC2692"/>
    <w:rsid w:val="00CC289D"/>
    <w:rsid w:val="00CC294D"/>
    <w:rsid w:val="00CC2AA8"/>
    <w:rsid w:val="00CC335B"/>
    <w:rsid w:val="00CC362A"/>
    <w:rsid w:val="00CC3BEB"/>
    <w:rsid w:val="00CC3E02"/>
    <w:rsid w:val="00CC4478"/>
    <w:rsid w:val="00CC47C5"/>
    <w:rsid w:val="00CC4B96"/>
    <w:rsid w:val="00CC4C6B"/>
    <w:rsid w:val="00CC4CC2"/>
    <w:rsid w:val="00CC538A"/>
    <w:rsid w:val="00CC5E08"/>
    <w:rsid w:val="00CC62EA"/>
    <w:rsid w:val="00CC6350"/>
    <w:rsid w:val="00CC6447"/>
    <w:rsid w:val="00CC6732"/>
    <w:rsid w:val="00CC6849"/>
    <w:rsid w:val="00CC6BB0"/>
    <w:rsid w:val="00CC6DC3"/>
    <w:rsid w:val="00CC7857"/>
    <w:rsid w:val="00CC79F7"/>
    <w:rsid w:val="00CD01B0"/>
    <w:rsid w:val="00CD07F1"/>
    <w:rsid w:val="00CD0C9C"/>
    <w:rsid w:val="00CD0C9F"/>
    <w:rsid w:val="00CD0DAA"/>
    <w:rsid w:val="00CD15C2"/>
    <w:rsid w:val="00CD184B"/>
    <w:rsid w:val="00CD1C0E"/>
    <w:rsid w:val="00CD1CB7"/>
    <w:rsid w:val="00CD22FE"/>
    <w:rsid w:val="00CD2415"/>
    <w:rsid w:val="00CD251E"/>
    <w:rsid w:val="00CD2B9A"/>
    <w:rsid w:val="00CD2E09"/>
    <w:rsid w:val="00CD3597"/>
    <w:rsid w:val="00CD36CF"/>
    <w:rsid w:val="00CD3D69"/>
    <w:rsid w:val="00CD44EA"/>
    <w:rsid w:val="00CD4660"/>
    <w:rsid w:val="00CD4CD1"/>
    <w:rsid w:val="00CD4E4B"/>
    <w:rsid w:val="00CD506B"/>
    <w:rsid w:val="00CD5102"/>
    <w:rsid w:val="00CD5201"/>
    <w:rsid w:val="00CD5523"/>
    <w:rsid w:val="00CD59E4"/>
    <w:rsid w:val="00CD5FCB"/>
    <w:rsid w:val="00CD60C2"/>
    <w:rsid w:val="00CD643E"/>
    <w:rsid w:val="00CD6961"/>
    <w:rsid w:val="00CD6CC0"/>
    <w:rsid w:val="00CD6E5E"/>
    <w:rsid w:val="00CD6FD9"/>
    <w:rsid w:val="00CD75FB"/>
    <w:rsid w:val="00CD79BC"/>
    <w:rsid w:val="00CD7CA3"/>
    <w:rsid w:val="00CD7CEF"/>
    <w:rsid w:val="00CE0172"/>
    <w:rsid w:val="00CE07B1"/>
    <w:rsid w:val="00CE0850"/>
    <w:rsid w:val="00CE090E"/>
    <w:rsid w:val="00CE0AF7"/>
    <w:rsid w:val="00CE0B3E"/>
    <w:rsid w:val="00CE0B9E"/>
    <w:rsid w:val="00CE0BB5"/>
    <w:rsid w:val="00CE144F"/>
    <w:rsid w:val="00CE1FC1"/>
    <w:rsid w:val="00CE248A"/>
    <w:rsid w:val="00CE280A"/>
    <w:rsid w:val="00CE2C30"/>
    <w:rsid w:val="00CE2C3A"/>
    <w:rsid w:val="00CE2E84"/>
    <w:rsid w:val="00CE305C"/>
    <w:rsid w:val="00CE3B08"/>
    <w:rsid w:val="00CE3C96"/>
    <w:rsid w:val="00CE4020"/>
    <w:rsid w:val="00CE4797"/>
    <w:rsid w:val="00CE4AFF"/>
    <w:rsid w:val="00CE4BBA"/>
    <w:rsid w:val="00CE4D84"/>
    <w:rsid w:val="00CE4FCF"/>
    <w:rsid w:val="00CE505F"/>
    <w:rsid w:val="00CE5168"/>
    <w:rsid w:val="00CE51A8"/>
    <w:rsid w:val="00CE5929"/>
    <w:rsid w:val="00CE60BE"/>
    <w:rsid w:val="00CE64F1"/>
    <w:rsid w:val="00CE687B"/>
    <w:rsid w:val="00CE6B66"/>
    <w:rsid w:val="00CE6B79"/>
    <w:rsid w:val="00CE6BE5"/>
    <w:rsid w:val="00CE6D42"/>
    <w:rsid w:val="00CE6D55"/>
    <w:rsid w:val="00CE6D6B"/>
    <w:rsid w:val="00CE7514"/>
    <w:rsid w:val="00CE78AE"/>
    <w:rsid w:val="00CE79F5"/>
    <w:rsid w:val="00CE7C9D"/>
    <w:rsid w:val="00CE7DEA"/>
    <w:rsid w:val="00CE7F25"/>
    <w:rsid w:val="00CF0044"/>
    <w:rsid w:val="00CF004E"/>
    <w:rsid w:val="00CF0268"/>
    <w:rsid w:val="00CF0AA4"/>
    <w:rsid w:val="00CF0D3D"/>
    <w:rsid w:val="00CF1219"/>
    <w:rsid w:val="00CF13FF"/>
    <w:rsid w:val="00CF15B9"/>
    <w:rsid w:val="00CF1CCE"/>
    <w:rsid w:val="00CF2042"/>
    <w:rsid w:val="00CF2380"/>
    <w:rsid w:val="00CF251C"/>
    <w:rsid w:val="00CF2989"/>
    <w:rsid w:val="00CF2B75"/>
    <w:rsid w:val="00CF3012"/>
    <w:rsid w:val="00CF307A"/>
    <w:rsid w:val="00CF369B"/>
    <w:rsid w:val="00CF375E"/>
    <w:rsid w:val="00CF39EF"/>
    <w:rsid w:val="00CF3A9A"/>
    <w:rsid w:val="00CF3E3E"/>
    <w:rsid w:val="00CF41E4"/>
    <w:rsid w:val="00CF428D"/>
    <w:rsid w:val="00CF42EA"/>
    <w:rsid w:val="00CF4412"/>
    <w:rsid w:val="00CF4E39"/>
    <w:rsid w:val="00CF507D"/>
    <w:rsid w:val="00CF52D7"/>
    <w:rsid w:val="00CF53BC"/>
    <w:rsid w:val="00CF5529"/>
    <w:rsid w:val="00CF560C"/>
    <w:rsid w:val="00CF57E2"/>
    <w:rsid w:val="00CF59ED"/>
    <w:rsid w:val="00CF5AEB"/>
    <w:rsid w:val="00CF5CFC"/>
    <w:rsid w:val="00CF62FB"/>
    <w:rsid w:val="00CF661F"/>
    <w:rsid w:val="00CF698F"/>
    <w:rsid w:val="00CF69ED"/>
    <w:rsid w:val="00CF6DB9"/>
    <w:rsid w:val="00CF7689"/>
    <w:rsid w:val="00CF7E29"/>
    <w:rsid w:val="00CF7E5C"/>
    <w:rsid w:val="00D003B2"/>
    <w:rsid w:val="00D00BAD"/>
    <w:rsid w:val="00D00DC8"/>
    <w:rsid w:val="00D00E28"/>
    <w:rsid w:val="00D010EE"/>
    <w:rsid w:val="00D01191"/>
    <w:rsid w:val="00D01416"/>
    <w:rsid w:val="00D01421"/>
    <w:rsid w:val="00D015A5"/>
    <w:rsid w:val="00D01BD3"/>
    <w:rsid w:val="00D01C03"/>
    <w:rsid w:val="00D01E0D"/>
    <w:rsid w:val="00D022AF"/>
    <w:rsid w:val="00D02436"/>
    <w:rsid w:val="00D0269E"/>
    <w:rsid w:val="00D02EBD"/>
    <w:rsid w:val="00D02F68"/>
    <w:rsid w:val="00D0377F"/>
    <w:rsid w:val="00D03C83"/>
    <w:rsid w:val="00D041A0"/>
    <w:rsid w:val="00D04C70"/>
    <w:rsid w:val="00D05296"/>
    <w:rsid w:val="00D056DB"/>
    <w:rsid w:val="00D05AAF"/>
    <w:rsid w:val="00D05C54"/>
    <w:rsid w:val="00D05D6C"/>
    <w:rsid w:val="00D066C3"/>
    <w:rsid w:val="00D06E15"/>
    <w:rsid w:val="00D070E5"/>
    <w:rsid w:val="00D076D8"/>
    <w:rsid w:val="00D07713"/>
    <w:rsid w:val="00D079E7"/>
    <w:rsid w:val="00D07A6B"/>
    <w:rsid w:val="00D1000B"/>
    <w:rsid w:val="00D1021F"/>
    <w:rsid w:val="00D1033C"/>
    <w:rsid w:val="00D104BC"/>
    <w:rsid w:val="00D10521"/>
    <w:rsid w:val="00D107DF"/>
    <w:rsid w:val="00D10A5B"/>
    <w:rsid w:val="00D10AC3"/>
    <w:rsid w:val="00D10C21"/>
    <w:rsid w:val="00D112AC"/>
    <w:rsid w:val="00D115A1"/>
    <w:rsid w:val="00D1183A"/>
    <w:rsid w:val="00D124A8"/>
    <w:rsid w:val="00D129AA"/>
    <w:rsid w:val="00D12A6E"/>
    <w:rsid w:val="00D130BC"/>
    <w:rsid w:val="00D13240"/>
    <w:rsid w:val="00D1349B"/>
    <w:rsid w:val="00D135C9"/>
    <w:rsid w:val="00D13603"/>
    <w:rsid w:val="00D13D03"/>
    <w:rsid w:val="00D13E02"/>
    <w:rsid w:val="00D13E89"/>
    <w:rsid w:val="00D1481C"/>
    <w:rsid w:val="00D148F1"/>
    <w:rsid w:val="00D14A4F"/>
    <w:rsid w:val="00D155BD"/>
    <w:rsid w:val="00D15810"/>
    <w:rsid w:val="00D15917"/>
    <w:rsid w:val="00D16410"/>
    <w:rsid w:val="00D1681D"/>
    <w:rsid w:val="00D1695A"/>
    <w:rsid w:val="00D16D4E"/>
    <w:rsid w:val="00D16FE3"/>
    <w:rsid w:val="00D170EB"/>
    <w:rsid w:val="00D172A1"/>
    <w:rsid w:val="00D17D1D"/>
    <w:rsid w:val="00D21565"/>
    <w:rsid w:val="00D2157E"/>
    <w:rsid w:val="00D216AB"/>
    <w:rsid w:val="00D21AA4"/>
    <w:rsid w:val="00D21ABF"/>
    <w:rsid w:val="00D2214F"/>
    <w:rsid w:val="00D2215A"/>
    <w:rsid w:val="00D222F5"/>
    <w:rsid w:val="00D22442"/>
    <w:rsid w:val="00D22589"/>
    <w:rsid w:val="00D22FE9"/>
    <w:rsid w:val="00D23004"/>
    <w:rsid w:val="00D23361"/>
    <w:rsid w:val="00D235D2"/>
    <w:rsid w:val="00D23626"/>
    <w:rsid w:val="00D23972"/>
    <w:rsid w:val="00D23C51"/>
    <w:rsid w:val="00D23E89"/>
    <w:rsid w:val="00D240E0"/>
    <w:rsid w:val="00D241BB"/>
    <w:rsid w:val="00D242B0"/>
    <w:rsid w:val="00D243A5"/>
    <w:rsid w:val="00D24541"/>
    <w:rsid w:val="00D247D7"/>
    <w:rsid w:val="00D24CFA"/>
    <w:rsid w:val="00D24E37"/>
    <w:rsid w:val="00D24E6C"/>
    <w:rsid w:val="00D250C4"/>
    <w:rsid w:val="00D251E8"/>
    <w:rsid w:val="00D2551D"/>
    <w:rsid w:val="00D2564D"/>
    <w:rsid w:val="00D25945"/>
    <w:rsid w:val="00D25954"/>
    <w:rsid w:val="00D2631D"/>
    <w:rsid w:val="00D2639F"/>
    <w:rsid w:val="00D26C9A"/>
    <w:rsid w:val="00D26EA1"/>
    <w:rsid w:val="00D26EF0"/>
    <w:rsid w:val="00D27277"/>
    <w:rsid w:val="00D2742D"/>
    <w:rsid w:val="00D274C1"/>
    <w:rsid w:val="00D277C1"/>
    <w:rsid w:val="00D278B6"/>
    <w:rsid w:val="00D278E7"/>
    <w:rsid w:val="00D27C76"/>
    <w:rsid w:val="00D27EED"/>
    <w:rsid w:val="00D27F41"/>
    <w:rsid w:val="00D3004E"/>
    <w:rsid w:val="00D30488"/>
    <w:rsid w:val="00D30A2E"/>
    <w:rsid w:val="00D30A63"/>
    <w:rsid w:val="00D30B22"/>
    <w:rsid w:val="00D30B60"/>
    <w:rsid w:val="00D316A7"/>
    <w:rsid w:val="00D31B14"/>
    <w:rsid w:val="00D31BAA"/>
    <w:rsid w:val="00D31D7E"/>
    <w:rsid w:val="00D31EFA"/>
    <w:rsid w:val="00D32459"/>
    <w:rsid w:val="00D33131"/>
    <w:rsid w:val="00D3336D"/>
    <w:rsid w:val="00D3357C"/>
    <w:rsid w:val="00D337C0"/>
    <w:rsid w:val="00D338E3"/>
    <w:rsid w:val="00D33AFE"/>
    <w:rsid w:val="00D33DE7"/>
    <w:rsid w:val="00D34201"/>
    <w:rsid w:val="00D342AF"/>
    <w:rsid w:val="00D35180"/>
    <w:rsid w:val="00D3519B"/>
    <w:rsid w:val="00D35685"/>
    <w:rsid w:val="00D357B5"/>
    <w:rsid w:val="00D35DBF"/>
    <w:rsid w:val="00D35E9B"/>
    <w:rsid w:val="00D35F1A"/>
    <w:rsid w:val="00D35FA4"/>
    <w:rsid w:val="00D36441"/>
    <w:rsid w:val="00D365A0"/>
    <w:rsid w:val="00D366BE"/>
    <w:rsid w:val="00D36809"/>
    <w:rsid w:val="00D36B80"/>
    <w:rsid w:val="00D3723A"/>
    <w:rsid w:val="00D3762D"/>
    <w:rsid w:val="00D376A5"/>
    <w:rsid w:val="00D376BB"/>
    <w:rsid w:val="00D377F7"/>
    <w:rsid w:val="00D37C71"/>
    <w:rsid w:val="00D37C91"/>
    <w:rsid w:val="00D4028E"/>
    <w:rsid w:val="00D4064E"/>
    <w:rsid w:val="00D406B1"/>
    <w:rsid w:val="00D4083C"/>
    <w:rsid w:val="00D4084B"/>
    <w:rsid w:val="00D40EFA"/>
    <w:rsid w:val="00D41263"/>
    <w:rsid w:val="00D41362"/>
    <w:rsid w:val="00D414CE"/>
    <w:rsid w:val="00D414E9"/>
    <w:rsid w:val="00D4190C"/>
    <w:rsid w:val="00D41FAD"/>
    <w:rsid w:val="00D420C3"/>
    <w:rsid w:val="00D426F4"/>
    <w:rsid w:val="00D42B8F"/>
    <w:rsid w:val="00D42EF0"/>
    <w:rsid w:val="00D43102"/>
    <w:rsid w:val="00D4323D"/>
    <w:rsid w:val="00D43EA6"/>
    <w:rsid w:val="00D43EA9"/>
    <w:rsid w:val="00D4401A"/>
    <w:rsid w:val="00D44E9B"/>
    <w:rsid w:val="00D45049"/>
    <w:rsid w:val="00D4517A"/>
    <w:rsid w:val="00D452C4"/>
    <w:rsid w:val="00D457BB"/>
    <w:rsid w:val="00D45FD2"/>
    <w:rsid w:val="00D4697C"/>
    <w:rsid w:val="00D46E9A"/>
    <w:rsid w:val="00D4719E"/>
    <w:rsid w:val="00D4733E"/>
    <w:rsid w:val="00D475C3"/>
    <w:rsid w:val="00D4782D"/>
    <w:rsid w:val="00D4786F"/>
    <w:rsid w:val="00D478BF"/>
    <w:rsid w:val="00D47AEB"/>
    <w:rsid w:val="00D47B1E"/>
    <w:rsid w:val="00D47ED8"/>
    <w:rsid w:val="00D501E2"/>
    <w:rsid w:val="00D50622"/>
    <w:rsid w:val="00D507A8"/>
    <w:rsid w:val="00D50D56"/>
    <w:rsid w:val="00D50DB9"/>
    <w:rsid w:val="00D51222"/>
    <w:rsid w:val="00D51302"/>
    <w:rsid w:val="00D51781"/>
    <w:rsid w:val="00D52217"/>
    <w:rsid w:val="00D523BB"/>
    <w:rsid w:val="00D52795"/>
    <w:rsid w:val="00D52A47"/>
    <w:rsid w:val="00D52C43"/>
    <w:rsid w:val="00D52E35"/>
    <w:rsid w:val="00D52F4E"/>
    <w:rsid w:val="00D53099"/>
    <w:rsid w:val="00D53179"/>
    <w:rsid w:val="00D531CA"/>
    <w:rsid w:val="00D536B7"/>
    <w:rsid w:val="00D53A57"/>
    <w:rsid w:val="00D53EF9"/>
    <w:rsid w:val="00D54822"/>
    <w:rsid w:val="00D54AE1"/>
    <w:rsid w:val="00D55384"/>
    <w:rsid w:val="00D556F6"/>
    <w:rsid w:val="00D55C27"/>
    <w:rsid w:val="00D560A2"/>
    <w:rsid w:val="00D562EC"/>
    <w:rsid w:val="00D5634A"/>
    <w:rsid w:val="00D563DB"/>
    <w:rsid w:val="00D565FF"/>
    <w:rsid w:val="00D567E0"/>
    <w:rsid w:val="00D5681E"/>
    <w:rsid w:val="00D56A86"/>
    <w:rsid w:val="00D56BA8"/>
    <w:rsid w:val="00D56F6B"/>
    <w:rsid w:val="00D570B9"/>
    <w:rsid w:val="00D5716C"/>
    <w:rsid w:val="00D571EF"/>
    <w:rsid w:val="00D57764"/>
    <w:rsid w:val="00D57D3D"/>
    <w:rsid w:val="00D60421"/>
    <w:rsid w:val="00D60571"/>
    <w:rsid w:val="00D61512"/>
    <w:rsid w:val="00D6169E"/>
    <w:rsid w:val="00D61A6F"/>
    <w:rsid w:val="00D61BDB"/>
    <w:rsid w:val="00D61BF4"/>
    <w:rsid w:val="00D61DC5"/>
    <w:rsid w:val="00D623B3"/>
    <w:rsid w:val="00D627FB"/>
    <w:rsid w:val="00D62965"/>
    <w:rsid w:val="00D62A63"/>
    <w:rsid w:val="00D634B5"/>
    <w:rsid w:val="00D6357E"/>
    <w:rsid w:val="00D639EE"/>
    <w:rsid w:val="00D63E8D"/>
    <w:rsid w:val="00D64432"/>
    <w:rsid w:val="00D64475"/>
    <w:rsid w:val="00D64714"/>
    <w:rsid w:val="00D6480B"/>
    <w:rsid w:val="00D64A4C"/>
    <w:rsid w:val="00D6507F"/>
    <w:rsid w:val="00D6553C"/>
    <w:rsid w:val="00D657F3"/>
    <w:rsid w:val="00D65BDB"/>
    <w:rsid w:val="00D663F5"/>
    <w:rsid w:val="00D6685A"/>
    <w:rsid w:val="00D668E1"/>
    <w:rsid w:val="00D6691F"/>
    <w:rsid w:val="00D670D4"/>
    <w:rsid w:val="00D671A3"/>
    <w:rsid w:val="00D677A0"/>
    <w:rsid w:val="00D6782D"/>
    <w:rsid w:val="00D67EC3"/>
    <w:rsid w:val="00D67F8D"/>
    <w:rsid w:val="00D7018B"/>
    <w:rsid w:val="00D70C05"/>
    <w:rsid w:val="00D71253"/>
    <w:rsid w:val="00D716A3"/>
    <w:rsid w:val="00D71842"/>
    <w:rsid w:val="00D71A39"/>
    <w:rsid w:val="00D71F5F"/>
    <w:rsid w:val="00D720B4"/>
    <w:rsid w:val="00D724ED"/>
    <w:rsid w:val="00D727FF"/>
    <w:rsid w:val="00D730BC"/>
    <w:rsid w:val="00D7310E"/>
    <w:rsid w:val="00D7350A"/>
    <w:rsid w:val="00D73587"/>
    <w:rsid w:val="00D7366C"/>
    <w:rsid w:val="00D738A2"/>
    <w:rsid w:val="00D738DA"/>
    <w:rsid w:val="00D73912"/>
    <w:rsid w:val="00D73A1A"/>
    <w:rsid w:val="00D73A40"/>
    <w:rsid w:val="00D73C68"/>
    <w:rsid w:val="00D7407F"/>
    <w:rsid w:val="00D74166"/>
    <w:rsid w:val="00D744AE"/>
    <w:rsid w:val="00D74B9B"/>
    <w:rsid w:val="00D74ECA"/>
    <w:rsid w:val="00D7540C"/>
    <w:rsid w:val="00D75435"/>
    <w:rsid w:val="00D75481"/>
    <w:rsid w:val="00D75CD4"/>
    <w:rsid w:val="00D75D94"/>
    <w:rsid w:val="00D75FD4"/>
    <w:rsid w:val="00D76884"/>
    <w:rsid w:val="00D769CB"/>
    <w:rsid w:val="00D769D9"/>
    <w:rsid w:val="00D76BAA"/>
    <w:rsid w:val="00D76D1A"/>
    <w:rsid w:val="00D77016"/>
    <w:rsid w:val="00D7729B"/>
    <w:rsid w:val="00D7747A"/>
    <w:rsid w:val="00D77628"/>
    <w:rsid w:val="00D7777F"/>
    <w:rsid w:val="00D77EF5"/>
    <w:rsid w:val="00D802ED"/>
    <w:rsid w:val="00D807CD"/>
    <w:rsid w:val="00D8098F"/>
    <w:rsid w:val="00D80B37"/>
    <w:rsid w:val="00D80B55"/>
    <w:rsid w:val="00D8141B"/>
    <w:rsid w:val="00D81742"/>
    <w:rsid w:val="00D81920"/>
    <w:rsid w:val="00D81F5F"/>
    <w:rsid w:val="00D8232A"/>
    <w:rsid w:val="00D82357"/>
    <w:rsid w:val="00D82677"/>
    <w:rsid w:val="00D826B5"/>
    <w:rsid w:val="00D82705"/>
    <w:rsid w:val="00D827E7"/>
    <w:rsid w:val="00D8299C"/>
    <w:rsid w:val="00D82E08"/>
    <w:rsid w:val="00D8312F"/>
    <w:rsid w:val="00D83200"/>
    <w:rsid w:val="00D832B6"/>
    <w:rsid w:val="00D836AB"/>
    <w:rsid w:val="00D838B3"/>
    <w:rsid w:val="00D838E5"/>
    <w:rsid w:val="00D8399A"/>
    <w:rsid w:val="00D839EF"/>
    <w:rsid w:val="00D83A3E"/>
    <w:rsid w:val="00D83A7C"/>
    <w:rsid w:val="00D83D36"/>
    <w:rsid w:val="00D84075"/>
    <w:rsid w:val="00D8419A"/>
    <w:rsid w:val="00D8432C"/>
    <w:rsid w:val="00D845D5"/>
    <w:rsid w:val="00D8476A"/>
    <w:rsid w:val="00D84B38"/>
    <w:rsid w:val="00D84BAE"/>
    <w:rsid w:val="00D84EBA"/>
    <w:rsid w:val="00D85226"/>
    <w:rsid w:val="00D85E85"/>
    <w:rsid w:val="00D85FD3"/>
    <w:rsid w:val="00D86577"/>
    <w:rsid w:val="00D86691"/>
    <w:rsid w:val="00D868C4"/>
    <w:rsid w:val="00D86A7E"/>
    <w:rsid w:val="00D86DC9"/>
    <w:rsid w:val="00D86E72"/>
    <w:rsid w:val="00D86EC5"/>
    <w:rsid w:val="00D87055"/>
    <w:rsid w:val="00D87257"/>
    <w:rsid w:val="00D872FA"/>
    <w:rsid w:val="00D87818"/>
    <w:rsid w:val="00D87B94"/>
    <w:rsid w:val="00D87CEF"/>
    <w:rsid w:val="00D87E51"/>
    <w:rsid w:val="00D87F9D"/>
    <w:rsid w:val="00D87FF4"/>
    <w:rsid w:val="00D90705"/>
    <w:rsid w:val="00D90A82"/>
    <w:rsid w:val="00D90DD0"/>
    <w:rsid w:val="00D90E1E"/>
    <w:rsid w:val="00D90F0F"/>
    <w:rsid w:val="00D917B8"/>
    <w:rsid w:val="00D91FE3"/>
    <w:rsid w:val="00D9220E"/>
    <w:rsid w:val="00D92369"/>
    <w:rsid w:val="00D9245B"/>
    <w:rsid w:val="00D92973"/>
    <w:rsid w:val="00D92D00"/>
    <w:rsid w:val="00D92D49"/>
    <w:rsid w:val="00D92EC1"/>
    <w:rsid w:val="00D935E2"/>
    <w:rsid w:val="00D9368E"/>
    <w:rsid w:val="00D9383F"/>
    <w:rsid w:val="00D9399E"/>
    <w:rsid w:val="00D93CEB"/>
    <w:rsid w:val="00D944F3"/>
    <w:rsid w:val="00D9456B"/>
    <w:rsid w:val="00D94AD7"/>
    <w:rsid w:val="00D94DAE"/>
    <w:rsid w:val="00D950C8"/>
    <w:rsid w:val="00D9588D"/>
    <w:rsid w:val="00D95C78"/>
    <w:rsid w:val="00D95D8B"/>
    <w:rsid w:val="00D95F86"/>
    <w:rsid w:val="00D960F3"/>
    <w:rsid w:val="00D96613"/>
    <w:rsid w:val="00D9675E"/>
    <w:rsid w:val="00D968AF"/>
    <w:rsid w:val="00D96DA8"/>
    <w:rsid w:val="00D96DEA"/>
    <w:rsid w:val="00D96E7A"/>
    <w:rsid w:val="00D97233"/>
    <w:rsid w:val="00D973B6"/>
    <w:rsid w:val="00D974CD"/>
    <w:rsid w:val="00D97895"/>
    <w:rsid w:val="00D97AFB"/>
    <w:rsid w:val="00D97C4F"/>
    <w:rsid w:val="00DA00A8"/>
    <w:rsid w:val="00DA0194"/>
    <w:rsid w:val="00DA05F1"/>
    <w:rsid w:val="00DA0B7A"/>
    <w:rsid w:val="00DA0E02"/>
    <w:rsid w:val="00DA108D"/>
    <w:rsid w:val="00DA118E"/>
    <w:rsid w:val="00DA1380"/>
    <w:rsid w:val="00DA1397"/>
    <w:rsid w:val="00DA14C4"/>
    <w:rsid w:val="00DA17D4"/>
    <w:rsid w:val="00DA1BFA"/>
    <w:rsid w:val="00DA1CA6"/>
    <w:rsid w:val="00DA1CE7"/>
    <w:rsid w:val="00DA236F"/>
    <w:rsid w:val="00DA244C"/>
    <w:rsid w:val="00DA24EE"/>
    <w:rsid w:val="00DA2664"/>
    <w:rsid w:val="00DA3C8A"/>
    <w:rsid w:val="00DA3D10"/>
    <w:rsid w:val="00DA3F00"/>
    <w:rsid w:val="00DA3F96"/>
    <w:rsid w:val="00DA409A"/>
    <w:rsid w:val="00DA4407"/>
    <w:rsid w:val="00DA4523"/>
    <w:rsid w:val="00DA4C07"/>
    <w:rsid w:val="00DA4C6D"/>
    <w:rsid w:val="00DA4E41"/>
    <w:rsid w:val="00DA4F2A"/>
    <w:rsid w:val="00DA4FF8"/>
    <w:rsid w:val="00DA572D"/>
    <w:rsid w:val="00DA5B85"/>
    <w:rsid w:val="00DA5D09"/>
    <w:rsid w:val="00DA5F7E"/>
    <w:rsid w:val="00DA6243"/>
    <w:rsid w:val="00DA65E2"/>
    <w:rsid w:val="00DA6AD4"/>
    <w:rsid w:val="00DA6B32"/>
    <w:rsid w:val="00DA6B98"/>
    <w:rsid w:val="00DA6C9C"/>
    <w:rsid w:val="00DA6EF2"/>
    <w:rsid w:val="00DA6F12"/>
    <w:rsid w:val="00DA72CD"/>
    <w:rsid w:val="00DA733B"/>
    <w:rsid w:val="00DA79C2"/>
    <w:rsid w:val="00DA7CFA"/>
    <w:rsid w:val="00DA7F69"/>
    <w:rsid w:val="00DB0211"/>
    <w:rsid w:val="00DB04C7"/>
    <w:rsid w:val="00DB0573"/>
    <w:rsid w:val="00DB117A"/>
    <w:rsid w:val="00DB1445"/>
    <w:rsid w:val="00DB15FC"/>
    <w:rsid w:val="00DB1A02"/>
    <w:rsid w:val="00DB1F05"/>
    <w:rsid w:val="00DB21C3"/>
    <w:rsid w:val="00DB22C8"/>
    <w:rsid w:val="00DB22CE"/>
    <w:rsid w:val="00DB33F4"/>
    <w:rsid w:val="00DB392E"/>
    <w:rsid w:val="00DB3A64"/>
    <w:rsid w:val="00DB3C83"/>
    <w:rsid w:val="00DB3F75"/>
    <w:rsid w:val="00DB425A"/>
    <w:rsid w:val="00DB4326"/>
    <w:rsid w:val="00DB47C9"/>
    <w:rsid w:val="00DB4DEB"/>
    <w:rsid w:val="00DB4FD2"/>
    <w:rsid w:val="00DB5173"/>
    <w:rsid w:val="00DB5216"/>
    <w:rsid w:val="00DB5894"/>
    <w:rsid w:val="00DB5A7A"/>
    <w:rsid w:val="00DB5ACB"/>
    <w:rsid w:val="00DB5D0F"/>
    <w:rsid w:val="00DB61D2"/>
    <w:rsid w:val="00DB62BE"/>
    <w:rsid w:val="00DB6C0F"/>
    <w:rsid w:val="00DB7120"/>
    <w:rsid w:val="00DB7873"/>
    <w:rsid w:val="00DB7994"/>
    <w:rsid w:val="00DC04B8"/>
    <w:rsid w:val="00DC057F"/>
    <w:rsid w:val="00DC09C8"/>
    <w:rsid w:val="00DC0D59"/>
    <w:rsid w:val="00DC0D60"/>
    <w:rsid w:val="00DC0DFF"/>
    <w:rsid w:val="00DC0EB8"/>
    <w:rsid w:val="00DC1089"/>
    <w:rsid w:val="00DC1480"/>
    <w:rsid w:val="00DC1858"/>
    <w:rsid w:val="00DC187B"/>
    <w:rsid w:val="00DC19AA"/>
    <w:rsid w:val="00DC1E63"/>
    <w:rsid w:val="00DC20AA"/>
    <w:rsid w:val="00DC276C"/>
    <w:rsid w:val="00DC286F"/>
    <w:rsid w:val="00DC29C0"/>
    <w:rsid w:val="00DC2A6E"/>
    <w:rsid w:val="00DC2C23"/>
    <w:rsid w:val="00DC3378"/>
    <w:rsid w:val="00DC36F6"/>
    <w:rsid w:val="00DC3B7E"/>
    <w:rsid w:val="00DC3D29"/>
    <w:rsid w:val="00DC3E61"/>
    <w:rsid w:val="00DC3F2B"/>
    <w:rsid w:val="00DC43AD"/>
    <w:rsid w:val="00DC456C"/>
    <w:rsid w:val="00DC4C30"/>
    <w:rsid w:val="00DC4D2A"/>
    <w:rsid w:val="00DC4DD3"/>
    <w:rsid w:val="00DC56F2"/>
    <w:rsid w:val="00DC56FE"/>
    <w:rsid w:val="00DC59EB"/>
    <w:rsid w:val="00DC5D9A"/>
    <w:rsid w:val="00DC6161"/>
    <w:rsid w:val="00DC69BE"/>
    <w:rsid w:val="00DC6ABF"/>
    <w:rsid w:val="00DC6BC7"/>
    <w:rsid w:val="00DC6C61"/>
    <w:rsid w:val="00DC6DAF"/>
    <w:rsid w:val="00DC6EB2"/>
    <w:rsid w:val="00DC6F94"/>
    <w:rsid w:val="00DC71C6"/>
    <w:rsid w:val="00DC71EF"/>
    <w:rsid w:val="00DC792D"/>
    <w:rsid w:val="00DC7C01"/>
    <w:rsid w:val="00DC7DE2"/>
    <w:rsid w:val="00DC7DEF"/>
    <w:rsid w:val="00DC7E62"/>
    <w:rsid w:val="00DD0017"/>
    <w:rsid w:val="00DD0949"/>
    <w:rsid w:val="00DD1150"/>
    <w:rsid w:val="00DD161F"/>
    <w:rsid w:val="00DD17C4"/>
    <w:rsid w:val="00DD1A43"/>
    <w:rsid w:val="00DD1AB1"/>
    <w:rsid w:val="00DD1AF4"/>
    <w:rsid w:val="00DD1C1B"/>
    <w:rsid w:val="00DD1FCF"/>
    <w:rsid w:val="00DD2915"/>
    <w:rsid w:val="00DD2B45"/>
    <w:rsid w:val="00DD2B52"/>
    <w:rsid w:val="00DD2BDB"/>
    <w:rsid w:val="00DD2EAB"/>
    <w:rsid w:val="00DD3532"/>
    <w:rsid w:val="00DD3983"/>
    <w:rsid w:val="00DD3F4A"/>
    <w:rsid w:val="00DD42F7"/>
    <w:rsid w:val="00DD44DE"/>
    <w:rsid w:val="00DD470E"/>
    <w:rsid w:val="00DD4F0C"/>
    <w:rsid w:val="00DD50F5"/>
    <w:rsid w:val="00DD5415"/>
    <w:rsid w:val="00DD56DC"/>
    <w:rsid w:val="00DD5F15"/>
    <w:rsid w:val="00DD655F"/>
    <w:rsid w:val="00DD6CF2"/>
    <w:rsid w:val="00DD6E93"/>
    <w:rsid w:val="00DD71B6"/>
    <w:rsid w:val="00DD73C2"/>
    <w:rsid w:val="00DD74F9"/>
    <w:rsid w:val="00DD75D0"/>
    <w:rsid w:val="00DD768D"/>
    <w:rsid w:val="00DD79F7"/>
    <w:rsid w:val="00DE0819"/>
    <w:rsid w:val="00DE0A2E"/>
    <w:rsid w:val="00DE0BFC"/>
    <w:rsid w:val="00DE0CB9"/>
    <w:rsid w:val="00DE0FA6"/>
    <w:rsid w:val="00DE0FED"/>
    <w:rsid w:val="00DE1A2E"/>
    <w:rsid w:val="00DE1B68"/>
    <w:rsid w:val="00DE1BBA"/>
    <w:rsid w:val="00DE1F25"/>
    <w:rsid w:val="00DE2236"/>
    <w:rsid w:val="00DE228E"/>
    <w:rsid w:val="00DE22EE"/>
    <w:rsid w:val="00DE2311"/>
    <w:rsid w:val="00DE2584"/>
    <w:rsid w:val="00DE27F9"/>
    <w:rsid w:val="00DE2C2E"/>
    <w:rsid w:val="00DE2FCA"/>
    <w:rsid w:val="00DE3109"/>
    <w:rsid w:val="00DE319B"/>
    <w:rsid w:val="00DE3364"/>
    <w:rsid w:val="00DE37DA"/>
    <w:rsid w:val="00DE3E2D"/>
    <w:rsid w:val="00DE3E91"/>
    <w:rsid w:val="00DE41B3"/>
    <w:rsid w:val="00DE44BD"/>
    <w:rsid w:val="00DE460C"/>
    <w:rsid w:val="00DE4BD0"/>
    <w:rsid w:val="00DE4DA9"/>
    <w:rsid w:val="00DE528C"/>
    <w:rsid w:val="00DE5331"/>
    <w:rsid w:val="00DE541D"/>
    <w:rsid w:val="00DE56D9"/>
    <w:rsid w:val="00DE57C6"/>
    <w:rsid w:val="00DE5878"/>
    <w:rsid w:val="00DE5BFB"/>
    <w:rsid w:val="00DE5C8A"/>
    <w:rsid w:val="00DE5DA4"/>
    <w:rsid w:val="00DE5EFE"/>
    <w:rsid w:val="00DE5F9B"/>
    <w:rsid w:val="00DE5FDE"/>
    <w:rsid w:val="00DE7059"/>
    <w:rsid w:val="00DE71E2"/>
    <w:rsid w:val="00DE7956"/>
    <w:rsid w:val="00DF0325"/>
    <w:rsid w:val="00DF0358"/>
    <w:rsid w:val="00DF0799"/>
    <w:rsid w:val="00DF0993"/>
    <w:rsid w:val="00DF0B8C"/>
    <w:rsid w:val="00DF184D"/>
    <w:rsid w:val="00DF188E"/>
    <w:rsid w:val="00DF1CF6"/>
    <w:rsid w:val="00DF2237"/>
    <w:rsid w:val="00DF26DD"/>
    <w:rsid w:val="00DF2AE0"/>
    <w:rsid w:val="00DF2DEA"/>
    <w:rsid w:val="00DF2E13"/>
    <w:rsid w:val="00DF2ED8"/>
    <w:rsid w:val="00DF2F17"/>
    <w:rsid w:val="00DF2FA2"/>
    <w:rsid w:val="00DF3370"/>
    <w:rsid w:val="00DF34FE"/>
    <w:rsid w:val="00DF3528"/>
    <w:rsid w:val="00DF35FE"/>
    <w:rsid w:val="00DF4C2E"/>
    <w:rsid w:val="00DF4C81"/>
    <w:rsid w:val="00DF4CDC"/>
    <w:rsid w:val="00DF5394"/>
    <w:rsid w:val="00DF56AA"/>
    <w:rsid w:val="00DF56AF"/>
    <w:rsid w:val="00DF58E4"/>
    <w:rsid w:val="00DF5A3C"/>
    <w:rsid w:val="00DF5C98"/>
    <w:rsid w:val="00DF5E08"/>
    <w:rsid w:val="00DF5E6C"/>
    <w:rsid w:val="00DF6187"/>
    <w:rsid w:val="00DF66CC"/>
    <w:rsid w:val="00DF6814"/>
    <w:rsid w:val="00DF684A"/>
    <w:rsid w:val="00DF6904"/>
    <w:rsid w:val="00DF69A7"/>
    <w:rsid w:val="00DF6A4C"/>
    <w:rsid w:val="00DF6BCB"/>
    <w:rsid w:val="00DF6F28"/>
    <w:rsid w:val="00DF70CC"/>
    <w:rsid w:val="00DF72FB"/>
    <w:rsid w:val="00DF78E7"/>
    <w:rsid w:val="00DF7957"/>
    <w:rsid w:val="00DF7982"/>
    <w:rsid w:val="00DF79DB"/>
    <w:rsid w:val="00DF7EC3"/>
    <w:rsid w:val="00E00453"/>
    <w:rsid w:val="00E004C9"/>
    <w:rsid w:val="00E00BF1"/>
    <w:rsid w:val="00E00F50"/>
    <w:rsid w:val="00E01A0D"/>
    <w:rsid w:val="00E01AED"/>
    <w:rsid w:val="00E01F0F"/>
    <w:rsid w:val="00E01F4F"/>
    <w:rsid w:val="00E01FAE"/>
    <w:rsid w:val="00E02222"/>
    <w:rsid w:val="00E02250"/>
    <w:rsid w:val="00E02293"/>
    <w:rsid w:val="00E023E7"/>
    <w:rsid w:val="00E024A8"/>
    <w:rsid w:val="00E02727"/>
    <w:rsid w:val="00E0278D"/>
    <w:rsid w:val="00E02884"/>
    <w:rsid w:val="00E028CA"/>
    <w:rsid w:val="00E02B7C"/>
    <w:rsid w:val="00E02D22"/>
    <w:rsid w:val="00E02EEA"/>
    <w:rsid w:val="00E03172"/>
    <w:rsid w:val="00E03E39"/>
    <w:rsid w:val="00E04040"/>
    <w:rsid w:val="00E040C6"/>
    <w:rsid w:val="00E041D3"/>
    <w:rsid w:val="00E041F1"/>
    <w:rsid w:val="00E0427B"/>
    <w:rsid w:val="00E04825"/>
    <w:rsid w:val="00E04F50"/>
    <w:rsid w:val="00E05EAD"/>
    <w:rsid w:val="00E060C8"/>
    <w:rsid w:val="00E0620A"/>
    <w:rsid w:val="00E0622E"/>
    <w:rsid w:val="00E062F3"/>
    <w:rsid w:val="00E067D1"/>
    <w:rsid w:val="00E06825"/>
    <w:rsid w:val="00E06974"/>
    <w:rsid w:val="00E069A0"/>
    <w:rsid w:val="00E06ADC"/>
    <w:rsid w:val="00E07065"/>
    <w:rsid w:val="00E07244"/>
    <w:rsid w:val="00E07AD5"/>
    <w:rsid w:val="00E07B72"/>
    <w:rsid w:val="00E07E63"/>
    <w:rsid w:val="00E07EC4"/>
    <w:rsid w:val="00E10139"/>
    <w:rsid w:val="00E10769"/>
    <w:rsid w:val="00E10A7D"/>
    <w:rsid w:val="00E10F6F"/>
    <w:rsid w:val="00E10FC1"/>
    <w:rsid w:val="00E110E0"/>
    <w:rsid w:val="00E11200"/>
    <w:rsid w:val="00E11676"/>
    <w:rsid w:val="00E11A4D"/>
    <w:rsid w:val="00E11BBC"/>
    <w:rsid w:val="00E11BF0"/>
    <w:rsid w:val="00E11E68"/>
    <w:rsid w:val="00E123FA"/>
    <w:rsid w:val="00E12523"/>
    <w:rsid w:val="00E129B3"/>
    <w:rsid w:val="00E12B95"/>
    <w:rsid w:val="00E12BCA"/>
    <w:rsid w:val="00E12D0F"/>
    <w:rsid w:val="00E12F12"/>
    <w:rsid w:val="00E131E3"/>
    <w:rsid w:val="00E13280"/>
    <w:rsid w:val="00E1370C"/>
    <w:rsid w:val="00E13720"/>
    <w:rsid w:val="00E13736"/>
    <w:rsid w:val="00E1390A"/>
    <w:rsid w:val="00E139CC"/>
    <w:rsid w:val="00E13E82"/>
    <w:rsid w:val="00E13EBA"/>
    <w:rsid w:val="00E140C8"/>
    <w:rsid w:val="00E1469E"/>
    <w:rsid w:val="00E1488F"/>
    <w:rsid w:val="00E15371"/>
    <w:rsid w:val="00E1541C"/>
    <w:rsid w:val="00E15730"/>
    <w:rsid w:val="00E15EDD"/>
    <w:rsid w:val="00E1627B"/>
    <w:rsid w:val="00E162CA"/>
    <w:rsid w:val="00E16321"/>
    <w:rsid w:val="00E16653"/>
    <w:rsid w:val="00E16998"/>
    <w:rsid w:val="00E16EE1"/>
    <w:rsid w:val="00E17568"/>
    <w:rsid w:val="00E175FE"/>
    <w:rsid w:val="00E179B4"/>
    <w:rsid w:val="00E17B9F"/>
    <w:rsid w:val="00E17F27"/>
    <w:rsid w:val="00E20051"/>
    <w:rsid w:val="00E20483"/>
    <w:rsid w:val="00E20975"/>
    <w:rsid w:val="00E20BD8"/>
    <w:rsid w:val="00E20D97"/>
    <w:rsid w:val="00E20E50"/>
    <w:rsid w:val="00E21157"/>
    <w:rsid w:val="00E211BE"/>
    <w:rsid w:val="00E21870"/>
    <w:rsid w:val="00E21A4C"/>
    <w:rsid w:val="00E21E85"/>
    <w:rsid w:val="00E220C6"/>
    <w:rsid w:val="00E222B3"/>
    <w:rsid w:val="00E22354"/>
    <w:rsid w:val="00E22549"/>
    <w:rsid w:val="00E225E1"/>
    <w:rsid w:val="00E22866"/>
    <w:rsid w:val="00E22D53"/>
    <w:rsid w:val="00E22DE7"/>
    <w:rsid w:val="00E22E17"/>
    <w:rsid w:val="00E22F03"/>
    <w:rsid w:val="00E22F21"/>
    <w:rsid w:val="00E2317E"/>
    <w:rsid w:val="00E23372"/>
    <w:rsid w:val="00E23839"/>
    <w:rsid w:val="00E23979"/>
    <w:rsid w:val="00E23E6F"/>
    <w:rsid w:val="00E24104"/>
    <w:rsid w:val="00E24105"/>
    <w:rsid w:val="00E2415C"/>
    <w:rsid w:val="00E244CB"/>
    <w:rsid w:val="00E24609"/>
    <w:rsid w:val="00E2468A"/>
    <w:rsid w:val="00E2497F"/>
    <w:rsid w:val="00E25153"/>
    <w:rsid w:val="00E255D4"/>
    <w:rsid w:val="00E2586F"/>
    <w:rsid w:val="00E25871"/>
    <w:rsid w:val="00E262D3"/>
    <w:rsid w:val="00E266F7"/>
    <w:rsid w:val="00E26A14"/>
    <w:rsid w:val="00E27443"/>
    <w:rsid w:val="00E27456"/>
    <w:rsid w:val="00E302D0"/>
    <w:rsid w:val="00E302DF"/>
    <w:rsid w:val="00E30D22"/>
    <w:rsid w:val="00E310C1"/>
    <w:rsid w:val="00E31190"/>
    <w:rsid w:val="00E31198"/>
    <w:rsid w:val="00E318CD"/>
    <w:rsid w:val="00E319DA"/>
    <w:rsid w:val="00E321FE"/>
    <w:rsid w:val="00E32624"/>
    <w:rsid w:val="00E32941"/>
    <w:rsid w:val="00E3308F"/>
    <w:rsid w:val="00E3392F"/>
    <w:rsid w:val="00E34079"/>
    <w:rsid w:val="00E3416B"/>
    <w:rsid w:val="00E3444D"/>
    <w:rsid w:val="00E349EA"/>
    <w:rsid w:val="00E34D62"/>
    <w:rsid w:val="00E34DBB"/>
    <w:rsid w:val="00E3502D"/>
    <w:rsid w:val="00E3547D"/>
    <w:rsid w:val="00E35587"/>
    <w:rsid w:val="00E35707"/>
    <w:rsid w:val="00E35AFE"/>
    <w:rsid w:val="00E35D22"/>
    <w:rsid w:val="00E361CB"/>
    <w:rsid w:val="00E363CB"/>
    <w:rsid w:val="00E368A9"/>
    <w:rsid w:val="00E36AA1"/>
    <w:rsid w:val="00E36EA4"/>
    <w:rsid w:val="00E36F0C"/>
    <w:rsid w:val="00E3733F"/>
    <w:rsid w:val="00E37B6A"/>
    <w:rsid w:val="00E37EAB"/>
    <w:rsid w:val="00E40237"/>
    <w:rsid w:val="00E40268"/>
    <w:rsid w:val="00E403FC"/>
    <w:rsid w:val="00E40494"/>
    <w:rsid w:val="00E41966"/>
    <w:rsid w:val="00E41B05"/>
    <w:rsid w:val="00E41B0F"/>
    <w:rsid w:val="00E41C46"/>
    <w:rsid w:val="00E41D24"/>
    <w:rsid w:val="00E41E04"/>
    <w:rsid w:val="00E41ECB"/>
    <w:rsid w:val="00E41FAF"/>
    <w:rsid w:val="00E42134"/>
    <w:rsid w:val="00E42676"/>
    <w:rsid w:val="00E43072"/>
    <w:rsid w:val="00E43484"/>
    <w:rsid w:val="00E43C60"/>
    <w:rsid w:val="00E43DBE"/>
    <w:rsid w:val="00E441ED"/>
    <w:rsid w:val="00E444BA"/>
    <w:rsid w:val="00E44893"/>
    <w:rsid w:val="00E44B31"/>
    <w:rsid w:val="00E44CD5"/>
    <w:rsid w:val="00E4507E"/>
    <w:rsid w:val="00E4511E"/>
    <w:rsid w:val="00E45153"/>
    <w:rsid w:val="00E4570F"/>
    <w:rsid w:val="00E457B1"/>
    <w:rsid w:val="00E461ED"/>
    <w:rsid w:val="00E46253"/>
    <w:rsid w:val="00E465A3"/>
    <w:rsid w:val="00E46DCA"/>
    <w:rsid w:val="00E47542"/>
    <w:rsid w:val="00E4761D"/>
    <w:rsid w:val="00E479B0"/>
    <w:rsid w:val="00E47A43"/>
    <w:rsid w:val="00E47B74"/>
    <w:rsid w:val="00E47C02"/>
    <w:rsid w:val="00E47C80"/>
    <w:rsid w:val="00E5005F"/>
    <w:rsid w:val="00E502B6"/>
    <w:rsid w:val="00E51662"/>
    <w:rsid w:val="00E51A96"/>
    <w:rsid w:val="00E51C46"/>
    <w:rsid w:val="00E51D59"/>
    <w:rsid w:val="00E52008"/>
    <w:rsid w:val="00E521B6"/>
    <w:rsid w:val="00E52D3A"/>
    <w:rsid w:val="00E52DB5"/>
    <w:rsid w:val="00E52E43"/>
    <w:rsid w:val="00E53189"/>
    <w:rsid w:val="00E5372B"/>
    <w:rsid w:val="00E53B8E"/>
    <w:rsid w:val="00E53DF0"/>
    <w:rsid w:val="00E54258"/>
    <w:rsid w:val="00E542E0"/>
    <w:rsid w:val="00E544E3"/>
    <w:rsid w:val="00E547A4"/>
    <w:rsid w:val="00E5499F"/>
    <w:rsid w:val="00E54B91"/>
    <w:rsid w:val="00E54FDB"/>
    <w:rsid w:val="00E554FF"/>
    <w:rsid w:val="00E55592"/>
    <w:rsid w:val="00E555B5"/>
    <w:rsid w:val="00E5568C"/>
    <w:rsid w:val="00E559A3"/>
    <w:rsid w:val="00E55F42"/>
    <w:rsid w:val="00E5608D"/>
    <w:rsid w:val="00E5617D"/>
    <w:rsid w:val="00E563D7"/>
    <w:rsid w:val="00E566B8"/>
    <w:rsid w:val="00E56732"/>
    <w:rsid w:val="00E56A30"/>
    <w:rsid w:val="00E56EC1"/>
    <w:rsid w:val="00E57292"/>
    <w:rsid w:val="00E572B3"/>
    <w:rsid w:val="00E57390"/>
    <w:rsid w:val="00E5755D"/>
    <w:rsid w:val="00E578FE"/>
    <w:rsid w:val="00E57EA4"/>
    <w:rsid w:val="00E600FC"/>
    <w:rsid w:val="00E602BD"/>
    <w:rsid w:val="00E605D8"/>
    <w:rsid w:val="00E60871"/>
    <w:rsid w:val="00E60A0D"/>
    <w:rsid w:val="00E614A5"/>
    <w:rsid w:val="00E61900"/>
    <w:rsid w:val="00E61D05"/>
    <w:rsid w:val="00E62332"/>
    <w:rsid w:val="00E623A4"/>
    <w:rsid w:val="00E6265D"/>
    <w:rsid w:val="00E62A39"/>
    <w:rsid w:val="00E63033"/>
    <w:rsid w:val="00E63242"/>
    <w:rsid w:val="00E632F7"/>
    <w:rsid w:val="00E633E8"/>
    <w:rsid w:val="00E6380A"/>
    <w:rsid w:val="00E63C19"/>
    <w:rsid w:val="00E63D61"/>
    <w:rsid w:val="00E64241"/>
    <w:rsid w:val="00E64563"/>
    <w:rsid w:val="00E647F8"/>
    <w:rsid w:val="00E648AD"/>
    <w:rsid w:val="00E64923"/>
    <w:rsid w:val="00E64945"/>
    <w:rsid w:val="00E64A6F"/>
    <w:rsid w:val="00E64AE7"/>
    <w:rsid w:val="00E64B4A"/>
    <w:rsid w:val="00E653D2"/>
    <w:rsid w:val="00E65BBE"/>
    <w:rsid w:val="00E65C5A"/>
    <w:rsid w:val="00E65DA7"/>
    <w:rsid w:val="00E6617C"/>
    <w:rsid w:val="00E662DC"/>
    <w:rsid w:val="00E663F4"/>
    <w:rsid w:val="00E66601"/>
    <w:rsid w:val="00E666F2"/>
    <w:rsid w:val="00E66BFB"/>
    <w:rsid w:val="00E66DD4"/>
    <w:rsid w:val="00E6702B"/>
    <w:rsid w:val="00E67204"/>
    <w:rsid w:val="00E67449"/>
    <w:rsid w:val="00E676D9"/>
    <w:rsid w:val="00E67D72"/>
    <w:rsid w:val="00E67E0A"/>
    <w:rsid w:val="00E67EE5"/>
    <w:rsid w:val="00E67EF9"/>
    <w:rsid w:val="00E67F60"/>
    <w:rsid w:val="00E67F74"/>
    <w:rsid w:val="00E7028E"/>
    <w:rsid w:val="00E70466"/>
    <w:rsid w:val="00E705D5"/>
    <w:rsid w:val="00E70A22"/>
    <w:rsid w:val="00E70ADB"/>
    <w:rsid w:val="00E70DB7"/>
    <w:rsid w:val="00E70E1C"/>
    <w:rsid w:val="00E71366"/>
    <w:rsid w:val="00E71C21"/>
    <w:rsid w:val="00E71D42"/>
    <w:rsid w:val="00E71EEF"/>
    <w:rsid w:val="00E7235D"/>
    <w:rsid w:val="00E72DB3"/>
    <w:rsid w:val="00E72E8B"/>
    <w:rsid w:val="00E73044"/>
    <w:rsid w:val="00E73089"/>
    <w:rsid w:val="00E73142"/>
    <w:rsid w:val="00E73663"/>
    <w:rsid w:val="00E739D2"/>
    <w:rsid w:val="00E73D94"/>
    <w:rsid w:val="00E73F83"/>
    <w:rsid w:val="00E7401B"/>
    <w:rsid w:val="00E74847"/>
    <w:rsid w:val="00E748CC"/>
    <w:rsid w:val="00E74C61"/>
    <w:rsid w:val="00E74CE4"/>
    <w:rsid w:val="00E75044"/>
    <w:rsid w:val="00E75339"/>
    <w:rsid w:val="00E753D6"/>
    <w:rsid w:val="00E75415"/>
    <w:rsid w:val="00E754A6"/>
    <w:rsid w:val="00E757AA"/>
    <w:rsid w:val="00E757F5"/>
    <w:rsid w:val="00E75AB1"/>
    <w:rsid w:val="00E75B1D"/>
    <w:rsid w:val="00E76092"/>
    <w:rsid w:val="00E76281"/>
    <w:rsid w:val="00E764F2"/>
    <w:rsid w:val="00E768EF"/>
    <w:rsid w:val="00E76A2F"/>
    <w:rsid w:val="00E76F96"/>
    <w:rsid w:val="00E771F3"/>
    <w:rsid w:val="00E775AB"/>
    <w:rsid w:val="00E775B1"/>
    <w:rsid w:val="00E778FF"/>
    <w:rsid w:val="00E77CEB"/>
    <w:rsid w:val="00E77D27"/>
    <w:rsid w:val="00E800D7"/>
    <w:rsid w:val="00E804DD"/>
    <w:rsid w:val="00E806EB"/>
    <w:rsid w:val="00E808F1"/>
    <w:rsid w:val="00E8152A"/>
    <w:rsid w:val="00E81611"/>
    <w:rsid w:val="00E817DD"/>
    <w:rsid w:val="00E819EF"/>
    <w:rsid w:val="00E81AAB"/>
    <w:rsid w:val="00E81D0D"/>
    <w:rsid w:val="00E81DD3"/>
    <w:rsid w:val="00E8223A"/>
    <w:rsid w:val="00E823BE"/>
    <w:rsid w:val="00E8247F"/>
    <w:rsid w:val="00E8289D"/>
    <w:rsid w:val="00E828D0"/>
    <w:rsid w:val="00E82904"/>
    <w:rsid w:val="00E82A5E"/>
    <w:rsid w:val="00E83008"/>
    <w:rsid w:val="00E835EE"/>
    <w:rsid w:val="00E8364B"/>
    <w:rsid w:val="00E839C9"/>
    <w:rsid w:val="00E83AE1"/>
    <w:rsid w:val="00E83B3A"/>
    <w:rsid w:val="00E83F49"/>
    <w:rsid w:val="00E846FC"/>
    <w:rsid w:val="00E847F1"/>
    <w:rsid w:val="00E848F3"/>
    <w:rsid w:val="00E84B37"/>
    <w:rsid w:val="00E84BE2"/>
    <w:rsid w:val="00E84E9C"/>
    <w:rsid w:val="00E84FA5"/>
    <w:rsid w:val="00E84FB7"/>
    <w:rsid w:val="00E850E5"/>
    <w:rsid w:val="00E85295"/>
    <w:rsid w:val="00E85902"/>
    <w:rsid w:val="00E85955"/>
    <w:rsid w:val="00E85C61"/>
    <w:rsid w:val="00E85EA1"/>
    <w:rsid w:val="00E86240"/>
    <w:rsid w:val="00E862FE"/>
    <w:rsid w:val="00E86320"/>
    <w:rsid w:val="00E866B9"/>
    <w:rsid w:val="00E86A2C"/>
    <w:rsid w:val="00E87019"/>
    <w:rsid w:val="00E87486"/>
    <w:rsid w:val="00E87B4A"/>
    <w:rsid w:val="00E87D5B"/>
    <w:rsid w:val="00E87D76"/>
    <w:rsid w:val="00E87DDA"/>
    <w:rsid w:val="00E87FFA"/>
    <w:rsid w:val="00E90460"/>
    <w:rsid w:val="00E904DE"/>
    <w:rsid w:val="00E90798"/>
    <w:rsid w:val="00E90BDF"/>
    <w:rsid w:val="00E90E20"/>
    <w:rsid w:val="00E90E99"/>
    <w:rsid w:val="00E910BC"/>
    <w:rsid w:val="00E9136A"/>
    <w:rsid w:val="00E913AF"/>
    <w:rsid w:val="00E91433"/>
    <w:rsid w:val="00E9143C"/>
    <w:rsid w:val="00E9153C"/>
    <w:rsid w:val="00E9159C"/>
    <w:rsid w:val="00E91A84"/>
    <w:rsid w:val="00E91B58"/>
    <w:rsid w:val="00E91C11"/>
    <w:rsid w:val="00E91D11"/>
    <w:rsid w:val="00E91D9D"/>
    <w:rsid w:val="00E92A76"/>
    <w:rsid w:val="00E92CF0"/>
    <w:rsid w:val="00E92DFD"/>
    <w:rsid w:val="00E9330B"/>
    <w:rsid w:val="00E935ED"/>
    <w:rsid w:val="00E93629"/>
    <w:rsid w:val="00E93869"/>
    <w:rsid w:val="00E93A01"/>
    <w:rsid w:val="00E93B5C"/>
    <w:rsid w:val="00E93DB0"/>
    <w:rsid w:val="00E93E2B"/>
    <w:rsid w:val="00E93EA8"/>
    <w:rsid w:val="00E93EB3"/>
    <w:rsid w:val="00E94386"/>
    <w:rsid w:val="00E943F3"/>
    <w:rsid w:val="00E94B22"/>
    <w:rsid w:val="00E94CEC"/>
    <w:rsid w:val="00E94F10"/>
    <w:rsid w:val="00E95440"/>
    <w:rsid w:val="00E95790"/>
    <w:rsid w:val="00E95B01"/>
    <w:rsid w:val="00E95BEE"/>
    <w:rsid w:val="00E95BFC"/>
    <w:rsid w:val="00E96124"/>
    <w:rsid w:val="00E96216"/>
    <w:rsid w:val="00E96306"/>
    <w:rsid w:val="00E9679B"/>
    <w:rsid w:val="00E97012"/>
    <w:rsid w:val="00E97053"/>
    <w:rsid w:val="00E973BB"/>
    <w:rsid w:val="00E975A9"/>
    <w:rsid w:val="00E97FAD"/>
    <w:rsid w:val="00EA0116"/>
    <w:rsid w:val="00EA01E3"/>
    <w:rsid w:val="00EA04EF"/>
    <w:rsid w:val="00EA095C"/>
    <w:rsid w:val="00EA0A64"/>
    <w:rsid w:val="00EA1084"/>
    <w:rsid w:val="00EA10AC"/>
    <w:rsid w:val="00EA115B"/>
    <w:rsid w:val="00EA1412"/>
    <w:rsid w:val="00EA1854"/>
    <w:rsid w:val="00EA1CB8"/>
    <w:rsid w:val="00EA25DC"/>
    <w:rsid w:val="00EA26BB"/>
    <w:rsid w:val="00EA281C"/>
    <w:rsid w:val="00EA289A"/>
    <w:rsid w:val="00EA2D01"/>
    <w:rsid w:val="00EA2F32"/>
    <w:rsid w:val="00EA2F5B"/>
    <w:rsid w:val="00EA31A6"/>
    <w:rsid w:val="00EA3AA6"/>
    <w:rsid w:val="00EA3CD3"/>
    <w:rsid w:val="00EA41A0"/>
    <w:rsid w:val="00EA44EA"/>
    <w:rsid w:val="00EA5007"/>
    <w:rsid w:val="00EA5499"/>
    <w:rsid w:val="00EA584E"/>
    <w:rsid w:val="00EA6200"/>
    <w:rsid w:val="00EA6961"/>
    <w:rsid w:val="00EA6C91"/>
    <w:rsid w:val="00EA6F19"/>
    <w:rsid w:val="00EA6F4A"/>
    <w:rsid w:val="00EA7420"/>
    <w:rsid w:val="00EA7534"/>
    <w:rsid w:val="00EA7780"/>
    <w:rsid w:val="00EA7AC3"/>
    <w:rsid w:val="00EA7B9B"/>
    <w:rsid w:val="00EB0107"/>
    <w:rsid w:val="00EB0123"/>
    <w:rsid w:val="00EB0540"/>
    <w:rsid w:val="00EB07DC"/>
    <w:rsid w:val="00EB0864"/>
    <w:rsid w:val="00EB0D05"/>
    <w:rsid w:val="00EB11AF"/>
    <w:rsid w:val="00EB1411"/>
    <w:rsid w:val="00EB1644"/>
    <w:rsid w:val="00EB16DB"/>
    <w:rsid w:val="00EB19F3"/>
    <w:rsid w:val="00EB1B03"/>
    <w:rsid w:val="00EB1C95"/>
    <w:rsid w:val="00EB1EAC"/>
    <w:rsid w:val="00EB2153"/>
    <w:rsid w:val="00EB226B"/>
    <w:rsid w:val="00EB23A0"/>
    <w:rsid w:val="00EB251F"/>
    <w:rsid w:val="00EB2C9F"/>
    <w:rsid w:val="00EB2ED0"/>
    <w:rsid w:val="00EB30B6"/>
    <w:rsid w:val="00EB3237"/>
    <w:rsid w:val="00EB32C8"/>
    <w:rsid w:val="00EB344B"/>
    <w:rsid w:val="00EB34D8"/>
    <w:rsid w:val="00EB371D"/>
    <w:rsid w:val="00EB38B3"/>
    <w:rsid w:val="00EB3C9A"/>
    <w:rsid w:val="00EB4055"/>
    <w:rsid w:val="00EB4099"/>
    <w:rsid w:val="00EB479F"/>
    <w:rsid w:val="00EB4B80"/>
    <w:rsid w:val="00EB5CB4"/>
    <w:rsid w:val="00EB62B6"/>
    <w:rsid w:val="00EB637A"/>
    <w:rsid w:val="00EB6417"/>
    <w:rsid w:val="00EB66B1"/>
    <w:rsid w:val="00EB6825"/>
    <w:rsid w:val="00EB6952"/>
    <w:rsid w:val="00EB69F6"/>
    <w:rsid w:val="00EB6E4A"/>
    <w:rsid w:val="00EB7090"/>
    <w:rsid w:val="00EB7439"/>
    <w:rsid w:val="00EB74C8"/>
    <w:rsid w:val="00EB75E4"/>
    <w:rsid w:val="00EB761F"/>
    <w:rsid w:val="00EB7705"/>
    <w:rsid w:val="00EB774F"/>
    <w:rsid w:val="00EB79D7"/>
    <w:rsid w:val="00EB7D09"/>
    <w:rsid w:val="00EC04FB"/>
    <w:rsid w:val="00EC098B"/>
    <w:rsid w:val="00EC0A2A"/>
    <w:rsid w:val="00EC1275"/>
    <w:rsid w:val="00EC14D0"/>
    <w:rsid w:val="00EC17D9"/>
    <w:rsid w:val="00EC1BBE"/>
    <w:rsid w:val="00EC20D7"/>
    <w:rsid w:val="00EC21AD"/>
    <w:rsid w:val="00EC23FE"/>
    <w:rsid w:val="00EC25CD"/>
    <w:rsid w:val="00EC2A93"/>
    <w:rsid w:val="00EC2B68"/>
    <w:rsid w:val="00EC2D68"/>
    <w:rsid w:val="00EC2E90"/>
    <w:rsid w:val="00EC2F90"/>
    <w:rsid w:val="00EC2F9E"/>
    <w:rsid w:val="00EC313C"/>
    <w:rsid w:val="00EC32DE"/>
    <w:rsid w:val="00EC32F1"/>
    <w:rsid w:val="00EC357A"/>
    <w:rsid w:val="00EC3787"/>
    <w:rsid w:val="00EC37CD"/>
    <w:rsid w:val="00EC37D7"/>
    <w:rsid w:val="00EC38FD"/>
    <w:rsid w:val="00EC3A7D"/>
    <w:rsid w:val="00EC3AEF"/>
    <w:rsid w:val="00EC3F33"/>
    <w:rsid w:val="00EC425B"/>
    <w:rsid w:val="00EC43A4"/>
    <w:rsid w:val="00EC44E7"/>
    <w:rsid w:val="00EC46F4"/>
    <w:rsid w:val="00EC47F6"/>
    <w:rsid w:val="00EC490A"/>
    <w:rsid w:val="00EC4CF5"/>
    <w:rsid w:val="00EC4D2E"/>
    <w:rsid w:val="00EC4FC8"/>
    <w:rsid w:val="00EC4FD0"/>
    <w:rsid w:val="00EC522C"/>
    <w:rsid w:val="00EC533C"/>
    <w:rsid w:val="00EC5394"/>
    <w:rsid w:val="00EC54E5"/>
    <w:rsid w:val="00EC5641"/>
    <w:rsid w:val="00EC5A1C"/>
    <w:rsid w:val="00EC5A7F"/>
    <w:rsid w:val="00EC5CD7"/>
    <w:rsid w:val="00EC5F02"/>
    <w:rsid w:val="00EC6014"/>
    <w:rsid w:val="00EC6085"/>
    <w:rsid w:val="00EC615F"/>
    <w:rsid w:val="00EC673D"/>
    <w:rsid w:val="00EC69FD"/>
    <w:rsid w:val="00EC6B97"/>
    <w:rsid w:val="00EC6E40"/>
    <w:rsid w:val="00EC7060"/>
    <w:rsid w:val="00EC7076"/>
    <w:rsid w:val="00EC7906"/>
    <w:rsid w:val="00EC79F5"/>
    <w:rsid w:val="00ED0A7C"/>
    <w:rsid w:val="00ED0A94"/>
    <w:rsid w:val="00ED13EF"/>
    <w:rsid w:val="00ED1769"/>
    <w:rsid w:val="00ED1873"/>
    <w:rsid w:val="00ED2488"/>
    <w:rsid w:val="00ED269B"/>
    <w:rsid w:val="00ED2DC4"/>
    <w:rsid w:val="00ED3106"/>
    <w:rsid w:val="00ED311A"/>
    <w:rsid w:val="00ED3149"/>
    <w:rsid w:val="00ED348E"/>
    <w:rsid w:val="00ED3BF9"/>
    <w:rsid w:val="00ED4264"/>
    <w:rsid w:val="00ED4403"/>
    <w:rsid w:val="00ED45FD"/>
    <w:rsid w:val="00ED49BA"/>
    <w:rsid w:val="00ED52BE"/>
    <w:rsid w:val="00ED5441"/>
    <w:rsid w:val="00ED58AB"/>
    <w:rsid w:val="00ED58D4"/>
    <w:rsid w:val="00ED5C0A"/>
    <w:rsid w:val="00ED6018"/>
    <w:rsid w:val="00ED6246"/>
    <w:rsid w:val="00ED6311"/>
    <w:rsid w:val="00ED69DC"/>
    <w:rsid w:val="00ED6B83"/>
    <w:rsid w:val="00ED709A"/>
    <w:rsid w:val="00ED72B3"/>
    <w:rsid w:val="00ED7FF8"/>
    <w:rsid w:val="00EE0835"/>
    <w:rsid w:val="00EE0908"/>
    <w:rsid w:val="00EE0A76"/>
    <w:rsid w:val="00EE0ADF"/>
    <w:rsid w:val="00EE10E3"/>
    <w:rsid w:val="00EE155F"/>
    <w:rsid w:val="00EE15E0"/>
    <w:rsid w:val="00EE17A0"/>
    <w:rsid w:val="00EE1C64"/>
    <w:rsid w:val="00EE1E79"/>
    <w:rsid w:val="00EE20E3"/>
    <w:rsid w:val="00EE214B"/>
    <w:rsid w:val="00EE23D9"/>
    <w:rsid w:val="00EE24FD"/>
    <w:rsid w:val="00EE2899"/>
    <w:rsid w:val="00EE28A4"/>
    <w:rsid w:val="00EE28CA"/>
    <w:rsid w:val="00EE2A89"/>
    <w:rsid w:val="00EE2B7A"/>
    <w:rsid w:val="00EE2DBE"/>
    <w:rsid w:val="00EE2F52"/>
    <w:rsid w:val="00EE3157"/>
    <w:rsid w:val="00EE3422"/>
    <w:rsid w:val="00EE3BB8"/>
    <w:rsid w:val="00EE42A1"/>
    <w:rsid w:val="00EE455E"/>
    <w:rsid w:val="00EE4930"/>
    <w:rsid w:val="00EE4AF3"/>
    <w:rsid w:val="00EE4C9D"/>
    <w:rsid w:val="00EE4D19"/>
    <w:rsid w:val="00EE4D1B"/>
    <w:rsid w:val="00EE4E96"/>
    <w:rsid w:val="00EE4EFA"/>
    <w:rsid w:val="00EE5460"/>
    <w:rsid w:val="00EE54DE"/>
    <w:rsid w:val="00EE5A73"/>
    <w:rsid w:val="00EE5B80"/>
    <w:rsid w:val="00EE5FB3"/>
    <w:rsid w:val="00EE6069"/>
    <w:rsid w:val="00EE6102"/>
    <w:rsid w:val="00EE655C"/>
    <w:rsid w:val="00EE68CC"/>
    <w:rsid w:val="00EE6A28"/>
    <w:rsid w:val="00EE6B32"/>
    <w:rsid w:val="00EE6B8E"/>
    <w:rsid w:val="00EE6DCA"/>
    <w:rsid w:val="00EE7072"/>
    <w:rsid w:val="00EE71C6"/>
    <w:rsid w:val="00EE742D"/>
    <w:rsid w:val="00EE79A8"/>
    <w:rsid w:val="00EE7A3F"/>
    <w:rsid w:val="00EE7E97"/>
    <w:rsid w:val="00EE7F79"/>
    <w:rsid w:val="00EF0694"/>
    <w:rsid w:val="00EF06AF"/>
    <w:rsid w:val="00EF078E"/>
    <w:rsid w:val="00EF0A82"/>
    <w:rsid w:val="00EF0B54"/>
    <w:rsid w:val="00EF0C39"/>
    <w:rsid w:val="00EF0CED"/>
    <w:rsid w:val="00EF0D9E"/>
    <w:rsid w:val="00EF0F5D"/>
    <w:rsid w:val="00EF112E"/>
    <w:rsid w:val="00EF146A"/>
    <w:rsid w:val="00EF1601"/>
    <w:rsid w:val="00EF168A"/>
    <w:rsid w:val="00EF1777"/>
    <w:rsid w:val="00EF17B5"/>
    <w:rsid w:val="00EF1D02"/>
    <w:rsid w:val="00EF203B"/>
    <w:rsid w:val="00EF21B5"/>
    <w:rsid w:val="00EF228E"/>
    <w:rsid w:val="00EF255E"/>
    <w:rsid w:val="00EF288C"/>
    <w:rsid w:val="00EF28A8"/>
    <w:rsid w:val="00EF28FE"/>
    <w:rsid w:val="00EF2C02"/>
    <w:rsid w:val="00EF2C0F"/>
    <w:rsid w:val="00EF2C25"/>
    <w:rsid w:val="00EF35EF"/>
    <w:rsid w:val="00EF3627"/>
    <w:rsid w:val="00EF3C4C"/>
    <w:rsid w:val="00EF4020"/>
    <w:rsid w:val="00EF4057"/>
    <w:rsid w:val="00EF43FD"/>
    <w:rsid w:val="00EF46DC"/>
    <w:rsid w:val="00EF4783"/>
    <w:rsid w:val="00EF48E4"/>
    <w:rsid w:val="00EF49EC"/>
    <w:rsid w:val="00EF51C9"/>
    <w:rsid w:val="00EF5207"/>
    <w:rsid w:val="00EF55FA"/>
    <w:rsid w:val="00EF57EA"/>
    <w:rsid w:val="00EF58F3"/>
    <w:rsid w:val="00EF5B3B"/>
    <w:rsid w:val="00EF5D80"/>
    <w:rsid w:val="00EF6069"/>
    <w:rsid w:val="00EF6220"/>
    <w:rsid w:val="00EF6401"/>
    <w:rsid w:val="00EF644C"/>
    <w:rsid w:val="00EF6D73"/>
    <w:rsid w:val="00EF6FA9"/>
    <w:rsid w:val="00EF715A"/>
    <w:rsid w:val="00EF7213"/>
    <w:rsid w:val="00EF778A"/>
    <w:rsid w:val="00EF78AA"/>
    <w:rsid w:val="00EF78BE"/>
    <w:rsid w:val="00EF7D3B"/>
    <w:rsid w:val="00EF7DF7"/>
    <w:rsid w:val="00F001F4"/>
    <w:rsid w:val="00F00633"/>
    <w:rsid w:val="00F00C35"/>
    <w:rsid w:val="00F00F31"/>
    <w:rsid w:val="00F01BC3"/>
    <w:rsid w:val="00F020DB"/>
    <w:rsid w:val="00F0228F"/>
    <w:rsid w:val="00F025EA"/>
    <w:rsid w:val="00F02686"/>
    <w:rsid w:val="00F02A59"/>
    <w:rsid w:val="00F02EA7"/>
    <w:rsid w:val="00F02F98"/>
    <w:rsid w:val="00F03109"/>
    <w:rsid w:val="00F03149"/>
    <w:rsid w:val="00F031BD"/>
    <w:rsid w:val="00F032AB"/>
    <w:rsid w:val="00F03AD9"/>
    <w:rsid w:val="00F03C9F"/>
    <w:rsid w:val="00F03DC8"/>
    <w:rsid w:val="00F04230"/>
    <w:rsid w:val="00F04366"/>
    <w:rsid w:val="00F0481F"/>
    <w:rsid w:val="00F04F22"/>
    <w:rsid w:val="00F0506E"/>
    <w:rsid w:val="00F05178"/>
    <w:rsid w:val="00F051FC"/>
    <w:rsid w:val="00F054ED"/>
    <w:rsid w:val="00F05A8D"/>
    <w:rsid w:val="00F05A98"/>
    <w:rsid w:val="00F05B8B"/>
    <w:rsid w:val="00F05BAE"/>
    <w:rsid w:val="00F05CC6"/>
    <w:rsid w:val="00F0659C"/>
    <w:rsid w:val="00F06788"/>
    <w:rsid w:val="00F06A76"/>
    <w:rsid w:val="00F06A8C"/>
    <w:rsid w:val="00F06E14"/>
    <w:rsid w:val="00F07050"/>
    <w:rsid w:val="00F0772B"/>
    <w:rsid w:val="00F07A89"/>
    <w:rsid w:val="00F07BC5"/>
    <w:rsid w:val="00F07F33"/>
    <w:rsid w:val="00F1032C"/>
    <w:rsid w:val="00F1097D"/>
    <w:rsid w:val="00F109FA"/>
    <w:rsid w:val="00F10BF1"/>
    <w:rsid w:val="00F10E00"/>
    <w:rsid w:val="00F10E2F"/>
    <w:rsid w:val="00F10E76"/>
    <w:rsid w:val="00F10FF0"/>
    <w:rsid w:val="00F111C2"/>
    <w:rsid w:val="00F11228"/>
    <w:rsid w:val="00F1155B"/>
    <w:rsid w:val="00F1244E"/>
    <w:rsid w:val="00F12462"/>
    <w:rsid w:val="00F126C8"/>
    <w:rsid w:val="00F12BE1"/>
    <w:rsid w:val="00F12FF7"/>
    <w:rsid w:val="00F131FE"/>
    <w:rsid w:val="00F13355"/>
    <w:rsid w:val="00F133C8"/>
    <w:rsid w:val="00F13672"/>
    <w:rsid w:val="00F136B2"/>
    <w:rsid w:val="00F13E70"/>
    <w:rsid w:val="00F14689"/>
    <w:rsid w:val="00F1481A"/>
    <w:rsid w:val="00F15056"/>
    <w:rsid w:val="00F15274"/>
    <w:rsid w:val="00F1531E"/>
    <w:rsid w:val="00F1578A"/>
    <w:rsid w:val="00F15B16"/>
    <w:rsid w:val="00F15CC0"/>
    <w:rsid w:val="00F1689C"/>
    <w:rsid w:val="00F16A12"/>
    <w:rsid w:val="00F16C4B"/>
    <w:rsid w:val="00F16F33"/>
    <w:rsid w:val="00F1738A"/>
    <w:rsid w:val="00F17413"/>
    <w:rsid w:val="00F1753E"/>
    <w:rsid w:val="00F175C7"/>
    <w:rsid w:val="00F1767E"/>
    <w:rsid w:val="00F179D4"/>
    <w:rsid w:val="00F17C0A"/>
    <w:rsid w:val="00F17ED3"/>
    <w:rsid w:val="00F17EF4"/>
    <w:rsid w:val="00F201F5"/>
    <w:rsid w:val="00F20489"/>
    <w:rsid w:val="00F208F0"/>
    <w:rsid w:val="00F20EBE"/>
    <w:rsid w:val="00F21D55"/>
    <w:rsid w:val="00F21D99"/>
    <w:rsid w:val="00F223DC"/>
    <w:rsid w:val="00F2275D"/>
    <w:rsid w:val="00F227DE"/>
    <w:rsid w:val="00F22CDE"/>
    <w:rsid w:val="00F22E8D"/>
    <w:rsid w:val="00F231F8"/>
    <w:rsid w:val="00F234CA"/>
    <w:rsid w:val="00F23553"/>
    <w:rsid w:val="00F23730"/>
    <w:rsid w:val="00F23943"/>
    <w:rsid w:val="00F2402B"/>
    <w:rsid w:val="00F240F0"/>
    <w:rsid w:val="00F241BC"/>
    <w:rsid w:val="00F241BD"/>
    <w:rsid w:val="00F24297"/>
    <w:rsid w:val="00F24928"/>
    <w:rsid w:val="00F24CD5"/>
    <w:rsid w:val="00F25166"/>
    <w:rsid w:val="00F25766"/>
    <w:rsid w:val="00F25C2D"/>
    <w:rsid w:val="00F25F94"/>
    <w:rsid w:val="00F26009"/>
    <w:rsid w:val="00F2615C"/>
    <w:rsid w:val="00F266EC"/>
    <w:rsid w:val="00F267C9"/>
    <w:rsid w:val="00F269E4"/>
    <w:rsid w:val="00F2736D"/>
    <w:rsid w:val="00F2770C"/>
    <w:rsid w:val="00F27826"/>
    <w:rsid w:val="00F2790C"/>
    <w:rsid w:val="00F27A1F"/>
    <w:rsid w:val="00F27E2D"/>
    <w:rsid w:val="00F3011D"/>
    <w:rsid w:val="00F30526"/>
    <w:rsid w:val="00F3081F"/>
    <w:rsid w:val="00F30BB2"/>
    <w:rsid w:val="00F3158E"/>
    <w:rsid w:val="00F317EB"/>
    <w:rsid w:val="00F3197F"/>
    <w:rsid w:val="00F31A95"/>
    <w:rsid w:val="00F31C3A"/>
    <w:rsid w:val="00F31C4A"/>
    <w:rsid w:val="00F321AE"/>
    <w:rsid w:val="00F32334"/>
    <w:rsid w:val="00F32731"/>
    <w:rsid w:val="00F32A34"/>
    <w:rsid w:val="00F3312C"/>
    <w:rsid w:val="00F334C3"/>
    <w:rsid w:val="00F336EF"/>
    <w:rsid w:val="00F33B64"/>
    <w:rsid w:val="00F33C56"/>
    <w:rsid w:val="00F343CB"/>
    <w:rsid w:val="00F347C7"/>
    <w:rsid w:val="00F34848"/>
    <w:rsid w:val="00F34CD1"/>
    <w:rsid w:val="00F34EDE"/>
    <w:rsid w:val="00F3509F"/>
    <w:rsid w:val="00F350EB"/>
    <w:rsid w:val="00F353A3"/>
    <w:rsid w:val="00F357B9"/>
    <w:rsid w:val="00F358DD"/>
    <w:rsid w:val="00F359CE"/>
    <w:rsid w:val="00F35A3B"/>
    <w:rsid w:val="00F35C48"/>
    <w:rsid w:val="00F35E64"/>
    <w:rsid w:val="00F35E6D"/>
    <w:rsid w:val="00F3604A"/>
    <w:rsid w:val="00F364FA"/>
    <w:rsid w:val="00F367EC"/>
    <w:rsid w:val="00F369C0"/>
    <w:rsid w:val="00F36BAA"/>
    <w:rsid w:val="00F36E6E"/>
    <w:rsid w:val="00F370B1"/>
    <w:rsid w:val="00F37F0B"/>
    <w:rsid w:val="00F400CB"/>
    <w:rsid w:val="00F403BC"/>
    <w:rsid w:val="00F40604"/>
    <w:rsid w:val="00F4061C"/>
    <w:rsid w:val="00F41037"/>
    <w:rsid w:val="00F41121"/>
    <w:rsid w:val="00F411C2"/>
    <w:rsid w:val="00F418E3"/>
    <w:rsid w:val="00F41995"/>
    <w:rsid w:val="00F41C31"/>
    <w:rsid w:val="00F41D41"/>
    <w:rsid w:val="00F426FC"/>
    <w:rsid w:val="00F42BDF"/>
    <w:rsid w:val="00F42C51"/>
    <w:rsid w:val="00F42D46"/>
    <w:rsid w:val="00F433E2"/>
    <w:rsid w:val="00F435E3"/>
    <w:rsid w:val="00F439D2"/>
    <w:rsid w:val="00F4437F"/>
    <w:rsid w:val="00F443F3"/>
    <w:rsid w:val="00F44515"/>
    <w:rsid w:val="00F4454E"/>
    <w:rsid w:val="00F4496C"/>
    <w:rsid w:val="00F44B6B"/>
    <w:rsid w:val="00F44F3A"/>
    <w:rsid w:val="00F45769"/>
    <w:rsid w:val="00F45D94"/>
    <w:rsid w:val="00F45DD5"/>
    <w:rsid w:val="00F45ED1"/>
    <w:rsid w:val="00F46171"/>
    <w:rsid w:val="00F463A4"/>
    <w:rsid w:val="00F46617"/>
    <w:rsid w:val="00F46828"/>
    <w:rsid w:val="00F46A96"/>
    <w:rsid w:val="00F4749F"/>
    <w:rsid w:val="00F478FC"/>
    <w:rsid w:val="00F47CD7"/>
    <w:rsid w:val="00F47FFD"/>
    <w:rsid w:val="00F50157"/>
    <w:rsid w:val="00F5054D"/>
    <w:rsid w:val="00F505CD"/>
    <w:rsid w:val="00F50640"/>
    <w:rsid w:val="00F50700"/>
    <w:rsid w:val="00F50A31"/>
    <w:rsid w:val="00F50AFA"/>
    <w:rsid w:val="00F50F75"/>
    <w:rsid w:val="00F510FD"/>
    <w:rsid w:val="00F51955"/>
    <w:rsid w:val="00F51F10"/>
    <w:rsid w:val="00F520BF"/>
    <w:rsid w:val="00F5281B"/>
    <w:rsid w:val="00F52947"/>
    <w:rsid w:val="00F529A5"/>
    <w:rsid w:val="00F52A2C"/>
    <w:rsid w:val="00F5301D"/>
    <w:rsid w:val="00F53089"/>
    <w:rsid w:val="00F5323D"/>
    <w:rsid w:val="00F5381E"/>
    <w:rsid w:val="00F53D95"/>
    <w:rsid w:val="00F5457A"/>
    <w:rsid w:val="00F54654"/>
    <w:rsid w:val="00F54728"/>
    <w:rsid w:val="00F547C2"/>
    <w:rsid w:val="00F54865"/>
    <w:rsid w:val="00F54980"/>
    <w:rsid w:val="00F54D25"/>
    <w:rsid w:val="00F550BE"/>
    <w:rsid w:val="00F551A7"/>
    <w:rsid w:val="00F551C7"/>
    <w:rsid w:val="00F55B79"/>
    <w:rsid w:val="00F55D61"/>
    <w:rsid w:val="00F560FD"/>
    <w:rsid w:val="00F5681D"/>
    <w:rsid w:val="00F56830"/>
    <w:rsid w:val="00F56CF5"/>
    <w:rsid w:val="00F56F7B"/>
    <w:rsid w:val="00F57C95"/>
    <w:rsid w:val="00F57D23"/>
    <w:rsid w:val="00F57F45"/>
    <w:rsid w:val="00F60035"/>
    <w:rsid w:val="00F60122"/>
    <w:rsid w:val="00F60834"/>
    <w:rsid w:val="00F60F00"/>
    <w:rsid w:val="00F61353"/>
    <w:rsid w:val="00F614C0"/>
    <w:rsid w:val="00F614C2"/>
    <w:rsid w:val="00F61583"/>
    <w:rsid w:val="00F6159E"/>
    <w:rsid w:val="00F61C77"/>
    <w:rsid w:val="00F61DBC"/>
    <w:rsid w:val="00F62108"/>
    <w:rsid w:val="00F62150"/>
    <w:rsid w:val="00F62252"/>
    <w:rsid w:val="00F6233F"/>
    <w:rsid w:val="00F624EA"/>
    <w:rsid w:val="00F6254B"/>
    <w:rsid w:val="00F628B3"/>
    <w:rsid w:val="00F62A28"/>
    <w:rsid w:val="00F62A76"/>
    <w:rsid w:val="00F62AF0"/>
    <w:rsid w:val="00F62F18"/>
    <w:rsid w:val="00F62F2D"/>
    <w:rsid w:val="00F63157"/>
    <w:rsid w:val="00F63189"/>
    <w:rsid w:val="00F6333D"/>
    <w:rsid w:val="00F63351"/>
    <w:rsid w:val="00F637DF"/>
    <w:rsid w:val="00F6382C"/>
    <w:rsid w:val="00F63961"/>
    <w:rsid w:val="00F639D7"/>
    <w:rsid w:val="00F63F85"/>
    <w:rsid w:val="00F64002"/>
    <w:rsid w:val="00F643A8"/>
    <w:rsid w:val="00F64512"/>
    <w:rsid w:val="00F6451C"/>
    <w:rsid w:val="00F64B25"/>
    <w:rsid w:val="00F654D0"/>
    <w:rsid w:val="00F65A8A"/>
    <w:rsid w:val="00F65C34"/>
    <w:rsid w:val="00F65CC8"/>
    <w:rsid w:val="00F66562"/>
    <w:rsid w:val="00F66722"/>
    <w:rsid w:val="00F668E3"/>
    <w:rsid w:val="00F66AB6"/>
    <w:rsid w:val="00F670E9"/>
    <w:rsid w:val="00F67177"/>
    <w:rsid w:val="00F67327"/>
    <w:rsid w:val="00F67740"/>
    <w:rsid w:val="00F678DA"/>
    <w:rsid w:val="00F6792A"/>
    <w:rsid w:val="00F67945"/>
    <w:rsid w:val="00F67950"/>
    <w:rsid w:val="00F700A8"/>
    <w:rsid w:val="00F70F12"/>
    <w:rsid w:val="00F7113C"/>
    <w:rsid w:val="00F713CF"/>
    <w:rsid w:val="00F717F6"/>
    <w:rsid w:val="00F719D1"/>
    <w:rsid w:val="00F72331"/>
    <w:rsid w:val="00F7256C"/>
    <w:rsid w:val="00F725EA"/>
    <w:rsid w:val="00F7273C"/>
    <w:rsid w:val="00F729BF"/>
    <w:rsid w:val="00F72AF1"/>
    <w:rsid w:val="00F72C19"/>
    <w:rsid w:val="00F72C6E"/>
    <w:rsid w:val="00F72E35"/>
    <w:rsid w:val="00F72F33"/>
    <w:rsid w:val="00F7350B"/>
    <w:rsid w:val="00F7389C"/>
    <w:rsid w:val="00F73A87"/>
    <w:rsid w:val="00F74963"/>
    <w:rsid w:val="00F753B6"/>
    <w:rsid w:val="00F75501"/>
    <w:rsid w:val="00F7593A"/>
    <w:rsid w:val="00F7639C"/>
    <w:rsid w:val="00F766B0"/>
    <w:rsid w:val="00F766F0"/>
    <w:rsid w:val="00F76A16"/>
    <w:rsid w:val="00F76D35"/>
    <w:rsid w:val="00F76E4C"/>
    <w:rsid w:val="00F77CC3"/>
    <w:rsid w:val="00F77EC7"/>
    <w:rsid w:val="00F8024C"/>
    <w:rsid w:val="00F808FE"/>
    <w:rsid w:val="00F80C97"/>
    <w:rsid w:val="00F8110F"/>
    <w:rsid w:val="00F81C4A"/>
    <w:rsid w:val="00F821A1"/>
    <w:rsid w:val="00F823CA"/>
    <w:rsid w:val="00F825A7"/>
    <w:rsid w:val="00F82A96"/>
    <w:rsid w:val="00F82BC7"/>
    <w:rsid w:val="00F82BFC"/>
    <w:rsid w:val="00F82C25"/>
    <w:rsid w:val="00F82D8A"/>
    <w:rsid w:val="00F82D9B"/>
    <w:rsid w:val="00F82EE5"/>
    <w:rsid w:val="00F8304F"/>
    <w:rsid w:val="00F83678"/>
    <w:rsid w:val="00F83848"/>
    <w:rsid w:val="00F83F33"/>
    <w:rsid w:val="00F8412D"/>
    <w:rsid w:val="00F84D29"/>
    <w:rsid w:val="00F84DBA"/>
    <w:rsid w:val="00F84E23"/>
    <w:rsid w:val="00F850E5"/>
    <w:rsid w:val="00F8534C"/>
    <w:rsid w:val="00F85AB9"/>
    <w:rsid w:val="00F85ED9"/>
    <w:rsid w:val="00F86135"/>
    <w:rsid w:val="00F861E3"/>
    <w:rsid w:val="00F86A3F"/>
    <w:rsid w:val="00F86EC9"/>
    <w:rsid w:val="00F87378"/>
    <w:rsid w:val="00F87AEB"/>
    <w:rsid w:val="00F87B68"/>
    <w:rsid w:val="00F87BAD"/>
    <w:rsid w:val="00F901F1"/>
    <w:rsid w:val="00F905A3"/>
    <w:rsid w:val="00F908B3"/>
    <w:rsid w:val="00F90DE5"/>
    <w:rsid w:val="00F91661"/>
    <w:rsid w:val="00F916F0"/>
    <w:rsid w:val="00F91F7E"/>
    <w:rsid w:val="00F921B4"/>
    <w:rsid w:val="00F921E0"/>
    <w:rsid w:val="00F927A8"/>
    <w:rsid w:val="00F92B56"/>
    <w:rsid w:val="00F9311E"/>
    <w:rsid w:val="00F934E0"/>
    <w:rsid w:val="00F93814"/>
    <w:rsid w:val="00F93BA8"/>
    <w:rsid w:val="00F93CC1"/>
    <w:rsid w:val="00F93F96"/>
    <w:rsid w:val="00F94AD4"/>
    <w:rsid w:val="00F94EBD"/>
    <w:rsid w:val="00F95518"/>
    <w:rsid w:val="00F9569F"/>
    <w:rsid w:val="00F962A4"/>
    <w:rsid w:val="00F9666C"/>
    <w:rsid w:val="00F97361"/>
    <w:rsid w:val="00F975C1"/>
    <w:rsid w:val="00F975E9"/>
    <w:rsid w:val="00F97710"/>
    <w:rsid w:val="00F978DD"/>
    <w:rsid w:val="00F97A18"/>
    <w:rsid w:val="00F97C4C"/>
    <w:rsid w:val="00F97EFA"/>
    <w:rsid w:val="00FA0087"/>
    <w:rsid w:val="00FA0295"/>
    <w:rsid w:val="00FA0B96"/>
    <w:rsid w:val="00FA0BE0"/>
    <w:rsid w:val="00FA1357"/>
    <w:rsid w:val="00FA15B1"/>
    <w:rsid w:val="00FA172B"/>
    <w:rsid w:val="00FA17C7"/>
    <w:rsid w:val="00FA1B7D"/>
    <w:rsid w:val="00FA1C3D"/>
    <w:rsid w:val="00FA1F1F"/>
    <w:rsid w:val="00FA229E"/>
    <w:rsid w:val="00FA236C"/>
    <w:rsid w:val="00FA2398"/>
    <w:rsid w:val="00FA23D8"/>
    <w:rsid w:val="00FA2552"/>
    <w:rsid w:val="00FA2683"/>
    <w:rsid w:val="00FA2B0E"/>
    <w:rsid w:val="00FA2CEC"/>
    <w:rsid w:val="00FA305A"/>
    <w:rsid w:val="00FA30AD"/>
    <w:rsid w:val="00FA3142"/>
    <w:rsid w:val="00FA31DE"/>
    <w:rsid w:val="00FA3428"/>
    <w:rsid w:val="00FA3702"/>
    <w:rsid w:val="00FA37F8"/>
    <w:rsid w:val="00FA3865"/>
    <w:rsid w:val="00FA38DE"/>
    <w:rsid w:val="00FA3DBD"/>
    <w:rsid w:val="00FA3F79"/>
    <w:rsid w:val="00FA3FF4"/>
    <w:rsid w:val="00FA4443"/>
    <w:rsid w:val="00FA451B"/>
    <w:rsid w:val="00FA4E12"/>
    <w:rsid w:val="00FA4F5A"/>
    <w:rsid w:val="00FA5614"/>
    <w:rsid w:val="00FA5B5F"/>
    <w:rsid w:val="00FA5E1D"/>
    <w:rsid w:val="00FA66AD"/>
    <w:rsid w:val="00FA69AF"/>
    <w:rsid w:val="00FA69D3"/>
    <w:rsid w:val="00FA7219"/>
    <w:rsid w:val="00FA7708"/>
    <w:rsid w:val="00FB00CA"/>
    <w:rsid w:val="00FB0266"/>
    <w:rsid w:val="00FB02AB"/>
    <w:rsid w:val="00FB0A0B"/>
    <w:rsid w:val="00FB141E"/>
    <w:rsid w:val="00FB1777"/>
    <w:rsid w:val="00FB18C9"/>
    <w:rsid w:val="00FB1F01"/>
    <w:rsid w:val="00FB1F83"/>
    <w:rsid w:val="00FB2801"/>
    <w:rsid w:val="00FB2E41"/>
    <w:rsid w:val="00FB38E8"/>
    <w:rsid w:val="00FB3A46"/>
    <w:rsid w:val="00FB3A9F"/>
    <w:rsid w:val="00FB3EE3"/>
    <w:rsid w:val="00FB41D7"/>
    <w:rsid w:val="00FB439C"/>
    <w:rsid w:val="00FB4C92"/>
    <w:rsid w:val="00FB548D"/>
    <w:rsid w:val="00FB54A4"/>
    <w:rsid w:val="00FB54EA"/>
    <w:rsid w:val="00FB56B2"/>
    <w:rsid w:val="00FB57E4"/>
    <w:rsid w:val="00FB5A7A"/>
    <w:rsid w:val="00FB5AAB"/>
    <w:rsid w:val="00FB5B68"/>
    <w:rsid w:val="00FB60BD"/>
    <w:rsid w:val="00FB6EEB"/>
    <w:rsid w:val="00FB6F43"/>
    <w:rsid w:val="00FB72C9"/>
    <w:rsid w:val="00FB75CB"/>
    <w:rsid w:val="00FB7944"/>
    <w:rsid w:val="00FB7D69"/>
    <w:rsid w:val="00FC02DE"/>
    <w:rsid w:val="00FC0506"/>
    <w:rsid w:val="00FC07B9"/>
    <w:rsid w:val="00FC0C2E"/>
    <w:rsid w:val="00FC0C86"/>
    <w:rsid w:val="00FC0EBB"/>
    <w:rsid w:val="00FC11D1"/>
    <w:rsid w:val="00FC1287"/>
    <w:rsid w:val="00FC1419"/>
    <w:rsid w:val="00FC17FC"/>
    <w:rsid w:val="00FC18BC"/>
    <w:rsid w:val="00FC1EDC"/>
    <w:rsid w:val="00FC2474"/>
    <w:rsid w:val="00FC287B"/>
    <w:rsid w:val="00FC2DBD"/>
    <w:rsid w:val="00FC319D"/>
    <w:rsid w:val="00FC34FB"/>
    <w:rsid w:val="00FC3628"/>
    <w:rsid w:val="00FC37B8"/>
    <w:rsid w:val="00FC392D"/>
    <w:rsid w:val="00FC3AF4"/>
    <w:rsid w:val="00FC3F41"/>
    <w:rsid w:val="00FC43FC"/>
    <w:rsid w:val="00FC444D"/>
    <w:rsid w:val="00FC4C9C"/>
    <w:rsid w:val="00FC4D7A"/>
    <w:rsid w:val="00FC4E21"/>
    <w:rsid w:val="00FC53CB"/>
    <w:rsid w:val="00FC5D5F"/>
    <w:rsid w:val="00FC5F37"/>
    <w:rsid w:val="00FC5F6D"/>
    <w:rsid w:val="00FC60ED"/>
    <w:rsid w:val="00FC6118"/>
    <w:rsid w:val="00FC63EB"/>
    <w:rsid w:val="00FC63FF"/>
    <w:rsid w:val="00FC7823"/>
    <w:rsid w:val="00FC79A1"/>
    <w:rsid w:val="00FC79F1"/>
    <w:rsid w:val="00FC7A3D"/>
    <w:rsid w:val="00FC7D44"/>
    <w:rsid w:val="00FD0107"/>
    <w:rsid w:val="00FD011E"/>
    <w:rsid w:val="00FD07E0"/>
    <w:rsid w:val="00FD09DD"/>
    <w:rsid w:val="00FD12D8"/>
    <w:rsid w:val="00FD1435"/>
    <w:rsid w:val="00FD1547"/>
    <w:rsid w:val="00FD16FD"/>
    <w:rsid w:val="00FD1966"/>
    <w:rsid w:val="00FD1B8C"/>
    <w:rsid w:val="00FD1E4C"/>
    <w:rsid w:val="00FD1FD4"/>
    <w:rsid w:val="00FD2AAB"/>
    <w:rsid w:val="00FD2C2F"/>
    <w:rsid w:val="00FD305E"/>
    <w:rsid w:val="00FD3447"/>
    <w:rsid w:val="00FD35A1"/>
    <w:rsid w:val="00FD3B31"/>
    <w:rsid w:val="00FD3C53"/>
    <w:rsid w:val="00FD41D9"/>
    <w:rsid w:val="00FD4287"/>
    <w:rsid w:val="00FD4548"/>
    <w:rsid w:val="00FD4810"/>
    <w:rsid w:val="00FD4881"/>
    <w:rsid w:val="00FD4DC7"/>
    <w:rsid w:val="00FD51F9"/>
    <w:rsid w:val="00FD520C"/>
    <w:rsid w:val="00FD53DE"/>
    <w:rsid w:val="00FD56D7"/>
    <w:rsid w:val="00FD56E9"/>
    <w:rsid w:val="00FD5A89"/>
    <w:rsid w:val="00FD61BA"/>
    <w:rsid w:val="00FD6763"/>
    <w:rsid w:val="00FD677C"/>
    <w:rsid w:val="00FD6950"/>
    <w:rsid w:val="00FD6F46"/>
    <w:rsid w:val="00FD7008"/>
    <w:rsid w:val="00FD7595"/>
    <w:rsid w:val="00FD7924"/>
    <w:rsid w:val="00FE09F9"/>
    <w:rsid w:val="00FE10DB"/>
    <w:rsid w:val="00FE11BF"/>
    <w:rsid w:val="00FE1823"/>
    <w:rsid w:val="00FE1B89"/>
    <w:rsid w:val="00FE1E9D"/>
    <w:rsid w:val="00FE208D"/>
    <w:rsid w:val="00FE231D"/>
    <w:rsid w:val="00FE23AE"/>
    <w:rsid w:val="00FE24F3"/>
    <w:rsid w:val="00FE281C"/>
    <w:rsid w:val="00FE3146"/>
    <w:rsid w:val="00FE3551"/>
    <w:rsid w:val="00FE4218"/>
    <w:rsid w:val="00FE4725"/>
    <w:rsid w:val="00FE474E"/>
    <w:rsid w:val="00FE487A"/>
    <w:rsid w:val="00FE49AE"/>
    <w:rsid w:val="00FE5A04"/>
    <w:rsid w:val="00FE70E6"/>
    <w:rsid w:val="00FE7193"/>
    <w:rsid w:val="00FE73BA"/>
    <w:rsid w:val="00FE7561"/>
    <w:rsid w:val="00FE7D6E"/>
    <w:rsid w:val="00FE7F84"/>
    <w:rsid w:val="00FF0569"/>
    <w:rsid w:val="00FF0623"/>
    <w:rsid w:val="00FF06C3"/>
    <w:rsid w:val="00FF09C0"/>
    <w:rsid w:val="00FF0BF2"/>
    <w:rsid w:val="00FF0BF4"/>
    <w:rsid w:val="00FF0CD1"/>
    <w:rsid w:val="00FF0E6C"/>
    <w:rsid w:val="00FF1223"/>
    <w:rsid w:val="00FF128C"/>
    <w:rsid w:val="00FF12C9"/>
    <w:rsid w:val="00FF1762"/>
    <w:rsid w:val="00FF1E35"/>
    <w:rsid w:val="00FF1E53"/>
    <w:rsid w:val="00FF206E"/>
    <w:rsid w:val="00FF2196"/>
    <w:rsid w:val="00FF22ED"/>
    <w:rsid w:val="00FF2711"/>
    <w:rsid w:val="00FF27B8"/>
    <w:rsid w:val="00FF2EB7"/>
    <w:rsid w:val="00FF3472"/>
    <w:rsid w:val="00FF3C69"/>
    <w:rsid w:val="00FF3F39"/>
    <w:rsid w:val="00FF409C"/>
    <w:rsid w:val="00FF41E7"/>
    <w:rsid w:val="00FF4E53"/>
    <w:rsid w:val="00FF4F2A"/>
    <w:rsid w:val="00FF56C4"/>
    <w:rsid w:val="00FF59A1"/>
    <w:rsid w:val="00FF5A20"/>
    <w:rsid w:val="00FF5A32"/>
    <w:rsid w:val="00FF5AC2"/>
    <w:rsid w:val="00FF5B5D"/>
    <w:rsid w:val="00FF5C8D"/>
    <w:rsid w:val="00FF5C94"/>
    <w:rsid w:val="00FF656A"/>
    <w:rsid w:val="00FF6A55"/>
    <w:rsid w:val="00FF6ABB"/>
    <w:rsid w:val="00FF6B84"/>
    <w:rsid w:val="00FF6E0A"/>
    <w:rsid w:val="00FF7032"/>
    <w:rsid w:val="00FF7433"/>
    <w:rsid w:val="00FF7F89"/>
    <w:rsid w:val="03ED6B70"/>
    <w:rsid w:val="0DD3C83D"/>
    <w:rsid w:val="10B4548D"/>
    <w:rsid w:val="16870D77"/>
    <w:rsid w:val="2FD561F4"/>
    <w:rsid w:val="437D8811"/>
    <w:rsid w:val="45070E19"/>
    <w:rsid w:val="4D3BE152"/>
    <w:rsid w:val="5CA9875F"/>
    <w:rsid w:val="7796914B"/>
    <w:rsid w:val="7DD4F193"/>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red,#4d4d4f"/>
    </o:shapedefaults>
    <o:shapelayout v:ext="edit">
      <o:idmap v:ext="edit" data="2"/>
    </o:shapelayout>
  </w:shapeDefaults>
  <w:decimalSymbol w:val="."/>
  <w:listSeparator w:val=","/>
  <w14:docId w14:val="313E37D2"/>
  <w15:docId w15:val="{B88B47F9-C01C-41CA-9A7A-4138822FA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376">
    <w:lsdException w:name="heading 1" w:qFormat="1"/>
    <w:lsdException w:name="heading 2" w:uiPriority="1" w:qFormat="1"/>
    <w:lsdException w:name="heading 3"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3"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lsdException w:name="Title" w:semiHidden="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qFormat="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5BDA"/>
    <w:pPr>
      <w:spacing w:after="240" w:line="240" w:lineRule="atLeast"/>
    </w:pPr>
    <w:rPr>
      <w:rFonts w:ascii="Arial" w:hAnsi="Arial"/>
      <w:sz w:val="20"/>
    </w:rPr>
  </w:style>
  <w:style w:type="paragraph" w:styleId="Heading1">
    <w:name w:val="heading 1"/>
    <w:basedOn w:val="Normal"/>
    <w:next w:val="Normal"/>
    <w:link w:val="Heading1Char"/>
    <w:uiPriority w:val="1"/>
    <w:qFormat/>
    <w:rsid w:val="00C55235"/>
    <w:pPr>
      <w:keepNext/>
      <w:pageBreakBefore/>
      <w:widowControl w:val="0"/>
      <w:spacing w:after="360" w:line="550" w:lineRule="exact"/>
      <w:outlineLvl w:val="0"/>
    </w:pPr>
    <w:rPr>
      <w:rFonts w:cs="Arial"/>
      <w:bCs/>
      <w:color w:val="323232"/>
      <w:kern w:val="32"/>
      <w:sz w:val="53"/>
      <w:szCs w:val="32"/>
    </w:rPr>
  </w:style>
  <w:style w:type="paragraph" w:styleId="Heading2">
    <w:name w:val="heading 2"/>
    <w:basedOn w:val="Normal"/>
    <w:next w:val="Paragraph"/>
    <w:link w:val="Heading2Char"/>
    <w:uiPriority w:val="1"/>
    <w:qFormat/>
    <w:rsid w:val="00711ACA"/>
    <w:pPr>
      <w:keepNext/>
      <w:spacing w:before="320" w:after="60" w:line="280" w:lineRule="atLeast"/>
      <w:outlineLvl w:val="1"/>
    </w:pPr>
    <w:rPr>
      <w:rFonts w:cs="Arial"/>
      <w:b/>
      <w:bCs/>
      <w:iCs/>
      <w:sz w:val="28"/>
      <w:szCs w:val="28"/>
    </w:rPr>
  </w:style>
  <w:style w:type="paragraph" w:styleId="Heading3">
    <w:name w:val="heading 3"/>
    <w:basedOn w:val="Normal"/>
    <w:next w:val="Normal"/>
    <w:link w:val="Heading3Char"/>
    <w:uiPriority w:val="2"/>
    <w:qFormat/>
    <w:rsid w:val="00711ACA"/>
    <w:pPr>
      <w:keepNext/>
      <w:spacing w:before="60" w:after="60" w:line="280" w:lineRule="atLeast"/>
      <w:outlineLvl w:val="2"/>
    </w:pPr>
    <w:rPr>
      <w:rFonts w:cs="Arial"/>
      <w:b/>
      <w:bCs/>
      <w:sz w:val="22"/>
      <w:szCs w:val="26"/>
    </w:rPr>
  </w:style>
  <w:style w:type="paragraph" w:styleId="Heading4">
    <w:name w:val="heading 4"/>
    <w:basedOn w:val="BodySubHeader"/>
    <w:next w:val="Paragraph"/>
    <w:link w:val="Heading4Char"/>
    <w:uiPriority w:val="2"/>
    <w:qFormat/>
    <w:rsid w:val="00711ACA"/>
    <w:pPr>
      <w:spacing w:line="280" w:lineRule="atLeast"/>
      <w:outlineLvl w:val="3"/>
    </w:pPr>
    <w:rPr>
      <w:rFonts w:cs="Arial"/>
      <w:sz w:val="22"/>
    </w:rPr>
  </w:style>
  <w:style w:type="paragraph" w:styleId="Heading5">
    <w:name w:val="heading 5"/>
    <w:basedOn w:val="Normal"/>
    <w:next w:val="Normal"/>
    <w:semiHidden/>
    <w:qFormat/>
    <w:rsid w:val="00AD5436"/>
    <w:pPr>
      <w:numPr>
        <w:ilvl w:val="4"/>
        <w:numId w:val="5"/>
      </w:numPr>
      <w:spacing w:before="240" w:after="60"/>
      <w:outlineLvl w:val="4"/>
    </w:pPr>
    <w:rPr>
      <w:b/>
      <w:bCs/>
      <w:i/>
      <w:iCs/>
      <w:sz w:val="26"/>
      <w:szCs w:val="26"/>
    </w:rPr>
  </w:style>
  <w:style w:type="paragraph" w:styleId="Heading6">
    <w:name w:val="heading 6"/>
    <w:basedOn w:val="Normal"/>
    <w:next w:val="Normal"/>
    <w:semiHidden/>
    <w:qFormat/>
    <w:rsid w:val="00AD5436"/>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AD5436"/>
    <w:pPr>
      <w:numPr>
        <w:ilvl w:val="6"/>
        <w:numId w:val="5"/>
      </w:numPr>
      <w:spacing w:before="240" w:after="60"/>
      <w:outlineLvl w:val="6"/>
    </w:pPr>
    <w:rPr>
      <w:rFonts w:ascii="Times New Roman" w:hAnsi="Times New Roman"/>
      <w:sz w:val="24"/>
    </w:rPr>
  </w:style>
  <w:style w:type="paragraph" w:styleId="Heading8">
    <w:name w:val="heading 8"/>
    <w:basedOn w:val="Normal"/>
    <w:next w:val="Normal"/>
    <w:semiHidden/>
    <w:qFormat/>
    <w:rsid w:val="00AD5436"/>
    <w:pPr>
      <w:numPr>
        <w:ilvl w:val="7"/>
        <w:numId w:val="5"/>
      </w:numPr>
      <w:spacing w:before="240" w:after="60"/>
      <w:outlineLvl w:val="7"/>
    </w:pPr>
    <w:rPr>
      <w:rFonts w:ascii="Times New Roman" w:hAnsi="Times New Roman"/>
      <w:i/>
      <w:iCs/>
      <w:sz w:val="24"/>
    </w:rPr>
  </w:style>
  <w:style w:type="paragraph" w:styleId="Heading9">
    <w:name w:val="heading 9"/>
    <w:basedOn w:val="Normal"/>
    <w:next w:val="Normal"/>
    <w:semiHidden/>
    <w:qFormat/>
    <w:rsid w:val="00AD5436"/>
    <w:pPr>
      <w:numPr>
        <w:ilvl w:val="8"/>
        <w:numId w:val="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0791C"/>
    <w:pPr>
      <w:tabs>
        <w:tab w:val="center" w:pos="4153"/>
        <w:tab w:val="right" w:pos="8306"/>
      </w:tabs>
      <w:spacing w:line="240" w:lineRule="auto"/>
    </w:pPr>
    <w:rPr>
      <w:sz w:val="16"/>
    </w:rPr>
  </w:style>
  <w:style w:type="paragraph" w:styleId="Footer">
    <w:name w:val="footer"/>
    <w:basedOn w:val="Normal"/>
    <w:link w:val="FooterChar"/>
    <w:semiHidden/>
    <w:qFormat/>
    <w:rsid w:val="0094078F"/>
    <w:pPr>
      <w:tabs>
        <w:tab w:val="right" w:pos="113"/>
      </w:tabs>
      <w:spacing w:line="240" w:lineRule="auto"/>
    </w:pPr>
    <w:rPr>
      <w:color w:val="323232"/>
      <w:sz w:val="16"/>
    </w:rPr>
  </w:style>
  <w:style w:type="character" w:customStyle="1" w:styleId="FooterChar">
    <w:name w:val="Footer Char"/>
    <w:basedOn w:val="DefaultParagraphFont"/>
    <w:link w:val="Footer"/>
    <w:semiHidden/>
    <w:rsid w:val="00EC2B68"/>
    <w:rPr>
      <w:rFonts w:ascii="Arial" w:hAnsi="Arial"/>
      <w:color w:val="323232"/>
      <w:sz w:val="16"/>
    </w:rPr>
  </w:style>
  <w:style w:type="paragraph" w:customStyle="1" w:styleId="Reporttitle">
    <w:name w:val="Report title"/>
    <w:basedOn w:val="Normal"/>
    <w:uiPriority w:val="19"/>
    <w:qFormat/>
    <w:rsid w:val="00A51D1A"/>
    <w:pPr>
      <w:spacing w:after="0" w:line="560" w:lineRule="exact"/>
    </w:pPr>
    <w:rPr>
      <w:b/>
      <w:spacing w:val="-28"/>
      <w:sz w:val="53"/>
    </w:rPr>
  </w:style>
  <w:style w:type="paragraph" w:customStyle="1" w:styleId="Reportsubtitle">
    <w:name w:val="Report subtitle"/>
    <w:basedOn w:val="Normal"/>
    <w:uiPriority w:val="20"/>
    <w:qFormat/>
    <w:rsid w:val="00950159"/>
    <w:pPr>
      <w:spacing w:after="200" w:line="560" w:lineRule="exact"/>
    </w:pPr>
    <w:rPr>
      <w:color w:val="323232"/>
      <w:spacing w:val="-28"/>
      <w:sz w:val="53"/>
    </w:rPr>
  </w:style>
  <w:style w:type="table" w:styleId="TableGrid">
    <w:name w:val="Table Grid"/>
    <w:basedOn w:val="TableNormal"/>
    <w:uiPriority w:val="59"/>
    <w:rsid w:val="00226819"/>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date">
    <w:name w:val="Report date"/>
    <w:basedOn w:val="Reportsubtitle"/>
    <w:uiPriority w:val="21"/>
    <w:qFormat/>
    <w:rsid w:val="00950159"/>
    <w:pPr>
      <w:spacing w:after="1200" w:line="240" w:lineRule="auto"/>
    </w:pPr>
    <w:rPr>
      <w:caps/>
      <w:spacing w:val="-10"/>
      <w:sz w:val="20"/>
    </w:rPr>
  </w:style>
  <w:style w:type="paragraph" w:customStyle="1" w:styleId="Tableheaderrow">
    <w:name w:val="Table header row"/>
    <w:basedOn w:val="Normal"/>
    <w:uiPriority w:val="14"/>
    <w:qFormat/>
    <w:rsid w:val="004267B6"/>
    <w:pPr>
      <w:spacing w:after="0"/>
    </w:pPr>
    <w:rPr>
      <w:b/>
      <w:sz w:val="22"/>
    </w:rPr>
  </w:style>
  <w:style w:type="paragraph" w:customStyle="1" w:styleId="PageNumber">
    <w:name w:val="PageNumber"/>
    <w:basedOn w:val="Normal"/>
    <w:semiHidden/>
    <w:rsid w:val="0070791C"/>
    <w:pPr>
      <w:spacing w:line="240" w:lineRule="auto"/>
    </w:pPr>
    <w:rPr>
      <w:sz w:val="16"/>
    </w:rPr>
  </w:style>
  <w:style w:type="paragraph" w:customStyle="1" w:styleId="Copyright">
    <w:name w:val="Copyright"/>
    <w:basedOn w:val="Normal"/>
    <w:semiHidden/>
    <w:rsid w:val="00454596"/>
    <w:pPr>
      <w:spacing w:line="160" w:lineRule="exact"/>
    </w:pPr>
    <w:rPr>
      <w:color w:val="4D4D4F"/>
      <w:sz w:val="13"/>
    </w:rPr>
  </w:style>
  <w:style w:type="paragraph" w:styleId="TOCHeading">
    <w:name w:val="TOC Heading"/>
    <w:basedOn w:val="Normal"/>
    <w:semiHidden/>
    <w:qFormat/>
    <w:rsid w:val="00950159"/>
    <w:pPr>
      <w:spacing w:before="1200" w:line="240" w:lineRule="auto"/>
    </w:pPr>
    <w:rPr>
      <w:b/>
      <w:color w:val="323232"/>
      <w:spacing w:val="-28"/>
      <w:sz w:val="53"/>
    </w:rPr>
  </w:style>
  <w:style w:type="paragraph" w:styleId="Caption">
    <w:name w:val="caption"/>
    <w:aliases w:val="Caption table"/>
    <w:basedOn w:val="Normal"/>
    <w:next w:val="Normal"/>
    <w:semiHidden/>
    <w:qFormat/>
    <w:rsid w:val="00E8152A"/>
    <w:pPr>
      <w:numPr>
        <w:numId w:val="9"/>
      </w:numPr>
      <w:spacing w:after="0"/>
    </w:pPr>
    <w:rPr>
      <w:b/>
      <w:bCs/>
      <w:color w:val="323232"/>
      <w:szCs w:val="20"/>
    </w:rPr>
  </w:style>
  <w:style w:type="paragraph" w:customStyle="1" w:styleId="BodySubHeader">
    <w:name w:val="BodySubHeader"/>
    <w:basedOn w:val="Normal"/>
    <w:next w:val="Normal"/>
    <w:semiHidden/>
    <w:rsid w:val="00146CE6"/>
    <w:pPr>
      <w:spacing w:before="240" w:after="0"/>
    </w:pPr>
    <w:rPr>
      <w:b/>
      <w:i/>
    </w:rPr>
  </w:style>
  <w:style w:type="paragraph" w:styleId="ListBullet">
    <w:name w:val="List Bullet"/>
    <w:basedOn w:val="Normal"/>
    <w:semiHidden/>
    <w:qFormat/>
    <w:rsid w:val="001C6AEE"/>
    <w:pPr>
      <w:numPr>
        <w:numId w:val="1"/>
      </w:numPr>
      <w:spacing w:after="80"/>
    </w:pPr>
  </w:style>
  <w:style w:type="paragraph" w:styleId="ListBullet2">
    <w:name w:val="List Bullet 2"/>
    <w:basedOn w:val="Normal"/>
    <w:semiHidden/>
    <w:qFormat/>
    <w:rsid w:val="001C6AEE"/>
    <w:pPr>
      <w:numPr>
        <w:numId w:val="2"/>
      </w:numPr>
      <w:spacing w:after="80"/>
    </w:pPr>
  </w:style>
  <w:style w:type="paragraph" w:styleId="ListNumber">
    <w:name w:val="List Number"/>
    <w:basedOn w:val="Normal"/>
    <w:semiHidden/>
    <w:qFormat/>
    <w:rsid w:val="004B2960"/>
    <w:pPr>
      <w:numPr>
        <w:numId w:val="3"/>
      </w:numPr>
      <w:spacing w:after="80" w:line="260" w:lineRule="atLeast"/>
      <w:ind w:left="284" w:hanging="284"/>
    </w:pPr>
    <w:rPr>
      <w:sz w:val="22"/>
    </w:rPr>
  </w:style>
  <w:style w:type="paragraph" w:styleId="ListNumber2">
    <w:name w:val="List Number 2"/>
    <w:basedOn w:val="Normal"/>
    <w:semiHidden/>
    <w:qFormat/>
    <w:rsid w:val="004A70D6"/>
    <w:pPr>
      <w:numPr>
        <w:numId w:val="4"/>
      </w:numPr>
      <w:spacing w:after="80"/>
      <w:ind w:left="828" w:hanging="357"/>
    </w:pPr>
  </w:style>
  <w:style w:type="paragraph" w:customStyle="1" w:styleId="URLEmail">
    <w:name w:val="URL/Email"/>
    <w:basedOn w:val="Normal"/>
    <w:semiHidden/>
    <w:rsid w:val="00302480"/>
    <w:rPr>
      <w:color w:val="4D4D4F"/>
      <w:spacing w:val="4"/>
    </w:rPr>
  </w:style>
  <w:style w:type="paragraph" w:customStyle="1" w:styleId="Execsummaryheading">
    <w:name w:val="Exec summary heading"/>
    <w:basedOn w:val="Normal"/>
    <w:uiPriority w:val="22"/>
    <w:qFormat/>
    <w:rsid w:val="00E66601"/>
    <w:pPr>
      <w:pageBreakBefore/>
      <w:spacing w:after="360" w:line="550" w:lineRule="exact"/>
    </w:pPr>
    <w:rPr>
      <w:b/>
      <w:color w:val="323232"/>
      <w:spacing w:val="-18"/>
      <w:sz w:val="53"/>
    </w:rPr>
  </w:style>
  <w:style w:type="character" w:styleId="PageNumber0">
    <w:name w:val="page number"/>
    <w:basedOn w:val="DefaultParagraphFont"/>
    <w:semiHidden/>
    <w:rsid w:val="00542377"/>
  </w:style>
  <w:style w:type="paragraph" w:styleId="ListContinue5">
    <w:name w:val="List Continue 5"/>
    <w:basedOn w:val="Normal"/>
    <w:semiHidden/>
    <w:rsid w:val="00EC2B68"/>
    <w:pPr>
      <w:spacing w:after="120"/>
      <w:ind w:left="1415"/>
      <w:contextualSpacing/>
    </w:pPr>
  </w:style>
  <w:style w:type="paragraph" w:customStyle="1" w:styleId="Paragraphbeforelist">
    <w:name w:val="Paragraph before list"/>
    <w:basedOn w:val="Paragraph"/>
    <w:uiPriority w:val="4"/>
    <w:qFormat/>
    <w:rsid w:val="00C87E8A"/>
    <w:pPr>
      <w:spacing w:after="80"/>
    </w:pPr>
  </w:style>
  <w:style w:type="paragraph" w:styleId="TOC1">
    <w:name w:val="toc 1"/>
    <w:basedOn w:val="Normal"/>
    <w:next w:val="Normal"/>
    <w:uiPriority w:val="39"/>
    <w:qFormat/>
    <w:rsid w:val="00D60571"/>
    <w:pPr>
      <w:tabs>
        <w:tab w:val="right" w:pos="9072"/>
      </w:tabs>
      <w:spacing w:before="280" w:after="80" w:line="320" w:lineRule="exact"/>
    </w:pPr>
    <w:rPr>
      <w:b/>
      <w:noProof/>
      <w:spacing w:val="-14"/>
      <w:sz w:val="28"/>
    </w:rPr>
  </w:style>
  <w:style w:type="paragraph" w:styleId="TOC2">
    <w:name w:val="toc 2"/>
    <w:basedOn w:val="Normal"/>
    <w:next w:val="Normal"/>
    <w:uiPriority w:val="39"/>
    <w:qFormat/>
    <w:rsid w:val="00D60571"/>
    <w:pPr>
      <w:tabs>
        <w:tab w:val="right" w:pos="9072"/>
      </w:tabs>
      <w:spacing w:after="80" w:line="300" w:lineRule="exact"/>
      <w:ind w:left="885" w:hanging="885"/>
    </w:pPr>
    <w:rPr>
      <w:noProof/>
      <w:spacing w:val="-14"/>
      <w:sz w:val="26"/>
      <w:szCs w:val="26"/>
    </w:rPr>
  </w:style>
  <w:style w:type="paragraph" w:styleId="TableofFigures">
    <w:name w:val="table of figures"/>
    <w:basedOn w:val="Normal"/>
    <w:next w:val="Normal"/>
    <w:semiHidden/>
    <w:rsid w:val="00AD3082"/>
    <w:pPr>
      <w:tabs>
        <w:tab w:val="right" w:pos="7615"/>
      </w:tabs>
      <w:spacing w:line="320" w:lineRule="exact"/>
    </w:pPr>
    <w:rPr>
      <w:noProof/>
      <w:color w:val="808285"/>
      <w:sz w:val="28"/>
    </w:rPr>
  </w:style>
  <w:style w:type="paragraph" w:styleId="TOC3">
    <w:name w:val="toc 3"/>
    <w:basedOn w:val="Normal"/>
    <w:next w:val="Normal"/>
    <w:uiPriority w:val="39"/>
    <w:qFormat/>
    <w:rsid w:val="00D60571"/>
    <w:pPr>
      <w:tabs>
        <w:tab w:val="right" w:pos="9072"/>
      </w:tabs>
      <w:spacing w:after="80" w:line="240" w:lineRule="auto"/>
    </w:pPr>
    <w:rPr>
      <w:noProof/>
      <w:sz w:val="22"/>
      <w:szCs w:val="22"/>
    </w:rPr>
  </w:style>
  <w:style w:type="character" w:styleId="Hyperlink">
    <w:name w:val="Hyperlink"/>
    <w:basedOn w:val="DefaultParagraphFont"/>
    <w:uiPriority w:val="99"/>
    <w:qFormat/>
    <w:rsid w:val="00C35CCE"/>
    <w:rPr>
      <w:color w:val="0000FF"/>
      <w:u w:val="single" w:color="0000FF"/>
    </w:rPr>
  </w:style>
  <w:style w:type="character" w:styleId="FootnoteReference">
    <w:name w:val="footnote reference"/>
    <w:aliases w:val="Appel note de bas de p,Appel note de bas de p + 11 pt,Italic,Footnote,Style 12,(NECG) Footnote Reference,Style 124,o,fr,Style 3,Appel note de bas de p1,Appel note de bas de p2,Appel note de bas de p3,Footnote Reference/,Style 13,FR"/>
    <w:basedOn w:val="DefaultParagraphFont"/>
    <w:qFormat/>
    <w:rsid w:val="00566AB4"/>
    <w:rPr>
      <w:rFonts w:ascii="Arial" w:hAnsi="Arial"/>
      <w:vertAlign w:val="superscript"/>
    </w:rPr>
  </w:style>
  <w:style w:type="paragraph" w:styleId="FootnoteText">
    <w:name w:val="footnote text"/>
    <w:aliases w:val="Footnote text,ACMA Footnote Text,footnote text,Footnote Text Char1,Footnote Text Char Char,Footnote Text Char1 Char Char,Footnote Text Char Char Char Char,Footnote Text Char1 Char Char Char Char,Footnote Text Char Char Char Char Char Char"/>
    <w:basedOn w:val="Normal"/>
    <w:link w:val="FootnoteTextChar"/>
    <w:uiPriority w:val="23"/>
    <w:qFormat/>
    <w:rsid w:val="00A17B1B"/>
    <w:pPr>
      <w:spacing w:after="0" w:line="200" w:lineRule="atLeast"/>
    </w:pPr>
    <w:rPr>
      <w:sz w:val="16"/>
      <w:szCs w:val="16"/>
    </w:rPr>
  </w:style>
  <w:style w:type="paragraph" w:customStyle="1" w:styleId="TableBody">
    <w:name w:val="Table Body"/>
    <w:basedOn w:val="Normal"/>
    <w:uiPriority w:val="15"/>
    <w:qFormat/>
    <w:rsid w:val="004267B6"/>
    <w:pPr>
      <w:spacing w:after="0" w:line="240" w:lineRule="auto"/>
    </w:pPr>
    <w:rPr>
      <w:sz w:val="22"/>
    </w:rPr>
  </w:style>
  <w:style w:type="character" w:styleId="CommentReference">
    <w:name w:val="annotation reference"/>
    <w:basedOn w:val="DefaultParagraphFont"/>
    <w:semiHidden/>
    <w:rsid w:val="00EE7F79"/>
    <w:rPr>
      <w:sz w:val="16"/>
      <w:szCs w:val="16"/>
    </w:rPr>
  </w:style>
  <w:style w:type="paragraph" w:styleId="CommentText">
    <w:name w:val="annotation text"/>
    <w:basedOn w:val="Normal"/>
    <w:link w:val="CommentTextChar"/>
    <w:semiHidden/>
    <w:rsid w:val="00EE7F79"/>
    <w:pPr>
      <w:spacing w:line="240" w:lineRule="auto"/>
    </w:pPr>
    <w:rPr>
      <w:szCs w:val="20"/>
    </w:rPr>
  </w:style>
  <w:style w:type="character" w:customStyle="1" w:styleId="CommentTextChar">
    <w:name w:val="Comment Text Char"/>
    <w:basedOn w:val="DefaultParagraphFont"/>
    <w:link w:val="CommentText"/>
    <w:semiHidden/>
    <w:rsid w:val="00EE7F79"/>
    <w:rPr>
      <w:rFonts w:ascii="Arial" w:hAnsi="Arial"/>
    </w:rPr>
  </w:style>
  <w:style w:type="paragraph" w:styleId="CommentSubject">
    <w:name w:val="annotation subject"/>
    <w:basedOn w:val="CommentText"/>
    <w:next w:val="CommentText"/>
    <w:link w:val="CommentSubjectChar"/>
    <w:semiHidden/>
    <w:rsid w:val="00EE7F79"/>
    <w:rPr>
      <w:b/>
      <w:bCs/>
    </w:rPr>
  </w:style>
  <w:style w:type="character" w:customStyle="1" w:styleId="CommentSubjectChar">
    <w:name w:val="Comment Subject Char"/>
    <w:basedOn w:val="CommentTextChar"/>
    <w:link w:val="CommentSubject"/>
    <w:semiHidden/>
    <w:rsid w:val="00EE7F79"/>
    <w:rPr>
      <w:rFonts w:ascii="Arial" w:hAnsi="Arial"/>
      <w:b/>
      <w:bCs/>
    </w:rPr>
  </w:style>
  <w:style w:type="character" w:styleId="FollowedHyperlink">
    <w:name w:val="FollowedHyperlink"/>
    <w:basedOn w:val="DefaultParagraphFont"/>
    <w:semiHidden/>
    <w:rsid w:val="00F60F00"/>
    <w:rPr>
      <w:color w:val="800080" w:themeColor="followedHyperlink"/>
      <w:u w:val="single"/>
    </w:rPr>
  </w:style>
  <w:style w:type="character" w:styleId="PlaceholderText">
    <w:name w:val="Placeholder Text"/>
    <w:basedOn w:val="DefaultParagraphFont"/>
    <w:uiPriority w:val="99"/>
    <w:semiHidden/>
    <w:rsid w:val="00C97736"/>
    <w:rPr>
      <w:color w:val="808080"/>
    </w:rPr>
  </w:style>
  <w:style w:type="paragraph" w:customStyle="1" w:styleId="ACMAInstructions">
    <w:name w:val="ACMA_Instructions"/>
    <w:basedOn w:val="Normal"/>
    <w:semiHidden/>
    <w:unhideWhenUsed/>
    <w:qFormat/>
    <w:rsid w:val="00BF610C"/>
    <w:pPr>
      <w:spacing w:after="200"/>
    </w:pPr>
    <w:rPr>
      <w:rFonts w:cs="Arial"/>
      <w:b/>
      <w:vanish/>
      <w:sz w:val="24"/>
    </w:rPr>
  </w:style>
  <w:style w:type="paragraph" w:customStyle="1" w:styleId="CorporateAddresses">
    <w:name w:val="Corporate Addresses"/>
    <w:basedOn w:val="Normal"/>
    <w:semiHidden/>
    <w:rsid w:val="0005011A"/>
    <w:pPr>
      <w:spacing w:line="140" w:lineRule="exact"/>
    </w:pPr>
    <w:rPr>
      <w:color w:val="4D4D4F"/>
      <w:sz w:val="13"/>
    </w:rPr>
  </w:style>
  <w:style w:type="paragraph" w:customStyle="1" w:styleId="Bulletlevel1">
    <w:name w:val="Bullet level 1"/>
    <w:basedOn w:val="ListBullet"/>
    <w:link w:val="Bulletlevel1Char"/>
    <w:uiPriority w:val="5"/>
    <w:qFormat/>
    <w:rsid w:val="00711ACA"/>
    <w:pPr>
      <w:numPr>
        <w:numId w:val="13"/>
      </w:numPr>
      <w:spacing w:line="280" w:lineRule="atLeast"/>
      <w:ind w:left="284" w:hanging="284"/>
    </w:pPr>
    <w:rPr>
      <w:rFonts w:cs="Arial"/>
      <w:sz w:val="22"/>
    </w:rPr>
  </w:style>
  <w:style w:type="paragraph" w:customStyle="1" w:styleId="ACMACorporateAddressHeader">
    <w:name w:val="ACMA_CorporateAddressHeader"/>
    <w:basedOn w:val="Normal"/>
    <w:next w:val="ACMACorporateAddresses"/>
    <w:semiHidden/>
    <w:unhideWhenUsed/>
    <w:qFormat/>
    <w:rsid w:val="00FC07B9"/>
    <w:pPr>
      <w:tabs>
        <w:tab w:val="left" w:pos="142"/>
      </w:tabs>
      <w:spacing w:before="240" w:after="0" w:line="140" w:lineRule="exact"/>
    </w:pPr>
    <w:rPr>
      <w:b/>
      <w:sz w:val="13"/>
    </w:rPr>
  </w:style>
  <w:style w:type="paragraph" w:customStyle="1" w:styleId="ACMACorporateAddresses">
    <w:name w:val="ACMA_CorporateAddresses"/>
    <w:basedOn w:val="ACMACorporateAddressHeader"/>
    <w:semiHidden/>
    <w:unhideWhenUsed/>
    <w:qFormat/>
    <w:rsid w:val="00FC07B9"/>
    <w:pPr>
      <w:spacing w:before="0" w:after="120"/>
    </w:pPr>
    <w:rPr>
      <w:b w:val="0"/>
    </w:rPr>
  </w:style>
  <w:style w:type="paragraph" w:customStyle="1" w:styleId="ACMACopyrightHeader">
    <w:name w:val="ACMA_CopyrightHeader"/>
    <w:basedOn w:val="ACMACorporateAddressHeader"/>
    <w:semiHidden/>
    <w:unhideWhenUsed/>
    <w:qFormat/>
    <w:rsid w:val="00950159"/>
    <w:pPr>
      <w:spacing w:before="3000"/>
    </w:pPr>
  </w:style>
  <w:style w:type="paragraph" w:customStyle="1" w:styleId="ACMACClogo">
    <w:name w:val="ACMA_CClogo"/>
    <w:semiHidden/>
    <w:unhideWhenUsed/>
    <w:qFormat/>
    <w:rsid w:val="00623FF9"/>
    <w:pPr>
      <w:spacing w:before="160" w:after="120"/>
    </w:pPr>
    <w:rPr>
      <w:rFonts w:ascii="Arial" w:hAnsi="Arial"/>
      <w:b/>
      <w:sz w:val="13"/>
    </w:rPr>
  </w:style>
  <w:style w:type="paragraph" w:customStyle="1" w:styleId="ListBulletLast">
    <w:name w:val="List Bullet Last"/>
    <w:basedOn w:val="ListBullet"/>
    <w:semiHidden/>
    <w:qFormat/>
    <w:rsid w:val="00146CE6"/>
    <w:pPr>
      <w:spacing w:after="240"/>
    </w:pPr>
    <w:rPr>
      <w:rFonts w:cs="Arial"/>
    </w:rPr>
  </w:style>
  <w:style w:type="paragraph" w:customStyle="1" w:styleId="ListNumberLast">
    <w:name w:val="List Number Last"/>
    <w:basedOn w:val="ListNumber"/>
    <w:semiHidden/>
    <w:qFormat/>
    <w:rsid w:val="00C16198"/>
    <w:pPr>
      <w:spacing w:after="240"/>
      <w:ind w:left="357" w:hanging="357"/>
    </w:pPr>
    <w:rPr>
      <w:rFonts w:cs="Arial"/>
    </w:rPr>
  </w:style>
  <w:style w:type="paragraph" w:customStyle="1" w:styleId="ACMATableHeader">
    <w:name w:val="ACMA_TableHeader"/>
    <w:semiHidden/>
    <w:qFormat/>
    <w:rsid w:val="003F10EE"/>
    <w:pPr>
      <w:numPr>
        <w:numId w:val="7"/>
      </w:numPr>
      <w:spacing w:after="160"/>
    </w:pPr>
    <w:rPr>
      <w:rFonts w:ascii="Arial" w:hAnsi="Arial"/>
      <w:b/>
      <w:bCs/>
      <w:color w:val="323232"/>
      <w:sz w:val="20"/>
      <w:szCs w:val="20"/>
    </w:rPr>
  </w:style>
  <w:style w:type="paragraph" w:customStyle="1" w:styleId="ACMANotes">
    <w:name w:val="ACMA_Notes"/>
    <w:semiHidden/>
    <w:qFormat/>
    <w:rsid w:val="00FF206E"/>
    <w:pPr>
      <w:spacing w:before="80"/>
    </w:pPr>
    <w:rPr>
      <w:rFonts w:ascii="Arial" w:hAnsi="Arial" w:cs="Arial"/>
      <w:i/>
      <w:sz w:val="16"/>
    </w:rPr>
  </w:style>
  <w:style w:type="paragraph" w:customStyle="1" w:styleId="Numberlistlevel1">
    <w:name w:val="Number list level 1"/>
    <w:basedOn w:val="ListNumber"/>
    <w:uiPriority w:val="9"/>
    <w:qFormat/>
    <w:rsid w:val="00711ACA"/>
    <w:pPr>
      <w:spacing w:line="280" w:lineRule="atLeast"/>
    </w:pPr>
  </w:style>
  <w:style w:type="character" w:styleId="Emphasis">
    <w:name w:val="Emphasis"/>
    <w:basedOn w:val="DefaultParagraphFont"/>
    <w:uiPriority w:val="20"/>
    <w:qFormat/>
    <w:rsid w:val="006D576C"/>
    <w:rPr>
      <w:i/>
      <w:iCs/>
    </w:rPr>
  </w:style>
  <w:style w:type="paragraph" w:customStyle="1" w:styleId="ListNumber2Last">
    <w:name w:val="List Number 2 Last"/>
    <w:basedOn w:val="ListNumber2"/>
    <w:semiHidden/>
    <w:qFormat/>
    <w:rsid w:val="00E35707"/>
    <w:pPr>
      <w:spacing w:after="240"/>
      <w:ind w:left="907"/>
    </w:pPr>
    <w:rPr>
      <w:rFonts w:cs="Arial"/>
    </w:rPr>
  </w:style>
  <w:style w:type="paragraph" w:customStyle="1" w:styleId="Spaceaftertable">
    <w:name w:val="Space after table"/>
    <w:basedOn w:val="Normal"/>
    <w:uiPriority w:val="99"/>
    <w:qFormat/>
    <w:rsid w:val="00C2083D"/>
    <w:rPr>
      <w:rFonts w:cs="Arial"/>
    </w:rPr>
  </w:style>
  <w:style w:type="paragraph" w:customStyle="1" w:styleId="FooterLeft">
    <w:name w:val="Footer Left"/>
    <w:basedOn w:val="Footer"/>
    <w:semiHidden/>
    <w:qFormat/>
    <w:rsid w:val="00950159"/>
    <w:pPr>
      <w:framePr w:w="1440" w:h="357" w:hRule="exact" w:vSpace="425" w:wrap="around" w:vAnchor="page" w:hAnchor="page" w:x="935" w:y="15871"/>
      <w:pBdr>
        <w:top w:val="single" w:sz="4" w:space="1" w:color="auto"/>
      </w:pBdr>
    </w:pPr>
    <w:rPr>
      <w:rFonts w:cs="Arial"/>
    </w:rPr>
  </w:style>
  <w:style w:type="paragraph" w:customStyle="1" w:styleId="ACMAFigureHeader">
    <w:name w:val="ACMA_FigureHeader"/>
    <w:semiHidden/>
    <w:qFormat/>
    <w:rsid w:val="003F10EE"/>
    <w:pPr>
      <w:numPr>
        <w:numId w:val="6"/>
      </w:numPr>
      <w:spacing w:after="160"/>
    </w:pPr>
    <w:rPr>
      <w:rFonts w:ascii="Arial" w:hAnsi="Arial"/>
      <w:b/>
      <w:bCs/>
      <w:color w:val="323232"/>
      <w:sz w:val="20"/>
      <w:szCs w:val="20"/>
    </w:rPr>
  </w:style>
  <w:style w:type="paragraph" w:customStyle="1" w:styleId="Captionfigure">
    <w:name w:val="Caption figure"/>
    <w:basedOn w:val="Caption"/>
    <w:semiHidden/>
    <w:qFormat/>
    <w:rsid w:val="00E8152A"/>
    <w:pPr>
      <w:keepNext/>
      <w:numPr>
        <w:numId w:val="8"/>
      </w:numPr>
    </w:pPr>
    <w:rPr>
      <w:rFonts w:cs="Arial"/>
    </w:rPr>
  </w:style>
  <w:style w:type="paragraph" w:customStyle="1" w:styleId="GridTable31">
    <w:name w:val="Grid Table 31"/>
    <w:basedOn w:val="Normal"/>
    <w:semiHidden/>
    <w:qFormat/>
    <w:rsid w:val="00971914"/>
    <w:pPr>
      <w:spacing w:after="0" w:line="240" w:lineRule="auto"/>
    </w:pPr>
    <w:rPr>
      <w:b/>
      <w:color w:val="4D4D4F"/>
      <w:spacing w:val="-28"/>
      <w:sz w:val="53"/>
    </w:rPr>
  </w:style>
  <w:style w:type="character" w:customStyle="1" w:styleId="HeaderChar">
    <w:name w:val="Header Char"/>
    <w:link w:val="Header"/>
    <w:semiHidden/>
    <w:rsid w:val="00971914"/>
    <w:rPr>
      <w:rFonts w:ascii="Arial" w:hAnsi="Arial"/>
      <w:sz w:val="16"/>
    </w:rPr>
  </w:style>
  <w:style w:type="character" w:customStyle="1" w:styleId="Heading1Char">
    <w:name w:val="Heading 1 Char"/>
    <w:basedOn w:val="DefaultParagraphFont"/>
    <w:link w:val="Heading1"/>
    <w:uiPriority w:val="1"/>
    <w:rsid w:val="00CE0BB5"/>
    <w:rPr>
      <w:rFonts w:ascii="Arial" w:hAnsi="Arial" w:cs="Arial"/>
      <w:bCs/>
      <w:color w:val="323232"/>
      <w:kern w:val="32"/>
      <w:sz w:val="53"/>
      <w:szCs w:val="32"/>
    </w:rPr>
  </w:style>
  <w:style w:type="character" w:customStyle="1" w:styleId="Heading2Char">
    <w:name w:val="Heading 2 Char"/>
    <w:basedOn w:val="DefaultParagraphFont"/>
    <w:link w:val="Heading2"/>
    <w:uiPriority w:val="1"/>
    <w:rsid w:val="00711ACA"/>
    <w:rPr>
      <w:rFonts w:ascii="Arial" w:hAnsi="Arial" w:cs="Arial"/>
      <w:b/>
      <w:bCs/>
      <w:iCs/>
      <w:sz w:val="28"/>
      <w:szCs w:val="28"/>
    </w:rPr>
  </w:style>
  <w:style w:type="character" w:styleId="UnresolvedMention">
    <w:name w:val="Unresolved Mention"/>
    <w:basedOn w:val="DefaultParagraphFont"/>
    <w:uiPriority w:val="99"/>
    <w:semiHidden/>
    <w:unhideWhenUsed/>
    <w:rsid w:val="006B52DE"/>
    <w:rPr>
      <w:color w:val="605E5C"/>
      <w:shd w:val="clear" w:color="auto" w:fill="E1DFDD"/>
    </w:rPr>
  </w:style>
  <w:style w:type="character" w:customStyle="1" w:styleId="Heading3Char">
    <w:name w:val="Heading 3 Char"/>
    <w:basedOn w:val="DefaultParagraphFont"/>
    <w:link w:val="Heading3"/>
    <w:uiPriority w:val="2"/>
    <w:rsid w:val="00711ACA"/>
    <w:rPr>
      <w:rFonts w:ascii="Arial" w:hAnsi="Arial" w:cs="Arial"/>
      <w:b/>
      <w:bCs/>
      <w:sz w:val="22"/>
      <w:szCs w:val="26"/>
    </w:rPr>
  </w:style>
  <w:style w:type="paragraph" w:customStyle="1" w:styleId="Paragraph">
    <w:name w:val="Paragraph"/>
    <w:basedOn w:val="Normal"/>
    <w:link w:val="ParagraphChar"/>
    <w:qFormat/>
    <w:rsid w:val="00711ACA"/>
    <w:pPr>
      <w:spacing w:line="280" w:lineRule="atLeast"/>
    </w:pPr>
    <w:rPr>
      <w:rFonts w:cs="Arial"/>
      <w:sz w:val="22"/>
    </w:rPr>
  </w:style>
  <w:style w:type="paragraph" w:customStyle="1" w:styleId="Bulletlevel2">
    <w:name w:val="Bullet level 2"/>
    <w:basedOn w:val="ListBullet2"/>
    <w:uiPriority w:val="7"/>
    <w:qFormat/>
    <w:rsid w:val="00711ACA"/>
    <w:pPr>
      <w:numPr>
        <w:numId w:val="15"/>
      </w:numPr>
      <w:tabs>
        <w:tab w:val="left" w:pos="295"/>
      </w:tabs>
      <w:spacing w:line="280" w:lineRule="atLeast"/>
      <w:ind w:left="568" w:hanging="284"/>
    </w:pPr>
    <w:rPr>
      <w:rFonts w:cs="Arial"/>
      <w:sz w:val="22"/>
    </w:rPr>
  </w:style>
  <w:style w:type="paragraph" w:customStyle="1" w:styleId="Bulletlevel1last">
    <w:name w:val="Bullet level 1 last"/>
    <w:basedOn w:val="ListBulletLast"/>
    <w:uiPriority w:val="6"/>
    <w:qFormat/>
    <w:rsid w:val="00711ACA"/>
    <w:pPr>
      <w:numPr>
        <w:numId w:val="14"/>
      </w:numPr>
      <w:spacing w:line="280" w:lineRule="atLeast"/>
      <w:ind w:left="284" w:hanging="284"/>
    </w:pPr>
    <w:rPr>
      <w:sz w:val="22"/>
    </w:rPr>
  </w:style>
  <w:style w:type="paragraph" w:customStyle="1" w:styleId="Numberlistlevel2">
    <w:name w:val="Number list level 2"/>
    <w:basedOn w:val="ListNumber2"/>
    <w:uiPriority w:val="11"/>
    <w:qFormat/>
    <w:rsid w:val="00711ACA"/>
    <w:pPr>
      <w:spacing w:line="280" w:lineRule="atLeast"/>
      <w:ind w:left="738" w:hanging="284"/>
    </w:pPr>
    <w:rPr>
      <w:sz w:val="22"/>
    </w:rPr>
  </w:style>
  <w:style w:type="paragraph" w:customStyle="1" w:styleId="Numberlistlast">
    <w:name w:val="Number list last"/>
    <w:basedOn w:val="ListNumberLast"/>
    <w:uiPriority w:val="10"/>
    <w:qFormat/>
    <w:rsid w:val="00711ACA"/>
    <w:pPr>
      <w:spacing w:line="280" w:lineRule="atLeast"/>
      <w:ind w:left="284" w:hanging="284"/>
    </w:pPr>
  </w:style>
  <w:style w:type="paragraph" w:customStyle="1" w:styleId="Numberlistlevel2last">
    <w:name w:val="Number list level 2 last"/>
    <w:basedOn w:val="Numberlistlevel2"/>
    <w:uiPriority w:val="12"/>
    <w:qFormat/>
    <w:rsid w:val="004A70D6"/>
    <w:pPr>
      <w:spacing w:after="240"/>
    </w:pPr>
  </w:style>
  <w:style w:type="paragraph" w:customStyle="1" w:styleId="Bulletlevel2last">
    <w:name w:val="Bullet level 2 last"/>
    <w:basedOn w:val="Bulletlevel2"/>
    <w:uiPriority w:val="8"/>
    <w:qFormat/>
    <w:rsid w:val="005A62E5"/>
    <w:pPr>
      <w:numPr>
        <w:numId w:val="16"/>
      </w:numPr>
      <w:spacing w:after="240"/>
      <w:ind w:left="568" w:hanging="284"/>
    </w:pPr>
  </w:style>
  <w:style w:type="table" w:customStyle="1" w:styleId="ACMAtablestyle">
    <w:name w:val="ACMA table style"/>
    <w:basedOn w:val="TableNormal"/>
    <w:uiPriority w:val="99"/>
    <w:rsid w:val="00F04366"/>
    <w:rPr>
      <w:rFonts w:ascii="Arial" w:hAnsi="Arial"/>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57" w:type="dxa"/>
        <w:bottom w:w="85" w:type="dxa"/>
        <w:right w:w="57" w:type="dxa"/>
      </w:tblCellMar>
    </w:tblPr>
    <w:tblStylePr w:type="firstRow">
      <w:rPr>
        <w:rFonts w:ascii="Arial" w:hAnsi="Arial"/>
        <w:b w:val="0"/>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nil"/>
          <w:insideV w:val="nil"/>
        </w:tcBorders>
        <w:shd w:val="clear" w:color="auto" w:fill="404040" w:themeFill="text1" w:themeFillTint="BF"/>
      </w:tcPr>
    </w:tblStylePr>
    <w:tblStylePr w:type="band1Horz">
      <w:rPr>
        <w:rFonts w:ascii="Arial" w:hAnsi="Arial"/>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Horz">
      <w:rPr>
        <w:rFonts w:ascii="Arial" w:hAnsi="Arial"/>
        <w:sz w:val="20"/>
      </w:rPr>
      <w:tblPr/>
      <w:tcPr>
        <w:shd w:val="clear" w:color="auto" w:fill="F2F2F2" w:themeFill="background1" w:themeFillShade="F2"/>
      </w:tcPr>
    </w:tblStylePr>
  </w:style>
  <w:style w:type="paragraph" w:customStyle="1" w:styleId="Tableheading">
    <w:name w:val="Table heading"/>
    <w:basedOn w:val="ACMATableHeader"/>
    <w:uiPriority w:val="13"/>
    <w:qFormat/>
    <w:rsid w:val="00711ACA"/>
    <w:pPr>
      <w:keepNext/>
      <w:spacing w:line="280" w:lineRule="atLeast"/>
    </w:pPr>
    <w:rPr>
      <w:sz w:val="22"/>
    </w:rPr>
  </w:style>
  <w:style w:type="paragraph" w:customStyle="1" w:styleId="Tableorfigurenote">
    <w:name w:val="Table or figure note"/>
    <w:basedOn w:val="ACMANotes"/>
    <w:uiPriority w:val="17"/>
    <w:qFormat/>
    <w:rsid w:val="00930510"/>
    <w:pPr>
      <w:spacing w:after="240"/>
    </w:pPr>
  </w:style>
  <w:style w:type="paragraph" w:customStyle="1" w:styleId="Figureheading">
    <w:name w:val="Figure heading"/>
    <w:basedOn w:val="ACMAFigureHeader"/>
    <w:uiPriority w:val="16"/>
    <w:qFormat/>
    <w:rsid w:val="00711ACA"/>
    <w:pPr>
      <w:keepNext/>
      <w:spacing w:line="280" w:lineRule="atLeast"/>
    </w:pPr>
    <w:rPr>
      <w:sz w:val="22"/>
    </w:rPr>
  </w:style>
  <w:style w:type="paragraph" w:customStyle="1" w:styleId="Tableorfigurenotemultiple">
    <w:name w:val="Table or figure note multiple"/>
    <w:basedOn w:val="Tableorfigurenote"/>
    <w:uiPriority w:val="18"/>
    <w:qFormat/>
    <w:rsid w:val="00930510"/>
    <w:pPr>
      <w:spacing w:after="80"/>
    </w:pPr>
  </w:style>
  <w:style w:type="paragraph" w:customStyle="1" w:styleId="Protectivemarking">
    <w:name w:val="Protective marking"/>
    <w:basedOn w:val="Normal"/>
    <w:uiPriority w:val="99"/>
    <w:qFormat/>
    <w:rsid w:val="007E3375"/>
    <w:pPr>
      <w:tabs>
        <w:tab w:val="left" w:pos="720"/>
      </w:tabs>
      <w:spacing w:after="0" w:line="240" w:lineRule="auto"/>
      <w:jc w:val="center"/>
    </w:pPr>
    <w:rPr>
      <w:rFonts w:cs="Arial"/>
      <w:b/>
      <w:bCs/>
      <w:color w:val="FF0000"/>
      <w:sz w:val="32"/>
      <w:lang w:eastAsia="en-US"/>
    </w:rPr>
  </w:style>
  <w:style w:type="paragraph" w:styleId="BalloonText">
    <w:name w:val="Balloon Text"/>
    <w:basedOn w:val="Normal"/>
    <w:link w:val="BalloonTextChar"/>
    <w:semiHidden/>
    <w:unhideWhenUsed/>
    <w:rsid w:val="004511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1C5"/>
    <w:rPr>
      <w:rFonts w:ascii="Segoe UI" w:hAnsi="Segoe UI" w:cs="Segoe UI"/>
      <w:sz w:val="18"/>
      <w:szCs w:val="18"/>
    </w:rPr>
  </w:style>
  <w:style w:type="paragraph" w:styleId="Revision">
    <w:name w:val="Revision"/>
    <w:hidden/>
    <w:semiHidden/>
    <w:rsid w:val="004511C5"/>
    <w:rPr>
      <w:rFonts w:ascii="Arial" w:hAnsi="Arial"/>
      <w:sz w:val="20"/>
    </w:rPr>
  </w:style>
  <w:style w:type="paragraph" w:customStyle="1" w:styleId="Executivesummarysubheading">
    <w:name w:val="Executive summary subheading"/>
    <w:basedOn w:val="Heading4"/>
    <w:uiPriority w:val="3"/>
    <w:qFormat/>
    <w:rsid w:val="00711ACA"/>
    <w:pPr>
      <w:spacing w:after="80"/>
    </w:pPr>
  </w:style>
  <w:style w:type="character" w:customStyle="1" w:styleId="Bulletlevel1Char">
    <w:name w:val="Bullet level 1 Char"/>
    <w:basedOn w:val="DefaultParagraphFont"/>
    <w:link w:val="Bulletlevel1"/>
    <w:uiPriority w:val="5"/>
    <w:rsid w:val="004B0B08"/>
    <w:rPr>
      <w:rFonts w:ascii="Arial" w:hAnsi="Arial" w:cs="Arial"/>
      <w:sz w:val="22"/>
    </w:rPr>
  </w:style>
  <w:style w:type="paragraph" w:styleId="ListParagraph">
    <w:name w:val="List Paragraph"/>
    <w:basedOn w:val="Normal"/>
    <w:rsid w:val="004B0B08"/>
    <w:pPr>
      <w:ind w:left="720"/>
      <w:contextualSpacing/>
    </w:pPr>
  </w:style>
  <w:style w:type="character" w:customStyle="1" w:styleId="ParagraphChar">
    <w:name w:val="Paragraph Char"/>
    <w:basedOn w:val="DefaultParagraphFont"/>
    <w:link w:val="Paragraph"/>
    <w:rsid w:val="009A03A5"/>
    <w:rPr>
      <w:rFonts w:ascii="Arial" w:hAnsi="Arial" w:cs="Arial"/>
      <w:sz w:val="22"/>
    </w:rPr>
  </w:style>
  <w:style w:type="paragraph" w:styleId="NormalWeb">
    <w:name w:val="Normal (Web)"/>
    <w:basedOn w:val="Normal"/>
    <w:uiPriority w:val="99"/>
    <w:semiHidden/>
    <w:unhideWhenUsed/>
    <w:rsid w:val="00750F35"/>
    <w:pPr>
      <w:spacing w:before="100" w:beforeAutospacing="1" w:after="100" w:afterAutospacing="1" w:line="240" w:lineRule="auto"/>
    </w:pPr>
    <w:rPr>
      <w:rFonts w:ascii="Times New Roman" w:hAnsi="Times New Roman"/>
      <w:sz w:val="24"/>
    </w:rPr>
  </w:style>
  <w:style w:type="character" w:styleId="Mention">
    <w:name w:val="Mention"/>
    <w:basedOn w:val="DefaultParagraphFont"/>
    <w:uiPriority w:val="99"/>
    <w:unhideWhenUsed/>
    <w:rsid w:val="009A760C"/>
    <w:rPr>
      <w:color w:val="2B579A"/>
      <w:shd w:val="clear" w:color="auto" w:fill="E1DFDD"/>
    </w:rPr>
  </w:style>
  <w:style w:type="character" w:customStyle="1" w:styleId="FootnoteTextChar">
    <w:name w:val="Footnote Text Char"/>
    <w:aliases w:val="Footnote text Char,ACMA Footnote Text Char,footnote text Char,Footnote Text Char1 Char,Footnote Text Char Char Char,Footnote Text Char1 Char Char Char,Footnote Text Char Char Char Char Char,Footnote Text Char1 Char Char Char Char Char"/>
    <w:basedOn w:val="DefaultParagraphFont"/>
    <w:link w:val="FootnoteText"/>
    <w:uiPriority w:val="99"/>
    <w:qFormat/>
    <w:rsid w:val="000A0AC8"/>
    <w:rPr>
      <w:rFonts w:ascii="Arial" w:hAnsi="Arial"/>
      <w:sz w:val="16"/>
      <w:szCs w:val="16"/>
    </w:rPr>
  </w:style>
  <w:style w:type="character" w:customStyle="1" w:styleId="Heading4Char">
    <w:name w:val="Heading 4 Char"/>
    <w:basedOn w:val="DefaultParagraphFont"/>
    <w:link w:val="Heading4"/>
    <w:uiPriority w:val="2"/>
    <w:rsid w:val="007D3BFF"/>
    <w:rPr>
      <w:rFonts w:ascii="Arial" w:hAnsi="Arial" w:cs="Arial"/>
      <w:b/>
      <w:i/>
      <w:sz w:val="22"/>
    </w:rPr>
  </w:style>
  <w:style w:type="paragraph" w:styleId="EndnoteText">
    <w:name w:val="endnote text"/>
    <w:basedOn w:val="Normal"/>
    <w:link w:val="EndnoteTextChar"/>
    <w:semiHidden/>
    <w:unhideWhenUsed/>
    <w:rsid w:val="008D6F80"/>
    <w:pPr>
      <w:spacing w:after="0" w:line="240" w:lineRule="auto"/>
    </w:pPr>
    <w:rPr>
      <w:szCs w:val="20"/>
    </w:rPr>
  </w:style>
  <w:style w:type="character" w:customStyle="1" w:styleId="EndnoteTextChar">
    <w:name w:val="Endnote Text Char"/>
    <w:basedOn w:val="DefaultParagraphFont"/>
    <w:link w:val="EndnoteText"/>
    <w:semiHidden/>
    <w:rsid w:val="008D6F80"/>
    <w:rPr>
      <w:rFonts w:ascii="Arial" w:hAnsi="Arial"/>
      <w:sz w:val="20"/>
      <w:szCs w:val="20"/>
    </w:rPr>
  </w:style>
  <w:style w:type="character" w:styleId="EndnoteReference">
    <w:name w:val="endnote reference"/>
    <w:basedOn w:val="DefaultParagraphFont"/>
    <w:semiHidden/>
    <w:unhideWhenUsed/>
    <w:rsid w:val="008D6F80"/>
    <w:rPr>
      <w:vertAlign w:val="superscript"/>
    </w:rPr>
  </w:style>
  <w:style w:type="character" w:styleId="Strong">
    <w:name w:val="Strong"/>
    <w:basedOn w:val="DefaultParagraphFont"/>
    <w:uiPriority w:val="22"/>
    <w:qFormat/>
    <w:rsid w:val="00A440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84553">
      <w:bodyDiv w:val="1"/>
      <w:marLeft w:val="0"/>
      <w:marRight w:val="0"/>
      <w:marTop w:val="0"/>
      <w:marBottom w:val="0"/>
      <w:divBdr>
        <w:top w:val="none" w:sz="0" w:space="0" w:color="auto"/>
        <w:left w:val="none" w:sz="0" w:space="0" w:color="auto"/>
        <w:bottom w:val="none" w:sz="0" w:space="0" w:color="auto"/>
        <w:right w:val="none" w:sz="0" w:space="0" w:color="auto"/>
      </w:divBdr>
    </w:div>
    <w:div w:id="1068111808">
      <w:marLeft w:val="0"/>
      <w:marRight w:val="0"/>
      <w:marTop w:val="0"/>
      <w:marBottom w:val="0"/>
      <w:divBdr>
        <w:top w:val="none" w:sz="0" w:space="0" w:color="auto"/>
        <w:left w:val="none" w:sz="0" w:space="0" w:color="auto"/>
        <w:bottom w:val="none" w:sz="0" w:space="0" w:color="auto"/>
        <w:right w:val="none" w:sz="0" w:space="0" w:color="auto"/>
      </w:divBdr>
    </w:div>
    <w:div w:id="1409771268">
      <w:bodyDiv w:val="1"/>
      <w:marLeft w:val="0"/>
      <w:marRight w:val="0"/>
      <w:marTop w:val="0"/>
      <w:marBottom w:val="0"/>
      <w:divBdr>
        <w:top w:val="none" w:sz="0" w:space="0" w:color="auto"/>
        <w:left w:val="none" w:sz="0" w:space="0" w:color="auto"/>
        <w:bottom w:val="none" w:sz="0" w:space="0" w:color="auto"/>
        <w:right w:val="none" w:sz="0" w:space="0" w:color="auto"/>
      </w:divBdr>
    </w:div>
    <w:div w:id="1566910818">
      <w:bodyDiv w:val="1"/>
      <w:marLeft w:val="0"/>
      <w:marRight w:val="0"/>
      <w:marTop w:val="0"/>
      <w:marBottom w:val="0"/>
      <w:divBdr>
        <w:top w:val="none" w:sz="0" w:space="0" w:color="auto"/>
        <w:left w:val="none" w:sz="0" w:space="0" w:color="auto"/>
        <w:bottom w:val="none" w:sz="0" w:space="0" w:color="auto"/>
        <w:right w:val="none" w:sz="0" w:space="0" w:color="auto"/>
      </w:divBdr>
    </w:div>
    <w:div w:id="1925912315">
      <w:bodyDiv w:val="1"/>
      <w:marLeft w:val="0"/>
      <w:marRight w:val="0"/>
      <w:marTop w:val="0"/>
      <w:marBottom w:val="0"/>
      <w:divBdr>
        <w:top w:val="none" w:sz="0" w:space="0" w:color="auto"/>
        <w:left w:val="none" w:sz="0" w:space="0" w:color="auto"/>
        <w:bottom w:val="none" w:sz="0" w:space="0" w:color="auto"/>
        <w:right w:val="none" w:sz="0" w:space="0" w:color="auto"/>
      </w:divBdr>
    </w:div>
    <w:div w:id="20024678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footer" Target="footer6.xml"/><Relationship Id="rId39" Type="http://schemas.openxmlformats.org/officeDocument/2006/relationships/image" Target="media/image5.png"/><Relationship Id="rId21" Type="http://schemas.openxmlformats.org/officeDocument/2006/relationships/header" Target="header5.xml"/><Relationship Id="rId34" Type="http://schemas.openxmlformats.org/officeDocument/2006/relationships/hyperlink" Target="https://budget.gov.au/content/bp3/index.htm" TargetMode="External"/><Relationship Id="rId42" Type="http://schemas.openxmlformats.org/officeDocument/2006/relationships/footer" Target="footer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acma.gov.au/publications/2026-05/report/expiring-spectrum-licences-stage-4-preferred-views-pric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yperlink" Target="https://www.acma.gov.au/publication-submissions" TargetMode="External"/><Relationship Id="rId40" Type="http://schemas.openxmlformats.org/officeDocument/2006/relationships/header" Target="header8.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yperlink" Target="mailto:ESL@acma.gov.au" TargetMode="External"/><Relationship Id="rId10" Type="http://schemas.openxmlformats.org/officeDocument/2006/relationships/endnotes" Target="endnotes.xml"/><Relationship Id="rId19" Type="http://schemas.openxmlformats.org/officeDocument/2006/relationships/hyperlink" Target="https://creativecommons.org/licenses/by/4.0/" TargetMode="External"/><Relationship Id="rId31" Type="http://schemas.openxmlformats.org/officeDocument/2006/relationships/hyperlink" Target="https://www.acma.gov.au/consultations/2025-12/expiring-spectrum-licences-stage-4-updated-preliminary-views-pricing"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yperlink" Target="https://www.acma.gov.au/consultations/2025-04/expiring-spectrum-licences-stage-3-preliminary-views" TargetMode="External"/><Relationship Id="rId35" Type="http://schemas.openxmlformats.org/officeDocument/2006/relationships/hyperlink" Target="https://www.acma.gov.au/have-your-say" TargetMode="External"/><Relationship Id="rId43"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i.creativecommons.org/l/by/3.0/88x31.png" TargetMode="External"/><Relationship Id="rId25" Type="http://schemas.openxmlformats.org/officeDocument/2006/relationships/header" Target="header7.xml"/><Relationship Id="rId33" Type="http://schemas.openxmlformats.org/officeDocument/2006/relationships/hyperlink" Target="https://www.acma.gov.au/convert-hcis-area-description-placemark" TargetMode="External"/><Relationship Id="rId38" Type="http://schemas.openxmlformats.org/officeDocument/2006/relationships/hyperlink" Target="https://www.acma.gov.au/privacy-policy" TargetMode="External"/><Relationship Id="rId20" Type="http://schemas.openxmlformats.org/officeDocument/2006/relationships/header" Target="header4.xml"/><Relationship Id="rId41" Type="http://schemas.openxmlformats.org/officeDocument/2006/relationships/header" Target="header9.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cma.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CMA-System\Templates\ACMA\Consultation%20paper.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000000"/>
      </a:dk2>
      <a:lt2>
        <a:srgbClr val="FFFFFF"/>
      </a:lt2>
      <a:accent1>
        <a:srgbClr val="00A0A4"/>
      </a:accent1>
      <a:accent2>
        <a:srgbClr val="7C426F"/>
      </a:accent2>
      <a:accent3>
        <a:srgbClr val="39457C"/>
      </a:accent3>
      <a:accent4>
        <a:srgbClr val="85BEC2"/>
      </a:accent4>
      <a:accent5>
        <a:srgbClr val="CBB6CA"/>
      </a:accent5>
      <a:accent6>
        <a:srgbClr val="D3E5E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12A608CC66EF46A94C5406789A67A5" ma:contentTypeVersion="18" ma:contentTypeDescription="Create a new document." ma:contentTypeScope="" ma:versionID="dd990cfe0e7c736b6c1a5ae472a708ba">
  <xsd:schema xmlns:xsd="http://www.w3.org/2001/XMLSchema" xmlns:xs="http://www.w3.org/2001/XMLSchema" xmlns:p="http://schemas.microsoft.com/office/2006/metadata/properties" xmlns:ns2="dd7e4107-340f-49bc-b242-932585323802" xmlns:ns3="aaf5b1b8-7fa3-4132-a2ec-fb8a46b60ebe" targetNamespace="http://schemas.microsoft.com/office/2006/metadata/properties" ma:root="true" ma:fieldsID="f3d709465405ccf16d89293f5b43eb80" ns2:_="" ns3:_="">
    <xsd:import namespace="dd7e4107-340f-49bc-b242-932585323802"/>
    <xsd:import namespace="aaf5b1b8-7fa3-4132-a2ec-fb8a46b60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e4107-340f-49bc-b242-932585323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5b1b8-7fa3-4132-a2ec-fb8a46b60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0b73f39-9b92-4bc0-bfc8-2ada248a5604}" ma:internalName="TaxCatchAll" ma:showField="CatchAllData" ma:web="aaf5b1b8-7fa3-4132-a2ec-fb8a46b60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f5b1b8-7fa3-4132-a2ec-fb8a46b60ebe" xsi:nil="true"/>
    <lcf76f155ced4ddcb4097134ff3c332f xmlns="dd7e4107-340f-49bc-b242-9325853238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1EF73-48E5-4370-AF51-C9D223F3701E}">
  <ds:schemaRefs>
    <ds:schemaRef ds:uri="http://schemas.microsoft.com/sharepoint/v3/contenttype/forms"/>
  </ds:schemaRefs>
</ds:datastoreItem>
</file>

<file path=customXml/itemProps2.xml><?xml version="1.0" encoding="utf-8"?>
<ds:datastoreItem xmlns:ds="http://schemas.openxmlformats.org/officeDocument/2006/customXml" ds:itemID="{72803A3F-D630-4C5E-8A16-6ABE34ECB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e4107-340f-49bc-b242-932585323802"/>
    <ds:schemaRef ds:uri="aaf5b1b8-7fa3-4132-a2ec-fb8a46b60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8A747-FD8F-4F17-B419-5D5FCECE8F49}">
  <ds:schemaRefs>
    <ds:schemaRef ds:uri="http://schemas.microsoft.com/office/2006/metadata/properties"/>
    <ds:schemaRef ds:uri="http://schemas.microsoft.com/office/infopath/2007/PartnerControls"/>
    <ds:schemaRef ds:uri="aaf5b1b8-7fa3-4132-a2ec-fb8a46b60ebe"/>
    <ds:schemaRef ds:uri="dd7e4107-340f-49bc-b242-932585323802"/>
  </ds:schemaRefs>
</ds:datastoreItem>
</file>

<file path=customXml/itemProps4.xml><?xml version="1.0" encoding="utf-8"?>
<ds:datastoreItem xmlns:ds="http://schemas.openxmlformats.org/officeDocument/2006/customXml" ds:itemID="{B5C86DBA-C773-4DAC-958D-07E48CB3D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Consultation paper.dotx</Template>
  <TotalTime>2353</TotalTime>
  <Pages>1</Pages>
  <Words>9245</Words>
  <Characters>52703</Characters>
  <Application>Microsoft Office Word</Application>
  <DocSecurity>4</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61825</CharactersWithSpaces>
  <SharedDoc>false</SharedDoc>
  <HyperlinkBase/>
  <HLinks>
    <vt:vector size="252" baseType="variant">
      <vt:variant>
        <vt:i4>458848</vt:i4>
      </vt:variant>
      <vt:variant>
        <vt:i4>204</vt:i4>
      </vt:variant>
      <vt:variant>
        <vt:i4>0</vt:i4>
      </vt:variant>
      <vt:variant>
        <vt:i4>5</vt:i4>
      </vt:variant>
      <vt:variant>
        <vt:lpwstr/>
      </vt:variant>
      <vt:variant>
        <vt:lpwstr>_Appendix_A:_Exclusion</vt:lpwstr>
      </vt:variant>
      <vt:variant>
        <vt:i4>2097192</vt:i4>
      </vt:variant>
      <vt:variant>
        <vt:i4>201</vt:i4>
      </vt:variant>
      <vt:variant>
        <vt:i4>0</vt:i4>
      </vt:variant>
      <vt:variant>
        <vt:i4>5</vt:i4>
      </vt:variant>
      <vt:variant>
        <vt:lpwstr>https://www.acma.gov.au/privacy-policy</vt:lpwstr>
      </vt:variant>
      <vt:variant>
        <vt:lpwstr/>
      </vt:variant>
      <vt:variant>
        <vt:i4>3473455</vt:i4>
      </vt:variant>
      <vt:variant>
        <vt:i4>198</vt:i4>
      </vt:variant>
      <vt:variant>
        <vt:i4>0</vt:i4>
      </vt:variant>
      <vt:variant>
        <vt:i4>5</vt:i4>
      </vt:variant>
      <vt:variant>
        <vt:lpwstr>https://www.acma.gov.au/publication-submissions</vt:lpwstr>
      </vt:variant>
      <vt:variant>
        <vt:lpwstr/>
      </vt:variant>
      <vt:variant>
        <vt:i4>8192011</vt:i4>
      </vt:variant>
      <vt:variant>
        <vt:i4>195</vt:i4>
      </vt:variant>
      <vt:variant>
        <vt:i4>0</vt:i4>
      </vt:variant>
      <vt:variant>
        <vt:i4>5</vt:i4>
      </vt:variant>
      <vt:variant>
        <vt:lpwstr>mailto:ESL@acma.gov.au</vt:lpwstr>
      </vt:variant>
      <vt:variant>
        <vt:lpwstr/>
      </vt:variant>
      <vt:variant>
        <vt:i4>5308427</vt:i4>
      </vt:variant>
      <vt:variant>
        <vt:i4>192</vt:i4>
      </vt:variant>
      <vt:variant>
        <vt:i4>0</vt:i4>
      </vt:variant>
      <vt:variant>
        <vt:i4>5</vt:i4>
      </vt:variant>
      <vt:variant>
        <vt:lpwstr>https://www.acma.gov.au/have-your-say</vt:lpwstr>
      </vt:variant>
      <vt:variant>
        <vt:lpwstr/>
      </vt:variant>
      <vt:variant>
        <vt:i4>8126569</vt:i4>
      </vt:variant>
      <vt:variant>
        <vt:i4>189</vt:i4>
      </vt:variant>
      <vt:variant>
        <vt:i4>0</vt:i4>
      </vt:variant>
      <vt:variant>
        <vt:i4>5</vt:i4>
      </vt:variant>
      <vt:variant>
        <vt:lpwstr>https://budget.gov.au/content/bp3/index.htm</vt:lpwstr>
      </vt:variant>
      <vt:variant>
        <vt:lpwstr/>
      </vt:variant>
      <vt:variant>
        <vt:i4>3735578</vt:i4>
      </vt:variant>
      <vt:variant>
        <vt:i4>186</vt:i4>
      </vt:variant>
      <vt:variant>
        <vt:i4>0</vt:i4>
      </vt:variant>
      <vt:variant>
        <vt:i4>5</vt:i4>
      </vt:variant>
      <vt:variant>
        <vt:lpwstr/>
      </vt:variant>
      <vt:variant>
        <vt:lpwstr>_Timing_of_population</vt:lpwstr>
      </vt:variant>
      <vt:variant>
        <vt:i4>2293874</vt:i4>
      </vt:variant>
      <vt:variant>
        <vt:i4>183</vt:i4>
      </vt:variant>
      <vt:variant>
        <vt:i4>0</vt:i4>
      </vt:variant>
      <vt:variant>
        <vt:i4>5</vt:i4>
      </vt:variant>
      <vt:variant>
        <vt:lpwstr>https://www.acma.gov.au/convert-hcis-area-description-placemark</vt:lpwstr>
      </vt:variant>
      <vt:variant>
        <vt:lpwstr/>
      </vt:variant>
      <vt:variant>
        <vt:i4>6553620</vt:i4>
      </vt:variant>
      <vt:variant>
        <vt:i4>180</vt:i4>
      </vt:variant>
      <vt:variant>
        <vt:i4>0</vt:i4>
      </vt:variant>
      <vt:variant>
        <vt:i4>5</vt:i4>
      </vt:variant>
      <vt:variant>
        <vt:lpwstr/>
      </vt:variant>
      <vt:variant>
        <vt:lpwstr>_Appendix_B:_Pricing</vt:lpwstr>
      </vt:variant>
      <vt:variant>
        <vt:i4>458848</vt:i4>
      </vt:variant>
      <vt:variant>
        <vt:i4>177</vt:i4>
      </vt:variant>
      <vt:variant>
        <vt:i4>0</vt:i4>
      </vt:variant>
      <vt:variant>
        <vt:i4>5</vt:i4>
      </vt:variant>
      <vt:variant>
        <vt:lpwstr/>
      </vt:variant>
      <vt:variant>
        <vt:lpwstr>_Appendix_A:_Exclusion</vt:lpwstr>
      </vt:variant>
      <vt:variant>
        <vt:i4>3342338</vt:i4>
      </vt:variant>
      <vt:variant>
        <vt:i4>174</vt:i4>
      </vt:variant>
      <vt:variant>
        <vt:i4>0</vt:i4>
      </vt:variant>
      <vt:variant>
        <vt:i4>5</vt:i4>
      </vt:variant>
      <vt:variant>
        <vt:lpwstr/>
      </vt:variant>
      <vt:variant>
        <vt:lpwstr>_Proposed_consultation_on</vt:lpwstr>
      </vt:variant>
      <vt:variant>
        <vt:i4>3539048</vt:i4>
      </vt:variant>
      <vt:variant>
        <vt:i4>171</vt:i4>
      </vt:variant>
      <vt:variant>
        <vt:i4>0</vt:i4>
      </vt:variant>
      <vt:variant>
        <vt:i4>5</vt:i4>
      </vt:variant>
      <vt:variant>
        <vt:lpwstr>https://www.acma.gov.au/consultations/2025-12/expiring-spectrum-licences-stage-4-updated-preliminary-views-pricing</vt:lpwstr>
      </vt:variant>
      <vt:variant>
        <vt:lpwstr/>
      </vt:variant>
      <vt:variant>
        <vt:i4>2490469</vt:i4>
      </vt:variant>
      <vt:variant>
        <vt:i4>168</vt:i4>
      </vt:variant>
      <vt:variant>
        <vt:i4>0</vt:i4>
      </vt:variant>
      <vt:variant>
        <vt:i4>5</vt:i4>
      </vt:variant>
      <vt:variant>
        <vt:lpwstr>https://www.acma.gov.au/consultations/2025-04/expiring-spectrum-licences-stage-3-preliminary-views</vt:lpwstr>
      </vt:variant>
      <vt:variant>
        <vt:lpwstr/>
      </vt:variant>
      <vt:variant>
        <vt:i4>5374071</vt:i4>
      </vt:variant>
      <vt:variant>
        <vt:i4>165</vt:i4>
      </vt:variant>
      <vt:variant>
        <vt:i4>0</vt:i4>
      </vt:variant>
      <vt:variant>
        <vt:i4>5</vt:i4>
      </vt:variant>
      <vt:variant>
        <vt:lpwstr/>
      </vt:variant>
      <vt:variant>
        <vt:lpwstr>_Converting_prices_into</vt:lpwstr>
      </vt:variant>
      <vt:variant>
        <vt:i4>2818163</vt:i4>
      </vt:variant>
      <vt:variant>
        <vt:i4>162</vt:i4>
      </vt:variant>
      <vt:variant>
        <vt:i4>0</vt:i4>
      </vt:variant>
      <vt:variant>
        <vt:i4>5</vt:i4>
      </vt:variant>
      <vt:variant>
        <vt:lpwstr>https://www.acma.gov.au/publications/2026-05/report/expiring-spectrum-licences-stage-4-preferred-views-pricing</vt:lpwstr>
      </vt:variant>
      <vt:variant>
        <vt:lpwstr/>
      </vt:variant>
      <vt:variant>
        <vt:i4>1441854</vt:i4>
      </vt:variant>
      <vt:variant>
        <vt:i4>155</vt:i4>
      </vt:variant>
      <vt:variant>
        <vt:i4>0</vt:i4>
      </vt:variant>
      <vt:variant>
        <vt:i4>5</vt:i4>
      </vt:variant>
      <vt:variant>
        <vt:lpwstr/>
      </vt:variant>
      <vt:variant>
        <vt:lpwstr>_Toc242777956</vt:lpwstr>
      </vt:variant>
      <vt:variant>
        <vt:i4>1441854</vt:i4>
      </vt:variant>
      <vt:variant>
        <vt:i4>149</vt:i4>
      </vt:variant>
      <vt:variant>
        <vt:i4>0</vt:i4>
      </vt:variant>
      <vt:variant>
        <vt:i4>5</vt:i4>
      </vt:variant>
      <vt:variant>
        <vt:lpwstr/>
      </vt:variant>
      <vt:variant>
        <vt:lpwstr>_Toc242777955</vt:lpwstr>
      </vt:variant>
      <vt:variant>
        <vt:i4>1441854</vt:i4>
      </vt:variant>
      <vt:variant>
        <vt:i4>143</vt:i4>
      </vt:variant>
      <vt:variant>
        <vt:i4>0</vt:i4>
      </vt:variant>
      <vt:variant>
        <vt:i4>5</vt:i4>
      </vt:variant>
      <vt:variant>
        <vt:lpwstr/>
      </vt:variant>
      <vt:variant>
        <vt:lpwstr>_Toc242777954</vt:lpwstr>
      </vt:variant>
      <vt:variant>
        <vt:i4>1441854</vt:i4>
      </vt:variant>
      <vt:variant>
        <vt:i4>137</vt:i4>
      </vt:variant>
      <vt:variant>
        <vt:i4>0</vt:i4>
      </vt:variant>
      <vt:variant>
        <vt:i4>5</vt:i4>
      </vt:variant>
      <vt:variant>
        <vt:lpwstr/>
      </vt:variant>
      <vt:variant>
        <vt:lpwstr>_Toc242777953</vt:lpwstr>
      </vt:variant>
      <vt:variant>
        <vt:i4>1441854</vt:i4>
      </vt:variant>
      <vt:variant>
        <vt:i4>131</vt:i4>
      </vt:variant>
      <vt:variant>
        <vt:i4>0</vt:i4>
      </vt:variant>
      <vt:variant>
        <vt:i4>5</vt:i4>
      </vt:variant>
      <vt:variant>
        <vt:lpwstr/>
      </vt:variant>
      <vt:variant>
        <vt:lpwstr>_Toc242777952</vt:lpwstr>
      </vt:variant>
      <vt:variant>
        <vt:i4>1441854</vt:i4>
      </vt:variant>
      <vt:variant>
        <vt:i4>125</vt:i4>
      </vt:variant>
      <vt:variant>
        <vt:i4>0</vt:i4>
      </vt:variant>
      <vt:variant>
        <vt:i4>5</vt:i4>
      </vt:variant>
      <vt:variant>
        <vt:lpwstr/>
      </vt:variant>
      <vt:variant>
        <vt:lpwstr>_Toc242777951</vt:lpwstr>
      </vt:variant>
      <vt:variant>
        <vt:i4>1441854</vt:i4>
      </vt:variant>
      <vt:variant>
        <vt:i4>119</vt:i4>
      </vt:variant>
      <vt:variant>
        <vt:i4>0</vt:i4>
      </vt:variant>
      <vt:variant>
        <vt:i4>5</vt:i4>
      </vt:variant>
      <vt:variant>
        <vt:lpwstr/>
      </vt:variant>
      <vt:variant>
        <vt:lpwstr>_Toc242777950</vt:lpwstr>
      </vt:variant>
      <vt:variant>
        <vt:i4>1507390</vt:i4>
      </vt:variant>
      <vt:variant>
        <vt:i4>113</vt:i4>
      </vt:variant>
      <vt:variant>
        <vt:i4>0</vt:i4>
      </vt:variant>
      <vt:variant>
        <vt:i4>5</vt:i4>
      </vt:variant>
      <vt:variant>
        <vt:lpwstr/>
      </vt:variant>
      <vt:variant>
        <vt:lpwstr>_Toc242777949</vt:lpwstr>
      </vt:variant>
      <vt:variant>
        <vt:i4>1507390</vt:i4>
      </vt:variant>
      <vt:variant>
        <vt:i4>107</vt:i4>
      </vt:variant>
      <vt:variant>
        <vt:i4>0</vt:i4>
      </vt:variant>
      <vt:variant>
        <vt:i4>5</vt:i4>
      </vt:variant>
      <vt:variant>
        <vt:lpwstr/>
      </vt:variant>
      <vt:variant>
        <vt:lpwstr>_Toc242777948</vt:lpwstr>
      </vt:variant>
      <vt:variant>
        <vt:i4>1507390</vt:i4>
      </vt:variant>
      <vt:variant>
        <vt:i4>101</vt:i4>
      </vt:variant>
      <vt:variant>
        <vt:i4>0</vt:i4>
      </vt:variant>
      <vt:variant>
        <vt:i4>5</vt:i4>
      </vt:variant>
      <vt:variant>
        <vt:lpwstr/>
      </vt:variant>
      <vt:variant>
        <vt:lpwstr>_Toc242777947</vt:lpwstr>
      </vt:variant>
      <vt:variant>
        <vt:i4>1507390</vt:i4>
      </vt:variant>
      <vt:variant>
        <vt:i4>95</vt:i4>
      </vt:variant>
      <vt:variant>
        <vt:i4>0</vt:i4>
      </vt:variant>
      <vt:variant>
        <vt:i4>5</vt:i4>
      </vt:variant>
      <vt:variant>
        <vt:lpwstr/>
      </vt:variant>
      <vt:variant>
        <vt:lpwstr>_Toc242777946</vt:lpwstr>
      </vt:variant>
      <vt:variant>
        <vt:i4>1507390</vt:i4>
      </vt:variant>
      <vt:variant>
        <vt:i4>89</vt:i4>
      </vt:variant>
      <vt:variant>
        <vt:i4>0</vt:i4>
      </vt:variant>
      <vt:variant>
        <vt:i4>5</vt:i4>
      </vt:variant>
      <vt:variant>
        <vt:lpwstr/>
      </vt:variant>
      <vt:variant>
        <vt:lpwstr>_Toc242777945</vt:lpwstr>
      </vt:variant>
      <vt:variant>
        <vt:i4>1507390</vt:i4>
      </vt:variant>
      <vt:variant>
        <vt:i4>83</vt:i4>
      </vt:variant>
      <vt:variant>
        <vt:i4>0</vt:i4>
      </vt:variant>
      <vt:variant>
        <vt:i4>5</vt:i4>
      </vt:variant>
      <vt:variant>
        <vt:lpwstr/>
      </vt:variant>
      <vt:variant>
        <vt:lpwstr>_Toc242777944</vt:lpwstr>
      </vt:variant>
      <vt:variant>
        <vt:i4>1507390</vt:i4>
      </vt:variant>
      <vt:variant>
        <vt:i4>77</vt:i4>
      </vt:variant>
      <vt:variant>
        <vt:i4>0</vt:i4>
      </vt:variant>
      <vt:variant>
        <vt:i4>5</vt:i4>
      </vt:variant>
      <vt:variant>
        <vt:lpwstr/>
      </vt:variant>
      <vt:variant>
        <vt:lpwstr>_Toc242777943</vt:lpwstr>
      </vt:variant>
      <vt:variant>
        <vt:i4>1507390</vt:i4>
      </vt:variant>
      <vt:variant>
        <vt:i4>71</vt:i4>
      </vt:variant>
      <vt:variant>
        <vt:i4>0</vt:i4>
      </vt:variant>
      <vt:variant>
        <vt:i4>5</vt:i4>
      </vt:variant>
      <vt:variant>
        <vt:lpwstr/>
      </vt:variant>
      <vt:variant>
        <vt:lpwstr>_Toc242777942</vt:lpwstr>
      </vt:variant>
      <vt:variant>
        <vt:i4>1507390</vt:i4>
      </vt:variant>
      <vt:variant>
        <vt:i4>65</vt:i4>
      </vt:variant>
      <vt:variant>
        <vt:i4>0</vt:i4>
      </vt:variant>
      <vt:variant>
        <vt:i4>5</vt:i4>
      </vt:variant>
      <vt:variant>
        <vt:lpwstr/>
      </vt:variant>
      <vt:variant>
        <vt:lpwstr>_Toc242777941</vt:lpwstr>
      </vt:variant>
      <vt:variant>
        <vt:i4>1507390</vt:i4>
      </vt:variant>
      <vt:variant>
        <vt:i4>59</vt:i4>
      </vt:variant>
      <vt:variant>
        <vt:i4>0</vt:i4>
      </vt:variant>
      <vt:variant>
        <vt:i4>5</vt:i4>
      </vt:variant>
      <vt:variant>
        <vt:lpwstr/>
      </vt:variant>
      <vt:variant>
        <vt:lpwstr>_Toc242777940</vt:lpwstr>
      </vt:variant>
      <vt:variant>
        <vt:i4>1048638</vt:i4>
      </vt:variant>
      <vt:variant>
        <vt:i4>53</vt:i4>
      </vt:variant>
      <vt:variant>
        <vt:i4>0</vt:i4>
      </vt:variant>
      <vt:variant>
        <vt:i4>5</vt:i4>
      </vt:variant>
      <vt:variant>
        <vt:lpwstr/>
      </vt:variant>
      <vt:variant>
        <vt:lpwstr>_Toc242777939</vt:lpwstr>
      </vt:variant>
      <vt:variant>
        <vt:i4>1048638</vt:i4>
      </vt:variant>
      <vt:variant>
        <vt:i4>47</vt:i4>
      </vt:variant>
      <vt:variant>
        <vt:i4>0</vt:i4>
      </vt:variant>
      <vt:variant>
        <vt:i4>5</vt:i4>
      </vt:variant>
      <vt:variant>
        <vt:lpwstr/>
      </vt:variant>
      <vt:variant>
        <vt:lpwstr>_Toc242777938</vt:lpwstr>
      </vt:variant>
      <vt:variant>
        <vt:i4>1048638</vt:i4>
      </vt:variant>
      <vt:variant>
        <vt:i4>41</vt:i4>
      </vt:variant>
      <vt:variant>
        <vt:i4>0</vt:i4>
      </vt:variant>
      <vt:variant>
        <vt:i4>5</vt:i4>
      </vt:variant>
      <vt:variant>
        <vt:lpwstr/>
      </vt:variant>
      <vt:variant>
        <vt:lpwstr>_Toc242777937</vt:lpwstr>
      </vt:variant>
      <vt:variant>
        <vt:i4>1048638</vt:i4>
      </vt:variant>
      <vt:variant>
        <vt:i4>35</vt:i4>
      </vt:variant>
      <vt:variant>
        <vt:i4>0</vt:i4>
      </vt:variant>
      <vt:variant>
        <vt:i4>5</vt:i4>
      </vt:variant>
      <vt:variant>
        <vt:lpwstr/>
      </vt:variant>
      <vt:variant>
        <vt:lpwstr>_Toc242777936</vt:lpwstr>
      </vt:variant>
      <vt:variant>
        <vt:i4>1048638</vt:i4>
      </vt:variant>
      <vt:variant>
        <vt:i4>29</vt:i4>
      </vt:variant>
      <vt:variant>
        <vt:i4>0</vt:i4>
      </vt:variant>
      <vt:variant>
        <vt:i4>5</vt:i4>
      </vt:variant>
      <vt:variant>
        <vt:lpwstr/>
      </vt:variant>
      <vt:variant>
        <vt:lpwstr>_Toc242777935</vt:lpwstr>
      </vt:variant>
      <vt:variant>
        <vt:i4>1048638</vt:i4>
      </vt:variant>
      <vt:variant>
        <vt:i4>23</vt:i4>
      </vt:variant>
      <vt:variant>
        <vt:i4>0</vt:i4>
      </vt:variant>
      <vt:variant>
        <vt:i4>5</vt:i4>
      </vt:variant>
      <vt:variant>
        <vt:lpwstr/>
      </vt:variant>
      <vt:variant>
        <vt:lpwstr>_Toc242777934</vt:lpwstr>
      </vt:variant>
      <vt:variant>
        <vt:i4>1048638</vt:i4>
      </vt:variant>
      <vt:variant>
        <vt:i4>17</vt:i4>
      </vt:variant>
      <vt:variant>
        <vt:i4>0</vt:i4>
      </vt:variant>
      <vt:variant>
        <vt:i4>5</vt:i4>
      </vt:variant>
      <vt:variant>
        <vt:lpwstr/>
      </vt:variant>
      <vt:variant>
        <vt:lpwstr>_Toc242777933</vt:lpwstr>
      </vt:variant>
      <vt:variant>
        <vt:i4>1048638</vt:i4>
      </vt:variant>
      <vt:variant>
        <vt:i4>11</vt:i4>
      </vt:variant>
      <vt:variant>
        <vt:i4>0</vt:i4>
      </vt:variant>
      <vt:variant>
        <vt:i4>5</vt:i4>
      </vt:variant>
      <vt:variant>
        <vt:lpwstr/>
      </vt:variant>
      <vt:variant>
        <vt:lpwstr>_Toc242777932</vt:lpwstr>
      </vt:variant>
      <vt:variant>
        <vt:i4>1048638</vt:i4>
      </vt:variant>
      <vt:variant>
        <vt:i4>5</vt:i4>
      </vt:variant>
      <vt:variant>
        <vt:i4>0</vt:i4>
      </vt:variant>
      <vt:variant>
        <vt:i4>5</vt:i4>
      </vt:variant>
      <vt:variant>
        <vt:lpwstr/>
      </vt:variant>
      <vt:variant>
        <vt:lpwstr>_Toc242777931</vt:lpwstr>
      </vt: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Bell2</dc:creator>
  <cp:keywords/>
  <dc:description/>
  <cp:lastModifiedBy>Laura Bell</cp:lastModifiedBy>
  <cp:revision>224</cp:revision>
  <dcterms:created xsi:type="dcterms:W3CDTF">2026-10-01T18:46:00Z</dcterms:created>
  <dcterms:modified xsi:type="dcterms:W3CDTF">2026-10-13T00:44:00Z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HeaderShapeIds">
    <vt:lpwstr>5d7b537e,6324bbc7,61d00124,47455bac,2a3cc1f2,769fff61,407782b7,ecfd66d,7af3bfff</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2f3f189d,172486bd,53fba56f,5f303c3,6100b246,5103c5e5,7898d43d,20b704d6,4c399877,2015fd4b</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aeb57847-2996-43f6-9ac9-aca8e5487221_Enabled">
    <vt:lpwstr>true</vt:lpwstr>
  </property>
  <property fmtid="{D5CDD505-2E9C-101B-9397-08002B2CF9AE}" pid="10" name="MSIP_Label_aeb57847-2996-43f6-9ac9-aca8e5487221_SetDate">
    <vt:lpwstr>2026-02-27T03:00:35Z</vt:lpwstr>
  </property>
  <property fmtid="{D5CDD505-2E9C-101B-9397-08002B2CF9AE}" pid="11" name="MSIP_Label_aeb57847-2996-43f6-9ac9-aca8e5487221_Method">
    <vt:lpwstr>Privileged</vt:lpwstr>
  </property>
  <property fmtid="{D5CDD505-2E9C-101B-9397-08002B2CF9AE}" pid="12" name="MSIP_Label_aeb57847-2996-43f6-9ac9-aca8e5487221_Name">
    <vt:lpwstr>90fb82dc-5319-427a-bd3a-0b26e5d5e425</vt:lpwstr>
  </property>
  <property fmtid="{D5CDD505-2E9C-101B-9397-08002B2CF9AE}" pid="13" name="MSIP_Label_aeb57847-2996-43f6-9ac9-aca8e5487221_SiteId">
    <vt:lpwstr>0dac7f39-d20c-4e71-8af3-71ee7e268a2b</vt:lpwstr>
  </property>
  <property fmtid="{D5CDD505-2E9C-101B-9397-08002B2CF9AE}" pid="14" name="MSIP_Label_aeb57847-2996-43f6-9ac9-aca8e5487221_ActionId">
    <vt:lpwstr>a5f72615-4c5b-4081-8b83-a332ba0b207b</vt:lpwstr>
  </property>
  <property fmtid="{D5CDD505-2E9C-101B-9397-08002B2CF9AE}" pid="15" name="MSIP_Label_aeb57847-2996-43f6-9ac9-aca8e5487221_ContentBits">
    <vt:lpwstr>3</vt:lpwstr>
  </property>
  <property fmtid="{D5CDD505-2E9C-101B-9397-08002B2CF9AE}" pid="16" name="MSIP_Label_aeb57847-2996-43f6-9ac9-aca8e5487221_Tag">
    <vt:lpwstr>10, 0, 1, 1</vt:lpwstr>
  </property>
  <property fmtid="{D5CDD505-2E9C-101B-9397-08002B2CF9AE}" pid="17" name="ContentTypeId">
    <vt:lpwstr>0x0101009312A608CC66EF46A94C5406789A67A5</vt:lpwstr>
  </property>
  <property fmtid="{D5CDD505-2E9C-101B-9397-08002B2CF9AE}" pid="18" name="docLang">
    <vt:lpwstr>en</vt:lpwstr>
  </property>
</Properties>
</file>