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CDF9" w14:textId="0407B821" w:rsidR="004A13A7" w:rsidRDefault="00B470E2" w:rsidP="004A13A7">
      <w:pPr>
        <w:pStyle w:val="ACMAReportSubTitle"/>
      </w:pPr>
      <w:bookmarkStart w:id="0" w:name="_Hlk210892979"/>
      <w:bookmarkStart w:id="1" w:name="_Toc6298709"/>
      <w:r w:rsidRPr="00B470E2">
        <w:rPr>
          <w:b/>
          <w:color w:val="auto"/>
        </w:rPr>
        <w:t xml:space="preserve">Frequency coordination and licensing procedures for </w:t>
      </w:r>
      <w:r w:rsidR="00B00BCB" w:rsidRPr="00B00BCB">
        <w:rPr>
          <w:b/>
          <w:color w:val="auto"/>
        </w:rPr>
        <w:t>Railway Mobile Radio</w:t>
      </w:r>
      <w:r w:rsidR="00B00BCB" w:rsidRPr="00B00BCB" w:rsidDel="00B00BCB">
        <w:rPr>
          <w:b/>
          <w:color w:val="auto"/>
        </w:rPr>
        <w:t xml:space="preserve"> </w:t>
      </w:r>
      <w:r w:rsidRPr="00B470E2">
        <w:rPr>
          <w:b/>
          <w:color w:val="auto"/>
        </w:rPr>
        <w:t>(</w:t>
      </w:r>
      <w:r w:rsidR="00B00BCB">
        <w:rPr>
          <w:b/>
          <w:color w:val="auto"/>
        </w:rPr>
        <w:t>RMR</w:t>
      </w:r>
      <w:r w:rsidRPr="00B470E2">
        <w:rPr>
          <w:b/>
          <w:color w:val="auto"/>
        </w:rPr>
        <w:t>) in the 1900−1910 MHz band</w:t>
      </w:r>
    </w:p>
    <w:bookmarkEnd w:id="0"/>
    <w:p w14:paraId="2EB3AB17" w14:textId="77777777" w:rsidR="004A13A7" w:rsidRPr="004D735E" w:rsidRDefault="004A13A7" w:rsidP="004A13A7">
      <w:pPr>
        <w:pStyle w:val="ACMAInstructions"/>
        <w:rPr>
          <w:rFonts w:ascii="Arial Bold" w:hAnsi="Arial Bold"/>
          <w:vanish w:val="0"/>
        </w:rPr>
      </w:pPr>
      <w:r w:rsidRPr="004D735E">
        <w:rPr>
          <w:rFonts w:ascii="Arial Bold" w:hAnsi="Arial Bold"/>
          <w:vanish w:val="0"/>
        </w:rPr>
        <w:t>Radiocommunications Assignment and Licensing Instruction</w:t>
      </w:r>
    </w:p>
    <w:p w14:paraId="3DB75ED5" w14:textId="4D31A1D5" w:rsidR="004A13A7" w:rsidRPr="00C87159" w:rsidRDefault="004A13A7" w:rsidP="004A13A7">
      <w:pPr>
        <w:pStyle w:val="ACMAReportDate"/>
        <w:rPr>
          <w:b/>
        </w:rPr>
      </w:pPr>
      <w:r w:rsidRPr="00C87159">
        <w:rPr>
          <w:b/>
        </w:rPr>
        <w:t xml:space="preserve">rali: MS </w:t>
      </w:r>
      <w:r w:rsidR="00F52ED0">
        <w:rPr>
          <w:b/>
        </w:rPr>
        <w:t>51</w:t>
      </w:r>
    </w:p>
    <w:p w14:paraId="3EBDE42D" w14:textId="0E085551" w:rsidR="004A13A7" w:rsidRDefault="004A13A7" w:rsidP="008F7E36">
      <w:pPr>
        <w:pStyle w:val="ACMAReportDate"/>
        <w:widowControl w:val="0"/>
        <w:rPr>
          <w:b/>
        </w:rPr>
      </w:pPr>
      <w:r w:rsidRPr="00C87159">
        <w:rPr>
          <w:b/>
        </w:rPr>
        <w:t xml:space="preserve">date of effect: </w:t>
      </w:r>
      <w:r w:rsidR="0001301F">
        <w:rPr>
          <w:b/>
        </w:rPr>
        <w:t>2 July 2026</w:t>
      </w:r>
    </w:p>
    <w:p w14:paraId="15E7612D" w14:textId="77777777" w:rsidR="002D1060" w:rsidRPr="00C87159" w:rsidRDefault="002D1060" w:rsidP="008F7E36">
      <w:pPr>
        <w:pStyle w:val="ACMAReportDate"/>
        <w:widowControl w:val="0"/>
        <w:rPr>
          <w:b/>
        </w:rPr>
      </w:pPr>
    </w:p>
    <w:p w14:paraId="6E6F46A4" w14:textId="77DD4E7A" w:rsidR="00822B3D" w:rsidRDefault="00822B3D" w:rsidP="002D1060">
      <w:pPr>
        <w:pStyle w:val="ACMABulletLevel1"/>
        <w:numPr>
          <w:ilvl w:val="0"/>
          <w:numId w:val="0"/>
        </w:numPr>
        <w:rPr>
          <w:szCs w:val="44"/>
        </w:rPr>
        <w:sectPr w:rsidR="00822B3D" w:rsidSect="00A07457">
          <w:footerReference w:type="even" r:id="rId8"/>
          <w:footerReference w:type="default" r:id="rId9"/>
          <w:headerReference w:type="first" r:id="rId10"/>
          <w:type w:val="oddPage"/>
          <w:pgSz w:w="11906" w:h="16838"/>
          <w:pgMar w:top="3251" w:right="1440" w:bottom="1440" w:left="1440" w:header="708" w:footer="708" w:gutter="0"/>
          <w:pgNumType w:fmt="lowerRoman" w:start="1"/>
          <w:cols w:space="708"/>
          <w:titlePg/>
          <w:docGrid w:linePitch="360"/>
        </w:sectPr>
      </w:pPr>
    </w:p>
    <w:p w14:paraId="3DF5F232" w14:textId="77777777" w:rsidR="004A13A7" w:rsidRPr="00420CAF" w:rsidRDefault="004A13A7" w:rsidP="00420CAF">
      <w:pPr>
        <w:rPr>
          <w:sz w:val="32"/>
        </w:rPr>
      </w:pPr>
      <w:r w:rsidRPr="00420CAF">
        <w:rPr>
          <w:sz w:val="32"/>
          <w:szCs w:val="32"/>
        </w:rPr>
        <w:lastRenderedPageBreak/>
        <w:t>Amendment history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6528"/>
      </w:tblGrid>
      <w:tr w:rsidR="004A13A7" w:rsidRPr="002E390A" w14:paraId="557CC438" w14:textId="77777777" w:rsidTr="007A32AF">
        <w:trPr>
          <w:cantSplit/>
          <w:tblHeader/>
        </w:trPr>
        <w:tc>
          <w:tcPr>
            <w:tcW w:w="2085" w:type="dxa"/>
            <w:shd w:val="clear" w:color="auto" w:fill="D9D9D9"/>
          </w:tcPr>
          <w:p w14:paraId="1F59424E" w14:textId="77777777" w:rsidR="004A13A7" w:rsidRPr="00AF06C8" w:rsidRDefault="004A13A7" w:rsidP="007A32AF">
            <w:pPr>
              <w:pStyle w:val="TableHeading"/>
              <w:spacing w:line="240" w:lineRule="auto"/>
              <w:rPr>
                <w:rFonts w:eastAsiaTheme="minorHAnsi"/>
                <w:szCs w:val="22"/>
              </w:rPr>
            </w:pPr>
            <w:r w:rsidRPr="00AF06C8">
              <w:rPr>
                <w:rFonts w:eastAsiaTheme="minorHAnsi"/>
                <w:szCs w:val="22"/>
              </w:rPr>
              <w:t>Date</w:t>
            </w:r>
          </w:p>
        </w:tc>
        <w:tc>
          <w:tcPr>
            <w:tcW w:w="6528" w:type="dxa"/>
            <w:shd w:val="clear" w:color="auto" w:fill="D9D9D9"/>
          </w:tcPr>
          <w:p w14:paraId="3E517185" w14:textId="77777777" w:rsidR="004A13A7" w:rsidRPr="00AF06C8" w:rsidRDefault="004A13A7" w:rsidP="007A32AF">
            <w:pPr>
              <w:pStyle w:val="TableHeading"/>
              <w:spacing w:line="240" w:lineRule="auto"/>
              <w:rPr>
                <w:rFonts w:eastAsiaTheme="minorHAnsi"/>
                <w:szCs w:val="22"/>
              </w:rPr>
            </w:pPr>
            <w:r w:rsidRPr="00AF06C8">
              <w:rPr>
                <w:rFonts w:eastAsiaTheme="minorHAnsi"/>
                <w:szCs w:val="22"/>
              </w:rPr>
              <w:t>Comments</w:t>
            </w:r>
          </w:p>
        </w:tc>
      </w:tr>
      <w:tr w:rsidR="004A13A7" w:rsidRPr="002E390A" w14:paraId="2EBDD78F" w14:textId="77777777" w:rsidTr="007A32AF">
        <w:tc>
          <w:tcPr>
            <w:tcW w:w="2085" w:type="dxa"/>
          </w:tcPr>
          <w:p w14:paraId="2E808E6F" w14:textId="3BAC0EEA" w:rsidR="004A13A7" w:rsidRPr="00AF06C8" w:rsidRDefault="00030F62" w:rsidP="007A32AF">
            <w:pPr>
              <w:pStyle w:val="TableBody"/>
              <w:rPr>
                <w:rFonts w:eastAsiaTheme="minorHAnsi"/>
                <w:szCs w:val="22"/>
              </w:rPr>
            </w:pPr>
            <w:r w:rsidRPr="00EB08D7">
              <w:rPr>
                <w:rFonts w:eastAsiaTheme="minorHAnsi"/>
                <w:szCs w:val="22"/>
              </w:rPr>
              <w:t>02</w:t>
            </w:r>
            <w:r w:rsidR="00B470E2" w:rsidRPr="00030F62">
              <w:rPr>
                <w:rFonts w:eastAsiaTheme="minorHAnsi"/>
                <w:szCs w:val="22"/>
              </w:rPr>
              <w:t xml:space="preserve"> </w:t>
            </w:r>
            <w:r w:rsidR="00FA1C92" w:rsidRPr="00030F62">
              <w:rPr>
                <w:rFonts w:eastAsiaTheme="minorHAnsi"/>
                <w:szCs w:val="22"/>
              </w:rPr>
              <w:t>Ju</w:t>
            </w:r>
            <w:r w:rsidR="00444C8F">
              <w:rPr>
                <w:rFonts w:eastAsiaTheme="minorHAnsi"/>
                <w:szCs w:val="22"/>
              </w:rPr>
              <w:t>ly</w:t>
            </w:r>
            <w:r w:rsidR="00F52ED0">
              <w:rPr>
                <w:rFonts w:eastAsiaTheme="minorHAnsi"/>
                <w:szCs w:val="22"/>
              </w:rPr>
              <w:t xml:space="preserve"> </w:t>
            </w:r>
            <w:r w:rsidR="00B470E2">
              <w:rPr>
                <w:rFonts w:eastAsiaTheme="minorHAnsi"/>
                <w:szCs w:val="22"/>
              </w:rPr>
              <w:t>202</w:t>
            </w:r>
            <w:r w:rsidR="00FA1C92">
              <w:rPr>
                <w:rFonts w:eastAsiaTheme="minorHAnsi"/>
                <w:szCs w:val="22"/>
              </w:rPr>
              <w:t>6</w:t>
            </w:r>
          </w:p>
        </w:tc>
        <w:tc>
          <w:tcPr>
            <w:tcW w:w="6528" w:type="dxa"/>
          </w:tcPr>
          <w:p w14:paraId="14E4F5FE" w14:textId="6E7AB4E3" w:rsidR="004A13A7" w:rsidRPr="00AF06C8" w:rsidRDefault="00B470E2" w:rsidP="007A32AF">
            <w:pPr>
              <w:pStyle w:val="TableBody"/>
              <w:rPr>
                <w:rFonts w:eastAsiaTheme="minorHAnsi"/>
                <w:szCs w:val="22"/>
              </w:rPr>
            </w:pPr>
            <w:r w:rsidRPr="00B73065">
              <w:rPr>
                <w:rFonts w:eastAsiaTheme="minorHAnsi"/>
                <w:szCs w:val="22"/>
              </w:rPr>
              <w:t>Initial release</w:t>
            </w:r>
            <w:r>
              <w:rPr>
                <w:rFonts w:eastAsiaTheme="minorHAnsi"/>
                <w:szCs w:val="22"/>
              </w:rPr>
              <w:t>.</w:t>
            </w:r>
          </w:p>
        </w:tc>
      </w:tr>
      <w:tr w:rsidR="004A13A7" w:rsidRPr="002E390A" w14:paraId="67AAB63E" w14:textId="77777777" w:rsidTr="007A32AF">
        <w:tc>
          <w:tcPr>
            <w:tcW w:w="2085" w:type="dxa"/>
          </w:tcPr>
          <w:p w14:paraId="44034AF6" w14:textId="77777777" w:rsidR="004A13A7" w:rsidRPr="00AF06C8" w:rsidRDefault="004A13A7" w:rsidP="007A32AF">
            <w:pPr>
              <w:pStyle w:val="TableBody"/>
              <w:rPr>
                <w:rFonts w:eastAsiaTheme="minorHAnsi"/>
                <w:szCs w:val="22"/>
              </w:rPr>
            </w:pPr>
          </w:p>
        </w:tc>
        <w:tc>
          <w:tcPr>
            <w:tcW w:w="6528" w:type="dxa"/>
          </w:tcPr>
          <w:p w14:paraId="4D5F9A2E" w14:textId="77777777" w:rsidR="004A13A7" w:rsidRPr="00AF06C8" w:rsidRDefault="004A13A7" w:rsidP="007A32AF">
            <w:pPr>
              <w:pStyle w:val="TableBody"/>
              <w:rPr>
                <w:rFonts w:eastAsiaTheme="minorHAnsi"/>
                <w:szCs w:val="22"/>
              </w:rPr>
            </w:pPr>
          </w:p>
        </w:tc>
      </w:tr>
      <w:tr w:rsidR="004A13A7" w:rsidRPr="002E390A" w14:paraId="514FA5C3" w14:textId="77777777" w:rsidTr="007A32AF">
        <w:tc>
          <w:tcPr>
            <w:tcW w:w="2085" w:type="dxa"/>
          </w:tcPr>
          <w:p w14:paraId="1B1E5911" w14:textId="77777777" w:rsidR="004A13A7" w:rsidRPr="00AF06C8" w:rsidRDefault="004A13A7" w:rsidP="007A32AF">
            <w:pPr>
              <w:pStyle w:val="TableBody"/>
              <w:rPr>
                <w:rFonts w:eastAsiaTheme="minorHAnsi"/>
                <w:szCs w:val="22"/>
              </w:rPr>
            </w:pPr>
          </w:p>
        </w:tc>
        <w:tc>
          <w:tcPr>
            <w:tcW w:w="6528" w:type="dxa"/>
          </w:tcPr>
          <w:p w14:paraId="764BB445" w14:textId="77777777" w:rsidR="004A13A7" w:rsidRPr="00AF06C8" w:rsidRDefault="004A13A7" w:rsidP="007A32AF">
            <w:pPr>
              <w:pStyle w:val="TableBody"/>
              <w:rPr>
                <w:rFonts w:eastAsiaTheme="minorHAnsi"/>
                <w:szCs w:val="22"/>
              </w:rPr>
            </w:pPr>
          </w:p>
        </w:tc>
      </w:tr>
    </w:tbl>
    <w:p w14:paraId="77971CDA" w14:textId="77777777" w:rsidR="004A13A7" w:rsidRDefault="004A13A7" w:rsidP="004A13A7">
      <w:pPr>
        <w:pStyle w:val="ACMASpaceaftertable"/>
      </w:pPr>
    </w:p>
    <w:p w14:paraId="7B3AD06D" w14:textId="37A6E3F6" w:rsidR="004A13A7" w:rsidRPr="00516C9D" w:rsidRDefault="004A13A7" w:rsidP="004A13A7">
      <w:pPr>
        <w:rPr>
          <w:color w:val="000000" w:themeColor="text1"/>
          <w:szCs w:val="22"/>
        </w:rPr>
      </w:pPr>
      <w:r w:rsidRPr="00516C9D">
        <w:rPr>
          <w:color w:val="000000" w:themeColor="text1"/>
          <w:szCs w:val="22"/>
        </w:rPr>
        <w:t>Suggestions for improvements to Radiocommunications Assignment and Licensing Instr</w:t>
      </w:r>
      <w:r w:rsidRPr="00F52ED0">
        <w:rPr>
          <w:color w:val="000000" w:themeColor="text1"/>
          <w:szCs w:val="22"/>
        </w:rPr>
        <w:t xml:space="preserve">uction MS </w:t>
      </w:r>
      <w:r w:rsidR="00F52ED0" w:rsidRPr="00F52ED0">
        <w:rPr>
          <w:color w:val="000000" w:themeColor="text1"/>
          <w:szCs w:val="22"/>
        </w:rPr>
        <w:t xml:space="preserve">51 </w:t>
      </w:r>
      <w:r w:rsidRPr="00F52ED0">
        <w:rPr>
          <w:color w:val="000000" w:themeColor="text1"/>
          <w:szCs w:val="22"/>
        </w:rPr>
        <w:t>may</w:t>
      </w:r>
      <w:r w:rsidRPr="00516C9D">
        <w:rPr>
          <w:color w:val="000000" w:themeColor="text1"/>
          <w:szCs w:val="22"/>
        </w:rPr>
        <w:t xml:space="preserve"> be addressed to:</w:t>
      </w:r>
    </w:p>
    <w:p w14:paraId="1A5AE1E8" w14:textId="77777777" w:rsidR="004A13A7" w:rsidRPr="00516C9D" w:rsidRDefault="004A13A7" w:rsidP="004A13A7">
      <w:pPr>
        <w:rPr>
          <w:color w:val="000000" w:themeColor="text1"/>
          <w:szCs w:val="22"/>
        </w:rPr>
      </w:pPr>
      <w:r w:rsidRPr="00516C9D">
        <w:rPr>
          <w:color w:val="000000" w:themeColor="text1"/>
          <w:szCs w:val="22"/>
        </w:rPr>
        <w:t xml:space="preserve">The Manager, Spectrum </w:t>
      </w:r>
      <w:r w:rsidR="00746A68" w:rsidRPr="00516C9D">
        <w:rPr>
          <w:color w:val="000000" w:themeColor="text1"/>
          <w:szCs w:val="22"/>
        </w:rPr>
        <w:t>Planning Section</w:t>
      </w:r>
      <w:r w:rsidRPr="00516C9D">
        <w:rPr>
          <w:color w:val="000000" w:themeColor="text1"/>
          <w:szCs w:val="22"/>
        </w:rPr>
        <w:br/>
        <w:t>Australian Communications and Media Authority</w:t>
      </w:r>
      <w:r w:rsidRPr="00516C9D">
        <w:rPr>
          <w:color w:val="000000" w:themeColor="text1"/>
          <w:szCs w:val="22"/>
        </w:rPr>
        <w:br/>
        <w:t xml:space="preserve">PO Box 78 </w:t>
      </w:r>
      <w:r w:rsidRPr="00516C9D">
        <w:rPr>
          <w:color w:val="000000" w:themeColor="text1"/>
          <w:szCs w:val="22"/>
        </w:rPr>
        <w:br/>
        <w:t>Belconnen ACT 2616</w:t>
      </w:r>
    </w:p>
    <w:p w14:paraId="2B9941F2" w14:textId="77777777" w:rsidR="004A13A7" w:rsidRPr="00516C9D" w:rsidRDefault="004A13A7" w:rsidP="004A13A7">
      <w:pPr>
        <w:rPr>
          <w:rFonts w:cstheme="minorHAnsi"/>
          <w:color w:val="000000" w:themeColor="text1"/>
          <w:szCs w:val="22"/>
        </w:rPr>
      </w:pPr>
      <w:r w:rsidRPr="00516C9D">
        <w:rPr>
          <w:rFonts w:cstheme="minorHAnsi"/>
          <w:color w:val="000000" w:themeColor="text1"/>
          <w:szCs w:val="22"/>
        </w:rPr>
        <w:t xml:space="preserve">or by email to: </w:t>
      </w:r>
      <w:hyperlink r:id="rId11" w:history="1">
        <w:r w:rsidRPr="00516C9D">
          <w:rPr>
            <w:rStyle w:val="Hyperlink"/>
            <w:rFonts w:cstheme="minorHAnsi"/>
            <w:color w:val="000000" w:themeColor="text1"/>
            <w:szCs w:val="22"/>
          </w:rPr>
          <w:t>freqplan@acma.gov.au</w:t>
        </w:r>
      </w:hyperlink>
      <w:r w:rsidRPr="00516C9D">
        <w:rPr>
          <w:rFonts w:cstheme="minorHAnsi"/>
          <w:color w:val="000000" w:themeColor="text1"/>
          <w:szCs w:val="22"/>
        </w:rPr>
        <w:t>.</w:t>
      </w:r>
    </w:p>
    <w:p w14:paraId="3183B163" w14:textId="77777777" w:rsidR="00B95DA7" w:rsidRPr="00516C9D" w:rsidRDefault="004A13A7" w:rsidP="004A13A7">
      <w:pPr>
        <w:rPr>
          <w:color w:val="000000" w:themeColor="text1"/>
          <w:szCs w:val="22"/>
        </w:rPr>
      </w:pPr>
      <w:r w:rsidRPr="00516C9D">
        <w:rPr>
          <w:color w:val="000000" w:themeColor="text1"/>
          <w:szCs w:val="22"/>
        </w:rPr>
        <w:t>Please notify the ACMA of any inaccuracy or ambiguity found in this RALI, so that it can be investigated and appropriate action taken.</w:t>
      </w:r>
    </w:p>
    <w:p w14:paraId="2438FFF4" w14:textId="77777777" w:rsidR="00822B3D" w:rsidRDefault="00822B3D" w:rsidP="004A13A7">
      <w:pPr>
        <w:rPr>
          <w:b/>
          <w:sz w:val="52"/>
          <w:szCs w:val="52"/>
        </w:rPr>
        <w:sectPr w:rsidR="00822B3D" w:rsidSect="00822B3D">
          <w:footerReference w:type="even" r:id="rId12"/>
          <w:type w:val="evenPage"/>
          <w:pgSz w:w="11906" w:h="16838"/>
          <w:pgMar w:top="1440" w:right="1440" w:bottom="1440" w:left="1440" w:header="708" w:footer="708" w:gutter="0"/>
          <w:pgNumType w:fmt="lowerRoman" w:start="2"/>
          <w:cols w:space="708"/>
          <w:docGrid w:linePitch="360"/>
        </w:sectPr>
      </w:pPr>
    </w:p>
    <w:sdt>
      <w:sdtPr>
        <w:rPr>
          <w:b w:val="0"/>
          <w:color w:val="auto"/>
          <w:spacing w:val="0"/>
          <w:sz w:val="24"/>
        </w:rPr>
        <w:id w:val="2122026567"/>
        <w:docPartObj>
          <w:docPartGallery w:val="Table of Contents"/>
          <w:docPartUnique/>
        </w:docPartObj>
      </w:sdtPr>
      <w:sdtEndPr>
        <w:rPr>
          <w:bCs/>
          <w:noProof/>
          <w:sz w:val="22"/>
        </w:rPr>
      </w:sdtEndPr>
      <w:sdtContent>
        <w:p w14:paraId="39BFF714" w14:textId="77777777" w:rsidR="00097D72" w:rsidRDefault="00097D72">
          <w:pPr>
            <w:pStyle w:val="TOCHeading"/>
          </w:pPr>
          <w:r>
            <w:t>Contents</w:t>
          </w:r>
        </w:p>
        <w:p w14:paraId="7456446D" w14:textId="270708C1" w:rsidR="00EB08D7" w:rsidRDefault="00097D72">
          <w:pPr>
            <w:pStyle w:val="TOC1"/>
            <w:tabs>
              <w:tab w:val="left" w:pos="885"/>
            </w:tabs>
            <w:rPr>
              <w:rFonts w:asciiTheme="minorHAnsi" w:eastAsiaTheme="minorEastAsia" w:hAnsiTheme="minorHAnsi" w:cstheme="minorBidi"/>
              <w:b w:val="0"/>
              <w:spacing w:val="0"/>
              <w:kern w:val="2"/>
              <w:sz w:val="24"/>
              <w14:ligatures w14:val="standardContextual"/>
            </w:rPr>
          </w:pPr>
          <w:r>
            <w:rPr>
              <w:b w:val="0"/>
              <w:szCs w:val="22"/>
            </w:rPr>
            <w:fldChar w:fldCharType="begin"/>
          </w:r>
          <w:r>
            <w:instrText xml:space="preserve"> TOC \o "1-3" \h \z \u </w:instrText>
          </w:r>
          <w:r>
            <w:rPr>
              <w:b w:val="0"/>
              <w:szCs w:val="22"/>
            </w:rPr>
            <w:fldChar w:fldCharType="separate"/>
          </w:r>
          <w:hyperlink w:anchor="_Toc233192886" w:history="1">
            <w:r w:rsidR="00EB08D7" w:rsidRPr="00975F56">
              <w:rPr>
                <w:rStyle w:val="Hyperlink"/>
                <w14:scene3d>
                  <w14:camera w14:prst="orthographicFront"/>
                  <w14:lightRig w14:rig="threePt" w14:dir="t">
                    <w14:rot w14:lat="0" w14:lon="0" w14:rev="0"/>
                  </w14:lightRig>
                </w14:scene3d>
              </w:rPr>
              <w:t>1</w:t>
            </w:r>
            <w:r w:rsidR="00EB08D7">
              <w:rPr>
                <w:rFonts w:asciiTheme="minorHAnsi" w:eastAsiaTheme="minorEastAsia" w:hAnsiTheme="minorHAnsi" w:cstheme="minorBidi"/>
                <w:b w:val="0"/>
                <w:spacing w:val="0"/>
                <w:kern w:val="2"/>
                <w:sz w:val="24"/>
                <w14:ligatures w14:val="standardContextual"/>
              </w:rPr>
              <w:tab/>
            </w:r>
            <w:r w:rsidR="00EB08D7" w:rsidRPr="00975F56">
              <w:rPr>
                <w:rStyle w:val="Hyperlink"/>
              </w:rPr>
              <w:t>Introduction</w:t>
            </w:r>
            <w:r w:rsidR="00EB08D7">
              <w:rPr>
                <w:webHidden/>
              </w:rPr>
              <w:tab/>
            </w:r>
            <w:r w:rsidR="00EB08D7">
              <w:rPr>
                <w:webHidden/>
              </w:rPr>
              <w:fldChar w:fldCharType="begin"/>
            </w:r>
            <w:r w:rsidR="00EB08D7">
              <w:rPr>
                <w:webHidden/>
              </w:rPr>
              <w:instrText xml:space="preserve"> PAGEREF _Toc233192886 \h </w:instrText>
            </w:r>
            <w:r w:rsidR="00EB08D7">
              <w:rPr>
                <w:webHidden/>
              </w:rPr>
            </w:r>
            <w:r w:rsidR="00EB08D7">
              <w:rPr>
                <w:webHidden/>
              </w:rPr>
              <w:fldChar w:fldCharType="separate"/>
            </w:r>
            <w:r w:rsidR="00EB08D7">
              <w:rPr>
                <w:webHidden/>
              </w:rPr>
              <w:t>1</w:t>
            </w:r>
            <w:r w:rsidR="00EB08D7">
              <w:rPr>
                <w:webHidden/>
              </w:rPr>
              <w:fldChar w:fldCharType="end"/>
            </w:r>
          </w:hyperlink>
        </w:p>
        <w:p w14:paraId="2C8C0C33" w14:textId="75187437"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87" w:history="1">
            <w:r w:rsidRPr="00975F56">
              <w:rPr>
                <w:rStyle w:val="Hyperlink"/>
              </w:rPr>
              <w:t>1.1</w:t>
            </w:r>
            <w:r>
              <w:rPr>
                <w:rFonts w:asciiTheme="minorHAnsi" w:eastAsiaTheme="minorEastAsia" w:hAnsiTheme="minorHAnsi" w:cstheme="minorBidi"/>
                <w:spacing w:val="0"/>
                <w:kern w:val="2"/>
                <w:sz w:val="24"/>
                <w:szCs w:val="24"/>
                <w14:ligatures w14:val="standardContextual"/>
              </w:rPr>
              <w:tab/>
            </w:r>
            <w:r w:rsidRPr="00975F56">
              <w:rPr>
                <w:rStyle w:val="Hyperlink"/>
              </w:rPr>
              <w:t>Purpose</w:t>
            </w:r>
            <w:r>
              <w:rPr>
                <w:webHidden/>
              </w:rPr>
              <w:tab/>
            </w:r>
            <w:r>
              <w:rPr>
                <w:webHidden/>
              </w:rPr>
              <w:fldChar w:fldCharType="begin"/>
            </w:r>
            <w:r>
              <w:rPr>
                <w:webHidden/>
              </w:rPr>
              <w:instrText xml:space="preserve"> PAGEREF _Toc233192887 \h </w:instrText>
            </w:r>
            <w:r>
              <w:rPr>
                <w:webHidden/>
              </w:rPr>
            </w:r>
            <w:r>
              <w:rPr>
                <w:webHidden/>
              </w:rPr>
              <w:fldChar w:fldCharType="separate"/>
            </w:r>
            <w:r>
              <w:rPr>
                <w:webHidden/>
              </w:rPr>
              <w:t>1</w:t>
            </w:r>
            <w:r>
              <w:rPr>
                <w:webHidden/>
              </w:rPr>
              <w:fldChar w:fldCharType="end"/>
            </w:r>
          </w:hyperlink>
        </w:p>
        <w:p w14:paraId="13BCCB16" w14:textId="1E8C683A"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88" w:history="1">
            <w:r w:rsidRPr="00975F56">
              <w:rPr>
                <w:rStyle w:val="Hyperlink"/>
              </w:rPr>
              <w:t>1.2</w:t>
            </w:r>
            <w:r>
              <w:rPr>
                <w:rFonts w:asciiTheme="minorHAnsi" w:eastAsiaTheme="minorEastAsia" w:hAnsiTheme="minorHAnsi" w:cstheme="minorBidi"/>
                <w:spacing w:val="0"/>
                <w:kern w:val="2"/>
                <w:sz w:val="24"/>
                <w:szCs w:val="24"/>
                <w14:ligatures w14:val="standardContextual"/>
              </w:rPr>
              <w:tab/>
            </w:r>
            <w:r w:rsidRPr="00975F56">
              <w:rPr>
                <w:rStyle w:val="Hyperlink"/>
              </w:rPr>
              <w:t>Scope</w:t>
            </w:r>
            <w:r>
              <w:rPr>
                <w:webHidden/>
              </w:rPr>
              <w:tab/>
            </w:r>
            <w:r>
              <w:rPr>
                <w:webHidden/>
              </w:rPr>
              <w:fldChar w:fldCharType="begin"/>
            </w:r>
            <w:r>
              <w:rPr>
                <w:webHidden/>
              </w:rPr>
              <w:instrText xml:space="preserve"> PAGEREF _Toc233192888 \h </w:instrText>
            </w:r>
            <w:r>
              <w:rPr>
                <w:webHidden/>
              </w:rPr>
            </w:r>
            <w:r>
              <w:rPr>
                <w:webHidden/>
              </w:rPr>
              <w:fldChar w:fldCharType="separate"/>
            </w:r>
            <w:r>
              <w:rPr>
                <w:webHidden/>
              </w:rPr>
              <w:t>1</w:t>
            </w:r>
            <w:r>
              <w:rPr>
                <w:webHidden/>
              </w:rPr>
              <w:fldChar w:fldCharType="end"/>
            </w:r>
          </w:hyperlink>
        </w:p>
        <w:p w14:paraId="4CC7B434" w14:textId="5CF29AF3"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889" w:history="1">
            <w:r w:rsidRPr="00975F56">
              <w:rPr>
                <w:rStyle w:val="Hyperlink"/>
              </w:rPr>
              <w:t>1.2.1</w:t>
            </w:r>
            <w:r>
              <w:rPr>
                <w:rFonts w:asciiTheme="minorHAnsi" w:eastAsiaTheme="minorEastAsia" w:hAnsiTheme="minorHAnsi" w:cstheme="minorBidi"/>
                <w:kern w:val="2"/>
                <w:sz w:val="24"/>
                <w:szCs w:val="24"/>
                <w14:ligatures w14:val="standardContextual"/>
              </w:rPr>
              <w:tab/>
            </w:r>
            <w:r w:rsidRPr="00975F56">
              <w:rPr>
                <w:rStyle w:val="Hyperlink"/>
              </w:rPr>
              <w:t>Basic principles</w:t>
            </w:r>
            <w:r>
              <w:rPr>
                <w:webHidden/>
              </w:rPr>
              <w:tab/>
            </w:r>
            <w:r>
              <w:rPr>
                <w:webHidden/>
              </w:rPr>
              <w:fldChar w:fldCharType="begin"/>
            </w:r>
            <w:r>
              <w:rPr>
                <w:webHidden/>
              </w:rPr>
              <w:instrText xml:space="preserve"> PAGEREF _Toc233192889 \h </w:instrText>
            </w:r>
            <w:r>
              <w:rPr>
                <w:webHidden/>
              </w:rPr>
            </w:r>
            <w:r>
              <w:rPr>
                <w:webHidden/>
              </w:rPr>
              <w:fldChar w:fldCharType="separate"/>
            </w:r>
            <w:r>
              <w:rPr>
                <w:webHidden/>
              </w:rPr>
              <w:t>2</w:t>
            </w:r>
            <w:r>
              <w:rPr>
                <w:webHidden/>
              </w:rPr>
              <w:fldChar w:fldCharType="end"/>
            </w:r>
          </w:hyperlink>
        </w:p>
        <w:p w14:paraId="245904FC" w14:textId="4C4F5FA0"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90" w:history="1">
            <w:r w:rsidRPr="00975F56">
              <w:rPr>
                <w:rStyle w:val="Hyperlink"/>
              </w:rPr>
              <w:t>1.3</w:t>
            </w:r>
            <w:r>
              <w:rPr>
                <w:rFonts w:asciiTheme="minorHAnsi" w:eastAsiaTheme="minorEastAsia" w:hAnsiTheme="minorHAnsi" w:cstheme="minorBidi"/>
                <w:spacing w:val="0"/>
                <w:kern w:val="2"/>
                <w:sz w:val="24"/>
                <w:szCs w:val="24"/>
                <w14:ligatures w14:val="standardContextual"/>
              </w:rPr>
              <w:tab/>
            </w:r>
            <w:r w:rsidRPr="00975F56">
              <w:rPr>
                <w:rStyle w:val="Hyperlink"/>
              </w:rPr>
              <w:t>Overview of coordination procedures</w:t>
            </w:r>
            <w:r>
              <w:rPr>
                <w:webHidden/>
              </w:rPr>
              <w:tab/>
            </w:r>
            <w:r>
              <w:rPr>
                <w:webHidden/>
              </w:rPr>
              <w:fldChar w:fldCharType="begin"/>
            </w:r>
            <w:r>
              <w:rPr>
                <w:webHidden/>
              </w:rPr>
              <w:instrText xml:space="preserve"> PAGEREF _Toc233192890 \h </w:instrText>
            </w:r>
            <w:r>
              <w:rPr>
                <w:webHidden/>
              </w:rPr>
            </w:r>
            <w:r>
              <w:rPr>
                <w:webHidden/>
              </w:rPr>
              <w:fldChar w:fldCharType="separate"/>
            </w:r>
            <w:r>
              <w:rPr>
                <w:webHidden/>
              </w:rPr>
              <w:t>2</w:t>
            </w:r>
            <w:r>
              <w:rPr>
                <w:webHidden/>
              </w:rPr>
              <w:fldChar w:fldCharType="end"/>
            </w:r>
          </w:hyperlink>
        </w:p>
        <w:p w14:paraId="06210613" w14:textId="535073CA"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91" w:history="1">
            <w:r w:rsidRPr="00975F56">
              <w:rPr>
                <w:rStyle w:val="Hyperlink"/>
              </w:rPr>
              <w:t>1.4</w:t>
            </w:r>
            <w:r>
              <w:rPr>
                <w:rFonts w:asciiTheme="minorHAnsi" w:eastAsiaTheme="minorEastAsia" w:hAnsiTheme="minorHAnsi" w:cstheme="minorBidi"/>
                <w:spacing w:val="0"/>
                <w:kern w:val="2"/>
                <w:sz w:val="24"/>
                <w:szCs w:val="24"/>
                <w14:ligatures w14:val="standardContextual"/>
              </w:rPr>
              <w:tab/>
            </w:r>
            <w:r w:rsidRPr="00975F56">
              <w:rPr>
                <w:rStyle w:val="Hyperlink"/>
              </w:rPr>
              <w:t>Overview of licensing</w:t>
            </w:r>
            <w:r>
              <w:rPr>
                <w:webHidden/>
              </w:rPr>
              <w:tab/>
            </w:r>
            <w:r>
              <w:rPr>
                <w:webHidden/>
              </w:rPr>
              <w:fldChar w:fldCharType="begin"/>
            </w:r>
            <w:r>
              <w:rPr>
                <w:webHidden/>
              </w:rPr>
              <w:instrText xml:space="preserve"> PAGEREF _Toc233192891 \h </w:instrText>
            </w:r>
            <w:r>
              <w:rPr>
                <w:webHidden/>
              </w:rPr>
            </w:r>
            <w:r>
              <w:rPr>
                <w:webHidden/>
              </w:rPr>
              <w:fldChar w:fldCharType="separate"/>
            </w:r>
            <w:r>
              <w:rPr>
                <w:webHidden/>
              </w:rPr>
              <w:t>4</w:t>
            </w:r>
            <w:r>
              <w:rPr>
                <w:webHidden/>
              </w:rPr>
              <w:fldChar w:fldCharType="end"/>
            </w:r>
          </w:hyperlink>
        </w:p>
        <w:p w14:paraId="3BF2C82A" w14:textId="7E33F5D0" w:rsidR="00EB08D7" w:rsidRDefault="00EB08D7">
          <w:pPr>
            <w:pStyle w:val="TOC1"/>
            <w:tabs>
              <w:tab w:val="left" w:pos="885"/>
            </w:tabs>
            <w:rPr>
              <w:rFonts w:asciiTheme="minorHAnsi" w:eastAsiaTheme="minorEastAsia" w:hAnsiTheme="minorHAnsi" w:cstheme="minorBidi"/>
              <w:b w:val="0"/>
              <w:spacing w:val="0"/>
              <w:kern w:val="2"/>
              <w:sz w:val="24"/>
              <w14:ligatures w14:val="standardContextual"/>
            </w:rPr>
          </w:pPr>
          <w:hyperlink w:anchor="_Toc233192892" w:history="1">
            <w:r w:rsidRPr="00975F56">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spacing w:val="0"/>
                <w:kern w:val="2"/>
                <w:sz w:val="24"/>
                <w14:ligatures w14:val="standardContextual"/>
              </w:rPr>
              <w:tab/>
            </w:r>
            <w:r w:rsidRPr="00975F56">
              <w:rPr>
                <w:rStyle w:val="Hyperlink"/>
              </w:rPr>
              <w:t>Potential interference scenarios</w:t>
            </w:r>
            <w:r>
              <w:rPr>
                <w:webHidden/>
              </w:rPr>
              <w:tab/>
            </w:r>
            <w:r>
              <w:rPr>
                <w:webHidden/>
              </w:rPr>
              <w:fldChar w:fldCharType="begin"/>
            </w:r>
            <w:r>
              <w:rPr>
                <w:webHidden/>
              </w:rPr>
              <w:instrText xml:space="preserve"> PAGEREF _Toc233192892 \h </w:instrText>
            </w:r>
            <w:r>
              <w:rPr>
                <w:webHidden/>
              </w:rPr>
            </w:r>
            <w:r>
              <w:rPr>
                <w:webHidden/>
              </w:rPr>
              <w:fldChar w:fldCharType="separate"/>
            </w:r>
            <w:r>
              <w:rPr>
                <w:webHidden/>
              </w:rPr>
              <w:t>5</w:t>
            </w:r>
            <w:r>
              <w:rPr>
                <w:webHidden/>
              </w:rPr>
              <w:fldChar w:fldCharType="end"/>
            </w:r>
          </w:hyperlink>
        </w:p>
        <w:p w14:paraId="6BF5D51D" w14:textId="45BD12F4"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93" w:history="1">
            <w:r w:rsidRPr="00975F56">
              <w:rPr>
                <w:rStyle w:val="Hyperlink"/>
              </w:rPr>
              <w:t>2.1</w:t>
            </w:r>
            <w:r>
              <w:rPr>
                <w:rFonts w:asciiTheme="minorHAnsi" w:eastAsiaTheme="minorEastAsia" w:hAnsiTheme="minorHAnsi" w:cstheme="minorBidi"/>
                <w:spacing w:val="0"/>
                <w:kern w:val="2"/>
                <w:sz w:val="24"/>
                <w:szCs w:val="24"/>
                <w14:ligatures w14:val="standardContextual"/>
              </w:rPr>
              <w:tab/>
            </w:r>
            <w:r w:rsidRPr="00975F56">
              <w:rPr>
                <w:rStyle w:val="Hyperlink"/>
              </w:rPr>
              <w:t>Potential RMR network interference into other RMR networks</w:t>
            </w:r>
            <w:r>
              <w:rPr>
                <w:webHidden/>
              </w:rPr>
              <w:tab/>
            </w:r>
            <w:r>
              <w:rPr>
                <w:webHidden/>
              </w:rPr>
              <w:fldChar w:fldCharType="begin"/>
            </w:r>
            <w:r>
              <w:rPr>
                <w:webHidden/>
              </w:rPr>
              <w:instrText xml:space="preserve"> PAGEREF _Toc233192893 \h </w:instrText>
            </w:r>
            <w:r>
              <w:rPr>
                <w:webHidden/>
              </w:rPr>
            </w:r>
            <w:r>
              <w:rPr>
                <w:webHidden/>
              </w:rPr>
              <w:fldChar w:fldCharType="separate"/>
            </w:r>
            <w:r>
              <w:rPr>
                <w:webHidden/>
              </w:rPr>
              <w:t>5</w:t>
            </w:r>
            <w:r>
              <w:rPr>
                <w:webHidden/>
              </w:rPr>
              <w:fldChar w:fldCharType="end"/>
            </w:r>
          </w:hyperlink>
        </w:p>
        <w:p w14:paraId="50FD9BEA" w14:textId="17C281E7"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94" w:history="1">
            <w:r w:rsidRPr="00975F56">
              <w:rPr>
                <w:rStyle w:val="Hyperlink"/>
              </w:rPr>
              <w:t>2.2</w:t>
            </w:r>
            <w:r>
              <w:rPr>
                <w:rFonts w:asciiTheme="minorHAnsi" w:eastAsiaTheme="minorEastAsia" w:hAnsiTheme="minorHAnsi" w:cstheme="minorBidi"/>
                <w:spacing w:val="0"/>
                <w:kern w:val="2"/>
                <w:sz w:val="24"/>
                <w:szCs w:val="24"/>
                <w14:ligatures w14:val="standardContextual"/>
              </w:rPr>
              <w:tab/>
            </w:r>
            <w:r w:rsidRPr="00975F56">
              <w:rPr>
                <w:rStyle w:val="Hyperlink"/>
              </w:rPr>
              <w:t>Coexistence between RMR network and BWA systems</w:t>
            </w:r>
            <w:r>
              <w:rPr>
                <w:webHidden/>
              </w:rPr>
              <w:tab/>
            </w:r>
            <w:r>
              <w:rPr>
                <w:webHidden/>
              </w:rPr>
              <w:fldChar w:fldCharType="begin"/>
            </w:r>
            <w:r>
              <w:rPr>
                <w:webHidden/>
              </w:rPr>
              <w:instrText xml:space="preserve"> PAGEREF _Toc233192894 \h </w:instrText>
            </w:r>
            <w:r>
              <w:rPr>
                <w:webHidden/>
              </w:rPr>
            </w:r>
            <w:r>
              <w:rPr>
                <w:webHidden/>
              </w:rPr>
              <w:fldChar w:fldCharType="separate"/>
            </w:r>
            <w:r>
              <w:rPr>
                <w:webHidden/>
              </w:rPr>
              <w:t>5</w:t>
            </w:r>
            <w:r>
              <w:rPr>
                <w:webHidden/>
              </w:rPr>
              <w:fldChar w:fldCharType="end"/>
            </w:r>
          </w:hyperlink>
        </w:p>
        <w:p w14:paraId="2C534CE1" w14:textId="00F9195C"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895" w:history="1">
            <w:r w:rsidRPr="00975F56">
              <w:rPr>
                <w:rStyle w:val="Hyperlink"/>
              </w:rPr>
              <w:t>2.2.1</w:t>
            </w:r>
            <w:r>
              <w:rPr>
                <w:rFonts w:asciiTheme="minorHAnsi" w:eastAsiaTheme="minorEastAsia" w:hAnsiTheme="minorHAnsi" w:cstheme="minorBidi"/>
                <w:kern w:val="2"/>
                <w:sz w:val="24"/>
                <w:szCs w:val="24"/>
                <w14:ligatures w14:val="standardContextual"/>
              </w:rPr>
              <w:tab/>
            </w:r>
            <w:r w:rsidRPr="00975F56">
              <w:rPr>
                <w:rStyle w:val="Hyperlink"/>
              </w:rPr>
              <w:t>Potential RMR transmitter interference into BWA receivers</w:t>
            </w:r>
            <w:r>
              <w:rPr>
                <w:webHidden/>
              </w:rPr>
              <w:tab/>
            </w:r>
            <w:r>
              <w:rPr>
                <w:webHidden/>
              </w:rPr>
              <w:fldChar w:fldCharType="begin"/>
            </w:r>
            <w:r>
              <w:rPr>
                <w:webHidden/>
              </w:rPr>
              <w:instrText xml:space="preserve"> PAGEREF _Toc233192895 \h </w:instrText>
            </w:r>
            <w:r>
              <w:rPr>
                <w:webHidden/>
              </w:rPr>
            </w:r>
            <w:r>
              <w:rPr>
                <w:webHidden/>
              </w:rPr>
              <w:fldChar w:fldCharType="separate"/>
            </w:r>
            <w:r>
              <w:rPr>
                <w:webHidden/>
              </w:rPr>
              <w:t>5</w:t>
            </w:r>
            <w:r>
              <w:rPr>
                <w:webHidden/>
              </w:rPr>
              <w:fldChar w:fldCharType="end"/>
            </w:r>
          </w:hyperlink>
        </w:p>
        <w:p w14:paraId="12B92AA8" w14:textId="35CE1451"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896" w:history="1">
            <w:r w:rsidRPr="00975F56">
              <w:rPr>
                <w:rStyle w:val="Hyperlink"/>
              </w:rPr>
              <w:t>2.2.2</w:t>
            </w:r>
            <w:r>
              <w:rPr>
                <w:rFonts w:asciiTheme="minorHAnsi" w:eastAsiaTheme="minorEastAsia" w:hAnsiTheme="minorHAnsi" w:cstheme="minorBidi"/>
                <w:kern w:val="2"/>
                <w:sz w:val="24"/>
                <w:szCs w:val="24"/>
                <w14:ligatures w14:val="standardContextual"/>
              </w:rPr>
              <w:tab/>
            </w:r>
            <w:r w:rsidRPr="00975F56">
              <w:rPr>
                <w:rStyle w:val="Hyperlink"/>
              </w:rPr>
              <w:t>BWA transmitter interference into RMR receivers</w:t>
            </w:r>
            <w:r>
              <w:rPr>
                <w:webHidden/>
              </w:rPr>
              <w:tab/>
            </w:r>
            <w:r>
              <w:rPr>
                <w:webHidden/>
              </w:rPr>
              <w:fldChar w:fldCharType="begin"/>
            </w:r>
            <w:r>
              <w:rPr>
                <w:webHidden/>
              </w:rPr>
              <w:instrText xml:space="preserve"> PAGEREF _Toc233192896 \h </w:instrText>
            </w:r>
            <w:r>
              <w:rPr>
                <w:webHidden/>
              </w:rPr>
            </w:r>
            <w:r>
              <w:rPr>
                <w:webHidden/>
              </w:rPr>
              <w:fldChar w:fldCharType="separate"/>
            </w:r>
            <w:r>
              <w:rPr>
                <w:webHidden/>
              </w:rPr>
              <w:t>6</w:t>
            </w:r>
            <w:r>
              <w:rPr>
                <w:webHidden/>
              </w:rPr>
              <w:fldChar w:fldCharType="end"/>
            </w:r>
          </w:hyperlink>
        </w:p>
        <w:p w14:paraId="64A63D7B" w14:textId="77C66552"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897" w:history="1">
            <w:r w:rsidRPr="00975F56">
              <w:rPr>
                <w:rStyle w:val="Hyperlink"/>
              </w:rPr>
              <w:t>2.3</w:t>
            </w:r>
            <w:r>
              <w:rPr>
                <w:rFonts w:asciiTheme="minorHAnsi" w:eastAsiaTheme="minorEastAsia" w:hAnsiTheme="minorHAnsi" w:cstheme="minorBidi"/>
                <w:spacing w:val="0"/>
                <w:kern w:val="2"/>
                <w:sz w:val="24"/>
                <w:szCs w:val="24"/>
                <w14:ligatures w14:val="standardContextual"/>
              </w:rPr>
              <w:tab/>
            </w:r>
            <w:r w:rsidRPr="00975F56">
              <w:rPr>
                <w:rStyle w:val="Hyperlink"/>
              </w:rPr>
              <w:t>Coexistence between RMR network and fixed links</w:t>
            </w:r>
            <w:r>
              <w:rPr>
                <w:webHidden/>
              </w:rPr>
              <w:tab/>
            </w:r>
            <w:r>
              <w:rPr>
                <w:webHidden/>
              </w:rPr>
              <w:fldChar w:fldCharType="begin"/>
            </w:r>
            <w:r>
              <w:rPr>
                <w:webHidden/>
              </w:rPr>
              <w:instrText xml:space="preserve"> PAGEREF _Toc233192897 \h </w:instrText>
            </w:r>
            <w:r>
              <w:rPr>
                <w:webHidden/>
              </w:rPr>
            </w:r>
            <w:r>
              <w:rPr>
                <w:webHidden/>
              </w:rPr>
              <w:fldChar w:fldCharType="separate"/>
            </w:r>
            <w:r>
              <w:rPr>
                <w:webHidden/>
              </w:rPr>
              <w:t>6</w:t>
            </w:r>
            <w:r>
              <w:rPr>
                <w:webHidden/>
              </w:rPr>
              <w:fldChar w:fldCharType="end"/>
            </w:r>
          </w:hyperlink>
        </w:p>
        <w:p w14:paraId="58917857" w14:textId="122738AE"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898" w:history="1">
            <w:r w:rsidRPr="00975F56">
              <w:rPr>
                <w:rStyle w:val="Hyperlink"/>
              </w:rPr>
              <w:t>2.3.1</w:t>
            </w:r>
            <w:r>
              <w:rPr>
                <w:rFonts w:asciiTheme="minorHAnsi" w:eastAsiaTheme="minorEastAsia" w:hAnsiTheme="minorHAnsi" w:cstheme="minorBidi"/>
                <w:kern w:val="2"/>
                <w:sz w:val="24"/>
                <w:szCs w:val="24"/>
                <w14:ligatures w14:val="standardContextual"/>
              </w:rPr>
              <w:tab/>
            </w:r>
            <w:r w:rsidRPr="00975F56">
              <w:rPr>
                <w:rStyle w:val="Hyperlink"/>
              </w:rPr>
              <w:t>Potential RMR transmitter interference into fixed link receivers</w:t>
            </w:r>
            <w:r>
              <w:rPr>
                <w:webHidden/>
              </w:rPr>
              <w:tab/>
            </w:r>
            <w:r>
              <w:rPr>
                <w:webHidden/>
              </w:rPr>
              <w:fldChar w:fldCharType="begin"/>
            </w:r>
            <w:r>
              <w:rPr>
                <w:webHidden/>
              </w:rPr>
              <w:instrText xml:space="preserve"> PAGEREF _Toc233192898 \h </w:instrText>
            </w:r>
            <w:r>
              <w:rPr>
                <w:webHidden/>
              </w:rPr>
            </w:r>
            <w:r>
              <w:rPr>
                <w:webHidden/>
              </w:rPr>
              <w:fldChar w:fldCharType="separate"/>
            </w:r>
            <w:r>
              <w:rPr>
                <w:webHidden/>
              </w:rPr>
              <w:t>6</w:t>
            </w:r>
            <w:r>
              <w:rPr>
                <w:webHidden/>
              </w:rPr>
              <w:fldChar w:fldCharType="end"/>
            </w:r>
          </w:hyperlink>
        </w:p>
        <w:p w14:paraId="5FC28795" w14:textId="36FAB527"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899" w:history="1">
            <w:r w:rsidRPr="00975F56">
              <w:rPr>
                <w:rStyle w:val="Hyperlink"/>
              </w:rPr>
              <w:t>2.3.2</w:t>
            </w:r>
            <w:r>
              <w:rPr>
                <w:rFonts w:asciiTheme="minorHAnsi" w:eastAsiaTheme="minorEastAsia" w:hAnsiTheme="minorHAnsi" w:cstheme="minorBidi"/>
                <w:kern w:val="2"/>
                <w:sz w:val="24"/>
                <w:szCs w:val="24"/>
                <w14:ligatures w14:val="standardContextual"/>
              </w:rPr>
              <w:tab/>
            </w:r>
            <w:r w:rsidRPr="00975F56">
              <w:rPr>
                <w:rStyle w:val="Hyperlink"/>
              </w:rPr>
              <w:t>Fixed link transmitter into RMR receiver</w:t>
            </w:r>
            <w:r>
              <w:rPr>
                <w:webHidden/>
              </w:rPr>
              <w:tab/>
            </w:r>
            <w:r>
              <w:rPr>
                <w:webHidden/>
              </w:rPr>
              <w:fldChar w:fldCharType="begin"/>
            </w:r>
            <w:r>
              <w:rPr>
                <w:webHidden/>
              </w:rPr>
              <w:instrText xml:space="preserve"> PAGEREF _Toc233192899 \h </w:instrText>
            </w:r>
            <w:r>
              <w:rPr>
                <w:webHidden/>
              </w:rPr>
            </w:r>
            <w:r>
              <w:rPr>
                <w:webHidden/>
              </w:rPr>
              <w:fldChar w:fldCharType="separate"/>
            </w:r>
            <w:r>
              <w:rPr>
                <w:webHidden/>
              </w:rPr>
              <w:t>7</w:t>
            </w:r>
            <w:r>
              <w:rPr>
                <w:webHidden/>
              </w:rPr>
              <w:fldChar w:fldCharType="end"/>
            </w:r>
          </w:hyperlink>
        </w:p>
        <w:p w14:paraId="44D84123" w14:textId="046F48E5"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0" w:history="1">
            <w:r w:rsidRPr="00975F56">
              <w:rPr>
                <w:rStyle w:val="Hyperlink"/>
              </w:rPr>
              <w:t>2.4</w:t>
            </w:r>
            <w:r>
              <w:rPr>
                <w:rFonts w:asciiTheme="minorHAnsi" w:eastAsiaTheme="minorEastAsia" w:hAnsiTheme="minorHAnsi" w:cstheme="minorBidi"/>
                <w:spacing w:val="0"/>
                <w:kern w:val="2"/>
                <w:sz w:val="24"/>
                <w:szCs w:val="24"/>
                <w14:ligatures w14:val="standardContextual"/>
              </w:rPr>
              <w:tab/>
            </w:r>
            <w:r w:rsidRPr="00975F56">
              <w:rPr>
                <w:rStyle w:val="Hyperlink"/>
              </w:rPr>
              <w:t>Coexistence between RMR network and devices operated under a spectrum licence or PTS apparatus licence in the 2 GHz band</w:t>
            </w:r>
            <w:r>
              <w:rPr>
                <w:webHidden/>
              </w:rPr>
              <w:tab/>
            </w:r>
            <w:r>
              <w:rPr>
                <w:webHidden/>
              </w:rPr>
              <w:fldChar w:fldCharType="begin"/>
            </w:r>
            <w:r>
              <w:rPr>
                <w:webHidden/>
              </w:rPr>
              <w:instrText xml:space="preserve"> PAGEREF _Toc233192900 \h </w:instrText>
            </w:r>
            <w:r>
              <w:rPr>
                <w:webHidden/>
              </w:rPr>
            </w:r>
            <w:r>
              <w:rPr>
                <w:webHidden/>
              </w:rPr>
              <w:fldChar w:fldCharType="separate"/>
            </w:r>
            <w:r>
              <w:rPr>
                <w:webHidden/>
              </w:rPr>
              <w:t>7</w:t>
            </w:r>
            <w:r>
              <w:rPr>
                <w:webHidden/>
              </w:rPr>
              <w:fldChar w:fldCharType="end"/>
            </w:r>
          </w:hyperlink>
        </w:p>
        <w:p w14:paraId="3747A5AC" w14:textId="50B6952A"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1" w:history="1">
            <w:r w:rsidRPr="00975F56">
              <w:rPr>
                <w:rStyle w:val="Hyperlink"/>
              </w:rPr>
              <w:t>2.5</w:t>
            </w:r>
            <w:r>
              <w:rPr>
                <w:rFonts w:asciiTheme="minorHAnsi" w:eastAsiaTheme="minorEastAsia" w:hAnsiTheme="minorHAnsi" w:cstheme="minorBidi"/>
                <w:spacing w:val="0"/>
                <w:kern w:val="2"/>
                <w:sz w:val="24"/>
                <w:szCs w:val="24"/>
                <w14:ligatures w14:val="standardContextual"/>
              </w:rPr>
              <w:tab/>
            </w:r>
            <w:r w:rsidRPr="00975F56">
              <w:rPr>
                <w:rStyle w:val="Hyperlink"/>
              </w:rPr>
              <w:t>Coexistence between RMR network and devices operated under a spectrum licence or PTS licence in the 1800 MHz band</w:t>
            </w:r>
            <w:r>
              <w:rPr>
                <w:webHidden/>
              </w:rPr>
              <w:tab/>
            </w:r>
            <w:r>
              <w:rPr>
                <w:webHidden/>
              </w:rPr>
              <w:fldChar w:fldCharType="begin"/>
            </w:r>
            <w:r>
              <w:rPr>
                <w:webHidden/>
              </w:rPr>
              <w:instrText xml:space="preserve"> PAGEREF _Toc233192901 \h </w:instrText>
            </w:r>
            <w:r>
              <w:rPr>
                <w:webHidden/>
              </w:rPr>
            </w:r>
            <w:r>
              <w:rPr>
                <w:webHidden/>
              </w:rPr>
              <w:fldChar w:fldCharType="separate"/>
            </w:r>
            <w:r>
              <w:rPr>
                <w:webHidden/>
              </w:rPr>
              <w:t>8</w:t>
            </w:r>
            <w:r>
              <w:rPr>
                <w:webHidden/>
              </w:rPr>
              <w:fldChar w:fldCharType="end"/>
            </w:r>
          </w:hyperlink>
        </w:p>
        <w:p w14:paraId="52AB75AD" w14:textId="1F82D762"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2" w:history="1">
            <w:r w:rsidRPr="00975F56">
              <w:rPr>
                <w:rStyle w:val="Hyperlink"/>
              </w:rPr>
              <w:t>2.6</w:t>
            </w:r>
            <w:r>
              <w:rPr>
                <w:rFonts w:asciiTheme="minorHAnsi" w:eastAsiaTheme="minorEastAsia" w:hAnsiTheme="minorHAnsi" w:cstheme="minorBidi"/>
                <w:spacing w:val="0"/>
                <w:kern w:val="2"/>
                <w:sz w:val="24"/>
                <w:szCs w:val="24"/>
                <w14:ligatures w14:val="standardContextual"/>
              </w:rPr>
              <w:tab/>
            </w:r>
            <w:r w:rsidRPr="00975F56">
              <w:rPr>
                <w:rStyle w:val="Hyperlink"/>
              </w:rPr>
              <w:t>Underground RMR network</w:t>
            </w:r>
            <w:r>
              <w:rPr>
                <w:webHidden/>
              </w:rPr>
              <w:tab/>
            </w:r>
            <w:r>
              <w:rPr>
                <w:webHidden/>
              </w:rPr>
              <w:fldChar w:fldCharType="begin"/>
            </w:r>
            <w:r>
              <w:rPr>
                <w:webHidden/>
              </w:rPr>
              <w:instrText xml:space="preserve"> PAGEREF _Toc233192902 \h </w:instrText>
            </w:r>
            <w:r>
              <w:rPr>
                <w:webHidden/>
              </w:rPr>
            </w:r>
            <w:r>
              <w:rPr>
                <w:webHidden/>
              </w:rPr>
              <w:fldChar w:fldCharType="separate"/>
            </w:r>
            <w:r>
              <w:rPr>
                <w:webHidden/>
              </w:rPr>
              <w:t>9</w:t>
            </w:r>
            <w:r>
              <w:rPr>
                <w:webHidden/>
              </w:rPr>
              <w:fldChar w:fldCharType="end"/>
            </w:r>
          </w:hyperlink>
        </w:p>
        <w:p w14:paraId="16CE3E8C" w14:textId="4923FDA5"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3" w:history="1">
            <w:r w:rsidRPr="00975F56">
              <w:rPr>
                <w:rStyle w:val="Hyperlink"/>
              </w:rPr>
              <w:t>2.7</w:t>
            </w:r>
            <w:r>
              <w:rPr>
                <w:rFonts w:asciiTheme="minorHAnsi" w:eastAsiaTheme="minorEastAsia" w:hAnsiTheme="minorHAnsi" w:cstheme="minorBidi"/>
                <w:spacing w:val="0"/>
                <w:kern w:val="2"/>
                <w:sz w:val="24"/>
                <w:szCs w:val="24"/>
                <w14:ligatures w14:val="standardContextual"/>
              </w:rPr>
              <w:tab/>
            </w:r>
            <w:r w:rsidRPr="00975F56">
              <w:rPr>
                <w:rStyle w:val="Hyperlink"/>
              </w:rPr>
              <w:t>DECT services in the 1880–1900 MHz band</w:t>
            </w:r>
            <w:r>
              <w:rPr>
                <w:webHidden/>
              </w:rPr>
              <w:tab/>
            </w:r>
            <w:r>
              <w:rPr>
                <w:webHidden/>
              </w:rPr>
              <w:fldChar w:fldCharType="begin"/>
            </w:r>
            <w:r>
              <w:rPr>
                <w:webHidden/>
              </w:rPr>
              <w:instrText xml:space="preserve"> PAGEREF _Toc233192903 \h </w:instrText>
            </w:r>
            <w:r>
              <w:rPr>
                <w:webHidden/>
              </w:rPr>
            </w:r>
            <w:r>
              <w:rPr>
                <w:webHidden/>
              </w:rPr>
              <w:fldChar w:fldCharType="separate"/>
            </w:r>
            <w:r>
              <w:rPr>
                <w:webHidden/>
              </w:rPr>
              <w:t>9</w:t>
            </w:r>
            <w:r>
              <w:rPr>
                <w:webHidden/>
              </w:rPr>
              <w:fldChar w:fldCharType="end"/>
            </w:r>
          </w:hyperlink>
        </w:p>
        <w:p w14:paraId="01424C64" w14:textId="4FFDFBB0"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4" w:history="1">
            <w:r w:rsidRPr="00975F56">
              <w:rPr>
                <w:rStyle w:val="Hyperlink"/>
              </w:rPr>
              <w:t>2.8</w:t>
            </w:r>
            <w:r>
              <w:rPr>
                <w:rFonts w:asciiTheme="minorHAnsi" w:eastAsiaTheme="minorEastAsia" w:hAnsiTheme="minorHAnsi" w:cstheme="minorBidi"/>
                <w:spacing w:val="0"/>
                <w:kern w:val="2"/>
                <w:sz w:val="24"/>
                <w:szCs w:val="24"/>
                <w14:ligatures w14:val="standardContextual"/>
              </w:rPr>
              <w:tab/>
            </w:r>
            <w:r w:rsidRPr="00975F56">
              <w:rPr>
                <w:rStyle w:val="Hyperlink"/>
              </w:rPr>
              <w:t>SR WBB services in the 1900–1920 MHz band</w:t>
            </w:r>
            <w:r>
              <w:rPr>
                <w:webHidden/>
              </w:rPr>
              <w:tab/>
            </w:r>
            <w:r>
              <w:rPr>
                <w:webHidden/>
              </w:rPr>
              <w:fldChar w:fldCharType="begin"/>
            </w:r>
            <w:r>
              <w:rPr>
                <w:webHidden/>
              </w:rPr>
              <w:instrText xml:space="preserve"> PAGEREF _Toc233192904 \h </w:instrText>
            </w:r>
            <w:r>
              <w:rPr>
                <w:webHidden/>
              </w:rPr>
            </w:r>
            <w:r>
              <w:rPr>
                <w:webHidden/>
              </w:rPr>
              <w:fldChar w:fldCharType="separate"/>
            </w:r>
            <w:r>
              <w:rPr>
                <w:webHidden/>
              </w:rPr>
              <w:t>10</w:t>
            </w:r>
            <w:r>
              <w:rPr>
                <w:webHidden/>
              </w:rPr>
              <w:fldChar w:fldCharType="end"/>
            </w:r>
          </w:hyperlink>
        </w:p>
        <w:p w14:paraId="67794F66" w14:textId="5FCA7546" w:rsidR="00EB08D7" w:rsidRDefault="00EB08D7">
          <w:pPr>
            <w:pStyle w:val="TOC1"/>
            <w:tabs>
              <w:tab w:val="left" w:pos="885"/>
            </w:tabs>
            <w:rPr>
              <w:rFonts w:asciiTheme="minorHAnsi" w:eastAsiaTheme="minorEastAsia" w:hAnsiTheme="minorHAnsi" w:cstheme="minorBidi"/>
              <w:b w:val="0"/>
              <w:spacing w:val="0"/>
              <w:kern w:val="2"/>
              <w:sz w:val="24"/>
              <w14:ligatures w14:val="standardContextual"/>
            </w:rPr>
          </w:pPr>
          <w:hyperlink w:anchor="_Toc233192905" w:history="1">
            <w:r w:rsidRPr="00975F56">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spacing w:val="0"/>
                <w:kern w:val="2"/>
                <w:sz w:val="24"/>
                <w14:ligatures w14:val="standardContextual"/>
              </w:rPr>
              <w:tab/>
            </w:r>
            <w:r w:rsidRPr="00975F56">
              <w:rPr>
                <w:rStyle w:val="Hyperlink"/>
              </w:rPr>
              <w:t>RMR network coordination procedures</w:t>
            </w:r>
            <w:r>
              <w:rPr>
                <w:webHidden/>
              </w:rPr>
              <w:tab/>
            </w:r>
            <w:r>
              <w:rPr>
                <w:webHidden/>
              </w:rPr>
              <w:fldChar w:fldCharType="begin"/>
            </w:r>
            <w:r>
              <w:rPr>
                <w:webHidden/>
              </w:rPr>
              <w:instrText xml:space="preserve"> PAGEREF _Toc233192905 \h </w:instrText>
            </w:r>
            <w:r>
              <w:rPr>
                <w:webHidden/>
              </w:rPr>
            </w:r>
            <w:r>
              <w:rPr>
                <w:webHidden/>
              </w:rPr>
              <w:fldChar w:fldCharType="separate"/>
            </w:r>
            <w:r>
              <w:rPr>
                <w:webHidden/>
              </w:rPr>
              <w:t>11</w:t>
            </w:r>
            <w:r>
              <w:rPr>
                <w:webHidden/>
              </w:rPr>
              <w:fldChar w:fldCharType="end"/>
            </w:r>
          </w:hyperlink>
        </w:p>
        <w:p w14:paraId="33E7E94D" w14:textId="66FA30E3"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6" w:history="1">
            <w:r w:rsidRPr="00975F56">
              <w:rPr>
                <w:rStyle w:val="Hyperlink"/>
              </w:rPr>
              <w:t>3.1</w:t>
            </w:r>
            <w:r>
              <w:rPr>
                <w:rFonts w:asciiTheme="minorHAnsi" w:eastAsiaTheme="minorEastAsia" w:hAnsiTheme="minorHAnsi" w:cstheme="minorBidi"/>
                <w:spacing w:val="0"/>
                <w:kern w:val="2"/>
                <w:sz w:val="24"/>
                <w:szCs w:val="24"/>
                <w14:ligatures w14:val="standardContextual"/>
              </w:rPr>
              <w:tab/>
            </w:r>
            <w:r w:rsidRPr="00975F56">
              <w:rPr>
                <w:rStyle w:val="Hyperlink"/>
              </w:rPr>
              <w:t>Further options if coordination is unsuccessful</w:t>
            </w:r>
            <w:r>
              <w:rPr>
                <w:webHidden/>
              </w:rPr>
              <w:tab/>
            </w:r>
            <w:r>
              <w:rPr>
                <w:webHidden/>
              </w:rPr>
              <w:fldChar w:fldCharType="begin"/>
            </w:r>
            <w:r>
              <w:rPr>
                <w:webHidden/>
              </w:rPr>
              <w:instrText xml:space="preserve"> PAGEREF _Toc233192906 \h </w:instrText>
            </w:r>
            <w:r>
              <w:rPr>
                <w:webHidden/>
              </w:rPr>
            </w:r>
            <w:r>
              <w:rPr>
                <w:webHidden/>
              </w:rPr>
              <w:fldChar w:fldCharType="separate"/>
            </w:r>
            <w:r>
              <w:rPr>
                <w:webHidden/>
              </w:rPr>
              <w:t>11</w:t>
            </w:r>
            <w:r>
              <w:rPr>
                <w:webHidden/>
              </w:rPr>
              <w:fldChar w:fldCharType="end"/>
            </w:r>
          </w:hyperlink>
        </w:p>
        <w:p w14:paraId="62EE0DD4" w14:textId="515747F8"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07" w:history="1">
            <w:r w:rsidRPr="00975F56">
              <w:rPr>
                <w:rStyle w:val="Hyperlink"/>
              </w:rPr>
              <w:t>3.2</w:t>
            </w:r>
            <w:r>
              <w:rPr>
                <w:rFonts w:asciiTheme="minorHAnsi" w:eastAsiaTheme="minorEastAsia" w:hAnsiTheme="minorHAnsi" w:cstheme="minorBidi"/>
                <w:spacing w:val="0"/>
                <w:kern w:val="2"/>
                <w:sz w:val="24"/>
                <w:szCs w:val="24"/>
                <w14:ligatures w14:val="standardContextual"/>
              </w:rPr>
              <w:tab/>
            </w:r>
            <w:r w:rsidRPr="00975F56">
              <w:rPr>
                <w:rStyle w:val="Hyperlink"/>
              </w:rPr>
              <w:t>Assessing BWA interference into RMR network</w:t>
            </w:r>
            <w:r>
              <w:rPr>
                <w:webHidden/>
              </w:rPr>
              <w:tab/>
            </w:r>
            <w:r>
              <w:rPr>
                <w:webHidden/>
              </w:rPr>
              <w:fldChar w:fldCharType="begin"/>
            </w:r>
            <w:r>
              <w:rPr>
                <w:webHidden/>
              </w:rPr>
              <w:instrText xml:space="preserve"> PAGEREF _Toc233192907 \h </w:instrText>
            </w:r>
            <w:r>
              <w:rPr>
                <w:webHidden/>
              </w:rPr>
            </w:r>
            <w:r>
              <w:rPr>
                <w:webHidden/>
              </w:rPr>
              <w:fldChar w:fldCharType="separate"/>
            </w:r>
            <w:r>
              <w:rPr>
                <w:webHidden/>
              </w:rPr>
              <w:t>11</w:t>
            </w:r>
            <w:r>
              <w:rPr>
                <w:webHidden/>
              </w:rPr>
              <w:fldChar w:fldCharType="end"/>
            </w:r>
          </w:hyperlink>
        </w:p>
        <w:p w14:paraId="61957C91" w14:textId="32968C45"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908" w:history="1">
            <w:r w:rsidRPr="00975F56">
              <w:rPr>
                <w:rStyle w:val="Hyperlink"/>
              </w:rPr>
              <w:t>3.2.1</w:t>
            </w:r>
            <w:r>
              <w:rPr>
                <w:rFonts w:asciiTheme="minorHAnsi" w:eastAsiaTheme="minorEastAsia" w:hAnsiTheme="minorHAnsi" w:cstheme="minorBidi"/>
                <w:kern w:val="2"/>
                <w:sz w:val="24"/>
                <w:szCs w:val="24"/>
                <w14:ligatures w14:val="standardContextual"/>
              </w:rPr>
              <w:tab/>
            </w:r>
            <w:r w:rsidRPr="00975F56">
              <w:rPr>
                <w:rStyle w:val="Hyperlink"/>
              </w:rPr>
              <w:t>Interference from a proposed BWA transmitter into an RMR receiver</w:t>
            </w:r>
            <w:r>
              <w:rPr>
                <w:webHidden/>
              </w:rPr>
              <w:tab/>
            </w:r>
            <w:r>
              <w:rPr>
                <w:webHidden/>
              </w:rPr>
              <w:fldChar w:fldCharType="begin"/>
            </w:r>
            <w:r>
              <w:rPr>
                <w:webHidden/>
              </w:rPr>
              <w:instrText xml:space="preserve"> PAGEREF _Toc233192908 \h </w:instrText>
            </w:r>
            <w:r>
              <w:rPr>
                <w:webHidden/>
              </w:rPr>
            </w:r>
            <w:r>
              <w:rPr>
                <w:webHidden/>
              </w:rPr>
              <w:fldChar w:fldCharType="separate"/>
            </w:r>
            <w:r>
              <w:rPr>
                <w:webHidden/>
              </w:rPr>
              <w:t>11</w:t>
            </w:r>
            <w:r>
              <w:rPr>
                <w:webHidden/>
              </w:rPr>
              <w:fldChar w:fldCharType="end"/>
            </w:r>
          </w:hyperlink>
        </w:p>
        <w:p w14:paraId="3ED8BEDC" w14:textId="30FC239E"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909" w:history="1">
            <w:r w:rsidRPr="00975F56">
              <w:rPr>
                <w:rStyle w:val="Hyperlink"/>
              </w:rPr>
              <w:t>3.2.2</w:t>
            </w:r>
            <w:r>
              <w:rPr>
                <w:rFonts w:asciiTheme="minorHAnsi" w:eastAsiaTheme="minorEastAsia" w:hAnsiTheme="minorHAnsi" w:cstheme="minorBidi"/>
                <w:kern w:val="2"/>
                <w:sz w:val="24"/>
                <w:szCs w:val="24"/>
                <w14:ligatures w14:val="standardContextual"/>
              </w:rPr>
              <w:tab/>
            </w:r>
            <w:r w:rsidRPr="00975F56">
              <w:rPr>
                <w:rStyle w:val="Hyperlink"/>
              </w:rPr>
              <w:t>Interference from a BWA transmitter licensed before 2 July 2026 into a proposed RMR receiver</w:t>
            </w:r>
            <w:r>
              <w:rPr>
                <w:webHidden/>
              </w:rPr>
              <w:tab/>
            </w:r>
            <w:r>
              <w:rPr>
                <w:webHidden/>
              </w:rPr>
              <w:fldChar w:fldCharType="begin"/>
            </w:r>
            <w:r>
              <w:rPr>
                <w:webHidden/>
              </w:rPr>
              <w:instrText xml:space="preserve"> PAGEREF _Toc233192909 \h </w:instrText>
            </w:r>
            <w:r>
              <w:rPr>
                <w:webHidden/>
              </w:rPr>
            </w:r>
            <w:r>
              <w:rPr>
                <w:webHidden/>
              </w:rPr>
              <w:fldChar w:fldCharType="separate"/>
            </w:r>
            <w:r>
              <w:rPr>
                <w:webHidden/>
              </w:rPr>
              <w:t>12</w:t>
            </w:r>
            <w:r>
              <w:rPr>
                <w:webHidden/>
              </w:rPr>
              <w:fldChar w:fldCharType="end"/>
            </w:r>
          </w:hyperlink>
        </w:p>
        <w:p w14:paraId="1C1EE540" w14:textId="17D26E46"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10" w:history="1">
            <w:r w:rsidRPr="00975F56">
              <w:rPr>
                <w:rStyle w:val="Hyperlink"/>
              </w:rPr>
              <w:t>3.3</w:t>
            </w:r>
            <w:r>
              <w:rPr>
                <w:rFonts w:asciiTheme="minorHAnsi" w:eastAsiaTheme="minorEastAsia" w:hAnsiTheme="minorHAnsi" w:cstheme="minorBidi"/>
                <w:spacing w:val="0"/>
                <w:kern w:val="2"/>
                <w:sz w:val="24"/>
                <w:szCs w:val="24"/>
                <w14:ligatures w14:val="standardContextual"/>
              </w:rPr>
              <w:tab/>
            </w:r>
            <w:r w:rsidRPr="00975F56">
              <w:rPr>
                <w:rStyle w:val="Hyperlink"/>
              </w:rPr>
              <w:t>Assessing RMR transmitter interference into fixed links</w:t>
            </w:r>
            <w:r>
              <w:rPr>
                <w:webHidden/>
              </w:rPr>
              <w:tab/>
            </w:r>
            <w:r>
              <w:rPr>
                <w:webHidden/>
              </w:rPr>
              <w:fldChar w:fldCharType="begin"/>
            </w:r>
            <w:r>
              <w:rPr>
                <w:webHidden/>
              </w:rPr>
              <w:instrText xml:space="preserve"> PAGEREF _Toc233192910 \h </w:instrText>
            </w:r>
            <w:r>
              <w:rPr>
                <w:webHidden/>
              </w:rPr>
            </w:r>
            <w:r>
              <w:rPr>
                <w:webHidden/>
              </w:rPr>
              <w:fldChar w:fldCharType="separate"/>
            </w:r>
            <w:r>
              <w:rPr>
                <w:webHidden/>
              </w:rPr>
              <w:t>12</w:t>
            </w:r>
            <w:r>
              <w:rPr>
                <w:webHidden/>
              </w:rPr>
              <w:fldChar w:fldCharType="end"/>
            </w:r>
          </w:hyperlink>
        </w:p>
        <w:p w14:paraId="684D8E3B" w14:textId="047DEBB7"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911" w:history="1">
            <w:r w:rsidRPr="00975F56">
              <w:rPr>
                <w:rStyle w:val="Hyperlink"/>
              </w:rPr>
              <w:t>3.3.1</w:t>
            </w:r>
            <w:r>
              <w:rPr>
                <w:rFonts w:asciiTheme="minorHAnsi" w:eastAsiaTheme="minorEastAsia" w:hAnsiTheme="minorHAnsi" w:cstheme="minorBidi"/>
                <w:kern w:val="2"/>
                <w:sz w:val="24"/>
                <w:szCs w:val="24"/>
                <w14:ligatures w14:val="standardContextual"/>
              </w:rPr>
              <w:tab/>
            </w:r>
            <w:r w:rsidRPr="00975F56">
              <w:rPr>
                <w:rStyle w:val="Hyperlink"/>
              </w:rPr>
              <w:t>Interference from a proposed RMR transmitter into a fixed link receiver licensed before 2 July 2026</w:t>
            </w:r>
            <w:r>
              <w:rPr>
                <w:webHidden/>
              </w:rPr>
              <w:tab/>
            </w:r>
            <w:r>
              <w:rPr>
                <w:webHidden/>
              </w:rPr>
              <w:fldChar w:fldCharType="begin"/>
            </w:r>
            <w:r>
              <w:rPr>
                <w:webHidden/>
              </w:rPr>
              <w:instrText xml:space="preserve"> PAGEREF _Toc233192911 \h </w:instrText>
            </w:r>
            <w:r>
              <w:rPr>
                <w:webHidden/>
              </w:rPr>
            </w:r>
            <w:r>
              <w:rPr>
                <w:webHidden/>
              </w:rPr>
              <w:fldChar w:fldCharType="separate"/>
            </w:r>
            <w:r>
              <w:rPr>
                <w:webHidden/>
              </w:rPr>
              <w:t>12</w:t>
            </w:r>
            <w:r>
              <w:rPr>
                <w:webHidden/>
              </w:rPr>
              <w:fldChar w:fldCharType="end"/>
            </w:r>
          </w:hyperlink>
        </w:p>
        <w:p w14:paraId="0256604E" w14:textId="423F31B5"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912" w:history="1">
            <w:r w:rsidRPr="00975F56">
              <w:rPr>
                <w:rStyle w:val="Hyperlink"/>
              </w:rPr>
              <w:t>3.3.2</w:t>
            </w:r>
            <w:r>
              <w:rPr>
                <w:rFonts w:asciiTheme="minorHAnsi" w:eastAsiaTheme="minorEastAsia" w:hAnsiTheme="minorHAnsi" w:cstheme="minorBidi"/>
                <w:kern w:val="2"/>
                <w:sz w:val="24"/>
                <w:szCs w:val="24"/>
                <w14:ligatures w14:val="standardContextual"/>
              </w:rPr>
              <w:tab/>
            </w:r>
            <w:r w:rsidRPr="00975F56">
              <w:rPr>
                <w:rStyle w:val="Hyperlink"/>
              </w:rPr>
              <w:t>Interference from an existing RMR transmitter into a proposed fixed link receiver licensed on or after 2 July 2026</w:t>
            </w:r>
            <w:r>
              <w:rPr>
                <w:webHidden/>
              </w:rPr>
              <w:tab/>
            </w:r>
            <w:r>
              <w:rPr>
                <w:webHidden/>
              </w:rPr>
              <w:fldChar w:fldCharType="begin"/>
            </w:r>
            <w:r>
              <w:rPr>
                <w:webHidden/>
              </w:rPr>
              <w:instrText xml:space="preserve"> PAGEREF _Toc233192912 \h </w:instrText>
            </w:r>
            <w:r>
              <w:rPr>
                <w:webHidden/>
              </w:rPr>
            </w:r>
            <w:r>
              <w:rPr>
                <w:webHidden/>
              </w:rPr>
              <w:fldChar w:fldCharType="separate"/>
            </w:r>
            <w:r>
              <w:rPr>
                <w:webHidden/>
              </w:rPr>
              <w:t>13</w:t>
            </w:r>
            <w:r>
              <w:rPr>
                <w:webHidden/>
              </w:rPr>
              <w:fldChar w:fldCharType="end"/>
            </w:r>
          </w:hyperlink>
        </w:p>
        <w:p w14:paraId="46B92EE8" w14:textId="21020B8C"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13" w:history="1">
            <w:r w:rsidRPr="00975F56">
              <w:rPr>
                <w:rStyle w:val="Hyperlink"/>
              </w:rPr>
              <w:t>3.4</w:t>
            </w:r>
            <w:r>
              <w:rPr>
                <w:rFonts w:asciiTheme="minorHAnsi" w:eastAsiaTheme="minorEastAsia" w:hAnsiTheme="minorHAnsi" w:cstheme="minorBidi"/>
                <w:spacing w:val="0"/>
                <w:kern w:val="2"/>
                <w:sz w:val="24"/>
                <w:szCs w:val="24"/>
                <w14:ligatures w14:val="standardContextual"/>
              </w:rPr>
              <w:tab/>
            </w:r>
            <w:r w:rsidRPr="00975F56">
              <w:rPr>
                <w:rStyle w:val="Hyperlink"/>
              </w:rPr>
              <w:t>Assessing interference from fixed links into RMR network</w:t>
            </w:r>
            <w:r>
              <w:rPr>
                <w:webHidden/>
              </w:rPr>
              <w:tab/>
            </w:r>
            <w:r>
              <w:rPr>
                <w:webHidden/>
              </w:rPr>
              <w:fldChar w:fldCharType="begin"/>
            </w:r>
            <w:r>
              <w:rPr>
                <w:webHidden/>
              </w:rPr>
              <w:instrText xml:space="preserve"> PAGEREF _Toc233192913 \h </w:instrText>
            </w:r>
            <w:r>
              <w:rPr>
                <w:webHidden/>
              </w:rPr>
            </w:r>
            <w:r>
              <w:rPr>
                <w:webHidden/>
              </w:rPr>
              <w:fldChar w:fldCharType="separate"/>
            </w:r>
            <w:r>
              <w:rPr>
                <w:webHidden/>
              </w:rPr>
              <w:t>14</w:t>
            </w:r>
            <w:r>
              <w:rPr>
                <w:webHidden/>
              </w:rPr>
              <w:fldChar w:fldCharType="end"/>
            </w:r>
          </w:hyperlink>
        </w:p>
        <w:p w14:paraId="49495851" w14:textId="1CCE9546"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914" w:history="1">
            <w:r w:rsidRPr="00975F56">
              <w:rPr>
                <w:rStyle w:val="Hyperlink"/>
              </w:rPr>
              <w:t>3.4.1</w:t>
            </w:r>
            <w:r>
              <w:rPr>
                <w:rFonts w:asciiTheme="minorHAnsi" w:eastAsiaTheme="minorEastAsia" w:hAnsiTheme="minorHAnsi" w:cstheme="minorBidi"/>
                <w:kern w:val="2"/>
                <w:sz w:val="24"/>
                <w:szCs w:val="24"/>
                <w14:ligatures w14:val="standardContextual"/>
              </w:rPr>
              <w:tab/>
            </w:r>
            <w:r w:rsidRPr="00975F56">
              <w:rPr>
                <w:rStyle w:val="Hyperlink"/>
              </w:rPr>
              <w:t>Interference from a proposed fixed link transmitter into an RMR receiver</w:t>
            </w:r>
            <w:r>
              <w:rPr>
                <w:webHidden/>
              </w:rPr>
              <w:tab/>
            </w:r>
            <w:r>
              <w:rPr>
                <w:webHidden/>
              </w:rPr>
              <w:fldChar w:fldCharType="begin"/>
            </w:r>
            <w:r>
              <w:rPr>
                <w:webHidden/>
              </w:rPr>
              <w:instrText xml:space="preserve"> PAGEREF _Toc233192914 \h </w:instrText>
            </w:r>
            <w:r>
              <w:rPr>
                <w:webHidden/>
              </w:rPr>
            </w:r>
            <w:r>
              <w:rPr>
                <w:webHidden/>
              </w:rPr>
              <w:fldChar w:fldCharType="separate"/>
            </w:r>
            <w:r>
              <w:rPr>
                <w:webHidden/>
              </w:rPr>
              <w:t>14</w:t>
            </w:r>
            <w:r>
              <w:rPr>
                <w:webHidden/>
              </w:rPr>
              <w:fldChar w:fldCharType="end"/>
            </w:r>
          </w:hyperlink>
        </w:p>
        <w:p w14:paraId="1DCE0AB2" w14:textId="30940718" w:rsidR="00EB08D7" w:rsidRDefault="00EB08D7">
          <w:pPr>
            <w:pStyle w:val="TOC3"/>
            <w:tabs>
              <w:tab w:val="left" w:pos="885"/>
            </w:tabs>
            <w:rPr>
              <w:rFonts w:asciiTheme="minorHAnsi" w:eastAsiaTheme="minorEastAsia" w:hAnsiTheme="minorHAnsi" w:cstheme="minorBidi"/>
              <w:kern w:val="2"/>
              <w:sz w:val="24"/>
              <w:szCs w:val="24"/>
              <w14:ligatures w14:val="standardContextual"/>
            </w:rPr>
          </w:pPr>
          <w:hyperlink w:anchor="_Toc233192915" w:history="1">
            <w:r w:rsidRPr="00975F56">
              <w:rPr>
                <w:rStyle w:val="Hyperlink"/>
              </w:rPr>
              <w:t>3.4.2</w:t>
            </w:r>
            <w:r>
              <w:rPr>
                <w:rFonts w:asciiTheme="minorHAnsi" w:eastAsiaTheme="minorEastAsia" w:hAnsiTheme="minorHAnsi" w:cstheme="minorBidi"/>
                <w:kern w:val="2"/>
                <w:sz w:val="24"/>
                <w:szCs w:val="24"/>
                <w14:ligatures w14:val="standardContextual"/>
              </w:rPr>
              <w:tab/>
            </w:r>
            <w:r w:rsidRPr="00975F56">
              <w:rPr>
                <w:rStyle w:val="Hyperlink"/>
              </w:rPr>
              <w:t>Interference from a fixed link transmitter licensed before 2 July 2026 into a proposed RMR receiver</w:t>
            </w:r>
            <w:r>
              <w:rPr>
                <w:webHidden/>
              </w:rPr>
              <w:tab/>
            </w:r>
            <w:r>
              <w:rPr>
                <w:webHidden/>
              </w:rPr>
              <w:fldChar w:fldCharType="begin"/>
            </w:r>
            <w:r>
              <w:rPr>
                <w:webHidden/>
              </w:rPr>
              <w:instrText xml:space="preserve"> PAGEREF _Toc233192915 \h </w:instrText>
            </w:r>
            <w:r>
              <w:rPr>
                <w:webHidden/>
              </w:rPr>
            </w:r>
            <w:r>
              <w:rPr>
                <w:webHidden/>
              </w:rPr>
              <w:fldChar w:fldCharType="separate"/>
            </w:r>
            <w:r>
              <w:rPr>
                <w:webHidden/>
              </w:rPr>
              <w:t>14</w:t>
            </w:r>
            <w:r>
              <w:rPr>
                <w:webHidden/>
              </w:rPr>
              <w:fldChar w:fldCharType="end"/>
            </w:r>
          </w:hyperlink>
        </w:p>
        <w:p w14:paraId="047D1E64" w14:textId="041F0EA6"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16" w:history="1">
            <w:r w:rsidRPr="00975F56">
              <w:rPr>
                <w:rStyle w:val="Hyperlink"/>
              </w:rPr>
              <w:t>3.5</w:t>
            </w:r>
            <w:r>
              <w:rPr>
                <w:rFonts w:asciiTheme="minorHAnsi" w:eastAsiaTheme="minorEastAsia" w:hAnsiTheme="minorHAnsi" w:cstheme="minorBidi"/>
                <w:spacing w:val="0"/>
                <w:kern w:val="2"/>
                <w:sz w:val="24"/>
                <w:szCs w:val="24"/>
                <w14:ligatures w14:val="standardContextual"/>
              </w:rPr>
              <w:tab/>
            </w:r>
            <w:r w:rsidRPr="00975F56">
              <w:rPr>
                <w:rStyle w:val="Hyperlink"/>
              </w:rPr>
              <w:t>Assessing adjacent channel interference from an RMR transmitter into a 2 GHz band spectrum licensed or PTS receiver</w:t>
            </w:r>
            <w:r>
              <w:rPr>
                <w:webHidden/>
              </w:rPr>
              <w:tab/>
            </w:r>
            <w:r>
              <w:rPr>
                <w:webHidden/>
              </w:rPr>
              <w:fldChar w:fldCharType="begin"/>
            </w:r>
            <w:r>
              <w:rPr>
                <w:webHidden/>
              </w:rPr>
              <w:instrText xml:space="preserve"> PAGEREF _Toc233192916 \h </w:instrText>
            </w:r>
            <w:r>
              <w:rPr>
                <w:webHidden/>
              </w:rPr>
            </w:r>
            <w:r>
              <w:rPr>
                <w:webHidden/>
              </w:rPr>
              <w:fldChar w:fldCharType="separate"/>
            </w:r>
            <w:r>
              <w:rPr>
                <w:webHidden/>
              </w:rPr>
              <w:t>15</w:t>
            </w:r>
            <w:r>
              <w:rPr>
                <w:webHidden/>
              </w:rPr>
              <w:fldChar w:fldCharType="end"/>
            </w:r>
          </w:hyperlink>
        </w:p>
        <w:p w14:paraId="4F039FFE" w14:textId="24E2CBC8"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17" w:history="1">
            <w:r w:rsidRPr="00975F56">
              <w:rPr>
                <w:rStyle w:val="Hyperlink"/>
              </w:rPr>
              <w:t>3.6</w:t>
            </w:r>
            <w:r>
              <w:rPr>
                <w:rFonts w:asciiTheme="minorHAnsi" w:eastAsiaTheme="minorEastAsia" w:hAnsiTheme="minorHAnsi" w:cstheme="minorBidi"/>
                <w:spacing w:val="0"/>
                <w:kern w:val="2"/>
                <w:sz w:val="24"/>
                <w:szCs w:val="24"/>
                <w14:ligatures w14:val="standardContextual"/>
              </w:rPr>
              <w:tab/>
            </w:r>
            <w:r w:rsidRPr="00975F56">
              <w:rPr>
                <w:rStyle w:val="Hyperlink"/>
              </w:rPr>
              <w:t>Site engineering aspects</w:t>
            </w:r>
            <w:r>
              <w:rPr>
                <w:webHidden/>
              </w:rPr>
              <w:tab/>
            </w:r>
            <w:r>
              <w:rPr>
                <w:webHidden/>
              </w:rPr>
              <w:fldChar w:fldCharType="begin"/>
            </w:r>
            <w:r>
              <w:rPr>
                <w:webHidden/>
              </w:rPr>
              <w:instrText xml:space="preserve"> PAGEREF _Toc233192917 \h </w:instrText>
            </w:r>
            <w:r>
              <w:rPr>
                <w:webHidden/>
              </w:rPr>
            </w:r>
            <w:r>
              <w:rPr>
                <w:webHidden/>
              </w:rPr>
              <w:fldChar w:fldCharType="separate"/>
            </w:r>
            <w:r>
              <w:rPr>
                <w:webHidden/>
              </w:rPr>
              <w:t>17</w:t>
            </w:r>
            <w:r>
              <w:rPr>
                <w:webHidden/>
              </w:rPr>
              <w:fldChar w:fldCharType="end"/>
            </w:r>
          </w:hyperlink>
        </w:p>
        <w:p w14:paraId="591DBFEB" w14:textId="2D9CDFE6" w:rsidR="00EB08D7" w:rsidRDefault="00EB08D7">
          <w:pPr>
            <w:pStyle w:val="TOC1"/>
            <w:tabs>
              <w:tab w:val="left" w:pos="885"/>
            </w:tabs>
            <w:rPr>
              <w:rFonts w:asciiTheme="minorHAnsi" w:eastAsiaTheme="minorEastAsia" w:hAnsiTheme="minorHAnsi" w:cstheme="minorBidi"/>
              <w:b w:val="0"/>
              <w:spacing w:val="0"/>
              <w:kern w:val="2"/>
              <w:sz w:val="24"/>
              <w14:ligatures w14:val="standardContextual"/>
            </w:rPr>
          </w:pPr>
          <w:hyperlink w:anchor="_Toc233192918" w:history="1">
            <w:r w:rsidRPr="00975F56">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spacing w:val="0"/>
                <w:kern w:val="2"/>
                <w:sz w:val="24"/>
                <w14:ligatures w14:val="standardContextual"/>
              </w:rPr>
              <w:tab/>
            </w:r>
            <w:r w:rsidRPr="00975F56">
              <w:rPr>
                <w:rStyle w:val="Hyperlink"/>
              </w:rPr>
              <w:t>Licensing</w:t>
            </w:r>
            <w:r>
              <w:rPr>
                <w:webHidden/>
              </w:rPr>
              <w:tab/>
            </w:r>
            <w:r>
              <w:rPr>
                <w:webHidden/>
              </w:rPr>
              <w:fldChar w:fldCharType="begin"/>
            </w:r>
            <w:r>
              <w:rPr>
                <w:webHidden/>
              </w:rPr>
              <w:instrText xml:space="preserve"> PAGEREF _Toc233192918 \h </w:instrText>
            </w:r>
            <w:r>
              <w:rPr>
                <w:webHidden/>
              </w:rPr>
            </w:r>
            <w:r>
              <w:rPr>
                <w:webHidden/>
              </w:rPr>
              <w:fldChar w:fldCharType="separate"/>
            </w:r>
            <w:r>
              <w:rPr>
                <w:webHidden/>
              </w:rPr>
              <w:t>18</w:t>
            </w:r>
            <w:r>
              <w:rPr>
                <w:webHidden/>
              </w:rPr>
              <w:fldChar w:fldCharType="end"/>
            </w:r>
          </w:hyperlink>
        </w:p>
        <w:p w14:paraId="655882BF" w14:textId="022383BF"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19" w:history="1">
            <w:r w:rsidRPr="00975F56">
              <w:rPr>
                <w:rStyle w:val="Hyperlink"/>
              </w:rPr>
              <w:t>4.1</w:t>
            </w:r>
            <w:r>
              <w:rPr>
                <w:rFonts w:asciiTheme="minorHAnsi" w:eastAsiaTheme="minorEastAsia" w:hAnsiTheme="minorHAnsi" w:cstheme="minorBidi"/>
                <w:spacing w:val="0"/>
                <w:kern w:val="2"/>
                <w:sz w:val="24"/>
                <w:szCs w:val="24"/>
                <w14:ligatures w14:val="standardContextual"/>
              </w:rPr>
              <w:tab/>
            </w:r>
            <w:r w:rsidRPr="00975F56">
              <w:rPr>
                <w:rStyle w:val="Hyperlink"/>
              </w:rPr>
              <w:t>Overview of licensing</w:t>
            </w:r>
            <w:r>
              <w:rPr>
                <w:webHidden/>
              </w:rPr>
              <w:tab/>
            </w:r>
            <w:r>
              <w:rPr>
                <w:webHidden/>
              </w:rPr>
              <w:fldChar w:fldCharType="begin"/>
            </w:r>
            <w:r>
              <w:rPr>
                <w:webHidden/>
              </w:rPr>
              <w:instrText xml:space="preserve"> PAGEREF _Toc233192919 \h </w:instrText>
            </w:r>
            <w:r>
              <w:rPr>
                <w:webHidden/>
              </w:rPr>
            </w:r>
            <w:r>
              <w:rPr>
                <w:webHidden/>
              </w:rPr>
              <w:fldChar w:fldCharType="separate"/>
            </w:r>
            <w:r>
              <w:rPr>
                <w:webHidden/>
              </w:rPr>
              <w:t>18</w:t>
            </w:r>
            <w:r>
              <w:rPr>
                <w:webHidden/>
              </w:rPr>
              <w:fldChar w:fldCharType="end"/>
            </w:r>
          </w:hyperlink>
        </w:p>
        <w:p w14:paraId="0F9CB434" w14:textId="4084F779"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0" w:history="1">
            <w:r w:rsidRPr="00975F56">
              <w:rPr>
                <w:rStyle w:val="Hyperlink"/>
              </w:rPr>
              <w:t>4.2</w:t>
            </w:r>
            <w:r>
              <w:rPr>
                <w:rFonts w:asciiTheme="minorHAnsi" w:eastAsiaTheme="minorEastAsia" w:hAnsiTheme="minorHAnsi" w:cstheme="minorBidi"/>
                <w:spacing w:val="0"/>
                <w:kern w:val="2"/>
                <w:sz w:val="24"/>
                <w:szCs w:val="24"/>
                <w14:ligatures w14:val="standardContextual"/>
              </w:rPr>
              <w:tab/>
            </w:r>
            <w:r w:rsidRPr="00975F56">
              <w:rPr>
                <w:rStyle w:val="Hyperlink"/>
              </w:rPr>
              <w:t>Licence conditions</w:t>
            </w:r>
            <w:r>
              <w:rPr>
                <w:webHidden/>
              </w:rPr>
              <w:tab/>
            </w:r>
            <w:r>
              <w:rPr>
                <w:webHidden/>
              </w:rPr>
              <w:fldChar w:fldCharType="begin"/>
            </w:r>
            <w:r>
              <w:rPr>
                <w:webHidden/>
              </w:rPr>
              <w:instrText xml:space="preserve"> PAGEREF _Toc233192920 \h </w:instrText>
            </w:r>
            <w:r>
              <w:rPr>
                <w:webHidden/>
              </w:rPr>
            </w:r>
            <w:r>
              <w:rPr>
                <w:webHidden/>
              </w:rPr>
              <w:fldChar w:fldCharType="separate"/>
            </w:r>
            <w:r>
              <w:rPr>
                <w:webHidden/>
              </w:rPr>
              <w:t>18</w:t>
            </w:r>
            <w:r>
              <w:rPr>
                <w:webHidden/>
              </w:rPr>
              <w:fldChar w:fldCharType="end"/>
            </w:r>
          </w:hyperlink>
        </w:p>
        <w:p w14:paraId="09B9E811" w14:textId="2AFC5B72"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1" w:history="1">
            <w:r w:rsidRPr="00975F56">
              <w:rPr>
                <w:rStyle w:val="Hyperlink"/>
              </w:rPr>
              <w:t>4.3</w:t>
            </w:r>
            <w:r>
              <w:rPr>
                <w:rFonts w:asciiTheme="minorHAnsi" w:eastAsiaTheme="minorEastAsia" w:hAnsiTheme="minorHAnsi" w:cstheme="minorBidi"/>
                <w:spacing w:val="0"/>
                <w:kern w:val="2"/>
                <w:sz w:val="24"/>
                <w:szCs w:val="24"/>
                <w14:ligatures w14:val="standardContextual"/>
              </w:rPr>
              <w:tab/>
            </w:r>
            <w:r w:rsidRPr="00975F56">
              <w:rPr>
                <w:rStyle w:val="Hyperlink"/>
              </w:rPr>
              <w:t>Access to spectrum</w:t>
            </w:r>
            <w:r>
              <w:rPr>
                <w:webHidden/>
              </w:rPr>
              <w:tab/>
            </w:r>
            <w:r>
              <w:rPr>
                <w:webHidden/>
              </w:rPr>
              <w:fldChar w:fldCharType="begin"/>
            </w:r>
            <w:r>
              <w:rPr>
                <w:webHidden/>
              </w:rPr>
              <w:instrText xml:space="preserve"> PAGEREF _Toc233192921 \h </w:instrText>
            </w:r>
            <w:r>
              <w:rPr>
                <w:webHidden/>
              </w:rPr>
            </w:r>
            <w:r>
              <w:rPr>
                <w:webHidden/>
              </w:rPr>
              <w:fldChar w:fldCharType="separate"/>
            </w:r>
            <w:r>
              <w:rPr>
                <w:webHidden/>
              </w:rPr>
              <w:t>18</w:t>
            </w:r>
            <w:r>
              <w:rPr>
                <w:webHidden/>
              </w:rPr>
              <w:fldChar w:fldCharType="end"/>
            </w:r>
          </w:hyperlink>
        </w:p>
        <w:p w14:paraId="3C0877FE" w14:textId="592D8785"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2" w:history="1">
            <w:r w:rsidRPr="00975F56">
              <w:rPr>
                <w:rStyle w:val="Hyperlink"/>
              </w:rPr>
              <w:t>4.4</w:t>
            </w:r>
            <w:r>
              <w:rPr>
                <w:rFonts w:asciiTheme="minorHAnsi" w:eastAsiaTheme="minorEastAsia" w:hAnsiTheme="minorHAnsi" w:cstheme="minorBidi"/>
                <w:spacing w:val="0"/>
                <w:kern w:val="2"/>
                <w:sz w:val="24"/>
                <w:szCs w:val="24"/>
                <w14:ligatures w14:val="standardContextual"/>
              </w:rPr>
              <w:tab/>
            </w:r>
            <w:r w:rsidRPr="00975F56">
              <w:rPr>
                <w:rStyle w:val="Hyperlink"/>
              </w:rPr>
              <w:t>Maximum transmitter power</w:t>
            </w:r>
            <w:r>
              <w:rPr>
                <w:webHidden/>
              </w:rPr>
              <w:tab/>
            </w:r>
            <w:r>
              <w:rPr>
                <w:webHidden/>
              </w:rPr>
              <w:fldChar w:fldCharType="begin"/>
            </w:r>
            <w:r>
              <w:rPr>
                <w:webHidden/>
              </w:rPr>
              <w:instrText xml:space="preserve"> PAGEREF _Toc233192922 \h </w:instrText>
            </w:r>
            <w:r>
              <w:rPr>
                <w:webHidden/>
              </w:rPr>
            </w:r>
            <w:r>
              <w:rPr>
                <w:webHidden/>
              </w:rPr>
              <w:fldChar w:fldCharType="separate"/>
            </w:r>
            <w:r>
              <w:rPr>
                <w:webHidden/>
              </w:rPr>
              <w:t>19</w:t>
            </w:r>
            <w:r>
              <w:rPr>
                <w:webHidden/>
              </w:rPr>
              <w:fldChar w:fldCharType="end"/>
            </w:r>
          </w:hyperlink>
        </w:p>
        <w:p w14:paraId="2BF01E5F" w14:textId="2EDBCE48"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3" w:history="1">
            <w:r w:rsidRPr="00975F56">
              <w:rPr>
                <w:rStyle w:val="Hyperlink"/>
              </w:rPr>
              <w:t>4.5</w:t>
            </w:r>
            <w:r>
              <w:rPr>
                <w:rFonts w:asciiTheme="minorHAnsi" w:eastAsiaTheme="minorEastAsia" w:hAnsiTheme="minorHAnsi" w:cstheme="minorBidi"/>
                <w:spacing w:val="0"/>
                <w:kern w:val="2"/>
                <w:sz w:val="24"/>
                <w:szCs w:val="24"/>
                <w14:ligatures w14:val="standardContextual"/>
              </w:rPr>
              <w:tab/>
            </w:r>
            <w:r w:rsidRPr="00975F56">
              <w:rPr>
                <w:rStyle w:val="Hyperlink"/>
              </w:rPr>
              <w:t>Use of spectrum by rail services and non-rail services</w:t>
            </w:r>
            <w:r>
              <w:rPr>
                <w:webHidden/>
              </w:rPr>
              <w:tab/>
            </w:r>
            <w:r>
              <w:rPr>
                <w:webHidden/>
              </w:rPr>
              <w:fldChar w:fldCharType="begin"/>
            </w:r>
            <w:r>
              <w:rPr>
                <w:webHidden/>
              </w:rPr>
              <w:instrText xml:space="preserve"> PAGEREF _Toc233192923 \h </w:instrText>
            </w:r>
            <w:r>
              <w:rPr>
                <w:webHidden/>
              </w:rPr>
            </w:r>
            <w:r>
              <w:rPr>
                <w:webHidden/>
              </w:rPr>
              <w:fldChar w:fldCharType="separate"/>
            </w:r>
            <w:r>
              <w:rPr>
                <w:webHidden/>
              </w:rPr>
              <w:t>19</w:t>
            </w:r>
            <w:r>
              <w:rPr>
                <w:webHidden/>
              </w:rPr>
              <w:fldChar w:fldCharType="end"/>
            </w:r>
          </w:hyperlink>
        </w:p>
        <w:p w14:paraId="35C9E6D9" w14:textId="36363960"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4" w:history="1">
            <w:r w:rsidRPr="00975F56">
              <w:rPr>
                <w:rStyle w:val="Hyperlink"/>
              </w:rPr>
              <w:t>4.6</w:t>
            </w:r>
            <w:r>
              <w:rPr>
                <w:rFonts w:asciiTheme="minorHAnsi" w:eastAsiaTheme="minorEastAsia" w:hAnsiTheme="minorHAnsi" w:cstheme="minorBidi"/>
                <w:spacing w:val="0"/>
                <w:kern w:val="2"/>
                <w:sz w:val="24"/>
                <w:szCs w:val="24"/>
                <w14:ligatures w14:val="standardContextual"/>
              </w:rPr>
              <w:tab/>
            </w:r>
            <w:r w:rsidRPr="00975F56">
              <w:rPr>
                <w:rStyle w:val="Hyperlink"/>
              </w:rPr>
              <w:t>Assigning Spectrum</w:t>
            </w:r>
            <w:r>
              <w:rPr>
                <w:webHidden/>
              </w:rPr>
              <w:tab/>
            </w:r>
            <w:r>
              <w:rPr>
                <w:webHidden/>
              </w:rPr>
              <w:fldChar w:fldCharType="begin"/>
            </w:r>
            <w:r>
              <w:rPr>
                <w:webHidden/>
              </w:rPr>
              <w:instrText xml:space="preserve"> PAGEREF _Toc233192924 \h </w:instrText>
            </w:r>
            <w:r>
              <w:rPr>
                <w:webHidden/>
              </w:rPr>
            </w:r>
            <w:r>
              <w:rPr>
                <w:webHidden/>
              </w:rPr>
              <w:fldChar w:fldCharType="separate"/>
            </w:r>
            <w:r>
              <w:rPr>
                <w:webHidden/>
              </w:rPr>
              <w:t>19</w:t>
            </w:r>
            <w:r>
              <w:rPr>
                <w:webHidden/>
              </w:rPr>
              <w:fldChar w:fldCharType="end"/>
            </w:r>
          </w:hyperlink>
        </w:p>
        <w:p w14:paraId="1DA9DF7C" w14:textId="1A94D995"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5" w:history="1">
            <w:r w:rsidRPr="00975F56">
              <w:rPr>
                <w:rStyle w:val="Hyperlink"/>
              </w:rPr>
              <w:t>4.7</w:t>
            </w:r>
            <w:r>
              <w:rPr>
                <w:rFonts w:asciiTheme="minorHAnsi" w:eastAsiaTheme="minorEastAsia" w:hAnsiTheme="minorHAnsi" w:cstheme="minorBidi"/>
                <w:spacing w:val="0"/>
                <w:kern w:val="2"/>
                <w:sz w:val="24"/>
                <w:szCs w:val="24"/>
                <w14:ligatures w14:val="standardContextual"/>
              </w:rPr>
              <w:tab/>
            </w:r>
            <w:r w:rsidRPr="00975F56">
              <w:rPr>
                <w:rStyle w:val="Hyperlink"/>
              </w:rPr>
              <w:t>Advisory notes</w:t>
            </w:r>
            <w:r>
              <w:rPr>
                <w:webHidden/>
              </w:rPr>
              <w:tab/>
            </w:r>
            <w:r>
              <w:rPr>
                <w:webHidden/>
              </w:rPr>
              <w:fldChar w:fldCharType="begin"/>
            </w:r>
            <w:r>
              <w:rPr>
                <w:webHidden/>
              </w:rPr>
              <w:instrText xml:space="preserve"> PAGEREF _Toc233192925 \h </w:instrText>
            </w:r>
            <w:r>
              <w:rPr>
                <w:webHidden/>
              </w:rPr>
            </w:r>
            <w:r>
              <w:rPr>
                <w:webHidden/>
              </w:rPr>
              <w:fldChar w:fldCharType="separate"/>
            </w:r>
            <w:r>
              <w:rPr>
                <w:webHidden/>
              </w:rPr>
              <w:t>20</w:t>
            </w:r>
            <w:r>
              <w:rPr>
                <w:webHidden/>
              </w:rPr>
              <w:fldChar w:fldCharType="end"/>
            </w:r>
          </w:hyperlink>
        </w:p>
        <w:p w14:paraId="18EF6AEC" w14:textId="57287361"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6" w:history="1">
            <w:r w:rsidRPr="00975F56">
              <w:rPr>
                <w:rStyle w:val="Hyperlink"/>
              </w:rPr>
              <w:t>4.8</w:t>
            </w:r>
            <w:r>
              <w:rPr>
                <w:rFonts w:asciiTheme="minorHAnsi" w:eastAsiaTheme="minorEastAsia" w:hAnsiTheme="minorHAnsi" w:cstheme="minorBidi"/>
                <w:spacing w:val="0"/>
                <w:kern w:val="2"/>
                <w:sz w:val="24"/>
                <w:szCs w:val="24"/>
                <w14:ligatures w14:val="standardContextual"/>
              </w:rPr>
              <w:tab/>
            </w:r>
            <w:r w:rsidRPr="00975F56">
              <w:rPr>
                <w:rStyle w:val="Hyperlink"/>
              </w:rPr>
              <w:t>Special conditions</w:t>
            </w:r>
            <w:r>
              <w:rPr>
                <w:webHidden/>
              </w:rPr>
              <w:tab/>
            </w:r>
            <w:r>
              <w:rPr>
                <w:webHidden/>
              </w:rPr>
              <w:fldChar w:fldCharType="begin"/>
            </w:r>
            <w:r>
              <w:rPr>
                <w:webHidden/>
              </w:rPr>
              <w:instrText xml:space="preserve"> PAGEREF _Toc233192926 \h </w:instrText>
            </w:r>
            <w:r>
              <w:rPr>
                <w:webHidden/>
              </w:rPr>
            </w:r>
            <w:r>
              <w:rPr>
                <w:webHidden/>
              </w:rPr>
              <w:fldChar w:fldCharType="separate"/>
            </w:r>
            <w:r>
              <w:rPr>
                <w:webHidden/>
              </w:rPr>
              <w:t>20</w:t>
            </w:r>
            <w:r>
              <w:rPr>
                <w:webHidden/>
              </w:rPr>
              <w:fldChar w:fldCharType="end"/>
            </w:r>
          </w:hyperlink>
        </w:p>
        <w:p w14:paraId="33E58F2A" w14:textId="20BF4C03"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27" w:history="1">
            <w:r w:rsidRPr="00975F56">
              <w:rPr>
                <w:rStyle w:val="Hyperlink"/>
              </w:rPr>
              <w:t>4.9</w:t>
            </w:r>
            <w:r>
              <w:rPr>
                <w:rFonts w:asciiTheme="minorHAnsi" w:eastAsiaTheme="minorEastAsia" w:hAnsiTheme="minorHAnsi" w:cstheme="minorBidi"/>
                <w:spacing w:val="0"/>
                <w:kern w:val="2"/>
                <w:sz w:val="24"/>
                <w:szCs w:val="24"/>
                <w14:ligatures w14:val="standardContextual"/>
              </w:rPr>
              <w:tab/>
            </w:r>
            <w:r w:rsidRPr="00975F56">
              <w:rPr>
                <w:rStyle w:val="Hyperlink"/>
              </w:rPr>
              <w:t>Spectrum access records</w:t>
            </w:r>
            <w:r>
              <w:rPr>
                <w:webHidden/>
              </w:rPr>
              <w:tab/>
            </w:r>
            <w:r>
              <w:rPr>
                <w:webHidden/>
              </w:rPr>
              <w:fldChar w:fldCharType="begin"/>
            </w:r>
            <w:r>
              <w:rPr>
                <w:webHidden/>
              </w:rPr>
              <w:instrText xml:space="preserve"> PAGEREF _Toc233192927 \h </w:instrText>
            </w:r>
            <w:r>
              <w:rPr>
                <w:webHidden/>
              </w:rPr>
            </w:r>
            <w:r>
              <w:rPr>
                <w:webHidden/>
              </w:rPr>
              <w:fldChar w:fldCharType="separate"/>
            </w:r>
            <w:r>
              <w:rPr>
                <w:webHidden/>
              </w:rPr>
              <w:t>21</w:t>
            </w:r>
            <w:r>
              <w:rPr>
                <w:webHidden/>
              </w:rPr>
              <w:fldChar w:fldCharType="end"/>
            </w:r>
          </w:hyperlink>
        </w:p>
        <w:p w14:paraId="08B21747" w14:textId="0B9EFB07" w:rsidR="00EB08D7" w:rsidRDefault="00EB08D7">
          <w:pPr>
            <w:pStyle w:val="TOC1"/>
            <w:tabs>
              <w:tab w:val="left" w:pos="885"/>
            </w:tabs>
            <w:rPr>
              <w:rFonts w:asciiTheme="minorHAnsi" w:eastAsiaTheme="minorEastAsia" w:hAnsiTheme="minorHAnsi" w:cstheme="minorBidi"/>
              <w:b w:val="0"/>
              <w:spacing w:val="0"/>
              <w:kern w:val="2"/>
              <w:sz w:val="24"/>
              <w14:ligatures w14:val="standardContextual"/>
            </w:rPr>
          </w:pPr>
          <w:hyperlink w:anchor="_Toc233192928" w:history="1">
            <w:r w:rsidRPr="00975F56">
              <w:rPr>
                <w:rStyle w:val="Hyperlink"/>
                <w14:scene3d>
                  <w14:camera w14:prst="orthographicFront"/>
                  <w14:lightRig w14:rig="threePt" w14:dir="t">
                    <w14:rot w14:lat="0" w14:lon="0" w14:rev="0"/>
                  </w14:lightRig>
                </w14:scene3d>
              </w:rPr>
              <w:t>5</w:t>
            </w:r>
            <w:r>
              <w:rPr>
                <w:rFonts w:asciiTheme="minorHAnsi" w:eastAsiaTheme="minorEastAsia" w:hAnsiTheme="minorHAnsi" w:cstheme="minorBidi"/>
                <w:b w:val="0"/>
                <w:spacing w:val="0"/>
                <w:kern w:val="2"/>
                <w:sz w:val="24"/>
                <w14:ligatures w14:val="standardContextual"/>
              </w:rPr>
              <w:tab/>
            </w:r>
            <w:r w:rsidRPr="00975F56">
              <w:rPr>
                <w:rStyle w:val="Hyperlink"/>
              </w:rPr>
              <w:t>Exceptions</w:t>
            </w:r>
            <w:r>
              <w:rPr>
                <w:webHidden/>
              </w:rPr>
              <w:tab/>
            </w:r>
            <w:r>
              <w:rPr>
                <w:webHidden/>
              </w:rPr>
              <w:fldChar w:fldCharType="begin"/>
            </w:r>
            <w:r>
              <w:rPr>
                <w:webHidden/>
              </w:rPr>
              <w:instrText xml:space="preserve"> PAGEREF _Toc233192928 \h </w:instrText>
            </w:r>
            <w:r>
              <w:rPr>
                <w:webHidden/>
              </w:rPr>
            </w:r>
            <w:r>
              <w:rPr>
                <w:webHidden/>
              </w:rPr>
              <w:fldChar w:fldCharType="separate"/>
            </w:r>
            <w:r>
              <w:rPr>
                <w:webHidden/>
              </w:rPr>
              <w:t>22</w:t>
            </w:r>
            <w:r>
              <w:rPr>
                <w:webHidden/>
              </w:rPr>
              <w:fldChar w:fldCharType="end"/>
            </w:r>
          </w:hyperlink>
        </w:p>
        <w:p w14:paraId="3333AA2D" w14:textId="3DB1445C" w:rsidR="00EB08D7" w:rsidRDefault="00EB08D7">
          <w:pPr>
            <w:pStyle w:val="TOC1"/>
            <w:tabs>
              <w:tab w:val="left" w:pos="885"/>
            </w:tabs>
            <w:rPr>
              <w:rFonts w:asciiTheme="minorHAnsi" w:eastAsiaTheme="minorEastAsia" w:hAnsiTheme="minorHAnsi" w:cstheme="minorBidi"/>
              <w:b w:val="0"/>
              <w:spacing w:val="0"/>
              <w:kern w:val="2"/>
              <w:sz w:val="24"/>
              <w14:ligatures w14:val="standardContextual"/>
            </w:rPr>
          </w:pPr>
          <w:hyperlink w:anchor="_Toc233192929" w:history="1">
            <w:r w:rsidRPr="00975F56">
              <w:rPr>
                <w:rStyle w:val="Hyperlink"/>
                <w14:scene3d>
                  <w14:camera w14:prst="orthographicFront"/>
                  <w14:lightRig w14:rig="threePt" w14:dir="t">
                    <w14:rot w14:lat="0" w14:lon="0" w14:rev="0"/>
                  </w14:lightRig>
                </w14:scene3d>
              </w:rPr>
              <w:t>6</w:t>
            </w:r>
            <w:r>
              <w:rPr>
                <w:rFonts w:asciiTheme="minorHAnsi" w:eastAsiaTheme="minorEastAsia" w:hAnsiTheme="minorHAnsi" w:cstheme="minorBidi"/>
                <w:b w:val="0"/>
                <w:spacing w:val="0"/>
                <w:kern w:val="2"/>
                <w:sz w:val="24"/>
                <w14:ligatures w14:val="standardContextual"/>
              </w:rPr>
              <w:tab/>
            </w:r>
            <w:r w:rsidRPr="00975F56">
              <w:rPr>
                <w:rStyle w:val="Hyperlink"/>
              </w:rPr>
              <w:t>RALI Authorisation</w:t>
            </w:r>
            <w:r>
              <w:rPr>
                <w:webHidden/>
              </w:rPr>
              <w:tab/>
            </w:r>
            <w:r>
              <w:rPr>
                <w:webHidden/>
              </w:rPr>
              <w:fldChar w:fldCharType="begin"/>
            </w:r>
            <w:r>
              <w:rPr>
                <w:webHidden/>
              </w:rPr>
              <w:instrText xml:space="preserve"> PAGEREF _Toc233192929 \h </w:instrText>
            </w:r>
            <w:r>
              <w:rPr>
                <w:webHidden/>
              </w:rPr>
            </w:r>
            <w:r>
              <w:rPr>
                <w:webHidden/>
              </w:rPr>
              <w:fldChar w:fldCharType="separate"/>
            </w:r>
            <w:r>
              <w:rPr>
                <w:webHidden/>
              </w:rPr>
              <w:t>23</w:t>
            </w:r>
            <w:r>
              <w:rPr>
                <w:webHidden/>
              </w:rPr>
              <w:fldChar w:fldCharType="end"/>
            </w:r>
          </w:hyperlink>
        </w:p>
        <w:p w14:paraId="601460B4" w14:textId="72ABFEC5" w:rsidR="00EB08D7" w:rsidRDefault="00EB08D7">
          <w:pPr>
            <w:pStyle w:val="TOC1"/>
            <w:rPr>
              <w:rFonts w:asciiTheme="minorHAnsi" w:eastAsiaTheme="minorEastAsia" w:hAnsiTheme="minorHAnsi" w:cstheme="minorBidi"/>
              <w:b w:val="0"/>
              <w:spacing w:val="0"/>
              <w:kern w:val="2"/>
              <w:sz w:val="24"/>
              <w14:ligatures w14:val="standardContextual"/>
            </w:rPr>
          </w:pPr>
          <w:hyperlink w:anchor="_Toc233192930" w:history="1">
            <w:r w:rsidRPr="00975F56">
              <w:rPr>
                <w:rStyle w:val="Hyperlink"/>
              </w:rPr>
              <w:t>Glossary of terms</w:t>
            </w:r>
            <w:r>
              <w:rPr>
                <w:webHidden/>
              </w:rPr>
              <w:tab/>
            </w:r>
            <w:r>
              <w:rPr>
                <w:webHidden/>
              </w:rPr>
              <w:fldChar w:fldCharType="begin"/>
            </w:r>
            <w:r>
              <w:rPr>
                <w:webHidden/>
              </w:rPr>
              <w:instrText xml:space="preserve"> PAGEREF _Toc233192930 \h </w:instrText>
            </w:r>
            <w:r>
              <w:rPr>
                <w:webHidden/>
              </w:rPr>
            </w:r>
            <w:r>
              <w:rPr>
                <w:webHidden/>
              </w:rPr>
              <w:fldChar w:fldCharType="separate"/>
            </w:r>
            <w:r>
              <w:rPr>
                <w:webHidden/>
              </w:rPr>
              <w:t>24</w:t>
            </w:r>
            <w:r>
              <w:rPr>
                <w:webHidden/>
              </w:rPr>
              <w:fldChar w:fldCharType="end"/>
            </w:r>
          </w:hyperlink>
        </w:p>
        <w:p w14:paraId="08CEC9DD" w14:textId="534D8C98" w:rsidR="00EB08D7" w:rsidRDefault="00EB08D7">
          <w:pPr>
            <w:pStyle w:val="TOC1"/>
            <w:tabs>
              <w:tab w:val="left" w:pos="1920"/>
            </w:tabs>
            <w:rPr>
              <w:rFonts w:asciiTheme="minorHAnsi" w:eastAsiaTheme="minorEastAsia" w:hAnsiTheme="minorHAnsi" w:cstheme="minorBidi"/>
              <w:b w:val="0"/>
              <w:spacing w:val="0"/>
              <w:kern w:val="2"/>
              <w:sz w:val="24"/>
              <w14:ligatures w14:val="standardContextual"/>
            </w:rPr>
          </w:pPr>
          <w:hyperlink w:anchor="_Toc233192931" w:history="1">
            <w:r w:rsidRPr="00975F56">
              <w:rPr>
                <w:rStyle w:val="Hyperlink"/>
              </w:rPr>
              <w:t>Appendix A:</w:t>
            </w:r>
            <w:r>
              <w:rPr>
                <w:rFonts w:asciiTheme="minorHAnsi" w:eastAsiaTheme="minorEastAsia" w:hAnsiTheme="minorHAnsi" w:cstheme="minorBidi"/>
                <w:b w:val="0"/>
                <w:spacing w:val="0"/>
                <w:kern w:val="2"/>
                <w:sz w:val="24"/>
                <w14:ligatures w14:val="standardContextual"/>
              </w:rPr>
              <w:tab/>
            </w:r>
            <w:r w:rsidRPr="00975F56">
              <w:rPr>
                <w:rStyle w:val="Hyperlink"/>
              </w:rPr>
              <w:t>Railway lines for RMR network in the 1900–1910 MHz band</w:t>
            </w:r>
            <w:r>
              <w:rPr>
                <w:webHidden/>
              </w:rPr>
              <w:tab/>
            </w:r>
            <w:r w:rsidR="00B079C3">
              <w:rPr>
                <w:webHidden/>
              </w:rPr>
              <w:tab/>
            </w:r>
            <w:r>
              <w:rPr>
                <w:webHidden/>
              </w:rPr>
              <w:fldChar w:fldCharType="begin"/>
            </w:r>
            <w:r>
              <w:rPr>
                <w:webHidden/>
              </w:rPr>
              <w:instrText xml:space="preserve"> PAGEREF _Toc233192931 \h </w:instrText>
            </w:r>
            <w:r>
              <w:rPr>
                <w:webHidden/>
              </w:rPr>
            </w:r>
            <w:r>
              <w:rPr>
                <w:webHidden/>
              </w:rPr>
              <w:fldChar w:fldCharType="separate"/>
            </w:r>
            <w:r>
              <w:rPr>
                <w:webHidden/>
              </w:rPr>
              <w:t>25</w:t>
            </w:r>
            <w:r>
              <w:rPr>
                <w:webHidden/>
              </w:rPr>
              <w:fldChar w:fldCharType="end"/>
            </w:r>
          </w:hyperlink>
        </w:p>
        <w:p w14:paraId="0022C90E" w14:textId="5752AD89"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32" w:history="1">
            <w:r w:rsidRPr="00975F56">
              <w:rPr>
                <w:rStyle w:val="Hyperlink"/>
              </w:rPr>
              <w:t>A.1</w:t>
            </w:r>
            <w:r>
              <w:rPr>
                <w:rFonts w:asciiTheme="minorHAnsi" w:eastAsiaTheme="minorEastAsia" w:hAnsiTheme="minorHAnsi" w:cstheme="minorBidi"/>
                <w:spacing w:val="0"/>
                <w:kern w:val="2"/>
                <w:sz w:val="24"/>
                <w:szCs w:val="24"/>
                <w14:ligatures w14:val="standardContextual"/>
              </w:rPr>
              <w:tab/>
            </w:r>
            <w:r w:rsidRPr="00975F56">
              <w:rPr>
                <w:rStyle w:val="Hyperlink"/>
              </w:rPr>
              <w:t>Additional railway lines</w:t>
            </w:r>
            <w:r>
              <w:rPr>
                <w:webHidden/>
              </w:rPr>
              <w:tab/>
            </w:r>
            <w:r>
              <w:rPr>
                <w:webHidden/>
              </w:rPr>
              <w:fldChar w:fldCharType="begin"/>
            </w:r>
            <w:r>
              <w:rPr>
                <w:webHidden/>
              </w:rPr>
              <w:instrText xml:space="preserve"> PAGEREF _Toc233192932 \h </w:instrText>
            </w:r>
            <w:r>
              <w:rPr>
                <w:webHidden/>
              </w:rPr>
            </w:r>
            <w:r>
              <w:rPr>
                <w:webHidden/>
              </w:rPr>
              <w:fldChar w:fldCharType="separate"/>
            </w:r>
            <w:r>
              <w:rPr>
                <w:webHidden/>
              </w:rPr>
              <w:t>26</w:t>
            </w:r>
            <w:r>
              <w:rPr>
                <w:webHidden/>
              </w:rPr>
              <w:fldChar w:fldCharType="end"/>
            </w:r>
          </w:hyperlink>
        </w:p>
        <w:p w14:paraId="5187C02D" w14:textId="5CE7D5B8" w:rsidR="00EB08D7" w:rsidRDefault="00EB08D7">
          <w:pPr>
            <w:pStyle w:val="TOC1"/>
            <w:tabs>
              <w:tab w:val="left" w:pos="1920"/>
            </w:tabs>
            <w:rPr>
              <w:rFonts w:asciiTheme="minorHAnsi" w:eastAsiaTheme="minorEastAsia" w:hAnsiTheme="minorHAnsi" w:cstheme="minorBidi"/>
              <w:b w:val="0"/>
              <w:spacing w:val="0"/>
              <w:kern w:val="2"/>
              <w:sz w:val="24"/>
              <w14:ligatures w14:val="standardContextual"/>
            </w:rPr>
          </w:pPr>
          <w:hyperlink w:anchor="_Toc233192933" w:history="1">
            <w:r w:rsidRPr="00975F56">
              <w:rPr>
                <w:rStyle w:val="Hyperlink"/>
              </w:rPr>
              <w:t>Appendix B:</w:t>
            </w:r>
            <w:r>
              <w:rPr>
                <w:rFonts w:asciiTheme="minorHAnsi" w:eastAsiaTheme="minorEastAsia" w:hAnsiTheme="minorHAnsi" w:cstheme="minorBidi"/>
                <w:b w:val="0"/>
                <w:spacing w:val="0"/>
                <w:kern w:val="2"/>
                <w:sz w:val="24"/>
                <w14:ligatures w14:val="standardContextual"/>
              </w:rPr>
              <w:tab/>
            </w:r>
            <w:r w:rsidRPr="00975F56">
              <w:rPr>
                <w:rStyle w:val="Hyperlink"/>
              </w:rPr>
              <w:t>Protection criteria for RMR receivers in the 1900–1910 MHz band</w:t>
            </w:r>
            <w:r>
              <w:rPr>
                <w:webHidden/>
              </w:rPr>
              <w:tab/>
            </w:r>
            <w:r w:rsidR="00B079C3">
              <w:rPr>
                <w:webHidden/>
              </w:rPr>
              <w:tab/>
            </w:r>
            <w:r>
              <w:rPr>
                <w:webHidden/>
              </w:rPr>
              <w:fldChar w:fldCharType="begin"/>
            </w:r>
            <w:r>
              <w:rPr>
                <w:webHidden/>
              </w:rPr>
              <w:instrText xml:space="preserve"> PAGEREF _Toc233192933 \h </w:instrText>
            </w:r>
            <w:r>
              <w:rPr>
                <w:webHidden/>
              </w:rPr>
            </w:r>
            <w:r>
              <w:rPr>
                <w:webHidden/>
              </w:rPr>
              <w:fldChar w:fldCharType="separate"/>
            </w:r>
            <w:r>
              <w:rPr>
                <w:webHidden/>
              </w:rPr>
              <w:t>27</w:t>
            </w:r>
            <w:r>
              <w:rPr>
                <w:webHidden/>
              </w:rPr>
              <w:fldChar w:fldCharType="end"/>
            </w:r>
          </w:hyperlink>
        </w:p>
        <w:p w14:paraId="5FE470FD" w14:textId="21028C06"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34" w:history="1">
            <w:r w:rsidRPr="00975F56">
              <w:rPr>
                <w:rStyle w:val="Hyperlink"/>
              </w:rPr>
              <w:t>B.1</w:t>
            </w:r>
            <w:r>
              <w:rPr>
                <w:rFonts w:asciiTheme="minorHAnsi" w:eastAsiaTheme="minorEastAsia" w:hAnsiTheme="minorHAnsi" w:cstheme="minorBidi"/>
                <w:spacing w:val="0"/>
                <w:kern w:val="2"/>
                <w:sz w:val="24"/>
                <w:szCs w:val="24"/>
                <w14:ligatures w14:val="standardContextual"/>
              </w:rPr>
              <w:tab/>
            </w:r>
            <w:r w:rsidRPr="00975F56">
              <w:rPr>
                <w:rStyle w:val="Hyperlink"/>
              </w:rPr>
              <w:t>Protection of RMR receivers from a non-RMR transmitter</w:t>
            </w:r>
            <w:r>
              <w:rPr>
                <w:webHidden/>
              </w:rPr>
              <w:tab/>
            </w:r>
            <w:r>
              <w:rPr>
                <w:webHidden/>
              </w:rPr>
              <w:fldChar w:fldCharType="begin"/>
            </w:r>
            <w:r>
              <w:rPr>
                <w:webHidden/>
              </w:rPr>
              <w:instrText xml:space="preserve"> PAGEREF _Toc233192934 \h </w:instrText>
            </w:r>
            <w:r>
              <w:rPr>
                <w:webHidden/>
              </w:rPr>
            </w:r>
            <w:r>
              <w:rPr>
                <w:webHidden/>
              </w:rPr>
              <w:fldChar w:fldCharType="separate"/>
            </w:r>
            <w:r>
              <w:rPr>
                <w:webHidden/>
              </w:rPr>
              <w:t>27</w:t>
            </w:r>
            <w:r>
              <w:rPr>
                <w:webHidden/>
              </w:rPr>
              <w:fldChar w:fldCharType="end"/>
            </w:r>
          </w:hyperlink>
        </w:p>
        <w:p w14:paraId="59CF7EB0" w14:textId="358A0FCC" w:rsidR="00EB08D7" w:rsidRDefault="00EB08D7">
          <w:pPr>
            <w:pStyle w:val="TOC1"/>
            <w:tabs>
              <w:tab w:val="left" w:pos="1920"/>
            </w:tabs>
            <w:rPr>
              <w:rFonts w:asciiTheme="minorHAnsi" w:eastAsiaTheme="minorEastAsia" w:hAnsiTheme="minorHAnsi" w:cstheme="minorBidi"/>
              <w:b w:val="0"/>
              <w:spacing w:val="0"/>
              <w:kern w:val="2"/>
              <w:sz w:val="24"/>
              <w14:ligatures w14:val="standardContextual"/>
            </w:rPr>
          </w:pPr>
          <w:hyperlink w:anchor="_Toc233192935" w:history="1">
            <w:r w:rsidRPr="00975F56">
              <w:rPr>
                <w:rStyle w:val="Hyperlink"/>
              </w:rPr>
              <w:t>Appendix C:</w:t>
            </w:r>
            <w:r>
              <w:rPr>
                <w:rFonts w:asciiTheme="minorHAnsi" w:eastAsiaTheme="minorEastAsia" w:hAnsiTheme="minorHAnsi" w:cstheme="minorBidi"/>
                <w:b w:val="0"/>
                <w:spacing w:val="0"/>
                <w:kern w:val="2"/>
                <w:sz w:val="24"/>
                <w14:ligatures w14:val="standardContextual"/>
              </w:rPr>
              <w:tab/>
            </w:r>
            <w:r w:rsidRPr="00975F56">
              <w:rPr>
                <w:rStyle w:val="Hyperlink"/>
              </w:rPr>
              <w:t>Protection criteria for fixed point-to-point receivers in the 1.8 and 2.1 GHz bands</w:t>
            </w:r>
            <w:r>
              <w:rPr>
                <w:webHidden/>
              </w:rPr>
              <w:tab/>
            </w:r>
            <w:r>
              <w:rPr>
                <w:webHidden/>
              </w:rPr>
              <w:fldChar w:fldCharType="begin"/>
            </w:r>
            <w:r>
              <w:rPr>
                <w:webHidden/>
              </w:rPr>
              <w:instrText xml:space="preserve"> PAGEREF _Toc233192935 \h </w:instrText>
            </w:r>
            <w:r>
              <w:rPr>
                <w:webHidden/>
              </w:rPr>
            </w:r>
            <w:r>
              <w:rPr>
                <w:webHidden/>
              </w:rPr>
              <w:fldChar w:fldCharType="separate"/>
            </w:r>
            <w:r>
              <w:rPr>
                <w:webHidden/>
              </w:rPr>
              <w:t>28</w:t>
            </w:r>
            <w:r>
              <w:rPr>
                <w:webHidden/>
              </w:rPr>
              <w:fldChar w:fldCharType="end"/>
            </w:r>
          </w:hyperlink>
        </w:p>
        <w:p w14:paraId="083C0B8B" w14:textId="120A30B2" w:rsidR="00EB08D7" w:rsidRDefault="00EB08D7">
          <w:pPr>
            <w:pStyle w:val="TOC1"/>
            <w:tabs>
              <w:tab w:val="left" w:pos="1920"/>
            </w:tabs>
            <w:rPr>
              <w:rFonts w:asciiTheme="minorHAnsi" w:eastAsiaTheme="minorEastAsia" w:hAnsiTheme="minorHAnsi" w:cstheme="minorBidi"/>
              <w:b w:val="0"/>
              <w:spacing w:val="0"/>
              <w:kern w:val="2"/>
              <w:sz w:val="24"/>
              <w14:ligatures w14:val="standardContextual"/>
            </w:rPr>
          </w:pPr>
          <w:hyperlink w:anchor="_Toc233192936" w:history="1">
            <w:r w:rsidRPr="00975F56">
              <w:rPr>
                <w:rStyle w:val="Hyperlink"/>
              </w:rPr>
              <w:t>Appendix D:</w:t>
            </w:r>
            <w:r>
              <w:rPr>
                <w:rFonts w:asciiTheme="minorHAnsi" w:eastAsiaTheme="minorEastAsia" w:hAnsiTheme="minorHAnsi" w:cstheme="minorBidi"/>
                <w:b w:val="0"/>
                <w:spacing w:val="0"/>
                <w:kern w:val="2"/>
                <w:sz w:val="24"/>
                <w14:ligatures w14:val="standardContextual"/>
              </w:rPr>
              <w:tab/>
            </w:r>
            <w:r w:rsidRPr="00975F56">
              <w:rPr>
                <w:rStyle w:val="Hyperlink"/>
              </w:rPr>
              <w:t>Protection ratio correction factors</w:t>
            </w:r>
            <w:r>
              <w:rPr>
                <w:webHidden/>
              </w:rPr>
              <w:tab/>
            </w:r>
            <w:r>
              <w:rPr>
                <w:webHidden/>
              </w:rPr>
              <w:fldChar w:fldCharType="begin"/>
            </w:r>
            <w:r>
              <w:rPr>
                <w:webHidden/>
              </w:rPr>
              <w:instrText xml:space="preserve"> PAGEREF _Toc233192936 \h </w:instrText>
            </w:r>
            <w:r>
              <w:rPr>
                <w:webHidden/>
              </w:rPr>
            </w:r>
            <w:r>
              <w:rPr>
                <w:webHidden/>
              </w:rPr>
              <w:fldChar w:fldCharType="separate"/>
            </w:r>
            <w:r>
              <w:rPr>
                <w:webHidden/>
              </w:rPr>
              <w:t>29</w:t>
            </w:r>
            <w:r>
              <w:rPr>
                <w:webHidden/>
              </w:rPr>
              <w:fldChar w:fldCharType="end"/>
            </w:r>
          </w:hyperlink>
        </w:p>
        <w:p w14:paraId="029392AA" w14:textId="5168B73B" w:rsidR="00EB08D7" w:rsidRDefault="00EB08D7">
          <w:pPr>
            <w:pStyle w:val="TOC1"/>
            <w:tabs>
              <w:tab w:val="left" w:pos="1920"/>
            </w:tabs>
            <w:rPr>
              <w:rFonts w:asciiTheme="minorHAnsi" w:eastAsiaTheme="minorEastAsia" w:hAnsiTheme="minorHAnsi" w:cstheme="minorBidi"/>
              <w:b w:val="0"/>
              <w:spacing w:val="0"/>
              <w:kern w:val="2"/>
              <w:sz w:val="24"/>
              <w14:ligatures w14:val="standardContextual"/>
            </w:rPr>
          </w:pPr>
          <w:hyperlink w:anchor="_Toc233192937" w:history="1">
            <w:r w:rsidRPr="00975F56">
              <w:rPr>
                <w:rStyle w:val="Hyperlink"/>
              </w:rPr>
              <w:t>Appendix E:</w:t>
            </w:r>
            <w:r>
              <w:rPr>
                <w:rFonts w:asciiTheme="minorHAnsi" w:eastAsiaTheme="minorEastAsia" w:hAnsiTheme="minorHAnsi" w:cstheme="minorBidi"/>
                <w:b w:val="0"/>
                <w:spacing w:val="0"/>
                <w:kern w:val="2"/>
                <w:sz w:val="24"/>
                <w14:ligatures w14:val="standardContextual"/>
              </w:rPr>
              <w:tab/>
            </w:r>
            <w:r w:rsidRPr="00975F56">
              <w:rPr>
                <w:rStyle w:val="Hyperlink"/>
              </w:rPr>
              <w:t>RMR service model</w:t>
            </w:r>
            <w:r>
              <w:rPr>
                <w:webHidden/>
              </w:rPr>
              <w:tab/>
            </w:r>
            <w:r>
              <w:rPr>
                <w:webHidden/>
              </w:rPr>
              <w:fldChar w:fldCharType="begin"/>
            </w:r>
            <w:r>
              <w:rPr>
                <w:webHidden/>
              </w:rPr>
              <w:instrText xml:space="preserve"> PAGEREF _Toc233192937 \h </w:instrText>
            </w:r>
            <w:r>
              <w:rPr>
                <w:webHidden/>
              </w:rPr>
            </w:r>
            <w:r>
              <w:rPr>
                <w:webHidden/>
              </w:rPr>
              <w:fldChar w:fldCharType="separate"/>
            </w:r>
            <w:r>
              <w:rPr>
                <w:webHidden/>
              </w:rPr>
              <w:t>31</w:t>
            </w:r>
            <w:r>
              <w:rPr>
                <w:webHidden/>
              </w:rPr>
              <w:fldChar w:fldCharType="end"/>
            </w:r>
          </w:hyperlink>
        </w:p>
        <w:p w14:paraId="726E3BF4" w14:textId="6E2104A2"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38" w:history="1">
            <w:r w:rsidRPr="00975F56">
              <w:rPr>
                <w:rStyle w:val="Hyperlink"/>
              </w:rPr>
              <w:t>E.1</w:t>
            </w:r>
            <w:r>
              <w:rPr>
                <w:rFonts w:asciiTheme="minorHAnsi" w:eastAsiaTheme="minorEastAsia" w:hAnsiTheme="minorHAnsi" w:cstheme="minorBidi"/>
                <w:spacing w:val="0"/>
                <w:kern w:val="2"/>
                <w:sz w:val="24"/>
                <w:szCs w:val="24"/>
                <w14:ligatures w14:val="standardContextual"/>
              </w:rPr>
              <w:tab/>
            </w:r>
            <w:r w:rsidRPr="00975F56">
              <w:rPr>
                <w:rStyle w:val="Hyperlink"/>
              </w:rPr>
              <w:t>Equipment types</w:t>
            </w:r>
            <w:r>
              <w:rPr>
                <w:webHidden/>
              </w:rPr>
              <w:tab/>
            </w:r>
            <w:r>
              <w:rPr>
                <w:webHidden/>
              </w:rPr>
              <w:fldChar w:fldCharType="begin"/>
            </w:r>
            <w:r>
              <w:rPr>
                <w:webHidden/>
              </w:rPr>
              <w:instrText xml:space="preserve"> PAGEREF _Toc233192938 \h </w:instrText>
            </w:r>
            <w:r>
              <w:rPr>
                <w:webHidden/>
              </w:rPr>
            </w:r>
            <w:r>
              <w:rPr>
                <w:webHidden/>
              </w:rPr>
              <w:fldChar w:fldCharType="separate"/>
            </w:r>
            <w:r>
              <w:rPr>
                <w:webHidden/>
              </w:rPr>
              <w:t>31</w:t>
            </w:r>
            <w:r>
              <w:rPr>
                <w:webHidden/>
              </w:rPr>
              <w:fldChar w:fldCharType="end"/>
            </w:r>
          </w:hyperlink>
        </w:p>
        <w:p w14:paraId="09FEE254" w14:textId="51D0732E"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39" w:history="1">
            <w:r w:rsidRPr="00975F56">
              <w:rPr>
                <w:rStyle w:val="Hyperlink"/>
              </w:rPr>
              <w:t>E.2</w:t>
            </w:r>
            <w:r>
              <w:rPr>
                <w:rFonts w:asciiTheme="minorHAnsi" w:eastAsiaTheme="minorEastAsia" w:hAnsiTheme="minorHAnsi" w:cstheme="minorBidi"/>
                <w:spacing w:val="0"/>
                <w:kern w:val="2"/>
                <w:sz w:val="24"/>
                <w:szCs w:val="24"/>
                <w14:ligatures w14:val="standardContextual"/>
              </w:rPr>
              <w:tab/>
            </w:r>
            <w:r w:rsidRPr="00975F56">
              <w:rPr>
                <w:rStyle w:val="Hyperlink"/>
              </w:rPr>
              <w:t>Deployment model and general equipment characteristics</w:t>
            </w:r>
            <w:r>
              <w:rPr>
                <w:webHidden/>
              </w:rPr>
              <w:tab/>
            </w:r>
            <w:r>
              <w:rPr>
                <w:webHidden/>
              </w:rPr>
              <w:fldChar w:fldCharType="begin"/>
            </w:r>
            <w:r>
              <w:rPr>
                <w:webHidden/>
              </w:rPr>
              <w:instrText xml:space="preserve"> PAGEREF _Toc233192939 \h </w:instrText>
            </w:r>
            <w:r>
              <w:rPr>
                <w:webHidden/>
              </w:rPr>
            </w:r>
            <w:r>
              <w:rPr>
                <w:webHidden/>
              </w:rPr>
              <w:fldChar w:fldCharType="separate"/>
            </w:r>
            <w:r>
              <w:rPr>
                <w:webHidden/>
              </w:rPr>
              <w:t>31</w:t>
            </w:r>
            <w:r>
              <w:rPr>
                <w:webHidden/>
              </w:rPr>
              <w:fldChar w:fldCharType="end"/>
            </w:r>
          </w:hyperlink>
        </w:p>
        <w:p w14:paraId="123D5D1A" w14:textId="4F5DD505" w:rsidR="00EB08D7" w:rsidRDefault="00EB08D7">
          <w:pPr>
            <w:pStyle w:val="TOC2"/>
            <w:rPr>
              <w:rFonts w:asciiTheme="minorHAnsi" w:eastAsiaTheme="minorEastAsia" w:hAnsiTheme="minorHAnsi" w:cstheme="minorBidi"/>
              <w:spacing w:val="0"/>
              <w:kern w:val="2"/>
              <w:sz w:val="24"/>
              <w:szCs w:val="24"/>
              <w14:ligatures w14:val="standardContextual"/>
            </w:rPr>
          </w:pPr>
          <w:hyperlink w:anchor="_Toc233192940" w:history="1">
            <w:r w:rsidRPr="00975F56">
              <w:rPr>
                <w:rStyle w:val="Hyperlink"/>
              </w:rPr>
              <w:t>E.3</w:t>
            </w:r>
            <w:r>
              <w:rPr>
                <w:rFonts w:asciiTheme="minorHAnsi" w:eastAsiaTheme="minorEastAsia" w:hAnsiTheme="minorHAnsi" w:cstheme="minorBidi"/>
                <w:spacing w:val="0"/>
                <w:kern w:val="2"/>
                <w:sz w:val="24"/>
                <w:szCs w:val="24"/>
                <w14:ligatures w14:val="standardContextual"/>
              </w:rPr>
              <w:tab/>
            </w:r>
            <w:r w:rsidRPr="00975F56">
              <w:rPr>
                <w:rStyle w:val="Hyperlink"/>
              </w:rPr>
              <w:t>Emission masks</w:t>
            </w:r>
            <w:r>
              <w:rPr>
                <w:webHidden/>
              </w:rPr>
              <w:tab/>
            </w:r>
            <w:r>
              <w:rPr>
                <w:webHidden/>
              </w:rPr>
              <w:fldChar w:fldCharType="begin"/>
            </w:r>
            <w:r>
              <w:rPr>
                <w:webHidden/>
              </w:rPr>
              <w:instrText xml:space="preserve"> PAGEREF _Toc233192940 \h </w:instrText>
            </w:r>
            <w:r>
              <w:rPr>
                <w:webHidden/>
              </w:rPr>
            </w:r>
            <w:r>
              <w:rPr>
                <w:webHidden/>
              </w:rPr>
              <w:fldChar w:fldCharType="separate"/>
            </w:r>
            <w:r>
              <w:rPr>
                <w:webHidden/>
              </w:rPr>
              <w:t>32</w:t>
            </w:r>
            <w:r>
              <w:rPr>
                <w:webHidden/>
              </w:rPr>
              <w:fldChar w:fldCharType="end"/>
            </w:r>
          </w:hyperlink>
        </w:p>
        <w:p w14:paraId="51AB9C10" w14:textId="74933A66" w:rsidR="00097D72" w:rsidRDefault="00097D72">
          <w:r>
            <w:rPr>
              <w:b/>
              <w:bCs/>
              <w:noProof/>
            </w:rPr>
            <w:fldChar w:fldCharType="end"/>
          </w:r>
        </w:p>
      </w:sdtContent>
    </w:sdt>
    <w:p w14:paraId="3F8EF4F1" w14:textId="77777777" w:rsidR="00097D72" w:rsidRDefault="00097D72" w:rsidP="00097D72">
      <w:bookmarkStart w:id="2" w:name="_Toc8983846"/>
      <w:bookmarkStart w:id="3" w:name="_Toc8986370"/>
    </w:p>
    <w:p w14:paraId="6A57A74D" w14:textId="77777777" w:rsidR="001F0E76" w:rsidRPr="00420CAF" w:rsidRDefault="001F0E76" w:rsidP="00420CAF">
      <w:pPr>
        <w:sectPr w:rsidR="001F0E76" w:rsidRPr="00420CAF" w:rsidSect="00822B3D">
          <w:type w:val="oddPage"/>
          <w:pgSz w:w="11906" w:h="16838"/>
          <w:pgMar w:top="1440" w:right="1440" w:bottom="1440" w:left="1440" w:header="708" w:footer="708" w:gutter="0"/>
          <w:pgNumType w:fmt="lowerRoman" w:start="2"/>
          <w:cols w:space="708"/>
          <w:docGrid w:linePitch="360"/>
        </w:sectPr>
      </w:pPr>
    </w:p>
    <w:p w14:paraId="3FBA2870" w14:textId="77777777" w:rsidR="004A13A7" w:rsidRPr="00923D7A" w:rsidRDefault="004A13A7" w:rsidP="000B27C0">
      <w:pPr>
        <w:pStyle w:val="Heading1"/>
      </w:pPr>
      <w:bookmarkStart w:id="4" w:name="_Toc233192886"/>
      <w:r w:rsidRPr="000B27C0">
        <w:lastRenderedPageBreak/>
        <w:t>Introduction</w:t>
      </w:r>
      <w:bookmarkEnd w:id="1"/>
      <w:bookmarkEnd w:id="2"/>
      <w:bookmarkEnd w:id="3"/>
      <w:bookmarkEnd w:id="4"/>
    </w:p>
    <w:p w14:paraId="63AE2701" w14:textId="77777777" w:rsidR="004A13A7" w:rsidRPr="00DE7566" w:rsidRDefault="004A13A7" w:rsidP="00254146">
      <w:pPr>
        <w:pStyle w:val="Heading2"/>
      </w:pPr>
      <w:bookmarkStart w:id="5" w:name="_Toc6298710"/>
      <w:bookmarkStart w:id="6" w:name="_Toc8983847"/>
      <w:bookmarkStart w:id="7" w:name="_Toc8986371"/>
      <w:bookmarkStart w:id="8" w:name="_Toc233192887"/>
      <w:r w:rsidRPr="00DE7566">
        <w:t>Purpose</w:t>
      </w:r>
      <w:bookmarkEnd w:id="5"/>
      <w:bookmarkEnd w:id="6"/>
      <w:bookmarkEnd w:id="7"/>
      <w:bookmarkEnd w:id="8"/>
    </w:p>
    <w:p w14:paraId="2B1B34CB" w14:textId="2BD5DE10" w:rsidR="004A13A7" w:rsidRPr="00AF06C8" w:rsidRDefault="004A13A7" w:rsidP="00AF06C8">
      <w:pPr>
        <w:rPr>
          <w:rFonts w:cs="Arial"/>
          <w:szCs w:val="22"/>
        </w:rPr>
      </w:pPr>
      <w:r w:rsidRPr="00AF06C8">
        <w:rPr>
          <w:szCs w:val="22"/>
        </w:rPr>
        <w:t xml:space="preserve">The purpose of this Radiocommunications Assignment and Licensing Instruction (RALI) is to </w:t>
      </w:r>
      <w:r w:rsidR="00B470E2" w:rsidRPr="00B470E2">
        <w:rPr>
          <w:szCs w:val="22"/>
        </w:rPr>
        <w:t xml:space="preserve">provide information about, and describe the necessary steps for, the frequency coordination and licensing of Railway Mobile </w:t>
      </w:r>
      <w:r w:rsidR="0063501D">
        <w:rPr>
          <w:szCs w:val="22"/>
        </w:rPr>
        <w:t>Radio</w:t>
      </w:r>
      <w:r w:rsidR="00B470E2" w:rsidRPr="00B470E2">
        <w:rPr>
          <w:szCs w:val="22"/>
        </w:rPr>
        <w:t xml:space="preserve"> (RM</w:t>
      </w:r>
      <w:r w:rsidR="0063501D">
        <w:rPr>
          <w:szCs w:val="22"/>
        </w:rPr>
        <w:t>R</w:t>
      </w:r>
      <w:r w:rsidR="00B470E2" w:rsidRPr="00B470E2">
        <w:rPr>
          <w:szCs w:val="22"/>
        </w:rPr>
        <w:t xml:space="preserve">) </w:t>
      </w:r>
      <w:r w:rsidR="00A3525A">
        <w:rPr>
          <w:szCs w:val="22"/>
        </w:rPr>
        <w:t xml:space="preserve">services </w:t>
      </w:r>
      <w:r w:rsidR="00B470E2" w:rsidRPr="00B470E2">
        <w:rPr>
          <w:szCs w:val="22"/>
        </w:rPr>
        <w:t>in the 1900-1910 MHz band.</w:t>
      </w:r>
      <w:r w:rsidRPr="00AF06C8">
        <w:rPr>
          <w:rFonts w:cs="Arial"/>
          <w:szCs w:val="22"/>
        </w:rPr>
        <w:t xml:space="preserve"> </w:t>
      </w:r>
    </w:p>
    <w:p w14:paraId="4DC52B02" w14:textId="709B17C0" w:rsidR="004A13A7" w:rsidRPr="00AF06C8" w:rsidRDefault="004A13A7" w:rsidP="00AF06C8">
      <w:pPr>
        <w:rPr>
          <w:szCs w:val="22"/>
        </w:rPr>
      </w:pPr>
      <w:r w:rsidRPr="00AF06C8">
        <w:rPr>
          <w:szCs w:val="22"/>
        </w:rPr>
        <w:t xml:space="preserve">The information in this document reflects the ACMA’s statement of current policy in </w:t>
      </w:r>
      <w:r w:rsidR="00B470E2" w:rsidRPr="00B470E2">
        <w:rPr>
          <w:szCs w:val="22"/>
        </w:rPr>
        <w:t xml:space="preserve">relation to frequency coordination and apparatus licensing of </w:t>
      </w:r>
      <w:r w:rsidR="0063501D">
        <w:rPr>
          <w:szCs w:val="22"/>
        </w:rPr>
        <w:t>RMR</w:t>
      </w:r>
      <w:r w:rsidR="00694D78">
        <w:rPr>
          <w:szCs w:val="22"/>
        </w:rPr>
        <w:t xml:space="preserve"> services</w:t>
      </w:r>
      <w:r w:rsidR="00B470E2" w:rsidRPr="00B470E2">
        <w:rPr>
          <w:szCs w:val="22"/>
        </w:rPr>
        <w:t xml:space="preserve"> in the 1900-1910 MHz band</w:t>
      </w:r>
      <w:r w:rsidR="00B470E2">
        <w:rPr>
          <w:szCs w:val="22"/>
        </w:rPr>
        <w:t xml:space="preserve">. </w:t>
      </w:r>
      <w:r w:rsidRPr="00AF06C8">
        <w:rPr>
          <w:rFonts w:cs="Calibri"/>
          <w:szCs w:val="22"/>
        </w:rPr>
        <w:t xml:space="preserve">In making decisions, </w:t>
      </w:r>
      <w:r w:rsidRPr="00AF06C8">
        <w:rPr>
          <w:rFonts w:cstheme="minorHAnsi"/>
          <w:szCs w:val="22"/>
        </w:rPr>
        <w:t xml:space="preserve">accredited frequency assigners and the ACMA’s officers </w:t>
      </w:r>
      <w:r w:rsidRPr="00AF06C8">
        <w:rPr>
          <w:rFonts w:cs="Calibri"/>
          <w:szCs w:val="22"/>
        </w:rPr>
        <w:t xml:space="preserve">should take all relevant factors into account and decide each case on its merits. Issues relating to this document that appear to fall outside the </w:t>
      </w:r>
      <w:r w:rsidR="00986952">
        <w:rPr>
          <w:rFonts w:cs="Calibri"/>
          <w:szCs w:val="22"/>
        </w:rPr>
        <w:t>stated</w:t>
      </w:r>
      <w:r w:rsidR="00986952" w:rsidRPr="00AF06C8">
        <w:rPr>
          <w:rFonts w:cs="Calibri"/>
          <w:szCs w:val="22"/>
        </w:rPr>
        <w:t xml:space="preserve"> </w:t>
      </w:r>
      <w:r w:rsidRPr="00AF06C8">
        <w:rPr>
          <w:rFonts w:cstheme="minorHAnsi"/>
          <w:szCs w:val="22"/>
        </w:rPr>
        <w:t xml:space="preserve">policy should be referred </w:t>
      </w:r>
      <w:r w:rsidRPr="00AF06C8">
        <w:rPr>
          <w:szCs w:val="22"/>
        </w:rPr>
        <w:t>to:</w:t>
      </w:r>
    </w:p>
    <w:p w14:paraId="200FCEB6" w14:textId="77777777" w:rsidR="004A13A7" w:rsidRPr="00AF06C8" w:rsidRDefault="004A13A7" w:rsidP="00AF06C8">
      <w:pPr>
        <w:rPr>
          <w:szCs w:val="22"/>
        </w:rPr>
      </w:pPr>
      <w:r w:rsidRPr="00AF06C8">
        <w:rPr>
          <w:szCs w:val="22"/>
        </w:rPr>
        <w:t xml:space="preserve">The Manager, Spectrum </w:t>
      </w:r>
      <w:r w:rsidR="00746A68">
        <w:rPr>
          <w:szCs w:val="22"/>
        </w:rPr>
        <w:t>Planning Section</w:t>
      </w:r>
      <w:r w:rsidRPr="00AF06C8">
        <w:rPr>
          <w:szCs w:val="22"/>
        </w:rPr>
        <w:br/>
        <w:t>Australian Communications and Media Authority</w:t>
      </w:r>
      <w:r w:rsidRPr="00AF06C8">
        <w:rPr>
          <w:szCs w:val="22"/>
        </w:rPr>
        <w:br/>
        <w:t xml:space="preserve">PO Box 78 </w:t>
      </w:r>
      <w:r w:rsidRPr="00AF06C8">
        <w:rPr>
          <w:szCs w:val="22"/>
        </w:rPr>
        <w:br/>
        <w:t>Belconnen ACT 2616</w:t>
      </w:r>
    </w:p>
    <w:p w14:paraId="1979CD93" w14:textId="77777777" w:rsidR="004A13A7" w:rsidRPr="00AF06C8" w:rsidRDefault="004A13A7" w:rsidP="00AF06C8">
      <w:pPr>
        <w:rPr>
          <w:rFonts w:cstheme="minorHAnsi"/>
          <w:szCs w:val="22"/>
        </w:rPr>
      </w:pPr>
      <w:r w:rsidRPr="00AF06C8">
        <w:rPr>
          <w:rFonts w:cstheme="minorHAnsi"/>
          <w:szCs w:val="22"/>
        </w:rPr>
        <w:t xml:space="preserve">or by email to: </w:t>
      </w:r>
      <w:hyperlink r:id="rId13" w:history="1">
        <w:r w:rsidRPr="00AF06C8">
          <w:rPr>
            <w:rStyle w:val="Hyperlink"/>
            <w:rFonts w:cstheme="minorHAnsi"/>
            <w:szCs w:val="22"/>
          </w:rPr>
          <w:t>freqplan@acma.gov.au</w:t>
        </w:r>
      </w:hyperlink>
      <w:r w:rsidRPr="00AF06C8">
        <w:rPr>
          <w:rFonts w:cstheme="minorHAnsi"/>
          <w:szCs w:val="22"/>
        </w:rPr>
        <w:t>.</w:t>
      </w:r>
    </w:p>
    <w:p w14:paraId="70D02F61" w14:textId="77777777" w:rsidR="004A13A7" w:rsidRPr="00FD1033" w:rsidRDefault="004A13A7" w:rsidP="00254146">
      <w:pPr>
        <w:pStyle w:val="Heading2"/>
      </w:pPr>
      <w:bookmarkStart w:id="9" w:name="_Toc6298711"/>
      <w:bookmarkStart w:id="10" w:name="_Toc8983848"/>
      <w:bookmarkStart w:id="11" w:name="_Toc8986372"/>
      <w:bookmarkStart w:id="12" w:name="_Toc233192888"/>
      <w:r>
        <w:t>Scope</w:t>
      </w:r>
      <w:bookmarkEnd w:id="9"/>
      <w:bookmarkEnd w:id="10"/>
      <w:bookmarkEnd w:id="11"/>
      <w:bookmarkEnd w:id="12"/>
    </w:p>
    <w:p w14:paraId="58F495A3" w14:textId="088E59C7" w:rsidR="00BE0AB3" w:rsidRPr="00BE0AB3" w:rsidRDefault="00BE0AB3" w:rsidP="00BE0AB3">
      <w:pPr>
        <w:rPr>
          <w:szCs w:val="22"/>
        </w:rPr>
      </w:pPr>
      <w:r w:rsidRPr="00BE0AB3">
        <w:rPr>
          <w:szCs w:val="22"/>
        </w:rPr>
        <w:t xml:space="preserve">This RALI details the steps necessary for frequency coordination and licensing of proposed </w:t>
      </w:r>
      <w:r w:rsidR="00831A74">
        <w:rPr>
          <w:szCs w:val="22"/>
        </w:rPr>
        <w:t>RMR services</w:t>
      </w:r>
      <w:r w:rsidR="001C55DF" w:rsidRPr="001C55DF">
        <w:rPr>
          <w:szCs w:val="22"/>
        </w:rPr>
        <w:t xml:space="preserve"> </w:t>
      </w:r>
      <w:r w:rsidR="001C55DF" w:rsidRPr="00B470E2">
        <w:rPr>
          <w:szCs w:val="22"/>
        </w:rPr>
        <w:t xml:space="preserve">in the </w:t>
      </w:r>
      <w:r w:rsidR="000E3C64" w:rsidRPr="00B470E2">
        <w:rPr>
          <w:szCs w:val="22"/>
        </w:rPr>
        <w:t xml:space="preserve">1900-1910 MHz </w:t>
      </w:r>
      <w:r w:rsidR="001C55DF" w:rsidRPr="00B470E2">
        <w:rPr>
          <w:szCs w:val="22"/>
        </w:rPr>
        <w:t>band</w:t>
      </w:r>
      <w:r w:rsidRPr="00BE0AB3">
        <w:rPr>
          <w:szCs w:val="22"/>
        </w:rPr>
        <w:t xml:space="preserve">. It covers </w:t>
      </w:r>
      <w:r w:rsidR="007154D2">
        <w:rPr>
          <w:szCs w:val="22"/>
        </w:rPr>
        <w:t xml:space="preserve">coexistence </w:t>
      </w:r>
      <w:r w:rsidR="007154D2" w:rsidRPr="006843B3">
        <w:rPr>
          <w:szCs w:val="22"/>
        </w:rPr>
        <w:t>arrangements</w:t>
      </w:r>
      <w:r w:rsidRPr="006843B3">
        <w:rPr>
          <w:szCs w:val="22"/>
        </w:rPr>
        <w:t xml:space="preserve"> between proposed </w:t>
      </w:r>
      <w:r w:rsidR="00831A74">
        <w:rPr>
          <w:szCs w:val="22"/>
        </w:rPr>
        <w:t>RMR services</w:t>
      </w:r>
      <w:r w:rsidRPr="006843B3">
        <w:rPr>
          <w:szCs w:val="22"/>
        </w:rPr>
        <w:t xml:space="preserve"> and other previously licensed </w:t>
      </w:r>
      <w:r w:rsidR="00831A74">
        <w:rPr>
          <w:szCs w:val="22"/>
        </w:rPr>
        <w:t>RMR services</w:t>
      </w:r>
      <w:r w:rsidRPr="006843B3">
        <w:rPr>
          <w:szCs w:val="22"/>
        </w:rPr>
        <w:t>; and</w:t>
      </w:r>
      <w:r w:rsidRPr="00BE0AB3">
        <w:rPr>
          <w:szCs w:val="22"/>
        </w:rPr>
        <w:t xml:space="preserve"> between </w:t>
      </w:r>
      <w:r w:rsidR="00831A74">
        <w:rPr>
          <w:szCs w:val="22"/>
        </w:rPr>
        <w:t>RMR services</w:t>
      </w:r>
      <w:r w:rsidRPr="00BE0AB3">
        <w:rPr>
          <w:szCs w:val="22"/>
        </w:rPr>
        <w:t xml:space="preserve"> and other radiocommunications services identified in Table 1 that share the same or adjacent frequency bands.</w:t>
      </w:r>
    </w:p>
    <w:p w14:paraId="1C8CEBE9" w14:textId="5816DAEB" w:rsidR="00BE0AB3" w:rsidRPr="00BE0AB3" w:rsidRDefault="00BE0AB3" w:rsidP="00BE0AB3">
      <w:pPr>
        <w:rPr>
          <w:szCs w:val="22"/>
        </w:rPr>
      </w:pPr>
      <w:r w:rsidRPr="00BE0AB3">
        <w:rPr>
          <w:szCs w:val="22"/>
        </w:rPr>
        <w:t xml:space="preserve">The RALI provides instructions that may be used by ACMA assigners and Accredited Persons when assessing whether proposed </w:t>
      </w:r>
      <w:r w:rsidR="00831A74">
        <w:rPr>
          <w:szCs w:val="22"/>
        </w:rPr>
        <w:t>RMR services</w:t>
      </w:r>
      <w:r w:rsidRPr="00BE0AB3">
        <w:rPr>
          <w:szCs w:val="22"/>
        </w:rPr>
        <w:t xml:space="preserve"> will cause (or receive) unacceptable interference to (or from):</w:t>
      </w:r>
    </w:p>
    <w:p w14:paraId="581A673B" w14:textId="08EB07DB" w:rsidR="00BE0AB3" w:rsidRPr="00793AEA" w:rsidRDefault="00BE0AB3" w:rsidP="00306785">
      <w:pPr>
        <w:pStyle w:val="ListBullet"/>
      </w:pPr>
      <w:r w:rsidRPr="00793AEA">
        <w:t>point-to-point fixed links (fixed links)</w:t>
      </w:r>
      <w:r w:rsidR="00C747AE">
        <w:t>,</w:t>
      </w:r>
    </w:p>
    <w:p w14:paraId="07F72E56" w14:textId="3B990DA3" w:rsidR="00BE0AB3" w:rsidRPr="00793AEA" w:rsidRDefault="00BE0AB3" w:rsidP="00306785">
      <w:pPr>
        <w:pStyle w:val="ListBullet"/>
      </w:pPr>
      <w:r w:rsidRPr="00793AEA">
        <w:t>point-to-multipoint (BWA) systems</w:t>
      </w:r>
      <w:r w:rsidR="00C747AE">
        <w:t>,</w:t>
      </w:r>
    </w:p>
    <w:p w14:paraId="383E7A30" w14:textId="79ACFF14" w:rsidR="00C12BD4" w:rsidRPr="00793AEA" w:rsidRDefault="00BE0AB3" w:rsidP="00306785">
      <w:pPr>
        <w:pStyle w:val="ListBullet"/>
      </w:pPr>
      <w:r w:rsidRPr="00793AEA">
        <w:t xml:space="preserve">spectrum licensed </w:t>
      </w:r>
      <w:r w:rsidR="00793AEA">
        <w:t>service</w:t>
      </w:r>
      <w:r w:rsidR="006D70B2">
        <w:t>s</w:t>
      </w:r>
      <w:r w:rsidR="00793AEA">
        <w:t xml:space="preserve"> in adjacent frequency bands</w:t>
      </w:r>
      <w:r w:rsidR="00FA5D1A">
        <w:t>, and</w:t>
      </w:r>
      <w:r w:rsidR="00C12BD4" w:rsidRPr="00793AEA">
        <w:t xml:space="preserve"> </w:t>
      </w:r>
    </w:p>
    <w:p w14:paraId="4AF8C485" w14:textId="7CC28C70" w:rsidR="00C12BD4" w:rsidRDefault="00793AEA" w:rsidP="00306785">
      <w:pPr>
        <w:pStyle w:val="ListBulletLast"/>
      </w:pPr>
      <w:r>
        <w:t>Public telecommunications services (</w:t>
      </w:r>
      <w:r w:rsidR="00C12BD4" w:rsidRPr="00793AEA" w:rsidDel="00793AEA">
        <w:t>P</w:t>
      </w:r>
      <w:r w:rsidR="00C12BD4" w:rsidRPr="00793AEA">
        <w:t>TS</w:t>
      </w:r>
      <w:r>
        <w:t>)</w:t>
      </w:r>
      <w:r w:rsidR="00C12BD4" w:rsidRPr="00793AEA" w:rsidDel="00793AEA">
        <w:t xml:space="preserve"> </w:t>
      </w:r>
      <w:r>
        <w:t>in adjacent frequency bands</w:t>
      </w:r>
      <w:r w:rsidR="00FA5D1A">
        <w:t>.</w:t>
      </w:r>
    </w:p>
    <w:p w14:paraId="10D4904F" w14:textId="3F972495" w:rsidR="00BE0AB3" w:rsidRPr="00BE0AB3" w:rsidRDefault="00BE0AB3" w:rsidP="00BE0AB3">
      <w:pPr>
        <w:rPr>
          <w:szCs w:val="22"/>
        </w:rPr>
      </w:pPr>
      <w:r w:rsidRPr="00BE0AB3">
        <w:rPr>
          <w:szCs w:val="22"/>
        </w:rPr>
        <w:t>This RALI also identifies other services for which no specific coordination criteria have been developed</w:t>
      </w:r>
      <w:r w:rsidR="000438D5">
        <w:rPr>
          <w:szCs w:val="22"/>
        </w:rPr>
        <w:t>,</w:t>
      </w:r>
      <w:r w:rsidRPr="00BE0AB3">
        <w:rPr>
          <w:szCs w:val="22"/>
        </w:rPr>
        <w:t xml:space="preserve"> due to the nature of the service and the potential for interference being low.</w:t>
      </w:r>
    </w:p>
    <w:p w14:paraId="7DB6982B" w14:textId="0971C9FF" w:rsidR="004A13A7" w:rsidRDefault="004059A4" w:rsidP="00F1708F">
      <w:pPr>
        <w:rPr>
          <w:szCs w:val="22"/>
        </w:rPr>
      </w:pPr>
      <w:r>
        <w:rPr>
          <w:szCs w:val="22"/>
        </w:rPr>
        <w:t>C</w:t>
      </w:r>
      <w:r w:rsidR="00BE0AB3" w:rsidRPr="00BE0AB3">
        <w:rPr>
          <w:szCs w:val="22"/>
        </w:rPr>
        <w:t xml:space="preserve">oordination calculations should be performed to assess potential interference to and from </w:t>
      </w:r>
      <w:r w:rsidR="0063501D">
        <w:rPr>
          <w:szCs w:val="22"/>
        </w:rPr>
        <w:t>RMR</w:t>
      </w:r>
      <w:r w:rsidR="004A61B0">
        <w:rPr>
          <w:szCs w:val="22"/>
        </w:rPr>
        <w:t xml:space="preserve"> base stations</w:t>
      </w:r>
      <w:r>
        <w:rPr>
          <w:szCs w:val="22"/>
        </w:rPr>
        <w:t>, as required</w:t>
      </w:r>
      <w:r w:rsidR="00BE0AB3" w:rsidRPr="00BE0AB3">
        <w:rPr>
          <w:szCs w:val="22"/>
        </w:rPr>
        <w:t xml:space="preserve">. </w:t>
      </w:r>
      <w:r w:rsidR="000438D5">
        <w:rPr>
          <w:szCs w:val="22"/>
        </w:rPr>
        <w:t>C</w:t>
      </w:r>
      <w:r w:rsidR="000438D5" w:rsidRPr="00731B76">
        <w:rPr>
          <w:szCs w:val="22"/>
        </w:rPr>
        <w:t xml:space="preserve">oordination </w:t>
      </w:r>
      <w:r w:rsidR="00F1708F" w:rsidRPr="00BE0AB3">
        <w:rPr>
          <w:szCs w:val="22"/>
        </w:rPr>
        <w:t xml:space="preserve">of </w:t>
      </w:r>
      <w:r w:rsidR="0063501D">
        <w:rPr>
          <w:szCs w:val="22"/>
        </w:rPr>
        <w:t>RMR</w:t>
      </w:r>
      <w:r w:rsidR="00F1708F">
        <w:rPr>
          <w:szCs w:val="22"/>
        </w:rPr>
        <w:t xml:space="preserve"> cab radios</w:t>
      </w:r>
      <w:r w:rsidR="009A6242">
        <w:rPr>
          <w:rStyle w:val="FootnoteReference"/>
          <w:szCs w:val="22"/>
        </w:rPr>
        <w:footnoteReference w:id="1"/>
      </w:r>
      <w:r w:rsidR="00F1708F" w:rsidRPr="00BE0AB3">
        <w:rPr>
          <w:szCs w:val="22"/>
        </w:rPr>
        <w:t xml:space="preserve"> and low powered </w:t>
      </w:r>
      <w:r w:rsidR="00F1708F">
        <w:rPr>
          <w:szCs w:val="22"/>
        </w:rPr>
        <w:t>remote</w:t>
      </w:r>
      <w:r w:rsidR="00F1708F" w:rsidRPr="00BE0AB3">
        <w:rPr>
          <w:szCs w:val="22"/>
        </w:rPr>
        <w:t xml:space="preserve"> stations</w:t>
      </w:r>
      <w:r w:rsidR="00731B76" w:rsidRPr="00731B76">
        <w:rPr>
          <w:szCs w:val="22"/>
        </w:rPr>
        <w:t xml:space="preserve"> is not required</w:t>
      </w:r>
      <w:r w:rsidR="00F1708F">
        <w:rPr>
          <w:szCs w:val="22"/>
        </w:rPr>
        <w:t xml:space="preserve"> as</w:t>
      </w:r>
      <w:r w:rsidR="00731B76" w:rsidRPr="00731B76">
        <w:rPr>
          <w:szCs w:val="22"/>
        </w:rPr>
        <w:t xml:space="preserve"> they operate on a </w:t>
      </w:r>
      <w:r w:rsidR="00346AD6">
        <w:rPr>
          <w:szCs w:val="22"/>
        </w:rPr>
        <w:t>‘</w:t>
      </w:r>
      <w:r w:rsidR="00F1708F">
        <w:rPr>
          <w:szCs w:val="22"/>
        </w:rPr>
        <w:t xml:space="preserve">no </w:t>
      </w:r>
      <w:r w:rsidR="00F1708F">
        <w:rPr>
          <w:szCs w:val="22"/>
        </w:rPr>
        <w:lastRenderedPageBreak/>
        <w:t>interference no protection</w:t>
      </w:r>
      <w:r w:rsidR="00346AD6">
        <w:rPr>
          <w:szCs w:val="22"/>
        </w:rPr>
        <w:t>’ (NINP)</w:t>
      </w:r>
      <w:r w:rsidR="00F1708F">
        <w:rPr>
          <w:szCs w:val="22"/>
        </w:rPr>
        <w:t xml:space="preserve"> </w:t>
      </w:r>
      <w:r w:rsidR="00731B76" w:rsidRPr="00731B76">
        <w:rPr>
          <w:szCs w:val="22"/>
        </w:rPr>
        <w:t>basis</w:t>
      </w:r>
      <w:r w:rsidR="00F1708F">
        <w:rPr>
          <w:szCs w:val="22"/>
        </w:rPr>
        <w:t xml:space="preserve">. </w:t>
      </w:r>
      <w:r w:rsidR="00BE0AB3" w:rsidRPr="00BE0AB3">
        <w:rPr>
          <w:szCs w:val="22"/>
        </w:rPr>
        <w:t xml:space="preserve">Interference protection and requirements to protect other services are based upon the assumption that mobile </w:t>
      </w:r>
      <w:r w:rsidR="004A61B0">
        <w:rPr>
          <w:szCs w:val="22"/>
        </w:rPr>
        <w:t xml:space="preserve">and base </w:t>
      </w:r>
      <w:r w:rsidR="00BE0AB3" w:rsidRPr="00BE0AB3">
        <w:rPr>
          <w:szCs w:val="22"/>
        </w:rPr>
        <w:t xml:space="preserve">station deployments conform to the deployment model described at </w:t>
      </w:r>
      <w:r w:rsidR="00F11A04">
        <w:rPr>
          <w:szCs w:val="22"/>
        </w:rPr>
        <w:t>Appendix E.</w:t>
      </w:r>
    </w:p>
    <w:p w14:paraId="545C7637" w14:textId="7C8109ED" w:rsidR="00F24375" w:rsidRPr="00AF06C8" w:rsidRDefault="00F24375" w:rsidP="00BE0AB3">
      <w:pPr>
        <w:rPr>
          <w:rFonts w:cstheme="minorHAnsi"/>
          <w:szCs w:val="22"/>
        </w:rPr>
      </w:pPr>
      <w:r>
        <w:rPr>
          <w:rFonts w:cstheme="minorHAnsi"/>
          <w:szCs w:val="22"/>
        </w:rPr>
        <w:t xml:space="preserve">This RALI does not cover all matters relevant to the coordination of </w:t>
      </w:r>
      <w:r w:rsidR="0063501D">
        <w:rPr>
          <w:rFonts w:cstheme="minorHAnsi"/>
          <w:szCs w:val="22"/>
        </w:rPr>
        <w:t>RMR</w:t>
      </w:r>
      <w:r>
        <w:rPr>
          <w:rFonts w:cstheme="minorHAnsi"/>
          <w:szCs w:val="22"/>
        </w:rPr>
        <w:t xml:space="preserve"> transmitters and receivers with other services and it should be read in conjunction with other applicable RALIs and BOPs.</w:t>
      </w:r>
    </w:p>
    <w:p w14:paraId="60F8943E" w14:textId="77777777" w:rsidR="004A13A7" w:rsidRPr="00DE7566" w:rsidRDefault="004A13A7" w:rsidP="00317CE5">
      <w:pPr>
        <w:pStyle w:val="Heading3"/>
      </w:pPr>
      <w:bookmarkStart w:id="13" w:name="_Toc6298712"/>
      <w:bookmarkStart w:id="14" w:name="_Toc8983849"/>
      <w:bookmarkStart w:id="15" w:name="_Toc8986373"/>
      <w:bookmarkStart w:id="16" w:name="_Toc233192889"/>
      <w:r w:rsidRPr="00DE7566">
        <w:t>Basic principles</w:t>
      </w:r>
      <w:bookmarkEnd w:id="13"/>
      <w:bookmarkEnd w:id="14"/>
      <w:bookmarkEnd w:id="15"/>
      <w:bookmarkEnd w:id="16"/>
    </w:p>
    <w:p w14:paraId="58BF0083" w14:textId="6926193C" w:rsidR="00C12BD4" w:rsidRPr="00C12BD4" w:rsidRDefault="00C12BD4" w:rsidP="00C12BD4">
      <w:pPr>
        <w:rPr>
          <w:szCs w:val="22"/>
        </w:rPr>
      </w:pPr>
      <w:r w:rsidRPr="00C12BD4">
        <w:rPr>
          <w:szCs w:val="22"/>
        </w:rPr>
        <w:t xml:space="preserve">The basic principles for coordination and operation of </w:t>
      </w:r>
      <w:r w:rsidR="00831A74">
        <w:rPr>
          <w:szCs w:val="22"/>
        </w:rPr>
        <w:t>RMR services</w:t>
      </w:r>
      <w:r w:rsidRPr="00C12BD4">
        <w:rPr>
          <w:szCs w:val="22"/>
        </w:rPr>
        <w:t xml:space="preserve"> in the </w:t>
      </w:r>
      <w:r w:rsidR="000E3C64" w:rsidRPr="00B470E2">
        <w:rPr>
          <w:szCs w:val="22"/>
        </w:rPr>
        <w:t xml:space="preserve">1900-1910 MHz </w:t>
      </w:r>
      <w:r w:rsidRPr="00C12BD4">
        <w:rPr>
          <w:szCs w:val="22"/>
        </w:rPr>
        <w:t>band are that:</w:t>
      </w:r>
    </w:p>
    <w:p w14:paraId="5251BAFC" w14:textId="4E928D5D" w:rsidR="00093D7A" w:rsidRDefault="00093D7A" w:rsidP="00793AEA">
      <w:pPr>
        <w:pStyle w:val="ListBullet"/>
      </w:pPr>
      <w:r>
        <w:t xml:space="preserve">A </w:t>
      </w:r>
      <w:r w:rsidR="0063501D">
        <w:t>RMR</w:t>
      </w:r>
      <w:r>
        <w:t xml:space="preserve"> system comprises of one base station and any number of remote or mobile stations communicating with those base stations and is used to provide safety and control communications for railway services.</w:t>
      </w:r>
    </w:p>
    <w:p w14:paraId="4F722C9E" w14:textId="01B08459" w:rsidR="00793AEA" w:rsidRDefault="0063501D" w:rsidP="00793AEA">
      <w:pPr>
        <w:pStyle w:val="ListBullet"/>
      </w:pPr>
      <w:r>
        <w:t>RMR</w:t>
      </w:r>
      <w:r w:rsidR="00E064C4">
        <w:t xml:space="preserve"> base stations are authori</w:t>
      </w:r>
      <w:r w:rsidR="000438D5">
        <w:t>sed</w:t>
      </w:r>
      <w:r w:rsidR="00E064C4">
        <w:t xml:space="preserve"> under a PTS apparatus licence and </w:t>
      </w:r>
      <w:r>
        <w:t>RMR</w:t>
      </w:r>
      <w:r w:rsidR="00E064C4">
        <w:t xml:space="preserve"> mobile/remote stations are authorised by the </w:t>
      </w:r>
      <w:hyperlink r:id="rId14" w:history="1">
        <w:r w:rsidR="00E064C4" w:rsidRPr="00151535">
          <w:rPr>
            <w:rStyle w:val="Hyperlink"/>
          </w:rPr>
          <w:t>Radiocommunications (Cellular Mobile Telecommunications Devices) Class Licence 2024</w:t>
        </w:r>
      </w:hyperlink>
      <w:r w:rsidR="00B77AF5">
        <w:t xml:space="preserve"> (the cellular mobile class licence)</w:t>
      </w:r>
      <w:r w:rsidR="00AC7EDC">
        <w:t>.</w:t>
      </w:r>
    </w:p>
    <w:p w14:paraId="6783CD41" w14:textId="6745F92E" w:rsidR="00E064C4" w:rsidRPr="00C12BD4" w:rsidRDefault="00E064C4" w:rsidP="00306785">
      <w:pPr>
        <w:pStyle w:val="ListBullet"/>
      </w:pPr>
      <w:r>
        <w:t xml:space="preserve">PTS </w:t>
      </w:r>
      <w:r w:rsidR="00C12BD4" w:rsidRPr="00C12BD4">
        <w:t xml:space="preserve">apparatus licences </w:t>
      </w:r>
      <w:r>
        <w:t xml:space="preserve">may only be </w:t>
      </w:r>
      <w:r w:rsidR="00C12BD4" w:rsidRPr="00C12BD4">
        <w:t xml:space="preserve">issued </w:t>
      </w:r>
      <w:r w:rsidRPr="00C12BD4">
        <w:t xml:space="preserve">in the frequency range 1900-1910 MHz </w:t>
      </w:r>
      <w:r w:rsidR="00C12BD4" w:rsidRPr="00C12BD4">
        <w:t xml:space="preserve">for </w:t>
      </w:r>
      <w:r w:rsidR="0063501D">
        <w:t>RMR</w:t>
      </w:r>
      <w:r w:rsidR="00C12BD4" w:rsidRPr="00C12BD4">
        <w:t xml:space="preserve"> </w:t>
      </w:r>
      <w:r>
        <w:t>base stations that are located within 100m of a railway line defined in Appendix A</w:t>
      </w:r>
      <w:r w:rsidR="00AC7EDC">
        <w:t>.</w:t>
      </w:r>
    </w:p>
    <w:p w14:paraId="1724524F" w14:textId="02755619" w:rsidR="00F1708F" w:rsidRPr="00C12BD4" w:rsidRDefault="0063501D" w:rsidP="00306785">
      <w:pPr>
        <w:pStyle w:val="ListBullet"/>
      </w:pPr>
      <w:r>
        <w:t>RMR</w:t>
      </w:r>
      <w:r w:rsidR="00C12BD4" w:rsidRPr="00C12BD4">
        <w:t xml:space="preserve"> base station transmitters must comply with the emission limits set out in </w:t>
      </w:r>
      <w:r w:rsidR="00304D44">
        <w:t>Appendix E</w:t>
      </w:r>
      <w:r w:rsidR="00C12BD4" w:rsidRPr="00C12BD4">
        <w:t xml:space="preserve"> of this RALI</w:t>
      </w:r>
      <w:r w:rsidR="00AC7EDC">
        <w:t>.</w:t>
      </w:r>
    </w:p>
    <w:p w14:paraId="27CA442C" w14:textId="6A749E46" w:rsidR="00893DD4" w:rsidRDefault="0063501D" w:rsidP="00306785">
      <w:pPr>
        <w:pStyle w:val="ListBullet"/>
      </w:pPr>
      <w:r>
        <w:t>RMR</w:t>
      </w:r>
      <w:r w:rsidR="00F1708F">
        <w:t xml:space="preserve"> </w:t>
      </w:r>
      <w:r w:rsidR="00F1708F" w:rsidRPr="00F1708F">
        <w:t xml:space="preserve">licences will only be issued with the support of </w:t>
      </w:r>
      <w:r w:rsidR="000438D5">
        <w:t>the Australian Rail Association (</w:t>
      </w:r>
      <w:r w:rsidR="00F1708F" w:rsidRPr="00F1708F">
        <w:t>ARA</w:t>
      </w:r>
      <w:r w:rsidR="000438D5">
        <w:t>)</w:t>
      </w:r>
      <w:r w:rsidR="00F1708F" w:rsidRPr="00F1708F">
        <w:t xml:space="preserve"> to ensure that they are limited to </w:t>
      </w:r>
      <w:r w:rsidR="000438D5">
        <w:t xml:space="preserve">use by </w:t>
      </w:r>
      <w:r w:rsidR="00F1708F" w:rsidRPr="00F1708F">
        <w:t>the rail-sector</w:t>
      </w:r>
      <w:r w:rsidR="000438D5">
        <w:t>,</w:t>
      </w:r>
      <w:r w:rsidR="00F1708F" w:rsidRPr="00F1708F">
        <w:t xml:space="preserve"> and to </w:t>
      </w:r>
      <w:r w:rsidR="000438D5">
        <w:t xml:space="preserve">facilitate </w:t>
      </w:r>
      <w:r w:rsidR="00F1708F" w:rsidRPr="00F1708F">
        <w:t>manage</w:t>
      </w:r>
      <w:r w:rsidR="000438D5">
        <w:t>ment of</w:t>
      </w:r>
      <w:r w:rsidR="00F1708F" w:rsidRPr="00F1708F">
        <w:t xml:space="preserve"> coexistence within the rail-sector</w:t>
      </w:r>
      <w:r w:rsidR="00AC7EDC">
        <w:t>.</w:t>
      </w:r>
    </w:p>
    <w:p w14:paraId="3B5BFAA5" w14:textId="3B5F0D36" w:rsidR="004A13A7" w:rsidRDefault="00C12BD4" w:rsidP="00306785">
      <w:pPr>
        <w:pStyle w:val="ListBullet"/>
      </w:pPr>
      <w:r w:rsidRPr="00C12BD4">
        <w:t xml:space="preserve">an ACMA </w:t>
      </w:r>
      <w:r w:rsidR="000438D5">
        <w:t>frequency</w:t>
      </w:r>
      <w:r w:rsidRPr="00C12BD4">
        <w:t xml:space="preserve"> assigner or Accredited Person will conduct the frequency coordination of </w:t>
      </w:r>
      <w:r w:rsidR="00831A74">
        <w:t>RMR services</w:t>
      </w:r>
      <w:r w:rsidRPr="00C12BD4">
        <w:t xml:space="preserve"> in accordance with this RALI. To </w:t>
      </w:r>
      <w:r w:rsidR="000438D5">
        <w:t xml:space="preserve">assess </w:t>
      </w:r>
      <w:r w:rsidRPr="00C12BD4">
        <w:t xml:space="preserve">the feasibility of the proposed </w:t>
      </w:r>
      <w:r w:rsidR="00831A74">
        <w:t>RMR services</w:t>
      </w:r>
      <w:r w:rsidRPr="00C12BD4">
        <w:t>, applicants may undertake coordination studies in accordance with the procedures in this RALI prior to submitting the application. The results of such studies may be included with the licence application.</w:t>
      </w:r>
    </w:p>
    <w:p w14:paraId="1274A0EC" w14:textId="488AA7E9" w:rsidR="00E064C4" w:rsidRDefault="00E064C4" w:rsidP="00B17821">
      <w:pPr>
        <w:pStyle w:val="ListBullet"/>
      </w:pPr>
      <w:r>
        <w:t xml:space="preserve">The coordination arrangements in this RALI </w:t>
      </w:r>
      <w:r w:rsidR="000438D5">
        <w:t xml:space="preserve">give effect to </w:t>
      </w:r>
      <w:r>
        <w:t xml:space="preserve">a ‘reservation’ for </w:t>
      </w:r>
      <w:r w:rsidR="00831A74">
        <w:t>RMR services</w:t>
      </w:r>
      <w:r>
        <w:t xml:space="preserve"> in the 1900-1910 MHz frequency range along the railway lines described in Appendix A.</w:t>
      </w:r>
    </w:p>
    <w:p w14:paraId="70F3B02E" w14:textId="7C60E9D4" w:rsidR="0063501D" w:rsidRDefault="006B2CA8" w:rsidP="00306785">
      <w:pPr>
        <w:pStyle w:val="ListBulletLast"/>
      </w:pPr>
      <w:r>
        <w:t>While t</w:t>
      </w:r>
      <w:r w:rsidR="00013823">
        <w:t xml:space="preserve">he operational criteria for </w:t>
      </w:r>
      <w:r w:rsidR="00831A74">
        <w:t>RMR services</w:t>
      </w:r>
      <w:r w:rsidR="00013823">
        <w:t xml:space="preserve"> ha</w:t>
      </w:r>
      <w:r w:rsidR="00155078">
        <w:t>ve</w:t>
      </w:r>
      <w:r w:rsidR="00013823">
        <w:t xml:space="preserve"> been based on </w:t>
      </w:r>
      <w:r w:rsidR="00D91D95">
        <w:t xml:space="preserve">Future Railway Mobile </w:t>
      </w:r>
      <w:r w:rsidR="00EA6CEC">
        <w:t>Communication Systems (FRMCS) standards</w:t>
      </w:r>
      <w:r>
        <w:t>, any RMR techn</w:t>
      </w:r>
      <w:r w:rsidR="00577570">
        <w:t xml:space="preserve">ology can be used </w:t>
      </w:r>
      <w:r w:rsidR="005337B2">
        <w:t xml:space="preserve">to provide a service for </w:t>
      </w:r>
      <w:r w:rsidR="004F0886">
        <w:t>purposes described in this RALI</w:t>
      </w:r>
      <w:r w:rsidR="00E832A5">
        <w:t xml:space="preserve"> </w:t>
      </w:r>
      <w:r w:rsidR="00C444EB">
        <w:t>if</w:t>
      </w:r>
      <w:r w:rsidR="00577570">
        <w:t xml:space="preserve"> it adheres to the criteria </w:t>
      </w:r>
      <w:r w:rsidR="00E832A5">
        <w:t>set out in this RALI</w:t>
      </w:r>
      <w:r w:rsidR="00EA6CEC">
        <w:t>.</w:t>
      </w:r>
    </w:p>
    <w:p w14:paraId="57CED897" w14:textId="77777777" w:rsidR="00523D12" w:rsidRPr="00523D12" w:rsidRDefault="00523D12" w:rsidP="00523D12">
      <w:pPr>
        <w:pStyle w:val="Heading2"/>
      </w:pPr>
      <w:bookmarkStart w:id="17" w:name="_Toc233192890"/>
      <w:bookmarkStart w:id="18" w:name="_Toc6298713"/>
      <w:bookmarkStart w:id="19" w:name="_Toc8983850"/>
      <w:bookmarkStart w:id="20" w:name="_Toc8986374"/>
      <w:r w:rsidRPr="00523D12">
        <w:t>Overview of coordination procedures</w:t>
      </w:r>
      <w:bookmarkEnd w:id="17"/>
    </w:p>
    <w:p w14:paraId="4AA275C1" w14:textId="7B7DB374" w:rsidR="00AD0E1F" w:rsidRDefault="00AD0E1F" w:rsidP="00AD0E1F">
      <w:r>
        <w:t xml:space="preserve">Information on </w:t>
      </w:r>
      <w:r w:rsidR="0063501D">
        <w:t>RMR</w:t>
      </w:r>
      <w:r>
        <w:t xml:space="preserve"> equipment characteristics and an assumed deployment model are provided in </w:t>
      </w:r>
      <w:hyperlink w:anchor="appE" w:history="1">
        <w:r w:rsidRPr="00321DD2">
          <w:t>Appendix</w:t>
        </w:r>
        <w:r>
          <w:t> </w:t>
        </w:r>
        <w:r w:rsidRPr="00321DD2">
          <w:t>E</w:t>
        </w:r>
      </w:hyperlink>
      <w:r>
        <w:t xml:space="preserve">. The deployment model provides assumed characteristics for the base station and for related </w:t>
      </w:r>
      <w:r w:rsidR="00F52F0F">
        <w:t xml:space="preserve">mobile </w:t>
      </w:r>
      <w:r>
        <w:t xml:space="preserve">stations. This RALI requires that coordination calculations be performed to assess potential interference to and from the </w:t>
      </w:r>
      <w:r w:rsidR="0063501D">
        <w:t>RMR</w:t>
      </w:r>
      <w:r>
        <w:t xml:space="preserve"> base station. </w:t>
      </w:r>
    </w:p>
    <w:p w14:paraId="558C3DA9" w14:textId="0574E8E0" w:rsidR="00AD0E1F" w:rsidRDefault="00AD0E1F" w:rsidP="00AD0E1F">
      <w:r>
        <w:lastRenderedPageBreak/>
        <w:t>Section </w:t>
      </w:r>
      <w:r w:rsidR="005F2EED">
        <w:t>2</w:t>
      </w:r>
      <w:r>
        <w:t xml:space="preserve"> of this RALI describes a range of potential co-channel and adjacent channel interference </w:t>
      </w:r>
      <w:r w:rsidR="00676B9F">
        <w:t xml:space="preserve">scenarios </w:t>
      </w:r>
      <w:r>
        <w:t>that must be considered when making assessments of potential interference.</w:t>
      </w:r>
    </w:p>
    <w:p w14:paraId="0026605A" w14:textId="0F596412" w:rsidR="00AD0E1F" w:rsidRDefault="00AD0E1F" w:rsidP="00AD0E1F">
      <w:r>
        <w:t>Section </w:t>
      </w:r>
      <w:r w:rsidR="005F2EED">
        <w:t>3</w:t>
      </w:r>
      <w:r>
        <w:t xml:space="preserve"> provides a procedure for </w:t>
      </w:r>
      <w:r w:rsidR="00426B84">
        <w:t xml:space="preserve">making </w:t>
      </w:r>
      <w:r>
        <w:t xml:space="preserve">assessments of potential interference. </w:t>
      </w:r>
      <w:hyperlink w:anchor="appB" w:history="1">
        <w:r w:rsidRPr="004E1B8E">
          <w:t>Appendices B</w:t>
        </w:r>
      </w:hyperlink>
      <w:r w:rsidRPr="004E1B8E">
        <w:t xml:space="preserve">, </w:t>
      </w:r>
      <w:hyperlink w:anchor="appC" w:history="1">
        <w:r w:rsidRPr="004E1B8E">
          <w:t>C</w:t>
        </w:r>
      </w:hyperlink>
      <w:r w:rsidR="00F1708F">
        <w:t>, D</w:t>
      </w:r>
      <w:r w:rsidRPr="004E1B8E">
        <w:t xml:space="preserve"> and </w:t>
      </w:r>
      <w:hyperlink w:anchor="appD" w:history="1">
        <w:r w:rsidR="00F1708F">
          <w:t>E</w:t>
        </w:r>
      </w:hyperlink>
      <w:r w:rsidR="00F1708F">
        <w:t xml:space="preserve"> </w:t>
      </w:r>
      <w:r>
        <w:t>provide the applicable protection criteria to be used in performing the assessments.</w:t>
      </w:r>
    </w:p>
    <w:p w14:paraId="5B4B1C02" w14:textId="1515D52C" w:rsidR="00AD0E1F" w:rsidRDefault="00AD0E1F" w:rsidP="00AD0E1F">
      <w:r>
        <w:t xml:space="preserve">A summary of potential interference scenarios and the applicable coordination procedure is </w:t>
      </w:r>
      <w:r w:rsidRPr="0001589D">
        <w:t xml:space="preserve">given in </w:t>
      </w:r>
      <w:r w:rsidRPr="0001589D">
        <w:fldChar w:fldCharType="begin"/>
      </w:r>
      <w:r w:rsidRPr="0001589D">
        <w:instrText xml:space="preserve"> REF _Ref26871066 \h  \* MERGEFORMAT </w:instrText>
      </w:r>
      <w:r w:rsidRPr="0001589D">
        <w:fldChar w:fldCharType="separate"/>
      </w:r>
      <w:r w:rsidR="00945A3F">
        <w:t xml:space="preserve">Table </w:t>
      </w:r>
      <w:r w:rsidR="00945A3F">
        <w:rPr>
          <w:noProof/>
        </w:rPr>
        <w:t>1</w:t>
      </w:r>
      <w:r w:rsidRPr="0001589D">
        <w:fldChar w:fldCharType="end"/>
      </w:r>
      <w:r>
        <w:t>. N</w:t>
      </w:r>
      <w:r w:rsidRPr="0001589D">
        <w:t>ot all interference scenarios are relevant for all</w:t>
      </w:r>
      <w:r>
        <w:t xml:space="preserve"> deployments.</w:t>
      </w:r>
    </w:p>
    <w:p w14:paraId="6B7E6539" w14:textId="7360C33A" w:rsidR="00AD0E1F" w:rsidRDefault="00AD0E1F" w:rsidP="00306785">
      <w:pPr>
        <w:pStyle w:val="Caption"/>
      </w:pPr>
      <w:r>
        <w:t xml:space="preserve">Summary of potential interference </w:t>
      </w:r>
      <w:r w:rsidR="0014265E">
        <w:t>scenarios</w:t>
      </w:r>
      <w: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957"/>
        <w:gridCol w:w="4399"/>
      </w:tblGrid>
      <w:tr w:rsidR="00AD0E1F" w:rsidRPr="002E390A" w14:paraId="63B56DDF" w14:textId="77777777" w:rsidTr="00B678D4">
        <w:trPr>
          <w:tblHeader/>
        </w:trPr>
        <w:tc>
          <w:tcPr>
            <w:tcW w:w="4957" w:type="dxa"/>
            <w:shd w:val="clear" w:color="auto" w:fill="D9D9D9"/>
          </w:tcPr>
          <w:p w14:paraId="6AFE2488" w14:textId="622E8D37" w:rsidR="00AD0E1F" w:rsidRPr="00AF06C8" w:rsidRDefault="00AD0E1F" w:rsidP="007A32AF">
            <w:pPr>
              <w:pStyle w:val="TableHeading"/>
              <w:spacing w:line="240" w:lineRule="auto"/>
              <w:rPr>
                <w:rFonts w:eastAsiaTheme="minorHAnsi"/>
                <w:szCs w:val="22"/>
              </w:rPr>
            </w:pPr>
            <w:r w:rsidRPr="00BE1FA5">
              <w:t xml:space="preserve">Interference </w:t>
            </w:r>
            <w:r w:rsidR="0014265E">
              <w:t>scenarios</w:t>
            </w:r>
          </w:p>
        </w:tc>
        <w:tc>
          <w:tcPr>
            <w:tcW w:w="4399" w:type="dxa"/>
            <w:shd w:val="clear" w:color="auto" w:fill="D9D9D9"/>
          </w:tcPr>
          <w:p w14:paraId="32CC53BE" w14:textId="77777777" w:rsidR="00AD0E1F" w:rsidRPr="00AF06C8" w:rsidRDefault="00AD0E1F" w:rsidP="007A32AF">
            <w:pPr>
              <w:pStyle w:val="TableHeading"/>
              <w:spacing w:line="240" w:lineRule="auto"/>
              <w:rPr>
                <w:rFonts w:eastAsiaTheme="minorHAnsi"/>
                <w:szCs w:val="22"/>
              </w:rPr>
            </w:pPr>
            <w:r w:rsidRPr="00BE1FA5">
              <w:t>Coordination procedure</w:t>
            </w:r>
          </w:p>
        </w:tc>
      </w:tr>
      <w:tr w:rsidR="00AD0E1F" w:rsidRPr="002E390A" w14:paraId="4D622479" w14:textId="77777777" w:rsidTr="00B678D4">
        <w:tc>
          <w:tcPr>
            <w:tcW w:w="4957" w:type="dxa"/>
          </w:tcPr>
          <w:p w14:paraId="4244F9A6" w14:textId="43E1F0D2" w:rsidR="00AD0E1F" w:rsidRPr="005A3FC3" w:rsidRDefault="0063501D" w:rsidP="007A32AF">
            <w:pPr>
              <w:pStyle w:val="TableBody"/>
              <w:rPr>
                <w:rFonts w:eastAsiaTheme="minorHAnsi"/>
                <w:szCs w:val="22"/>
              </w:rPr>
            </w:pPr>
            <w:r>
              <w:rPr>
                <w:rFonts w:eastAsiaTheme="minorHAnsi"/>
                <w:szCs w:val="22"/>
              </w:rPr>
              <w:t>RMR</w:t>
            </w:r>
            <w:r w:rsidR="00AD0E1F" w:rsidRPr="005A3FC3">
              <w:rPr>
                <w:rFonts w:eastAsiaTheme="minorHAnsi"/>
                <w:szCs w:val="22"/>
              </w:rPr>
              <w:t xml:space="preserve"> into </w:t>
            </w:r>
            <w:r>
              <w:rPr>
                <w:rFonts w:eastAsiaTheme="minorHAnsi"/>
                <w:szCs w:val="22"/>
              </w:rPr>
              <w:t>RMR</w:t>
            </w:r>
            <w:r w:rsidR="00AD0E1F" w:rsidRPr="005A3FC3">
              <w:rPr>
                <w:rFonts w:eastAsiaTheme="minorHAnsi"/>
                <w:szCs w:val="22"/>
              </w:rPr>
              <w:br/>
              <w:t>(see section</w:t>
            </w:r>
            <w:r w:rsidR="00000AA7">
              <w:rPr>
                <w:rFonts w:eastAsiaTheme="minorHAnsi"/>
                <w:szCs w:val="22"/>
              </w:rPr>
              <w:t xml:space="preserve"> </w:t>
            </w:r>
            <w:r w:rsidR="00000AA7">
              <w:rPr>
                <w:rFonts w:eastAsiaTheme="minorHAnsi"/>
                <w:szCs w:val="22"/>
              </w:rPr>
              <w:fldChar w:fldCharType="begin"/>
            </w:r>
            <w:r w:rsidR="00000AA7">
              <w:rPr>
                <w:rFonts w:eastAsiaTheme="minorHAnsi"/>
                <w:szCs w:val="22"/>
              </w:rPr>
              <w:instrText xml:space="preserve"> REF _Ref210199838 \r \h </w:instrText>
            </w:r>
            <w:r w:rsidR="00000AA7">
              <w:rPr>
                <w:rFonts w:eastAsiaTheme="minorHAnsi"/>
                <w:szCs w:val="22"/>
              </w:rPr>
            </w:r>
            <w:r w:rsidR="00000AA7">
              <w:rPr>
                <w:rFonts w:eastAsiaTheme="minorHAnsi"/>
                <w:szCs w:val="22"/>
              </w:rPr>
              <w:fldChar w:fldCharType="separate"/>
            </w:r>
            <w:r w:rsidR="00000AA7">
              <w:rPr>
                <w:rFonts w:eastAsiaTheme="minorHAnsi"/>
                <w:szCs w:val="22"/>
              </w:rPr>
              <w:t>2.1</w:t>
            </w:r>
            <w:r w:rsidR="00000AA7">
              <w:rPr>
                <w:rFonts w:eastAsiaTheme="minorHAnsi"/>
                <w:szCs w:val="22"/>
              </w:rPr>
              <w:fldChar w:fldCharType="end"/>
            </w:r>
            <w:r w:rsidR="00AD0E1F" w:rsidRPr="005A3FC3">
              <w:rPr>
                <w:rFonts w:eastAsiaTheme="minorHAnsi"/>
                <w:szCs w:val="22"/>
              </w:rPr>
              <w:t>)</w:t>
            </w:r>
          </w:p>
        </w:tc>
        <w:tc>
          <w:tcPr>
            <w:tcW w:w="4399" w:type="dxa"/>
          </w:tcPr>
          <w:p w14:paraId="6B2A35E3" w14:textId="6F7330B2" w:rsidR="00AD0E1F" w:rsidRPr="005A3FC3" w:rsidRDefault="00361DE8" w:rsidP="007A32AF">
            <w:pPr>
              <w:pStyle w:val="TableBody"/>
              <w:rPr>
                <w:rFonts w:eastAsiaTheme="minorHAnsi"/>
                <w:szCs w:val="22"/>
              </w:rPr>
            </w:pPr>
            <w:r>
              <w:rPr>
                <w:rFonts w:eastAsiaTheme="minorHAnsi"/>
                <w:szCs w:val="22"/>
              </w:rPr>
              <w:t>No procedure required</w:t>
            </w:r>
          </w:p>
        </w:tc>
      </w:tr>
      <w:tr w:rsidR="00000AA7" w:rsidRPr="002E390A" w14:paraId="081D819E" w14:textId="77777777" w:rsidTr="00B678D4">
        <w:tc>
          <w:tcPr>
            <w:tcW w:w="4957" w:type="dxa"/>
          </w:tcPr>
          <w:p w14:paraId="75761C10" w14:textId="4DE08C3E" w:rsidR="00000AA7" w:rsidRDefault="0063501D" w:rsidP="00000AA7">
            <w:pPr>
              <w:pStyle w:val="TableBody"/>
              <w:rPr>
                <w:rFonts w:eastAsiaTheme="minorHAnsi"/>
                <w:szCs w:val="22"/>
              </w:rPr>
            </w:pPr>
            <w:r>
              <w:rPr>
                <w:rFonts w:eastAsiaTheme="minorHAnsi"/>
                <w:szCs w:val="22"/>
              </w:rPr>
              <w:t>RMR</w:t>
            </w:r>
            <w:r w:rsidR="00000AA7">
              <w:rPr>
                <w:rFonts w:eastAsiaTheme="minorHAnsi"/>
                <w:szCs w:val="22"/>
              </w:rPr>
              <w:t xml:space="preserve"> </w:t>
            </w:r>
            <w:r w:rsidR="00000AA7" w:rsidRPr="005A3FC3">
              <w:rPr>
                <w:rFonts w:eastAsiaTheme="minorHAnsi"/>
                <w:szCs w:val="22"/>
              </w:rPr>
              <w:t>Tx into BWA Rx</w:t>
            </w:r>
            <w:r w:rsidR="00000AA7" w:rsidRPr="005A3FC3">
              <w:rPr>
                <w:rFonts w:eastAsiaTheme="minorHAnsi"/>
                <w:szCs w:val="22"/>
              </w:rPr>
              <w:br/>
              <w:t>(see section </w:t>
            </w:r>
            <w:r w:rsidR="000C63AC">
              <w:rPr>
                <w:rFonts w:eastAsiaTheme="minorHAnsi"/>
                <w:szCs w:val="22"/>
              </w:rPr>
              <w:fldChar w:fldCharType="begin"/>
            </w:r>
            <w:r w:rsidR="000C63AC">
              <w:rPr>
                <w:rFonts w:eastAsiaTheme="minorHAnsi"/>
                <w:szCs w:val="22"/>
              </w:rPr>
              <w:instrText xml:space="preserve"> REF _Ref210289679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2.2.1</w:t>
            </w:r>
            <w:r w:rsidR="000C63AC">
              <w:rPr>
                <w:rFonts w:eastAsiaTheme="minorHAnsi"/>
                <w:szCs w:val="22"/>
              </w:rPr>
              <w:fldChar w:fldCharType="end"/>
            </w:r>
            <w:r w:rsidR="00000AA7" w:rsidRPr="005A3FC3">
              <w:rPr>
                <w:rFonts w:eastAsiaTheme="minorHAnsi"/>
                <w:szCs w:val="22"/>
              </w:rPr>
              <w:t>)</w:t>
            </w:r>
          </w:p>
        </w:tc>
        <w:tc>
          <w:tcPr>
            <w:tcW w:w="4399" w:type="dxa"/>
          </w:tcPr>
          <w:p w14:paraId="6C57CCE8" w14:textId="2CF76D37" w:rsidR="00000AA7" w:rsidRDefault="00000AA7" w:rsidP="00000AA7">
            <w:pPr>
              <w:pStyle w:val="TableBody"/>
              <w:rPr>
                <w:rFonts w:eastAsiaTheme="minorHAnsi"/>
                <w:szCs w:val="22"/>
              </w:rPr>
            </w:pPr>
            <w:r>
              <w:rPr>
                <w:rFonts w:eastAsiaTheme="minorHAnsi"/>
                <w:szCs w:val="22"/>
              </w:rPr>
              <w:t xml:space="preserve">For BWA Rx licensed before </w:t>
            </w:r>
            <w:r w:rsidR="008643C5">
              <w:rPr>
                <w:rFonts w:eastAsiaTheme="minorHAnsi"/>
                <w:szCs w:val="22"/>
              </w:rPr>
              <w:t>2 July 2026</w:t>
            </w:r>
            <w:r w:rsidR="00313AE5">
              <w:rPr>
                <w:rFonts w:eastAsiaTheme="minorHAnsi"/>
                <w:szCs w:val="22"/>
              </w:rPr>
              <w:t>]</w:t>
            </w:r>
            <w:r>
              <w:rPr>
                <w:rFonts w:eastAsiaTheme="minorHAnsi"/>
                <w:szCs w:val="22"/>
              </w:rPr>
              <w:t>: RALI FX19</w:t>
            </w:r>
          </w:p>
          <w:p w14:paraId="7F5CC85A" w14:textId="77777777" w:rsidR="00000AA7" w:rsidRDefault="00000AA7" w:rsidP="00000AA7">
            <w:pPr>
              <w:pStyle w:val="TableBody"/>
              <w:rPr>
                <w:rFonts w:eastAsiaTheme="minorHAnsi"/>
                <w:szCs w:val="22"/>
              </w:rPr>
            </w:pPr>
          </w:p>
          <w:p w14:paraId="4F1F8AD2" w14:textId="2B25B2EB" w:rsidR="00000AA7" w:rsidRDefault="00000AA7" w:rsidP="00000AA7">
            <w:pPr>
              <w:pStyle w:val="TableBody"/>
              <w:rPr>
                <w:rFonts w:eastAsiaTheme="minorHAnsi"/>
                <w:szCs w:val="22"/>
              </w:rPr>
            </w:pPr>
            <w:r>
              <w:rPr>
                <w:rFonts w:eastAsiaTheme="minorHAnsi"/>
                <w:szCs w:val="22"/>
              </w:rPr>
              <w:t xml:space="preserve">For BWA Rx licensed on or after </w:t>
            </w:r>
            <w:r w:rsidR="006306EF">
              <w:rPr>
                <w:rFonts w:eastAsiaTheme="minorHAnsi"/>
                <w:szCs w:val="22"/>
              </w:rPr>
              <w:t>2 July 2026</w:t>
            </w:r>
            <w:r>
              <w:rPr>
                <w:rFonts w:eastAsiaTheme="minorHAnsi"/>
                <w:szCs w:val="22"/>
              </w:rPr>
              <w:t xml:space="preserve">: No procedure required (coexistence addressed via BWA Tx to </w:t>
            </w:r>
            <w:r w:rsidR="0063501D">
              <w:rPr>
                <w:rFonts w:eastAsiaTheme="minorHAnsi"/>
                <w:szCs w:val="22"/>
              </w:rPr>
              <w:t>RMR</w:t>
            </w:r>
            <w:r>
              <w:rPr>
                <w:rFonts w:eastAsiaTheme="minorHAnsi"/>
                <w:szCs w:val="22"/>
              </w:rPr>
              <w:t xml:space="preserve"> Rx coordination in section </w:t>
            </w:r>
            <w:r>
              <w:rPr>
                <w:rFonts w:eastAsiaTheme="minorHAnsi"/>
                <w:szCs w:val="22"/>
              </w:rPr>
              <w:fldChar w:fldCharType="begin"/>
            </w:r>
            <w:r>
              <w:rPr>
                <w:rFonts w:eastAsiaTheme="minorHAnsi"/>
                <w:szCs w:val="22"/>
              </w:rPr>
              <w:instrText xml:space="preserve"> REF _Ref210200126 \r \h </w:instrText>
            </w:r>
            <w:r>
              <w:rPr>
                <w:rFonts w:eastAsiaTheme="minorHAnsi"/>
                <w:szCs w:val="22"/>
              </w:rPr>
            </w:r>
            <w:r>
              <w:rPr>
                <w:rFonts w:eastAsiaTheme="minorHAnsi"/>
                <w:szCs w:val="22"/>
              </w:rPr>
              <w:fldChar w:fldCharType="separate"/>
            </w:r>
            <w:r>
              <w:rPr>
                <w:rFonts w:eastAsiaTheme="minorHAnsi"/>
                <w:szCs w:val="22"/>
              </w:rPr>
              <w:t>3.2.1</w:t>
            </w:r>
            <w:r>
              <w:rPr>
                <w:rFonts w:eastAsiaTheme="minorHAnsi"/>
                <w:szCs w:val="22"/>
              </w:rPr>
              <w:fldChar w:fldCharType="end"/>
            </w:r>
            <w:r>
              <w:rPr>
                <w:rFonts w:eastAsiaTheme="minorHAnsi"/>
                <w:szCs w:val="22"/>
              </w:rPr>
              <w:t>)</w:t>
            </w:r>
          </w:p>
        </w:tc>
      </w:tr>
      <w:tr w:rsidR="00000AA7" w:rsidRPr="002E390A" w14:paraId="7DE7D691" w14:textId="77777777" w:rsidTr="00B678D4">
        <w:tc>
          <w:tcPr>
            <w:tcW w:w="4957" w:type="dxa"/>
          </w:tcPr>
          <w:p w14:paraId="3D5AFB45" w14:textId="4BAAD99E" w:rsidR="00000AA7" w:rsidRDefault="00000AA7" w:rsidP="00000AA7">
            <w:pPr>
              <w:pStyle w:val="TableBody"/>
              <w:rPr>
                <w:rFonts w:eastAsiaTheme="minorHAnsi"/>
                <w:szCs w:val="22"/>
              </w:rPr>
            </w:pPr>
            <w:r w:rsidRPr="005A3FC3">
              <w:rPr>
                <w:rFonts w:eastAsiaTheme="minorHAnsi"/>
                <w:szCs w:val="22"/>
              </w:rPr>
              <w:t xml:space="preserve">BWA Tx into </w:t>
            </w:r>
            <w:r w:rsidR="0063501D">
              <w:rPr>
                <w:rFonts w:eastAsiaTheme="minorHAnsi"/>
                <w:szCs w:val="22"/>
              </w:rPr>
              <w:t>RMR</w:t>
            </w:r>
            <w:r w:rsidRPr="005A3FC3">
              <w:rPr>
                <w:rFonts w:eastAsiaTheme="minorHAnsi"/>
                <w:szCs w:val="22"/>
              </w:rPr>
              <w:t xml:space="preserve"> </w:t>
            </w:r>
            <w:r>
              <w:rPr>
                <w:rFonts w:eastAsiaTheme="minorHAnsi"/>
                <w:szCs w:val="22"/>
              </w:rPr>
              <w:t>Rx</w:t>
            </w:r>
            <w:r w:rsidRPr="005A3FC3">
              <w:rPr>
                <w:rFonts w:eastAsiaTheme="minorHAnsi"/>
                <w:szCs w:val="22"/>
              </w:rPr>
              <w:br/>
              <w:t>(see sect</w:t>
            </w:r>
            <w:r>
              <w:rPr>
                <w:rFonts w:eastAsiaTheme="minorHAnsi"/>
                <w:szCs w:val="22"/>
              </w:rPr>
              <w:t>ion </w:t>
            </w:r>
            <w:r w:rsidR="000C63AC">
              <w:rPr>
                <w:rFonts w:eastAsiaTheme="minorHAnsi"/>
                <w:szCs w:val="22"/>
              </w:rPr>
              <w:fldChar w:fldCharType="begin"/>
            </w:r>
            <w:r w:rsidR="000C63AC">
              <w:rPr>
                <w:rFonts w:eastAsiaTheme="minorHAnsi"/>
                <w:szCs w:val="22"/>
              </w:rPr>
              <w:instrText xml:space="preserve"> REF _Ref210199992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2.2.2</w:t>
            </w:r>
            <w:r w:rsidR="000C63AC">
              <w:rPr>
                <w:rFonts w:eastAsiaTheme="minorHAnsi"/>
                <w:szCs w:val="22"/>
              </w:rPr>
              <w:fldChar w:fldCharType="end"/>
            </w:r>
            <w:r>
              <w:rPr>
                <w:rFonts w:eastAsiaTheme="minorHAnsi"/>
                <w:szCs w:val="22"/>
              </w:rPr>
              <w:t xml:space="preserve">) </w:t>
            </w:r>
          </w:p>
        </w:tc>
        <w:tc>
          <w:tcPr>
            <w:tcW w:w="4399" w:type="dxa"/>
          </w:tcPr>
          <w:p w14:paraId="731A740C" w14:textId="604DB657" w:rsidR="00000AA7" w:rsidRDefault="00000AA7" w:rsidP="00000AA7">
            <w:pPr>
              <w:pStyle w:val="TableBody"/>
              <w:rPr>
                <w:rFonts w:eastAsiaTheme="minorHAnsi"/>
                <w:szCs w:val="22"/>
              </w:rPr>
            </w:pPr>
            <w:r>
              <w:rPr>
                <w:rFonts w:eastAsiaTheme="minorHAnsi"/>
                <w:szCs w:val="22"/>
              </w:rPr>
              <w:t xml:space="preserve">For BWA Tx licensed before </w:t>
            </w:r>
            <w:r w:rsidR="00E41DF0">
              <w:rPr>
                <w:rFonts w:eastAsiaTheme="minorHAnsi"/>
                <w:szCs w:val="22"/>
              </w:rPr>
              <w:t>2 July 2026</w:t>
            </w:r>
            <w:r>
              <w:rPr>
                <w:rFonts w:eastAsiaTheme="minorHAnsi"/>
                <w:szCs w:val="22"/>
              </w:rPr>
              <w:t xml:space="preserve">: section </w:t>
            </w:r>
            <w:r>
              <w:rPr>
                <w:rFonts w:eastAsiaTheme="minorHAnsi"/>
                <w:szCs w:val="22"/>
              </w:rPr>
              <w:fldChar w:fldCharType="begin"/>
            </w:r>
            <w:r>
              <w:rPr>
                <w:rFonts w:eastAsiaTheme="minorHAnsi"/>
                <w:szCs w:val="22"/>
              </w:rPr>
              <w:instrText xml:space="preserve"> REF _Ref210200187 \r \h </w:instrText>
            </w:r>
            <w:r>
              <w:rPr>
                <w:rFonts w:eastAsiaTheme="minorHAnsi"/>
                <w:szCs w:val="22"/>
              </w:rPr>
            </w:r>
            <w:r>
              <w:rPr>
                <w:rFonts w:eastAsiaTheme="minorHAnsi"/>
                <w:szCs w:val="22"/>
              </w:rPr>
              <w:fldChar w:fldCharType="separate"/>
            </w:r>
            <w:r>
              <w:rPr>
                <w:rFonts w:eastAsiaTheme="minorHAnsi"/>
                <w:szCs w:val="22"/>
              </w:rPr>
              <w:t>3.2.2</w:t>
            </w:r>
            <w:r>
              <w:rPr>
                <w:rFonts w:eastAsiaTheme="minorHAnsi"/>
                <w:szCs w:val="22"/>
              </w:rPr>
              <w:fldChar w:fldCharType="end"/>
            </w:r>
            <w:r>
              <w:rPr>
                <w:rFonts w:eastAsiaTheme="minorHAnsi"/>
                <w:szCs w:val="22"/>
              </w:rPr>
              <w:t>.</w:t>
            </w:r>
          </w:p>
          <w:p w14:paraId="2D0138C1" w14:textId="77777777" w:rsidR="00000AA7" w:rsidRDefault="00000AA7" w:rsidP="00000AA7">
            <w:pPr>
              <w:pStyle w:val="TableBody"/>
              <w:rPr>
                <w:rFonts w:eastAsiaTheme="minorHAnsi"/>
                <w:szCs w:val="22"/>
              </w:rPr>
            </w:pPr>
          </w:p>
          <w:p w14:paraId="66664EBF" w14:textId="205900B3" w:rsidR="00000AA7" w:rsidRDefault="00000AA7" w:rsidP="00000AA7">
            <w:pPr>
              <w:pStyle w:val="TableBody"/>
              <w:rPr>
                <w:rFonts w:eastAsiaTheme="minorHAnsi"/>
                <w:szCs w:val="22"/>
              </w:rPr>
            </w:pPr>
            <w:r>
              <w:rPr>
                <w:rFonts w:eastAsiaTheme="minorHAnsi"/>
                <w:szCs w:val="22"/>
              </w:rPr>
              <w:t xml:space="preserve">For BWA Tx licensed on or after </w:t>
            </w:r>
            <w:r w:rsidR="00E41DF0">
              <w:rPr>
                <w:rFonts w:eastAsiaTheme="minorHAnsi"/>
                <w:szCs w:val="22"/>
              </w:rPr>
              <w:t>2 July 2026</w:t>
            </w:r>
            <w:r>
              <w:rPr>
                <w:rFonts w:eastAsiaTheme="minorHAnsi"/>
                <w:szCs w:val="22"/>
              </w:rPr>
              <w:t xml:space="preserve">: section </w:t>
            </w:r>
            <w:r>
              <w:rPr>
                <w:rFonts w:eastAsiaTheme="minorHAnsi"/>
                <w:szCs w:val="22"/>
              </w:rPr>
              <w:fldChar w:fldCharType="begin"/>
            </w:r>
            <w:r>
              <w:rPr>
                <w:rFonts w:eastAsiaTheme="minorHAnsi"/>
                <w:szCs w:val="22"/>
              </w:rPr>
              <w:instrText xml:space="preserve"> REF _Ref210200126 \r \h </w:instrText>
            </w:r>
            <w:r>
              <w:rPr>
                <w:rFonts w:eastAsiaTheme="minorHAnsi"/>
                <w:szCs w:val="22"/>
              </w:rPr>
            </w:r>
            <w:r>
              <w:rPr>
                <w:rFonts w:eastAsiaTheme="minorHAnsi"/>
                <w:szCs w:val="22"/>
              </w:rPr>
              <w:fldChar w:fldCharType="separate"/>
            </w:r>
            <w:r>
              <w:rPr>
                <w:rFonts w:eastAsiaTheme="minorHAnsi"/>
                <w:szCs w:val="22"/>
              </w:rPr>
              <w:t>3.2.1</w:t>
            </w:r>
            <w:r>
              <w:rPr>
                <w:rFonts w:eastAsiaTheme="minorHAnsi"/>
                <w:szCs w:val="22"/>
              </w:rPr>
              <w:fldChar w:fldCharType="end"/>
            </w:r>
            <w:r>
              <w:rPr>
                <w:rFonts w:eastAsiaTheme="minorHAnsi"/>
                <w:szCs w:val="22"/>
              </w:rPr>
              <w:t>.</w:t>
            </w:r>
          </w:p>
        </w:tc>
      </w:tr>
      <w:tr w:rsidR="00000AA7" w:rsidRPr="002E390A" w14:paraId="5A68661D" w14:textId="77777777" w:rsidTr="00B678D4">
        <w:tc>
          <w:tcPr>
            <w:tcW w:w="4957" w:type="dxa"/>
          </w:tcPr>
          <w:p w14:paraId="491E1C16" w14:textId="746B6573" w:rsidR="00000AA7" w:rsidRPr="005A3FC3" w:rsidRDefault="0063501D" w:rsidP="00000AA7">
            <w:pPr>
              <w:pStyle w:val="TableBody"/>
              <w:rPr>
                <w:rFonts w:eastAsiaTheme="minorHAnsi"/>
                <w:szCs w:val="22"/>
              </w:rPr>
            </w:pPr>
            <w:r>
              <w:rPr>
                <w:rFonts w:eastAsiaTheme="minorHAnsi"/>
                <w:szCs w:val="22"/>
              </w:rPr>
              <w:t>RMR</w:t>
            </w:r>
            <w:r w:rsidR="00000AA7" w:rsidRPr="005A3FC3">
              <w:rPr>
                <w:rFonts w:eastAsiaTheme="minorHAnsi"/>
                <w:szCs w:val="22"/>
              </w:rPr>
              <w:t xml:space="preserve"> Tx into </w:t>
            </w:r>
            <w:r w:rsidR="003B124B">
              <w:rPr>
                <w:rFonts w:eastAsiaTheme="minorHAnsi"/>
                <w:szCs w:val="22"/>
              </w:rPr>
              <w:t>fixed link</w:t>
            </w:r>
            <w:r w:rsidR="00000AA7" w:rsidRPr="005A3FC3">
              <w:rPr>
                <w:rFonts w:eastAsiaTheme="minorHAnsi"/>
                <w:szCs w:val="22"/>
              </w:rPr>
              <w:t xml:space="preserve"> Rx</w:t>
            </w:r>
            <w:r w:rsidR="00000AA7" w:rsidRPr="005A3FC3">
              <w:rPr>
                <w:rFonts w:eastAsiaTheme="minorHAnsi"/>
                <w:szCs w:val="22"/>
              </w:rPr>
              <w:br/>
              <w:t>(see section</w:t>
            </w:r>
            <w:r w:rsidR="000C63AC">
              <w:rPr>
                <w:rFonts w:eastAsiaTheme="minorHAnsi"/>
                <w:szCs w:val="22"/>
              </w:rPr>
              <w:t xml:space="preserve"> </w:t>
            </w:r>
            <w:r w:rsidR="000C63AC">
              <w:rPr>
                <w:rFonts w:eastAsiaTheme="minorHAnsi"/>
                <w:szCs w:val="22"/>
              </w:rPr>
              <w:fldChar w:fldCharType="begin"/>
            </w:r>
            <w:r w:rsidR="000C63AC">
              <w:rPr>
                <w:rFonts w:eastAsiaTheme="minorHAnsi"/>
                <w:szCs w:val="22"/>
              </w:rPr>
              <w:instrText xml:space="preserve"> REF _Ref210289755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2.3.1</w:t>
            </w:r>
            <w:r w:rsidR="000C63AC">
              <w:rPr>
                <w:rFonts w:eastAsiaTheme="minorHAnsi"/>
                <w:szCs w:val="22"/>
              </w:rPr>
              <w:fldChar w:fldCharType="end"/>
            </w:r>
            <w:r w:rsidR="00000AA7" w:rsidRPr="005A3FC3">
              <w:rPr>
                <w:rFonts w:eastAsiaTheme="minorHAnsi"/>
                <w:szCs w:val="22"/>
              </w:rPr>
              <w:t>)</w:t>
            </w:r>
          </w:p>
        </w:tc>
        <w:tc>
          <w:tcPr>
            <w:tcW w:w="4399" w:type="dxa"/>
          </w:tcPr>
          <w:p w14:paraId="139CB732" w14:textId="117C8562" w:rsidR="00000AA7" w:rsidRDefault="00000AA7" w:rsidP="00000AA7">
            <w:pPr>
              <w:pStyle w:val="TableBody"/>
              <w:rPr>
                <w:rFonts w:eastAsiaTheme="minorHAnsi"/>
                <w:szCs w:val="22"/>
              </w:rPr>
            </w:pPr>
            <w:r>
              <w:rPr>
                <w:rFonts w:eastAsiaTheme="minorHAnsi"/>
                <w:szCs w:val="22"/>
              </w:rPr>
              <w:t xml:space="preserve">For </w:t>
            </w:r>
            <w:r w:rsidR="00353E36">
              <w:rPr>
                <w:rFonts w:eastAsiaTheme="minorHAnsi"/>
                <w:szCs w:val="22"/>
              </w:rPr>
              <w:t xml:space="preserve">fixed link </w:t>
            </w:r>
            <w:r>
              <w:rPr>
                <w:rFonts w:eastAsiaTheme="minorHAnsi"/>
                <w:szCs w:val="22"/>
              </w:rPr>
              <w:t xml:space="preserve">Rx licensed before </w:t>
            </w:r>
            <w:r w:rsidR="00E41DF0">
              <w:rPr>
                <w:rFonts w:eastAsiaTheme="minorHAnsi"/>
                <w:szCs w:val="22"/>
              </w:rPr>
              <w:t>2 July 2026</w:t>
            </w:r>
            <w:r>
              <w:rPr>
                <w:rFonts w:eastAsiaTheme="minorHAnsi"/>
                <w:szCs w:val="22"/>
              </w:rPr>
              <w:t xml:space="preserve">: </w:t>
            </w:r>
            <w:r w:rsidR="00627AE5">
              <w:rPr>
                <w:rFonts w:eastAsiaTheme="minorHAnsi"/>
                <w:szCs w:val="22"/>
              </w:rPr>
              <w:t>s</w:t>
            </w:r>
            <w:r w:rsidRPr="005A3FC3">
              <w:rPr>
                <w:rFonts w:eastAsiaTheme="minorHAnsi"/>
                <w:szCs w:val="22"/>
              </w:rPr>
              <w:t>ection </w:t>
            </w:r>
            <w:r w:rsidR="00627AE5">
              <w:rPr>
                <w:rFonts w:eastAsiaTheme="minorHAnsi"/>
                <w:szCs w:val="22"/>
              </w:rPr>
              <w:fldChar w:fldCharType="begin"/>
            </w:r>
            <w:r w:rsidR="00627AE5">
              <w:rPr>
                <w:rFonts w:eastAsiaTheme="minorHAnsi"/>
                <w:szCs w:val="22"/>
              </w:rPr>
              <w:instrText xml:space="preserve"> REF _Ref210200347 \r \h </w:instrText>
            </w:r>
            <w:r w:rsidR="00627AE5">
              <w:rPr>
                <w:rFonts w:eastAsiaTheme="minorHAnsi"/>
                <w:szCs w:val="22"/>
              </w:rPr>
            </w:r>
            <w:r w:rsidR="00627AE5">
              <w:rPr>
                <w:rFonts w:eastAsiaTheme="minorHAnsi"/>
                <w:szCs w:val="22"/>
              </w:rPr>
              <w:fldChar w:fldCharType="separate"/>
            </w:r>
            <w:r w:rsidR="00627AE5">
              <w:rPr>
                <w:rFonts w:eastAsiaTheme="minorHAnsi"/>
                <w:szCs w:val="22"/>
              </w:rPr>
              <w:t>3.3.1</w:t>
            </w:r>
            <w:r w:rsidR="00627AE5">
              <w:rPr>
                <w:rFonts w:eastAsiaTheme="minorHAnsi"/>
                <w:szCs w:val="22"/>
              </w:rPr>
              <w:fldChar w:fldCharType="end"/>
            </w:r>
            <w:r w:rsidRPr="005A3FC3">
              <w:rPr>
                <w:rFonts w:eastAsiaTheme="minorHAnsi"/>
                <w:szCs w:val="22"/>
              </w:rPr>
              <w:t xml:space="preserve"> of this RALI</w:t>
            </w:r>
          </w:p>
          <w:p w14:paraId="676D9B62" w14:textId="77777777" w:rsidR="00000AA7" w:rsidRDefault="00000AA7" w:rsidP="00000AA7">
            <w:pPr>
              <w:pStyle w:val="TableBody"/>
              <w:rPr>
                <w:rFonts w:eastAsiaTheme="minorHAnsi"/>
                <w:szCs w:val="22"/>
              </w:rPr>
            </w:pPr>
          </w:p>
          <w:p w14:paraId="23284193" w14:textId="7115B679" w:rsidR="00000AA7" w:rsidRPr="005A3FC3" w:rsidRDefault="00000AA7" w:rsidP="00000AA7">
            <w:pPr>
              <w:pStyle w:val="TableBody"/>
              <w:rPr>
                <w:rFonts w:eastAsiaTheme="minorHAnsi"/>
                <w:szCs w:val="22"/>
              </w:rPr>
            </w:pPr>
            <w:r>
              <w:rPr>
                <w:rFonts w:eastAsiaTheme="minorHAnsi"/>
                <w:szCs w:val="22"/>
              </w:rPr>
              <w:t xml:space="preserve">For </w:t>
            </w:r>
            <w:r w:rsidR="00353E36">
              <w:rPr>
                <w:rFonts w:eastAsiaTheme="minorHAnsi"/>
                <w:szCs w:val="22"/>
              </w:rPr>
              <w:t>fixed link</w:t>
            </w:r>
            <w:r>
              <w:rPr>
                <w:rFonts w:eastAsiaTheme="minorHAnsi"/>
                <w:szCs w:val="22"/>
              </w:rPr>
              <w:t xml:space="preserve"> Rx licensed on or after </w:t>
            </w:r>
            <w:r w:rsidR="00E41DF0">
              <w:rPr>
                <w:rFonts w:eastAsiaTheme="minorHAnsi"/>
                <w:szCs w:val="22"/>
              </w:rPr>
              <w:t>2 July 2026</w:t>
            </w:r>
            <w:r w:rsidR="00627AE5">
              <w:rPr>
                <w:rFonts w:eastAsiaTheme="minorHAnsi"/>
                <w:szCs w:val="22"/>
              </w:rPr>
              <w:t xml:space="preserve">section </w:t>
            </w:r>
            <w:r w:rsidR="00627AE5">
              <w:rPr>
                <w:rFonts w:eastAsiaTheme="minorHAnsi"/>
                <w:szCs w:val="22"/>
              </w:rPr>
              <w:fldChar w:fldCharType="begin"/>
            </w:r>
            <w:r w:rsidR="00627AE5">
              <w:rPr>
                <w:rFonts w:eastAsiaTheme="minorHAnsi"/>
                <w:szCs w:val="22"/>
              </w:rPr>
              <w:instrText xml:space="preserve"> REF _Ref210200392 \r \h </w:instrText>
            </w:r>
            <w:r w:rsidR="00627AE5">
              <w:rPr>
                <w:rFonts w:eastAsiaTheme="minorHAnsi"/>
                <w:szCs w:val="22"/>
              </w:rPr>
            </w:r>
            <w:r w:rsidR="00627AE5">
              <w:rPr>
                <w:rFonts w:eastAsiaTheme="minorHAnsi"/>
                <w:szCs w:val="22"/>
              </w:rPr>
              <w:fldChar w:fldCharType="separate"/>
            </w:r>
            <w:r w:rsidR="00627AE5">
              <w:rPr>
                <w:rFonts w:eastAsiaTheme="minorHAnsi"/>
                <w:szCs w:val="22"/>
              </w:rPr>
              <w:t>3.3.2</w:t>
            </w:r>
            <w:r w:rsidR="00627AE5">
              <w:rPr>
                <w:rFonts w:eastAsiaTheme="minorHAnsi"/>
                <w:szCs w:val="22"/>
              </w:rPr>
              <w:fldChar w:fldCharType="end"/>
            </w:r>
          </w:p>
        </w:tc>
      </w:tr>
      <w:tr w:rsidR="00000AA7" w:rsidRPr="002E390A" w14:paraId="0BF54199" w14:textId="77777777" w:rsidTr="00B678D4">
        <w:tc>
          <w:tcPr>
            <w:tcW w:w="4957" w:type="dxa"/>
          </w:tcPr>
          <w:p w14:paraId="72224BD6" w14:textId="571FF1ED" w:rsidR="00000AA7" w:rsidRPr="005A3FC3" w:rsidRDefault="00D143DB" w:rsidP="00000AA7">
            <w:pPr>
              <w:pStyle w:val="TableBody"/>
              <w:rPr>
                <w:rFonts w:eastAsiaTheme="minorHAnsi"/>
                <w:szCs w:val="22"/>
              </w:rPr>
            </w:pPr>
            <w:r>
              <w:rPr>
                <w:rFonts w:eastAsiaTheme="minorHAnsi"/>
                <w:szCs w:val="22"/>
              </w:rPr>
              <w:t>Fixed link</w:t>
            </w:r>
            <w:r w:rsidR="00000AA7" w:rsidRPr="005A3FC3">
              <w:rPr>
                <w:rFonts w:eastAsiaTheme="minorHAnsi"/>
                <w:szCs w:val="22"/>
              </w:rPr>
              <w:t xml:space="preserve"> Tx into </w:t>
            </w:r>
            <w:r w:rsidR="0063501D">
              <w:rPr>
                <w:rFonts w:eastAsiaTheme="minorHAnsi"/>
                <w:szCs w:val="22"/>
              </w:rPr>
              <w:t>RMR</w:t>
            </w:r>
            <w:r w:rsidR="00000AA7" w:rsidRPr="005A3FC3">
              <w:rPr>
                <w:rFonts w:eastAsiaTheme="minorHAnsi"/>
                <w:szCs w:val="22"/>
              </w:rPr>
              <w:t xml:space="preserve"> Rx</w:t>
            </w:r>
            <w:r w:rsidR="00000AA7" w:rsidRPr="005A3FC3">
              <w:rPr>
                <w:rFonts w:eastAsiaTheme="minorHAnsi"/>
                <w:szCs w:val="22"/>
              </w:rPr>
              <w:br/>
              <w:t>(see section </w:t>
            </w:r>
            <w:r w:rsidR="000C63AC">
              <w:rPr>
                <w:rFonts w:eastAsiaTheme="minorHAnsi"/>
                <w:szCs w:val="22"/>
              </w:rPr>
              <w:fldChar w:fldCharType="begin"/>
            </w:r>
            <w:r w:rsidR="000C63AC">
              <w:rPr>
                <w:rFonts w:eastAsiaTheme="minorHAnsi"/>
                <w:szCs w:val="22"/>
              </w:rPr>
              <w:instrText xml:space="preserve"> REF _Ref210201123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2.3.2</w:t>
            </w:r>
            <w:r w:rsidR="000C63AC">
              <w:rPr>
                <w:rFonts w:eastAsiaTheme="minorHAnsi"/>
                <w:szCs w:val="22"/>
              </w:rPr>
              <w:fldChar w:fldCharType="end"/>
            </w:r>
            <w:r w:rsidR="00000AA7" w:rsidRPr="005A3FC3">
              <w:rPr>
                <w:rFonts w:eastAsiaTheme="minorHAnsi"/>
                <w:szCs w:val="22"/>
              </w:rPr>
              <w:t>)</w:t>
            </w:r>
          </w:p>
        </w:tc>
        <w:tc>
          <w:tcPr>
            <w:tcW w:w="4399" w:type="dxa"/>
          </w:tcPr>
          <w:p w14:paraId="787568B1" w14:textId="690630CC" w:rsidR="00D143DB" w:rsidRDefault="00D143DB" w:rsidP="00D143DB">
            <w:pPr>
              <w:pStyle w:val="TableBody"/>
              <w:rPr>
                <w:rFonts w:eastAsiaTheme="minorHAnsi"/>
                <w:szCs w:val="22"/>
              </w:rPr>
            </w:pPr>
            <w:r>
              <w:rPr>
                <w:rFonts w:eastAsiaTheme="minorHAnsi"/>
                <w:szCs w:val="22"/>
              </w:rPr>
              <w:t xml:space="preserve">For </w:t>
            </w:r>
            <w:r w:rsidR="00353E36">
              <w:rPr>
                <w:rFonts w:eastAsiaTheme="minorHAnsi"/>
                <w:szCs w:val="22"/>
              </w:rPr>
              <w:t>fixed link</w:t>
            </w:r>
            <w:r>
              <w:rPr>
                <w:rFonts w:eastAsiaTheme="minorHAnsi"/>
                <w:szCs w:val="22"/>
              </w:rPr>
              <w:t xml:space="preserve"> Tx licensed before </w:t>
            </w:r>
            <w:r w:rsidR="006306EF">
              <w:rPr>
                <w:rFonts w:eastAsiaTheme="minorHAnsi"/>
                <w:szCs w:val="22"/>
              </w:rPr>
              <w:t>2 July 2026</w:t>
            </w:r>
            <w:r>
              <w:rPr>
                <w:rFonts w:eastAsiaTheme="minorHAnsi"/>
                <w:szCs w:val="22"/>
              </w:rPr>
              <w:t>: s</w:t>
            </w:r>
            <w:r w:rsidRPr="005A3FC3">
              <w:rPr>
                <w:rFonts w:eastAsiaTheme="minorHAnsi"/>
                <w:szCs w:val="22"/>
              </w:rPr>
              <w:t>ection </w:t>
            </w:r>
            <w:r>
              <w:rPr>
                <w:rFonts w:eastAsiaTheme="minorHAnsi"/>
                <w:szCs w:val="22"/>
              </w:rPr>
              <w:fldChar w:fldCharType="begin"/>
            </w:r>
            <w:r>
              <w:rPr>
                <w:rFonts w:eastAsiaTheme="minorHAnsi"/>
                <w:szCs w:val="22"/>
              </w:rPr>
              <w:instrText xml:space="preserve"> REF _Ref210201179 \r \h </w:instrText>
            </w:r>
            <w:r>
              <w:rPr>
                <w:rFonts w:eastAsiaTheme="minorHAnsi"/>
                <w:szCs w:val="22"/>
              </w:rPr>
            </w:r>
            <w:r>
              <w:rPr>
                <w:rFonts w:eastAsiaTheme="minorHAnsi"/>
                <w:szCs w:val="22"/>
              </w:rPr>
              <w:fldChar w:fldCharType="separate"/>
            </w:r>
            <w:r>
              <w:rPr>
                <w:rFonts w:eastAsiaTheme="minorHAnsi"/>
                <w:szCs w:val="22"/>
              </w:rPr>
              <w:t>3.4.2</w:t>
            </w:r>
            <w:r>
              <w:rPr>
                <w:rFonts w:eastAsiaTheme="minorHAnsi"/>
                <w:szCs w:val="22"/>
              </w:rPr>
              <w:fldChar w:fldCharType="end"/>
            </w:r>
            <w:r w:rsidRPr="005A3FC3">
              <w:rPr>
                <w:rFonts w:eastAsiaTheme="minorHAnsi"/>
                <w:szCs w:val="22"/>
              </w:rPr>
              <w:t xml:space="preserve"> of this RALI</w:t>
            </w:r>
          </w:p>
          <w:p w14:paraId="4B3E491C" w14:textId="77777777" w:rsidR="00D143DB" w:rsidRDefault="00D143DB" w:rsidP="00D143DB">
            <w:pPr>
              <w:pStyle w:val="TableBody"/>
              <w:rPr>
                <w:rFonts w:eastAsiaTheme="minorHAnsi"/>
                <w:szCs w:val="22"/>
              </w:rPr>
            </w:pPr>
          </w:p>
          <w:p w14:paraId="28C440C3" w14:textId="2D8AF13B" w:rsidR="00000AA7" w:rsidRPr="005A3FC3" w:rsidRDefault="00D143DB" w:rsidP="00D143DB">
            <w:pPr>
              <w:pStyle w:val="TableBody"/>
              <w:rPr>
                <w:rFonts w:eastAsiaTheme="minorHAnsi"/>
                <w:szCs w:val="22"/>
              </w:rPr>
            </w:pPr>
            <w:r>
              <w:rPr>
                <w:rFonts w:eastAsiaTheme="minorHAnsi"/>
                <w:szCs w:val="22"/>
              </w:rPr>
              <w:t xml:space="preserve">For </w:t>
            </w:r>
            <w:r w:rsidR="00353E36">
              <w:rPr>
                <w:rFonts w:eastAsiaTheme="minorHAnsi"/>
                <w:szCs w:val="22"/>
              </w:rPr>
              <w:t xml:space="preserve">fixed link </w:t>
            </w:r>
            <w:r>
              <w:rPr>
                <w:rFonts w:eastAsiaTheme="minorHAnsi"/>
                <w:szCs w:val="22"/>
              </w:rPr>
              <w:t xml:space="preserve">Rx licensed on or after </w:t>
            </w:r>
            <w:r w:rsidR="006306EF">
              <w:rPr>
                <w:rFonts w:eastAsiaTheme="minorHAnsi"/>
                <w:szCs w:val="22"/>
              </w:rPr>
              <w:t>2 July 2026</w:t>
            </w:r>
            <w:r>
              <w:rPr>
                <w:rFonts w:eastAsiaTheme="minorHAnsi"/>
                <w:szCs w:val="22"/>
              </w:rPr>
              <w:t xml:space="preserve">: section </w:t>
            </w:r>
            <w:r>
              <w:rPr>
                <w:rFonts w:eastAsiaTheme="minorHAnsi"/>
                <w:szCs w:val="22"/>
              </w:rPr>
              <w:fldChar w:fldCharType="begin"/>
            </w:r>
            <w:r>
              <w:rPr>
                <w:rFonts w:eastAsiaTheme="minorHAnsi"/>
                <w:szCs w:val="22"/>
              </w:rPr>
              <w:instrText xml:space="preserve"> REF _Ref210201190 \r \h </w:instrText>
            </w:r>
            <w:r>
              <w:rPr>
                <w:rFonts w:eastAsiaTheme="minorHAnsi"/>
                <w:szCs w:val="22"/>
              </w:rPr>
            </w:r>
            <w:r>
              <w:rPr>
                <w:rFonts w:eastAsiaTheme="minorHAnsi"/>
                <w:szCs w:val="22"/>
              </w:rPr>
              <w:fldChar w:fldCharType="separate"/>
            </w:r>
            <w:r>
              <w:rPr>
                <w:rFonts w:eastAsiaTheme="minorHAnsi"/>
                <w:szCs w:val="22"/>
              </w:rPr>
              <w:t>3.4.1</w:t>
            </w:r>
            <w:r>
              <w:rPr>
                <w:rFonts w:eastAsiaTheme="minorHAnsi"/>
                <w:szCs w:val="22"/>
              </w:rPr>
              <w:fldChar w:fldCharType="end"/>
            </w:r>
            <w:r>
              <w:rPr>
                <w:rFonts w:eastAsiaTheme="minorHAnsi"/>
                <w:szCs w:val="22"/>
              </w:rPr>
              <w:t>.</w:t>
            </w:r>
          </w:p>
        </w:tc>
      </w:tr>
      <w:tr w:rsidR="00000AA7" w:rsidRPr="002E390A" w14:paraId="7A7D5121" w14:textId="77777777" w:rsidTr="00B678D4">
        <w:tc>
          <w:tcPr>
            <w:tcW w:w="4957" w:type="dxa"/>
          </w:tcPr>
          <w:p w14:paraId="649DA549" w14:textId="7F90E264" w:rsidR="00000AA7" w:rsidRPr="005A3FC3" w:rsidRDefault="0063501D" w:rsidP="00000AA7">
            <w:pPr>
              <w:pStyle w:val="TableBody"/>
              <w:rPr>
                <w:rFonts w:eastAsiaTheme="minorHAnsi"/>
                <w:szCs w:val="22"/>
              </w:rPr>
            </w:pPr>
            <w:r>
              <w:rPr>
                <w:rFonts w:eastAsiaTheme="minorHAnsi"/>
                <w:szCs w:val="22"/>
              </w:rPr>
              <w:t>RMR</w:t>
            </w:r>
            <w:r w:rsidR="00000AA7" w:rsidRPr="005A3FC3">
              <w:rPr>
                <w:rFonts w:eastAsiaTheme="minorHAnsi"/>
                <w:szCs w:val="22"/>
              </w:rPr>
              <w:t xml:space="preserve"> Tx into </w:t>
            </w:r>
            <w:r w:rsidR="00000AA7">
              <w:rPr>
                <w:rFonts w:eastAsiaTheme="minorHAnsi"/>
                <w:szCs w:val="22"/>
              </w:rPr>
              <w:t>2 GHz band s</w:t>
            </w:r>
            <w:r w:rsidR="00000AA7" w:rsidRPr="005A3FC3">
              <w:rPr>
                <w:rFonts w:eastAsiaTheme="minorHAnsi"/>
                <w:szCs w:val="22"/>
              </w:rPr>
              <w:t xml:space="preserve">pectrum licensed </w:t>
            </w:r>
            <w:r w:rsidR="00000AA7">
              <w:rPr>
                <w:rFonts w:eastAsiaTheme="minorHAnsi"/>
                <w:szCs w:val="22"/>
              </w:rPr>
              <w:t>and PTS</w:t>
            </w:r>
            <w:r w:rsidR="00000AA7" w:rsidRPr="005A3FC3">
              <w:rPr>
                <w:rFonts w:eastAsiaTheme="minorHAnsi"/>
                <w:szCs w:val="22"/>
              </w:rPr>
              <w:t xml:space="preserve"> </w:t>
            </w:r>
            <w:r w:rsidR="00000AA7">
              <w:rPr>
                <w:rFonts w:eastAsiaTheme="minorHAnsi"/>
                <w:szCs w:val="22"/>
              </w:rPr>
              <w:t>Rx</w:t>
            </w:r>
            <w:r w:rsidR="00000AA7" w:rsidRPr="005A3FC3">
              <w:rPr>
                <w:rFonts w:eastAsiaTheme="minorHAnsi"/>
                <w:szCs w:val="22"/>
              </w:rPr>
              <w:br/>
              <w:t>(see sect</w:t>
            </w:r>
            <w:r w:rsidR="00000AA7">
              <w:rPr>
                <w:rFonts w:eastAsiaTheme="minorHAnsi"/>
                <w:szCs w:val="22"/>
              </w:rPr>
              <w:t>ion </w:t>
            </w:r>
            <w:r w:rsidR="000C63AC">
              <w:rPr>
                <w:rFonts w:eastAsiaTheme="minorHAnsi"/>
                <w:szCs w:val="22"/>
              </w:rPr>
              <w:fldChar w:fldCharType="begin"/>
            </w:r>
            <w:r w:rsidR="000C63AC">
              <w:rPr>
                <w:rFonts w:eastAsiaTheme="minorHAnsi"/>
                <w:szCs w:val="22"/>
              </w:rPr>
              <w:instrText xml:space="preserve"> REF _Ref210210739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2.4</w:t>
            </w:r>
            <w:r w:rsidR="000C63AC">
              <w:rPr>
                <w:rFonts w:eastAsiaTheme="minorHAnsi"/>
                <w:szCs w:val="22"/>
              </w:rPr>
              <w:fldChar w:fldCharType="end"/>
            </w:r>
            <w:r w:rsidR="000E0E50">
              <w:rPr>
                <w:rFonts w:eastAsiaTheme="minorHAnsi"/>
                <w:szCs w:val="22"/>
              </w:rPr>
              <w:t>)</w:t>
            </w:r>
          </w:p>
        </w:tc>
        <w:tc>
          <w:tcPr>
            <w:tcW w:w="4399" w:type="dxa"/>
          </w:tcPr>
          <w:p w14:paraId="0EDAC9D3" w14:textId="71284349" w:rsidR="00000AA7" w:rsidRPr="005A3FC3" w:rsidRDefault="00000AA7" w:rsidP="00000AA7">
            <w:pPr>
              <w:pStyle w:val="TableBody"/>
              <w:rPr>
                <w:rFonts w:eastAsiaTheme="minorHAnsi"/>
                <w:szCs w:val="22"/>
              </w:rPr>
            </w:pPr>
            <w:r>
              <w:rPr>
                <w:rFonts w:eastAsiaTheme="minorHAnsi"/>
                <w:szCs w:val="22"/>
              </w:rPr>
              <w:t>Section </w:t>
            </w:r>
            <w:r w:rsidR="000E0E50">
              <w:rPr>
                <w:rFonts w:eastAsiaTheme="minorHAnsi"/>
                <w:szCs w:val="22"/>
              </w:rPr>
              <w:fldChar w:fldCharType="begin"/>
            </w:r>
            <w:r w:rsidR="000E0E50">
              <w:rPr>
                <w:rFonts w:eastAsiaTheme="minorHAnsi"/>
                <w:szCs w:val="22"/>
              </w:rPr>
              <w:instrText xml:space="preserve"> REF _Ref210201251 \r \h </w:instrText>
            </w:r>
            <w:r w:rsidR="000E0E50">
              <w:rPr>
                <w:rFonts w:eastAsiaTheme="minorHAnsi"/>
                <w:szCs w:val="22"/>
              </w:rPr>
            </w:r>
            <w:r w:rsidR="000E0E50">
              <w:rPr>
                <w:rFonts w:eastAsiaTheme="minorHAnsi"/>
                <w:szCs w:val="22"/>
              </w:rPr>
              <w:fldChar w:fldCharType="separate"/>
            </w:r>
            <w:r w:rsidR="000E0E50">
              <w:rPr>
                <w:rFonts w:eastAsiaTheme="minorHAnsi"/>
                <w:szCs w:val="22"/>
              </w:rPr>
              <w:t>3.5</w:t>
            </w:r>
            <w:r w:rsidR="000E0E50">
              <w:rPr>
                <w:rFonts w:eastAsiaTheme="minorHAnsi"/>
                <w:szCs w:val="22"/>
              </w:rPr>
              <w:fldChar w:fldCharType="end"/>
            </w:r>
            <w:r>
              <w:rPr>
                <w:rFonts w:eastAsiaTheme="minorHAnsi"/>
                <w:szCs w:val="22"/>
              </w:rPr>
              <w:t xml:space="preserve"> </w:t>
            </w:r>
            <w:r w:rsidRPr="005A3FC3">
              <w:rPr>
                <w:rFonts w:eastAsiaTheme="minorHAnsi"/>
                <w:szCs w:val="22"/>
              </w:rPr>
              <w:t>of this RALI</w:t>
            </w:r>
          </w:p>
        </w:tc>
      </w:tr>
      <w:tr w:rsidR="00000AA7" w:rsidRPr="002E390A" w14:paraId="0049AED3" w14:textId="77777777" w:rsidTr="00B678D4">
        <w:tc>
          <w:tcPr>
            <w:tcW w:w="4957" w:type="dxa"/>
          </w:tcPr>
          <w:p w14:paraId="663C3111" w14:textId="744A199A" w:rsidR="00000AA7" w:rsidRDefault="000E0E50" w:rsidP="00000AA7">
            <w:pPr>
              <w:pStyle w:val="TableBody"/>
              <w:rPr>
                <w:rFonts w:eastAsiaTheme="minorHAnsi"/>
                <w:szCs w:val="22"/>
              </w:rPr>
            </w:pPr>
            <w:r>
              <w:rPr>
                <w:rFonts w:eastAsiaTheme="minorHAnsi"/>
                <w:szCs w:val="22"/>
              </w:rPr>
              <w:t>S</w:t>
            </w:r>
            <w:r w:rsidR="00000AA7" w:rsidRPr="005A3FC3">
              <w:rPr>
                <w:rFonts w:eastAsiaTheme="minorHAnsi"/>
                <w:szCs w:val="22"/>
              </w:rPr>
              <w:t xml:space="preserve">pectrum licensed </w:t>
            </w:r>
            <w:r>
              <w:rPr>
                <w:rFonts w:eastAsiaTheme="minorHAnsi"/>
                <w:szCs w:val="22"/>
              </w:rPr>
              <w:t xml:space="preserve">and PTS </w:t>
            </w:r>
            <w:r w:rsidR="00000AA7" w:rsidRPr="005A3FC3">
              <w:rPr>
                <w:rFonts w:eastAsiaTheme="minorHAnsi"/>
                <w:szCs w:val="22"/>
              </w:rPr>
              <w:t xml:space="preserve">Tx into </w:t>
            </w:r>
            <w:r w:rsidR="0063501D">
              <w:rPr>
                <w:rFonts w:eastAsiaTheme="minorHAnsi"/>
                <w:szCs w:val="22"/>
              </w:rPr>
              <w:t>RMR</w:t>
            </w:r>
            <w:r w:rsidR="00000AA7" w:rsidRPr="005A3FC3">
              <w:rPr>
                <w:rFonts w:eastAsiaTheme="minorHAnsi"/>
                <w:szCs w:val="22"/>
              </w:rPr>
              <w:t xml:space="preserve"> </w:t>
            </w:r>
            <w:r w:rsidR="00000AA7">
              <w:rPr>
                <w:rFonts w:eastAsiaTheme="minorHAnsi"/>
                <w:szCs w:val="22"/>
              </w:rPr>
              <w:t>Rx</w:t>
            </w:r>
            <w:r w:rsidR="00000AA7" w:rsidRPr="005A3FC3">
              <w:rPr>
                <w:rFonts w:eastAsiaTheme="minorHAnsi"/>
                <w:szCs w:val="22"/>
              </w:rPr>
              <w:br/>
              <w:t>(see sect</w:t>
            </w:r>
            <w:r w:rsidR="00000AA7">
              <w:rPr>
                <w:rFonts w:eastAsiaTheme="minorHAnsi"/>
                <w:szCs w:val="22"/>
              </w:rPr>
              <w:t>ion </w:t>
            </w:r>
            <w:r w:rsidR="000C63AC">
              <w:rPr>
                <w:rFonts w:eastAsiaTheme="minorHAnsi"/>
                <w:szCs w:val="22"/>
              </w:rPr>
              <w:fldChar w:fldCharType="begin"/>
            </w:r>
            <w:r w:rsidR="000C63AC">
              <w:rPr>
                <w:rFonts w:eastAsiaTheme="minorHAnsi"/>
                <w:szCs w:val="22"/>
              </w:rPr>
              <w:instrText xml:space="preserve"> REF _Ref210289797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2.5</w:t>
            </w:r>
            <w:r w:rsidR="000C63AC">
              <w:rPr>
                <w:rFonts w:eastAsiaTheme="minorHAnsi"/>
                <w:szCs w:val="22"/>
              </w:rPr>
              <w:fldChar w:fldCharType="end"/>
            </w:r>
            <w:r>
              <w:rPr>
                <w:rFonts w:eastAsiaTheme="minorHAnsi"/>
                <w:szCs w:val="22"/>
              </w:rPr>
              <w:t>)</w:t>
            </w:r>
          </w:p>
        </w:tc>
        <w:tc>
          <w:tcPr>
            <w:tcW w:w="4399" w:type="dxa"/>
          </w:tcPr>
          <w:p w14:paraId="2E334779" w14:textId="500C4402" w:rsidR="00000AA7" w:rsidRDefault="000E0E50" w:rsidP="00000AA7">
            <w:pPr>
              <w:pStyle w:val="TableBody"/>
              <w:rPr>
                <w:rFonts w:eastAsiaTheme="minorHAnsi"/>
                <w:szCs w:val="22"/>
              </w:rPr>
            </w:pPr>
            <w:r w:rsidRPr="005A3FC3">
              <w:rPr>
                <w:rFonts w:eastAsiaTheme="minorHAnsi"/>
                <w:szCs w:val="22"/>
              </w:rPr>
              <w:t>No procedure required</w:t>
            </w:r>
          </w:p>
        </w:tc>
      </w:tr>
      <w:tr w:rsidR="00000AA7" w:rsidRPr="002E390A" w14:paraId="15116B89" w14:textId="77777777" w:rsidTr="00B678D4">
        <w:tc>
          <w:tcPr>
            <w:tcW w:w="4957" w:type="dxa"/>
          </w:tcPr>
          <w:p w14:paraId="1E899571" w14:textId="59C50BC6" w:rsidR="00000AA7" w:rsidRDefault="0063501D" w:rsidP="00000AA7">
            <w:pPr>
              <w:pStyle w:val="TableBody"/>
              <w:rPr>
                <w:rFonts w:eastAsiaTheme="minorHAnsi"/>
                <w:szCs w:val="22"/>
              </w:rPr>
            </w:pPr>
            <w:r>
              <w:rPr>
                <w:rFonts w:eastAsiaTheme="minorHAnsi"/>
                <w:szCs w:val="22"/>
              </w:rPr>
              <w:t>RMR</w:t>
            </w:r>
            <w:r w:rsidR="000C63AC">
              <w:rPr>
                <w:rFonts w:eastAsiaTheme="minorHAnsi"/>
                <w:szCs w:val="22"/>
              </w:rPr>
              <w:t xml:space="preserve"> and class licensed </w:t>
            </w:r>
            <w:r w:rsidR="00000AA7" w:rsidRPr="005A3FC3">
              <w:rPr>
                <w:rFonts w:eastAsiaTheme="minorHAnsi"/>
                <w:szCs w:val="22"/>
              </w:rPr>
              <w:t xml:space="preserve">DECT </w:t>
            </w:r>
            <w:r w:rsidR="00000AA7">
              <w:rPr>
                <w:rFonts w:eastAsiaTheme="minorHAnsi"/>
                <w:szCs w:val="22"/>
              </w:rPr>
              <w:t>service</w:t>
            </w:r>
            <w:r w:rsidR="00000AA7" w:rsidRPr="005A3FC3">
              <w:rPr>
                <w:rFonts w:eastAsiaTheme="minorHAnsi"/>
                <w:szCs w:val="22"/>
              </w:rPr>
              <w:t>s</w:t>
            </w:r>
            <w:r w:rsidR="00000AA7" w:rsidRPr="005A3FC3">
              <w:rPr>
                <w:rFonts w:eastAsiaTheme="minorHAnsi"/>
                <w:szCs w:val="22"/>
              </w:rPr>
              <w:br/>
              <w:t>(see section </w:t>
            </w:r>
            <w:r w:rsidR="000C63AC">
              <w:rPr>
                <w:rFonts w:eastAsiaTheme="minorHAnsi"/>
                <w:szCs w:val="22"/>
              </w:rPr>
              <w:fldChar w:fldCharType="begin"/>
            </w:r>
            <w:r w:rsidR="000C63AC">
              <w:rPr>
                <w:rFonts w:eastAsiaTheme="minorHAnsi"/>
                <w:szCs w:val="22"/>
              </w:rPr>
              <w:instrText xml:space="preserve"> REF _Ref210201398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2.6</w:t>
            </w:r>
            <w:r w:rsidR="000C63AC">
              <w:rPr>
                <w:rFonts w:eastAsiaTheme="minorHAnsi"/>
                <w:szCs w:val="22"/>
              </w:rPr>
              <w:fldChar w:fldCharType="end"/>
            </w:r>
            <w:r w:rsidR="00000AA7" w:rsidRPr="005A3FC3" w:rsidDel="000C63AC">
              <w:rPr>
                <w:rFonts w:eastAsiaTheme="minorHAnsi"/>
                <w:szCs w:val="22"/>
              </w:rPr>
              <w:t>)</w:t>
            </w:r>
          </w:p>
        </w:tc>
        <w:tc>
          <w:tcPr>
            <w:tcW w:w="4399" w:type="dxa"/>
          </w:tcPr>
          <w:p w14:paraId="1F36D18A" w14:textId="148BF5FB" w:rsidR="00000AA7" w:rsidRPr="005A3FC3" w:rsidRDefault="00000AA7" w:rsidP="00000AA7">
            <w:pPr>
              <w:pStyle w:val="TableBody"/>
              <w:rPr>
                <w:rFonts w:eastAsiaTheme="minorHAnsi"/>
                <w:szCs w:val="22"/>
              </w:rPr>
            </w:pPr>
            <w:r w:rsidRPr="005A3FC3">
              <w:rPr>
                <w:rFonts w:eastAsiaTheme="minorHAnsi"/>
                <w:szCs w:val="22"/>
              </w:rPr>
              <w:t>No procedure required</w:t>
            </w:r>
          </w:p>
        </w:tc>
      </w:tr>
      <w:tr w:rsidR="00000AA7" w:rsidRPr="002E390A" w14:paraId="7B1166C3" w14:textId="77777777" w:rsidTr="00B678D4">
        <w:tc>
          <w:tcPr>
            <w:tcW w:w="4957" w:type="dxa"/>
          </w:tcPr>
          <w:p w14:paraId="349E6902" w14:textId="77619B3E" w:rsidR="00000AA7" w:rsidRPr="005A3FC3" w:rsidRDefault="0063501D" w:rsidP="00000AA7">
            <w:pPr>
              <w:pStyle w:val="TableBody"/>
              <w:rPr>
                <w:rFonts w:eastAsiaTheme="minorHAnsi"/>
                <w:szCs w:val="22"/>
              </w:rPr>
            </w:pPr>
            <w:r>
              <w:rPr>
                <w:rFonts w:eastAsiaTheme="minorHAnsi"/>
                <w:szCs w:val="22"/>
              </w:rPr>
              <w:t>RMR</w:t>
            </w:r>
            <w:r w:rsidR="000C63AC">
              <w:rPr>
                <w:rFonts w:eastAsiaTheme="minorHAnsi"/>
                <w:szCs w:val="22"/>
              </w:rPr>
              <w:t xml:space="preserve"> and apparatus licensed </w:t>
            </w:r>
            <w:r w:rsidR="0042713E">
              <w:rPr>
                <w:rFonts w:eastAsiaTheme="minorHAnsi"/>
                <w:szCs w:val="22"/>
              </w:rPr>
              <w:t>short-range wireless broadband (SR WBB)</w:t>
            </w:r>
            <w:r w:rsidR="00000AA7" w:rsidRPr="005A3FC3">
              <w:rPr>
                <w:rFonts w:eastAsiaTheme="minorHAnsi"/>
                <w:szCs w:val="22"/>
              </w:rPr>
              <w:t xml:space="preserve"> </w:t>
            </w:r>
            <w:r w:rsidR="00000AA7">
              <w:rPr>
                <w:rFonts w:eastAsiaTheme="minorHAnsi"/>
                <w:szCs w:val="22"/>
              </w:rPr>
              <w:t>service</w:t>
            </w:r>
            <w:r w:rsidR="00000AA7" w:rsidRPr="005A3FC3">
              <w:rPr>
                <w:rFonts w:eastAsiaTheme="minorHAnsi"/>
                <w:szCs w:val="22"/>
              </w:rPr>
              <w:t>s</w:t>
            </w:r>
            <w:r w:rsidR="00000AA7" w:rsidRPr="005A3FC3">
              <w:rPr>
                <w:rFonts w:eastAsiaTheme="minorHAnsi"/>
                <w:szCs w:val="22"/>
              </w:rPr>
              <w:br/>
              <w:t>(see section </w:t>
            </w:r>
            <w:r w:rsidR="000C63AC">
              <w:rPr>
                <w:rFonts w:eastAsiaTheme="minorHAnsi"/>
                <w:szCs w:val="22"/>
              </w:rPr>
              <w:fldChar w:fldCharType="begin"/>
            </w:r>
            <w:r w:rsidR="000C63AC">
              <w:rPr>
                <w:rFonts w:eastAsiaTheme="minorHAnsi"/>
                <w:szCs w:val="22"/>
              </w:rPr>
              <w:instrText xml:space="preserve"> REF _Ref210201416 \r \h </w:instrText>
            </w:r>
            <w:r w:rsidR="000C63AC">
              <w:rPr>
                <w:rFonts w:eastAsiaTheme="minorHAnsi"/>
                <w:szCs w:val="22"/>
              </w:rPr>
            </w:r>
            <w:r w:rsidR="000C63AC">
              <w:rPr>
                <w:rFonts w:eastAsiaTheme="minorHAnsi"/>
                <w:szCs w:val="22"/>
              </w:rPr>
              <w:fldChar w:fldCharType="separate"/>
            </w:r>
            <w:r w:rsidR="000C63AC">
              <w:rPr>
                <w:rFonts w:eastAsiaTheme="minorHAnsi"/>
                <w:szCs w:val="22"/>
              </w:rPr>
              <w:t>2.7</w:t>
            </w:r>
            <w:r w:rsidR="000C63AC">
              <w:rPr>
                <w:rFonts w:eastAsiaTheme="minorHAnsi"/>
                <w:szCs w:val="22"/>
              </w:rPr>
              <w:fldChar w:fldCharType="end"/>
            </w:r>
            <w:r w:rsidR="00000AA7" w:rsidRPr="005A3FC3">
              <w:rPr>
                <w:rFonts w:eastAsiaTheme="minorHAnsi"/>
                <w:szCs w:val="22"/>
              </w:rPr>
              <w:t>)</w:t>
            </w:r>
          </w:p>
        </w:tc>
        <w:tc>
          <w:tcPr>
            <w:tcW w:w="4399" w:type="dxa"/>
          </w:tcPr>
          <w:p w14:paraId="3C2F3BAE" w14:textId="7D31AC3D" w:rsidR="00000AA7" w:rsidRPr="005A3FC3" w:rsidRDefault="005F3B47" w:rsidP="00000AA7">
            <w:pPr>
              <w:pStyle w:val="TableBody"/>
              <w:rPr>
                <w:rFonts w:eastAsiaTheme="minorHAnsi"/>
                <w:szCs w:val="22"/>
              </w:rPr>
            </w:pPr>
            <w:r>
              <w:rPr>
                <w:rFonts w:eastAsiaTheme="minorHAnsi"/>
                <w:szCs w:val="22"/>
              </w:rPr>
              <w:t>See RALI FX19</w:t>
            </w:r>
          </w:p>
        </w:tc>
      </w:tr>
    </w:tbl>
    <w:p w14:paraId="77C867F7" w14:textId="62A78E73" w:rsidR="00AD0E1F" w:rsidRDefault="00AD0E1F" w:rsidP="00AD0E1F"/>
    <w:p w14:paraId="255D2D0A" w14:textId="0FD51601" w:rsidR="009B2E2E" w:rsidRPr="00523D12" w:rsidRDefault="009B2E2E" w:rsidP="009B2E2E">
      <w:pPr>
        <w:pStyle w:val="Heading2"/>
      </w:pPr>
      <w:bookmarkStart w:id="21" w:name="_Toc233192891"/>
      <w:r w:rsidRPr="00523D12">
        <w:t xml:space="preserve">Overview of </w:t>
      </w:r>
      <w:r>
        <w:t>licensing</w:t>
      </w:r>
      <w:bookmarkEnd w:id="21"/>
    </w:p>
    <w:p w14:paraId="34473299" w14:textId="768DA470" w:rsidR="000C5004" w:rsidRDefault="000C5004" w:rsidP="009B2E2E">
      <w:r w:rsidRPr="000C5004">
        <w:t>PTS apparatus licences are used to authorise the operation of PTS systems that comprises two or more land stations</w:t>
      </w:r>
      <w:r>
        <w:t xml:space="preserve"> (i.e. </w:t>
      </w:r>
      <w:r w:rsidR="007E3611">
        <w:t xml:space="preserve">RMR </w:t>
      </w:r>
      <w:r>
        <w:t>base stations)</w:t>
      </w:r>
      <w:r w:rsidRPr="000C5004">
        <w:t xml:space="preserve">. The </w:t>
      </w:r>
      <w:r w:rsidR="00B77AF5">
        <w:t>cellular mobile class licence</w:t>
      </w:r>
      <w:r w:rsidRPr="000C5004">
        <w:t xml:space="preserve"> authorises mobile stations to communicate with the land stations authorised under the PTS apparatus licence, under a </w:t>
      </w:r>
      <w:r w:rsidR="00346AD6">
        <w:t>NINP</w:t>
      </w:r>
      <w:r w:rsidRPr="000C5004">
        <w:t xml:space="preserve"> basis.</w:t>
      </w:r>
      <w:r w:rsidRPr="000C5004" w:rsidDel="000C5004">
        <w:t xml:space="preserve"> </w:t>
      </w:r>
    </w:p>
    <w:p w14:paraId="3EC3C127" w14:textId="32EA53E6" w:rsidR="009B2E2E" w:rsidRDefault="000C5004" w:rsidP="009B2E2E">
      <w:r>
        <w:t>PTS l</w:t>
      </w:r>
      <w:r w:rsidR="009B2E2E">
        <w:t xml:space="preserve">icences will only be issued for </w:t>
      </w:r>
      <w:r w:rsidR="00831A74">
        <w:t>RMR services</w:t>
      </w:r>
      <w:r w:rsidR="009B2E2E">
        <w:t xml:space="preserve"> in the 1900–1910 MHz band</w:t>
      </w:r>
      <w:r w:rsidR="0046338C">
        <w:t xml:space="preserve"> to applicants that have been approved by the ARA</w:t>
      </w:r>
      <w:r w:rsidR="0058665E">
        <w:t xml:space="preserve"> (see section </w:t>
      </w:r>
      <w:r w:rsidR="0058665E">
        <w:fldChar w:fldCharType="begin"/>
      </w:r>
      <w:r w:rsidR="0058665E">
        <w:instrText xml:space="preserve"> REF _Ref208995896 \r \h </w:instrText>
      </w:r>
      <w:r w:rsidR="0058665E">
        <w:fldChar w:fldCharType="separate"/>
      </w:r>
      <w:r w:rsidR="00945A3F">
        <w:t>4</w:t>
      </w:r>
      <w:r w:rsidR="0058665E">
        <w:fldChar w:fldCharType="end"/>
      </w:r>
      <w:r w:rsidR="0058665E">
        <w:t>)</w:t>
      </w:r>
      <w:r w:rsidR="009B2E2E">
        <w:t>.</w:t>
      </w:r>
    </w:p>
    <w:p w14:paraId="76D5C57D" w14:textId="3B88C11E" w:rsidR="009B2E2E" w:rsidRDefault="009B2E2E" w:rsidP="009B2E2E">
      <w:r>
        <w:t>In the 1900–1910 MHz band channel widths of 5 and 10 MHz apply.</w:t>
      </w:r>
    </w:p>
    <w:p w14:paraId="2AD599CF" w14:textId="77777777" w:rsidR="00583567" w:rsidRDefault="009B2E2E" w:rsidP="009B2E2E">
      <w:r>
        <w:t>Additional information about the licensing arrangements is provided in section 4 of this RALI.</w:t>
      </w:r>
    </w:p>
    <w:p w14:paraId="75B46CF8" w14:textId="77777777" w:rsidR="00583567" w:rsidRDefault="00583567">
      <w:pPr>
        <w:spacing w:after="0" w:line="240" w:lineRule="auto"/>
      </w:pPr>
      <w:r>
        <w:br w:type="page"/>
      </w:r>
    </w:p>
    <w:p w14:paraId="4D8A0EB1" w14:textId="52817E53" w:rsidR="00583567" w:rsidRPr="000B27C0" w:rsidRDefault="00583567" w:rsidP="007A32AF">
      <w:pPr>
        <w:pStyle w:val="Heading1"/>
      </w:pPr>
      <w:bookmarkStart w:id="22" w:name="_Toc233192892"/>
      <w:r w:rsidRPr="00583567">
        <w:lastRenderedPageBreak/>
        <w:t xml:space="preserve">Potential interference </w:t>
      </w:r>
      <w:r w:rsidR="0014265E">
        <w:t>scenarios</w:t>
      </w:r>
      <w:bookmarkEnd w:id="22"/>
    </w:p>
    <w:p w14:paraId="44627863" w14:textId="67890CE1" w:rsidR="00583567" w:rsidRPr="00DE7566" w:rsidRDefault="00A53F7C" w:rsidP="00E302A9">
      <w:pPr>
        <w:pStyle w:val="Heading2"/>
      </w:pPr>
      <w:bookmarkStart w:id="23" w:name="_Ref210199838"/>
      <w:bookmarkStart w:id="24" w:name="_Toc233192893"/>
      <w:r>
        <w:t xml:space="preserve">Potential </w:t>
      </w:r>
      <w:r w:rsidR="00831A74">
        <w:t>RMR network</w:t>
      </w:r>
      <w:r w:rsidR="00583567">
        <w:t xml:space="preserve"> </w:t>
      </w:r>
      <w:r>
        <w:t xml:space="preserve">interference </w:t>
      </w:r>
      <w:r w:rsidR="00583567">
        <w:t>into</w:t>
      </w:r>
      <w:r>
        <w:t xml:space="preserve"> other</w:t>
      </w:r>
      <w:r w:rsidR="00583567">
        <w:t xml:space="preserve"> </w:t>
      </w:r>
      <w:bookmarkEnd w:id="23"/>
      <w:r w:rsidR="00DD072A">
        <w:t>RMR</w:t>
      </w:r>
      <w:r>
        <w:t xml:space="preserve"> networks</w:t>
      </w:r>
      <w:bookmarkEnd w:id="24"/>
    </w:p>
    <w:p w14:paraId="1762EB3D" w14:textId="0FBFFD9D" w:rsidR="000E6009" w:rsidRDefault="00831A74" w:rsidP="000E6009">
      <w:pPr>
        <w:rPr>
          <w:szCs w:val="22"/>
        </w:rPr>
      </w:pPr>
      <w:r>
        <w:rPr>
          <w:szCs w:val="22"/>
        </w:rPr>
        <w:t>RMR services</w:t>
      </w:r>
      <w:r w:rsidR="000E6009">
        <w:rPr>
          <w:szCs w:val="22"/>
        </w:rPr>
        <w:t xml:space="preserve"> </w:t>
      </w:r>
      <w:r w:rsidR="00C04AD4">
        <w:rPr>
          <w:szCs w:val="22"/>
        </w:rPr>
        <w:t xml:space="preserve">will operate within Australia </w:t>
      </w:r>
      <w:r w:rsidR="00C04AD4" w:rsidRPr="002E663B">
        <w:rPr>
          <w:szCs w:val="22"/>
        </w:rPr>
        <w:t>in the 1900-19</w:t>
      </w:r>
      <w:r w:rsidR="00C04AD4">
        <w:rPr>
          <w:szCs w:val="22"/>
        </w:rPr>
        <w:t>1</w:t>
      </w:r>
      <w:r w:rsidR="00C04AD4" w:rsidRPr="002E663B">
        <w:rPr>
          <w:szCs w:val="22"/>
        </w:rPr>
        <w:t>0 MHz band</w:t>
      </w:r>
      <w:r w:rsidR="00C04AD4">
        <w:rPr>
          <w:szCs w:val="22"/>
        </w:rPr>
        <w:t xml:space="preserve"> </w:t>
      </w:r>
      <w:r w:rsidR="000E6009" w:rsidRPr="002E663B">
        <w:rPr>
          <w:szCs w:val="22"/>
        </w:rPr>
        <w:t>using Time Division Duplex (TDD) technologies</w:t>
      </w:r>
      <w:r w:rsidR="00C04AD4">
        <w:rPr>
          <w:szCs w:val="22"/>
        </w:rPr>
        <w:t>.</w:t>
      </w:r>
    </w:p>
    <w:p w14:paraId="48E734EA" w14:textId="194F8AE3" w:rsidR="000E6009" w:rsidRDefault="00DD072A" w:rsidP="000E6009">
      <w:pPr>
        <w:rPr>
          <w:szCs w:val="22"/>
        </w:rPr>
      </w:pPr>
      <w:r>
        <w:rPr>
          <w:szCs w:val="22"/>
        </w:rPr>
        <w:t>RMR</w:t>
      </w:r>
      <w:r w:rsidR="000E6009">
        <w:rPr>
          <w:szCs w:val="22"/>
        </w:rPr>
        <w:t xml:space="preserve"> </w:t>
      </w:r>
      <w:r w:rsidR="00477C35">
        <w:rPr>
          <w:szCs w:val="22"/>
        </w:rPr>
        <w:t>stations</w:t>
      </w:r>
      <w:r w:rsidR="000E6009">
        <w:rPr>
          <w:szCs w:val="22"/>
        </w:rPr>
        <w:t xml:space="preserve"> </w:t>
      </w:r>
      <w:r w:rsidR="000E6009" w:rsidRPr="002E663B">
        <w:rPr>
          <w:szCs w:val="22"/>
        </w:rPr>
        <w:t>operating in the 19</w:t>
      </w:r>
      <w:r w:rsidR="000E6009">
        <w:rPr>
          <w:szCs w:val="22"/>
        </w:rPr>
        <w:t>0</w:t>
      </w:r>
      <w:r w:rsidR="000E6009" w:rsidRPr="002E663B">
        <w:rPr>
          <w:szCs w:val="22"/>
        </w:rPr>
        <w:t>0-19</w:t>
      </w:r>
      <w:r w:rsidR="000E6009">
        <w:rPr>
          <w:szCs w:val="22"/>
        </w:rPr>
        <w:t>1</w:t>
      </w:r>
      <w:r w:rsidR="000E6009" w:rsidRPr="002E663B">
        <w:rPr>
          <w:szCs w:val="22"/>
        </w:rPr>
        <w:t>0 MHz band ha</w:t>
      </w:r>
      <w:r w:rsidR="007A07BC">
        <w:rPr>
          <w:szCs w:val="22"/>
        </w:rPr>
        <w:t>ve</w:t>
      </w:r>
      <w:r w:rsidR="000E6009" w:rsidRPr="002E663B">
        <w:rPr>
          <w:szCs w:val="22"/>
        </w:rPr>
        <w:t xml:space="preserve"> the potential to cause interference to </w:t>
      </w:r>
      <w:r w:rsidR="00C04AD4">
        <w:rPr>
          <w:szCs w:val="22"/>
        </w:rPr>
        <w:t xml:space="preserve">other </w:t>
      </w:r>
      <w:r>
        <w:rPr>
          <w:szCs w:val="22"/>
        </w:rPr>
        <w:t>RMR</w:t>
      </w:r>
      <w:r w:rsidR="00477C35">
        <w:rPr>
          <w:szCs w:val="22"/>
        </w:rPr>
        <w:t xml:space="preserve"> stations</w:t>
      </w:r>
      <w:r w:rsidR="000E6009" w:rsidRPr="002E663B">
        <w:rPr>
          <w:szCs w:val="22"/>
        </w:rPr>
        <w:t xml:space="preserve">. In most situations it is believed that this </w:t>
      </w:r>
      <w:r w:rsidR="00477C35">
        <w:rPr>
          <w:szCs w:val="22"/>
        </w:rPr>
        <w:t xml:space="preserve">potential interference </w:t>
      </w:r>
      <w:r w:rsidR="000E6009" w:rsidRPr="002E663B">
        <w:rPr>
          <w:szCs w:val="22"/>
        </w:rPr>
        <w:t xml:space="preserve">scenario will be adequately addressed through the </w:t>
      </w:r>
      <w:r w:rsidR="00C04AD4">
        <w:rPr>
          <w:szCs w:val="22"/>
        </w:rPr>
        <w:t xml:space="preserve">nature of the deployment of </w:t>
      </w:r>
      <w:r>
        <w:rPr>
          <w:szCs w:val="22"/>
        </w:rPr>
        <w:t>RMR</w:t>
      </w:r>
      <w:r w:rsidR="00C04AD4">
        <w:rPr>
          <w:szCs w:val="22"/>
        </w:rPr>
        <w:t xml:space="preserve"> networks</w:t>
      </w:r>
      <w:r w:rsidR="007A07BC">
        <w:rPr>
          <w:szCs w:val="22"/>
        </w:rPr>
        <w:t xml:space="preserve"> (i.e. along rail corridors)</w:t>
      </w:r>
      <w:r w:rsidR="00C04AD4">
        <w:rPr>
          <w:szCs w:val="22"/>
        </w:rPr>
        <w:t xml:space="preserve"> and the restriction of </w:t>
      </w:r>
      <w:r w:rsidR="007A07BC">
        <w:rPr>
          <w:szCs w:val="22"/>
        </w:rPr>
        <w:t xml:space="preserve">issuing </w:t>
      </w:r>
      <w:r w:rsidR="00C04AD4">
        <w:rPr>
          <w:szCs w:val="22"/>
        </w:rPr>
        <w:t xml:space="preserve">licences to </w:t>
      </w:r>
      <w:r w:rsidR="007A07BC">
        <w:rPr>
          <w:szCs w:val="22"/>
        </w:rPr>
        <w:t xml:space="preserve">rail </w:t>
      </w:r>
      <w:r w:rsidR="00C04AD4">
        <w:rPr>
          <w:szCs w:val="22"/>
        </w:rPr>
        <w:t xml:space="preserve">operators by the </w:t>
      </w:r>
      <w:r w:rsidR="00C04AD4" w:rsidRPr="00C04AD4">
        <w:rPr>
          <w:szCs w:val="22"/>
        </w:rPr>
        <w:t>ARA</w:t>
      </w:r>
      <w:r w:rsidR="00C04AD4">
        <w:rPr>
          <w:szCs w:val="22"/>
        </w:rPr>
        <w:t xml:space="preserve">. </w:t>
      </w:r>
      <w:r w:rsidR="000E6009" w:rsidRPr="002E663B">
        <w:rPr>
          <w:szCs w:val="22"/>
        </w:rPr>
        <w:t xml:space="preserve">Therefore, no coordination details have been provided in </w:t>
      </w:r>
      <w:r w:rsidR="000E6009">
        <w:rPr>
          <w:szCs w:val="22"/>
        </w:rPr>
        <w:t xml:space="preserve">Section </w:t>
      </w:r>
      <w:r w:rsidR="008C5B87">
        <w:rPr>
          <w:szCs w:val="22"/>
        </w:rPr>
        <w:t>3</w:t>
      </w:r>
      <w:r w:rsidR="008C5B87" w:rsidRPr="002E663B">
        <w:rPr>
          <w:szCs w:val="22"/>
        </w:rPr>
        <w:t xml:space="preserve"> </w:t>
      </w:r>
      <w:r w:rsidR="000E6009" w:rsidRPr="002E663B">
        <w:rPr>
          <w:szCs w:val="22"/>
        </w:rPr>
        <w:t>of this RALI.</w:t>
      </w:r>
      <w:r w:rsidR="009A4DE1">
        <w:rPr>
          <w:szCs w:val="22"/>
        </w:rPr>
        <w:t xml:space="preserve"> We encourage operators to consider </w:t>
      </w:r>
      <w:r w:rsidR="0058665E">
        <w:rPr>
          <w:szCs w:val="22"/>
        </w:rPr>
        <w:t>and liaise with</w:t>
      </w:r>
      <w:r w:rsidR="009A4DE1">
        <w:rPr>
          <w:szCs w:val="22"/>
        </w:rPr>
        <w:t xml:space="preserve"> other rail operators when deploying their network</w:t>
      </w:r>
      <w:r w:rsidR="00CF56B0">
        <w:rPr>
          <w:szCs w:val="22"/>
        </w:rPr>
        <w:t>.</w:t>
      </w:r>
    </w:p>
    <w:p w14:paraId="6926821E" w14:textId="1B8FD97E" w:rsidR="009A4DE1" w:rsidRPr="002E663B" w:rsidRDefault="00DD4E6C" w:rsidP="000E6009">
      <w:pPr>
        <w:rPr>
          <w:szCs w:val="22"/>
        </w:rPr>
      </w:pPr>
      <w:r>
        <w:rPr>
          <w:szCs w:val="22"/>
        </w:rPr>
        <w:t xml:space="preserve">Operators should consider potential interference between </w:t>
      </w:r>
      <w:r w:rsidR="00567075">
        <w:rPr>
          <w:szCs w:val="22"/>
        </w:rPr>
        <w:t>disparate</w:t>
      </w:r>
      <w:r>
        <w:rPr>
          <w:szCs w:val="22"/>
        </w:rPr>
        <w:t xml:space="preserve"> </w:t>
      </w:r>
      <w:r w:rsidR="00DD072A">
        <w:rPr>
          <w:szCs w:val="22"/>
        </w:rPr>
        <w:t>RMR</w:t>
      </w:r>
      <w:r>
        <w:rPr>
          <w:szCs w:val="22"/>
        </w:rPr>
        <w:t xml:space="preserve"> networks prior to applying for a licence. Mitigation </w:t>
      </w:r>
      <w:r w:rsidR="00567075">
        <w:rPr>
          <w:szCs w:val="22"/>
        </w:rPr>
        <w:t>measures</w:t>
      </w:r>
      <w:r>
        <w:rPr>
          <w:szCs w:val="22"/>
        </w:rPr>
        <w:t xml:space="preserve"> should be considered</w:t>
      </w:r>
      <w:r w:rsidR="005744B2">
        <w:rPr>
          <w:szCs w:val="22"/>
        </w:rPr>
        <w:t xml:space="preserve"> including, power, antenna discrimination, filtering, shielding</w:t>
      </w:r>
      <w:r w:rsidR="00567075">
        <w:rPr>
          <w:szCs w:val="22"/>
        </w:rPr>
        <w:t xml:space="preserve"> and</w:t>
      </w:r>
      <w:r w:rsidR="005744B2">
        <w:rPr>
          <w:szCs w:val="22"/>
        </w:rPr>
        <w:t xml:space="preserve"> synchronisation</w:t>
      </w:r>
      <w:r w:rsidR="005744B2">
        <w:rPr>
          <w:rStyle w:val="FootnoteReference"/>
          <w:szCs w:val="22"/>
        </w:rPr>
        <w:footnoteReference w:id="2"/>
      </w:r>
      <w:r w:rsidR="005744B2">
        <w:rPr>
          <w:szCs w:val="22"/>
        </w:rPr>
        <w:t xml:space="preserve">. </w:t>
      </w:r>
      <w:r>
        <w:rPr>
          <w:szCs w:val="22"/>
        </w:rPr>
        <w:t xml:space="preserve"> </w:t>
      </w:r>
    </w:p>
    <w:p w14:paraId="6FA197D8" w14:textId="415666D2" w:rsidR="005E1514" w:rsidRPr="005E1514" w:rsidRDefault="009A4DE1" w:rsidP="005E1514">
      <w:pPr>
        <w:rPr>
          <w:szCs w:val="22"/>
        </w:rPr>
      </w:pPr>
      <w:r>
        <w:rPr>
          <w:szCs w:val="22"/>
        </w:rPr>
        <w:t>I</w:t>
      </w:r>
      <w:r w:rsidR="000E6009" w:rsidRPr="002E663B">
        <w:rPr>
          <w:szCs w:val="22"/>
        </w:rPr>
        <w:t>n the event that interference does occur</w:t>
      </w:r>
      <w:r w:rsidR="00567075">
        <w:rPr>
          <w:szCs w:val="22"/>
        </w:rPr>
        <w:t>,</w:t>
      </w:r>
      <w:r w:rsidR="000E6009" w:rsidRPr="002E663B">
        <w:rPr>
          <w:szCs w:val="22"/>
        </w:rPr>
        <w:t xml:space="preserve"> the ACMA encourages licensees to cooperate and, where necessary, compromise to find a resolution.</w:t>
      </w:r>
    </w:p>
    <w:p w14:paraId="68E5BFDC" w14:textId="56C13701" w:rsidR="000E6009" w:rsidRPr="00AF06C8" w:rsidRDefault="000E6009" w:rsidP="000E6009">
      <w:pPr>
        <w:rPr>
          <w:szCs w:val="22"/>
        </w:rPr>
      </w:pPr>
      <w:r w:rsidRPr="002E663B">
        <w:rPr>
          <w:szCs w:val="22"/>
        </w:rPr>
        <w:t xml:space="preserve">If the matter cannot be resolved between affected parties, </w:t>
      </w:r>
      <w:r w:rsidR="00AF54B6">
        <w:rPr>
          <w:szCs w:val="22"/>
        </w:rPr>
        <w:t xml:space="preserve">we </w:t>
      </w:r>
      <w:r w:rsidRPr="002E663B">
        <w:rPr>
          <w:szCs w:val="22"/>
        </w:rPr>
        <w:t xml:space="preserve">note that </w:t>
      </w:r>
      <w:r w:rsidR="00DD072A">
        <w:rPr>
          <w:szCs w:val="22"/>
        </w:rPr>
        <w:t>RMR</w:t>
      </w:r>
      <w:r w:rsidRPr="002E663B">
        <w:rPr>
          <w:szCs w:val="22"/>
        </w:rPr>
        <w:t xml:space="preserve"> </w:t>
      </w:r>
      <w:r>
        <w:rPr>
          <w:szCs w:val="22"/>
        </w:rPr>
        <w:t>base</w:t>
      </w:r>
      <w:r w:rsidRPr="002E663B">
        <w:rPr>
          <w:szCs w:val="22"/>
        </w:rPr>
        <w:t xml:space="preserve"> stations operate on a </w:t>
      </w:r>
      <w:r w:rsidR="00346AD6">
        <w:rPr>
          <w:szCs w:val="22"/>
        </w:rPr>
        <w:t>NINP</w:t>
      </w:r>
      <w:r w:rsidRPr="002E663B">
        <w:rPr>
          <w:szCs w:val="22"/>
        </w:rPr>
        <w:t xml:space="preserve"> basis</w:t>
      </w:r>
      <w:r>
        <w:rPr>
          <w:szCs w:val="22"/>
        </w:rPr>
        <w:t xml:space="preserve"> </w:t>
      </w:r>
      <w:r w:rsidR="00567075">
        <w:rPr>
          <w:szCs w:val="22"/>
        </w:rPr>
        <w:t xml:space="preserve">with respect </w:t>
      </w:r>
      <w:r>
        <w:rPr>
          <w:szCs w:val="22"/>
        </w:rPr>
        <w:t xml:space="preserve">to </w:t>
      </w:r>
      <w:r w:rsidR="009C230B">
        <w:rPr>
          <w:szCs w:val="22"/>
        </w:rPr>
        <w:t>other</w:t>
      </w:r>
      <w:r>
        <w:rPr>
          <w:szCs w:val="22"/>
        </w:rPr>
        <w:t xml:space="preserve"> </w:t>
      </w:r>
      <w:r w:rsidR="00DD072A">
        <w:rPr>
          <w:szCs w:val="22"/>
        </w:rPr>
        <w:t>RMR</w:t>
      </w:r>
      <w:r>
        <w:rPr>
          <w:szCs w:val="22"/>
        </w:rPr>
        <w:t xml:space="preserve"> base station</w:t>
      </w:r>
      <w:r w:rsidR="009C230B">
        <w:rPr>
          <w:szCs w:val="22"/>
        </w:rPr>
        <w:t>s</w:t>
      </w:r>
      <w:r w:rsidR="0058665E">
        <w:rPr>
          <w:szCs w:val="22"/>
        </w:rPr>
        <w:t xml:space="preserve"> (see special conditions in section </w:t>
      </w:r>
      <w:r w:rsidR="0058665E">
        <w:rPr>
          <w:szCs w:val="22"/>
        </w:rPr>
        <w:fldChar w:fldCharType="begin"/>
      </w:r>
      <w:r w:rsidR="0058665E">
        <w:rPr>
          <w:szCs w:val="22"/>
        </w:rPr>
        <w:instrText xml:space="preserve"> REF _Ref208996144 \r \h </w:instrText>
      </w:r>
      <w:r w:rsidR="0058665E">
        <w:rPr>
          <w:szCs w:val="22"/>
        </w:rPr>
      </w:r>
      <w:r w:rsidR="0058665E">
        <w:rPr>
          <w:szCs w:val="22"/>
        </w:rPr>
        <w:fldChar w:fldCharType="separate"/>
      </w:r>
      <w:r w:rsidR="00945A3F">
        <w:rPr>
          <w:szCs w:val="22"/>
        </w:rPr>
        <w:t>4.8</w:t>
      </w:r>
      <w:r w:rsidR="0058665E">
        <w:rPr>
          <w:szCs w:val="22"/>
        </w:rPr>
        <w:fldChar w:fldCharType="end"/>
      </w:r>
      <w:r w:rsidR="0058665E">
        <w:rPr>
          <w:szCs w:val="22"/>
        </w:rPr>
        <w:t>)</w:t>
      </w:r>
      <w:r w:rsidRPr="002E663B">
        <w:rPr>
          <w:szCs w:val="22"/>
        </w:rPr>
        <w:t xml:space="preserve">. </w:t>
      </w:r>
      <w:r w:rsidR="00DD072A">
        <w:rPr>
          <w:szCs w:val="22"/>
        </w:rPr>
        <w:t>RMR</w:t>
      </w:r>
      <w:r w:rsidR="006D70B2">
        <w:rPr>
          <w:szCs w:val="22"/>
        </w:rPr>
        <w:t xml:space="preserve"> mobile stations, which are authorised under the</w:t>
      </w:r>
      <w:r w:rsidR="00B77AF5">
        <w:rPr>
          <w:szCs w:val="22"/>
        </w:rPr>
        <w:t xml:space="preserve"> cellular mobile class licence</w:t>
      </w:r>
      <w:r w:rsidR="006D70B2">
        <w:t>, also</w:t>
      </w:r>
      <w:r w:rsidR="006D70B2">
        <w:rPr>
          <w:szCs w:val="22"/>
        </w:rPr>
        <w:t xml:space="preserve"> </w:t>
      </w:r>
      <w:r w:rsidR="006D70B2" w:rsidRPr="002E663B">
        <w:rPr>
          <w:szCs w:val="22"/>
        </w:rPr>
        <w:t xml:space="preserve">operate on a </w:t>
      </w:r>
      <w:r w:rsidR="00346AD6">
        <w:rPr>
          <w:szCs w:val="22"/>
        </w:rPr>
        <w:t>NINP</w:t>
      </w:r>
      <w:r w:rsidR="006D70B2" w:rsidRPr="002E663B">
        <w:rPr>
          <w:szCs w:val="22"/>
        </w:rPr>
        <w:t xml:space="preserve"> basis</w:t>
      </w:r>
      <w:r w:rsidR="006D70B2">
        <w:rPr>
          <w:szCs w:val="22"/>
        </w:rPr>
        <w:t xml:space="preserve">. </w:t>
      </w:r>
      <w:r w:rsidR="00DD072A">
        <w:rPr>
          <w:szCs w:val="22"/>
        </w:rPr>
        <w:t>RMR</w:t>
      </w:r>
      <w:r w:rsidRPr="002E663B">
        <w:rPr>
          <w:szCs w:val="22"/>
        </w:rPr>
        <w:t xml:space="preserve"> licensee</w:t>
      </w:r>
      <w:r w:rsidR="0058665E">
        <w:rPr>
          <w:szCs w:val="22"/>
        </w:rPr>
        <w:t>s</w:t>
      </w:r>
      <w:r w:rsidRPr="002E663B">
        <w:rPr>
          <w:szCs w:val="22"/>
        </w:rPr>
        <w:t xml:space="preserve"> will therefore be required to rectify any interference issues into </w:t>
      </w:r>
      <w:r w:rsidR="00AB2FB1">
        <w:rPr>
          <w:szCs w:val="22"/>
        </w:rPr>
        <w:t xml:space="preserve">other </w:t>
      </w:r>
      <w:r w:rsidR="00DD072A">
        <w:rPr>
          <w:szCs w:val="22"/>
        </w:rPr>
        <w:t>RMR</w:t>
      </w:r>
      <w:r w:rsidRPr="002E663B">
        <w:rPr>
          <w:szCs w:val="22"/>
        </w:rPr>
        <w:t xml:space="preserve"> base station receivers</w:t>
      </w:r>
      <w:r w:rsidR="009C230B">
        <w:rPr>
          <w:szCs w:val="22"/>
        </w:rPr>
        <w:t>.</w:t>
      </w:r>
    </w:p>
    <w:p w14:paraId="31E27682" w14:textId="4D680D1C" w:rsidR="005D76A0" w:rsidRPr="00DE7566" w:rsidRDefault="001238D1" w:rsidP="00E302A9">
      <w:pPr>
        <w:pStyle w:val="Heading2"/>
      </w:pPr>
      <w:bookmarkStart w:id="25" w:name="_Toc210288270"/>
      <w:bookmarkStart w:id="26" w:name="_Toc233192894"/>
      <w:bookmarkEnd w:id="25"/>
      <w:r>
        <w:t xml:space="preserve">Coexistence </w:t>
      </w:r>
      <w:bookmarkStart w:id="27" w:name="_Ref210199918"/>
      <w:r w:rsidR="00A53F7C">
        <w:t xml:space="preserve">between </w:t>
      </w:r>
      <w:r w:rsidR="00DD072A">
        <w:t>RMR</w:t>
      </w:r>
      <w:r w:rsidR="004E6E19">
        <w:t xml:space="preserve"> </w:t>
      </w:r>
      <w:r w:rsidR="002F0C46">
        <w:t>network</w:t>
      </w:r>
      <w:r w:rsidR="005D76A0">
        <w:t xml:space="preserve"> </w:t>
      </w:r>
      <w:r>
        <w:t>and</w:t>
      </w:r>
      <w:r w:rsidR="005D76A0">
        <w:t xml:space="preserve"> BWA </w:t>
      </w:r>
      <w:bookmarkEnd w:id="27"/>
      <w:r>
        <w:t>systems</w:t>
      </w:r>
      <w:bookmarkEnd w:id="26"/>
    </w:p>
    <w:p w14:paraId="31D1BED3" w14:textId="54B67D64" w:rsidR="002E663B" w:rsidRPr="002E663B" w:rsidRDefault="004F47FC" w:rsidP="002E663B">
      <w:pPr>
        <w:rPr>
          <w:szCs w:val="22"/>
        </w:rPr>
      </w:pPr>
      <w:r>
        <w:rPr>
          <w:szCs w:val="22"/>
        </w:rPr>
        <w:t>B</w:t>
      </w:r>
      <w:r w:rsidR="002E663B" w:rsidRPr="002E663B">
        <w:rPr>
          <w:szCs w:val="22"/>
        </w:rPr>
        <w:t xml:space="preserve">roadband wireless access (BWA) services </w:t>
      </w:r>
      <w:r>
        <w:rPr>
          <w:szCs w:val="22"/>
        </w:rPr>
        <w:t>that use</w:t>
      </w:r>
      <w:r w:rsidR="002E663B" w:rsidRPr="002E663B">
        <w:rPr>
          <w:szCs w:val="22"/>
        </w:rPr>
        <w:t xml:space="preserve"> </w:t>
      </w:r>
      <w:r>
        <w:rPr>
          <w:szCs w:val="22"/>
        </w:rPr>
        <w:t>t</w:t>
      </w:r>
      <w:r w:rsidRPr="002E663B">
        <w:rPr>
          <w:szCs w:val="22"/>
        </w:rPr>
        <w:t xml:space="preserve">ime </w:t>
      </w:r>
      <w:r>
        <w:rPr>
          <w:szCs w:val="22"/>
        </w:rPr>
        <w:t>d</w:t>
      </w:r>
      <w:r w:rsidRPr="002E663B">
        <w:rPr>
          <w:szCs w:val="22"/>
        </w:rPr>
        <w:t xml:space="preserve">ivision </w:t>
      </w:r>
      <w:r>
        <w:rPr>
          <w:szCs w:val="22"/>
        </w:rPr>
        <w:t>d</w:t>
      </w:r>
      <w:r w:rsidRPr="002E663B">
        <w:rPr>
          <w:szCs w:val="22"/>
        </w:rPr>
        <w:t>uplex</w:t>
      </w:r>
      <w:r>
        <w:rPr>
          <w:szCs w:val="22"/>
        </w:rPr>
        <w:t>ing</w:t>
      </w:r>
      <w:r w:rsidRPr="002E663B">
        <w:rPr>
          <w:szCs w:val="22"/>
        </w:rPr>
        <w:t xml:space="preserve"> </w:t>
      </w:r>
      <w:r w:rsidR="002E663B" w:rsidRPr="002E663B">
        <w:rPr>
          <w:szCs w:val="22"/>
        </w:rPr>
        <w:t xml:space="preserve">(TDD) </w:t>
      </w:r>
      <w:r>
        <w:rPr>
          <w:szCs w:val="22"/>
        </w:rPr>
        <w:t>operate</w:t>
      </w:r>
      <w:r w:rsidR="00987A87">
        <w:rPr>
          <w:szCs w:val="22"/>
        </w:rPr>
        <w:t xml:space="preserve"> in</w:t>
      </w:r>
      <w:r w:rsidR="002E663B" w:rsidRPr="002E663B">
        <w:rPr>
          <w:szCs w:val="22"/>
        </w:rPr>
        <w:t xml:space="preserve"> defined regional and remote areas in the 1900-1920 MHz band.</w:t>
      </w:r>
      <w:r w:rsidR="00E43359">
        <w:rPr>
          <w:szCs w:val="22"/>
        </w:rPr>
        <w:t xml:space="preserve"> Arrangements for BWA services are detailed in RALI FX19.</w:t>
      </w:r>
    </w:p>
    <w:p w14:paraId="6A6CC700" w14:textId="2BCBCCA8" w:rsidR="001238D1" w:rsidRDefault="009006A2" w:rsidP="00306785">
      <w:pPr>
        <w:pStyle w:val="Heading3"/>
      </w:pPr>
      <w:bookmarkStart w:id="28" w:name="_Ref210289679"/>
      <w:bookmarkStart w:id="29" w:name="_Toc233192895"/>
      <w:r>
        <w:t xml:space="preserve">Potential </w:t>
      </w:r>
      <w:r w:rsidR="00DD072A">
        <w:t>RMR</w:t>
      </w:r>
      <w:r w:rsidR="001238D1">
        <w:t xml:space="preserve"> transmitter </w:t>
      </w:r>
      <w:r>
        <w:t>interference</w:t>
      </w:r>
      <w:r w:rsidR="001238D1">
        <w:t xml:space="preserve"> into BWA </w:t>
      </w:r>
      <w:bookmarkEnd w:id="28"/>
      <w:r w:rsidR="001238D1">
        <w:t>receiver</w:t>
      </w:r>
      <w:r>
        <w:t>s</w:t>
      </w:r>
      <w:bookmarkEnd w:id="29"/>
    </w:p>
    <w:p w14:paraId="569279FF" w14:textId="0BAB58EF" w:rsidR="002E663B" w:rsidRPr="002E663B" w:rsidRDefault="002E663B" w:rsidP="002E663B">
      <w:pPr>
        <w:rPr>
          <w:szCs w:val="22"/>
        </w:rPr>
      </w:pPr>
      <w:r w:rsidRPr="002E663B">
        <w:rPr>
          <w:szCs w:val="22"/>
        </w:rPr>
        <w:t>A</w:t>
      </w:r>
      <w:r w:rsidR="00AF54B6">
        <w:rPr>
          <w:szCs w:val="22"/>
        </w:rPr>
        <w:t>n</w:t>
      </w:r>
      <w:r w:rsidRPr="002E663B">
        <w:rPr>
          <w:szCs w:val="22"/>
        </w:rPr>
        <w:t xml:space="preserve"> </w:t>
      </w:r>
      <w:r w:rsidR="00DD072A">
        <w:rPr>
          <w:szCs w:val="22"/>
        </w:rPr>
        <w:t>RMR</w:t>
      </w:r>
      <w:r>
        <w:rPr>
          <w:szCs w:val="22"/>
        </w:rPr>
        <w:t xml:space="preserve"> base</w:t>
      </w:r>
      <w:r w:rsidRPr="002E663B">
        <w:rPr>
          <w:szCs w:val="22"/>
        </w:rPr>
        <w:t xml:space="preserve"> station transmitter operating in the 19</w:t>
      </w:r>
      <w:r>
        <w:rPr>
          <w:szCs w:val="22"/>
        </w:rPr>
        <w:t>0</w:t>
      </w:r>
      <w:r w:rsidRPr="002E663B">
        <w:rPr>
          <w:szCs w:val="22"/>
        </w:rPr>
        <w:t>0-19</w:t>
      </w:r>
      <w:r w:rsidR="007A07BC">
        <w:rPr>
          <w:szCs w:val="22"/>
        </w:rPr>
        <w:t>1</w:t>
      </w:r>
      <w:r w:rsidRPr="002E663B">
        <w:rPr>
          <w:szCs w:val="22"/>
        </w:rPr>
        <w:t xml:space="preserve">0 MHz band has the potential to cause interference to </w:t>
      </w:r>
      <w:r>
        <w:rPr>
          <w:szCs w:val="22"/>
        </w:rPr>
        <w:t>a</w:t>
      </w:r>
      <w:r w:rsidRPr="002E663B">
        <w:rPr>
          <w:szCs w:val="22"/>
        </w:rPr>
        <w:t xml:space="preserve"> BWA base station receiver. </w:t>
      </w:r>
      <w:r w:rsidR="00E277D0">
        <w:rPr>
          <w:szCs w:val="22"/>
        </w:rPr>
        <w:t xml:space="preserve">For BWA receivers </w:t>
      </w:r>
      <w:r w:rsidR="00A06645">
        <w:rPr>
          <w:szCs w:val="22"/>
        </w:rPr>
        <w:t>licensed</w:t>
      </w:r>
      <w:r w:rsidR="00E277D0">
        <w:rPr>
          <w:szCs w:val="22"/>
        </w:rPr>
        <w:t xml:space="preserve"> before </w:t>
      </w:r>
      <w:r w:rsidR="00AD77C6">
        <w:rPr>
          <w:szCs w:val="22"/>
        </w:rPr>
        <w:t>2 July</w:t>
      </w:r>
      <w:r w:rsidR="00E277D0" w:rsidDel="007A07BC">
        <w:rPr>
          <w:szCs w:val="22"/>
        </w:rPr>
        <w:t xml:space="preserve"> </w:t>
      </w:r>
      <w:r w:rsidR="00E277D0">
        <w:rPr>
          <w:szCs w:val="22"/>
        </w:rPr>
        <w:t xml:space="preserve">2026, </w:t>
      </w:r>
      <w:r w:rsidR="004A61B0">
        <w:rPr>
          <w:szCs w:val="22"/>
        </w:rPr>
        <w:t>protection criteria</w:t>
      </w:r>
      <w:r w:rsidR="00E277D0">
        <w:rPr>
          <w:szCs w:val="22"/>
        </w:rPr>
        <w:t xml:space="preserve"> are provided in </w:t>
      </w:r>
      <w:r w:rsidR="00487DFE">
        <w:rPr>
          <w:szCs w:val="22"/>
        </w:rPr>
        <w:t>Appendix B</w:t>
      </w:r>
      <w:r w:rsidR="006E27EF">
        <w:rPr>
          <w:szCs w:val="22"/>
        </w:rPr>
        <w:t>.2</w:t>
      </w:r>
      <w:r w:rsidR="00487DFE">
        <w:rPr>
          <w:szCs w:val="22"/>
        </w:rPr>
        <w:t xml:space="preserve"> of </w:t>
      </w:r>
      <w:r w:rsidR="00E277D0">
        <w:rPr>
          <w:szCs w:val="22"/>
        </w:rPr>
        <w:t>RALI FX 19.</w:t>
      </w:r>
      <w:r w:rsidR="002A09B8">
        <w:rPr>
          <w:szCs w:val="22"/>
        </w:rPr>
        <w:t xml:space="preserve"> </w:t>
      </w:r>
      <w:r w:rsidR="00F802D3">
        <w:rPr>
          <w:szCs w:val="22"/>
        </w:rPr>
        <w:t>F</w:t>
      </w:r>
      <w:r w:rsidR="002A09B8">
        <w:rPr>
          <w:szCs w:val="22"/>
        </w:rPr>
        <w:t>or</w:t>
      </w:r>
      <w:r w:rsidR="00F802D3">
        <w:rPr>
          <w:szCs w:val="22"/>
        </w:rPr>
        <w:t xml:space="preserve"> BWA receivers </w:t>
      </w:r>
      <w:r w:rsidR="006C3B78">
        <w:rPr>
          <w:szCs w:val="22"/>
        </w:rPr>
        <w:t>licensed on or</w:t>
      </w:r>
      <w:r w:rsidR="002A09B8">
        <w:rPr>
          <w:szCs w:val="22"/>
        </w:rPr>
        <w:t xml:space="preserve"> </w:t>
      </w:r>
      <w:r w:rsidR="00F802D3">
        <w:rPr>
          <w:szCs w:val="22"/>
        </w:rPr>
        <w:t xml:space="preserve">after </w:t>
      </w:r>
      <w:r w:rsidR="00AD77C6">
        <w:rPr>
          <w:szCs w:val="22"/>
        </w:rPr>
        <w:t>2 July</w:t>
      </w:r>
      <w:r w:rsidR="00F802D3">
        <w:rPr>
          <w:szCs w:val="22"/>
        </w:rPr>
        <w:t xml:space="preserve"> 2026, i</w:t>
      </w:r>
      <w:r w:rsidRPr="002E663B">
        <w:rPr>
          <w:szCs w:val="22"/>
        </w:rPr>
        <w:t>n most situations it is believed that this scenario will be adequately addressed through the coordination of BWA base station transmitter</w:t>
      </w:r>
      <w:r w:rsidR="00AF54B6">
        <w:rPr>
          <w:szCs w:val="22"/>
        </w:rPr>
        <w:t>s against</w:t>
      </w:r>
      <w:r w:rsidRPr="002E663B">
        <w:rPr>
          <w:szCs w:val="22"/>
        </w:rPr>
        <w:t xml:space="preserve"> </w:t>
      </w:r>
      <w:r w:rsidR="00DD072A">
        <w:rPr>
          <w:szCs w:val="22"/>
        </w:rPr>
        <w:lastRenderedPageBreak/>
        <w:t>RMR</w:t>
      </w:r>
      <w:r w:rsidRPr="002E663B">
        <w:rPr>
          <w:szCs w:val="22"/>
        </w:rPr>
        <w:t xml:space="preserve"> base station receiver</w:t>
      </w:r>
      <w:r w:rsidR="00AF54B6">
        <w:rPr>
          <w:szCs w:val="22"/>
        </w:rPr>
        <w:t>s</w:t>
      </w:r>
      <w:r w:rsidRPr="002E663B">
        <w:rPr>
          <w:szCs w:val="22"/>
        </w:rPr>
        <w:t xml:space="preserve">. Therefore, no coordination </w:t>
      </w:r>
      <w:r w:rsidR="00AF54B6">
        <w:rPr>
          <w:szCs w:val="22"/>
        </w:rPr>
        <w:t>procedures</w:t>
      </w:r>
      <w:r w:rsidR="00AF54B6" w:rsidRPr="002E663B">
        <w:rPr>
          <w:szCs w:val="22"/>
        </w:rPr>
        <w:t xml:space="preserve"> </w:t>
      </w:r>
      <w:r w:rsidRPr="002E663B">
        <w:rPr>
          <w:szCs w:val="22"/>
        </w:rPr>
        <w:t xml:space="preserve">have been </w:t>
      </w:r>
      <w:r w:rsidR="00AF54B6">
        <w:rPr>
          <w:szCs w:val="22"/>
        </w:rPr>
        <w:t>prescribed</w:t>
      </w:r>
      <w:r w:rsidR="00AF54B6" w:rsidRPr="002E663B">
        <w:rPr>
          <w:szCs w:val="22"/>
        </w:rPr>
        <w:t xml:space="preserve"> </w:t>
      </w:r>
      <w:r w:rsidRPr="002E663B">
        <w:rPr>
          <w:szCs w:val="22"/>
        </w:rPr>
        <w:t xml:space="preserve">in </w:t>
      </w:r>
      <w:r>
        <w:rPr>
          <w:szCs w:val="22"/>
        </w:rPr>
        <w:t xml:space="preserve">Section </w:t>
      </w:r>
      <w:r w:rsidR="007E5C92">
        <w:rPr>
          <w:szCs w:val="22"/>
        </w:rPr>
        <w:t xml:space="preserve">3 </w:t>
      </w:r>
      <w:r w:rsidRPr="002E663B">
        <w:rPr>
          <w:szCs w:val="22"/>
        </w:rPr>
        <w:t>of this RALI.</w:t>
      </w:r>
    </w:p>
    <w:p w14:paraId="46193C83" w14:textId="040C4267" w:rsidR="002E663B" w:rsidRPr="00AF06C8" w:rsidRDefault="002E663B" w:rsidP="002E663B">
      <w:pPr>
        <w:rPr>
          <w:szCs w:val="22"/>
        </w:rPr>
      </w:pPr>
      <w:r w:rsidRPr="002E663B">
        <w:rPr>
          <w:szCs w:val="22"/>
        </w:rPr>
        <w:t xml:space="preserve">However, </w:t>
      </w:r>
      <w:r w:rsidR="007E7D0A">
        <w:rPr>
          <w:szCs w:val="22"/>
        </w:rPr>
        <w:t>if</w:t>
      </w:r>
      <w:r w:rsidRPr="002E663B">
        <w:rPr>
          <w:szCs w:val="22"/>
        </w:rPr>
        <w:t xml:space="preserve"> interference does occur</w:t>
      </w:r>
      <w:r w:rsidR="00AF54B6">
        <w:rPr>
          <w:szCs w:val="22"/>
        </w:rPr>
        <w:t>,</w:t>
      </w:r>
      <w:r w:rsidRPr="002E663B">
        <w:rPr>
          <w:szCs w:val="22"/>
        </w:rPr>
        <w:t xml:space="preserve"> the ACMA encourages licensees to cooperate and, where necessary, compromise to find a resolution. If the matter cannot be resolved between affected parties, </w:t>
      </w:r>
      <w:r w:rsidR="00AF54B6">
        <w:rPr>
          <w:szCs w:val="22"/>
        </w:rPr>
        <w:t>we note</w:t>
      </w:r>
      <w:r w:rsidR="00CD63D9" w:rsidRPr="00CD63D9">
        <w:rPr>
          <w:szCs w:val="22"/>
        </w:rPr>
        <w:t xml:space="preserve"> that </w:t>
      </w:r>
      <w:r w:rsidR="006C3B78">
        <w:rPr>
          <w:szCs w:val="22"/>
        </w:rPr>
        <w:t>BWA services</w:t>
      </w:r>
      <w:r w:rsidR="00807697">
        <w:rPr>
          <w:szCs w:val="22"/>
        </w:rPr>
        <w:t xml:space="preserve"> (licensed on or after </w:t>
      </w:r>
      <w:r w:rsidR="00AD77C6">
        <w:rPr>
          <w:szCs w:val="22"/>
        </w:rPr>
        <w:t>2 July</w:t>
      </w:r>
      <w:r w:rsidR="00807697">
        <w:rPr>
          <w:szCs w:val="22"/>
        </w:rPr>
        <w:t xml:space="preserve"> 2026)</w:t>
      </w:r>
      <w:r w:rsidR="00CD63D9" w:rsidRPr="00CD63D9">
        <w:rPr>
          <w:szCs w:val="22"/>
        </w:rPr>
        <w:t xml:space="preserve"> within 1</w:t>
      </w:r>
      <w:r w:rsidR="003A1243">
        <w:rPr>
          <w:szCs w:val="22"/>
        </w:rPr>
        <w:t>6</w:t>
      </w:r>
      <w:r w:rsidR="00CD63D9" w:rsidRPr="00CD63D9">
        <w:rPr>
          <w:szCs w:val="22"/>
        </w:rPr>
        <w:t xml:space="preserve">0 km for co-channel and </w:t>
      </w:r>
      <w:r w:rsidR="008F7D3E">
        <w:rPr>
          <w:szCs w:val="22"/>
        </w:rPr>
        <w:t>15</w:t>
      </w:r>
      <w:r w:rsidR="008F7D3E" w:rsidRPr="00CD63D9">
        <w:rPr>
          <w:szCs w:val="22"/>
        </w:rPr>
        <w:t xml:space="preserve"> </w:t>
      </w:r>
      <w:r w:rsidR="00CD63D9" w:rsidRPr="00CD63D9">
        <w:rPr>
          <w:szCs w:val="22"/>
        </w:rPr>
        <w:t xml:space="preserve">km for adjacent channel of a railway line operate on a </w:t>
      </w:r>
      <w:r w:rsidR="00346AD6">
        <w:rPr>
          <w:szCs w:val="22"/>
        </w:rPr>
        <w:t>NINP</w:t>
      </w:r>
      <w:r w:rsidR="00CD63D9" w:rsidRPr="00CD63D9">
        <w:rPr>
          <w:szCs w:val="22"/>
        </w:rPr>
        <w:t xml:space="preserve"> basis with regards to </w:t>
      </w:r>
      <w:r w:rsidR="00DD072A">
        <w:rPr>
          <w:szCs w:val="22"/>
        </w:rPr>
        <w:t>RMR</w:t>
      </w:r>
      <w:r w:rsidR="00CD63D9" w:rsidRPr="00CD63D9">
        <w:rPr>
          <w:szCs w:val="22"/>
        </w:rPr>
        <w:t xml:space="preserve"> base stations</w:t>
      </w:r>
      <w:r w:rsidR="00D611F3">
        <w:rPr>
          <w:szCs w:val="22"/>
        </w:rPr>
        <w:t xml:space="preserve"> – see section</w:t>
      </w:r>
      <w:r w:rsidR="00987A87">
        <w:rPr>
          <w:szCs w:val="22"/>
        </w:rPr>
        <w:t xml:space="preserve"> </w:t>
      </w:r>
      <w:r w:rsidR="00987A87">
        <w:rPr>
          <w:szCs w:val="22"/>
        </w:rPr>
        <w:fldChar w:fldCharType="begin"/>
      </w:r>
      <w:r w:rsidR="00987A87">
        <w:rPr>
          <w:szCs w:val="22"/>
        </w:rPr>
        <w:instrText xml:space="preserve"> REF _Ref212630224 \r \h </w:instrText>
      </w:r>
      <w:r w:rsidR="00987A87">
        <w:rPr>
          <w:szCs w:val="22"/>
        </w:rPr>
      </w:r>
      <w:r w:rsidR="00987A87">
        <w:rPr>
          <w:szCs w:val="22"/>
        </w:rPr>
        <w:fldChar w:fldCharType="separate"/>
      </w:r>
      <w:r w:rsidR="00987A87">
        <w:rPr>
          <w:szCs w:val="22"/>
        </w:rPr>
        <w:t>4.8</w:t>
      </w:r>
      <w:r w:rsidR="00987A87">
        <w:rPr>
          <w:szCs w:val="22"/>
        </w:rPr>
        <w:fldChar w:fldCharType="end"/>
      </w:r>
      <w:r w:rsidRPr="002E663B">
        <w:rPr>
          <w:szCs w:val="22"/>
        </w:rPr>
        <w:t xml:space="preserve">. </w:t>
      </w:r>
      <w:r w:rsidR="00157F07">
        <w:rPr>
          <w:szCs w:val="22"/>
        </w:rPr>
        <w:t>In these scenarios, t</w:t>
      </w:r>
      <w:r w:rsidRPr="002E663B">
        <w:rPr>
          <w:szCs w:val="22"/>
        </w:rPr>
        <w:t xml:space="preserve">he </w:t>
      </w:r>
      <w:r>
        <w:rPr>
          <w:szCs w:val="22"/>
        </w:rPr>
        <w:t>BWA</w:t>
      </w:r>
      <w:r w:rsidRPr="002E663B">
        <w:rPr>
          <w:szCs w:val="22"/>
        </w:rPr>
        <w:t xml:space="preserve"> licensee will therefore be required to rectify any interference issues into </w:t>
      </w:r>
      <w:r w:rsidR="00A809D4">
        <w:rPr>
          <w:szCs w:val="22"/>
        </w:rPr>
        <w:t xml:space="preserve">their </w:t>
      </w:r>
      <w:r w:rsidRPr="002E663B">
        <w:rPr>
          <w:szCs w:val="22"/>
        </w:rPr>
        <w:t xml:space="preserve">BWA base station receivers caused by </w:t>
      </w:r>
      <w:r w:rsidR="003A1243">
        <w:rPr>
          <w:szCs w:val="22"/>
        </w:rPr>
        <w:t xml:space="preserve">a </w:t>
      </w:r>
      <w:r w:rsidR="00DD072A">
        <w:rPr>
          <w:szCs w:val="22"/>
        </w:rPr>
        <w:t>RMR</w:t>
      </w:r>
      <w:r w:rsidR="003A1243">
        <w:rPr>
          <w:szCs w:val="22"/>
        </w:rPr>
        <w:t xml:space="preserve"> transmitters</w:t>
      </w:r>
      <w:r w:rsidR="00157F07">
        <w:rPr>
          <w:szCs w:val="22"/>
        </w:rPr>
        <w:t>.</w:t>
      </w:r>
    </w:p>
    <w:p w14:paraId="4C893A7F" w14:textId="1178353E" w:rsidR="005D76A0" w:rsidRPr="00DE7566" w:rsidRDefault="005D76A0" w:rsidP="00306785">
      <w:pPr>
        <w:pStyle w:val="Heading3"/>
      </w:pPr>
      <w:bookmarkStart w:id="30" w:name="_Toc210288272"/>
      <w:bookmarkStart w:id="31" w:name="_Ref210199992"/>
      <w:bookmarkStart w:id="32" w:name="_Ref210200053"/>
      <w:bookmarkStart w:id="33" w:name="_Toc233192896"/>
      <w:bookmarkEnd w:id="30"/>
      <w:r>
        <w:t xml:space="preserve">BWA transmitter </w:t>
      </w:r>
      <w:r w:rsidR="009006A2">
        <w:t>interference</w:t>
      </w:r>
      <w:r>
        <w:t xml:space="preserve"> into </w:t>
      </w:r>
      <w:r w:rsidR="00DD072A">
        <w:t>RMR</w:t>
      </w:r>
      <w:r>
        <w:t xml:space="preserve"> </w:t>
      </w:r>
      <w:bookmarkEnd w:id="31"/>
      <w:bookmarkEnd w:id="32"/>
      <w:r>
        <w:t>receiver</w:t>
      </w:r>
      <w:r w:rsidR="009006A2">
        <w:t>s</w:t>
      </w:r>
      <w:bookmarkEnd w:id="33"/>
    </w:p>
    <w:p w14:paraId="610C6F95" w14:textId="4B9F454B" w:rsidR="002E663B" w:rsidRDefault="002E663B" w:rsidP="002E663B">
      <w:r w:rsidRPr="002E663B">
        <w:rPr>
          <w:szCs w:val="22"/>
        </w:rPr>
        <w:t>BWA base station transmitters operating in the 1900-1920 MHz band ha</w:t>
      </w:r>
      <w:r w:rsidR="00185A4A">
        <w:rPr>
          <w:szCs w:val="22"/>
        </w:rPr>
        <w:t>ve</w:t>
      </w:r>
      <w:r w:rsidRPr="002E663B">
        <w:rPr>
          <w:szCs w:val="22"/>
        </w:rPr>
        <w:t xml:space="preserve"> the potential to cause interference to </w:t>
      </w:r>
      <w:r w:rsidR="00DD072A">
        <w:rPr>
          <w:szCs w:val="22"/>
        </w:rPr>
        <w:t>RMR</w:t>
      </w:r>
      <w:r>
        <w:rPr>
          <w:szCs w:val="22"/>
        </w:rPr>
        <w:t xml:space="preserve"> ba</w:t>
      </w:r>
      <w:r w:rsidR="00185A4A">
        <w:rPr>
          <w:szCs w:val="22"/>
        </w:rPr>
        <w:t>s</w:t>
      </w:r>
      <w:r>
        <w:rPr>
          <w:szCs w:val="22"/>
        </w:rPr>
        <w:t>e station</w:t>
      </w:r>
      <w:r w:rsidRPr="002E663B">
        <w:rPr>
          <w:szCs w:val="22"/>
        </w:rPr>
        <w:t xml:space="preserve"> receiver</w:t>
      </w:r>
      <w:r>
        <w:rPr>
          <w:szCs w:val="22"/>
        </w:rPr>
        <w:t>s</w:t>
      </w:r>
      <w:r w:rsidRPr="002E663B">
        <w:rPr>
          <w:szCs w:val="22"/>
        </w:rPr>
        <w:t xml:space="preserve"> operating in the 19</w:t>
      </w:r>
      <w:r>
        <w:rPr>
          <w:szCs w:val="22"/>
        </w:rPr>
        <w:t>0</w:t>
      </w:r>
      <w:r w:rsidRPr="002E663B">
        <w:rPr>
          <w:szCs w:val="22"/>
        </w:rPr>
        <w:t>0-19</w:t>
      </w:r>
      <w:r>
        <w:rPr>
          <w:szCs w:val="22"/>
        </w:rPr>
        <w:t>1</w:t>
      </w:r>
      <w:r w:rsidRPr="002E663B">
        <w:rPr>
          <w:szCs w:val="22"/>
        </w:rPr>
        <w:t xml:space="preserve">0 MHz band. </w:t>
      </w:r>
      <w:r>
        <w:t xml:space="preserve">Frequency coordination procedures outlined in Section </w:t>
      </w:r>
      <w:r w:rsidR="00185A4A">
        <w:fldChar w:fldCharType="begin"/>
      </w:r>
      <w:r w:rsidR="00185A4A">
        <w:instrText xml:space="preserve"> REF _Ref210203238 \r \h </w:instrText>
      </w:r>
      <w:r w:rsidR="00185A4A">
        <w:fldChar w:fldCharType="separate"/>
      </w:r>
      <w:r w:rsidR="00185A4A">
        <w:t>3.2</w:t>
      </w:r>
      <w:r w:rsidR="00185A4A">
        <w:fldChar w:fldCharType="end"/>
      </w:r>
      <w:r>
        <w:t xml:space="preserve"> </w:t>
      </w:r>
      <w:r w:rsidR="00185A4A">
        <w:t>are to</w:t>
      </w:r>
      <w:r>
        <w:t xml:space="preserve"> be used for assessing whether:</w:t>
      </w:r>
    </w:p>
    <w:p w14:paraId="35217F3F" w14:textId="655C1ED7" w:rsidR="002E663B" w:rsidRPr="00185A4A" w:rsidRDefault="002E663B" w:rsidP="00306785">
      <w:pPr>
        <w:pStyle w:val="ListBullet"/>
      </w:pPr>
      <w:r w:rsidRPr="00185A4A">
        <w:t xml:space="preserve">a proposed BWA transmitter will cause unacceptable interference to a </w:t>
      </w:r>
      <w:r w:rsidR="00DD072A">
        <w:t>RMR</w:t>
      </w:r>
      <w:r w:rsidRPr="00185A4A">
        <w:t xml:space="preserve"> receiver</w:t>
      </w:r>
      <w:r w:rsidR="00A809D4">
        <w:t>,</w:t>
      </w:r>
      <w:r w:rsidR="00A809D4" w:rsidRPr="00185A4A">
        <w:t xml:space="preserve"> </w:t>
      </w:r>
      <w:r w:rsidRPr="00185A4A">
        <w:t>and</w:t>
      </w:r>
    </w:p>
    <w:p w14:paraId="611B5EBD" w14:textId="277E0ED5" w:rsidR="002E663B" w:rsidRPr="00185A4A" w:rsidRDefault="002E663B" w:rsidP="00306785">
      <w:pPr>
        <w:pStyle w:val="ListBulletLast"/>
      </w:pPr>
      <w:r w:rsidRPr="00185A4A">
        <w:t xml:space="preserve">a proposed </w:t>
      </w:r>
      <w:r w:rsidR="00DD072A">
        <w:t>RMR</w:t>
      </w:r>
      <w:r w:rsidRPr="00185A4A">
        <w:t xml:space="preserve"> receiver will receive unacceptable interference from a</w:t>
      </w:r>
      <w:r w:rsidR="00185A4A">
        <w:t>n existing</w:t>
      </w:r>
      <w:r w:rsidRPr="00185A4A" w:rsidDel="00185A4A">
        <w:t xml:space="preserve"> </w:t>
      </w:r>
      <w:r w:rsidRPr="00185A4A">
        <w:t>BWA transmitter</w:t>
      </w:r>
      <w:r w:rsidR="00185A4A">
        <w:t xml:space="preserve"> licensed before </w:t>
      </w:r>
      <w:r w:rsidR="00030512">
        <w:t xml:space="preserve">2 July </w:t>
      </w:r>
      <w:r w:rsidR="00185A4A">
        <w:t>2026</w:t>
      </w:r>
      <w:r w:rsidRPr="00185A4A">
        <w:t>.</w:t>
      </w:r>
    </w:p>
    <w:p w14:paraId="438BFDAA" w14:textId="3B8BC7A2" w:rsidR="001238D1" w:rsidRPr="001238D1" w:rsidRDefault="000C63AC" w:rsidP="00306785">
      <w:pPr>
        <w:pStyle w:val="Heading2"/>
      </w:pPr>
      <w:bookmarkStart w:id="34" w:name="_Toc233192897"/>
      <w:r>
        <w:t>Coexistence</w:t>
      </w:r>
      <w:r w:rsidR="00493932">
        <w:t xml:space="preserve"> </w:t>
      </w:r>
      <w:r w:rsidR="00DD0AEF">
        <w:t xml:space="preserve">between </w:t>
      </w:r>
      <w:r w:rsidR="00DD072A">
        <w:t>RMR</w:t>
      </w:r>
      <w:r>
        <w:t xml:space="preserve"> </w:t>
      </w:r>
      <w:r w:rsidR="002F0C46">
        <w:t xml:space="preserve">network </w:t>
      </w:r>
      <w:r>
        <w:t>and fixed links</w:t>
      </w:r>
      <w:bookmarkEnd w:id="34"/>
    </w:p>
    <w:p w14:paraId="1ABD66EC" w14:textId="35525D7F" w:rsidR="001238D1" w:rsidRDefault="001238D1" w:rsidP="00306785">
      <w:bookmarkStart w:id="35" w:name="_Ref210200276"/>
      <w:r>
        <w:t>Fixed links operate in and adjacent to the 1900-1910 MHz band in accordance with the arrangements in RALI F</w:t>
      </w:r>
      <w:r w:rsidR="00493932">
        <w:t>X</w:t>
      </w:r>
      <w:r>
        <w:t>3.</w:t>
      </w:r>
    </w:p>
    <w:p w14:paraId="4D406F4F" w14:textId="7C7668B1" w:rsidR="007E6BAF" w:rsidRPr="00DE7566" w:rsidRDefault="009006A2" w:rsidP="00306785">
      <w:pPr>
        <w:pStyle w:val="Heading3"/>
      </w:pPr>
      <w:bookmarkStart w:id="36" w:name="_Ref210289755"/>
      <w:bookmarkStart w:id="37" w:name="_Toc233192898"/>
      <w:r>
        <w:t xml:space="preserve">Potential </w:t>
      </w:r>
      <w:r w:rsidR="00DD072A">
        <w:t>RMR</w:t>
      </w:r>
      <w:r w:rsidR="007E6BAF">
        <w:t xml:space="preserve"> transmitter </w:t>
      </w:r>
      <w:r>
        <w:t xml:space="preserve">interference </w:t>
      </w:r>
      <w:r w:rsidR="007E6BAF">
        <w:t xml:space="preserve">into </w:t>
      </w:r>
      <w:r>
        <w:t>f</w:t>
      </w:r>
      <w:r w:rsidRPr="0087310C">
        <w:t xml:space="preserve">ixed </w:t>
      </w:r>
      <w:r w:rsidR="007E6BAF" w:rsidRPr="0087310C">
        <w:t>link</w:t>
      </w:r>
      <w:r w:rsidR="007E6BAF">
        <w:t xml:space="preserve"> </w:t>
      </w:r>
      <w:bookmarkEnd w:id="35"/>
      <w:bookmarkEnd w:id="36"/>
      <w:r w:rsidR="007E6BAF">
        <w:t>receiver</w:t>
      </w:r>
      <w:r>
        <w:t>s</w:t>
      </w:r>
      <w:bookmarkEnd w:id="37"/>
    </w:p>
    <w:p w14:paraId="2C8F9330" w14:textId="0F5F3C60" w:rsidR="00EE2FB5" w:rsidRPr="00EE2FB5" w:rsidRDefault="00EE2FB5" w:rsidP="00EE2FB5">
      <w:pPr>
        <w:rPr>
          <w:szCs w:val="22"/>
        </w:rPr>
      </w:pPr>
      <w:r w:rsidRPr="00EE2FB5">
        <w:rPr>
          <w:szCs w:val="22"/>
        </w:rPr>
        <w:t xml:space="preserve">A consequence of the </w:t>
      </w:r>
      <w:r w:rsidR="00DD072A">
        <w:rPr>
          <w:szCs w:val="22"/>
        </w:rPr>
        <w:t>RMR</w:t>
      </w:r>
      <w:r w:rsidRPr="00EE2FB5">
        <w:rPr>
          <w:szCs w:val="22"/>
        </w:rPr>
        <w:t xml:space="preserve"> </w:t>
      </w:r>
      <w:r w:rsidR="002F0C46">
        <w:rPr>
          <w:szCs w:val="22"/>
        </w:rPr>
        <w:t xml:space="preserve">network </w:t>
      </w:r>
      <w:r w:rsidRPr="00EE2FB5">
        <w:rPr>
          <w:szCs w:val="22"/>
        </w:rPr>
        <w:t xml:space="preserve">deployment model is that </w:t>
      </w:r>
      <w:r w:rsidR="00DD072A">
        <w:rPr>
          <w:szCs w:val="22"/>
        </w:rPr>
        <w:t>RMR</w:t>
      </w:r>
      <w:r w:rsidRPr="00EE2FB5">
        <w:rPr>
          <w:szCs w:val="22"/>
        </w:rPr>
        <w:t xml:space="preserve"> base station transmitters are the </w:t>
      </w:r>
      <w:r w:rsidR="00D57F3A">
        <w:rPr>
          <w:szCs w:val="22"/>
        </w:rPr>
        <w:t xml:space="preserve">station type that is </w:t>
      </w:r>
      <w:r w:rsidRPr="00EE2FB5">
        <w:rPr>
          <w:szCs w:val="22"/>
        </w:rPr>
        <w:t xml:space="preserve">most likely to interfere with incumbent fixed </w:t>
      </w:r>
      <w:r w:rsidR="00306785">
        <w:rPr>
          <w:szCs w:val="22"/>
        </w:rPr>
        <w:t>link</w:t>
      </w:r>
      <w:r w:rsidRPr="00EE2FB5">
        <w:rPr>
          <w:szCs w:val="22"/>
        </w:rPr>
        <w:t xml:space="preserve"> receivers.</w:t>
      </w:r>
    </w:p>
    <w:p w14:paraId="1B0E647E" w14:textId="539BD5B0" w:rsidR="00EE2FB5" w:rsidRPr="00EE2FB5" w:rsidRDefault="00EE2FB5" w:rsidP="00EE2FB5">
      <w:pPr>
        <w:rPr>
          <w:szCs w:val="22"/>
        </w:rPr>
      </w:pPr>
      <w:r w:rsidRPr="00EE2FB5">
        <w:rPr>
          <w:szCs w:val="22"/>
        </w:rPr>
        <w:t>For the 1900–19</w:t>
      </w:r>
      <w:r>
        <w:rPr>
          <w:szCs w:val="22"/>
        </w:rPr>
        <w:t>1</w:t>
      </w:r>
      <w:r w:rsidRPr="00EE2FB5">
        <w:rPr>
          <w:szCs w:val="22"/>
        </w:rPr>
        <w:t xml:space="preserve">0 MHz band, </w:t>
      </w:r>
      <w:r w:rsidR="006B3F49">
        <w:rPr>
          <w:szCs w:val="22"/>
        </w:rPr>
        <w:t xml:space="preserve">potential </w:t>
      </w:r>
      <w:r w:rsidRPr="00EE2FB5">
        <w:rPr>
          <w:szCs w:val="22"/>
        </w:rPr>
        <w:t xml:space="preserve">interference between </w:t>
      </w:r>
      <w:r w:rsidR="00DD072A">
        <w:rPr>
          <w:szCs w:val="22"/>
        </w:rPr>
        <w:t>RMR</w:t>
      </w:r>
      <w:r w:rsidRPr="00EE2FB5">
        <w:rPr>
          <w:szCs w:val="22"/>
        </w:rPr>
        <w:t xml:space="preserve"> base transmitters and </w:t>
      </w:r>
      <w:r w:rsidR="006B3F49" w:rsidRPr="00EE2FB5">
        <w:rPr>
          <w:szCs w:val="22"/>
        </w:rPr>
        <w:t xml:space="preserve">1.8 GHz and the 2.1 GHz band </w:t>
      </w:r>
      <w:r w:rsidRPr="00EE2FB5">
        <w:rPr>
          <w:szCs w:val="22"/>
        </w:rPr>
        <w:t>fixed</w:t>
      </w:r>
      <w:r w:rsidRPr="00EE2FB5" w:rsidDel="002012EA">
        <w:rPr>
          <w:szCs w:val="22"/>
        </w:rPr>
        <w:t xml:space="preserve"> </w:t>
      </w:r>
      <w:r w:rsidR="002012EA">
        <w:rPr>
          <w:szCs w:val="22"/>
        </w:rPr>
        <w:t xml:space="preserve">link </w:t>
      </w:r>
      <w:r w:rsidRPr="00EE2FB5">
        <w:rPr>
          <w:szCs w:val="22"/>
        </w:rPr>
        <w:t>receivers must be assessed.</w:t>
      </w:r>
    </w:p>
    <w:p w14:paraId="4B944AD8" w14:textId="2A0BD959" w:rsidR="005D76A0" w:rsidRPr="005D76A0" w:rsidRDefault="002A09B8" w:rsidP="00EE2FB5">
      <w:r>
        <w:rPr>
          <w:szCs w:val="22"/>
        </w:rPr>
        <w:t xml:space="preserve">For fixed link receivers </w:t>
      </w:r>
      <w:r w:rsidR="00D57F3A">
        <w:rPr>
          <w:szCs w:val="22"/>
        </w:rPr>
        <w:t>licensed</w:t>
      </w:r>
      <w:r>
        <w:rPr>
          <w:szCs w:val="22"/>
        </w:rPr>
        <w:t xml:space="preserve"> before </w:t>
      </w:r>
      <w:r w:rsidR="00D64606">
        <w:rPr>
          <w:szCs w:val="22"/>
        </w:rPr>
        <w:t>2 July</w:t>
      </w:r>
      <w:r>
        <w:rPr>
          <w:szCs w:val="22"/>
        </w:rPr>
        <w:t xml:space="preserve"> 2026, f</w:t>
      </w:r>
      <w:r w:rsidR="00EE2FB5" w:rsidRPr="00EE2FB5">
        <w:rPr>
          <w:szCs w:val="22"/>
        </w:rPr>
        <w:t xml:space="preserve">requency coordination procedures for assessing whether a proposed new </w:t>
      </w:r>
      <w:r w:rsidR="00DD072A">
        <w:rPr>
          <w:szCs w:val="22"/>
        </w:rPr>
        <w:t>RMR</w:t>
      </w:r>
      <w:r w:rsidR="00EE2FB5" w:rsidRPr="00EE2FB5">
        <w:rPr>
          <w:szCs w:val="22"/>
        </w:rPr>
        <w:t xml:space="preserve"> base station transmitter will cause unacceptable interference to </w:t>
      </w:r>
      <w:r w:rsidR="000F41A3">
        <w:rPr>
          <w:szCs w:val="22"/>
        </w:rPr>
        <w:t xml:space="preserve">existing </w:t>
      </w:r>
      <w:r w:rsidR="00EE2FB5" w:rsidRPr="00EE2FB5">
        <w:rPr>
          <w:szCs w:val="22"/>
        </w:rPr>
        <w:t>fixed</w:t>
      </w:r>
      <w:r w:rsidR="00EE2FB5" w:rsidRPr="00EE2FB5" w:rsidDel="002012EA">
        <w:rPr>
          <w:szCs w:val="22"/>
        </w:rPr>
        <w:t xml:space="preserve"> </w:t>
      </w:r>
      <w:r w:rsidR="002012EA">
        <w:rPr>
          <w:szCs w:val="22"/>
        </w:rPr>
        <w:t>link</w:t>
      </w:r>
      <w:r w:rsidR="002012EA" w:rsidRPr="00EE2FB5">
        <w:rPr>
          <w:szCs w:val="22"/>
        </w:rPr>
        <w:t xml:space="preserve"> </w:t>
      </w:r>
      <w:r w:rsidR="00EE2FB5" w:rsidRPr="00EE2FB5">
        <w:rPr>
          <w:szCs w:val="22"/>
        </w:rPr>
        <w:t xml:space="preserve">receivers must be performed according to the frequency coordination process outlined in section </w:t>
      </w:r>
      <w:r w:rsidR="002012EA">
        <w:rPr>
          <w:szCs w:val="22"/>
        </w:rPr>
        <w:fldChar w:fldCharType="begin"/>
      </w:r>
      <w:r w:rsidR="002012EA">
        <w:rPr>
          <w:szCs w:val="22"/>
        </w:rPr>
        <w:instrText xml:space="preserve"> REF _Ref210200347 \r \h </w:instrText>
      </w:r>
      <w:r w:rsidR="002012EA">
        <w:rPr>
          <w:szCs w:val="22"/>
        </w:rPr>
      </w:r>
      <w:r w:rsidR="002012EA">
        <w:rPr>
          <w:szCs w:val="22"/>
        </w:rPr>
        <w:fldChar w:fldCharType="separate"/>
      </w:r>
      <w:r w:rsidR="002012EA">
        <w:rPr>
          <w:szCs w:val="22"/>
        </w:rPr>
        <w:t>3.3.1</w:t>
      </w:r>
      <w:r w:rsidR="002012EA">
        <w:rPr>
          <w:szCs w:val="22"/>
        </w:rPr>
        <w:fldChar w:fldCharType="end"/>
      </w:r>
      <w:r w:rsidR="00EE2FB5" w:rsidRPr="00EE2FB5">
        <w:rPr>
          <w:szCs w:val="22"/>
        </w:rPr>
        <w:t>.</w:t>
      </w:r>
    </w:p>
    <w:p w14:paraId="67FFBE70" w14:textId="7BE3AC93" w:rsidR="007E5C92" w:rsidRDefault="002A09B8" w:rsidP="007E5C92">
      <w:pPr>
        <w:rPr>
          <w:szCs w:val="22"/>
        </w:rPr>
      </w:pPr>
      <w:r>
        <w:rPr>
          <w:szCs w:val="22"/>
        </w:rPr>
        <w:t xml:space="preserve">For </w:t>
      </w:r>
      <w:r w:rsidRPr="00EE2FB5">
        <w:rPr>
          <w:szCs w:val="22"/>
        </w:rPr>
        <w:t>fixed</w:t>
      </w:r>
      <w:r>
        <w:rPr>
          <w:szCs w:val="22"/>
        </w:rPr>
        <w:t xml:space="preserve"> </w:t>
      </w:r>
      <w:r w:rsidR="002012EA">
        <w:rPr>
          <w:szCs w:val="22"/>
        </w:rPr>
        <w:t xml:space="preserve">link </w:t>
      </w:r>
      <w:r>
        <w:rPr>
          <w:szCs w:val="22"/>
        </w:rPr>
        <w:t xml:space="preserve">receivers </w:t>
      </w:r>
      <w:r w:rsidR="00D57F3A">
        <w:rPr>
          <w:szCs w:val="22"/>
        </w:rPr>
        <w:t>licensed on or</w:t>
      </w:r>
      <w:r>
        <w:rPr>
          <w:szCs w:val="22"/>
        </w:rPr>
        <w:t xml:space="preserve"> after </w:t>
      </w:r>
      <w:r w:rsidR="007D1F38">
        <w:rPr>
          <w:szCs w:val="22"/>
        </w:rPr>
        <w:t>2 July</w:t>
      </w:r>
      <w:r>
        <w:rPr>
          <w:szCs w:val="22"/>
        </w:rPr>
        <w:t xml:space="preserve"> 2026, </w:t>
      </w:r>
      <w:r w:rsidR="004170A8">
        <w:rPr>
          <w:szCs w:val="22"/>
        </w:rPr>
        <w:t>i</w:t>
      </w:r>
      <w:r w:rsidR="007E5C92" w:rsidRPr="002E663B">
        <w:rPr>
          <w:szCs w:val="22"/>
        </w:rPr>
        <w:t xml:space="preserve">n most situations </w:t>
      </w:r>
      <w:r w:rsidR="007E5C92">
        <w:rPr>
          <w:szCs w:val="22"/>
        </w:rPr>
        <w:t>interference from a</w:t>
      </w:r>
      <w:r w:rsidR="001C3A1C">
        <w:rPr>
          <w:szCs w:val="22"/>
        </w:rPr>
        <w:t>n</w:t>
      </w:r>
      <w:r w:rsidR="007E5C92">
        <w:rPr>
          <w:szCs w:val="22"/>
        </w:rPr>
        <w:t xml:space="preserve"> </w:t>
      </w:r>
      <w:r w:rsidR="00DD072A">
        <w:rPr>
          <w:szCs w:val="22"/>
        </w:rPr>
        <w:t>RMR</w:t>
      </w:r>
      <w:r w:rsidR="007E5C92">
        <w:rPr>
          <w:szCs w:val="22"/>
        </w:rPr>
        <w:t xml:space="preserve"> transmitter into a proposed fixed link receiver</w:t>
      </w:r>
      <w:r w:rsidR="007E5C92" w:rsidRPr="002E663B">
        <w:rPr>
          <w:szCs w:val="22"/>
        </w:rPr>
        <w:t xml:space="preserve"> will be adequately addressed through the coordination of the </w:t>
      </w:r>
      <w:r w:rsidR="007E5C92">
        <w:rPr>
          <w:szCs w:val="22"/>
        </w:rPr>
        <w:t xml:space="preserve">proposed fixed link </w:t>
      </w:r>
      <w:r w:rsidR="007E5C92" w:rsidRPr="002E663B">
        <w:rPr>
          <w:szCs w:val="22"/>
        </w:rPr>
        <w:t xml:space="preserve">transmitter and </w:t>
      </w:r>
      <w:r w:rsidR="00DD072A">
        <w:rPr>
          <w:szCs w:val="22"/>
        </w:rPr>
        <w:t>RMR</w:t>
      </w:r>
      <w:r w:rsidR="007E5C92" w:rsidRPr="002E663B">
        <w:rPr>
          <w:szCs w:val="22"/>
        </w:rPr>
        <w:t xml:space="preserve"> base station receiver. Therefore, </w:t>
      </w:r>
      <w:r w:rsidR="002012EA">
        <w:rPr>
          <w:szCs w:val="22"/>
        </w:rPr>
        <w:t xml:space="preserve">a proposed </w:t>
      </w:r>
      <w:r w:rsidR="00DD072A">
        <w:rPr>
          <w:szCs w:val="22"/>
        </w:rPr>
        <w:t>RMR</w:t>
      </w:r>
      <w:r w:rsidR="002012EA">
        <w:rPr>
          <w:szCs w:val="22"/>
        </w:rPr>
        <w:t xml:space="preserve"> base station transmitter is not required to be coordinated with existing</w:t>
      </w:r>
      <w:r w:rsidR="002012EA" w:rsidRPr="002012EA">
        <w:rPr>
          <w:szCs w:val="22"/>
        </w:rPr>
        <w:t xml:space="preserve"> </w:t>
      </w:r>
      <w:r w:rsidR="002012EA" w:rsidRPr="00EE2FB5">
        <w:rPr>
          <w:szCs w:val="22"/>
        </w:rPr>
        <w:t>fixed</w:t>
      </w:r>
      <w:r w:rsidR="002012EA">
        <w:rPr>
          <w:szCs w:val="22"/>
        </w:rPr>
        <w:t xml:space="preserve"> link receivers licensed on or after </w:t>
      </w:r>
      <w:r w:rsidR="007D1F38">
        <w:rPr>
          <w:szCs w:val="22"/>
        </w:rPr>
        <w:t>2 July</w:t>
      </w:r>
      <w:r w:rsidR="002012EA">
        <w:rPr>
          <w:szCs w:val="22"/>
        </w:rPr>
        <w:t xml:space="preserve"> 2026.</w:t>
      </w:r>
      <w:r w:rsidR="003A1243" w:rsidRPr="003A1243">
        <w:rPr>
          <w:rFonts w:ascii="Segoe UI" w:hAnsi="Segoe UI" w:cs="Segoe UI"/>
          <w:sz w:val="18"/>
          <w:szCs w:val="18"/>
        </w:rPr>
        <w:t xml:space="preserve"> </w:t>
      </w:r>
      <w:r w:rsidR="003A1243" w:rsidRPr="003A1243">
        <w:rPr>
          <w:szCs w:val="22"/>
        </w:rPr>
        <w:t>While we expect coordination to not be necessary, section 3.3.2 provides a procedure for assessing the risk of interference into a proposed fixed link receiver occurring</w:t>
      </w:r>
      <w:r w:rsidR="007E5C92" w:rsidRPr="002E663B">
        <w:rPr>
          <w:szCs w:val="22"/>
        </w:rPr>
        <w:t>.</w:t>
      </w:r>
    </w:p>
    <w:p w14:paraId="2D0A5F1C" w14:textId="0E0468EF" w:rsidR="001731C2" w:rsidRPr="00AF06C8" w:rsidRDefault="002012EA" w:rsidP="001731C2">
      <w:pPr>
        <w:rPr>
          <w:szCs w:val="22"/>
        </w:rPr>
      </w:pPr>
      <w:r>
        <w:rPr>
          <w:szCs w:val="22"/>
        </w:rPr>
        <w:t>I</w:t>
      </w:r>
      <w:r w:rsidR="001731C2" w:rsidRPr="002E663B">
        <w:rPr>
          <w:szCs w:val="22"/>
        </w:rPr>
        <w:t>n the event that interference does occur</w:t>
      </w:r>
      <w:r>
        <w:rPr>
          <w:szCs w:val="22"/>
        </w:rPr>
        <w:t>,</w:t>
      </w:r>
      <w:r w:rsidR="001731C2" w:rsidRPr="002E663B">
        <w:rPr>
          <w:szCs w:val="22"/>
        </w:rPr>
        <w:t xml:space="preserve"> the ACMA encourages licensees to cooperate and, where necessary, compromise to find a resolution. If the matter </w:t>
      </w:r>
      <w:r w:rsidR="001731C2" w:rsidRPr="002E663B">
        <w:rPr>
          <w:szCs w:val="22"/>
        </w:rPr>
        <w:lastRenderedPageBreak/>
        <w:t xml:space="preserve">cannot be resolved between affected parties, </w:t>
      </w:r>
      <w:r w:rsidR="00414C2E">
        <w:rPr>
          <w:szCs w:val="22"/>
        </w:rPr>
        <w:t>we note</w:t>
      </w:r>
      <w:r w:rsidR="002D0B70" w:rsidRPr="00CD63D9">
        <w:rPr>
          <w:szCs w:val="22"/>
        </w:rPr>
        <w:t xml:space="preserve"> that fixed links within </w:t>
      </w:r>
      <w:r w:rsidR="008F7D3E" w:rsidRPr="00CD63D9">
        <w:rPr>
          <w:szCs w:val="22"/>
        </w:rPr>
        <w:t>1</w:t>
      </w:r>
      <w:r w:rsidR="008F7D3E">
        <w:rPr>
          <w:szCs w:val="22"/>
        </w:rPr>
        <w:t>6</w:t>
      </w:r>
      <w:r w:rsidR="008F7D3E" w:rsidRPr="00CD63D9">
        <w:rPr>
          <w:szCs w:val="22"/>
        </w:rPr>
        <w:t xml:space="preserve">0 </w:t>
      </w:r>
      <w:r w:rsidR="002D0B70" w:rsidRPr="00CD63D9">
        <w:rPr>
          <w:szCs w:val="22"/>
        </w:rPr>
        <w:t xml:space="preserve">km for co-channel and </w:t>
      </w:r>
      <w:r w:rsidR="008F7D3E">
        <w:rPr>
          <w:szCs w:val="22"/>
        </w:rPr>
        <w:t>60</w:t>
      </w:r>
      <w:r w:rsidR="008F7D3E" w:rsidRPr="00CD63D9">
        <w:rPr>
          <w:szCs w:val="22"/>
        </w:rPr>
        <w:t xml:space="preserve"> </w:t>
      </w:r>
      <w:r w:rsidR="002D0B70" w:rsidRPr="00CD63D9">
        <w:rPr>
          <w:szCs w:val="22"/>
        </w:rPr>
        <w:t xml:space="preserve">km for adjacent channel of a railway line operate on a </w:t>
      </w:r>
      <w:r w:rsidR="00346AD6">
        <w:rPr>
          <w:szCs w:val="22"/>
        </w:rPr>
        <w:t>NINP</w:t>
      </w:r>
      <w:r w:rsidR="002D0B70" w:rsidRPr="00CD63D9">
        <w:rPr>
          <w:szCs w:val="22"/>
        </w:rPr>
        <w:t xml:space="preserve"> basis with regards to </w:t>
      </w:r>
      <w:r w:rsidR="00DD072A">
        <w:rPr>
          <w:szCs w:val="22"/>
        </w:rPr>
        <w:t>RMR</w:t>
      </w:r>
      <w:r w:rsidR="002D0B70" w:rsidRPr="00CD63D9">
        <w:rPr>
          <w:szCs w:val="22"/>
        </w:rPr>
        <w:t xml:space="preserve"> base stations</w:t>
      </w:r>
      <w:r w:rsidR="00493932">
        <w:rPr>
          <w:szCs w:val="22"/>
        </w:rPr>
        <w:t xml:space="preserve"> – see section</w:t>
      </w:r>
      <w:r w:rsidR="00987A87">
        <w:rPr>
          <w:szCs w:val="22"/>
        </w:rPr>
        <w:t xml:space="preserve"> </w:t>
      </w:r>
      <w:r w:rsidR="00987A87">
        <w:rPr>
          <w:szCs w:val="22"/>
        </w:rPr>
        <w:fldChar w:fldCharType="begin"/>
      </w:r>
      <w:r w:rsidR="00987A87">
        <w:rPr>
          <w:szCs w:val="22"/>
        </w:rPr>
        <w:instrText xml:space="preserve"> REF _Ref212630712 \r \h </w:instrText>
      </w:r>
      <w:r w:rsidR="00987A87">
        <w:rPr>
          <w:szCs w:val="22"/>
        </w:rPr>
      </w:r>
      <w:r w:rsidR="00987A87">
        <w:rPr>
          <w:szCs w:val="22"/>
        </w:rPr>
        <w:fldChar w:fldCharType="separate"/>
      </w:r>
      <w:r w:rsidR="00987A87">
        <w:rPr>
          <w:szCs w:val="22"/>
        </w:rPr>
        <w:t>4.8</w:t>
      </w:r>
      <w:r w:rsidR="00987A87">
        <w:rPr>
          <w:szCs w:val="22"/>
        </w:rPr>
        <w:fldChar w:fldCharType="end"/>
      </w:r>
      <w:r w:rsidR="002D0B70" w:rsidRPr="002E663B">
        <w:rPr>
          <w:szCs w:val="22"/>
        </w:rPr>
        <w:t xml:space="preserve">. </w:t>
      </w:r>
      <w:r w:rsidR="002D0B70">
        <w:rPr>
          <w:szCs w:val="22"/>
        </w:rPr>
        <w:t>In these scenarios, t</w:t>
      </w:r>
      <w:r w:rsidR="002D0B70" w:rsidRPr="002E663B">
        <w:rPr>
          <w:szCs w:val="22"/>
        </w:rPr>
        <w:t xml:space="preserve">he </w:t>
      </w:r>
      <w:r w:rsidR="001731C2">
        <w:rPr>
          <w:szCs w:val="22"/>
        </w:rPr>
        <w:t>fixed link</w:t>
      </w:r>
      <w:r w:rsidR="001731C2" w:rsidRPr="002E663B">
        <w:rPr>
          <w:szCs w:val="22"/>
        </w:rPr>
        <w:t xml:space="preserve"> licensee will therefore be required to rectify any interference issues into </w:t>
      </w:r>
      <w:r w:rsidR="001731C2">
        <w:rPr>
          <w:szCs w:val="22"/>
        </w:rPr>
        <w:t>fixed link</w:t>
      </w:r>
      <w:r w:rsidR="001731C2" w:rsidRPr="002E663B">
        <w:rPr>
          <w:szCs w:val="22"/>
        </w:rPr>
        <w:t xml:space="preserve"> receivers caused by </w:t>
      </w:r>
      <w:r w:rsidR="003A1243">
        <w:rPr>
          <w:szCs w:val="22"/>
        </w:rPr>
        <w:t xml:space="preserve">a </w:t>
      </w:r>
      <w:r w:rsidR="00DD072A">
        <w:rPr>
          <w:szCs w:val="22"/>
        </w:rPr>
        <w:t>RMR</w:t>
      </w:r>
      <w:r w:rsidR="003A1243">
        <w:rPr>
          <w:szCs w:val="22"/>
        </w:rPr>
        <w:t xml:space="preserve"> transmitter</w:t>
      </w:r>
      <w:r w:rsidR="001731C2">
        <w:rPr>
          <w:szCs w:val="22"/>
        </w:rPr>
        <w:t>.</w:t>
      </w:r>
    </w:p>
    <w:p w14:paraId="13080C13" w14:textId="5A3A5CC8" w:rsidR="005D76A0" w:rsidRPr="00DE7566" w:rsidRDefault="007E6BAF" w:rsidP="00306785">
      <w:pPr>
        <w:pStyle w:val="Heading3"/>
      </w:pPr>
      <w:bookmarkStart w:id="38" w:name="_Toc210288276"/>
      <w:bookmarkStart w:id="39" w:name="_Toc210288277"/>
      <w:bookmarkStart w:id="40" w:name="_Ref210201123"/>
      <w:bookmarkStart w:id="41" w:name="_Toc233192899"/>
      <w:bookmarkEnd w:id="38"/>
      <w:bookmarkEnd w:id="39"/>
      <w:r w:rsidRPr="0087310C">
        <w:t>Fixed link</w:t>
      </w:r>
      <w:r>
        <w:t xml:space="preserve"> transmitter</w:t>
      </w:r>
      <w:r w:rsidR="005D76A0">
        <w:t xml:space="preserve"> into </w:t>
      </w:r>
      <w:r w:rsidR="00DD072A">
        <w:t>RMR</w:t>
      </w:r>
      <w:r>
        <w:t xml:space="preserve"> receiver</w:t>
      </w:r>
      <w:bookmarkEnd w:id="40"/>
      <w:bookmarkEnd w:id="41"/>
    </w:p>
    <w:p w14:paraId="7DC103DE" w14:textId="0C065B32" w:rsidR="00F46E3C" w:rsidRDefault="00FB3DE0" w:rsidP="00F46E3C">
      <w:r>
        <w:rPr>
          <w:szCs w:val="22"/>
        </w:rPr>
        <w:t>Potential i</w:t>
      </w:r>
      <w:r w:rsidR="00EE2FB5" w:rsidRPr="00EE2FB5">
        <w:rPr>
          <w:szCs w:val="22"/>
        </w:rPr>
        <w:t xml:space="preserve">nterference </w:t>
      </w:r>
      <w:r>
        <w:rPr>
          <w:szCs w:val="22"/>
        </w:rPr>
        <w:t>from</w:t>
      </w:r>
      <w:r w:rsidR="00EE2FB5" w:rsidRPr="00EE2FB5">
        <w:rPr>
          <w:szCs w:val="22"/>
        </w:rPr>
        <w:t xml:space="preserve"> </w:t>
      </w:r>
      <w:r w:rsidRPr="00EE2FB5">
        <w:rPr>
          <w:szCs w:val="22"/>
        </w:rPr>
        <w:t xml:space="preserve">fixed </w:t>
      </w:r>
      <w:r>
        <w:rPr>
          <w:szCs w:val="22"/>
        </w:rPr>
        <w:t xml:space="preserve">link </w:t>
      </w:r>
      <w:r w:rsidRPr="00EE2FB5">
        <w:rPr>
          <w:szCs w:val="22"/>
        </w:rPr>
        <w:t xml:space="preserve">transmitters </w:t>
      </w:r>
      <w:r>
        <w:rPr>
          <w:szCs w:val="22"/>
        </w:rPr>
        <w:t>into</w:t>
      </w:r>
      <w:r w:rsidR="00EE2FB5" w:rsidRPr="00EE2FB5">
        <w:rPr>
          <w:szCs w:val="22"/>
        </w:rPr>
        <w:t xml:space="preserve"> </w:t>
      </w:r>
      <w:r w:rsidR="00DD072A">
        <w:rPr>
          <w:szCs w:val="22"/>
        </w:rPr>
        <w:t>RMR</w:t>
      </w:r>
      <w:r w:rsidR="00EE2FB5" w:rsidRPr="00EE2FB5">
        <w:rPr>
          <w:szCs w:val="22"/>
        </w:rPr>
        <w:t xml:space="preserve"> base station receivers must be assessed.</w:t>
      </w:r>
      <w:r w:rsidR="000F41A3">
        <w:t xml:space="preserve"> The</w:t>
      </w:r>
      <w:bookmarkStart w:id="42" w:name="_Hlk205373645"/>
      <w:r w:rsidR="000F41A3">
        <w:t xml:space="preserve"> f</w:t>
      </w:r>
      <w:r w:rsidR="00F46E3C">
        <w:t xml:space="preserve">requency coordination procedures outlined in Section </w:t>
      </w:r>
      <w:r w:rsidR="0042398C">
        <w:fldChar w:fldCharType="begin"/>
      </w:r>
      <w:r w:rsidR="0042398C">
        <w:instrText xml:space="preserve"> REF _Ref210206414 \r \h </w:instrText>
      </w:r>
      <w:r w:rsidR="0042398C">
        <w:fldChar w:fldCharType="separate"/>
      </w:r>
      <w:r w:rsidR="0042398C">
        <w:t>3.4</w:t>
      </w:r>
      <w:r w:rsidR="0042398C">
        <w:fldChar w:fldCharType="end"/>
      </w:r>
      <w:r w:rsidR="00F46E3C">
        <w:t xml:space="preserve"> should be used for assessing whether:</w:t>
      </w:r>
    </w:p>
    <w:p w14:paraId="70BE673D" w14:textId="6AE54E46" w:rsidR="00F46E3C" w:rsidRPr="00306785" w:rsidRDefault="00F46E3C" w:rsidP="00F46E3C">
      <w:pPr>
        <w:pStyle w:val="ACMABulletLevel1"/>
        <w:rPr>
          <w:rFonts w:ascii="Arial" w:hAnsi="Arial" w:cs="Arial"/>
          <w:sz w:val="22"/>
          <w:szCs w:val="22"/>
        </w:rPr>
      </w:pPr>
      <w:r w:rsidRPr="00306785">
        <w:rPr>
          <w:rFonts w:ascii="Arial" w:hAnsi="Arial" w:cs="Arial"/>
          <w:sz w:val="22"/>
          <w:szCs w:val="22"/>
        </w:rPr>
        <w:t xml:space="preserve">a proposed fixed transmitter will cause unacceptable interference to a </w:t>
      </w:r>
      <w:r w:rsidR="00DD072A">
        <w:rPr>
          <w:rFonts w:ascii="Arial" w:hAnsi="Arial" w:cs="Arial"/>
          <w:sz w:val="22"/>
          <w:szCs w:val="22"/>
        </w:rPr>
        <w:t>RMR</w:t>
      </w:r>
      <w:r w:rsidRPr="00306785">
        <w:rPr>
          <w:rFonts w:ascii="Arial" w:hAnsi="Arial" w:cs="Arial"/>
          <w:sz w:val="22"/>
          <w:szCs w:val="22"/>
        </w:rPr>
        <w:t xml:space="preserve"> receiver; and</w:t>
      </w:r>
    </w:p>
    <w:p w14:paraId="23441B22" w14:textId="68606E9F" w:rsidR="00F46E3C" w:rsidRPr="00306785" w:rsidRDefault="00F46E3C" w:rsidP="00A66280">
      <w:pPr>
        <w:pStyle w:val="ACMABulletLevel1"/>
        <w:rPr>
          <w:rFonts w:ascii="Arial" w:hAnsi="Arial" w:cs="Arial"/>
          <w:sz w:val="22"/>
          <w:szCs w:val="22"/>
        </w:rPr>
      </w:pPr>
      <w:r w:rsidRPr="00306785">
        <w:rPr>
          <w:rFonts w:ascii="Arial" w:hAnsi="Arial" w:cs="Arial"/>
          <w:sz w:val="22"/>
          <w:szCs w:val="22"/>
        </w:rPr>
        <w:t xml:space="preserve">a proposed </w:t>
      </w:r>
      <w:r w:rsidR="00DD072A">
        <w:rPr>
          <w:rFonts w:ascii="Arial" w:hAnsi="Arial" w:cs="Arial"/>
          <w:sz w:val="22"/>
          <w:szCs w:val="22"/>
        </w:rPr>
        <w:t>RMR</w:t>
      </w:r>
      <w:r w:rsidRPr="00306785">
        <w:rPr>
          <w:rFonts w:ascii="Arial" w:hAnsi="Arial" w:cs="Arial"/>
          <w:sz w:val="22"/>
          <w:szCs w:val="22"/>
        </w:rPr>
        <w:t xml:space="preserve"> receiver will receive unacceptable interference from a</w:t>
      </w:r>
      <w:r w:rsidR="0042398C">
        <w:rPr>
          <w:rFonts w:ascii="Arial" w:hAnsi="Arial" w:cs="Arial"/>
          <w:sz w:val="22"/>
          <w:szCs w:val="22"/>
        </w:rPr>
        <w:t xml:space="preserve">n existing </w:t>
      </w:r>
      <w:r w:rsidRPr="00306785">
        <w:rPr>
          <w:rFonts w:ascii="Arial" w:hAnsi="Arial" w:cs="Arial"/>
          <w:sz w:val="22"/>
          <w:szCs w:val="22"/>
        </w:rPr>
        <w:t>fixed link transmitter</w:t>
      </w:r>
      <w:r w:rsidR="0042398C">
        <w:rPr>
          <w:rFonts w:ascii="Arial" w:hAnsi="Arial" w:cs="Arial"/>
          <w:sz w:val="22"/>
          <w:szCs w:val="22"/>
        </w:rPr>
        <w:t xml:space="preserve"> that was licensed before </w:t>
      </w:r>
      <w:r w:rsidR="007D1F38">
        <w:rPr>
          <w:rFonts w:ascii="Arial" w:hAnsi="Arial" w:cs="Arial"/>
          <w:sz w:val="22"/>
          <w:szCs w:val="22"/>
        </w:rPr>
        <w:t>2 July</w:t>
      </w:r>
      <w:r w:rsidR="0042398C">
        <w:rPr>
          <w:rFonts w:ascii="Arial" w:hAnsi="Arial" w:cs="Arial"/>
          <w:sz w:val="22"/>
          <w:szCs w:val="22"/>
        </w:rPr>
        <w:t xml:space="preserve"> 2026</w:t>
      </w:r>
      <w:r w:rsidRPr="00306785">
        <w:rPr>
          <w:rFonts w:ascii="Arial" w:hAnsi="Arial" w:cs="Arial"/>
          <w:sz w:val="22"/>
          <w:szCs w:val="22"/>
        </w:rPr>
        <w:t>.</w:t>
      </w:r>
      <w:bookmarkEnd w:id="42"/>
    </w:p>
    <w:p w14:paraId="62A50C7C" w14:textId="58F8A9BD" w:rsidR="005D76A0" w:rsidRPr="00DE7566" w:rsidRDefault="00DD0AEF" w:rsidP="00E302A9">
      <w:pPr>
        <w:pStyle w:val="Heading2"/>
      </w:pPr>
      <w:bookmarkStart w:id="43" w:name="_Ref210210739"/>
      <w:bookmarkStart w:id="44" w:name="_Toc233192900"/>
      <w:r>
        <w:t xml:space="preserve">Coexistence between </w:t>
      </w:r>
      <w:r w:rsidR="00DD072A">
        <w:t>RMR</w:t>
      </w:r>
      <w:r w:rsidR="005D76A0">
        <w:t xml:space="preserve"> </w:t>
      </w:r>
      <w:r w:rsidR="009F1E38">
        <w:t xml:space="preserve">network </w:t>
      </w:r>
      <w:r w:rsidR="007E6BAF">
        <w:t xml:space="preserve">and </w:t>
      </w:r>
      <w:r w:rsidR="003A536F">
        <w:t>devices operated under a s</w:t>
      </w:r>
      <w:r w:rsidR="007E6BAF">
        <w:t xml:space="preserve">pectrum </w:t>
      </w:r>
      <w:r w:rsidR="003A536F">
        <w:t>l</w:t>
      </w:r>
      <w:r w:rsidR="007E6BAF">
        <w:t>icence</w:t>
      </w:r>
      <w:r w:rsidR="003932F1">
        <w:t xml:space="preserve"> </w:t>
      </w:r>
      <w:r w:rsidR="003A536F">
        <w:t xml:space="preserve">or </w:t>
      </w:r>
      <w:r w:rsidR="003932F1">
        <w:t>PTS</w:t>
      </w:r>
      <w:r w:rsidR="003A536F">
        <w:t xml:space="preserve"> </w:t>
      </w:r>
      <w:r w:rsidR="00404A46">
        <w:t xml:space="preserve">apparatus </w:t>
      </w:r>
      <w:r w:rsidR="003A536F">
        <w:t>licence in the 2 GHz band</w:t>
      </w:r>
      <w:bookmarkEnd w:id="43"/>
      <w:bookmarkEnd w:id="44"/>
    </w:p>
    <w:p w14:paraId="4D59DD4B" w14:textId="298337B3" w:rsidR="0003217C" w:rsidRDefault="00404A46" w:rsidP="000E2625">
      <w:r>
        <w:t xml:space="preserve">Interference consideration between </w:t>
      </w:r>
      <w:r w:rsidR="00DD072A">
        <w:t>RMR</w:t>
      </w:r>
      <w:r>
        <w:t xml:space="preserve"> </w:t>
      </w:r>
      <w:r w:rsidR="009F1E38">
        <w:t>network</w:t>
      </w:r>
      <w:r w:rsidR="002E367E">
        <w:t xml:space="preserve">s </w:t>
      </w:r>
      <w:r>
        <w:t xml:space="preserve">and 2 GHz </w:t>
      </w:r>
      <w:r w:rsidR="007A1D17">
        <w:t xml:space="preserve">band </w:t>
      </w:r>
      <w:r>
        <w:t xml:space="preserve">spectrum licensed </w:t>
      </w:r>
      <w:r w:rsidR="007A1D17">
        <w:t xml:space="preserve">or </w:t>
      </w:r>
      <w:r>
        <w:t xml:space="preserve">PTS apparatus licensed services is limited to adjacent channel cases in the same area only, where </w:t>
      </w:r>
      <w:r w:rsidR="00DD072A">
        <w:t>RMR</w:t>
      </w:r>
      <w:r w:rsidR="000E2625">
        <w:t xml:space="preserve"> </w:t>
      </w:r>
      <w:r w:rsidR="002E367E">
        <w:t xml:space="preserve">network </w:t>
      </w:r>
      <w:r>
        <w:t>has</w:t>
      </w:r>
      <w:r w:rsidR="000E2625">
        <w:t xml:space="preserve"> the potential to cause interference to, and receive interference from, </w:t>
      </w:r>
      <w:r>
        <w:t>2 GHz services</w:t>
      </w:r>
      <w:r w:rsidR="000E2625">
        <w:t xml:space="preserve">. </w:t>
      </w:r>
      <w:r>
        <w:t xml:space="preserve">These </w:t>
      </w:r>
      <w:r w:rsidR="000E2625">
        <w:t>2 GHz</w:t>
      </w:r>
      <w:r w:rsidR="00F871F0">
        <w:t xml:space="preserve"> band</w:t>
      </w:r>
      <w:r w:rsidR="000E2625">
        <w:t xml:space="preserve"> </w:t>
      </w:r>
      <w:r w:rsidR="00941441">
        <w:t>service</w:t>
      </w:r>
      <w:r>
        <w:t>s</w:t>
      </w:r>
      <w:r w:rsidR="00941441">
        <w:t xml:space="preserve"> </w:t>
      </w:r>
      <w:r w:rsidR="000E2625">
        <w:t>employ frequency division duplexing (FDD)</w:t>
      </w:r>
      <w:r>
        <w:t>,</w:t>
      </w:r>
      <w:r w:rsidR="000E2625">
        <w:t xml:space="preserve"> with 1920–1980 MHz </w:t>
      </w:r>
      <w:r>
        <w:t xml:space="preserve">being the </w:t>
      </w:r>
      <w:r w:rsidR="000E2625">
        <w:t>base receive</w:t>
      </w:r>
      <w:r>
        <w:t xml:space="preserve"> segment</w:t>
      </w:r>
      <w:r w:rsidR="000E2625">
        <w:t xml:space="preserve">. </w:t>
      </w:r>
    </w:p>
    <w:p w14:paraId="54FBF870" w14:textId="00CCBEE5" w:rsidR="000E2625" w:rsidRDefault="000E2625" w:rsidP="000E2625">
      <w:r>
        <w:t xml:space="preserve">There are four possible interference </w:t>
      </w:r>
      <w:r w:rsidR="0014265E">
        <w:t>scenarios</w:t>
      </w:r>
      <w:r w:rsidR="00627C7D">
        <w:t>:</w:t>
      </w:r>
    </w:p>
    <w:p w14:paraId="6176BB0D" w14:textId="29FC8494" w:rsidR="000E2625" w:rsidRPr="000F6491" w:rsidRDefault="00DD072A" w:rsidP="00306785">
      <w:pPr>
        <w:pStyle w:val="ListBullet"/>
      </w:pPr>
      <w:r>
        <w:t>RMR</w:t>
      </w:r>
      <w:r w:rsidR="000E2625" w:rsidRPr="000F6491">
        <w:t xml:space="preserve"> base station transmitter </w:t>
      </w:r>
      <w:r w:rsidR="00404A46">
        <w:t>interference</w:t>
      </w:r>
      <w:r w:rsidR="000E2625" w:rsidRPr="000F6491">
        <w:t xml:space="preserve"> into </w:t>
      </w:r>
      <w:r w:rsidR="00404A46" w:rsidRPr="000F6491">
        <w:t>upper</w:t>
      </w:r>
      <w:r w:rsidR="00404A46">
        <w:t>-</w:t>
      </w:r>
      <w:r w:rsidR="000E2625" w:rsidRPr="000F6491">
        <w:t xml:space="preserve">adjacent spectrum licensed </w:t>
      </w:r>
      <w:r w:rsidR="00151535">
        <w:t xml:space="preserve">or PTS </w:t>
      </w:r>
      <w:r w:rsidR="000E2625" w:rsidRPr="000F6491">
        <w:t>base station receiver</w:t>
      </w:r>
      <w:r w:rsidR="00404A46">
        <w:t>s</w:t>
      </w:r>
      <w:r w:rsidR="000E2625" w:rsidRPr="000F6491">
        <w:t>.</w:t>
      </w:r>
    </w:p>
    <w:p w14:paraId="22F2BDD0" w14:textId="5776DE3B" w:rsidR="000E2625" w:rsidRPr="000F6491" w:rsidRDefault="00DD072A" w:rsidP="00306785">
      <w:pPr>
        <w:pStyle w:val="ListBullet"/>
      </w:pPr>
      <w:r>
        <w:t>RMR</w:t>
      </w:r>
      <w:r w:rsidR="000E2625" w:rsidRPr="000F6491">
        <w:t xml:space="preserve"> </w:t>
      </w:r>
      <w:r w:rsidR="003A536F">
        <w:t>mobile/</w:t>
      </w:r>
      <w:r w:rsidR="000E2625" w:rsidRPr="000F6491" w:rsidDel="003A536F">
        <w:t>remote</w:t>
      </w:r>
      <w:r w:rsidR="000E2625" w:rsidRPr="000F6491">
        <w:t xml:space="preserve"> station transmitter </w:t>
      </w:r>
      <w:r w:rsidR="00404A46">
        <w:t>interference</w:t>
      </w:r>
      <w:r w:rsidR="000E2625" w:rsidRPr="000F6491">
        <w:t xml:space="preserve"> into upper </w:t>
      </w:r>
      <w:r w:rsidR="00404A46" w:rsidRPr="000F6491">
        <w:t>adjacent</w:t>
      </w:r>
      <w:r w:rsidR="00404A46">
        <w:t>-</w:t>
      </w:r>
      <w:r w:rsidR="000E2625" w:rsidRPr="000F6491">
        <w:t xml:space="preserve">spectrum licensed </w:t>
      </w:r>
      <w:r w:rsidR="00151535">
        <w:t xml:space="preserve">or PTS </w:t>
      </w:r>
      <w:r w:rsidR="000E2625" w:rsidRPr="000F6491">
        <w:t>base station receiver</w:t>
      </w:r>
      <w:r w:rsidR="00404A46">
        <w:t>s</w:t>
      </w:r>
      <w:r w:rsidR="000E2625" w:rsidRPr="000F6491">
        <w:t>.</w:t>
      </w:r>
    </w:p>
    <w:p w14:paraId="5568911B" w14:textId="06386DAE" w:rsidR="000E2625" w:rsidRPr="000F6491" w:rsidRDefault="000E2625" w:rsidP="00306785">
      <w:pPr>
        <w:pStyle w:val="ListBullet"/>
      </w:pPr>
      <w:r w:rsidRPr="000F6491">
        <w:t xml:space="preserve">Spectrum licensed </w:t>
      </w:r>
      <w:r w:rsidR="00151535">
        <w:t xml:space="preserve">or PTS </w:t>
      </w:r>
      <w:r w:rsidR="003A536F">
        <w:t>mobile</w:t>
      </w:r>
      <w:r w:rsidRPr="000F6491">
        <w:t xml:space="preserve"> station transmitter </w:t>
      </w:r>
      <w:r w:rsidR="00404A46">
        <w:t>interference</w:t>
      </w:r>
      <w:r w:rsidRPr="000F6491">
        <w:t xml:space="preserve"> into lower</w:t>
      </w:r>
      <w:r w:rsidR="00404A46">
        <w:t>-</w:t>
      </w:r>
      <w:r w:rsidRPr="000F6491">
        <w:t xml:space="preserve">adjacent </w:t>
      </w:r>
      <w:r w:rsidR="00DD072A">
        <w:t>RMR</w:t>
      </w:r>
      <w:r w:rsidRPr="000F6491">
        <w:t xml:space="preserve"> base station receiver</w:t>
      </w:r>
      <w:r w:rsidR="00404A46">
        <w:t>s</w:t>
      </w:r>
      <w:r w:rsidRPr="000F6491">
        <w:t>.</w:t>
      </w:r>
    </w:p>
    <w:p w14:paraId="279389A8" w14:textId="3DD4636F" w:rsidR="000E2625" w:rsidRPr="000F6491" w:rsidRDefault="000E2625" w:rsidP="00306785">
      <w:pPr>
        <w:pStyle w:val="ListBulletLast"/>
      </w:pPr>
      <w:r w:rsidRPr="000F6491">
        <w:t xml:space="preserve">Spectrum licensed </w:t>
      </w:r>
      <w:r w:rsidR="00151535">
        <w:t xml:space="preserve">or PTS </w:t>
      </w:r>
      <w:r w:rsidR="00ED087A">
        <w:t>mobile</w:t>
      </w:r>
      <w:r w:rsidRPr="000F6491">
        <w:t xml:space="preserve"> station transmitter </w:t>
      </w:r>
      <w:r w:rsidR="00404A46">
        <w:t xml:space="preserve">interference </w:t>
      </w:r>
      <w:r w:rsidRPr="000F6491">
        <w:t>into lower</w:t>
      </w:r>
      <w:r w:rsidR="00404A46">
        <w:t>-</w:t>
      </w:r>
      <w:r w:rsidRPr="000F6491">
        <w:t xml:space="preserve">adjacent </w:t>
      </w:r>
      <w:r w:rsidR="00DD072A">
        <w:t>RMR</w:t>
      </w:r>
      <w:r w:rsidRPr="000F6491">
        <w:t xml:space="preserve"> remote station receiver</w:t>
      </w:r>
      <w:r w:rsidR="00404A46">
        <w:t>s</w:t>
      </w:r>
      <w:r w:rsidRPr="000F6491">
        <w:t>.</w:t>
      </w:r>
    </w:p>
    <w:p w14:paraId="6214CB7E" w14:textId="43CCE828" w:rsidR="000E2625" w:rsidRPr="00366E07" w:rsidRDefault="00404A46" w:rsidP="000E2625">
      <w:r>
        <w:t>T</w:t>
      </w:r>
      <w:r w:rsidR="000E2625" w:rsidRPr="00366E07">
        <w:t>he first</w:t>
      </w:r>
      <w:r>
        <w:t xml:space="preserve"> of these</w:t>
      </w:r>
      <w:r w:rsidR="000E2625" w:rsidRPr="00366E07">
        <w:t xml:space="preserve">, involving </w:t>
      </w:r>
      <w:r w:rsidR="00DD072A">
        <w:t>RMR</w:t>
      </w:r>
      <w:r w:rsidR="000E2625">
        <w:t xml:space="preserve"> </w:t>
      </w:r>
      <w:r w:rsidR="000E2625" w:rsidRPr="00366E07">
        <w:t xml:space="preserve">base station transmitters, is </w:t>
      </w:r>
      <w:r>
        <w:t xml:space="preserve">the dominant interference </w:t>
      </w:r>
      <w:r w:rsidR="00421160">
        <w:t>scenarios</w:t>
      </w:r>
      <w:r w:rsidR="0014265E">
        <w:t xml:space="preserve"> </w:t>
      </w:r>
      <w:r w:rsidR="000E2625" w:rsidRPr="00366E07">
        <w:t xml:space="preserve">and will need to be assessed </w:t>
      </w:r>
      <w:r>
        <w:t xml:space="preserve">when assigning </w:t>
      </w:r>
      <w:r w:rsidR="000E2625" w:rsidRPr="00366E07">
        <w:t xml:space="preserve">new </w:t>
      </w:r>
      <w:r w:rsidR="00DD072A">
        <w:t>RMR</w:t>
      </w:r>
      <w:r w:rsidR="000E2625">
        <w:t xml:space="preserve"> </w:t>
      </w:r>
      <w:r w:rsidR="000E2625" w:rsidRPr="00366E07">
        <w:t xml:space="preserve">services. Due to the difference in transmitter power between </w:t>
      </w:r>
      <w:r w:rsidR="00DD072A">
        <w:t>RMR</w:t>
      </w:r>
      <w:r w:rsidR="000E2625">
        <w:t xml:space="preserve"> </w:t>
      </w:r>
      <w:r w:rsidR="000E2625" w:rsidRPr="00366E07">
        <w:t xml:space="preserve">base stations and remote stations, assessment of the first </w:t>
      </w:r>
      <w:r w:rsidR="00676B9F">
        <w:t>scenario</w:t>
      </w:r>
      <w:r w:rsidR="0014265E">
        <w:t xml:space="preserve"> </w:t>
      </w:r>
      <w:r w:rsidR="009B3A00">
        <w:t xml:space="preserve">alone </w:t>
      </w:r>
      <w:r w:rsidR="000E2625" w:rsidRPr="00366E07">
        <w:t xml:space="preserve">is normally considered sufficient to manage interference. However, in some cases where remote stations </w:t>
      </w:r>
      <w:r w:rsidR="000E2625" w:rsidRPr="00434E1D">
        <w:t>are</w:t>
      </w:r>
      <w:r w:rsidR="000E2625" w:rsidRPr="00366E07">
        <w:t xml:space="preserve"> </w:t>
      </w:r>
      <w:r w:rsidR="009B3A00">
        <w:t xml:space="preserve">geographically </w:t>
      </w:r>
      <w:r w:rsidR="000E2625" w:rsidRPr="00366E07">
        <w:t xml:space="preserve">near </w:t>
      </w:r>
      <w:r w:rsidR="0003217C">
        <w:t>a</w:t>
      </w:r>
      <w:r w:rsidR="0003217C" w:rsidRPr="00366E07">
        <w:t xml:space="preserve"> </w:t>
      </w:r>
      <w:r w:rsidR="000E2625" w:rsidRPr="00366E07">
        <w:t>2 GHz</w:t>
      </w:r>
      <w:r w:rsidR="00256CF5">
        <w:t xml:space="preserve"> band</w:t>
      </w:r>
      <w:r w:rsidR="000E2625" w:rsidRPr="00366E07">
        <w:t xml:space="preserve"> </w:t>
      </w:r>
      <w:r w:rsidR="00151535">
        <w:t>sp</w:t>
      </w:r>
      <w:r w:rsidR="000E2625" w:rsidRPr="00366E07">
        <w:t xml:space="preserve">ectrum </w:t>
      </w:r>
      <w:r w:rsidR="00151535">
        <w:t>l</w:t>
      </w:r>
      <w:r w:rsidR="000E2625" w:rsidRPr="00366E07">
        <w:t>icen</w:t>
      </w:r>
      <w:r w:rsidR="00151535">
        <w:t>sed or PTS</w:t>
      </w:r>
      <w:r w:rsidR="0003217C">
        <w:t xml:space="preserve"> base station receiver,</w:t>
      </w:r>
      <w:r w:rsidR="000E2625" w:rsidRPr="00366E07">
        <w:t xml:space="preserve"> interference </w:t>
      </w:r>
      <w:r w:rsidR="009B3A00">
        <w:t>may need to be managed</w:t>
      </w:r>
      <w:r w:rsidR="000E2625" w:rsidRPr="00366E07">
        <w:t xml:space="preserve">. If there is doubt, the procedure in section </w:t>
      </w:r>
      <w:r w:rsidR="00151535">
        <w:fldChar w:fldCharType="begin"/>
      </w:r>
      <w:r w:rsidR="00151535">
        <w:instrText xml:space="preserve"> REF _Ref210201251 \r \h </w:instrText>
      </w:r>
      <w:r w:rsidR="00151535">
        <w:fldChar w:fldCharType="separate"/>
      </w:r>
      <w:r w:rsidR="00151535">
        <w:t>3.5</w:t>
      </w:r>
      <w:r w:rsidR="00151535">
        <w:fldChar w:fldCharType="end"/>
      </w:r>
      <w:r w:rsidR="009B3A00">
        <w:t xml:space="preserve"> of this RALI</w:t>
      </w:r>
      <w:r w:rsidR="000E2625" w:rsidRPr="00366E07">
        <w:t xml:space="preserve">, modified </w:t>
      </w:r>
      <w:r w:rsidR="009B3A00">
        <w:t>to account for</w:t>
      </w:r>
      <w:r w:rsidR="009B3A00" w:rsidRPr="00366E07">
        <w:t xml:space="preserve"> </w:t>
      </w:r>
      <w:r w:rsidR="000E2625" w:rsidRPr="00366E07">
        <w:t xml:space="preserve">the </w:t>
      </w:r>
      <w:r w:rsidR="009B3A00">
        <w:t>actual</w:t>
      </w:r>
      <w:r w:rsidR="000E2625" w:rsidRPr="00366E07">
        <w:t xml:space="preserve"> operating characteristics </w:t>
      </w:r>
      <w:r w:rsidR="000E2625" w:rsidRPr="00434E1D">
        <w:t xml:space="preserve">and likely locations </w:t>
      </w:r>
      <w:r w:rsidR="000E2625" w:rsidRPr="00366E07">
        <w:t xml:space="preserve">of the </w:t>
      </w:r>
      <w:r w:rsidR="00DD072A">
        <w:t>RMR</w:t>
      </w:r>
      <w:r w:rsidR="000E2625">
        <w:t xml:space="preserve"> </w:t>
      </w:r>
      <w:r w:rsidR="000E2625" w:rsidRPr="00366E07">
        <w:t>remote station/s, should be used</w:t>
      </w:r>
      <w:r w:rsidR="000E2625" w:rsidRPr="00434E1D">
        <w:t xml:space="preserve"> to assess </w:t>
      </w:r>
      <w:r w:rsidR="009B3A00">
        <w:t>interference</w:t>
      </w:r>
      <w:r w:rsidR="009B3A00" w:rsidRPr="00434E1D">
        <w:t xml:space="preserve"> </w:t>
      </w:r>
      <w:r w:rsidR="000E2625" w:rsidRPr="00434E1D">
        <w:t xml:space="preserve">potential when then </w:t>
      </w:r>
      <w:r w:rsidR="00DD072A">
        <w:t>RMR</w:t>
      </w:r>
      <w:r w:rsidR="000E2625">
        <w:t xml:space="preserve"> </w:t>
      </w:r>
      <w:r w:rsidR="000E2625" w:rsidRPr="00434E1D">
        <w:t xml:space="preserve">transmitter is within </w:t>
      </w:r>
      <w:r w:rsidR="003A1243">
        <w:t>70</w:t>
      </w:r>
      <w:r w:rsidR="008F7D3E" w:rsidRPr="00434E1D">
        <w:t xml:space="preserve"> </w:t>
      </w:r>
      <w:r w:rsidR="000E2625" w:rsidRPr="00434E1D">
        <w:t xml:space="preserve">km of a </w:t>
      </w:r>
      <w:r w:rsidR="00151535">
        <w:t>s</w:t>
      </w:r>
      <w:r w:rsidR="000E2625" w:rsidRPr="00434E1D">
        <w:t xml:space="preserve">pectrum </w:t>
      </w:r>
      <w:r w:rsidR="00151535">
        <w:t>l</w:t>
      </w:r>
      <w:r w:rsidR="000E2625" w:rsidRPr="00434E1D">
        <w:t>icen</w:t>
      </w:r>
      <w:r w:rsidR="00151535">
        <w:t>sed or PTS</w:t>
      </w:r>
      <w:r w:rsidR="000E2625" w:rsidRPr="00434E1D">
        <w:t xml:space="preserve"> </w:t>
      </w:r>
      <w:r w:rsidR="0003217C">
        <w:t>base station receiver</w:t>
      </w:r>
      <w:r w:rsidR="000E2625" w:rsidRPr="00366E07">
        <w:t>.</w:t>
      </w:r>
    </w:p>
    <w:p w14:paraId="6126BAB9" w14:textId="7765E745" w:rsidR="005D76A0" w:rsidRDefault="003A536F" w:rsidP="005D76A0">
      <w:r>
        <w:lastRenderedPageBreak/>
        <w:t>Devices that operate under the</w:t>
      </w:r>
      <w:r w:rsidR="008A25A2">
        <w:t xml:space="preserve"> cellular mobile class licence</w:t>
      </w:r>
      <w:r w:rsidR="00151535">
        <w:rPr>
          <w:rStyle w:val="Hyperlink"/>
          <w:u w:val="none"/>
        </w:rPr>
        <w:t xml:space="preserve"> </w:t>
      </w:r>
      <w:r w:rsidRPr="00306785">
        <w:rPr>
          <w:rStyle w:val="Hyperlink"/>
          <w:color w:val="000000" w:themeColor="text1"/>
          <w:u w:val="none"/>
        </w:rPr>
        <w:t>(i.e. mobile</w:t>
      </w:r>
      <w:r w:rsidR="00DB3B28">
        <w:rPr>
          <w:rStyle w:val="Hyperlink"/>
          <w:color w:val="000000" w:themeColor="text1"/>
          <w:u w:val="none"/>
        </w:rPr>
        <w:t xml:space="preserve"> and remote</w:t>
      </w:r>
      <w:r w:rsidRPr="00306785">
        <w:rPr>
          <w:rStyle w:val="Hyperlink"/>
          <w:color w:val="000000" w:themeColor="text1"/>
          <w:u w:val="none"/>
        </w:rPr>
        <w:t xml:space="preserve"> stations) and </w:t>
      </w:r>
      <w:r w:rsidR="000E2625">
        <w:t xml:space="preserve">devices exempt from registration </w:t>
      </w:r>
      <w:r>
        <w:t xml:space="preserve">under 2 GHz band </w:t>
      </w:r>
      <w:r w:rsidR="000E2625">
        <w:t>spectrum licences</w:t>
      </w:r>
      <w:r>
        <w:t xml:space="preserve"> (i.e. spectrum licensed mobile stations</w:t>
      </w:r>
      <w:r w:rsidR="000E2625">
        <w:t xml:space="preserve">) operate on </w:t>
      </w:r>
      <w:r w:rsidR="00346AD6">
        <w:t>NINP</w:t>
      </w:r>
      <w:r w:rsidR="000E2625">
        <w:t xml:space="preserve"> basis. This means that in the event interference is caused by a remote</w:t>
      </w:r>
      <w:r w:rsidR="004B676C">
        <w:t xml:space="preserve"> or mobile</w:t>
      </w:r>
      <w:r w:rsidR="000E2625">
        <w:t xml:space="preserve"> station transmitter</w:t>
      </w:r>
      <w:r w:rsidR="004B676C">
        <w:t xml:space="preserve"> (authorised by </w:t>
      </w:r>
      <w:r w:rsidR="00285215">
        <w:t xml:space="preserve">either the cellular mobile class licences or the spectrum </w:t>
      </w:r>
      <w:r w:rsidR="00B77AF5">
        <w:t>licence</w:t>
      </w:r>
      <w:r w:rsidR="00285215">
        <w:t>)</w:t>
      </w:r>
      <w:r w:rsidR="000E2625">
        <w:t xml:space="preserve">, it is the responsibility of the licensee authorised to operate the </w:t>
      </w:r>
      <w:r w:rsidR="00B77AF5">
        <w:t>mobile/</w:t>
      </w:r>
      <w:r w:rsidR="000E2625">
        <w:t>remote station to resolve the issue.</w:t>
      </w:r>
      <w:bookmarkStart w:id="45" w:name="_Toc36564972"/>
      <w:bookmarkStart w:id="46" w:name="_Toc36564973"/>
      <w:bookmarkStart w:id="47" w:name="_Toc36564974"/>
      <w:bookmarkStart w:id="48" w:name="_Toc36564975"/>
      <w:bookmarkStart w:id="49" w:name="_Toc36564976"/>
      <w:bookmarkStart w:id="50" w:name="_Toc36564977"/>
      <w:bookmarkStart w:id="51" w:name="_Toc36564978"/>
      <w:bookmarkStart w:id="52" w:name="_Toc36564979"/>
      <w:bookmarkEnd w:id="45"/>
      <w:bookmarkEnd w:id="46"/>
      <w:bookmarkEnd w:id="47"/>
      <w:bookmarkEnd w:id="48"/>
      <w:bookmarkEnd w:id="49"/>
      <w:bookmarkEnd w:id="50"/>
      <w:bookmarkEnd w:id="51"/>
      <w:bookmarkEnd w:id="52"/>
      <w:r w:rsidR="000E2625" w:rsidDel="00D44A72">
        <w:t xml:space="preserve"> </w:t>
      </w:r>
    </w:p>
    <w:p w14:paraId="233A8EBC" w14:textId="3E92F105" w:rsidR="00ED087A" w:rsidRPr="00DE7566" w:rsidRDefault="009B3A00" w:rsidP="00ED087A">
      <w:pPr>
        <w:pStyle w:val="Heading2"/>
      </w:pPr>
      <w:bookmarkStart w:id="53" w:name="_Toc210288290"/>
      <w:bookmarkStart w:id="54" w:name="_Ref210289797"/>
      <w:bookmarkStart w:id="55" w:name="_Toc233192901"/>
      <w:bookmarkStart w:id="56" w:name="_Ref210201344"/>
      <w:bookmarkEnd w:id="53"/>
      <w:r>
        <w:t xml:space="preserve">Coexistence between </w:t>
      </w:r>
      <w:r w:rsidR="00DD072A">
        <w:t>RMR</w:t>
      </w:r>
      <w:r w:rsidR="00ED087A">
        <w:t xml:space="preserve"> </w:t>
      </w:r>
      <w:r w:rsidR="002E367E">
        <w:t xml:space="preserve">network </w:t>
      </w:r>
      <w:r w:rsidR="00ED087A">
        <w:t xml:space="preserve">and devices operated under a spectrum licence or PTS licence in the 1800 </w:t>
      </w:r>
      <w:r w:rsidR="003E0683">
        <w:t xml:space="preserve">MHz </w:t>
      </w:r>
      <w:r w:rsidR="00ED087A">
        <w:t>band</w:t>
      </w:r>
      <w:bookmarkEnd w:id="54"/>
      <w:bookmarkEnd w:id="55"/>
    </w:p>
    <w:bookmarkEnd w:id="56"/>
    <w:p w14:paraId="546FD020" w14:textId="50EEB0FB" w:rsidR="009B3A00" w:rsidRDefault="009B3A00" w:rsidP="009B3A00">
      <w:r>
        <w:t xml:space="preserve">Interference consideration between </w:t>
      </w:r>
      <w:r w:rsidR="00DD072A">
        <w:t>RMR</w:t>
      </w:r>
      <w:r>
        <w:t xml:space="preserve"> </w:t>
      </w:r>
      <w:r w:rsidR="002E367E">
        <w:t xml:space="preserve">networks </w:t>
      </w:r>
      <w:r>
        <w:t>and 1</w:t>
      </w:r>
      <w:r w:rsidR="008346B0">
        <w:t>800 M</w:t>
      </w:r>
      <w:r>
        <w:t xml:space="preserve">Hz </w:t>
      </w:r>
      <w:r w:rsidR="008346B0">
        <w:t xml:space="preserve">band </w:t>
      </w:r>
      <w:r>
        <w:t xml:space="preserve">spectrum licensed </w:t>
      </w:r>
      <w:r w:rsidR="008346B0">
        <w:t>or</w:t>
      </w:r>
      <w:r>
        <w:t xml:space="preserve"> PTS apparatus licensed services is limited to adjacent channel cases in the same area only, where </w:t>
      </w:r>
      <w:r w:rsidR="00DD072A">
        <w:t>RMR</w:t>
      </w:r>
      <w:r w:rsidR="002E367E">
        <w:t xml:space="preserve"> network</w:t>
      </w:r>
      <w:r>
        <w:t xml:space="preserve"> has the potential to cause interference to, and receive interference from, 18</w:t>
      </w:r>
      <w:r w:rsidR="00AD6E30">
        <w:t>00 M</w:t>
      </w:r>
      <w:r>
        <w:t xml:space="preserve">Hz </w:t>
      </w:r>
      <w:r w:rsidR="00AD6E30">
        <w:t xml:space="preserve">band </w:t>
      </w:r>
      <w:r>
        <w:t>services. These 18</w:t>
      </w:r>
      <w:r w:rsidR="00AD6E30">
        <w:t>00</w:t>
      </w:r>
      <w:r>
        <w:t> </w:t>
      </w:r>
      <w:r w:rsidR="00AD6E30">
        <w:t>M</w:t>
      </w:r>
      <w:r>
        <w:t>Hz</w:t>
      </w:r>
      <w:r w:rsidR="00AD6E30">
        <w:t xml:space="preserve"> band</w:t>
      </w:r>
      <w:r>
        <w:t xml:space="preserve"> services employ frequency division duplexing (FDD), with 1805 – 18</w:t>
      </w:r>
      <w:r w:rsidR="000B6B57">
        <w:t>8</w:t>
      </w:r>
      <w:r>
        <w:t xml:space="preserve">0 MHz being the base </w:t>
      </w:r>
      <w:r w:rsidR="0042713E">
        <w:t>transmit</w:t>
      </w:r>
      <w:r>
        <w:t xml:space="preserve"> segment. </w:t>
      </w:r>
    </w:p>
    <w:p w14:paraId="0A28A547" w14:textId="3824892E" w:rsidR="00614630" w:rsidRDefault="00614630" w:rsidP="00614630">
      <w:r>
        <w:t xml:space="preserve">There are four possible interference </w:t>
      </w:r>
      <w:r w:rsidR="0014265E">
        <w:t>scenarios</w:t>
      </w:r>
      <w:r>
        <w:t>:</w:t>
      </w:r>
    </w:p>
    <w:p w14:paraId="545954EE" w14:textId="70087315" w:rsidR="00614630" w:rsidRDefault="00DD072A" w:rsidP="00306785">
      <w:pPr>
        <w:pStyle w:val="ListBullet"/>
      </w:pPr>
      <w:r>
        <w:t>RMR</w:t>
      </w:r>
      <w:r w:rsidR="00614630">
        <w:t xml:space="preserve"> base station transmitter </w:t>
      </w:r>
      <w:r w:rsidR="009B3A00">
        <w:t xml:space="preserve">interference </w:t>
      </w:r>
      <w:r w:rsidR="00614630">
        <w:t xml:space="preserve">into </w:t>
      </w:r>
      <w:r w:rsidR="009B3A00">
        <w:t>lower-</w:t>
      </w:r>
      <w:r w:rsidR="00614630">
        <w:t xml:space="preserve">adjacent spectrum licensed </w:t>
      </w:r>
      <w:r w:rsidR="0047211C">
        <w:t>or PTS mobile</w:t>
      </w:r>
      <w:r w:rsidR="00614630">
        <w:t xml:space="preserve"> station receiver.</w:t>
      </w:r>
    </w:p>
    <w:p w14:paraId="021C1AE3" w14:textId="0F33EE09" w:rsidR="00614630" w:rsidRDefault="00DD072A" w:rsidP="00306785">
      <w:pPr>
        <w:pStyle w:val="ListBullet"/>
      </w:pPr>
      <w:r>
        <w:t>RMR</w:t>
      </w:r>
      <w:r w:rsidR="00614630">
        <w:t xml:space="preserve"> </w:t>
      </w:r>
      <w:r w:rsidR="0047211C">
        <w:t>mobile/</w:t>
      </w:r>
      <w:r w:rsidR="00614630">
        <w:t xml:space="preserve">remote station transmitter </w:t>
      </w:r>
      <w:r w:rsidR="009B3A00">
        <w:t xml:space="preserve">interference </w:t>
      </w:r>
      <w:r w:rsidR="00614630">
        <w:t xml:space="preserve">into </w:t>
      </w:r>
      <w:r w:rsidR="009B3A00">
        <w:t>lower-</w:t>
      </w:r>
      <w:r w:rsidR="00614630">
        <w:t xml:space="preserve">adjacent spectrum licensed </w:t>
      </w:r>
      <w:r w:rsidR="0047211C">
        <w:t>or PTS mobile</w:t>
      </w:r>
      <w:r w:rsidR="00614630">
        <w:t xml:space="preserve"> station receiver.</w:t>
      </w:r>
    </w:p>
    <w:p w14:paraId="0B402393" w14:textId="563F770E" w:rsidR="00614630" w:rsidRDefault="00614630" w:rsidP="00306785">
      <w:pPr>
        <w:pStyle w:val="ListBullet"/>
      </w:pPr>
      <w:r>
        <w:t>Spectrum licensed</w:t>
      </w:r>
      <w:r w:rsidR="0047211C">
        <w:t xml:space="preserve"> or PTS</w:t>
      </w:r>
      <w:r>
        <w:t xml:space="preserve"> base station transmitter </w:t>
      </w:r>
      <w:r w:rsidR="009B3A00">
        <w:t xml:space="preserve">interference </w:t>
      </w:r>
      <w:r>
        <w:t xml:space="preserve">into </w:t>
      </w:r>
      <w:r w:rsidR="009B3A00">
        <w:t>upper-</w:t>
      </w:r>
      <w:r>
        <w:t xml:space="preserve">adjacent </w:t>
      </w:r>
      <w:r w:rsidR="00DD072A">
        <w:t>RMR</w:t>
      </w:r>
      <w:r>
        <w:t xml:space="preserve"> base station receiver.</w:t>
      </w:r>
    </w:p>
    <w:p w14:paraId="36A17F38" w14:textId="5BC73F3B" w:rsidR="00614630" w:rsidRDefault="00614630" w:rsidP="00306785">
      <w:pPr>
        <w:pStyle w:val="ListBulletLast"/>
      </w:pPr>
      <w:r>
        <w:t>Spectrum licensed</w:t>
      </w:r>
      <w:r w:rsidR="0047211C">
        <w:t xml:space="preserve"> or PTS</w:t>
      </w:r>
      <w:r>
        <w:t xml:space="preserve"> base station transmitter </w:t>
      </w:r>
      <w:r w:rsidR="009B3A00">
        <w:t>interference</w:t>
      </w:r>
      <w:r>
        <w:t xml:space="preserve"> into </w:t>
      </w:r>
      <w:r w:rsidR="009B3A00">
        <w:t>upper-</w:t>
      </w:r>
      <w:r>
        <w:t xml:space="preserve">adjacent </w:t>
      </w:r>
      <w:r w:rsidR="00DD072A">
        <w:t>RMR</w:t>
      </w:r>
      <w:r>
        <w:t xml:space="preserve"> </w:t>
      </w:r>
      <w:r w:rsidR="0047211C">
        <w:t>mobile/</w:t>
      </w:r>
      <w:r>
        <w:t>remote station receiver.</w:t>
      </w:r>
    </w:p>
    <w:p w14:paraId="5B46F96F" w14:textId="5B46F9C6" w:rsidR="00614630" w:rsidRDefault="009B3A00" w:rsidP="00614630">
      <w:r>
        <w:t>T</w:t>
      </w:r>
      <w:r w:rsidR="00614630">
        <w:t>he third</w:t>
      </w:r>
      <w:r>
        <w:t xml:space="preserve"> of these</w:t>
      </w:r>
      <w:r w:rsidR="00614630">
        <w:t xml:space="preserve">, involving </w:t>
      </w:r>
      <w:r>
        <w:t xml:space="preserve">interference </w:t>
      </w:r>
      <w:r w:rsidR="006036E1">
        <w:t xml:space="preserve">from 1800 MHz band </w:t>
      </w:r>
      <w:r w:rsidR="00614630">
        <w:t xml:space="preserve">spectrum licenced </w:t>
      </w:r>
      <w:r w:rsidR="0047211C">
        <w:t xml:space="preserve">or PTS </w:t>
      </w:r>
      <w:r w:rsidR="00614630">
        <w:t>base station transmitters</w:t>
      </w:r>
      <w:r w:rsidR="00EB3D45">
        <w:t xml:space="preserve"> i</w:t>
      </w:r>
      <w:r w:rsidR="00243E7F">
        <w:t>nto RMR base station receivers</w:t>
      </w:r>
      <w:r w:rsidR="00614630">
        <w:t xml:space="preserve">, is </w:t>
      </w:r>
      <w:r>
        <w:t xml:space="preserve">the dominant interference </w:t>
      </w:r>
      <w:r w:rsidR="00DD072A">
        <w:t>scenario</w:t>
      </w:r>
      <w:r w:rsidR="00614630">
        <w:t xml:space="preserve">. Due to the difference in transmitter power between base stations and </w:t>
      </w:r>
      <w:r w:rsidR="0047211C">
        <w:t>mobile</w:t>
      </w:r>
      <w:r w:rsidR="00614630">
        <w:t xml:space="preserve"> stations, assessment of the third </w:t>
      </w:r>
      <w:r w:rsidR="00676B9F">
        <w:t>scenario</w:t>
      </w:r>
      <w:r w:rsidR="0014265E">
        <w:t xml:space="preserve"> </w:t>
      </w:r>
      <w:r>
        <w:t xml:space="preserve">alone </w:t>
      </w:r>
      <w:r w:rsidR="00614630">
        <w:t xml:space="preserve">is normally considered sufficient to manage interference. </w:t>
      </w:r>
    </w:p>
    <w:p w14:paraId="1005E012" w14:textId="4CE8FB5E" w:rsidR="0014164A" w:rsidRDefault="0047211C" w:rsidP="00614630">
      <w:r>
        <w:t>S</w:t>
      </w:r>
      <w:r w:rsidR="0014164A">
        <w:t xml:space="preserve">pectrum licensed </w:t>
      </w:r>
      <w:r>
        <w:t xml:space="preserve">or PTS </w:t>
      </w:r>
      <w:r w:rsidR="009B3A00">
        <w:t xml:space="preserve">apparatus licensed </w:t>
      </w:r>
      <w:r w:rsidR="0014164A">
        <w:t>base station transmitters operating in the 1805–1880 MHz band are outside the 2</w:t>
      </w:r>
      <w:r w:rsidR="0014164A" w:rsidRPr="0044597C">
        <w:rPr>
          <w:vertAlign w:val="superscript"/>
        </w:rPr>
        <w:t>nd</w:t>
      </w:r>
      <w:r w:rsidR="0014164A">
        <w:t xml:space="preserve"> adjacent channel of </w:t>
      </w:r>
      <w:r w:rsidR="00FA4E91">
        <w:t>RMR</w:t>
      </w:r>
      <w:r w:rsidR="0014164A">
        <w:t xml:space="preserve"> stations. The frequency separation is considered </w:t>
      </w:r>
      <w:r w:rsidR="009B3A00">
        <w:t>sufficient</w:t>
      </w:r>
      <w:r w:rsidR="0014164A">
        <w:t xml:space="preserve"> to mitigate </w:t>
      </w:r>
      <w:r w:rsidR="000345E9">
        <w:t xml:space="preserve">this </w:t>
      </w:r>
      <w:r w:rsidR="0014164A">
        <w:t>potential interference</w:t>
      </w:r>
      <w:r w:rsidR="000345E9">
        <w:t>,</w:t>
      </w:r>
      <w:r w:rsidR="0014164A">
        <w:t xml:space="preserve"> </w:t>
      </w:r>
      <w:r w:rsidR="000345E9">
        <w:t>so</w:t>
      </w:r>
      <w:r w:rsidR="0014164A" w:rsidRPr="002E663B">
        <w:rPr>
          <w:szCs w:val="22"/>
        </w:rPr>
        <w:t xml:space="preserve"> no coordination </w:t>
      </w:r>
      <w:r w:rsidR="000345E9">
        <w:rPr>
          <w:szCs w:val="22"/>
        </w:rPr>
        <w:t>procedures</w:t>
      </w:r>
      <w:r w:rsidR="000345E9" w:rsidRPr="002E663B">
        <w:rPr>
          <w:szCs w:val="22"/>
        </w:rPr>
        <w:t xml:space="preserve"> </w:t>
      </w:r>
      <w:r w:rsidR="0014164A" w:rsidRPr="002E663B">
        <w:rPr>
          <w:szCs w:val="22"/>
        </w:rPr>
        <w:t xml:space="preserve">have been </w:t>
      </w:r>
      <w:r w:rsidR="000345E9">
        <w:rPr>
          <w:szCs w:val="22"/>
        </w:rPr>
        <w:t>specified</w:t>
      </w:r>
      <w:r w:rsidR="000345E9" w:rsidRPr="002E663B">
        <w:rPr>
          <w:szCs w:val="22"/>
        </w:rPr>
        <w:t xml:space="preserve"> </w:t>
      </w:r>
      <w:r w:rsidR="0014164A" w:rsidRPr="002E663B">
        <w:rPr>
          <w:szCs w:val="22"/>
        </w:rPr>
        <w:t xml:space="preserve">in </w:t>
      </w:r>
      <w:r w:rsidR="0014164A">
        <w:rPr>
          <w:szCs w:val="22"/>
        </w:rPr>
        <w:t>Section 3</w:t>
      </w:r>
      <w:r w:rsidR="0014164A" w:rsidRPr="002E663B">
        <w:rPr>
          <w:szCs w:val="22"/>
        </w:rPr>
        <w:t xml:space="preserve"> of this RALI.</w:t>
      </w:r>
      <w:r w:rsidR="0014164A">
        <w:rPr>
          <w:szCs w:val="22"/>
        </w:rPr>
        <w:t xml:space="preserve"> </w:t>
      </w:r>
    </w:p>
    <w:p w14:paraId="45D46175" w14:textId="61658B11" w:rsidR="0014164A" w:rsidRDefault="0014164A" w:rsidP="0014164A">
      <w:r>
        <w:t xml:space="preserve">The </w:t>
      </w:r>
      <w:r w:rsidR="00FA4E91">
        <w:t>RMR</w:t>
      </w:r>
      <w:r>
        <w:t xml:space="preserve"> receiver characteristics outlined in Appendix </w:t>
      </w:r>
      <w:r w:rsidR="00B33789">
        <w:t xml:space="preserve">B </w:t>
      </w:r>
      <w:r>
        <w:t xml:space="preserve">provide guidance to </w:t>
      </w:r>
      <w:r w:rsidR="00FA4E91">
        <w:t>RMR</w:t>
      </w:r>
      <w:r>
        <w:t xml:space="preserve"> operators that should </w:t>
      </w:r>
      <w:r w:rsidR="000345E9">
        <w:t xml:space="preserve">assist in mitigating </w:t>
      </w:r>
      <w:r>
        <w:t xml:space="preserve">any potential interference from spectrum licensed </w:t>
      </w:r>
      <w:r w:rsidR="0047211C">
        <w:t xml:space="preserve">or PTS </w:t>
      </w:r>
      <w:r w:rsidR="000345E9">
        <w:t xml:space="preserve">apparatus licensed </w:t>
      </w:r>
      <w:r>
        <w:t>base station transmitters operating in the 1805–1880 MHz band</w:t>
      </w:r>
      <w:r w:rsidR="0047211C">
        <w:t>.</w:t>
      </w:r>
    </w:p>
    <w:p w14:paraId="7FABAC01" w14:textId="32B24E3E" w:rsidR="0014164A" w:rsidRDefault="0014164A" w:rsidP="0014164A">
      <w:r>
        <w:t>If interference does occur</w:t>
      </w:r>
      <w:r w:rsidR="000345E9">
        <w:t>,</w:t>
      </w:r>
      <w:r>
        <w:t xml:space="preserve"> the ACMA encourages licensees to cooperate to find a resolution. </w:t>
      </w:r>
      <w:r w:rsidR="00694803">
        <w:t>Devices that operate under the cellular mobile class licence</w:t>
      </w:r>
      <w:r w:rsidR="00694803">
        <w:rPr>
          <w:rStyle w:val="Hyperlink"/>
          <w:u w:val="none"/>
        </w:rPr>
        <w:t xml:space="preserve"> </w:t>
      </w:r>
      <w:r w:rsidR="00694803" w:rsidRPr="00306785">
        <w:rPr>
          <w:rStyle w:val="Hyperlink"/>
          <w:color w:val="000000" w:themeColor="text1"/>
          <w:u w:val="none"/>
        </w:rPr>
        <w:t>(i.e. mobile</w:t>
      </w:r>
      <w:r w:rsidR="00694803">
        <w:rPr>
          <w:rStyle w:val="Hyperlink"/>
          <w:color w:val="000000" w:themeColor="text1"/>
          <w:u w:val="none"/>
        </w:rPr>
        <w:t xml:space="preserve"> and remote</w:t>
      </w:r>
      <w:r w:rsidR="00694803" w:rsidRPr="00306785">
        <w:rPr>
          <w:rStyle w:val="Hyperlink"/>
          <w:color w:val="000000" w:themeColor="text1"/>
          <w:u w:val="none"/>
        </w:rPr>
        <w:t xml:space="preserve"> stations) and </w:t>
      </w:r>
      <w:r w:rsidR="00694803">
        <w:t xml:space="preserve">devices exempt from registration under </w:t>
      </w:r>
      <w:r w:rsidR="00D95F7C">
        <w:t>1800 M</w:t>
      </w:r>
      <w:r w:rsidR="00694803">
        <w:t xml:space="preserve">Hz band spectrum licences (i.e. spectrum licensed mobile stations) operate on </w:t>
      </w:r>
      <w:r w:rsidR="00C07B2B">
        <w:t xml:space="preserve">an </w:t>
      </w:r>
      <w:r w:rsidR="00694803">
        <w:t xml:space="preserve">NINP basis. This means that in the event interference is caused by a remote or mobile station transmitter (authorised by either the cellular </w:t>
      </w:r>
      <w:r w:rsidR="00694803">
        <w:lastRenderedPageBreak/>
        <w:t>mobile class licences or the spectrum licence), it is the responsibility of the licensee authorised to operate the mobile/remote station to resolve the issue</w:t>
      </w:r>
      <w:r>
        <w:t>.</w:t>
      </w:r>
    </w:p>
    <w:p w14:paraId="6B520C2A" w14:textId="56F19C3C" w:rsidR="006C675D" w:rsidRDefault="006C675D" w:rsidP="00E302A9">
      <w:pPr>
        <w:pStyle w:val="Heading2"/>
      </w:pPr>
      <w:bookmarkStart w:id="57" w:name="_Toc210288292"/>
      <w:bookmarkStart w:id="58" w:name="_Toc210288298"/>
      <w:bookmarkStart w:id="59" w:name="_Toc233192902"/>
      <w:bookmarkStart w:id="60" w:name="_Ref210201398"/>
      <w:bookmarkStart w:id="61" w:name="_Ref210211279"/>
      <w:bookmarkEnd w:id="57"/>
      <w:bookmarkEnd w:id="58"/>
      <w:r>
        <w:t>Underground RMR</w:t>
      </w:r>
      <w:r w:rsidR="002E367E">
        <w:t xml:space="preserve"> network</w:t>
      </w:r>
      <w:bookmarkEnd w:id="59"/>
    </w:p>
    <w:p w14:paraId="1D2D5BC1" w14:textId="5680C744" w:rsidR="00612213" w:rsidRDefault="00681BC6" w:rsidP="00612213">
      <w:r>
        <w:t>RMR</w:t>
      </w:r>
      <w:r w:rsidR="00612213">
        <w:t xml:space="preserve"> </w:t>
      </w:r>
      <w:r w:rsidR="00B810A5">
        <w:t>stations</w:t>
      </w:r>
      <w:r w:rsidR="00612213">
        <w:t xml:space="preserve"> in underground locations such as</w:t>
      </w:r>
      <w:r w:rsidR="000A46CB">
        <w:t xml:space="preserve"> </w:t>
      </w:r>
      <w:r>
        <w:t>tunnels</w:t>
      </w:r>
      <w:r w:rsidR="00612213">
        <w:t xml:space="preserve"> </w:t>
      </w:r>
      <w:r w:rsidR="000A46CB">
        <w:t xml:space="preserve">will </w:t>
      </w:r>
      <w:r w:rsidR="002744A1">
        <w:t xml:space="preserve">likely </w:t>
      </w:r>
      <w:r w:rsidR="000A46CB">
        <w:t>be</w:t>
      </w:r>
      <w:r w:rsidR="002B0566">
        <w:t xml:space="preserve"> a</w:t>
      </w:r>
      <w:r w:rsidR="000A46CB">
        <w:t xml:space="preserve"> part of </w:t>
      </w:r>
      <w:r w:rsidR="002B0566">
        <w:t>the RMR network</w:t>
      </w:r>
      <w:r w:rsidR="00612213">
        <w:t>. Due to the service being located underground, the potential for interference to</w:t>
      </w:r>
      <w:r w:rsidR="00753B43">
        <w:t>/from</w:t>
      </w:r>
      <w:r w:rsidR="00612213">
        <w:t xml:space="preserve"> </w:t>
      </w:r>
      <w:r w:rsidR="00987D45">
        <w:t xml:space="preserve">above ground </w:t>
      </w:r>
      <w:r w:rsidR="00612213">
        <w:t xml:space="preserve">services is low. Thus, no formal coordination with these services is considered necessary provided </w:t>
      </w:r>
      <w:r w:rsidR="00612213" w:rsidRPr="00B17821">
        <w:rPr>
          <w:b/>
          <w:bCs/>
        </w:rPr>
        <w:t xml:space="preserve">Special Condition C23 </w:t>
      </w:r>
      <w:r w:rsidR="00AD77C6">
        <w:t xml:space="preserve">is </w:t>
      </w:r>
      <w:r w:rsidR="00612213">
        <w:t>attached to any licence issued. There is no limit on how much of the 1</w:t>
      </w:r>
      <w:r w:rsidR="0003650D">
        <w:t>.</w:t>
      </w:r>
      <w:r w:rsidR="008F1BA4">
        <w:t>9</w:t>
      </w:r>
      <w:r w:rsidR="00612213">
        <w:t xml:space="preserve"> </w:t>
      </w:r>
      <w:r w:rsidR="0003650D">
        <w:t>G</w:t>
      </w:r>
      <w:r w:rsidR="00612213">
        <w:t>Hz band can be used in an underground environment under these conditions.</w:t>
      </w:r>
    </w:p>
    <w:p w14:paraId="0F8BBB24" w14:textId="329BAA71" w:rsidR="00612213" w:rsidRDefault="00F90EC3" w:rsidP="00612213">
      <w:r>
        <w:t>C</w:t>
      </w:r>
      <w:r w:rsidR="00612213">
        <w:t xml:space="preserve">oordination among multiple underground licensees </w:t>
      </w:r>
      <w:r w:rsidR="00087E34">
        <w:t xml:space="preserve">in the same location </w:t>
      </w:r>
      <w:r w:rsidR="00612213">
        <w:t>is a site</w:t>
      </w:r>
      <w:r w:rsidR="006E559C">
        <w:t xml:space="preserve"> </w:t>
      </w:r>
      <w:r w:rsidR="00612213">
        <w:t>management issue and should be resolved by</w:t>
      </w:r>
      <w:r w:rsidR="00087E34">
        <w:t xml:space="preserve"> relevant licensees and/or the</w:t>
      </w:r>
      <w:r w:rsidR="00612213">
        <w:t xml:space="preserve"> underground site manager. </w:t>
      </w:r>
      <w:r w:rsidR="00612213" w:rsidRPr="00B17821">
        <w:rPr>
          <w:b/>
          <w:bCs/>
        </w:rPr>
        <w:t>Special Condition C23</w:t>
      </w:r>
      <w:r w:rsidR="00612213">
        <w:t xml:space="preserve"> limits the above ground emissions</w:t>
      </w:r>
      <w:r w:rsidR="006E559C">
        <w:t xml:space="preserve"> </w:t>
      </w:r>
      <w:r w:rsidR="00612213">
        <w:t xml:space="preserve">and requires that </w:t>
      </w:r>
      <w:r w:rsidR="004D2D4A">
        <w:t xml:space="preserve">underground </w:t>
      </w:r>
      <w:r w:rsidR="00612213">
        <w:t xml:space="preserve">stations operate </w:t>
      </w:r>
      <w:r w:rsidR="00AD62D1">
        <w:t>on</w:t>
      </w:r>
      <w:r w:rsidR="00612213">
        <w:t xml:space="preserve"> a ‘no interference and no protection</w:t>
      </w:r>
      <w:r w:rsidR="00CA2E40">
        <w:t xml:space="preserve"> (NINP)</w:t>
      </w:r>
      <w:r w:rsidR="00612213">
        <w:t xml:space="preserve"> basis’.</w:t>
      </w:r>
    </w:p>
    <w:p w14:paraId="71EC40B1" w14:textId="25695F0F" w:rsidR="00612213" w:rsidRDefault="00612213" w:rsidP="00612213">
      <w:r>
        <w:t>When applying for a licence</w:t>
      </w:r>
      <w:r w:rsidR="00547C8D">
        <w:t xml:space="preserve"> or including underground RMR services on an existing PTS licence</w:t>
      </w:r>
      <w:r>
        <w:t xml:space="preserve">, an above ground </w:t>
      </w:r>
      <w:r w:rsidR="00817039">
        <w:t>RMR</w:t>
      </w:r>
      <w:r>
        <w:t xml:space="preserve"> transmitter position indicating the</w:t>
      </w:r>
      <w:r w:rsidR="006E559C">
        <w:t xml:space="preserve"> </w:t>
      </w:r>
      <w:r>
        <w:t xml:space="preserve">nominal location of the underground facility, must be </w:t>
      </w:r>
      <w:r w:rsidR="00AD62D1">
        <w:t>ascribed</w:t>
      </w:r>
      <w:r>
        <w:t>. Multiple underground</w:t>
      </w:r>
      <w:r w:rsidR="006E559C">
        <w:t xml:space="preserve"> </w:t>
      </w:r>
      <w:r>
        <w:t xml:space="preserve">devices may be operated under any licence issued, without the requirement </w:t>
      </w:r>
      <w:r w:rsidR="00AD62D1">
        <w:t>for</w:t>
      </w:r>
      <w:r w:rsidR="006E559C">
        <w:t xml:space="preserve"> </w:t>
      </w:r>
      <w:r>
        <w:t xml:space="preserve">registration, provided the requirements of </w:t>
      </w:r>
      <w:r w:rsidRPr="00B17821">
        <w:rPr>
          <w:b/>
          <w:bCs/>
        </w:rPr>
        <w:t>Special Condition C23</w:t>
      </w:r>
      <w:r>
        <w:t xml:space="preserve"> are not exceeded.</w:t>
      </w:r>
    </w:p>
    <w:p w14:paraId="0F7AC768" w14:textId="77777777" w:rsidR="00612213" w:rsidRDefault="00612213" w:rsidP="00612213">
      <w:r>
        <w:t>Other parameters that should be used on any licence applications are:</w:t>
      </w:r>
    </w:p>
    <w:p w14:paraId="7440930E" w14:textId="1F697D4D" w:rsidR="00612213" w:rsidRDefault="00612213" w:rsidP="00B17821">
      <w:pPr>
        <w:pStyle w:val="ListBullet"/>
      </w:pPr>
      <w:r>
        <w:t>EIRP: 10 µW</w:t>
      </w:r>
    </w:p>
    <w:p w14:paraId="6C567BB7" w14:textId="352EBCA5" w:rsidR="00612213" w:rsidRDefault="00612213" w:rsidP="00B17821">
      <w:pPr>
        <w:pStyle w:val="ListBullet"/>
      </w:pPr>
      <w:r>
        <w:t>Antenna ID: 80219</w:t>
      </w:r>
    </w:p>
    <w:p w14:paraId="4CD51098" w14:textId="093FE0E0" w:rsidR="00612213" w:rsidRDefault="00612213" w:rsidP="00B17821">
      <w:pPr>
        <w:pStyle w:val="ListBullet"/>
      </w:pPr>
      <w:r>
        <w:t>Antenna height: 1.5 m</w:t>
      </w:r>
    </w:p>
    <w:p w14:paraId="24EA6D77" w14:textId="21B83F79" w:rsidR="00612213" w:rsidRDefault="00612213" w:rsidP="00B17821">
      <w:pPr>
        <w:pStyle w:val="ListBulletLast"/>
      </w:pPr>
      <w:r>
        <w:t>Antenna azimuth: omni directional</w:t>
      </w:r>
    </w:p>
    <w:p w14:paraId="22A611C8" w14:textId="5250CDC2" w:rsidR="006C675D" w:rsidRPr="006C675D" w:rsidRDefault="00612213" w:rsidP="00B17821">
      <w:r>
        <w:t xml:space="preserve">For an existing </w:t>
      </w:r>
      <w:r w:rsidR="00A34026">
        <w:t>PTS</w:t>
      </w:r>
      <w:r>
        <w:t xml:space="preserve"> licence that does not support underground communications (i</w:t>
      </w:r>
      <w:r w:rsidR="00D61B24">
        <w:t>.</w:t>
      </w:r>
      <w:r>
        <w:t>e</w:t>
      </w:r>
      <w:r w:rsidR="00D61B24">
        <w:t>.</w:t>
      </w:r>
      <w:r w:rsidR="003169F3">
        <w:t xml:space="preserve"> </w:t>
      </w:r>
      <w:r>
        <w:t>no Special Condition C23), the licensee may apply to vary their existing licence to</w:t>
      </w:r>
      <w:r w:rsidR="003169F3">
        <w:t xml:space="preserve"> </w:t>
      </w:r>
      <w:r>
        <w:t>support underground transmitters using the procedure as above.</w:t>
      </w:r>
    </w:p>
    <w:p w14:paraId="563046D5" w14:textId="1BBE3709" w:rsidR="007E6BAF" w:rsidRPr="00DE7566" w:rsidRDefault="007E6BAF" w:rsidP="00E302A9">
      <w:pPr>
        <w:pStyle w:val="Heading2"/>
      </w:pPr>
      <w:bookmarkStart w:id="62" w:name="_Ref227588317"/>
      <w:bookmarkStart w:id="63" w:name="_Toc233192903"/>
      <w:r w:rsidRPr="00E302A9">
        <w:t>DECT</w:t>
      </w:r>
      <w:r>
        <w:t xml:space="preserve"> </w:t>
      </w:r>
      <w:r w:rsidRPr="007E6BAF">
        <w:t>services in the 1880–1900 MHz</w:t>
      </w:r>
      <w:r>
        <w:t xml:space="preserve"> </w:t>
      </w:r>
      <w:r w:rsidRPr="0016163E">
        <w:t>band</w:t>
      </w:r>
      <w:bookmarkEnd w:id="60"/>
      <w:bookmarkEnd w:id="61"/>
      <w:bookmarkEnd w:id="62"/>
      <w:bookmarkEnd w:id="63"/>
    </w:p>
    <w:p w14:paraId="789BD659" w14:textId="64380E7C" w:rsidR="00B23062" w:rsidRDefault="00B23062" w:rsidP="00B23062">
      <w:r>
        <w:t xml:space="preserve">Spectrum in the 1880–1900 MHz band is used by </w:t>
      </w:r>
      <w:r w:rsidR="000345E9">
        <w:t>Australia-wide</w:t>
      </w:r>
      <w:r>
        <w:t xml:space="preserve"> class licensed digital enhanced cordless telecommunications (DECT) services. These services </w:t>
      </w:r>
      <w:r w:rsidR="000345E9">
        <w:t>are</w:t>
      </w:r>
      <w:r>
        <w:t xml:space="preserve"> </w:t>
      </w:r>
      <w:r w:rsidR="000345E9">
        <w:t>lower-</w:t>
      </w:r>
      <w:r>
        <w:t xml:space="preserve">adjacent </w:t>
      </w:r>
      <w:r w:rsidR="000345E9">
        <w:t>to</w:t>
      </w:r>
      <w:r>
        <w:t xml:space="preserve"> the 1900–1910 MHz band.</w:t>
      </w:r>
    </w:p>
    <w:p w14:paraId="48C1044B" w14:textId="3853DE20" w:rsidR="000345E9" w:rsidRDefault="00B23062" w:rsidP="00306785">
      <w:r>
        <w:t>Interference to and from adjacent band class licensed DECT services could potentially occur in situations where DECT equipment is operated</w:t>
      </w:r>
      <w:r w:rsidR="001047AE">
        <w:t xml:space="preserve"> near </w:t>
      </w:r>
      <w:r w:rsidR="000345E9">
        <w:t>to</w:t>
      </w:r>
      <w:r>
        <w:t xml:space="preserve"> 1900–1910 MHz band </w:t>
      </w:r>
      <w:r w:rsidR="00FA4E91">
        <w:t>RMR</w:t>
      </w:r>
      <w:r>
        <w:t xml:space="preserve"> equipment. However, in practice</w:t>
      </w:r>
      <w:r w:rsidR="000345E9">
        <w:t>,</w:t>
      </w:r>
      <w:r>
        <w:t xml:space="preserve"> it is expected that </w:t>
      </w:r>
      <w:r w:rsidR="000345E9">
        <w:t xml:space="preserve">this will generally be mitigated by technology features inherent in the </w:t>
      </w:r>
      <w:r>
        <w:t xml:space="preserve">DECT </w:t>
      </w:r>
      <w:r w:rsidR="000345E9">
        <w:t>standard</w:t>
      </w:r>
      <w:r>
        <w:t xml:space="preserve">. </w:t>
      </w:r>
      <w:r w:rsidR="000345E9">
        <w:t>Specifically,</w:t>
      </w:r>
      <w:r>
        <w:t xml:space="preserve"> DECT technology incorporates a Dynamic Channel Assignment </w:t>
      </w:r>
      <w:r w:rsidR="000345E9">
        <w:t xml:space="preserve">(DCA) </w:t>
      </w:r>
      <w:r>
        <w:t>algorithm</w:t>
      </w:r>
      <w:r w:rsidR="000345E9">
        <w:t>, whereby</w:t>
      </w:r>
      <w:r>
        <w:t xml:space="preserve"> when a DECT receiver senses interference above a threshold level on a given channel</w:t>
      </w:r>
      <w:r w:rsidR="000345E9">
        <w:t>,</w:t>
      </w:r>
      <w:r>
        <w:t xml:space="preserve"> </w:t>
      </w:r>
      <w:r w:rsidR="000345E9">
        <w:t>it</w:t>
      </w:r>
      <w:r>
        <w:t xml:space="preserve"> will </w:t>
      </w:r>
      <w:r w:rsidR="000345E9">
        <w:t xml:space="preserve">select </w:t>
      </w:r>
      <w:r>
        <w:t>an alternative channel.</w:t>
      </w:r>
      <w:r w:rsidR="001B6A33">
        <w:t xml:space="preserve"> </w:t>
      </w:r>
    </w:p>
    <w:p w14:paraId="16E43253" w14:textId="6ED7DE14" w:rsidR="00E302A9" w:rsidRDefault="001B6A33" w:rsidP="00306785">
      <w:r>
        <w:lastRenderedPageBreak/>
        <w:t>In addition, sharing studies</w:t>
      </w:r>
      <w:r w:rsidR="00D41DCB">
        <w:t>,</w:t>
      </w:r>
      <w:r>
        <w:t xml:space="preserve"> including </w:t>
      </w:r>
      <w:r w:rsidR="00D41DCB" w:rsidRPr="00D41DCB">
        <w:t>ECC Report 314</w:t>
      </w:r>
      <w:r w:rsidR="00D41DCB">
        <w:rPr>
          <w:rStyle w:val="FootnoteReference"/>
        </w:rPr>
        <w:footnoteReference w:id="3"/>
      </w:r>
      <w:r w:rsidR="00D41DCB">
        <w:t>,</w:t>
      </w:r>
      <w:r w:rsidR="00D41DCB" w:rsidRPr="00D41DCB" w:rsidDel="00D41DCB">
        <w:t xml:space="preserve"> </w:t>
      </w:r>
      <w:r>
        <w:t>conclude</w:t>
      </w:r>
      <w:r w:rsidR="000345E9">
        <w:t>d</w:t>
      </w:r>
      <w:r>
        <w:t xml:space="preserve"> that the risk of interference between FRMCS and uncoordinated DECT services is low. </w:t>
      </w:r>
      <w:r w:rsidR="000345E9">
        <w:t>Accordingly</w:t>
      </w:r>
      <w:r>
        <w:t xml:space="preserve">, there </w:t>
      </w:r>
      <w:r w:rsidR="000345E9">
        <w:t xml:space="preserve">is </w:t>
      </w:r>
      <w:r>
        <w:t>no</w:t>
      </w:r>
      <w:r w:rsidR="000345E9">
        <w:t xml:space="preserve"> need for any</w:t>
      </w:r>
      <w:r>
        <w:t xml:space="preserve"> prescribed coordination </w:t>
      </w:r>
      <w:r w:rsidR="000345E9">
        <w:t xml:space="preserve">procedures </w:t>
      </w:r>
      <w:r>
        <w:t xml:space="preserve">between </w:t>
      </w:r>
      <w:r w:rsidR="0092043E">
        <w:t>RMR</w:t>
      </w:r>
      <w:r w:rsidR="002E367E">
        <w:t xml:space="preserve"> networks</w:t>
      </w:r>
      <w:r>
        <w:t xml:space="preserve"> and class licensed DECT services.</w:t>
      </w:r>
    </w:p>
    <w:p w14:paraId="4792C076" w14:textId="672D9582" w:rsidR="00223A64" w:rsidRPr="00DE7566" w:rsidRDefault="0042713E" w:rsidP="00223A64">
      <w:pPr>
        <w:pStyle w:val="Heading2"/>
      </w:pPr>
      <w:bookmarkStart w:id="64" w:name="_Ref210201416"/>
      <w:bookmarkStart w:id="65" w:name="_Toc233192904"/>
      <w:r>
        <w:t>SR WBB</w:t>
      </w:r>
      <w:r w:rsidR="00223A64">
        <w:t xml:space="preserve"> </w:t>
      </w:r>
      <w:r w:rsidR="00223A64" w:rsidRPr="007E6BAF">
        <w:t>services in the 1</w:t>
      </w:r>
      <w:r w:rsidR="00223A64">
        <w:t>900</w:t>
      </w:r>
      <w:r w:rsidR="00223A64" w:rsidRPr="007E6BAF">
        <w:t>–19</w:t>
      </w:r>
      <w:r w:rsidR="00223A64">
        <w:t>2</w:t>
      </w:r>
      <w:r w:rsidR="00223A64" w:rsidRPr="007E6BAF">
        <w:t>0 MHz</w:t>
      </w:r>
      <w:r w:rsidR="00223A64">
        <w:t xml:space="preserve"> </w:t>
      </w:r>
      <w:r w:rsidR="00223A64" w:rsidRPr="0016163E">
        <w:t>band</w:t>
      </w:r>
      <w:bookmarkEnd w:id="64"/>
      <w:bookmarkEnd w:id="65"/>
    </w:p>
    <w:p w14:paraId="63EE3D64" w14:textId="7FD72041" w:rsidR="00223A64" w:rsidRDefault="00223A64" w:rsidP="00223A64">
      <w:r>
        <w:t xml:space="preserve">Spectrum in the 1900–1920 MHz band is used by apparatus licensed </w:t>
      </w:r>
      <w:r w:rsidR="000345E9">
        <w:t xml:space="preserve">indoor </w:t>
      </w:r>
      <w:r w:rsidR="00A93D65">
        <w:t xml:space="preserve">short-range </w:t>
      </w:r>
      <w:r w:rsidR="0042713E">
        <w:t>WBB</w:t>
      </w:r>
      <w:r>
        <w:t xml:space="preserve"> </w:t>
      </w:r>
      <w:r w:rsidR="00523190">
        <w:t xml:space="preserve">(SR WBB) </w:t>
      </w:r>
      <w:r>
        <w:t xml:space="preserve">services in </w:t>
      </w:r>
      <w:r w:rsidR="00D92389">
        <w:t>metropolitan areas</w:t>
      </w:r>
      <w:r>
        <w:t xml:space="preserve">. </w:t>
      </w:r>
      <w:r w:rsidR="00346AD6">
        <w:t xml:space="preserve">It is expected that DECT would be the primary technology used for SR WBB services. </w:t>
      </w:r>
      <w:r w:rsidR="000345E9">
        <w:t>A</w:t>
      </w:r>
      <w:r w:rsidR="002F4665">
        <w:t xml:space="preserve">rrangements </w:t>
      </w:r>
      <w:r w:rsidR="000345E9">
        <w:t>for assigning these services</w:t>
      </w:r>
      <w:r w:rsidR="002F4665">
        <w:t xml:space="preserve"> are detailed in RALI FX19</w:t>
      </w:r>
      <w:r w:rsidR="00D92389">
        <w:t>.</w:t>
      </w:r>
      <w:r w:rsidR="00346AD6">
        <w:t xml:space="preserve"> </w:t>
      </w:r>
    </w:p>
    <w:p w14:paraId="25FF7522" w14:textId="5568EA0A" w:rsidR="00223A64" w:rsidRDefault="00223A64" w:rsidP="00223A64">
      <w:pPr>
        <w:pStyle w:val="ListBullet"/>
        <w:numPr>
          <w:ilvl w:val="0"/>
          <w:numId w:val="0"/>
        </w:numPr>
      </w:pPr>
      <w:r>
        <w:t xml:space="preserve">Interference to and from co-channel and </w:t>
      </w:r>
      <w:r w:rsidR="000345E9">
        <w:t>adjacent-</w:t>
      </w:r>
      <w:r>
        <w:t xml:space="preserve">band apparatus licensed </w:t>
      </w:r>
      <w:r w:rsidR="00346AD6">
        <w:t>SR WBB</w:t>
      </w:r>
      <w:r>
        <w:t xml:space="preserve"> services could potentially occur in situations where </w:t>
      </w:r>
      <w:r w:rsidR="00346AD6">
        <w:t xml:space="preserve">SR WBB </w:t>
      </w:r>
      <w:r>
        <w:t xml:space="preserve">equipment is operated </w:t>
      </w:r>
      <w:r w:rsidR="001047AE">
        <w:t>near</w:t>
      </w:r>
      <w:r>
        <w:t xml:space="preserve"> 1900–1910 MHz band </w:t>
      </w:r>
      <w:r w:rsidR="0092043E">
        <w:t>RMR</w:t>
      </w:r>
      <w:r>
        <w:t xml:space="preserve"> equipment. </w:t>
      </w:r>
      <w:r w:rsidR="00346AD6">
        <w:t>Although</w:t>
      </w:r>
      <w:r>
        <w:t xml:space="preserve"> </w:t>
      </w:r>
      <w:r w:rsidR="000345E9">
        <w:t>the combination of DCA mentioned</w:t>
      </w:r>
      <w:r w:rsidR="00B41FD8">
        <w:t xml:space="preserve"> </w:t>
      </w:r>
      <w:r w:rsidR="00D92389">
        <w:t>in section</w:t>
      </w:r>
      <w:r w:rsidR="00346AD6">
        <w:t xml:space="preserve"> </w:t>
      </w:r>
      <w:r w:rsidR="00ED2020">
        <w:fldChar w:fldCharType="begin"/>
      </w:r>
      <w:r w:rsidR="00ED2020">
        <w:instrText xml:space="preserve"> REF _Ref227588317 \r \h </w:instrText>
      </w:r>
      <w:r w:rsidR="00ED2020">
        <w:fldChar w:fldCharType="separate"/>
      </w:r>
      <w:r w:rsidR="00ED2020">
        <w:t>2.7</w:t>
      </w:r>
      <w:r w:rsidR="00ED2020">
        <w:fldChar w:fldCharType="end"/>
      </w:r>
      <w:r w:rsidR="00ED2020">
        <w:t xml:space="preserve"> </w:t>
      </w:r>
      <w:r w:rsidR="000345E9">
        <w:t>and the</w:t>
      </w:r>
      <w:r w:rsidR="00D92389">
        <w:t xml:space="preserve"> indoors-only</w:t>
      </w:r>
      <w:r w:rsidR="000345E9">
        <w:t xml:space="preserve"> </w:t>
      </w:r>
      <w:r w:rsidR="00346AD6">
        <w:t>restriction on SR WBB</w:t>
      </w:r>
      <w:r w:rsidR="000345E9">
        <w:t xml:space="preserve"> operation in this band</w:t>
      </w:r>
      <w:r w:rsidR="00B01B6F">
        <w:t xml:space="preserve"> </w:t>
      </w:r>
      <w:r w:rsidR="00346AD6">
        <w:t>reduces</w:t>
      </w:r>
      <w:r w:rsidR="00D92389" w:rsidDel="00B01B6F">
        <w:t xml:space="preserve"> </w:t>
      </w:r>
      <w:r w:rsidR="00B01B6F">
        <w:t xml:space="preserve">the </w:t>
      </w:r>
      <w:r w:rsidR="00346AD6">
        <w:t>risk of</w:t>
      </w:r>
      <w:r w:rsidR="00B01B6F">
        <w:t xml:space="preserve"> potential interference</w:t>
      </w:r>
      <w:r w:rsidR="00346AD6">
        <w:t>, coordination is still required</w:t>
      </w:r>
      <w:r w:rsidR="00B01B6F">
        <w:t>.</w:t>
      </w:r>
      <w:r w:rsidR="00D92389">
        <w:t xml:space="preserve"> </w:t>
      </w:r>
    </w:p>
    <w:p w14:paraId="00371CC8" w14:textId="7B9F8E3E" w:rsidR="00B41FD8" w:rsidRPr="00A66280" w:rsidRDefault="00D92389" w:rsidP="00306785">
      <w:pPr>
        <w:pStyle w:val="ListBullet"/>
        <w:numPr>
          <w:ilvl w:val="0"/>
          <w:numId w:val="0"/>
        </w:numPr>
      </w:pPr>
      <w:r>
        <w:t>Apparatus-licensed</w:t>
      </w:r>
      <w:r w:rsidR="00B41FD8">
        <w:t xml:space="preserve"> </w:t>
      </w:r>
      <w:r w:rsidR="00346AD6">
        <w:t xml:space="preserve">SR WBB </w:t>
      </w:r>
      <w:r w:rsidR="00B41FD8">
        <w:t xml:space="preserve">services operate on a </w:t>
      </w:r>
      <w:r w:rsidR="00346AD6">
        <w:t>NINP</w:t>
      </w:r>
      <w:r w:rsidR="00B41FD8">
        <w:t xml:space="preserve"> basis with </w:t>
      </w:r>
      <w:r w:rsidR="001B6A33">
        <w:t xml:space="preserve">regards to </w:t>
      </w:r>
      <w:r w:rsidR="00B238F8">
        <w:t>RMR</w:t>
      </w:r>
      <w:r w:rsidR="00B41FD8">
        <w:t xml:space="preserve"> services</w:t>
      </w:r>
      <w:r w:rsidR="00B01B6F">
        <w:t xml:space="preserve"> and </w:t>
      </w:r>
      <w:r w:rsidR="00AA4E75">
        <w:t xml:space="preserve">RALI FX19 </w:t>
      </w:r>
      <w:r w:rsidR="00F80F78">
        <w:t>prescribe</w:t>
      </w:r>
      <w:r w:rsidR="00AA4E75">
        <w:t>s the</w:t>
      </w:r>
      <w:r w:rsidR="00F80F78">
        <w:t xml:space="preserve"> coordination </w:t>
      </w:r>
      <w:r w:rsidR="00B01B6F">
        <w:t xml:space="preserve">procedure </w:t>
      </w:r>
      <w:r w:rsidR="00F80F78">
        <w:t xml:space="preserve">for </w:t>
      </w:r>
      <w:r w:rsidR="00B01B6F">
        <w:t xml:space="preserve">proposed </w:t>
      </w:r>
      <w:r w:rsidR="00F80F78">
        <w:t>apparatus licensed DECT services</w:t>
      </w:r>
      <w:r w:rsidR="00AA4E75">
        <w:t xml:space="preserve"> in the vicinity of define</w:t>
      </w:r>
      <w:r w:rsidR="00B01B6F">
        <w:t>d</w:t>
      </w:r>
      <w:r w:rsidR="00AA4E75">
        <w:t xml:space="preserve"> railway lines.</w:t>
      </w:r>
    </w:p>
    <w:p w14:paraId="5E4968DD" w14:textId="5F7A6653" w:rsidR="00AD0E1F" w:rsidRDefault="00AD0E1F" w:rsidP="009B2E2E">
      <w:r>
        <w:br w:type="page"/>
      </w:r>
    </w:p>
    <w:p w14:paraId="5447B3A8" w14:textId="0DC7A36D" w:rsidR="004A13A7" w:rsidRPr="000B27C0" w:rsidRDefault="00B238F8" w:rsidP="000B27C0">
      <w:pPr>
        <w:pStyle w:val="Heading1"/>
      </w:pPr>
      <w:bookmarkStart w:id="66" w:name="_Toc233192905"/>
      <w:r>
        <w:lastRenderedPageBreak/>
        <w:t>RMR</w:t>
      </w:r>
      <w:r w:rsidR="004A13A7" w:rsidRPr="000B27C0">
        <w:t xml:space="preserve"> </w:t>
      </w:r>
      <w:r w:rsidR="002E367E">
        <w:t xml:space="preserve">network </w:t>
      </w:r>
      <w:r w:rsidR="004A13A7" w:rsidRPr="000B27C0">
        <w:t>coordination procedures</w:t>
      </w:r>
      <w:bookmarkEnd w:id="18"/>
      <w:bookmarkEnd w:id="19"/>
      <w:bookmarkEnd w:id="20"/>
      <w:bookmarkEnd w:id="66"/>
    </w:p>
    <w:p w14:paraId="020C55BC" w14:textId="77777777" w:rsidR="00307353" w:rsidRDefault="00307353" w:rsidP="00307353">
      <w:r>
        <w:t>This part provides an overview of the coordination procedure to be followed.</w:t>
      </w:r>
    </w:p>
    <w:p w14:paraId="02744DF7" w14:textId="43A17DF6" w:rsidR="00307353" w:rsidRDefault="00307353" w:rsidP="005160F1">
      <w:r>
        <w:t xml:space="preserve">To perform the coordination, access to licence data for existing assignments is required. This data is available on the ACMA’s </w:t>
      </w:r>
      <w:hyperlink r:id="rId15" w:history="1">
        <w:r w:rsidRPr="006B721D">
          <w:rPr>
            <w:rStyle w:val="Hyperlink"/>
            <w:i/>
            <w:iCs/>
          </w:rPr>
          <w:t>Register of Radiocommunications Licences</w:t>
        </w:r>
      </w:hyperlink>
      <w:r>
        <w:t xml:space="preserve"> (RRL).</w:t>
      </w:r>
      <w:r w:rsidR="00877D66">
        <w:t xml:space="preserve"> </w:t>
      </w:r>
      <w:r w:rsidR="005160F1">
        <w:t xml:space="preserve">Unless otherwise stated in this RALI, notional parameters for proposed and existing stations should only be used for coordination purposes when actual parameters are not available. </w:t>
      </w:r>
    </w:p>
    <w:p w14:paraId="42DFA531" w14:textId="77777777" w:rsidR="00307353" w:rsidRDefault="00307353" w:rsidP="00307353">
      <w:pPr>
        <w:pStyle w:val="Heading2"/>
      </w:pPr>
      <w:bookmarkStart w:id="67" w:name="_Toc134081776"/>
      <w:bookmarkStart w:id="68" w:name="_Toc233192906"/>
      <w:r>
        <w:t>Further options if coordination is unsuccessful</w:t>
      </w:r>
      <w:bookmarkEnd w:id="67"/>
      <w:bookmarkEnd w:id="68"/>
    </w:p>
    <w:p w14:paraId="18D125F1" w14:textId="3EF4D9AB" w:rsidR="00307353" w:rsidRDefault="00307353" w:rsidP="00307353">
      <w:pPr>
        <w:spacing w:after="120"/>
      </w:pPr>
      <w:r>
        <w:t xml:space="preserve">If the </w:t>
      </w:r>
      <w:r w:rsidR="00386101">
        <w:t xml:space="preserve">prescribed protection requirement </w:t>
      </w:r>
      <w:r>
        <w:t xml:space="preserve">is not met, then spectrum </w:t>
      </w:r>
      <w:r w:rsidR="004B7737">
        <w:t xml:space="preserve">access </w:t>
      </w:r>
      <w:r>
        <w:t>is not possible unless further steps are taken by the applicant</w:t>
      </w:r>
      <w:r w:rsidR="004B7737">
        <w:t xml:space="preserve">, </w:t>
      </w:r>
      <w:r w:rsidR="00172004">
        <w:t>however the</w:t>
      </w:r>
      <w:r>
        <w:t xml:space="preserve"> applicant may consider the following options:</w:t>
      </w:r>
    </w:p>
    <w:p w14:paraId="2AA95090" w14:textId="77777777" w:rsidR="00307353" w:rsidRDefault="00307353" w:rsidP="00307353">
      <w:pPr>
        <w:pStyle w:val="ListBullet"/>
      </w:pPr>
      <w:r>
        <w:t>Modifying the configuration of the proposed service to meet the protection criteria (this may include modifying the equipment to limit operation to a smaller portion of the band, or changing the locations, antenna height, proposed EIRP, etc.).</w:t>
      </w:r>
    </w:p>
    <w:p w14:paraId="3C847F20" w14:textId="524F47B1" w:rsidR="00307353" w:rsidRDefault="00307353" w:rsidP="00307353">
      <w:pPr>
        <w:pStyle w:val="ListBullet"/>
      </w:pPr>
      <w:r>
        <w:t xml:space="preserve">Negotiating an agreement with the affected or affecting service(s) regarding changes to the service(s) and/or the </w:t>
      </w:r>
      <w:r w:rsidR="00B238F8">
        <w:t>RMR</w:t>
      </w:r>
      <w:r w:rsidR="003A3296">
        <w:t xml:space="preserve"> network</w:t>
      </w:r>
      <w:r>
        <w:t>.</w:t>
      </w:r>
    </w:p>
    <w:p w14:paraId="420DCE29" w14:textId="43D9C123" w:rsidR="00307353" w:rsidRDefault="00307353" w:rsidP="00307353">
      <w:pPr>
        <w:pStyle w:val="ListBulletLast"/>
      </w:pPr>
      <w:r>
        <w:t>Applying for a licence to conduct test transmissions to assess the actual</w:t>
      </w:r>
      <w:r w:rsidR="00E21C9A">
        <w:t>, vs theoretical,</w:t>
      </w:r>
      <w:r>
        <w:t xml:space="preserve"> propagation loss</w:t>
      </w:r>
      <w:r w:rsidR="00E21C9A">
        <w:t>, which can then be used to recalculate the interference potential.</w:t>
      </w:r>
    </w:p>
    <w:p w14:paraId="153A94B7" w14:textId="467E3195" w:rsidR="000F4BF1" w:rsidRDefault="000F4BF1" w:rsidP="000F4BF1">
      <w:pPr>
        <w:pStyle w:val="Heading2"/>
      </w:pPr>
      <w:bookmarkStart w:id="69" w:name="_Ref210203238"/>
      <w:bookmarkStart w:id="70" w:name="_Toc233192907"/>
      <w:r w:rsidRPr="00D50B2A">
        <w:t xml:space="preserve">Assessing </w:t>
      </w:r>
      <w:r>
        <w:t xml:space="preserve">BWA </w:t>
      </w:r>
      <w:r w:rsidR="007F1385" w:rsidRPr="00D50B2A">
        <w:t>interference</w:t>
      </w:r>
      <w:r w:rsidR="007F1385">
        <w:t xml:space="preserve"> </w:t>
      </w:r>
      <w:r w:rsidRPr="00D50B2A">
        <w:t xml:space="preserve">into </w:t>
      </w:r>
      <w:r w:rsidR="00B238F8">
        <w:t>RMR</w:t>
      </w:r>
      <w:r w:rsidRPr="00D50B2A">
        <w:t xml:space="preserve"> </w:t>
      </w:r>
      <w:bookmarkEnd w:id="69"/>
      <w:r w:rsidR="003A3296">
        <w:t>network</w:t>
      </w:r>
      <w:bookmarkEnd w:id="70"/>
    </w:p>
    <w:p w14:paraId="31493A07" w14:textId="72410AA0" w:rsidR="00232FE3" w:rsidRPr="00232FE3" w:rsidRDefault="0086015E" w:rsidP="00BF10B0">
      <w:r>
        <w:t xml:space="preserve">Interference from a </w:t>
      </w:r>
      <w:r w:rsidR="00BF10B0">
        <w:t>BWA</w:t>
      </w:r>
      <w:r w:rsidR="00BF10B0" w:rsidRPr="00232FE3">
        <w:t xml:space="preserve"> transmitter into a </w:t>
      </w:r>
      <w:r w:rsidR="00B238F8">
        <w:t>RMR</w:t>
      </w:r>
      <w:r w:rsidR="00BF10B0" w:rsidRPr="00232FE3">
        <w:t xml:space="preserve"> receiver </w:t>
      </w:r>
      <w:r>
        <w:t xml:space="preserve">is </w:t>
      </w:r>
      <w:r w:rsidR="007F1385">
        <w:t xml:space="preserve">to be </w:t>
      </w:r>
      <w:r>
        <w:t>assessed using the criteria in this section. T</w:t>
      </w:r>
      <w:r w:rsidR="00D957D2">
        <w:t>he t</w:t>
      </w:r>
      <w:r>
        <w:t xml:space="preserve">wo </w:t>
      </w:r>
      <w:r w:rsidR="007F1385">
        <w:t xml:space="preserve">interference </w:t>
      </w:r>
      <w:r>
        <w:t>scenarios considered in this section</w:t>
      </w:r>
      <w:r w:rsidR="00D957D2">
        <w:t xml:space="preserve"> are</w:t>
      </w:r>
      <w:r>
        <w:t>:</w:t>
      </w:r>
    </w:p>
    <w:p w14:paraId="052FB536" w14:textId="444192BD" w:rsidR="00232FE3" w:rsidRPr="00232FE3" w:rsidRDefault="00232FE3" w:rsidP="00306785">
      <w:pPr>
        <w:pStyle w:val="ListBullet"/>
      </w:pPr>
      <w:r w:rsidRPr="00232FE3">
        <w:t xml:space="preserve">Interference from a proposed </w:t>
      </w:r>
      <w:r>
        <w:t>BWA</w:t>
      </w:r>
      <w:r w:rsidRPr="00232FE3">
        <w:t xml:space="preserve"> </w:t>
      </w:r>
      <w:r w:rsidR="0029478D">
        <w:t>in</w:t>
      </w:r>
      <w:r w:rsidRPr="00232FE3">
        <w:t xml:space="preserve">to a </w:t>
      </w:r>
      <w:r w:rsidR="00B238F8">
        <w:t>RMR</w:t>
      </w:r>
      <w:r w:rsidRPr="00232FE3">
        <w:t xml:space="preserve"> receiver.</w:t>
      </w:r>
    </w:p>
    <w:p w14:paraId="12479370" w14:textId="34E76BCF" w:rsidR="00232FE3" w:rsidRPr="00232FE3" w:rsidRDefault="00232FE3" w:rsidP="00306785">
      <w:pPr>
        <w:pStyle w:val="ListBulletLast"/>
      </w:pPr>
      <w:r w:rsidRPr="00232FE3">
        <w:t>Interference from</w:t>
      </w:r>
      <w:r w:rsidRPr="00232FE3" w:rsidDel="001D09FA">
        <w:t xml:space="preserve"> </w:t>
      </w:r>
      <w:r>
        <w:t>BWA</w:t>
      </w:r>
      <w:r w:rsidR="001D09FA">
        <w:t xml:space="preserve"> transmitter licensed before </w:t>
      </w:r>
      <w:r w:rsidR="007D1F38">
        <w:t>2 July</w:t>
      </w:r>
      <w:r w:rsidR="001D09FA">
        <w:t xml:space="preserve"> 2026</w:t>
      </w:r>
      <w:r w:rsidRPr="00232FE3">
        <w:t xml:space="preserve"> </w:t>
      </w:r>
      <w:r w:rsidR="0029478D">
        <w:t>in</w:t>
      </w:r>
      <w:r w:rsidRPr="00232FE3">
        <w:t xml:space="preserve">to a proposed </w:t>
      </w:r>
      <w:r w:rsidR="00B238F8">
        <w:t>RMR</w:t>
      </w:r>
      <w:r w:rsidRPr="00232FE3">
        <w:t xml:space="preserve"> receiver.</w:t>
      </w:r>
    </w:p>
    <w:p w14:paraId="52455860" w14:textId="013C3CB2" w:rsidR="00BF10B0" w:rsidRDefault="00BF10B0" w:rsidP="00BF10B0">
      <w:pPr>
        <w:pStyle w:val="Heading3"/>
      </w:pPr>
      <w:bookmarkStart w:id="71" w:name="_Toc210288304"/>
      <w:bookmarkStart w:id="72" w:name="_Ref210200126"/>
      <w:bookmarkStart w:id="73" w:name="_Toc233192908"/>
      <w:bookmarkEnd w:id="71"/>
      <w:r>
        <w:t xml:space="preserve">Interference from a proposed BWA transmitter </w:t>
      </w:r>
      <w:r w:rsidR="000B5D59">
        <w:t>in</w:t>
      </w:r>
      <w:r>
        <w:t>to a</w:t>
      </w:r>
      <w:r w:rsidR="000B5D59">
        <w:t>n</w:t>
      </w:r>
      <w:r>
        <w:t xml:space="preserve"> </w:t>
      </w:r>
      <w:r w:rsidR="00B238F8">
        <w:t>RMR</w:t>
      </w:r>
      <w:r>
        <w:t xml:space="preserve"> receiver</w:t>
      </w:r>
      <w:bookmarkEnd w:id="72"/>
      <w:bookmarkEnd w:id="73"/>
      <w:r>
        <w:t xml:space="preserve"> </w:t>
      </w:r>
    </w:p>
    <w:p w14:paraId="483069DD" w14:textId="3240E00B" w:rsidR="00D957D2" w:rsidRDefault="00D957D2" w:rsidP="00D957D2">
      <w:r>
        <w:t xml:space="preserve">New BWA services may be licensed on or after </w:t>
      </w:r>
      <w:r w:rsidR="007D1F38">
        <w:t>2 July</w:t>
      </w:r>
      <w:r>
        <w:t xml:space="preserve"> 2026, </w:t>
      </w:r>
      <w:r w:rsidRPr="00CD63D9">
        <w:rPr>
          <w:szCs w:val="22"/>
        </w:rPr>
        <w:t xml:space="preserve">within </w:t>
      </w:r>
      <w:r>
        <w:rPr>
          <w:szCs w:val="22"/>
        </w:rPr>
        <w:t xml:space="preserve">the </w:t>
      </w:r>
      <w:r w:rsidR="0029478D">
        <w:rPr>
          <w:szCs w:val="22"/>
        </w:rPr>
        <w:t xml:space="preserve">coordination </w:t>
      </w:r>
      <w:r w:rsidR="007D3FFF">
        <w:rPr>
          <w:szCs w:val="22"/>
        </w:rPr>
        <w:t>distance</w:t>
      </w:r>
      <w:r w:rsidR="0029478D">
        <w:rPr>
          <w:szCs w:val="22"/>
        </w:rPr>
        <w:t xml:space="preserve"> </w:t>
      </w:r>
      <w:r>
        <w:rPr>
          <w:szCs w:val="22"/>
        </w:rPr>
        <w:t xml:space="preserve">and frequency </w:t>
      </w:r>
      <w:r w:rsidR="0029478D">
        <w:rPr>
          <w:szCs w:val="22"/>
        </w:rPr>
        <w:t xml:space="preserve">range specified </w:t>
      </w:r>
      <w:r>
        <w:rPr>
          <w:szCs w:val="22"/>
        </w:rPr>
        <w:t>in Table 2</w:t>
      </w:r>
      <w:r w:rsidRPr="00CD63D9">
        <w:rPr>
          <w:szCs w:val="22"/>
        </w:rPr>
        <w:t xml:space="preserve"> on a </w:t>
      </w:r>
      <w:r w:rsidR="00346AD6">
        <w:rPr>
          <w:szCs w:val="22"/>
        </w:rPr>
        <w:t>NINP</w:t>
      </w:r>
      <w:r w:rsidRPr="00CD63D9">
        <w:rPr>
          <w:szCs w:val="22"/>
        </w:rPr>
        <w:t xml:space="preserve"> basis with regards to </w:t>
      </w:r>
      <w:r w:rsidR="00B238F8">
        <w:rPr>
          <w:szCs w:val="22"/>
        </w:rPr>
        <w:t>RMR</w:t>
      </w:r>
      <w:r w:rsidRPr="00CD63D9">
        <w:rPr>
          <w:szCs w:val="22"/>
        </w:rPr>
        <w:t xml:space="preserve"> base stations</w:t>
      </w:r>
      <w:r>
        <w:rPr>
          <w:szCs w:val="22"/>
        </w:rPr>
        <w:t xml:space="preserve"> (</w:t>
      </w:r>
      <w:r w:rsidR="001F293C">
        <w:rPr>
          <w:szCs w:val="22"/>
        </w:rPr>
        <w:t xml:space="preserve">special condition </w:t>
      </w:r>
      <w:r w:rsidR="007F0CB1">
        <w:rPr>
          <w:szCs w:val="22"/>
        </w:rPr>
        <w:t>C26</w:t>
      </w:r>
      <w:r w:rsidR="001F293C">
        <w:rPr>
          <w:szCs w:val="22"/>
        </w:rPr>
        <w:t xml:space="preserve"> is to be attached to the licence for these </w:t>
      </w:r>
      <w:r w:rsidR="00331C87">
        <w:rPr>
          <w:szCs w:val="22"/>
        </w:rPr>
        <w:t xml:space="preserve">BWA services – </w:t>
      </w:r>
      <w:r>
        <w:rPr>
          <w:szCs w:val="22"/>
        </w:rPr>
        <w:t>see section</w:t>
      </w:r>
      <w:r w:rsidR="007B6203">
        <w:rPr>
          <w:szCs w:val="22"/>
        </w:rPr>
        <w:t xml:space="preserve"> </w:t>
      </w:r>
      <w:r w:rsidR="007B6203">
        <w:rPr>
          <w:szCs w:val="22"/>
        </w:rPr>
        <w:fldChar w:fldCharType="begin"/>
      </w:r>
      <w:r w:rsidR="007B6203">
        <w:rPr>
          <w:szCs w:val="22"/>
        </w:rPr>
        <w:instrText xml:space="preserve"> REF _Ref212632431 \r \h </w:instrText>
      </w:r>
      <w:r w:rsidR="007B6203">
        <w:rPr>
          <w:szCs w:val="22"/>
        </w:rPr>
      </w:r>
      <w:r w:rsidR="007B6203">
        <w:rPr>
          <w:szCs w:val="22"/>
        </w:rPr>
        <w:fldChar w:fldCharType="separate"/>
      </w:r>
      <w:r w:rsidR="007B6203">
        <w:rPr>
          <w:szCs w:val="22"/>
        </w:rPr>
        <w:t>4.8</w:t>
      </w:r>
      <w:r w:rsidR="007B6203">
        <w:rPr>
          <w:szCs w:val="22"/>
        </w:rPr>
        <w:fldChar w:fldCharType="end"/>
      </w:r>
      <w:r>
        <w:rPr>
          <w:szCs w:val="22"/>
        </w:rPr>
        <w:t>)</w:t>
      </w:r>
      <w:r>
        <w:t xml:space="preserve">. In addition, every </w:t>
      </w:r>
      <w:r w:rsidR="004F14C7">
        <w:t>point along</w:t>
      </w:r>
      <w:r>
        <w:t xml:space="preserve"> a railway line that is within the</w:t>
      </w:r>
      <w:r w:rsidR="0029478D">
        <w:t xml:space="preserve">se areas </w:t>
      </w:r>
      <w:r>
        <w:t xml:space="preserve">is to be </w:t>
      </w:r>
      <w:r w:rsidR="0029478D">
        <w:t xml:space="preserve">afforded </w:t>
      </w:r>
      <w:r>
        <w:t xml:space="preserve">protection from a proposed </w:t>
      </w:r>
      <w:r w:rsidR="00F42F93">
        <w:t>BWA</w:t>
      </w:r>
      <w:r>
        <w:t xml:space="preserve"> transmitter </w:t>
      </w:r>
      <w:r w:rsidR="004F14C7">
        <w:t>in accordance with the protection</w:t>
      </w:r>
      <w:r>
        <w:t xml:space="preserve"> criteria detailed in Appendix B</w:t>
      </w:r>
      <w:r w:rsidR="004F14C7">
        <w:t>.</w:t>
      </w:r>
      <w:r>
        <w:t xml:space="preserve"> </w:t>
      </w:r>
      <w:r w:rsidR="004F14C7">
        <w:t>I</w:t>
      </w:r>
      <w:r w:rsidR="004F14C7" w:rsidRPr="004F14C7">
        <w:t xml:space="preserve">n doing so, a notional </w:t>
      </w:r>
      <w:r w:rsidR="00B238F8">
        <w:t>RMR</w:t>
      </w:r>
      <w:r w:rsidR="004F14C7" w:rsidRPr="004F14C7">
        <w:t xml:space="preserve"> base station (as defined in Appendix E) should be assumed to be operating at all points on a rail line</w:t>
      </w:r>
      <w:r w:rsidR="007B6203">
        <w:t>.</w:t>
      </w:r>
    </w:p>
    <w:p w14:paraId="045A1689" w14:textId="4AF9CBED" w:rsidR="00D957D2" w:rsidRDefault="00D957D2" w:rsidP="00D957D2">
      <w:r>
        <w:t xml:space="preserve">No coordination is required for proposed BWA transmitters outside the </w:t>
      </w:r>
      <w:r w:rsidR="001D639A">
        <w:t xml:space="preserve">distances </w:t>
      </w:r>
      <w:r w:rsidR="000B5D59">
        <w:t>and frequenc</w:t>
      </w:r>
      <w:r w:rsidR="00DA3096">
        <w:t>y</w:t>
      </w:r>
      <w:r w:rsidR="000B5D59">
        <w:t xml:space="preserve"> </w:t>
      </w:r>
      <w:r w:rsidR="000318D2">
        <w:t>range</w:t>
      </w:r>
      <w:r w:rsidR="001D639A">
        <w:t>s</w:t>
      </w:r>
      <w:r w:rsidR="000B5D59">
        <w:t xml:space="preserve"> </w:t>
      </w:r>
      <w:r>
        <w:t xml:space="preserve">in Table 2. </w:t>
      </w:r>
    </w:p>
    <w:p w14:paraId="28C9848C" w14:textId="77777777" w:rsidR="00916153" w:rsidRDefault="00916153" w:rsidP="00D957D2"/>
    <w:p w14:paraId="3C6E90D1" w14:textId="4F16EF35" w:rsidR="004379B1" w:rsidRPr="00232FE3" w:rsidRDefault="00DA3096" w:rsidP="00306785">
      <w:pPr>
        <w:pStyle w:val="Caption"/>
      </w:pPr>
      <w:r>
        <w:t>D</w:t>
      </w:r>
      <w:r w:rsidR="007D3FFF">
        <w:t>istance</w:t>
      </w:r>
      <w:r w:rsidR="0029478D">
        <w:t xml:space="preserve"> and frequency range</w:t>
      </w:r>
      <w:r w:rsidR="000B5D59">
        <w:t xml:space="preserve"> where </w:t>
      </w:r>
      <w:r w:rsidR="00C86D4B">
        <w:t xml:space="preserve">BWA transmitter </w:t>
      </w:r>
      <w:r w:rsidR="000B5D59">
        <w:t>coordination is required</w:t>
      </w:r>
      <w:r w:rsidR="004379B1" w:rsidRPr="00232FE3">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72"/>
        <w:gridCol w:w="4536"/>
      </w:tblGrid>
      <w:tr w:rsidR="004379B1" w:rsidRPr="00232FE3" w14:paraId="318CDB39" w14:textId="77777777" w:rsidTr="00B678D4">
        <w:trPr>
          <w:tblHeader/>
        </w:trPr>
        <w:tc>
          <w:tcPr>
            <w:tcW w:w="2972" w:type="dxa"/>
            <w:shd w:val="clear" w:color="auto" w:fill="D9D9D9"/>
          </w:tcPr>
          <w:p w14:paraId="78B664D5" w14:textId="6211FAEC" w:rsidR="004379B1" w:rsidRPr="00232FE3" w:rsidRDefault="00D8109F">
            <w:pPr>
              <w:spacing w:after="0" w:line="240" w:lineRule="auto"/>
              <w:rPr>
                <w:rFonts w:eastAsiaTheme="minorHAnsi"/>
                <w:b/>
                <w:szCs w:val="22"/>
              </w:rPr>
            </w:pPr>
            <w:r>
              <w:rPr>
                <w:rFonts w:eastAsiaTheme="minorHAnsi"/>
                <w:b/>
                <w:szCs w:val="22"/>
              </w:rPr>
              <w:t>Distance from railway line</w:t>
            </w:r>
            <w:r w:rsidR="00E30AFF">
              <w:rPr>
                <w:rStyle w:val="FootnoteReference"/>
                <w:rFonts w:eastAsiaTheme="minorHAnsi"/>
                <w:b/>
                <w:szCs w:val="22"/>
              </w:rPr>
              <w:footnoteReference w:id="4"/>
            </w:r>
          </w:p>
        </w:tc>
        <w:tc>
          <w:tcPr>
            <w:tcW w:w="4536" w:type="dxa"/>
            <w:shd w:val="clear" w:color="auto" w:fill="D9D9D9"/>
          </w:tcPr>
          <w:p w14:paraId="08474774" w14:textId="66D40F91" w:rsidR="004379B1" w:rsidRPr="00232FE3" w:rsidRDefault="004379B1">
            <w:pPr>
              <w:spacing w:after="0" w:line="240" w:lineRule="auto"/>
              <w:rPr>
                <w:rFonts w:eastAsiaTheme="minorHAnsi"/>
                <w:b/>
                <w:szCs w:val="22"/>
              </w:rPr>
            </w:pPr>
            <w:r>
              <w:rPr>
                <w:rFonts w:eastAsiaTheme="minorHAnsi"/>
                <w:b/>
                <w:szCs w:val="22"/>
              </w:rPr>
              <w:t>BWA</w:t>
            </w:r>
            <w:r w:rsidRPr="00232FE3">
              <w:rPr>
                <w:rFonts w:eastAsiaTheme="minorHAnsi"/>
                <w:b/>
                <w:szCs w:val="22"/>
              </w:rPr>
              <w:t xml:space="preserve"> Frequency Range</w:t>
            </w:r>
          </w:p>
        </w:tc>
      </w:tr>
      <w:tr w:rsidR="004379B1" w:rsidRPr="00232FE3" w14:paraId="7A2C8015" w14:textId="77777777" w:rsidTr="00B678D4">
        <w:tc>
          <w:tcPr>
            <w:tcW w:w="2972" w:type="dxa"/>
          </w:tcPr>
          <w:p w14:paraId="644CF85E" w14:textId="706613BA" w:rsidR="004379B1" w:rsidRDefault="00E47D7C">
            <w:pPr>
              <w:spacing w:after="0" w:line="240" w:lineRule="auto"/>
              <w:rPr>
                <w:rFonts w:eastAsiaTheme="minorHAnsi"/>
                <w:szCs w:val="22"/>
              </w:rPr>
            </w:pPr>
            <w:r>
              <w:rPr>
                <w:rFonts w:eastAsiaTheme="minorHAnsi"/>
                <w:szCs w:val="22"/>
              </w:rPr>
              <w:t>1</w:t>
            </w:r>
            <w:r w:rsidR="003A1243">
              <w:rPr>
                <w:rFonts w:eastAsiaTheme="minorHAnsi"/>
                <w:szCs w:val="22"/>
              </w:rPr>
              <w:t>6</w:t>
            </w:r>
            <w:r>
              <w:rPr>
                <w:rFonts w:eastAsiaTheme="minorHAnsi"/>
                <w:szCs w:val="22"/>
              </w:rPr>
              <w:t>0 km (co-channel)</w:t>
            </w:r>
          </w:p>
          <w:p w14:paraId="03C2E863" w14:textId="699F68E3" w:rsidR="00E47D7C" w:rsidRPr="00232FE3" w:rsidRDefault="008F7D3E">
            <w:pPr>
              <w:spacing w:after="0" w:line="240" w:lineRule="auto"/>
              <w:rPr>
                <w:rFonts w:eastAsiaTheme="minorHAnsi"/>
                <w:szCs w:val="22"/>
              </w:rPr>
            </w:pPr>
            <w:r>
              <w:rPr>
                <w:rFonts w:eastAsiaTheme="minorHAnsi"/>
                <w:szCs w:val="22"/>
              </w:rPr>
              <w:t xml:space="preserve">15 </w:t>
            </w:r>
            <w:r w:rsidR="00E47D7C">
              <w:rPr>
                <w:rFonts w:eastAsiaTheme="minorHAnsi"/>
                <w:szCs w:val="22"/>
              </w:rPr>
              <w:t>km (adjacent channel)</w:t>
            </w:r>
          </w:p>
        </w:tc>
        <w:tc>
          <w:tcPr>
            <w:tcW w:w="4536" w:type="dxa"/>
          </w:tcPr>
          <w:p w14:paraId="6759C6CC" w14:textId="77777777" w:rsidR="004379B1" w:rsidRPr="00232FE3" w:rsidRDefault="004379B1">
            <w:pPr>
              <w:spacing w:after="0" w:line="240" w:lineRule="auto"/>
              <w:rPr>
                <w:rFonts w:eastAsiaTheme="minorHAnsi"/>
                <w:szCs w:val="22"/>
              </w:rPr>
            </w:pPr>
            <w:r>
              <w:rPr>
                <w:rFonts w:eastAsiaTheme="minorHAnsi"/>
                <w:szCs w:val="22"/>
              </w:rPr>
              <w:t>1900</w:t>
            </w:r>
            <w:r w:rsidRPr="00232FE3">
              <w:rPr>
                <w:rFonts w:eastAsiaTheme="minorHAnsi"/>
                <w:szCs w:val="22"/>
              </w:rPr>
              <w:t>–19</w:t>
            </w:r>
            <w:r>
              <w:rPr>
                <w:rFonts w:eastAsiaTheme="minorHAnsi"/>
                <w:szCs w:val="22"/>
              </w:rPr>
              <w:t>20</w:t>
            </w:r>
            <w:r w:rsidRPr="00232FE3">
              <w:rPr>
                <w:rFonts w:eastAsiaTheme="minorHAnsi"/>
                <w:szCs w:val="22"/>
              </w:rPr>
              <w:t xml:space="preserve"> MHz</w:t>
            </w:r>
          </w:p>
        </w:tc>
      </w:tr>
    </w:tbl>
    <w:p w14:paraId="631DD994" w14:textId="77777777" w:rsidR="00BF10B0" w:rsidRDefault="00BF10B0" w:rsidP="00BF10B0"/>
    <w:p w14:paraId="0B30F9E8" w14:textId="7DDFD92A" w:rsidR="00BF10B0" w:rsidRDefault="00BF10B0" w:rsidP="00BF10B0">
      <w:pPr>
        <w:pStyle w:val="Heading3"/>
      </w:pPr>
      <w:bookmarkStart w:id="74" w:name="_Ref210200187"/>
      <w:bookmarkStart w:id="75" w:name="_Toc233192909"/>
      <w:r>
        <w:t xml:space="preserve">Interference from a </w:t>
      </w:r>
      <w:r w:rsidR="00F46F61">
        <w:t>BWA</w:t>
      </w:r>
      <w:r>
        <w:t xml:space="preserve"> </w:t>
      </w:r>
      <w:r w:rsidR="001D09FA">
        <w:t xml:space="preserve">transmitter licensed before </w:t>
      </w:r>
      <w:r w:rsidR="007D1F38">
        <w:t>2 July</w:t>
      </w:r>
      <w:r w:rsidR="001D09FA">
        <w:t xml:space="preserve"> 2026</w:t>
      </w:r>
      <w:r w:rsidR="001D09FA" w:rsidRPr="00232FE3">
        <w:t xml:space="preserve"> </w:t>
      </w:r>
      <w:r w:rsidR="00604A24">
        <w:t>in</w:t>
      </w:r>
      <w:r>
        <w:t xml:space="preserve">to a proposed </w:t>
      </w:r>
      <w:r w:rsidR="00B238F8">
        <w:t>RMR</w:t>
      </w:r>
      <w:r w:rsidR="00F46F61">
        <w:t xml:space="preserve"> </w:t>
      </w:r>
      <w:r>
        <w:t>receiver</w:t>
      </w:r>
      <w:bookmarkEnd w:id="74"/>
      <w:bookmarkEnd w:id="75"/>
      <w:r>
        <w:t xml:space="preserve"> </w:t>
      </w:r>
    </w:p>
    <w:p w14:paraId="282C54C2" w14:textId="1248C89B" w:rsidR="00056831" w:rsidRDefault="00F7125F" w:rsidP="00056831">
      <w:r>
        <w:t xml:space="preserve">For a proposed </w:t>
      </w:r>
      <w:r w:rsidR="00B238F8">
        <w:t>RMR</w:t>
      </w:r>
      <w:r>
        <w:t xml:space="preserve"> receiver, assessment of the interference risk </w:t>
      </w:r>
      <w:r w:rsidR="00056831">
        <w:t>shou</w:t>
      </w:r>
      <w:r w:rsidR="00EA6B70">
        <w:t>l</w:t>
      </w:r>
      <w:r w:rsidR="00056831">
        <w:t>d</w:t>
      </w:r>
      <w:r>
        <w:t xml:space="preserve"> be </w:t>
      </w:r>
      <w:r w:rsidR="00604A24">
        <w:t>based on</w:t>
      </w:r>
      <w:r w:rsidR="00945A3F">
        <w:t xml:space="preserve"> the criteria detailed in Appendix B</w:t>
      </w:r>
      <w:r>
        <w:t xml:space="preserve"> </w:t>
      </w:r>
      <w:r w:rsidR="00056831">
        <w:t>for</w:t>
      </w:r>
      <w:r>
        <w:t xml:space="preserve"> </w:t>
      </w:r>
      <w:r w:rsidR="00056831">
        <w:t xml:space="preserve">BWA transmitters </w:t>
      </w:r>
      <w:r w:rsidR="009A0BAE">
        <w:t>licensed</w:t>
      </w:r>
      <w:r w:rsidR="00056831">
        <w:t xml:space="preserve"> before </w:t>
      </w:r>
      <w:r w:rsidR="007D1F38">
        <w:t>2 July</w:t>
      </w:r>
      <w:r w:rsidR="00056831">
        <w:t xml:space="preserve"> 2026 that are within the</w:t>
      </w:r>
      <w:r w:rsidR="00346A2C">
        <w:t xml:space="preserve"> </w:t>
      </w:r>
      <w:r w:rsidR="00D71D58">
        <w:t xml:space="preserve">coordination </w:t>
      </w:r>
      <w:r w:rsidR="000318D2">
        <w:t>distance</w:t>
      </w:r>
      <w:r w:rsidR="00D71D58">
        <w:t xml:space="preserve"> and frequency range </w:t>
      </w:r>
      <w:r w:rsidR="00346A2C">
        <w:t>in Table 3</w:t>
      </w:r>
      <w:r w:rsidR="00056831">
        <w:t xml:space="preserve">. BWA transmitters </w:t>
      </w:r>
      <w:r w:rsidR="009A0BAE">
        <w:t xml:space="preserve">licensed </w:t>
      </w:r>
      <w:r w:rsidR="00945A3F">
        <w:t xml:space="preserve">on or </w:t>
      </w:r>
      <w:r w:rsidR="00056831">
        <w:t xml:space="preserve">after </w:t>
      </w:r>
      <w:r w:rsidR="007D1F38">
        <w:t>2 July</w:t>
      </w:r>
      <w:r w:rsidR="00056831">
        <w:t xml:space="preserve"> 2026 are not expected to cause interference based on the coordination requirements in section </w:t>
      </w:r>
      <w:r w:rsidR="00FE27C3">
        <w:fldChar w:fldCharType="begin"/>
      </w:r>
      <w:r w:rsidR="00FE27C3">
        <w:instrText xml:space="preserve"> REF _Ref210200126 \r \h </w:instrText>
      </w:r>
      <w:r w:rsidR="00FE27C3">
        <w:fldChar w:fldCharType="separate"/>
      </w:r>
      <w:r w:rsidR="00FE27C3">
        <w:t>3.2.1</w:t>
      </w:r>
      <w:r w:rsidR="00FE27C3">
        <w:fldChar w:fldCharType="end"/>
      </w:r>
      <w:r w:rsidR="00056831">
        <w:t>.</w:t>
      </w:r>
    </w:p>
    <w:p w14:paraId="6A936FEE" w14:textId="3D31A405" w:rsidR="00056831" w:rsidRPr="00232FE3" w:rsidRDefault="007D3FFF" w:rsidP="00306785">
      <w:pPr>
        <w:pStyle w:val="Caption"/>
      </w:pPr>
      <w:r>
        <w:t>Distance</w:t>
      </w:r>
      <w:r w:rsidR="00604A24">
        <w:t xml:space="preserve"> and frequency range where </w:t>
      </w:r>
      <w:r w:rsidR="00C86D4B">
        <w:t xml:space="preserve">BWA </w:t>
      </w:r>
      <w:r w:rsidR="00FE27C3">
        <w:t>transmitter</w:t>
      </w:r>
      <w:r w:rsidR="00C86D4B">
        <w:t xml:space="preserve"> </w:t>
      </w:r>
      <w:r w:rsidR="00604A24">
        <w:t>coordination is required</w:t>
      </w:r>
      <w:r w:rsidR="00604A24" w:rsidRPr="00232FE3">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72"/>
        <w:gridCol w:w="4536"/>
      </w:tblGrid>
      <w:tr w:rsidR="00056831" w:rsidRPr="00232FE3" w14:paraId="20AE2CA3" w14:textId="77777777" w:rsidTr="00B678D4">
        <w:trPr>
          <w:tblHeader/>
        </w:trPr>
        <w:tc>
          <w:tcPr>
            <w:tcW w:w="2972" w:type="dxa"/>
            <w:shd w:val="clear" w:color="auto" w:fill="D9D9D9"/>
          </w:tcPr>
          <w:p w14:paraId="3539E41D" w14:textId="2453B8B6" w:rsidR="00056831" w:rsidRPr="00232FE3" w:rsidRDefault="00D8109F">
            <w:pPr>
              <w:spacing w:after="0" w:line="240" w:lineRule="auto"/>
              <w:rPr>
                <w:rFonts w:eastAsiaTheme="minorHAnsi"/>
                <w:b/>
                <w:szCs w:val="22"/>
              </w:rPr>
            </w:pPr>
            <w:r>
              <w:rPr>
                <w:rFonts w:eastAsiaTheme="minorHAnsi"/>
                <w:b/>
                <w:szCs w:val="22"/>
              </w:rPr>
              <w:t xml:space="preserve">Distance from </w:t>
            </w:r>
            <w:r w:rsidR="00D71D58">
              <w:rPr>
                <w:rFonts w:eastAsiaTheme="minorHAnsi"/>
                <w:b/>
                <w:szCs w:val="22"/>
              </w:rPr>
              <w:t xml:space="preserve">the </w:t>
            </w:r>
            <w:r w:rsidR="007B6203">
              <w:rPr>
                <w:rFonts w:eastAsiaTheme="minorHAnsi"/>
                <w:b/>
                <w:szCs w:val="22"/>
              </w:rPr>
              <w:t>existing BWA receiver</w:t>
            </w:r>
            <w:r w:rsidR="00FE7F1B" w:rsidRPr="00EB08D7">
              <w:rPr>
                <w:rFonts w:eastAsiaTheme="minorHAnsi"/>
                <w:b/>
                <w:szCs w:val="22"/>
                <w:vertAlign w:val="superscript"/>
              </w:rPr>
              <w:t>4</w:t>
            </w:r>
          </w:p>
        </w:tc>
        <w:tc>
          <w:tcPr>
            <w:tcW w:w="4536" w:type="dxa"/>
            <w:shd w:val="clear" w:color="auto" w:fill="D9D9D9"/>
          </w:tcPr>
          <w:p w14:paraId="08F10089" w14:textId="4A5425AE" w:rsidR="00056831" w:rsidRPr="00232FE3" w:rsidRDefault="00056831">
            <w:pPr>
              <w:spacing w:after="0" w:line="240" w:lineRule="auto"/>
              <w:rPr>
                <w:rFonts w:eastAsiaTheme="minorHAnsi"/>
                <w:b/>
                <w:szCs w:val="22"/>
              </w:rPr>
            </w:pPr>
            <w:r>
              <w:rPr>
                <w:rFonts w:eastAsiaTheme="minorHAnsi"/>
                <w:b/>
                <w:szCs w:val="22"/>
              </w:rPr>
              <w:t>BWA</w:t>
            </w:r>
            <w:r w:rsidRPr="00232FE3">
              <w:rPr>
                <w:rFonts w:eastAsiaTheme="minorHAnsi"/>
                <w:b/>
                <w:szCs w:val="22"/>
              </w:rPr>
              <w:t xml:space="preserve"> Frequency Range</w:t>
            </w:r>
          </w:p>
        </w:tc>
      </w:tr>
      <w:tr w:rsidR="00056831" w:rsidRPr="00232FE3" w14:paraId="5DA9844A" w14:textId="77777777" w:rsidTr="00B678D4">
        <w:tc>
          <w:tcPr>
            <w:tcW w:w="2972" w:type="dxa"/>
          </w:tcPr>
          <w:p w14:paraId="2735F42A" w14:textId="19365B0E" w:rsidR="00346A2C" w:rsidRDefault="008F7D3E" w:rsidP="00346A2C">
            <w:pPr>
              <w:spacing w:after="0" w:line="240" w:lineRule="auto"/>
              <w:rPr>
                <w:rFonts w:eastAsiaTheme="minorHAnsi"/>
                <w:szCs w:val="22"/>
              </w:rPr>
            </w:pPr>
            <w:r>
              <w:rPr>
                <w:rFonts w:eastAsiaTheme="minorHAnsi"/>
                <w:szCs w:val="22"/>
              </w:rPr>
              <w:t>1</w:t>
            </w:r>
            <w:r w:rsidR="003A1243">
              <w:rPr>
                <w:rFonts w:eastAsiaTheme="minorHAnsi"/>
                <w:szCs w:val="22"/>
              </w:rPr>
              <w:t>6</w:t>
            </w:r>
            <w:r>
              <w:rPr>
                <w:rFonts w:eastAsiaTheme="minorHAnsi"/>
                <w:szCs w:val="22"/>
              </w:rPr>
              <w:t xml:space="preserve">0 </w:t>
            </w:r>
            <w:r w:rsidR="00346A2C">
              <w:rPr>
                <w:rFonts w:eastAsiaTheme="minorHAnsi"/>
                <w:szCs w:val="22"/>
              </w:rPr>
              <w:t>km (co-channel)</w:t>
            </w:r>
          </w:p>
          <w:p w14:paraId="54F32AC7" w14:textId="2447D0E1" w:rsidR="00056831" w:rsidRPr="00232FE3" w:rsidRDefault="008F7D3E" w:rsidP="00346A2C">
            <w:pPr>
              <w:spacing w:after="0" w:line="240" w:lineRule="auto"/>
              <w:rPr>
                <w:rFonts w:eastAsiaTheme="minorHAnsi"/>
                <w:szCs w:val="22"/>
              </w:rPr>
            </w:pPr>
            <w:r>
              <w:rPr>
                <w:rFonts w:eastAsiaTheme="minorHAnsi"/>
                <w:szCs w:val="22"/>
              </w:rPr>
              <w:t xml:space="preserve">15 </w:t>
            </w:r>
            <w:r w:rsidR="00346A2C">
              <w:rPr>
                <w:rFonts w:eastAsiaTheme="minorHAnsi"/>
                <w:szCs w:val="22"/>
              </w:rPr>
              <w:t>km (adjacent channel)</w:t>
            </w:r>
          </w:p>
        </w:tc>
        <w:tc>
          <w:tcPr>
            <w:tcW w:w="4536" w:type="dxa"/>
          </w:tcPr>
          <w:p w14:paraId="0FBCEBAA" w14:textId="77777777" w:rsidR="00056831" w:rsidRPr="00232FE3" w:rsidRDefault="00056831">
            <w:pPr>
              <w:spacing w:after="0" w:line="240" w:lineRule="auto"/>
              <w:rPr>
                <w:rFonts w:eastAsiaTheme="minorHAnsi"/>
                <w:szCs w:val="22"/>
              </w:rPr>
            </w:pPr>
            <w:r>
              <w:rPr>
                <w:rFonts w:eastAsiaTheme="minorHAnsi"/>
                <w:szCs w:val="22"/>
              </w:rPr>
              <w:t>1900</w:t>
            </w:r>
            <w:r w:rsidRPr="00232FE3">
              <w:rPr>
                <w:rFonts w:eastAsiaTheme="minorHAnsi"/>
                <w:szCs w:val="22"/>
              </w:rPr>
              <w:t>–19</w:t>
            </w:r>
            <w:r>
              <w:rPr>
                <w:rFonts w:eastAsiaTheme="minorHAnsi"/>
                <w:szCs w:val="22"/>
              </w:rPr>
              <w:t>20</w:t>
            </w:r>
            <w:r w:rsidRPr="00232FE3">
              <w:rPr>
                <w:rFonts w:eastAsiaTheme="minorHAnsi"/>
                <w:szCs w:val="22"/>
              </w:rPr>
              <w:t xml:space="preserve"> MHz</w:t>
            </w:r>
          </w:p>
        </w:tc>
      </w:tr>
    </w:tbl>
    <w:p w14:paraId="1A0404E2" w14:textId="77777777" w:rsidR="00FE6B91" w:rsidRDefault="00FE6B91" w:rsidP="00232FE3"/>
    <w:p w14:paraId="1C7760D1" w14:textId="0F19AFAD" w:rsidR="00FE6B91" w:rsidRDefault="00FE6B91" w:rsidP="00FE6B91">
      <w:pPr>
        <w:pStyle w:val="Heading2"/>
      </w:pPr>
      <w:bookmarkStart w:id="76" w:name="_Toc233192910"/>
      <w:bookmarkStart w:id="77" w:name="_Ref210203218"/>
      <w:r w:rsidRPr="00D50B2A">
        <w:t xml:space="preserve">Assessing </w:t>
      </w:r>
      <w:r w:rsidR="00B238F8">
        <w:t>RMR</w:t>
      </w:r>
      <w:r w:rsidR="001915C8">
        <w:t xml:space="preserve"> transmitter</w:t>
      </w:r>
      <w:r>
        <w:t xml:space="preserve"> </w:t>
      </w:r>
      <w:r w:rsidR="00604A24" w:rsidRPr="00D50B2A">
        <w:t>interference</w:t>
      </w:r>
      <w:r w:rsidR="00604A24">
        <w:t xml:space="preserve"> </w:t>
      </w:r>
      <w:r w:rsidRPr="00D50B2A">
        <w:t>into fixed links</w:t>
      </w:r>
      <w:bookmarkEnd w:id="76"/>
      <w:r w:rsidRPr="00D50B2A">
        <w:t xml:space="preserve"> </w:t>
      </w:r>
      <w:bookmarkEnd w:id="77"/>
    </w:p>
    <w:p w14:paraId="17BCB23A" w14:textId="67754322" w:rsidR="00341B19" w:rsidRDefault="00341B19" w:rsidP="00341B19">
      <w:r>
        <w:t xml:space="preserve">Interference from a </w:t>
      </w:r>
      <w:r w:rsidR="00B238F8">
        <w:t>RMR</w:t>
      </w:r>
      <w:r w:rsidR="002319E3">
        <w:t xml:space="preserve"> base station</w:t>
      </w:r>
      <w:r w:rsidR="00AB2572">
        <w:t xml:space="preserve"> transmitter</w:t>
      </w:r>
      <w:r>
        <w:t xml:space="preserve"> into a fixed </w:t>
      </w:r>
      <w:r w:rsidR="00B678D4">
        <w:t>link</w:t>
      </w:r>
      <w:r>
        <w:t xml:space="preserve"> receiver is assessed using the </w:t>
      </w:r>
      <w:r w:rsidR="00D013F0">
        <w:t xml:space="preserve">procedures set out </w:t>
      </w:r>
      <w:r>
        <w:t>in this section. Two scenarios are considered together in this section:</w:t>
      </w:r>
    </w:p>
    <w:p w14:paraId="3D0E16A4" w14:textId="3AE1F629" w:rsidR="00341B19" w:rsidRDefault="00341B19" w:rsidP="00306785">
      <w:pPr>
        <w:pStyle w:val="ListBullet"/>
      </w:pPr>
      <w:r>
        <w:t xml:space="preserve">Interference from a proposed </w:t>
      </w:r>
      <w:r w:rsidR="00B238F8">
        <w:t>RMR</w:t>
      </w:r>
      <w:r>
        <w:t xml:space="preserve"> transmitter </w:t>
      </w:r>
      <w:r w:rsidR="00D013F0">
        <w:t>in</w:t>
      </w:r>
      <w:r>
        <w:t xml:space="preserve">to a licensed </w:t>
      </w:r>
      <w:r w:rsidR="00E6379F">
        <w:t>f</w:t>
      </w:r>
      <w:r>
        <w:t xml:space="preserve">ixed </w:t>
      </w:r>
      <w:r w:rsidR="00E6379F">
        <w:t>l</w:t>
      </w:r>
      <w:r>
        <w:t xml:space="preserve">ink receiver </w:t>
      </w:r>
      <w:r w:rsidR="009A0BAE">
        <w:t>licensed</w:t>
      </w:r>
      <w:r>
        <w:t xml:space="preserve"> before </w:t>
      </w:r>
      <w:r w:rsidR="007D1F38">
        <w:t>2 July</w:t>
      </w:r>
      <w:r>
        <w:t xml:space="preserve"> 2026.</w:t>
      </w:r>
    </w:p>
    <w:p w14:paraId="60875490" w14:textId="09AD46C9" w:rsidR="00341B19" w:rsidRDefault="00341B19" w:rsidP="00306785">
      <w:pPr>
        <w:pStyle w:val="ListBulletLast"/>
      </w:pPr>
      <w:r>
        <w:t xml:space="preserve">Interference from a licensed </w:t>
      </w:r>
      <w:r w:rsidR="00B238F8">
        <w:t>RMR</w:t>
      </w:r>
      <w:r>
        <w:t xml:space="preserve"> transmitter </w:t>
      </w:r>
      <w:r w:rsidR="00D013F0">
        <w:t>in</w:t>
      </w:r>
      <w:r>
        <w:t xml:space="preserve">to a proposed </w:t>
      </w:r>
      <w:r w:rsidR="00E6379F">
        <w:t>f</w:t>
      </w:r>
      <w:r>
        <w:t xml:space="preserve">ixed </w:t>
      </w:r>
      <w:r w:rsidR="00E6379F">
        <w:t>l</w:t>
      </w:r>
      <w:r>
        <w:t xml:space="preserve">ink receiver </w:t>
      </w:r>
      <w:r w:rsidR="009A0BAE">
        <w:t>licensed</w:t>
      </w:r>
      <w:r w:rsidR="00D013F0">
        <w:t xml:space="preserve"> </w:t>
      </w:r>
      <w:r w:rsidR="009A0BAE">
        <w:t>on or</w:t>
      </w:r>
      <w:r w:rsidR="00D013F0">
        <w:t xml:space="preserve"> </w:t>
      </w:r>
      <w:r>
        <w:t xml:space="preserve">after </w:t>
      </w:r>
      <w:r w:rsidR="007D1F38">
        <w:t>2 July</w:t>
      </w:r>
      <w:r>
        <w:t xml:space="preserve"> 2026.</w:t>
      </w:r>
    </w:p>
    <w:p w14:paraId="65377B60" w14:textId="57812FDC" w:rsidR="00341B19" w:rsidRDefault="00341B19" w:rsidP="00306785">
      <w:pPr>
        <w:pStyle w:val="Heading3"/>
      </w:pPr>
      <w:bookmarkStart w:id="78" w:name="_Ref210200347"/>
      <w:bookmarkStart w:id="79" w:name="_Toc233192911"/>
      <w:r>
        <w:t xml:space="preserve">Interference from a proposed </w:t>
      </w:r>
      <w:r w:rsidR="00B238F8">
        <w:t>RMR</w:t>
      </w:r>
      <w:r>
        <w:t xml:space="preserve"> transmitter </w:t>
      </w:r>
      <w:r w:rsidR="00D013F0">
        <w:t>in</w:t>
      </w:r>
      <w:r>
        <w:t xml:space="preserve">to a </w:t>
      </w:r>
      <w:r w:rsidR="00493932">
        <w:t>f</w:t>
      </w:r>
      <w:r>
        <w:t xml:space="preserve">ixed </w:t>
      </w:r>
      <w:r w:rsidR="00493932">
        <w:t>l</w:t>
      </w:r>
      <w:r>
        <w:t xml:space="preserve">ink receiver </w:t>
      </w:r>
      <w:r w:rsidR="00493932">
        <w:t>licensed</w:t>
      </w:r>
      <w:r>
        <w:t xml:space="preserve"> before </w:t>
      </w:r>
      <w:r w:rsidR="007D1F38">
        <w:t>2 July</w:t>
      </w:r>
      <w:r>
        <w:t xml:space="preserve"> 2026</w:t>
      </w:r>
      <w:bookmarkEnd w:id="78"/>
      <w:bookmarkEnd w:id="79"/>
    </w:p>
    <w:p w14:paraId="4D031367" w14:textId="1215F686" w:rsidR="00341B19" w:rsidRDefault="00341B19" w:rsidP="00341B19">
      <w:r>
        <w:t xml:space="preserve">Fixed </w:t>
      </w:r>
      <w:r w:rsidR="00DA3096">
        <w:t>l</w:t>
      </w:r>
      <w:r>
        <w:t xml:space="preserve">ink receivers </w:t>
      </w:r>
      <w:r w:rsidR="009A0BAE">
        <w:t>licensed</w:t>
      </w:r>
      <w:r>
        <w:t xml:space="preserve"> before </w:t>
      </w:r>
      <w:r w:rsidR="007D1F38">
        <w:t>2 July</w:t>
      </w:r>
      <w:r>
        <w:t xml:space="preserve"> 2026 that are within the</w:t>
      </w:r>
      <w:r w:rsidR="00E8086D">
        <w:t xml:space="preserve"> </w:t>
      </w:r>
      <w:r w:rsidR="007D3FFF">
        <w:t>distance</w:t>
      </w:r>
      <w:r w:rsidR="00D013F0">
        <w:t xml:space="preserve"> and frequency</w:t>
      </w:r>
      <w:r w:rsidR="000318D2">
        <w:t xml:space="preserve"> </w:t>
      </w:r>
      <w:r w:rsidR="00D013F0">
        <w:t>range described</w:t>
      </w:r>
      <w:r w:rsidR="00E8086D">
        <w:t xml:space="preserve"> in Table 4</w:t>
      </w:r>
      <w:r>
        <w:t xml:space="preserve"> are to be </w:t>
      </w:r>
      <w:r w:rsidR="00D013F0">
        <w:t xml:space="preserve">afforded </w:t>
      </w:r>
      <w:r>
        <w:t xml:space="preserve">protection </w:t>
      </w:r>
      <w:r w:rsidR="00D013F0">
        <w:t xml:space="preserve">(to the protection ratios detailed in Appendix C) </w:t>
      </w:r>
      <w:r>
        <w:t>from a</w:t>
      </w:r>
      <w:r w:rsidR="00D013F0">
        <w:t>ny</w:t>
      </w:r>
      <w:r>
        <w:t xml:space="preserve"> proposed </w:t>
      </w:r>
      <w:r w:rsidR="00B238F8">
        <w:t>RMR</w:t>
      </w:r>
      <w:r>
        <w:t xml:space="preserve"> base station.</w:t>
      </w:r>
    </w:p>
    <w:p w14:paraId="098222AB" w14:textId="48ACDD3A" w:rsidR="00D013F0" w:rsidRPr="00232FE3" w:rsidRDefault="007D3FFF" w:rsidP="00D013F0">
      <w:pPr>
        <w:pStyle w:val="Caption"/>
      </w:pPr>
      <w:r>
        <w:t>Distance</w:t>
      </w:r>
      <w:r w:rsidR="00D013F0">
        <w:t xml:space="preserve"> and frequency range where</w:t>
      </w:r>
      <w:r w:rsidR="00C86D4B">
        <w:t xml:space="preserve"> fixed link</w:t>
      </w:r>
      <w:r w:rsidR="00D013F0">
        <w:t xml:space="preserve"> coordination is required</w:t>
      </w:r>
      <w:r w:rsidR="00D013F0" w:rsidRPr="00232FE3">
        <w:t>.</w:t>
      </w:r>
    </w:p>
    <w:p w14:paraId="17CFFAA1" w14:textId="613CE013" w:rsidR="00341B19" w:rsidRDefault="00341B19" w:rsidP="00C407A2">
      <w:pPr>
        <w:pStyle w:val="Caption"/>
        <w:numPr>
          <w:ilvl w:val="0"/>
          <w:numId w:val="0"/>
        </w:num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72"/>
        <w:gridCol w:w="4536"/>
      </w:tblGrid>
      <w:tr w:rsidR="00341B19" w:rsidRPr="002E390A" w14:paraId="310799AD" w14:textId="77777777" w:rsidTr="00306785">
        <w:trPr>
          <w:tblHeader/>
        </w:trPr>
        <w:tc>
          <w:tcPr>
            <w:tcW w:w="2972" w:type="dxa"/>
            <w:shd w:val="clear" w:color="auto" w:fill="D9D9D9"/>
          </w:tcPr>
          <w:p w14:paraId="20CEB314" w14:textId="2ED6904D" w:rsidR="00341B19" w:rsidRPr="00BB35F8" w:rsidRDefault="00D8109F">
            <w:pPr>
              <w:pStyle w:val="TableHeading"/>
              <w:spacing w:line="240" w:lineRule="auto"/>
              <w:rPr>
                <w:rFonts w:eastAsiaTheme="minorHAnsi"/>
                <w:bCs/>
                <w:szCs w:val="22"/>
              </w:rPr>
            </w:pPr>
            <w:r>
              <w:rPr>
                <w:rFonts w:eastAsiaTheme="minorHAnsi"/>
                <w:szCs w:val="22"/>
              </w:rPr>
              <w:t xml:space="preserve">Distance from </w:t>
            </w:r>
            <w:r w:rsidR="00D71D58">
              <w:rPr>
                <w:rFonts w:eastAsiaTheme="minorHAnsi"/>
                <w:szCs w:val="22"/>
              </w:rPr>
              <w:t>the fixed link receiver</w:t>
            </w:r>
            <w:r w:rsidR="00BB35F8" w:rsidRPr="00306785">
              <w:rPr>
                <w:rStyle w:val="FootnoteReference"/>
                <w:rFonts w:eastAsiaTheme="minorHAnsi"/>
                <w:szCs w:val="22"/>
              </w:rPr>
              <w:footnoteReference w:id="5"/>
            </w:r>
          </w:p>
        </w:tc>
        <w:tc>
          <w:tcPr>
            <w:tcW w:w="4536" w:type="dxa"/>
            <w:shd w:val="clear" w:color="auto" w:fill="D9D9D9"/>
          </w:tcPr>
          <w:p w14:paraId="34B8CFC5" w14:textId="4EB895FB" w:rsidR="00341B19" w:rsidRPr="00AF06C8" w:rsidRDefault="00341B19">
            <w:pPr>
              <w:pStyle w:val="TableHeading"/>
              <w:spacing w:line="240" w:lineRule="auto"/>
              <w:rPr>
                <w:rFonts w:eastAsiaTheme="minorHAnsi"/>
                <w:szCs w:val="22"/>
              </w:rPr>
            </w:pPr>
            <w:r w:rsidRPr="00563C0E">
              <w:rPr>
                <w:rFonts w:eastAsiaTheme="minorHAnsi"/>
                <w:szCs w:val="22"/>
              </w:rPr>
              <w:t>Fixed Link Receiver Frequency Range</w:t>
            </w:r>
            <w:r w:rsidR="00676B9F">
              <w:rPr>
                <w:rStyle w:val="FootnoteReference"/>
                <w:rFonts w:eastAsiaTheme="minorHAnsi"/>
                <w:szCs w:val="22"/>
              </w:rPr>
              <w:footnoteReference w:id="6"/>
            </w:r>
            <w:r w:rsidR="00E8086D">
              <w:rPr>
                <w:rFonts w:eastAsiaTheme="minorHAnsi"/>
                <w:szCs w:val="22"/>
              </w:rPr>
              <w:t xml:space="preserve"> </w:t>
            </w:r>
          </w:p>
        </w:tc>
      </w:tr>
      <w:tr w:rsidR="00341B19" w:rsidRPr="002E390A" w14:paraId="0156BB4E" w14:textId="77777777" w:rsidTr="00306785">
        <w:tc>
          <w:tcPr>
            <w:tcW w:w="2972" w:type="dxa"/>
          </w:tcPr>
          <w:p w14:paraId="73F409BC" w14:textId="2826398D" w:rsidR="00E8086D" w:rsidRDefault="008F7D3E" w:rsidP="00E8086D">
            <w:pPr>
              <w:spacing w:after="0" w:line="240" w:lineRule="auto"/>
              <w:rPr>
                <w:rFonts w:eastAsiaTheme="minorHAnsi"/>
                <w:szCs w:val="22"/>
              </w:rPr>
            </w:pPr>
            <w:r>
              <w:rPr>
                <w:rFonts w:eastAsiaTheme="minorHAnsi"/>
                <w:szCs w:val="22"/>
              </w:rPr>
              <w:t xml:space="preserve">160 </w:t>
            </w:r>
            <w:r w:rsidR="00E8086D">
              <w:rPr>
                <w:rFonts w:eastAsiaTheme="minorHAnsi"/>
                <w:szCs w:val="22"/>
              </w:rPr>
              <w:t>km (co-channel)</w:t>
            </w:r>
          </w:p>
          <w:p w14:paraId="0B9F44E9" w14:textId="5D7A8C65" w:rsidR="00341B19" w:rsidRPr="00591A0B" w:rsidRDefault="008F7D3E" w:rsidP="00E8086D">
            <w:pPr>
              <w:pStyle w:val="TableBody"/>
              <w:rPr>
                <w:rFonts w:eastAsiaTheme="minorHAnsi"/>
                <w:szCs w:val="22"/>
              </w:rPr>
            </w:pPr>
            <w:r>
              <w:rPr>
                <w:rFonts w:eastAsiaTheme="minorHAnsi"/>
                <w:szCs w:val="22"/>
              </w:rPr>
              <w:t xml:space="preserve">60 </w:t>
            </w:r>
            <w:r w:rsidR="00E8086D">
              <w:rPr>
                <w:rFonts w:eastAsiaTheme="minorHAnsi"/>
                <w:szCs w:val="22"/>
              </w:rPr>
              <w:t>km (adjacent channel)</w:t>
            </w:r>
          </w:p>
        </w:tc>
        <w:tc>
          <w:tcPr>
            <w:tcW w:w="4536" w:type="dxa"/>
          </w:tcPr>
          <w:p w14:paraId="782367EC" w14:textId="77777777" w:rsidR="00341B19" w:rsidRPr="00B73065" w:rsidRDefault="00341B19">
            <w:pPr>
              <w:pStyle w:val="TableBody"/>
              <w:rPr>
                <w:rFonts w:eastAsiaTheme="minorHAnsi"/>
                <w:szCs w:val="22"/>
              </w:rPr>
            </w:pPr>
            <w:r w:rsidRPr="00563C0E">
              <w:rPr>
                <w:rFonts w:eastAsiaTheme="minorHAnsi"/>
                <w:szCs w:val="22"/>
              </w:rPr>
              <w:t>1867.5–1980 MHz</w:t>
            </w:r>
          </w:p>
        </w:tc>
      </w:tr>
    </w:tbl>
    <w:p w14:paraId="715285C4" w14:textId="351C85F0" w:rsidR="000C141F" w:rsidRDefault="000C141F" w:rsidP="000C141F">
      <w:pPr>
        <w:spacing w:before="240"/>
      </w:pPr>
      <w:r w:rsidRPr="00563C0E">
        <w:t>If a</w:t>
      </w:r>
      <w:r w:rsidR="00D013F0">
        <w:t>n</w:t>
      </w:r>
      <w:r w:rsidRPr="00563C0E">
        <w:t xml:space="preserve"> </w:t>
      </w:r>
      <w:r w:rsidR="00B238F8">
        <w:t>RMR</w:t>
      </w:r>
      <w:r w:rsidRPr="00563C0E">
        <w:t xml:space="preserve"> base station occupies spectrum at or within the second adjacent channel of the fixed link receiver channel</w:t>
      </w:r>
      <w:r w:rsidR="00D8109F">
        <w:t>,</w:t>
      </w:r>
      <w:r w:rsidRPr="00563C0E">
        <w:t xml:space="preserve"> and </w:t>
      </w:r>
      <w:r w:rsidR="00D8109F">
        <w:t>if</w:t>
      </w:r>
      <w:r w:rsidRPr="00563C0E">
        <w:t xml:space="preserve"> th</w:t>
      </w:r>
      <w:r w:rsidR="00D8109F">
        <w:t>at</w:t>
      </w:r>
      <w:r w:rsidRPr="00563C0E">
        <w:t xml:space="preserve"> </w:t>
      </w:r>
      <w:r w:rsidR="00B238F8">
        <w:t>RMR</w:t>
      </w:r>
      <w:r w:rsidRPr="00563C0E">
        <w:t xml:space="preserve"> base station is </w:t>
      </w:r>
      <w:r w:rsidR="00D8109F">
        <w:t xml:space="preserve">located </w:t>
      </w:r>
      <w:r w:rsidRPr="00563C0E">
        <w:t>within 10</w:t>
      </w:r>
      <w:r>
        <w:t> </w:t>
      </w:r>
      <w:r w:rsidRPr="00563C0E">
        <w:t xml:space="preserve">km of the fixed link receiver, coordination </w:t>
      </w:r>
      <w:r w:rsidR="00D8109F">
        <w:t>will be</w:t>
      </w:r>
      <w:r w:rsidR="00D8109F" w:rsidRPr="00563C0E">
        <w:t xml:space="preserve"> </w:t>
      </w:r>
      <w:r w:rsidRPr="00563C0E">
        <w:t xml:space="preserve">deemed to </w:t>
      </w:r>
      <w:r w:rsidR="00D8109F">
        <w:t xml:space="preserve">have </w:t>
      </w:r>
      <w:r w:rsidRPr="00563C0E">
        <w:t>fail</w:t>
      </w:r>
      <w:r w:rsidR="00D8109F">
        <w:t>ed</w:t>
      </w:r>
      <w:r w:rsidRPr="00563C0E">
        <w:t xml:space="preserve"> </w:t>
      </w:r>
      <w:r w:rsidR="00081D59">
        <w:t xml:space="preserve">coordination, </w:t>
      </w:r>
      <w:r w:rsidRPr="00563C0E">
        <w:t>and a licence will not be granted.</w:t>
      </w:r>
      <w:r>
        <w:rPr>
          <w:rStyle w:val="FootnoteReference"/>
        </w:rPr>
        <w:footnoteReference w:id="7"/>
      </w:r>
    </w:p>
    <w:p w14:paraId="33F966D1" w14:textId="6F9F1FDC" w:rsidR="00341B19" w:rsidRDefault="00341B19" w:rsidP="00306785">
      <w:pPr>
        <w:pStyle w:val="Heading3"/>
      </w:pPr>
      <w:bookmarkStart w:id="80" w:name="_Ref210200392"/>
      <w:bookmarkStart w:id="81" w:name="_Toc233192912"/>
      <w:r>
        <w:t>Interference from</w:t>
      </w:r>
      <w:r w:rsidR="00493932">
        <w:t xml:space="preserve"> an existing</w:t>
      </w:r>
      <w:r>
        <w:t xml:space="preserve"> </w:t>
      </w:r>
      <w:r w:rsidR="00B238F8">
        <w:t>RMR</w:t>
      </w:r>
      <w:r>
        <w:t xml:space="preserve"> transmitter </w:t>
      </w:r>
      <w:r w:rsidR="00D8109F">
        <w:t>in</w:t>
      </w:r>
      <w:r>
        <w:t xml:space="preserve">to a proposed </w:t>
      </w:r>
      <w:r w:rsidR="008B7573">
        <w:t>f</w:t>
      </w:r>
      <w:r>
        <w:t xml:space="preserve">ixed </w:t>
      </w:r>
      <w:r w:rsidR="008B7573">
        <w:t>l</w:t>
      </w:r>
      <w:r>
        <w:t xml:space="preserve">ink receiver </w:t>
      </w:r>
      <w:r w:rsidR="008B7573">
        <w:t xml:space="preserve">licensed </w:t>
      </w:r>
      <w:r w:rsidR="00E6379F">
        <w:t xml:space="preserve">on or </w:t>
      </w:r>
      <w:r>
        <w:t xml:space="preserve">after </w:t>
      </w:r>
      <w:r w:rsidR="007D1F38">
        <w:t>2 July</w:t>
      </w:r>
      <w:r>
        <w:t xml:space="preserve"> 2026</w:t>
      </w:r>
      <w:bookmarkEnd w:id="80"/>
      <w:bookmarkEnd w:id="81"/>
    </w:p>
    <w:p w14:paraId="1C5DCD52" w14:textId="09B24B9E" w:rsidR="004C0742" w:rsidRDefault="00341B19" w:rsidP="00341B19">
      <w:r>
        <w:t>Fixed links</w:t>
      </w:r>
      <w:r w:rsidR="008B7573">
        <w:t xml:space="preserve"> may be licensed</w:t>
      </w:r>
      <w:r>
        <w:t xml:space="preserve"> </w:t>
      </w:r>
      <w:r w:rsidR="008209EA">
        <w:t xml:space="preserve">on or </w:t>
      </w:r>
      <w:r>
        <w:t xml:space="preserve">after </w:t>
      </w:r>
      <w:r w:rsidR="007D1F38">
        <w:t>2 July</w:t>
      </w:r>
      <w:r>
        <w:t xml:space="preserve"> 2026, </w:t>
      </w:r>
      <w:r w:rsidRPr="00CD63D9">
        <w:rPr>
          <w:szCs w:val="22"/>
        </w:rPr>
        <w:t xml:space="preserve">within </w:t>
      </w:r>
      <w:r w:rsidR="005C114B">
        <w:rPr>
          <w:szCs w:val="22"/>
        </w:rPr>
        <w:t xml:space="preserve">the </w:t>
      </w:r>
      <w:r w:rsidR="007D3FFF">
        <w:t>distance</w:t>
      </w:r>
      <w:r w:rsidR="00D8109F">
        <w:t xml:space="preserve"> and frequency</w:t>
      </w:r>
      <w:r w:rsidR="000318D2">
        <w:t xml:space="preserve"> </w:t>
      </w:r>
      <w:r w:rsidR="00D8109F">
        <w:t xml:space="preserve">range described </w:t>
      </w:r>
      <w:r w:rsidR="005C114B">
        <w:rPr>
          <w:szCs w:val="22"/>
        </w:rPr>
        <w:t>in Table 5</w:t>
      </w:r>
      <w:r w:rsidRPr="00CD63D9">
        <w:rPr>
          <w:szCs w:val="22"/>
        </w:rPr>
        <w:t xml:space="preserve"> on a </w:t>
      </w:r>
      <w:r w:rsidR="00346AD6">
        <w:rPr>
          <w:szCs w:val="22"/>
        </w:rPr>
        <w:t>NINP</w:t>
      </w:r>
      <w:r w:rsidRPr="00CD63D9">
        <w:rPr>
          <w:szCs w:val="22"/>
        </w:rPr>
        <w:t xml:space="preserve"> basis with regards to </w:t>
      </w:r>
      <w:r w:rsidR="00B238F8">
        <w:rPr>
          <w:szCs w:val="22"/>
        </w:rPr>
        <w:t>RMR</w:t>
      </w:r>
      <w:r w:rsidRPr="00CD63D9">
        <w:rPr>
          <w:szCs w:val="22"/>
        </w:rPr>
        <w:t xml:space="preserve"> base stations</w:t>
      </w:r>
      <w:r w:rsidR="009014B7">
        <w:rPr>
          <w:szCs w:val="22"/>
        </w:rPr>
        <w:t xml:space="preserve"> (special condition </w:t>
      </w:r>
      <w:r w:rsidR="007F0CB1">
        <w:rPr>
          <w:szCs w:val="22"/>
        </w:rPr>
        <w:t>C26</w:t>
      </w:r>
      <w:r w:rsidR="009014B7">
        <w:rPr>
          <w:szCs w:val="22"/>
        </w:rPr>
        <w:t xml:space="preserve"> is to be attached to the licence </w:t>
      </w:r>
      <w:r w:rsidR="00E8086D">
        <w:rPr>
          <w:szCs w:val="22"/>
        </w:rPr>
        <w:t>for</w:t>
      </w:r>
      <w:r w:rsidR="009014B7">
        <w:rPr>
          <w:szCs w:val="22"/>
        </w:rPr>
        <w:t xml:space="preserve"> these fixed links</w:t>
      </w:r>
      <w:r w:rsidR="00331C87">
        <w:rPr>
          <w:szCs w:val="22"/>
        </w:rPr>
        <w:t xml:space="preserve"> – see section </w:t>
      </w:r>
      <w:r w:rsidR="00331C87">
        <w:rPr>
          <w:szCs w:val="22"/>
        </w:rPr>
        <w:fldChar w:fldCharType="begin"/>
      </w:r>
      <w:r w:rsidR="00331C87">
        <w:rPr>
          <w:szCs w:val="22"/>
        </w:rPr>
        <w:instrText xml:space="preserve"> REF _Ref212632431 \r \h </w:instrText>
      </w:r>
      <w:r w:rsidR="00331C87">
        <w:rPr>
          <w:szCs w:val="22"/>
        </w:rPr>
      </w:r>
      <w:r w:rsidR="00331C87">
        <w:rPr>
          <w:szCs w:val="22"/>
        </w:rPr>
        <w:fldChar w:fldCharType="separate"/>
      </w:r>
      <w:r w:rsidR="00331C87">
        <w:rPr>
          <w:szCs w:val="22"/>
        </w:rPr>
        <w:t>4.8</w:t>
      </w:r>
      <w:r w:rsidR="00331C87">
        <w:rPr>
          <w:szCs w:val="22"/>
        </w:rPr>
        <w:fldChar w:fldCharType="end"/>
      </w:r>
      <w:r w:rsidR="009014B7">
        <w:rPr>
          <w:szCs w:val="22"/>
        </w:rPr>
        <w:t>)</w:t>
      </w:r>
      <w:r>
        <w:t xml:space="preserve">. </w:t>
      </w:r>
    </w:p>
    <w:p w14:paraId="08097FBC" w14:textId="1F59FD4B" w:rsidR="00C86D4B" w:rsidRDefault="004C0742" w:rsidP="00C86D4B">
      <w:r>
        <w:t>Accordingly</w:t>
      </w:r>
      <w:r w:rsidR="00341B19">
        <w:t xml:space="preserve">, </w:t>
      </w:r>
      <w:r w:rsidR="00B238F8">
        <w:t>RMR</w:t>
      </w:r>
      <w:r w:rsidR="00341B19">
        <w:t xml:space="preserve"> transmitters do not need to </w:t>
      </w:r>
      <w:r>
        <w:t>be coordinated</w:t>
      </w:r>
      <w:r w:rsidR="00341B19">
        <w:t xml:space="preserve"> </w:t>
      </w:r>
      <w:r>
        <w:t>against</w:t>
      </w:r>
      <w:r w:rsidR="00466197">
        <w:t xml:space="preserve"> these</w:t>
      </w:r>
      <w:r>
        <w:t xml:space="preserve"> </w:t>
      </w:r>
      <w:r w:rsidR="00341B19">
        <w:t>fi</w:t>
      </w:r>
      <w:r w:rsidR="00E6379F">
        <w:t>xed</w:t>
      </w:r>
      <w:r w:rsidR="00341B19">
        <w:t xml:space="preserve"> links.</w:t>
      </w:r>
      <w:r w:rsidR="00F35D53">
        <w:t xml:space="preserve"> However, for proposed fixed</w:t>
      </w:r>
      <w:r w:rsidR="00933BF2">
        <w:t xml:space="preserve"> link</w:t>
      </w:r>
      <w:r w:rsidR="00F35D53">
        <w:t xml:space="preserve"> receiver</w:t>
      </w:r>
      <w:r>
        <w:t>s</w:t>
      </w:r>
      <w:r w:rsidR="00F35D53">
        <w:t xml:space="preserve">, </w:t>
      </w:r>
      <w:r>
        <w:t>an</w:t>
      </w:r>
      <w:r w:rsidR="00F35D53">
        <w:t xml:space="preserve"> assessment of the interference risk can be </w:t>
      </w:r>
      <w:r w:rsidR="00576602">
        <w:t xml:space="preserve">undertaking </w:t>
      </w:r>
      <w:r w:rsidR="00F35D53">
        <w:t xml:space="preserve">based on the ratios detailed in Appendix C and assuming a notional </w:t>
      </w:r>
      <w:r w:rsidR="00B238F8">
        <w:t>RMR</w:t>
      </w:r>
      <w:r w:rsidR="00F35D53">
        <w:t xml:space="preserve"> base station </w:t>
      </w:r>
      <w:r w:rsidR="00576602">
        <w:t xml:space="preserve">transmitter </w:t>
      </w:r>
      <w:r w:rsidR="00F35D53">
        <w:t>(</w:t>
      </w:r>
      <w:r w:rsidR="00576602">
        <w:t xml:space="preserve">operating in accordance with </w:t>
      </w:r>
      <w:r w:rsidR="00F35D53">
        <w:t xml:space="preserve">the parameters </w:t>
      </w:r>
      <w:r w:rsidR="00576602">
        <w:t>set out</w:t>
      </w:r>
      <w:r w:rsidR="00F35D53">
        <w:t xml:space="preserve"> in Appendix E) located anywhere along a railway line.</w:t>
      </w:r>
      <w:r w:rsidR="00C86D4B" w:rsidRPr="00C86D4B">
        <w:t xml:space="preserve"> </w:t>
      </w:r>
      <w:r w:rsidR="000529FB">
        <w:t>No</w:t>
      </w:r>
      <w:r w:rsidR="00C86D4B">
        <w:t xml:space="preserve"> assessment is required for proposed fixed link receivers outside the </w:t>
      </w:r>
      <w:r w:rsidR="000318D2">
        <w:t>distance</w:t>
      </w:r>
      <w:r w:rsidR="00C86D4B">
        <w:t xml:space="preserve"> and frequency</w:t>
      </w:r>
      <w:r w:rsidR="000318D2">
        <w:t xml:space="preserve"> </w:t>
      </w:r>
      <w:r w:rsidR="00C86D4B">
        <w:t xml:space="preserve">range described in Table 5. </w:t>
      </w:r>
    </w:p>
    <w:p w14:paraId="757C7CC7" w14:textId="4199C618" w:rsidR="00C86D4B" w:rsidRPr="00232FE3" w:rsidRDefault="007D3FFF" w:rsidP="00C86D4B">
      <w:pPr>
        <w:pStyle w:val="Caption"/>
      </w:pPr>
      <w:r>
        <w:t>Distance</w:t>
      </w:r>
      <w:r w:rsidR="00C86D4B">
        <w:t xml:space="preserve"> and frequency range where fixed link receiver coordination is required</w:t>
      </w:r>
      <w:r w:rsidR="00C86D4B" w:rsidRPr="00232FE3">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72"/>
        <w:gridCol w:w="4536"/>
      </w:tblGrid>
      <w:tr w:rsidR="005C114B" w:rsidRPr="002E390A" w14:paraId="0CB14606" w14:textId="77777777">
        <w:trPr>
          <w:tblHeader/>
        </w:trPr>
        <w:tc>
          <w:tcPr>
            <w:tcW w:w="2972" w:type="dxa"/>
            <w:shd w:val="clear" w:color="auto" w:fill="D9D9D9"/>
          </w:tcPr>
          <w:p w14:paraId="0734ED77" w14:textId="2C4E6928" w:rsidR="005C114B" w:rsidRPr="00BB35F8" w:rsidRDefault="005C114B">
            <w:pPr>
              <w:pStyle w:val="TableHeading"/>
              <w:spacing w:line="240" w:lineRule="auto"/>
              <w:rPr>
                <w:rFonts w:eastAsiaTheme="minorHAnsi"/>
                <w:bCs/>
                <w:szCs w:val="22"/>
              </w:rPr>
            </w:pPr>
            <w:r w:rsidRPr="00E479E7">
              <w:rPr>
                <w:rFonts w:eastAsiaTheme="minorHAnsi"/>
                <w:bCs/>
                <w:szCs w:val="22"/>
              </w:rPr>
              <w:t xml:space="preserve">Distance </w:t>
            </w:r>
            <w:r>
              <w:rPr>
                <w:rFonts w:eastAsiaTheme="minorHAnsi"/>
                <w:bCs/>
                <w:szCs w:val="22"/>
              </w:rPr>
              <w:t>from railway line</w:t>
            </w:r>
            <w:r w:rsidRPr="00E479E7">
              <w:rPr>
                <w:rStyle w:val="FootnoteReference"/>
                <w:rFonts w:eastAsiaTheme="minorHAnsi"/>
                <w:bCs/>
                <w:szCs w:val="22"/>
              </w:rPr>
              <w:footnoteReference w:id="8"/>
            </w:r>
          </w:p>
        </w:tc>
        <w:tc>
          <w:tcPr>
            <w:tcW w:w="4536" w:type="dxa"/>
            <w:shd w:val="clear" w:color="auto" w:fill="D9D9D9"/>
          </w:tcPr>
          <w:p w14:paraId="1486A694" w14:textId="6ED4754A" w:rsidR="005C114B" w:rsidRPr="00AF06C8" w:rsidRDefault="005C114B">
            <w:pPr>
              <w:pStyle w:val="TableHeading"/>
              <w:spacing w:line="240" w:lineRule="auto"/>
              <w:rPr>
                <w:rFonts w:eastAsiaTheme="minorHAnsi"/>
                <w:szCs w:val="22"/>
              </w:rPr>
            </w:pPr>
            <w:r w:rsidRPr="00563C0E">
              <w:rPr>
                <w:rFonts w:eastAsiaTheme="minorHAnsi"/>
                <w:szCs w:val="22"/>
              </w:rPr>
              <w:t>Fixed Link Receiver Frequency Range</w:t>
            </w:r>
            <w:r w:rsidR="003F5DE9">
              <w:rPr>
                <w:rStyle w:val="FootnoteReference"/>
                <w:rFonts w:eastAsiaTheme="minorHAnsi"/>
                <w:szCs w:val="22"/>
              </w:rPr>
              <w:footnoteReference w:id="9"/>
            </w:r>
            <w:r>
              <w:rPr>
                <w:rFonts w:eastAsiaTheme="minorHAnsi"/>
                <w:szCs w:val="22"/>
              </w:rPr>
              <w:t xml:space="preserve"> </w:t>
            </w:r>
          </w:p>
        </w:tc>
      </w:tr>
      <w:tr w:rsidR="005C114B" w:rsidRPr="002E390A" w14:paraId="7CBD927C" w14:textId="77777777">
        <w:tc>
          <w:tcPr>
            <w:tcW w:w="2972" w:type="dxa"/>
          </w:tcPr>
          <w:p w14:paraId="07D807E2" w14:textId="4168E50B" w:rsidR="005C114B" w:rsidRDefault="008F7D3E">
            <w:pPr>
              <w:spacing w:after="0" w:line="240" w:lineRule="auto"/>
              <w:rPr>
                <w:rFonts w:eastAsiaTheme="minorHAnsi"/>
                <w:szCs w:val="22"/>
              </w:rPr>
            </w:pPr>
            <w:r>
              <w:rPr>
                <w:rFonts w:eastAsiaTheme="minorHAnsi"/>
                <w:szCs w:val="22"/>
              </w:rPr>
              <w:t xml:space="preserve">160 </w:t>
            </w:r>
            <w:r w:rsidR="005C114B">
              <w:rPr>
                <w:rFonts w:eastAsiaTheme="minorHAnsi"/>
                <w:szCs w:val="22"/>
              </w:rPr>
              <w:t>km (co-channel)</w:t>
            </w:r>
          </w:p>
          <w:p w14:paraId="05B32952" w14:textId="7027B57A" w:rsidR="005C114B" w:rsidRPr="00591A0B" w:rsidRDefault="008F7D3E">
            <w:pPr>
              <w:pStyle w:val="TableBody"/>
              <w:rPr>
                <w:rFonts w:eastAsiaTheme="minorHAnsi"/>
                <w:szCs w:val="22"/>
              </w:rPr>
            </w:pPr>
            <w:r>
              <w:rPr>
                <w:rFonts w:eastAsiaTheme="minorHAnsi"/>
                <w:szCs w:val="22"/>
              </w:rPr>
              <w:t xml:space="preserve">60 </w:t>
            </w:r>
            <w:r w:rsidR="005C114B">
              <w:rPr>
                <w:rFonts w:eastAsiaTheme="minorHAnsi"/>
                <w:szCs w:val="22"/>
              </w:rPr>
              <w:t>km (adjacent channel)</w:t>
            </w:r>
          </w:p>
        </w:tc>
        <w:tc>
          <w:tcPr>
            <w:tcW w:w="4536" w:type="dxa"/>
          </w:tcPr>
          <w:p w14:paraId="4544D574" w14:textId="77777777" w:rsidR="005C114B" w:rsidRPr="00B73065" w:rsidRDefault="005C114B">
            <w:pPr>
              <w:pStyle w:val="TableBody"/>
              <w:rPr>
                <w:rFonts w:eastAsiaTheme="minorHAnsi"/>
                <w:szCs w:val="22"/>
              </w:rPr>
            </w:pPr>
            <w:r w:rsidRPr="00563C0E">
              <w:rPr>
                <w:rFonts w:eastAsiaTheme="minorHAnsi"/>
                <w:szCs w:val="22"/>
              </w:rPr>
              <w:t>1867.5–1980 MHz</w:t>
            </w:r>
          </w:p>
        </w:tc>
      </w:tr>
    </w:tbl>
    <w:p w14:paraId="11CB1908" w14:textId="6CEB19E9" w:rsidR="00D50B2A" w:rsidRDefault="00D50B2A" w:rsidP="00D50B2A"/>
    <w:p w14:paraId="378C032D" w14:textId="5A56E6D5" w:rsidR="00D50B2A" w:rsidRDefault="00D50B2A" w:rsidP="00D50B2A">
      <w:pPr>
        <w:pStyle w:val="Heading2"/>
      </w:pPr>
      <w:bookmarkStart w:id="82" w:name="_Toc134081778"/>
      <w:bookmarkStart w:id="83" w:name="_Ref210206414"/>
      <w:bookmarkStart w:id="84" w:name="_Toc233192913"/>
      <w:r w:rsidRPr="001C232F">
        <w:lastRenderedPageBreak/>
        <w:t xml:space="preserve">Assessing </w:t>
      </w:r>
      <w:r w:rsidR="00C86D4B" w:rsidRPr="001C232F">
        <w:t>interference</w:t>
      </w:r>
      <w:r w:rsidR="00C86D4B">
        <w:t xml:space="preserve"> from</w:t>
      </w:r>
      <w:r w:rsidR="00C86D4B" w:rsidRPr="001C232F">
        <w:t xml:space="preserve"> </w:t>
      </w:r>
      <w:r w:rsidRPr="001C232F">
        <w:t xml:space="preserve">fixed links into </w:t>
      </w:r>
      <w:r w:rsidR="00B238F8">
        <w:t>RMR</w:t>
      </w:r>
      <w:r w:rsidRPr="001C232F">
        <w:t xml:space="preserve"> </w:t>
      </w:r>
      <w:bookmarkEnd w:id="82"/>
      <w:bookmarkEnd w:id="83"/>
      <w:r w:rsidR="001915C8">
        <w:t>network</w:t>
      </w:r>
      <w:bookmarkEnd w:id="84"/>
      <w:r w:rsidR="00EC38F6">
        <w:t xml:space="preserve"> </w:t>
      </w:r>
    </w:p>
    <w:p w14:paraId="52B866B9" w14:textId="52E2693F" w:rsidR="00776D9C" w:rsidRPr="00232FE3" w:rsidRDefault="00776D9C" w:rsidP="00776D9C">
      <w:bookmarkStart w:id="85" w:name="_Hlk206163713"/>
      <w:r>
        <w:t>Interference from a fixed link</w:t>
      </w:r>
      <w:r w:rsidRPr="00232FE3">
        <w:t xml:space="preserve"> transmitter into a </w:t>
      </w:r>
      <w:r w:rsidR="00B238F8">
        <w:t>RMR</w:t>
      </w:r>
      <w:r w:rsidRPr="00232FE3">
        <w:t xml:space="preserve"> </w:t>
      </w:r>
      <w:r w:rsidR="00AB2572">
        <w:t xml:space="preserve">base station </w:t>
      </w:r>
      <w:r w:rsidRPr="00232FE3">
        <w:t xml:space="preserve">receiver </w:t>
      </w:r>
      <w:r>
        <w:t>is assessed using the criteria in this section</w:t>
      </w:r>
      <w:r w:rsidR="00C86D4B">
        <w:t>, for the following t</w:t>
      </w:r>
      <w:r>
        <w:t xml:space="preserve">wo </w:t>
      </w:r>
      <w:r w:rsidR="00C86D4B">
        <w:t>interference</w:t>
      </w:r>
      <w:r>
        <w:t xml:space="preserve"> scenarios:</w:t>
      </w:r>
    </w:p>
    <w:p w14:paraId="074998F5" w14:textId="52EC76FE" w:rsidR="00776D9C" w:rsidRPr="00232FE3" w:rsidRDefault="00776D9C" w:rsidP="00306785">
      <w:pPr>
        <w:pStyle w:val="ListBullet"/>
      </w:pPr>
      <w:r w:rsidRPr="00232FE3">
        <w:t xml:space="preserve">Interference from a proposed </w:t>
      </w:r>
      <w:r>
        <w:t>fixed link</w:t>
      </w:r>
      <w:r w:rsidRPr="00232FE3">
        <w:t xml:space="preserve"> </w:t>
      </w:r>
      <w:r w:rsidR="00212F8B">
        <w:t>in</w:t>
      </w:r>
      <w:r w:rsidRPr="00232FE3">
        <w:t>to a</w:t>
      </w:r>
      <w:r w:rsidR="00212F8B">
        <w:t>n</w:t>
      </w:r>
      <w:r w:rsidRPr="00232FE3">
        <w:t xml:space="preserve"> </w:t>
      </w:r>
      <w:r w:rsidR="00B238F8">
        <w:t>RMR</w:t>
      </w:r>
      <w:r w:rsidRPr="00232FE3">
        <w:t xml:space="preserve"> receiver.</w:t>
      </w:r>
    </w:p>
    <w:p w14:paraId="2D7DA900" w14:textId="180BA918" w:rsidR="00776D9C" w:rsidRPr="00232FE3" w:rsidRDefault="00776D9C" w:rsidP="00306785">
      <w:pPr>
        <w:pStyle w:val="ListBulletLast"/>
      </w:pPr>
      <w:r w:rsidRPr="00232FE3">
        <w:t>Interference from a</w:t>
      </w:r>
      <w:r w:rsidR="0010159A">
        <w:t>n existing</w:t>
      </w:r>
      <w:r w:rsidRPr="00232FE3">
        <w:t xml:space="preserve"> </w:t>
      </w:r>
      <w:r>
        <w:t>fixed link</w:t>
      </w:r>
      <w:r w:rsidR="001217BB">
        <w:t xml:space="preserve"> transmitter</w:t>
      </w:r>
      <w:r w:rsidR="0010159A">
        <w:t xml:space="preserve"> </w:t>
      </w:r>
      <w:r w:rsidR="001217BB">
        <w:t>(</w:t>
      </w:r>
      <w:r w:rsidR="0010159A">
        <w:t xml:space="preserve">licensed before </w:t>
      </w:r>
      <w:r w:rsidR="007D1F38">
        <w:t>2 July</w:t>
      </w:r>
      <w:r w:rsidR="0010159A">
        <w:t xml:space="preserve"> 2026</w:t>
      </w:r>
      <w:r w:rsidR="001217BB">
        <w:t>)</w:t>
      </w:r>
      <w:r w:rsidRPr="00232FE3">
        <w:t xml:space="preserve"> </w:t>
      </w:r>
      <w:r w:rsidR="00212F8B">
        <w:t>in</w:t>
      </w:r>
      <w:r w:rsidRPr="00232FE3">
        <w:t xml:space="preserve">to a proposed </w:t>
      </w:r>
      <w:r w:rsidR="00B238F8">
        <w:t>RMR</w:t>
      </w:r>
      <w:r w:rsidRPr="00232FE3">
        <w:t xml:space="preserve"> receiver.</w:t>
      </w:r>
    </w:p>
    <w:p w14:paraId="6920EAEF" w14:textId="4668B74F" w:rsidR="00776D9C" w:rsidRDefault="00776D9C" w:rsidP="00776D9C">
      <w:pPr>
        <w:pStyle w:val="Heading3"/>
      </w:pPr>
      <w:bookmarkStart w:id="86" w:name="_Toc210288311"/>
      <w:bookmarkStart w:id="87" w:name="_Ref210201190"/>
      <w:bookmarkStart w:id="88" w:name="_Toc233192914"/>
      <w:bookmarkEnd w:id="86"/>
      <w:r>
        <w:t xml:space="preserve">Interference from a proposed fixed link transmitter </w:t>
      </w:r>
      <w:r w:rsidR="00212F8B">
        <w:t>in</w:t>
      </w:r>
      <w:r>
        <w:t>to a</w:t>
      </w:r>
      <w:r w:rsidR="00212F8B">
        <w:t>n</w:t>
      </w:r>
      <w:r>
        <w:t xml:space="preserve"> </w:t>
      </w:r>
      <w:r w:rsidR="00B238F8">
        <w:t>RMR</w:t>
      </w:r>
      <w:r>
        <w:t xml:space="preserve"> receiver</w:t>
      </w:r>
      <w:bookmarkEnd w:id="87"/>
      <w:bookmarkEnd w:id="88"/>
      <w:r>
        <w:t xml:space="preserve"> </w:t>
      </w:r>
    </w:p>
    <w:p w14:paraId="2EE1C1A5" w14:textId="6FF2544C" w:rsidR="00776D9C" w:rsidRDefault="0010159A" w:rsidP="00776D9C">
      <w:r>
        <w:t xml:space="preserve">Fixed links may be licensed on or after </w:t>
      </w:r>
      <w:r w:rsidR="007D1F38">
        <w:t>2 July</w:t>
      </w:r>
      <w:r>
        <w:t xml:space="preserve"> 2026, </w:t>
      </w:r>
      <w:r w:rsidRPr="00CD63D9">
        <w:rPr>
          <w:szCs w:val="22"/>
        </w:rPr>
        <w:t xml:space="preserve">within </w:t>
      </w:r>
      <w:r>
        <w:rPr>
          <w:szCs w:val="22"/>
        </w:rPr>
        <w:t xml:space="preserve">the </w:t>
      </w:r>
      <w:r w:rsidR="000318D2">
        <w:rPr>
          <w:szCs w:val="22"/>
        </w:rPr>
        <w:t>distance</w:t>
      </w:r>
      <w:r w:rsidR="000529FB">
        <w:rPr>
          <w:szCs w:val="22"/>
        </w:rPr>
        <w:t xml:space="preserve"> </w:t>
      </w:r>
      <w:r>
        <w:rPr>
          <w:szCs w:val="22"/>
        </w:rPr>
        <w:t>and frequency</w:t>
      </w:r>
      <w:r w:rsidR="000318D2">
        <w:rPr>
          <w:szCs w:val="22"/>
        </w:rPr>
        <w:t xml:space="preserve"> </w:t>
      </w:r>
      <w:r w:rsidR="000529FB">
        <w:rPr>
          <w:szCs w:val="22"/>
        </w:rPr>
        <w:t>range specified</w:t>
      </w:r>
      <w:r w:rsidR="000318D2">
        <w:rPr>
          <w:szCs w:val="22"/>
        </w:rPr>
        <w:t xml:space="preserve"> </w:t>
      </w:r>
      <w:r>
        <w:rPr>
          <w:szCs w:val="22"/>
        </w:rPr>
        <w:t xml:space="preserve">in Table </w:t>
      </w:r>
      <w:r w:rsidR="000529FB">
        <w:rPr>
          <w:szCs w:val="22"/>
        </w:rPr>
        <w:t>6</w:t>
      </w:r>
      <w:r w:rsidRPr="00CD63D9">
        <w:rPr>
          <w:szCs w:val="22"/>
        </w:rPr>
        <w:t xml:space="preserve"> on a </w:t>
      </w:r>
      <w:r w:rsidR="00346AD6">
        <w:rPr>
          <w:szCs w:val="22"/>
        </w:rPr>
        <w:t>NINP</w:t>
      </w:r>
      <w:r w:rsidRPr="00CD63D9">
        <w:rPr>
          <w:szCs w:val="22"/>
        </w:rPr>
        <w:t xml:space="preserve"> basis with regards to </w:t>
      </w:r>
      <w:r w:rsidR="00B238F8">
        <w:rPr>
          <w:szCs w:val="22"/>
        </w:rPr>
        <w:t>RMR</w:t>
      </w:r>
      <w:r w:rsidRPr="00CD63D9">
        <w:rPr>
          <w:szCs w:val="22"/>
        </w:rPr>
        <w:t xml:space="preserve"> base stations</w:t>
      </w:r>
      <w:r>
        <w:rPr>
          <w:szCs w:val="22"/>
        </w:rPr>
        <w:t xml:space="preserve"> (</w:t>
      </w:r>
      <w:r w:rsidR="00615AAB">
        <w:rPr>
          <w:szCs w:val="22"/>
        </w:rPr>
        <w:t xml:space="preserve">special condition </w:t>
      </w:r>
      <w:r w:rsidR="007F0CB1">
        <w:rPr>
          <w:szCs w:val="22"/>
        </w:rPr>
        <w:t>C26</w:t>
      </w:r>
      <w:r w:rsidR="00615AAB">
        <w:rPr>
          <w:szCs w:val="22"/>
        </w:rPr>
        <w:t xml:space="preserve"> is to be attached to the licence for these fixed links – </w:t>
      </w:r>
      <w:r w:rsidR="000F41A3">
        <w:rPr>
          <w:szCs w:val="22"/>
        </w:rPr>
        <w:t>see section</w:t>
      </w:r>
      <w:r w:rsidR="000529FB">
        <w:rPr>
          <w:szCs w:val="22"/>
        </w:rPr>
        <w:t xml:space="preserve"> </w:t>
      </w:r>
      <w:r w:rsidR="000529FB">
        <w:rPr>
          <w:szCs w:val="22"/>
        </w:rPr>
        <w:fldChar w:fldCharType="begin"/>
      </w:r>
      <w:r w:rsidR="000529FB">
        <w:rPr>
          <w:szCs w:val="22"/>
        </w:rPr>
        <w:instrText xml:space="preserve"> REF _Ref212633706 \r \h </w:instrText>
      </w:r>
      <w:r w:rsidR="000529FB">
        <w:rPr>
          <w:szCs w:val="22"/>
        </w:rPr>
      </w:r>
      <w:r w:rsidR="000529FB">
        <w:rPr>
          <w:szCs w:val="22"/>
        </w:rPr>
        <w:fldChar w:fldCharType="separate"/>
      </w:r>
      <w:r w:rsidR="000529FB">
        <w:rPr>
          <w:szCs w:val="22"/>
        </w:rPr>
        <w:t>4.8</w:t>
      </w:r>
      <w:r w:rsidR="000529FB">
        <w:rPr>
          <w:szCs w:val="22"/>
        </w:rPr>
        <w:fldChar w:fldCharType="end"/>
      </w:r>
      <w:r>
        <w:rPr>
          <w:szCs w:val="22"/>
        </w:rPr>
        <w:t>)</w:t>
      </w:r>
      <w:r>
        <w:t xml:space="preserve">. </w:t>
      </w:r>
      <w:r w:rsidR="00D957D2">
        <w:t xml:space="preserve">In addition, every </w:t>
      </w:r>
      <w:r w:rsidR="000529FB">
        <w:t>point</w:t>
      </w:r>
      <w:r w:rsidR="00776D9C">
        <w:t xml:space="preserve"> </w:t>
      </w:r>
      <w:r w:rsidR="000529FB">
        <w:t>along</w:t>
      </w:r>
      <w:r w:rsidR="00776D9C">
        <w:t xml:space="preserve"> a railway line that is within the</w:t>
      </w:r>
      <w:r w:rsidR="003E0A64">
        <w:t xml:space="preserve"> distance</w:t>
      </w:r>
      <w:r w:rsidR="000529FB">
        <w:t xml:space="preserve"> </w:t>
      </w:r>
      <w:r w:rsidR="003E0A64">
        <w:t>coordination</w:t>
      </w:r>
      <w:r w:rsidR="007D3FFF">
        <w:t xml:space="preserve"> range</w:t>
      </w:r>
      <w:r w:rsidR="003E0A64">
        <w:t xml:space="preserve"> is</w:t>
      </w:r>
      <w:r w:rsidR="00776D9C">
        <w:t xml:space="preserve"> to be </w:t>
      </w:r>
      <w:r w:rsidR="000529FB">
        <w:t>afforded</w:t>
      </w:r>
      <w:r w:rsidR="00776D9C">
        <w:t xml:space="preserve"> protection from a proposed fixed link transmitter </w:t>
      </w:r>
      <w:r w:rsidR="000529FB">
        <w:t xml:space="preserve">in accordance with </w:t>
      </w:r>
      <w:r w:rsidR="00776D9C">
        <w:t>the</w:t>
      </w:r>
      <w:r w:rsidR="000529FB">
        <w:t xml:space="preserve"> protection</w:t>
      </w:r>
      <w:r w:rsidR="00776D9C">
        <w:t xml:space="preserve"> criteria detailed in Appendix B</w:t>
      </w:r>
      <w:r w:rsidR="000529FB">
        <w:t>. I</w:t>
      </w:r>
      <w:r w:rsidR="000529FB" w:rsidRPr="004F14C7">
        <w:t xml:space="preserve">n doing so, a notional </w:t>
      </w:r>
      <w:r w:rsidR="00B238F8">
        <w:t>RMR</w:t>
      </w:r>
      <w:r w:rsidR="000529FB" w:rsidRPr="004F14C7">
        <w:t xml:space="preserve"> base station </w:t>
      </w:r>
      <w:r w:rsidR="003E0A64">
        <w:t xml:space="preserve">receiver </w:t>
      </w:r>
      <w:r w:rsidR="000529FB" w:rsidRPr="004F14C7">
        <w:t>(as defined in Appendix E) should be assumed to be operating at all points on a rail line</w:t>
      </w:r>
      <w:r w:rsidR="000529FB">
        <w:t>.</w:t>
      </w:r>
      <w:r w:rsidR="00D957D2" w:rsidRPr="00D957D2">
        <w:t xml:space="preserve"> </w:t>
      </w:r>
    </w:p>
    <w:p w14:paraId="2E78DE3D" w14:textId="15D473ED" w:rsidR="0010159A" w:rsidRDefault="0010159A" w:rsidP="0010159A">
      <w:r>
        <w:t xml:space="preserve">No coordination is required for proposed fixed link transmitters outside the </w:t>
      </w:r>
      <w:r w:rsidR="000318D2">
        <w:t>distance</w:t>
      </w:r>
      <w:r w:rsidR="000529FB">
        <w:t xml:space="preserve"> and frequenc</w:t>
      </w:r>
      <w:r w:rsidR="00025914">
        <w:t>y</w:t>
      </w:r>
      <w:r w:rsidR="007D3FFF">
        <w:t xml:space="preserve"> range</w:t>
      </w:r>
      <w:r>
        <w:t xml:space="preserve"> </w:t>
      </w:r>
      <w:r w:rsidR="000318D2">
        <w:t xml:space="preserve">described </w:t>
      </w:r>
      <w:r>
        <w:t xml:space="preserve">in Table 6. </w:t>
      </w:r>
    </w:p>
    <w:p w14:paraId="731023B1" w14:textId="70D0592E" w:rsidR="00776D9C" w:rsidRPr="00232FE3" w:rsidRDefault="00776D9C" w:rsidP="00306785">
      <w:pPr>
        <w:pStyle w:val="Caption"/>
      </w:pPr>
      <w:r w:rsidRPr="00232FE3">
        <w:t xml:space="preserve">Fixed link </w:t>
      </w:r>
      <w:r w:rsidR="008F7D3E">
        <w:t>transmitter</w:t>
      </w:r>
      <w:r w:rsidR="008F7D3E" w:rsidRPr="00232FE3">
        <w:t xml:space="preserve"> </w:t>
      </w:r>
      <w:r w:rsidRPr="00232FE3">
        <w:t xml:space="preserve">frequency </w:t>
      </w:r>
      <w:r w:rsidR="007D3FFF">
        <w:t>coordination</w:t>
      </w:r>
      <w:r w:rsidRPr="00232FE3">
        <w:t xml:space="preserve"> range</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89"/>
        <w:gridCol w:w="4819"/>
      </w:tblGrid>
      <w:tr w:rsidR="00776D9C" w:rsidRPr="00232FE3" w14:paraId="672E0FF7" w14:textId="77777777" w:rsidTr="008F7D3E">
        <w:trPr>
          <w:tblHeader/>
        </w:trPr>
        <w:tc>
          <w:tcPr>
            <w:tcW w:w="2689" w:type="dxa"/>
            <w:shd w:val="clear" w:color="auto" w:fill="D9D9D9"/>
          </w:tcPr>
          <w:p w14:paraId="4D363ACE" w14:textId="2EC0D808" w:rsidR="00776D9C" w:rsidRPr="00232FE3" w:rsidRDefault="00BB35F8">
            <w:pPr>
              <w:spacing w:after="0" w:line="240" w:lineRule="auto"/>
              <w:rPr>
                <w:rFonts w:eastAsiaTheme="minorHAnsi"/>
                <w:b/>
                <w:szCs w:val="22"/>
              </w:rPr>
            </w:pPr>
            <w:r>
              <w:rPr>
                <w:rFonts w:eastAsiaTheme="minorHAnsi"/>
                <w:b/>
                <w:szCs w:val="22"/>
              </w:rPr>
              <w:t xml:space="preserve">Distance </w:t>
            </w:r>
            <w:r w:rsidR="000529FB">
              <w:rPr>
                <w:rFonts w:eastAsiaTheme="minorHAnsi"/>
                <w:b/>
                <w:szCs w:val="22"/>
              </w:rPr>
              <w:t>from railway line</w:t>
            </w:r>
            <w:r>
              <w:rPr>
                <w:rStyle w:val="FootnoteReference"/>
                <w:rFonts w:eastAsiaTheme="minorHAnsi"/>
                <w:b/>
                <w:szCs w:val="22"/>
              </w:rPr>
              <w:footnoteReference w:id="10"/>
            </w:r>
          </w:p>
        </w:tc>
        <w:tc>
          <w:tcPr>
            <w:tcW w:w="4819" w:type="dxa"/>
            <w:shd w:val="clear" w:color="auto" w:fill="D9D9D9"/>
          </w:tcPr>
          <w:p w14:paraId="347AD444" w14:textId="46806F73" w:rsidR="00776D9C" w:rsidRPr="00232FE3" w:rsidRDefault="00D05D86">
            <w:pPr>
              <w:spacing w:after="0" w:line="240" w:lineRule="auto"/>
              <w:rPr>
                <w:rFonts w:eastAsiaTheme="minorHAnsi"/>
                <w:b/>
                <w:szCs w:val="22"/>
              </w:rPr>
            </w:pPr>
            <w:r>
              <w:rPr>
                <w:rFonts w:eastAsiaTheme="minorHAnsi"/>
                <w:b/>
                <w:szCs w:val="22"/>
              </w:rPr>
              <w:t>Fixed link</w:t>
            </w:r>
            <w:r w:rsidR="00776D9C" w:rsidRPr="00232FE3">
              <w:rPr>
                <w:rFonts w:eastAsiaTheme="minorHAnsi"/>
                <w:b/>
                <w:szCs w:val="22"/>
              </w:rPr>
              <w:t xml:space="preserve"> Frequency </w:t>
            </w:r>
            <w:r w:rsidR="007D3FFF">
              <w:rPr>
                <w:rFonts w:eastAsiaTheme="minorHAnsi"/>
                <w:b/>
                <w:szCs w:val="22"/>
              </w:rPr>
              <w:t>Coordination</w:t>
            </w:r>
            <w:r w:rsidR="00776D9C" w:rsidRPr="00232FE3">
              <w:rPr>
                <w:rFonts w:eastAsiaTheme="minorHAnsi"/>
                <w:b/>
                <w:szCs w:val="22"/>
              </w:rPr>
              <w:t xml:space="preserve"> Range</w:t>
            </w:r>
            <w:r w:rsidR="000529FB">
              <w:rPr>
                <w:rStyle w:val="FootnoteReference"/>
                <w:rFonts w:eastAsiaTheme="minorHAnsi"/>
                <w:b/>
                <w:szCs w:val="22"/>
              </w:rPr>
              <w:footnoteReference w:id="11"/>
            </w:r>
            <w:r w:rsidR="008B7573">
              <w:rPr>
                <w:rFonts w:eastAsiaTheme="minorHAnsi"/>
                <w:b/>
                <w:szCs w:val="22"/>
              </w:rPr>
              <w:t xml:space="preserve"> </w:t>
            </w:r>
          </w:p>
        </w:tc>
      </w:tr>
      <w:tr w:rsidR="00776D9C" w:rsidRPr="00232FE3" w14:paraId="14AB102C" w14:textId="77777777" w:rsidTr="008F7D3E">
        <w:tc>
          <w:tcPr>
            <w:tcW w:w="2689" w:type="dxa"/>
          </w:tcPr>
          <w:p w14:paraId="6BC88BBC" w14:textId="3E6A0B65" w:rsidR="00E8086D" w:rsidRDefault="008F7D3E" w:rsidP="00E8086D">
            <w:pPr>
              <w:spacing w:after="0" w:line="240" w:lineRule="auto"/>
              <w:rPr>
                <w:rFonts w:eastAsiaTheme="minorHAnsi"/>
                <w:szCs w:val="22"/>
              </w:rPr>
            </w:pPr>
            <w:r>
              <w:rPr>
                <w:rFonts w:eastAsiaTheme="minorHAnsi"/>
                <w:szCs w:val="22"/>
              </w:rPr>
              <w:t xml:space="preserve">160 </w:t>
            </w:r>
            <w:r w:rsidR="00E8086D">
              <w:rPr>
                <w:rFonts w:eastAsiaTheme="minorHAnsi"/>
                <w:szCs w:val="22"/>
              </w:rPr>
              <w:t>km (co-channel)</w:t>
            </w:r>
          </w:p>
          <w:p w14:paraId="6D2759B5" w14:textId="0544081F" w:rsidR="00776D9C" w:rsidRPr="00232FE3" w:rsidRDefault="008F7D3E" w:rsidP="00E8086D">
            <w:pPr>
              <w:spacing w:after="0" w:line="240" w:lineRule="auto"/>
              <w:rPr>
                <w:rFonts w:eastAsiaTheme="minorHAnsi"/>
                <w:szCs w:val="22"/>
              </w:rPr>
            </w:pPr>
            <w:r>
              <w:rPr>
                <w:rFonts w:eastAsiaTheme="minorHAnsi"/>
                <w:szCs w:val="22"/>
              </w:rPr>
              <w:t xml:space="preserve">60 </w:t>
            </w:r>
            <w:r w:rsidR="00E8086D">
              <w:rPr>
                <w:rFonts w:eastAsiaTheme="minorHAnsi"/>
                <w:szCs w:val="22"/>
              </w:rPr>
              <w:t>km (adjacent channel)</w:t>
            </w:r>
          </w:p>
        </w:tc>
        <w:tc>
          <w:tcPr>
            <w:tcW w:w="4819" w:type="dxa"/>
          </w:tcPr>
          <w:p w14:paraId="19A972F0" w14:textId="51B25953" w:rsidR="00776D9C" w:rsidRPr="00232FE3" w:rsidRDefault="00D05D86">
            <w:pPr>
              <w:spacing w:after="0" w:line="240" w:lineRule="auto"/>
              <w:rPr>
                <w:rFonts w:eastAsiaTheme="minorHAnsi"/>
                <w:szCs w:val="22"/>
              </w:rPr>
            </w:pPr>
            <w:r w:rsidRPr="00C873F8">
              <w:rPr>
                <w:rFonts w:eastAsiaTheme="minorHAnsi"/>
                <w:szCs w:val="22"/>
              </w:rPr>
              <w:t>18</w:t>
            </w:r>
            <w:r>
              <w:rPr>
                <w:rFonts w:eastAsiaTheme="minorHAnsi"/>
                <w:szCs w:val="22"/>
              </w:rPr>
              <w:t>74.5</w:t>
            </w:r>
            <w:r w:rsidRPr="00C873F8">
              <w:rPr>
                <w:rFonts w:eastAsiaTheme="minorHAnsi"/>
                <w:szCs w:val="22"/>
              </w:rPr>
              <w:t>–19</w:t>
            </w:r>
            <w:r>
              <w:rPr>
                <w:rFonts w:eastAsiaTheme="minorHAnsi"/>
                <w:szCs w:val="22"/>
              </w:rPr>
              <w:t>51</w:t>
            </w:r>
            <w:r w:rsidRPr="00C873F8">
              <w:rPr>
                <w:rFonts w:eastAsiaTheme="minorHAnsi"/>
                <w:szCs w:val="22"/>
              </w:rPr>
              <w:t xml:space="preserve"> MHz</w:t>
            </w:r>
          </w:p>
        </w:tc>
      </w:tr>
    </w:tbl>
    <w:p w14:paraId="01981731" w14:textId="77777777" w:rsidR="00776D9C" w:rsidRDefault="00776D9C" w:rsidP="00776D9C"/>
    <w:p w14:paraId="42BE76E9" w14:textId="3E98E3EA" w:rsidR="00776D9C" w:rsidRDefault="00776D9C" w:rsidP="00776D9C">
      <w:pPr>
        <w:pStyle w:val="Heading3"/>
      </w:pPr>
      <w:bookmarkStart w:id="89" w:name="_Ref210201179"/>
      <w:bookmarkStart w:id="90" w:name="_Toc233192915"/>
      <w:r>
        <w:t>Interference from a</w:t>
      </w:r>
      <w:r w:rsidDel="001217BB">
        <w:t xml:space="preserve"> </w:t>
      </w:r>
      <w:r w:rsidR="00D05D86">
        <w:t>fixed link</w:t>
      </w:r>
      <w:r>
        <w:t xml:space="preserve"> transmitter</w:t>
      </w:r>
      <w:r w:rsidR="001217BB">
        <w:t xml:space="preserve"> licensed before </w:t>
      </w:r>
      <w:r w:rsidR="007D1F38">
        <w:t>2 July</w:t>
      </w:r>
      <w:r w:rsidR="001217BB">
        <w:t xml:space="preserve"> 2026</w:t>
      </w:r>
      <w:r>
        <w:t xml:space="preserve"> </w:t>
      </w:r>
      <w:r w:rsidR="00FE27C3">
        <w:t>in</w:t>
      </w:r>
      <w:r>
        <w:t xml:space="preserve">to a proposed </w:t>
      </w:r>
      <w:r w:rsidR="00B238F8">
        <w:t>RMR</w:t>
      </w:r>
      <w:r>
        <w:t xml:space="preserve"> receiver</w:t>
      </w:r>
      <w:bookmarkEnd w:id="89"/>
      <w:bookmarkEnd w:id="90"/>
      <w:r>
        <w:t xml:space="preserve"> </w:t>
      </w:r>
    </w:p>
    <w:p w14:paraId="1FE4A6C2" w14:textId="177A6203" w:rsidR="00776D9C" w:rsidRDefault="00776D9C" w:rsidP="00776D9C">
      <w:r>
        <w:t xml:space="preserve">For a proposed </w:t>
      </w:r>
      <w:r w:rsidR="00B238F8">
        <w:t>RMR</w:t>
      </w:r>
      <w:r>
        <w:t xml:space="preserve"> receiver, assessment of the interference risk </w:t>
      </w:r>
      <w:r w:rsidR="00D05D86">
        <w:t>should</w:t>
      </w:r>
      <w:r>
        <w:t xml:space="preserve"> be </w:t>
      </w:r>
      <w:r w:rsidR="000529FB">
        <w:t xml:space="preserve">based on criteria detailed in Appendix B </w:t>
      </w:r>
      <w:r>
        <w:t xml:space="preserve">for </w:t>
      </w:r>
      <w:r w:rsidR="00D05D86">
        <w:t>fixed link</w:t>
      </w:r>
      <w:r>
        <w:t xml:space="preserve"> transmitters </w:t>
      </w:r>
      <w:r w:rsidR="009A0BAE">
        <w:t xml:space="preserve">licensed </w:t>
      </w:r>
      <w:r>
        <w:t xml:space="preserve">before </w:t>
      </w:r>
      <w:r w:rsidR="007D1F38">
        <w:t>2 July</w:t>
      </w:r>
      <w:r>
        <w:t xml:space="preserve"> 2026 that are within the </w:t>
      </w:r>
      <w:r w:rsidR="000318D2">
        <w:t>distance</w:t>
      </w:r>
      <w:r w:rsidR="000529FB">
        <w:t xml:space="preserve"> and </w:t>
      </w:r>
      <w:r>
        <w:t>frequency</w:t>
      </w:r>
      <w:r w:rsidR="000318D2">
        <w:t xml:space="preserve"> </w:t>
      </w:r>
      <w:r w:rsidR="000529FB">
        <w:t>range</w:t>
      </w:r>
      <w:r w:rsidR="000318D2">
        <w:t xml:space="preserve"> </w:t>
      </w:r>
      <w:r w:rsidR="000529FB">
        <w:t>described</w:t>
      </w:r>
      <w:r w:rsidR="001217BB">
        <w:t xml:space="preserve"> in Table 7</w:t>
      </w:r>
      <w:r>
        <w:t xml:space="preserve">. </w:t>
      </w:r>
      <w:r w:rsidR="00D05D86">
        <w:t>Fixed link</w:t>
      </w:r>
      <w:r>
        <w:t xml:space="preserve"> transmitters </w:t>
      </w:r>
      <w:r w:rsidR="009A0BAE">
        <w:t>licensed on or</w:t>
      </w:r>
      <w:r>
        <w:t xml:space="preserve"> after </w:t>
      </w:r>
      <w:r w:rsidR="007D1F38">
        <w:t>2 July</w:t>
      </w:r>
      <w:r>
        <w:t xml:space="preserve"> 2026 are not expected to cause interference based on the coordination requirements in section 3.</w:t>
      </w:r>
      <w:r w:rsidR="001217BB">
        <w:t>4</w:t>
      </w:r>
      <w:r>
        <w:t>.1.</w:t>
      </w:r>
    </w:p>
    <w:p w14:paraId="74DC6CD9" w14:textId="04C65E10" w:rsidR="00776D9C" w:rsidRPr="00232FE3" w:rsidRDefault="000318D2" w:rsidP="00306785">
      <w:pPr>
        <w:pStyle w:val="Caption"/>
      </w:pPr>
      <w:r>
        <w:t>Distance</w:t>
      </w:r>
      <w:r w:rsidR="00FE27C3">
        <w:t xml:space="preserve"> and frequency ranges where fixed</w:t>
      </w:r>
      <w:r w:rsidR="00776D9C" w:rsidRPr="00232FE3">
        <w:t xml:space="preserve"> link </w:t>
      </w:r>
      <w:r w:rsidR="008F7D3E">
        <w:t>transmitter</w:t>
      </w:r>
      <w:r w:rsidR="008F7D3E" w:rsidRPr="00232FE3">
        <w:t xml:space="preserve"> </w:t>
      </w:r>
      <w:r w:rsidR="00FE27C3">
        <w:t>coordination is required</w:t>
      </w:r>
      <w:r>
        <w:t xml:space="preserve">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689"/>
        <w:gridCol w:w="4819"/>
      </w:tblGrid>
      <w:tr w:rsidR="00776D9C" w:rsidRPr="00232FE3" w14:paraId="74574BB6" w14:textId="77777777" w:rsidTr="008F7D3E">
        <w:trPr>
          <w:tblHeader/>
        </w:trPr>
        <w:tc>
          <w:tcPr>
            <w:tcW w:w="2689" w:type="dxa"/>
            <w:shd w:val="clear" w:color="auto" w:fill="D9D9D9"/>
          </w:tcPr>
          <w:p w14:paraId="4748BCFD" w14:textId="3F8613E5" w:rsidR="00776D9C" w:rsidRPr="00232FE3" w:rsidRDefault="00E8086D">
            <w:pPr>
              <w:spacing w:after="0" w:line="240" w:lineRule="auto"/>
              <w:rPr>
                <w:rFonts w:eastAsiaTheme="minorHAnsi"/>
                <w:b/>
                <w:szCs w:val="22"/>
              </w:rPr>
            </w:pPr>
            <w:r>
              <w:rPr>
                <w:rFonts w:eastAsiaTheme="minorHAnsi"/>
                <w:b/>
                <w:szCs w:val="22"/>
              </w:rPr>
              <w:lastRenderedPageBreak/>
              <w:t xml:space="preserve">Distance </w:t>
            </w:r>
            <w:r w:rsidR="00FE27C3">
              <w:rPr>
                <w:rFonts w:eastAsiaTheme="minorHAnsi"/>
                <w:b/>
                <w:szCs w:val="22"/>
              </w:rPr>
              <w:t>from existing fixed link receiver</w:t>
            </w:r>
            <w:r>
              <w:rPr>
                <w:rStyle w:val="FootnoteReference"/>
                <w:rFonts w:eastAsiaTheme="minorHAnsi"/>
                <w:b/>
                <w:szCs w:val="22"/>
              </w:rPr>
              <w:footnoteReference w:id="12"/>
            </w:r>
          </w:p>
        </w:tc>
        <w:tc>
          <w:tcPr>
            <w:tcW w:w="4819" w:type="dxa"/>
            <w:shd w:val="clear" w:color="auto" w:fill="D9D9D9"/>
          </w:tcPr>
          <w:p w14:paraId="4C870F00" w14:textId="28EB1A97" w:rsidR="00776D9C" w:rsidRPr="00232FE3" w:rsidRDefault="00D05D86">
            <w:pPr>
              <w:spacing w:after="0" w:line="240" w:lineRule="auto"/>
              <w:rPr>
                <w:rFonts w:eastAsiaTheme="minorHAnsi"/>
                <w:b/>
                <w:szCs w:val="22"/>
              </w:rPr>
            </w:pPr>
            <w:r>
              <w:rPr>
                <w:rFonts w:eastAsiaTheme="minorHAnsi"/>
                <w:b/>
                <w:szCs w:val="22"/>
              </w:rPr>
              <w:t>Fixed link</w:t>
            </w:r>
            <w:r w:rsidR="00776D9C" w:rsidRPr="00232FE3">
              <w:rPr>
                <w:rFonts w:eastAsiaTheme="minorHAnsi"/>
                <w:b/>
                <w:szCs w:val="22"/>
              </w:rPr>
              <w:t xml:space="preserve"> Frequency </w:t>
            </w:r>
            <w:r w:rsidR="007D3FFF">
              <w:rPr>
                <w:rFonts w:eastAsiaTheme="minorHAnsi"/>
                <w:b/>
                <w:szCs w:val="22"/>
              </w:rPr>
              <w:t>Coordination</w:t>
            </w:r>
            <w:r w:rsidR="00776D9C" w:rsidRPr="00232FE3">
              <w:rPr>
                <w:rFonts w:eastAsiaTheme="minorHAnsi"/>
                <w:b/>
                <w:szCs w:val="22"/>
              </w:rPr>
              <w:t xml:space="preserve"> Range</w:t>
            </w:r>
            <w:r w:rsidR="00FE27C3">
              <w:rPr>
                <w:rStyle w:val="FootnoteReference"/>
                <w:rFonts w:eastAsiaTheme="minorHAnsi"/>
                <w:b/>
                <w:szCs w:val="22"/>
              </w:rPr>
              <w:footnoteReference w:id="13"/>
            </w:r>
            <w:r w:rsidR="008B7573">
              <w:rPr>
                <w:rFonts w:eastAsiaTheme="minorHAnsi"/>
                <w:b/>
                <w:szCs w:val="22"/>
              </w:rPr>
              <w:t xml:space="preserve"> </w:t>
            </w:r>
          </w:p>
        </w:tc>
      </w:tr>
      <w:tr w:rsidR="00776D9C" w:rsidRPr="00232FE3" w14:paraId="07A8E0A2" w14:textId="77777777" w:rsidTr="008F7D3E">
        <w:tc>
          <w:tcPr>
            <w:tcW w:w="2689" w:type="dxa"/>
          </w:tcPr>
          <w:p w14:paraId="37F18C90" w14:textId="1DF84C5B" w:rsidR="00E8086D" w:rsidRDefault="00E8086D" w:rsidP="00E8086D">
            <w:pPr>
              <w:spacing w:after="0" w:line="240" w:lineRule="auto"/>
              <w:rPr>
                <w:rFonts w:eastAsiaTheme="minorHAnsi"/>
                <w:szCs w:val="22"/>
              </w:rPr>
            </w:pPr>
            <w:r>
              <w:rPr>
                <w:rFonts w:eastAsiaTheme="minorHAnsi"/>
                <w:szCs w:val="22"/>
              </w:rPr>
              <w:t>1</w:t>
            </w:r>
            <w:r w:rsidR="008F7D3E">
              <w:rPr>
                <w:rFonts w:eastAsiaTheme="minorHAnsi"/>
                <w:szCs w:val="22"/>
              </w:rPr>
              <w:t>6</w:t>
            </w:r>
            <w:r>
              <w:rPr>
                <w:rFonts w:eastAsiaTheme="minorHAnsi"/>
                <w:szCs w:val="22"/>
              </w:rPr>
              <w:t>0 km (co-channel)</w:t>
            </w:r>
          </w:p>
          <w:p w14:paraId="540087B7" w14:textId="5995F049" w:rsidR="00776D9C" w:rsidRPr="00232FE3" w:rsidRDefault="008F7D3E" w:rsidP="00E8086D">
            <w:pPr>
              <w:spacing w:after="0" w:line="240" w:lineRule="auto"/>
              <w:rPr>
                <w:rFonts w:eastAsiaTheme="minorHAnsi"/>
                <w:szCs w:val="22"/>
              </w:rPr>
            </w:pPr>
            <w:r>
              <w:rPr>
                <w:rFonts w:eastAsiaTheme="minorHAnsi"/>
                <w:szCs w:val="22"/>
              </w:rPr>
              <w:t xml:space="preserve">60 </w:t>
            </w:r>
            <w:r w:rsidR="00E8086D">
              <w:rPr>
                <w:rFonts w:eastAsiaTheme="minorHAnsi"/>
                <w:szCs w:val="22"/>
              </w:rPr>
              <w:t>km (adjacent channel)</w:t>
            </w:r>
          </w:p>
        </w:tc>
        <w:tc>
          <w:tcPr>
            <w:tcW w:w="4819" w:type="dxa"/>
          </w:tcPr>
          <w:p w14:paraId="33636866" w14:textId="71C15892" w:rsidR="00776D9C" w:rsidRPr="00232FE3" w:rsidRDefault="00D05D86">
            <w:pPr>
              <w:spacing w:after="0" w:line="240" w:lineRule="auto"/>
              <w:rPr>
                <w:rFonts w:eastAsiaTheme="minorHAnsi"/>
                <w:szCs w:val="22"/>
              </w:rPr>
            </w:pPr>
            <w:r w:rsidRPr="00C873F8">
              <w:rPr>
                <w:rFonts w:eastAsiaTheme="minorHAnsi"/>
                <w:szCs w:val="22"/>
              </w:rPr>
              <w:t>18</w:t>
            </w:r>
            <w:r>
              <w:rPr>
                <w:rFonts w:eastAsiaTheme="minorHAnsi"/>
                <w:szCs w:val="22"/>
              </w:rPr>
              <w:t>74.5</w:t>
            </w:r>
            <w:r w:rsidRPr="00C873F8">
              <w:rPr>
                <w:rFonts w:eastAsiaTheme="minorHAnsi"/>
                <w:szCs w:val="22"/>
              </w:rPr>
              <w:t>–19</w:t>
            </w:r>
            <w:r>
              <w:rPr>
                <w:rFonts w:eastAsiaTheme="minorHAnsi"/>
                <w:szCs w:val="22"/>
              </w:rPr>
              <w:t>51</w:t>
            </w:r>
            <w:r w:rsidRPr="00C873F8">
              <w:rPr>
                <w:rFonts w:eastAsiaTheme="minorHAnsi"/>
                <w:szCs w:val="22"/>
              </w:rPr>
              <w:t xml:space="preserve"> MHz</w:t>
            </w:r>
          </w:p>
        </w:tc>
      </w:tr>
    </w:tbl>
    <w:p w14:paraId="434B8A77" w14:textId="77777777" w:rsidR="00776D9C" w:rsidRDefault="00776D9C" w:rsidP="00D50B2A"/>
    <w:p w14:paraId="3101D060" w14:textId="26ADCC9D" w:rsidR="00653706" w:rsidRDefault="00653706" w:rsidP="00653706">
      <w:pPr>
        <w:pStyle w:val="Heading2"/>
      </w:pPr>
      <w:bookmarkStart w:id="91" w:name="_Toc233192916"/>
      <w:bookmarkStart w:id="92" w:name="_Toc134081780"/>
      <w:bookmarkStart w:id="93" w:name="_Ref210201251"/>
      <w:bookmarkEnd w:id="85"/>
      <w:r w:rsidRPr="000872E3">
        <w:t xml:space="preserve">Assessing </w:t>
      </w:r>
      <w:r w:rsidR="00DF6F3F">
        <w:t xml:space="preserve">adjacent channel </w:t>
      </w:r>
      <w:r w:rsidR="00DF6F3F" w:rsidRPr="000872E3">
        <w:t>interference</w:t>
      </w:r>
      <w:r w:rsidR="00DF6F3F">
        <w:t xml:space="preserve"> from a</w:t>
      </w:r>
      <w:r w:rsidR="00DE377A">
        <w:t>n</w:t>
      </w:r>
      <w:r w:rsidR="00DF6F3F">
        <w:t xml:space="preserve"> </w:t>
      </w:r>
      <w:r w:rsidR="00B238F8">
        <w:t>RMR</w:t>
      </w:r>
      <w:r w:rsidRPr="000872E3">
        <w:t xml:space="preserve"> transmitter </w:t>
      </w:r>
      <w:r w:rsidR="00DF6F3F">
        <w:t>in</w:t>
      </w:r>
      <w:r w:rsidRPr="000872E3">
        <w:t xml:space="preserve">to </w:t>
      </w:r>
      <w:r w:rsidR="00DF6F3F">
        <w:t>a 2 GHz band</w:t>
      </w:r>
      <w:r w:rsidRPr="000872E3">
        <w:t xml:space="preserve"> </w:t>
      </w:r>
      <w:r>
        <w:t>s</w:t>
      </w:r>
      <w:r w:rsidRPr="000872E3">
        <w:t xml:space="preserve">pectrum </w:t>
      </w:r>
      <w:r>
        <w:t>l</w:t>
      </w:r>
      <w:r w:rsidRPr="000872E3">
        <w:t xml:space="preserve">icensed </w:t>
      </w:r>
      <w:r w:rsidR="00DF6F3F">
        <w:t>or</w:t>
      </w:r>
      <w:r w:rsidR="009E2AAA">
        <w:t xml:space="preserve"> PTS </w:t>
      </w:r>
      <w:r w:rsidRPr="000872E3">
        <w:t>receiver</w:t>
      </w:r>
      <w:bookmarkEnd w:id="91"/>
      <w:r w:rsidRPr="000872E3">
        <w:t xml:space="preserve"> </w:t>
      </w:r>
      <w:bookmarkEnd w:id="92"/>
      <w:bookmarkEnd w:id="93"/>
    </w:p>
    <w:p w14:paraId="7A405B3D" w14:textId="3CF921AA" w:rsidR="00F03204" w:rsidRDefault="00856891" w:rsidP="000C3A52">
      <w:r w:rsidRPr="00BD4DA9">
        <w:t xml:space="preserve">Existing 2 GHz band spectrum licensed and PTS apparatus licensed base station receivers operate in the frequency range 1920-1980 </w:t>
      </w:r>
      <w:proofErr w:type="spellStart"/>
      <w:r w:rsidRPr="00BD4DA9">
        <w:t>MHz.</w:t>
      </w:r>
      <w:proofErr w:type="spellEnd"/>
      <w:r w:rsidRPr="00BD4DA9">
        <w:t xml:space="preserve"> The </w:t>
      </w:r>
      <w:hyperlink r:id="rId16" w:history="1">
        <w:r w:rsidRPr="00BD4DA9">
          <w:rPr>
            <w:rStyle w:val="Hyperlink"/>
            <w:i/>
            <w:iCs/>
          </w:rPr>
          <w:t>Radiocommunications Advisory Guidelines (Managing Interference to Spectrum Licensed Receivers—2 GHz Band) 2023</w:t>
        </w:r>
      </w:hyperlink>
      <w:r w:rsidRPr="00BD4DA9">
        <w:t xml:space="preserve"> (the Rx RAG) contains the notional receiver performance levels for 2 GHz band spectrum licensed receivers. </w:t>
      </w:r>
      <w:r w:rsidR="008D7975" w:rsidRPr="008D7975">
        <w:t>However, to aid coexistence between RMR and 2 GHz base station receivers in Europe, an enhanced selectivity specification has been developed as detailed in ETSI TS 103 807.</w:t>
      </w:r>
    </w:p>
    <w:p w14:paraId="1431525C" w14:textId="004A74A8" w:rsidR="00961A2A" w:rsidRDefault="005444BF" w:rsidP="000C3A52">
      <w:r w:rsidRPr="005444BF">
        <w:t xml:space="preserve">While not all existing 2 GHz base stations operated in Australia will meet this enhanced selectivity, the ACMA expects that new base station deployments will. This means that as operators deploy new base stations, either at a new site or to upgrade a base station at an existing site, the number of base stations that meet the enhanced selectivity will increase naturally over time. To account for this, there will be a need for collaboration between RMR and 2 GHz band operators to ascertain the operating parameters of deployed 2 GHz band base stations receivers and to establish a timeline for upgrading base stations that do not yet meet the enhanced selectivity. </w:t>
      </w:r>
    </w:p>
    <w:p w14:paraId="6CDBF38D" w14:textId="7A59D8AE" w:rsidR="00FB70E1" w:rsidRPr="00BD4DA9" w:rsidRDefault="00FB70E1" w:rsidP="00B17821">
      <w:r w:rsidRPr="00FB70E1">
        <w:t>The ACMA expects that licensees will work in a collaborative manner to find mutually beneficial solutions to achieve coexistence, however we have included a ‘fall-back notification’ option for when enhanced selectivity can be assumed for coordination purposes if a collaborative approach fails to reach agreement. We will also continue to monitor the effectiveness of these arrangements and may consider changes if necessary.</w:t>
      </w:r>
    </w:p>
    <w:p w14:paraId="33D83039" w14:textId="7A2D45D7" w:rsidR="00856891" w:rsidRPr="00BD4DA9" w:rsidRDefault="00C45A41" w:rsidP="00B17821">
      <w:r w:rsidRPr="00C45A41">
        <w:t xml:space="preserve">Coordination is required for proposed RMR transmitters within the distances and frequency separations from 2 GHz band receivers specified in Table 8. Collaboration with 2 GHz band licensees to ascertain which existing base stations receivers meet the enhanced selectivity performance (for receivers licensed/registered before </w:t>
      </w:r>
      <w:r w:rsidR="00F34381">
        <w:t>2 July 2026</w:t>
      </w:r>
      <w:r w:rsidRPr="00C45A41">
        <w:t>) will aid in reducing the number of receivers that will need to be coordinated with.</w:t>
      </w:r>
    </w:p>
    <w:p w14:paraId="07BEC903" w14:textId="64312488" w:rsidR="00856891" w:rsidRDefault="00856891" w:rsidP="00B17821">
      <w:pPr>
        <w:pStyle w:val="Caption"/>
      </w:pPr>
      <w:r w:rsidRPr="00BD4DA9">
        <w:t xml:space="preserve">Distance </w:t>
      </w:r>
      <w:r w:rsidRPr="000C3A52">
        <w:t>and</w:t>
      </w:r>
      <w:r w:rsidRPr="00BD4DA9">
        <w:t xml:space="preserve"> frequency ranges where spectrum licence/PTS receiver coordination is required</w:t>
      </w:r>
    </w:p>
    <w:p w14:paraId="32F3AE1A" w14:textId="77777777" w:rsidR="000C3A52" w:rsidRPr="00BD4DA9" w:rsidRDefault="000C3A52" w:rsidP="00B17821">
      <w:pPr>
        <w:pStyle w:val="TableHeading"/>
      </w:pPr>
    </w:p>
    <w:tbl>
      <w:tblPr>
        <w:tblW w:w="8505" w:type="dxa"/>
        <w:tblCellMar>
          <w:left w:w="0" w:type="dxa"/>
          <w:right w:w="0" w:type="dxa"/>
        </w:tblCellMar>
        <w:tblLook w:val="04A0" w:firstRow="1" w:lastRow="0" w:firstColumn="1" w:lastColumn="0" w:noHBand="0" w:noVBand="1"/>
      </w:tblPr>
      <w:tblGrid>
        <w:gridCol w:w="2967"/>
        <w:gridCol w:w="2835"/>
        <w:gridCol w:w="2703"/>
      </w:tblGrid>
      <w:tr w:rsidR="00856891" w:rsidRPr="00BD4DA9" w14:paraId="35629A2C" w14:textId="77777777">
        <w:trPr>
          <w:tblHeader/>
        </w:trPr>
        <w:tc>
          <w:tcPr>
            <w:tcW w:w="2967" w:type="dxa"/>
            <w:tcBorders>
              <w:top w:val="single" w:sz="8" w:space="0" w:color="auto"/>
              <w:left w:val="single" w:sz="8" w:space="0" w:color="auto"/>
              <w:bottom w:val="single" w:sz="8" w:space="0" w:color="auto"/>
              <w:right w:val="single" w:sz="8" w:space="0" w:color="auto"/>
            </w:tcBorders>
            <w:shd w:val="clear" w:color="auto" w:fill="D9D9D9"/>
            <w:tcMar>
              <w:top w:w="57" w:type="dxa"/>
              <w:left w:w="108" w:type="dxa"/>
              <w:bottom w:w="57" w:type="dxa"/>
              <w:right w:w="108" w:type="dxa"/>
            </w:tcMar>
            <w:hideMark/>
          </w:tcPr>
          <w:p w14:paraId="3D322473" w14:textId="77777777" w:rsidR="00856891" w:rsidRPr="00BD4DA9" w:rsidRDefault="00856891">
            <w:pPr>
              <w:pStyle w:val="Paragraph"/>
            </w:pPr>
          </w:p>
        </w:tc>
        <w:tc>
          <w:tcPr>
            <w:tcW w:w="2835" w:type="dxa"/>
            <w:tcBorders>
              <w:top w:val="single" w:sz="8" w:space="0" w:color="auto"/>
              <w:left w:val="nil"/>
              <w:bottom w:val="single" w:sz="8" w:space="0" w:color="auto"/>
              <w:right w:val="single" w:sz="8" w:space="0" w:color="auto"/>
            </w:tcBorders>
            <w:shd w:val="clear" w:color="auto" w:fill="D9D9D9"/>
            <w:tcMar>
              <w:top w:w="57" w:type="dxa"/>
              <w:left w:w="108" w:type="dxa"/>
              <w:bottom w:w="57" w:type="dxa"/>
              <w:right w:w="108" w:type="dxa"/>
            </w:tcMar>
            <w:hideMark/>
          </w:tcPr>
          <w:p w14:paraId="47AD17A2" w14:textId="77777777" w:rsidR="00856891" w:rsidRPr="00BD4DA9" w:rsidRDefault="00856891">
            <w:pPr>
              <w:pStyle w:val="Paragraph"/>
            </w:pPr>
            <w:r w:rsidRPr="00BD4DA9">
              <w:rPr>
                <w:b/>
                <w:bCs/>
              </w:rPr>
              <w:t>Distance from an existing 2 GHz band spectrum or PTS licensed receiver</w:t>
            </w:r>
          </w:p>
        </w:tc>
        <w:tc>
          <w:tcPr>
            <w:tcW w:w="2703" w:type="dxa"/>
            <w:tcBorders>
              <w:top w:val="single" w:sz="8" w:space="0" w:color="auto"/>
              <w:left w:val="nil"/>
              <w:bottom w:val="single" w:sz="8" w:space="0" w:color="auto"/>
              <w:right w:val="single" w:sz="8" w:space="0" w:color="auto"/>
            </w:tcBorders>
            <w:shd w:val="clear" w:color="auto" w:fill="D9D9D9"/>
            <w:tcMar>
              <w:top w:w="57" w:type="dxa"/>
              <w:left w:w="108" w:type="dxa"/>
              <w:bottom w:w="57" w:type="dxa"/>
              <w:right w:w="108" w:type="dxa"/>
            </w:tcMar>
            <w:hideMark/>
          </w:tcPr>
          <w:p w14:paraId="5670831C" w14:textId="75FCDE64" w:rsidR="00856891" w:rsidRPr="00BD4DA9" w:rsidRDefault="00856891">
            <w:pPr>
              <w:pStyle w:val="Paragraph"/>
            </w:pPr>
            <w:r w:rsidRPr="00BD4DA9">
              <w:rPr>
                <w:b/>
                <w:bCs/>
              </w:rPr>
              <w:t>Spectrum licensed and PTS receiver frequency range</w:t>
            </w:r>
            <w:r w:rsidR="0075445C">
              <w:rPr>
                <w:rStyle w:val="FootnoteReference"/>
                <w:b/>
                <w:bCs/>
              </w:rPr>
              <w:footnoteReference w:id="14"/>
            </w:r>
            <w:r w:rsidRPr="00BD4DA9">
              <w:rPr>
                <w:b/>
                <w:bCs/>
              </w:rPr>
              <w:t xml:space="preserve"> </w:t>
            </w:r>
          </w:p>
        </w:tc>
      </w:tr>
      <w:tr w:rsidR="00856891" w:rsidRPr="00BD4DA9" w14:paraId="012E53C2" w14:textId="77777777">
        <w:tc>
          <w:tcPr>
            <w:tcW w:w="2967"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22C14B06" w14:textId="3A81307F" w:rsidR="00856891" w:rsidRPr="00BD4DA9" w:rsidRDefault="00A65732" w:rsidP="00B17821">
            <w:r>
              <w:t>2 GHz band r</w:t>
            </w:r>
            <w:r w:rsidRPr="00BD4DA9">
              <w:t xml:space="preserve">eceivers licensed/registered before </w:t>
            </w:r>
            <w:r w:rsidR="00A93463">
              <w:t>2 July 2026</w:t>
            </w:r>
          </w:p>
        </w:tc>
        <w:tc>
          <w:tcPr>
            <w:tcW w:w="2835" w:type="dxa"/>
            <w:tcBorders>
              <w:top w:val="nil"/>
              <w:left w:val="nil"/>
              <w:bottom w:val="single" w:sz="8" w:space="0" w:color="auto"/>
              <w:right w:val="single" w:sz="8" w:space="0" w:color="auto"/>
            </w:tcBorders>
            <w:tcMar>
              <w:top w:w="57" w:type="dxa"/>
              <w:left w:w="108" w:type="dxa"/>
              <w:bottom w:w="57" w:type="dxa"/>
              <w:right w:w="108" w:type="dxa"/>
            </w:tcMar>
            <w:hideMark/>
          </w:tcPr>
          <w:p w14:paraId="6C67F221" w14:textId="77777777" w:rsidR="00856891" w:rsidRPr="00BD4DA9" w:rsidRDefault="00856891">
            <w:pPr>
              <w:pStyle w:val="Paragraph"/>
            </w:pPr>
            <w:r w:rsidRPr="00BD4DA9">
              <w:t>70 km</w:t>
            </w:r>
          </w:p>
        </w:tc>
        <w:tc>
          <w:tcPr>
            <w:tcW w:w="2703" w:type="dxa"/>
            <w:tcBorders>
              <w:top w:val="nil"/>
              <w:left w:val="nil"/>
              <w:bottom w:val="single" w:sz="8" w:space="0" w:color="auto"/>
              <w:right w:val="single" w:sz="8" w:space="0" w:color="auto"/>
            </w:tcBorders>
            <w:tcMar>
              <w:top w:w="57" w:type="dxa"/>
              <w:left w:w="108" w:type="dxa"/>
              <w:bottom w:w="57" w:type="dxa"/>
              <w:right w:w="108" w:type="dxa"/>
            </w:tcMar>
            <w:hideMark/>
          </w:tcPr>
          <w:p w14:paraId="6AC0CABB" w14:textId="77777777" w:rsidR="00856891" w:rsidRPr="00BD4DA9" w:rsidRDefault="00856891">
            <w:pPr>
              <w:pStyle w:val="Paragraph"/>
            </w:pPr>
            <w:r w:rsidRPr="00BD4DA9">
              <w:t>1920–1980 MHz</w:t>
            </w:r>
          </w:p>
        </w:tc>
      </w:tr>
      <w:tr w:rsidR="00856891" w:rsidRPr="00BD4DA9" w14:paraId="2EB668AD" w14:textId="77777777">
        <w:tc>
          <w:tcPr>
            <w:tcW w:w="2967"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069D694F" w14:textId="3BEE3FB7" w:rsidR="00C94DF2" w:rsidRPr="00BD4DA9" w:rsidRDefault="00C94DF2" w:rsidP="00C94DF2">
            <w:pPr>
              <w:pStyle w:val="Paragraph"/>
              <w:spacing w:line="240" w:lineRule="atLeast"/>
            </w:pPr>
            <w:r>
              <w:t>2 GHz band r</w:t>
            </w:r>
            <w:r w:rsidRPr="00BD4DA9">
              <w:t xml:space="preserve">eceivers licensed/registered after </w:t>
            </w:r>
            <w:r w:rsidR="002C14D1">
              <w:t>2 July 2026</w:t>
            </w:r>
            <w:r>
              <w:t>; or</w:t>
            </w:r>
          </w:p>
          <w:p w14:paraId="5FDDC26E" w14:textId="77777777" w:rsidR="00C94DF2" w:rsidRPr="00BD4DA9" w:rsidRDefault="00C94DF2" w:rsidP="00C94DF2">
            <w:pPr>
              <w:pStyle w:val="Paragraph"/>
              <w:spacing w:line="240" w:lineRule="atLeast"/>
            </w:pPr>
            <w:r w:rsidRPr="00BD4DA9">
              <w:t xml:space="preserve">Receivers that the 2 GHz </w:t>
            </w:r>
            <w:r>
              <w:t>band</w:t>
            </w:r>
            <w:r w:rsidRPr="00BD4DA9">
              <w:t xml:space="preserve"> licensee has confirmed meets the enhanced selectivity performance of -30 dBm/10 MHz</w:t>
            </w:r>
            <w:r>
              <w:t>; or</w:t>
            </w:r>
          </w:p>
          <w:p w14:paraId="15347099" w14:textId="323638B5" w:rsidR="00856891" w:rsidRPr="00BD4DA9" w:rsidRDefault="00C94DF2" w:rsidP="00B17821">
            <w:pPr>
              <w:pStyle w:val="ListBullet"/>
              <w:numPr>
                <w:ilvl w:val="0"/>
                <w:numId w:val="0"/>
              </w:numPr>
            </w:pPr>
            <w:r w:rsidRPr="00BD4DA9">
              <w:t xml:space="preserve">Receivers that </w:t>
            </w:r>
            <w:r>
              <w:t xml:space="preserve">the </w:t>
            </w:r>
            <w:r w:rsidRPr="00BD4DA9">
              <w:t xml:space="preserve">RMR operator has provided written notification to the affected 2 GHz </w:t>
            </w:r>
            <w:r>
              <w:t>band</w:t>
            </w:r>
            <w:r w:rsidRPr="00BD4DA9">
              <w:t xml:space="preserve"> licensee </w:t>
            </w:r>
            <w:r>
              <w:t>2</w:t>
            </w:r>
            <w:r w:rsidRPr="00BD4DA9">
              <w:t xml:space="preserve"> years prior to the assignment of the RMR </w:t>
            </w:r>
            <w:r>
              <w:t xml:space="preserve">transmitter </w:t>
            </w:r>
            <w:r w:rsidRPr="00BD4DA9">
              <w:t>(*see note)</w:t>
            </w:r>
          </w:p>
        </w:tc>
        <w:tc>
          <w:tcPr>
            <w:tcW w:w="2835" w:type="dxa"/>
            <w:tcBorders>
              <w:top w:val="nil"/>
              <w:left w:val="nil"/>
              <w:bottom w:val="single" w:sz="8" w:space="0" w:color="auto"/>
              <w:right w:val="single" w:sz="8" w:space="0" w:color="auto"/>
            </w:tcBorders>
            <w:tcMar>
              <w:top w:w="57" w:type="dxa"/>
              <w:left w:w="108" w:type="dxa"/>
              <w:bottom w:w="57" w:type="dxa"/>
              <w:right w:w="108" w:type="dxa"/>
            </w:tcMar>
            <w:hideMark/>
          </w:tcPr>
          <w:p w14:paraId="17D0601F" w14:textId="77777777" w:rsidR="00856891" w:rsidRPr="00BD4DA9" w:rsidRDefault="00856891">
            <w:pPr>
              <w:pStyle w:val="Paragraph"/>
            </w:pPr>
            <w:r w:rsidRPr="00BD4DA9">
              <w:t>5 km</w:t>
            </w:r>
          </w:p>
        </w:tc>
        <w:tc>
          <w:tcPr>
            <w:tcW w:w="2703" w:type="dxa"/>
            <w:tcBorders>
              <w:top w:val="nil"/>
              <w:left w:val="nil"/>
              <w:bottom w:val="single" w:sz="8" w:space="0" w:color="auto"/>
              <w:right w:val="single" w:sz="8" w:space="0" w:color="auto"/>
            </w:tcBorders>
            <w:tcMar>
              <w:top w:w="57" w:type="dxa"/>
              <w:left w:w="108" w:type="dxa"/>
              <w:bottom w:w="57" w:type="dxa"/>
              <w:right w:w="108" w:type="dxa"/>
            </w:tcMar>
            <w:hideMark/>
          </w:tcPr>
          <w:p w14:paraId="30044421" w14:textId="77777777" w:rsidR="00856891" w:rsidRPr="00BD4DA9" w:rsidRDefault="00856891">
            <w:pPr>
              <w:pStyle w:val="Paragraph"/>
            </w:pPr>
            <w:r w:rsidRPr="00BD4DA9">
              <w:t>1920–1980 MHz</w:t>
            </w:r>
          </w:p>
        </w:tc>
      </w:tr>
    </w:tbl>
    <w:p w14:paraId="26DA81A7" w14:textId="75B77514" w:rsidR="00856891" w:rsidRPr="00BD4DA9" w:rsidRDefault="00856891" w:rsidP="00856891">
      <w:pPr>
        <w:pStyle w:val="Paragraph"/>
      </w:pPr>
      <w:r w:rsidRPr="00BD4DA9">
        <w:t xml:space="preserve">*Note: </w:t>
      </w:r>
      <w:r w:rsidR="00831C88" w:rsidRPr="00BD4DA9">
        <w:t xml:space="preserve">Notification needs to be provided to all licensees that have a 2 GHz </w:t>
      </w:r>
      <w:r w:rsidR="00831C88">
        <w:t xml:space="preserve">band </w:t>
      </w:r>
      <w:r w:rsidR="00831C88" w:rsidRPr="00BD4DA9">
        <w:t xml:space="preserve">receiver licensed/registered within 70km of the proposed location of the RMR transmitter. Notification </w:t>
      </w:r>
      <w:r w:rsidR="00831C88">
        <w:t xml:space="preserve">must identify which receivers would fail coordination (without enhanced selectivity), the calculations (assumptions and results) used to identify which base station receivers would fail coordination and the details of </w:t>
      </w:r>
      <w:r w:rsidR="00831C88" w:rsidRPr="00BD4DA9">
        <w:t xml:space="preserve">the </w:t>
      </w:r>
      <w:r w:rsidR="00831C88">
        <w:t xml:space="preserve">planned RMR service that will help the 2 GHz band licensee to determine what action, if any, to take. These details must include the </w:t>
      </w:r>
      <w:r w:rsidR="00831C88" w:rsidRPr="00BD4DA9">
        <w:t>location and operating parameters of the proposed RMR transmitter and the date that the transmitter will commence operating.</w:t>
      </w:r>
      <w:r w:rsidR="00831C88">
        <w:t xml:space="preserve"> If the RMR station details change, a new notification must be provided to the 2 GHz band licensee (resetting the notification period).</w:t>
      </w:r>
    </w:p>
    <w:p w14:paraId="27AC9E1D" w14:textId="1A1366FF" w:rsidR="00856891" w:rsidRPr="00BD4DA9" w:rsidRDefault="00856891" w:rsidP="00856891">
      <w:pPr>
        <w:pStyle w:val="Paragraph"/>
      </w:pPr>
      <w:r w:rsidRPr="00BD4DA9">
        <w:t>Coordination is deemed to pass if the calculated signal from the proposed RMR transmitter:</w:t>
      </w:r>
    </w:p>
    <w:p w14:paraId="243A8C17" w14:textId="4EB39507" w:rsidR="00856891" w:rsidRPr="00BD4DA9" w:rsidRDefault="00856891" w:rsidP="00B17821">
      <w:pPr>
        <w:pStyle w:val="ListParagraph"/>
        <w:numPr>
          <w:ilvl w:val="0"/>
          <w:numId w:val="25"/>
        </w:numPr>
      </w:pPr>
      <w:r w:rsidRPr="00BD4DA9">
        <w:t xml:space="preserve">does not exceed -30 dBm/10 MHz at the input connecter of the receiver for 2 GHz band receivers licensed/registered after </w:t>
      </w:r>
      <w:r w:rsidR="00F34381">
        <w:t>2 July 2026</w:t>
      </w:r>
      <w:r w:rsidRPr="00BD4DA9">
        <w:t>, or</w:t>
      </w:r>
    </w:p>
    <w:p w14:paraId="751D01C1" w14:textId="13CF0D9A" w:rsidR="00856891" w:rsidRPr="00BD4DA9" w:rsidRDefault="00856891" w:rsidP="00B17821">
      <w:pPr>
        <w:pStyle w:val="ListParagraph"/>
        <w:numPr>
          <w:ilvl w:val="0"/>
          <w:numId w:val="25"/>
        </w:numPr>
      </w:pPr>
      <w:r w:rsidRPr="00BD4DA9">
        <w:t xml:space="preserve">does not exceed the protection criteria specified in the RAG Rx for 2 GHz </w:t>
      </w:r>
      <w:r w:rsidR="00543BA4">
        <w:t>b</w:t>
      </w:r>
      <w:r w:rsidR="00D93C19">
        <w:t>and</w:t>
      </w:r>
      <w:r w:rsidRPr="00BD4DA9">
        <w:t xml:space="preserve"> receivers licensed/registered before </w:t>
      </w:r>
      <w:r w:rsidR="00F34381">
        <w:t>2 July 2026</w:t>
      </w:r>
      <w:r w:rsidRPr="00BD4DA9">
        <w:t>, or</w:t>
      </w:r>
    </w:p>
    <w:p w14:paraId="74D93A2D" w14:textId="0FDB8E89" w:rsidR="00856891" w:rsidRPr="00BD4DA9" w:rsidRDefault="00856891" w:rsidP="00B17821">
      <w:pPr>
        <w:pStyle w:val="ListParagraph"/>
        <w:numPr>
          <w:ilvl w:val="0"/>
          <w:numId w:val="25"/>
        </w:numPr>
      </w:pPr>
      <w:r w:rsidRPr="00BD4DA9">
        <w:lastRenderedPageBreak/>
        <w:t xml:space="preserve">does not exceed -30 dBm/10 MHz at the input connecter of the receiver for 2 GHz band receivers licensed/registered before </w:t>
      </w:r>
      <w:r w:rsidR="00F34381">
        <w:t>2 July 2026</w:t>
      </w:r>
      <w:r w:rsidRPr="00BD4DA9">
        <w:t xml:space="preserve"> and the RMR operator has provided written notification to the affected 2 GHz </w:t>
      </w:r>
      <w:r w:rsidR="00DD1516">
        <w:t>band</w:t>
      </w:r>
      <w:r w:rsidRPr="00BD4DA9">
        <w:t xml:space="preserve"> licensee </w:t>
      </w:r>
      <w:r w:rsidR="00CA5682">
        <w:t>2</w:t>
      </w:r>
      <w:r w:rsidRPr="00BD4DA9">
        <w:t xml:space="preserve"> years prior to the assignment of the RMR transmitter, or</w:t>
      </w:r>
    </w:p>
    <w:p w14:paraId="4C99D44C" w14:textId="6ACD467C" w:rsidR="00856891" w:rsidRPr="00BD4DA9" w:rsidRDefault="00856891" w:rsidP="00B17821">
      <w:pPr>
        <w:pStyle w:val="ListParagraph"/>
        <w:numPr>
          <w:ilvl w:val="0"/>
          <w:numId w:val="25"/>
        </w:numPr>
      </w:pPr>
      <w:r w:rsidRPr="00BD4DA9">
        <w:t xml:space="preserve">if the affected 2 GHz </w:t>
      </w:r>
      <w:r w:rsidR="00171589">
        <w:t>band</w:t>
      </w:r>
      <w:r w:rsidR="005625FF">
        <w:t xml:space="preserve"> </w:t>
      </w:r>
      <w:r w:rsidRPr="00BD4DA9">
        <w:t xml:space="preserve">spectrum/PTS licensee has provided written agreement that supports the proposed RMR transmitter assignment. </w:t>
      </w:r>
    </w:p>
    <w:p w14:paraId="44723C81" w14:textId="2ADCC7D1" w:rsidR="00856891" w:rsidRPr="00BD4DA9" w:rsidRDefault="00856891" w:rsidP="00856891">
      <w:pPr>
        <w:pStyle w:val="Paragraph"/>
      </w:pPr>
      <w:r w:rsidRPr="00BD4DA9">
        <w:t>When making assessment</w:t>
      </w:r>
      <w:r w:rsidR="00251D2D">
        <w:t>s</w:t>
      </w:r>
      <w:r w:rsidRPr="00BD4DA9">
        <w:t xml:space="preserve"> against the protection criteria in the RAG Rx, the following receiver sensitivity values are to be used:</w:t>
      </w:r>
    </w:p>
    <w:p w14:paraId="6D87F2FB" w14:textId="77777777" w:rsidR="00856891" w:rsidRPr="00BD4DA9" w:rsidRDefault="00856891" w:rsidP="00856891">
      <w:pPr>
        <w:pStyle w:val="Bulletlevel2"/>
      </w:pPr>
      <w:r w:rsidRPr="00BD4DA9">
        <w:t xml:space="preserve">For receivers with an occupied bandwidth ≤ 20 MHz: -96 dBm. This sensitivity value is based on the reference sensitivity value from 3GPP TS38.104 (-102 dBm) + 6 </w:t>
      </w:r>
      <w:proofErr w:type="spellStart"/>
      <w:r w:rsidRPr="00BD4DA9">
        <w:t>dB.</w:t>
      </w:r>
      <w:proofErr w:type="spellEnd"/>
    </w:p>
    <w:p w14:paraId="13818A63" w14:textId="77777777" w:rsidR="00856891" w:rsidRPr="00BD4DA9" w:rsidRDefault="00856891" w:rsidP="00856891">
      <w:pPr>
        <w:pStyle w:val="Bulletlevel2"/>
      </w:pPr>
      <w:r w:rsidRPr="00BD4DA9">
        <w:t xml:space="preserve">For receivers with an occupied bandwidth &gt; 20 MHz: -89 dBm. This sensitivity value is based on the reference sensitivity value from 3GPP TS38.104 (-95 dBm) + 6 </w:t>
      </w:r>
      <w:proofErr w:type="spellStart"/>
      <w:r w:rsidRPr="00BD4DA9">
        <w:t>dB.</w:t>
      </w:r>
      <w:proofErr w:type="spellEnd"/>
    </w:p>
    <w:p w14:paraId="3F3469FE" w14:textId="7F59A4A5" w:rsidR="00653706" w:rsidRDefault="00653706" w:rsidP="00653706">
      <w:pPr>
        <w:pStyle w:val="Heading2"/>
      </w:pPr>
      <w:bookmarkStart w:id="94" w:name="_Toc230765853"/>
      <w:bookmarkStart w:id="95" w:name="_Toc230765854"/>
      <w:bookmarkStart w:id="96" w:name="_Toc230765855"/>
      <w:bookmarkStart w:id="97" w:name="_Toc230765856"/>
      <w:bookmarkStart w:id="98" w:name="_Toc230765857"/>
      <w:bookmarkStart w:id="99" w:name="_Toc230765858"/>
      <w:bookmarkStart w:id="100" w:name="_Toc230765859"/>
      <w:bookmarkStart w:id="101" w:name="_Toc230765860"/>
      <w:bookmarkStart w:id="102" w:name="_Toc230765861"/>
      <w:bookmarkStart w:id="103" w:name="_Toc230765862"/>
      <w:bookmarkStart w:id="104" w:name="_Toc230765863"/>
      <w:bookmarkStart w:id="105" w:name="_Toc230765864"/>
      <w:bookmarkStart w:id="106" w:name="_Toc230765877"/>
      <w:bookmarkStart w:id="107" w:name="_Toc134081781"/>
      <w:bookmarkStart w:id="108" w:name="_Toc233192917"/>
      <w:bookmarkEnd w:id="94"/>
      <w:bookmarkEnd w:id="95"/>
      <w:bookmarkEnd w:id="96"/>
      <w:bookmarkEnd w:id="97"/>
      <w:bookmarkEnd w:id="98"/>
      <w:bookmarkEnd w:id="99"/>
      <w:bookmarkEnd w:id="100"/>
      <w:bookmarkEnd w:id="101"/>
      <w:bookmarkEnd w:id="102"/>
      <w:bookmarkEnd w:id="103"/>
      <w:bookmarkEnd w:id="104"/>
      <w:bookmarkEnd w:id="105"/>
      <w:bookmarkEnd w:id="106"/>
      <w:r w:rsidRPr="001C232F">
        <w:t>Site engineering aspects</w:t>
      </w:r>
      <w:bookmarkEnd w:id="107"/>
      <w:bookmarkEnd w:id="108"/>
    </w:p>
    <w:p w14:paraId="3575EC02" w14:textId="4FD27529" w:rsidR="00653706" w:rsidRDefault="00653706" w:rsidP="00653706">
      <w:r>
        <w:t xml:space="preserve">At shared sites, or sites in the same vicinity, several potential interference </w:t>
      </w:r>
      <w:r w:rsidR="0014265E">
        <w:t xml:space="preserve">scenarios </w:t>
      </w:r>
      <w:r>
        <w:t xml:space="preserve">other than co-channel or adjacent channel interference may occur. These include intermodulation; transient and spurious emissions; receiver desensitisation; and, physical blocking. These </w:t>
      </w:r>
      <w:r w:rsidR="00627C7D">
        <w:t>scenarios</w:t>
      </w:r>
      <w:r w:rsidDel="0014265E">
        <w:t xml:space="preserve"> </w:t>
      </w:r>
      <w:r>
        <w:t xml:space="preserve">are caused by non-linear and often complex processes that are, usually, not readily predicted using information contained in the ACMA’s </w:t>
      </w:r>
      <w:hyperlink r:id="rId17" w:history="1">
        <w:r w:rsidRPr="00875925">
          <w:rPr>
            <w:rStyle w:val="Hyperlink"/>
            <w:i/>
            <w:iCs/>
          </w:rPr>
          <w:t>RRL</w:t>
        </w:r>
      </w:hyperlink>
      <w:r>
        <w:t>. Nevertheless, several “site engineering” methods can be applied to address these potential interference scenarios. These include, but are not limited to, site shielding, frequency separation, site locations, aligning transmission and reception timing and power reduction.</w:t>
      </w:r>
      <w:r w:rsidR="00211D7F">
        <w:t xml:space="preserve"> </w:t>
      </w:r>
      <w:r>
        <w:t>Most of the</w:t>
      </w:r>
      <w:r w:rsidR="00211D7F">
        <w:t>se</w:t>
      </w:r>
      <w:r>
        <w:t xml:space="preserve"> methods mentioned above require cooperation between licensees. </w:t>
      </w:r>
    </w:p>
    <w:p w14:paraId="07EBD71B" w14:textId="0F8B6B58" w:rsidR="00653706" w:rsidRDefault="00653706" w:rsidP="00653706">
      <w:r>
        <w:t xml:space="preserve">In the case of co-siting with spectrum licensed devices, if the interference from the spectrum licensed device is not the result of </w:t>
      </w:r>
      <w:r w:rsidR="00567C7E">
        <w:t>non-compliance with the</w:t>
      </w:r>
      <w:r>
        <w:t xml:space="preserve"> conditions of the licence, then licensees must take reasonable steps to negotiate </w:t>
      </w:r>
      <w:r w:rsidR="00567C7E">
        <w:t>towards measures</w:t>
      </w:r>
      <w:r>
        <w:t xml:space="preserve"> to reduce interference to acceptable levels.</w:t>
      </w:r>
    </w:p>
    <w:tbl>
      <w:tblPr>
        <w:tblStyle w:val="TableGrid"/>
        <w:tblW w:w="935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bottom w:w="57" w:type="dxa"/>
        </w:tblCellMar>
        <w:tblLook w:val="04A0" w:firstRow="1" w:lastRow="0" w:firstColumn="1" w:lastColumn="0" w:noHBand="0" w:noVBand="1"/>
      </w:tblPr>
      <w:tblGrid>
        <w:gridCol w:w="9354"/>
      </w:tblGrid>
      <w:tr w:rsidR="00653706" w14:paraId="2B683474" w14:textId="77777777" w:rsidTr="007A32AF">
        <w:trPr>
          <w:cantSplit/>
        </w:trPr>
        <w:tc>
          <w:tcPr>
            <w:tcW w:w="9354" w:type="dxa"/>
          </w:tcPr>
          <w:p w14:paraId="7DA7DA22" w14:textId="77777777" w:rsidR="00653706" w:rsidRDefault="00653706" w:rsidP="007A32AF">
            <w:pPr>
              <w:spacing w:after="0"/>
            </w:pPr>
            <w:r w:rsidRPr="00584453">
              <w:t>The ACMA expects that licensees (or their site managers) will work cooperatively and apply good site engineering practice to resolve problems</w:t>
            </w:r>
            <w:r>
              <w:rPr>
                <w:rStyle w:val="FootnoteReference"/>
              </w:rPr>
              <w:footnoteReference w:id="15"/>
            </w:r>
            <w:r w:rsidRPr="00584453">
              <w:t>.</w:t>
            </w:r>
          </w:p>
        </w:tc>
      </w:tr>
    </w:tbl>
    <w:p w14:paraId="49550135" w14:textId="77777777" w:rsidR="002D34CD" w:rsidRPr="00AF06C8" w:rsidRDefault="002D34CD" w:rsidP="00AF06C8">
      <w:pPr>
        <w:rPr>
          <w:szCs w:val="22"/>
        </w:rPr>
      </w:pPr>
    </w:p>
    <w:p w14:paraId="5D1C19B5" w14:textId="50092E6E" w:rsidR="004A13A7" w:rsidRPr="000B27C0" w:rsidRDefault="00A1382C" w:rsidP="000B27C0">
      <w:pPr>
        <w:pStyle w:val="Heading1"/>
      </w:pPr>
      <w:bookmarkStart w:id="109" w:name="_Ref208995896"/>
      <w:bookmarkStart w:id="110" w:name="_Toc233192918"/>
      <w:r>
        <w:lastRenderedPageBreak/>
        <w:t>Licensing</w:t>
      </w:r>
      <w:bookmarkEnd w:id="109"/>
      <w:bookmarkEnd w:id="110"/>
    </w:p>
    <w:p w14:paraId="1A130B39" w14:textId="2621BA4E" w:rsidR="004A13A7" w:rsidRPr="00D4123C" w:rsidRDefault="00A1382C" w:rsidP="00D6001E">
      <w:pPr>
        <w:pStyle w:val="Heading2"/>
      </w:pPr>
      <w:bookmarkStart w:id="111" w:name="_Toc233192919"/>
      <w:r>
        <w:t>Overview of licensing</w:t>
      </w:r>
      <w:bookmarkEnd w:id="111"/>
    </w:p>
    <w:p w14:paraId="2BDCDDFD" w14:textId="197CE69B" w:rsidR="00906B58" w:rsidRPr="00906B58" w:rsidRDefault="00906B58" w:rsidP="00306785">
      <w:r w:rsidRPr="00906B58">
        <w:t xml:space="preserve">A Public Mobile Telecommunications Service Class B (PMTS B) apparatus licence for a PTS system may be issued to authorise the operation of a service that consists of 2 or more land stations. </w:t>
      </w:r>
      <w:r>
        <w:t>Stations that communicate with a station authorised under a PTS licence (i.e. mobile and remote stations)</w:t>
      </w:r>
      <w:r w:rsidRPr="00906B58">
        <w:t xml:space="preserve"> would be authorised by the</w:t>
      </w:r>
      <w:r w:rsidR="005E3259">
        <w:t xml:space="preserve"> cellular mobile class licence.</w:t>
      </w:r>
    </w:p>
    <w:p w14:paraId="2FBD56A2" w14:textId="67A7993B" w:rsidR="00D6001E" w:rsidRDefault="00906B58" w:rsidP="00306785">
      <w:r w:rsidRPr="00906B58">
        <w:t xml:space="preserve">Under the PTS licence type, the PMTS B licensing option is </w:t>
      </w:r>
      <w:r>
        <w:t xml:space="preserve">to be used for </w:t>
      </w:r>
      <w:r w:rsidR="00B238F8">
        <w:t>RMR</w:t>
      </w:r>
      <w:r>
        <w:t xml:space="preserve"> </w:t>
      </w:r>
      <w:r w:rsidR="00025914">
        <w:t xml:space="preserve">base stations </w:t>
      </w:r>
      <w:r w:rsidRPr="00906B58">
        <w:t>in the 19</w:t>
      </w:r>
      <w:r>
        <w:t>0</w:t>
      </w:r>
      <w:r w:rsidRPr="00906B58">
        <w:t>0-19</w:t>
      </w:r>
      <w:r>
        <w:t>1</w:t>
      </w:r>
      <w:r w:rsidRPr="00906B58">
        <w:t>0 MHz</w:t>
      </w:r>
      <w:r>
        <w:t xml:space="preserve"> frequency range</w:t>
      </w:r>
      <w:r w:rsidRPr="00906B58">
        <w:t>.</w:t>
      </w:r>
    </w:p>
    <w:p w14:paraId="30994F2F" w14:textId="74F7D73D" w:rsidR="00D6001E" w:rsidRDefault="00906B58" w:rsidP="00D6001E">
      <w:r>
        <w:t xml:space="preserve">PTS licences for </w:t>
      </w:r>
      <w:r w:rsidR="00B238F8">
        <w:t>RMR</w:t>
      </w:r>
      <w:r w:rsidR="00D6001E">
        <w:t xml:space="preserve"> </w:t>
      </w:r>
      <w:r>
        <w:t xml:space="preserve">operation may only be issued for base stations that are </w:t>
      </w:r>
      <w:r w:rsidR="00D6001E">
        <w:t>located within 100 m of a railway line</w:t>
      </w:r>
      <w:r w:rsidR="00755FA2">
        <w:t>,</w:t>
      </w:r>
      <w:r w:rsidR="00D6001E">
        <w:t xml:space="preserve"> as defined in </w:t>
      </w:r>
      <w:hyperlink w:anchor="appA" w:history="1">
        <w:r w:rsidR="00D6001E" w:rsidRPr="00C5486A">
          <w:t>Appendix A</w:t>
        </w:r>
      </w:hyperlink>
      <w:r w:rsidR="00D6001E">
        <w:t xml:space="preserve">, and, outside the areas defined in </w:t>
      </w:r>
      <w:r w:rsidR="00735AEF">
        <w:t xml:space="preserve">relevant </w:t>
      </w:r>
      <w:hyperlink r:id="rId18" w:history="1">
        <w:r w:rsidR="00D6001E" w:rsidRPr="005B4A88">
          <w:rPr>
            <w:rStyle w:val="Hyperlink"/>
            <w:i/>
            <w:iCs/>
          </w:rPr>
          <w:t>spectrum embargoes</w:t>
        </w:r>
      </w:hyperlink>
      <w:r w:rsidR="00D6001E">
        <w:t>.</w:t>
      </w:r>
    </w:p>
    <w:p w14:paraId="4283D837" w14:textId="77777777" w:rsidR="005A2FF9" w:rsidRDefault="005A2FF9" w:rsidP="005A2FF9">
      <w:pPr>
        <w:pStyle w:val="Heading2"/>
      </w:pPr>
      <w:bookmarkStart w:id="112" w:name="_Toc134081789"/>
      <w:bookmarkStart w:id="113" w:name="_Toc233192920"/>
      <w:r>
        <w:t>Licence conditions</w:t>
      </w:r>
      <w:bookmarkEnd w:id="112"/>
      <w:bookmarkEnd w:id="113"/>
    </w:p>
    <w:p w14:paraId="570A86C1" w14:textId="1AF299B6" w:rsidR="005A2FF9" w:rsidRDefault="005A2FF9" w:rsidP="005A2FF9">
      <w:pPr>
        <w:spacing w:after="120"/>
      </w:pPr>
      <w:r>
        <w:t>The operation of radiocommunications equipment authorised by a PTS licence is subject to:</w:t>
      </w:r>
    </w:p>
    <w:p w14:paraId="49E06C9C" w14:textId="77777777" w:rsidR="005A2FF9" w:rsidRDefault="005A2FF9" w:rsidP="00306785">
      <w:pPr>
        <w:pStyle w:val="ListBullet"/>
      </w:pPr>
      <w:r>
        <w:t xml:space="preserve">Conditions specified in the </w:t>
      </w:r>
      <w:hyperlink r:id="rId19" w:history="1">
        <w:r w:rsidRPr="005B4A88">
          <w:rPr>
            <w:rStyle w:val="Hyperlink"/>
            <w:i/>
            <w:iCs/>
          </w:rPr>
          <w:t>Radiocommunications Act 1992</w:t>
        </w:r>
      </w:hyperlink>
      <w:r>
        <w:t xml:space="preserve"> (the Act), including an obligation to comply with the Act.</w:t>
      </w:r>
    </w:p>
    <w:p w14:paraId="41B375FD" w14:textId="3B4A7570" w:rsidR="005A2FF9" w:rsidRDefault="005A2FF9" w:rsidP="00306785">
      <w:pPr>
        <w:pStyle w:val="ListBullet"/>
      </w:pPr>
      <w:r>
        <w:t xml:space="preserve">Conditions specified in the </w:t>
      </w:r>
      <w:hyperlink r:id="rId20" w:history="1">
        <w:r w:rsidR="002F4060" w:rsidRPr="00306785">
          <w:rPr>
            <w:rStyle w:val="Hyperlink"/>
            <w:i/>
          </w:rPr>
          <w:t>Radiocommunications Licence Conditions (Transmitter Licence) Determination 2025</w:t>
        </w:r>
      </w:hyperlink>
      <w:r w:rsidR="002F4060">
        <w:t>,</w:t>
      </w:r>
      <w:r>
        <w:t xml:space="preserve"> </w:t>
      </w:r>
      <w:hyperlink r:id="rId21" w:history="1">
        <w:r w:rsidR="007B468E" w:rsidRPr="00306785">
          <w:rPr>
            <w:rStyle w:val="Hyperlink"/>
            <w:i/>
          </w:rPr>
          <w:t>Radiocommunications Licence Conditions (PTS Licence) Determination 2024</w:t>
        </w:r>
      </w:hyperlink>
      <w:r>
        <w:t xml:space="preserve"> and any other determinations made by the ACMA under section 107(1)(f) of the Act.</w:t>
      </w:r>
    </w:p>
    <w:p w14:paraId="1CC2322B" w14:textId="77777777" w:rsidR="005A2FF9" w:rsidRDefault="005A2FF9" w:rsidP="00306785">
      <w:pPr>
        <w:pStyle w:val="ListBullet"/>
      </w:pPr>
      <w:r>
        <w:t>Conditions specified in this RALI.</w:t>
      </w:r>
    </w:p>
    <w:p w14:paraId="610B6B7E" w14:textId="77777777" w:rsidR="005A2FF9" w:rsidRDefault="005A2FF9" w:rsidP="00306785">
      <w:pPr>
        <w:pStyle w:val="ListBullet"/>
      </w:pPr>
      <w:r>
        <w:t>Conditions specified in the licence.</w:t>
      </w:r>
    </w:p>
    <w:p w14:paraId="0E27B2BE" w14:textId="77777777" w:rsidR="005A2FF9" w:rsidRDefault="005A2FF9" w:rsidP="00306785">
      <w:pPr>
        <w:pStyle w:val="ListBulletLast"/>
      </w:pPr>
      <w:r>
        <w:t>Any further conditions imposed by the ACMA under section 111 of the Act.</w:t>
      </w:r>
    </w:p>
    <w:p w14:paraId="2400E111" w14:textId="63092536" w:rsidR="005A2FF9" w:rsidRDefault="005A2FF9" w:rsidP="005A2FF9">
      <w:r>
        <w:t xml:space="preserve">If interference occurs after a licence is issued and the </w:t>
      </w:r>
      <w:r w:rsidR="007B0521">
        <w:t xml:space="preserve">matter </w:t>
      </w:r>
      <w:r>
        <w:t xml:space="preserve">cannot be resolved between the affected parties, licensees can expect the ACMA to have regard to this RALI and relevant legislative instruments in </w:t>
      </w:r>
      <w:r w:rsidR="00755FA2">
        <w:t>mediating on the matter</w:t>
      </w:r>
      <w:r>
        <w:t>.</w:t>
      </w:r>
    </w:p>
    <w:p w14:paraId="1C914785" w14:textId="562C8429" w:rsidR="008327BF" w:rsidRDefault="008327BF" w:rsidP="008327BF">
      <w:pPr>
        <w:pStyle w:val="Heading2"/>
      </w:pPr>
      <w:bookmarkStart w:id="114" w:name="_Ref208995806"/>
      <w:bookmarkStart w:id="115" w:name="_Ref208995818"/>
      <w:bookmarkStart w:id="116" w:name="_Ref208995833"/>
      <w:bookmarkStart w:id="117" w:name="_Toc233192921"/>
      <w:r>
        <w:t>Access to spectrum</w:t>
      </w:r>
      <w:bookmarkEnd w:id="114"/>
      <w:bookmarkEnd w:id="115"/>
      <w:bookmarkEnd w:id="116"/>
      <w:bookmarkEnd w:id="117"/>
    </w:p>
    <w:p w14:paraId="462C2E0F" w14:textId="2307C3CA" w:rsidR="009C230B" w:rsidRPr="009C230B" w:rsidRDefault="00476113" w:rsidP="009C230B">
      <w:pPr>
        <w:rPr>
          <w:szCs w:val="22"/>
        </w:rPr>
      </w:pPr>
      <w:r>
        <w:rPr>
          <w:szCs w:val="22"/>
        </w:rPr>
        <w:t>Proposed licensees</w:t>
      </w:r>
      <w:r w:rsidR="009C230B" w:rsidRPr="009C230B">
        <w:rPr>
          <w:szCs w:val="22"/>
        </w:rPr>
        <w:t xml:space="preserve"> should initially seek access to </w:t>
      </w:r>
      <w:r w:rsidR="008327BF">
        <w:rPr>
          <w:szCs w:val="22"/>
        </w:rPr>
        <w:t xml:space="preserve">1900–1910 MHz </w:t>
      </w:r>
      <w:r w:rsidR="007B468E">
        <w:rPr>
          <w:szCs w:val="22"/>
        </w:rPr>
        <w:t xml:space="preserve">band </w:t>
      </w:r>
      <w:r w:rsidR="009C230B" w:rsidRPr="009C230B">
        <w:rPr>
          <w:szCs w:val="22"/>
        </w:rPr>
        <w:t xml:space="preserve">spectrum through the </w:t>
      </w:r>
      <w:r w:rsidR="007172E3" w:rsidRPr="007172E3">
        <w:rPr>
          <w:szCs w:val="22"/>
        </w:rPr>
        <w:t>Australasian Railway Association</w:t>
      </w:r>
      <w:r w:rsidR="009C230B" w:rsidRPr="009C230B">
        <w:rPr>
          <w:szCs w:val="22"/>
        </w:rPr>
        <w:t xml:space="preserve"> </w:t>
      </w:r>
      <w:r w:rsidR="007172E3">
        <w:rPr>
          <w:szCs w:val="22"/>
        </w:rPr>
        <w:t>(</w:t>
      </w:r>
      <w:r w:rsidR="009C230B" w:rsidRPr="009C230B">
        <w:rPr>
          <w:szCs w:val="22"/>
        </w:rPr>
        <w:t>ARA</w:t>
      </w:r>
      <w:r w:rsidR="007172E3">
        <w:rPr>
          <w:szCs w:val="22"/>
        </w:rPr>
        <w:t>)</w:t>
      </w:r>
      <w:r w:rsidR="009C230B" w:rsidRPr="009C230B">
        <w:rPr>
          <w:szCs w:val="22"/>
        </w:rPr>
        <w:t xml:space="preserve">. If the accredited person, via consultation with the ARA, determines that the request cannot be accommodated within </w:t>
      </w:r>
      <w:r w:rsidR="008327BF">
        <w:rPr>
          <w:szCs w:val="22"/>
        </w:rPr>
        <w:t xml:space="preserve">1900–1910 MHz </w:t>
      </w:r>
      <w:r w:rsidR="009C230B" w:rsidRPr="009C230B">
        <w:rPr>
          <w:szCs w:val="22"/>
        </w:rPr>
        <w:t>spectrum, the</w:t>
      </w:r>
      <w:r w:rsidR="008327BF">
        <w:rPr>
          <w:szCs w:val="22"/>
        </w:rPr>
        <w:t xml:space="preserve">n alternative </w:t>
      </w:r>
      <w:r w:rsidR="009C230B" w:rsidRPr="009C230B">
        <w:rPr>
          <w:szCs w:val="22"/>
        </w:rPr>
        <w:t>spectrum</w:t>
      </w:r>
      <w:r w:rsidR="008327BF">
        <w:rPr>
          <w:szCs w:val="22"/>
        </w:rPr>
        <w:t xml:space="preserve"> will need to be </w:t>
      </w:r>
      <w:r w:rsidR="00E53320">
        <w:rPr>
          <w:szCs w:val="22"/>
        </w:rPr>
        <w:t>considered</w:t>
      </w:r>
      <w:r w:rsidR="009C230B" w:rsidRPr="009C230B">
        <w:rPr>
          <w:szCs w:val="22"/>
        </w:rPr>
        <w:t>.</w:t>
      </w:r>
    </w:p>
    <w:p w14:paraId="08010CA8" w14:textId="70E571BD" w:rsidR="009C230B" w:rsidRPr="009C230B" w:rsidRDefault="009C230B" w:rsidP="009C230B">
      <w:pPr>
        <w:rPr>
          <w:szCs w:val="22"/>
        </w:rPr>
      </w:pPr>
      <w:r w:rsidRPr="009C230B">
        <w:rPr>
          <w:szCs w:val="22"/>
        </w:rPr>
        <w:t xml:space="preserve">Table </w:t>
      </w:r>
      <w:r w:rsidR="007B468E">
        <w:rPr>
          <w:szCs w:val="22"/>
        </w:rPr>
        <w:t>9</w:t>
      </w:r>
      <w:r w:rsidRPr="009C230B">
        <w:rPr>
          <w:szCs w:val="22"/>
        </w:rPr>
        <w:t xml:space="preserve"> shows the channel centre frequencies and band limits for the </w:t>
      </w:r>
      <w:r w:rsidR="007B0521">
        <w:rPr>
          <w:szCs w:val="22"/>
        </w:rPr>
        <w:t>1900</w:t>
      </w:r>
      <w:r w:rsidR="00DB29AA">
        <w:rPr>
          <w:szCs w:val="22"/>
        </w:rPr>
        <w:t>–</w:t>
      </w:r>
      <w:r w:rsidR="007B468E">
        <w:rPr>
          <w:szCs w:val="22"/>
        </w:rPr>
        <w:t>1</w:t>
      </w:r>
      <w:r w:rsidR="00DB29AA">
        <w:rPr>
          <w:szCs w:val="22"/>
        </w:rPr>
        <w:t>910 MHz</w:t>
      </w:r>
      <w:r w:rsidRPr="009C230B">
        <w:rPr>
          <w:szCs w:val="22"/>
        </w:rPr>
        <w:t xml:space="preserve"> </w:t>
      </w:r>
      <w:r w:rsidR="007B468E">
        <w:rPr>
          <w:szCs w:val="22"/>
        </w:rPr>
        <w:t>band</w:t>
      </w:r>
      <w:r w:rsidRPr="009C230B">
        <w:rPr>
          <w:szCs w:val="22"/>
        </w:rPr>
        <w:t>.</w:t>
      </w:r>
      <w:r w:rsidR="00B03388">
        <w:rPr>
          <w:szCs w:val="22"/>
        </w:rPr>
        <w:t xml:space="preserve"> </w:t>
      </w:r>
      <w:r w:rsidR="00B03388" w:rsidRPr="009C230B">
        <w:rPr>
          <w:szCs w:val="22"/>
        </w:rPr>
        <w:t>The</w:t>
      </w:r>
      <w:r w:rsidR="00B03388">
        <w:rPr>
          <w:szCs w:val="22"/>
        </w:rPr>
        <w:t xml:space="preserve"> two TDD</w:t>
      </w:r>
      <w:r w:rsidR="00B03388" w:rsidRPr="009C230B">
        <w:rPr>
          <w:szCs w:val="22"/>
        </w:rPr>
        <w:t xml:space="preserve"> channels with a bandwidth of </w:t>
      </w:r>
      <w:r w:rsidR="00B03388">
        <w:rPr>
          <w:szCs w:val="22"/>
        </w:rPr>
        <w:t>5</w:t>
      </w:r>
      <w:r w:rsidR="00B03388" w:rsidRPr="009C230B">
        <w:rPr>
          <w:szCs w:val="22"/>
        </w:rPr>
        <w:t xml:space="preserve"> </w:t>
      </w:r>
      <w:r w:rsidR="00B03388">
        <w:rPr>
          <w:szCs w:val="22"/>
        </w:rPr>
        <w:t>M</w:t>
      </w:r>
      <w:r w:rsidR="00B03388" w:rsidRPr="009C230B">
        <w:rPr>
          <w:szCs w:val="22"/>
        </w:rPr>
        <w:t>Hz may be aggregated</w:t>
      </w:r>
      <w:r w:rsidR="00B03388">
        <w:rPr>
          <w:szCs w:val="22"/>
        </w:rPr>
        <w:t xml:space="preserve"> to fo</w:t>
      </w:r>
      <w:r w:rsidR="00AF2741">
        <w:rPr>
          <w:szCs w:val="22"/>
        </w:rPr>
        <w:t>r</w:t>
      </w:r>
      <w:r w:rsidR="00B03388">
        <w:rPr>
          <w:szCs w:val="22"/>
        </w:rPr>
        <w:t xml:space="preserve">m a single 10 MHz channel with a centre frequency of 1905 </w:t>
      </w:r>
      <w:proofErr w:type="spellStart"/>
      <w:r w:rsidR="00B03388">
        <w:rPr>
          <w:szCs w:val="22"/>
        </w:rPr>
        <w:t>MHz</w:t>
      </w:r>
      <w:r w:rsidR="00B03388" w:rsidRPr="009C230B">
        <w:rPr>
          <w:szCs w:val="22"/>
        </w:rPr>
        <w:t>.</w:t>
      </w:r>
      <w:proofErr w:type="spellEnd"/>
    </w:p>
    <w:p w14:paraId="2B4F4726" w14:textId="77777777" w:rsidR="009C230B" w:rsidRPr="009C230B" w:rsidRDefault="009C230B" w:rsidP="009C230B">
      <w:pPr>
        <w:pStyle w:val="ListParagraph"/>
        <w:rPr>
          <w:szCs w:val="22"/>
        </w:rPr>
      </w:pPr>
    </w:p>
    <w:p w14:paraId="236CAC05" w14:textId="77777777" w:rsidR="00476113" w:rsidRPr="009C230B" w:rsidRDefault="00476113" w:rsidP="009C230B">
      <w:pPr>
        <w:pStyle w:val="ListParagraph"/>
        <w:rPr>
          <w:szCs w:val="22"/>
        </w:rPr>
      </w:pPr>
    </w:p>
    <w:p w14:paraId="1B694689" w14:textId="3C4FD578" w:rsidR="009C230B" w:rsidRDefault="009C230B" w:rsidP="00306785">
      <w:pPr>
        <w:pStyle w:val="Caption"/>
      </w:pPr>
      <w:r w:rsidRPr="009C230B">
        <w:lastRenderedPageBreak/>
        <w:t xml:space="preserve">Channel centre frequencies and band limits for </w:t>
      </w:r>
      <w:r w:rsidR="00B238F8">
        <w:t>RMR</w:t>
      </w:r>
      <w:r w:rsidR="00476113">
        <w:t xml:space="preserve"> </w:t>
      </w:r>
      <w:r w:rsidR="00694D78">
        <w:t xml:space="preserve">system </w:t>
      </w:r>
      <w:r w:rsidR="00476113">
        <w:t>in the range 1900-1910 MHz</w:t>
      </w:r>
    </w:p>
    <w:tbl>
      <w:tblPr>
        <w:tblW w:w="75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2693"/>
        <w:gridCol w:w="1985"/>
        <w:gridCol w:w="2126"/>
      </w:tblGrid>
      <w:tr w:rsidR="00E53320" w:rsidRPr="00E53320" w14:paraId="106AE133" w14:textId="77777777" w:rsidTr="00E53320">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3D5796F2" w14:textId="7F0C623C" w:rsidR="00E53320" w:rsidRPr="00E53320" w:rsidRDefault="00E53320" w:rsidP="00E53320">
            <w:pPr>
              <w:jc w:val="center"/>
              <w:rPr>
                <w:szCs w:val="22"/>
              </w:rPr>
            </w:pPr>
            <w:r w:rsidRPr="00E53320">
              <w:rPr>
                <w:b/>
                <w:bCs/>
                <w:szCs w:val="22"/>
              </w:rPr>
              <w:t>Ch</w:t>
            </w:r>
          </w:p>
        </w:tc>
        <w:tc>
          <w:tcPr>
            <w:tcW w:w="2693" w:type="dxa"/>
            <w:tcBorders>
              <w:top w:val="single" w:sz="6" w:space="0" w:color="auto"/>
              <w:left w:val="single" w:sz="6" w:space="0" w:color="auto"/>
              <w:bottom w:val="single" w:sz="6" w:space="0" w:color="auto"/>
              <w:right w:val="single" w:sz="6" w:space="0" w:color="auto"/>
            </w:tcBorders>
            <w:vAlign w:val="center"/>
            <w:hideMark/>
          </w:tcPr>
          <w:p w14:paraId="64469981" w14:textId="1921A364" w:rsidR="00E53320" w:rsidRPr="00E53320" w:rsidRDefault="00E53320" w:rsidP="00E53320">
            <w:pPr>
              <w:jc w:val="center"/>
              <w:rPr>
                <w:szCs w:val="22"/>
              </w:rPr>
            </w:pPr>
            <w:r w:rsidRPr="00E53320">
              <w:rPr>
                <w:b/>
                <w:bCs/>
                <w:szCs w:val="22"/>
              </w:rPr>
              <w:t>Centre Frequency (MHz)</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37BD0AB" w14:textId="3A85F617" w:rsidR="00E53320" w:rsidRPr="00E53320" w:rsidRDefault="00E53320" w:rsidP="00E53320">
            <w:pPr>
              <w:jc w:val="center"/>
              <w:rPr>
                <w:szCs w:val="22"/>
              </w:rPr>
            </w:pPr>
            <w:r w:rsidRPr="00E53320">
              <w:rPr>
                <w:b/>
                <w:bCs/>
                <w:szCs w:val="22"/>
              </w:rPr>
              <w:t>Lower limit (MHz)</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000EBB0" w14:textId="403EA420" w:rsidR="00E53320" w:rsidRPr="00E53320" w:rsidRDefault="00E53320" w:rsidP="00E53320">
            <w:pPr>
              <w:jc w:val="center"/>
              <w:rPr>
                <w:szCs w:val="22"/>
              </w:rPr>
            </w:pPr>
            <w:r w:rsidRPr="00E53320">
              <w:rPr>
                <w:b/>
                <w:bCs/>
                <w:szCs w:val="22"/>
              </w:rPr>
              <w:t>Upper limit (MHz)</w:t>
            </w:r>
          </w:p>
        </w:tc>
      </w:tr>
      <w:tr w:rsidR="00E53320" w:rsidRPr="00E53320" w14:paraId="1CD251E2" w14:textId="77777777" w:rsidTr="00E53320">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201E6955" w14:textId="45418668" w:rsidR="00E53320" w:rsidRPr="00E53320" w:rsidRDefault="00E53320" w:rsidP="00E53320">
            <w:pPr>
              <w:jc w:val="center"/>
              <w:rPr>
                <w:szCs w:val="22"/>
              </w:rPr>
            </w:pPr>
            <w:r>
              <w:rPr>
                <w:szCs w:val="22"/>
              </w:rPr>
              <w:t>1</w:t>
            </w:r>
          </w:p>
        </w:tc>
        <w:tc>
          <w:tcPr>
            <w:tcW w:w="2693" w:type="dxa"/>
            <w:tcBorders>
              <w:top w:val="single" w:sz="6" w:space="0" w:color="auto"/>
              <w:left w:val="single" w:sz="6" w:space="0" w:color="auto"/>
              <w:bottom w:val="single" w:sz="6" w:space="0" w:color="auto"/>
              <w:right w:val="single" w:sz="6" w:space="0" w:color="auto"/>
            </w:tcBorders>
            <w:vAlign w:val="center"/>
            <w:hideMark/>
          </w:tcPr>
          <w:p w14:paraId="49BBA96F" w14:textId="72D7193C" w:rsidR="00E53320" w:rsidRPr="00E53320" w:rsidRDefault="00E53320" w:rsidP="00E53320">
            <w:pPr>
              <w:jc w:val="center"/>
              <w:rPr>
                <w:szCs w:val="22"/>
              </w:rPr>
            </w:pPr>
            <w:r>
              <w:rPr>
                <w:szCs w:val="22"/>
              </w:rPr>
              <w:t>902.5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3F5FF312" w14:textId="40F00DD4" w:rsidR="00E53320" w:rsidRPr="00E53320" w:rsidRDefault="00E53320" w:rsidP="00E53320">
            <w:pPr>
              <w:jc w:val="center"/>
              <w:rPr>
                <w:szCs w:val="22"/>
              </w:rPr>
            </w:pPr>
            <w:r>
              <w:rPr>
                <w:szCs w:val="22"/>
              </w:rPr>
              <w:t>1900</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EFCDB05" w14:textId="544F61BF" w:rsidR="00E53320" w:rsidRPr="00E53320" w:rsidRDefault="00E53320" w:rsidP="00E53320">
            <w:pPr>
              <w:jc w:val="center"/>
              <w:rPr>
                <w:szCs w:val="22"/>
              </w:rPr>
            </w:pPr>
            <w:r>
              <w:rPr>
                <w:szCs w:val="22"/>
              </w:rPr>
              <w:t>1905</w:t>
            </w:r>
          </w:p>
        </w:tc>
      </w:tr>
      <w:tr w:rsidR="00E53320" w:rsidRPr="00E53320" w14:paraId="2D919B88" w14:textId="77777777" w:rsidTr="00E53320">
        <w:trPr>
          <w:trHeight w:val="300"/>
        </w:trPr>
        <w:tc>
          <w:tcPr>
            <w:tcW w:w="701" w:type="dxa"/>
            <w:tcBorders>
              <w:top w:val="single" w:sz="6" w:space="0" w:color="auto"/>
              <w:left w:val="single" w:sz="6" w:space="0" w:color="auto"/>
              <w:bottom w:val="single" w:sz="6" w:space="0" w:color="auto"/>
              <w:right w:val="single" w:sz="6" w:space="0" w:color="auto"/>
            </w:tcBorders>
            <w:vAlign w:val="center"/>
            <w:hideMark/>
          </w:tcPr>
          <w:p w14:paraId="3E7EB787" w14:textId="63423199" w:rsidR="00E53320" w:rsidRPr="00E53320" w:rsidRDefault="00E53320" w:rsidP="00E53320">
            <w:pPr>
              <w:jc w:val="center"/>
              <w:rPr>
                <w:szCs w:val="22"/>
              </w:rPr>
            </w:pPr>
            <w:r>
              <w:rPr>
                <w:szCs w:val="22"/>
              </w:rPr>
              <w:t>2</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E538A44" w14:textId="4BB0D064" w:rsidR="00E53320" w:rsidRPr="00E53320" w:rsidRDefault="00E53320" w:rsidP="00E53320">
            <w:pPr>
              <w:jc w:val="center"/>
              <w:rPr>
                <w:szCs w:val="22"/>
              </w:rPr>
            </w:pPr>
            <w:r>
              <w:rPr>
                <w:szCs w:val="22"/>
              </w:rPr>
              <w:t>907.5</w:t>
            </w:r>
          </w:p>
        </w:tc>
        <w:tc>
          <w:tcPr>
            <w:tcW w:w="1985" w:type="dxa"/>
            <w:tcBorders>
              <w:top w:val="single" w:sz="6" w:space="0" w:color="auto"/>
              <w:left w:val="single" w:sz="6" w:space="0" w:color="auto"/>
              <w:bottom w:val="single" w:sz="6" w:space="0" w:color="auto"/>
              <w:right w:val="single" w:sz="6" w:space="0" w:color="auto"/>
            </w:tcBorders>
            <w:vAlign w:val="center"/>
            <w:hideMark/>
          </w:tcPr>
          <w:p w14:paraId="05EC0C7A" w14:textId="593765A4" w:rsidR="00E53320" w:rsidRPr="00E53320" w:rsidRDefault="00E53320" w:rsidP="00E53320">
            <w:pPr>
              <w:jc w:val="center"/>
              <w:rPr>
                <w:szCs w:val="22"/>
              </w:rPr>
            </w:pPr>
            <w:r>
              <w:rPr>
                <w:szCs w:val="22"/>
              </w:rPr>
              <w:t>1905</w:t>
            </w:r>
          </w:p>
        </w:tc>
        <w:tc>
          <w:tcPr>
            <w:tcW w:w="2126" w:type="dxa"/>
            <w:tcBorders>
              <w:top w:val="single" w:sz="6" w:space="0" w:color="auto"/>
              <w:left w:val="single" w:sz="6" w:space="0" w:color="auto"/>
              <w:bottom w:val="single" w:sz="6" w:space="0" w:color="auto"/>
              <w:right w:val="single" w:sz="6" w:space="0" w:color="auto"/>
            </w:tcBorders>
            <w:vAlign w:val="center"/>
            <w:hideMark/>
          </w:tcPr>
          <w:p w14:paraId="4BA75985" w14:textId="24E5E822" w:rsidR="00E53320" w:rsidRPr="00E53320" w:rsidRDefault="00E53320" w:rsidP="00E53320">
            <w:pPr>
              <w:jc w:val="center"/>
              <w:rPr>
                <w:szCs w:val="22"/>
              </w:rPr>
            </w:pPr>
            <w:r>
              <w:rPr>
                <w:szCs w:val="22"/>
              </w:rPr>
              <w:t>1910</w:t>
            </w:r>
          </w:p>
        </w:tc>
      </w:tr>
    </w:tbl>
    <w:p w14:paraId="0B5AA9B6" w14:textId="77777777" w:rsidR="009C230B" w:rsidRPr="009C230B" w:rsidRDefault="009C230B" w:rsidP="009C230B">
      <w:pPr>
        <w:pStyle w:val="ListParagraph"/>
        <w:rPr>
          <w:szCs w:val="22"/>
        </w:rPr>
      </w:pPr>
    </w:p>
    <w:p w14:paraId="56B5ECA4" w14:textId="794078B4" w:rsidR="0045796C" w:rsidRDefault="0045796C" w:rsidP="00DB29AA">
      <w:pPr>
        <w:pStyle w:val="Heading2"/>
      </w:pPr>
      <w:bookmarkStart w:id="118" w:name="_Toc233192922"/>
      <w:r>
        <w:t>Maximum transmitter power</w:t>
      </w:r>
      <w:bookmarkEnd w:id="118"/>
    </w:p>
    <w:p w14:paraId="62C6F695" w14:textId="5DBD22E0" w:rsidR="0045796C" w:rsidRPr="0045796C" w:rsidRDefault="0045796C" w:rsidP="00C6024C">
      <w:r>
        <w:t xml:space="preserve">The maximum permitted level of radio emission for the operation of a </w:t>
      </w:r>
      <w:r w:rsidR="00B238F8">
        <w:t>RMR</w:t>
      </w:r>
      <w:r w:rsidR="00C30621">
        <w:t xml:space="preserve"> </w:t>
      </w:r>
      <w:r>
        <w:t>transmitter must not exceed a radiated power of 65 dBm</w:t>
      </w:r>
      <w:r w:rsidR="00476113">
        <w:t>/10 MHz</w:t>
      </w:r>
      <w:r>
        <w:t xml:space="preserve"> EIRP.</w:t>
      </w:r>
    </w:p>
    <w:p w14:paraId="398A2450" w14:textId="324330DA" w:rsidR="00DB29AA" w:rsidRDefault="00DB29AA" w:rsidP="00DB29AA">
      <w:pPr>
        <w:pStyle w:val="Heading2"/>
      </w:pPr>
      <w:bookmarkStart w:id="119" w:name="_Toc233192923"/>
      <w:r>
        <w:t xml:space="preserve">Use </w:t>
      </w:r>
      <w:r w:rsidR="00775BD7">
        <w:t>of</w:t>
      </w:r>
      <w:r>
        <w:t xml:space="preserve"> spectrum</w:t>
      </w:r>
      <w:r w:rsidR="00775BD7">
        <w:t xml:space="preserve"> </w:t>
      </w:r>
      <w:r w:rsidR="00775BD7" w:rsidRPr="00DB29AA">
        <w:t xml:space="preserve">by </w:t>
      </w:r>
      <w:r w:rsidR="00EB4A28">
        <w:t>r</w:t>
      </w:r>
      <w:r w:rsidR="00775BD7" w:rsidRPr="00DB29AA">
        <w:t xml:space="preserve">ail </w:t>
      </w:r>
      <w:r w:rsidR="00EB4A28">
        <w:t>s</w:t>
      </w:r>
      <w:r w:rsidR="00775BD7" w:rsidRPr="00DB29AA">
        <w:t>ervices</w:t>
      </w:r>
      <w:r w:rsidR="00EB4A28">
        <w:t xml:space="preserve"> and non-rail services</w:t>
      </w:r>
      <w:bookmarkEnd w:id="119"/>
    </w:p>
    <w:p w14:paraId="6DEDA664" w14:textId="7220D621" w:rsidR="009C230B" w:rsidRPr="009C230B" w:rsidRDefault="00DB29AA" w:rsidP="00775BD7">
      <w:pPr>
        <w:rPr>
          <w:szCs w:val="22"/>
        </w:rPr>
      </w:pPr>
      <w:r>
        <w:rPr>
          <w:szCs w:val="22"/>
        </w:rPr>
        <w:t xml:space="preserve">This RALI </w:t>
      </w:r>
      <w:r w:rsidR="00EB4A28">
        <w:rPr>
          <w:szCs w:val="22"/>
        </w:rPr>
        <w:t xml:space="preserve">prioritises the use of </w:t>
      </w:r>
      <w:r w:rsidR="009C230B" w:rsidRPr="00DB29AA">
        <w:rPr>
          <w:szCs w:val="22"/>
        </w:rPr>
        <w:t xml:space="preserve">the </w:t>
      </w:r>
      <w:r>
        <w:rPr>
          <w:szCs w:val="22"/>
        </w:rPr>
        <w:t xml:space="preserve">1900–1910 MHz </w:t>
      </w:r>
      <w:r w:rsidR="0041766D">
        <w:rPr>
          <w:szCs w:val="22"/>
        </w:rPr>
        <w:t xml:space="preserve">band </w:t>
      </w:r>
      <w:r w:rsidR="009C230B" w:rsidRPr="00DB29AA">
        <w:rPr>
          <w:szCs w:val="22"/>
        </w:rPr>
        <w:t xml:space="preserve">for </w:t>
      </w:r>
      <w:r w:rsidR="00755FA2" w:rsidRPr="00DB29AA">
        <w:rPr>
          <w:szCs w:val="22"/>
        </w:rPr>
        <w:t xml:space="preserve">rail </w:t>
      </w:r>
      <w:r w:rsidR="009C230B" w:rsidRPr="00DB29AA">
        <w:rPr>
          <w:szCs w:val="22"/>
        </w:rPr>
        <w:t xml:space="preserve">use. The </w:t>
      </w:r>
      <w:r w:rsidR="00EB4A28">
        <w:rPr>
          <w:szCs w:val="22"/>
        </w:rPr>
        <w:t>ARA is to</w:t>
      </w:r>
      <w:r w:rsidR="009C230B" w:rsidRPr="00DB29AA" w:rsidDel="00EB4A28">
        <w:rPr>
          <w:szCs w:val="22"/>
        </w:rPr>
        <w:t xml:space="preserve"> </w:t>
      </w:r>
      <w:r w:rsidR="009C230B" w:rsidRPr="00DB29AA">
        <w:rPr>
          <w:szCs w:val="22"/>
        </w:rPr>
        <w:t>be consulted in considering the use of this spectrum</w:t>
      </w:r>
      <w:r w:rsidR="00EB4A28">
        <w:rPr>
          <w:szCs w:val="22"/>
        </w:rPr>
        <w:t xml:space="preserve"> for rail services</w:t>
      </w:r>
      <w:r w:rsidR="009C230B" w:rsidRPr="00DB29AA">
        <w:rPr>
          <w:szCs w:val="22"/>
        </w:rPr>
        <w:t>. The process for consultation is described in</w:t>
      </w:r>
      <w:r w:rsidR="009C230B" w:rsidRPr="00DB29AA" w:rsidDel="00EB4A28">
        <w:rPr>
          <w:szCs w:val="22"/>
        </w:rPr>
        <w:t xml:space="preserve"> </w:t>
      </w:r>
      <w:r w:rsidR="009C230B" w:rsidRPr="00DB29AA">
        <w:rPr>
          <w:szCs w:val="22"/>
        </w:rPr>
        <w:t>section</w:t>
      </w:r>
      <w:r w:rsidR="00EB4A28">
        <w:rPr>
          <w:szCs w:val="22"/>
        </w:rPr>
        <w:t xml:space="preserve"> </w:t>
      </w:r>
      <w:r w:rsidR="00EB4A28">
        <w:rPr>
          <w:szCs w:val="22"/>
        </w:rPr>
        <w:fldChar w:fldCharType="begin"/>
      </w:r>
      <w:r w:rsidR="00EB4A28">
        <w:rPr>
          <w:szCs w:val="22"/>
        </w:rPr>
        <w:instrText xml:space="preserve"> REF _Ref210225958 \r \h </w:instrText>
      </w:r>
      <w:r w:rsidR="00EB4A28">
        <w:rPr>
          <w:szCs w:val="22"/>
        </w:rPr>
      </w:r>
      <w:r w:rsidR="00EB4A28">
        <w:rPr>
          <w:szCs w:val="22"/>
        </w:rPr>
        <w:fldChar w:fldCharType="separate"/>
      </w:r>
      <w:r w:rsidR="00EB4A28">
        <w:rPr>
          <w:szCs w:val="22"/>
        </w:rPr>
        <w:t>4.6</w:t>
      </w:r>
      <w:r w:rsidR="00EB4A28">
        <w:rPr>
          <w:szCs w:val="22"/>
        </w:rPr>
        <w:fldChar w:fldCharType="end"/>
      </w:r>
      <w:r w:rsidR="009C230B" w:rsidRPr="00DB29AA">
        <w:rPr>
          <w:szCs w:val="22"/>
        </w:rPr>
        <w:t>.</w:t>
      </w:r>
    </w:p>
    <w:p w14:paraId="10945158" w14:textId="6C7ED632" w:rsidR="009C230B" w:rsidRPr="009C230B" w:rsidRDefault="009C230B" w:rsidP="00775BD7">
      <w:pPr>
        <w:rPr>
          <w:szCs w:val="22"/>
        </w:rPr>
      </w:pPr>
      <w:r w:rsidRPr="00DB29AA">
        <w:rPr>
          <w:szCs w:val="22"/>
        </w:rPr>
        <w:t xml:space="preserve">The </w:t>
      </w:r>
      <w:r w:rsidR="00DB29AA">
        <w:rPr>
          <w:szCs w:val="22"/>
        </w:rPr>
        <w:t xml:space="preserve">1900–1910 MHz </w:t>
      </w:r>
      <w:r w:rsidR="00EB4A28">
        <w:rPr>
          <w:szCs w:val="22"/>
        </w:rPr>
        <w:t xml:space="preserve">band can also be used </w:t>
      </w:r>
      <w:r w:rsidRPr="00DB29AA">
        <w:rPr>
          <w:szCs w:val="22"/>
        </w:rPr>
        <w:t>by non-rail services</w:t>
      </w:r>
      <w:r w:rsidR="00DB29AA">
        <w:rPr>
          <w:szCs w:val="22"/>
        </w:rPr>
        <w:t xml:space="preserve"> </w:t>
      </w:r>
      <w:r w:rsidR="00EB4A28">
        <w:rPr>
          <w:szCs w:val="22"/>
        </w:rPr>
        <w:t xml:space="preserve">in accordance with the coordination rules </w:t>
      </w:r>
      <w:r w:rsidR="00DB29AA">
        <w:rPr>
          <w:szCs w:val="22"/>
        </w:rPr>
        <w:t>specified in</w:t>
      </w:r>
      <w:r w:rsidR="00EB4A28">
        <w:rPr>
          <w:szCs w:val="22"/>
        </w:rPr>
        <w:t xml:space="preserve"> this</w:t>
      </w:r>
      <w:r w:rsidR="00DB29AA">
        <w:rPr>
          <w:szCs w:val="22"/>
        </w:rPr>
        <w:t xml:space="preserve"> RALI</w:t>
      </w:r>
      <w:r w:rsidR="00EB4A28">
        <w:rPr>
          <w:szCs w:val="22"/>
        </w:rPr>
        <w:t xml:space="preserve"> (which includes a prioritisation for rail services), as well as provisions in any other applicable RALI. </w:t>
      </w:r>
      <w:r w:rsidR="00476113">
        <w:rPr>
          <w:szCs w:val="22"/>
        </w:rPr>
        <w:t>T</w:t>
      </w:r>
      <w:r w:rsidR="00EB4A28">
        <w:rPr>
          <w:szCs w:val="22"/>
        </w:rPr>
        <w:t xml:space="preserve">he ARA does not need to be consulted </w:t>
      </w:r>
      <w:r w:rsidR="00755FA2">
        <w:rPr>
          <w:szCs w:val="22"/>
        </w:rPr>
        <w:t>for</w:t>
      </w:r>
      <w:r w:rsidR="00EB4A28">
        <w:rPr>
          <w:szCs w:val="22"/>
        </w:rPr>
        <w:t xml:space="preserve"> using this band for</w:t>
      </w:r>
      <w:r w:rsidR="00616B94">
        <w:rPr>
          <w:szCs w:val="22"/>
        </w:rPr>
        <w:t xml:space="preserve"> non-rail services</w:t>
      </w:r>
      <w:r w:rsidR="00775BD7">
        <w:rPr>
          <w:szCs w:val="22"/>
        </w:rPr>
        <w:t>.</w:t>
      </w:r>
    </w:p>
    <w:p w14:paraId="2501558B" w14:textId="114D7EF8" w:rsidR="009C230B" w:rsidRPr="00DB29AA" w:rsidRDefault="009C230B" w:rsidP="00DB29AA">
      <w:pPr>
        <w:pStyle w:val="Heading2"/>
      </w:pPr>
      <w:bookmarkStart w:id="120" w:name="_Ref210225958"/>
      <w:bookmarkStart w:id="121" w:name="_Toc233192924"/>
      <w:r w:rsidRPr="00DB29AA">
        <w:t>Assigning Spectrum</w:t>
      </w:r>
      <w:bookmarkEnd w:id="120"/>
      <w:bookmarkEnd w:id="121"/>
    </w:p>
    <w:p w14:paraId="1C482B9E" w14:textId="2A5456AC" w:rsidR="009C230B" w:rsidRPr="009C230B" w:rsidRDefault="009C230B" w:rsidP="00775BD7">
      <w:pPr>
        <w:rPr>
          <w:szCs w:val="22"/>
        </w:rPr>
      </w:pPr>
      <w:r w:rsidRPr="00DB29AA">
        <w:rPr>
          <w:szCs w:val="22"/>
        </w:rPr>
        <w:t xml:space="preserve">Before a licence application is submitted to the ACMA, the ARA is to be consulted in writing by the applicant or the applicant’s agent. The full details of the proposed licensee and the proposed service should be provided. The ARA will subsequently advise the applicant in writing, </w:t>
      </w:r>
      <w:r w:rsidR="00416A02">
        <w:rPr>
          <w:szCs w:val="22"/>
        </w:rPr>
        <w:t xml:space="preserve">normally </w:t>
      </w:r>
      <w:r w:rsidRPr="00DB29AA">
        <w:rPr>
          <w:szCs w:val="22"/>
        </w:rPr>
        <w:t>within three weeks, of the following:</w:t>
      </w:r>
    </w:p>
    <w:p w14:paraId="2895068F" w14:textId="38075FE7" w:rsidR="009C230B" w:rsidRPr="00775BD7" w:rsidRDefault="009C230B" w:rsidP="00775BD7">
      <w:pPr>
        <w:pStyle w:val="ListNumber"/>
      </w:pPr>
      <w:r w:rsidRPr="00775BD7">
        <w:t>Whether or not the applicant is an Australian Rail Industry Entity</w:t>
      </w:r>
      <w:r w:rsidR="00AE6321">
        <w:rPr>
          <w:rStyle w:val="FootnoteReference"/>
        </w:rPr>
        <w:footnoteReference w:id="16"/>
      </w:r>
      <w:r w:rsidRPr="00775BD7">
        <w:t>,</w:t>
      </w:r>
    </w:p>
    <w:p w14:paraId="78297436" w14:textId="3BEFD3C0" w:rsidR="009C230B" w:rsidRPr="00775BD7" w:rsidRDefault="009C230B" w:rsidP="00775BD7">
      <w:pPr>
        <w:pStyle w:val="ListNumber"/>
      </w:pPr>
      <w:r w:rsidRPr="00775BD7">
        <w:t xml:space="preserve">Whether or not the proposed service is appropriate to be accommodated in </w:t>
      </w:r>
      <w:r w:rsidR="00DB29AA" w:rsidRPr="00775BD7">
        <w:t>1900–1910 MHz</w:t>
      </w:r>
      <w:r w:rsidRPr="00775BD7">
        <w:t xml:space="preserve"> </w:t>
      </w:r>
      <w:r w:rsidR="003D3664">
        <w:t>band</w:t>
      </w:r>
      <w:r w:rsidRPr="00775BD7">
        <w:t>,</w:t>
      </w:r>
    </w:p>
    <w:p w14:paraId="12477AD9" w14:textId="2B8E1B44" w:rsidR="009C230B" w:rsidRPr="00775BD7" w:rsidRDefault="009C230B" w:rsidP="00775BD7">
      <w:pPr>
        <w:pStyle w:val="ListNumber"/>
      </w:pPr>
      <w:r w:rsidRPr="00775BD7">
        <w:t>If a rail entity is not to be accommodated, the reason</w:t>
      </w:r>
      <w:r w:rsidR="004A0C21">
        <w:t>(s) why</w:t>
      </w:r>
      <w:r w:rsidRPr="00775BD7">
        <w:t>.</w:t>
      </w:r>
    </w:p>
    <w:p w14:paraId="2F72BD19" w14:textId="2D4959CB" w:rsidR="009C230B" w:rsidRPr="00775BD7" w:rsidRDefault="009C230B" w:rsidP="00775BD7">
      <w:pPr>
        <w:rPr>
          <w:szCs w:val="22"/>
        </w:rPr>
      </w:pPr>
      <w:r w:rsidRPr="00775BD7">
        <w:rPr>
          <w:szCs w:val="22"/>
        </w:rPr>
        <w:t xml:space="preserve">The ARA advice should accompany the relevant licence application. The ACMA will have regard to the advice from </w:t>
      </w:r>
      <w:r w:rsidR="004A0C21">
        <w:rPr>
          <w:szCs w:val="22"/>
        </w:rPr>
        <w:t xml:space="preserve">the </w:t>
      </w:r>
      <w:r w:rsidRPr="00775BD7">
        <w:rPr>
          <w:szCs w:val="22"/>
        </w:rPr>
        <w:t xml:space="preserve">ARA when </w:t>
      </w:r>
      <w:r w:rsidR="007B0521">
        <w:rPr>
          <w:szCs w:val="22"/>
        </w:rPr>
        <w:t>deciding</w:t>
      </w:r>
      <w:r w:rsidRPr="00775BD7">
        <w:rPr>
          <w:szCs w:val="22"/>
        </w:rPr>
        <w:t xml:space="preserve"> on licensing a service.</w:t>
      </w:r>
    </w:p>
    <w:p w14:paraId="3AD6418F" w14:textId="05B8C923" w:rsidR="009C230B" w:rsidRPr="00775BD7" w:rsidRDefault="009C230B" w:rsidP="00775BD7">
      <w:pPr>
        <w:rPr>
          <w:szCs w:val="22"/>
        </w:rPr>
      </w:pPr>
      <w:r w:rsidRPr="00775BD7">
        <w:rPr>
          <w:szCs w:val="22"/>
        </w:rPr>
        <w:t xml:space="preserve">The contact details for the </w:t>
      </w:r>
      <w:r w:rsidR="00A61421">
        <w:rPr>
          <w:szCs w:val="22"/>
        </w:rPr>
        <w:t>ARA</w:t>
      </w:r>
      <w:r w:rsidRPr="00775BD7">
        <w:rPr>
          <w:szCs w:val="22"/>
        </w:rPr>
        <w:t xml:space="preserve"> are:</w:t>
      </w:r>
    </w:p>
    <w:p w14:paraId="6E02982C" w14:textId="77777777" w:rsidR="009C230B" w:rsidRPr="009C230B" w:rsidRDefault="009C230B" w:rsidP="009C230B">
      <w:pPr>
        <w:pStyle w:val="ListParagraph"/>
        <w:rPr>
          <w:szCs w:val="22"/>
        </w:rPr>
      </w:pPr>
      <w:r w:rsidRPr="009C230B">
        <w:rPr>
          <w:szCs w:val="22"/>
        </w:rPr>
        <w:t>Australasian Railway Association</w:t>
      </w:r>
    </w:p>
    <w:p w14:paraId="0804413A" w14:textId="77777777" w:rsidR="009C230B" w:rsidRPr="009C230B" w:rsidRDefault="009C230B" w:rsidP="009C230B">
      <w:pPr>
        <w:pStyle w:val="ListParagraph"/>
        <w:rPr>
          <w:szCs w:val="22"/>
        </w:rPr>
      </w:pPr>
      <w:r w:rsidRPr="009C230B">
        <w:rPr>
          <w:szCs w:val="22"/>
        </w:rPr>
        <w:lastRenderedPageBreak/>
        <w:t>PO Box 4608</w:t>
      </w:r>
    </w:p>
    <w:p w14:paraId="0F748E1E" w14:textId="77777777" w:rsidR="009C230B" w:rsidRPr="009C230B" w:rsidRDefault="009C230B" w:rsidP="009C230B">
      <w:pPr>
        <w:pStyle w:val="ListParagraph"/>
        <w:rPr>
          <w:szCs w:val="22"/>
        </w:rPr>
      </w:pPr>
      <w:r w:rsidRPr="009C230B">
        <w:rPr>
          <w:szCs w:val="22"/>
        </w:rPr>
        <w:t>Kingston ACT 2604</w:t>
      </w:r>
    </w:p>
    <w:p w14:paraId="205C0E53" w14:textId="77777777" w:rsidR="009C230B" w:rsidRPr="009C230B" w:rsidRDefault="009C230B" w:rsidP="009C230B">
      <w:pPr>
        <w:pStyle w:val="ListParagraph"/>
        <w:rPr>
          <w:szCs w:val="22"/>
        </w:rPr>
      </w:pPr>
    </w:p>
    <w:p w14:paraId="069E403A" w14:textId="77777777" w:rsidR="009C230B" w:rsidRPr="009C230B" w:rsidRDefault="009C230B" w:rsidP="009C230B">
      <w:pPr>
        <w:pStyle w:val="ListParagraph"/>
        <w:rPr>
          <w:szCs w:val="22"/>
        </w:rPr>
      </w:pPr>
      <w:r w:rsidRPr="009C230B">
        <w:rPr>
          <w:szCs w:val="22"/>
        </w:rPr>
        <w:t>Phone +61 2 6270 4501</w:t>
      </w:r>
    </w:p>
    <w:p w14:paraId="64EF0FA9" w14:textId="77777777" w:rsidR="009C230B" w:rsidRPr="009C230B" w:rsidRDefault="009C230B" w:rsidP="009C230B">
      <w:pPr>
        <w:pStyle w:val="ListParagraph"/>
        <w:rPr>
          <w:szCs w:val="22"/>
        </w:rPr>
      </w:pPr>
      <w:r w:rsidRPr="009C230B">
        <w:rPr>
          <w:szCs w:val="22"/>
        </w:rPr>
        <w:t>Fax +61 2 6273 5581</w:t>
      </w:r>
    </w:p>
    <w:p w14:paraId="149B3840" w14:textId="06B1BE5E" w:rsidR="009C230B" w:rsidRPr="009C230B" w:rsidRDefault="009C230B" w:rsidP="009C230B">
      <w:pPr>
        <w:pStyle w:val="ListParagraph"/>
        <w:rPr>
          <w:szCs w:val="22"/>
        </w:rPr>
      </w:pPr>
      <w:r w:rsidRPr="009C230B">
        <w:rPr>
          <w:szCs w:val="22"/>
        </w:rPr>
        <w:t xml:space="preserve">Email </w:t>
      </w:r>
      <w:hyperlink r:id="rId22" w:history="1">
        <w:r w:rsidR="003E074E" w:rsidRPr="00BB5579">
          <w:rPr>
            <w:rStyle w:val="Hyperlink"/>
            <w:szCs w:val="22"/>
          </w:rPr>
          <w:t>spectrum@ara.net.au</w:t>
        </w:r>
      </w:hyperlink>
    </w:p>
    <w:p w14:paraId="4ED87CAC" w14:textId="77777777" w:rsidR="003E074E" w:rsidRDefault="003E074E" w:rsidP="009C230B">
      <w:pPr>
        <w:pStyle w:val="ListParagraph"/>
        <w:rPr>
          <w:szCs w:val="22"/>
        </w:rPr>
      </w:pPr>
    </w:p>
    <w:p w14:paraId="0639519B" w14:textId="32153ED9" w:rsidR="003E074E" w:rsidRPr="009C230B" w:rsidRDefault="003E074E" w:rsidP="00B17821">
      <w:pPr>
        <w:pStyle w:val="ListParagraph"/>
        <w:ind w:left="0"/>
        <w:rPr>
          <w:szCs w:val="22"/>
        </w:rPr>
      </w:pPr>
      <w:r>
        <w:rPr>
          <w:szCs w:val="22"/>
        </w:rPr>
        <w:t xml:space="preserve">The </w:t>
      </w:r>
      <w:r w:rsidR="00642DC5">
        <w:rPr>
          <w:szCs w:val="22"/>
        </w:rPr>
        <w:t xml:space="preserve">role of the ARA </w:t>
      </w:r>
      <w:r w:rsidR="008B7F4C">
        <w:rPr>
          <w:szCs w:val="22"/>
        </w:rPr>
        <w:t xml:space="preserve">in this process </w:t>
      </w:r>
      <w:r w:rsidR="00642DC5">
        <w:rPr>
          <w:szCs w:val="22"/>
        </w:rPr>
        <w:t>may be reviewed in the future</w:t>
      </w:r>
      <w:r w:rsidR="00D80514">
        <w:rPr>
          <w:szCs w:val="22"/>
        </w:rPr>
        <w:t xml:space="preserve">. </w:t>
      </w:r>
    </w:p>
    <w:p w14:paraId="1EA708EE" w14:textId="56337C7B" w:rsidR="00D6001E" w:rsidRDefault="00D6001E" w:rsidP="00D6001E">
      <w:pPr>
        <w:pStyle w:val="Heading2"/>
      </w:pPr>
      <w:bookmarkStart w:id="122" w:name="_Toc134081790"/>
      <w:bookmarkStart w:id="123" w:name="_Toc233192925"/>
      <w:r>
        <w:t>Advisory notes</w:t>
      </w:r>
      <w:bookmarkEnd w:id="122"/>
      <w:bookmarkEnd w:id="123"/>
    </w:p>
    <w:p w14:paraId="090E55C0" w14:textId="7418D515" w:rsidR="00D6001E" w:rsidRDefault="00D6001E" w:rsidP="00D6001E">
      <w:pPr>
        <w:spacing w:after="120"/>
      </w:pPr>
      <w:r>
        <w:t xml:space="preserve">The following user selectable </w:t>
      </w:r>
      <w:r w:rsidRPr="001B091A">
        <w:rPr>
          <w:b/>
          <w:bCs/>
        </w:rPr>
        <w:t>advisory note FR</w:t>
      </w:r>
      <w:r>
        <w:t xml:space="preserve"> must be attached to all licences authorising </w:t>
      </w:r>
      <w:r w:rsidR="00B238F8">
        <w:t>RMR</w:t>
      </w:r>
      <w:r>
        <w:t xml:space="preserve"> </w:t>
      </w:r>
      <w:r w:rsidR="00694D78">
        <w:t xml:space="preserve">services </w:t>
      </w:r>
      <w:r>
        <w:t>in the 1900–19</w:t>
      </w:r>
      <w:r w:rsidR="00775BD7">
        <w:t>1</w:t>
      </w:r>
      <w:r>
        <w:t>0 MHz band:</w:t>
      </w:r>
    </w:p>
    <w:p w14:paraId="05FC5E93" w14:textId="77777777" w:rsidR="00D6001E" w:rsidRDefault="00D6001E" w:rsidP="00D6001E">
      <w:pPr>
        <w:pStyle w:val="BlockQuote"/>
        <w:spacing w:after="60"/>
      </w:pPr>
      <w:r>
        <w:t>“The shared spectrum arrangements and uncoordinated nature of class licensed radiocommunications devices in the 1880–1900 MHz band:</w:t>
      </w:r>
    </w:p>
    <w:p w14:paraId="3DC4ED3E" w14:textId="77777777" w:rsidR="00D6001E" w:rsidRDefault="00D6001E" w:rsidP="000B2B00">
      <w:pPr>
        <w:pStyle w:val="BlockQuote"/>
        <w:numPr>
          <w:ilvl w:val="0"/>
          <w:numId w:val="13"/>
        </w:numPr>
        <w:spacing w:after="60"/>
      </w:pPr>
      <w:r>
        <w:t>may result in interference from nearby class licensed radiocommunications devices that may reduce system performance; and</w:t>
      </w:r>
    </w:p>
    <w:p w14:paraId="46CE3412" w14:textId="77777777" w:rsidR="00D6001E" w:rsidRDefault="00D6001E" w:rsidP="000B2B00">
      <w:pPr>
        <w:pStyle w:val="BlockQuote"/>
        <w:numPr>
          <w:ilvl w:val="0"/>
          <w:numId w:val="13"/>
        </w:numPr>
        <w:spacing w:after="60"/>
      </w:pPr>
      <w:r>
        <w:t>the likelihood of such interference is very low due to the dynamic channel allocation techniques inherent in cordless technologies used in the band; and</w:t>
      </w:r>
    </w:p>
    <w:p w14:paraId="6FB07A7E" w14:textId="77777777" w:rsidR="00D6001E" w:rsidRDefault="00D6001E" w:rsidP="000B2B00">
      <w:pPr>
        <w:pStyle w:val="BlockQuote"/>
        <w:numPr>
          <w:ilvl w:val="0"/>
          <w:numId w:val="13"/>
        </w:numPr>
      </w:pPr>
      <w:r>
        <w:t>protection from such interference cannot be afforded.”</w:t>
      </w:r>
    </w:p>
    <w:p w14:paraId="60581973" w14:textId="288349E4" w:rsidR="00D6001E" w:rsidRDefault="00D6001E" w:rsidP="00D6001E">
      <w:pPr>
        <w:pStyle w:val="Heading2"/>
      </w:pPr>
      <w:bookmarkStart w:id="124" w:name="_Toc134081791"/>
      <w:bookmarkStart w:id="125" w:name="_Ref208996144"/>
      <w:bookmarkStart w:id="126" w:name="_Ref212630224"/>
      <w:bookmarkStart w:id="127" w:name="_Ref212630712"/>
      <w:bookmarkStart w:id="128" w:name="_Ref212632431"/>
      <w:bookmarkStart w:id="129" w:name="_Ref212633706"/>
      <w:bookmarkStart w:id="130" w:name="_Toc233192926"/>
      <w:r>
        <w:t>Special conditions</w:t>
      </w:r>
      <w:bookmarkEnd w:id="124"/>
      <w:bookmarkEnd w:id="125"/>
      <w:bookmarkEnd w:id="126"/>
      <w:bookmarkEnd w:id="127"/>
      <w:bookmarkEnd w:id="128"/>
      <w:bookmarkEnd w:id="129"/>
      <w:bookmarkEnd w:id="130"/>
    </w:p>
    <w:p w14:paraId="723C6EF3" w14:textId="2EA7B863" w:rsidR="00D41A4B" w:rsidRDefault="00D6001E" w:rsidP="00D6001E">
      <w:pPr>
        <w:spacing w:after="120"/>
      </w:pPr>
      <w:bookmarkStart w:id="131" w:name="_Hlk207972446"/>
      <w:r>
        <w:t xml:space="preserve">The following user selectable </w:t>
      </w:r>
      <w:r w:rsidRPr="00E61632">
        <w:rPr>
          <w:b/>
          <w:bCs/>
        </w:rPr>
        <w:t>special condition</w:t>
      </w:r>
      <w:r w:rsidR="004E2AEB">
        <w:rPr>
          <w:b/>
          <w:bCs/>
        </w:rPr>
        <w:t xml:space="preserve"> </w:t>
      </w:r>
      <w:r w:rsidR="009B71AB">
        <w:rPr>
          <w:b/>
          <w:bCs/>
        </w:rPr>
        <w:t>C25</w:t>
      </w:r>
      <w:r>
        <w:t xml:space="preserve"> </w:t>
      </w:r>
      <w:r w:rsidR="00D41A4B">
        <w:t xml:space="preserve">is to be </w:t>
      </w:r>
      <w:r w:rsidRPr="00E61632">
        <w:t xml:space="preserve">attached to </w:t>
      </w:r>
      <w:r w:rsidR="00D41A4B">
        <w:t>all PTS licences in the 1900-1910 MHz frequency range:</w:t>
      </w:r>
    </w:p>
    <w:p w14:paraId="1E44C635" w14:textId="4EF5BE91" w:rsidR="00D41A4B" w:rsidRPr="00D41A4B" w:rsidRDefault="00D41A4B" w:rsidP="00D41A4B">
      <w:pPr>
        <w:spacing w:after="120"/>
        <w:ind w:left="280"/>
        <w:rPr>
          <w:i/>
          <w:iCs/>
        </w:rPr>
      </w:pPr>
      <w:r w:rsidRPr="00892C4D">
        <w:rPr>
          <w:b/>
          <w:bCs/>
        </w:rPr>
        <w:t xml:space="preserve">Special Condition </w:t>
      </w:r>
      <w:r w:rsidR="008E2C34">
        <w:rPr>
          <w:b/>
          <w:bCs/>
        </w:rPr>
        <w:t>C25</w:t>
      </w:r>
      <w:r w:rsidRPr="00892C4D">
        <w:rPr>
          <w:b/>
          <w:bCs/>
        </w:rPr>
        <w:t xml:space="preserve">: </w:t>
      </w:r>
      <w:r w:rsidRPr="00892C4D">
        <w:rPr>
          <w:i/>
          <w:iCs/>
        </w:rPr>
        <w:t>‘</w:t>
      </w:r>
      <w:r w:rsidR="002241D1" w:rsidRPr="002241D1">
        <w:rPr>
          <w:i/>
          <w:iCs/>
        </w:rPr>
        <w:t xml:space="preserve">A person must only operate a radiocommunications transmitter </w:t>
      </w:r>
      <w:r w:rsidRPr="00D41A4B">
        <w:rPr>
          <w:i/>
          <w:iCs/>
        </w:rPr>
        <w:t>for the purpose of the provision of rail safety and control communications.’</w:t>
      </w:r>
    </w:p>
    <w:p w14:paraId="2B9045AB" w14:textId="5A680EFD" w:rsidR="00D41A4B" w:rsidRDefault="00D41A4B" w:rsidP="00D41A4B">
      <w:pPr>
        <w:spacing w:after="120"/>
      </w:pPr>
      <w:r>
        <w:t xml:space="preserve">The following user selectable </w:t>
      </w:r>
      <w:r w:rsidRPr="00E61632">
        <w:rPr>
          <w:b/>
          <w:bCs/>
        </w:rPr>
        <w:t xml:space="preserve">special condition </w:t>
      </w:r>
      <w:r w:rsidR="00171DFD">
        <w:rPr>
          <w:b/>
          <w:bCs/>
        </w:rPr>
        <w:t>C</w:t>
      </w:r>
      <w:r w:rsidR="00AF4826">
        <w:rPr>
          <w:b/>
          <w:bCs/>
        </w:rPr>
        <w:t>26</w:t>
      </w:r>
      <w:r>
        <w:t xml:space="preserve"> is to be </w:t>
      </w:r>
      <w:r w:rsidRPr="00E61632">
        <w:t xml:space="preserve">attached to </w:t>
      </w:r>
      <w:r>
        <w:t>all PTS licences in the 1900-1910 MHz frequency range</w:t>
      </w:r>
      <w:r w:rsidR="00635271">
        <w:t>, and all new point-to-point and point-to-multipoint licences issued in the range 1900-1920 MHz for stations that are located within 150km (co-channel) or 30 km (adjacent-channel) from a railway line in Appendix A</w:t>
      </w:r>
      <w:r>
        <w:t>:</w:t>
      </w:r>
    </w:p>
    <w:p w14:paraId="256E0E98" w14:textId="16410DED" w:rsidR="00D41A4B" w:rsidRDefault="00D41A4B" w:rsidP="00D41A4B">
      <w:pPr>
        <w:spacing w:after="120"/>
        <w:ind w:left="280"/>
        <w:rPr>
          <w:i/>
          <w:iCs/>
        </w:rPr>
      </w:pPr>
      <w:r w:rsidRPr="00892C4D">
        <w:rPr>
          <w:b/>
          <w:bCs/>
        </w:rPr>
        <w:t xml:space="preserve">Special Condition </w:t>
      </w:r>
      <w:r w:rsidR="00AF4826">
        <w:rPr>
          <w:b/>
          <w:bCs/>
        </w:rPr>
        <w:t>C26</w:t>
      </w:r>
      <w:r w:rsidRPr="00892C4D">
        <w:rPr>
          <w:b/>
          <w:bCs/>
        </w:rPr>
        <w:t xml:space="preserve">: </w:t>
      </w:r>
      <w:r w:rsidRPr="00892C4D">
        <w:rPr>
          <w:i/>
          <w:iCs/>
        </w:rPr>
        <w:t xml:space="preserve">‘No interference shall be caused to, and no protection from interference shall be afforded from, </w:t>
      </w:r>
      <w:r>
        <w:rPr>
          <w:i/>
          <w:iCs/>
        </w:rPr>
        <w:t>stations operated under a PTS licence in the 1900-1910 MHz frequency range.</w:t>
      </w:r>
    </w:p>
    <w:p w14:paraId="765638B8" w14:textId="3D510AD0" w:rsidR="003C468D" w:rsidRPr="003C468D" w:rsidRDefault="003C468D" w:rsidP="00B17821">
      <w:r w:rsidRPr="00B17821">
        <w:rPr>
          <w:b/>
          <w:bCs/>
        </w:rPr>
        <w:t>Special Condition C23</w:t>
      </w:r>
      <w:r w:rsidRPr="003C468D">
        <w:t xml:space="preserve"> must be applied to all spectrum accesses associated with </w:t>
      </w:r>
      <w:r w:rsidR="00E96300">
        <w:t>PTS</w:t>
      </w:r>
      <w:r w:rsidRPr="003C468D">
        <w:t xml:space="preserve"> licences in the frequency range 1</w:t>
      </w:r>
      <w:r w:rsidR="002101C9">
        <w:t>900</w:t>
      </w:r>
      <w:r w:rsidRPr="003C468D">
        <w:t xml:space="preserve"> </w:t>
      </w:r>
      <w:r w:rsidR="00E63F33">
        <w:t>-</w:t>
      </w:r>
      <w:r w:rsidRPr="003C468D">
        <w:t xml:space="preserve"> </w:t>
      </w:r>
      <w:r w:rsidR="002101C9">
        <w:t>1910</w:t>
      </w:r>
      <w:r w:rsidRPr="003C468D">
        <w:t xml:space="preserve"> MHz that will deploy devices underground.</w:t>
      </w:r>
    </w:p>
    <w:p w14:paraId="64CAEE31" w14:textId="77777777" w:rsidR="003C468D" w:rsidRPr="00B17821" w:rsidRDefault="003C468D" w:rsidP="00B17821">
      <w:pPr>
        <w:ind w:firstLine="284"/>
        <w:rPr>
          <w:b/>
          <w:bCs/>
        </w:rPr>
      </w:pPr>
      <w:r w:rsidRPr="00B17821">
        <w:rPr>
          <w:b/>
          <w:bCs/>
        </w:rPr>
        <w:t>Special Condition C23</w:t>
      </w:r>
    </w:p>
    <w:p w14:paraId="5820B7AC" w14:textId="77777777" w:rsidR="003C468D" w:rsidRPr="003C468D" w:rsidRDefault="003C468D" w:rsidP="00B17821">
      <w:pPr>
        <w:ind w:left="284"/>
      </w:pPr>
      <w:r w:rsidRPr="003C468D">
        <w:t>A person must not operate a:</w:t>
      </w:r>
    </w:p>
    <w:p w14:paraId="7A333492" w14:textId="2E2E8B8F" w:rsidR="003C468D" w:rsidRPr="003C468D" w:rsidRDefault="003C468D" w:rsidP="00B17821">
      <w:pPr>
        <w:pStyle w:val="ListParagraph"/>
        <w:numPr>
          <w:ilvl w:val="0"/>
          <w:numId w:val="20"/>
        </w:numPr>
      </w:pPr>
      <w:r w:rsidRPr="003C468D">
        <w:t>radiocommunications transmitter that is, or is part of, a station other than a registration exempt station otherwise than in accordance with section 8 of the Radiocommunications Licence Conditions (PTS Licence) Determination 2024 (PTS LCD); or</w:t>
      </w:r>
    </w:p>
    <w:p w14:paraId="1974C53E" w14:textId="0713087B" w:rsidR="003C468D" w:rsidRPr="003C468D" w:rsidRDefault="003C468D" w:rsidP="00B17821">
      <w:pPr>
        <w:pStyle w:val="ListParagraph"/>
        <w:numPr>
          <w:ilvl w:val="0"/>
          <w:numId w:val="20"/>
        </w:numPr>
      </w:pPr>
      <w:r w:rsidRPr="003C468D">
        <w:lastRenderedPageBreak/>
        <w:t xml:space="preserve">registration exempt station otherwise than in accordance with sections 9, 12 and 13 of the PTS LCD. </w:t>
      </w:r>
    </w:p>
    <w:p w14:paraId="2FBFAD46" w14:textId="77777777" w:rsidR="003C468D" w:rsidRPr="003C468D" w:rsidRDefault="003C468D" w:rsidP="00B17821">
      <w:pPr>
        <w:ind w:left="284"/>
      </w:pPr>
      <w:r w:rsidRPr="003C468D">
        <w:t xml:space="preserve">In this condition, registration exempt station has the same meaning as in the PTS LCD and also means a base station: </w:t>
      </w:r>
    </w:p>
    <w:p w14:paraId="6767106C" w14:textId="3C7911C8" w:rsidR="003C468D" w:rsidRPr="003C468D" w:rsidRDefault="003C468D" w:rsidP="00B17821">
      <w:pPr>
        <w:pStyle w:val="ListParagraph"/>
        <w:numPr>
          <w:ilvl w:val="0"/>
          <w:numId w:val="21"/>
        </w:numPr>
      </w:pPr>
      <w:r w:rsidRPr="003C468D">
        <w:t xml:space="preserve">that is, or incorporates, one or more radiocommunications transmitters (a relevant transmitter); and </w:t>
      </w:r>
    </w:p>
    <w:p w14:paraId="77EDEFB3" w14:textId="4D18C2FC" w:rsidR="003C468D" w:rsidRPr="003C468D" w:rsidRDefault="003C468D" w:rsidP="00B17821">
      <w:pPr>
        <w:pStyle w:val="ListParagraph"/>
        <w:numPr>
          <w:ilvl w:val="0"/>
          <w:numId w:val="21"/>
        </w:numPr>
      </w:pPr>
      <w:r w:rsidRPr="003C468D">
        <w:t>that is located in an underground space; and</w:t>
      </w:r>
    </w:p>
    <w:p w14:paraId="7E119884" w14:textId="7ADC21C2" w:rsidR="003C468D" w:rsidRDefault="003C468D" w:rsidP="00DB467E">
      <w:pPr>
        <w:pStyle w:val="ListParagraph"/>
        <w:numPr>
          <w:ilvl w:val="0"/>
          <w:numId w:val="21"/>
        </w:numPr>
      </w:pPr>
      <w:r w:rsidRPr="003C468D">
        <w:t>for which each relevant transmitter:</w:t>
      </w:r>
    </w:p>
    <w:p w14:paraId="2A999E51" w14:textId="77777777" w:rsidR="000047C5" w:rsidRDefault="000047C5" w:rsidP="000047C5">
      <w:pPr>
        <w:pStyle w:val="ListParagraph"/>
        <w:numPr>
          <w:ilvl w:val="1"/>
          <w:numId w:val="21"/>
        </w:numPr>
      </w:pPr>
      <w:r>
        <w:t>is operated with a radiated true mean power not greater than 10 micro watts per occupied bandwidth, when measured at an opening above ground that connects to the underground space; and</w:t>
      </w:r>
    </w:p>
    <w:p w14:paraId="625B534E" w14:textId="0E366180" w:rsidR="000047C5" w:rsidRDefault="000047C5" w:rsidP="000047C5">
      <w:pPr>
        <w:pStyle w:val="ListParagraph"/>
        <w:numPr>
          <w:ilvl w:val="1"/>
          <w:numId w:val="21"/>
        </w:numPr>
      </w:pPr>
      <w:r>
        <w:t>is operated on a frequency specified in this licence for the operation of a radiocommunications transmitter; and</w:t>
      </w:r>
    </w:p>
    <w:p w14:paraId="3941F1B6" w14:textId="320EFE42" w:rsidR="00386A0B" w:rsidRDefault="000047C5" w:rsidP="00B17821">
      <w:pPr>
        <w:pStyle w:val="ListParagraph"/>
        <w:numPr>
          <w:ilvl w:val="1"/>
          <w:numId w:val="21"/>
        </w:numPr>
      </w:pPr>
      <w:r>
        <w:t>if this licence specifies an emission designator for emissions made by a radiocommunications transmitter – is operated in accordance with that emission designator; and</w:t>
      </w:r>
    </w:p>
    <w:p w14:paraId="38D6BA9F" w14:textId="023B8BE7" w:rsidR="00DB467E" w:rsidRPr="003C468D" w:rsidRDefault="00DB467E" w:rsidP="00B17821">
      <w:pPr>
        <w:pStyle w:val="ListParagraph"/>
        <w:numPr>
          <w:ilvl w:val="0"/>
          <w:numId w:val="21"/>
        </w:numPr>
      </w:pPr>
      <w:r w:rsidRPr="003C468D">
        <w:t>if a radiocommunications receiver is part of the station – the receiver is operated on a frequency specified in this licence</w:t>
      </w:r>
      <w:r w:rsidR="00386A0B">
        <w:t>.</w:t>
      </w:r>
    </w:p>
    <w:p w14:paraId="0E4F1199" w14:textId="77777777" w:rsidR="00D6001E" w:rsidRDefault="00D6001E" w:rsidP="00D6001E">
      <w:pPr>
        <w:pStyle w:val="Heading2"/>
      </w:pPr>
      <w:bookmarkStart w:id="132" w:name="_Toc230765888"/>
      <w:bookmarkStart w:id="133" w:name="_Toc210288428"/>
      <w:bookmarkStart w:id="134" w:name="_Toc134081792"/>
      <w:bookmarkStart w:id="135" w:name="_Toc233192927"/>
      <w:bookmarkEnd w:id="131"/>
      <w:bookmarkEnd w:id="132"/>
      <w:bookmarkEnd w:id="133"/>
      <w:r>
        <w:t>Spectrum access records</w:t>
      </w:r>
      <w:bookmarkEnd w:id="134"/>
      <w:bookmarkEnd w:id="135"/>
    </w:p>
    <w:p w14:paraId="0A62D362" w14:textId="5B06A5FF" w:rsidR="00D6001E" w:rsidRDefault="00D6001E" w:rsidP="00D6001E">
      <w:pPr>
        <w:spacing w:after="120"/>
      </w:pPr>
      <w:r>
        <w:t xml:space="preserve">Technical details relating to the </w:t>
      </w:r>
      <w:r w:rsidR="00B238F8">
        <w:t>RMR</w:t>
      </w:r>
      <w:r>
        <w:t xml:space="preserve"> base station, including transmit power, antenna, location, antenna height, antenna type</w:t>
      </w:r>
      <w:r w:rsidR="00FD1628">
        <w:t>/</w:t>
      </w:r>
      <w:r>
        <w:t>orientation and transmit/receive frequenc</w:t>
      </w:r>
      <w:r w:rsidR="00FD1628">
        <w:t>ies</w:t>
      </w:r>
      <w:r>
        <w:t xml:space="preserve"> must be recorded. </w:t>
      </w:r>
      <w:r w:rsidR="00FD1628">
        <w:t xml:space="preserve">Note </w:t>
      </w:r>
      <w:r>
        <w:t>that:</w:t>
      </w:r>
    </w:p>
    <w:p w14:paraId="0C53FDF1" w14:textId="77777777" w:rsidR="00D6001E" w:rsidRDefault="00D6001E" w:rsidP="00306785">
      <w:pPr>
        <w:pStyle w:val="ListBullet"/>
      </w:pPr>
      <w:r>
        <w:t>Where sectored antennas are used, details of the antenna model, tilt, polarisation, and azimuth</w:t>
      </w:r>
      <w:r>
        <w:rPr>
          <w:rStyle w:val="FootnoteReference"/>
        </w:rPr>
        <w:footnoteReference w:id="17"/>
      </w:r>
      <w:r>
        <w:t xml:space="preserve"> must be recorded for each sector.</w:t>
      </w:r>
    </w:p>
    <w:p w14:paraId="0D41C7E4" w14:textId="692CBB6D" w:rsidR="00D6001E" w:rsidRDefault="00D6001E" w:rsidP="00306785">
      <w:pPr>
        <w:pStyle w:val="ListBullet"/>
      </w:pPr>
      <w:r>
        <w:t>Where steerable beam antennas are used</w:t>
      </w:r>
      <w:r w:rsidR="00FD1628">
        <w:t>,</w:t>
      </w:r>
      <w:r>
        <w:t xml:space="preserve"> details of the highest </w:t>
      </w:r>
      <w:r w:rsidR="00FD1628">
        <w:t xml:space="preserve">possible </w:t>
      </w:r>
      <w:r>
        <w:t>gain must be recorded.</w:t>
      </w:r>
    </w:p>
    <w:p w14:paraId="54424E56" w14:textId="77777777" w:rsidR="005A2FF9" w:rsidRDefault="005A2FF9" w:rsidP="00AF06C8">
      <w:pPr>
        <w:pStyle w:val="ListParagraph"/>
        <w:ind w:left="0"/>
        <w:rPr>
          <w:szCs w:val="22"/>
        </w:rPr>
      </w:pPr>
    </w:p>
    <w:p w14:paraId="0D1775C5" w14:textId="77777777" w:rsidR="004A13A7" w:rsidRPr="000B27C0" w:rsidRDefault="004A13A7" w:rsidP="000B27C0">
      <w:pPr>
        <w:pStyle w:val="Heading1"/>
      </w:pPr>
      <w:bookmarkStart w:id="136" w:name="_Toc513476332"/>
      <w:bookmarkStart w:id="137" w:name="_Toc8983859"/>
      <w:bookmarkStart w:id="138" w:name="_Toc8986383"/>
      <w:bookmarkStart w:id="139" w:name="_Toc233192928"/>
      <w:r w:rsidRPr="000B27C0">
        <w:lastRenderedPageBreak/>
        <w:t>Exceptions</w:t>
      </w:r>
      <w:bookmarkEnd w:id="136"/>
      <w:bookmarkEnd w:id="137"/>
      <w:bookmarkEnd w:id="138"/>
      <w:bookmarkEnd w:id="139"/>
    </w:p>
    <w:p w14:paraId="580DBCE3" w14:textId="77777777" w:rsidR="004A13A7" w:rsidRPr="00AF06C8" w:rsidRDefault="004A13A7" w:rsidP="004A13A7">
      <w:pPr>
        <w:rPr>
          <w:rFonts w:cstheme="minorBidi"/>
          <w:szCs w:val="22"/>
        </w:rPr>
      </w:pPr>
      <w:r w:rsidRPr="00AF06C8">
        <w:rPr>
          <w:szCs w:val="22"/>
        </w:rPr>
        <w:t xml:space="preserve">Exceptions to the requirements of this RALI for prospective assignments require case-by-case consideration by the Manager, Spectrum </w:t>
      </w:r>
      <w:r w:rsidR="00A1481A">
        <w:rPr>
          <w:szCs w:val="22"/>
        </w:rPr>
        <w:t>Planning Section</w:t>
      </w:r>
      <w:r w:rsidRPr="00AF06C8">
        <w:rPr>
          <w:szCs w:val="22"/>
        </w:rPr>
        <w:t>.</w:t>
      </w:r>
    </w:p>
    <w:p w14:paraId="221444C1" w14:textId="77777777" w:rsidR="004A13A7" w:rsidRPr="00AF06C8" w:rsidRDefault="004A13A7" w:rsidP="004A13A7">
      <w:pPr>
        <w:rPr>
          <w:szCs w:val="22"/>
        </w:rPr>
      </w:pPr>
      <w:r w:rsidRPr="00AF06C8">
        <w:rPr>
          <w:szCs w:val="22"/>
        </w:rPr>
        <w:t>A request for exemption from the requirements of this RALI would need to be accompanied by evidence to support the request.</w:t>
      </w:r>
    </w:p>
    <w:p w14:paraId="7E9E765A" w14:textId="77777777" w:rsidR="000B27C0" w:rsidRPr="000B27C0" w:rsidRDefault="004A13A7" w:rsidP="000B27C0">
      <w:pPr>
        <w:rPr>
          <w:rFonts w:cs="Arial"/>
          <w:szCs w:val="22"/>
        </w:rPr>
      </w:pPr>
      <w:r w:rsidRPr="00AF06C8">
        <w:rPr>
          <w:rFonts w:cs="Arial"/>
          <w:szCs w:val="22"/>
        </w:rPr>
        <w:t xml:space="preserve">All requests for exemptions should be submitted to </w:t>
      </w:r>
      <w:hyperlink r:id="rId23" w:history="1">
        <w:r w:rsidR="00746A68" w:rsidRPr="00AD1617">
          <w:rPr>
            <w:rStyle w:val="Hyperlink"/>
            <w:rFonts w:cs="Arial"/>
            <w:szCs w:val="22"/>
          </w:rPr>
          <w:t>freqplan@acma.gov.au</w:t>
        </w:r>
      </w:hyperlink>
      <w:r w:rsidR="00746A68">
        <w:rPr>
          <w:rFonts w:cs="Arial"/>
          <w:szCs w:val="22"/>
        </w:rPr>
        <w:t xml:space="preserve">. </w:t>
      </w:r>
    </w:p>
    <w:p w14:paraId="202F5D86" w14:textId="77777777" w:rsidR="004A13A7" w:rsidRPr="008C3D36" w:rsidRDefault="004A13A7" w:rsidP="00923D7A">
      <w:pPr>
        <w:pStyle w:val="Heading1"/>
      </w:pPr>
      <w:bookmarkStart w:id="140" w:name="_Toc8983860"/>
      <w:bookmarkStart w:id="141" w:name="_Toc8986384"/>
      <w:bookmarkStart w:id="142" w:name="_Toc233192929"/>
      <w:r w:rsidRPr="008C3D36">
        <w:lastRenderedPageBreak/>
        <w:t>RALI Authorisation</w:t>
      </w:r>
      <w:bookmarkEnd w:id="140"/>
      <w:bookmarkEnd w:id="141"/>
      <w:bookmarkEnd w:id="142"/>
    </w:p>
    <w:p w14:paraId="542396D9" w14:textId="006555DA" w:rsidR="004A13A7" w:rsidRPr="00AF06C8" w:rsidRDefault="006149B1" w:rsidP="004A13A7">
      <w:pPr>
        <w:rPr>
          <w:szCs w:val="22"/>
        </w:rPr>
      </w:pPr>
      <w:r>
        <w:rPr>
          <w:szCs w:val="22"/>
        </w:rPr>
        <w:t>A</w:t>
      </w:r>
      <w:r w:rsidR="004A13A7" w:rsidRPr="00AF06C8">
        <w:rPr>
          <w:szCs w:val="22"/>
        </w:rPr>
        <w:t xml:space="preserve">pproved     </w:t>
      </w:r>
      <w:r w:rsidR="004A13A7" w:rsidRPr="00AF06C8">
        <w:rPr>
          <w:szCs w:val="22"/>
        </w:rPr>
        <w:tab/>
      </w:r>
      <w:r w:rsidR="0001301F">
        <w:rPr>
          <w:szCs w:val="22"/>
        </w:rPr>
        <w:t>02</w:t>
      </w:r>
      <w:r w:rsidR="004A13A7" w:rsidRPr="00AF06C8">
        <w:rPr>
          <w:szCs w:val="22"/>
        </w:rPr>
        <w:t>/</w:t>
      </w:r>
      <w:r w:rsidR="0001301F">
        <w:rPr>
          <w:szCs w:val="22"/>
        </w:rPr>
        <w:t>07</w:t>
      </w:r>
      <w:r w:rsidR="004A13A7" w:rsidRPr="00AF06C8">
        <w:rPr>
          <w:szCs w:val="22"/>
        </w:rPr>
        <w:t>/20</w:t>
      </w:r>
      <w:r w:rsidR="003C2AED">
        <w:rPr>
          <w:szCs w:val="22"/>
        </w:rPr>
        <w:t>2</w:t>
      </w:r>
      <w:r w:rsidR="000E4343">
        <w:rPr>
          <w:szCs w:val="22"/>
        </w:rPr>
        <w:t>6</w:t>
      </w:r>
    </w:p>
    <w:p w14:paraId="745EF35F" w14:textId="77777777" w:rsidR="004A13A7" w:rsidRPr="00AF06C8" w:rsidRDefault="004A13A7" w:rsidP="004A13A7">
      <w:pPr>
        <w:rPr>
          <w:szCs w:val="22"/>
        </w:rPr>
      </w:pPr>
      <w:r w:rsidRPr="00AF06C8">
        <w:rPr>
          <w:szCs w:val="22"/>
        </w:rPr>
        <w:br/>
        <w:t>Manager</w:t>
      </w:r>
      <w:r w:rsidRPr="00AF06C8">
        <w:rPr>
          <w:szCs w:val="22"/>
        </w:rPr>
        <w:br/>
        <w:t xml:space="preserve">Spectrum </w:t>
      </w:r>
      <w:r w:rsidR="00746A68">
        <w:rPr>
          <w:szCs w:val="22"/>
        </w:rPr>
        <w:t>Planning Section</w:t>
      </w:r>
      <w:r w:rsidRPr="00AF06C8">
        <w:rPr>
          <w:szCs w:val="22"/>
        </w:rPr>
        <w:br/>
        <w:t>Spectrum Planning and Engineering Branch</w:t>
      </w:r>
    </w:p>
    <w:p w14:paraId="79AB7CF8" w14:textId="77777777" w:rsidR="004A13A7" w:rsidRPr="00AF06C8" w:rsidRDefault="004A13A7" w:rsidP="004A13A7">
      <w:pPr>
        <w:rPr>
          <w:szCs w:val="22"/>
        </w:rPr>
      </w:pPr>
      <w:r w:rsidRPr="00AF06C8">
        <w:rPr>
          <w:szCs w:val="22"/>
        </w:rPr>
        <w:t>Communications Infrastructure Division</w:t>
      </w:r>
      <w:r w:rsidRPr="00AF06C8">
        <w:rPr>
          <w:szCs w:val="22"/>
        </w:rPr>
        <w:br/>
        <w:t>Australian Communications and Media Authority</w:t>
      </w:r>
    </w:p>
    <w:p w14:paraId="42E620DE" w14:textId="1AF7AEC5" w:rsidR="004A13A7" w:rsidRPr="00AF06C8" w:rsidRDefault="00102A66" w:rsidP="00420CAF">
      <w:pPr>
        <w:pStyle w:val="Heading1"/>
        <w:numPr>
          <w:ilvl w:val="0"/>
          <w:numId w:val="0"/>
        </w:numPr>
        <w:rPr>
          <w:szCs w:val="44"/>
        </w:rPr>
      </w:pPr>
      <w:bookmarkStart w:id="143" w:name="_Toc233192930"/>
      <w:r>
        <w:rPr>
          <w:szCs w:val="44"/>
        </w:rPr>
        <w:lastRenderedPageBreak/>
        <w:t>Glossary of terms</w:t>
      </w:r>
      <w:bookmarkEnd w:id="143"/>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AB7FE5" w14:paraId="385F7852" w14:textId="77777777" w:rsidTr="007A32AF">
        <w:tc>
          <w:tcPr>
            <w:tcW w:w="1134" w:type="dxa"/>
          </w:tcPr>
          <w:p w14:paraId="777589F8" w14:textId="77777777" w:rsidR="00AB7FE5" w:rsidRDefault="00AB7FE5" w:rsidP="007A32AF">
            <w:pPr>
              <w:pStyle w:val="TableBody"/>
              <w:spacing w:before="60" w:after="60"/>
            </w:pPr>
            <w:r>
              <w:t>ACMA</w:t>
            </w:r>
          </w:p>
        </w:tc>
        <w:tc>
          <w:tcPr>
            <w:tcW w:w="8222" w:type="dxa"/>
          </w:tcPr>
          <w:p w14:paraId="733AF896" w14:textId="77777777" w:rsidR="00AB7FE5" w:rsidRDefault="00AB7FE5" w:rsidP="007A32AF">
            <w:pPr>
              <w:pStyle w:val="TableBody"/>
              <w:spacing w:before="60" w:after="60"/>
            </w:pPr>
            <w:r w:rsidRPr="00430B59">
              <w:t>Australian Communications and Media Authority</w:t>
            </w:r>
          </w:p>
        </w:tc>
      </w:tr>
      <w:tr w:rsidR="00AB7FE5" w14:paraId="5CF7720E" w14:textId="77777777" w:rsidTr="007A32AF">
        <w:tc>
          <w:tcPr>
            <w:tcW w:w="1134" w:type="dxa"/>
          </w:tcPr>
          <w:p w14:paraId="5FC4DE68" w14:textId="77777777" w:rsidR="00AB7FE5" w:rsidRDefault="00AB7FE5" w:rsidP="007A32AF">
            <w:pPr>
              <w:pStyle w:val="TableBody"/>
              <w:spacing w:before="60" w:after="60"/>
            </w:pPr>
            <w:r>
              <w:t>BWA</w:t>
            </w:r>
          </w:p>
        </w:tc>
        <w:tc>
          <w:tcPr>
            <w:tcW w:w="8222" w:type="dxa"/>
          </w:tcPr>
          <w:p w14:paraId="1E9533F8" w14:textId="77777777" w:rsidR="00AB7FE5" w:rsidRDefault="00AB7FE5" w:rsidP="007A32AF">
            <w:pPr>
              <w:pStyle w:val="TableBody"/>
              <w:spacing w:before="60" w:after="60"/>
            </w:pPr>
            <w:r>
              <w:t>Broadband Wireless Access</w:t>
            </w:r>
          </w:p>
        </w:tc>
      </w:tr>
      <w:tr w:rsidR="00AB7FE5" w14:paraId="7B92A6F2" w14:textId="77777777" w:rsidTr="007A32AF">
        <w:tc>
          <w:tcPr>
            <w:tcW w:w="1134" w:type="dxa"/>
          </w:tcPr>
          <w:p w14:paraId="1BDF6F6F" w14:textId="77777777" w:rsidR="00AB7FE5" w:rsidRDefault="00AB7FE5" w:rsidP="007A32AF">
            <w:pPr>
              <w:pStyle w:val="TableBody"/>
              <w:spacing w:before="60" w:after="60"/>
            </w:pPr>
            <w:r>
              <w:t>DECT</w:t>
            </w:r>
          </w:p>
        </w:tc>
        <w:tc>
          <w:tcPr>
            <w:tcW w:w="8222" w:type="dxa"/>
          </w:tcPr>
          <w:p w14:paraId="65C2C1D3" w14:textId="77777777" w:rsidR="00AB7FE5" w:rsidRDefault="00AB7FE5" w:rsidP="007A32AF">
            <w:pPr>
              <w:pStyle w:val="TableBody"/>
              <w:spacing w:before="60" w:after="60"/>
            </w:pPr>
            <w:r w:rsidRPr="00430B59">
              <w:t>Digital Enhanced Cordless Telecommunications (previously known as Digital European Cordless Telecommunications)</w:t>
            </w:r>
          </w:p>
        </w:tc>
      </w:tr>
      <w:tr w:rsidR="00AB7FE5" w14:paraId="6426762D" w14:textId="77777777" w:rsidTr="007A32AF">
        <w:tc>
          <w:tcPr>
            <w:tcW w:w="1134" w:type="dxa"/>
          </w:tcPr>
          <w:p w14:paraId="441B9650" w14:textId="77777777" w:rsidR="00AB7FE5" w:rsidRDefault="00AB7FE5" w:rsidP="007A32AF">
            <w:pPr>
              <w:pStyle w:val="TableBody"/>
              <w:spacing w:before="60" w:after="60"/>
            </w:pPr>
            <w:r>
              <w:t>EIRP</w:t>
            </w:r>
          </w:p>
        </w:tc>
        <w:tc>
          <w:tcPr>
            <w:tcW w:w="8222" w:type="dxa"/>
          </w:tcPr>
          <w:p w14:paraId="71625366" w14:textId="77777777" w:rsidR="00AB7FE5" w:rsidRDefault="00AB7FE5" w:rsidP="007A32AF">
            <w:pPr>
              <w:pStyle w:val="TableBody"/>
              <w:spacing w:before="60" w:after="60"/>
            </w:pPr>
            <w:r w:rsidRPr="00A27F93">
              <w:t xml:space="preserve">Equivalent </w:t>
            </w:r>
            <w:proofErr w:type="spellStart"/>
            <w:r w:rsidRPr="00A27F93">
              <w:t>Isotropically</w:t>
            </w:r>
            <w:proofErr w:type="spellEnd"/>
            <w:r w:rsidRPr="00A27F93">
              <w:t xml:space="preserve"> Radiated Power</w:t>
            </w:r>
          </w:p>
        </w:tc>
      </w:tr>
      <w:tr w:rsidR="00AB7FE5" w14:paraId="522090B0" w14:textId="77777777" w:rsidTr="007A32AF">
        <w:tc>
          <w:tcPr>
            <w:tcW w:w="1134" w:type="dxa"/>
          </w:tcPr>
          <w:p w14:paraId="32907B95" w14:textId="77777777" w:rsidR="00AB7FE5" w:rsidRDefault="00AB7FE5" w:rsidP="007A32AF">
            <w:pPr>
              <w:pStyle w:val="TableBody"/>
              <w:spacing w:before="60" w:after="60"/>
            </w:pPr>
            <w:r>
              <w:t>FDD</w:t>
            </w:r>
          </w:p>
        </w:tc>
        <w:tc>
          <w:tcPr>
            <w:tcW w:w="8222" w:type="dxa"/>
          </w:tcPr>
          <w:p w14:paraId="6BE1D7CC" w14:textId="77777777" w:rsidR="00AB7FE5" w:rsidRPr="00A27F93" w:rsidRDefault="00AB7FE5" w:rsidP="007A32AF">
            <w:pPr>
              <w:pStyle w:val="TableBody"/>
              <w:spacing w:before="60" w:after="60"/>
            </w:pPr>
            <w:r>
              <w:t>Frequency Division Duplex</w:t>
            </w:r>
          </w:p>
        </w:tc>
      </w:tr>
      <w:tr w:rsidR="00C71C41" w14:paraId="3A1E6888" w14:textId="77777777" w:rsidTr="007A32AF">
        <w:tc>
          <w:tcPr>
            <w:tcW w:w="1134" w:type="dxa"/>
          </w:tcPr>
          <w:p w14:paraId="6477B267" w14:textId="7914C839" w:rsidR="00C71C41" w:rsidRDefault="00C71C41" w:rsidP="007A32AF">
            <w:pPr>
              <w:pStyle w:val="TableBody"/>
              <w:spacing w:before="60" w:after="60"/>
            </w:pPr>
            <w:r>
              <w:t>FRMCS</w:t>
            </w:r>
          </w:p>
        </w:tc>
        <w:tc>
          <w:tcPr>
            <w:tcW w:w="8222" w:type="dxa"/>
          </w:tcPr>
          <w:p w14:paraId="5F041174" w14:textId="65584EB3" w:rsidR="00C71C41" w:rsidRPr="00A27F93" w:rsidRDefault="00EC5C56" w:rsidP="007A32AF">
            <w:pPr>
              <w:pStyle w:val="TableBody"/>
              <w:spacing w:before="60" w:after="60"/>
            </w:pPr>
            <w:r>
              <w:t>Future Railway Mobile Communication Systems</w:t>
            </w:r>
          </w:p>
        </w:tc>
      </w:tr>
      <w:tr w:rsidR="00AB7FE5" w14:paraId="27D47CF7" w14:textId="77777777" w:rsidTr="007A32AF">
        <w:tc>
          <w:tcPr>
            <w:tcW w:w="1134" w:type="dxa"/>
          </w:tcPr>
          <w:p w14:paraId="4407EE42" w14:textId="77777777" w:rsidR="00AB7FE5" w:rsidRDefault="00AB7FE5" w:rsidP="007A32AF">
            <w:pPr>
              <w:pStyle w:val="TableBody"/>
              <w:spacing w:before="60" w:after="60"/>
            </w:pPr>
            <w:r>
              <w:t>ITU</w:t>
            </w:r>
          </w:p>
        </w:tc>
        <w:tc>
          <w:tcPr>
            <w:tcW w:w="8222" w:type="dxa"/>
          </w:tcPr>
          <w:p w14:paraId="7F4C292C" w14:textId="77777777" w:rsidR="00AB7FE5" w:rsidRDefault="00AB7FE5" w:rsidP="007A32AF">
            <w:pPr>
              <w:pStyle w:val="TableBody"/>
              <w:spacing w:before="60" w:after="60"/>
            </w:pPr>
            <w:r w:rsidRPr="00A27F93">
              <w:t>International Telecommunications Union</w:t>
            </w:r>
          </w:p>
        </w:tc>
      </w:tr>
      <w:tr w:rsidR="00AB7FE5" w14:paraId="0105BE93" w14:textId="77777777" w:rsidTr="007A32AF">
        <w:tc>
          <w:tcPr>
            <w:tcW w:w="1134" w:type="dxa"/>
          </w:tcPr>
          <w:p w14:paraId="47C9B7EE" w14:textId="77777777" w:rsidR="00AB7FE5" w:rsidRDefault="00AB7FE5" w:rsidP="007A32AF">
            <w:pPr>
              <w:pStyle w:val="TableBody"/>
              <w:spacing w:before="60" w:after="60"/>
            </w:pPr>
            <w:r>
              <w:t>PTS</w:t>
            </w:r>
          </w:p>
        </w:tc>
        <w:tc>
          <w:tcPr>
            <w:tcW w:w="8222" w:type="dxa"/>
          </w:tcPr>
          <w:p w14:paraId="20A1FA22" w14:textId="77777777" w:rsidR="00AB7FE5" w:rsidRDefault="00AB7FE5" w:rsidP="007A32AF">
            <w:pPr>
              <w:pStyle w:val="TableBody"/>
              <w:spacing w:before="60" w:after="60"/>
            </w:pPr>
            <w:r w:rsidRPr="00AD3664">
              <w:t>Public Telecommunications Service</w:t>
            </w:r>
          </w:p>
        </w:tc>
      </w:tr>
      <w:tr w:rsidR="00AB7FE5" w14:paraId="6597E4D0" w14:textId="77777777" w:rsidTr="007A32AF">
        <w:tc>
          <w:tcPr>
            <w:tcW w:w="1134" w:type="dxa"/>
          </w:tcPr>
          <w:p w14:paraId="546CC72C" w14:textId="77777777" w:rsidR="00AB7FE5" w:rsidRDefault="00AB7FE5" w:rsidP="007A32AF">
            <w:pPr>
              <w:pStyle w:val="TableBody"/>
              <w:spacing w:before="60" w:after="60"/>
            </w:pPr>
            <w:r>
              <w:t>RALI</w:t>
            </w:r>
          </w:p>
        </w:tc>
        <w:tc>
          <w:tcPr>
            <w:tcW w:w="8222" w:type="dxa"/>
          </w:tcPr>
          <w:p w14:paraId="6C21BE8C" w14:textId="77777777" w:rsidR="00AB7FE5" w:rsidRDefault="00AB7FE5" w:rsidP="007A32AF">
            <w:pPr>
              <w:pStyle w:val="TableBody"/>
              <w:spacing w:before="60" w:after="60"/>
            </w:pPr>
            <w:r w:rsidRPr="00AD3664">
              <w:t>Radiocommunications Assignment and Licensing Instruction</w:t>
            </w:r>
          </w:p>
        </w:tc>
      </w:tr>
      <w:tr w:rsidR="00C71C41" w14:paraId="2ACCA45F" w14:textId="77777777" w:rsidTr="007A32AF">
        <w:tc>
          <w:tcPr>
            <w:tcW w:w="1134" w:type="dxa"/>
          </w:tcPr>
          <w:p w14:paraId="0B52DA1D" w14:textId="36AF7DC6" w:rsidR="00C71C41" w:rsidRDefault="00C71C41" w:rsidP="007A32AF">
            <w:pPr>
              <w:pStyle w:val="TableBody"/>
              <w:spacing w:before="60" w:after="60"/>
            </w:pPr>
            <w:r>
              <w:t>RMR</w:t>
            </w:r>
          </w:p>
        </w:tc>
        <w:tc>
          <w:tcPr>
            <w:tcW w:w="8222" w:type="dxa"/>
          </w:tcPr>
          <w:p w14:paraId="04862F2E" w14:textId="37D10CBF" w:rsidR="00C71C41" w:rsidRPr="00AD3664" w:rsidRDefault="00C71C41" w:rsidP="007A32AF">
            <w:pPr>
              <w:pStyle w:val="TableBody"/>
              <w:spacing w:before="60" w:after="60"/>
            </w:pPr>
            <w:r>
              <w:t>Railway Mobile Radio</w:t>
            </w:r>
          </w:p>
        </w:tc>
      </w:tr>
      <w:tr w:rsidR="00AB7FE5" w14:paraId="3515AE64" w14:textId="77777777" w:rsidTr="007A32AF">
        <w:tc>
          <w:tcPr>
            <w:tcW w:w="1134" w:type="dxa"/>
          </w:tcPr>
          <w:p w14:paraId="2796130E" w14:textId="77777777" w:rsidR="00AB7FE5" w:rsidRDefault="00AB7FE5" w:rsidP="007A32AF">
            <w:pPr>
              <w:pStyle w:val="TableBody"/>
              <w:spacing w:before="60" w:after="60"/>
            </w:pPr>
            <w:r>
              <w:t>RRL</w:t>
            </w:r>
          </w:p>
        </w:tc>
        <w:tc>
          <w:tcPr>
            <w:tcW w:w="8222" w:type="dxa"/>
          </w:tcPr>
          <w:p w14:paraId="4365D7D4" w14:textId="77777777" w:rsidR="00AB7FE5" w:rsidRDefault="00AB7FE5" w:rsidP="007A32AF">
            <w:pPr>
              <w:pStyle w:val="TableBody"/>
              <w:spacing w:before="60" w:after="60"/>
            </w:pPr>
            <w:r w:rsidRPr="00AD3664">
              <w:t xml:space="preserve">Register of Radiocommunication Licences </w:t>
            </w:r>
          </w:p>
        </w:tc>
      </w:tr>
      <w:tr w:rsidR="00AB7FE5" w14:paraId="53B205DA" w14:textId="77777777" w:rsidTr="007A32AF">
        <w:tc>
          <w:tcPr>
            <w:tcW w:w="1134" w:type="dxa"/>
          </w:tcPr>
          <w:p w14:paraId="1BD00C05" w14:textId="77777777" w:rsidR="00AB7FE5" w:rsidRDefault="00AB7FE5" w:rsidP="007A32AF">
            <w:pPr>
              <w:pStyle w:val="TableBody"/>
              <w:spacing w:before="60" w:after="60"/>
            </w:pPr>
            <w:r>
              <w:t>Rx</w:t>
            </w:r>
          </w:p>
        </w:tc>
        <w:tc>
          <w:tcPr>
            <w:tcW w:w="8222" w:type="dxa"/>
          </w:tcPr>
          <w:p w14:paraId="1769DF8E" w14:textId="77777777" w:rsidR="00AB7FE5" w:rsidRDefault="00AB7FE5" w:rsidP="007A32AF">
            <w:pPr>
              <w:pStyle w:val="TableBody"/>
              <w:spacing w:before="60" w:after="60"/>
            </w:pPr>
            <w:r w:rsidRPr="00AD3664">
              <w:t>Receiver</w:t>
            </w:r>
          </w:p>
        </w:tc>
      </w:tr>
      <w:tr w:rsidR="00AB7FE5" w14:paraId="38AC3813" w14:textId="77777777" w:rsidTr="007A32AF">
        <w:tc>
          <w:tcPr>
            <w:tcW w:w="1134" w:type="dxa"/>
          </w:tcPr>
          <w:p w14:paraId="0D378803" w14:textId="77777777" w:rsidR="00AB7FE5" w:rsidRDefault="00AB7FE5" w:rsidP="007A32AF">
            <w:pPr>
              <w:pStyle w:val="TableBody"/>
              <w:spacing w:before="60" w:after="60"/>
            </w:pPr>
            <w:r>
              <w:t>TDD</w:t>
            </w:r>
          </w:p>
        </w:tc>
        <w:tc>
          <w:tcPr>
            <w:tcW w:w="8222" w:type="dxa"/>
          </w:tcPr>
          <w:p w14:paraId="266981FB" w14:textId="77777777" w:rsidR="00AB7FE5" w:rsidRDefault="00AB7FE5" w:rsidP="007A32AF">
            <w:pPr>
              <w:pStyle w:val="TableBody"/>
              <w:spacing w:before="60" w:after="60"/>
            </w:pPr>
            <w:r w:rsidRPr="00AD3664">
              <w:t>Time Division Duplex</w:t>
            </w:r>
          </w:p>
        </w:tc>
      </w:tr>
      <w:tr w:rsidR="00AB7FE5" w14:paraId="4DF0B416" w14:textId="77777777" w:rsidTr="007A32AF">
        <w:tc>
          <w:tcPr>
            <w:tcW w:w="1134" w:type="dxa"/>
          </w:tcPr>
          <w:p w14:paraId="41F00C17" w14:textId="77777777" w:rsidR="00AB7FE5" w:rsidRDefault="00AB7FE5" w:rsidP="007A32AF">
            <w:pPr>
              <w:pStyle w:val="TableBody"/>
              <w:spacing w:before="60" w:after="60"/>
            </w:pPr>
            <w:r>
              <w:t>Tx</w:t>
            </w:r>
          </w:p>
        </w:tc>
        <w:tc>
          <w:tcPr>
            <w:tcW w:w="8222" w:type="dxa"/>
          </w:tcPr>
          <w:p w14:paraId="310CAA5E" w14:textId="77777777" w:rsidR="00AB7FE5" w:rsidRDefault="00AB7FE5" w:rsidP="007A32AF">
            <w:pPr>
              <w:pStyle w:val="TableBody"/>
              <w:spacing w:before="60" w:after="60"/>
            </w:pPr>
            <w:r w:rsidRPr="00AD3664">
              <w:t>Transmitter</w:t>
            </w:r>
          </w:p>
        </w:tc>
      </w:tr>
    </w:tbl>
    <w:p w14:paraId="1187B859" w14:textId="3FEB034D" w:rsidR="00AB7FE5" w:rsidRDefault="00AB7FE5" w:rsidP="00AB7FE5">
      <w:pPr>
        <w:rPr>
          <w:szCs w:val="22"/>
        </w:rPr>
      </w:pPr>
      <w:r>
        <w:rPr>
          <w:szCs w:val="22"/>
        </w:rPr>
        <w:br/>
      </w:r>
    </w:p>
    <w:p w14:paraId="35EA7E8F" w14:textId="77777777" w:rsidR="00AB7FE5" w:rsidRDefault="00AB7FE5">
      <w:pPr>
        <w:spacing w:after="0" w:line="240" w:lineRule="auto"/>
        <w:rPr>
          <w:szCs w:val="22"/>
        </w:rPr>
      </w:pPr>
      <w:r>
        <w:rPr>
          <w:szCs w:val="22"/>
        </w:rPr>
        <w:br w:type="page"/>
      </w:r>
    </w:p>
    <w:p w14:paraId="000608C6" w14:textId="0B3FC091" w:rsidR="00AB7FE5" w:rsidRPr="00AF06C8" w:rsidRDefault="00AB7FE5" w:rsidP="00AB7FE5">
      <w:pPr>
        <w:pStyle w:val="AppendixH1"/>
      </w:pPr>
      <w:bookmarkStart w:id="144" w:name="appA"/>
      <w:bookmarkStart w:id="145" w:name="_Toc134081796"/>
      <w:bookmarkStart w:id="146" w:name="_Toc233192931"/>
      <w:r>
        <w:lastRenderedPageBreak/>
        <w:t>Railway lines</w:t>
      </w:r>
      <w:r w:rsidRPr="00436140">
        <w:t xml:space="preserve"> for </w:t>
      </w:r>
      <w:r w:rsidR="00B238F8">
        <w:t>RMR</w:t>
      </w:r>
      <w:r w:rsidR="00694D78">
        <w:t xml:space="preserve"> network</w:t>
      </w:r>
      <w:r w:rsidRPr="00436140">
        <w:t xml:space="preserve"> in the 1900–19</w:t>
      </w:r>
      <w:r>
        <w:t>1</w:t>
      </w:r>
      <w:r w:rsidRPr="00436140">
        <w:t>0 MHz band</w:t>
      </w:r>
      <w:bookmarkEnd w:id="144"/>
      <w:bookmarkEnd w:id="145"/>
      <w:bookmarkEnd w:id="146"/>
    </w:p>
    <w:p w14:paraId="71F18FB5" w14:textId="52E01C5A" w:rsidR="00CE3211" w:rsidRDefault="00AB7FE5" w:rsidP="00AB7FE5">
      <w:r w:rsidRPr="00F5580E">
        <w:t xml:space="preserve">In this RALI, </w:t>
      </w:r>
      <w:r w:rsidR="00CE3211">
        <w:t>references to a railway line for coordination purposes means a railway line can be obtained from the Digital Atlas Australia website:</w:t>
      </w:r>
      <w:r w:rsidR="00CE3211" w:rsidRPr="00744A2C">
        <w:t xml:space="preserve"> </w:t>
      </w:r>
      <w:hyperlink r:id="rId24" w:history="1">
        <w:r w:rsidR="00CE3211" w:rsidRPr="006E1F5D">
          <w:rPr>
            <w:rStyle w:val="Hyperlink"/>
          </w:rPr>
          <w:t>https://digital.atlas.gov.au/datasets/digitalatlas::railway-lines/about</w:t>
        </w:r>
      </w:hyperlink>
      <w:r w:rsidR="00CE3211">
        <w:t>, also see Figure A1.</w:t>
      </w:r>
    </w:p>
    <w:p w14:paraId="028B38B9" w14:textId="27CB2BC1" w:rsidR="00AB7FE5" w:rsidRPr="00F5580E" w:rsidRDefault="003C2AED" w:rsidP="00AB7FE5">
      <w:r>
        <w:t>T</w:t>
      </w:r>
      <w:r w:rsidR="00AB7FE5" w:rsidRPr="00F5580E">
        <w:t>he area available for apparatus licen</w:t>
      </w:r>
      <w:r w:rsidR="00AB7FE5">
        <w:t>s</w:t>
      </w:r>
      <w:r w:rsidR="00AB7FE5" w:rsidRPr="00F5580E">
        <w:t xml:space="preserve">ed </w:t>
      </w:r>
      <w:r w:rsidR="00B238F8">
        <w:t>RMR</w:t>
      </w:r>
      <w:r w:rsidR="00694D78">
        <w:t xml:space="preserve"> services</w:t>
      </w:r>
      <w:r w:rsidR="00AB7FE5" w:rsidRPr="00F5580E">
        <w:t xml:space="preserve"> in the 1900–19</w:t>
      </w:r>
      <w:r w:rsidR="00AB7FE5">
        <w:t>1</w:t>
      </w:r>
      <w:r w:rsidR="00AB7FE5" w:rsidRPr="00F5580E">
        <w:t xml:space="preserve">0 MHz band is defined as being anywhere </w:t>
      </w:r>
      <w:r w:rsidR="00AB7FE5" w:rsidRPr="00AB7FE5">
        <w:t>within</w:t>
      </w:r>
      <w:r w:rsidR="00AB7FE5">
        <w:t xml:space="preserve"> 100 m of a</w:t>
      </w:r>
      <w:r w:rsidR="00744A2C">
        <w:t xml:space="preserve"> </w:t>
      </w:r>
      <w:r w:rsidR="00AB7FE5">
        <w:t>railway line</w:t>
      </w:r>
      <w:r>
        <w:t xml:space="preserve"> described in the above link.</w:t>
      </w:r>
    </w:p>
    <w:p w14:paraId="6905594C" w14:textId="7DE46495" w:rsidR="00AB7FE5" w:rsidRDefault="00CE3211" w:rsidP="00AB7FE5">
      <w:pPr>
        <w:pStyle w:val="Caption-table"/>
      </w:pPr>
      <w:bookmarkStart w:id="147" w:name="_Ref27047971"/>
      <w:bookmarkStart w:id="148" w:name="tableA1"/>
      <w:r>
        <w:t>Figure</w:t>
      </w:r>
      <w:r w:rsidR="00AB7FE5">
        <w:t xml:space="preserve"> </w:t>
      </w:r>
      <w:bookmarkEnd w:id="147"/>
      <w:r w:rsidR="00AB7FE5">
        <w:t>A1</w:t>
      </w:r>
      <w:bookmarkEnd w:id="148"/>
      <w:r w:rsidR="00AB7FE5" w:rsidRPr="007E4B6C">
        <w:t xml:space="preserve">:  </w:t>
      </w:r>
      <w:r w:rsidR="00AB7FE5">
        <w:t>Railway lines</w:t>
      </w:r>
      <w:r w:rsidR="00AB7FE5" w:rsidRPr="007E4B6C">
        <w:t xml:space="preserve"> in </w:t>
      </w:r>
      <w:r w:rsidR="00AB7FE5">
        <w:t>Australia</w:t>
      </w:r>
    </w:p>
    <w:p w14:paraId="3B35D5D3" w14:textId="77777777" w:rsidR="0095051F" w:rsidRDefault="00744A2C">
      <w:pPr>
        <w:spacing w:after="0" w:line="240" w:lineRule="auto"/>
      </w:pPr>
      <w:r>
        <w:rPr>
          <w:noProof/>
        </w:rPr>
        <w:drawing>
          <wp:inline distT="0" distB="0" distL="0" distR="0" wp14:anchorId="75F475AA" wp14:editId="5D6B6B41">
            <wp:extent cx="4871085" cy="4431030"/>
            <wp:effectExtent l="0" t="0" r="5715" b="7620"/>
            <wp:docPr id="2047168493" name="Picture 2" descr="Map showing railway line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68493" name="Picture 2" descr="Map showing railway lines in Australia."/>
                    <pic:cNvPicPr/>
                  </pic:nvPicPr>
                  <pic:blipFill>
                    <a:blip r:embed="rId25"/>
                    <a:stretch>
                      <a:fillRect/>
                    </a:stretch>
                  </pic:blipFill>
                  <pic:spPr>
                    <a:xfrm>
                      <a:off x="0" y="0"/>
                      <a:ext cx="4871085" cy="4431030"/>
                    </a:xfrm>
                    <a:prstGeom prst="rect">
                      <a:avLst/>
                    </a:prstGeom>
                  </pic:spPr>
                </pic:pic>
              </a:graphicData>
            </a:graphic>
          </wp:inline>
        </w:drawing>
      </w:r>
    </w:p>
    <w:p w14:paraId="694715BE" w14:textId="0583CC8C" w:rsidR="005D4003" w:rsidRDefault="005D4003">
      <w:pPr>
        <w:spacing w:after="0" w:line="240" w:lineRule="auto"/>
      </w:pPr>
      <w:r>
        <w:br w:type="page"/>
      </w:r>
    </w:p>
    <w:p w14:paraId="2C4ABF79" w14:textId="385A63FB" w:rsidR="0095051F" w:rsidRDefault="00075889">
      <w:pPr>
        <w:spacing w:after="0" w:line="240" w:lineRule="auto"/>
      </w:pPr>
      <w:r>
        <w:lastRenderedPageBreak/>
        <w:t xml:space="preserve">The railway lines </w:t>
      </w:r>
      <w:r w:rsidR="009B033C">
        <w:t>listed</w:t>
      </w:r>
      <w:r w:rsidR="003159BB">
        <w:t xml:space="preserve"> on the </w:t>
      </w:r>
      <w:r w:rsidR="009B033C">
        <w:t>above</w:t>
      </w:r>
      <w:r w:rsidR="003A70BE">
        <w:t xml:space="preserve"> </w:t>
      </w:r>
      <w:r w:rsidR="003159BB">
        <w:t xml:space="preserve">database, illustrated </w:t>
      </w:r>
      <w:r w:rsidR="00772E47">
        <w:t>in Figure A1,</w:t>
      </w:r>
      <w:r w:rsidR="003159BB">
        <w:t xml:space="preserve"> have different operational statuses. </w:t>
      </w:r>
      <w:r w:rsidR="002A0EC1">
        <w:t xml:space="preserve">Table </w:t>
      </w:r>
      <w:r>
        <w:t xml:space="preserve">A1 provides </w:t>
      </w:r>
      <w:r w:rsidR="00772E47">
        <w:t xml:space="preserve">guidance on </w:t>
      </w:r>
      <w:r w:rsidR="00A417A4">
        <w:t>the</w:t>
      </w:r>
      <w:r w:rsidR="00772E47">
        <w:t xml:space="preserve"> railway line </w:t>
      </w:r>
      <w:r w:rsidR="00A417A4">
        <w:t xml:space="preserve">operational </w:t>
      </w:r>
      <w:r w:rsidR="00772E47">
        <w:t>status</w:t>
      </w:r>
      <w:r w:rsidR="00A417A4">
        <w:t xml:space="preserve"> that requires protection.</w:t>
      </w:r>
      <w:r w:rsidR="00772E47">
        <w:t xml:space="preserve"> </w:t>
      </w:r>
    </w:p>
    <w:p w14:paraId="5888DF3A" w14:textId="77777777" w:rsidR="005D4003" w:rsidRDefault="005D4003">
      <w:pPr>
        <w:spacing w:after="0" w:line="240" w:lineRule="auto"/>
      </w:pPr>
    </w:p>
    <w:p w14:paraId="4248F944" w14:textId="7EBA57FD" w:rsidR="005D4003" w:rsidRDefault="0061586A">
      <w:pPr>
        <w:spacing w:after="0" w:line="240" w:lineRule="auto"/>
      </w:pPr>
      <w:r>
        <w:t xml:space="preserve">Table A1:  </w:t>
      </w:r>
      <w:r w:rsidR="000A4BBC">
        <w:t>R</w:t>
      </w:r>
      <w:r w:rsidR="002A0EC1">
        <w:t>ailway lines to be protected based on operational status</w:t>
      </w:r>
    </w:p>
    <w:p w14:paraId="32A6F52D" w14:textId="77777777" w:rsidR="0095051F" w:rsidRDefault="0095051F">
      <w:pPr>
        <w:spacing w:after="0" w:line="240" w:lineRule="auto"/>
      </w:pP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182"/>
        <w:gridCol w:w="3520"/>
      </w:tblGrid>
      <w:tr w:rsidR="005D4003" w:rsidRPr="00AF06C8" w14:paraId="182A94D2" w14:textId="77777777" w:rsidTr="00B17821">
        <w:trPr>
          <w:tblHeader/>
        </w:trPr>
        <w:tc>
          <w:tcPr>
            <w:tcW w:w="4182" w:type="dxa"/>
            <w:shd w:val="clear" w:color="auto" w:fill="D9D9D9"/>
            <w:vAlign w:val="center"/>
          </w:tcPr>
          <w:p w14:paraId="53C9A316" w14:textId="2D87F0CE" w:rsidR="005D4003" w:rsidRPr="00AF06C8" w:rsidRDefault="005D4003" w:rsidP="005D4003">
            <w:pPr>
              <w:pStyle w:val="TableHeading"/>
              <w:spacing w:line="240" w:lineRule="auto"/>
              <w:rPr>
                <w:rFonts w:eastAsiaTheme="minorHAnsi"/>
                <w:szCs w:val="22"/>
              </w:rPr>
            </w:pPr>
            <w:r>
              <w:rPr>
                <w:color w:val="FFFFFF"/>
              </w:rPr>
              <w:t>Operational Status</w:t>
            </w:r>
          </w:p>
        </w:tc>
        <w:tc>
          <w:tcPr>
            <w:tcW w:w="3520" w:type="dxa"/>
            <w:shd w:val="clear" w:color="auto" w:fill="D9D9D9"/>
            <w:vAlign w:val="center"/>
          </w:tcPr>
          <w:p w14:paraId="79825602" w14:textId="43CD6874" w:rsidR="005D4003" w:rsidRPr="00AF06C8" w:rsidRDefault="005D4003" w:rsidP="005D4003">
            <w:pPr>
              <w:pStyle w:val="TableHeading"/>
              <w:spacing w:line="240" w:lineRule="auto"/>
              <w:rPr>
                <w:rFonts w:eastAsiaTheme="minorHAnsi"/>
                <w:szCs w:val="22"/>
              </w:rPr>
            </w:pPr>
            <w:r>
              <w:rPr>
                <w:color w:val="FFFFFF"/>
              </w:rPr>
              <w:t>To be Protected</w:t>
            </w:r>
          </w:p>
        </w:tc>
      </w:tr>
      <w:tr w:rsidR="005D4003" w:rsidRPr="00B73065" w14:paraId="5755A6E7" w14:textId="77777777" w:rsidTr="00B17821">
        <w:tc>
          <w:tcPr>
            <w:tcW w:w="4182" w:type="dxa"/>
            <w:vAlign w:val="center"/>
          </w:tcPr>
          <w:p w14:paraId="349C0D23" w14:textId="6C6BC0F0" w:rsidR="005D4003" w:rsidRPr="00591A0B" w:rsidRDefault="005D4003" w:rsidP="005D4003">
            <w:pPr>
              <w:pStyle w:val="TableBody"/>
              <w:rPr>
                <w:rFonts w:eastAsiaTheme="minorHAnsi"/>
                <w:szCs w:val="22"/>
              </w:rPr>
            </w:pPr>
            <w:r>
              <w:rPr>
                <w:color w:val="00B050"/>
              </w:rPr>
              <w:t>Operational</w:t>
            </w:r>
          </w:p>
        </w:tc>
        <w:tc>
          <w:tcPr>
            <w:tcW w:w="3520" w:type="dxa"/>
            <w:vAlign w:val="center"/>
          </w:tcPr>
          <w:p w14:paraId="61B0D12D" w14:textId="2D5F4F49" w:rsidR="005D4003" w:rsidRPr="00B73065" w:rsidRDefault="005D4003" w:rsidP="00B17821">
            <w:pPr>
              <w:pStyle w:val="TableBody"/>
              <w:rPr>
                <w:rFonts w:eastAsiaTheme="minorHAnsi"/>
                <w:szCs w:val="22"/>
              </w:rPr>
            </w:pPr>
            <w:r>
              <w:rPr>
                <w:color w:val="00B050"/>
              </w:rPr>
              <w:t>Yes</w:t>
            </w:r>
          </w:p>
        </w:tc>
      </w:tr>
      <w:tr w:rsidR="005D4003" w14:paraId="2D9B50C9" w14:textId="77777777" w:rsidTr="00B17821">
        <w:tc>
          <w:tcPr>
            <w:tcW w:w="4182" w:type="dxa"/>
            <w:vAlign w:val="center"/>
          </w:tcPr>
          <w:p w14:paraId="0BF0D9EB" w14:textId="629CC8A5" w:rsidR="005D4003" w:rsidRDefault="005D4003" w:rsidP="005D4003">
            <w:pPr>
              <w:pStyle w:val="TableBody"/>
            </w:pPr>
            <w:r>
              <w:rPr>
                <w:color w:val="00B050"/>
              </w:rPr>
              <w:t>Proposed</w:t>
            </w:r>
          </w:p>
        </w:tc>
        <w:tc>
          <w:tcPr>
            <w:tcW w:w="3520" w:type="dxa"/>
            <w:vAlign w:val="center"/>
          </w:tcPr>
          <w:p w14:paraId="31E4B25C" w14:textId="719AAB5C" w:rsidR="005D4003" w:rsidRDefault="005D4003" w:rsidP="00B17821">
            <w:pPr>
              <w:pStyle w:val="TableBody"/>
            </w:pPr>
            <w:r>
              <w:rPr>
                <w:color w:val="00B050"/>
              </w:rPr>
              <w:t>Yes</w:t>
            </w:r>
          </w:p>
        </w:tc>
      </w:tr>
      <w:tr w:rsidR="005D4003" w14:paraId="7BCDCF6F" w14:textId="77777777" w:rsidTr="00B17821">
        <w:tc>
          <w:tcPr>
            <w:tcW w:w="4182" w:type="dxa"/>
            <w:vAlign w:val="center"/>
          </w:tcPr>
          <w:p w14:paraId="3A76EEEF" w14:textId="61DE7C7A" w:rsidR="005D4003" w:rsidRDefault="005D4003" w:rsidP="005D4003">
            <w:pPr>
              <w:pStyle w:val="TableBody"/>
            </w:pPr>
            <w:r>
              <w:rPr>
                <w:color w:val="00B050"/>
              </w:rPr>
              <w:t>Under Construction</w:t>
            </w:r>
          </w:p>
        </w:tc>
        <w:tc>
          <w:tcPr>
            <w:tcW w:w="3520" w:type="dxa"/>
            <w:vAlign w:val="center"/>
          </w:tcPr>
          <w:p w14:paraId="7FB91E56" w14:textId="36D6D0F3" w:rsidR="005D4003" w:rsidRDefault="005D4003" w:rsidP="00B17821">
            <w:pPr>
              <w:pStyle w:val="TableBody"/>
            </w:pPr>
            <w:r>
              <w:rPr>
                <w:color w:val="00B050"/>
              </w:rPr>
              <w:t>Yes</w:t>
            </w:r>
          </w:p>
        </w:tc>
      </w:tr>
      <w:tr w:rsidR="005D4003" w:rsidRPr="00AF06C8" w14:paraId="5DAB94CF" w14:textId="77777777" w:rsidTr="00B17821">
        <w:tc>
          <w:tcPr>
            <w:tcW w:w="4182" w:type="dxa"/>
            <w:vAlign w:val="center"/>
          </w:tcPr>
          <w:p w14:paraId="219BE1D1" w14:textId="32CA5247" w:rsidR="005D4003" w:rsidRPr="00AF06C8" w:rsidRDefault="005D4003" w:rsidP="005D4003">
            <w:pPr>
              <w:pStyle w:val="TableBody"/>
              <w:rPr>
                <w:rFonts w:eastAsiaTheme="minorHAnsi"/>
                <w:szCs w:val="22"/>
              </w:rPr>
            </w:pPr>
            <w:r>
              <w:rPr>
                <w:color w:val="00B050"/>
              </w:rPr>
              <w:t>Disused</w:t>
            </w:r>
          </w:p>
        </w:tc>
        <w:tc>
          <w:tcPr>
            <w:tcW w:w="3520" w:type="dxa"/>
            <w:vAlign w:val="center"/>
          </w:tcPr>
          <w:p w14:paraId="7432D894" w14:textId="5CCDE174" w:rsidR="005D4003" w:rsidRPr="00AF06C8" w:rsidRDefault="005D4003" w:rsidP="00B17821">
            <w:pPr>
              <w:pStyle w:val="TableBody"/>
              <w:rPr>
                <w:rFonts w:eastAsiaTheme="minorHAnsi"/>
                <w:szCs w:val="22"/>
              </w:rPr>
            </w:pPr>
            <w:r>
              <w:rPr>
                <w:color w:val="00B050"/>
              </w:rPr>
              <w:t>Yes</w:t>
            </w:r>
          </w:p>
        </w:tc>
      </w:tr>
      <w:tr w:rsidR="005D4003" w:rsidRPr="00AF06C8" w14:paraId="18E24ECB" w14:textId="77777777" w:rsidTr="00B17821">
        <w:tc>
          <w:tcPr>
            <w:tcW w:w="4182" w:type="dxa"/>
            <w:vAlign w:val="center"/>
          </w:tcPr>
          <w:p w14:paraId="1A78AA89" w14:textId="31406C7C" w:rsidR="005D4003" w:rsidRPr="00AF06C8" w:rsidRDefault="005D4003" w:rsidP="005D4003">
            <w:pPr>
              <w:pStyle w:val="TableBody"/>
              <w:rPr>
                <w:rFonts w:eastAsiaTheme="minorHAnsi"/>
                <w:szCs w:val="22"/>
              </w:rPr>
            </w:pPr>
            <w:r>
              <w:rPr>
                <w:color w:val="00B050"/>
              </w:rPr>
              <w:t>Closed</w:t>
            </w:r>
          </w:p>
        </w:tc>
        <w:tc>
          <w:tcPr>
            <w:tcW w:w="3520" w:type="dxa"/>
            <w:vAlign w:val="center"/>
          </w:tcPr>
          <w:p w14:paraId="2232FB60" w14:textId="6F0ADA76" w:rsidR="005D4003" w:rsidRPr="00AF06C8" w:rsidRDefault="005D4003" w:rsidP="00B17821">
            <w:pPr>
              <w:pStyle w:val="TableBody"/>
              <w:rPr>
                <w:rFonts w:eastAsiaTheme="minorHAnsi"/>
                <w:szCs w:val="22"/>
              </w:rPr>
            </w:pPr>
            <w:r>
              <w:rPr>
                <w:color w:val="00B050"/>
              </w:rPr>
              <w:t>Yes</w:t>
            </w:r>
          </w:p>
        </w:tc>
      </w:tr>
      <w:tr w:rsidR="005D4003" w:rsidRPr="001052CA" w14:paraId="19845FE9" w14:textId="77777777" w:rsidTr="00B17821">
        <w:tc>
          <w:tcPr>
            <w:tcW w:w="4182" w:type="dxa"/>
            <w:vAlign w:val="center"/>
          </w:tcPr>
          <w:p w14:paraId="3CF58F13" w14:textId="7EDFED1C" w:rsidR="005D4003" w:rsidRPr="00AF06C8" w:rsidRDefault="005D4003" w:rsidP="005D4003">
            <w:pPr>
              <w:pStyle w:val="TableBody"/>
              <w:rPr>
                <w:rFonts w:eastAsiaTheme="minorHAnsi"/>
                <w:szCs w:val="22"/>
              </w:rPr>
            </w:pPr>
            <w:r>
              <w:rPr>
                <w:color w:val="00B050"/>
              </w:rPr>
              <w:t>Unknown</w:t>
            </w:r>
          </w:p>
        </w:tc>
        <w:tc>
          <w:tcPr>
            <w:tcW w:w="3520" w:type="dxa"/>
            <w:vAlign w:val="center"/>
          </w:tcPr>
          <w:p w14:paraId="337E90C3" w14:textId="3FB8DD3F" w:rsidR="005D4003" w:rsidRPr="001052CA" w:rsidRDefault="005D4003" w:rsidP="00B17821">
            <w:pPr>
              <w:pStyle w:val="TableBody"/>
              <w:rPr>
                <w:rFonts w:eastAsiaTheme="minorHAnsi"/>
                <w:i/>
                <w:iCs/>
                <w:szCs w:val="22"/>
              </w:rPr>
            </w:pPr>
            <w:r>
              <w:rPr>
                <w:color w:val="00B050"/>
              </w:rPr>
              <w:t>Yes</w:t>
            </w:r>
          </w:p>
        </w:tc>
      </w:tr>
      <w:tr w:rsidR="005D4003" w:rsidRPr="00AF06C8" w14:paraId="463D817F" w14:textId="77777777" w:rsidTr="00B17821">
        <w:tc>
          <w:tcPr>
            <w:tcW w:w="4182" w:type="dxa"/>
            <w:vAlign w:val="center"/>
          </w:tcPr>
          <w:p w14:paraId="066023AC" w14:textId="27D11524" w:rsidR="005D4003" w:rsidRPr="00AF06C8" w:rsidRDefault="005D4003" w:rsidP="005D4003">
            <w:pPr>
              <w:pStyle w:val="TableBody"/>
              <w:rPr>
                <w:rFonts w:eastAsiaTheme="minorHAnsi"/>
                <w:szCs w:val="22"/>
              </w:rPr>
            </w:pPr>
            <w:r>
              <w:rPr>
                <w:color w:val="00B050"/>
              </w:rPr>
              <w:t>Other</w:t>
            </w:r>
          </w:p>
        </w:tc>
        <w:tc>
          <w:tcPr>
            <w:tcW w:w="3520" w:type="dxa"/>
            <w:vAlign w:val="center"/>
          </w:tcPr>
          <w:p w14:paraId="31452F8A" w14:textId="6D4AF319" w:rsidR="005D4003" w:rsidRPr="00AF06C8" w:rsidRDefault="005D4003" w:rsidP="00B17821">
            <w:pPr>
              <w:pStyle w:val="TableBody"/>
              <w:rPr>
                <w:rFonts w:eastAsiaTheme="minorHAnsi"/>
                <w:szCs w:val="22"/>
              </w:rPr>
            </w:pPr>
            <w:r>
              <w:rPr>
                <w:color w:val="00B050"/>
              </w:rPr>
              <w:t>Yes</w:t>
            </w:r>
          </w:p>
        </w:tc>
      </w:tr>
      <w:tr w:rsidR="00CC6212" w:rsidRPr="00AF06C8" w14:paraId="5C544585" w14:textId="77777777" w:rsidTr="00B17821">
        <w:tc>
          <w:tcPr>
            <w:tcW w:w="4182" w:type="dxa"/>
            <w:vAlign w:val="center"/>
          </w:tcPr>
          <w:p w14:paraId="409DC01A" w14:textId="7C8E8397" w:rsidR="00CC6212" w:rsidRPr="00AF06C8" w:rsidRDefault="00CC6212" w:rsidP="00CC6212">
            <w:pPr>
              <w:pStyle w:val="TableBody"/>
              <w:rPr>
                <w:rFonts w:eastAsiaTheme="minorHAnsi"/>
                <w:szCs w:val="22"/>
              </w:rPr>
            </w:pPr>
            <w:r>
              <w:rPr>
                <w:color w:val="FF0000"/>
              </w:rPr>
              <w:t>Abandoned</w:t>
            </w:r>
          </w:p>
        </w:tc>
        <w:tc>
          <w:tcPr>
            <w:tcW w:w="3520" w:type="dxa"/>
            <w:vAlign w:val="center"/>
          </w:tcPr>
          <w:p w14:paraId="7EDF6C8C" w14:textId="025B258E" w:rsidR="00CC6212" w:rsidRPr="00AF06C8" w:rsidRDefault="00CC6212" w:rsidP="00B17821">
            <w:pPr>
              <w:pStyle w:val="TableBody"/>
              <w:rPr>
                <w:rFonts w:eastAsiaTheme="minorHAnsi"/>
                <w:szCs w:val="22"/>
              </w:rPr>
            </w:pPr>
            <w:r>
              <w:rPr>
                <w:color w:val="FF0000"/>
              </w:rPr>
              <w:t>No</w:t>
            </w:r>
          </w:p>
        </w:tc>
      </w:tr>
      <w:tr w:rsidR="00CC6212" w:rsidRPr="00AF06C8" w14:paraId="63DB46F4" w14:textId="77777777" w:rsidTr="00B17821">
        <w:tc>
          <w:tcPr>
            <w:tcW w:w="4182" w:type="dxa"/>
            <w:vAlign w:val="center"/>
          </w:tcPr>
          <w:p w14:paraId="7194A12D" w14:textId="7DBC6910" w:rsidR="00CC6212" w:rsidRPr="00AF06C8" w:rsidRDefault="00CC6212" w:rsidP="00CC6212">
            <w:pPr>
              <w:pStyle w:val="TableBody"/>
              <w:rPr>
                <w:rFonts w:eastAsiaTheme="minorHAnsi"/>
                <w:szCs w:val="22"/>
              </w:rPr>
            </w:pPr>
            <w:r>
              <w:rPr>
                <w:color w:val="FF0000"/>
              </w:rPr>
              <w:t>Dismantled</w:t>
            </w:r>
          </w:p>
        </w:tc>
        <w:tc>
          <w:tcPr>
            <w:tcW w:w="3520" w:type="dxa"/>
            <w:vAlign w:val="center"/>
          </w:tcPr>
          <w:p w14:paraId="6DF8261E" w14:textId="401778A9" w:rsidR="00CC6212" w:rsidRPr="00AF06C8" w:rsidRDefault="00CC6212" w:rsidP="00B17821">
            <w:pPr>
              <w:pStyle w:val="TableBody"/>
              <w:rPr>
                <w:rFonts w:eastAsiaTheme="minorHAnsi"/>
                <w:szCs w:val="22"/>
              </w:rPr>
            </w:pPr>
            <w:r>
              <w:rPr>
                <w:color w:val="FF0000"/>
              </w:rPr>
              <w:t>No</w:t>
            </w:r>
          </w:p>
        </w:tc>
      </w:tr>
    </w:tbl>
    <w:p w14:paraId="234E21F7" w14:textId="77777777" w:rsidR="004D3F11" w:rsidRDefault="004D3F11">
      <w:pPr>
        <w:spacing w:after="0" w:line="240" w:lineRule="auto"/>
      </w:pPr>
    </w:p>
    <w:p w14:paraId="54870F75" w14:textId="4A383229" w:rsidR="004D3F11" w:rsidRDefault="004D3F11" w:rsidP="004D3F11">
      <w:pPr>
        <w:pStyle w:val="AppendixH2"/>
        <w:numPr>
          <w:ilvl w:val="1"/>
          <w:numId w:val="14"/>
        </w:numPr>
        <w:tabs>
          <w:tab w:val="clear" w:pos="680"/>
          <w:tab w:val="num" w:pos="1440"/>
        </w:tabs>
        <w:ind w:left="1440" w:hanging="720"/>
      </w:pPr>
      <w:bookmarkStart w:id="149" w:name="_Toc233192932"/>
      <w:r>
        <w:t xml:space="preserve">Additional </w:t>
      </w:r>
      <w:r w:rsidR="00F47AFA">
        <w:t>railway lines</w:t>
      </w:r>
      <w:bookmarkEnd w:id="149"/>
    </w:p>
    <w:p w14:paraId="13BAE52D" w14:textId="3F1A8AEE" w:rsidR="00F47AFA" w:rsidRDefault="000C50EF" w:rsidP="00F47AFA">
      <w:r>
        <w:t xml:space="preserve">As new railway lines </w:t>
      </w:r>
      <w:r w:rsidR="00662B77">
        <w:t xml:space="preserve">are designed and </w:t>
      </w:r>
      <w:r w:rsidR="00DD1A23">
        <w:t>built</w:t>
      </w:r>
      <w:r w:rsidR="00662B77">
        <w:t>, there may be occasions where</w:t>
      </w:r>
      <w:r w:rsidR="00F47AFA">
        <w:t xml:space="preserve"> the railway </w:t>
      </w:r>
      <w:r w:rsidR="00D44E1F">
        <w:t xml:space="preserve">lines provided by the Digital Atlas Australia map </w:t>
      </w:r>
      <w:r w:rsidR="00DD1A23">
        <w:t xml:space="preserve">do not include these </w:t>
      </w:r>
      <w:r w:rsidR="000460FF">
        <w:t xml:space="preserve">railway lines. To address this issue, </w:t>
      </w:r>
      <w:r w:rsidR="0034512B">
        <w:t>additional railway line</w:t>
      </w:r>
      <w:r w:rsidR="00624CBD">
        <w:t>s (in a KML format)</w:t>
      </w:r>
      <w:r w:rsidR="00B20FD6">
        <w:t xml:space="preserve"> are included on the </w:t>
      </w:r>
      <w:hyperlink r:id="rId26" w:history="1">
        <w:r w:rsidR="00B20FD6" w:rsidRPr="00560739">
          <w:rPr>
            <w:rStyle w:val="Hyperlink"/>
          </w:rPr>
          <w:t>ACMA website</w:t>
        </w:r>
      </w:hyperlink>
      <w:r w:rsidR="00B20FD6">
        <w:t>.</w:t>
      </w:r>
      <w:r w:rsidR="00624CBD">
        <w:t xml:space="preserve"> These railways lines will need to be </w:t>
      </w:r>
      <w:r w:rsidR="00EC748A">
        <w:t xml:space="preserve">used for the </w:t>
      </w:r>
      <w:r w:rsidR="002E02C2">
        <w:t>purp</w:t>
      </w:r>
      <w:r w:rsidR="00C84E9F">
        <w:t>oses of</w:t>
      </w:r>
      <w:r w:rsidR="00EC748A">
        <w:t xml:space="preserve"> this RALI.</w:t>
      </w:r>
    </w:p>
    <w:p w14:paraId="0C3C9034" w14:textId="18289BEE" w:rsidR="00C84E9F" w:rsidRDefault="00C84E9F" w:rsidP="00F47AFA">
      <w:r>
        <w:t>Railway authori</w:t>
      </w:r>
      <w:r w:rsidR="00604792">
        <w:t>tie</w:t>
      </w:r>
      <w:r>
        <w:t xml:space="preserve">s </w:t>
      </w:r>
      <w:r w:rsidR="00C54A16">
        <w:t>should provide details of new</w:t>
      </w:r>
      <w:r w:rsidR="00742C06">
        <w:t xml:space="preserve"> or proposed</w:t>
      </w:r>
      <w:r w:rsidR="00C54A16">
        <w:t xml:space="preserve"> railway lines to the ACMA as soon as possible, </w:t>
      </w:r>
      <w:r w:rsidR="00745626">
        <w:t>for</w:t>
      </w:r>
      <w:r w:rsidR="00C54A16">
        <w:t xml:space="preserve"> </w:t>
      </w:r>
      <w:r w:rsidR="00604792">
        <w:t>consider</w:t>
      </w:r>
      <w:r w:rsidR="00745626">
        <w:t xml:space="preserve">ation </w:t>
      </w:r>
      <w:r w:rsidR="00604792">
        <w:t>for inclusion</w:t>
      </w:r>
      <w:r w:rsidR="00745626">
        <w:t>s</w:t>
      </w:r>
      <w:r w:rsidR="00604792">
        <w:t xml:space="preserve"> in this RALI. </w:t>
      </w:r>
    </w:p>
    <w:p w14:paraId="58DDA1BF" w14:textId="27DB4E0D" w:rsidR="00AB7FE5" w:rsidRDefault="00AB7FE5">
      <w:pPr>
        <w:spacing w:after="0" w:line="240" w:lineRule="auto"/>
        <w:rPr>
          <w:b/>
          <w:iCs/>
          <w:sz w:val="20"/>
          <w:szCs w:val="18"/>
        </w:rPr>
      </w:pPr>
      <w:r>
        <w:br w:type="page"/>
      </w:r>
    </w:p>
    <w:p w14:paraId="4992FB78" w14:textId="29F928BC" w:rsidR="00AB7FE5" w:rsidRDefault="00AB7FE5" w:rsidP="00AB7FE5">
      <w:pPr>
        <w:pStyle w:val="AppendixH1"/>
      </w:pPr>
      <w:bookmarkStart w:id="150" w:name="appB"/>
      <w:bookmarkStart w:id="151" w:name="_Toc134081797"/>
      <w:bookmarkStart w:id="152" w:name="_Toc233192933"/>
      <w:r w:rsidRPr="00DB3E2F">
        <w:lastRenderedPageBreak/>
        <w:t xml:space="preserve">Protection criteria for </w:t>
      </w:r>
      <w:r w:rsidR="00B238F8">
        <w:t>RMR</w:t>
      </w:r>
      <w:r w:rsidRPr="00DB3E2F">
        <w:t xml:space="preserve"> receivers in the 1900–19</w:t>
      </w:r>
      <w:r w:rsidR="0062698D">
        <w:t>1</w:t>
      </w:r>
      <w:r w:rsidRPr="00DB3E2F">
        <w:t>0</w:t>
      </w:r>
      <w:r>
        <w:t> </w:t>
      </w:r>
      <w:r w:rsidRPr="00DB3E2F">
        <w:t>MHz band</w:t>
      </w:r>
      <w:bookmarkEnd w:id="150"/>
      <w:bookmarkEnd w:id="151"/>
      <w:bookmarkEnd w:id="152"/>
    </w:p>
    <w:p w14:paraId="26C617B1" w14:textId="569C6CCB" w:rsidR="00AB7FE5" w:rsidRDefault="00AB7FE5" w:rsidP="00AB7FE5">
      <w:r w:rsidRPr="00DB3E2F">
        <w:t xml:space="preserve">For the purposes of this </w:t>
      </w:r>
      <w:r>
        <w:t>appendix,</w:t>
      </w:r>
      <w:r w:rsidRPr="00DB3E2F">
        <w:t xml:space="preserve"> adjacent channels are defined with respect to the </w:t>
      </w:r>
      <w:r w:rsidR="00FD1628">
        <w:t>device subject to interference (“</w:t>
      </w:r>
      <w:r w:rsidRPr="00DB3E2F">
        <w:t>victim</w:t>
      </w:r>
      <w:r w:rsidR="00FD1628">
        <w:t>”)</w:t>
      </w:r>
      <w:r w:rsidRPr="00DB3E2F">
        <w:t xml:space="preserve"> receiver’s channel </w:t>
      </w:r>
      <w:r w:rsidR="00FD1628">
        <w:t>bandwidth</w:t>
      </w:r>
      <w:r w:rsidRPr="00DB3E2F">
        <w:t xml:space="preserve">. For example, in the case of an interference assessment for a </w:t>
      </w:r>
      <w:r w:rsidR="007154D2">
        <w:t xml:space="preserve">fixed link </w:t>
      </w:r>
      <w:r w:rsidRPr="00DB3E2F">
        <w:t>transmitter using a 14</w:t>
      </w:r>
      <w:r>
        <w:t> </w:t>
      </w:r>
      <w:r w:rsidRPr="00DB3E2F">
        <w:t xml:space="preserve">MHz channel into a </w:t>
      </w:r>
      <w:r w:rsidR="00B238F8">
        <w:t>RMR</w:t>
      </w:r>
      <w:r w:rsidRPr="00DB3E2F">
        <w:t xml:space="preserve"> receiver using a 5</w:t>
      </w:r>
      <w:r>
        <w:t> </w:t>
      </w:r>
      <w:r w:rsidRPr="00DB3E2F">
        <w:t>MHz channel, the first adjacent channel refers to the 5</w:t>
      </w:r>
      <w:r>
        <w:t> </w:t>
      </w:r>
      <w:r w:rsidRPr="00DB3E2F">
        <w:t xml:space="preserve">MHz channels either side of the victim receiver’s occupied channel. The same logic is used to determine </w:t>
      </w:r>
      <w:r w:rsidR="005A7626">
        <w:t>the</w:t>
      </w:r>
      <w:r w:rsidRPr="00DB3E2F">
        <w:t xml:space="preserve"> 2</w:t>
      </w:r>
      <w:r w:rsidRPr="00035138">
        <w:rPr>
          <w:vertAlign w:val="superscript"/>
        </w:rPr>
        <w:t>nd</w:t>
      </w:r>
      <w:r>
        <w:t xml:space="preserve"> </w:t>
      </w:r>
      <w:r w:rsidR="005A7626">
        <w:t>adjacent</w:t>
      </w:r>
      <w:r>
        <w:t xml:space="preserve"> </w:t>
      </w:r>
      <w:r w:rsidRPr="00DB3E2F">
        <w:t>channel.</w:t>
      </w:r>
      <w:r w:rsidR="00793AEA">
        <w:t xml:space="preserve"> For cases where the occupied bandwidth of the transmitter and receiver fully or partially overlap, then co-channel protection requirements are to be </w:t>
      </w:r>
      <w:r w:rsidR="00FD1628">
        <w:t>adhered to</w:t>
      </w:r>
      <w:r w:rsidR="00793AEA">
        <w:t xml:space="preserve">. </w:t>
      </w:r>
    </w:p>
    <w:p w14:paraId="1887A6C3" w14:textId="7666EC02" w:rsidR="00AB7FE5" w:rsidRDefault="00AB7FE5" w:rsidP="000B2B00">
      <w:pPr>
        <w:pStyle w:val="AppendixH2"/>
        <w:numPr>
          <w:ilvl w:val="1"/>
          <w:numId w:val="14"/>
        </w:numPr>
        <w:tabs>
          <w:tab w:val="clear" w:pos="680"/>
          <w:tab w:val="num" w:pos="1440"/>
        </w:tabs>
        <w:ind w:left="1440" w:hanging="720"/>
      </w:pPr>
      <w:bookmarkStart w:id="153" w:name="_Toc134081798"/>
      <w:bookmarkStart w:id="154" w:name="_Toc207286297"/>
      <w:bookmarkStart w:id="155" w:name="_Toc233192934"/>
      <w:r>
        <w:t xml:space="preserve">Protection of </w:t>
      </w:r>
      <w:r w:rsidR="00B238F8">
        <w:t>RMR</w:t>
      </w:r>
      <w:r>
        <w:t xml:space="preserve"> </w:t>
      </w:r>
      <w:r w:rsidR="00694D78">
        <w:t xml:space="preserve">receivers </w:t>
      </w:r>
      <w:r>
        <w:t xml:space="preserve">from </w:t>
      </w:r>
      <w:r w:rsidR="0062698D">
        <w:t>a</w:t>
      </w:r>
      <w:r>
        <w:t xml:space="preserve"> </w:t>
      </w:r>
      <w:r w:rsidR="0062698D">
        <w:t>non-</w:t>
      </w:r>
      <w:r w:rsidR="00B238F8">
        <w:t>RMR</w:t>
      </w:r>
      <w:r w:rsidR="0062698D">
        <w:t xml:space="preserve"> </w:t>
      </w:r>
      <w:r>
        <w:t>transmitter</w:t>
      </w:r>
      <w:bookmarkEnd w:id="153"/>
      <w:bookmarkEnd w:id="154"/>
      <w:bookmarkEnd w:id="155"/>
    </w:p>
    <w:p w14:paraId="271548EE" w14:textId="29B7D1EA" w:rsidR="00AB7FE5" w:rsidRPr="004B0AE3" w:rsidRDefault="00AB7FE5" w:rsidP="00AB7FE5">
      <w:r>
        <w:fldChar w:fldCharType="begin"/>
      </w:r>
      <w:r>
        <w:instrText xml:space="preserve"> REF tableB1 \h </w:instrText>
      </w:r>
      <w:r>
        <w:fldChar w:fldCharType="separate"/>
      </w:r>
      <w:r w:rsidR="00945A3F">
        <w:t>Table B1</w:t>
      </w:r>
      <w:r>
        <w:fldChar w:fldCharType="end"/>
      </w:r>
      <w:r>
        <w:t xml:space="preserve"> defines protection criteria for </w:t>
      </w:r>
      <w:r w:rsidR="00B238F8">
        <w:t>RMR</w:t>
      </w:r>
      <w:r>
        <w:t xml:space="preserve"> receivers from interfering </w:t>
      </w:r>
      <w:r w:rsidR="0062698D">
        <w:t>non-</w:t>
      </w:r>
      <w:r w:rsidR="00B238F8">
        <w:t>RMR</w:t>
      </w:r>
      <w:r w:rsidR="0062698D">
        <w:t xml:space="preserve"> </w:t>
      </w:r>
      <w:r>
        <w:t>transmitter.</w:t>
      </w:r>
      <w:r w:rsidR="003E114A">
        <w:t xml:space="preserve"> The requirements in Table B1 are to be met at the input of the </w:t>
      </w:r>
      <w:r w:rsidR="00B238F8">
        <w:t>RMR</w:t>
      </w:r>
      <w:r w:rsidR="003E114A">
        <w:t xml:space="preserve"> receiver.</w:t>
      </w:r>
    </w:p>
    <w:p w14:paraId="769B8DE0" w14:textId="7A371C70" w:rsidR="00AB7FE5" w:rsidRDefault="00AB7FE5" w:rsidP="00AB7FE5">
      <w:pPr>
        <w:pStyle w:val="Caption-table"/>
      </w:pPr>
      <w:bookmarkStart w:id="156" w:name="tableB1"/>
      <w:r>
        <w:t>Table B1</w:t>
      </w:r>
      <w:bookmarkEnd w:id="156"/>
      <w:r>
        <w:t xml:space="preserve">:  </w:t>
      </w:r>
      <w:r w:rsidR="00B238F8">
        <w:t>RMR</w:t>
      </w:r>
      <w:r>
        <w:t xml:space="preserve"> protection criteria from </w:t>
      </w:r>
      <w:r w:rsidR="0062698D">
        <w:t>non-</w:t>
      </w:r>
      <w:r w:rsidR="00B238F8">
        <w:t>RMR</w:t>
      </w:r>
      <w:r>
        <w:t xml:space="preserve"> transmitters.</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3"/>
        <w:gridCol w:w="4536"/>
      </w:tblGrid>
      <w:tr w:rsidR="00AB7FE5" w:rsidRPr="002601C0" w14:paraId="7CC964BF" w14:textId="77777777" w:rsidTr="007A32AF">
        <w:trPr>
          <w:tblHeader/>
        </w:trPr>
        <w:tc>
          <w:tcPr>
            <w:tcW w:w="2263" w:type="dxa"/>
            <w:shd w:val="clear" w:color="auto" w:fill="D9D9D9"/>
          </w:tcPr>
          <w:p w14:paraId="489ECC27" w14:textId="77777777" w:rsidR="00AB7FE5" w:rsidRPr="002601C0" w:rsidRDefault="00AB7FE5" w:rsidP="007A32AF">
            <w:pPr>
              <w:pStyle w:val="TableHeading"/>
              <w:rPr>
                <w:rFonts w:eastAsiaTheme="minorHAnsi"/>
              </w:rPr>
            </w:pPr>
            <w:bookmarkStart w:id="157" w:name="_Hlk27053686"/>
            <w:r w:rsidRPr="002601C0">
              <w:rPr>
                <w:rFonts w:eastAsiaTheme="minorHAnsi"/>
              </w:rPr>
              <w:t>Frequency offset</w:t>
            </w:r>
          </w:p>
        </w:tc>
        <w:tc>
          <w:tcPr>
            <w:tcW w:w="4536" w:type="dxa"/>
            <w:shd w:val="clear" w:color="auto" w:fill="D9D9D9"/>
          </w:tcPr>
          <w:p w14:paraId="0F0ABEBA" w14:textId="3EEF0D0B" w:rsidR="00AB7FE5" w:rsidRPr="002601C0" w:rsidRDefault="00AB7FE5" w:rsidP="007A32AF">
            <w:pPr>
              <w:pStyle w:val="TableHeading"/>
            </w:pPr>
            <w:r w:rsidRPr="002601C0">
              <w:t>PROTECTION CRITERIA</w:t>
            </w:r>
          </w:p>
          <w:p w14:paraId="2A438EC8" w14:textId="77777777" w:rsidR="00AB7FE5" w:rsidRPr="002601C0" w:rsidRDefault="00AB7FE5" w:rsidP="007A32AF">
            <w:pPr>
              <w:pStyle w:val="TableHeading"/>
              <w:rPr>
                <w:rFonts w:eastAsiaTheme="minorHAnsi"/>
              </w:rPr>
            </w:pPr>
            <w:r w:rsidRPr="002601C0">
              <w:t xml:space="preserve">Digital </w:t>
            </w:r>
            <w:r w:rsidRPr="002601C0">
              <w:rPr>
                <w:rFonts w:eastAsiaTheme="minorHAnsi"/>
              </w:rPr>
              <w:t>i</w:t>
            </w:r>
            <w:r w:rsidRPr="002601C0">
              <w:t xml:space="preserve">nterferer Tx </w:t>
            </w:r>
            <w:r w:rsidRPr="002601C0">
              <w:rPr>
                <w:rFonts w:eastAsiaTheme="minorHAnsi"/>
              </w:rPr>
              <w:t>into</w:t>
            </w:r>
            <w:r w:rsidRPr="002601C0">
              <w:t xml:space="preserve"> </w:t>
            </w:r>
            <w:r w:rsidRPr="002601C0">
              <w:rPr>
                <w:rFonts w:eastAsiaTheme="minorHAnsi"/>
              </w:rPr>
              <w:t>d</w:t>
            </w:r>
            <w:r w:rsidRPr="002601C0">
              <w:t xml:space="preserve">igital </w:t>
            </w:r>
            <w:r w:rsidRPr="002601C0">
              <w:rPr>
                <w:rFonts w:eastAsiaTheme="minorHAnsi"/>
              </w:rPr>
              <w:t>v</w:t>
            </w:r>
            <w:r w:rsidRPr="002601C0">
              <w:t>ictim Rx</w:t>
            </w:r>
          </w:p>
        </w:tc>
      </w:tr>
      <w:tr w:rsidR="00AB7FE5" w:rsidRPr="002601C0" w14:paraId="7452E4EC" w14:textId="77777777" w:rsidTr="007A32AF">
        <w:tc>
          <w:tcPr>
            <w:tcW w:w="2263" w:type="dxa"/>
          </w:tcPr>
          <w:p w14:paraId="552AE846" w14:textId="77777777" w:rsidR="00AB7FE5" w:rsidRPr="002601C0" w:rsidRDefault="00AB7FE5" w:rsidP="007A32AF">
            <w:pPr>
              <w:pStyle w:val="TableBody"/>
              <w:rPr>
                <w:rFonts w:eastAsiaTheme="minorHAnsi"/>
              </w:rPr>
            </w:pPr>
            <w:r>
              <w:rPr>
                <w:rFonts w:eastAsiaTheme="minorHAnsi"/>
              </w:rPr>
              <w:t>Co-channel</w:t>
            </w:r>
          </w:p>
        </w:tc>
        <w:tc>
          <w:tcPr>
            <w:tcW w:w="4536" w:type="dxa"/>
          </w:tcPr>
          <w:p w14:paraId="6A1DAD0E" w14:textId="00CC0A10" w:rsidR="00AB7FE5" w:rsidRPr="002601C0" w:rsidRDefault="00AB7FE5" w:rsidP="007A32AF">
            <w:pPr>
              <w:pStyle w:val="TableBody"/>
              <w:spacing w:line="276" w:lineRule="auto"/>
              <w:rPr>
                <w:rFonts w:eastAsiaTheme="minorHAnsi"/>
              </w:rPr>
            </w:pPr>
            <w:r w:rsidRPr="002601C0">
              <w:rPr>
                <w:rFonts w:eastAsiaTheme="minorHAnsi"/>
              </w:rPr>
              <w:t>–10</w:t>
            </w:r>
            <w:r w:rsidR="0062698D">
              <w:rPr>
                <w:rFonts w:eastAsiaTheme="minorHAnsi"/>
              </w:rPr>
              <w:t>0</w:t>
            </w:r>
            <w:r w:rsidRPr="002601C0">
              <w:rPr>
                <w:rFonts w:eastAsiaTheme="minorHAnsi"/>
              </w:rPr>
              <w:t xml:space="preserve"> (dBm per 5 MHz channel)</w:t>
            </w:r>
          </w:p>
          <w:p w14:paraId="6DE7E541" w14:textId="32985303" w:rsidR="00AB7FE5" w:rsidRPr="002601C0" w:rsidRDefault="00AB7FE5" w:rsidP="007A32AF">
            <w:pPr>
              <w:pStyle w:val="TableBody"/>
              <w:spacing w:line="276" w:lineRule="auto"/>
              <w:rPr>
                <w:rFonts w:eastAsiaTheme="minorHAnsi"/>
              </w:rPr>
            </w:pPr>
            <w:r w:rsidRPr="002601C0">
              <w:rPr>
                <w:rFonts w:eastAsiaTheme="minorHAnsi"/>
              </w:rPr>
              <w:t>–9</w:t>
            </w:r>
            <w:r w:rsidR="0062698D">
              <w:rPr>
                <w:rFonts w:eastAsiaTheme="minorHAnsi"/>
              </w:rPr>
              <w:t>7</w:t>
            </w:r>
            <w:r w:rsidRPr="002601C0">
              <w:rPr>
                <w:rFonts w:eastAsiaTheme="minorHAnsi"/>
              </w:rPr>
              <w:t xml:space="preserve"> (dBm per 10 MHz channel)</w:t>
            </w:r>
          </w:p>
        </w:tc>
      </w:tr>
      <w:tr w:rsidR="00AB7FE5" w:rsidRPr="002601C0" w14:paraId="60DF308B" w14:textId="77777777" w:rsidTr="007A32AF">
        <w:tc>
          <w:tcPr>
            <w:tcW w:w="2263" w:type="dxa"/>
          </w:tcPr>
          <w:p w14:paraId="2B252ABF" w14:textId="77777777" w:rsidR="00AB7FE5" w:rsidRPr="002601C0" w:rsidRDefault="00AB7FE5" w:rsidP="007A32AF">
            <w:pPr>
              <w:pStyle w:val="TableBody"/>
              <w:rPr>
                <w:rFonts w:eastAsiaTheme="minorHAnsi"/>
              </w:rPr>
            </w:pPr>
            <w:r>
              <w:rPr>
                <w:rFonts w:eastAsiaTheme="minorHAnsi"/>
              </w:rPr>
              <w:t>1</w:t>
            </w:r>
            <w:r w:rsidRPr="002601C0">
              <w:rPr>
                <w:rFonts w:eastAsiaTheme="minorHAnsi"/>
                <w:vertAlign w:val="superscript"/>
              </w:rPr>
              <w:t>st</w:t>
            </w:r>
            <w:r>
              <w:rPr>
                <w:rFonts w:eastAsiaTheme="minorHAnsi"/>
              </w:rPr>
              <w:t xml:space="preserve"> adjacent channel</w:t>
            </w:r>
          </w:p>
        </w:tc>
        <w:tc>
          <w:tcPr>
            <w:tcW w:w="4536" w:type="dxa"/>
          </w:tcPr>
          <w:p w14:paraId="4BE5A259" w14:textId="7C63891E" w:rsidR="00AB7FE5" w:rsidRPr="002601C0" w:rsidRDefault="00AB7FE5" w:rsidP="007A32AF">
            <w:pPr>
              <w:pStyle w:val="TableBody"/>
              <w:spacing w:line="276" w:lineRule="auto"/>
              <w:rPr>
                <w:rFonts w:eastAsiaTheme="minorHAnsi"/>
              </w:rPr>
            </w:pPr>
            <w:r w:rsidRPr="002601C0">
              <w:rPr>
                <w:rFonts w:eastAsiaTheme="minorHAnsi"/>
              </w:rPr>
              <w:t>–</w:t>
            </w:r>
            <w:r w:rsidR="0062698D">
              <w:rPr>
                <w:rFonts w:eastAsiaTheme="minorHAnsi"/>
              </w:rPr>
              <w:t>42</w:t>
            </w:r>
            <w:r w:rsidRPr="002601C0">
              <w:rPr>
                <w:rFonts w:eastAsiaTheme="minorHAnsi"/>
              </w:rPr>
              <w:t xml:space="preserve"> (dBm per 5 MHz channel)</w:t>
            </w:r>
          </w:p>
          <w:p w14:paraId="0DC5306B" w14:textId="38D1F2C4" w:rsidR="00AB7FE5" w:rsidRPr="002601C0" w:rsidRDefault="00AB7FE5" w:rsidP="007A32AF">
            <w:pPr>
              <w:pStyle w:val="TableBody"/>
              <w:spacing w:line="276" w:lineRule="auto"/>
              <w:rPr>
                <w:rFonts w:eastAsiaTheme="minorHAnsi"/>
              </w:rPr>
            </w:pPr>
            <w:r w:rsidRPr="002601C0">
              <w:rPr>
                <w:rFonts w:eastAsiaTheme="minorHAnsi"/>
              </w:rPr>
              <w:t>–</w:t>
            </w:r>
            <w:r w:rsidR="0062698D">
              <w:rPr>
                <w:rFonts w:eastAsiaTheme="minorHAnsi"/>
              </w:rPr>
              <w:t>3</w:t>
            </w:r>
            <w:r w:rsidRPr="002601C0">
              <w:rPr>
                <w:rFonts w:eastAsiaTheme="minorHAnsi"/>
              </w:rPr>
              <w:t>9 (dBm per 10 MHz channel)</w:t>
            </w:r>
          </w:p>
        </w:tc>
      </w:tr>
      <w:tr w:rsidR="00AB7FE5" w:rsidRPr="002601C0" w14:paraId="073B2CC6" w14:textId="77777777" w:rsidTr="007A32AF">
        <w:tc>
          <w:tcPr>
            <w:tcW w:w="2263" w:type="dxa"/>
          </w:tcPr>
          <w:p w14:paraId="6D561CC2" w14:textId="77777777" w:rsidR="00AB7FE5" w:rsidRPr="002601C0" w:rsidRDefault="00AB7FE5" w:rsidP="007A32AF">
            <w:pPr>
              <w:pStyle w:val="TableBody"/>
              <w:rPr>
                <w:rFonts w:eastAsiaTheme="minorHAnsi"/>
              </w:rPr>
            </w:pPr>
            <w:r>
              <w:rPr>
                <w:rFonts w:eastAsiaTheme="minorHAnsi"/>
              </w:rPr>
              <w:t>2</w:t>
            </w:r>
            <w:r w:rsidRPr="002601C0">
              <w:rPr>
                <w:rFonts w:eastAsiaTheme="minorHAnsi"/>
                <w:vertAlign w:val="superscript"/>
              </w:rPr>
              <w:t>nd</w:t>
            </w:r>
            <w:r>
              <w:rPr>
                <w:rFonts w:eastAsiaTheme="minorHAnsi"/>
              </w:rPr>
              <w:t xml:space="preserve"> adjacent channel</w:t>
            </w:r>
          </w:p>
        </w:tc>
        <w:tc>
          <w:tcPr>
            <w:tcW w:w="4536" w:type="dxa"/>
          </w:tcPr>
          <w:p w14:paraId="1B9A3DA2" w14:textId="7969F160" w:rsidR="00AB7FE5" w:rsidRPr="002601C0" w:rsidRDefault="00AB7FE5" w:rsidP="007A32AF">
            <w:pPr>
              <w:pStyle w:val="TableBody"/>
              <w:rPr>
                <w:rFonts w:eastAsiaTheme="minorHAnsi"/>
              </w:rPr>
            </w:pPr>
            <w:r>
              <w:rPr>
                <w:rFonts w:eastAsiaTheme="minorHAnsi"/>
              </w:rPr>
              <w:t>—</w:t>
            </w:r>
          </w:p>
        </w:tc>
      </w:tr>
      <w:bookmarkEnd w:id="157"/>
    </w:tbl>
    <w:p w14:paraId="5239B9A2" w14:textId="77777777" w:rsidR="00AB7FE5" w:rsidRDefault="00AB7FE5" w:rsidP="00AB7FE5"/>
    <w:p w14:paraId="0B9352B2" w14:textId="55FF8EEC" w:rsidR="00AB7FE5" w:rsidRDefault="00AB7FE5" w:rsidP="00AB7FE5">
      <w:pPr>
        <w:pStyle w:val="AppendixH1"/>
      </w:pPr>
      <w:bookmarkStart w:id="158" w:name="appC"/>
      <w:bookmarkStart w:id="159" w:name="_Toc134081800"/>
      <w:bookmarkStart w:id="160" w:name="_Toc233192935"/>
      <w:r w:rsidRPr="00A060BD">
        <w:lastRenderedPageBreak/>
        <w:t>Protection criteria for fixed point</w:t>
      </w:r>
      <w:r w:rsidR="00B678D4">
        <w:t>-</w:t>
      </w:r>
      <w:r w:rsidRPr="00A060BD">
        <w:t>to</w:t>
      </w:r>
      <w:r w:rsidR="00B678D4">
        <w:t>-</w:t>
      </w:r>
      <w:r w:rsidRPr="00A060BD">
        <w:t>point receivers in the 1.8 and 2.1 GHz bands</w:t>
      </w:r>
      <w:bookmarkEnd w:id="158"/>
      <w:bookmarkEnd w:id="159"/>
      <w:bookmarkEnd w:id="160"/>
    </w:p>
    <w:p w14:paraId="2DD83E26" w14:textId="2F4AE78E" w:rsidR="00AB7FE5" w:rsidRDefault="00AB7FE5" w:rsidP="00AB7FE5">
      <w:r w:rsidRPr="009635A9">
        <w:t xml:space="preserve">For the purposes of this </w:t>
      </w:r>
      <w:r w:rsidR="00304D44">
        <w:t>appendix</w:t>
      </w:r>
      <w:r w:rsidRPr="009635A9">
        <w:t xml:space="preserve">, adjacent channels are defined with respect to </w:t>
      </w:r>
      <w:r w:rsidR="00AB411A">
        <w:t>a</w:t>
      </w:r>
      <w:r w:rsidR="00AB411A" w:rsidRPr="009635A9">
        <w:t xml:space="preserve"> </w:t>
      </w:r>
      <w:r w:rsidRPr="009635A9">
        <w:t xml:space="preserve">victim receiver’s channel size. For example, in the case of an interference assessment of a </w:t>
      </w:r>
      <w:r w:rsidR="00B238F8">
        <w:t>RMR</w:t>
      </w:r>
      <w:r w:rsidRPr="009635A9">
        <w:t xml:space="preserve"> transmitter using a 5</w:t>
      </w:r>
      <w:r>
        <w:t> </w:t>
      </w:r>
      <w:r w:rsidRPr="009635A9">
        <w:t xml:space="preserve">MHz channel into a </w:t>
      </w:r>
      <w:r w:rsidR="00B678D4">
        <w:t>fixed link</w:t>
      </w:r>
      <w:r w:rsidRPr="009635A9">
        <w:t xml:space="preserve"> receiver using a 14</w:t>
      </w:r>
      <w:r>
        <w:t> </w:t>
      </w:r>
      <w:r w:rsidRPr="009635A9">
        <w:t>MHz channel, the first adjacent channel refers to the 14</w:t>
      </w:r>
      <w:r>
        <w:t> </w:t>
      </w:r>
      <w:r w:rsidRPr="009635A9">
        <w:t xml:space="preserve">MHz channels either side of the victim receiver’s occupied channel. The same logic is used to determine </w:t>
      </w:r>
      <w:r w:rsidR="00AB411A">
        <w:t xml:space="preserve">interference into the </w:t>
      </w:r>
      <w:r w:rsidRPr="009635A9">
        <w:t>2</w:t>
      </w:r>
      <w:r w:rsidRPr="009635A9">
        <w:rPr>
          <w:vertAlign w:val="superscript"/>
        </w:rPr>
        <w:t>nd</w:t>
      </w:r>
      <w:r>
        <w:t xml:space="preserve"> </w:t>
      </w:r>
      <w:r w:rsidRPr="009635A9">
        <w:t>and 3</w:t>
      </w:r>
      <w:r w:rsidRPr="009635A9">
        <w:rPr>
          <w:vertAlign w:val="superscript"/>
        </w:rPr>
        <w:t>rd</w:t>
      </w:r>
      <w:r>
        <w:t xml:space="preserve"> </w:t>
      </w:r>
      <w:r w:rsidRPr="009635A9">
        <w:t xml:space="preserve">adjacent channels. The following protection ratios are to be used when assessing interference to fixed </w:t>
      </w:r>
      <w:r w:rsidR="00B678D4">
        <w:t>link</w:t>
      </w:r>
      <w:r w:rsidRPr="009635A9">
        <w:t xml:space="preserve"> point receivers in the 1.8 and 2.1</w:t>
      </w:r>
      <w:r>
        <w:t> </w:t>
      </w:r>
      <w:r w:rsidRPr="009635A9">
        <w:t>GHz bands.</w:t>
      </w:r>
    </w:p>
    <w:p w14:paraId="5BD4F638" w14:textId="67A1F798" w:rsidR="00AB7FE5" w:rsidRPr="004B0AE3" w:rsidRDefault="00AB7FE5" w:rsidP="00AB7FE5">
      <w:r>
        <w:fldChar w:fldCharType="begin"/>
      </w:r>
      <w:r>
        <w:instrText xml:space="preserve"> REF tableC1 \h </w:instrText>
      </w:r>
      <w:r>
        <w:fldChar w:fldCharType="separate"/>
      </w:r>
      <w:r w:rsidR="00945A3F">
        <w:t>Table C1</w:t>
      </w:r>
      <w:r>
        <w:fldChar w:fldCharType="end"/>
      </w:r>
      <w:r>
        <w:t xml:space="preserve"> </w:t>
      </w:r>
      <w:r w:rsidR="00AB411A">
        <w:t xml:space="preserve">contains </w:t>
      </w:r>
      <w:r>
        <w:t xml:space="preserve">protection ratios for 1.8 or 2.1 GHz </w:t>
      </w:r>
      <w:r w:rsidR="00724C6F">
        <w:t>f</w:t>
      </w:r>
      <w:r>
        <w:t xml:space="preserve">ixed link receivers from interfering </w:t>
      </w:r>
      <w:r w:rsidR="00B238F8">
        <w:t>RMR</w:t>
      </w:r>
      <w:r>
        <w:t xml:space="preserve"> transmitters.</w:t>
      </w:r>
      <w:r w:rsidR="003E114A">
        <w:t xml:space="preserve"> The requirements in Table </w:t>
      </w:r>
      <w:r w:rsidR="00724C6F">
        <w:t>C</w:t>
      </w:r>
      <w:r w:rsidR="003E114A">
        <w:t xml:space="preserve">1 are to be met at the input of the </w:t>
      </w:r>
      <w:r w:rsidR="00724C6F">
        <w:t>fixed link</w:t>
      </w:r>
      <w:r w:rsidR="003E114A">
        <w:t xml:space="preserve"> receiver.</w:t>
      </w:r>
    </w:p>
    <w:p w14:paraId="13F6A7F3" w14:textId="4BA46739" w:rsidR="00AB7FE5" w:rsidRDefault="00AB7FE5" w:rsidP="00AB7FE5">
      <w:pPr>
        <w:pStyle w:val="Caption-table"/>
      </w:pPr>
      <w:bookmarkStart w:id="161" w:name="tableC1"/>
      <w:r>
        <w:t>Table C1</w:t>
      </w:r>
      <w:bookmarkEnd w:id="161"/>
      <w:r>
        <w:t xml:space="preserve">:  Fixed link protection ratios from </w:t>
      </w:r>
      <w:r w:rsidR="00541025">
        <w:t>RMR</w:t>
      </w:r>
      <w:r>
        <w:t xml:space="preserve"> transmitters.</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3"/>
        <w:gridCol w:w="4536"/>
      </w:tblGrid>
      <w:tr w:rsidR="00AB7FE5" w:rsidRPr="002601C0" w14:paraId="3B8A8EBE" w14:textId="77777777" w:rsidTr="007A32AF">
        <w:trPr>
          <w:tblHeader/>
        </w:trPr>
        <w:tc>
          <w:tcPr>
            <w:tcW w:w="2263" w:type="dxa"/>
            <w:shd w:val="clear" w:color="auto" w:fill="D9D9D9"/>
          </w:tcPr>
          <w:p w14:paraId="7895D470" w14:textId="77777777" w:rsidR="00AB7FE5" w:rsidRPr="002601C0" w:rsidRDefault="00AB7FE5" w:rsidP="007A32AF">
            <w:pPr>
              <w:pStyle w:val="TableHeading"/>
              <w:rPr>
                <w:rFonts w:eastAsiaTheme="minorHAnsi"/>
              </w:rPr>
            </w:pPr>
            <w:r w:rsidRPr="002601C0">
              <w:rPr>
                <w:rFonts w:eastAsiaTheme="minorHAnsi"/>
              </w:rPr>
              <w:t>Frequency offset</w:t>
            </w:r>
          </w:p>
        </w:tc>
        <w:tc>
          <w:tcPr>
            <w:tcW w:w="4536" w:type="dxa"/>
            <w:shd w:val="clear" w:color="auto" w:fill="D9D9D9"/>
          </w:tcPr>
          <w:p w14:paraId="2703D19D" w14:textId="77777777" w:rsidR="00AB7FE5" w:rsidRPr="002601C0" w:rsidRDefault="00AB7FE5" w:rsidP="007A32AF">
            <w:pPr>
              <w:pStyle w:val="TableHeading"/>
            </w:pPr>
            <w:r w:rsidRPr="009635A9">
              <w:t>REQUIRED PROTECTION RATIO (dB)</w:t>
            </w:r>
          </w:p>
          <w:p w14:paraId="588D3080" w14:textId="77777777" w:rsidR="00AB7FE5" w:rsidRPr="002601C0" w:rsidRDefault="00AB7FE5" w:rsidP="007A32AF">
            <w:pPr>
              <w:pStyle w:val="TableHeading"/>
              <w:rPr>
                <w:rFonts w:eastAsiaTheme="minorHAnsi"/>
              </w:rPr>
            </w:pPr>
            <w:r w:rsidRPr="002601C0">
              <w:t xml:space="preserve">Digital </w:t>
            </w:r>
            <w:r w:rsidRPr="002601C0">
              <w:rPr>
                <w:rFonts w:eastAsiaTheme="minorHAnsi"/>
              </w:rPr>
              <w:t>i</w:t>
            </w:r>
            <w:r w:rsidRPr="002601C0">
              <w:t xml:space="preserve">nterferer Tx </w:t>
            </w:r>
            <w:r w:rsidRPr="002601C0">
              <w:rPr>
                <w:rFonts w:eastAsiaTheme="minorHAnsi"/>
              </w:rPr>
              <w:t>into</w:t>
            </w:r>
            <w:r w:rsidRPr="002601C0">
              <w:t xml:space="preserve"> </w:t>
            </w:r>
            <w:r w:rsidRPr="002601C0">
              <w:rPr>
                <w:rFonts w:eastAsiaTheme="minorHAnsi"/>
              </w:rPr>
              <w:t>d</w:t>
            </w:r>
            <w:r w:rsidRPr="002601C0">
              <w:t xml:space="preserve">igital </w:t>
            </w:r>
            <w:r w:rsidRPr="002601C0">
              <w:rPr>
                <w:rFonts w:eastAsiaTheme="minorHAnsi"/>
              </w:rPr>
              <w:t>v</w:t>
            </w:r>
            <w:r w:rsidRPr="002601C0">
              <w:t>ictim Rx</w:t>
            </w:r>
          </w:p>
        </w:tc>
      </w:tr>
      <w:tr w:rsidR="00AB7FE5" w:rsidRPr="002601C0" w14:paraId="4BBC39ED" w14:textId="77777777" w:rsidTr="007A32AF">
        <w:tc>
          <w:tcPr>
            <w:tcW w:w="2263" w:type="dxa"/>
          </w:tcPr>
          <w:p w14:paraId="4D92EC9C" w14:textId="77777777" w:rsidR="00AB7FE5" w:rsidRPr="002601C0" w:rsidRDefault="00AB7FE5" w:rsidP="007A32AF">
            <w:pPr>
              <w:pStyle w:val="TableBody"/>
              <w:rPr>
                <w:rFonts w:eastAsiaTheme="minorHAnsi"/>
              </w:rPr>
            </w:pPr>
            <w:r>
              <w:rPr>
                <w:rFonts w:eastAsiaTheme="minorHAnsi"/>
              </w:rPr>
              <w:t>Co-channel</w:t>
            </w:r>
          </w:p>
        </w:tc>
        <w:tc>
          <w:tcPr>
            <w:tcW w:w="4536" w:type="dxa"/>
          </w:tcPr>
          <w:p w14:paraId="188BF17E" w14:textId="77777777" w:rsidR="00AB7FE5" w:rsidRPr="002601C0" w:rsidRDefault="00AB7FE5" w:rsidP="007A32AF">
            <w:pPr>
              <w:pStyle w:val="TableBody"/>
              <w:spacing w:line="276" w:lineRule="auto"/>
              <w:rPr>
                <w:rFonts w:eastAsiaTheme="minorHAnsi"/>
              </w:rPr>
            </w:pPr>
            <w:r>
              <w:rPr>
                <w:rFonts w:eastAsiaTheme="minorHAnsi"/>
              </w:rPr>
              <w:t>60</w:t>
            </w:r>
          </w:p>
        </w:tc>
      </w:tr>
      <w:tr w:rsidR="00AB7FE5" w:rsidRPr="002601C0" w14:paraId="188EE6ED" w14:textId="77777777" w:rsidTr="007A32AF">
        <w:tc>
          <w:tcPr>
            <w:tcW w:w="2263" w:type="dxa"/>
          </w:tcPr>
          <w:p w14:paraId="0F071A0F" w14:textId="77777777" w:rsidR="00AB7FE5" w:rsidRPr="002601C0" w:rsidRDefault="00AB7FE5" w:rsidP="007A32AF">
            <w:pPr>
              <w:pStyle w:val="TableBody"/>
              <w:rPr>
                <w:rFonts w:eastAsiaTheme="minorHAnsi"/>
              </w:rPr>
            </w:pPr>
            <w:r>
              <w:rPr>
                <w:rFonts w:eastAsiaTheme="minorHAnsi"/>
              </w:rPr>
              <w:t>1</w:t>
            </w:r>
            <w:r w:rsidRPr="002601C0">
              <w:rPr>
                <w:rFonts w:eastAsiaTheme="minorHAnsi"/>
                <w:vertAlign w:val="superscript"/>
              </w:rPr>
              <w:t>st</w:t>
            </w:r>
            <w:r>
              <w:rPr>
                <w:rFonts w:eastAsiaTheme="minorHAnsi"/>
              </w:rPr>
              <w:t xml:space="preserve"> adjacent channel</w:t>
            </w:r>
          </w:p>
        </w:tc>
        <w:tc>
          <w:tcPr>
            <w:tcW w:w="4536" w:type="dxa"/>
          </w:tcPr>
          <w:p w14:paraId="1E7F6693" w14:textId="77777777" w:rsidR="00AB7FE5" w:rsidRPr="002601C0" w:rsidRDefault="00AB7FE5" w:rsidP="007A32AF">
            <w:pPr>
              <w:pStyle w:val="TableBody"/>
              <w:spacing w:line="276" w:lineRule="auto"/>
              <w:rPr>
                <w:rFonts w:eastAsiaTheme="minorHAnsi"/>
              </w:rPr>
            </w:pPr>
            <w:r>
              <w:rPr>
                <w:rFonts w:eastAsiaTheme="minorHAnsi"/>
              </w:rPr>
              <w:t>30</w:t>
            </w:r>
          </w:p>
        </w:tc>
      </w:tr>
      <w:tr w:rsidR="00AB7FE5" w:rsidRPr="002601C0" w14:paraId="25E3914E" w14:textId="77777777" w:rsidTr="007A32AF">
        <w:tc>
          <w:tcPr>
            <w:tcW w:w="2263" w:type="dxa"/>
          </w:tcPr>
          <w:p w14:paraId="3D3DDD8D" w14:textId="77777777" w:rsidR="00AB7FE5" w:rsidRPr="002601C0" w:rsidRDefault="00AB7FE5" w:rsidP="007A32AF">
            <w:pPr>
              <w:pStyle w:val="TableBody"/>
              <w:rPr>
                <w:rFonts w:eastAsiaTheme="minorHAnsi"/>
              </w:rPr>
            </w:pPr>
            <w:r>
              <w:rPr>
                <w:rFonts w:eastAsiaTheme="minorHAnsi"/>
              </w:rPr>
              <w:t>2</w:t>
            </w:r>
            <w:r w:rsidRPr="002601C0">
              <w:rPr>
                <w:rFonts w:eastAsiaTheme="minorHAnsi"/>
                <w:vertAlign w:val="superscript"/>
              </w:rPr>
              <w:t>nd</w:t>
            </w:r>
            <w:r>
              <w:rPr>
                <w:rFonts w:eastAsiaTheme="minorHAnsi"/>
              </w:rPr>
              <w:t xml:space="preserve"> adjacent channel</w:t>
            </w:r>
          </w:p>
        </w:tc>
        <w:tc>
          <w:tcPr>
            <w:tcW w:w="4536" w:type="dxa"/>
          </w:tcPr>
          <w:p w14:paraId="096940B2" w14:textId="77777777" w:rsidR="00AB7FE5" w:rsidRPr="002601C0" w:rsidRDefault="00AB7FE5" w:rsidP="007A32AF">
            <w:pPr>
              <w:pStyle w:val="TableBody"/>
              <w:rPr>
                <w:rFonts w:eastAsiaTheme="minorHAnsi"/>
              </w:rPr>
            </w:pPr>
            <w:r>
              <w:rPr>
                <w:rFonts w:eastAsiaTheme="minorHAnsi"/>
              </w:rPr>
              <w:t>0</w:t>
            </w:r>
          </w:p>
        </w:tc>
      </w:tr>
      <w:tr w:rsidR="00AB7FE5" w:rsidRPr="002601C0" w14:paraId="09617429" w14:textId="77777777" w:rsidTr="007A32AF">
        <w:tc>
          <w:tcPr>
            <w:tcW w:w="2263" w:type="dxa"/>
          </w:tcPr>
          <w:p w14:paraId="264A305C" w14:textId="77777777" w:rsidR="00AB7FE5" w:rsidRDefault="00AB7FE5" w:rsidP="007A32AF">
            <w:pPr>
              <w:pStyle w:val="TableBody"/>
              <w:rPr>
                <w:rFonts w:eastAsiaTheme="minorHAnsi"/>
              </w:rPr>
            </w:pPr>
            <w:r>
              <w:rPr>
                <w:rFonts w:eastAsiaTheme="minorHAnsi"/>
              </w:rPr>
              <w:t>3</w:t>
            </w:r>
            <w:r w:rsidRPr="009635A9">
              <w:rPr>
                <w:rFonts w:eastAsiaTheme="minorHAnsi"/>
                <w:vertAlign w:val="superscript"/>
              </w:rPr>
              <w:t>rd</w:t>
            </w:r>
            <w:r>
              <w:rPr>
                <w:rFonts w:eastAsiaTheme="minorHAnsi"/>
              </w:rPr>
              <w:t xml:space="preserve"> adjacent channel</w:t>
            </w:r>
          </w:p>
        </w:tc>
        <w:tc>
          <w:tcPr>
            <w:tcW w:w="4536" w:type="dxa"/>
          </w:tcPr>
          <w:p w14:paraId="072DF6CB" w14:textId="77777777" w:rsidR="00AB7FE5" w:rsidRDefault="00AB7FE5" w:rsidP="007A32AF">
            <w:pPr>
              <w:pStyle w:val="TableBody"/>
              <w:rPr>
                <w:rFonts w:eastAsiaTheme="minorHAnsi"/>
              </w:rPr>
            </w:pPr>
            <w:r>
              <w:rPr>
                <w:rFonts w:eastAsiaTheme="minorHAnsi"/>
              </w:rPr>
              <w:t>—</w:t>
            </w:r>
          </w:p>
        </w:tc>
      </w:tr>
    </w:tbl>
    <w:p w14:paraId="7AB1F506" w14:textId="58C6EBE8" w:rsidR="00AB7FE5" w:rsidRDefault="00AB7FE5" w:rsidP="00AB7FE5">
      <w:pPr>
        <w:spacing w:before="240"/>
      </w:pPr>
      <w:r>
        <w:t xml:space="preserve">The protection ratios in </w:t>
      </w:r>
      <w:r>
        <w:fldChar w:fldCharType="begin"/>
      </w:r>
      <w:r>
        <w:instrText xml:space="preserve"> REF tableC1 \h </w:instrText>
      </w:r>
      <w:r>
        <w:fldChar w:fldCharType="separate"/>
      </w:r>
      <w:r w:rsidR="00945A3F">
        <w:t>Table C1</w:t>
      </w:r>
      <w:r>
        <w:fldChar w:fldCharType="end"/>
      </w:r>
      <w:r>
        <w:t xml:space="preserve"> are based on a 60 km path length and P</w:t>
      </w:r>
      <w:r w:rsidRPr="00E53193">
        <w:rPr>
          <w:vertAlign w:val="subscript"/>
        </w:rPr>
        <w:t>L</w:t>
      </w:r>
      <w:r>
        <w:t xml:space="preserve"> (Percentage of time that the average refractivity gradient in the lowest 100 m of the atmosphere is less than or equal to –100 N units/km) </w:t>
      </w:r>
      <w:r w:rsidR="00AB411A">
        <w:t xml:space="preserve">value </w:t>
      </w:r>
      <w:r>
        <w:t>of 20.  For other path length and P</w:t>
      </w:r>
      <w:r w:rsidRPr="00E53193">
        <w:rPr>
          <w:vertAlign w:val="subscript"/>
        </w:rPr>
        <w:t>L</w:t>
      </w:r>
      <w:r>
        <w:t xml:space="preserve"> values refer to the correction factor graph </w:t>
      </w:r>
      <w:r w:rsidR="00AB411A">
        <w:t xml:space="preserve">contained in </w:t>
      </w:r>
      <w:hyperlink w:anchor="appD" w:history="1">
        <w:r w:rsidRPr="00F64739">
          <w:t>Appendix B</w:t>
        </w:r>
      </w:hyperlink>
      <w:r>
        <w:t>.</w:t>
      </w:r>
    </w:p>
    <w:p w14:paraId="1811E6DC" w14:textId="714022C7" w:rsidR="00AB7FE5" w:rsidRDefault="00AB7FE5" w:rsidP="00AB7FE5">
      <w:pPr>
        <w:spacing w:before="240"/>
      </w:pPr>
      <w:r>
        <w:t xml:space="preserve">Separate protection ratios for </w:t>
      </w:r>
      <w:r w:rsidR="00AB411A">
        <w:t>analogue</w:t>
      </w:r>
      <w:r>
        <w:t xml:space="preserve"> victim</w:t>
      </w:r>
      <w:r w:rsidR="00AB411A">
        <w:t xml:space="preserve"> receiver</w:t>
      </w:r>
      <w:r>
        <w:t xml:space="preserve">s have not been defined. The above-mentioned protection ratios for digital services </w:t>
      </w:r>
      <w:r w:rsidR="00AB411A">
        <w:t xml:space="preserve">should </w:t>
      </w:r>
      <w:r>
        <w:t>be applied in all cases.</w:t>
      </w:r>
    </w:p>
    <w:p w14:paraId="01D24D2F" w14:textId="77777777" w:rsidR="00AB7FE5" w:rsidRDefault="00AB7FE5" w:rsidP="00AB7FE5">
      <w:pPr>
        <w:spacing w:before="240"/>
      </w:pPr>
      <w:r>
        <w:t xml:space="preserve">Provisionally, protection ratio values quoted here are identical to those included in </w:t>
      </w:r>
      <w:hyperlink r:id="rId27" w:history="1">
        <w:r w:rsidRPr="00E53193">
          <w:rPr>
            <w:rStyle w:val="Hyperlink"/>
            <w:i/>
            <w:iCs/>
          </w:rPr>
          <w:t>RALI FX3</w:t>
        </w:r>
      </w:hyperlink>
      <w:r>
        <w:t xml:space="preserve"> for comparable cases. However, assigners should be advised that in future these values (and the comparable values in </w:t>
      </w:r>
      <w:hyperlink r:id="rId28" w:history="1">
        <w:r w:rsidRPr="00E53193">
          <w:rPr>
            <w:rStyle w:val="Hyperlink"/>
            <w:i/>
            <w:iCs/>
          </w:rPr>
          <w:t>RALI FX3</w:t>
        </w:r>
      </w:hyperlink>
      <w:r>
        <w:t>) may be revised downward to increase the density of spectrum usage in these bands.</w:t>
      </w:r>
    </w:p>
    <w:p w14:paraId="7BE7AD95" w14:textId="77777777" w:rsidR="00AB7FE5" w:rsidRDefault="00AB7FE5" w:rsidP="00AB7FE5">
      <w:pPr>
        <w:spacing w:before="240"/>
      </w:pPr>
    </w:p>
    <w:p w14:paraId="01FB1F1A" w14:textId="77777777" w:rsidR="00AB7FE5" w:rsidRDefault="00AB7FE5" w:rsidP="00AB7FE5">
      <w:pPr>
        <w:pStyle w:val="AppendixH1"/>
      </w:pPr>
      <w:bookmarkStart w:id="162" w:name="appD"/>
      <w:bookmarkStart w:id="163" w:name="_Toc134081801"/>
      <w:bookmarkStart w:id="164" w:name="_Toc233192936"/>
      <w:r>
        <w:lastRenderedPageBreak/>
        <w:t>Protection ratio correction factors</w:t>
      </w:r>
      <w:bookmarkEnd w:id="162"/>
      <w:bookmarkEnd w:id="163"/>
      <w:bookmarkEnd w:id="164"/>
    </w:p>
    <w:p w14:paraId="19E4D721" w14:textId="77777777" w:rsidR="00AB7FE5" w:rsidRPr="00C35262" w:rsidRDefault="00AB7FE5" w:rsidP="00AB7FE5">
      <w:pPr>
        <w:spacing w:after="0"/>
        <w:jc w:val="center"/>
        <w:rPr>
          <w:b/>
          <w:bCs/>
        </w:rPr>
      </w:pPr>
      <w:r w:rsidRPr="00C35262">
        <w:rPr>
          <w:b/>
          <w:bCs/>
        </w:rPr>
        <w:t>MULTI PATH</w:t>
      </w:r>
    </w:p>
    <w:p w14:paraId="7B1DC6AF" w14:textId="77777777" w:rsidR="00AB7FE5" w:rsidRDefault="00AB7FE5" w:rsidP="00AB7FE5">
      <w:r w:rsidRPr="009D23B4">
        <w:rPr>
          <w:noProof/>
        </w:rPr>
        <w:drawing>
          <wp:inline distT="0" distB="0" distL="0" distR="0" wp14:anchorId="4CD0BED8" wp14:editId="000E1068">
            <wp:extent cx="5932968" cy="7117715"/>
            <wp:effectExtent l="0" t="0" r="0" b="0"/>
            <wp:docPr id="48" name="Object 28" descr="Graph showing 3 depictions of correction factor versus path length. "/>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05C132C" w14:textId="77777777" w:rsidR="00AB7FE5" w:rsidRDefault="00AB7FE5" w:rsidP="00AB7FE5">
      <w:r>
        <w:lastRenderedPageBreak/>
        <w:t>P</w:t>
      </w:r>
      <w:r w:rsidRPr="00621E5C">
        <w:rPr>
          <w:vertAlign w:val="subscript"/>
        </w:rPr>
        <w:t>L</w:t>
      </w:r>
      <w:r>
        <w:t>:  Percentage of time that the average refractivity gradient in the lowest 100 m of the atmosphere is less than or equal to –100 N units/km.</w:t>
      </w:r>
    </w:p>
    <w:p w14:paraId="27585288" w14:textId="77777777" w:rsidR="00AB7FE5" w:rsidRDefault="00AB7FE5" w:rsidP="00AB7FE5">
      <w:r>
        <w:t xml:space="preserve">For further details refer to Annex A to Appendix 1 of </w:t>
      </w:r>
      <w:hyperlink r:id="rId30" w:history="1">
        <w:r w:rsidRPr="00621E5C">
          <w:rPr>
            <w:rStyle w:val="Hyperlink"/>
            <w:i/>
            <w:iCs/>
          </w:rPr>
          <w:t>RALI FX3</w:t>
        </w:r>
      </w:hyperlink>
      <w:r>
        <w:t>.</w:t>
      </w:r>
    </w:p>
    <w:p w14:paraId="0262F331" w14:textId="7D18C9D9" w:rsidR="00AB7FE5" w:rsidRDefault="00541025" w:rsidP="00AB7FE5">
      <w:pPr>
        <w:pStyle w:val="AppendixH1"/>
      </w:pPr>
      <w:bookmarkStart w:id="165" w:name="appE"/>
      <w:bookmarkStart w:id="166" w:name="_Toc134081802"/>
      <w:bookmarkStart w:id="167" w:name="_Toc233192937"/>
      <w:r>
        <w:lastRenderedPageBreak/>
        <w:t>RMR</w:t>
      </w:r>
      <w:r w:rsidR="00AB7FE5">
        <w:t xml:space="preserve"> service model</w:t>
      </w:r>
      <w:bookmarkEnd w:id="165"/>
      <w:bookmarkEnd w:id="166"/>
      <w:bookmarkEnd w:id="167"/>
    </w:p>
    <w:p w14:paraId="291852BA" w14:textId="77777777" w:rsidR="00AB7FE5" w:rsidRDefault="00AB7FE5" w:rsidP="000B2B00">
      <w:pPr>
        <w:pStyle w:val="AppendixH2"/>
        <w:numPr>
          <w:ilvl w:val="1"/>
          <w:numId w:val="14"/>
        </w:numPr>
        <w:tabs>
          <w:tab w:val="clear" w:pos="680"/>
          <w:tab w:val="num" w:pos="1440"/>
        </w:tabs>
        <w:ind w:left="1440" w:hanging="720"/>
      </w:pPr>
      <w:bookmarkStart w:id="168" w:name="_Toc134081803"/>
      <w:bookmarkStart w:id="169" w:name="_Toc207286301"/>
      <w:bookmarkStart w:id="170" w:name="_Toc233192938"/>
      <w:r>
        <w:t>Equipment types</w:t>
      </w:r>
      <w:bookmarkEnd w:id="168"/>
      <w:bookmarkEnd w:id="169"/>
      <w:bookmarkEnd w:id="170"/>
    </w:p>
    <w:p w14:paraId="252A7EB1" w14:textId="1E38FE91" w:rsidR="00AB7FE5" w:rsidRDefault="00AB7FE5" w:rsidP="00AB7FE5">
      <w:r>
        <w:t>The equipment types and technologies considered in developing this RALI were</w:t>
      </w:r>
      <w:r w:rsidR="001C7FD8">
        <w:t xml:space="preserve"> based on the following standard</w:t>
      </w:r>
      <w:r>
        <w:t>:</w:t>
      </w:r>
    </w:p>
    <w:p w14:paraId="1B2751BF" w14:textId="77777777" w:rsidR="001C7FD8" w:rsidRDefault="001C7FD8" w:rsidP="001C7FD8">
      <w:pPr>
        <w:pStyle w:val="ListBullet"/>
      </w:pPr>
      <w:r w:rsidRPr="00F34EFB">
        <w:t>3GPP TS 38.104</w:t>
      </w:r>
      <w:r>
        <w:t>, “Technical Specification Group Radio Access Network;</w:t>
      </w:r>
    </w:p>
    <w:p w14:paraId="4E77BE83" w14:textId="77777777" w:rsidR="001C7FD8" w:rsidRDefault="001C7FD8" w:rsidP="001C7FD8">
      <w:pPr>
        <w:pStyle w:val="ListBullet"/>
        <w:numPr>
          <w:ilvl w:val="0"/>
          <w:numId w:val="0"/>
        </w:numPr>
        <w:ind w:left="295"/>
      </w:pPr>
      <w:r>
        <w:t>NR; Base Station (BS) radio transmission and reception”</w:t>
      </w:r>
    </w:p>
    <w:p w14:paraId="3B24119A" w14:textId="35B47FFB" w:rsidR="001C7FD8" w:rsidRDefault="001C7FD8" w:rsidP="001C7FD8">
      <w:pPr>
        <w:pStyle w:val="ListBullet"/>
        <w:numPr>
          <w:ilvl w:val="0"/>
          <w:numId w:val="0"/>
        </w:numPr>
        <w:ind w:left="295" w:hanging="295"/>
      </w:pPr>
    </w:p>
    <w:p w14:paraId="62875557" w14:textId="37D0988A" w:rsidR="001C7FD8" w:rsidRDefault="001C7FD8" w:rsidP="001C7FD8">
      <w:pPr>
        <w:pStyle w:val="ListBullet"/>
        <w:numPr>
          <w:ilvl w:val="0"/>
          <w:numId w:val="0"/>
        </w:numPr>
        <w:ind w:left="295" w:hanging="295"/>
      </w:pPr>
      <w:r>
        <w:t>Additional studies considered in developing this RALI were:</w:t>
      </w:r>
    </w:p>
    <w:p w14:paraId="6A4B23F7" w14:textId="1ACF8807" w:rsidR="00AB7FE5" w:rsidRDefault="00976F7B" w:rsidP="007A32AF">
      <w:pPr>
        <w:pStyle w:val="ListBullet"/>
      </w:pPr>
      <w:r w:rsidRPr="00976F7B">
        <w:t>ETSI TR 103 865</w:t>
      </w:r>
      <w:r w:rsidR="003E705F">
        <w:t>,</w:t>
      </w:r>
      <w:r w:rsidRPr="00976F7B">
        <w:t xml:space="preserve"> </w:t>
      </w:r>
      <w:r w:rsidR="00AB7FE5">
        <w:t>“</w:t>
      </w:r>
      <w:r w:rsidRPr="00976F7B">
        <w:rPr>
          <w:i/>
          <w:iCs/>
        </w:rPr>
        <w:t>Rail Telecommunications (RT); Future Railway Mobile Communication System (FRMCS); Radio performance aspects</w:t>
      </w:r>
      <w:r>
        <w:t xml:space="preserve">” </w:t>
      </w:r>
    </w:p>
    <w:p w14:paraId="11B77FF1" w14:textId="0979E6F0" w:rsidR="003E705F" w:rsidRDefault="003E705F" w:rsidP="007A32AF">
      <w:pPr>
        <w:pStyle w:val="ListBullet"/>
      </w:pPr>
      <w:r w:rsidRPr="003E705F">
        <w:t>ECC Report 314</w:t>
      </w:r>
      <w:r>
        <w:t>, “</w:t>
      </w:r>
      <w:r w:rsidRPr="003E705F">
        <w:rPr>
          <w:i/>
          <w:iCs/>
        </w:rPr>
        <w:t>Co-existence between Future Railway Mobile Communication System (FRMCS) in the frequency range1900-1920 MHz and other applications in adjacent bands</w:t>
      </w:r>
      <w:r>
        <w:t>”</w:t>
      </w:r>
    </w:p>
    <w:p w14:paraId="6742453C" w14:textId="36C0CD6D" w:rsidR="003E705F" w:rsidRDefault="003E705F" w:rsidP="003E705F">
      <w:pPr>
        <w:pStyle w:val="ListBullet"/>
      </w:pPr>
      <w:r w:rsidRPr="003E705F">
        <w:t>ECC Report 31</w:t>
      </w:r>
      <w:r>
        <w:t>8, “</w:t>
      </w:r>
      <w:r w:rsidRPr="003E705F">
        <w:rPr>
          <w:i/>
          <w:iCs/>
        </w:rPr>
        <w:t>Compatibility between RMR and MFCN in the 900 MHz range, the 1900-1920 MHz band and the 2290-2300 MHz band</w:t>
      </w:r>
      <w:r>
        <w:t>”</w:t>
      </w:r>
    </w:p>
    <w:p w14:paraId="5F78046C" w14:textId="77777777" w:rsidR="00AB7FE5" w:rsidRDefault="00AB7FE5" w:rsidP="000B2B00">
      <w:pPr>
        <w:pStyle w:val="AppendixH2"/>
        <w:numPr>
          <w:ilvl w:val="1"/>
          <w:numId w:val="14"/>
        </w:numPr>
        <w:tabs>
          <w:tab w:val="clear" w:pos="680"/>
          <w:tab w:val="num" w:pos="1440"/>
        </w:tabs>
        <w:ind w:left="1440" w:hanging="720"/>
      </w:pPr>
      <w:bookmarkStart w:id="171" w:name="_Toc134081804"/>
      <w:bookmarkStart w:id="172" w:name="_Toc207286302"/>
      <w:bookmarkStart w:id="173" w:name="_Toc233192939"/>
      <w:r>
        <w:t>Deployment model and general equipment characteristics</w:t>
      </w:r>
      <w:bookmarkEnd w:id="171"/>
      <w:bookmarkEnd w:id="172"/>
      <w:bookmarkEnd w:id="173"/>
    </w:p>
    <w:p w14:paraId="1A4E8877" w14:textId="3B04895C" w:rsidR="00AB7FE5" w:rsidRDefault="00AB7FE5" w:rsidP="00AB7FE5">
      <w:r w:rsidRPr="00FA29C7">
        <w:t xml:space="preserve">Deployment model values were chosen after considering typical </w:t>
      </w:r>
      <w:r w:rsidR="00541025">
        <w:t>RMR</w:t>
      </w:r>
      <w:r w:rsidR="00694D78">
        <w:t xml:space="preserve"> transmitter</w:t>
      </w:r>
      <w:r w:rsidRPr="00FA29C7">
        <w:t xml:space="preserve"> parameter values.</w:t>
      </w:r>
      <w:r w:rsidRPr="00501B4C">
        <w:t xml:space="preserve"> </w:t>
      </w:r>
      <w:hyperlink w:anchor="tableE1" w:history="1">
        <w:r w:rsidRPr="00501B4C">
          <w:t>Tables E1</w:t>
        </w:r>
      </w:hyperlink>
      <w:r w:rsidRPr="00501B4C">
        <w:t xml:space="preserve"> and </w:t>
      </w:r>
      <w:hyperlink w:anchor="tableE2" w:history="1">
        <w:r w:rsidRPr="00501B4C">
          <w:t>E2</w:t>
        </w:r>
      </w:hyperlink>
      <w:r w:rsidRPr="00501B4C">
        <w:t xml:space="preserve"> show deployment</w:t>
      </w:r>
      <w:r>
        <w:t xml:space="preserve"> model parameter values for base stations and remote stations respectively.</w:t>
      </w:r>
    </w:p>
    <w:p w14:paraId="51D5FFEA" w14:textId="3D768958" w:rsidR="00AB7FE5" w:rsidRDefault="00AB7FE5" w:rsidP="00AB7FE5">
      <w:pPr>
        <w:pStyle w:val="Caption-table"/>
      </w:pPr>
      <w:bookmarkStart w:id="174" w:name="tableE1"/>
      <w:r>
        <w:t>Table E1</w:t>
      </w:r>
      <w:bookmarkEnd w:id="174"/>
      <w:r>
        <w:t xml:space="preserve">:  </w:t>
      </w:r>
      <w:r w:rsidR="00072CCD">
        <w:t>transmitter</w:t>
      </w:r>
      <w:r>
        <w:t xml:space="preserve"> deployment parameters.</w:t>
      </w: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56"/>
        <w:gridCol w:w="2740"/>
        <w:gridCol w:w="1706"/>
      </w:tblGrid>
      <w:tr w:rsidR="009C4B17" w:rsidRPr="002E390A" w14:paraId="364DC694" w14:textId="77777777" w:rsidTr="009C4B17">
        <w:trPr>
          <w:tblHeader/>
        </w:trPr>
        <w:tc>
          <w:tcPr>
            <w:tcW w:w="3256" w:type="dxa"/>
            <w:shd w:val="clear" w:color="auto" w:fill="D9D9D9"/>
          </w:tcPr>
          <w:p w14:paraId="19C7A72D" w14:textId="77777777" w:rsidR="009C4B17" w:rsidRPr="00AF06C8" w:rsidRDefault="009C4B17" w:rsidP="007A32AF">
            <w:pPr>
              <w:pStyle w:val="TableHeading"/>
              <w:spacing w:line="240" w:lineRule="auto"/>
              <w:rPr>
                <w:rFonts w:eastAsiaTheme="minorHAnsi"/>
                <w:szCs w:val="22"/>
              </w:rPr>
            </w:pPr>
            <w:r w:rsidRPr="00EF5003">
              <w:t>Base station Parameter</w:t>
            </w:r>
          </w:p>
        </w:tc>
        <w:tc>
          <w:tcPr>
            <w:tcW w:w="2740" w:type="dxa"/>
            <w:shd w:val="clear" w:color="auto" w:fill="D9D9D9"/>
          </w:tcPr>
          <w:p w14:paraId="121AF04D" w14:textId="77777777" w:rsidR="009C4B17" w:rsidRPr="00AF06C8" w:rsidRDefault="009C4B17" w:rsidP="007A32AF">
            <w:pPr>
              <w:pStyle w:val="TableHeading"/>
              <w:spacing w:line="240" w:lineRule="auto"/>
              <w:rPr>
                <w:rFonts w:eastAsiaTheme="minorHAnsi"/>
                <w:szCs w:val="22"/>
              </w:rPr>
            </w:pPr>
            <w:r w:rsidRPr="00EF5003">
              <w:t xml:space="preserve">Deployment model </w:t>
            </w:r>
            <w:r>
              <w:t>v</w:t>
            </w:r>
            <w:r w:rsidRPr="00EF5003">
              <w:t>alue</w:t>
            </w:r>
          </w:p>
        </w:tc>
        <w:tc>
          <w:tcPr>
            <w:tcW w:w="1706" w:type="dxa"/>
            <w:shd w:val="clear" w:color="auto" w:fill="D9D9D9"/>
          </w:tcPr>
          <w:p w14:paraId="2E816D60" w14:textId="77777777" w:rsidR="009C4B17" w:rsidRPr="00AF06C8" w:rsidRDefault="009C4B17" w:rsidP="007A32AF">
            <w:pPr>
              <w:pStyle w:val="TableHeading"/>
              <w:spacing w:line="240" w:lineRule="auto"/>
              <w:rPr>
                <w:rFonts w:eastAsiaTheme="minorHAnsi"/>
                <w:szCs w:val="22"/>
              </w:rPr>
            </w:pPr>
            <w:r w:rsidRPr="00EF5003">
              <w:t>Unit</w:t>
            </w:r>
          </w:p>
        </w:tc>
      </w:tr>
      <w:tr w:rsidR="009C4B17" w:rsidRPr="002E390A" w14:paraId="65142810" w14:textId="77777777" w:rsidTr="009C4B17">
        <w:tc>
          <w:tcPr>
            <w:tcW w:w="3256" w:type="dxa"/>
          </w:tcPr>
          <w:p w14:paraId="60C7F946" w14:textId="606445D2" w:rsidR="009C4B17" w:rsidRPr="00591A0B" w:rsidRDefault="009C4B17" w:rsidP="007A32AF">
            <w:pPr>
              <w:pStyle w:val="TableBody"/>
              <w:rPr>
                <w:rFonts w:eastAsiaTheme="minorHAnsi"/>
                <w:szCs w:val="22"/>
              </w:rPr>
            </w:pPr>
            <w:r>
              <w:t>Maximum in band EIRP</w:t>
            </w:r>
          </w:p>
        </w:tc>
        <w:tc>
          <w:tcPr>
            <w:tcW w:w="2740" w:type="dxa"/>
          </w:tcPr>
          <w:p w14:paraId="54471737" w14:textId="53A9833D" w:rsidR="009C4B17" w:rsidRPr="00B73065" w:rsidRDefault="009C4B17" w:rsidP="007A32AF">
            <w:pPr>
              <w:pStyle w:val="TableBody"/>
              <w:jc w:val="right"/>
              <w:rPr>
                <w:rFonts w:eastAsiaTheme="minorHAnsi"/>
                <w:szCs w:val="22"/>
              </w:rPr>
            </w:pPr>
            <w:r>
              <w:t>65</w:t>
            </w:r>
          </w:p>
        </w:tc>
        <w:tc>
          <w:tcPr>
            <w:tcW w:w="1706" w:type="dxa"/>
          </w:tcPr>
          <w:p w14:paraId="465279B6" w14:textId="38CAD745" w:rsidR="009C4B17" w:rsidRPr="00B73065" w:rsidRDefault="009C4B17" w:rsidP="007A32AF">
            <w:pPr>
              <w:pStyle w:val="TableBody"/>
              <w:rPr>
                <w:rFonts w:eastAsiaTheme="minorHAnsi"/>
                <w:szCs w:val="22"/>
              </w:rPr>
            </w:pPr>
            <w:r>
              <w:t>dBm/10 MHz</w:t>
            </w:r>
          </w:p>
        </w:tc>
      </w:tr>
      <w:tr w:rsidR="004E7DF9" w:rsidRPr="002E390A" w14:paraId="268178BC" w14:textId="77777777" w:rsidTr="009C4B17">
        <w:tc>
          <w:tcPr>
            <w:tcW w:w="3256" w:type="dxa"/>
          </w:tcPr>
          <w:p w14:paraId="2443AA37" w14:textId="330AD89B" w:rsidR="004E7DF9" w:rsidRDefault="004E7DF9" w:rsidP="007A32AF">
            <w:pPr>
              <w:pStyle w:val="TableBody"/>
            </w:pPr>
            <w:r>
              <w:t>Ant</w:t>
            </w:r>
            <w:r w:rsidR="00BE5471">
              <w:t>e</w:t>
            </w:r>
            <w:r>
              <w:t>nna Gain</w:t>
            </w:r>
          </w:p>
        </w:tc>
        <w:tc>
          <w:tcPr>
            <w:tcW w:w="2740" w:type="dxa"/>
          </w:tcPr>
          <w:p w14:paraId="52E5CAC2" w14:textId="0920C210" w:rsidR="004E7DF9" w:rsidRDefault="004E7DF9" w:rsidP="007A32AF">
            <w:pPr>
              <w:pStyle w:val="TableBody"/>
              <w:jc w:val="right"/>
            </w:pPr>
            <w:r>
              <w:t xml:space="preserve">18 </w:t>
            </w:r>
          </w:p>
        </w:tc>
        <w:tc>
          <w:tcPr>
            <w:tcW w:w="1706" w:type="dxa"/>
          </w:tcPr>
          <w:p w14:paraId="54A058F4" w14:textId="6344510C" w:rsidR="004E7DF9" w:rsidRDefault="004E7DF9" w:rsidP="007A32AF">
            <w:pPr>
              <w:pStyle w:val="TableBody"/>
            </w:pPr>
            <w:proofErr w:type="spellStart"/>
            <w:r>
              <w:t>dBi</w:t>
            </w:r>
            <w:proofErr w:type="spellEnd"/>
          </w:p>
        </w:tc>
      </w:tr>
      <w:tr w:rsidR="004E7DF9" w:rsidRPr="002E390A" w14:paraId="39C4E548" w14:textId="77777777" w:rsidTr="009C4B17">
        <w:tc>
          <w:tcPr>
            <w:tcW w:w="3256" w:type="dxa"/>
          </w:tcPr>
          <w:p w14:paraId="662F4ED7" w14:textId="347E6C9D" w:rsidR="004E7DF9" w:rsidRDefault="004E7DF9" w:rsidP="007A32AF">
            <w:pPr>
              <w:pStyle w:val="TableBody"/>
            </w:pPr>
            <w:r>
              <w:t>Feeder losses</w:t>
            </w:r>
          </w:p>
        </w:tc>
        <w:tc>
          <w:tcPr>
            <w:tcW w:w="2740" w:type="dxa"/>
          </w:tcPr>
          <w:p w14:paraId="3FF078CE" w14:textId="1D64C6C5" w:rsidR="004E7DF9" w:rsidRDefault="004E7DF9" w:rsidP="007A32AF">
            <w:pPr>
              <w:pStyle w:val="TableBody"/>
              <w:jc w:val="right"/>
            </w:pPr>
            <w:r>
              <w:t>4</w:t>
            </w:r>
          </w:p>
        </w:tc>
        <w:tc>
          <w:tcPr>
            <w:tcW w:w="1706" w:type="dxa"/>
          </w:tcPr>
          <w:p w14:paraId="0757437E" w14:textId="3CCAAFA3" w:rsidR="004E7DF9" w:rsidRDefault="004E7DF9" w:rsidP="007A32AF">
            <w:pPr>
              <w:pStyle w:val="TableBody"/>
            </w:pPr>
            <w:r>
              <w:t>dB</w:t>
            </w:r>
          </w:p>
        </w:tc>
      </w:tr>
      <w:tr w:rsidR="009C4B17" w:rsidRPr="002E390A" w14:paraId="41B9ECF7" w14:textId="77777777" w:rsidTr="009C4B17">
        <w:tc>
          <w:tcPr>
            <w:tcW w:w="3256" w:type="dxa"/>
          </w:tcPr>
          <w:p w14:paraId="5151CBB2" w14:textId="7BA06B0F" w:rsidR="009C4B17" w:rsidRPr="00AF06C8" w:rsidRDefault="009C4B17" w:rsidP="00072CCD">
            <w:pPr>
              <w:pStyle w:val="TableBody"/>
              <w:rPr>
                <w:rFonts w:eastAsiaTheme="minorHAnsi"/>
                <w:szCs w:val="22"/>
              </w:rPr>
            </w:pPr>
            <w:r>
              <w:t>T</w:t>
            </w:r>
            <w:r w:rsidRPr="008E3F19">
              <w:t>x Bandwidth</w:t>
            </w:r>
          </w:p>
        </w:tc>
        <w:tc>
          <w:tcPr>
            <w:tcW w:w="2740" w:type="dxa"/>
          </w:tcPr>
          <w:p w14:paraId="0AE3F018" w14:textId="56DD6065" w:rsidR="009C4B17" w:rsidRPr="00AF06C8" w:rsidRDefault="009C4B17" w:rsidP="00072CCD">
            <w:pPr>
              <w:pStyle w:val="TableBody"/>
              <w:jc w:val="right"/>
              <w:rPr>
                <w:rFonts w:eastAsiaTheme="minorHAnsi"/>
                <w:szCs w:val="22"/>
              </w:rPr>
            </w:pPr>
            <w:r>
              <w:t>10</w:t>
            </w:r>
          </w:p>
        </w:tc>
        <w:tc>
          <w:tcPr>
            <w:tcW w:w="1706" w:type="dxa"/>
          </w:tcPr>
          <w:p w14:paraId="657E84CF" w14:textId="05C7ED18" w:rsidR="009C4B17" w:rsidRPr="00AF06C8" w:rsidRDefault="009C4B17" w:rsidP="00072CCD">
            <w:pPr>
              <w:pStyle w:val="TableBody"/>
              <w:rPr>
                <w:rFonts w:eastAsiaTheme="minorHAnsi"/>
                <w:szCs w:val="22"/>
              </w:rPr>
            </w:pPr>
            <w:r w:rsidRPr="007873FA">
              <w:t>MHz</w:t>
            </w:r>
          </w:p>
        </w:tc>
      </w:tr>
      <w:tr w:rsidR="009C4B17" w:rsidRPr="002E390A" w14:paraId="02621AE5" w14:textId="77777777" w:rsidTr="009C4B17">
        <w:tc>
          <w:tcPr>
            <w:tcW w:w="3256" w:type="dxa"/>
          </w:tcPr>
          <w:p w14:paraId="14C48B90" w14:textId="61DF627F" w:rsidR="009C4B17" w:rsidRPr="00AF06C8" w:rsidRDefault="009C4B17" w:rsidP="00072CCD">
            <w:pPr>
              <w:pStyle w:val="TableBody"/>
              <w:rPr>
                <w:rFonts w:eastAsiaTheme="minorHAnsi"/>
                <w:szCs w:val="22"/>
              </w:rPr>
            </w:pPr>
            <w:r w:rsidRPr="008E3F19">
              <w:t xml:space="preserve">Antenna </w:t>
            </w:r>
            <w:r>
              <w:t>h</w:t>
            </w:r>
            <w:r w:rsidRPr="008E3F19">
              <w:t>eight</w:t>
            </w:r>
          </w:p>
        </w:tc>
        <w:tc>
          <w:tcPr>
            <w:tcW w:w="2740" w:type="dxa"/>
          </w:tcPr>
          <w:p w14:paraId="2A1090F4" w14:textId="14580712" w:rsidR="009C4B17" w:rsidRPr="00AF06C8" w:rsidRDefault="009C4B17" w:rsidP="00072CCD">
            <w:pPr>
              <w:pStyle w:val="TableBody"/>
              <w:jc w:val="right"/>
              <w:rPr>
                <w:rFonts w:eastAsiaTheme="minorHAnsi"/>
                <w:szCs w:val="22"/>
              </w:rPr>
            </w:pPr>
            <w:r w:rsidRPr="00CD5220">
              <w:t>30</w:t>
            </w:r>
          </w:p>
        </w:tc>
        <w:tc>
          <w:tcPr>
            <w:tcW w:w="1706" w:type="dxa"/>
          </w:tcPr>
          <w:p w14:paraId="5895B589" w14:textId="1013FE48" w:rsidR="009C4B17" w:rsidRPr="00AF06C8" w:rsidRDefault="009C4B17" w:rsidP="00072CCD">
            <w:pPr>
              <w:pStyle w:val="TableBody"/>
              <w:rPr>
                <w:rFonts w:eastAsiaTheme="minorHAnsi"/>
                <w:szCs w:val="22"/>
              </w:rPr>
            </w:pPr>
            <w:r w:rsidRPr="007873FA">
              <w:t>m</w:t>
            </w:r>
          </w:p>
        </w:tc>
      </w:tr>
      <w:tr w:rsidR="009C4B17" w:rsidRPr="002E390A" w14:paraId="552C2F3E" w14:textId="77777777" w:rsidTr="009C4B17">
        <w:tc>
          <w:tcPr>
            <w:tcW w:w="3256" w:type="dxa"/>
          </w:tcPr>
          <w:p w14:paraId="08AE79AB" w14:textId="6A0EC13B" w:rsidR="009C4B17" w:rsidRPr="00AF06C8" w:rsidRDefault="009C4B17" w:rsidP="00072CCD">
            <w:pPr>
              <w:pStyle w:val="TableBody"/>
              <w:rPr>
                <w:rFonts w:eastAsiaTheme="minorHAnsi"/>
                <w:szCs w:val="22"/>
              </w:rPr>
            </w:pPr>
            <w:r w:rsidRPr="008E3F19">
              <w:t xml:space="preserve">Adaptive </w:t>
            </w:r>
            <w:r>
              <w:t>t</w:t>
            </w:r>
            <w:r w:rsidRPr="008E3F19">
              <w:t xml:space="preserve">ransmit </w:t>
            </w:r>
            <w:r>
              <w:t>p</w:t>
            </w:r>
            <w:r w:rsidRPr="008E3F19">
              <w:t xml:space="preserve">ower </w:t>
            </w:r>
            <w:r>
              <w:t>c</w:t>
            </w:r>
            <w:r w:rsidRPr="008E3F19">
              <w:t>ontrol</w:t>
            </w:r>
          </w:p>
        </w:tc>
        <w:tc>
          <w:tcPr>
            <w:tcW w:w="2740" w:type="dxa"/>
          </w:tcPr>
          <w:p w14:paraId="10019AC2" w14:textId="58EB8491" w:rsidR="009C4B17" w:rsidRPr="001052CA" w:rsidRDefault="009C4B17" w:rsidP="00072CCD">
            <w:pPr>
              <w:pStyle w:val="TableBody"/>
              <w:jc w:val="right"/>
              <w:rPr>
                <w:rFonts w:eastAsiaTheme="minorHAnsi"/>
                <w:i/>
                <w:iCs/>
                <w:szCs w:val="22"/>
              </w:rPr>
            </w:pPr>
            <w:r w:rsidRPr="00CD5220">
              <w:t>enabled</w:t>
            </w:r>
          </w:p>
        </w:tc>
        <w:tc>
          <w:tcPr>
            <w:tcW w:w="1706" w:type="dxa"/>
          </w:tcPr>
          <w:p w14:paraId="289AC960" w14:textId="5E499746" w:rsidR="009C4B17" w:rsidRPr="001052CA" w:rsidRDefault="009C4B17" w:rsidP="00072CCD">
            <w:pPr>
              <w:pStyle w:val="TableBody"/>
              <w:rPr>
                <w:rFonts w:eastAsiaTheme="minorHAnsi"/>
                <w:i/>
                <w:iCs/>
                <w:szCs w:val="22"/>
              </w:rPr>
            </w:pPr>
            <w:r>
              <w:rPr>
                <w:rFonts w:eastAsiaTheme="minorHAnsi"/>
                <w:szCs w:val="22"/>
              </w:rPr>
              <w:t>—</w:t>
            </w:r>
          </w:p>
        </w:tc>
      </w:tr>
      <w:tr w:rsidR="009C4B17" w:rsidRPr="002E390A" w14:paraId="60DB9AE2" w14:textId="77777777" w:rsidTr="009C4B17">
        <w:tc>
          <w:tcPr>
            <w:tcW w:w="3256" w:type="dxa"/>
          </w:tcPr>
          <w:p w14:paraId="1B1D4B09" w14:textId="3F3487D9" w:rsidR="009C4B17" w:rsidRPr="00AF06C8" w:rsidRDefault="009C4B17" w:rsidP="00072CCD">
            <w:pPr>
              <w:pStyle w:val="TableBody"/>
              <w:rPr>
                <w:rFonts w:eastAsiaTheme="minorHAnsi"/>
                <w:szCs w:val="22"/>
              </w:rPr>
            </w:pPr>
            <w:r>
              <w:t>Maximum out of band EIRP: 1920 – 1980 MHz</w:t>
            </w:r>
          </w:p>
        </w:tc>
        <w:tc>
          <w:tcPr>
            <w:tcW w:w="2740" w:type="dxa"/>
          </w:tcPr>
          <w:p w14:paraId="6439D241" w14:textId="370F137D" w:rsidR="009C4B17" w:rsidRPr="00AF06C8" w:rsidRDefault="009C4B17" w:rsidP="00072CCD">
            <w:pPr>
              <w:pStyle w:val="TableBody"/>
              <w:jc w:val="right"/>
              <w:rPr>
                <w:rFonts w:eastAsiaTheme="minorHAnsi"/>
                <w:szCs w:val="22"/>
              </w:rPr>
            </w:pPr>
            <w:r>
              <w:rPr>
                <w:rFonts w:eastAsiaTheme="minorHAnsi"/>
                <w:szCs w:val="22"/>
              </w:rPr>
              <w:t>-40</w:t>
            </w:r>
          </w:p>
        </w:tc>
        <w:tc>
          <w:tcPr>
            <w:tcW w:w="1706" w:type="dxa"/>
          </w:tcPr>
          <w:p w14:paraId="194400B3" w14:textId="25902AA0" w:rsidR="009C4B17" w:rsidRPr="00AF06C8" w:rsidRDefault="009C4B17" w:rsidP="00072CCD">
            <w:pPr>
              <w:pStyle w:val="TableBody"/>
              <w:rPr>
                <w:rFonts w:eastAsiaTheme="minorHAnsi"/>
                <w:szCs w:val="22"/>
              </w:rPr>
            </w:pPr>
            <w:r>
              <w:t>dBm/10 MHz</w:t>
            </w:r>
          </w:p>
        </w:tc>
      </w:tr>
      <w:tr w:rsidR="009C4B17" w:rsidRPr="002E390A" w14:paraId="31807A6B" w14:textId="77777777" w:rsidTr="009C4B17">
        <w:tc>
          <w:tcPr>
            <w:tcW w:w="3256" w:type="dxa"/>
          </w:tcPr>
          <w:p w14:paraId="719D24DA" w14:textId="1255D8D6" w:rsidR="009C4B17" w:rsidRPr="00AF06C8" w:rsidRDefault="009C4B17" w:rsidP="009C4B17">
            <w:pPr>
              <w:pStyle w:val="TableBody"/>
              <w:rPr>
                <w:rFonts w:eastAsiaTheme="minorHAnsi"/>
                <w:szCs w:val="22"/>
              </w:rPr>
            </w:pPr>
          </w:p>
        </w:tc>
        <w:tc>
          <w:tcPr>
            <w:tcW w:w="2740" w:type="dxa"/>
          </w:tcPr>
          <w:p w14:paraId="56245C90" w14:textId="2E2E9034" w:rsidR="009C4B17" w:rsidRPr="00AF06C8" w:rsidRDefault="009C4B17" w:rsidP="009C4B17">
            <w:pPr>
              <w:pStyle w:val="TableBody"/>
              <w:jc w:val="right"/>
              <w:rPr>
                <w:rFonts w:eastAsiaTheme="minorHAnsi"/>
                <w:szCs w:val="22"/>
              </w:rPr>
            </w:pPr>
          </w:p>
        </w:tc>
        <w:tc>
          <w:tcPr>
            <w:tcW w:w="1706" w:type="dxa"/>
          </w:tcPr>
          <w:p w14:paraId="4BFFDAFA" w14:textId="4643B2C9" w:rsidR="009C4B17" w:rsidRPr="00AF06C8" w:rsidRDefault="009C4B17" w:rsidP="009C4B17">
            <w:pPr>
              <w:pStyle w:val="TableBody"/>
              <w:rPr>
                <w:rFonts w:eastAsiaTheme="minorHAnsi"/>
                <w:szCs w:val="22"/>
              </w:rPr>
            </w:pPr>
          </w:p>
        </w:tc>
      </w:tr>
    </w:tbl>
    <w:p w14:paraId="29412C92" w14:textId="56C89F2F" w:rsidR="009C4B17" w:rsidRDefault="009C4B17" w:rsidP="00AB7FE5">
      <w:r>
        <w:br/>
      </w:r>
    </w:p>
    <w:p w14:paraId="698FB387" w14:textId="77777777" w:rsidR="009C4B17" w:rsidRDefault="009C4B17">
      <w:pPr>
        <w:spacing w:after="0" w:line="240" w:lineRule="auto"/>
      </w:pPr>
      <w:r>
        <w:br w:type="page"/>
      </w:r>
    </w:p>
    <w:p w14:paraId="01A94BAB" w14:textId="77777777" w:rsidR="00AB7FE5" w:rsidRDefault="00AB7FE5" w:rsidP="00AB7FE5"/>
    <w:p w14:paraId="4457ABB7" w14:textId="38166E42" w:rsidR="00AB7FE5" w:rsidRDefault="00AB7FE5" w:rsidP="00AB7FE5">
      <w:pPr>
        <w:pStyle w:val="Caption-table"/>
      </w:pPr>
      <w:bookmarkStart w:id="175" w:name="tableE2"/>
      <w:r>
        <w:t>Table E2</w:t>
      </w:r>
      <w:bookmarkEnd w:id="175"/>
      <w:r>
        <w:t xml:space="preserve">:  </w:t>
      </w:r>
      <w:r w:rsidR="00541025">
        <w:t>RMR</w:t>
      </w:r>
      <w:r>
        <w:t xml:space="preserve"> </w:t>
      </w:r>
      <w:r w:rsidR="0059560D">
        <w:t>mobile</w:t>
      </w:r>
      <w:r>
        <w:t xml:space="preserve"> station deployment parameters.</w:t>
      </w:r>
    </w:p>
    <w:tbl>
      <w:tblPr>
        <w:tblW w:w="7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56"/>
        <w:gridCol w:w="2740"/>
        <w:gridCol w:w="1706"/>
      </w:tblGrid>
      <w:tr w:rsidR="009C4B17" w:rsidRPr="002E390A" w14:paraId="5644BA99" w14:textId="77777777" w:rsidTr="007A32AF">
        <w:trPr>
          <w:tblHeader/>
        </w:trPr>
        <w:tc>
          <w:tcPr>
            <w:tcW w:w="3256" w:type="dxa"/>
            <w:shd w:val="clear" w:color="auto" w:fill="D9D9D9"/>
          </w:tcPr>
          <w:p w14:paraId="66795B9B" w14:textId="72EAEDEA" w:rsidR="009C4B17" w:rsidRPr="00AF06C8" w:rsidRDefault="0059560D" w:rsidP="007A32AF">
            <w:pPr>
              <w:pStyle w:val="TableHeading"/>
              <w:spacing w:line="240" w:lineRule="auto"/>
              <w:rPr>
                <w:rFonts w:eastAsiaTheme="minorHAnsi"/>
                <w:szCs w:val="22"/>
              </w:rPr>
            </w:pPr>
            <w:r>
              <w:t>Mobile</w:t>
            </w:r>
            <w:r w:rsidR="009C4B17" w:rsidRPr="00EF5003">
              <w:t xml:space="preserve"> station Parameter</w:t>
            </w:r>
          </w:p>
        </w:tc>
        <w:tc>
          <w:tcPr>
            <w:tcW w:w="2740" w:type="dxa"/>
            <w:shd w:val="clear" w:color="auto" w:fill="D9D9D9"/>
          </w:tcPr>
          <w:p w14:paraId="58BC3F52" w14:textId="77777777" w:rsidR="009C4B17" w:rsidRPr="00AF06C8" w:rsidRDefault="009C4B17" w:rsidP="007A32AF">
            <w:pPr>
              <w:pStyle w:val="TableHeading"/>
              <w:spacing w:line="240" w:lineRule="auto"/>
              <w:rPr>
                <w:rFonts w:eastAsiaTheme="minorHAnsi"/>
                <w:szCs w:val="22"/>
              </w:rPr>
            </w:pPr>
            <w:r w:rsidRPr="00EF5003">
              <w:t xml:space="preserve">Deployment model </w:t>
            </w:r>
            <w:r>
              <w:t>v</w:t>
            </w:r>
            <w:r w:rsidRPr="00EF5003">
              <w:t>alue</w:t>
            </w:r>
          </w:p>
        </w:tc>
        <w:tc>
          <w:tcPr>
            <w:tcW w:w="1706" w:type="dxa"/>
            <w:shd w:val="clear" w:color="auto" w:fill="D9D9D9"/>
          </w:tcPr>
          <w:p w14:paraId="48D609DA" w14:textId="77777777" w:rsidR="009C4B17" w:rsidRPr="00AF06C8" w:rsidRDefault="009C4B17" w:rsidP="007A32AF">
            <w:pPr>
              <w:pStyle w:val="TableHeading"/>
              <w:spacing w:line="240" w:lineRule="auto"/>
              <w:rPr>
                <w:rFonts w:eastAsiaTheme="minorHAnsi"/>
                <w:szCs w:val="22"/>
              </w:rPr>
            </w:pPr>
            <w:r w:rsidRPr="00EF5003">
              <w:t>Unit</w:t>
            </w:r>
          </w:p>
        </w:tc>
      </w:tr>
      <w:tr w:rsidR="009C4B17" w:rsidRPr="002E390A" w14:paraId="7780FBC5" w14:textId="77777777" w:rsidTr="007A32AF">
        <w:tc>
          <w:tcPr>
            <w:tcW w:w="7702" w:type="dxa"/>
            <w:gridSpan w:val="3"/>
          </w:tcPr>
          <w:p w14:paraId="7079460B" w14:textId="13F111ED" w:rsidR="009C4B17" w:rsidRDefault="009C4B17" w:rsidP="007A32AF">
            <w:pPr>
              <w:pStyle w:val="TableBody"/>
            </w:pPr>
            <w:r>
              <w:t>Cab radio</w:t>
            </w:r>
          </w:p>
        </w:tc>
      </w:tr>
      <w:tr w:rsidR="009C4B17" w:rsidRPr="002E390A" w14:paraId="03F99109" w14:textId="77777777" w:rsidTr="007A32AF">
        <w:tc>
          <w:tcPr>
            <w:tcW w:w="3256" w:type="dxa"/>
          </w:tcPr>
          <w:p w14:paraId="25B76796" w14:textId="437D2099" w:rsidR="009C4B17" w:rsidRPr="00591A0B" w:rsidRDefault="009C4B17" w:rsidP="007A32AF">
            <w:pPr>
              <w:pStyle w:val="TableBody"/>
              <w:rPr>
                <w:rFonts w:eastAsiaTheme="minorHAnsi"/>
                <w:szCs w:val="22"/>
              </w:rPr>
            </w:pPr>
            <w:r>
              <w:t xml:space="preserve">Maximum in band </w:t>
            </w:r>
            <w:r w:rsidR="00D81574">
              <w:t>total radiated power</w:t>
            </w:r>
          </w:p>
        </w:tc>
        <w:tc>
          <w:tcPr>
            <w:tcW w:w="2740" w:type="dxa"/>
          </w:tcPr>
          <w:p w14:paraId="080D9D78" w14:textId="4B763D4F" w:rsidR="009C4B17" w:rsidRPr="00B73065" w:rsidRDefault="009C4B17" w:rsidP="007A32AF">
            <w:pPr>
              <w:pStyle w:val="TableBody"/>
              <w:jc w:val="right"/>
              <w:rPr>
                <w:rFonts w:eastAsiaTheme="minorHAnsi"/>
                <w:szCs w:val="22"/>
              </w:rPr>
            </w:pPr>
            <w:r>
              <w:t>31</w:t>
            </w:r>
          </w:p>
        </w:tc>
        <w:tc>
          <w:tcPr>
            <w:tcW w:w="1706" w:type="dxa"/>
          </w:tcPr>
          <w:p w14:paraId="0D5EAC02" w14:textId="77777777" w:rsidR="009C4B17" w:rsidRPr="00B73065" w:rsidRDefault="009C4B17" w:rsidP="007A32AF">
            <w:pPr>
              <w:pStyle w:val="TableBody"/>
              <w:rPr>
                <w:rFonts w:eastAsiaTheme="minorHAnsi"/>
                <w:szCs w:val="22"/>
              </w:rPr>
            </w:pPr>
            <w:r>
              <w:t>dBm/10 MHz</w:t>
            </w:r>
          </w:p>
        </w:tc>
      </w:tr>
      <w:tr w:rsidR="009C4B17" w:rsidRPr="002E390A" w14:paraId="732581BB" w14:textId="77777777" w:rsidTr="007A32AF">
        <w:tc>
          <w:tcPr>
            <w:tcW w:w="3256" w:type="dxa"/>
          </w:tcPr>
          <w:p w14:paraId="183DC49D" w14:textId="77777777" w:rsidR="009C4B17" w:rsidRPr="00AF06C8" w:rsidRDefault="009C4B17" w:rsidP="007A32AF">
            <w:pPr>
              <w:pStyle w:val="TableBody"/>
              <w:rPr>
                <w:rFonts w:eastAsiaTheme="minorHAnsi"/>
                <w:szCs w:val="22"/>
              </w:rPr>
            </w:pPr>
            <w:r>
              <w:t>T</w:t>
            </w:r>
            <w:r w:rsidRPr="008E3F19">
              <w:t>x Bandwidth</w:t>
            </w:r>
          </w:p>
        </w:tc>
        <w:tc>
          <w:tcPr>
            <w:tcW w:w="2740" w:type="dxa"/>
          </w:tcPr>
          <w:p w14:paraId="14AC734F" w14:textId="77777777" w:rsidR="009C4B17" w:rsidRPr="00AF06C8" w:rsidRDefault="009C4B17" w:rsidP="007A32AF">
            <w:pPr>
              <w:pStyle w:val="TableBody"/>
              <w:jc w:val="right"/>
              <w:rPr>
                <w:rFonts w:eastAsiaTheme="minorHAnsi"/>
                <w:szCs w:val="22"/>
              </w:rPr>
            </w:pPr>
            <w:r>
              <w:t>10</w:t>
            </w:r>
          </w:p>
        </w:tc>
        <w:tc>
          <w:tcPr>
            <w:tcW w:w="1706" w:type="dxa"/>
          </w:tcPr>
          <w:p w14:paraId="36D060FC" w14:textId="77777777" w:rsidR="009C4B17" w:rsidRPr="00AF06C8" w:rsidRDefault="009C4B17" w:rsidP="007A32AF">
            <w:pPr>
              <w:pStyle w:val="TableBody"/>
              <w:rPr>
                <w:rFonts w:eastAsiaTheme="minorHAnsi"/>
                <w:szCs w:val="22"/>
              </w:rPr>
            </w:pPr>
            <w:r w:rsidRPr="007873FA">
              <w:t>MHz</w:t>
            </w:r>
          </w:p>
        </w:tc>
      </w:tr>
      <w:tr w:rsidR="009C4B17" w:rsidRPr="002E390A" w14:paraId="5DB35863" w14:textId="77777777" w:rsidTr="007A32AF">
        <w:tc>
          <w:tcPr>
            <w:tcW w:w="3256" w:type="dxa"/>
          </w:tcPr>
          <w:p w14:paraId="00EEC924" w14:textId="77777777" w:rsidR="009C4B17" w:rsidRPr="00AF06C8" w:rsidRDefault="009C4B17" w:rsidP="007A32AF">
            <w:pPr>
              <w:pStyle w:val="TableBody"/>
              <w:rPr>
                <w:rFonts w:eastAsiaTheme="minorHAnsi"/>
                <w:szCs w:val="22"/>
              </w:rPr>
            </w:pPr>
            <w:r w:rsidRPr="008E3F19">
              <w:t xml:space="preserve">Antenna </w:t>
            </w:r>
            <w:r>
              <w:t>h</w:t>
            </w:r>
            <w:r w:rsidRPr="008E3F19">
              <w:t>eight</w:t>
            </w:r>
          </w:p>
        </w:tc>
        <w:tc>
          <w:tcPr>
            <w:tcW w:w="2740" w:type="dxa"/>
          </w:tcPr>
          <w:p w14:paraId="63A71443" w14:textId="1F6F99E2" w:rsidR="009C4B17" w:rsidRPr="00AF06C8" w:rsidRDefault="004E7DF9" w:rsidP="007A32AF">
            <w:pPr>
              <w:pStyle w:val="TableBody"/>
              <w:jc w:val="right"/>
              <w:rPr>
                <w:rFonts w:eastAsiaTheme="minorHAnsi"/>
                <w:szCs w:val="22"/>
              </w:rPr>
            </w:pPr>
            <w:r>
              <w:t>5</w:t>
            </w:r>
          </w:p>
        </w:tc>
        <w:tc>
          <w:tcPr>
            <w:tcW w:w="1706" w:type="dxa"/>
          </w:tcPr>
          <w:p w14:paraId="1BC1324C" w14:textId="77777777" w:rsidR="009C4B17" w:rsidRPr="00AF06C8" w:rsidRDefault="009C4B17" w:rsidP="007A32AF">
            <w:pPr>
              <w:pStyle w:val="TableBody"/>
              <w:rPr>
                <w:rFonts w:eastAsiaTheme="minorHAnsi"/>
                <w:szCs w:val="22"/>
              </w:rPr>
            </w:pPr>
            <w:r w:rsidRPr="007873FA">
              <w:t>m</w:t>
            </w:r>
          </w:p>
        </w:tc>
      </w:tr>
      <w:tr w:rsidR="009C4B17" w:rsidRPr="002E390A" w14:paraId="0A01EF6C" w14:textId="77777777" w:rsidTr="007A32AF">
        <w:tc>
          <w:tcPr>
            <w:tcW w:w="3256" w:type="dxa"/>
          </w:tcPr>
          <w:p w14:paraId="4452B272" w14:textId="7896ADBE" w:rsidR="009C4B17" w:rsidRPr="00AF06C8" w:rsidRDefault="009C4B17" w:rsidP="007A32AF">
            <w:pPr>
              <w:pStyle w:val="TableBody"/>
              <w:rPr>
                <w:rFonts w:eastAsiaTheme="minorHAnsi"/>
                <w:szCs w:val="22"/>
              </w:rPr>
            </w:pPr>
            <w:r w:rsidRPr="008E3F19">
              <w:t xml:space="preserve">Adaptive </w:t>
            </w:r>
            <w:r>
              <w:t>t</w:t>
            </w:r>
            <w:r w:rsidRPr="008E3F19">
              <w:t xml:space="preserve">ransmit </w:t>
            </w:r>
            <w:r>
              <w:t>p</w:t>
            </w:r>
            <w:r w:rsidRPr="008E3F19">
              <w:t xml:space="preserve">ower </w:t>
            </w:r>
            <w:r>
              <w:t>c</w:t>
            </w:r>
            <w:r w:rsidRPr="008E3F19">
              <w:t>ontrol</w:t>
            </w:r>
          </w:p>
        </w:tc>
        <w:tc>
          <w:tcPr>
            <w:tcW w:w="2740" w:type="dxa"/>
          </w:tcPr>
          <w:p w14:paraId="33948925" w14:textId="77777777" w:rsidR="009C4B17" w:rsidRPr="001052CA" w:rsidRDefault="009C4B17" w:rsidP="007A32AF">
            <w:pPr>
              <w:pStyle w:val="TableBody"/>
              <w:jc w:val="right"/>
              <w:rPr>
                <w:rFonts w:eastAsiaTheme="minorHAnsi"/>
                <w:i/>
                <w:iCs/>
                <w:szCs w:val="22"/>
              </w:rPr>
            </w:pPr>
            <w:r w:rsidRPr="00CD5220">
              <w:t>enabled</w:t>
            </w:r>
          </w:p>
        </w:tc>
        <w:tc>
          <w:tcPr>
            <w:tcW w:w="1706" w:type="dxa"/>
          </w:tcPr>
          <w:p w14:paraId="645E2017" w14:textId="77777777" w:rsidR="009C4B17" w:rsidRPr="001052CA" w:rsidRDefault="009C4B17" w:rsidP="007A32AF">
            <w:pPr>
              <w:pStyle w:val="TableBody"/>
              <w:rPr>
                <w:rFonts w:eastAsiaTheme="minorHAnsi"/>
                <w:i/>
                <w:iCs/>
                <w:szCs w:val="22"/>
              </w:rPr>
            </w:pPr>
            <w:r>
              <w:rPr>
                <w:rFonts w:eastAsiaTheme="minorHAnsi"/>
                <w:szCs w:val="22"/>
              </w:rPr>
              <w:t>—</w:t>
            </w:r>
          </w:p>
        </w:tc>
      </w:tr>
      <w:tr w:rsidR="009C4B17" w:rsidRPr="002E390A" w14:paraId="7E326E62" w14:textId="77777777" w:rsidTr="007A32AF">
        <w:tc>
          <w:tcPr>
            <w:tcW w:w="3256" w:type="dxa"/>
          </w:tcPr>
          <w:p w14:paraId="074AA647" w14:textId="25CFA18A" w:rsidR="009C4B17" w:rsidRPr="00AF06C8" w:rsidRDefault="009C4B17" w:rsidP="007A32AF">
            <w:pPr>
              <w:pStyle w:val="TableBody"/>
              <w:rPr>
                <w:rFonts w:eastAsiaTheme="minorHAnsi"/>
                <w:szCs w:val="22"/>
              </w:rPr>
            </w:pPr>
            <w:r>
              <w:t>Maximum out of band EIRP: 1920 – 19</w:t>
            </w:r>
            <w:r w:rsidR="001C7FD8">
              <w:t>25</w:t>
            </w:r>
            <w:r>
              <w:t xml:space="preserve"> MHz</w:t>
            </w:r>
          </w:p>
        </w:tc>
        <w:tc>
          <w:tcPr>
            <w:tcW w:w="2740" w:type="dxa"/>
          </w:tcPr>
          <w:p w14:paraId="55D9B36E" w14:textId="6AA96C15" w:rsidR="009C4B17" w:rsidRPr="00AF06C8" w:rsidRDefault="009C4B17" w:rsidP="007A32AF">
            <w:pPr>
              <w:pStyle w:val="TableBody"/>
              <w:jc w:val="right"/>
              <w:rPr>
                <w:rFonts w:eastAsiaTheme="minorHAnsi"/>
                <w:szCs w:val="22"/>
              </w:rPr>
            </w:pPr>
            <w:r>
              <w:rPr>
                <w:rFonts w:eastAsiaTheme="minorHAnsi"/>
                <w:szCs w:val="22"/>
              </w:rPr>
              <w:t>-</w:t>
            </w:r>
            <w:r w:rsidR="001C7FD8">
              <w:rPr>
                <w:rFonts w:eastAsiaTheme="minorHAnsi"/>
                <w:szCs w:val="22"/>
              </w:rPr>
              <w:t>25</w:t>
            </w:r>
          </w:p>
        </w:tc>
        <w:tc>
          <w:tcPr>
            <w:tcW w:w="1706" w:type="dxa"/>
          </w:tcPr>
          <w:p w14:paraId="1BC5614C" w14:textId="77777777" w:rsidR="009C4B17" w:rsidRPr="00AF06C8" w:rsidRDefault="009C4B17" w:rsidP="007A32AF">
            <w:pPr>
              <w:pStyle w:val="TableBody"/>
              <w:rPr>
                <w:rFonts w:eastAsiaTheme="minorHAnsi"/>
                <w:szCs w:val="22"/>
              </w:rPr>
            </w:pPr>
            <w:r>
              <w:t>dBm/10 MHz</w:t>
            </w:r>
          </w:p>
        </w:tc>
      </w:tr>
      <w:tr w:rsidR="001C7FD8" w:rsidRPr="002E390A" w14:paraId="25D95C80" w14:textId="77777777" w:rsidTr="007A32AF">
        <w:tc>
          <w:tcPr>
            <w:tcW w:w="3256" w:type="dxa"/>
          </w:tcPr>
          <w:p w14:paraId="3566A3CC" w14:textId="19A3DFB1" w:rsidR="001C7FD8" w:rsidRDefault="001C7FD8" w:rsidP="001C7FD8">
            <w:pPr>
              <w:pStyle w:val="TableBody"/>
            </w:pPr>
            <w:r>
              <w:t>Maximum out of band EIRP: 1925 – 1980 MHz</w:t>
            </w:r>
          </w:p>
        </w:tc>
        <w:tc>
          <w:tcPr>
            <w:tcW w:w="2740" w:type="dxa"/>
          </w:tcPr>
          <w:p w14:paraId="3DA6A9EB" w14:textId="68BDD549" w:rsidR="001C7FD8" w:rsidRDefault="001C7FD8" w:rsidP="001C7FD8">
            <w:pPr>
              <w:pStyle w:val="TableBody"/>
              <w:jc w:val="right"/>
              <w:rPr>
                <w:rFonts w:eastAsiaTheme="minorHAnsi"/>
                <w:szCs w:val="22"/>
              </w:rPr>
            </w:pPr>
            <w:r>
              <w:rPr>
                <w:rFonts w:eastAsiaTheme="minorHAnsi"/>
                <w:szCs w:val="22"/>
              </w:rPr>
              <w:t>-30</w:t>
            </w:r>
          </w:p>
        </w:tc>
        <w:tc>
          <w:tcPr>
            <w:tcW w:w="1706" w:type="dxa"/>
          </w:tcPr>
          <w:p w14:paraId="3DD169EC" w14:textId="00FCE89A" w:rsidR="001C7FD8" w:rsidRDefault="001C7FD8" w:rsidP="001C7FD8">
            <w:pPr>
              <w:pStyle w:val="TableBody"/>
            </w:pPr>
            <w:r>
              <w:t>dBm/10 MHz</w:t>
            </w:r>
          </w:p>
        </w:tc>
      </w:tr>
      <w:tr w:rsidR="001C7FD8" w:rsidRPr="002E390A" w14:paraId="09D06304" w14:textId="77777777" w:rsidTr="007A32AF">
        <w:tc>
          <w:tcPr>
            <w:tcW w:w="3256" w:type="dxa"/>
          </w:tcPr>
          <w:p w14:paraId="6FC19445" w14:textId="77777777" w:rsidR="001C7FD8" w:rsidRPr="00AF06C8" w:rsidRDefault="001C7FD8" w:rsidP="001C7FD8">
            <w:pPr>
              <w:pStyle w:val="TableBody"/>
              <w:rPr>
                <w:rFonts w:eastAsiaTheme="minorHAnsi"/>
                <w:szCs w:val="22"/>
              </w:rPr>
            </w:pPr>
            <w:r>
              <w:t>Maximum out of band EIRP: 1880 – 1920 MHz</w:t>
            </w:r>
          </w:p>
        </w:tc>
        <w:tc>
          <w:tcPr>
            <w:tcW w:w="2740" w:type="dxa"/>
          </w:tcPr>
          <w:p w14:paraId="7061FFD8" w14:textId="3BC052E5" w:rsidR="001C7FD8" w:rsidRPr="00AF06C8" w:rsidRDefault="001C7FD8" w:rsidP="001C7FD8">
            <w:pPr>
              <w:pStyle w:val="TableBody"/>
              <w:jc w:val="right"/>
              <w:rPr>
                <w:rFonts w:eastAsiaTheme="minorHAnsi"/>
                <w:szCs w:val="22"/>
              </w:rPr>
            </w:pPr>
            <w:r>
              <w:rPr>
                <w:rFonts w:eastAsiaTheme="minorHAnsi"/>
                <w:szCs w:val="22"/>
              </w:rPr>
              <w:t>-2</w:t>
            </w:r>
          </w:p>
        </w:tc>
        <w:tc>
          <w:tcPr>
            <w:tcW w:w="1706" w:type="dxa"/>
          </w:tcPr>
          <w:p w14:paraId="7AA0E725" w14:textId="77777777" w:rsidR="001C7FD8" w:rsidRPr="00AF06C8" w:rsidRDefault="001C7FD8" w:rsidP="001C7FD8">
            <w:pPr>
              <w:pStyle w:val="TableBody"/>
              <w:rPr>
                <w:rFonts w:eastAsiaTheme="minorHAnsi"/>
                <w:szCs w:val="22"/>
              </w:rPr>
            </w:pPr>
            <w:r>
              <w:t>dBm/10 MHz</w:t>
            </w:r>
          </w:p>
        </w:tc>
      </w:tr>
      <w:tr w:rsidR="001C7FD8" w:rsidRPr="002E390A" w14:paraId="5D1173EE" w14:textId="77777777" w:rsidTr="007A32AF">
        <w:tc>
          <w:tcPr>
            <w:tcW w:w="3256" w:type="dxa"/>
          </w:tcPr>
          <w:p w14:paraId="1A734B93" w14:textId="77777777" w:rsidR="001C7FD8" w:rsidRPr="00AF06C8" w:rsidRDefault="001C7FD8" w:rsidP="001C7FD8">
            <w:pPr>
              <w:pStyle w:val="TableBody"/>
              <w:rPr>
                <w:rFonts w:eastAsiaTheme="minorHAnsi"/>
                <w:szCs w:val="22"/>
              </w:rPr>
            </w:pPr>
          </w:p>
        </w:tc>
        <w:tc>
          <w:tcPr>
            <w:tcW w:w="2740" w:type="dxa"/>
          </w:tcPr>
          <w:p w14:paraId="542705F1" w14:textId="77777777" w:rsidR="001C7FD8" w:rsidRPr="00AF06C8" w:rsidRDefault="001C7FD8" w:rsidP="001C7FD8">
            <w:pPr>
              <w:pStyle w:val="TableBody"/>
              <w:jc w:val="right"/>
              <w:rPr>
                <w:rFonts w:eastAsiaTheme="minorHAnsi"/>
                <w:szCs w:val="22"/>
              </w:rPr>
            </w:pPr>
          </w:p>
        </w:tc>
        <w:tc>
          <w:tcPr>
            <w:tcW w:w="1706" w:type="dxa"/>
          </w:tcPr>
          <w:p w14:paraId="781BC996" w14:textId="77777777" w:rsidR="001C7FD8" w:rsidRPr="00AF06C8" w:rsidRDefault="001C7FD8" w:rsidP="001C7FD8">
            <w:pPr>
              <w:pStyle w:val="TableBody"/>
              <w:rPr>
                <w:rFonts w:eastAsiaTheme="minorHAnsi"/>
                <w:szCs w:val="22"/>
              </w:rPr>
            </w:pPr>
          </w:p>
        </w:tc>
      </w:tr>
      <w:tr w:rsidR="001C7FD8" w:rsidRPr="002E390A" w14:paraId="31681E6B" w14:textId="77777777" w:rsidTr="007A32AF">
        <w:tc>
          <w:tcPr>
            <w:tcW w:w="7702" w:type="dxa"/>
            <w:gridSpan w:val="3"/>
          </w:tcPr>
          <w:p w14:paraId="37F44782" w14:textId="175E2C31" w:rsidR="001C7FD8" w:rsidRPr="00AF06C8" w:rsidRDefault="001C7FD8" w:rsidP="001C7FD8">
            <w:pPr>
              <w:pStyle w:val="TableBody"/>
              <w:rPr>
                <w:rFonts w:eastAsiaTheme="minorHAnsi"/>
                <w:szCs w:val="22"/>
              </w:rPr>
            </w:pPr>
            <w:r w:rsidRPr="001C7FD8">
              <w:rPr>
                <w:rFonts w:eastAsiaTheme="minorHAnsi"/>
                <w:szCs w:val="22"/>
              </w:rPr>
              <w:t>Railway Mobile Radio Terminal</w:t>
            </w:r>
          </w:p>
        </w:tc>
      </w:tr>
      <w:tr w:rsidR="001C7FD8" w:rsidRPr="002E390A" w14:paraId="4C0E3FB0" w14:textId="77777777" w:rsidTr="007A32AF">
        <w:tc>
          <w:tcPr>
            <w:tcW w:w="3256" w:type="dxa"/>
          </w:tcPr>
          <w:p w14:paraId="6C0AE876" w14:textId="3FF0558A" w:rsidR="001C7FD8" w:rsidRPr="00AF06C8" w:rsidRDefault="001C7FD8" w:rsidP="001C7FD8">
            <w:pPr>
              <w:pStyle w:val="TableBody"/>
              <w:rPr>
                <w:rFonts w:eastAsiaTheme="minorHAnsi"/>
                <w:szCs w:val="22"/>
              </w:rPr>
            </w:pPr>
            <w:r>
              <w:t>Maximum in band EIRP</w:t>
            </w:r>
          </w:p>
        </w:tc>
        <w:tc>
          <w:tcPr>
            <w:tcW w:w="2740" w:type="dxa"/>
          </w:tcPr>
          <w:p w14:paraId="7984D918" w14:textId="67BE0BE6" w:rsidR="001C7FD8" w:rsidRPr="00AF06C8" w:rsidRDefault="001C7FD8" w:rsidP="001C7FD8">
            <w:pPr>
              <w:pStyle w:val="TableBody"/>
              <w:jc w:val="right"/>
              <w:rPr>
                <w:rFonts w:eastAsiaTheme="minorHAnsi"/>
                <w:szCs w:val="22"/>
              </w:rPr>
            </w:pPr>
            <w:r>
              <w:t>23</w:t>
            </w:r>
          </w:p>
        </w:tc>
        <w:tc>
          <w:tcPr>
            <w:tcW w:w="1706" w:type="dxa"/>
          </w:tcPr>
          <w:p w14:paraId="78897303" w14:textId="7D3A117F" w:rsidR="001C7FD8" w:rsidRPr="00AF06C8" w:rsidRDefault="001C7FD8" w:rsidP="001C7FD8">
            <w:pPr>
              <w:pStyle w:val="TableBody"/>
              <w:rPr>
                <w:rFonts w:eastAsiaTheme="minorHAnsi"/>
                <w:szCs w:val="22"/>
              </w:rPr>
            </w:pPr>
            <w:r>
              <w:t>dBm/10 MHz</w:t>
            </w:r>
          </w:p>
        </w:tc>
      </w:tr>
    </w:tbl>
    <w:p w14:paraId="4469B6B4" w14:textId="77777777" w:rsidR="009C4B17" w:rsidRDefault="009C4B17" w:rsidP="009C4B17"/>
    <w:p w14:paraId="0A9A2FAD" w14:textId="77777777" w:rsidR="00AB7FE5" w:rsidRDefault="00AB7FE5" w:rsidP="000B2B00">
      <w:pPr>
        <w:pStyle w:val="AppendixH2"/>
        <w:numPr>
          <w:ilvl w:val="1"/>
          <w:numId w:val="14"/>
        </w:numPr>
        <w:tabs>
          <w:tab w:val="clear" w:pos="680"/>
          <w:tab w:val="num" w:pos="1440"/>
        </w:tabs>
        <w:ind w:left="1440" w:hanging="720"/>
      </w:pPr>
      <w:bookmarkStart w:id="176" w:name="_Toc134081807"/>
      <w:bookmarkStart w:id="177" w:name="_Toc207286303"/>
      <w:bookmarkStart w:id="178" w:name="_Toc233192940"/>
      <w:r>
        <w:t>Emission masks</w:t>
      </w:r>
      <w:bookmarkEnd w:id="176"/>
      <w:bookmarkEnd w:id="177"/>
      <w:bookmarkEnd w:id="178"/>
    </w:p>
    <w:p w14:paraId="5823C1B5" w14:textId="7963F7BB" w:rsidR="00AB7FE5" w:rsidRPr="00FE3C8D" w:rsidRDefault="005E69BA" w:rsidP="00AB7FE5">
      <w:r>
        <w:t xml:space="preserve">In additional to the parameters </w:t>
      </w:r>
      <w:r w:rsidR="00AB411A">
        <w:t xml:space="preserve">shown </w:t>
      </w:r>
      <w:r>
        <w:t>in the above tables, e</w:t>
      </w:r>
      <w:r w:rsidR="00AB7FE5" w:rsidRPr="000A3E6C">
        <w:t xml:space="preserve">mission characteristics </w:t>
      </w:r>
      <w:r w:rsidR="00AB7FE5">
        <w:t>must</w:t>
      </w:r>
      <w:r w:rsidR="00AB7FE5" w:rsidRPr="000A3E6C">
        <w:t xml:space="preserve"> conform to the </w:t>
      </w:r>
      <w:r w:rsidR="001C7FD8" w:rsidRPr="001C7FD8">
        <w:t>3GPP TS 38.104</w:t>
      </w:r>
      <w:r w:rsidR="005A4847">
        <w:t xml:space="preserve"> for </w:t>
      </w:r>
      <w:r w:rsidR="00B902A7">
        <w:t>b</w:t>
      </w:r>
      <w:r w:rsidR="005A4847">
        <w:t>ase stations,</w:t>
      </w:r>
      <w:r w:rsidR="0086562D">
        <w:t xml:space="preserve"> or </w:t>
      </w:r>
      <w:r w:rsidR="00E32F59">
        <w:t>3GPP TS 38.101</w:t>
      </w:r>
      <w:r w:rsidR="005A4847">
        <w:t xml:space="preserve"> for user </w:t>
      </w:r>
      <w:r w:rsidR="00B902A7">
        <w:t>equipment,</w:t>
      </w:r>
      <w:r w:rsidR="00AB7FE5" w:rsidRPr="000A3E6C">
        <w:t xml:space="preserve"> standard</w:t>
      </w:r>
      <w:r w:rsidR="00E32F59">
        <w:t>s</w:t>
      </w:r>
      <w:r w:rsidR="001C7FD8">
        <w:t xml:space="preserve"> for the n</w:t>
      </w:r>
      <w:r>
        <w:t>101</w:t>
      </w:r>
      <w:r w:rsidR="001C7FD8">
        <w:t xml:space="preserve"> band</w:t>
      </w:r>
      <w:r w:rsidR="00AB7FE5">
        <w:t>,</w:t>
      </w:r>
      <w:r w:rsidR="00AB7FE5" w:rsidRPr="000A3E6C">
        <w:t xml:space="preserve"> paying particular attention to co-existence requirements.</w:t>
      </w:r>
    </w:p>
    <w:p w14:paraId="35ADC652" w14:textId="77777777" w:rsidR="00AB7FE5" w:rsidRDefault="00AB7FE5" w:rsidP="00AB7FE5">
      <w:pPr>
        <w:pStyle w:val="Caption-table"/>
      </w:pPr>
    </w:p>
    <w:p w14:paraId="1C2B305C" w14:textId="716E4190" w:rsidR="00A771E3" w:rsidRPr="00AF06C8" w:rsidRDefault="00A771E3" w:rsidP="00AB7FE5">
      <w:pPr>
        <w:rPr>
          <w:szCs w:val="22"/>
        </w:rPr>
      </w:pPr>
    </w:p>
    <w:sectPr w:rsidR="00A771E3" w:rsidRPr="00AF06C8" w:rsidSect="00D2150E">
      <w:headerReference w:type="default" r:id="rId31"/>
      <w:footerReference w:type="even" r:id="rId32"/>
      <w:type w:val="oddPage"/>
      <w:pgSz w:w="11906" w:h="16838" w:code="9"/>
      <w:pgMar w:top="1945" w:right="3101" w:bottom="1134"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FB7B" w14:textId="77777777" w:rsidR="00737617" w:rsidRDefault="00737617">
      <w:r>
        <w:separator/>
      </w:r>
    </w:p>
  </w:endnote>
  <w:endnote w:type="continuationSeparator" w:id="0">
    <w:p w14:paraId="62C8EDB2" w14:textId="77777777" w:rsidR="00737617" w:rsidRDefault="0073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8A2A" w14:textId="4FB88A8B" w:rsidR="00EC3335" w:rsidRDefault="008E7182">
    <w:pPr>
      <w:pStyle w:val="Footer"/>
    </w:pPr>
    <w:r>
      <w:rPr>
        <w:noProof/>
      </w:rPr>
      <mc:AlternateContent>
        <mc:Choice Requires="wps">
          <w:drawing>
            <wp:anchor distT="0" distB="0" distL="0" distR="0" simplePos="0" relativeHeight="251664392" behindDoc="0" locked="0" layoutInCell="1" allowOverlap="1" wp14:anchorId="75A7E1F1" wp14:editId="3ADF67A8">
              <wp:simplePos x="635" y="635"/>
              <wp:positionH relativeFrom="page">
                <wp:align>center</wp:align>
              </wp:positionH>
              <wp:positionV relativeFrom="page">
                <wp:align>bottom</wp:align>
              </wp:positionV>
              <wp:extent cx="551815" cy="376555"/>
              <wp:effectExtent l="0" t="0" r="635" b="0"/>
              <wp:wrapNone/>
              <wp:docPr id="1488038311"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33D2C6" w14:textId="0329FCCE"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A7E1F1" id="_x0000_t202" coordsize="21600,21600" o:spt="202" path="m,l,21600r21600,l21600,xe">
              <v:stroke joinstyle="miter"/>
              <v:path gradientshapeok="t" o:connecttype="rect"/>
            </v:shapetype>
            <v:shape id="Text Box 15" o:spid="_x0000_s1026" type="#_x0000_t202" alt="OFFICIAL" style="position:absolute;margin-left:0;margin-top:0;width:43.45pt;height:29.65pt;z-index:251664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7433D2C6" w14:textId="0329FCCE"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4667" w14:textId="1CE27A5E" w:rsidR="00A07457" w:rsidRPr="00F012AE" w:rsidRDefault="008E7182" w:rsidP="00A07457">
    <w:pPr>
      <w:pStyle w:val="Footer"/>
      <w:framePr w:w="1334" w:h="357" w:hRule="exact" w:vSpace="425" w:wrap="around" w:vAnchor="page" w:hAnchor="page" w:x="1220" w:y="15984"/>
      <w:tabs>
        <w:tab w:val="clear" w:pos="113"/>
        <w:tab w:val="left" w:pos="284"/>
      </w:tabs>
      <w:rPr>
        <w:rFonts w:cs="Arial"/>
      </w:rPr>
    </w:pPr>
    <w:r>
      <w:rPr>
        <w:rFonts w:cs="Arial"/>
        <w:noProof/>
        <w:spacing w:val="-16"/>
        <w:sz w:val="20"/>
        <w:szCs w:val="20"/>
      </w:rPr>
      <mc:AlternateContent>
        <mc:Choice Requires="wps">
          <w:drawing>
            <wp:anchor distT="0" distB="0" distL="0" distR="0" simplePos="0" relativeHeight="251665416" behindDoc="0" locked="0" layoutInCell="1" allowOverlap="1" wp14:anchorId="377D3C12" wp14:editId="200B43CC">
              <wp:simplePos x="774700" y="10149840"/>
              <wp:positionH relativeFrom="page">
                <wp:align>center</wp:align>
              </wp:positionH>
              <wp:positionV relativeFrom="page">
                <wp:align>bottom</wp:align>
              </wp:positionV>
              <wp:extent cx="551815" cy="376555"/>
              <wp:effectExtent l="0" t="0" r="635" b="0"/>
              <wp:wrapNone/>
              <wp:docPr id="26002531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ED7829" w14:textId="02276D87"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D3C12" id="_x0000_t202" coordsize="21600,21600" o:spt="202" path="m,l,21600r21600,l21600,xe">
              <v:stroke joinstyle="miter"/>
              <v:path gradientshapeok="t" o:connecttype="rect"/>
            </v:shapetype>
            <v:shape id="Text Box 16" o:spid="_x0000_s1027" type="#_x0000_t202" alt="OFFICIAL" style="position:absolute;margin-left:0;margin-top:0;width:43.45pt;height:29.65pt;z-index:251665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5ED7829" w14:textId="02276D87"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v:textbox>
              <w10:wrap anchorx="page" anchory="page"/>
            </v:shape>
          </w:pict>
        </mc:Fallback>
      </mc:AlternateContent>
    </w:r>
    <w:r w:rsidR="00A07457" w:rsidRPr="00F012AE">
      <w:rPr>
        <w:rFonts w:cs="Arial"/>
        <w:noProof/>
        <w:spacing w:val="-16"/>
        <w:sz w:val="20"/>
        <w:szCs w:val="20"/>
      </w:rPr>
      <w:t xml:space="preserve">RALI </w:t>
    </w:r>
    <w:r w:rsidR="00A07457">
      <w:rPr>
        <w:rFonts w:cs="Arial"/>
        <w:noProof/>
        <w:spacing w:val="-16"/>
        <w:sz w:val="20"/>
        <w:szCs w:val="20"/>
      </w:rPr>
      <w:t xml:space="preserve"> </w:t>
    </w:r>
    <w:r w:rsidR="00306785">
      <w:rPr>
        <w:rFonts w:cs="Arial"/>
        <w:noProof/>
        <w:spacing w:val="-16"/>
        <w:sz w:val="20"/>
        <w:szCs w:val="20"/>
      </w:rPr>
      <w:t>MS</w:t>
    </w:r>
    <w:r w:rsidR="00A07457" w:rsidRPr="00F012AE">
      <w:rPr>
        <w:rFonts w:cs="Arial"/>
        <w:noProof/>
        <w:spacing w:val="-16"/>
        <w:sz w:val="20"/>
        <w:szCs w:val="20"/>
      </w:rPr>
      <w:t xml:space="preserve"> </w:t>
    </w:r>
    <w:r w:rsidR="00A07457">
      <w:rPr>
        <w:rFonts w:cs="Arial"/>
        <w:noProof/>
        <w:spacing w:val="-16"/>
        <w:sz w:val="20"/>
        <w:szCs w:val="20"/>
      </w:rPr>
      <w:t xml:space="preserve"> </w:t>
    </w:r>
    <w:r w:rsidR="00F52ED0">
      <w:rPr>
        <w:rFonts w:cs="Arial"/>
        <w:noProof/>
        <w:spacing w:val="-16"/>
        <w:sz w:val="20"/>
        <w:szCs w:val="20"/>
      </w:rPr>
      <w:t>51</w:t>
    </w:r>
  </w:p>
  <w:p w14:paraId="2007AAD2" w14:textId="77777777" w:rsidR="00A07457" w:rsidRPr="00622A3B" w:rsidRDefault="00A07457" w:rsidP="00A07457">
    <w:pPr>
      <w:pStyle w:val="Footer"/>
      <w:framePr w:w="1334" w:h="357" w:hRule="exact" w:vSpace="425" w:wrap="around" w:vAnchor="page" w:hAnchor="page" w:x="9337" w:y="16047"/>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fldChar w:fldCharType="begin"/>
    </w:r>
    <w:r>
      <w:instrText xml:space="preserve"> PAGE   \* MERGEFORMAT </w:instrText>
    </w:r>
    <w:r>
      <w:fldChar w:fldCharType="separate"/>
    </w:r>
    <w:r w:rsidR="00420CAF">
      <w:rPr>
        <w:noProof/>
      </w:rPr>
      <w:t>iii</w:t>
    </w:r>
    <w:r>
      <w:rPr>
        <w:noProof/>
      </w:rPr>
      <w:fldChar w:fldCharType="end"/>
    </w:r>
  </w:p>
  <w:p w14:paraId="6131061D" w14:textId="77777777" w:rsidR="00A07457" w:rsidRPr="00822B3D" w:rsidRDefault="00A07457" w:rsidP="00A07457">
    <w:pPr>
      <w:pStyle w:val="Footer"/>
      <w:tabs>
        <w:tab w:val="left" w:pos="1070"/>
      </w:tabs>
    </w:pPr>
    <w:r>
      <w:tab/>
    </w:r>
    <w:r>
      <w:tab/>
    </w:r>
    <w:r>
      <w:tab/>
    </w:r>
    <w:r>
      <w:tab/>
    </w:r>
    <w:r>
      <w:tab/>
    </w:r>
    <w:r>
      <w:tab/>
    </w:r>
    <w:r>
      <w:tab/>
    </w:r>
    <w:r>
      <w:tab/>
    </w:r>
    <w:r>
      <w:tab/>
    </w:r>
    <w:r>
      <w:tab/>
    </w:r>
    <w:r>
      <w:tab/>
    </w:r>
    <w:r>
      <w:tab/>
    </w:r>
    <w:r>
      <w:tab/>
    </w:r>
    <w:r>
      <w:tab/>
    </w:r>
    <w:r>
      <w:tab/>
    </w:r>
    <w:r>
      <w:tab/>
    </w:r>
    <w:r>
      <w:tab/>
    </w:r>
    <w:r>
      <w:tab/>
    </w:r>
  </w:p>
  <w:p w14:paraId="30C47FD8" w14:textId="77777777" w:rsidR="00A07457" w:rsidRPr="006A18C6" w:rsidRDefault="00A07457" w:rsidP="00A07457">
    <w:pPr>
      <w:pStyle w:val="Footer"/>
    </w:pPr>
  </w:p>
  <w:p w14:paraId="7D695E3A" w14:textId="77777777" w:rsidR="00E36E80" w:rsidRPr="00A07457" w:rsidRDefault="00E36E80" w:rsidP="00A074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DC7A" w14:textId="5D288F7F" w:rsidR="00A07457" w:rsidRPr="00622A3B" w:rsidRDefault="008E7182" w:rsidP="00A07457">
    <w:pPr>
      <w:pStyle w:val="Footer"/>
      <w:framePr w:w="1334" w:h="357" w:hRule="exact" w:vSpace="425" w:wrap="around" w:vAnchor="page" w:hAnchor="page" w:x="1156" w:y="16126"/>
      <w:pBdr>
        <w:top w:val="single" w:sz="4" w:space="1" w:color="auto"/>
      </w:pBdr>
      <w:tabs>
        <w:tab w:val="clear" w:pos="113"/>
        <w:tab w:val="left" w:pos="284"/>
      </w:tabs>
      <w:jc w:val="right"/>
      <w:rPr>
        <w:rFonts w:cs="Arial"/>
      </w:rPr>
    </w:pPr>
    <w:r>
      <w:rPr>
        <w:rFonts w:cs="Arial"/>
        <w:b/>
        <w:noProof/>
        <w:spacing w:val="-16"/>
        <w:sz w:val="20"/>
        <w:szCs w:val="20"/>
      </w:rPr>
      <mc:AlternateContent>
        <mc:Choice Requires="wps">
          <w:drawing>
            <wp:anchor distT="0" distB="0" distL="0" distR="0" simplePos="0" relativeHeight="251666440" behindDoc="0" locked="0" layoutInCell="1" allowOverlap="1" wp14:anchorId="7815F365" wp14:editId="6B95C859">
              <wp:simplePos x="733425" y="10239375"/>
              <wp:positionH relativeFrom="page">
                <wp:align>center</wp:align>
              </wp:positionH>
              <wp:positionV relativeFrom="page">
                <wp:align>bottom</wp:align>
              </wp:positionV>
              <wp:extent cx="551815" cy="376555"/>
              <wp:effectExtent l="0" t="0" r="635" b="0"/>
              <wp:wrapNone/>
              <wp:docPr id="9942576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6746C5" w14:textId="3A12E6E2"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5F365" id="_x0000_t202" coordsize="21600,21600" o:spt="202" path="m,l,21600r21600,l21600,xe">
              <v:stroke joinstyle="miter"/>
              <v:path gradientshapeok="t" o:connecttype="rect"/>
            </v:shapetype>
            <v:shape id="Text Box 17" o:spid="_x0000_s1028" type="#_x0000_t202" alt="OFFICIAL" style="position:absolute;left:0;text-align:left;margin-left:0;margin-top:0;width:43.45pt;height:29.65pt;z-index:251666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96746C5" w14:textId="3A12E6E2"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v:textbox>
              <w10:wrap anchorx="page" anchory="page"/>
            </v:shape>
          </w:pict>
        </mc:Fallback>
      </mc:AlternateContent>
    </w:r>
    <w:r w:rsidR="00A07457" w:rsidRPr="00622A3B">
      <w:rPr>
        <w:rFonts w:cs="Arial"/>
        <w:b/>
        <w:noProof/>
        <w:spacing w:val="-16"/>
        <w:sz w:val="20"/>
        <w:szCs w:val="20"/>
      </w:rPr>
      <w:t>a</w:t>
    </w:r>
    <w:r w:rsidR="00A07457" w:rsidRPr="00622A3B">
      <w:rPr>
        <w:rFonts w:cs="Arial"/>
        <w:b/>
        <w:noProof/>
        <w:spacing w:val="-15"/>
        <w:sz w:val="20"/>
        <w:szCs w:val="20"/>
      </w:rPr>
      <w:t>c</w:t>
    </w:r>
    <w:r w:rsidR="00A07457" w:rsidRPr="00622A3B">
      <w:rPr>
        <w:rFonts w:cs="Arial"/>
        <w:b/>
        <w:noProof/>
        <w:spacing w:val="-16"/>
        <w:sz w:val="20"/>
        <w:szCs w:val="20"/>
      </w:rPr>
      <w:t>m</w:t>
    </w:r>
    <w:r w:rsidR="00A07457" w:rsidRPr="00622A3B">
      <w:rPr>
        <w:rFonts w:cs="Arial"/>
        <w:b/>
        <w:noProof/>
        <w:spacing w:val="-14"/>
        <w:sz w:val="20"/>
        <w:szCs w:val="20"/>
      </w:rPr>
      <w:t>a</w:t>
    </w:r>
    <w:r w:rsidR="00A07457" w:rsidRPr="0094078F">
      <w:rPr>
        <w:rFonts w:cs="Arial"/>
      </w:rPr>
      <w:tab/>
    </w:r>
    <w:r w:rsidR="00A07457">
      <w:rPr>
        <w:rFonts w:cs="Arial"/>
      </w:rPr>
      <w:t xml:space="preserve"> </w:t>
    </w:r>
    <w:r w:rsidR="00A07457" w:rsidRPr="00622A3B">
      <w:rPr>
        <w:rFonts w:cs="Arial"/>
      </w:rPr>
      <w:t>|</w:t>
    </w:r>
    <w:r w:rsidR="00A07457">
      <w:tab/>
    </w:r>
    <w:r w:rsidR="00A07457">
      <w:fldChar w:fldCharType="begin"/>
    </w:r>
    <w:r w:rsidR="00A07457">
      <w:instrText xml:space="preserve"> PAGE   \* MERGEFORMAT </w:instrText>
    </w:r>
    <w:r w:rsidR="00A07457">
      <w:fldChar w:fldCharType="separate"/>
    </w:r>
    <w:r w:rsidR="00420CAF">
      <w:rPr>
        <w:noProof/>
      </w:rPr>
      <w:t>ii</w:t>
    </w:r>
    <w:r w:rsidR="00A07457">
      <w:rPr>
        <w:noProof/>
      </w:rPr>
      <w:fldChar w:fldCharType="end"/>
    </w:r>
  </w:p>
  <w:p w14:paraId="008602B3" w14:textId="1F69A15C" w:rsidR="00A07457" w:rsidRPr="00F012AE" w:rsidRDefault="00A07457" w:rsidP="00A07457">
    <w:pPr>
      <w:pStyle w:val="Footer"/>
      <w:framePr w:w="1334" w:h="357" w:hRule="exact" w:vSpace="425" w:wrap="around" w:vAnchor="page" w:hAnchor="page" w:x="9258" w:y="16063"/>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306785">
      <w:rPr>
        <w:rFonts w:cs="Arial"/>
        <w:noProof/>
        <w:spacing w:val="-16"/>
        <w:sz w:val="20"/>
        <w:szCs w:val="20"/>
      </w:rPr>
      <w:t>MS</w:t>
    </w:r>
    <w:r w:rsidRPr="00F012AE">
      <w:rPr>
        <w:rFonts w:cs="Arial"/>
        <w:noProof/>
        <w:spacing w:val="-16"/>
        <w:sz w:val="20"/>
        <w:szCs w:val="20"/>
      </w:rPr>
      <w:t xml:space="preserve"> </w:t>
    </w:r>
    <w:r>
      <w:rPr>
        <w:rFonts w:cs="Arial"/>
        <w:noProof/>
        <w:spacing w:val="-16"/>
        <w:sz w:val="20"/>
        <w:szCs w:val="20"/>
      </w:rPr>
      <w:t xml:space="preserve"> </w:t>
    </w:r>
    <w:r w:rsidR="00F52ED0">
      <w:rPr>
        <w:rFonts w:cs="Arial"/>
        <w:noProof/>
        <w:spacing w:val="-16"/>
        <w:sz w:val="20"/>
        <w:szCs w:val="20"/>
      </w:rPr>
      <w:t>51</w:t>
    </w:r>
  </w:p>
  <w:p w14:paraId="3022405B" w14:textId="77777777" w:rsidR="00A07457" w:rsidRDefault="00A07457" w:rsidP="00A07457">
    <w:pPr>
      <w:pStyle w:val="Footer"/>
      <w:tabs>
        <w:tab w:val="clear" w:pos="113"/>
        <w:tab w:val="left" w:pos="2550"/>
      </w:tabs>
    </w:pPr>
    <w:r>
      <w:tab/>
    </w:r>
  </w:p>
  <w:p w14:paraId="2D0BA6CC" w14:textId="77777777" w:rsidR="00822B3D" w:rsidRPr="00A07457" w:rsidRDefault="00822B3D" w:rsidP="00A074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F9C7" w14:textId="20992C73" w:rsidR="00D2150E" w:rsidRPr="00622A3B" w:rsidRDefault="008E7182" w:rsidP="00D2150E">
    <w:pPr>
      <w:pStyle w:val="FooterLeft"/>
      <w:framePr w:wrap="around" w:x="957" w:y="16145"/>
      <w:tabs>
        <w:tab w:val="clear" w:pos="113"/>
        <w:tab w:val="right" w:pos="397"/>
      </w:tabs>
    </w:pPr>
    <w:r>
      <w:rPr>
        <w:noProof/>
      </w:rPr>
      <mc:AlternateContent>
        <mc:Choice Requires="wps">
          <w:drawing>
            <wp:anchor distT="0" distB="0" distL="0" distR="0" simplePos="0" relativeHeight="251667464" behindDoc="0" locked="0" layoutInCell="1" allowOverlap="1" wp14:anchorId="2F4B0E52" wp14:editId="4FD35A0F">
              <wp:simplePos x="635" y="635"/>
              <wp:positionH relativeFrom="page">
                <wp:align>center</wp:align>
              </wp:positionH>
              <wp:positionV relativeFrom="page">
                <wp:align>bottom</wp:align>
              </wp:positionV>
              <wp:extent cx="551815" cy="376555"/>
              <wp:effectExtent l="0" t="0" r="635" b="0"/>
              <wp:wrapNone/>
              <wp:docPr id="726432454"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8ED4BE" w14:textId="44843AD7"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4B0E52" id="_x0000_t202" coordsize="21600,21600" o:spt="202" path="m,l,21600r21600,l21600,xe">
              <v:stroke joinstyle="miter"/>
              <v:path gradientshapeok="t" o:connecttype="rect"/>
            </v:shapetype>
            <v:shape id="Text Box 18" o:spid="_x0000_s1029" type="#_x0000_t202" alt="OFFICIAL" style="position:absolute;margin-left:0;margin-top:0;width:43.45pt;height:29.65pt;z-index:251667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A8ED4BE" w14:textId="44843AD7" w:rsidR="008E7182" w:rsidRPr="008E7182" w:rsidRDefault="008E7182" w:rsidP="008E7182">
                    <w:pPr>
                      <w:spacing w:after="0"/>
                      <w:rPr>
                        <w:rFonts w:ascii="Aptos" w:eastAsia="Aptos" w:hAnsi="Aptos" w:cs="Aptos"/>
                        <w:noProof/>
                        <w:color w:val="FF0000"/>
                        <w:sz w:val="24"/>
                      </w:rPr>
                    </w:pPr>
                    <w:r w:rsidRPr="008E7182">
                      <w:rPr>
                        <w:rFonts w:ascii="Aptos" w:eastAsia="Aptos" w:hAnsi="Aptos" w:cs="Aptos"/>
                        <w:noProof/>
                        <w:color w:val="FF0000"/>
                        <w:sz w:val="24"/>
                      </w:rPr>
                      <w:t>OFFICIAL</w:t>
                    </w:r>
                  </w:p>
                </w:txbxContent>
              </v:textbox>
              <w10:wrap anchorx="page" anchory="page"/>
            </v:shape>
          </w:pict>
        </mc:Fallback>
      </mc:AlternateContent>
    </w:r>
    <w:r w:rsidR="00D2150E" w:rsidRPr="00575AC5">
      <w:fldChar w:fldCharType="begin"/>
    </w:r>
    <w:r w:rsidR="00D2150E" w:rsidRPr="00575AC5">
      <w:instrText xml:space="preserve"> PAGE  \* Arabic  \* MERGEFORMAT </w:instrText>
    </w:r>
    <w:r w:rsidR="00D2150E" w:rsidRPr="00575AC5">
      <w:fldChar w:fldCharType="separate"/>
    </w:r>
    <w:r w:rsidR="00D2150E">
      <w:t>2</w:t>
    </w:r>
    <w:r w:rsidR="00D2150E" w:rsidRPr="00575AC5">
      <w:fldChar w:fldCharType="end"/>
    </w:r>
    <w:r w:rsidR="00D2150E" w:rsidRPr="0094078F">
      <w:tab/>
    </w:r>
    <w:r w:rsidR="00D2150E" w:rsidRPr="00622A3B">
      <w:t>|</w:t>
    </w:r>
    <w:r w:rsidR="00D2150E">
      <w:tab/>
    </w:r>
    <w:r w:rsidR="00D2150E" w:rsidRPr="00622A3B">
      <w:rPr>
        <w:b/>
        <w:noProof/>
        <w:spacing w:val="-16"/>
        <w:sz w:val="20"/>
        <w:szCs w:val="20"/>
      </w:rPr>
      <w:t>a</w:t>
    </w:r>
    <w:r w:rsidR="00D2150E" w:rsidRPr="00622A3B">
      <w:rPr>
        <w:b/>
        <w:noProof/>
        <w:spacing w:val="-15"/>
        <w:sz w:val="20"/>
        <w:szCs w:val="20"/>
      </w:rPr>
      <w:t>c</w:t>
    </w:r>
    <w:r w:rsidR="00D2150E" w:rsidRPr="00622A3B">
      <w:rPr>
        <w:b/>
        <w:noProof/>
        <w:spacing w:val="-16"/>
        <w:sz w:val="20"/>
        <w:szCs w:val="20"/>
      </w:rPr>
      <w:t>m</w:t>
    </w:r>
    <w:r w:rsidR="00D2150E" w:rsidRPr="00622A3B">
      <w:rPr>
        <w:b/>
        <w:noProof/>
        <w:spacing w:val="-14"/>
        <w:sz w:val="20"/>
        <w:szCs w:val="20"/>
      </w:rPr>
      <w:t>a</w:t>
    </w:r>
  </w:p>
  <w:p w14:paraId="05E2379D" w14:textId="77777777" w:rsidR="00D2150E" w:rsidRPr="00A5474E" w:rsidRDefault="00D2150E" w:rsidP="00D2150E">
    <w:pPr>
      <w:pStyle w:val="Footer"/>
      <w:framePr w:w="1440" w:h="357" w:hRule="exact" w:vSpace="425" w:wrap="around" w:vAnchor="page" w:hAnchor="page" w:x="957" w:y="16145"/>
    </w:pPr>
  </w:p>
  <w:p w14:paraId="527C403A" w14:textId="523EF48C" w:rsidR="00B95DA7" w:rsidRPr="00F012AE" w:rsidRDefault="00B95DA7" w:rsidP="00B95DA7">
    <w:pPr>
      <w:pStyle w:val="Footer"/>
      <w:framePr w:w="1334" w:h="357" w:hRule="exact" w:vSpace="425" w:wrap="around" w:vAnchor="page" w:hAnchor="page" w:x="8839" w:y="16172"/>
      <w:tabs>
        <w:tab w:val="clear" w:pos="113"/>
        <w:tab w:val="left" w:pos="284"/>
      </w:tabs>
      <w:rPr>
        <w:rFonts w:cs="Arial"/>
      </w:rPr>
    </w:pPr>
    <w:r w:rsidRPr="00F012AE">
      <w:rPr>
        <w:rFonts w:cs="Arial"/>
        <w:noProof/>
        <w:spacing w:val="-16"/>
        <w:sz w:val="20"/>
        <w:szCs w:val="20"/>
      </w:rPr>
      <w:t xml:space="preserve">RALI </w:t>
    </w:r>
    <w:r>
      <w:rPr>
        <w:rFonts w:cs="Arial"/>
        <w:noProof/>
        <w:spacing w:val="-16"/>
        <w:sz w:val="20"/>
        <w:szCs w:val="20"/>
      </w:rPr>
      <w:t xml:space="preserve"> </w:t>
    </w:r>
    <w:r w:rsidR="00D36BAD">
      <w:rPr>
        <w:rFonts w:cs="Arial"/>
        <w:noProof/>
        <w:spacing w:val="-16"/>
        <w:sz w:val="20"/>
        <w:szCs w:val="20"/>
      </w:rPr>
      <w:t>MS</w:t>
    </w:r>
    <w:r w:rsidR="00D36BAD" w:rsidRPr="00F012AE">
      <w:rPr>
        <w:rFonts w:cs="Arial"/>
        <w:noProof/>
        <w:spacing w:val="-16"/>
        <w:sz w:val="20"/>
        <w:szCs w:val="20"/>
      </w:rPr>
      <w:t xml:space="preserve"> </w:t>
    </w:r>
    <w:r w:rsidR="00D36BAD">
      <w:rPr>
        <w:rFonts w:cs="Arial"/>
        <w:noProof/>
        <w:spacing w:val="-16"/>
        <w:sz w:val="20"/>
        <w:szCs w:val="20"/>
      </w:rPr>
      <w:t xml:space="preserve"> </w:t>
    </w:r>
    <w:r w:rsidR="00F52ED0">
      <w:rPr>
        <w:rFonts w:cs="Arial"/>
        <w:noProof/>
        <w:spacing w:val="-16"/>
        <w:sz w:val="20"/>
        <w:szCs w:val="20"/>
      </w:rPr>
      <w:t>51</w:t>
    </w:r>
  </w:p>
  <w:p w14:paraId="03B8C1C6"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A48D" w14:textId="77777777" w:rsidR="00737617" w:rsidRDefault="00737617">
      <w:r>
        <w:separator/>
      </w:r>
    </w:p>
  </w:footnote>
  <w:footnote w:type="continuationSeparator" w:id="0">
    <w:p w14:paraId="0D41DA99" w14:textId="77777777" w:rsidR="00737617" w:rsidRDefault="00737617">
      <w:r>
        <w:continuationSeparator/>
      </w:r>
    </w:p>
  </w:footnote>
  <w:footnote w:id="1">
    <w:p w14:paraId="6D5EE90A" w14:textId="66DEDBE4" w:rsidR="009A6242" w:rsidRDefault="009A6242">
      <w:pPr>
        <w:pStyle w:val="FootnoteText"/>
      </w:pPr>
      <w:r>
        <w:rPr>
          <w:rStyle w:val="FootnoteReference"/>
        </w:rPr>
        <w:footnoteRef/>
      </w:r>
      <w:r>
        <w:t xml:space="preserve"> RMR cab radios refers to the </w:t>
      </w:r>
      <w:r w:rsidR="003F7FD7">
        <w:t xml:space="preserve">transmitter/receiver equipment </w:t>
      </w:r>
      <w:r w:rsidR="008A3D7E">
        <w:t xml:space="preserve">installed on </w:t>
      </w:r>
      <w:r w:rsidR="00BC1C8C">
        <w:t>the train</w:t>
      </w:r>
    </w:p>
  </w:footnote>
  <w:footnote w:id="2">
    <w:p w14:paraId="11BA22A0" w14:textId="6ABDA843" w:rsidR="005744B2" w:rsidRDefault="005744B2">
      <w:pPr>
        <w:pStyle w:val="FootnoteText"/>
      </w:pPr>
      <w:r>
        <w:rPr>
          <w:rStyle w:val="FootnoteReference"/>
        </w:rPr>
        <w:footnoteRef/>
      </w:r>
      <w:r>
        <w:t xml:space="preserve"> </w:t>
      </w:r>
      <w:r>
        <w:rPr>
          <w:szCs w:val="22"/>
        </w:rPr>
        <w:t xml:space="preserve">Synchronisation options are outlined in </w:t>
      </w:r>
      <w:r w:rsidRPr="005E1514">
        <w:rPr>
          <w:szCs w:val="22"/>
        </w:rPr>
        <w:t xml:space="preserve">Table 11.1.1-1 of ETSI TS 138 213, </w:t>
      </w:r>
      <w:r w:rsidRPr="005E1514">
        <w:rPr>
          <w:i/>
          <w:iCs/>
          <w:szCs w:val="22"/>
        </w:rPr>
        <w:t>Rail Telecommunications (RT); Future Railway Mobile Communication System (FRMCS); Radio performance aspects</w:t>
      </w:r>
      <w:r w:rsidR="00F1708F" w:rsidRPr="00F1708F">
        <w:t xml:space="preserve"> </w:t>
      </w:r>
      <w:r w:rsidR="00F1708F">
        <w:rPr>
          <w:rStyle w:val="cf01"/>
        </w:rPr>
        <w:t>for</w:t>
      </w:r>
    </w:p>
  </w:footnote>
  <w:footnote w:id="3">
    <w:p w14:paraId="774B649F" w14:textId="03AF6088" w:rsidR="00D41DCB" w:rsidRDefault="00D41DCB" w:rsidP="00D41DCB">
      <w:pPr>
        <w:pStyle w:val="FootnoteText"/>
      </w:pPr>
      <w:r>
        <w:rPr>
          <w:rStyle w:val="FootnoteReference"/>
        </w:rPr>
        <w:footnoteRef/>
      </w:r>
      <w:r>
        <w:t xml:space="preserve"> </w:t>
      </w:r>
      <w:r w:rsidRPr="00D41DCB">
        <w:t>ECC Report 314</w:t>
      </w:r>
      <w:r>
        <w:t xml:space="preserve">, </w:t>
      </w:r>
      <w:r w:rsidRPr="00306785">
        <w:rPr>
          <w:i/>
        </w:rPr>
        <w:t>Co-existence between Future Railway Mobile Communication System (FRMCS) in the frequency range 1900-1920 MHz and other applications in adjacent bands</w:t>
      </w:r>
      <w:r>
        <w:t>, May 2020</w:t>
      </w:r>
    </w:p>
  </w:footnote>
  <w:footnote w:id="4">
    <w:p w14:paraId="37FDDBCC" w14:textId="1FAAF30A" w:rsidR="00E30AFF" w:rsidRDefault="00E30AFF">
      <w:pPr>
        <w:pStyle w:val="FootnoteText"/>
      </w:pPr>
      <w:r>
        <w:rPr>
          <w:rStyle w:val="FootnoteReference"/>
        </w:rPr>
        <w:footnoteRef/>
      </w:r>
      <w:r>
        <w:t xml:space="preserve"> Any overlap of the occupied bandwidth of the transmitter and receiver is considered co-channel</w:t>
      </w:r>
    </w:p>
  </w:footnote>
  <w:footnote w:id="5">
    <w:p w14:paraId="02924025" w14:textId="77777777" w:rsidR="00BB35F8" w:rsidRDefault="00BB35F8" w:rsidP="00BB35F8">
      <w:pPr>
        <w:pStyle w:val="FootnoteText"/>
      </w:pPr>
      <w:r>
        <w:rPr>
          <w:rStyle w:val="FootnoteReference"/>
        </w:rPr>
        <w:footnoteRef/>
      </w:r>
      <w:r>
        <w:t xml:space="preserve"> Any overlap of the occupied bandwidth of the transmitter and receiver is considered co-channel</w:t>
      </w:r>
    </w:p>
  </w:footnote>
  <w:footnote w:id="6">
    <w:p w14:paraId="043E4638" w14:textId="2800D199" w:rsidR="00676B9F" w:rsidRDefault="00676B9F">
      <w:pPr>
        <w:pStyle w:val="FootnoteText"/>
      </w:pPr>
      <w:r>
        <w:rPr>
          <w:rStyle w:val="FootnoteReference"/>
        </w:rPr>
        <w:footnoteRef/>
      </w:r>
      <w:r>
        <w:t xml:space="preserve"> </w:t>
      </w:r>
      <w:r w:rsidR="00DA3096">
        <w:rPr>
          <w:rFonts w:eastAsiaTheme="minorHAnsi"/>
          <w:szCs w:val="22"/>
        </w:rPr>
        <w:t>I</w:t>
      </w:r>
      <w:r>
        <w:rPr>
          <w:rFonts w:eastAsiaTheme="minorHAnsi"/>
          <w:szCs w:val="22"/>
        </w:rPr>
        <w:t>nclude receivers with an occupied bandwidth fully or partially within this coordination range</w:t>
      </w:r>
    </w:p>
  </w:footnote>
  <w:footnote w:id="7">
    <w:p w14:paraId="05E293B6" w14:textId="0E9BBF60" w:rsidR="000C141F" w:rsidRDefault="000C141F" w:rsidP="000C141F">
      <w:pPr>
        <w:pStyle w:val="FootnoteText"/>
      </w:pPr>
      <w:r>
        <w:rPr>
          <w:rStyle w:val="FootnoteReference"/>
        </w:rPr>
        <w:footnoteRef/>
      </w:r>
      <w:r>
        <w:t xml:space="preserve"> </w:t>
      </w:r>
      <w:r w:rsidRPr="00563C0E">
        <w:t xml:space="preserve">Prospective licensees are reminded that </w:t>
      </w:r>
      <w:r w:rsidR="00597DE0">
        <w:t>mobile/</w:t>
      </w:r>
      <w:r w:rsidRPr="00563C0E">
        <w:t xml:space="preserve">remote stations operate on a ‘no interference’ basis as defined in the </w:t>
      </w:r>
      <w:r w:rsidR="00955D8B">
        <w:t>cellular mobile class licence</w:t>
      </w:r>
      <w:r w:rsidRPr="00563C0E">
        <w:t>.  The 10</w:t>
      </w:r>
      <w:r>
        <w:t> </w:t>
      </w:r>
      <w:r w:rsidRPr="00563C0E">
        <w:t xml:space="preserve">km minimum separation distance requirement stated here is intended to reduce the potential for </w:t>
      </w:r>
      <w:r w:rsidR="007B639A">
        <w:t>RMR</w:t>
      </w:r>
      <w:r w:rsidRPr="00563C0E">
        <w:t xml:space="preserve"> stations to cause harmful interference into a fixed link receiver while also ensuring that </w:t>
      </w:r>
      <w:r w:rsidR="007B639A">
        <w:t>RMR</w:t>
      </w:r>
      <w:r w:rsidRPr="00563C0E">
        <w:t xml:space="preserve"> licensees have a reasonable chance to service the area surrounding the proposed </w:t>
      </w:r>
      <w:r w:rsidR="007B639A">
        <w:t>RMR</w:t>
      </w:r>
      <w:r w:rsidRPr="00563C0E">
        <w:t xml:space="preserve"> base station without causing interference to fixed link receivers.</w:t>
      </w:r>
    </w:p>
  </w:footnote>
  <w:footnote w:id="8">
    <w:p w14:paraId="0FA9ACF7" w14:textId="77777777" w:rsidR="005C114B" w:rsidRDefault="005C114B" w:rsidP="005C114B">
      <w:pPr>
        <w:pStyle w:val="FootnoteText"/>
      </w:pPr>
      <w:r>
        <w:rPr>
          <w:rStyle w:val="FootnoteReference"/>
        </w:rPr>
        <w:footnoteRef/>
      </w:r>
      <w:r>
        <w:t xml:space="preserve"> Any overlap of the occupied bandwidth of the transmitter and receiver is considered co-channel</w:t>
      </w:r>
    </w:p>
  </w:footnote>
  <w:footnote w:id="9">
    <w:p w14:paraId="07333BFE" w14:textId="08D2A66F" w:rsidR="003F5DE9" w:rsidRDefault="003F5DE9">
      <w:pPr>
        <w:pStyle w:val="FootnoteText"/>
      </w:pPr>
      <w:r>
        <w:rPr>
          <w:rStyle w:val="FootnoteReference"/>
        </w:rPr>
        <w:footnoteRef/>
      </w:r>
      <w:r>
        <w:t xml:space="preserve"> I</w:t>
      </w:r>
      <w:r>
        <w:rPr>
          <w:rFonts w:eastAsiaTheme="minorHAnsi"/>
          <w:szCs w:val="22"/>
        </w:rPr>
        <w:t>nclude receivers with an occupied bandwidth fully or partially within this coordination range</w:t>
      </w:r>
    </w:p>
  </w:footnote>
  <w:footnote w:id="10">
    <w:p w14:paraId="00B3FE09" w14:textId="77777777" w:rsidR="00BB35F8" w:rsidRDefault="00BB35F8" w:rsidP="00BB35F8">
      <w:pPr>
        <w:pStyle w:val="FootnoteText"/>
      </w:pPr>
      <w:r>
        <w:rPr>
          <w:rStyle w:val="FootnoteReference"/>
        </w:rPr>
        <w:footnoteRef/>
      </w:r>
      <w:r>
        <w:t xml:space="preserve"> Any overlap of the occupied bandwidth of the transmitter and receiver is considered co-channel</w:t>
      </w:r>
    </w:p>
  </w:footnote>
  <w:footnote w:id="11">
    <w:p w14:paraId="1E22461D" w14:textId="713A5D38" w:rsidR="000529FB" w:rsidRDefault="000529FB">
      <w:pPr>
        <w:pStyle w:val="FootnoteText"/>
      </w:pPr>
      <w:r>
        <w:rPr>
          <w:rStyle w:val="FootnoteReference"/>
        </w:rPr>
        <w:footnoteRef/>
      </w:r>
      <w:r>
        <w:t xml:space="preserve"> </w:t>
      </w:r>
      <w:r>
        <w:rPr>
          <w:rFonts w:eastAsiaTheme="minorHAnsi"/>
          <w:szCs w:val="22"/>
        </w:rPr>
        <w:t>Include receivers with an occupied bandwidth fully or partially within this cull range</w:t>
      </w:r>
    </w:p>
  </w:footnote>
  <w:footnote w:id="12">
    <w:p w14:paraId="7BF21F37" w14:textId="77777777" w:rsidR="00E8086D" w:rsidRDefault="00E8086D" w:rsidP="00E8086D">
      <w:pPr>
        <w:pStyle w:val="FootnoteText"/>
      </w:pPr>
      <w:r>
        <w:rPr>
          <w:rStyle w:val="FootnoteReference"/>
        </w:rPr>
        <w:footnoteRef/>
      </w:r>
      <w:r>
        <w:t xml:space="preserve"> Any overlap of the occupied bandwidth of the transmitter and receiver is considered co-channel</w:t>
      </w:r>
    </w:p>
  </w:footnote>
  <w:footnote w:id="13">
    <w:p w14:paraId="0AD1E16C" w14:textId="4275A18A" w:rsidR="00FE27C3" w:rsidRDefault="00FE27C3">
      <w:pPr>
        <w:pStyle w:val="FootnoteText"/>
      </w:pPr>
      <w:r>
        <w:rPr>
          <w:rStyle w:val="FootnoteReference"/>
        </w:rPr>
        <w:footnoteRef/>
      </w:r>
      <w:r>
        <w:t xml:space="preserve"> </w:t>
      </w:r>
      <w:r>
        <w:rPr>
          <w:rFonts w:eastAsiaTheme="minorHAnsi"/>
          <w:szCs w:val="22"/>
        </w:rPr>
        <w:t>Include receivers with an occupied bandwidth fully or partially within this range</w:t>
      </w:r>
    </w:p>
  </w:footnote>
  <w:footnote w:id="14">
    <w:p w14:paraId="09D7BB84" w14:textId="08098DCF" w:rsidR="0075445C" w:rsidRDefault="0075445C">
      <w:pPr>
        <w:pStyle w:val="FootnoteText"/>
      </w:pPr>
      <w:r>
        <w:rPr>
          <w:rStyle w:val="FootnoteReference"/>
        </w:rPr>
        <w:footnoteRef/>
      </w:r>
      <w:r>
        <w:t xml:space="preserve"> Include receivers with an occupied bandwidth fully or partially within this </w:t>
      </w:r>
      <w:r w:rsidR="00CA5682">
        <w:t>frequency</w:t>
      </w:r>
      <w:r>
        <w:t xml:space="preserve"> range</w:t>
      </w:r>
    </w:p>
  </w:footnote>
  <w:footnote w:id="15">
    <w:p w14:paraId="5F1DAD55" w14:textId="77777777" w:rsidR="00653706" w:rsidRDefault="00653706" w:rsidP="00653706">
      <w:pPr>
        <w:pStyle w:val="FootnoteText"/>
      </w:pPr>
      <w:r>
        <w:rPr>
          <w:rStyle w:val="FootnoteReference"/>
        </w:rPr>
        <w:footnoteRef/>
      </w:r>
      <w:r>
        <w:t xml:space="preserve"> </w:t>
      </w:r>
      <w:r w:rsidRPr="00584453">
        <w:t xml:space="preserve">Refer to </w:t>
      </w:r>
      <w:hyperlink r:id="rId1" w:history="1">
        <w:r w:rsidRPr="00584453">
          <w:rPr>
            <w:rStyle w:val="Hyperlink"/>
            <w:i/>
            <w:iCs/>
          </w:rPr>
          <w:t>RALI FX3</w:t>
        </w:r>
      </w:hyperlink>
      <w:r w:rsidRPr="00584453">
        <w:t xml:space="preserve"> section 3.3 for further discussion.</w:t>
      </w:r>
    </w:p>
  </w:footnote>
  <w:footnote w:id="16">
    <w:p w14:paraId="0DF7040D" w14:textId="5FDC6E64" w:rsidR="00AE6321" w:rsidRDefault="00AE6321">
      <w:pPr>
        <w:pStyle w:val="FootnoteText"/>
      </w:pPr>
      <w:r>
        <w:rPr>
          <w:rStyle w:val="FootnoteReference"/>
        </w:rPr>
        <w:footnoteRef/>
      </w:r>
      <w:r>
        <w:t xml:space="preserve"> </w:t>
      </w:r>
      <w:r w:rsidRPr="00AE6321">
        <w:t>An Australian Rail Industry Entity means a rail user that is accredited by the Office of the National Rail Safety Regulator (ONRSR). The Rail Safety National Law requires that rail operators must apply for and be granted accreditation, before they commence undertaking railway operations. A list of the Australian Rail Industry Entities in Australia is maintained by ONRSR</w:t>
      </w:r>
      <w:r>
        <w:t>.</w:t>
      </w:r>
    </w:p>
  </w:footnote>
  <w:footnote w:id="17">
    <w:p w14:paraId="63E24D24" w14:textId="77777777" w:rsidR="00D6001E" w:rsidRDefault="00D6001E" w:rsidP="00D6001E">
      <w:pPr>
        <w:pStyle w:val="FootnoteText"/>
      </w:pPr>
      <w:r>
        <w:rPr>
          <w:rStyle w:val="FootnoteReference"/>
        </w:rPr>
        <w:footnoteRef/>
      </w:r>
      <w:r>
        <w:t xml:space="preserve"> </w:t>
      </w:r>
      <w:r w:rsidRPr="001B091A">
        <w:t>Where the sectored antennas are combined to achieve an effectively omni-directional coverage (on a single channel) it is not necessary to specify the azimuth of each sector antenna.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1B2B7" w14:textId="6C75097E" w:rsidR="00A07457" w:rsidRPr="00C10875" w:rsidRDefault="00C10875" w:rsidP="00C10875">
    <w:pPr>
      <w:pStyle w:val="Header"/>
      <w:ind w:hanging="567"/>
    </w:pPr>
    <w:r>
      <w:rPr>
        <w:noProof/>
      </w:rPr>
      <w:drawing>
        <wp:inline distT="0" distB="0" distL="0" distR="0" wp14:anchorId="5EFC0169" wp14:editId="5A48C548">
          <wp:extent cx="3400425" cy="400050"/>
          <wp:effectExtent l="0" t="0" r="9525" b="0"/>
          <wp:docPr id="448803414" name="Picture 448803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03414" name="Picture 4488034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E1DD" w14:textId="4441B71B"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03632DA"/>
    <w:lvl w:ilvl="0">
      <w:start w:val="1"/>
      <w:numFmt w:val="decimal"/>
      <w:pStyle w:val="ListNumber2"/>
      <w:lvlText w:val="%1."/>
      <w:lvlJc w:val="left"/>
      <w:pPr>
        <w:ind w:left="360" w:hanging="360"/>
      </w:pPr>
      <w:rPr>
        <w:rFonts w:hint="default"/>
      </w:rPr>
    </w:lvl>
  </w:abstractNum>
  <w:abstractNum w:abstractNumId="1"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34367B10"/>
    <w:lvl w:ilvl="0">
      <w:start w:val="1"/>
      <w:numFmt w:val="decimal"/>
      <w:pStyle w:val="ListNumber"/>
      <w:lvlText w:val="%1."/>
      <w:lvlJc w:val="left"/>
      <w:pPr>
        <w:ind w:left="360" w:hanging="360"/>
      </w:pPr>
      <w:rPr>
        <w:rFonts w:hint="default"/>
        <w:caps/>
        <w:sz w:val="20"/>
      </w:rPr>
    </w:lvl>
  </w:abstractNum>
  <w:abstractNum w:abstractNumId="3" w15:restartNumberingAfterBreak="0">
    <w:nsid w:val="FFFFFF89"/>
    <w:multiLevelType w:val="singleLevel"/>
    <w:tmpl w:val="0E96D452"/>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7E913D6"/>
    <w:multiLevelType w:val="hybridMultilevel"/>
    <w:tmpl w:val="7E167DA8"/>
    <w:lvl w:ilvl="0" w:tplc="0C090019">
      <w:start w:val="1"/>
      <w:numFmt w:val="lowerLetter"/>
      <w:lvlText w:val="%1."/>
      <w:lvlJc w:val="left"/>
      <w:pPr>
        <w:ind w:left="1400" w:hanging="360"/>
      </w:pPr>
    </w:lvl>
    <w:lvl w:ilvl="1" w:tplc="F2A682A0">
      <w:start w:val="1"/>
      <w:numFmt w:val="lowerLetter"/>
      <w:lvlText w:val="%2)"/>
      <w:lvlJc w:val="left"/>
      <w:pPr>
        <w:ind w:left="2120" w:hanging="360"/>
      </w:pPr>
      <w:rPr>
        <w:rFonts w:hint="default"/>
      </w:r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5" w15:restartNumberingAfterBreak="0">
    <w:nsid w:val="08F3712A"/>
    <w:multiLevelType w:val="multilevel"/>
    <w:tmpl w:val="CB3C41B2"/>
    <w:lvl w:ilvl="0">
      <w:start w:val="1"/>
      <w:numFmt w:val="upperLetter"/>
      <w:pStyle w:val="AppendixH1"/>
      <w:lvlText w:val="Appendix %1:"/>
      <w:lvlJc w:val="left"/>
      <w:pPr>
        <w:ind w:left="0" w:firstLine="0"/>
      </w:pPr>
      <w:rPr>
        <w:rFonts w:hint="default"/>
        <w:b w:val="0"/>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680"/>
        </w:tabs>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6" w15:restartNumberingAfterBreak="0">
    <w:nsid w:val="0F9441DE"/>
    <w:multiLevelType w:val="hybridMultilevel"/>
    <w:tmpl w:val="4DE49E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1AD521D"/>
    <w:multiLevelType w:val="hybridMultilevel"/>
    <w:tmpl w:val="B108FD84"/>
    <w:lvl w:ilvl="0" w:tplc="DD00C67E">
      <w:start w:val="1"/>
      <w:numFmt w:val="bullet"/>
      <w:pStyle w:val="Bulletlevel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2B13EE4"/>
    <w:multiLevelType w:val="hybridMultilevel"/>
    <w:tmpl w:val="7D98CC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6D288C"/>
    <w:multiLevelType w:val="hybridMultilevel"/>
    <w:tmpl w:val="A420FACE"/>
    <w:lvl w:ilvl="0" w:tplc="6068082A">
      <w:start w:val="1"/>
      <w:numFmt w:val="decimal"/>
      <w:pStyle w:val="AppendixH2"/>
      <w:lvlText w:val="%1:"/>
      <w:lvlJc w:val="left"/>
      <w:pPr>
        <w:ind w:left="2988" w:hanging="360"/>
      </w:pPr>
      <w:rPr>
        <w:rFonts w:hint="default"/>
      </w:rPr>
    </w:lvl>
    <w:lvl w:ilvl="1" w:tplc="0C090019" w:tentative="1">
      <w:start w:val="1"/>
      <w:numFmt w:val="lowerLetter"/>
      <w:lvlText w:val="%2."/>
      <w:lvlJc w:val="left"/>
      <w:pPr>
        <w:ind w:left="3708" w:hanging="360"/>
      </w:pPr>
    </w:lvl>
    <w:lvl w:ilvl="2" w:tplc="0C09001B" w:tentative="1">
      <w:start w:val="1"/>
      <w:numFmt w:val="lowerRoman"/>
      <w:lvlText w:val="%3."/>
      <w:lvlJc w:val="right"/>
      <w:pPr>
        <w:ind w:left="4428" w:hanging="180"/>
      </w:pPr>
    </w:lvl>
    <w:lvl w:ilvl="3" w:tplc="0C09000F" w:tentative="1">
      <w:start w:val="1"/>
      <w:numFmt w:val="decimal"/>
      <w:lvlText w:val="%4."/>
      <w:lvlJc w:val="left"/>
      <w:pPr>
        <w:ind w:left="5148" w:hanging="360"/>
      </w:pPr>
    </w:lvl>
    <w:lvl w:ilvl="4" w:tplc="0C090019" w:tentative="1">
      <w:start w:val="1"/>
      <w:numFmt w:val="lowerLetter"/>
      <w:lvlText w:val="%5."/>
      <w:lvlJc w:val="left"/>
      <w:pPr>
        <w:ind w:left="5868" w:hanging="360"/>
      </w:pPr>
    </w:lvl>
    <w:lvl w:ilvl="5" w:tplc="0C09001B" w:tentative="1">
      <w:start w:val="1"/>
      <w:numFmt w:val="lowerRoman"/>
      <w:lvlText w:val="%6."/>
      <w:lvlJc w:val="right"/>
      <w:pPr>
        <w:ind w:left="6588" w:hanging="180"/>
      </w:pPr>
    </w:lvl>
    <w:lvl w:ilvl="6" w:tplc="0C09000F" w:tentative="1">
      <w:start w:val="1"/>
      <w:numFmt w:val="decimal"/>
      <w:lvlText w:val="%7."/>
      <w:lvlJc w:val="left"/>
      <w:pPr>
        <w:ind w:left="7308" w:hanging="360"/>
      </w:pPr>
    </w:lvl>
    <w:lvl w:ilvl="7" w:tplc="0C090019" w:tentative="1">
      <w:start w:val="1"/>
      <w:numFmt w:val="lowerLetter"/>
      <w:lvlText w:val="%8."/>
      <w:lvlJc w:val="left"/>
      <w:pPr>
        <w:ind w:left="8028" w:hanging="360"/>
      </w:pPr>
    </w:lvl>
    <w:lvl w:ilvl="8" w:tplc="0C09001B" w:tentative="1">
      <w:start w:val="1"/>
      <w:numFmt w:val="lowerRoman"/>
      <w:lvlText w:val="%9."/>
      <w:lvlJc w:val="right"/>
      <w:pPr>
        <w:ind w:left="8748" w:hanging="180"/>
      </w:pPr>
    </w:lvl>
  </w:abstractNum>
  <w:abstractNum w:abstractNumId="10" w15:restartNumberingAfterBreak="0">
    <w:nsid w:val="2F5A5080"/>
    <w:multiLevelType w:val="hybridMultilevel"/>
    <w:tmpl w:val="BE2AF6CE"/>
    <w:lvl w:ilvl="0" w:tplc="D05E2434">
      <w:start w:val="1"/>
      <w:numFmt w:val="bullet"/>
      <w:pStyle w:val="ACMABulletLevel1"/>
      <w:lvlText w:val="●"/>
      <w:lvlJc w:val="left"/>
      <w:pPr>
        <w:tabs>
          <w:tab w:val="num" w:pos="-31680"/>
        </w:tabs>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31E73A1E"/>
    <w:multiLevelType w:val="hybridMultilevel"/>
    <w:tmpl w:val="8F0658F2"/>
    <w:lvl w:ilvl="0" w:tplc="0C090017">
      <w:start w:val="1"/>
      <w:numFmt w:val="lowerLetter"/>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2" w15:restartNumberingAfterBreak="0">
    <w:nsid w:val="37086907"/>
    <w:multiLevelType w:val="multilevel"/>
    <w:tmpl w:val="5C382F8A"/>
    <w:lvl w:ilvl="0">
      <w:start w:val="1"/>
      <w:numFmt w:val="decimal"/>
      <w:pStyle w:val="Partheading"/>
      <w:suff w:val="space"/>
      <w:lvlText w:val="Part %1:"/>
      <w:lvlJc w:val="left"/>
      <w:pPr>
        <w:ind w:left="0" w:firstLine="0"/>
      </w:pPr>
      <w:rPr>
        <w:rFonts w:hint="default"/>
      </w:rPr>
    </w:lvl>
    <w:lvl w:ilvl="1">
      <w:start w:val="1"/>
      <w:numFmt w:val="decimal"/>
      <w:pStyle w:val="Numberedheading"/>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B915F4"/>
    <w:multiLevelType w:val="multilevel"/>
    <w:tmpl w:val="57F23F5C"/>
    <w:lvl w:ilvl="0">
      <w:start w:val="1"/>
      <w:numFmt w:val="decimal"/>
      <w:pStyle w:val="Heading1"/>
      <w:lvlText w:val="%1"/>
      <w:lvlJc w:val="left"/>
      <w:pPr>
        <w:ind w:left="431" w:hanging="43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31" w:hanging="431"/>
      </w:pPr>
    </w:lvl>
    <w:lvl w:ilvl="2">
      <w:start w:val="1"/>
      <w:numFmt w:val="decimal"/>
      <w:pStyle w:val="Heading3"/>
      <w:lvlText w:val="%1.%2.%3"/>
      <w:lvlJc w:val="left"/>
      <w:pPr>
        <w:ind w:left="431" w:hanging="431"/>
      </w:pPr>
      <w:rPr>
        <w:rFonts w:hint="default"/>
      </w:rPr>
    </w:lvl>
    <w:lvl w:ilvl="3">
      <w:start w:val="1"/>
      <w:numFmt w:val="decimal"/>
      <w:pStyle w:val="Heading4"/>
      <w:lvlText w:val="%1.%2.%3.%4"/>
      <w:lvlJc w:val="left"/>
      <w:pPr>
        <w:ind w:left="431" w:hanging="431"/>
      </w:pPr>
      <w:rPr>
        <w:rFonts w:hint="default"/>
      </w:rPr>
    </w:lvl>
    <w:lvl w:ilvl="4">
      <w:start w:val="1"/>
      <w:numFmt w:val="decimal"/>
      <w:pStyle w:val="Heading5"/>
      <w:lvlText w:val="%1.%2.%3.%4.%5"/>
      <w:lvlJc w:val="left"/>
      <w:pPr>
        <w:ind w:left="431" w:hanging="431"/>
      </w:pPr>
      <w:rPr>
        <w:rFonts w:hint="default"/>
      </w:rPr>
    </w:lvl>
    <w:lvl w:ilvl="5">
      <w:start w:val="1"/>
      <w:numFmt w:val="decimal"/>
      <w:pStyle w:val="Heading6"/>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4" w15:restartNumberingAfterBreak="0">
    <w:nsid w:val="46100DA3"/>
    <w:multiLevelType w:val="hybridMultilevel"/>
    <w:tmpl w:val="FDEE23E0"/>
    <w:lvl w:ilvl="0" w:tplc="0C090017">
      <w:start w:val="1"/>
      <w:numFmt w:val="lowerLetter"/>
      <w:lvlText w:val="%1)"/>
      <w:lvlJc w:val="left"/>
      <w:pPr>
        <w:ind w:left="1004" w:hanging="360"/>
      </w:pPr>
    </w:lvl>
    <w:lvl w:ilvl="1" w:tplc="4FB4FE74">
      <w:start w:val="1"/>
      <w:numFmt w:val="lowerRoman"/>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5" w15:restartNumberingAfterBreak="0">
    <w:nsid w:val="507D1E5F"/>
    <w:multiLevelType w:val="hybridMultilevel"/>
    <w:tmpl w:val="9D4CD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AA21F0"/>
    <w:multiLevelType w:val="hybridMultilevel"/>
    <w:tmpl w:val="4DDA0712"/>
    <w:lvl w:ilvl="0" w:tplc="59A6BED4">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45372B"/>
    <w:multiLevelType w:val="hybridMultilevel"/>
    <w:tmpl w:val="6CC436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0C371A4"/>
    <w:multiLevelType w:val="hybridMultilevel"/>
    <w:tmpl w:val="EA8CB81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F70E0B"/>
    <w:multiLevelType w:val="hybridMultilevel"/>
    <w:tmpl w:val="DF10FF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71478"/>
    <w:multiLevelType w:val="hybridMultilevel"/>
    <w:tmpl w:val="680E522C"/>
    <w:lvl w:ilvl="0" w:tplc="30580B3C">
      <w:start w:val="1"/>
      <w:numFmt w:val="decimal"/>
      <w:pStyle w:val="ACMAFigureHeader"/>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066B86"/>
    <w:multiLevelType w:val="hybridMultilevel"/>
    <w:tmpl w:val="92C05932"/>
    <w:lvl w:ilvl="0" w:tplc="5F3AB7BA">
      <w:start w:val="1"/>
      <w:numFmt w:val="bullet"/>
      <w:lvlText w:val=""/>
      <w:lvlJc w:val="left"/>
      <w:pPr>
        <w:ind w:left="720" w:hanging="360"/>
      </w:pPr>
      <w:rPr>
        <w:rFonts w:ascii="Symbol" w:hAnsi="Symbol"/>
      </w:rPr>
    </w:lvl>
    <w:lvl w:ilvl="1" w:tplc="0CB2814E">
      <w:start w:val="1"/>
      <w:numFmt w:val="bullet"/>
      <w:lvlText w:val=""/>
      <w:lvlJc w:val="left"/>
      <w:pPr>
        <w:ind w:left="720" w:hanging="360"/>
      </w:pPr>
      <w:rPr>
        <w:rFonts w:ascii="Symbol" w:hAnsi="Symbol"/>
      </w:rPr>
    </w:lvl>
    <w:lvl w:ilvl="2" w:tplc="EECEDE2E">
      <w:start w:val="1"/>
      <w:numFmt w:val="bullet"/>
      <w:lvlText w:val=""/>
      <w:lvlJc w:val="left"/>
      <w:pPr>
        <w:ind w:left="720" w:hanging="360"/>
      </w:pPr>
      <w:rPr>
        <w:rFonts w:ascii="Symbol" w:hAnsi="Symbol"/>
      </w:rPr>
    </w:lvl>
    <w:lvl w:ilvl="3" w:tplc="165E8098">
      <w:start w:val="1"/>
      <w:numFmt w:val="bullet"/>
      <w:lvlText w:val=""/>
      <w:lvlJc w:val="left"/>
      <w:pPr>
        <w:ind w:left="720" w:hanging="360"/>
      </w:pPr>
      <w:rPr>
        <w:rFonts w:ascii="Symbol" w:hAnsi="Symbol"/>
      </w:rPr>
    </w:lvl>
    <w:lvl w:ilvl="4" w:tplc="CB40F2DC">
      <w:start w:val="1"/>
      <w:numFmt w:val="bullet"/>
      <w:lvlText w:val=""/>
      <w:lvlJc w:val="left"/>
      <w:pPr>
        <w:ind w:left="720" w:hanging="360"/>
      </w:pPr>
      <w:rPr>
        <w:rFonts w:ascii="Symbol" w:hAnsi="Symbol"/>
      </w:rPr>
    </w:lvl>
    <w:lvl w:ilvl="5" w:tplc="94F4EC00">
      <w:start w:val="1"/>
      <w:numFmt w:val="bullet"/>
      <w:lvlText w:val=""/>
      <w:lvlJc w:val="left"/>
      <w:pPr>
        <w:ind w:left="720" w:hanging="360"/>
      </w:pPr>
      <w:rPr>
        <w:rFonts w:ascii="Symbol" w:hAnsi="Symbol"/>
      </w:rPr>
    </w:lvl>
    <w:lvl w:ilvl="6" w:tplc="8488F724">
      <w:start w:val="1"/>
      <w:numFmt w:val="bullet"/>
      <w:lvlText w:val=""/>
      <w:lvlJc w:val="left"/>
      <w:pPr>
        <w:ind w:left="720" w:hanging="360"/>
      </w:pPr>
      <w:rPr>
        <w:rFonts w:ascii="Symbol" w:hAnsi="Symbol"/>
      </w:rPr>
    </w:lvl>
    <w:lvl w:ilvl="7" w:tplc="C83E9C6A">
      <w:start w:val="1"/>
      <w:numFmt w:val="bullet"/>
      <w:lvlText w:val=""/>
      <w:lvlJc w:val="left"/>
      <w:pPr>
        <w:ind w:left="720" w:hanging="360"/>
      </w:pPr>
      <w:rPr>
        <w:rFonts w:ascii="Symbol" w:hAnsi="Symbol"/>
      </w:rPr>
    </w:lvl>
    <w:lvl w:ilvl="8" w:tplc="3F82D730">
      <w:start w:val="1"/>
      <w:numFmt w:val="bullet"/>
      <w:lvlText w:val=""/>
      <w:lvlJc w:val="left"/>
      <w:pPr>
        <w:ind w:left="720" w:hanging="360"/>
      </w:pPr>
      <w:rPr>
        <w:rFonts w:ascii="Symbol" w:hAnsi="Symbol"/>
      </w:rPr>
    </w:lvl>
  </w:abstractNum>
  <w:abstractNum w:abstractNumId="23"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A87E02"/>
    <w:multiLevelType w:val="hybridMultilevel"/>
    <w:tmpl w:val="CEC26B8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92675265">
    <w:abstractNumId w:val="3"/>
  </w:num>
  <w:num w:numId="2" w16cid:durableId="1803494100">
    <w:abstractNumId w:val="1"/>
  </w:num>
  <w:num w:numId="3" w16cid:durableId="807238151">
    <w:abstractNumId w:val="2"/>
  </w:num>
  <w:num w:numId="4" w16cid:durableId="1561093177">
    <w:abstractNumId w:val="0"/>
  </w:num>
  <w:num w:numId="5" w16cid:durableId="818304106">
    <w:abstractNumId w:val="21"/>
  </w:num>
  <w:num w:numId="6" w16cid:durableId="387195102">
    <w:abstractNumId w:val="16"/>
  </w:num>
  <w:num w:numId="7" w16cid:durableId="448815164">
    <w:abstractNumId w:val="20"/>
  </w:num>
  <w:num w:numId="8" w16cid:durableId="255989194">
    <w:abstractNumId w:val="23"/>
  </w:num>
  <w:num w:numId="9" w16cid:durableId="281422744">
    <w:abstractNumId w:val="12"/>
  </w:num>
  <w:num w:numId="10" w16cid:durableId="851333836">
    <w:abstractNumId w:val="13"/>
  </w:num>
  <w:num w:numId="11" w16cid:durableId="1058240790">
    <w:abstractNumId w:val="10"/>
  </w:num>
  <w:num w:numId="12" w16cid:durableId="965769305">
    <w:abstractNumId w:val="18"/>
  </w:num>
  <w:num w:numId="13" w16cid:durableId="1273247759">
    <w:abstractNumId w:val="4"/>
  </w:num>
  <w:num w:numId="14" w16cid:durableId="1542984855">
    <w:abstractNumId w:val="5"/>
  </w:num>
  <w:num w:numId="15" w16cid:durableId="2050061710">
    <w:abstractNumId w:val="9"/>
  </w:num>
  <w:num w:numId="16" w16cid:durableId="1886982850">
    <w:abstractNumId w:val="19"/>
  </w:num>
  <w:num w:numId="17" w16cid:durableId="1265649142">
    <w:abstractNumId w:val="8"/>
  </w:num>
  <w:num w:numId="18" w16cid:durableId="1803843451">
    <w:abstractNumId w:val="22"/>
  </w:num>
  <w:num w:numId="19" w16cid:durableId="1321538889">
    <w:abstractNumId w:val="15"/>
  </w:num>
  <w:num w:numId="20" w16cid:durableId="1793866713">
    <w:abstractNumId w:val="11"/>
  </w:num>
  <w:num w:numId="21" w16cid:durableId="1326976869">
    <w:abstractNumId w:val="14"/>
  </w:num>
  <w:num w:numId="22" w16cid:durableId="1091731347">
    <w:abstractNumId w:val="7"/>
  </w:num>
  <w:num w:numId="23" w16cid:durableId="321156959">
    <w:abstractNumId w:val="6"/>
  </w:num>
  <w:num w:numId="24" w16cid:durableId="1746136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155458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75"/>
    <w:rsid w:val="0000037E"/>
    <w:rsid w:val="00000AA7"/>
    <w:rsid w:val="000047C5"/>
    <w:rsid w:val="00005FA6"/>
    <w:rsid w:val="000062F2"/>
    <w:rsid w:val="00007F3B"/>
    <w:rsid w:val="00010667"/>
    <w:rsid w:val="00011675"/>
    <w:rsid w:val="000128A3"/>
    <w:rsid w:val="000129D5"/>
    <w:rsid w:val="0001301F"/>
    <w:rsid w:val="00013739"/>
    <w:rsid w:val="00013823"/>
    <w:rsid w:val="00015AE7"/>
    <w:rsid w:val="0001653A"/>
    <w:rsid w:val="00016E21"/>
    <w:rsid w:val="0001719C"/>
    <w:rsid w:val="000176F6"/>
    <w:rsid w:val="000206DF"/>
    <w:rsid w:val="0002224E"/>
    <w:rsid w:val="000245E5"/>
    <w:rsid w:val="00025914"/>
    <w:rsid w:val="00025E43"/>
    <w:rsid w:val="00026F91"/>
    <w:rsid w:val="00030512"/>
    <w:rsid w:val="00030F62"/>
    <w:rsid w:val="000318D2"/>
    <w:rsid w:val="00031E2A"/>
    <w:rsid w:val="0003217C"/>
    <w:rsid w:val="000334BA"/>
    <w:rsid w:val="000345E9"/>
    <w:rsid w:val="00035AA5"/>
    <w:rsid w:val="0003650D"/>
    <w:rsid w:val="000438D5"/>
    <w:rsid w:val="0004557A"/>
    <w:rsid w:val="000460FF"/>
    <w:rsid w:val="0004764C"/>
    <w:rsid w:val="00050118"/>
    <w:rsid w:val="0005011A"/>
    <w:rsid w:val="0005045A"/>
    <w:rsid w:val="00051C1E"/>
    <w:rsid w:val="000529FB"/>
    <w:rsid w:val="000539F9"/>
    <w:rsid w:val="000540BC"/>
    <w:rsid w:val="00054C27"/>
    <w:rsid w:val="00055DAB"/>
    <w:rsid w:val="00055EC3"/>
    <w:rsid w:val="00056013"/>
    <w:rsid w:val="000563CE"/>
    <w:rsid w:val="00056831"/>
    <w:rsid w:val="000572FE"/>
    <w:rsid w:val="000607D2"/>
    <w:rsid w:val="00061111"/>
    <w:rsid w:val="00063A18"/>
    <w:rsid w:val="000659B6"/>
    <w:rsid w:val="0006664E"/>
    <w:rsid w:val="0006686F"/>
    <w:rsid w:val="000669DC"/>
    <w:rsid w:val="0006722A"/>
    <w:rsid w:val="00071B6F"/>
    <w:rsid w:val="000722BE"/>
    <w:rsid w:val="00072CCD"/>
    <w:rsid w:val="00072E7D"/>
    <w:rsid w:val="000732CF"/>
    <w:rsid w:val="00073CFB"/>
    <w:rsid w:val="00074F0C"/>
    <w:rsid w:val="000750D8"/>
    <w:rsid w:val="00075889"/>
    <w:rsid w:val="00075B96"/>
    <w:rsid w:val="00076334"/>
    <w:rsid w:val="00077E86"/>
    <w:rsid w:val="000812E0"/>
    <w:rsid w:val="0008196A"/>
    <w:rsid w:val="00081D59"/>
    <w:rsid w:val="000825D1"/>
    <w:rsid w:val="00082B40"/>
    <w:rsid w:val="00083F7C"/>
    <w:rsid w:val="000850F2"/>
    <w:rsid w:val="00085296"/>
    <w:rsid w:val="00087E34"/>
    <w:rsid w:val="000901D8"/>
    <w:rsid w:val="000915ED"/>
    <w:rsid w:val="0009209D"/>
    <w:rsid w:val="00092BA9"/>
    <w:rsid w:val="00093D7A"/>
    <w:rsid w:val="00094088"/>
    <w:rsid w:val="00095FA0"/>
    <w:rsid w:val="000969BD"/>
    <w:rsid w:val="000969BF"/>
    <w:rsid w:val="00096DB9"/>
    <w:rsid w:val="00097D72"/>
    <w:rsid w:val="000A0C22"/>
    <w:rsid w:val="000A1400"/>
    <w:rsid w:val="000A3C43"/>
    <w:rsid w:val="000A46CB"/>
    <w:rsid w:val="000A4A51"/>
    <w:rsid w:val="000A4BBC"/>
    <w:rsid w:val="000A5D2B"/>
    <w:rsid w:val="000A7442"/>
    <w:rsid w:val="000B2746"/>
    <w:rsid w:val="000B27C0"/>
    <w:rsid w:val="000B2B00"/>
    <w:rsid w:val="000B418E"/>
    <w:rsid w:val="000B4F1A"/>
    <w:rsid w:val="000B55F9"/>
    <w:rsid w:val="000B5D59"/>
    <w:rsid w:val="000B5DE3"/>
    <w:rsid w:val="000B652B"/>
    <w:rsid w:val="000B6B57"/>
    <w:rsid w:val="000B7462"/>
    <w:rsid w:val="000C0293"/>
    <w:rsid w:val="000C0A57"/>
    <w:rsid w:val="000C0C71"/>
    <w:rsid w:val="000C12B5"/>
    <w:rsid w:val="000C141F"/>
    <w:rsid w:val="000C1A48"/>
    <w:rsid w:val="000C230C"/>
    <w:rsid w:val="000C29F0"/>
    <w:rsid w:val="000C3782"/>
    <w:rsid w:val="000C3A52"/>
    <w:rsid w:val="000C5004"/>
    <w:rsid w:val="000C50EF"/>
    <w:rsid w:val="000C63AC"/>
    <w:rsid w:val="000C6AB4"/>
    <w:rsid w:val="000C7591"/>
    <w:rsid w:val="000C7B89"/>
    <w:rsid w:val="000D0008"/>
    <w:rsid w:val="000D0856"/>
    <w:rsid w:val="000D1224"/>
    <w:rsid w:val="000D326E"/>
    <w:rsid w:val="000D4A1B"/>
    <w:rsid w:val="000D71D9"/>
    <w:rsid w:val="000D76E0"/>
    <w:rsid w:val="000D7E8B"/>
    <w:rsid w:val="000E0E50"/>
    <w:rsid w:val="000E2625"/>
    <w:rsid w:val="000E3220"/>
    <w:rsid w:val="000E393F"/>
    <w:rsid w:val="000E3C64"/>
    <w:rsid w:val="000E4343"/>
    <w:rsid w:val="000E4449"/>
    <w:rsid w:val="000E540B"/>
    <w:rsid w:val="000E6009"/>
    <w:rsid w:val="000E6097"/>
    <w:rsid w:val="000E6DC7"/>
    <w:rsid w:val="000F1BD7"/>
    <w:rsid w:val="000F3C65"/>
    <w:rsid w:val="000F3D70"/>
    <w:rsid w:val="000F41A3"/>
    <w:rsid w:val="000F4BF1"/>
    <w:rsid w:val="000F6491"/>
    <w:rsid w:val="0010159A"/>
    <w:rsid w:val="00102A66"/>
    <w:rsid w:val="00103829"/>
    <w:rsid w:val="001047AE"/>
    <w:rsid w:val="00111FCE"/>
    <w:rsid w:val="00112B6A"/>
    <w:rsid w:val="00114DFF"/>
    <w:rsid w:val="0011560D"/>
    <w:rsid w:val="0011582D"/>
    <w:rsid w:val="001217BB"/>
    <w:rsid w:val="001219CA"/>
    <w:rsid w:val="001229A5"/>
    <w:rsid w:val="001238D1"/>
    <w:rsid w:val="0012489B"/>
    <w:rsid w:val="00130017"/>
    <w:rsid w:val="00130F91"/>
    <w:rsid w:val="00133C88"/>
    <w:rsid w:val="00134228"/>
    <w:rsid w:val="001349ED"/>
    <w:rsid w:val="00134F60"/>
    <w:rsid w:val="00135C96"/>
    <w:rsid w:val="0013648A"/>
    <w:rsid w:val="00137424"/>
    <w:rsid w:val="001402C6"/>
    <w:rsid w:val="00140318"/>
    <w:rsid w:val="001405BF"/>
    <w:rsid w:val="001406CA"/>
    <w:rsid w:val="0014164A"/>
    <w:rsid w:val="0014191E"/>
    <w:rsid w:val="00141AD9"/>
    <w:rsid w:val="0014265E"/>
    <w:rsid w:val="00144F0E"/>
    <w:rsid w:val="00146CE6"/>
    <w:rsid w:val="00151535"/>
    <w:rsid w:val="001527C0"/>
    <w:rsid w:val="00152903"/>
    <w:rsid w:val="00152D2E"/>
    <w:rsid w:val="00153FD5"/>
    <w:rsid w:val="00155078"/>
    <w:rsid w:val="0015614F"/>
    <w:rsid w:val="001562E9"/>
    <w:rsid w:val="00156B0D"/>
    <w:rsid w:val="001577C2"/>
    <w:rsid w:val="00157F07"/>
    <w:rsid w:val="001633C4"/>
    <w:rsid w:val="0016458A"/>
    <w:rsid w:val="001704D5"/>
    <w:rsid w:val="00170BCB"/>
    <w:rsid w:val="00171589"/>
    <w:rsid w:val="00171591"/>
    <w:rsid w:val="001715A2"/>
    <w:rsid w:val="00171DFD"/>
    <w:rsid w:val="00172004"/>
    <w:rsid w:val="00172A0A"/>
    <w:rsid w:val="001731C2"/>
    <w:rsid w:val="00173781"/>
    <w:rsid w:val="00173981"/>
    <w:rsid w:val="001739E1"/>
    <w:rsid w:val="00174002"/>
    <w:rsid w:val="00176B9B"/>
    <w:rsid w:val="0017719D"/>
    <w:rsid w:val="001838FD"/>
    <w:rsid w:val="00183FD7"/>
    <w:rsid w:val="00184647"/>
    <w:rsid w:val="0018546A"/>
    <w:rsid w:val="00185A4A"/>
    <w:rsid w:val="00185CAB"/>
    <w:rsid w:val="00185E05"/>
    <w:rsid w:val="001875B7"/>
    <w:rsid w:val="00187CB3"/>
    <w:rsid w:val="0019050A"/>
    <w:rsid w:val="00190EF7"/>
    <w:rsid w:val="001910D4"/>
    <w:rsid w:val="001915C8"/>
    <w:rsid w:val="00195FAD"/>
    <w:rsid w:val="00196250"/>
    <w:rsid w:val="00197248"/>
    <w:rsid w:val="001976E3"/>
    <w:rsid w:val="00197815"/>
    <w:rsid w:val="001A1221"/>
    <w:rsid w:val="001A1543"/>
    <w:rsid w:val="001A44EC"/>
    <w:rsid w:val="001A5CB2"/>
    <w:rsid w:val="001A6792"/>
    <w:rsid w:val="001A710E"/>
    <w:rsid w:val="001B4F5D"/>
    <w:rsid w:val="001B58AA"/>
    <w:rsid w:val="001B5B66"/>
    <w:rsid w:val="001B6A33"/>
    <w:rsid w:val="001B7E48"/>
    <w:rsid w:val="001C09A5"/>
    <w:rsid w:val="001C0B81"/>
    <w:rsid w:val="001C17CE"/>
    <w:rsid w:val="001C3238"/>
    <w:rsid w:val="001C36CA"/>
    <w:rsid w:val="001C3A1C"/>
    <w:rsid w:val="001C43EB"/>
    <w:rsid w:val="001C44D1"/>
    <w:rsid w:val="001C55DF"/>
    <w:rsid w:val="001C5E6B"/>
    <w:rsid w:val="001C6AEE"/>
    <w:rsid w:val="001C7630"/>
    <w:rsid w:val="001C7FD8"/>
    <w:rsid w:val="001D09FA"/>
    <w:rsid w:val="001D317C"/>
    <w:rsid w:val="001D4BAB"/>
    <w:rsid w:val="001D639A"/>
    <w:rsid w:val="001D6D15"/>
    <w:rsid w:val="001E1F49"/>
    <w:rsid w:val="001E6386"/>
    <w:rsid w:val="001E63EE"/>
    <w:rsid w:val="001E7565"/>
    <w:rsid w:val="001F0E76"/>
    <w:rsid w:val="001F293C"/>
    <w:rsid w:val="001F4494"/>
    <w:rsid w:val="001F459F"/>
    <w:rsid w:val="001F5F15"/>
    <w:rsid w:val="001F7558"/>
    <w:rsid w:val="00200914"/>
    <w:rsid w:val="002012EA"/>
    <w:rsid w:val="00201333"/>
    <w:rsid w:val="00202209"/>
    <w:rsid w:val="00202C18"/>
    <w:rsid w:val="002042BD"/>
    <w:rsid w:val="00205B57"/>
    <w:rsid w:val="002101C9"/>
    <w:rsid w:val="00211D7F"/>
    <w:rsid w:val="0021287F"/>
    <w:rsid w:val="00212F8B"/>
    <w:rsid w:val="00213AF8"/>
    <w:rsid w:val="0021481F"/>
    <w:rsid w:val="002157E0"/>
    <w:rsid w:val="00216A57"/>
    <w:rsid w:val="00221855"/>
    <w:rsid w:val="0022334F"/>
    <w:rsid w:val="00223787"/>
    <w:rsid w:val="00223A64"/>
    <w:rsid w:val="002241D1"/>
    <w:rsid w:val="00226819"/>
    <w:rsid w:val="0022758B"/>
    <w:rsid w:val="00230599"/>
    <w:rsid w:val="002319E3"/>
    <w:rsid w:val="00232FE3"/>
    <w:rsid w:val="00233101"/>
    <w:rsid w:val="00233817"/>
    <w:rsid w:val="002367FF"/>
    <w:rsid w:val="00237926"/>
    <w:rsid w:val="002402A6"/>
    <w:rsid w:val="00240CE9"/>
    <w:rsid w:val="00242747"/>
    <w:rsid w:val="002434BA"/>
    <w:rsid w:val="002435E6"/>
    <w:rsid w:val="00243E7F"/>
    <w:rsid w:val="00246089"/>
    <w:rsid w:val="00246093"/>
    <w:rsid w:val="00246702"/>
    <w:rsid w:val="00247C59"/>
    <w:rsid w:val="00247F2E"/>
    <w:rsid w:val="00250ADC"/>
    <w:rsid w:val="00250B07"/>
    <w:rsid w:val="00251D2D"/>
    <w:rsid w:val="00252368"/>
    <w:rsid w:val="00254146"/>
    <w:rsid w:val="00256CF5"/>
    <w:rsid w:val="00257553"/>
    <w:rsid w:val="0026056B"/>
    <w:rsid w:val="00260FB2"/>
    <w:rsid w:val="00262128"/>
    <w:rsid w:val="00262307"/>
    <w:rsid w:val="00264486"/>
    <w:rsid w:val="0027165D"/>
    <w:rsid w:val="00271F4C"/>
    <w:rsid w:val="00273CEB"/>
    <w:rsid w:val="00274402"/>
    <w:rsid w:val="002744A1"/>
    <w:rsid w:val="002746CA"/>
    <w:rsid w:val="00281C2D"/>
    <w:rsid w:val="00281C89"/>
    <w:rsid w:val="0028282F"/>
    <w:rsid w:val="00285215"/>
    <w:rsid w:val="002877D8"/>
    <w:rsid w:val="0029478D"/>
    <w:rsid w:val="0029593B"/>
    <w:rsid w:val="00295E53"/>
    <w:rsid w:val="00297FC5"/>
    <w:rsid w:val="002A0417"/>
    <w:rsid w:val="002A09B8"/>
    <w:rsid w:val="002A0EC1"/>
    <w:rsid w:val="002A16D8"/>
    <w:rsid w:val="002A1BC8"/>
    <w:rsid w:val="002A344D"/>
    <w:rsid w:val="002A3BB0"/>
    <w:rsid w:val="002A3E3E"/>
    <w:rsid w:val="002A3EF2"/>
    <w:rsid w:val="002B0566"/>
    <w:rsid w:val="002B0DED"/>
    <w:rsid w:val="002B19A2"/>
    <w:rsid w:val="002B1E27"/>
    <w:rsid w:val="002B30FC"/>
    <w:rsid w:val="002B32B1"/>
    <w:rsid w:val="002B381A"/>
    <w:rsid w:val="002B4FCC"/>
    <w:rsid w:val="002B562F"/>
    <w:rsid w:val="002B5D91"/>
    <w:rsid w:val="002B7408"/>
    <w:rsid w:val="002B7CFD"/>
    <w:rsid w:val="002C14D1"/>
    <w:rsid w:val="002C1855"/>
    <w:rsid w:val="002C210F"/>
    <w:rsid w:val="002C2B89"/>
    <w:rsid w:val="002C411A"/>
    <w:rsid w:val="002C785F"/>
    <w:rsid w:val="002D0B70"/>
    <w:rsid w:val="002D1060"/>
    <w:rsid w:val="002D34CD"/>
    <w:rsid w:val="002D3600"/>
    <w:rsid w:val="002D7D44"/>
    <w:rsid w:val="002D7F52"/>
    <w:rsid w:val="002E02C2"/>
    <w:rsid w:val="002E0F70"/>
    <w:rsid w:val="002E3571"/>
    <w:rsid w:val="002E367E"/>
    <w:rsid w:val="002E47BB"/>
    <w:rsid w:val="002E4DDC"/>
    <w:rsid w:val="002E54B6"/>
    <w:rsid w:val="002E5B9E"/>
    <w:rsid w:val="002E5BBB"/>
    <w:rsid w:val="002E663B"/>
    <w:rsid w:val="002E6BD7"/>
    <w:rsid w:val="002E6D36"/>
    <w:rsid w:val="002F0597"/>
    <w:rsid w:val="002F0C46"/>
    <w:rsid w:val="002F0FF8"/>
    <w:rsid w:val="002F4060"/>
    <w:rsid w:val="002F4665"/>
    <w:rsid w:val="002F5A25"/>
    <w:rsid w:val="00301A8E"/>
    <w:rsid w:val="00302480"/>
    <w:rsid w:val="00302775"/>
    <w:rsid w:val="00304D44"/>
    <w:rsid w:val="003051C1"/>
    <w:rsid w:val="00306785"/>
    <w:rsid w:val="00307353"/>
    <w:rsid w:val="00313AE5"/>
    <w:rsid w:val="003159BB"/>
    <w:rsid w:val="003165E6"/>
    <w:rsid w:val="003169F3"/>
    <w:rsid w:val="00317CE5"/>
    <w:rsid w:val="003215B5"/>
    <w:rsid w:val="00321913"/>
    <w:rsid w:val="003221CF"/>
    <w:rsid w:val="003233ED"/>
    <w:rsid w:val="00324D9F"/>
    <w:rsid w:val="00327314"/>
    <w:rsid w:val="00327948"/>
    <w:rsid w:val="0033000F"/>
    <w:rsid w:val="00330733"/>
    <w:rsid w:val="00331C87"/>
    <w:rsid w:val="00332011"/>
    <w:rsid w:val="00332040"/>
    <w:rsid w:val="00332518"/>
    <w:rsid w:val="00332925"/>
    <w:rsid w:val="003332ED"/>
    <w:rsid w:val="00334478"/>
    <w:rsid w:val="00334742"/>
    <w:rsid w:val="0033505C"/>
    <w:rsid w:val="00335103"/>
    <w:rsid w:val="003368DC"/>
    <w:rsid w:val="00341B19"/>
    <w:rsid w:val="00343C80"/>
    <w:rsid w:val="0034512B"/>
    <w:rsid w:val="00345927"/>
    <w:rsid w:val="00345F7E"/>
    <w:rsid w:val="003466E0"/>
    <w:rsid w:val="00346A2C"/>
    <w:rsid w:val="00346AD6"/>
    <w:rsid w:val="00346E70"/>
    <w:rsid w:val="00350584"/>
    <w:rsid w:val="00351466"/>
    <w:rsid w:val="00351857"/>
    <w:rsid w:val="00353E36"/>
    <w:rsid w:val="003545E8"/>
    <w:rsid w:val="003610E1"/>
    <w:rsid w:val="00361DE8"/>
    <w:rsid w:val="00366071"/>
    <w:rsid w:val="00366668"/>
    <w:rsid w:val="003671BE"/>
    <w:rsid w:val="00371C83"/>
    <w:rsid w:val="00372485"/>
    <w:rsid w:val="00373200"/>
    <w:rsid w:val="00375EF5"/>
    <w:rsid w:val="003767A5"/>
    <w:rsid w:val="00381D15"/>
    <w:rsid w:val="00385254"/>
    <w:rsid w:val="00386101"/>
    <w:rsid w:val="00386996"/>
    <w:rsid w:val="00386A0B"/>
    <w:rsid w:val="00392193"/>
    <w:rsid w:val="003932F1"/>
    <w:rsid w:val="00394EB2"/>
    <w:rsid w:val="003A04DB"/>
    <w:rsid w:val="003A1243"/>
    <w:rsid w:val="003A3296"/>
    <w:rsid w:val="003A536F"/>
    <w:rsid w:val="003A5F5B"/>
    <w:rsid w:val="003A664B"/>
    <w:rsid w:val="003A70BE"/>
    <w:rsid w:val="003A789A"/>
    <w:rsid w:val="003B124B"/>
    <w:rsid w:val="003B12EC"/>
    <w:rsid w:val="003B1E07"/>
    <w:rsid w:val="003B37F5"/>
    <w:rsid w:val="003B451E"/>
    <w:rsid w:val="003C28DE"/>
    <w:rsid w:val="003C2AED"/>
    <w:rsid w:val="003C4380"/>
    <w:rsid w:val="003C468D"/>
    <w:rsid w:val="003C6C97"/>
    <w:rsid w:val="003C77E0"/>
    <w:rsid w:val="003D168E"/>
    <w:rsid w:val="003D17D7"/>
    <w:rsid w:val="003D1C1D"/>
    <w:rsid w:val="003D2678"/>
    <w:rsid w:val="003D27F8"/>
    <w:rsid w:val="003D3664"/>
    <w:rsid w:val="003D71A3"/>
    <w:rsid w:val="003E0683"/>
    <w:rsid w:val="003E074E"/>
    <w:rsid w:val="003E0A64"/>
    <w:rsid w:val="003E114A"/>
    <w:rsid w:val="003E2B8A"/>
    <w:rsid w:val="003E3A1E"/>
    <w:rsid w:val="003E6FB5"/>
    <w:rsid w:val="003E705F"/>
    <w:rsid w:val="003E7287"/>
    <w:rsid w:val="003F10EE"/>
    <w:rsid w:val="003F16F6"/>
    <w:rsid w:val="003F43B7"/>
    <w:rsid w:val="003F4DC7"/>
    <w:rsid w:val="003F5235"/>
    <w:rsid w:val="003F5D48"/>
    <w:rsid w:val="003F5DE9"/>
    <w:rsid w:val="003F6FF1"/>
    <w:rsid w:val="003F7FD7"/>
    <w:rsid w:val="00400A67"/>
    <w:rsid w:val="004027E4"/>
    <w:rsid w:val="0040306E"/>
    <w:rsid w:val="004032BE"/>
    <w:rsid w:val="00404A46"/>
    <w:rsid w:val="00404B2F"/>
    <w:rsid w:val="004057C7"/>
    <w:rsid w:val="004059A4"/>
    <w:rsid w:val="00405C7D"/>
    <w:rsid w:val="00407781"/>
    <w:rsid w:val="0041071D"/>
    <w:rsid w:val="00412D6B"/>
    <w:rsid w:val="00414AFC"/>
    <w:rsid w:val="00414C2E"/>
    <w:rsid w:val="004151A7"/>
    <w:rsid w:val="00415310"/>
    <w:rsid w:val="00416A02"/>
    <w:rsid w:val="004170A8"/>
    <w:rsid w:val="0041766D"/>
    <w:rsid w:val="0041773B"/>
    <w:rsid w:val="00420CAF"/>
    <w:rsid w:val="00421160"/>
    <w:rsid w:val="00421709"/>
    <w:rsid w:val="004232AC"/>
    <w:rsid w:val="00423763"/>
    <w:rsid w:val="0042398C"/>
    <w:rsid w:val="00424B4F"/>
    <w:rsid w:val="00426406"/>
    <w:rsid w:val="00426B84"/>
    <w:rsid w:val="00426C48"/>
    <w:rsid w:val="0042713E"/>
    <w:rsid w:val="0042762F"/>
    <w:rsid w:val="00427DC7"/>
    <w:rsid w:val="004303C5"/>
    <w:rsid w:val="00430D46"/>
    <w:rsid w:val="00431613"/>
    <w:rsid w:val="00431792"/>
    <w:rsid w:val="0043297A"/>
    <w:rsid w:val="00432EB2"/>
    <w:rsid w:val="0043714F"/>
    <w:rsid w:val="004379B1"/>
    <w:rsid w:val="004423D0"/>
    <w:rsid w:val="004438B5"/>
    <w:rsid w:val="00444C8F"/>
    <w:rsid w:val="00447037"/>
    <w:rsid w:val="0045124D"/>
    <w:rsid w:val="00454596"/>
    <w:rsid w:val="004558BE"/>
    <w:rsid w:val="0045605D"/>
    <w:rsid w:val="0045700C"/>
    <w:rsid w:val="00457679"/>
    <w:rsid w:val="0045796C"/>
    <w:rsid w:val="00461202"/>
    <w:rsid w:val="0046135B"/>
    <w:rsid w:val="00461D47"/>
    <w:rsid w:val="0046338C"/>
    <w:rsid w:val="00465467"/>
    <w:rsid w:val="00465FDB"/>
    <w:rsid w:val="00466197"/>
    <w:rsid w:val="0046679B"/>
    <w:rsid w:val="00470B67"/>
    <w:rsid w:val="00470E40"/>
    <w:rsid w:val="004718CC"/>
    <w:rsid w:val="00471AA8"/>
    <w:rsid w:val="0047211C"/>
    <w:rsid w:val="00475EE7"/>
    <w:rsid w:val="00476113"/>
    <w:rsid w:val="00477180"/>
    <w:rsid w:val="00477C35"/>
    <w:rsid w:val="004804E4"/>
    <w:rsid w:val="00480EF9"/>
    <w:rsid w:val="004812EC"/>
    <w:rsid w:val="00481695"/>
    <w:rsid w:val="0048362E"/>
    <w:rsid w:val="00487DFE"/>
    <w:rsid w:val="00493104"/>
    <w:rsid w:val="00493932"/>
    <w:rsid w:val="00495A96"/>
    <w:rsid w:val="00495BB3"/>
    <w:rsid w:val="0049638A"/>
    <w:rsid w:val="004A0C21"/>
    <w:rsid w:val="004A13A7"/>
    <w:rsid w:val="004A2805"/>
    <w:rsid w:val="004A56BB"/>
    <w:rsid w:val="004A61B0"/>
    <w:rsid w:val="004B1751"/>
    <w:rsid w:val="004B21A3"/>
    <w:rsid w:val="004B676C"/>
    <w:rsid w:val="004B6C3E"/>
    <w:rsid w:val="004B7737"/>
    <w:rsid w:val="004C0253"/>
    <w:rsid w:val="004C0742"/>
    <w:rsid w:val="004C0BA4"/>
    <w:rsid w:val="004C30E7"/>
    <w:rsid w:val="004C39F9"/>
    <w:rsid w:val="004C43A6"/>
    <w:rsid w:val="004D2D4A"/>
    <w:rsid w:val="004D3F11"/>
    <w:rsid w:val="004D56FF"/>
    <w:rsid w:val="004D735E"/>
    <w:rsid w:val="004E012E"/>
    <w:rsid w:val="004E2AEB"/>
    <w:rsid w:val="004E301D"/>
    <w:rsid w:val="004E39D3"/>
    <w:rsid w:val="004E508A"/>
    <w:rsid w:val="004E616D"/>
    <w:rsid w:val="004E6E19"/>
    <w:rsid w:val="004E7DF9"/>
    <w:rsid w:val="004F02AE"/>
    <w:rsid w:val="004F0886"/>
    <w:rsid w:val="004F14C7"/>
    <w:rsid w:val="004F1BDE"/>
    <w:rsid w:val="004F2CEE"/>
    <w:rsid w:val="004F3466"/>
    <w:rsid w:val="004F452C"/>
    <w:rsid w:val="004F47FC"/>
    <w:rsid w:val="004F556E"/>
    <w:rsid w:val="004F591C"/>
    <w:rsid w:val="004F7F44"/>
    <w:rsid w:val="005037B4"/>
    <w:rsid w:val="0050476F"/>
    <w:rsid w:val="00506168"/>
    <w:rsid w:val="005079BF"/>
    <w:rsid w:val="00510452"/>
    <w:rsid w:val="0051269A"/>
    <w:rsid w:val="005131B5"/>
    <w:rsid w:val="005160F1"/>
    <w:rsid w:val="00516C9D"/>
    <w:rsid w:val="00516D30"/>
    <w:rsid w:val="005219E7"/>
    <w:rsid w:val="00523190"/>
    <w:rsid w:val="00523D12"/>
    <w:rsid w:val="00523D34"/>
    <w:rsid w:val="0052478D"/>
    <w:rsid w:val="0052795B"/>
    <w:rsid w:val="00531B9A"/>
    <w:rsid w:val="00531D15"/>
    <w:rsid w:val="005325F7"/>
    <w:rsid w:val="005337B2"/>
    <w:rsid w:val="0053443F"/>
    <w:rsid w:val="00536063"/>
    <w:rsid w:val="00537604"/>
    <w:rsid w:val="00541025"/>
    <w:rsid w:val="00542377"/>
    <w:rsid w:val="00543BA4"/>
    <w:rsid w:val="005444BF"/>
    <w:rsid w:val="005463C6"/>
    <w:rsid w:val="005472FF"/>
    <w:rsid w:val="005476EB"/>
    <w:rsid w:val="00547C8D"/>
    <w:rsid w:val="00551782"/>
    <w:rsid w:val="00551BE0"/>
    <w:rsid w:val="00553A46"/>
    <w:rsid w:val="00553F18"/>
    <w:rsid w:val="0055430F"/>
    <w:rsid w:val="00556D0C"/>
    <w:rsid w:val="00560739"/>
    <w:rsid w:val="0056120D"/>
    <w:rsid w:val="005625FF"/>
    <w:rsid w:val="005634A8"/>
    <w:rsid w:val="00563EF1"/>
    <w:rsid w:val="00566AB4"/>
    <w:rsid w:val="00566B0E"/>
    <w:rsid w:val="00567075"/>
    <w:rsid w:val="00567C7E"/>
    <w:rsid w:val="005744B2"/>
    <w:rsid w:val="005750C8"/>
    <w:rsid w:val="00575AC5"/>
    <w:rsid w:val="0057605D"/>
    <w:rsid w:val="0057643C"/>
    <w:rsid w:val="00576602"/>
    <w:rsid w:val="00577570"/>
    <w:rsid w:val="00581347"/>
    <w:rsid w:val="00581AC9"/>
    <w:rsid w:val="005826D7"/>
    <w:rsid w:val="00583567"/>
    <w:rsid w:val="005849F8"/>
    <w:rsid w:val="0058665E"/>
    <w:rsid w:val="00586E26"/>
    <w:rsid w:val="005927BE"/>
    <w:rsid w:val="005938DF"/>
    <w:rsid w:val="00593FA6"/>
    <w:rsid w:val="00594DF7"/>
    <w:rsid w:val="00594E9C"/>
    <w:rsid w:val="0059560D"/>
    <w:rsid w:val="005965E5"/>
    <w:rsid w:val="00597DE0"/>
    <w:rsid w:val="005A099B"/>
    <w:rsid w:val="005A2D9C"/>
    <w:rsid w:val="005A2FF9"/>
    <w:rsid w:val="005A34D1"/>
    <w:rsid w:val="005A4847"/>
    <w:rsid w:val="005A55FE"/>
    <w:rsid w:val="005A6A11"/>
    <w:rsid w:val="005A7626"/>
    <w:rsid w:val="005B0725"/>
    <w:rsid w:val="005B1907"/>
    <w:rsid w:val="005B296E"/>
    <w:rsid w:val="005B35EF"/>
    <w:rsid w:val="005B4BF6"/>
    <w:rsid w:val="005B6607"/>
    <w:rsid w:val="005C0006"/>
    <w:rsid w:val="005C114B"/>
    <w:rsid w:val="005C130D"/>
    <w:rsid w:val="005C4577"/>
    <w:rsid w:val="005D03B0"/>
    <w:rsid w:val="005D13D1"/>
    <w:rsid w:val="005D1E31"/>
    <w:rsid w:val="005D2502"/>
    <w:rsid w:val="005D4003"/>
    <w:rsid w:val="005D40BB"/>
    <w:rsid w:val="005D47F3"/>
    <w:rsid w:val="005D49BF"/>
    <w:rsid w:val="005D4AA5"/>
    <w:rsid w:val="005D5644"/>
    <w:rsid w:val="005D6F4E"/>
    <w:rsid w:val="005D76A0"/>
    <w:rsid w:val="005D7C73"/>
    <w:rsid w:val="005E1514"/>
    <w:rsid w:val="005E3259"/>
    <w:rsid w:val="005E3718"/>
    <w:rsid w:val="005E3ACD"/>
    <w:rsid w:val="005E69BA"/>
    <w:rsid w:val="005E7226"/>
    <w:rsid w:val="005E7A57"/>
    <w:rsid w:val="005F168A"/>
    <w:rsid w:val="005F1704"/>
    <w:rsid w:val="005F1FF7"/>
    <w:rsid w:val="005F24B0"/>
    <w:rsid w:val="005F2EED"/>
    <w:rsid w:val="005F3B47"/>
    <w:rsid w:val="006036E1"/>
    <w:rsid w:val="00604315"/>
    <w:rsid w:val="00604792"/>
    <w:rsid w:val="00604A24"/>
    <w:rsid w:val="00604E26"/>
    <w:rsid w:val="006052CF"/>
    <w:rsid w:val="00606567"/>
    <w:rsid w:val="006074D0"/>
    <w:rsid w:val="00607B8D"/>
    <w:rsid w:val="00610F1B"/>
    <w:rsid w:val="0061191A"/>
    <w:rsid w:val="00611F5C"/>
    <w:rsid w:val="00612213"/>
    <w:rsid w:val="00612A96"/>
    <w:rsid w:val="00614055"/>
    <w:rsid w:val="00614630"/>
    <w:rsid w:val="006149B1"/>
    <w:rsid w:val="00614C45"/>
    <w:rsid w:val="0061586A"/>
    <w:rsid w:val="00615AAB"/>
    <w:rsid w:val="006167FA"/>
    <w:rsid w:val="00616B94"/>
    <w:rsid w:val="00616E09"/>
    <w:rsid w:val="00620223"/>
    <w:rsid w:val="00622A3B"/>
    <w:rsid w:val="00622EEA"/>
    <w:rsid w:val="0062396C"/>
    <w:rsid w:val="00623FF9"/>
    <w:rsid w:val="0062445C"/>
    <w:rsid w:val="00624CBD"/>
    <w:rsid w:val="00624D7B"/>
    <w:rsid w:val="0062698D"/>
    <w:rsid w:val="00627025"/>
    <w:rsid w:val="0062768F"/>
    <w:rsid w:val="0062796A"/>
    <w:rsid w:val="00627AE5"/>
    <w:rsid w:val="00627C7D"/>
    <w:rsid w:val="00627D4E"/>
    <w:rsid w:val="006304EB"/>
    <w:rsid w:val="006306EF"/>
    <w:rsid w:val="00630CA2"/>
    <w:rsid w:val="00632AE8"/>
    <w:rsid w:val="00632B89"/>
    <w:rsid w:val="00634478"/>
    <w:rsid w:val="0063501D"/>
    <w:rsid w:val="00635271"/>
    <w:rsid w:val="006356DA"/>
    <w:rsid w:val="00637FDE"/>
    <w:rsid w:val="00642DC5"/>
    <w:rsid w:val="00644373"/>
    <w:rsid w:val="00645478"/>
    <w:rsid w:val="00645915"/>
    <w:rsid w:val="006519C3"/>
    <w:rsid w:val="00652B30"/>
    <w:rsid w:val="00653275"/>
    <w:rsid w:val="00653706"/>
    <w:rsid w:val="006539ED"/>
    <w:rsid w:val="00654B34"/>
    <w:rsid w:val="00656345"/>
    <w:rsid w:val="00656DC6"/>
    <w:rsid w:val="00657CDE"/>
    <w:rsid w:val="00660EC6"/>
    <w:rsid w:val="00662B77"/>
    <w:rsid w:val="00664110"/>
    <w:rsid w:val="006642C4"/>
    <w:rsid w:val="00664305"/>
    <w:rsid w:val="00664D17"/>
    <w:rsid w:val="00666520"/>
    <w:rsid w:val="00667C5B"/>
    <w:rsid w:val="006722FD"/>
    <w:rsid w:val="00673C94"/>
    <w:rsid w:val="006754F5"/>
    <w:rsid w:val="00676B9F"/>
    <w:rsid w:val="00681BC6"/>
    <w:rsid w:val="00682F01"/>
    <w:rsid w:val="006833C6"/>
    <w:rsid w:val="006843B3"/>
    <w:rsid w:val="00686D00"/>
    <w:rsid w:val="00691EB8"/>
    <w:rsid w:val="00692CDE"/>
    <w:rsid w:val="00693073"/>
    <w:rsid w:val="006936CC"/>
    <w:rsid w:val="0069419C"/>
    <w:rsid w:val="00694803"/>
    <w:rsid w:val="00694D78"/>
    <w:rsid w:val="00696E11"/>
    <w:rsid w:val="006977FF"/>
    <w:rsid w:val="006A01FA"/>
    <w:rsid w:val="006A0882"/>
    <w:rsid w:val="006A0E9E"/>
    <w:rsid w:val="006A25C7"/>
    <w:rsid w:val="006A43BE"/>
    <w:rsid w:val="006A45FE"/>
    <w:rsid w:val="006A4AAD"/>
    <w:rsid w:val="006A5605"/>
    <w:rsid w:val="006A6DA2"/>
    <w:rsid w:val="006A7AB2"/>
    <w:rsid w:val="006B1799"/>
    <w:rsid w:val="006B2CA8"/>
    <w:rsid w:val="006B3F49"/>
    <w:rsid w:val="006B5717"/>
    <w:rsid w:val="006B582F"/>
    <w:rsid w:val="006B5EB2"/>
    <w:rsid w:val="006B6616"/>
    <w:rsid w:val="006B7120"/>
    <w:rsid w:val="006C008F"/>
    <w:rsid w:val="006C0783"/>
    <w:rsid w:val="006C0CEB"/>
    <w:rsid w:val="006C3A86"/>
    <w:rsid w:val="006C3B1E"/>
    <w:rsid w:val="006C3B78"/>
    <w:rsid w:val="006C47FD"/>
    <w:rsid w:val="006C5C19"/>
    <w:rsid w:val="006C675D"/>
    <w:rsid w:val="006C70A0"/>
    <w:rsid w:val="006D27CB"/>
    <w:rsid w:val="006D2F08"/>
    <w:rsid w:val="006D3C16"/>
    <w:rsid w:val="006D5333"/>
    <w:rsid w:val="006D576C"/>
    <w:rsid w:val="006D5865"/>
    <w:rsid w:val="006D70B2"/>
    <w:rsid w:val="006D7CEB"/>
    <w:rsid w:val="006E1ACC"/>
    <w:rsid w:val="006E27EF"/>
    <w:rsid w:val="006E2B33"/>
    <w:rsid w:val="006E3164"/>
    <w:rsid w:val="006E4694"/>
    <w:rsid w:val="006E4B1B"/>
    <w:rsid w:val="006E5445"/>
    <w:rsid w:val="006E559C"/>
    <w:rsid w:val="006E66E5"/>
    <w:rsid w:val="006E7D93"/>
    <w:rsid w:val="006F15AA"/>
    <w:rsid w:val="006F4332"/>
    <w:rsid w:val="006F483D"/>
    <w:rsid w:val="006F7C47"/>
    <w:rsid w:val="007029A3"/>
    <w:rsid w:val="007045C3"/>
    <w:rsid w:val="007062D1"/>
    <w:rsid w:val="00706E4E"/>
    <w:rsid w:val="007078FA"/>
    <w:rsid w:val="0070791C"/>
    <w:rsid w:val="007114BC"/>
    <w:rsid w:val="0071254D"/>
    <w:rsid w:val="00712E2B"/>
    <w:rsid w:val="00712FF2"/>
    <w:rsid w:val="00713553"/>
    <w:rsid w:val="0071383C"/>
    <w:rsid w:val="007141A7"/>
    <w:rsid w:val="007145D6"/>
    <w:rsid w:val="007154D2"/>
    <w:rsid w:val="00715722"/>
    <w:rsid w:val="007172E3"/>
    <w:rsid w:val="00721032"/>
    <w:rsid w:val="007211C0"/>
    <w:rsid w:val="00721B55"/>
    <w:rsid w:val="00724C6F"/>
    <w:rsid w:val="00726009"/>
    <w:rsid w:val="00726CE4"/>
    <w:rsid w:val="007317C3"/>
    <w:rsid w:val="00731B76"/>
    <w:rsid w:val="00733B84"/>
    <w:rsid w:val="00734143"/>
    <w:rsid w:val="00735AEF"/>
    <w:rsid w:val="00737617"/>
    <w:rsid w:val="00737E47"/>
    <w:rsid w:val="00740EAC"/>
    <w:rsid w:val="00742C06"/>
    <w:rsid w:val="00744956"/>
    <w:rsid w:val="00744A2C"/>
    <w:rsid w:val="00744A4D"/>
    <w:rsid w:val="00745236"/>
    <w:rsid w:val="00745626"/>
    <w:rsid w:val="00745A5C"/>
    <w:rsid w:val="0074605F"/>
    <w:rsid w:val="00746A68"/>
    <w:rsid w:val="0074745B"/>
    <w:rsid w:val="00747E94"/>
    <w:rsid w:val="00753B43"/>
    <w:rsid w:val="0075445C"/>
    <w:rsid w:val="00754C83"/>
    <w:rsid w:val="00755FA2"/>
    <w:rsid w:val="007634A7"/>
    <w:rsid w:val="00765DF8"/>
    <w:rsid w:val="00766749"/>
    <w:rsid w:val="0076799D"/>
    <w:rsid w:val="00767C1B"/>
    <w:rsid w:val="00767E79"/>
    <w:rsid w:val="00770C03"/>
    <w:rsid w:val="007714A9"/>
    <w:rsid w:val="007725F3"/>
    <w:rsid w:val="00772E47"/>
    <w:rsid w:val="00774F88"/>
    <w:rsid w:val="00774FDB"/>
    <w:rsid w:val="00775BD7"/>
    <w:rsid w:val="007766BC"/>
    <w:rsid w:val="00776D9C"/>
    <w:rsid w:val="00777BA2"/>
    <w:rsid w:val="00781408"/>
    <w:rsid w:val="00782738"/>
    <w:rsid w:val="00784F7F"/>
    <w:rsid w:val="00785E0F"/>
    <w:rsid w:val="007878BD"/>
    <w:rsid w:val="00791D64"/>
    <w:rsid w:val="00792E04"/>
    <w:rsid w:val="00793AEA"/>
    <w:rsid w:val="0079419F"/>
    <w:rsid w:val="007943C8"/>
    <w:rsid w:val="00796F25"/>
    <w:rsid w:val="007A07BC"/>
    <w:rsid w:val="007A1D17"/>
    <w:rsid w:val="007A2E98"/>
    <w:rsid w:val="007A32AF"/>
    <w:rsid w:val="007A3BA3"/>
    <w:rsid w:val="007A51D0"/>
    <w:rsid w:val="007A6CC0"/>
    <w:rsid w:val="007A7FEC"/>
    <w:rsid w:val="007B0521"/>
    <w:rsid w:val="007B1499"/>
    <w:rsid w:val="007B1BBF"/>
    <w:rsid w:val="007B2960"/>
    <w:rsid w:val="007B355D"/>
    <w:rsid w:val="007B468E"/>
    <w:rsid w:val="007B6203"/>
    <w:rsid w:val="007B639A"/>
    <w:rsid w:val="007B7667"/>
    <w:rsid w:val="007B7980"/>
    <w:rsid w:val="007C07D2"/>
    <w:rsid w:val="007C0DEF"/>
    <w:rsid w:val="007C26BC"/>
    <w:rsid w:val="007C52AF"/>
    <w:rsid w:val="007C5D5A"/>
    <w:rsid w:val="007C607F"/>
    <w:rsid w:val="007C6270"/>
    <w:rsid w:val="007C6875"/>
    <w:rsid w:val="007C79DD"/>
    <w:rsid w:val="007D0FFC"/>
    <w:rsid w:val="007D1A97"/>
    <w:rsid w:val="007D1F38"/>
    <w:rsid w:val="007D2CD6"/>
    <w:rsid w:val="007D3063"/>
    <w:rsid w:val="007D3CEB"/>
    <w:rsid w:val="007D3FFF"/>
    <w:rsid w:val="007D79E5"/>
    <w:rsid w:val="007E01E2"/>
    <w:rsid w:val="007E0681"/>
    <w:rsid w:val="007E266B"/>
    <w:rsid w:val="007E3611"/>
    <w:rsid w:val="007E5C92"/>
    <w:rsid w:val="007E5E79"/>
    <w:rsid w:val="007E6BAF"/>
    <w:rsid w:val="007E7683"/>
    <w:rsid w:val="007E7D0A"/>
    <w:rsid w:val="007F0CB1"/>
    <w:rsid w:val="007F1385"/>
    <w:rsid w:val="007F328F"/>
    <w:rsid w:val="007F49FA"/>
    <w:rsid w:val="007F54C4"/>
    <w:rsid w:val="007F5F75"/>
    <w:rsid w:val="007F6E9A"/>
    <w:rsid w:val="007F7563"/>
    <w:rsid w:val="00800AF8"/>
    <w:rsid w:val="00802801"/>
    <w:rsid w:val="00802C3C"/>
    <w:rsid w:val="00804189"/>
    <w:rsid w:val="008044D4"/>
    <w:rsid w:val="0080462F"/>
    <w:rsid w:val="00807697"/>
    <w:rsid w:val="00810AB4"/>
    <w:rsid w:val="00811E22"/>
    <w:rsid w:val="0081208D"/>
    <w:rsid w:val="00817039"/>
    <w:rsid w:val="00817343"/>
    <w:rsid w:val="00817B56"/>
    <w:rsid w:val="00820274"/>
    <w:rsid w:val="00820997"/>
    <w:rsid w:val="008209EA"/>
    <w:rsid w:val="0082161F"/>
    <w:rsid w:val="00821A88"/>
    <w:rsid w:val="00822B3D"/>
    <w:rsid w:val="0082495D"/>
    <w:rsid w:val="00825AFA"/>
    <w:rsid w:val="008261A7"/>
    <w:rsid w:val="008269C7"/>
    <w:rsid w:val="00826D15"/>
    <w:rsid w:val="008278F8"/>
    <w:rsid w:val="00831A74"/>
    <w:rsid w:val="00831AC3"/>
    <w:rsid w:val="00831C88"/>
    <w:rsid w:val="008327BF"/>
    <w:rsid w:val="00832AB1"/>
    <w:rsid w:val="008335FD"/>
    <w:rsid w:val="008346B0"/>
    <w:rsid w:val="00835F11"/>
    <w:rsid w:val="008363DE"/>
    <w:rsid w:val="00836597"/>
    <w:rsid w:val="008408FF"/>
    <w:rsid w:val="00842CBD"/>
    <w:rsid w:val="00847A3A"/>
    <w:rsid w:val="0085101A"/>
    <w:rsid w:val="00851F3F"/>
    <w:rsid w:val="00855DAE"/>
    <w:rsid w:val="00856456"/>
    <w:rsid w:val="00856891"/>
    <w:rsid w:val="00856EDC"/>
    <w:rsid w:val="0086015E"/>
    <w:rsid w:val="008616CC"/>
    <w:rsid w:val="00861D04"/>
    <w:rsid w:val="008623B5"/>
    <w:rsid w:val="00863BE8"/>
    <w:rsid w:val="008643C5"/>
    <w:rsid w:val="00864582"/>
    <w:rsid w:val="008652C3"/>
    <w:rsid w:val="0086562D"/>
    <w:rsid w:val="00866460"/>
    <w:rsid w:val="00870ABA"/>
    <w:rsid w:val="008710E1"/>
    <w:rsid w:val="008716E5"/>
    <w:rsid w:val="00873A81"/>
    <w:rsid w:val="00877D66"/>
    <w:rsid w:val="00881228"/>
    <w:rsid w:val="00881CA3"/>
    <w:rsid w:val="00881CA9"/>
    <w:rsid w:val="00883628"/>
    <w:rsid w:val="008843CF"/>
    <w:rsid w:val="00885291"/>
    <w:rsid w:val="00885544"/>
    <w:rsid w:val="0088634E"/>
    <w:rsid w:val="008865CD"/>
    <w:rsid w:val="00892382"/>
    <w:rsid w:val="00892AA7"/>
    <w:rsid w:val="00893AB8"/>
    <w:rsid w:val="00893DD4"/>
    <w:rsid w:val="00895B8D"/>
    <w:rsid w:val="008972D6"/>
    <w:rsid w:val="00897518"/>
    <w:rsid w:val="008A04C8"/>
    <w:rsid w:val="008A212F"/>
    <w:rsid w:val="008A25A2"/>
    <w:rsid w:val="008A353B"/>
    <w:rsid w:val="008A365A"/>
    <w:rsid w:val="008A3D7E"/>
    <w:rsid w:val="008A6913"/>
    <w:rsid w:val="008A7580"/>
    <w:rsid w:val="008B26CC"/>
    <w:rsid w:val="008B4D93"/>
    <w:rsid w:val="008B70F3"/>
    <w:rsid w:val="008B71C4"/>
    <w:rsid w:val="008B7573"/>
    <w:rsid w:val="008B76DF"/>
    <w:rsid w:val="008B7E86"/>
    <w:rsid w:val="008B7F4C"/>
    <w:rsid w:val="008C10F4"/>
    <w:rsid w:val="008C3D36"/>
    <w:rsid w:val="008C5B87"/>
    <w:rsid w:val="008C60D4"/>
    <w:rsid w:val="008C65F7"/>
    <w:rsid w:val="008D2F05"/>
    <w:rsid w:val="008D3DBF"/>
    <w:rsid w:val="008D4927"/>
    <w:rsid w:val="008D5CDB"/>
    <w:rsid w:val="008D61D9"/>
    <w:rsid w:val="008D6BD1"/>
    <w:rsid w:val="008D7975"/>
    <w:rsid w:val="008E1D18"/>
    <w:rsid w:val="008E253F"/>
    <w:rsid w:val="008E2C34"/>
    <w:rsid w:val="008E2FA2"/>
    <w:rsid w:val="008E3C2B"/>
    <w:rsid w:val="008E4767"/>
    <w:rsid w:val="008E7182"/>
    <w:rsid w:val="008E7A8C"/>
    <w:rsid w:val="008F1BA4"/>
    <w:rsid w:val="008F1FC7"/>
    <w:rsid w:val="008F51E0"/>
    <w:rsid w:val="008F5967"/>
    <w:rsid w:val="008F65DC"/>
    <w:rsid w:val="008F7D3E"/>
    <w:rsid w:val="008F7E36"/>
    <w:rsid w:val="009006A2"/>
    <w:rsid w:val="009014B7"/>
    <w:rsid w:val="00902567"/>
    <w:rsid w:val="0090307D"/>
    <w:rsid w:val="00903285"/>
    <w:rsid w:val="00903579"/>
    <w:rsid w:val="00903C85"/>
    <w:rsid w:val="00906B58"/>
    <w:rsid w:val="00906F40"/>
    <w:rsid w:val="0090731E"/>
    <w:rsid w:val="00915437"/>
    <w:rsid w:val="00915B1C"/>
    <w:rsid w:val="00915B28"/>
    <w:rsid w:val="00916153"/>
    <w:rsid w:val="009174F3"/>
    <w:rsid w:val="0091797D"/>
    <w:rsid w:val="0092043E"/>
    <w:rsid w:val="009216E2"/>
    <w:rsid w:val="00921D2F"/>
    <w:rsid w:val="00922737"/>
    <w:rsid w:val="00923CBA"/>
    <w:rsid w:val="00923D7A"/>
    <w:rsid w:val="00926703"/>
    <w:rsid w:val="00927691"/>
    <w:rsid w:val="00927A5F"/>
    <w:rsid w:val="009308D7"/>
    <w:rsid w:val="00933BF2"/>
    <w:rsid w:val="00934F1A"/>
    <w:rsid w:val="00935B63"/>
    <w:rsid w:val="00935DB0"/>
    <w:rsid w:val="009367FC"/>
    <w:rsid w:val="00936A44"/>
    <w:rsid w:val="0094078F"/>
    <w:rsid w:val="00940FA3"/>
    <w:rsid w:val="00941441"/>
    <w:rsid w:val="00941D5E"/>
    <w:rsid w:val="00941FB0"/>
    <w:rsid w:val="009426D4"/>
    <w:rsid w:val="00945A3F"/>
    <w:rsid w:val="009466DB"/>
    <w:rsid w:val="0094745B"/>
    <w:rsid w:val="00947F25"/>
    <w:rsid w:val="00950159"/>
    <w:rsid w:val="00950312"/>
    <w:rsid w:val="0095051F"/>
    <w:rsid w:val="00952E96"/>
    <w:rsid w:val="0095490B"/>
    <w:rsid w:val="00955074"/>
    <w:rsid w:val="00955D8B"/>
    <w:rsid w:val="00960A33"/>
    <w:rsid w:val="00960BD0"/>
    <w:rsid w:val="00961A2A"/>
    <w:rsid w:val="009629FA"/>
    <w:rsid w:val="00964E07"/>
    <w:rsid w:val="0096751C"/>
    <w:rsid w:val="00970AEC"/>
    <w:rsid w:val="00971914"/>
    <w:rsid w:val="00974363"/>
    <w:rsid w:val="00974798"/>
    <w:rsid w:val="00976E46"/>
    <w:rsid w:val="00976F7B"/>
    <w:rsid w:val="00980776"/>
    <w:rsid w:val="0098127D"/>
    <w:rsid w:val="009814A6"/>
    <w:rsid w:val="00981898"/>
    <w:rsid w:val="00985794"/>
    <w:rsid w:val="00986952"/>
    <w:rsid w:val="00987A0D"/>
    <w:rsid w:val="00987A87"/>
    <w:rsid w:val="00987D45"/>
    <w:rsid w:val="0099040A"/>
    <w:rsid w:val="00992EA4"/>
    <w:rsid w:val="0099495D"/>
    <w:rsid w:val="0099577C"/>
    <w:rsid w:val="00995921"/>
    <w:rsid w:val="009A0BAE"/>
    <w:rsid w:val="009A4DE1"/>
    <w:rsid w:val="009A5151"/>
    <w:rsid w:val="009A54BD"/>
    <w:rsid w:val="009A55BD"/>
    <w:rsid w:val="009A6242"/>
    <w:rsid w:val="009A6701"/>
    <w:rsid w:val="009A673F"/>
    <w:rsid w:val="009B033C"/>
    <w:rsid w:val="009B2601"/>
    <w:rsid w:val="009B2E2E"/>
    <w:rsid w:val="009B308C"/>
    <w:rsid w:val="009B3A00"/>
    <w:rsid w:val="009B4E9E"/>
    <w:rsid w:val="009B71AB"/>
    <w:rsid w:val="009C1690"/>
    <w:rsid w:val="009C230B"/>
    <w:rsid w:val="009C340E"/>
    <w:rsid w:val="009C3AA9"/>
    <w:rsid w:val="009C41ED"/>
    <w:rsid w:val="009C4B17"/>
    <w:rsid w:val="009C6881"/>
    <w:rsid w:val="009C7759"/>
    <w:rsid w:val="009D043D"/>
    <w:rsid w:val="009D07C8"/>
    <w:rsid w:val="009D2661"/>
    <w:rsid w:val="009D2EBB"/>
    <w:rsid w:val="009D34F8"/>
    <w:rsid w:val="009D4590"/>
    <w:rsid w:val="009D69A5"/>
    <w:rsid w:val="009D6C71"/>
    <w:rsid w:val="009E0631"/>
    <w:rsid w:val="009E16D0"/>
    <w:rsid w:val="009E2AAA"/>
    <w:rsid w:val="009E37D0"/>
    <w:rsid w:val="009E38FD"/>
    <w:rsid w:val="009E53F2"/>
    <w:rsid w:val="009E6ED1"/>
    <w:rsid w:val="009E7EFA"/>
    <w:rsid w:val="009F13D6"/>
    <w:rsid w:val="009F1E38"/>
    <w:rsid w:val="009F4832"/>
    <w:rsid w:val="009F4C6B"/>
    <w:rsid w:val="009F5B80"/>
    <w:rsid w:val="009F6628"/>
    <w:rsid w:val="009F78A8"/>
    <w:rsid w:val="00A02AD6"/>
    <w:rsid w:val="00A06645"/>
    <w:rsid w:val="00A067F9"/>
    <w:rsid w:val="00A07096"/>
    <w:rsid w:val="00A07318"/>
    <w:rsid w:val="00A07457"/>
    <w:rsid w:val="00A109D6"/>
    <w:rsid w:val="00A11370"/>
    <w:rsid w:val="00A12925"/>
    <w:rsid w:val="00A1382C"/>
    <w:rsid w:val="00A1481A"/>
    <w:rsid w:val="00A155A9"/>
    <w:rsid w:val="00A17775"/>
    <w:rsid w:val="00A2115B"/>
    <w:rsid w:val="00A21216"/>
    <w:rsid w:val="00A220C5"/>
    <w:rsid w:val="00A224CE"/>
    <w:rsid w:val="00A22522"/>
    <w:rsid w:val="00A24AFD"/>
    <w:rsid w:val="00A24F5C"/>
    <w:rsid w:val="00A32538"/>
    <w:rsid w:val="00A32F96"/>
    <w:rsid w:val="00A33C37"/>
    <w:rsid w:val="00A34026"/>
    <w:rsid w:val="00A3525A"/>
    <w:rsid w:val="00A404A5"/>
    <w:rsid w:val="00A40871"/>
    <w:rsid w:val="00A412AB"/>
    <w:rsid w:val="00A417A4"/>
    <w:rsid w:val="00A4193E"/>
    <w:rsid w:val="00A42959"/>
    <w:rsid w:val="00A440E0"/>
    <w:rsid w:val="00A442EF"/>
    <w:rsid w:val="00A47355"/>
    <w:rsid w:val="00A47699"/>
    <w:rsid w:val="00A51D1A"/>
    <w:rsid w:val="00A52B8A"/>
    <w:rsid w:val="00A53F7C"/>
    <w:rsid w:val="00A5418D"/>
    <w:rsid w:val="00A5474E"/>
    <w:rsid w:val="00A566C4"/>
    <w:rsid w:val="00A56D59"/>
    <w:rsid w:val="00A57337"/>
    <w:rsid w:val="00A60945"/>
    <w:rsid w:val="00A61421"/>
    <w:rsid w:val="00A61624"/>
    <w:rsid w:val="00A64234"/>
    <w:rsid w:val="00A6461D"/>
    <w:rsid w:val="00A6467A"/>
    <w:rsid w:val="00A65732"/>
    <w:rsid w:val="00A66280"/>
    <w:rsid w:val="00A664A6"/>
    <w:rsid w:val="00A70ADF"/>
    <w:rsid w:val="00A71466"/>
    <w:rsid w:val="00A72A95"/>
    <w:rsid w:val="00A74B5E"/>
    <w:rsid w:val="00A7669D"/>
    <w:rsid w:val="00A76793"/>
    <w:rsid w:val="00A771E3"/>
    <w:rsid w:val="00A80493"/>
    <w:rsid w:val="00A809D4"/>
    <w:rsid w:val="00A81BED"/>
    <w:rsid w:val="00A81EC4"/>
    <w:rsid w:val="00A81F83"/>
    <w:rsid w:val="00A833BD"/>
    <w:rsid w:val="00A838DC"/>
    <w:rsid w:val="00A8602E"/>
    <w:rsid w:val="00A92FD5"/>
    <w:rsid w:val="00A93463"/>
    <w:rsid w:val="00A93D65"/>
    <w:rsid w:val="00A967FD"/>
    <w:rsid w:val="00AA0615"/>
    <w:rsid w:val="00AA2DE5"/>
    <w:rsid w:val="00AA423F"/>
    <w:rsid w:val="00AA4D04"/>
    <w:rsid w:val="00AA4E75"/>
    <w:rsid w:val="00AA5ADE"/>
    <w:rsid w:val="00AB012D"/>
    <w:rsid w:val="00AB093A"/>
    <w:rsid w:val="00AB156C"/>
    <w:rsid w:val="00AB2572"/>
    <w:rsid w:val="00AB2FB1"/>
    <w:rsid w:val="00AB411A"/>
    <w:rsid w:val="00AB6814"/>
    <w:rsid w:val="00AB7FE5"/>
    <w:rsid w:val="00AC033E"/>
    <w:rsid w:val="00AC04BA"/>
    <w:rsid w:val="00AC0E39"/>
    <w:rsid w:val="00AC2BBC"/>
    <w:rsid w:val="00AC7BD6"/>
    <w:rsid w:val="00AC7EDC"/>
    <w:rsid w:val="00AD08A1"/>
    <w:rsid w:val="00AD0E1F"/>
    <w:rsid w:val="00AD212B"/>
    <w:rsid w:val="00AD3082"/>
    <w:rsid w:val="00AD32B4"/>
    <w:rsid w:val="00AD4AD0"/>
    <w:rsid w:val="00AD5436"/>
    <w:rsid w:val="00AD60CD"/>
    <w:rsid w:val="00AD62D1"/>
    <w:rsid w:val="00AD6C8C"/>
    <w:rsid w:val="00AD6E30"/>
    <w:rsid w:val="00AD77C6"/>
    <w:rsid w:val="00AE091D"/>
    <w:rsid w:val="00AE0E87"/>
    <w:rsid w:val="00AE3A2E"/>
    <w:rsid w:val="00AE3B60"/>
    <w:rsid w:val="00AE53A1"/>
    <w:rsid w:val="00AE62C0"/>
    <w:rsid w:val="00AE6321"/>
    <w:rsid w:val="00AF0539"/>
    <w:rsid w:val="00AF06C8"/>
    <w:rsid w:val="00AF2484"/>
    <w:rsid w:val="00AF2741"/>
    <w:rsid w:val="00AF34D0"/>
    <w:rsid w:val="00AF3D79"/>
    <w:rsid w:val="00AF4826"/>
    <w:rsid w:val="00AF54B6"/>
    <w:rsid w:val="00AF63E7"/>
    <w:rsid w:val="00AF6E17"/>
    <w:rsid w:val="00B005E4"/>
    <w:rsid w:val="00B00BCB"/>
    <w:rsid w:val="00B0165D"/>
    <w:rsid w:val="00B01B60"/>
    <w:rsid w:val="00B01B6F"/>
    <w:rsid w:val="00B031F3"/>
    <w:rsid w:val="00B03388"/>
    <w:rsid w:val="00B04E39"/>
    <w:rsid w:val="00B052A4"/>
    <w:rsid w:val="00B079C3"/>
    <w:rsid w:val="00B11D42"/>
    <w:rsid w:val="00B125DE"/>
    <w:rsid w:val="00B13FDD"/>
    <w:rsid w:val="00B14A30"/>
    <w:rsid w:val="00B14BC2"/>
    <w:rsid w:val="00B15F53"/>
    <w:rsid w:val="00B1713F"/>
    <w:rsid w:val="00B17821"/>
    <w:rsid w:val="00B20FD6"/>
    <w:rsid w:val="00B222D6"/>
    <w:rsid w:val="00B228F5"/>
    <w:rsid w:val="00B22EB2"/>
    <w:rsid w:val="00B23062"/>
    <w:rsid w:val="00B238F8"/>
    <w:rsid w:val="00B27442"/>
    <w:rsid w:val="00B275D7"/>
    <w:rsid w:val="00B276B6"/>
    <w:rsid w:val="00B31167"/>
    <w:rsid w:val="00B329D8"/>
    <w:rsid w:val="00B32BB9"/>
    <w:rsid w:val="00B33789"/>
    <w:rsid w:val="00B33AE1"/>
    <w:rsid w:val="00B37C38"/>
    <w:rsid w:val="00B40387"/>
    <w:rsid w:val="00B41FD8"/>
    <w:rsid w:val="00B4288C"/>
    <w:rsid w:val="00B43262"/>
    <w:rsid w:val="00B44100"/>
    <w:rsid w:val="00B445AF"/>
    <w:rsid w:val="00B46CBA"/>
    <w:rsid w:val="00B46F94"/>
    <w:rsid w:val="00B470E2"/>
    <w:rsid w:val="00B5073E"/>
    <w:rsid w:val="00B52A51"/>
    <w:rsid w:val="00B545D1"/>
    <w:rsid w:val="00B56D87"/>
    <w:rsid w:val="00B56F47"/>
    <w:rsid w:val="00B575A7"/>
    <w:rsid w:val="00B6003C"/>
    <w:rsid w:val="00B61F03"/>
    <w:rsid w:val="00B626E4"/>
    <w:rsid w:val="00B66201"/>
    <w:rsid w:val="00B678D4"/>
    <w:rsid w:val="00B67E35"/>
    <w:rsid w:val="00B70BC6"/>
    <w:rsid w:val="00B71598"/>
    <w:rsid w:val="00B72EA3"/>
    <w:rsid w:val="00B72F4A"/>
    <w:rsid w:val="00B77AF5"/>
    <w:rsid w:val="00B77EBC"/>
    <w:rsid w:val="00B810A5"/>
    <w:rsid w:val="00B83C27"/>
    <w:rsid w:val="00B84BC3"/>
    <w:rsid w:val="00B84BDD"/>
    <w:rsid w:val="00B84DB5"/>
    <w:rsid w:val="00B8572C"/>
    <w:rsid w:val="00B85B64"/>
    <w:rsid w:val="00B8759F"/>
    <w:rsid w:val="00B902A7"/>
    <w:rsid w:val="00B92812"/>
    <w:rsid w:val="00B95DA7"/>
    <w:rsid w:val="00BA10E6"/>
    <w:rsid w:val="00BA3500"/>
    <w:rsid w:val="00BA35F1"/>
    <w:rsid w:val="00BA529A"/>
    <w:rsid w:val="00BA5A9D"/>
    <w:rsid w:val="00BB2599"/>
    <w:rsid w:val="00BB35F8"/>
    <w:rsid w:val="00BB45A1"/>
    <w:rsid w:val="00BB7686"/>
    <w:rsid w:val="00BB7C66"/>
    <w:rsid w:val="00BC1C8C"/>
    <w:rsid w:val="00BC23F9"/>
    <w:rsid w:val="00BC32A1"/>
    <w:rsid w:val="00BC3421"/>
    <w:rsid w:val="00BC4A82"/>
    <w:rsid w:val="00BC732C"/>
    <w:rsid w:val="00BD0661"/>
    <w:rsid w:val="00BD0B17"/>
    <w:rsid w:val="00BD3505"/>
    <w:rsid w:val="00BD4008"/>
    <w:rsid w:val="00BD4B1B"/>
    <w:rsid w:val="00BD7828"/>
    <w:rsid w:val="00BE0AB3"/>
    <w:rsid w:val="00BE2580"/>
    <w:rsid w:val="00BE266D"/>
    <w:rsid w:val="00BE2A06"/>
    <w:rsid w:val="00BE35BD"/>
    <w:rsid w:val="00BE3938"/>
    <w:rsid w:val="00BE4C11"/>
    <w:rsid w:val="00BE5471"/>
    <w:rsid w:val="00BE71C0"/>
    <w:rsid w:val="00BF10B0"/>
    <w:rsid w:val="00BF1967"/>
    <w:rsid w:val="00BF4FCA"/>
    <w:rsid w:val="00BF610C"/>
    <w:rsid w:val="00C0060B"/>
    <w:rsid w:val="00C024C3"/>
    <w:rsid w:val="00C0277D"/>
    <w:rsid w:val="00C03E24"/>
    <w:rsid w:val="00C04AD4"/>
    <w:rsid w:val="00C04B62"/>
    <w:rsid w:val="00C04D88"/>
    <w:rsid w:val="00C053A1"/>
    <w:rsid w:val="00C06323"/>
    <w:rsid w:val="00C07B2B"/>
    <w:rsid w:val="00C10875"/>
    <w:rsid w:val="00C111DA"/>
    <w:rsid w:val="00C12BD4"/>
    <w:rsid w:val="00C13E64"/>
    <w:rsid w:val="00C15678"/>
    <w:rsid w:val="00C156E2"/>
    <w:rsid w:val="00C16198"/>
    <w:rsid w:val="00C2083D"/>
    <w:rsid w:val="00C23F9F"/>
    <w:rsid w:val="00C24A53"/>
    <w:rsid w:val="00C258D2"/>
    <w:rsid w:val="00C30621"/>
    <w:rsid w:val="00C312BB"/>
    <w:rsid w:val="00C34A05"/>
    <w:rsid w:val="00C3674F"/>
    <w:rsid w:val="00C37A3E"/>
    <w:rsid w:val="00C4032F"/>
    <w:rsid w:val="00C407A2"/>
    <w:rsid w:val="00C42EEF"/>
    <w:rsid w:val="00C44047"/>
    <w:rsid w:val="00C444EB"/>
    <w:rsid w:val="00C45155"/>
    <w:rsid w:val="00C45A41"/>
    <w:rsid w:val="00C46CC7"/>
    <w:rsid w:val="00C5190D"/>
    <w:rsid w:val="00C53289"/>
    <w:rsid w:val="00C5345A"/>
    <w:rsid w:val="00C53B32"/>
    <w:rsid w:val="00C5498F"/>
    <w:rsid w:val="00C54A16"/>
    <w:rsid w:val="00C54FE6"/>
    <w:rsid w:val="00C55235"/>
    <w:rsid w:val="00C6024C"/>
    <w:rsid w:val="00C64CD0"/>
    <w:rsid w:val="00C6684F"/>
    <w:rsid w:val="00C70E70"/>
    <w:rsid w:val="00C71C41"/>
    <w:rsid w:val="00C747AE"/>
    <w:rsid w:val="00C75F8D"/>
    <w:rsid w:val="00C76FEF"/>
    <w:rsid w:val="00C77380"/>
    <w:rsid w:val="00C81347"/>
    <w:rsid w:val="00C8458C"/>
    <w:rsid w:val="00C84B52"/>
    <w:rsid w:val="00C84E9F"/>
    <w:rsid w:val="00C8655F"/>
    <w:rsid w:val="00C86D4B"/>
    <w:rsid w:val="00C87159"/>
    <w:rsid w:val="00C91316"/>
    <w:rsid w:val="00C94DF2"/>
    <w:rsid w:val="00C9731D"/>
    <w:rsid w:val="00C97736"/>
    <w:rsid w:val="00CA11BF"/>
    <w:rsid w:val="00CA2E40"/>
    <w:rsid w:val="00CA345A"/>
    <w:rsid w:val="00CA3A50"/>
    <w:rsid w:val="00CA5682"/>
    <w:rsid w:val="00CB17E2"/>
    <w:rsid w:val="00CB1E82"/>
    <w:rsid w:val="00CB4BA8"/>
    <w:rsid w:val="00CB52D7"/>
    <w:rsid w:val="00CB65E3"/>
    <w:rsid w:val="00CC5234"/>
    <w:rsid w:val="00CC6212"/>
    <w:rsid w:val="00CC6732"/>
    <w:rsid w:val="00CC78B5"/>
    <w:rsid w:val="00CD107A"/>
    <w:rsid w:val="00CD1F2F"/>
    <w:rsid w:val="00CD250E"/>
    <w:rsid w:val="00CD2A1A"/>
    <w:rsid w:val="00CD63D9"/>
    <w:rsid w:val="00CE03A2"/>
    <w:rsid w:val="00CE0CFD"/>
    <w:rsid w:val="00CE3211"/>
    <w:rsid w:val="00CE3C96"/>
    <w:rsid w:val="00CE45AB"/>
    <w:rsid w:val="00CE513D"/>
    <w:rsid w:val="00CE51A8"/>
    <w:rsid w:val="00CF047C"/>
    <w:rsid w:val="00CF14EA"/>
    <w:rsid w:val="00CF369B"/>
    <w:rsid w:val="00CF56B0"/>
    <w:rsid w:val="00CF7422"/>
    <w:rsid w:val="00D00E28"/>
    <w:rsid w:val="00D013F0"/>
    <w:rsid w:val="00D0269E"/>
    <w:rsid w:val="00D04C78"/>
    <w:rsid w:val="00D05066"/>
    <w:rsid w:val="00D05D6C"/>
    <w:rsid w:val="00D05D86"/>
    <w:rsid w:val="00D06589"/>
    <w:rsid w:val="00D07544"/>
    <w:rsid w:val="00D1206F"/>
    <w:rsid w:val="00D13928"/>
    <w:rsid w:val="00D143DB"/>
    <w:rsid w:val="00D14F79"/>
    <w:rsid w:val="00D1520D"/>
    <w:rsid w:val="00D15810"/>
    <w:rsid w:val="00D1683B"/>
    <w:rsid w:val="00D16D4E"/>
    <w:rsid w:val="00D16FE3"/>
    <w:rsid w:val="00D20374"/>
    <w:rsid w:val="00D2150E"/>
    <w:rsid w:val="00D235ED"/>
    <w:rsid w:val="00D27F41"/>
    <w:rsid w:val="00D319E4"/>
    <w:rsid w:val="00D31BA8"/>
    <w:rsid w:val="00D337EE"/>
    <w:rsid w:val="00D33B65"/>
    <w:rsid w:val="00D33ED1"/>
    <w:rsid w:val="00D34878"/>
    <w:rsid w:val="00D34F6B"/>
    <w:rsid w:val="00D36441"/>
    <w:rsid w:val="00D36BAD"/>
    <w:rsid w:val="00D37E39"/>
    <w:rsid w:val="00D4064E"/>
    <w:rsid w:val="00D41A4B"/>
    <w:rsid w:val="00D41DCB"/>
    <w:rsid w:val="00D42923"/>
    <w:rsid w:val="00D42FA1"/>
    <w:rsid w:val="00D4490D"/>
    <w:rsid w:val="00D44E1F"/>
    <w:rsid w:val="00D44E9B"/>
    <w:rsid w:val="00D47AEB"/>
    <w:rsid w:val="00D50B2A"/>
    <w:rsid w:val="00D50D0B"/>
    <w:rsid w:val="00D50DB9"/>
    <w:rsid w:val="00D51302"/>
    <w:rsid w:val="00D5279F"/>
    <w:rsid w:val="00D52BBC"/>
    <w:rsid w:val="00D52C43"/>
    <w:rsid w:val="00D550AE"/>
    <w:rsid w:val="00D56281"/>
    <w:rsid w:val="00D56806"/>
    <w:rsid w:val="00D57F3A"/>
    <w:rsid w:val="00D6001E"/>
    <w:rsid w:val="00D611F3"/>
    <w:rsid w:val="00D6172A"/>
    <w:rsid w:val="00D61B24"/>
    <w:rsid w:val="00D63195"/>
    <w:rsid w:val="00D64606"/>
    <w:rsid w:val="00D6507F"/>
    <w:rsid w:val="00D66BD4"/>
    <w:rsid w:val="00D67E84"/>
    <w:rsid w:val="00D7040F"/>
    <w:rsid w:val="00D71D58"/>
    <w:rsid w:val="00D71FD1"/>
    <w:rsid w:val="00D72294"/>
    <w:rsid w:val="00D730BC"/>
    <w:rsid w:val="00D73912"/>
    <w:rsid w:val="00D73E52"/>
    <w:rsid w:val="00D80514"/>
    <w:rsid w:val="00D80628"/>
    <w:rsid w:val="00D8109F"/>
    <w:rsid w:val="00D81574"/>
    <w:rsid w:val="00D8457E"/>
    <w:rsid w:val="00D85226"/>
    <w:rsid w:val="00D87B94"/>
    <w:rsid w:val="00D91D95"/>
    <w:rsid w:val="00D92389"/>
    <w:rsid w:val="00D92D49"/>
    <w:rsid w:val="00D92EC1"/>
    <w:rsid w:val="00D93C19"/>
    <w:rsid w:val="00D957D2"/>
    <w:rsid w:val="00D95F7C"/>
    <w:rsid w:val="00D96DEA"/>
    <w:rsid w:val="00D96F91"/>
    <w:rsid w:val="00D973CD"/>
    <w:rsid w:val="00DA18A2"/>
    <w:rsid w:val="00DA3096"/>
    <w:rsid w:val="00DA402B"/>
    <w:rsid w:val="00DA4E41"/>
    <w:rsid w:val="00DA6B06"/>
    <w:rsid w:val="00DB117A"/>
    <w:rsid w:val="00DB29AA"/>
    <w:rsid w:val="00DB3B28"/>
    <w:rsid w:val="00DB467E"/>
    <w:rsid w:val="00DB5173"/>
    <w:rsid w:val="00DB6599"/>
    <w:rsid w:val="00DB7873"/>
    <w:rsid w:val="00DC1086"/>
    <w:rsid w:val="00DC187B"/>
    <w:rsid w:val="00DC6230"/>
    <w:rsid w:val="00DC7335"/>
    <w:rsid w:val="00DD0300"/>
    <w:rsid w:val="00DD072A"/>
    <w:rsid w:val="00DD0AEF"/>
    <w:rsid w:val="00DD1516"/>
    <w:rsid w:val="00DD1A23"/>
    <w:rsid w:val="00DD1A43"/>
    <w:rsid w:val="00DD3BE8"/>
    <w:rsid w:val="00DD4E6C"/>
    <w:rsid w:val="00DD73C2"/>
    <w:rsid w:val="00DD7CE7"/>
    <w:rsid w:val="00DE1805"/>
    <w:rsid w:val="00DE25F1"/>
    <w:rsid w:val="00DE2ABE"/>
    <w:rsid w:val="00DE319B"/>
    <w:rsid w:val="00DE377A"/>
    <w:rsid w:val="00DE3DAE"/>
    <w:rsid w:val="00DF2997"/>
    <w:rsid w:val="00DF34FE"/>
    <w:rsid w:val="00DF4459"/>
    <w:rsid w:val="00DF5406"/>
    <w:rsid w:val="00DF56AA"/>
    <w:rsid w:val="00DF56AF"/>
    <w:rsid w:val="00DF6CBA"/>
    <w:rsid w:val="00DF6F3F"/>
    <w:rsid w:val="00DF78E7"/>
    <w:rsid w:val="00E03F70"/>
    <w:rsid w:val="00E04442"/>
    <w:rsid w:val="00E064C4"/>
    <w:rsid w:val="00E110E0"/>
    <w:rsid w:val="00E113D5"/>
    <w:rsid w:val="00E124EE"/>
    <w:rsid w:val="00E15371"/>
    <w:rsid w:val="00E21061"/>
    <w:rsid w:val="00E21C9A"/>
    <w:rsid w:val="00E24104"/>
    <w:rsid w:val="00E277D0"/>
    <w:rsid w:val="00E302A9"/>
    <w:rsid w:val="00E302D0"/>
    <w:rsid w:val="00E30AFF"/>
    <w:rsid w:val="00E31FB1"/>
    <w:rsid w:val="00E32F59"/>
    <w:rsid w:val="00E35707"/>
    <w:rsid w:val="00E36AA1"/>
    <w:rsid w:val="00E36E80"/>
    <w:rsid w:val="00E41DF0"/>
    <w:rsid w:val="00E41ECB"/>
    <w:rsid w:val="00E4245B"/>
    <w:rsid w:val="00E4274E"/>
    <w:rsid w:val="00E43359"/>
    <w:rsid w:val="00E45138"/>
    <w:rsid w:val="00E45BCB"/>
    <w:rsid w:val="00E4660E"/>
    <w:rsid w:val="00E47D7C"/>
    <w:rsid w:val="00E52791"/>
    <w:rsid w:val="00E53320"/>
    <w:rsid w:val="00E545C3"/>
    <w:rsid w:val="00E54834"/>
    <w:rsid w:val="00E54FDB"/>
    <w:rsid w:val="00E5617D"/>
    <w:rsid w:val="00E563D7"/>
    <w:rsid w:val="00E6379F"/>
    <w:rsid w:val="00E63F33"/>
    <w:rsid w:val="00E663F4"/>
    <w:rsid w:val="00E664C9"/>
    <w:rsid w:val="00E666F2"/>
    <w:rsid w:val="00E66DD4"/>
    <w:rsid w:val="00E67994"/>
    <w:rsid w:val="00E70D5A"/>
    <w:rsid w:val="00E71A37"/>
    <w:rsid w:val="00E748CC"/>
    <w:rsid w:val="00E75415"/>
    <w:rsid w:val="00E76CB4"/>
    <w:rsid w:val="00E775B1"/>
    <w:rsid w:val="00E8086D"/>
    <w:rsid w:val="00E8152A"/>
    <w:rsid w:val="00E821E7"/>
    <w:rsid w:val="00E832A5"/>
    <w:rsid w:val="00E83C31"/>
    <w:rsid w:val="00E900AB"/>
    <w:rsid w:val="00E93629"/>
    <w:rsid w:val="00E93B5C"/>
    <w:rsid w:val="00E94CEC"/>
    <w:rsid w:val="00E959A7"/>
    <w:rsid w:val="00E96300"/>
    <w:rsid w:val="00EA04EF"/>
    <w:rsid w:val="00EA4B82"/>
    <w:rsid w:val="00EA4D12"/>
    <w:rsid w:val="00EA509A"/>
    <w:rsid w:val="00EA6681"/>
    <w:rsid w:val="00EA6B70"/>
    <w:rsid w:val="00EA6CEC"/>
    <w:rsid w:val="00EA6F19"/>
    <w:rsid w:val="00EA7574"/>
    <w:rsid w:val="00EB08D7"/>
    <w:rsid w:val="00EB3D45"/>
    <w:rsid w:val="00EB4A28"/>
    <w:rsid w:val="00EB4F30"/>
    <w:rsid w:val="00EB5E7B"/>
    <w:rsid w:val="00EB658C"/>
    <w:rsid w:val="00EB7090"/>
    <w:rsid w:val="00EC0544"/>
    <w:rsid w:val="00EC1BBE"/>
    <w:rsid w:val="00EC2CC9"/>
    <w:rsid w:val="00EC2F3C"/>
    <w:rsid w:val="00EC32AE"/>
    <w:rsid w:val="00EC3335"/>
    <w:rsid w:val="00EC38F6"/>
    <w:rsid w:val="00EC5C56"/>
    <w:rsid w:val="00EC5CD7"/>
    <w:rsid w:val="00EC748A"/>
    <w:rsid w:val="00ED087A"/>
    <w:rsid w:val="00ED1507"/>
    <w:rsid w:val="00ED17ED"/>
    <w:rsid w:val="00ED2020"/>
    <w:rsid w:val="00ED2131"/>
    <w:rsid w:val="00ED5507"/>
    <w:rsid w:val="00ED55AE"/>
    <w:rsid w:val="00EE2FB5"/>
    <w:rsid w:val="00EE5FB3"/>
    <w:rsid w:val="00EE7F79"/>
    <w:rsid w:val="00EF0152"/>
    <w:rsid w:val="00EF36A6"/>
    <w:rsid w:val="00EF6240"/>
    <w:rsid w:val="00EF715A"/>
    <w:rsid w:val="00EF73FF"/>
    <w:rsid w:val="00F012AE"/>
    <w:rsid w:val="00F01345"/>
    <w:rsid w:val="00F0183C"/>
    <w:rsid w:val="00F031E8"/>
    <w:rsid w:val="00F03204"/>
    <w:rsid w:val="00F03980"/>
    <w:rsid w:val="00F058CF"/>
    <w:rsid w:val="00F06E14"/>
    <w:rsid w:val="00F11A04"/>
    <w:rsid w:val="00F1517E"/>
    <w:rsid w:val="00F1569B"/>
    <w:rsid w:val="00F16366"/>
    <w:rsid w:val="00F1708F"/>
    <w:rsid w:val="00F179D4"/>
    <w:rsid w:val="00F24375"/>
    <w:rsid w:val="00F24C3F"/>
    <w:rsid w:val="00F25A72"/>
    <w:rsid w:val="00F32FB8"/>
    <w:rsid w:val="00F33C56"/>
    <w:rsid w:val="00F34381"/>
    <w:rsid w:val="00F347C7"/>
    <w:rsid w:val="00F34848"/>
    <w:rsid w:val="00F34EFB"/>
    <w:rsid w:val="00F35D53"/>
    <w:rsid w:val="00F42D46"/>
    <w:rsid w:val="00F42F93"/>
    <w:rsid w:val="00F43E2C"/>
    <w:rsid w:val="00F4496C"/>
    <w:rsid w:val="00F44F3A"/>
    <w:rsid w:val="00F46E3C"/>
    <w:rsid w:val="00F46F02"/>
    <w:rsid w:val="00F46F61"/>
    <w:rsid w:val="00F47AFA"/>
    <w:rsid w:val="00F51F10"/>
    <w:rsid w:val="00F529A5"/>
    <w:rsid w:val="00F52ED0"/>
    <w:rsid w:val="00F52F0F"/>
    <w:rsid w:val="00F5317F"/>
    <w:rsid w:val="00F53728"/>
    <w:rsid w:val="00F57373"/>
    <w:rsid w:val="00F60F00"/>
    <w:rsid w:val="00F614C0"/>
    <w:rsid w:val="00F649B2"/>
    <w:rsid w:val="00F657F4"/>
    <w:rsid w:val="00F65823"/>
    <w:rsid w:val="00F66922"/>
    <w:rsid w:val="00F673E9"/>
    <w:rsid w:val="00F674C6"/>
    <w:rsid w:val="00F7125F"/>
    <w:rsid w:val="00F71FC4"/>
    <w:rsid w:val="00F73F05"/>
    <w:rsid w:val="00F802D3"/>
    <w:rsid w:val="00F80F78"/>
    <w:rsid w:val="00F810E2"/>
    <w:rsid w:val="00F813B6"/>
    <w:rsid w:val="00F83848"/>
    <w:rsid w:val="00F85F35"/>
    <w:rsid w:val="00F86600"/>
    <w:rsid w:val="00F86AC8"/>
    <w:rsid w:val="00F871B4"/>
    <w:rsid w:val="00F871F0"/>
    <w:rsid w:val="00F90EC3"/>
    <w:rsid w:val="00F91A6A"/>
    <w:rsid w:val="00F94148"/>
    <w:rsid w:val="00F9464C"/>
    <w:rsid w:val="00F975E9"/>
    <w:rsid w:val="00F97D00"/>
    <w:rsid w:val="00FA03A6"/>
    <w:rsid w:val="00FA1B7D"/>
    <w:rsid w:val="00FA1C92"/>
    <w:rsid w:val="00FA38D6"/>
    <w:rsid w:val="00FA39DA"/>
    <w:rsid w:val="00FA3B88"/>
    <w:rsid w:val="00FA4E91"/>
    <w:rsid w:val="00FA5A8B"/>
    <w:rsid w:val="00FA5D1A"/>
    <w:rsid w:val="00FA6102"/>
    <w:rsid w:val="00FB272A"/>
    <w:rsid w:val="00FB3DE0"/>
    <w:rsid w:val="00FB6606"/>
    <w:rsid w:val="00FB70E1"/>
    <w:rsid w:val="00FC07B9"/>
    <w:rsid w:val="00FC0AD7"/>
    <w:rsid w:val="00FC3C1B"/>
    <w:rsid w:val="00FC3C92"/>
    <w:rsid w:val="00FC4E21"/>
    <w:rsid w:val="00FC5F6D"/>
    <w:rsid w:val="00FD0107"/>
    <w:rsid w:val="00FD1033"/>
    <w:rsid w:val="00FD1628"/>
    <w:rsid w:val="00FD2C2F"/>
    <w:rsid w:val="00FD35F4"/>
    <w:rsid w:val="00FD3B31"/>
    <w:rsid w:val="00FE1823"/>
    <w:rsid w:val="00FE1C1D"/>
    <w:rsid w:val="00FE27C3"/>
    <w:rsid w:val="00FE2B38"/>
    <w:rsid w:val="00FE44D1"/>
    <w:rsid w:val="00FE487A"/>
    <w:rsid w:val="00FE4FC2"/>
    <w:rsid w:val="00FE6B91"/>
    <w:rsid w:val="00FE7F1B"/>
    <w:rsid w:val="00FF0569"/>
    <w:rsid w:val="00FF206E"/>
    <w:rsid w:val="00FF22A6"/>
    <w:rsid w:val="00FF3C69"/>
    <w:rsid w:val="00FF6E0A"/>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1CE5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27C0"/>
    <w:pPr>
      <w:spacing w:after="240" w:line="240" w:lineRule="atLeast"/>
    </w:pPr>
    <w:rPr>
      <w:rFonts w:ascii="Arial" w:hAnsi="Arial"/>
      <w:sz w:val="22"/>
    </w:rPr>
  </w:style>
  <w:style w:type="paragraph" w:styleId="Heading1">
    <w:name w:val="heading 1"/>
    <w:basedOn w:val="Normal"/>
    <w:next w:val="Normal"/>
    <w:qFormat/>
    <w:rsid w:val="00923D7A"/>
    <w:pPr>
      <w:keepNext/>
      <w:pageBreakBefore/>
      <w:widowControl w:val="0"/>
      <w:numPr>
        <w:numId w:val="10"/>
      </w:numPr>
      <w:spacing w:after="360" w:line="550" w:lineRule="exact"/>
      <w:outlineLvl w:val="0"/>
    </w:pPr>
    <w:rPr>
      <w:rFonts w:cs="Arial"/>
      <w:bCs/>
      <w:color w:val="323232"/>
      <w:kern w:val="32"/>
      <w:sz w:val="44"/>
      <w:szCs w:val="32"/>
    </w:rPr>
  </w:style>
  <w:style w:type="paragraph" w:styleId="Heading2">
    <w:name w:val="heading 2"/>
    <w:basedOn w:val="Normal"/>
    <w:next w:val="Normal"/>
    <w:link w:val="Heading2Char"/>
    <w:uiPriority w:val="9"/>
    <w:qFormat/>
    <w:rsid w:val="00254146"/>
    <w:pPr>
      <w:keepNext/>
      <w:numPr>
        <w:ilvl w:val="1"/>
        <w:numId w:val="10"/>
      </w:numPr>
      <w:spacing w:before="320" w:after="60"/>
      <w:outlineLvl w:val="1"/>
    </w:pPr>
    <w:rPr>
      <w:rFonts w:cs="Arial"/>
      <w:b/>
      <w:bCs/>
      <w:iCs/>
      <w:sz w:val="28"/>
      <w:szCs w:val="28"/>
    </w:rPr>
  </w:style>
  <w:style w:type="paragraph" w:styleId="Heading3">
    <w:name w:val="heading 3"/>
    <w:basedOn w:val="Normal"/>
    <w:next w:val="Normal"/>
    <w:link w:val="Heading3Char"/>
    <w:qFormat/>
    <w:rsid w:val="00254146"/>
    <w:pPr>
      <w:keepNext/>
      <w:numPr>
        <w:ilvl w:val="2"/>
        <w:numId w:val="10"/>
      </w:numPr>
      <w:spacing w:before="60" w:after="60"/>
      <w:outlineLvl w:val="2"/>
    </w:pPr>
    <w:rPr>
      <w:rFonts w:cs="Arial"/>
      <w:b/>
      <w:bCs/>
      <w:szCs w:val="26"/>
    </w:rPr>
  </w:style>
  <w:style w:type="paragraph" w:styleId="Heading4">
    <w:name w:val="heading 4"/>
    <w:basedOn w:val="Normal"/>
    <w:next w:val="Normal"/>
    <w:semiHidden/>
    <w:qFormat/>
    <w:rsid w:val="00AD5436"/>
    <w:pPr>
      <w:keepNext/>
      <w:numPr>
        <w:ilvl w:val="3"/>
        <w:numId w:val="10"/>
      </w:numPr>
      <w:spacing w:before="240" w:after="60"/>
      <w:outlineLvl w:val="3"/>
    </w:pPr>
    <w:rPr>
      <w:rFonts w:ascii="Times New Roman" w:hAnsi="Times New Roman"/>
      <w:b/>
      <w:bCs/>
      <w:sz w:val="28"/>
      <w:szCs w:val="28"/>
    </w:rPr>
  </w:style>
  <w:style w:type="paragraph" w:styleId="Heading5">
    <w:name w:val="heading 5"/>
    <w:basedOn w:val="Normal"/>
    <w:next w:val="Normal"/>
    <w:semiHidden/>
    <w:qFormat/>
    <w:rsid w:val="00AD5436"/>
    <w:pPr>
      <w:numPr>
        <w:ilvl w:val="4"/>
        <w:numId w:val="10"/>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10"/>
      </w:numPr>
      <w:spacing w:before="240" w:after="60"/>
      <w:outlineLvl w:val="5"/>
    </w:pPr>
    <w:rPr>
      <w:rFonts w:ascii="Times New Roman" w:hAnsi="Times New Roman"/>
      <w:b/>
      <w:bCs/>
      <w:szCs w:val="22"/>
    </w:rPr>
  </w:style>
  <w:style w:type="paragraph" w:styleId="Heading7">
    <w:name w:val="heading 7"/>
    <w:basedOn w:val="Normal"/>
    <w:next w:val="Normal"/>
    <w:semiHidden/>
    <w:qFormat/>
    <w:rsid w:val="00AD5436"/>
    <w:pPr>
      <w:numPr>
        <w:ilvl w:val="6"/>
        <w:numId w:val="10"/>
      </w:numPr>
      <w:spacing w:before="240" w:after="60"/>
      <w:outlineLvl w:val="6"/>
    </w:pPr>
    <w:rPr>
      <w:rFonts w:ascii="Times New Roman" w:hAnsi="Times New Roman"/>
    </w:rPr>
  </w:style>
  <w:style w:type="paragraph" w:styleId="Heading8">
    <w:name w:val="heading 8"/>
    <w:basedOn w:val="Normal"/>
    <w:next w:val="Normal"/>
    <w:semiHidden/>
    <w:qFormat/>
    <w:rsid w:val="00AD5436"/>
    <w:pPr>
      <w:numPr>
        <w:ilvl w:val="7"/>
        <w:numId w:val="10"/>
      </w:numPr>
      <w:spacing w:before="240" w:after="60"/>
      <w:outlineLvl w:val="7"/>
    </w:pPr>
    <w:rPr>
      <w:rFonts w:ascii="Times New Roman" w:hAnsi="Times New Roman"/>
      <w:i/>
      <w:iCs/>
    </w:rPr>
  </w:style>
  <w:style w:type="paragraph" w:styleId="Heading9">
    <w:name w:val="heading 9"/>
    <w:basedOn w:val="Normal"/>
    <w:next w:val="Normal"/>
    <w:semiHidden/>
    <w:qFormat/>
    <w:rsid w:val="00AD5436"/>
    <w:pPr>
      <w:numPr>
        <w:ilvl w:val="8"/>
        <w:numId w:val="10"/>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791C"/>
    <w:pPr>
      <w:tabs>
        <w:tab w:val="center" w:pos="4153"/>
        <w:tab w:val="right" w:pos="8306"/>
      </w:tabs>
      <w:spacing w:line="240" w:lineRule="auto"/>
    </w:pPr>
    <w:rPr>
      <w:sz w:val="16"/>
    </w:rPr>
  </w:style>
  <w:style w:type="paragraph" w:styleId="Footer">
    <w:name w:val="footer"/>
    <w:basedOn w:val="Normal"/>
    <w:link w:val="FooterChar"/>
    <w:uiPriority w:val="99"/>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uiPriority w:val="99"/>
    <w:rsid w:val="0094078F"/>
    <w:rPr>
      <w:rFonts w:ascii="Arial" w:hAnsi="Arial"/>
      <w:color w:val="323232"/>
      <w:sz w:val="16"/>
    </w:rPr>
  </w:style>
  <w:style w:type="paragraph" w:customStyle="1" w:styleId="ACMAReportTitle">
    <w:name w:val="ACMA_ReportTitle"/>
    <w:basedOn w:val="Normal"/>
    <w:qFormat/>
    <w:rsid w:val="00A51D1A"/>
    <w:pPr>
      <w:spacing w:after="0" w:line="560" w:lineRule="exact"/>
    </w:pPr>
    <w:rPr>
      <w:b/>
      <w:spacing w:val="-28"/>
      <w:sz w:val="53"/>
    </w:rPr>
  </w:style>
  <w:style w:type="paragraph" w:customStyle="1" w:styleId="ACMAReportSubTitle">
    <w:name w:val="ACMA_ReportSubTitle"/>
    <w:basedOn w:val="Normal"/>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MAReportDate">
    <w:name w:val="ACMA_ReportDate"/>
    <w:basedOn w:val="ACMAReportSubTitle"/>
    <w:qFormat/>
    <w:rsid w:val="00063A18"/>
    <w:pPr>
      <w:spacing w:after="120" w:line="240" w:lineRule="auto"/>
    </w:pPr>
    <w:rPr>
      <w:caps/>
      <w:spacing w:val="-10"/>
      <w:sz w:val="20"/>
    </w:rPr>
  </w:style>
  <w:style w:type="paragraph" w:customStyle="1" w:styleId="TableHeading">
    <w:name w:val="Table Heading"/>
    <w:basedOn w:val="Normal"/>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link w:val="CaptionChar"/>
    <w:qFormat/>
    <w:rsid w:val="00E8152A"/>
    <w:pPr>
      <w:numPr>
        <w:numId w:val="8"/>
      </w:numPr>
      <w:spacing w:after="0"/>
    </w:pPr>
    <w:rPr>
      <w:b/>
      <w:bCs/>
      <w:color w:val="323232"/>
      <w:szCs w:val="20"/>
    </w:rPr>
  </w:style>
  <w:style w:type="paragraph" w:customStyle="1" w:styleId="BodySubHeader">
    <w:name w:val="BodySubHeader"/>
    <w:basedOn w:val="Normal"/>
    <w:next w:val="Normal"/>
    <w:qFormat/>
    <w:rsid w:val="00146CE6"/>
    <w:pPr>
      <w:spacing w:before="240" w:after="0"/>
    </w:pPr>
    <w:rPr>
      <w:b/>
      <w:i/>
    </w:rPr>
  </w:style>
  <w:style w:type="paragraph" w:styleId="ListBullet">
    <w:name w:val="List Bullet"/>
    <w:basedOn w:val="Normal"/>
    <w:qFormat/>
    <w:rsid w:val="001C6AEE"/>
    <w:pPr>
      <w:numPr>
        <w:numId w:val="1"/>
      </w:numPr>
      <w:spacing w:after="80"/>
    </w:pPr>
  </w:style>
  <w:style w:type="paragraph" w:styleId="ListBullet2">
    <w:name w:val="List Bullet 2"/>
    <w:basedOn w:val="Normal"/>
    <w:qFormat/>
    <w:rsid w:val="001C6AEE"/>
    <w:pPr>
      <w:numPr>
        <w:numId w:val="2"/>
      </w:numPr>
      <w:spacing w:after="80"/>
    </w:pPr>
  </w:style>
  <w:style w:type="paragraph" w:styleId="ListNumber">
    <w:name w:val="List Number"/>
    <w:basedOn w:val="Normal"/>
    <w:qFormat/>
    <w:rsid w:val="00C24A53"/>
    <w:pPr>
      <w:numPr>
        <w:numId w:val="3"/>
      </w:numPr>
      <w:spacing w:after="80"/>
    </w:pPr>
  </w:style>
  <w:style w:type="paragraph" w:styleId="ListNumber2">
    <w:name w:val="List Number 2"/>
    <w:basedOn w:val="Normal"/>
    <w:qFormat/>
    <w:rsid w:val="00247C59"/>
    <w:pPr>
      <w:numPr>
        <w:numId w:val="4"/>
      </w:numPr>
      <w:spacing w:after="80"/>
      <w:ind w:left="845" w:hanging="544"/>
    </w:pPr>
  </w:style>
  <w:style w:type="paragraph" w:customStyle="1" w:styleId="URLEmail">
    <w:name w:val="URL/Email"/>
    <w:basedOn w:val="Normal"/>
    <w:semiHidden/>
    <w:rsid w:val="00302480"/>
    <w:rPr>
      <w:color w:val="4D4D4F"/>
      <w:spacing w:val="4"/>
    </w:rPr>
  </w:style>
  <w:style w:type="paragraph" w:customStyle="1" w:styleId="ACMAExecSummaryHeading">
    <w:name w:val="ACMA_ExecSummaryHeading"/>
    <w:basedOn w:val="Normal"/>
    <w:qFormat/>
    <w:rsid w:val="00950159"/>
    <w:pPr>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BalloonText">
    <w:name w:val="Balloon Text"/>
    <w:basedOn w:val="Normal"/>
    <w:link w:val="BalloonTextChar"/>
    <w:semiHidden/>
    <w:rsid w:val="009F4C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6DA2"/>
    <w:rPr>
      <w:rFonts w:ascii="Tahoma" w:hAnsi="Tahoma" w:cs="Tahoma"/>
      <w:sz w:val="16"/>
      <w:szCs w:val="16"/>
    </w:r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Cs w:val="22"/>
    </w:rPr>
  </w:style>
  <w:style w:type="character" w:styleId="Hyperlink">
    <w:name w:val="Hyperlink"/>
    <w:basedOn w:val="DefaultParagraphFont"/>
    <w:uiPriority w:val="99"/>
    <w:qFormat/>
    <w:rsid w:val="003A5F5B"/>
    <w:rPr>
      <w:color w:val="0000FF"/>
      <w:u w:val="single"/>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Style 13,FR"/>
    <w:basedOn w:val="DefaultParagraphFont"/>
    <w:uiPriority w:val="99"/>
    <w:qFormat/>
    <w:rsid w:val="00566AB4"/>
    <w:rPr>
      <w:rFonts w:ascii="Arial" w:hAnsi="Arial"/>
      <w:vertAlign w:val="superscript"/>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
    <w:basedOn w:val="Normal"/>
    <w:link w:val="FootnoteTextChar"/>
    <w:qFormat/>
    <w:rsid w:val="00566AB4"/>
    <w:rPr>
      <w:sz w:val="16"/>
      <w:szCs w:val="16"/>
    </w:rPr>
  </w:style>
  <w:style w:type="paragraph" w:customStyle="1" w:styleId="TableBody">
    <w:name w:val="Table Body"/>
    <w:basedOn w:val="Normal"/>
    <w:qFormat/>
    <w:rsid w:val="00774FDB"/>
    <w:pPr>
      <w:spacing w:after="0" w:line="240" w:lineRule="auto"/>
    </w:pPr>
  </w:style>
  <w:style w:type="character" w:styleId="CommentReference">
    <w:name w:val="annotation reference"/>
    <w:basedOn w:val="DefaultParagraphFont"/>
    <w:uiPriority w:val="99"/>
    <w:rsid w:val="00EE7F79"/>
    <w:rPr>
      <w:sz w:val="16"/>
      <w:szCs w:val="16"/>
    </w:rPr>
  </w:style>
  <w:style w:type="paragraph" w:styleId="CommentText">
    <w:name w:val="annotation text"/>
    <w:basedOn w:val="Normal"/>
    <w:link w:val="CommentTextChar"/>
    <w:uiPriority w:val="99"/>
    <w:rsid w:val="00EE7F79"/>
    <w:pPr>
      <w:spacing w:line="240" w:lineRule="auto"/>
    </w:pPr>
    <w:rPr>
      <w:szCs w:val="20"/>
    </w:rPr>
  </w:style>
  <w:style w:type="character" w:customStyle="1" w:styleId="CommentTextChar">
    <w:name w:val="Comment Text Char"/>
    <w:basedOn w:val="DefaultParagraphFont"/>
    <w:link w:val="CommentText"/>
    <w:uiPriority w:val="99"/>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qFormat/>
    <w:rsid w:val="00BF610C"/>
    <w:pPr>
      <w:spacing w:after="200"/>
    </w:pPr>
    <w:rPr>
      <w:rFonts w:cs="Arial"/>
      <w:b/>
      <w:vanish/>
    </w:rPr>
  </w:style>
  <w:style w:type="paragraph" w:customStyle="1" w:styleId="CorporateAddresses">
    <w:name w:val="Corporate Addresses"/>
    <w:basedOn w:val="Normal"/>
    <w:semiHidden/>
    <w:rsid w:val="0005011A"/>
    <w:pPr>
      <w:spacing w:line="140" w:lineRule="exact"/>
    </w:pPr>
    <w:rPr>
      <w:color w:val="4D4D4F"/>
      <w:sz w:val="13"/>
    </w:rPr>
  </w:style>
  <w:style w:type="character" w:styleId="Strong">
    <w:name w:val="Strong"/>
    <w:basedOn w:val="DefaultParagraphFont"/>
    <w:semiHidden/>
    <w:qFormat/>
    <w:rsid w:val="0005011A"/>
    <w:rPr>
      <w:b/>
      <w:bCs/>
    </w:rPr>
  </w:style>
  <w:style w:type="paragraph" w:customStyle="1" w:styleId="ACMACorporateAddressHeader">
    <w:name w:val="ACMA_CorporateAddressHeader"/>
    <w:basedOn w:val="Normal"/>
    <w:next w:val="ACMACorporateAddresses"/>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qFormat/>
    <w:rsid w:val="00FC07B9"/>
    <w:pPr>
      <w:spacing w:before="0" w:after="120"/>
    </w:pPr>
    <w:rPr>
      <w:b w:val="0"/>
    </w:rPr>
  </w:style>
  <w:style w:type="paragraph" w:customStyle="1" w:styleId="ACMACopyrightHeader">
    <w:name w:val="ACMA_CopyrightHeader"/>
    <w:basedOn w:val="ACMACorporateAddressHeader"/>
    <w:qFormat/>
    <w:rsid w:val="00950159"/>
    <w:pPr>
      <w:spacing w:before="3000"/>
    </w:pPr>
  </w:style>
  <w:style w:type="paragraph" w:customStyle="1" w:styleId="ACMACClogo">
    <w:name w:val="ACMA_CClogo"/>
    <w:qFormat/>
    <w:rsid w:val="00623FF9"/>
    <w:pPr>
      <w:spacing w:before="160" w:after="120"/>
    </w:pPr>
    <w:rPr>
      <w:rFonts w:ascii="Arial" w:hAnsi="Arial"/>
      <w:b/>
      <w:sz w:val="13"/>
    </w:rPr>
  </w:style>
  <w:style w:type="paragraph" w:customStyle="1" w:styleId="ListBulletLast">
    <w:name w:val="List Bullet Last"/>
    <w:basedOn w:val="ListBullet"/>
    <w:qFormat/>
    <w:rsid w:val="00146CE6"/>
    <w:pPr>
      <w:spacing w:after="240"/>
    </w:pPr>
    <w:rPr>
      <w:rFonts w:cs="Arial"/>
    </w:rPr>
  </w:style>
  <w:style w:type="paragraph" w:customStyle="1" w:styleId="ListNumberLast">
    <w:name w:val="List Number Last"/>
    <w:basedOn w:val="ListNumber"/>
    <w:qFormat/>
    <w:rsid w:val="00C16198"/>
    <w:pPr>
      <w:spacing w:after="240"/>
      <w:ind w:left="357" w:hanging="357"/>
    </w:pPr>
    <w:rPr>
      <w:rFonts w:cs="Arial"/>
    </w:rPr>
  </w:style>
  <w:style w:type="paragraph" w:customStyle="1" w:styleId="ACMATableHeader">
    <w:name w:val="ACMA_TableHeader"/>
    <w:qFormat/>
    <w:rsid w:val="000B27C0"/>
    <w:pPr>
      <w:numPr>
        <w:numId w:val="6"/>
      </w:numPr>
      <w:spacing w:after="160"/>
    </w:pPr>
    <w:rPr>
      <w:rFonts w:ascii="Arial" w:hAnsi="Arial"/>
      <w:b/>
      <w:bCs/>
      <w:color w:val="323232"/>
      <w:sz w:val="22"/>
      <w:szCs w:val="20"/>
    </w:rPr>
  </w:style>
  <w:style w:type="paragraph" w:customStyle="1" w:styleId="ACMANotes">
    <w:name w:val="ACMA_Notes"/>
    <w:qFormat/>
    <w:rsid w:val="00FF206E"/>
    <w:pPr>
      <w:spacing w:before="80"/>
    </w:pPr>
    <w:rPr>
      <w:rFonts w:ascii="Arial" w:hAnsi="Arial" w:cs="Arial"/>
      <w:i/>
      <w:sz w:val="16"/>
    </w:rPr>
  </w:style>
  <w:style w:type="paragraph" w:customStyle="1" w:styleId="ACMANormalTabbed">
    <w:name w:val="ACMA_NormalTabbed"/>
    <w:basedOn w:val="Normal"/>
    <w:qFormat/>
    <w:rsid w:val="005E7226"/>
    <w:pPr>
      <w:tabs>
        <w:tab w:val="left" w:pos="1134"/>
      </w:tabs>
    </w:pPr>
  </w:style>
  <w:style w:type="character" w:styleId="Emphasis">
    <w:name w:val="Emphasis"/>
    <w:basedOn w:val="DefaultParagraphFont"/>
    <w:qFormat/>
    <w:rsid w:val="006D576C"/>
    <w:rPr>
      <w:i/>
      <w:iCs/>
    </w:rPr>
  </w:style>
  <w:style w:type="paragraph" w:customStyle="1" w:styleId="ListNumber2Last">
    <w:name w:val="List Number 2 Last"/>
    <w:basedOn w:val="ListNumber2"/>
    <w:qFormat/>
    <w:rsid w:val="00E35707"/>
    <w:pPr>
      <w:spacing w:after="240"/>
      <w:ind w:left="907"/>
    </w:pPr>
    <w:rPr>
      <w:rFonts w:cs="Arial"/>
    </w:rPr>
  </w:style>
  <w:style w:type="paragraph" w:customStyle="1" w:styleId="ACMASpaceaftertable">
    <w:name w:val="ACMA_Space after table"/>
    <w:basedOn w:val="Normal"/>
    <w:qFormat/>
    <w:rsid w:val="00C2083D"/>
    <w:rPr>
      <w:rFonts w:cs="Arial"/>
    </w:rPr>
  </w:style>
  <w:style w:type="paragraph" w:customStyle="1" w:styleId="FooterLeft">
    <w:name w:val="Footer Left"/>
    <w:basedOn w:val="Footer"/>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qFormat/>
    <w:rsid w:val="000B27C0"/>
    <w:pPr>
      <w:numPr>
        <w:numId w:val="5"/>
      </w:numPr>
      <w:spacing w:after="160"/>
    </w:pPr>
    <w:rPr>
      <w:rFonts w:ascii="Arial" w:hAnsi="Arial"/>
      <w:b/>
      <w:bCs/>
      <w:color w:val="323232"/>
      <w:sz w:val="22"/>
      <w:szCs w:val="20"/>
    </w:rPr>
  </w:style>
  <w:style w:type="paragraph" w:customStyle="1" w:styleId="Captionfigure">
    <w:name w:val="Caption figure"/>
    <w:basedOn w:val="Caption"/>
    <w:qFormat/>
    <w:rsid w:val="00E8152A"/>
    <w:pPr>
      <w:keepNext/>
      <w:numPr>
        <w:numId w:val="7"/>
      </w:numPr>
    </w:pPr>
    <w:rPr>
      <w:rFonts w:cs="Arial"/>
    </w:rPr>
  </w:style>
  <w:style w:type="paragraph" w:customStyle="1" w:styleId="GridTable31">
    <w:name w:val="Grid Table 31"/>
    <w:basedOn w:val="Normal"/>
    <w:qFormat/>
    <w:rsid w:val="00971914"/>
    <w:pPr>
      <w:spacing w:after="0" w:line="240" w:lineRule="auto"/>
    </w:pPr>
    <w:rPr>
      <w:b/>
      <w:color w:val="4D4D4F"/>
      <w:spacing w:val="-28"/>
      <w:sz w:val="53"/>
    </w:rPr>
  </w:style>
  <w:style w:type="character" w:customStyle="1" w:styleId="HeaderChar">
    <w:name w:val="Header Char"/>
    <w:link w:val="Header"/>
    <w:rsid w:val="00971914"/>
    <w:rPr>
      <w:rFonts w:ascii="Arial" w:hAnsi="Arial"/>
      <w:sz w:val="16"/>
    </w:rPr>
  </w:style>
  <w:style w:type="paragraph" w:customStyle="1" w:styleId="Partheading">
    <w:name w:val="Part heading"/>
    <w:basedOn w:val="Heading1"/>
    <w:qFormat/>
    <w:rsid w:val="00FD1033"/>
    <w:pPr>
      <w:numPr>
        <w:numId w:val="9"/>
      </w:numPr>
    </w:pPr>
  </w:style>
  <w:style w:type="paragraph" w:customStyle="1" w:styleId="Numberedheading">
    <w:name w:val="Numbered heading"/>
    <w:basedOn w:val="Heading2"/>
    <w:qFormat/>
    <w:rsid w:val="00FD1033"/>
    <w:pPr>
      <w:numPr>
        <w:numId w:val="9"/>
      </w:numPr>
    </w:pPr>
  </w:style>
  <w:style w:type="paragraph" w:customStyle="1" w:styleId="Heading2noTOC">
    <w:name w:val="Heading 2 no TOC"/>
    <w:qFormat/>
    <w:rsid w:val="00EF73FF"/>
    <w:rPr>
      <w:rFonts w:ascii="Arial" w:hAnsi="Arial" w:cs="Arial"/>
      <w:b/>
      <w:bCs/>
      <w:iCs/>
      <w:sz w:val="28"/>
      <w:szCs w:val="28"/>
    </w:rPr>
  </w:style>
  <w:style w:type="paragraph" w:styleId="ListParagraph">
    <w:name w:val="List Paragraph"/>
    <w:basedOn w:val="Normal"/>
    <w:uiPriority w:val="34"/>
    <w:qFormat/>
    <w:rsid w:val="00366071"/>
    <w:pPr>
      <w:ind w:left="720"/>
      <w:contextualSpacing/>
    </w:p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basedOn w:val="DefaultParagraphFont"/>
    <w:link w:val="FootnoteText"/>
    <w:qFormat/>
    <w:rsid w:val="00330733"/>
    <w:rPr>
      <w:rFonts w:ascii="Arial" w:hAnsi="Arial"/>
      <w:sz w:val="16"/>
      <w:szCs w:val="16"/>
    </w:rPr>
  </w:style>
  <w:style w:type="character" w:styleId="UnresolvedMention">
    <w:name w:val="Unresolved Mention"/>
    <w:basedOn w:val="DefaultParagraphFont"/>
    <w:uiPriority w:val="99"/>
    <w:semiHidden/>
    <w:unhideWhenUsed/>
    <w:rsid w:val="00746A68"/>
    <w:rPr>
      <w:color w:val="605E5C"/>
      <w:shd w:val="clear" w:color="auto" w:fill="E1DFDD"/>
    </w:rPr>
  </w:style>
  <w:style w:type="paragraph" w:customStyle="1" w:styleId="ACMABulletLevel1">
    <w:name w:val="ACMA Bullet Level 1"/>
    <w:rsid w:val="002D1060"/>
    <w:pPr>
      <w:numPr>
        <w:numId w:val="11"/>
      </w:numPr>
      <w:spacing w:after="120"/>
    </w:pPr>
    <w:rPr>
      <w:szCs w:val="20"/>
      <w:lang w:eastAsia="en-US"/>
    </w:rPr>
  </w:style>
  <w:style w:type="paragraph" w:customStyle="1" w:styleId="Caption-table">
    <w:name w:val="Caption - table"/>
    <w:basedOn w:val="Caption"/>
    <w:next w:val="Normal"/>
    <w:link w:val="Caption-tableChar"/>
    <w:qFormat/>
    <w:rsid w:val="00AD0E1F"/>
    <w:pPr>
      <w:keepNext/>
      <w:numPr>
        <w:numId w:val="0"/>
      </w:numPr>
      <w:spacing w:after="120"/>
    </w:pPr>
    <w:rPr>
      <w:bCs w:val="0"/>
      <w:iCs/>
      <w:color w:val="auto"/>
      <w:sz w:val="20"/>
      <w:szCs w:val="18"/>
    </w:rPr>
  </w:style>
  <w:style w:type="character" w:customStyle="1" w:styleId="Caption-tableChar">
    <w:name w:val="Caption - table Char"/>
    <w:basedOn w:val="DefaultParagraphFont"/>
    <w:link w:val="Caption-table"/>
    <w:rsid w:val="00AD0E1F"/>
    <w:rPr>
      <w:rFonts w:ascii="Arial" w:hAnsi="Arial"/>
      <w:b/>
      <w:iCs/>
      <w:sz w:val="20"/>
      <w:szCs w:val="18"/>
    </w:rPr>
  </w:style>
  <w:style w:type="character" w:customStyle="1" w:styleId="Heading3Char">
    <w:name w:val="Heading 3 Char"/>
    <w:basedOn w:val="DefaultParagraphFont"/>
    <w:link w:val="Heading3"/>
    <w:rsid w:val="005D76A0"/>
    <w:rPr>
      <w:rFonts w:ascii="Arial" w:hAnsi="Arial" w:cs="Arial"/>
      <w:b/>
      <w:bCs/>
      <w:sz w:val="22"/>
      <w:szCs w:val="26"/>
    </w:rPr>
  </w:style>
  <w:style w:type="character" w:customStyle="1" w:styleId="Heading2Char">
    <w:name w:val="Heading 2 Char"/>
    <w:basedOn w:val="DefaultParagraphFont"/>
    <w:link w:val="Heading2"/>
    <w:uiPriority w:val="9"/>
    <w:rsid w:val="007E6BAF"/>
    <w:rPr>
      <w:rFonts w:ascii="Arial" w:hAnsi="Arial" w:cs="Arial"/>
      <w:b/>
      <w:bCs/>
      <w:iCs/>
      <w:sz w:val="28"/>
      <w:szCs w:val="28"/>
    </w:rPr>
  </w:style>
  <w:style w:type="character" w:customStyle="1" w:styleId="CaptionChar">
    <w:name w:val="Caption Char"/>
    <w:aliases w:val="Caption table Char"/>
    <w:basedOn w:val="DefaultParagraphFont"/>
    <w:link w:val="Caption"/>
    <w:rsid w:val="00307353"/>
    <w:rPr>
      <w:rFonts w:ascii="Arial" w:hAnsi="Arial"/>
      <w:b/>
      <w:bCs/>
      <w:color w:val="323232"/>
      <w:sz w:val="22"/>
      <w:szCs w:val="20"/>
    </w:rPr>
  </w:style>
  <w:style w:type="paragraph" w:customStyle="1" w:styleId="Stephangingpara">
    <w:name w:val="Step hanging para"/>
    <w:basedOn w:val="Normal"/>
    <w:link w:val="StephangingparaChar"/>
    <w:qFormat/>
    <w:rsid w:val="00307353"/>
    <w:pPr>
      <w:spacing w:after="120"/>
      <w:ind w:left="1021" w:hanging="1021"/>
    </w:pPr>
  </w:style>
  <w:style w:type="character" w:customStyle="1" w:styleId="StephangingparaChar">
    <w:name w:val="Step hanging para Char"/>
    <w:basedOn w:val="DefaultParagraphFont"/>
    <w:link w:val="Stephangingpara"/>
    <w:rsid w:val="00307353"/>
    <w:rPr>
      <w:rFonts w:ascii="Arial" w:hAnsi="Arial"/>
      <w:sz w:val="22"/>
    </w:rPr>
  </w:style>
  <w:style w:type="paragraph" w:customStyle="1" w:styleId="coordStageHeading">
    <w:name w:val="coordStageHeading"/>
    <w:basedOn w:val="Normal"/>
    <w:next w:val="Normal"/>
    <w:link w:val="coordStageHeadingChar"/>
    <w:qFormat/>
    <w:rsid w:val="00307353"/>
    <w:pPr>
      <w:keepNext/>
      <w:spacing w:before="240" w:after="60"/>
    </w:pPr>
    <w:rPr>
      <w:b/>
      <w:bCs/>
    </w:rPr>
  </w:style>
  <w:style w:type="paragraph" w:customStyle="1" w:styleId="coordStepHeading">
    <w:name w:val="coordStepHeading"/>
    <w:basedOn w:val="Normal"/>
    <w:next w:val="Normal"/>
    <w:link w:val="coordStepHeadingChar"/>
    <w:qFormat/>
    <w:rsid w:val="00307353"/>
    <w:pPr>
      <w:keepNext/>
      <w:spacing w:before="60" w:after="60"/>
    </w:pPr>
    <w:rPr>
      <w:u w:val="single"/>
    </w:rPr>
  </w:style>
  <w:style w:type="character" w:customStyle="1" w:styleId="coordStageHeadingChar">
    <w:name w:val="coordStageHeading Char"/>
    <w:basedOn w:val="DefaultParagraphFont"/>
    <w:link w:val="coordStageHeading"/>
    <w:rsid w:val="00307353"/>
    <w:rPr>
      <w:rFonts w:ascii="Arial" w:hAnsi="Arial"/>
      <w:b/>
      <w:bCs/>
      <w:sz w:val="22"/>
    </w:rPr>
  </w:style>
  <w:style w:type="paragraph" w:customStyle="1" w:styleId="coordItalicHeading">
    <w:name w:val="coordItalicHeading"/>
    <w:basedOn w:val="Normal"/>
    <w:next w:val="Normal"/>
    <w:link w:val="coordItalicHeadingChar"/>
    <w:qFormat/>
    <w:rsid w:val="00307353"/>
    <w:pPr>
      <w:keepNext/>
      <w:spacing w:after="60"/>
    </w:pPr>
    <w:rPr>
      <w:i/>
      <w:iCs/>
    </w:rPr>
  </w:style>
  <w:style w:type="character" w:customStyle="1" w:styleId="coordStepHeadingChar">
    <w:name w:val="coordStepHeading Char"/>
    <w:basedOn w:val="DefaultParagraphFont"/>
    <w:link w:val="coordStepHeading"/>
    <w:rsid w:val="00307353"/>
    <w:rPr>
      <w:rFonts w:ascii="Arial" w:hAnsi="Arial"/>
      <w:sz w:val="22"/>
      <w:u w:val="single"/>
    </w:rPr>
  </w:style>
  <w:style w:type="character" w:customStyle="1" w:styleId="coordItalicHeadingChar">
    <w:name w:val="coordItalicHeading Char"/>
    <w:basedOn w:val="DefaultParagraphFont"/>
    <w:link w:val="coordItalicHeading"/>
    <w:rsid w:val="00307353"/>
    <w:rPr>
      <w:rFonts w:ascii="Arial" w:hAnsi="Arial"/>
      <w:i/>
      <w:iCs/>
      <w:sz w:val="22"/>
    </w:rPr>
  </w:style>
  <w:style w:type="paragraph" w:styleId="Index2">
    <w:name w:val="index 2"/>
    <w:basedOn w:val="Normal"/>
    <w:next w:val="Normal"/>
    <w:autoRedefine/>
    <w:rsid w:val="00D6001E"/>
    <w:pPr>
      <w:spacing w:after="0" w:line="240" w:lineRule="auto"/>
      <w:ind w:left="440" w:hanging="220"/>
    </w:pPr>
  </w:style>
  <w:style w:type="paragraph" w:customStyle="1" w:styleId="BlockQuote">
    <w:name w:val="Block Quote"/>
    <w:basedOn w:val="Normal"/>
    <w:link w:val="BlockQuoteChar"/>
    <w:qFormat/>
    <w:rsid w:val="00D6001E"/>
    <w:pPr>
      <w:ind w:left="680" w:right="680"/>
    </w:pPr>
    <w:rPr>
      <w:i/>
      <w:iCs/>
    </w:rPr>
  </w:style>
  <w:style w:type="character" w:customStyle="1" w:styleId="BlockQuoteChar">
    <w:name w:val="Block Quote Char"/>
    <w:basedOn w:val="DefaultParagraphFont"/>
    <w:link w:val="BlockQuote"/>
    <w:rsid w:val="00D6001E"/>
    <w:rPr>
      <w:rFonts w:ascii="Arial" w:hAnsi="Arial"/>
      <w:i/>
      <w:iCs/>
      <w:sz w:val="22"/>
    </w:rPr>
  </w:style>
  <w:style w:type="paragraph" w:customStyle="1" w:styleId="AppendixH1">
    <w:name w:val="Appendix H1"/>
    <w:basedOn w:val="Heading1"/>
    <w:next w:val="Normal"/>
    <w:link w:val="AppendixH1Char"/>
    <w:qFormat/>
    <w:rsid w:val="00AB7FE5"/>
    <w:pPr>
      <w:numPr>
        <w:numId w:val="14"/>
      </w:numPr>
    </w:pPr>
    <w:rPr>
      <w:szCs w:val="44"/>
    </w:rPr>
  </w:style>
  <w:style w:type="character" w:customStyle="1" w:styleId="AppendixH1Char">
    <w:name w:val="Appendix H1 Char"/>
    <w:basedOn w:val="DefaultParagraphFont"/>
    <w:link w:val="AppendixH1"/>
    <w:rsid w:val="00AB7FE5"/>
    <w:rPr>
      <w:rFonts w:ascii="Arial" w:hAnsi="Arial" w:cs="Arial"/>
      <w:bCs/>
      <w:color w:val="323232"/>
      <w:kern w:val="32"/>
      <w:sz w:val="44"/>
      <w:szCs w:val="44"/>
    </w:rPr>
  </w:style>
  <w:style w:type="paragraph" w:customStyle="1" w:styleId="AppendixH2">
    <w:name w:val="Appendix H2"/>
    <w:basedOn w:val="Heading2"/>
    <w:next w:val="Normal"/>
    <w:link w:val="AppendixH2Char"/>
    <w:qFormat/>
    <w:rsid w:val="00AB7FE5"/>
    <w:pPr>
      <w:numPr>
        <w:ilvl w:val="0"/>
        <w:numId w:val="15"/>
      </w:numPr>
    </w:pPr>
  </w:style>
  <w:style w:type="character" w:customStyle="1" w:styleId="AppendixH2Char">
    <w:name w:val="Appendix H2 Char"/>
    <w:basedOn w:val="Heading2Char"/>
    <w:link w:val="AppendixH2"/>
    <w:rsid w:val="00AB7FE5"/>
    <w:rPr>
      <w:rFonts w:ascii="Arial" w:hAnsi="Arial" w:cs="Arial"/>
      <w:b/>
      <w:bCs/>
      <w:iCs/>
      <w:sz w:val="28"/>
      <w:szCs w:val="28"/>
    </w:rPr>
  </w:style>
  <w:style w:type="paragraph" w:styleId="Revision">
    <w:name w:val="Revision"/>
    <w:hidden/>
    <w:semiHidden/>
    <w:rsid w:val="001739E1"/>
    <w:rPr>
      <w:rFonts w:ascii="Arial" w:hAnsi="Arial"/>
      <w:sz w:val="22"/>
    </w:rPr>
  </w:style>
  <w:style w:type="character" w:customStyle="1" w:styleId="cf01">
    <w:name w:val="cf01"/>
    <w:basedOn w:val="DefaultParagraphFont"/>
    <w:rsid w:val="00F1708F"/>
    <w:rPr>
      <w:rFonts w:ascii="Segoe UI" w:hAnsi="Segoe UI" w:cs="Segoe UI" w:hint="default"/>
      <w:sz w:val="18"/>
      <w:szCs w:val="18"/>
    </w:rPr>
  </w:style>
  <w:style w:type="paragraph" w:customStyle="1" w:styleId="Paragraph">
    <w:name w:val="Paragraph"/>
    <w:basedOn w:val="Normal"/>
    <w:qFormat/>
    <w:rsid w:val="00856891"/>
    <w:pPr>
      <w:spacing w:line="280" w:lineRule="atLeast"/>
    </w:pPr>
    <w:rPr>
      <w:rFonts w:cs="Arial"/>
    </w:rPr>
  </w:style>
  <w:style w:type="paragraph" w:customStyle="1" w:styleId="Bulletlevel2">
    <w:name w:val="Bullet level 2"/>
    <w:basedOn w:val="ListBullet2"/>
    <w:uiPriority w:val="7"/>
    <w:qFormat/>
    <w:rsid w:val="00856891"/>
    <w:pPr>
      <w:numPr>
        <w:numId w:val="22"/>
      </w:numPr>
      <w:tabs>
        <w:tab w:val="left" w:pos="295"/>
      </w:tabs>
      <w:spacing w:line="280" w:lineRule="atLeast"/>
      <w:ind w:left="568" w:hanging="284"/>
    </w:pPr>
    <w:rPr>
      <w:rFonts w:cs="Arial"/>
    </w:rPr>
  </w:style>
  <w:style w:type="character" w:styleId="Mention">
    <w:name w:val="Mention"/>
    <w:basedOn w:val="DefaultParagraphFont"/>
    <w:uiPriority w:val="99"/>
    <w:unhideWhenUsed/>
    <w:rsid w:val="00F658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99772">
      <w:bodyDiv w:val="1"/>
      <w:marLeft w:val="0"/>
      <w:marRight w:val="0"/>
      <w:marTop w:val="0"/>
      <w:marBottom w:val="0"/>
      <w:divBdr>
        <w:top w:val="none" w:sz="0" w:space="0" w:color="auto"/>
        <w:left w:val="none" w:sz="0" w:space="0" w:color="auto"/>
        <w:bottom w:val="none" w:sz="0" w:space="0" w:color="auto"/>
        <w:right w:val="none" w:sz="0" w:space="0" w:color="auto"/>
      </w:divBdr>
    </w:div>
    <w:div w:id="459111673">
      <w:bodyDiv w:val="1"/>
      <w:marLeft w:val="0"/>
      <w:marRight w:val="0"/>
      <w:marTop w:val="0"/>
      <w:marBottom w:val="0"/>
      <w:divBdr>
        <w:top w:val="none" w:sz="0" w:space="0" w:color="auto"/>
        <w:left w:val="none" w:sz="0" w:space="0" w:color="auto"/>
        <w:bottom w:val="none" w:sz="0" w:space="0" w:color="auto"/>
        <w:right w:val="none" w:sz="0" w:space="0" w:color="auto"/>
      </w:divBdr>
    </w:div>
    <w:div w:id="617444858">
      <w:bodyDiv w:val="1"/>
      <w:marLeft w:val="0"/>
      <w:marRight w:val="0"/>
      <w:marTop w:val="0"/>
      <w:marBottom w:val="0"/>
      <w:divBdr>
        <w:top w:val="none" w:sz="0" w:space="0" w:color="auto"/>
        <w:left w:val="none" w:sz="0" w:space="0" w:color="auto"/>
        <w:bottom w:val="none" w:sz="0" w:space="0" w:color="auto"/>
        <w:right w:val="none" w:sz="0" w:space="0" w:color="auto"/>
      </w:divBdr>
    </w:div>
    <w:div w:id="882669866">
      <w:bodyDiv w:val="1"/>
      <w:marLeft w:val="0"/>
      <w:marRight w:val="0"/>
      <w:marTop w:val="0"/>
      <w:marBottom w:val="0"/>
      <w:divBdr>
        <w:top w:val="none" w:sz="0" w:space="0" w:color="auto"/>
        <w:left w:val="none" w:sz="0" w:space="0" w:color="auto"/>
        <w:bottom w:val="none" w:sz="0" w:space="0" w:color="auto"/>
        <w:right w:val="none" w:sz="0" w:space="0" w:color="auto"/>
      </w:divBdr>
    </w:div>
    <w:div w:id="986055847">
      <w:bodyDiv w:val="1"/>
      <w:marLeft w:val="0"/>
      <w:marRight w:val="0"/>
      <w:marTop w:val="0"/>
      <w:marBottom w:val="0"/>
      <w:divBdr>
        <w:top w:val="none" w:sz="0" w:space="0" w:color="auto"/>
        <w:left w:val="none" w:sz="0" w:space="0" w:color="auto"/>
        <w:bottom w:val="none" w:sz="0" w:space="0" w:color="auto"/>
        <w:right w:val="none" w:sz="0" w:space="0" w:color="auto"/>
      </w:divBdr>
    </w:div>
    <w:div w:id="1217742337">
      <w:bodyDiv w:val="1"/>
      <w:marLeft w:val="0"/>
      <w:marRight w:val="0"/>
      <w:marTop w:val="0"/>
      <w:marBottom w:val="0"/>
      <w:divBdr>
        <w:top w:val="none" w:sz="0" w:space="0" w:color="auto"/>
        <w:left w:val="none" w:sz="0" w:space="0" w:color="auto"/>
        <w:bottom w:val="none" w:sz="0" w:space="0" w:color="auto"/>
        <w:right w:val="none" w:sz="0" w:space="0" w:color="auto"/>
      </w:divBdr>
    </w:div>
    <w:div w:id="132215271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694257401">
      <w:bodyDiv w:val="1"/>
      <w:marLeft w:val="0"/>
      <w:marRight w:val="0"/>
      <w:marTop w:val="0"/>
      <w:marBottom w:val="0"/>
      <w:divBdr>
        <w:top w:val="none" w:sz="0" w:space="0" w:color="auto"/>
        <w:left w:val="none" w:sz="0" w:space="0" w:color="auto"/>
        <w:bottom w:val="none" w:sz="0" w:space="0" w:color="auto"/>
        <w:right w:val="none" w:sz="0" w:space="0" w:color="auto"/>
      </w:divBdr>
    </w:div>
    <w:div w:id="1812823162">
      <w:bodyDiv w:val="1"/>
      <w:marLeft w:val="0"/>
      <w:marRight w:val="0"/>
      <w:marTop w:val="0"/>
      <w:marBottom w:val="0"/>
      <w:divBdr>
        <w:top w:val="none" w:sz="0" w:space="0" w:color="auto"/>
        <w:left w:val="none" w:sz="0" w:space="0" w:color="auto"/>
        <w:bottom w:val="none" w:sz="0" w:space="0" w:color="auto"/>
        <w:right w:val="none" w:sz="0" w:space="0" w:color="auto"/>
      </w:divBdr>
      <w:divsChild>
        <w:div w:id="16658952">
          <w:marLeft w:val="0"/>
          <w:marRight w:val="0"/>
          <w:marTop w:val="0"/>
          <w:marBottom w:val="0"/>
          <w:divBdr>
            <w:top w:val="none" w:sz="0" w:space="0" w:color="auto"/>
            <w:left w:val="none" w:sz="0" w:space="0" w:color="auto"/>
            <w:bottom w:val="none" w:sz="0" w:space="0" w:color="auto"/>
            <w:right w:val="none" w:sz="0" w:space="0" w:color="auto"/>
          </w:divBdr>
          <w:divsChild>
            <w:div w:id="1788041836">
              <w:marLeft w:val="0"/>
              <w:marRight w:val="0"/>
              <w:marTop w:val="0"/>
              <w:marBottom w:val="0"/>
              <w:divBdr>
                <w:top w:val="none" w:sz="0" w:space="0" w:color="auto"/>
                <w:left w:val="none" w:sz="0" w:space="0" w:color="auto"/>
                <w:bottom w:val="none" w:sz="0" w:space="0" w:color="auto"/>
                <w:right w:val="none" w:sz="0" w:space="0" w:color="auto"/>
              </w:divBdr>
            </w:div>
          </w:divsChild>
        </w:div>
        <w:div w:id="45615117">
          <w:marLeft w:val="0"/>
          <w:marRight w:val="0"/>
          <w:marTop w:val="0"/>
          <w:marBottom w:val="0"/>
          <w:divBdr>
            <w:top w:val="none" w:sz="0" w:space="0" w:color="auto"/>
            <w:left w:val="none" w:sz="0" w:space="0" w:color="auto"/>
            <w:bottom w:val="none" w:sz="0" w:space="0" w:color="auto"/>
            <w:right w:val="none" w:sz="0" w:space="0" w:color="auto"/>
          </w:divBdr>
          <w:divsChild>
            <w:div w:id="98183237">
              <w:marLeft w:val="0"/>
              <w:marRight w:val="0"/>
              <w:marTop w:val="0"/>
              <w:marBottom w:val="0"/>
              <w:divBdr>
                <w:top w:val="none" w:sz="0" w:space="0" w:color="auto"/>
                <w:left w:val="none" w:sz="0" w:space="0" w:color="auto"/>
                <w:bottom w:val="none" w:sz="0" w:space="0" w:color="auto"/>
                <w:right w:val="none" w:sz="0" w:space="0" w:color="auto"/>
              </w:divBdr>
            </w:div>
          </w:divsChild>
        </w:div>
        <w:div w:id="254023385">
          <w:marLeft w:val="0"/>
          <w:marRight w:val="0"/>
          <w:marTop w:val="0"/>
          <w:marBottom w:val="0"/>
          <w:divBdr>
            <w:top w:val="none" w:sz="0" w:space="0" w:color="auto"/>
            <w:left w:val="none" w:sz="0" w:space="0" w:color="auto"/>
            <w:bottom w:val="none" w:sz="0" w:space="0" w:color="auto"/>
            <w:right w:val="none" w:sz="0" w:space="0" w:color="auto"/>
          </w:divBdr>
          <w:divsChild>
            <w:div w:id="2049379873">
              <w:marLeft w:val="0"/>
              <w:marRight w:val="0"/>
              <w:marTop w:val="0"/>
              <w:marBottom w:val="0"/>
              <w:divBdr>
                <w:top w:val="none" w:sz="0" w:space="0" w:color="auto"/>
                <w:left w:val="none" w:sz="0" w:space="0" w:color="auto"/>
                <w:bottom w:val="none" w:sz="0" w:space="0" w:color="auto"/>
                <w:right w:val="none" w:sz="0" w:space="0" w:color="auto"/>
              </w:divBdr>
            </w:div>
          </w:divsChild>
        </w:div>
        <w:div w:id="256133884">
          <w:marLeft w:val="0"/>
          <w:marRight w:val="0"/>
          <w:marTop w:val="0"/>
          <w:marBottom w:val="0"/>
          <w:divBdr>
            <w:top w:val="none" w:sz="0" w:space="0" w:color="auto"/>
            <w:left w:val="none" w:sz="0" w:space="0" w:color="auto"/>
            <w:bottom w:val="none" w:sz="0" w:space="0" w:color="auto"/>
            <w:right w:val="none" w:sz="0" w:space="0" w:color="auto"/>
          </w:divBdr>
          <w:divsChild>
            <w:div w:id="544217694">
              <w:marLeft w:val="0"/>
              <w:marRight w:val="0"/>
              <w:marTop w:val="0"/>
              <w:marBottom w:val="0"/>
              <w:divBdr>
                <w:top w:val="none" w:sz="0" w:space="0" w:color="auto"/>
                <w:left w:val="none" w:sz="0" w:space="0" w:color="auto"/>
                <w:bottom w:val="none" w:sz="0" w:space="0" w:color="auto"/>
                <w:right w:val="none" w:sz="0" w:space="0" w:color="auto"/>
              </w:divBdr>
            </w:div>
          </w:divsChild>
        </w:div>
        <w:div w:id="261185361">
          <w:marLeft w:val="0"/>
          <w:marRight w:val="0"/>
          <w:marTop w:val="0"/>
          <w:marBottom w:val="0"/>
          <w:divBdr>
            <w:top w:val="none" w:sz="0" w:space="0" w:color="auto"/>
            <w:left w:val="none" w:sz="0" w:space="0" w:color="auto"/>
            <w:bottom w:val="none" w:sz="0" w:space="0" w:color="auto"/>
            <w:right w:val="none" w:sz="0" w:space="0" w:color="auto"/>
          </w:divBdr>
          <w:divsChild>
            <w:div w:id="1484160946">
              <w:marLeft w:val="0"/>
              <w:marRight w:val="0"/>
              <w:marTop w:val="0"/>
              <w:marBottom w:val="0"/>
              <w:divBdr>
                <w:top w:val="none" w:sz="0" w:space="0" w:color="auto"/>
                <w:left w:val="none" w:sz="0" w:space="0" w:color="auto"/>
                <w:bottom w:val="none" w:sz="0" w:space="0" w:color="auto"/>
                <w:right w:val="none" w:sz="0" w:space="0" w:color="auto"/>
              </w:divBdr>
            </w:div>
          </w:divsChild>
        </w:div>
        <w:div w:id="333068266">
          <w:marLeft w:val="0"/>
          <w:marRight w:val="0"/>
          <w:marTop w:val="0"/>
          <w:marBottom w:val="0"/>
          <w:divBdr>
            <w:top w:val="none" w:sz="0" w:space="0" w:color="auto"/>
            <w:left w:val="none" w:sz="0" w:space="0" w:color="auto"/>
            <w:bottom w:val="none" w:sz="0" w:space="0" w:color="auto"/>
            <w:right w:val="none" w:sz="0" w:space="0" w:color="auto"/>
          </w:divBdr>
          <w:divsChild>
            <w:div w:id="1086073559">
              <w:marLeft w:val="0"/>
              <w:marRight w:val="0"/>
              <w:marTop w:val="0"/>
              <w:marBottom w:val="0"/>
              <w:divBdr>
                <w:top w:val="none" w:sz="0" w:space="0" w:color="auto"/>
                <w:left w:val="none" w:sz="0" w:space="0" w:color="auto"/>
                <w:bottom w:val="none" w:sz="0" w:space="0" w:color="auto"/>
                <w:right w:val="none" w:sz="0" w:space="0" w:color="auto"/>
              </w:divBdr>
            </w:div>
          </w:divsChild>
        </w:div>
        <w:div w:id="639574179">
          <w:marLeft w:val="0"/>
          <w:marRight w:val="0"/>
          <w:marTop w:val="0"/>
          <w:marBottom w:val="0"/>
          <w:divBdr>
            <w:top w:val="none" w:sz="0" w:space="0" w:color="auto"/>
            <w:left w:val="none" w:sz="0" w:space="0" w:color="auto"/>
            <w:bottom w:val="none" w:sz="0" w:space="0" w:color="auto"/>
            <w:right w:val="none" w:sz="0" w:space="0" w:color="auto"/>
          </w:divBdr>
          <w:divsChild>
            <w:div w:id="1005128792">
              <w:marLeft w:val="0"/>
              <w:marRight w:val="0"/>
              <w:marTop w:val="0"/>
              <w:marBottom w:val="0"/>
              <w:divBdr>
                <w:top w:val="none" w:sz="0" w:space="0" w:color="auto"/>
                <w:left w:val="none" w:sz="0" w:space="0" w:color="auto"/>
                <w:bottom w:val="none" w:sz="0" w:space="0" w:color="auto"/>
                <w:right w:val="none" w:sz="0" w:space="0" w:color="auto"/>
              </w:divBdr>
            </w:div>
          </w:divsChild>
        </w:div>
        <w:div w:id="669909472">
          <w:marLeft w:val="0"/>
          <w:marRight w:val="0"/>
          <w:marTop w:val="0"/>
          <w:marBottom w:val="0"/>
          <w:divBdr>
            <w:top w:val="none" w:sz="0" w:space="0" w:color="auto"/>
            <w:left w:val="none" w:sz="0" w:space="0" w:color="auto"/>
            <w:bottom w:val="none" w:sz="0" w:space="0" w:color="auto"/>
            <w:right w:val="none" w:sz="0" w:space="0" w:color="auto"/>
          </w:divBdr>
          <w:divsChild>
            <w:div w:id="163323540">
              <w:marLeft w:val="0"/>
              <w:marRight w:val="0"/>
              <w:marTop w:val="0"/>
              <w:marBottom w:val="0"/>
              <w:divBdr>
                <w:top w:val="none" w:sz="0" w:space="0" w:color="auto"/>
                <w:left w:val="none" w:sz="0" w:space="0" w:color="auto"/>
                <w:bottom w:val="none" w:sz="0" w:space="0" w:color="auto"/>
                <w:right w:val="none" w:sz="0" w:space="0" w:color="auto"/>
              </w:divBdr>
            </w:div>
          </w:divsChild>
        </w:div>
        <w:div w:id="673341705">
          <w:marLeft w:val="0"/>
          <w:marRight w:val="0"/>
          <w:marTop w:val="0"/>
          <w:marBottom w:val="0"/>
          <w:divBdr>
            <w:top w:val="none" w:sz="0" w:space="0" w:color="auto"/>
            <w:left w:val="none" w:sz="0" w:space="0" w:color="auto"/>
            <w:bottom w:val="none" w:sz="0" w:space="0" w:color="auto"/>
            <w:right w:val="none" w:sz="0" w:space="0" w:color="auto"/>
          </w:divBdr>
          <w:divsChild>
            <w:div w:id="1184171316">
              <w:marLeft w:val="0"/>
              <w:marRight w:val="0"/>
              <w:marTop w:val="0"/>
              <w:marBottom w:val="0"/>
              <w:divBdr>
                <w:top w:val="none" w:sz="0" w:space="0" w:color="auto"/>
                <w:left w:val="none" w:sz="0" w:space="0" w:color="auto"/>
                <w:bottom w:val="none" w:sz="0" w:space="0" w:color="auto"/>
                <w:right w:val="none" w:sz="0" w:space="0" w:color="auto"/>
              </w:divBdr>
            </w:div>
          </w:divsChild>
        </w:div>
        <w:div w:id="729697315">
          <w:marLeft w:val="0"/>
          <w:marRight w:val="0"/>
          <w:marTop w:val="0"/>
          <w:marBottom w:val="0"/>
          <w:divBdr>
            <w:top w:val="none" w:sz="0" w:space="0" w:color="auto"/>
            <w:left w:val="none" w:sz="0" w:space="0" w:color="auto"/>
            <w:bottom w:val="none" w:sz="0" w:space="0" w:color="auto"/>
            <w:right w:val="none" w:sz="0" w:space="0" w:color="auto"/>
          </w:divBdr>
          <w:divsChild>
            <w:div w:id="1453330758">
              <w:marLeft w:val="0"/>
              <w:marRight w:val="0"/>
              <w:marTop w:val="0"/>
              <w:marBottom w:val="0"/>
              <w:divBdr>
                <w:top w:val="none" w:sz="0" w:space="0" w:color="auto"/>
                <w:left w:val="none" w:sz="0" w:space="0" w:color="auto"/>
                <w:bottom w:val="none" w:sz="0" w:space="0" w:color="auto"/>
                <w:right w:val="none" w:sz="0" w:space="0" w:color="auto"/>
              </w:divBdr>
            </w:div>
          </w:divsChild>
        </w:div>
        <w:div w:id="756288851">
          <w:marLeft w:val="0"/>
          <w:marRight w:val="0"/>
          <w:marTop w:val="0"/>
          <w:marBottom w:val="0"/>
          <w:divBdr>
            <w:top w:val="none" w:sz="0" w:space="0" w:color="auto"/>
            <w:left w:val="none" w:sz="0" w:space="0" w:color="auto"/>
            <w:bottom w:val="none" w:sz="0" w:space="0" w:color="auto"/>
            <w:right w:val="none" w:sz="0" w:space="0" w:color="auto"/>
          </w:divBdr>
          <w:divsChild>
            <w:div w:id="2071074225">
              <w:marLeft w:val="0"/>
              <w:marRight w:val="0"/>
              <w:marTop w:val="0"/>
              <w:marBottom w:val="0"/>
              <w:divBdr>
                <w:top w:val="none" w:sz="0" w:space="0" w:color="auto"/>
                <w:left w:val="none" w:sz="0" w:space="0" w:color="auto"/>
                <w:bottom w:val="none" w:sz="0" w:space="0" w:color="auto"/>
                <w:right w:val="none" w:sz="0" w:space="0" w:color="auto"/>
              </w:divBdr>
            </w:div>
          </w:divsChild>
        </w:div>
        <w:div w:id="787353454">
          <w:marLeft w:val="0"/>
          <w:marRight w:val="0"/>
          <w:marTop w:val="0"/>
          <w:marBottom w:val="0"/>
          <w:divBdr>
            <w:top w:val="none" w:sz="0" w:space="0" w:color="auto"/>
            <w:left w:val="none" w:sz="0" w:space="0" w:color="auto"/>
            <w:bottom w:val="none" w:sz="0" w:space="0" w:color="auto"/>
            <w:right w:val="none" w:sz="0" w:space="0" w:color="auto"/>
          </w:divBdr>
          <w:divsChild>
            <w:div w:id="1228494135">
              <w:marLeft w:val="0"/>
              <w:marRight w:val="0"/>
              <w:marTop w:val="0"/>
              <w:marBottom w:val="0"/>
              <w:divBdr>
                <w:top w:val="none" w:sz="0" w:space="0" w:color="auto"/>
                <w:left w:val="none" w:sz="0" w:space="0" w:color="auto"/>
                <w:bottom w:val="none" w:sz="0" w:space="0" w:color="auto"/>
                <w:right w:val="none" w:sz="0" w:space="0" w:color="auto"/>
              </w:divBdr>
            </w:div>
          </w:divsChild>
        </w:div>
        <w:div w:id="859313820">
          <w:marLeft w:val="0"/>
          <w:marRight w:val="0"/>
          <w:marTop w:val="0"/>
          <w:marBottom w:val="0"/>
          <w:divBdr>
            <w:top w:val="none" w:sz="0" w:space="0" w:color="auto"/>
            <w:left w:val="none" w:sz="0" w:space="0" w:color="auto"/>
            <w:bottom w:val="none" w:sz="0" w:space="0" w:color="auto"/>
            <w:right w:val="none" w:sz="0" w:space="0" w:color="auto"/>
          </w:divBdr>
          <w:divsChild>
            <w:div w:id="1714890075">
              <w:marLeft w:val="0"/>
              <w:marRight w:val="0"/>
              <w:marTop w:val="0"/>
              <w:marBottom w:val="0"/>
              <w:divBdr>
                <w:top w:val="none" w:sz="0" w:space="0" w:color="auto"/>
                <w:left w:val="none" w:sz="0" w:space="0" w:color="auto"/>
                <w:bottom w:val="none" w:sz="0" w:space="0" w:color="auto"/>
                <w:right w:val="none" w:sz="0" w:space="0" w:color="auto"/>
              </w:divBdr>
            </w:div>
          </w:divsChild>
        </w:div>
        <w:div w:id="879702474">
          <w:marLeft w:val="0"/>
          <w:marRight w:val="0"/>
          <w:marTop w:val="0"/>
          <w:marBottom w:val="0"/>
          <w:divBdr>
            <w:top w:val="none" w:sz="0" w:space="0" w:color="auto"/>
            <w:left w:val="none" w:sz="0" w:space="0" w:color="auto"/>
            <w:bottom w:val="none" w:sz="0" w:space="0" w:color="auto"/>
            <w:right w:val="none" w:sz="0" w:space="0" w:color="auto"/>
          </w:divBdr>
          <w:divsChild>
            <w:div w:id="855079589">
              <w:marLeft w:val="0"/>
              <w:marRight w:val="0"/>
              <w:marTop w:val="0"/>
              <w:marBottom w:val="0"/>
              <w:divBdr>
                <w:top w:val="none" w:sz="0" w:space="0" w:color="auto"/>
                <w:left w:val="none" w:sz="0" w:space="0" w:color="auto"/>
                <w:bottom w:val="none" w:sz="0" w:space="0" w:color="auto"/>
                <w:right w:val="none" w:sz="0" w:space="0" w:color="auto"/>
              </w:divBdr>
            </w:div>
          </w:divsChild>
        </w:div>
        <w:div w:id="945575563">
          <w:marLeft w:val="0"/>
          <w:marRight w:val="0"/>
          <w:marTop w:val="0"/>
          <w:marBottom w:val="0"/>
          <w:divBdr>
            <w:top w:val="none" w:sz="0" w:space="0" w:color="auto"/>
            <w:left w:val="none" w:sz="0" w:space="0" w:color="auto"/>
            <w:bottom w:val="none" w:sz="0" w:space="0" w:color="auto"/>
            <w:right w:val="none" w:sz="0" w:space="0" w:color="auto"/>
          </w:divBdr>
          <w:divsChild>
            <w:div w:id="1173299117">
              <w:marLeft w:val="0"/>
              <w:marRight w:val="0"/>
              <w:marTop w:val="0"/>
              <w:marBottom w:val="0"/>
              <w:divBdr>
                <w:top w:val="none" w:sz="0" w:space="0" w:color="auto"/>
                <w:left w:val="none" w:sz="0" w:space="0" w:color="auto"/>
                <w:bottom w:val="none" w:sz="0" w:space="0" w:color="auto"/>
                <w:right w:val="none" w:sz="0" w:space="0" w:color="auto"/>
              </w:divBdr>
            </w:div>
          </w:divsChild>
        </w:div>
        <w:div w:id="956908205">
          <w:marLeft w:val="0"/>
          <w:marRight w:val="0"/>
          <w:marTop w:val="0"/>
          <w:marBottom w:val="0"/>
          <w:divBdr>
            <w:top w:val="none" w:sz="0" w:space="0" w:color="auto"/>
            <w:left w:val="none" w:sz="0" w:space="0" w:color="auto"/>
            <w:bottom w:val="none" w:sz="0" w:space="0" w:color="auto"/>
            <w:right w:val="none" w:sz="0" w:space="0" w:color="auto"/>
          </w:divBdr>
          <w:divsChild>
            <w:div w:id="1149784928">
              <w:marLeft w:val="0"/>
              <w:marRight w:val="0"/>
              <w:marTop w:val="0"/>
              <w:marBottom w:val="0"/>
              <w:divBdr>
                <w:top w:val="none" w:sz="0" w:space="0" w:color="auto"/>
                <w:left w:val="none" w:sz="0" w:space="0" w:color="auto"/>
                <w:bottom w:val="none" w:sz="0" w:space="0" w:color="auto"/>
                <w:right w:val="none" w:sz="0" w:space="0" w:color="auto"/>
              </w:divBdr>
            </w:div>
          </w:divsChild>
        </w:div>
        <w:div w:id="984504135">
          <w:marLeft w:val="0"/>
          <w:marRight w:val="0"/>
          <w:marTop w:val="0"/>
          <w:marBottom w:val="0"/>
          <w:divBdr>
            <w:top w:val="none" w:sz="0" w:space="0" w:color="auto"/>
            <w:left w:val="none" w:sz="0" w:space="0" w:color="auto"/>
            <w:bottom w:val="none" w:sz="0" w:space="0" w:color="auto"/>
            <w:right w:val="none" w:sz="0" w:space="0" w:color="auto"/>
          </w:divBdr>
          <w:divsChild>
            <w:div w:id="2127653730">
              <w:marLeft w:val="0"/>
              <w:marRight w:val="0"/>
              <w:marTop w:val="0"/>
              <w:marBottom w:val="0"/>
              <w:divBdr>
                <w:top w:val="none" w:sz="0" w:space="0" w:color="auto"/>
                <w:left w:val="none" w:sz="0" w:space="0" w:color="auto"/>
                <w:bottom w:val="none" w:sz="0" w:space="0" w:color="auto"/>
                <w:right w:val="none" w:sz="0" w:space="0" w:color="auto"/>
              </w:divBdr>
            </w:div>
          </w:divsChild>
        </w:div>
        <w:div w:id="1013267754">
          <w:marLeft w:val="0"/>
          <w:marRight w:val="0"/>
          <w:marTop w:val="0"/>
          <w:marBottom w:val="0"/>
          <w:divBdr>
            <w:top w:val="none" w:sz="0" w:space="0" w:color="auto"/>
            <w:left w:val="none" w:sz="0" w:space="0" w:color="auto"/>
            <w:bottom w:val="none" w:sz="0" w:space="0" w:color="auto"/>
            <w:right w:val="none" w:sz="0" w:space="0" w:color="auto"/>
          </w:divBdr>
          <w:divsChild>
            <w:div w:id="1750301803">
              <w:marLeft w:val="0"/>
              <w:marRight w:val="0"/>
              <w:marTop w:val="0"/>
              <w:marBottom w:val="0"/>
              <w:divBdr>
                <w:top w:val="none" w:sz="0" w:space="0" w:color="auto"/>
                <w:left w:val="none" w:sz="0" w:space="0" w:color="auto"/>
                <w:bottom w:val="none" w:sz="0" w:space="0" w:color="auto"/>
                <w:right w:val="none" w:sz="0" w:space="0" w:color="auto"/>
              </w:divBdr>
            </w:div>
          </w:divsChild>
        </w:div>
        <w:div w:id="1132820689">
          <w:marLeft w:val="0"/>
          <w:marRight w:val="0"/>
          <w:marTop w:val="0"/>
          <w:marBottom w:val="0"/>
          <w:divBdr>
            <w:top w:val="none" w:sz="0" w:space="0" w:color="auto"/>
            <w:left w:val="none" w:sz="0" w:space="0" w:color="auto"/>
            <w:bottom w:val="none" w:sz="0" w:space="0" w:color="auto"/>
            <w:right w:val="none" w:sz="0" w:space="0" w:color="auto"/>
          </w:divBdr>
          <w:divsChild>
            <w:div w:id="1843084194">
              <w:marLeft w:val="0"/>
              <w:marRight w:val="0"/>
              <w:marTop w:val="0"/>
              <w:marBottom w:val="0"/>
              <w:divBdr>
                <w:top w:val="none" w:sz="0" w:space="0" w:color="auto"/>
                <w:left w:val="none" w:sz="0" w:space="0" w:color="auto"/>
                <w:bottom w:val="none" w:sz="0" w:space="0" w:color="auto"/>
                <w:right w:val="none" w:sz="0" w:space="0" w:color="auto"/>
              </w:divBdr>
            </w:div>
          </w:divsChild>
        </w:div>
        <w:div w:id="1135181575">
          <w:marLeft w:val="0"/>
          <w:marRight w:val="0"/>
          <w:marTop w:val="0"/>
          <w:marBottom w:val="0"/>
          <w:divBdr>
            <w:top w:val="none" w:sz="0" w:space="0" w:color="auto"/>
            <w:left w:val="none" w:sz="0" w:space="0" w:color="auto"/>
            <w:bottom w:val="none" w:sz="0" w:space="0" w:color="auto"/>
            <w:right w:val="none" w:sz="0" w:space="0" w:color="auto"/>
          </w:divBdr>
          <w:divsChild>
            <w:div w:id="1046219758">
              <w:marLeft w:val="0"/>
              <w:marRight w:val="0"/>
              <w:marTop w:val="0"/>
              <w:marBottom w:val="0"/>
              <w:divBdr>
                <w:top w:val="none" w:sz="0" w:space="0" w:color="auto"/>
                <w:left w:val="none" w:sz="0" w:space="0" w:color="auto"/>
                <w:bottom w:val="none" w:sz="0" w:space="0" w:color="auto"/>
                <w:right w:val="none" w:sz="0" w:space="0" w:color="auto"/>
              </w:divBdr>
            </w:div>
          </w:divsChild>
        </w:div>
        <w:div w:id="1184902843">
          <w:marLeft w:val="0"/>
          <w:marRight w:val="0"/>
          <w:marTop w:val="0"/>
          <w:marBottom w:val="0"/>
          <w:divBdr>
            <w:top w:val="none" w:sz="0" w:space="0" w:color="auto"/>
            <w:left w:val="none" w:sz="0" w:space="0" w:color="auto"/>
            <w:bottom w:val="none" w:sz="0" w:space="0" w:color="auto"/>
            <w:right w:val="none" w:sz="0" w:space="0" w:color="auto"/>
          </w:divBdr>
          <w:divsChild>
            <w:div w:id="272324042">
              <w:marLeft w:val="0"/>
              <w:marRight w:val="0"/>
              <w:marTop w:val="0"/>
              <w:marBottom w:val="0"/>
              <w:divBdr>
                <w:top w:val="none" w:sz="0" w:space="0" w:color="auto"/>
                <w:left w:val="none" w:sz="0" w:space="0" w:color="auto"/>
                <w:bottom w:val="none" w:sz="0" w:space="0" w:color="auto"/>
                <w:right w:val="none" w:sz="0" w:space="0" w:color="auto"/>
              </w:divBdr>
            </w:div>
          </w:divsChild>
        </w:div>
        <w:div w:id="1199583579">
          <w:marLeft w:val="0"/>
          <w:marRight w:val="0"/>
          <w:marTop w:val="0"/>
          <w:marBottom w:val="0"/>
          <w:divBdr>
            <w:top w:val="none" w:sz="0" w:space="0" w:color="auto"/>
            <w:left w:val="none" w:sz="0" w:space="0" w:color="auto"/>
            <w:bottom w:val="none" w:sz="0" w:space="0" w:color="auto"/>
            <w:right w:val="none" w:sz="0" w:space="0" w:color="auto"/>
          </w:divBdr>
          <w:divsChild>
            <w:div w:id="959721540">
              <w:marLeft w:val="0"/>
              <w:marRight w:val="0"/>
              <w:marTop w:val="0"/>
              <w:marBottom w:val="0"/>
              <w:divBdr>
                <w:top w:val="none" w:sz="0" w:space="0" w:color="auto"/>
                <w:left w:val="none" w:sz="0" w:space="0" w:color="auto"/>
                <w:bottom w:val="none" w:sz="0" w:space="0" w:color="auto"/>
                <w:right w:val="none" w:sz="0" w:space="0" w:color="auto"/>
              </w:divBdr>
            </w:div>
          </w:divsChild>
        </w:div>
        <w:div w:id="1213036137">
          <w:marLeft w:val="0"/>
          <w:marRight w:val="0"/>
          <w:marTop w:val="0"/>
          <w:marBottom w:val="0"/>
          <w:divBdr>
            <w:top w:val="none" w:sz="0" w:space="0" w:color="auto"/>
            <w:left w:val="none" w:sz="0" w:space="0" w:color="auto"/>
            <w:bottom w:val="none" w:sz="0" w:space="0" w:color="auto"/>
            <w:right w:val="none" w:sz="0" w:space="0" w:color="auto"/>
          </w:divBdr>
          <w:divsChild>
            <w:div w:id="826215206">
              <w:marLeft w:val="0"/>
              <w:marRight w:val="0"/>
              <w:marTop w:val="0"/>
              <w:marBottom w:val="0"/>
              <w:divBdr>
                <w:top w:val="none" w:sz="0" w:space="0" w:color="auto"/>
                <w:left w:val="none" w:sz="0" w:space="0" w:color="auto"/>
                <w:bottom w:val="none" w:sz="0" w:space="0" w:color="auto"/>
                <w:right w:val="none" w:sz="0" w:space="0" w:color="auto"/>
              </w:divBdr>
            </w:div>
          </w:divsChild>
        </w:div>
        <w:div w:id="1269967233">
          <w:marLeft w:val="0"/>
          <w:marRight w:val="0"/>
          <w:marTop w:val="0"/>
          <w:marBottom w:val="0"/>
          <w:divBdr>
            <w:top w:val="none" w:sz="0" w:space="0" w:color="auto"/>
            <w:left w:val="none" w:sz="0" w:space="0" w:color="auto"/>
            <w:bottom w:val="none" w:sz="0" w:space="0" w:color="auto"/>
            <w:right w:val="none" w:sz="0" w:space="0" w:color="auto"/>
          </w:divBdr>
          <w:divsChild>
            <w:div w:id="1665039190">
              <w:marLeft w:val="0"/>
              <w:marRight w:val="0"/>
              <w:marTop w:val="0"/>
              <w:marBottom w:val="0"/>
              <w:divBdr>
                <w:top w:val="none" w:sz="0" w:space="0" w:color="auto"/>
                <w:left w:val="none" w:sz="0" w:space="0" w:color="auto"/>
                <w:bottom w:val="none" w:sz="0" w:space="0" w:color="auto"/>
                <w:right w:val="none" w:sz="0" w:space="0" w:color="auto"/>
              </w:divBdr>
            </w:div>
          </w:divsChild>
        </w:div>
        <w:div w:id="1316035994">
          <w:marLeft w:val="0"/>
          <w:marRight w:val="0"/>
          <w:marTop w:val="0"/>
          <w:marBottom w:val="0"/>
          <w:divBdr>
            <w:top w:val="none" w:sz="0" w:space="0" w:color="auto"/>
            <w:left w:val="none" w:sz="0" w:space="0" w:color="auto"/>
            <w:bottom w:val="none" w:sz="0" w:space="0" w:color="auto"/>
            <w:right w:val="none" w:sz="0" w:space="0" w:color="auto"/>
          </w:divBdr>
          <w:divsChild>
            <w:div w:id="809908383">
              <w:marLeft w:val="0"/>
              <w:marRight w:val="0"/>
              <w:marTop w:val="0"/>
              <w:marBottom w:val="0"/>
              <w:divBdr>
                <w:top w:val="none" w:sz="0" w:space="0" w:color="auto"/>
                <w:left w:val="none" w:sz="0" w:space="0" w:color="auto"/>
                <w:bottom w:val="none" w:sz="0" w:space="0" w:color="auto"/>
                <w:right w:val="none" w:sz="0" w:space="0" w:color="auto"/>
              </w:divBdr>
            </w:div>
          </w:divsChild>
        </w:div>
        <w:div w:id="1380322641">
          <w:marLeft w:val="0"/>
          <w:marRight w:val="0"/>
          <w:marTop w:val="0"/>
          <w:marBottom w:val="0"/>
          <w:divBdr>
            <w:top w:val="none" w:sz="0" w:space="0" w:color="auto"/>
            <w:left w:val="none" w:sz="0" w:space="0" w:color="auto"/>
            <w:bottom w:val="none" w:sz="0" w:space="0" w:color="auto"/>
            <w:right w:val="none" w:sz="0" w:space="0" w:color="auto"/>
          </w:divBdr>
          <w:divsChild>
            <w:div w:id="84545926">
              <w:marLeft w:val="0"/>
              <w:marRight w:val="0"/>
              <w:marTop w:val="0"/>
              <w:marBottom w:val="0"/>
              <w:divBdr>
                <w:top w:val="none" w:sz="0" w:space="0" w:color="auto"/>
                <w:left w:val="none" w:sz="0" w:space="0" w:color="auto"/>
                <w:bottom w:val="none" w:sz="0" w:space="0" w:color="auto"/>
                <w:right w:val="none" w:sz="0" w:space="0" w:color="auto"/>
              </w:divBdr>
            </w:div>
          </w:divsChild>
        </w:div>
        <w:div w:id="1407678861">
          <w:marLeft w:val="0"/>
          <w:marRight w:val="0"/>
          <w:marTop w:val="0"/>
          <w:marBottom w:val="0"/>
          <w:divBdr>
            <w:top w:val="none" w:sz="0" w:space="0" w:color="auto"/>
            <w:left w:val="none" w:sz="0" w:space="0" w:color="auto"/>
            <w:bottom w:val="none" w:sz="0" w:space="0" w:color="auto"/>
            <w:right w:val="none" w:sz="0" w:space="0" w:color="auto"/>
          </w:divBdr>
          <w:divsChild>
            <w:div w:id="1839727401">
              <w:marLeft w:val="0"/>
              <w:marRight w:val="0"/>
              <w:marTop w:val="0"/>
              <w:marBottom w:val="0"/>
              <w:divBdr>
                <w:top w:val="none" w:sz="0" w:space="0" w:color="auto"/>
                <w:left w:val="none" w:sz="0" w:space="0" w:color="auto"/>
                <w:bottom w:val="none" w:sz="0" w:space="0" w:color="auto"/>
                <w:right w:val="none" w:sz="0" w:space="0" w:color="auto"/>
              </w:divBdr>
            </w:div>
          </w:divsChild>
        </w:div>
        <w:div w:id="1496147737">
          <w:marLeft w:val="0"/>
          <w:marRight w:val="0"/>
          <w:marTop w:val="0"/>
          <w:marBottom w:val="0"/>
          <w:divBdr>
            <w:top w:val="none" w:sz="0" w:space="0" w:color="auto"/>
            <w:left w:val="none" w:sz="0" w:space="0" w:color="auto"/>
            <w:bottom w:val="none" w:sz="0" w:space="0" w:color="auto"/>
            <w:right w:val="none" w:sz="0" w:space="0" w:color="auto"/>
          </w:divBdr>
          <w:divsChild>
            <w:div w:id="685404604">
              <w:marLeft w:val="0"/>
              <w:marRight w:val="0"/>
              <w:marTop w:val="0"/>
              <w:marBottom w:val="0"/>
              <w:divBdr>
                <w:top w:val="none" w:sz="0" w:space="0" w:color="auto"/>
                <w:left w:val="none" w:sz="0" w:space="0" w:color="auto"/>
                <w:bottom w:val="none" w:sz="0" w:space="0" w:color="auto"/>
                <w:right w:val="none" w:sz="0" w:space="0" w:color="auto"/>
              </w:divBdr>
            </w:div>
          </w:divsChild>
        </w:div>
        <w:div w:id="1526673407">
          <w:marLeft w:val="0"/>
          <w:marRight w:val="0"/>
          <w:marTop w:val="0"/>
          <w:marBottom w:val="0"/>
          <w:divBdr>
            <w:top w:val="none" w:sz="0" w:space="0" w:color="auto"/>
            <w:left w:val="none" w:sz="0" w:space="0" w:color="auto"/>
            <w:bottom w:val="none" w:sz="0" w:space="0" w:color="auto"/>
            <w:right w:val="none" w:sz="0" w:space="0" w:color="auto"/>
          </w:divBdr>
          <w:divsChild>
            <w:div w:id="1749811783">
              <w:marLeft w:val="0"/>
              <w:marRight w:val="0"/>
              <w:marTop w:val="0"/>
              <w:marBottom w:val="0"/>
              <w:divBdr>
                <w:top w:val="none" w:sz="0" w:space="0" w:color="auto"/>
                <w:left w:val="none" w:sz="0" w:space="0" w:color="auto"/>
                <w:bottom w:val="none" w:sz="0" w:space="0" w:color="auto"/>
                <w:right w:val="none" w:sz="0" w:space="0" w:color="auto"/>
              </w:divBdr>
            </w:div>
          </w:divsChild>
        </w:div>
        <w:div w:id="1528250320">
          <w:marLeft w:val="0"/>
          <w:marRight w:val="0"/>
          <w:marTop w:val="0"/>
          <w:marBottom w:val="0"/>
          <w:divBdr>
            <w:top w:val="none" w:sz="0" w:space="0" w:color="auto"/>
            <w:left w:val="none" w:sz="0" w:space="0" w:color="auto"/>
            <w:bottom w:val="none" w:sz="0" w:space="0" w:color="auto"/>
            <w:right w:val="none" w:sz="0" w:space="0" w:color="auto"/>
          </w:divBdr>
          <w:divsChild>
            <w:div w:id="1073626269">
              <w:marLeft w:val="0"/>
              <w:marRight w:val="0"/>
              <w:marTop w:val="0"/>
              <w:marBottom w:val="0"/>
              <w:divBdr>
                <w:top w:val="none" w:sz="0" w:space="0" w:color="auto"/>
                <w:left w:val="none" w:sz="0" w:space="0" w:color="auto"/>
                <w:bottom w:val="none" w:sz="0" w:space="0" w:color="auto"/>
                <w:right w:val="none" w:sz="0" w:space="0" w:color="auto"/>
              </w:divBdr>
            </w:div>
          </w:divsChild>
        </w:div>
        <w:div w:id="1565142186">
          <w:marLeft w:val="0"/>
          <w:marRight w:val="0"/>
          <w:marTop w:val="0"/>
          <w:marBottom w:val="0"/>
          <w:divBdr>
            <w:top w:val="none" w:sz="0" w:space="0" w:color="auto"/>
            <w:left w:val="none" w:sz="0" w:space="0" w:color="auto"/>
            <w:bottom w:val="none" w:sz="0" w:space="0" w:color="auto"/>
            <w:right w:val="none" w:sz="0" w:space="0" w:color="auto"/>
          </w:divBdr>
          <w:divsChild>
            <w:div w:id="349064079">
              <w:marLeft w:val="0"/>
              <w:marRight w:val="0"/>
              <w:marTop w:val="0"/>
              <w:marBottom w:val="0"/>
              <w:divBdr>
                <w:top w:val="none" w:sz="0" w:space="0" w:color="auto"/>
                <w:left w:val="none" w:sz="0" w:space="0" w:color="auto"/>
                <w:bottom w:val="none" w:sz="0" w:space="0" w:color="auto"/>
                <w:right w:val="none" w:sz="0" w:space="0" w:color="auto"/>
              </w:divBdr>
            </w:div>
          </w:divsChild>
        </w:div>
        <w:div w:id="1578857730">
          <w:marLeft w:val="0"/>
          <w:marRight w:val="0"/>
          <w:marTop w:val="0"/>
          <w:marBottom w:val="0"/>
          <w:divBdr>
            <w:top w:val="none" w:sz="0" w:space="0" w:color="auto"/>
            <w:left w:val="none" w:sz="0" w:space="0" w:color="auto"/>
            <w:bottom w:val="none" w:sz="0" w:space="0" w:color="auto"/>
            <w:right w:val="none" w:sz="0" w:space="0" w:color="auto"/>
          </w:divBdr>
          <w:divsChild>
            <w:div w:id="346635948">
              <w:marLeft w:val="0"/>
              <w:marRight w:val="0"/>
              <w:marTop w:val="0"/>
              <w:marBottom w:val="0"/>
              <w:divBdr>
                <w:top w:val="none" w:sz="0" w:space="0" w:color="auto"/>
                <w:left w:val="none" w:sz="0" w:space="0" w:color="auto"/>
                <w:bottom w:val="none" w:sz="0" w:space="0" w:color="auto"/>
                <w:right w:val="none" w:sz="0" w:space="0" w:color="auto"/>
              </w:divBdr>
            </w:div>
          </w:divsChild>
        </w:div>
        <w:div w:id="1660693005">
          <w:marLeft w:val="0"/>
          <w:marRight w:val="0"/>
          <w:marTop w:val="0"/>
          <w:marBottom w:val="0"/>
          <w:divBdr>
            <w:top w:val="none" w:sz="0" w:space="0" w:color="auto"/>
            <w:left w:val="none" w:sz="0" w:space="0" w:color="auto"/>
            <w:bottom w:val="none" w:sz="0" w:space="0" w:color="auto"/>
            <w:right w:val="none" w:sz="0" w:space="0" w:color="auto"/>
          </w:divBdr>
          <w:divsChild>
            <w:div w:id="1335063713">
              <w:marLeft w:val="0"/>
              <w:marRight w:val="0"/>
              <w:marTop w:val="0"/>
              <w:marBottom w:val="0"/>
              <w:divBdr>
                <w:top w:val="none" w:sz="0" w:space="0" w:color="auto"/>
                <w:left w:val="none" w:sz="0" w:space="0" w:color="auto"/>
                <w:bottom w:val="none" w:sz="0" w:space="0" w:color="auto"/>
                <w:right w:val="none" w:sz="0" w:space="0" w:color="auto"/>
              </w:divBdr>
            </w:div>
          </w:divsChild>
        </w:div>
        <w:div w:id="1685939107">
          <w:marLeft w:val="0"/>
          <w:marRight w:val="0"/>
          <w:marTop w:val="0"/>
          <w:marBottom w:val="0"/>
          <w:divBdr>
            <w:top w:val="none" w:sz="0" w:space="0" w:color="auto"/>
            <w:left w:val="none" w:sz="0" w:space="0" w:color="auto"/>
            <w:bottom w:val="none" w:sz="0" w:space="0" w:color="auto"/>
            <w:right w:val="none" w:sz="0" w:space="0" w:color="auto"/>
          </w:divBdr>
          <w:divsChild>
            <w:div w:id="1136096207">
              <w:marLeft w:val="0"/>
              <w:marRight w:val="0"/>
              <w:marTop w:val="0"/>
              <w:marBottom w:val="0"/>
              <w:divBdr>
                <w:top w:val="none" w:sz="0" w:space="0" w:color="auto"/>
                <w:left w:val="none" w:sz="0" w:space="0" w:color="auto"/>
                <w:bottom w:val="none" w:sz="0" w:space="0" w:color="auto"/>
                <w:right w:val="none" w:sz="0" w:space="0" w:color="auto"/>
              </w:divBdr>
            </w:div>
          </w:divsChild>
        </w:div>
        <w:div w:id="1826166885">
          <w:marLeft w:val="0"/>
          <w:marRight w:val="0"/>
          <w:marTop w:val="0"/>
          <w:marBottom w:val="0"/>
          <w:divBdr>
            <w:top w:val="none" w:sz="0" w:space="0" w:color="auto"/>
            <w:left w:val="none" w:sz="0" w:space="0" w:color="auto"/>
            <w:bottom w:val="none" w:sz="0" w:space="0" w:color="auto"/>
            <w:right w:val="none" w:sz="0" w:space="0" w:color="auto"/>
          </w:divBdr>
          <w:divsChild>
            <w:div w:id="2049403667">
              <w:marLeft w:val="0"/>
              <w:marRight w:val="0"/>
              <w:marTop w:val="0"/>
              <w:marBottom w:val="0"/>
              <w:divBdr>
                <w:top w:val="none" w:sz="0" w:space="0" w:color="auto"/>
                <w:left w:val="none" w:sz="0" w:space="0" w:color="auto"/>
                <w:bottom w:val="none" w:sz="0" w:space="0" w:color="auto"/>
                <w:right w:val="none" w:sz="0" w:space="0" w:color="auto"/>
              </w:divBdr>
            </w:div>
          </w:divsChild>
        </w:div>
        <w:div w:id="1867988283">
          <w:marLeft w:val="0"/>
          <w:marRight w:val="0"/>
          <w:marTop w:val="0"/>
          <w:marBottom w:val="0"/>
          <w:divBdr>
            <w:top w:val="none" w:sz="0" w:space="0" w:color="auto"/>
            <w:left w:val="none" w:sz="0" w:space="0" w:color="auto"/>
            <w:bottom w:val="none" w:sz="0" w:space="0" w:color="auto"/>
            <w:right w:val="none" w:sz="0" w:space="0" w:color="auto"/>
          </w:divBdr>
          <w:divsChild>
            <w:div w:id="529223151">
              <w:marLeft w:val="0"/>
              <w:marRight w:val="0"/>
              <w:marTop w:val="0"/>
              <w:marBottom w:val="0"/>
              <w:divBdr>
                <w:top w:val="none" w:sz="0" w:space="0" w:color="auto"/>
                <w:left w:val="none" w:sz="0" w:space="0" w:color="auto"/>
                <w:bottom w:val="none" w:sz="0" w:space="0" w:color="auto"/>
                <w:right w:val="none" w:sz="0" w:space="0" w:color="auto"/>
              </w:divBdr>
            </w:div>
          </w:divsChild>
        </w:div>
        <w:div w:id="1924989873">
          <w:marLeft w:val="0"/>
          <w:marRight w:val="0"/>
          <w:marTop w:val="0"/>
          <w:marBottom w:val="0"/>
          <w:divBdr>
            <w:top w:val="none" w:sz="0" w:space="0" w:color="auto"/>
            <w:left w:val="none" w:sz="0" w:space="0" w:color="auto"/>
            <w:bottom w:val="none" w:sz="0" w:space="0" w:color="auto"/>
            <w:right w:val="none" w:sz="0" w:space="0" w:color="auto"/>
          </w:divBdr>
          <w:divsChild>
            <w:div w:id="3283966">
              <w:marLeft w:val="0"/>
              <w:marRight w:val="0"/>
              <w:marTop w:val="0"/>
              <w:marBottom w:val="0"/>
              <w:divBdr>
                <w:top w:val="none" w:sz="0" w:space="0" w:color="auto"/>
                <w:left w:val="none" w:sz="0" w:space="0" w:color="auto"/>
                <w:bottom w:val="none" w:sz="0" w:space="0" w:color="auto"/>
                <w:right w:val="none" w:sz="0" w:space="0" w:color="auto"/>
              </w:divBdr>
            </w:div>
          </w:divsChild>
        </w:div>
        <w:div w:id="1926500015">
          <w:marLeft w:val="0"/>
          <w:marRight w:val="0"/>
          <w:marTop w:val="0"/>
          <w:marBottom w:val="0"/>
          <w:divBdr>
            <w:top w:val="none" w:sz="0" w:space="0" w:color="auto"/>
            <w:left w:val="none" w:sz="0" w:space="0" w:color="auto"/>
            <w:bottom w:val="none" w:sz="0" w:space="0" w:color="auto"/>
            <w:right w:val="none" w:sz="0" w:space="0" w:color="auto"/>
          </w:divBdr>
          <w:divsChild>
            <w:div w:id="2054578439">
              <w:marLeft w:val="0"/>
              <w:marRight w:val="0"/>
              <w:marTop w:val="0"/>
              <w:marBottom w:val="0"/>
              <w:divBdr>
                <w:top w:val="none" w:sz="0" w:space="0" w:color="auto"/>
                <w:left w:val="none" w:sz="0" w:space="0" w:color="auto"/>
                <w:bottom w:val="none" w:sz="0" w:space="0" w:color="auto"/>
                <w:right w:val="none" w:sz="0" w:space="0" w:color="auto"/>
              </w:divBdr>
            </w:div>
          </w:divsChild>
        </w:div>
        <w:div w:id="1927424315">
          <w:marLeft w:val="0"/>
          <w:marRight w:val="0"/>
          <w:marTop w:val="0"/>
          <w:marBottom w:val="0"/>
          <w:divBdr>
            <w:top w:val="none" w:sz="0" w:space="0" w:color="auto"/>
            <w:left w:val="none" w:sz="0" w:space="0" w:color="auto"/>
            <w:bottom w:val="none" w:sz="0" w:space="0" w:color="auto"/>
            <w:right w:val="none" w:sz="0" w:space="0" w:color="auto"/>
          </w:divBdr>
          <w:divsChild>
            <w:div w:id="834567770">
              <w:marLeft w:val="0"/>
              <w:marRight w:val="0"/>
              <w:marTop w:val="0"/>
              <w:marBottom w:val="0"/>
              <w:divBdr>
                <w:top w:val="none" w:sz="0" w:space="0" w:color="auto"/>
                <w:left w:val="none" w:sz="0" w:space="0" w:color="auto"/>
                <w:bottom w:val="none" w:sz="0" w:space="0" w:color="auto"/>
                <w:right w:val="none" w:sz="0" w:space="0" w:color="auto"/>
              </w:divBdr>
            </w:div>
          </w:divsChild>
        </w:div>
        <w:div w:id="1934045538">
          <w:marLeft w:val="0"/>
          <w:marRight w:val="0"/>
          <w:marTop w:val="0"/>
          <w:marBottom w:val="0"/>
          <w:divBdr>
            <w:top w:val="none" w:sz="0" w:space="0" w:color="auto"/>
            <w:left w:val="none" w:sz="0" w:space="0" w:color="auto"/>
            <w:bottom w:val="none" w:sz="0" w:space="0" w:color="auto"/>
            <w:right w:val="none" w:sz="0" w:space="0" w:color="auto"/>
          </w:divBdr>
          <w:divsChild>
            <w:div w:id="1376276245">
              <w:marLeft w:val="0"/>
              <w:marRight w:val="0"/>
              <w:marTop w:val="0"/>
              <w:marBottom w:val="0"/>
              <w:divBdr>
                <w:top w:val="none" w:sz="0" w:space="0" w:color="auto"/>
                <w:left w:val="none" w:sz="0" w:space="0" w:color="auto"/>
                <w:bottom w:val="none" w:sz="0" w:space="0" w:color="auto"/>
                <w:right w:val="none" w:sz="0" w:space="0" w:color="auto"/>
              </w:divBdr>
            </w:div>
          </w:divsChild>
        </w:div>
        <w:div w:id="1939019287">
          <w:marLeft w:val="0"/>
          <w:marRight w:val="0"/>
          <w:marTop w:val="0"/>
          <w:marBottom w:val="0"/>
          <w:divBdr>
            <w:top w:val="none" w:sz="0" w:space="0" w:color="auto"/>
            <w:left w:val="none" w:sz="0" w:space="0" w:color="auto"/>
            <w:bottom w:val="none" w:sz="0" w:space="0" w:color="auto"/>
            <w:right w:val="none" w:sz="0" w:space="0" w:color="auto"/>
          </w:divBdr>
          <w:divsChild>
            <w:div w:id="933823958">
              <w:marLeft w:val="0"/>
              <w:marRight w:val="0"/>
              <w:marTop w:val="0"/>
              <w:marBottom w:val="0"/>
              <w:divBdr>
                <w:top w:val="none" w:sz="0" w:space="0" w:color="auto"/>
                <w:left w:val="none" w:sz="0" w:space="0" w:color="auto"/>
                <w:bottom w:val="none" w:sz="0" w:space="0" w:color="auto"/>
                <w:right w:val="none" w:sz="0" w:space="0" w:color="auto"/>
              </w:divBdr>
            </w:div>
          </w:divsChild>
        </w:div>
        <w:div w:id="1989817493">
          <w:marLeft w:val="0"/>
          <w:marRight w:val="0"/>
          <w:marTop w:val="0"/>
          <w:marBottom w:val="0"/>
          <w:divBdr>
            <w:top w:val="none" w:sz="0" w:space="0" w:color="auto"/>
            <w:left w:val="none" w:sz="0" w:space="0" w:color="auto"/>
            <w:bottom w:val="none" w:sz="0" w:space="0" w:color="auto"/>
            <w:right w:val="none" w:sz="0" w:space="0" w:color="auto"/>
          </w:divBdr>
          <w:divsChild>
            <w:div w:id="1612467856">
              <w:marLeft w:val="0"/>
              <w:marRight w:val="0"/>
              <w:marTop w:val="0"/>
              <w:marBottom w:val="0"/>
              <w:divBdr>
                <w:top w:val="none" w:sz="0" w:space="0" w:color="auto"/>
                <w:left w:val="none" w:sz="0" w:space="0" w:color="auto"/>
                <w:bottom w:val="none" w:sz="0" w:space="0" w:color="auto"/>
                <w:right w:val="none" w:sz="0" w:space="0" w:color="auto"/>
              </w:divBdr>
            </w:div>
          </w:divsChild>
        </w:div>
        <w:div w:id="2043557271">
          <w:marLeft w:val="0"/>
          <w:marRight w:val="0"/>
          <w:marTop w:val="0"/>
          <w:marBottom w:val="0"/>
          <w:divBdr>
            <w:top w:val="none" w:sz="0" w:space="0" w:color="auto"/>
            <w:left w:val="none" w:sz="0" w:space="0" w:color="auto"/>
            <w:bottom w:val="none" w:sz="0" w:space="0" w:color="auto"/>
            <w:right w:val="none" w:sz="0" w:space="0" w:color="auto"/>
          </w:divBdr>
          <w:divsChild>
            <w:div w:id="284508031">
              <w:marLeft w:val="0"/>
              <w:marRight w:val="0"/>
              <w:marTop w:val="0"/>
              <w:marBottom w:val="0"/>
              <w:divBdr>
                <w:top w:val="none" w:sz="0" w:space="0" w:color="auto"/>
                <w:left w:val="none" w:sz="0" w:space="0" w:color="auto"/>
                <w:bottom w:val="none" w:sz="0" w:space="0" w:color="auto"/>
                <w:right w:val="none" w:sz="0" w:space="0" w:color="auto"/>
              </w:divBdr>
            </w:div>
          </w:divsChild>
        </w:div>
        <w:div w:id="2090495242">
          <w:marLeft w:val="0"/>
          <w:marRight w:val="0"/>
          <w:marTop w:val="0"/>
          <w:marBottom w:val="0"/>
          <w:divBdr>
            <w:top w:val="none" w:sz="0" w:space="0" w:color="auto"/>
            <w:left w:val="none" w:sz="0" w:space="0" w:color="auto"/>
            <w:bottom w:val="none" w:sz="0" w:space="0" w:color="auto"/>
            <w:right w:val="none" w:sz="0" w:space="0" w:color="auto"/>
          </w:divBdr>
          <w:divsChild>
            <w:div w:id="2076121827">
              <w:marLeft w:val="0"/>
              <w:marRight w:val="0"/>
              <w:marTop w:val="0"/>
              <w:marBottom w:val="0"/>
              <w:divBdr>
                <w:top w:val="none" w:sz="0" w:space="0" w:color="auto"/>
                <w:left w:val="none" w:sz="0" w:space="0" w:color="auto"/>
                <w:bottom w:val="none" w:sz="0" w:space="0" w:color="auto"/>
                <w:right w:val="none" w:sz="0" w:space="0" w:color="auto"/>
              </w:divBdr>
            </w:div>
          </w:divsChild>
        </w:div>
        <w:div w:id="2104835372">
          <w:marLeft w:val="0"/>
          <w:marRight w:val="0"/>
          <w:marTop w:val="0"/>
          <w:marBottom w:val="0"/>
          <w:divBdr>
            <w:top w:val="none" w:sz="0" w:space="0" w:color="auto"/>
            <w:left w:val="none" w:sz="0" w:space="0" w:color="auto"/>
            <w:bottom w:val="none" w:sz="0" w:space="0" w:color="auto"/>
            <w:right w:val="none" w:sz="0" w:space="0" w:color="auto"/>
          </w:divBdr>
          <w:divsChild>
            <w:div w:id="479426018">
              <w:marLeft w:val="0"/>
              <w:marRight w:val="0"/>
              <w:marTop w:val="0"/>
              <w:marBottom w:val="0"/>
              <w:divBdr>
                <w:top w:val="none" w:sz="0" w:space="0" w:color="auto"/>
                <w:left w:val="none" w:sz="0" w:space="0" w:color="auto"/>
                <w:bottom w:val="none" w:sz="0" w:space="0" w:color="auto"/>
                <w:right w:val="none" w:sz="0" w:space="0" w:color="auto"/>
              </w:divBdr>
            </w:div>
          </w:divsChild>
        </w:div>
        <w:div w:id="2137479622">
          <w:marLeft w:val="0"/>
          <w:marRight w:val="0"/>
          <w:marTop w:val="0"/>
          <w:marBottom w:val="0"/>
          <w:divBdr>
            <w:top w:val="none" w:sz="0" w:space="0" w:color="auto"/>
            <w:left w:val="none" w:sz="0" w:space="0" w:color="auto"/>
            <w:bottom w:val="none" w:sz="0" w:space="0" w:color="auto"/>
            <w:right w:val="none" w:sz="0" w:space="0" w:color="auto"/>
          </w:divBdr>
          <w:divsChild>
            <w:div w:id="11260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425">
      <w:bodyDiv w:val="1"/>
      <w:marLeft w:val="0"/>
      <w:marRight w:val="0"/>
      <w:marTop w:val="0"/>
      <w:marBottom w:val="0"/>
      <w:divBdr>
        <w:top w:val="none" w:sz="0" w:space="0" w:color="auto"/>
        <w:left w:val="none" w:sz="0" w:space="0" w:color="auto"/>
        <w:bottom w:val="none" w:sz="0" w:space="0" w:color="auto"/>
        <w:right w:val="none" w:sz="0" w:space="0" w:color="auto"/>
      </w:divBdr>
    </w:div>
    <w:div w:id="1856917279">
      <w:bodyDiv w:val="1"/>
      <w:marLeft w:val="0"/>
      <w:marRight w:val="0"/>
      <w:marTop w:val="0"/>
      <w:marBottom w:val="0"/>
      <w:divBdr>
        <w:top w:val="none" w:sz="0" w:space="0" w:color="auto"/>
        <w:left w:val="none" w:sz="0" w:space="0" w:color="auto"/>
        <w:bottom w:val="none" w:sz="0" w:space="0" w:color="auto"/>
        <w:right w:val="none" w:sz="0" w:space="0" w:color="auto"/>
      </w:divBdr>
    </w:div>
    <w:div w:id="1903103194">
      <w:bodyDiv w:val="1"/>
      <w:marLeft w:val="0"/>
      <w:marRight w:val="0"/>
      <w:marTop w:val="0"/>
      <w:marBottom w:val="0"/>
      <w:divBdr>
        <w:top w:val="none" w:sz="0" w:space="0" w:color="auto"/>
        <w:left w:val="none" w:sz="0" w:space="0" w:color="auto"/>
        <w:bottom w:val="none" w:sz="0" w:space="0" w:color="auto"/>
        <w:right w:val="none" w:sz="0" w:space="0" w:color="auto"/>
      </w:divBdr>
    </w:div>
    <w:div w:id="2021270093">
      <w:bodyDiv w:val="1"/>
      <w:marLeft w:val="0"/>
      <w:marRight w:val="0"/>
      <w:marTop w:val="0"/>
      <w:marBottom w:val="0"/>
      <w:divBdr>
        <w:top w:val="none" w:sz="0" w:space="0" w:color="auto"/>
        <w:left w:val="none" w:sz="0" w:space="0" w:color="auto"/>
        <w:bottom w:val="none" w:sz="0" w:space="0" w:color="auto"/>
        <w:right w:val="none" w:sz="0" w:space="0" w:color="auto"/>
      </w:divBdr>
    </w:div>
    <w:div w:id="2131514669">
      <w:bodyDiv w:val="1"/>
      <w:marLeft w:val="0"/>
      <w:marRight w:val="0"/>
      <w:marTop w:val="0"/>
      <w:marBottom w:val="0"/>
      <w:divBdr>
        <w:top w:val="none" w:sz="0" w:space="0" w:color="auto"/>
        <w:left w:val="none" w:sz="0" w:space="0" w:color="auto"/>
        <w:bottom w:val="none" w:sz="0" w:space="0" w:color="auto"/>
        <w:right w:val="none" w:sz="0" w:space="0" w:color="auto"/>
      </w:divBdr>
    </w:div>
    <w:div w:id="2147314457">
      <w:bodyDiv w:val="1"/>
      <w:marLeft w:val="0"/>
      <w:marRight w:val="0"/>
      <w:marTop w:val="0"/>
      <w:marBottom w:val="0"/>
      <w:divBdr>
        <w:top w:val="none" w:sz="0" w:space="0" w:color="auto"/>
        <w:left w:val="none" w:sz="0" w:space="0" w:color="auto"/>
        <w:bottom w:val="none" w:sz="0" w:space="0" w:color="auto"/>
        <w:right w:val="none" w:sz="0" w:space="0" w:color="auto"/>
      </w:divBdr>
      <w:divsChild>
        <w:div w:id="31654843">
          <w:marLeft w:val="0"/>
          <w:marRight w:val="0"/>
          <w:marTop w:val="0"/>
          <w:marBottom w:val="0"/>
          <w:divBdr>
            <w:top w:val="none" w:sz="0" w:space="0" w:color="auto"/>
            <w:left w:val="none" w:sz="0" w:space="0" w:color="auto"/>
            <w:bottom w:val="none" w:sz="0" w:space="0" w:color="auto"/>
            <w:right w:val="none" w:sz="0" w:space="0" w:color="auto"/>
          </w:divBdr>
          <w:divsChild>
            <w:div w:id="1201557266">
              <w:marLeft w:val="0"/>
              <w:marRight w:val="0"/>
              <w:marTop w:val="0"/>
              <w:marBottom w:val="0"/>
              <w:divBdr>
                <w:top w:val="none" w:sz="0" w:space="0" w:color="auto"/>
                <w:left w:val="none" w:sz="0" w:space="0" w:color="auto"/>
                <w:bottom w:val="none" w:sz="0" w:space="0" w:color="auto"/>
                <w:right w:val="none" w:sz="0" w:space="0" w:color="auto"/>
              </w:divBdr>
            </w:div>
          </w:divsChild>
        </w:div>
        <w:div w:id="179049529">
          <w:marLeft w:val="0"/>
          <w:marRight w:val="0"/>
          <w:marTop w:val="0"/>
          <w:marBottom w:val="0"/>
          <w:divBdr>
            <w:top w:val="none" w:sz="0" w:space="0" w:color="auto"/>
            <w:left w:val="none" w:sz="0" w:space="0" w:color="auto"/>
            <w:bottom w:val="none" w:sz="0" w:space="0" w:color="auto"/>
            <w:right w:val="none" w:sz="0" w:space="0" w:color="auto"/>
          </w:divBdr>
          <w:divsChild>
            <w:div w:id="111019442">
              <w:marLeft w:val="0"/>
              <w:marRight w:val="0"/>
              <w:marTop w:val="0"/>
              <w:marBottom w:val="0"/>
              <w:divBdr>
                <w:top w:val="none" w:sz="0" w:space="0" w:color="auto"/>
                <w:left w:val="none" w:sz="0" w:space="0" w:color="auto"/>
                <w:bottom w:val="none" w:sz="0" w:space="0" w:color="auto"/>
                <w:right w:val="none" w:sz="0" w:space="0" w:color="auto"/>
              </w:divBdr>
            </w:div>
          </w:divsChild>
        </w:div>
        <w:div w:id="230191087">
          <w:marLeft w:val="0"/>
          <w:marRight w:val="0"/>
          <w:marTop w:val="0"/>
          <w:marBottom w:val="0"/>
          <w:divBdr>
            <w:top w:val="none" w:sz="0" w:space="0" w:color="auto"/>
            <w:left w:val="none" w:sz="0" w:space="0" w:color="auto"/>
            <w:bottom w:val="none" w:sz="0" w:space="0" w:color="auto"/>
            <w:right w:val="none" w:sz="0" w:space="0" w:color="auto"/>
          </w:divBdr>
          <w:divsChild>
            <w:div w:id="1384212638">
              <w:marLeft w:val="0"/>
              <w:marRight w:val="0"/>
              <w:marTop w:val="0"/>
              <w:marBottom w:val="0"/>
              <w:divBdr>
                <w:top w:val="none" w:sz="0" w:space="0" w:color="auto"/>
                <w:left w:val="none" w:sz="0" w:space="0" w:color="auto"/>
                <w:bottom w:val="none" w:sz="0" w:space="0" w:color="auto"/>
                <w:right w:val="none" w:sz="0" w:space="0" w:color="auto"/>
              </w:divBdr>
            </w:div>
          </w:divsChild>
        </w:div>
        <w:div w:id="230887794">
          <w:marLeft w:val="0"/>
          <w:marRight w:val="0"/>
          <w:marTop w:val="0"/>
          <w:marBottom w:val="0"/>
          <w:divBdr>
            <w:top w:val="none" w:sz="0" w:space="0" w:color="auto"/>
            <w:left w:val="none" w:sz="0" w:space="0" w:color="auto"/>
            <w:bottom w:val="none" w:sz="0" w:space="0" w:color="auto"/>
            <w:right w:val="none" w:sz="0" w:space="0" w:color="auto"/>
          </w:divBdr>
          <w:divsChild>
            <w:div w:id="1615944190">
              <w:marLeft w:val="0"/>
              <w:marRight w:val="0"/>
              <w:marTop w:val="0"/>
              <w:marBottom w:val="0"/>
              <w:divBdr>
                <w:top w:val="none" w:sz="0" w:space="0" w:color="auto"/>
                <w:left w:val="none" w:sz="0" w:space="0" w:color="auto"/>
                <w:bottom w:val="none" w:sz="0" w:space="0" w:color="auto"/>
                <w:right w:val="none" w:sz="0" w:space="0" w:color="auto"/>
              </w:divBdr>
            </w:div>
          </w:divsChild>
        </w:div>
        <w:div w:id="232357546">
          <w:marLeft w:val="0"/>
          <w:marRight w:val="0"/>
          <w:marTop w:val="0"/>
          <w:marBottom w:val="0"/>
          <w:divBdr>
            <w:top w:val="none" w:sz="0" w:space="0" w:color="auto"/>
            <w:left w:val="none" w:sz="0" w:space="0" w:color="auto"/>
            <w:bottom w:val="none" w:sz="0" w:space="0" w:color="auto"/>
            <w:right w:val="none" w:sz="0" w:space="0" w:color="auto"/>
          </w:divBdr>
          <w:divsChild>
            <w:div w:id="115757355">
              <w:marLeft w:val="0"/>
              <w:marRight w:val="0"/>
              <w:marTop w:val="0"/>
              <w:marBottom w:val="0"/>
              <w:divBdr>
                <w:top w:val="none" w:sz="0" w:space="0" w:color="auto"/>
                <w:left w:val="none" w:sz="0" w:space="0" w:color="auto"/>
                <w:bottom w:val="none" w:sz="0" w:space="0" w:color="auto"/>
                <w:right w:val="none" w:sz="0" w:space="0" w:color="auto"/>
              </w:divBdr>
            </w:div>
          </w:divsChild>
        </w:div>
        <w:div w:id="242301787">
          <w:marLeft w:val="0"/>
          <w:marRight w:val="0"/>
          <w:marTop w:val="0"/>
          <w:marBottom w:val="0"/>
          <w:divBdr>
            <w:top w:val="none" w:sz="0" w:space="0" w:color="auto"/>
            <w:left w:val="none" w:sz="0" w:space="0" w:color="auto"/>
            <w:bottom w:val="none" w:sz="0" w:space="0" w:color="auto"/>
            <w:right w:val="none" w:sz="0" w:space="0" w:color="auto"/>
          </w:divBdr>
          <w:divsChild>
            <w:div w:id="1624768726">
              <w:marLeft w:val="0"/>
              <w:marRight w:val="0"/>
              <w:marTop w:val="0"/>
              <w:marBottom w:val="0"/>
              <w:divBdr>
                <w:top w:val="none" w:sz="0" w:space="0" w:color="auto"/>
                <w:left w:val="none" w:sz="0" w:space="0" w:color="auto"/>
                <w:bottom w:val="none" w:sz="0" w:space="0" w:color="auto"/>
                <w:right w:val="none" w:sz="0" w:space="0" w:color="auto"/>
              </w:divBdr>
            </w:div>
          </w:divsChild>
        </w:div>
        <w:div w:id="270741194">
          <w:marLeft w:val="0"/>
          <w:marRight w:val="0"/>
          <w:marTop w:val="0"/>
          <w:marBottom w:val="0"/>
          <w:divBdr>
            <w:top w:val="none" w:sz="0" w:space="0" w:color="auto"/>
            <w:left w:val="none" w:sz="0" w:space="0" w:color="auto"/>
            <w:bottom w:val="none" w:sz="0" w:space="0" w:color="auto"/>
            <w:right w:val="none" w:sz="0" w:space="0" w:color="auto"/>
          </w:divBdr>
          <w:divsChild>
            <w:div w:id="665323781">
              <w:marLeft w:val="0"/>
              <w:marRight w:val="0"/>
              <w:marTop w:val="0"/>
              <w:marBottom w:val="0"/>
              <w:divBdr>
                <w:top w:val="none" w:sz="0" w:space="0" w:color="auto"/>
                <w:left w:val="none" w:sz="0" w:space="0" w:color="auto"/>
                <w:bottom w:val="none" w:sz="0" w:space="0" w:color="auto"/>
                <w:right w:val="none" w:sz="0" w:space="0" w:color="auto"/>
              </w:divBdr>
            </w:div>
          </w:divsChild>
        </w:div>
        <w:div w:id="273054314">
          <w:marLeft w:val="0"/>
          <w:marRight w:val="0"/>
          <w:marTop w:val="0"/>
          <w:marBottom w:val="0"/>
          <w:divBdr>
            <w:top w:val="none" w:sz="0" w:space="0" w:color="auto"/>
            <w:left w:val="none" w:sz="0" w:space="0" w:color="auto"/>
            <w:bottom w:val="none" w:sz="0" w:space="0" w:color="auto"/>
            <w:right w:val="none" w:sz="0" w:space="0" w:color="auto"/>
          </w:divBdr>
          <w:divsChild>
            <w:div w:id="995038587">
              <w:marLeft w:val="0"/>
              <w:marRight w:val="0"/>
              <w:marTop w:val="0"/>
              <w:marBottom w:val="0"/>
              <w:divBdr>
                <w:top w:val="none" w:sz="0" w:space="0" w:color="auto"/>
                <w:left w:val="none" w:sz="0" w:space="0" w:color="auto"/>
                <w:bottom w:val="none" w:sz="0" w:space="0" w:color="auto"/>
                <w:right w:val="none" w:sz="0" w:space="0" w:color="auto"/>
              </w:divBdr>
            </w:div>
          </w:divsChild>
        </w:div>
        <w:div w:id="302350316">
          <w:marLeft w:val="0"/>
          <w:marRight w:val="0"/>
          <w:marTop w:val="0"/>
          <w:marBottom w:val="0"/>
          <w:divBdr>
            <w:top w:val="none" w:sz="0" w:space="0" w:color="auto"/>
            <w:left w:val="none" w:sz="0" w:space="0" w:color="auto"/>
            <w:bottom w:val="none" w:sz="0" w:space="0" w:color="auto"/>
            <w:right w:val="none" w:sz="0" w:space="0" w:color="auto"/>
          </w:divBdr>
          <w:divsChild>
            <w:div w:id="1238711514">
              <w:marLeft w:val="0"/>
              <w:marRight w:val="0"/>
              <w:marTop w:val="0"/>
              <w:marBottom w:val="0"/>
              <w:divBdr>
                <w:top w:val="none" w:sz="0" w:space="0" w:color="auto"/>
                <w:left w:val="none" w:sz="0" w:space="0" w:color="auto"/>
                <w:bottom w:val="none" w:sz="0" w:space="0" w:color="auto"/>
                <w:right w:val="none" w:sz="0" w:space="0" w:color="auto"/>
              </w:divBdr>
            </w:div>
          </w:divsChild>
        </w:div>
        <w:div w:id="307981900">
          <w:marLeft w:val="0"/>
          <w:marRight w:val="0"/>
          <w:marTop w:val="0"/>
          <w:marBottom w:val="0"/>
          <w:divBdr>
            <w:top w:val="none" w:sz="0" w:space="0" w:color="auto"/>
            <w:left w:val="none" w:sz="0" w:space="0" w:color="auto"/>
            <w:bottom w:val="none" w:sz="0" w:space="0" w:color="auto"/>
            <w:right w:val="none" w:sz="0" w:space="0" w:color="auto"/>
          </w:divBdr>
          <w:divsChild>
            <w:div w:id="2075739825">
              <w:marLeft w:val="0"/>
              <w:marRight w:val="0"/>
              <w:marTop w:val="0"/>
              <w:marBottom w:val="0"/>
              <w:divBdr>
                <w:top w:val="none" w:sz="0" w:space="0" w:color="auto"/>
                <w:left w:val="none" w:sz="0" w:space="0" w:color="auto"/>
                <w:bottom w:val="none" w:sz="0" w:space="0" w:color="auto"/>
                <w:right w:val="none" w:sz="0" w:space="0" w:color="auto"/>
              </w:divBdr>
            </w:div>
          </w:divsChild>
        </w:div>
        <w:div w:id="333150024">
          <w:marLeft w:val="0"/>
          <w:marRight w:val="0"/>
          <w:marTop w:val="0"/>
          <w:marBottom w:val="0"/>
          <w:divBdr>
            <w:top w:val="none" w:sz="0" w:space="0" w:color="auto"/>
            <w:left w:val="none" w:sz="0" w:space="0" w:color="auto"/>
            <w:bottom w:val="none" w:sz="0" w:space="0" w:color="auto"/>
            <w:right w:val="none" w:sz="0" w:space="0" w:color="auto"/>
          </w:divBdr>
          <w:divsChild>
            <w:div w:id="1772824109">
              <w:marLeft w:val="0"/>
              <w:marRight w:val="0"/>
              <w:marTop w:val="0"/>
              <w:marBottom w:val="0"/>
              <w:divBdr>
                <w:top w:val="none" w:sz="0" w:space="0" w:color="auto"/>
                <w:left w:val="none" w:sz="0" w:space="0" w:color="auto"/>
                <w:bottom w:val="none" w:sz="0" w:space="0" w:color="auto"/>
                <w:right w:val="none" w:sz="0" w:space="0" w:color="auto"/>
              </w:divBdr>
            </w:div>
          </w:divsChild>
        </w:div>
        <w:div w:id="376394555">
          <w:marLeft w:val="0"/>
          <w:marRight w:val="0"/>
          <w:marTop w:val="0"/>
          <w:marBottom w:val="0"/>
          <w:divBdr>
            <w:top w:val="none" w:sz="0" w:space="0" w:color="auto"/>
            <w:left w:val="none" w:sz="0" w:space="0" w:color="auto"/>
            <w:bottom w:val="none" w:sz="0" w:space="0" w:color="auto"/>
            <w:right w:val="none" w:sz="0" w:space="0" w:color="auto"/>
          </w:divBdr>
          <w:divsChild>
            <w:div w:id="1267543684">
              <w:marLeft w:val="0"/>
              <w:marRight w:val="0"/>
              <w:marTop w:val="0"/>
              <w:marBottom w:val="0"/>
              <w:divBdr>
                <w:top w:val="none" w:sz="0" w:space="0" w:color="auto"/>
                <w:left w:val="none" w:sz="0" w:space="0" w:color="auto"/>
                <w:bottom w:val="none" w:sz="0" w:space="0" w:color="auto"/>
                <w:right w:val="none" w:sz="0" w:space="0" w:color="auto"/>
              </w:divBdr>
            </w:div>
          </w:divsChild>
        </w:div>
        <w:div w:id="425661268">
          <w:marLeft w:val="0"/>
          <w:marRight w:val="0"/>
          <w:marTop w:val="0"/>
          <w:marBottom w:val="0"/>
          <w:divBdr>
            <w:top w:val="none" w:sz="0" w:space="0" w:color="auto"/>
            <w:left w:val="none" w:sz="0" w:space="0" w:color="auto"/>
            <w:bottom w:val="none" w:sz="0" w:space="0" w:color="auto"/>
            <w:right w:val="none" w:sz="0" w:space="0" w:color="auto"/>
          </w:divBdr>
          <w:divsChild>
            <w:div w:id="1236013418">
              <w:marLeft w:val="0"/>
              <w:marRight w:val="0"/>
              <w:marTop w:val="0"/>
              <w:marBottom w:val="0"/>
              <w:divBdr>
                <w:top w:val="none" w:sz="0" w:space="0" w:color="auto"/>
                <w:left w:val="none" w:sz="0" w:space="0" w:color="auto"/>
                <w:bottom w:val="none" w:sz="0" w:space="0" w:color="auto"/>
                <w:right w:val="none" w:sz="0" w:space="0" w:color="auto"/>
              </w:divBdr>
            </w:div>
          </w:divsChild>
        </w:div>
        <w:div w:id="431362865">
          <w:marLeft w:val="0"/>
          <w:marRight w:val="0"/>
          <w:marTop w:val="0"/>
          <w:marBottom w:val="0"/>
          <w:divBdr>
            <w:top w:val="none" w:sz="0" w:space="0" w:color="auto"/>
            <w:left w:val="none" w:sz="0" w:space="0" w:color="auto"/>
            <w:bottom w:val="none" w:sz="0" w:space="0" w:color="auto"/>
            <w:right w:val="none" w:sz="0" w:space="0" w:color="auto"/>
          </w:divBdr>
          <w:divsChild>
            <w:div w:id="1698658566">
              <w:marLeft w:val="0"/>
              <w:marRight w:val="0"/>
              <w:marTop w:val="0"/>
              <w:marBottom w:val="0"/>
              <w:divBdr>
                <w:top w:val="none" w:sz="0" w:space="0" w:color="auto"/>
                <w:left w:val="none" w:sz="0" w:space="0" w:color="auto"/>
                <w:bottom w:val="none" w:sz="0" w:space="0" w:color="auto"/>
                <w:right w:val="none" w:sz="0" w:space="0" w:color="auto"/>
              </w:divBdr>
            </w:div>
          </w:divsChild>
        </w:div>
        <w:div w:id="438109686">
          <w:marLeft w:val="0"/>
          <w:marRight w:val="0"/>
          <w:marTop w:val="0"/>
          <w:marBottom w:val="0"/>
          <w:divBdr>
            <w:top w:val="none" w:sz="0" w:space="0" w:color="auto"/>
            <w:left w:val="none" w:sz="0" w:space="0" w:color="auto"/>
            <w:bottom w:val="none" w:sz="0" w:space="0" w:color="auto"/>
            <w:right w:val="none" w:sz="0" w:space="0" w:color="auto"/>
          </w:divBdr>
          <w:divsChild>
            <w:div w:id="319621171">
              <w:marLeft w:val="0"/>
              <w:marRight w:val="0"/>
              <w:marTop w:val="0"/>
              <w:marBottom w:val="0"/>
              <w:divBdr>
                <w:top w:val="none" w:sz="0" w:space="0" w:color="auto"/>
                <w:left w:val="none" w:sz="0" w:space="0" w:color="auto"/>
                <w:bottom w:val="none" w:sz="0" w:space="0" w:color="auto"/>
                <w:right w:val="none" w:sz="0" w:space="0" w:color="auto"/>
              </w:divBdr>
            </w:div>
          </w:divsChild>
        </w:div>
        <w:div w:id="455291213">
          <w:marLeft w:val="0"/>
          <w:marRight w:val="0"/>
          <w:marTop w:val="0"/>
          <w:marBottom w:val="0"/>
          <w:divBdr>
            <w:top w:val="none" w:sz="0" w:space="0" w:color="auto"/>
            <w:left w:val="none" w:sz="0" w:space="0" w:color="auto"/>
            <w:bottom w:val="none" w:sz="0" w:space="0" w:color="auto"/>
            <w:right w:val="none" w:sz="0" w:space="0" w:color="auto"/>
          </w:divBdr>
          <w:divsChild>
            <w:div w:id="1979919884">
              <w:marLeft w:val="0"/>
              <w:marRight w:val="0"/>
              <w:marTop w:val="0"/>
              <w:marBottom w:val="0"/>
              <w:divBdr>
                <w:top w:val="none" w:sz="0" w:space="0" w:color="auto"/>
                <w:left w:val="none" w:sz="0" w:space="0" w:color="auto"/>
                <w:bottom w:val="none" w:sz="0" w:space="0" w:color="auto"/>
                <w:right w:val="none" w:sz="0" w:space="0" w:color="auto"/>
              </w:divBdr>
            </w:div>
          </w:divsChild>
        </w:div>
        <w:div w:id="554394232">
          <w:marLeft w:val="0"/>
          <w:marRight w:val="0"/>
          <w:marTop w:val="0"/>
          <w:marBottom w:val="0"/>
          <w:divBdr>
            <w:top w:val="none" w:sz="0" w:space="0" w:color="auto"/>
            <w:left w:val="none" w:sz="0" w:space="0" w:color="auto"/>
            <w:bottom w:val="none" w:sz="0" w:space="0" w:color="auto"/>
            <w:right w:val="none" w:sz="0" w:space="0" w:color="auto"/>
          </w:divBdr>
          <w:divsChild>
            <w:div w:id="1784106130">
              <w:marLeft w:val="0"/>
              <w:marRight w:val="0"/>
              <w:marTop w:val="0"/>
              <w:marBottom w:val="0"/>
              <w:divBdr>
                <w:top w:val="none" w:sz="0" w:space="0" w:color="auto"/>
                <w:left w:val="none" w:sz="0" w:space="0" w:color="auto"/>
                <w:bottom w:val="none" w:sz="0" w:space="0" w:color="auto"/>
                <w:right w:val="none" w:sz="0" w:space="0" w:color="auto"/>
              </w:divBdr>
            </w:div>
          </w:divsChild>
        </w:div>
        <w:div w:id="590627511">
          <w:marLeft w:val="0"/>
          <w:marRight w:val="0"/>
          <w:marTop w:val="0"/>
          <w:marBottom w:val="0"/>
          <w:divBdr>
            <w:top w:val="none" w:sz="0" w:space="0" w:color="auto"/>
            <w:left w:val="none" w:sz="0" w:space="0" w:color="auto"/>
            <w:bottom w:val="none" w:sz="0" w:space="0" w:color="auto"/>
            <w:right w:val="none" w:sz="0" w:space="0" w:color="auto"/>
          </w:divBdr>
          <w:divsChild>
            <w:div w:id="798038879">
              <w:marLeft w:val="0"/>
              <w:marRight w:val="0"/>
              <w:marTop w:val="0"/>
              <w:marBottom w:val="0"/>
              <w:divBdr>
                <w:top w:val="none" w:sz="0" w:space="0" w:color="auto"/>
                <w:left w:val="none" w:sz="0" w:space="0" w:color="auto"/>
                <w:bottom w:val="none" w:sz="0" w:space="0" w:color="auto"/>
                <w:right w:val="none" w:sz="0" w:space="0" w:color="auto"/>
              </w:divBdr>
            </w:div>
          </w:divsChild>
        </w:div>
        <w:div w:id="756825312">
          <w:marLeft w:val="0"/>
          <w:marRight w:val="0"/>
          <w:marTop w:val="0"/>
          <w:marBottom w:val="0"/>
          <w:divBdr>
            <w:top w:val="none" w:sz="0" w:space="0" w:color="auto"/>
            <w:left w:val="none" w:sz="0" w:space="0" w:color="auto"/>
            <w:bottom w:val="none" w:sz="0" w:space="0" w:color="auto"/>
            <w:right w:val="none" w:sz="0" w:space="0" w:color="auto"/>
          </w:divBdr>
          <w:divsChild>
            <w:div w:id="1133523269">
              <w:marLeft w:val="0"/>
              <w:marRight w:val="0"/>
              <w:marTop w:val="0"/>
              <w:marBottom w:val="0"/>
              <w:divBdr>
                <w:top w:val="none" w:sz="0" w:space="0" w:color="auto"/>
                <w:left w:val="none" w:sz="0" w:space="0" w:color="auto"/>
                <w:bottom w:val="none" w:sz="0" w:space="0" w:color="auto"/>
                <w:right w:val="none" w:sz="0" w:space="0" w:color="auto"/>
              </w:divBdr>
            </w:div>
          </w:divsChild>
        </w:div>
        <w:div w:id="798457189">
          <w:marLeft w:val="0"/>
          <w:marRight w:val="0"/>
          <w:marTop w:val="0"/>
          <w:marBottom w:val="0"/>
          <w:divBdr>
            <w:top w:val="none" w:sz="0" w:space="0" w:color="auto"/>
            <w:left w:val="none" w:sz="0" w:space="0" w:color="auto"/>
            <w:bottom w:val="none" w:sz="0" w:space="0" w:color="auto"/>
            <w:right w:val="none" w:sz="0" w:space="0" w:color="auto"/>
          </w:divBdr>
          <w:divsChild>
            <w:div w:id="1277060755">
              <w:marLeft w:val="0"/>
              <w:marRight w:val="0"/>
              <w:marTop w:val="0"/>
              <w:marBottom w:val="0"/>
              <w:divBdr>
                <w:top w:val="none" w:sz="0" w:space="0" w:color="auto"/>
                <w:left w:val="none" w:sz="0" w:space="0" w:color="auto"/>
                <w:bottom w:val="none" w:sz="0" w:space="0" w:color="auto"/>
                <w:right w:val="none" w:sz="0" w:space="0" w:color="auto"/>
              </w:divBdr>
            </w:div>
          </w:divsChild>
        </w:div>
        <w:div w:id="949779355">
          <w:marLeft w:val="0"/>
          <w:marRight w:val="0"/>
          <w:marTop w:val="0"/>
          <w:marBottom w:val="0"/>
          <w:divBdr>
            <w:top w:val="none" w:sz="0" w:space="0" w:color="auto"/>
            <w:left w:val="none" w:sz="0" w:space="0" w:color="auto"/>
            <w:bottom w:val="none" w:sz="0" w:space="0" w:color="auto"/>
            <w:right w:val="none" w:sz="0" w:space="0" w:color="auto"/>
          </w:divBdr>
          <w:divsChild>
            <w:div w:id="1227956755">
              <w:marLeft w:val="0"/>
              <w:marRight w:val="0"/>
              <w:marTop w:val="0"/>
              <w:marBottom w:val="0"/>
              <w:divBdr>
                <w:top w:val="none" w:sz="0" w:space="0" w:color="auto"/>
                <w:left w:val="none" w:sz="0" w:space="0" w:color="auto"/>
                <w:bottom w:val="none" w:sz="0" w:space="0" w:color="auto"/>
                <w:right w:val="none" w:sz="0" w:space="0" w:color="auto"/>
              </w:divBdr>
            </w:div>
          </w:divsChild>
        </w:div>
        <w:div w:id="1019429639">
          <w:marLeft w:val="0"/>
          <w:marRight w:val="0"/>
          <w:marTop w:val="0"/>
          <w:marBottom w:val="0"/>
          <w:divBdr>
            <w:top w:val="none" w:sz="0" w:space="0" w:color="auto"/>
            <w:left w:val="none" w:sz="0" w:space="0" w:color="auto"/>
            <w:bottom w:val="none" w:sz="0" w:space="0" w:color="auto"/>
            <w:right w:val="none" w:sz="0" w:space="0" w:color="auto"/>
          </w:divBdr>
          <w:divsChild>
            <w:div w:id="542062764">
              <w:marLeft w:val="0"/>
              <w:marRight w:val="0"/>
              <w:marTop w:val="0"/>
              <w:marBottom w:val="0"/>
              <w:divBdr>
                <w:top w:val="none" w:sz="0" w:space="0" w:color="auto"/>
                <w:left w:val="none" w:sz="0" w:space="0" w:color="auto"/>
                <w:bottom w:val="none" w:sz="0" w:space="0" w:color="auto"/>
                <w:right w:val="none" w:sz="0" w:space="0" w:color="auto"/>
              </w:divBdr>
            </w:div>
          </w:divsChild>
        </w:div>
        <w:div w:id="1053428588">
          <w:marLeft w:val="0"/>
          <w:marRight w:val="0"/>
          <w:marTop w:val="0"/>
          <w:marBottom w:val="0"/>
          <w:divBdr>
            <w:top w:val="none" w:sz="0" w:space="0" w:color="auto"/>
            <w:left w:val="none" w:sz="0" w:space="0" w:color="auto"/>
            <w:bottom w:val="none" w:sz="0" w:space="0" w:color="auto"/>
            <w:right w:val="none" w:sz="0" w:space="0" w:color="auto"/>
          </w:divBdr>
          <w:divsChild>
            <w:div w:id="1325401573">
              <w:marLeft w:val="0"/>
              <w:marRight w:val="0"/>
              <w:marTop w:val="0"/>
              <w:marBottom w:val="0"/>
              <w:divBdr>
                <w:top w:val="none" w:sz="0" w:space="0" w:color="auto"/>
                <w:left w:val="none" w:sz="0" w:space="0" w:color="auto"/>
                <w:bottom w:val="none" w:sz="0" w:space="0" w:color="auto"/>
                <w:right w:val="none" w:sz="0" w:space="0" w:color="auto"/>
              </w:divBdr>
            </w:div>
          </w:divsChild>
        </w:div>
        <w:div w:id="1107191135">
          <w:marLeft w:val="0"/>
          <w:marRight w:val="0"/>
          <w:marTop w:val="0"/>
          <w:marBottom w:val="0"/>
          <w:divBdr>
            <w:top w:val="none" w:sz="0" w:space="0" w:color="auto"/>
            <w:left w:val="none" w:sz="0" w:space="0" w:color="auto"/>
            <w:bottom w:val="none" w:sz="0" w:space="0" w:color="auto"/>
            <w:right w:val="none" w:sz="0" w:space="0" w:color="auto"/>
          </w:divBdr>
          <w:divsChild>
            <w:div w:id="1067652042">
              <w:marLeft w:val="0"/>
              <w:marRight w:val="0"/>
              <w:marTop w:val="0"/>
              <w:marBottom w:val="0"/>
              <w:divBdr>
                <w:top w:val="none" w:sz="0" w:space="0" w:color="auto"/>
                <w:left w:val="none" w:sz="0" w:space="0" w:color="auto"/>
                <w:bottom w:val="none" w:sz="0" w:space="0" w:color="auto"/>
                <w:right w:val="none" w:sz="0" w:space="0" w:color="auto"/>
              </w:divBdr>
            </w:div>
          </w:divsChild>
        </w:div>
        <w:div w:id="1132475898">
          <w:marLeft w:val="0"/>
          <w:marRight w:val="0"/>
          <w:marTop w:val="0"/>
          <w:marBottom w:val="0"/>
          <w:divBdr>
            <w:top w:val="none" w:sz="0" w:space="0" w:color="auto"/>
            <w:left w:val="none" w:sz="0" w:space="0" w:color="auto"/>
            <w:bottom w:val="none" w:sz="0" w:space="0" w:color="auto"/>
            <w:right w:val="none" w:sz="0" w:space="0" w:color="auto"/>
          </w:divBdr>
          <w:divsChild>
            <w:div w:id="1757286419">
              <w:marLeft w:val="0"/>
              <w:marRight w:val="0"/>
              <w:marTop w:val="0"/>
              <w:marBottom w:val="0"/>
              <w:divBdr>
                <w:top w:val="none" w:sz="0" w:space="0" w:color="auto"/>
                <w:left w:val="none" w:sz="0" w:space="0" w:color="auto"/>
                <w:bottom w:val="none" w:sz="0" w:space="0" w:color="auto"/>
                <w:right w:val="none" w:sz="0" w:space="0" w:color="auto"/>
              </w:divBdr>
            </w:div>
          </w:divsChild>
        </w:div>
        <w:div w:id="1156190725">
          <w:marLeft w:val="0"/>
          <w:marRight w:val="0"/>
          <w:marTop w:val="0"/>
          <w:marBottom w:val="0"/>
          <w:divBdr>
            <w:top w:val="none" w:sz="0" w:space="0" w:color="auto"/>
            <w:left w:val="none" w:sz="0" w:space="0" w:color="auto"/>
            <w:bottom w:val="none" w:sz="0" w:space="0" w:color="auto"/>
            <w:right w:val="none" w:sz="0" w:space="0" w:color="auto"/>
          </w:divBdr>
          <w:divsChild>
            <w:div w:id="1378815916">
              <w:marLeft w:val="0"/>
              <w:marRight w:val="0"/>
              <w:marTop w:val="0"/>
              <w:marBottom w:val="0"/>
              <w:divBdr>
                <w:top w:val="none" w:sz="0" w:space="0" w:color="auto"/>
                <w:left w:val="none" w:sz="0" w:space="0" w:color="auto"/>
                <w:bottom w:val="none" w:sz="0" w:space="0" w:color="auto"/>
                <w:right w:val="none" w:sz="0" w:space="0" w:color="auto"/>
              </w:divBdr>
            </w:div>
          </w:divsChild>
        </w:div>
        <w:div w:id="1161699044">
          <w:marLeft w:val="0"/>
          <w:marRight w:val="0"/>
          <w:marTop w:val="0"/>
          <w:marBottom w:val="0"/>
          <w:divBdr>
            <w:top w:val="none" w:sz="0" w:space="0" w:color="auto"/>
            <w:left w:val="none" w:sz="0" w:space="0" w:color="auto"/>
            <w:bottom w:val="none" w:sz="0" w:space="0" w:color="auto"/>
            <w:right w:val="none" w:sz="0" w:space="0" w:color="auto"/>
          </w:divBdr>
          <w:divsChild>
            <w:div w:id="731119911">
              <w:marLeft w:val="0"/>
              <w:marRight w:val="0"/>
              <w:marTop w:val="0"/>
              <w:marBottom w:val="0"/>
              <w:divBdr>
                <w:top w:val="none" w:sz="0" w:space="0" w:color="auto"/>
                <w:left w:val="none" w:sz="0" w:space="0" w:color="auto"/>
                <w:bottom w:val="none" w:sz="0" w:space="0" w:color="auto"/>
                <w:right w:val="none" w:sz="0" w:space="0" w:color="auto"/>
              </w:divBdr>
            </w:div>
          </w:divsChild>
        </w:div>
        <w:div w:id="1172842405">
          <w:marLeft w:val="0"/>
          <w:marRight w:val="0"/>
          <w:marTop w:val="0"/>
          <w:marBottom w:val="0"/>
          <w:divBdr>
            <w:top w:val="none" w:sz="0" w:space="0" w:color="auto"/>
            <w:left w:val="none" w:sz="0" w:space="0" w:color="auto"/>
            <w:bottom w:val="none" w:sz="0" w:space="0" w:color="auto"/>
            <w:right w:val="none" w:sz="0" w:space="0" w:color="auto"/>
          </w:divBdr>
          <w:divsChild>
            <w:div w:id="1735353600">
              <w:marLeft w:val="0"/>
              <w:marRight w:val="0"/>
              <w:marTop w:val="0"/>
              <w:marBottom w:val="0"/>
              <w:divBdr>
                <w:top w:val="none" w:sz="0" w:space="0" w:color="auto"/>
                <w:left w:val="none" w:sz="0" w:space="0" w:color="auto"/>
                <w:bottom w:val="none" w:sz="0" w:space="0" w:color="auto"/>
                <w:right w:val="none" w:sz="0" w:space="0" w:color="auto"/>
              </w:divBdr>
            </w:div>
          </w:divsChild>
        </w:div>
        <w:div w:id="1282684160">
          <w:marLeft w:val="0"/>
          <w:marRight w:val="0"/>
          <w:marTop w:val="0"/>
          <w:marBottom w:val="0"/>
          <w:divBdr>
            <w:top w:val="none" w:sz="0" w:space="0" w:color="auto"/>
            <w:left w:val="none" w:sz="0" w:space="0" w:color="auto"/>
            <w:bottom w:val="none" w:sz="0" w:space="0" w:color="auto"/>
            <w:right w:val="none" w:sz="0" w:space="0" w:color="auto"/>
          </w:divBdr>
          <w:divsChild>
            <w:div w:id="1435399872">
              <w:marLeft w:val="0"/>
              <w:marRight w:val="0"/>
              <w:marTop w:val="0"/>
              <w:marBottom w:val="0"/>
              <w:divBdr>
                <w:top w:val="none" w:sz="0" w:space="0" w:color="auto"/>
                <w:left w:val="none" w:sz="0" w:space="0" w:color="auto"/>
                <w:bottom w:val="none" w:sz="0" w:space="0" w:color="auto"/>
                <w:right w:val="none" w:sz="0" w:space="0" w:color="auto"/>
              </w:divBdr>
            </w:div>
          </w:divsChild>
        </w:div>
        <w:div w:id="1353341607">
          <w:marLeft w:val="0"/>
          <w:marRight w:val="0"/>
          <w:marTop w:val="0"/>
          <w:marBottom w:val="0"/>
          <w:divBdr>
            <w:top w:val="none" w:sz="0" w:space="0" w:color="auto"/>
            <w:left w:val="none" w:sz="0" w:space="0" w:color="auto"/>
            <w:bottom w:val="none" w:sz="0" w:space="0" w:color="auto"/>
            <w:right w:val="none" w:sz="0" w:space="0" w:color="auto"/>
          </w:divBdr>
          <w:divsChild>
            <w:div w:id="6831470">
              <w:marLeft w:val="0"/>
              <w:marRight w:val="0"/>
              <w:marTop w:val="0"/>
              <w:marBottom w:val="0"/>
              <w:divBdr>
                <w:top w:val="none" w:sz="0" w:space="0" w:color="auto"/>
                <w:left w:val="none" w:sz="0" w:space="0" w:color="auto"/>
                <w:bottom w:val="none" w:sz="0" w:space="0" w:color="auto"/>
                <w:right w:val="none" w:sz="0" w:space="0" w:color="auto"/>
              </w:divBdr>
            </w:div>
          </w:divsChild>
        </w:div>
        <w:div w:id="1360618191">
          <w:marLeft w:val="0"/>
          <w:marRight w:val="0"/>
          <w:marTop w:val="0"/>
          <w:marBottom w:val="0"/>
          <w:divBdr>
            <w:top w:val="none" w:sz="0" w:space="0" w:color="auto"/>
            <w:left w:val="none" w:sz="0" w:space="0" w:color="auto"/>
            <w:bottom w:val="none" w:sz="0" w:space="0" w:color="auto"/>
            <w:right w:val="none" w:sz="0" w:space="0" w:color="auto"/>
          </w:divBdr>
          <w:divsChild>
            <w:div w:id="219219940">
              <w:marLeft w:val="0"/>
              <w:marRight w:val="0"/>
              <w:marTop w:val="0"/>
              <w:marBottom w:val="0"/>
              <w:divBdr>
                <w:top w:val="none" w:sz="0" w:space="0" w:color="auto"/>
                <w:left w:val="none" w:sz="0" w:space="0" w:color="auto"/>
                <w:bottom w:val="none" w:sz="0" w:space="0" w:color="auto"/>
                <w:right w:val="none" w:sz="0" w:space="0" w:color="auto"/>
              </w:divBdr>
            </w:div>
          </w:divsChild>
        </w:div>
        <w:div w:id="1441602757">
          <w:marLeft w:val="0"/>
          <w:marRight w:val="0"/>
          <w:marTop w:val="0"/>
          <w:marBottom w:val="0"/>
          <w:divBdr>
            <w:top w:val="none" w:sz="0" w:space="0" w:color="auto"/>
            <w:left w:val="none" w:sz="0" w:space="0" w:color="auto"/>
            <w:bottom w:val="none" w:sz="0" w:space="0" w:color="auto"/>
            <w:right w:val="none" w:sz="0" w:space="0" w:color="auto"/>
          </w:divBdr>
          <w:divsChild>
            <w:div w:id="1549759628">
              <w:marLeft w:val="0"/>
              <w:marRight w:val="0"/>
              <w:marTop w:val="0"/>
              <w:marBottom w:val="0"/>
              <w:divBdr>
                <w:top w:val="none" w:sz="0" w:space="0" w:color="auto"/>
                <w:left w:val="none" w:sz="0" w:space="0" w:color="auto"/>
                <w:bottom w:val="none" w:sz="0" w:space="0" w:color="auto"/>
                <w:right w:val="none" w:sz="0" w:space="0" w:color="auto"/>
              </w:divBdr>
            </w:div>
          </w:divsChild>
        </w:div>
        <w:div w:id="1518737385">
          <w:marLeft w:val="0"/>
          <w:marRight w:val="0"/>
          <w:marTop w:val="0"/>
          <w:marBottom w:val="0"/>
          <w:divBdr>
            <w:top w:val="none" w:sz="0" w:space="0" w:color="auto"/>
            <w:left w:val="none" w:sz="0" w:space="0" w:color="auto"/>
            <w:bottom w:val="none" w:sz="0" w:space="0" w:color="auto"/>
            <w:right w:val="none" w:sz="0" w:space="0" w:color="auto"/>
          </w:divBdr>
          <w:divsChild>
            <w:div w:id="1570848531">
              <w:marLeft w:val="0"/>
              <w:marRight w:val="0"/>
              <w:marTop w:val="0"/>
              <w:marBottom w:val="0"/>
              <w:divBdr>
                <w:top w:val="none" w:sz="0" w:space="0" w:color="auto"/>
                <w:left w:val="none" w:sz="0" w:space="0" w:color="auto"/>
                <w:bottom w:val="none" w:sz="0" w:space="0" w:color="auto"/>
                <w:right w:val="none" w:sz="0" w:space="0" w:color="auto"/>
              </w:divBdr>
            </w:div>
          </w:divsChild>
        </w:div>
        <w:div w:id="1567715706">
          <w:marLeft w:val="0"/>
          <w:marRight w:val="0"/>
          <w:marTop w:val="0"/>
          <w:marBottom w:val="0"/>
          <w:divBdr>
            <w:top w:val="none" w:sz="0" w:space="0" w:color="auto"/>
            <w:left w:val="none" w:sz="0" w:space="0" w:color="auto"/>
            <w:bottom w:val="none" w:sz="0" w:space="0" w:color="auto"/>
            <w:right w:val="none" w:sz="0" w:space="0" w:color="auto"/>
          </w:divBdr>
          <w:divsChild>
            <w:div w:id="2086802909">
              <w:marLeft w:val="0"/>
              <w:marRight w:val="0"/>
              <w:marTop w:val="0"/>
              <w:marBottom w:val="0"/>
              <w:divBdr>
                <w:top w:val="none" w:sz="0" w:space="0" w:color="auto"/>
                <w:left w:val="none" w:sz="0" w:space="0" w:color="auto"/>
                <w:bottom w:val="none" w:sz="0" w:space="0" w:color="auto"/>
                <w:right w:val="none" w:sz="0" w:space="0" w:color="auto"/>
              </w:divBdr>
            </w:div>
          </w:divsChild>
        </w:div>
        <w:div w:id="1662812064">
          <w:marLeft w:val="0"/>
          <w:marRight w:val="0"/>
          <w:marTop w:val="0"/>
          <w:marBottom w:val="0"/>
          <w:divBdr>
            <w:top w:val="none" w:sz="0" w:space="0" w:color="auto"/>
            <w:left w:val="none" w:sz="0" w:space="0" w:color="auto"/>
            <w:bottom w:val="none" w:sz="0" w:space="0" w:color="auto"/>
            <w:right w:val="none" w:sz="0" w:space="0" w:color="auto"/>
          </w:divBdr>
          <w:divsChild>
            <w:div w:id="1253200464">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93673714">
              <w:marLeft w:val="0"/>
              <w:marRight w:val="0"/>
              <w:marTop w:val="0"/>
              <w:marBottom w:val="0"/>
              <w:divBdr>
                <w:top w:val="none" w:sz="0" w:space="0" w:color="auto"/>
                <w:left w:val="none" w:sz="0" w:space="0" w:color="auto"/>
                <w:bottom w:val="none" w:sz="0" w:space="0" w:color="auto"/>
                <w:right w:val="none" w:sz="0" w:space="0" w:color="auto"/>
              </w:divBdr>
            </w:div>
          </w:divsChild>
        </w:div>
        <w:div w:id="1742483916">
          <w:marLeft w:val="0"/>
          <w:marRight w:val="0"/>
          <w:marTop w:val="0"/>
          <w:marBottom w:val="0"/>
          <w:divBdr>
            <w:top w:val="none" w:sz="0" w:space="0" w:color="auto"/>
            <w:left w:val="none" w:sz="0" w:space="0" w:color="auto"/>
            <w:bottom w:val="none" w:sz="0" w:space="0" w:color="auto"/>
            <w:right w:val="none" w:sz="0" w:space="0" w:color="auto"/>
          </w:divBdr>
          <w:divsChild>
            <w:div w:id="1608808479">
              <w:marLeft w:val="0"/>
              <w:marRight w:val="0"/>
              <w:marTop w:val="0"/>
              <w:marBottom w:val="0"/>
              <w:divBdr>
                <w:top w:val="none" w:sz="0" w:space="0" w:color="auto"/>
                <w:left w:val="none" w:sz="0" w:space="0" w:color="auto"/>
                <w:bottom w:val="none" w:sz="0" w:space="0" w:color="auto"/>
                <w:right w:val="none" w:sz="0" w:space="0" w:color="auto"/>
              </w:divBdr>
            </w:div>
          </w:divsChild>
        </w:div>
        <w:div w:id="1753970450">
          <w:marLeft w:val="0"/>
          <w:marRight w:val="0"/>
          <w:marTop w:val="0"/>
          <w:marBottom w:val="0"/>
          <w:divBdr>
            <w:top w:val="none" w:sz="0" w:space="0" w:color="auto"/>
            <w:left w:val="none" w:sz="0" w:space="0" w:color="auto"/>
            <w:bottom w:val="none" w:sz="0" w:space="0" w:color="auto"/>
            <w:right w:val="none" w:sz="0" w:space="0" w:color="auto"/>
          </w:divBdr>
          <w:divsChild>
            <w:div w:id="468323788">
              <w:marLeft w:val="0"/>
              <w:marRight w:val="0"/>
              <w:marTop w:val="0"/>
              <w:marBottom w:val="0"/>
              <w:divBdr>
                <w:top w:val="none" w:sz="0" w:space="0" w:color="auto"/>
                <w:left w:val="none" w:sz="0" w:space="0" w:color="auto"/>
                <w:bottom w:val="none" w:sz="0" w:space="0" w:color="auto"/>
                <w:right w:val="none" w:sz="0" w:space="0" w:color="auto"/>
              </w:divBdr>
            </w:div>
          </w:divsChild>
        </w:div>
        <w:div w:id="1768230818">
          <w:marLeft w:val="0"/>
          <w:marRight w:val="0"/>
          <w:marTop w:val="0"/>
          <w:marBottom w:val="0"/>
          <w:divBdr>
            <w:top w:val="none" w:sz="0" w:space="0" w:color="auto"/>
            <w:left w:val="none" w:sz="0" w:space="0" w:color="auto"/>
            <w:bottom w:val="none" w:sz="0" w:space="0" w:color="auto"/>
            <w:right w:val="none" w:sz="0" w:space="0" w:color="auto"/>
          </w:divBdr>
          <w:divsChild>
            <w:div w:id="330181764">
              <w:marLeft w:val="0"/>
              <w:marRight w:val="0"/>
              <w:marTop w:val="0"/>
              <w:marBottom w:val="0"/>
              <w:divBdr>
                <w:top w:val="none" w:sz="0" w:space="0" w:color="auto"/>
                <w:left w:val="none" w:sz="0" w:space="0" w:color="auto"/>
                <w:bottom w:val="none" w:sz="0" w:space="0" w:color="auto"/>
                <w:right w:val="none" w:sz="0" w:space="0" w:color="auto"/>
              </w:divBdr>
            </w:div>
          </w:divsChild>
        </w:div>
        <w:div w:id="1884049988">
          <w:marLeft w:val="0"/>
          <w:marRight w:val="0"/>
          <w:marTop w:val="0"/>
          <w:marBottom w:val="0"/>
          <w:divBdr>
            <w:top w:val="none" w:sz="0" w:space="0" w:color="auto"/>
            <w:left w:val="none" w:sz="0" w:space="0" w:color="auto"/>
            <w:bottom w:val="none" w:sz="0" w:space="0" w:color="auto"/>
            <w:right w:val="none" w:sz="0" w:space="0" w:color="auto"/>
          </w:divBdr>
          <w:divsChild>
            <w:div w:id="2024355209">
              <w:marLeft w:val="0"/>
              <w:marRight w:val="0"/>
              <w:marTop w:val="0"/>
              <w:marBottom w:val="0"/>
              <w:divBdr>
                <w:top w:val="none" w:sz="0" w:space="0" w:color="auto"/>
                <w:left w:val="none" w:sz="0" w:space="0" w:color="auto"/>
                <w:bottom w:val="none" w:sz="0" w:space="0" w:color="auto"/>
                <w:right w:val="none" w:sz="0" w:space="0" w:color="auto"/>
              </w:divBdr>
            </w:div>
          </w:divsChild>
        </w:div>
        <w:div w:id="1912538903">
          <w:marLeft w:val="0"/>
          <w:marRight w:val="0"/>
          <w:marTop w:val="0"/>
          <w:marBottom w:val="0"/>
          <w:divBdr>
            <w:top w:val="none" w:sz="0" w:space="0" w:color="auto"/>
            <w:left w:val="none" w:sz="0" w:space="0" w:color="auto"/>
            <w:bottom w:val="none" w:sz="0" w:space="0" w:color="auto"/>
            <w:right w:val="none" w:sz="0" w:space="0" w:color="auto"/>
          </w:divBdr>
          <w:divsChild>
            <w:div w:id="869605077">
              <w:marLeft w:val="0"/>
              <w:marRight w:val="0"/>
              <w:marTop w:val="0"/>
              <w:marBottom w:val="0"/>
              <w:divBdr>
                <w:top w:val="none" w:sz="0" w:space="0" w:color="auto"/>
                <w:left w:val="none" w:sz="0" w:space="0" w:color="auto"/>
                <w:bottom w:val="none" w:sz="0" w:space="0" w:color="auto"/>
                <w:right w:val="none" w:sz="0" w:space="0" w:color="auto"/>
              </w:divBdr>
            </w:div>
          </w:divsChild>
        </w:div>
        <w:div w:id="1918245478">
          <w:marLeft w:val="0"/>
          <w:marRight w:val="0"/>
          <w:marTop w:val="0"/>
          <w:marBottom w:val="0"/>
          <w:divBdr>
            <w:top w:val="none" w:sz="0" w:space="0" w:color="auto"/>
            <w:left w:val="none" w:sz="0" w:space="0" w:color="auto"/>
            <w:bottom w:val="none" w:sz="0" w:space="0" w:color="auto"/>
            <w:right w:val="none" w:sz="0" w:space="0" w:color="auto"/>
          </w:divBdr>
          <w:divsChild>
            <w:div w:id="642858538">
              <w:marLeft w:val="0"/>
              <w:marRight w:val="0"/>
              <w:marTop w:val="0"/>
              <w:marBottom w:val="0"/>
              <w:divBdr>
                <w:top w:val="none" w:sz="0" w:space="0" w:color="auto"/>
                <w:left w:val="none" w:sz="0" w:space="0" w:color="auto"/>
                <w:bottom w:val="none" w:sz="0" w:space="0" w:color="auto"/>
                <w:right w:val="none" w:sz="0" w:space="0" w:color="auto"/>
              </w:divBdr>
            </w:div>
          </w:divsChild>
        </w:div>
        <w:div w:id="1920096070">
          <w:marLeft w:val="0"/>
          <w:marRight w:val="0"/>
          <w:marTop w:val="0"/>
          <w:marBottom w:val="0"/>
          <w:divBdr>
            <w:top w:val="none" w:sz="0" w:space="0" w:color="auto"/>
            <w:left w:val="none" w:sz="0" w:space="0" w:color="auto"/>
            <w:bottom w:val="none" w:sz="0" w:space="0" w:color="auto"/>
            <w:right w:val="none" w:sz="0" w:space="0" w:color="auto"/>
          </w:divBdr>
          <w:divsChild>
            <w:div w:id="1047071691">
              <w:marLeft w:val="0"/>
              <w:marRight w:val="0"/>
              <w:marTop w:val="0"/>
              <w:marBottom w:val="0"/>
              <w:divBdr>
                <w:top w:val="none" w:sz="0" w:space="0" w:color="auto"/>
                <w:left w:val="none" w:sz="0" w:space="0" w:color="auto"/>
                <w:bottom w:val="none" w:sz="0" w:space="0" w:color="auto"/>
                <w:right w:val="none" w:sz="0" w:space="0" w:color="auto"/>
              </w:divBdr>
            </w:div>
          </w:divsChild>
        </w:div>
        <w:div w:id="1939484982">
          <w:marLeft w:val="0"/>
          <w:marRight w:val="0"/>
          <w:marTop w:val="0"/>
          <w:marBottom w:val="0"/>
          <w:divBdr>
            <w:top w:val="none" w:sz="0" w:space="0" w:color="auto"/>
            <w:left w:val="none" w:sz="0" w:space="0" w:color="auto"/>
            <w:bottom w:val="none" w:sz="0" w:space="0" w:color="auto"/>
            <w:right w:val="none" w:sz="0" w:space="0" w:color="auto"/>
          </w:divBdr>
          <w:divsChild>
            <w:div w:id="773013201">
              <w:marLeft w:val="0"/>
              <w:marRight w:val="0"/>
              <w:marTop w:val="0"/>
              <w:marBottom w:val="0"/>
              <w:divBdr>
                <w:top w:val="none" w:sz="0" w:space="0" w:color="auto"/>
                <w:left w:val="none" w:sz="0" w:space="0" w:color="auto"/>
                <w:bottom w:val="none" w:sz="0" w:space="0" w:color="auto"/>
                <w:right w:val="none" w:sz="0" w:space="0" w:color="auto"/>
              </w:divBdr>
            </w:div>
          </w:divsChild>
        </w:div>
        <w:div w:id="2018385758">
          <w:marLeft w:val="0"/>
          <w:marRight w:val="0"/>
          <w:marTop w:val="0"/>
          <w:marBottom w:val="0"/>
          <w:divBdr>
            <w:top w:val="none" w:sz="0" w:space="0" w:color="auto"/>
            <w:left w:val="none" w:sz="0" w:space="0" w:color="auto"/>
            <w:bottom w:val="none" w:sz="0" w:space="0" w:color="auto"/>
            <w:right w:val="none" w:sz="0" w:space="0" w:color="auto"/>
          </w:divBdr>
          <w:divsChild>
            <w:div w:id="878277443">
              <w:marLeft w:val="0"/>
              <w:marRight w:val="0"/>
              <w:marTop w:val="0"/>
              <w:marBottom w:val="0"/>
              <w:divBdr>
                <w:top w:val="none" w:sz="0" w:space="0" w:color="auto"/>
                <w:left w:val="none" w:sz="0" w:space="0" w:color="auto"/>
                <w:bottom w:val="none" w:sz="0" w:space="0" w:color="auto"/>
                <w:right w:val="none" w:sz="0" w:space="0" w:color="auto"/>
              </w:divBdr>
            </w:div>
          </w:divsChild>
        </w:div>
        <w:div w:id="2074884018">
          <w:marLeft w:val="0"/>
          <w:marRight w:val="0"/>
          <w:marTop w:val="0"/>
          <w:marBottom w:val="0"/>
          <w:divBdr>
            <w:top w:val="none" w:sz="0" w:space="0" w:color="auto"/>
            <w:left w:val="none" w:sz="0" w:space="0" w:color="auto"/>
            <w:bottom w:val="none" w:sz="0" w:space="0" w:color="auto"/>
            <w:right w:val="none" w:sz="0" w:space="0" w:color="auto"/>
          </w:divBdr>
          <w:divsChild>
            <w:div w:id="19442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freqplan@acma.gov.au" TargetMode="External"/><Relationship Id="rId18" Type="http://schemas.openxmlformats.org/officeDocument/2006/relationships/hyperlink" Target="https://www.acma.gov.au/current-and-past-spectrum-embargoes" TargetMode="External"/><Relationship Id="rId26" Type="http://schemas.openxmlformats.org/officeDocument/2006/relationships/hyperlink" Target="https://www.acma.gov.au/publications/2026-07/instruction/rali-ms51-frequency-coordination-and-licensing-procedures-railway-mobile-radio-rmr-1900-1910-mhz-band" TargetMode="External"/><Relationship Id="rId3" Type="http://schemas.openxmlformats.org/officeDocument/2006/relationships/styles" Target="styles.xml"/><Relationship Id="rId21" Type="http://schemas.openxmlformats.org/officeDocument/2006/relationships/hyperlink" Target="https://www.legislation.gov.au/F2024L00316/asmade/tex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cma.gov.au/radiocomms-licence-data" TargetMode="External"/><Relationship Id="rId25" Type="http://schemas.openxmlformats.org/officeDocument/2006/relationships/image" Target="media/image2.JP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slation.gov.au/F2023L00153/latest/text" TargetMode="External"/><Relationship Id="rId20" Type="http://schemas.openxmlformats.org/officeDocument/2006/relationships/hyperlink" Target="https://www.legislation.gov.au/F2025L00389/asmade/text" TargetMode="Externa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eqplan@acma.gov.au" TargetMode="External"/><Relationship Id="rId24" Type="http://schemas.openxmlformats.org/officeDocument/2006/relationships/hyperlink" Target="https://digital.atlas.gov.au/datasets/digitalatlas::railway-lines/about"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acma.gov.au/radiocomms-licence-data" TargetMode="External"/><Relationship Id="rId23" Type="http://schemas.openxmlformats.org/officeDocument/2006/relationships/hyperlink" Target="mailto:freqplan@acma.gov.au" TargetMode="External"/><Relationship Id="rId28" Type="http://schemas.openxmlformats.org/officeDocument/2006/relationships/hyperlink" Target="https://www.acma.gov.au/node/849" TargetMode="External"/><Relationship Id="rId10" Type="http://schemas.openxmlformats.org/officeDocument/2006/relationships/header" Target="header1.xml"/><Relationship Id="rId19" Type="http://schemas.openxmlformats.org/officeDocument/2006/relationships/hyperlink" Target="https://www.legislation.gov.au/Details/C2019C0026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legislation.gov.au/F2024L00315/asmade/text" TargetMode="External"/><Relationship Id="rId22" Type="http://schemas.openxmlformats.org/officeDocument/2006/relationships/hyperlink" Target="mailto:spectrum@ara.net.au" TargetMode="External"/><Relationship Id="rId27" Type="http://schemas.openxmlformats.org/officeDocument/2006/relationships/hyperlink" Target="https://www.acma.gov.au/node/849" TargetMode="External"/><Relationship Id="rId30" Type="http://schemas.openxmlformats.org/officeDocument/2006/relationships/hyperlink" Target="https://www.acma.gov.au/node/849"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cma.gov.au/publications/2019-09/publication/rali-fx3-microwave-fixed-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446288897073139E-2"/>
          <c:y val="2.5027273499992623E-2"/>
          <c:w val="0.86851312321911811"/>
          <c:h val="0.89662676822633292"/>
        </c:manualLayout>
      </c:layout>
      <c:scatterChart>
        <c:scatterStyle val="lineMarker"/>
        <c:varyColors val="0"/>
        <c:ser>
          <c:idx val="0"/>
          <c:order val="0"/>
          <c:tx>
            <c:strRef>
              <c:f>Sheet1!$D$70</c:f>
              <c:strCache>
                <c:ptCount val="1"/>
                <c:pt idx="0">
                  <c:v>PL=5</c:v>
                </c:pt>
              </c:strCache>
            </c:strRef>
          </c:tx>
          <c:spPr>
            <a:ln w="19050">
              <a:solidFill>
                <a:schemeClr val="tx1"/>
              </a:solidFill>
              <a:prstDash val="lgDash"/>
            </a:ln>
          </c:spPr>
          <c:marker>
            <c:symbol val="none"/>
          </c:marker>
          <c:xVal>
            <c:numRef>
              <c:f>Sheet1!$C$71:$C$124</c:f>
              <c:numCache>
                <c:formatCode>0.0##</c:formatCode>
                <c:ptCount val="54"/>
                <c:pt idx="0">
                  <c:v>0</c:v>
                </c:pt>
                <c:pt idx="1">
                  <c:v>1</c:v>
                </c:pt>
                <c:pt idx="2">
                  <c:v>2</c:v>
                </c:pt>
                <c:pt idx="3">
                  <c:v>3</c:v>
                </c:pt>
                <c:pt idx="4">
                  <c:v>4</c:v>
                </c:pt>
                <c:pt idx="5">
                  <c:v>5</c:v>
                </c:pt>
                <c:pt idx="6">
                  <c:v>6</c:v>
                </c:pt>
                <c:pt idx="7">
                  <c:v>7</c:v>
                </c:pt>
                <c:pt idx="8">
                  <c:v>8</c:v>
                </c:pt>
                <c:pt idx="9">
                  <c:v>9</c:v>
                </c:pt>
                <c:pt idx="10">
                  <c:v>10</c:v>
                </c:pt>
                <c:pt idx="11">
                  <c:v>11</c:v>
                </c:pt>
                <c:pt idx="12">
                  <c:v>12</c:v>
                </c:pt>
                <c:pt idx="13">
                  <c:v>12.5</c:v>
                </c:pt>
                <c:pt idx="14">
                  <c:v>15</c:v>
                </c:pt>
                <c:pt idx="15">
                  <c:v>17.5</c:v>
                </c:pt>
                <c:pt idx="16">
                  <c:v>20</c:v>
                </c:pt>
                <c:pt idx="17">
                  <c:v>22.5</c:v>
                </c:pt>
                <c:pt idx="18">
                  <c:v>25</c:v>
                </c:pt>
                <c:pt idx="19">
                  <c:v>27.5</c:v>
                </c:pt>
                <c:pt idx="20">
                  <c:v>30</c:v>
                </c:pt>
                <c:pt idx="21">
                  <c:v>32.5</c:v>
                </c:pt>
                <c:pt idx="22">
                  <c:v>35</c:v>
                </c:pt>
                <c:pt idx="23">
                  <c:v>37.5</c:v>
                </c:pt>
                <c:pt idx="24">
                  <c:v>40</c:v>
                </c:pt>
                <c:pt idx="25">
                  <c:v>42.5</c:v>
                </c:pt>
                <c:pt idx="26">
                  <c:v>45</c:v>
                </c:pt>
                <c:pt idx="27">
                  <c:v>47.5</c:v>
                </c:pt>
                <c:pt idx="28">
                  <c:v>50</c:v>
                </c:pt>
                <c:pt idx="29">
                  <c:v>52.5</c:v>
                </c:pt>
                <c:pt idx="30">
                  <c:v>55</c:v>
                </c:pt>
                <c:pt idx="31">
                  <c:v>57.5</c:v>
                </c:pt>
                <c:pt idx="32">
                  <c:v>60</c:v>
                </c:pt>
                <c:pt idx="33">
                  <c:v>62.5</c:v>
                </c:pt>
                <c:pt idx="34">
                  <c:v>65</c:v>
                </c:pt>
                <c:pt idx="35">
                  <c:v>67.5</c:v>
                </c:pt>
                <c:pt idx="36">
                  <c:v>70</c:v>
                </c:pt>
                <c:pt idx="37">
                  <c:v>72.5</c:v>
                </c:pt>
                <c:pt idx="38">
                  <c:v>75</c:v>
                </c:pt>
                <c:pt idx="39">
                  <c:v>77.5</c:v>
                </c:pt>
                <c:pt idx="40">
                  <c:v>80</c:v>
                </c:pt>
                <c:pt idx="41">
                  <c:v>82.5</c:v>
                </c:pt>
                <c:pt idx="42">
                  <c:v>85</c:v>
                </c:pt>
                <c:pt idx="43">
                  <c:v>87.5</c:v>
                </c:pt>
                <c:pt idx="44">
                  <c:v>90</c:v>
                </c:pt>
                <c:pt idx="45">
                  <c:v>92.5</c:v>
                </c:pt>
                <c:pt idx="46">
                  <c:v>95</c:v>
                </c:pt>
                <c:pt idx="47">
                  <c:v>97.5</c:v>
                </c:pt>
                <c:pt idx="48">
                  <c:v>100</c:v>
                </c:pt>
                <c:pt idx="49">
                  <c:v>102.5</c:v>
                </c:pt>
                <c:pt idx="50">
                  <c:v>105</c:v>
                </c:pt>
                <c:pt idx="51">
                  <c:v>107.5</c:v>
                </c:pt>
                <c:pt idx="52">
                  <c:v>110</c:v>
                </c:pt>
                <c:pt idx="53" formatCode="General">
                  <c:v>120</c:v>
                </c:pt>
              </c:numCache>
            </c:numRef>
          </c:xVal>
          <c:yVal>
            <c:numRef>
              <c:f>Sheet1!$D$71:$D$124</c:f>
              <c:numCache>
                <c:formatCode>0.0##</c:formatCode>
                <c:ptCount val="54"/>
                <c:pt idx="0">
                  <c:v>-26</c:v>
                </c:pt>
                <c:pt idx="1">
                  <c:v>-26</c:v>
                </c:pt>
                <c:pt idx="2">
                  <c:v>-26</c:v>
                </c:pt>
                <c:pt idx="3">
                  <c:v>-26</c:v>
                </c:pt>
                <c:pt idx="4">
                  <c:v>-26</c:v>
                </c:pt>
                <c:pt idx="5">
                  <c:v>-26</c:v>
                </c:pt>
                <c:pt idx="6">
                  <c:v>-26</c:v>
                </c:pt>
                <c:pt idx="7">
                  <c:v>-26</c:v>
                </c:pt>
                <c:pt idx="8">
                  <c:v>-26</c:v>
                </c:pt>
                <c:pt idx="9">
                  <c:v>-26</c:v>
                </c:pt>
                <c:pt idx="10">
                  <c:v>-26</c:v>
                </c:pt>
                <c:pt idx="11">
                  <c:v>-26</c:v>
                </c:pt>
                <c:pt idx="12">
                  <c:v>-26</c:v>
                </c:pt>
                <c:pt idx="13">
                  <c:v>-26</c:v>
                </c:pt>
                <c:pt idx="14">
                  <c:v>-26</c:v>
                </c:pt>
                <c:pt idx="15">
                  <c:v>-26</c:v>
                </c:pt>
                <c:pt idx="16">
                  <c:v>-26</c:v>
                </c:pt>
                <c:pt idx="17">
                  <c:v>-24.365774231721559</c:v>
                </c:pt>
                <c:pt idx="18">
                  <c:v>-22.718504571537252</c:v>
                </c:pt>
                <c:pt idx="19">
                  <c:v>-21.228367905841147</c:v>
                </c:pt>
                <c:pt idx="20">
                  <c:v>-19.867979713822756</c:v>
                </c:pt>
                <c:pt idx="21">
                  <c:v>-18.61654388849113</c:v>
                </c:pt>
                <c:pt idx="22">
                  <c:v>-17.457895287120685</c:v>
                </c:pt>
                <c:pt idx="23">
                  <c:v>-16.379219245532731</c:v>
                </c:pt>
                <c:pt idx="24">
                  <c:v>-15.370185195923959</c:v>
                </c:pt>
                <c:pt idx="25">
                  <c:v>-14.422343401919392</c:v>
                </c:pt>
                <c:pt idx="26">
                  <c:v>-13.528694387818234</c:v>
                </c:pt>
                <c:pt idx="27">
                  <c:v>-12.683374937235413</c:v>
                </c:pt>
                <c:pt idx="28">
                  <c:v>-11.881424727633927</c:v>
                </c:pt>
                <c:pt idx="29">
                  <c:v>-11.118609961116157</c:v>
                </c:pt>
                <c:pt idx="30">
                  <c:v>-10.391288061937825</c:v>
                </c:pt>
                <c:pt idx="31">
                  <c:v>-9.6963024749039057</c:v>
                </c:pt>
                <c:pt idx="32">
                  <c:v>-9.0308998699194376</c:v>
                </c:pt>
                <c:pt idx="33">
                  <c:v>-8.3926642593438885</c:v>
                </c:pt>
                <c:pt idx="34">
                  <c:v>-7.779464044587808</c:v>
                </c:pt>
                <c:pt idx="35">
                  <c:v>-7.1894090618137056</c:v>
                </c:pt>
                <c:pt idx="36">
                  <c:v>-6.6208154432173565</c:v>
                </c:pt>
                <c:pt idx="37">
                  <c:v>-6.0721766471748353</c:v>
                </c:pt>
                <c:pt idx="38">
                  <c:v>-5.5421394016294059</c:v>
                </c:pt>
                <c:pt idx="39">
                  <c:v>-5.0294835935034357</c:v>
                </c:pt>
                <c:pt idx="40">
                  <c:v>-4.5331053520206446</c:v>
                </c:pt>
                <c:pt idx="41">
                  <c:v>-4.0520027359333106</c:v>
                </c:pt>
                <c:pt idx="42">
                  <c:v>-3.5852635580160666</c:v>
                </c:pt>
                <c:pt idx="43">
                  <c:v>-3.1320549749273177</c:v>
                </c:pt>
                <c:pt idx="44">
                  <c:v>-2.6916145439149055</c:v>
                </c:pt>
                <c:pt idx="45" formatCode="General">
                  <c:v>-2.2632425051254188</c:v>
                </c:pt>
                <c:pt idx="46" formatCode="General">
                  <c:v>-1.8462950933320919</c:v>
                </c:pt>
                <c:pt idx="47" formatCode="General">
                  <c:v>-1.4401787185832831</c:v>
                </c:pt>
                <c:pt idx="48" formatCode="General">
                  <c:v>-1.0443448837305986</c:v>
                </c:pt>
                <c:pt idx="49" formatCode="General">
                  <c:v>-0.65828572962676901</c:v>
                </c:pt>
                <c:pt idx="50" formatCode="General">
                  <c:v>-0.2815301172128386</c:v>
                </c:pt>
                <c:pt idx="51" formatCode="General">
                  <c:v>8.6359829327854243E-2</c:v>
                </c:pt>
                <c:pt idx="52" formatCode="General">
                  <c:v>0.44579178196550728</c:v>
                </c:pt>
              </c:numCache>
            </c:numRef>
          </c:yVal>
          <c:smooth val="0"/>
          <c:extLst>
            <c:ext xmlns:c16="http://schemas.microsoft.com/office/drawing/2014/chart" uri="{C3380CC4-5D6E-409C-BE32-E72D297353CC}">
              <c16:uniqueId val="{00000000-77D8-442A-87DD-9DFDA04AB276}"/>
            </c:ext>
          </c:extLst>
        </c:ser>
        <c:ser>
          <c:idx val="1"/>
          <c:order val="1"/>
          <c:tx>
            <c:strRef>
              <c:f>Sheet1!$E$70</c:f>
              <c:strCache>
                <c:ptCount val="1"/>
                <c:pt idx="0">
                  <c:v>PL=10</c:v>
                </c:pt>
              </c:strCache>
            </c:strRef>
          </c:tx>
          <c:spPr>
            <a:ln w="19050">
              <a:solidFill>
                <a:schemeClr val="tx1"/>
              </a:solidFill>
              <a:prstDash val="dash"/>
            </a:ln>
          </c:spPr>
          <c:marker>
            <c:symbol val="none"/>
          </c:marker>
          <c:xVal>
            <c:numRef>
              <c:f>Sheet1!$C$71:$C$124</c:f>
              <c:numCache>
                <c:formatCode>0.0##</c:formatCode>
                <c:ptCount val="54"/>
                <c:pt idx="0">
                  <c:v>0</c:v>
                </c:pt>
                <c:pt idx="1">
                  <c:v>1</c:v>
                </c:pt>
                <c:pt idx="2">
                  <c:v>2</c:v>
                </c:pt>
                <c:pt idx="3">
                  <c:v>3</c:v>
                </c:pt>
                <c:pt idx="4">
                  <c:v>4</c:v>
                </c:pt>
                <c:pt idx="5">
                  <c:v>5</c:v>
                </c:pt>
                <c:pt idx="6">
                  <c:v>6</c:v>
                </c:pt>
                <c:pt idx="7">
                  <c:v>7</c:v>
                </c:pt>
                <c:pt idx="8">
                  <c:v>8</c:v>
                </c:pt>
                <c:pt idx="9">
                  <c:v>9</c:v>
                </c:pt>
                <c:pt idx="10">
                  <c:v>10</c:v>
                </c:pt>
                <c:pt idx="11">
                  <c:v>11</c:v>
                </c:pt>
                <c:pt idx="12">
                  <c:v>12</c:v>
                </c:pt>
                <c:pt idx="13">
                  <c:v>12.5</c:v>
                </c:pt>
                <c:pt idx="14">
                  <c:v>15</c:v>
                </c:pt>
                <c:pt idx="15">
                  <c:v>17.5</c:v>
                </c:pt>
                <c:pt idx="16">
                  <c:v>20</c:v>
                </c:pt>
                <c:pt idx="17">
                  <c:v>22.5</c:v>
                </c:pt>
                <c:pt idx="18">
                  <c:v>25</c:v>
                </c:pt>
                <c:pt idx="19">
                  <c:v>27.5</c:v>
                </c:pt>
                <c:pt idx="20">
                  <c:v>30</c:v>
                </c:pt>
                <c:pt idx="21">
                  <c:v>32.5</c:v>
                </c:pt>
                <c:pt idx="22">
                  <c:v>35</c:v>
                </c:pt>
                <c:pt idx="23">
                  <c:v>37.5</c:v>
                </c:pt>
                <c:pt idx="24">
                  <c:v>40</c:v>
                </c:pt>
                <c:pt idx="25">
                  <c:v>42.5</c:v>
                </c:pt>
                <c:pt idx="26">
                  <c:v>45</c:v>
                </c:pt>
                <c:pt idx="27">
                  <c:v>47.5</c:v>
                </c:pt>
                <c:pt idx="28">
                  <c:v>50</c:v>
                </c:pt>
                <c:pt idx="29">
                  <c:v>52.5</c:v>
                </c:pt>
                <c:pt idx="30">
                  <c:v>55</c:v>
                </c:pt>
                <c:pt idx="31">
                  <c:v>57.5</c:v>
                </c:pt>
                <c:pt idx="32">
                  <c:v>60</c:v>
                </c:pt>
                <c:pt idx="33">
                  <c:v>62.5</c:v>
                </c:pt>
                <c:pt idx="34">
                  <c:v>65</c:v>
                </c:pt>
                <c:pt idx="35">
                  <c:v>67.5</c:v>
                </c:pt>
                <c:pt idx="36">
                  <c:v>70</c:v>
                </c:pt>
                <c:pt idx="37">
                  <c:v>72.5</c:v>
                </c:pt>
                <c:pt idx="38">
                  <c:v>75</c:v>
                </c:pt>
                <c:pt idx="39">
                  <c:v>77.5</c:v>
                </c:pt>
                <c:pt idx="40">
                  <c:v>80</c:v>
                </c:pt>
                <c:pt idx="41">
                  <c:v>82.5</c:v>
                </c:pt>
                <c:pt idx="42">
                  <c:v>85</c:v>
                </c:pt>
                <c:pt idx="43">
                  <c:v>87.5</c:v>
                </c:pt>
                <c:pt idx="44">
                  <c:v>90</c:v>
                </c:pt>
                <c:pt idx="45">
                  <c:v>92.5</c:v>
                </c:pt>
                <c:pt idx="46">
                  <c:v>95</c:v>
                </c:pt>
                <c:pt idx="47">
                  <c:v>97.5</c:v>
                </c:pt>
                <c:pt idx="48">
                  <c:v>100</c:v>
                </c:pt>
                <c:pt idx="49">
                  <c:v>102.5</c:v>
                </c:pt>
                <c:pt idx="50">
                  <c:v>105</c:v>
                </c:pt>
                <c:pt idx="51">
                  <c:v>107.5</c:v>
                </c:pt>
                <c:pt idx="52">
                  <c:v>110</c:v>
                </c:pt>
                <c:pt idx="53" formatCode="General">
                  <c:v>120</c:v>
                </c:pt>
              </c:numCache>
            </c:numRef>
          </c:xVal>
          <c:yVal>
            <c:numRef>
              <c:f>Sheet1!$E$71:$E$124</c:f>
              <c:numCache>
                <c:formatCode>0.0##</c:formatCode>
                <c:ptCount val="54"/>
                <c:pt idx="0">
                  <c:v>-26</c:v>
                </c:pt>
                <c:pt idx="1">
                  <c:v>-26</c:v>
                </c:pt>
                <c:pt idx="2">
                  <c:v>-26</c:v>
                </c:pt>
                <c:pt idx="3">
                  <c:v>-26</c:v>
                </c:pt>
                <c:pt idx="4" formatCode="General">
                  <c:v>-26</c:v>
                </c:pt>
                <c:pt idx="5" formatCode="General">
                  <c:v>-26</c:v>
                </c:pt>
                <c:pt idx="6" formatCode="General">
                  <c:v>-26</c:v>
                </c:pt>
                <c:pt idx="7" formatCode="General">
                  <c:v>-26</c:v>
                </c:pt>
                <c:pt idx="8" formatCode="General">
                  <c:v>-26</c:v>
                </c:pt>
                <c:pt idx="9" formatCode="General">
                  <c:v>-26</c:v>
                </c:pt>
                <c:pt idx="10" formatCode="General">
                  <c:v>-26</c:v>
                </c:pt>
                <c:pt idx="11" formatCode="General">
                  <c:v>-26</c:v>
                </c:pt>
                <c:pt idx="12" formatCode="General">
                  <c:v>-26</c:v>
                </c:pt>
                <c:pt idx="13" formatCode="General">
                  <c:v>-26</c:v>
                </c:pt>
                <c:pt idx="14" formatCode="General">
                  <c:v>-26</c:v>
                </c:pt>
                <c:pt idx="15" formatCode="General">
                  <c:v>-23.779525196064284</c:v>
                </c:pt>
                <c:pt idx="16" formatCode="General">
                  <c:v>-21.691815104867565</c:v>
                </c:pt>
                <c:pt idx="17" formatCode="General">
                  <c:v>-19.850324296761841</c:v>
                </c:pt>
                <c:pt idx="18" formatCode="General">
                  <c:v>-18.203054636577534</c:v>
                </c:pt>
                <c:pt idx="19" formatCode="General">
                  <c:v>-16.712917970881428</c:v>
                </c:pt>
                <c:pt idx="20" formatCode="General">
                  <c:v>-15.35252977886303</c:v>
                </c:pt>
                <c:pt idx="21" formatCode="General">
                  <c:v>-14.101093953531411</c:v>
                </c:pt>
                <c:pt idx="22" formatCode="General">
                  <c:v>-12.942445352160966</c:v>
                </c:pt>
                <c:pt idx="23" formatCode="General">
                  <c:v>-11.863769310573009</c:v>
                </c:pt>
                <c:pt idx="24" formatCode="General">
                  <c:v>-10.85473526096424</c:v>
                </c:pt>
                <c:pt idx="25" formatCode="General">
                  <c:v>-9.9068934669596693</c:v>
                </c:pt>
                <c:pt idx="26" formatCode="General">
                  <c:v>-9.0132444528585189</c:v>
                </c:pt>
                <c:pt idx="27" formatCode="General">
                  <c:v>-8.1679250022756875</c:v>
                </c:pt>
                <c:pt idx="28" formatCode="General">
                  <c:v>-7.3659747926742085</c:v>
                </c:pt>
                <c:pt idx="29" formatCode="General">
                  <c:v>-6.6031600261564343</c:v>
                </c:pt>
                <c:pt idx="30" formatCode="General">
                  <c:v>-5.8758381269781026</c:v>
                </c:pt>
                <c:pt idx="31" formatCode="General">
                  <c:v>-5.1808525399441834</c:v>
                </c:pt>
                <c:pt idx="32" formatCode="General">
                  <c:v>-4.5154499349597188</c:v>
                </c:pt>
                <c:pt idx="33" formatCode="General">
                  <c:v>-3.8772143243841697</c:v>
                </c:pt>
                <c:pt idx="34" formatCode="General">
                  <c:v>-3.2640141096280857</c:v>
                </c:pt>
                <c:pt idx="35" formatCode="General">
                  <c:v>-2.6739591268539868</c:v>
                </c:pt>
                <c:pt idx="36" formatCode="General">
                  <c:v>-2.1053655082576341</c:v>
                </c:pt>
                <c:pt idx="37" formatCode="General">
                  <c:v>-1.5567267122151129</c:v>
                </c:pt>
                <c:pt idx="38" formatCode="General">
                  <c:v>-1.0266894666696871</c:v>
                </c:pt>
                <c:pt idx="39" formatCode="General">
                  <c:v>-0.51403365854371685</c:v>
                </c:pt>
                <c:pt idx="40" formatCode="General">
                  <c:v>-1.7655417060925771E-2</c:v>
                </c:pt>
                <c:pt idx="41" formatCode="General">
                  <c:v>0.46344719902641174</c:v>
                </c:pt>
                <c:pt idx="42" formatCode="General">
                  <c:v>0.93018637694365225</c:v>
                </c:pt>
                <c:pt idx="43" formatCode="General">
                  <c:v>1.3833949600324047</c:v>
                </c:pt>
                <c:pt idx="44" formatCode="General">
                  <c:v>1.8238353910448133</c:v>
                </c:pt>
                <c:pt idx="45" formatCode="General">
                  <c:v>2.2522074298343036</c:v>
                </c:pt>
                <c:pt idx="46" formatCode="General">
                  <c:v>2.6691548416276305</c:v>
                </c:pt>
                <c:pt idx="47" formatCode="General">
                  <c:v>3.0752712163764357</c:v>
                </c:pt>
                <c:pt idx="48" formatCode="General">
                  <c:v>3.4711050512291237</c:v>
                </c:pt>
                <c:pt idx="49" formatCode="General">
                  <c:v>3.8571642053329498</c:v>
                </c:pt>
                <c:pt idx="50" formatCode="General">
                  <c:v>4.2339198177468802</c:v>
                </c:pt>
                <c:pt idx="51" formatCode="General">
                  <c:v>4.601809764287573</c:v>
                </c:pt>
                <c:pt idx="52" formatCode="General">
                  <c:v>4.9612417169252261</c:v>
                </c:pt>
              </c:numCache>
            </c:numRef>
          </c:yVal>
          <c:smooth val="0"/>
          <c:extLst>
            <c:ext xmlns:c16="http://schemas.microsoft.com/office/drawing/2014/chart" uri="{C3380CC4-5D6E-409C-BE32-E72D297353CC}">
              <c16:uniqueId val="{00000001-77D8-442A-87DD-9DFDA04AB276}"/>
            </c:ext>
          </c:extLst>
        </c:ser>
        <c:ser>
          <c:idx val="2"/>
          <c:order val="2"/>
          <c:tx>
            <c:strRef>
              <c:f>Sheet1!$F$70</c:f>
              <c:strCache>
                <c:ptCount val="1"/>
                <c:pt idx="0">
                  <c:v>PL=20</c:v>
                </c:pt>
              </c:strCache>
            </c:strRef>
          </c:tx>
          <c:spPr>
            <a:ln w="19050">
              <a:solidFill>
                <a:schemeClr val="tx1"/>
              </a:solidFill>
              <a:prstDash val="solid"/>
            </a:ln>
          </c:spPr>
          <c:marker>
            <c:symbol val="none"/>
          </c:marker>
          <c:xVal>
            <c:numRef>
              <c:f>Sheet1!$C$71:$C$124</c:f>
              <c:numCache>
                <c:formatCode>0.0##</c:formatCode>
                <c:ptCount val="54"/>
                <c:pt idx="0">
                  <c:v>0</c:v>
                </c:pt>
                <c:pt idx="1">
                  <c:v>1</c:v>
                </c:pt>
                <c:pt idx="2">
                  <c:v>2</c:v>
                </c:pt>
                <c:pt idx="3">
                  <c:v>3</c:v>
                </c:pt>
                <c:pt idx="4">
                  <c:v>4</c:v>
                </c:pt>
                <c:pt idx="5">
                  <c:v>5</c:v>
                </c:pt>
                <c:pt idx="6">
                  <c:v>6</c:v>
                </c:pt>
                <c:pt idx="7">
                  <c:v>7</c:v>
                </c:pt>
                <c:pt idx="8">
                  <c:v>8</c:v>
                </c:pt>
                <c:pt idx="9">
                  <c:v>9</c:v>
                </c:pt>
                <c:pt idx="10">
                  <c:v>10</c:v>
                </c:pt>
                <c:pt idx="11">
                  <c:v>11</c:v>
                </c:pt>
                <c:pt idx="12">
                  <c:v>12</c:v>
                </c:pt>
                <c:pt idx="13">
                  <c:v>12.5</c:v>
                </c:pt>
                <c:pt idx="14">
                  <c:v>15</c:v>
                </c:pt>
                <c:pt idx="15">
                  <c:v>17.5</c:v>
                </c:pt>
                <c:pt idx="16">
                  <c:v>20</c:v>
                </c:pt>
                <c:pt idx="17">
                  <c:v>22.5</c:v>
                </c:pt>
                <c:pt idx="18">
                  <c:v>25</c:v>
                </c:pt>
                <c:pt idx="19">
                  <c:v>27.5</c:v>
                </c:pt>
                <c:pt idx="20">
                  <c:v>30</c:v>
                </c:pt>
                <c:pt idx="21">
                  <c:v>32.5</c:v>
                </c:pt>
                <c:pt idx="22">
                  <c:v>35</c:v>
                </c:pt>
                <c:pt idx="23">
                  <c:v>37.5</c:v>
                </c:pt>
                <c:pt idx="24">
                  <c:v>40</c:v>
                </c:pt>
                <c:pt idx="25">
                  <c:v>42.5</c:v>
                </c:pt>
                <c:pt idx="26">
                  <c:v>45</c:v>
                </c:pt>
                <c:pt idx="27">
                  <c:v>47.5</c:v>
                </c:pt>
                <c:pt idx="28">
                  <c:v>50</c:v>
                </c:pt>
                <c:pt idx="29">
                  <c:v>52.5</c:v>
                </c:pt>
                <c:pt idx="30">
                  <c:v>55</c:v>
                </c:pt>
                <c:pt idx="31">
                  <c:v>57.5</c:v>
                </c:pt>
                <c:pt idx="32">
                  <c:v>60</c:v>
                </c:pt>
                <c:pt idx="33">
                  <c:v>62.5</c:v>
                </c:pt>
                <c:pt idx="34">
                  <c:v>65</c:v>
                </c:pt>
                <c:pt idx="35">
                  <c:v>67.5</c:v>
                </c:pt>
                <c:pt idx="36">
                  <c:v>70</c:v>
                </c:pt>
                <c:pt idx="37">
                  <c:v>72.5</c:v>
                </c:pt>
                <c:pt idx="38">
                  <c:v>75</c:v>
                </c:pt>
                <c:pt idx="39">
                  <c:v>77.5</c:v>
                </c:pt>
                <c:pt idx="40">
                  <c:v>80</c:v>
                </c:pt>
                <c:pt idx="41">
                  <c:v>82.5</c:v>
                </c:pt>
                <c:pt idx="42">
                  <c:v>85</c:v>
                </c:pt>
                <c:pt idx="43">
                  <c:v>87.5</c:v>
                </c:pt>
                <c:pt idx="44">
                  <c:v>90</c:v>
                </c:pt>
                <c:pt idx="45">
                  <c:v>92.5</c:v>
                </c:pt>
                <c:pt idx="46">
                  <c:v>95</c:v>
                </c:pt>
                <c:pt idx="47">
                  <c:v>97.5</c:v>
                </c:pt>
                <c:pt idx="48">
                  <c:v>100</c:v>
                </c:pt>
                <c:pt idx="49">
                  <c:v>102.5</c:v>
                </c:pt>
                <c:pt idx="50">
                  <c:v>105</c:v>
                </c:pt>
                <c:pt idx="51">
                  <c:v>107.5</c:v>
                </c:pt>
                <c:pt idx="52">
                  <c:v>110</c:v>
                </c:pt>
                <c:pt idx="53" formatCode="General">
                  <c:v>120</c:v>
                </c:pt>
              </c:numCache>
            </c:numRef>
          </c:xVal>
          <c:yVal>
            <c:numRef>
              <c:f>Sheet1!$F$71:$F$124</c:f>
              <c:numCache>
                <c:formatCode>0.0##</c:formatCode>
                <c:ptCount val="54"/>
                <c:pt idx="0">
                  <c:v>-26</c:v>
                </c:pt>
                <c:pt idx="1">
                  <c:v>-26</c:v>
                </c:pt>
                <c:pt idx="2">
                  <c:v>-26</c:v>
                </c:pt>
                <c:pt idx="3">
                  <c:v>-26</c:v>
                </c:pt>
                <c:pt idx="4">
                  <c:v>-26</c:v>
                </c:pt>
                <c:pt idx="5">
                  <c:v>-26</c:v>
                </c:pt>
                <c:pt idx="6">
                  <c:v>-26</c:v>
                </c:pt>
                <c:pt idx="7">
                  <c:v>-26</c:v>
                </c:pt>
                <c:pt idx="8">
                  <c:v>-26</c:v>
                </c:pt>
                <c:pt idx="9">
                  <c:v>-26</c:v>
                </c:pt>
                <c:pt idx="10">
                  <c:v>-26</c:v>
                </c:pt>
                <c:pt idx="11">
                  <c:v>-26</c:v>
                </c:pt>
                <c:pt idx="12">
                  <c:v>-25.162920156096675</c:v>
                </c:pt>
                <c:pt idx="13">
                  <c:v>-24.524684545521133</c:v>
                </c:pt>
                <c:pt idx="14">
                  <c:v>-21.674159687806643</c:v>
                </c:pt>
                <c:pt idx="15">
                  <c:v>-19.264075261104566</c:v>
                </c:pt>
                <c:pt idx="16">
                  <c:v>-17.176365169907847</c:v>
                </c:pt>
                <c:pt idx="17">
                  <c:v>-15.334874361802122</c:v>
                </c:pt>
                <c:pt idx="18">
                  <c:v>-13.687604701617815</c:v>
                </c:pt>
                <c:pt idx="19">
                  <c:v>-12.197468035921709</c:v>
                </c:pt>
                <c:pt idx="20">
                  <c:v>-10.837079843903318</c:v>
                </c:pt>
                <c:pt idx="21">
                  <c:v>-9.585644018571692</c:v>
                </c:pt>
                <c:pt idx="22">
                  <c:v>-8.4269954172012511</c:v>
                </c:pt>
                <c:pt idx="23">
                  <c:v>-7.3483193756132934</c:v>
                </c:pt>
                <c:pt idx="24">
                  <c:v>-6.3392853260045214</c:v>
                </c:pt>
                <c:pt idx="25">
                  <c:v>-5.3914435319999541</c:v>
                </c:pt>
                <c:pt idx="26">
                  <c:v>-4.4977945178988037</c:v>
                </c:pt>
                <c:pt idx="27">
                  <c:v>-3.6524750673159723</c:v>
                </c:pt>
                <c:pt idx="28">
                  <c:v>-2.8505248577144933</c:v>
                </c:pt>
                <c:pt idx="29">
                  <c:v>-2.087710091196719</c:v>
                </c:pt>
                <c:pt idx="30">
                  <c:v>-1.3603881920183873</c:v>
                </c:pt>
                <c:pt idx="31">
                  <c:v>-0.66540260498446813</c:v>
                </c:pt>
                <c:pt idx="32">
                  <c:v>0</c:v>
                </c:pt>
                <c:pt idx="33">
                  <c:v>0.63823561057554912</c:v>
                </c:pt>
                <c:pt idx="34">
                  <c:v>1.2514358253316331</c:v>
                </c:pt>
                <c:pt idx="35">
                  <c:v>1.841490808105732</c:v>
                </c:pt>
                <c:pt idx="36">
                  <c:v>2.4100844267020811</c:v>
                </c:pt>
                <c:pt idx="37">
                  <c:v>2.9587232227446023</c:v>
                </c:pt>
                <c:pt idx="38">
                  <c:v>3.4887604682900317</c:v>
                </c:pt>
                <c:pt idx="39">
                  <c:v>4.0014162764160019</c:v>
                </c:pt>
                <c:pt idx="40">
                  <c:v>4.497794517898793</c:v>
                </c:pt>
                <c:pt idx="41">
                  <c:v>4.9788971339861305</c:v>
                </c:pt>
                <c:pt idx="42">
                  <c:v>5.4456363119033711</c:v>
                </c:pt>
                <c:pt idx="43">
                  <c:v>5.8988448949921199</c:v>
                </c:pt>
                <c:pt idx="44">
                  <c:v>6.3392853260045321</c:v>
                </c:pt>
                <c:pt idx="45" formatCode="General">
                  <c:v>6.7676573647940224</c:v>
                </c:pt>
                <c:pt idx="46" formatCode="General">
                  <c:v>7.1846047765873422</c:v>
                </c:pt>
                <c:pt idx="47" formatCode="General">
                  <c:v>7.5907211513361545</c:v>
                </c:pt>
                <c:pt idx="48" formatCode="General">
                  <c:v>7.9865549861888425</c:v>
                </c:pt>
                <c:pt idx="49" formatCode="General">
                  <c:v>8.3726141402926686</c:v>
                </c:pt>
                <c:pt idx="50" formatCode="General">
                  <c:v>8.749369752706599</c:v>
                </c:pt>
                <c:pt idx="51" formatCode="General">
                  <c:v>9.1172596992472918</c:v>
                </c:pt>
                <c:pt idx="52" formatCode="General">
                  <c:v>9.4766916518849449</c:v>
                </c:pt>
              </c:numCache>
            </c:numRef>
          </c:yVal>
          <c:smooth val="0"/>
          <c:extLst>
            <c:ext xmlns:c16="http://schemas.microsoft.com/office/drawing/2014/chart" uri="{C3380CC4-5D6E-409C-BE32-E72D297353CC}">
              <c16:uniqueId val="{00000002-77D8-442A-87DD-9DFDA04AB276}"/>
            </c:ext>
          </c:extLst>
        </c:ser>
        <c:dLbls>
          <c:showLegendKey val="0"/>
          <c:showVal val="0"/>
          <c:showCatName val="0"/>
          <c:showSerName val="0"/>
          <c:showPercent val="0"/>
          <c:showBubbleSize val="0"/>
        </c:dLbls>
        <c:axId val="312991040"/>
        <c:axId val="312990256"/>
      </c:scatterChart>
      <c:valAx>
        <c:axId val="312991040"/>
        <c:scaling>
          <c:orientation val="minMax"/>
          <c:max val="120"/>
        </c:scaling>
        <c:delete val="0"/>
        <c:axPos val="b"/>
        <c:majorGridlines>
          <c:spPr>
            <a:ln w="2554">
              <a:solidFill>
                <a:srgbClr val="000000"/>
              </a:solidFill>
              <a:prstDash val="solid"/>
            </a:ln>
          </c:spPr>
        </c:majorGridlines>
        <c:title>
          <c:tx>
            <c:rich>
              <a:bodyPr/>
              <a:lstStyle/>
              <a:p>
                <a:pPr>
                  <a:defRPr sz="965" b="1" i="0" u="none" strike="noStrike" baseline="0">
                    <a:solidFill>
                      <a:srgbClr val="000000"/>
                    </a:solidFill>
                    <a:latin typeface="Arial"/>
                    <a:ea typeface="Arial"/>
                    <a:cs typeface="Arial"/>
                  </a:defRPr>
                </a:pPr>
                <a:r>
                  <a:rPr lang="en-AU"/>
                  <a:t>Path Length  (km)</a:t>
                </a:r>
              </a:p>
            </c:rich>
          </c:tx>
          <c:layout>
            <c:manualLayout>
              <c:xMode val="edge"/>
              <c:yMode val="edge"/>
              <c:x val="0.36520381168772614"/>
              <c:y val="0.95429811393122654"/>
            </c:manualLayout>
          </c:layout>
          <c:overlay val="0"/>
          <c:spPr>
            <a:noFill/>
            <a:ln w="20432">
              <a:noFill/>
            </a:ln>
          </c:spPr>
        </c:title>
        <c:numFmt formatCode="0" sourceLinked="0"/>
        <c:majorTickMark val="out"/>
        <c:minorTickMark val="none"/>
        <c:tickLblPos val="nextTo"/>
        <c:spPr>
          <a:ln w="2554">
            <a:solidFill>
              <a:srgbClr val="000000"/>
            </a:solidFill>
            <a:prstDash val="solid"/>
          </a:ln>
        </c:spPr>
        <c:txPr>
          <a:bodyPr rot="0" vert="horz"/>
          <a:lstStyle/>
          <a:p>
            <a:pPr>
              <a:defRPr sz="804" b="0" i="0" u="none" strike="noStrike" baseline="0">
                <a:solidFill>
                  <a:srgbClr val="000000"/>
                </a:solidFill>
                <a:latin typeface="Arial"/>
                <a:ea typeface="Arial"/>
                <a:cs typeface="Arial"/>
              </a:defRPr>
            </a:pPr>
            <a:endParaRPr lang="en-US"/>
          </a:p>
        </c:txPr>
        <c:crossAx val="312990256"/>
        <c:crossesAt val="-30"/>
        <c:crossBetween val="midCat"/>
        <c:majorUnit val="10"/>
      </c:valAx>
      <c:valAx>
        <c:axId val="312990256"/>
        <c:scaling>
          <c:orientation val="minMax"/>
          <c:max val="10"/>
        </c:scaling>
        <c:delete val="0"/>
        <c:axPos val="l"/>
        <c:majorGridlines>
          <c:spPr>
            <a:ln w="2554">
              <a:solidFill>
                <a:srgbClr val="000000"/>
              </a:solidFill>
              <a:prstDash val="solid"/>
            </a:ln>
          </c:spPr>
        </c:majorGridlines>
        <c:title>
          <c:tx>
            <c:rich>
              <a:bodyPr/>
              <a:lstStyle/>
              <a:p>
                <a:pPr>
                  <a:defRPr sz="965" b="1" i="0" u="none" strike="noStrike" baseline="0">
                    <a:solidFill>
                      <a:srgbClr val="000000"/>
                    </a:solidFill>
                    <a:latin typeface="Arial"/>
                    <a:ea typeface="Arial"/>
                    <a:cs typeface="Arial"/>
                  </a:defRPr>
                </a:pPr>
                <a:r>
                  <a:rPr lang="en-AU"/>
                  <a:t>Correction Factor  (dB)</a:t>
                </a:r>
              </a:p>
            </c:rich>
          </c:tx>
          <c:layout>
            <c:manualLayout>
              <c:xMode val="edge"/>
              <c:yMode val="edge"/>
              <c:x val="1.8808777429467086E-2"/>
              <c:y val="0.37431991294885747"/>
            </c:manualLayout>
          </c:layout>
          <c:overlay val="0"/>
          <c:spPr>
            <a:noFill/>
            <a:ln w="20432">
              <a:noFill/>
            </a:ln>
          </c:spPr>
        </c:title>
        <c:numFmt formatCode="0" sourceLinked="0"/>
        <c:majorTickMark val="out"/>
        <c:minorTickMark val="none"/>
        <c:tickLblPos val="nextTo"/>
        <c:spPr>
          <a:ln w="2554">
            <a:solidFill>
              <a:srgbClr val="000000"/>
            </a:solidFill>
            <a:prstDash val="solid"/>
          </a:ln>
        </c:spPr>
        <c:txPr>
          <a:bodyPr rot="0" vert="horz"/>
          <a:lstStyle/>
          <a:p>
            <a:pPr>
              <a:defRPr sz="804" b="0" i="0" u="none" strike="noStrike" baseline="0">
                <a:solidFill>
                  <a:srgbClr val="000000"/>
                </a:solidFill>
                <a:latin typeface="Arial"/>
                <a:ea typeface="Arial"/>
                <a:cs typeface="Arial"/>
              </a:defRPr>
            </a:pPr>
            <a:endParaRPr lang="en-US"/>
          </a:p>
        </c:txPr>
        <c:crossAx val="312991040"/>
        <c:crosses val="autoZero"/>
        <c:crossBetween val="midCat"/>
      </c:valAx>
      <c:spPr>
        <a:solidFill>
          <a:srgbClr val="FFFFFF"/>
        </a:solidFill>
        <a:ln w="10216">
          <a:solidFill>
            <a:schemeClr val="tx1"/>
          </a:solidFill>
          <a:prstDash val="solid"/>
        </a:ln>
      </c:spPr>
    </c:plotArea>
    <c:plotVisOnly val="1"/>
    <c:dispBlanksAs val="gap"/>
    <c:showDLblsOverMax val="0"/>
  </c:chart>
  <c:spPr>
    <a:noFill/>
    <a:ln>
      <a:noFill/>
    </a:ln>
  </c:spPr>
  <c:txPr>
    <a:bodyPr/>
    <a:lstStyle/>
    <a:p>
      <a:pPr>
        <a:defRPr sz="644"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0.64671</cdr:x>
      <cdr:y>0.71488</cdr:y>
    </cdr:from>
    <cdr:to>
      <cdr:x>0.84103</cdr:x>
      <cdr:y>0.79075</cdr:y>
    </cdr:to>
    <cdr:grpSp>
      <cdr:nvGrpSpPr>
        <cdr:cNvPr id="17" name="Group 16"/>
        <cdr:cNvGrpSpPr/>
      </cdr:nvGrpSpPr>
      <cdr:grpSpPr>
        <a:xfrm xmlns:a="http://schemas.openxmlformats.org/drawingml/2006/main">
          <a:off x="3836830" y="5088340"/>
          <a:ext cx="1152848" cy="540000"/>
          <a:chOff x="3836830" y="5088340"/>
          <a:chExt cx="1152848" cy="540000"/>
        </a:xfrm>
      </cdr:grpSpPr>
      <cdr:sp macro="" textlink="">
        <cdr:nvSpPr>
          <cdr:cNvPr id="7" name="Rectangle 6"/>
          <cdr:cNvSpPr/>
        </cdr:nvSpPr>
        <cdr:spPr>
          <a:xfrm xmlns:a="http://schemas.openxmlformats.org/drawingml/2006/main">
            <a:off x="3836830" y="5088340"/>
            <a:ext cx="1152847" cy="540000"/>
          </a:xfrm>
          <a:prstGeom xmlns:a="http://schemas.openxmlformats.org/drawingml/2006/main" prst="rect">
            <a:avLst/>
          </a:prstGeom>
          <a:solidFill xmlns:a="http://schemas.openxmlformats.org/drawingml/2006/main">
            <a:schemeClr val="bg1"/>
          </a:solidFill>
          <a:ln xmlns:a="http://schemas.openxmlformats.org/drawingml/2006/main" w="9525">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cxnSp macro="">
        <cdr:nvCxnSpPr>
          <cdr:cNvPr id="4" name="Straight Connector 3"/>
          <cdr:cNvCxnSpPr/>
        </cdr:nvCxnSpPr>
        <cdr:spPr>
          <a:xfrm xmlns:a="http://schemas.openxmlformats.org/drawingml/2006/main">
            <a:off x="3909678" y="5167753"/>
            <a:ext cx="504000" cy="0"/>
          </a:xfrm>
          <a:prstGeom xmlns:a="http://schemas.openxmlformats.org/drawingml/2006/main" prst="line">
            <a:avLst/>
          </a:prstGeom>
          <a:ln xmlns:a="http://schemas.openxmlformats.org/drawingml/2006/main" w="19050">
            <a:prstDash val="lg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5" name="Straight Connector 4"/>
          <cdr:cNvCxnSpPr/>
        </cdr:nvCxnSpPr>
        <cdr:spPr>
          <a:xfrm xmlns:a="http://schemas.openxmlformats.org/drawingml/2006/main">
            <a:off x="3909678" y="5352372"/>
            <a:ext cx="504000" cy="0"/>
          </a:xfrm>
          <a:prstGeom xmlns:a="http://schemas.openxmlformats.org/drawingml/2006/main" prst="line">
            <a:avLst/>
          </a:prstGeom>
          <a:ln xmlns:a="http://schemas.openxmlformats.org/drawingml/2006/main" w="19050">
            <a:prstDash val="dash"/>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cxnSp macro="">
        <cdr:nvCxnSpPr>
          <cdr:cNvPr id="6" name="Straight Connector 5"/>
          <cdr:cNvCxnSpPr/>
        </cdr:nvCxnSpPr>
        <cdr:spPr>
          <a:xfrm xmlns:a="http://schemas.openxmlformats.org/drawingml/2006/main">
            <a:off x="3909678" y="5535252"/>
            <a:ext cx="504000" cy="0"/>
          </a:xfrm>
          <a:prstGeom xmlns:a="http://schemas.openxmlformats.org/drawingml/2006/main" prst="line">
            <a:avLst/>
          </a:prstGeom>
          <a:ln xmlns:a="http://schemas.openxmlformats.org/drawingml/2006/main" w="19050">
            <a:prstDash val="solid"/>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sp macro="" textlink="">
        <cdr:nvSpPr>
          <cdr:cNvPr id="2" name="Text Box 1"/>
          <cdr:cNvSpPr txBox="1"/>
        </cdr:nvSpPr>
        <cdr:spPr>
          <a:xfrm xmlns:a="http://schemas.openxmlformats.org/drawingml/2006/main">
            <a:off x="4449678" y="5088340"/>
            <a:ext cx="540000" cy="1800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vertOverflow="clip" wrap="square" lIns="36000" tIns="36000" rIns="72000" bIns="36000" rtlCol="0" anchor="ctr" anchorCtr="0">
            <a:spAutoFit/>
          </a:bodyPr>
          <a:lstStyle xmlns:a="http://schemas.openxmlformats.org/drawingml/2006/main"/>
          <a:p xmlns:a="http://schemas.openxmlformats.org/drawingml/2006/main">
            <a:r>
              <a:rPr lang="en-AU" sz="1000">
                <a:latin typeface="Arial" panose="020B0604020202020204" pitchFamily="34" charset="0"/>
                <a:cs typeface="Arial" panose="020B0604020202020204" pitchFamily="34" charset="0"/>
              </a:rPr>
              <a:t>P</a:t>
            </a:r>
            <a:r>
              <a:rPr lang="en-AU" sz="1000" baseline="-25000">
                <a:latin typeface="Arial" panose="020B0604020202020204" pitchFamily="34" charset="0"/>
                <a:cs typeface="Arial" panose="020B0604020202020204" pitchFamily="34" charset="0"/>
              </a:rPr>
              <a:t>L</a:t>
            </a:r>
            <a:r>
              <a:rPr lang="en-AU" sz="1000">
                <a:latin typeface="Arial" panose="020B0604020202020204" pitchFamily="34" charset="0"/>
                <a:cs typeface="Arial" panose="020B0604020202020204" pitchFamily="34" charset="0"/>
              </a:rPr>
              <a:t> = 5</a:t>
            </a:r>
            <a:endParaRPr lang="en-AU" sz="1000" baseline="0">
              <a:latin typeface="Arial" panose="020B0604020202020204" pitchFamily="34" charset="0"/>
              <a:cs typeface="Arial" panose="020B0604020202020204" pitchFamily="34" charset="0"/>
            </a:endParaRPr>
          </a:p>
        </cdr:txBody>
      </cdr:sp>
      <cdr:sp macro="" textlink="">
        <cdr:nvSpPr>
          <cdr:cNvPr id="10" name="Text Box 9"/>
          <cdr:cNvSpPr txBox="1"/>
        </cdr:nvSpPr>
        <cdr:spPr>
          <a:xfrm xmlns:a="http://schemas.openxmlformats.org/drawingml/2006/main">
            <a:off x="4449678" y="5268340"/>
            <a:ext cx="540000" cy="1800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vertOverflow="clip" wrap="square" lIns="36000" tIns="36000" rIns="72000" bIns="36000" rtlCol="0" anchor="ctr" anchorCtr="0">
            <a:spAutoFit/>
          </a:bodyPr>
          <a:lstStyle xmlns:a="http://schemas.openxmlformats.org/drawingml/2006/main"/>
          <a:p xmlns:a="http://schemas.openxmlformats.org/drawingml/2006/main">
            <a:r>
              <a:rPr lang="en-AU" sz="1000">
                <a:latin typeface="Arial" panose="020B0604020202020204" pitchFamily="34" charset="0"/>
                <a:cs typeface="Arial" panose="020B0604020202020204" pitchFamily="34" charset="0"/>
              </a:rPr>
              <a:t>P</a:t>
            </a:r>
            <a:r>
              <a:rPr lang="en-AU" sz="1000" baseline="-25000">
                <a:latin typeface="Arial" panose="020B0604020202020204" pitchFamily="34" charset="0"/>
                <a:cs typeface="Arial" panose="020B0604020202020204" pitchFamily="34" charset="0"/>
              </a:rPr>
              <a:t>L</a:t>
            </a:r>
            <a:r>
              <a:rPr lang="en-AU" sz="1000">
                <a:latin typeface="Arial" panose="020B0604020202020204" pitchFamily="34" charset="0"/>
                <a:cs typeface="Arial" panose="020B0604020202020204" pitchFamily="34" charset="0"/>
              </a:rPr>
              <a:t> = 10</a:t>
            </a:r>
            <a:endParaRPr lang="en-AU" sz="1000" baseline="0">
              <a:latin typeface="Arial" panose="020B0604020202020204" pitchFamily="34" charset="0"/>
              <a:cs typeface="Arial" panose="020B0604020202020204" pitchFamily="34" charset="0"/>
            </a:endParaRPr>
          </a:p>
        </cdr:txBody>
      </cdr:sp>
      <cdr:sp macro="" textlink="">
        <cdr:nvSpPr>
          <cdr:cNvPr id="11" name="Text Box 10"/>
          <cdr:cNvSpPr txBox="1"/>
        </cdr:nvSpPr>
        <cdr:spPr>
          <a:xfrm xmlns:a="http://schemas.openxmlformats.org/drawingml/2006/main">
            <a:off x="4449678" y="5448340"/>
            <a:ext cx="540000" cy="1800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vertOverflow="clip" wrap="square" lIns="36000" tIns="36000" rIns="72000" bIns="36000" rtlCol="0" anchor="ctr" anchorCtr="0">
            <a:spAutoFit/>
          </a:bodyPr>
          <a:lstStyle xmlns:a="http://schemas.openxmlformats.org/drawingml/2006/main"/>
          <a:p xmlns:a="http://schemas.openxmlformats.org/drawingml/2006/main">
            <a:r>
              <a:rPr lang="en-AU" sz="1000">
                <a:latin typeface="Arial" panose="020B0604020202020204" pitchFamily="34" charset="0"/>
                <a:cs typeface="Arial" panose="020B0604020202020204" pitchFamily="34" charset="0"/>
              </a:rPr>
              <a:t>P</a:t>
            </a:r>
            <a:r>
              <a:rPr lang="en-AU" sz="1000" baseline="-25000">
                <a:latin typeface="Arial" panose="020B0604020202020204" pitchFamily="34" charset="0"/>
                <a:cs typeface="Arial" panose="020B0604020202020204" pitchFamily="34" charset="0"/>
              </a:rPr>
              <a:t>L</a:t>
            </a:r>
            <a:r>
              <a:rPr lang="en-AU" sz="1000">
                <a:latin typeface="Arial" panose="020B0604020202020204" pitchFamily="34" charset="0"/>
                <a:cs typeface="Arial" panose="020B0604020202020204" pitchFamily="34" charset="0"/>
              </a:rPr>
              <a:t> = 20</a:t>
            </a:r>
            <a:endParaRPr lang="en-AU" sz="1000" baseline="0">
              <a:latin typeface="Arial" panose="020B0604020202020204" pitchFamily="34" charset="0"/>
              <a:cs typeface="Arial" panose="020B0604020202020204" pitchFamily="34" charset="0"/>
            </a:endParaRPr>
          </a:p>
        </cdr:txBody>
      </cdr: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A8D7D-2EFC-4A51-BD10-F0193BD4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9496</Words>
  <Characters>51374</Characters>
  <Application>Microsoft Office Word</Application>
  <DocSecurity>0</DocSecurity>
  <Lines>1027</Lines>
  <Paragraphs>483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60387</CharactersWithSpaces>
  <SharedDoc>false</SharedDoc>
  <HyperlinkBase/>
  <HLinks>
    <vt:vector size="480" baseType="variant">
      <vt:variant>
        <vt:i4>6815859</vt:i4>
      </vt:variant>
      <vt:variant>
        <vt:i4>507</vt:i4>
      </vt:variant>
      <vt:variant>
        <vt:i4>0</vt:i4>
      </vt:variant>
      <vt:variant>
        <vt:i4>5</vt:i4>
      </vt:variant>
      <vt:variant>
        <vt:lpwstr/>
      </vt:variant>
      <vt:variant>
        <vt:lpwstr>tableE2</vt:lpwstr>
      </vt:variant>
      <vt:variant>
        <vt:i4>6815859</vt:i4>
      </vt:variant>
      <vt:variant>
        <vt:i4>504</vt:i4>
      </vt:variant>
      <vt:variant>
        <vt:i4>0</vt:i4>
      </vt:variant>
      <vt:variant>
        <vt:i4>5</vt:i4>
      </vt:variant>
      <vt:variant>
        <vt:lpwstr/>
      </vt:variant>
      <vt:variant>
        <vt:lpwstr>tableE1</vt:lpwstr>
      </vt:variant>
      <vt:variant>
        <vt:i4>1966151</vt:i4>
      </vt:variant>
      <vt:variant>
        <vt:i4>501</vt:i4>
      </vt:variant>
      <vt:variant>
        <vt:i4>0</vt:i4>
      </vt:variant>
      <vt:variant>
        <vt:i4>5</vt:i4>
      </vt:variant>
      <vt:variant>
        <vt:lpwstr>https://www.acma.gov.au/node/849</vt:lpwstr>
      </vt:variant>
      <vt:variant>
        <vt:lpwstr/>
      </vt:variant>
      <vt:variant>
        <vt:i4>1966151</vt:i4>
      </vt:variant>
      <vt:variant>
        <vt:i4>498</vt:i4>
      </vt:variant>
      <vt:variant>
        <vt:i4>0</vt:i4>
      </vt:variant>
      <vt:variant>
        <vt:i4>5</vt:i4>
      </vt:variant>
      <vt:variant>
        <vt:lpwstr>https://www.acma.gov.au/node/849</vt:lpwstr>
      </vt:variant>
      <vt:variant>
        <vt:lpwstr/>
      </vt:variant>
      <vt:variant>
        <vt:i4>1966151</vt:i4>
      </vt:variant>
      <vt:variant>
        <vt:i4>495</vt:i4>
      </vt:variant>
      <vt:variant>
        <vt:i4>0</vt:i4>
      </vt:variant>
      <vt:variant>
        <vt:i4>5</vt:i4>
      </vt:variant>
      <vt:variant>
        <vt:lpwstr>https://www.acma.gov.au/node/849</vt:lpwstr>
      </vt:variant>
      <vt:variant>
        <vt:lpwstr/>
      </vt:variant>
      <vt:variant>
        <vt:i4>1310737</vt:i4>
      </vt:variant>
      <vt:variant>
        <vt:i4>492</vt:i4>
      </vt:variant>
      <vt:variant>
        <vt:i4>0</vt:i4>
      </vt:variant>
      <vt:variant>
        <vt:i4>5</vt:i4>
      </vt:variant>
      <vt:variant>
        <vt:lpwstr/>
      </vt:variant>
      <vt:variant>
        <vt:lpwstr>appD</vt:lpwstr>
      </vt:variant>
      <vt:variant>
        <vt:i4>3735602</vt:i4>
      </vt:variant>
      <vt:variant>
        <vt:i4>480</vt:i4>
      </vt:variant>
      <vt:variant>
        <vt:i4>0</vt:i4>
      </vt:variant>
      <vt:variant>
        <vt:i4>5</vt:i4>
      </vt:variant>
      <vt:variant>
        <vt:lpwstr>https://digital.atlas.gov.au/datasets/digitalatlas::railway-lines/about</vt:lpwstr>
      </vt:variant>
      <vt:variant>
        <vt:lpwstr/>
      </vt:variant>
      <vt:variant>
        <vt:i4>4325416</vt:i4>
      </vt:variant>
      <vt:variant>
        <vt:i4>477</vt:i4>
      </vt:variant>
      <vt:variant>
        <vt:i4>0</vt:i4>
      </vt:variant>
      <vt:variant>
        <vt:i4>5</vt:i4>
      </vt:variant>
      <vt:variant>
        <vt:lpwstr>mailto:freqplan@acma.gov.au</vt:lpwstr>
      </vt:variant>
      <vt:variant>
        <vt:lpwstr/>
      </vt:variant>
      <vt:variant>
        <vt:i4>5701693</vt:i4>
      </vt:variant>
      <vt:variant>
        <vt:i4>474</vt:i4>
      </vt:variant>
      <vt:variant>
        <vt:i4>0</vt:i4>
      </vt:variant>
      <vt:variant>
        <vt:i4>5</vt:i4>
      </vt:variant>
      <vt:variant>
        <vt:lpwstr>mailto:spectrum@ara.net.au</vt:lpwstr>
      </vt:variant>
      <vt:variant>
        <vt:lpwstr/>
      </vt:variant>
      <vt:variant>
        <vt:i4>2621496</vt:i4>
      </vt:variant>
      <vt:variant>
        <vt:i4>468</vt:i4>
      </vt:variant>
      <vt:variant>
        <vt:i4>0</vt:i4>
      </vt:variant>
      <vt:variant>
        <vt:i4>5</vt:i4>
      </vt:variant>
      <vt:variant>
        <vt:lpwstr>https://www.legislation.gov.au/F2024L00316/asmade/text</vt:lpwstr>
      </vt:variant>
      <vt:variant>
        <vt:lpwstr/>
      </vt:variant>
      <vt:variant>
        <vt:i4>2490417</vt:i4>
      </vt:variant>
      <vt:variant>
        <vt:i4>465</vt:i4>
      </vt:variant>
      <vt:variant>
        <vt:i4>0</vt:i4>
      </vt:variant>
      <vt:variant>
        <vt:i4>5</vt:i4>
      </vt:variant>
      <vt:variant>
        <vt:lpwstr>https://www.legislation.gov.au/F2025L00389/asmade/text</vt:lpwstr>
      </vt:variant>
      <vt:variant>
        <vt:lpwstr/>
      </vt:variant>
      <vt:variant>
        <vt:i4>7929888</vt:i4>
      </vt:variant>
      <vt:variant>
        <vt:i4>462</vt:i4>
      </vt:variant>
      <vt:variant>
        <vt:i4>0</vt:i4>
      </vt:variant>
      <vt:variant>
        <vt:i4>5</vt:i4>
      </vt:variant>
      <vt:variant>
        <vt:lpwstr>https://www.legislation.gov.au/Details/C2019C00262</vt:lpwstr>
      </vt:variant>
      <vt:variant>
        <vt:lpwstr/>
      </vt:variant>
      <vt:variant>
        <vt:i4>3342443</vt:i4>
      </vt:variant>
      <vt:variant>
        <vt:i4>459</vt:i4>
      </vt:variant>
      <vt:variant>
        <vt:i4>0</vt:i4>
      </vt:variant>
      <vt:variant>
        <vt:i4>5</vt:i4>
      </vt:variant>
      <vt:variant>
        <vt:lpwstr>https://www.acma.gov.au/current-and-past-spectrum-embargoes</vt:lpwstr>
      </vt:variant>
      <vt:variant>
        <vt:lpwstr/>
      </vt:variant>
      <vt:variant>
        <vt:i4>1114129</vt:i4>
      </vt:variant>
      <vt:variant>
        <vt:i4>456</vt:i4>
      </vt:variant>
      <vt:variant>
        <vt:i4>0</vt:i4>
      </vt:variant>
      <vt:variant>
        <vt:i4>5</vt:i4>
      </vt:variant>
      <vt:variant>
        <vt:lpwstr/>
      </vt:variant>
      <vt:variant>
        <vt:lpwstr>appA</vt:lpwstr>
      </vt:variant>
      <vt:variant>
        <vt:i4>7602211</vt:i4>
      </vt:variant>
      <vt:variant>
        <vt:i4>453</vt:i4>
      </vt:variant>
      <vt:variant>
        <vt:i4>0</vt:i4>
      </vt:variant>
      <vt:variant>
        <vt:i4>5</vt:i4>
      </vt:variant>
      <vt:variant>
        <vt:lpwstr>https://www.acma.gov.au/radiocomms-licence-data</vt:lpwstr>
      </vt:variant>
      <vt:variant>
        <vt:lpwstr/>
      </vt:variant>
      <vt:variant>
        <vt:i4>2818107</vt:i4>
      </vt:variant>
      <vt:variant>
        <vt:i4>450</vt:i4>
      </vt:variant>
      <vt:variant>
        <vt:i4>0</vt:i4>
      </vt:variant>
      <vt:variant>
        <vt:i4>5</vt:i4>
      </vt:variant>
      <vt:variant>
        <vt:lpwstr>https://www.legislation.gov.au/F2023L00153/latest/text</vt:lpwstr>
      </vt:variant>
      <vt:variant>
        <vt:lpwstr/>
      </vt:variant>
      <vt:variant>
        <vt:i4>7602211</vt:i4>
      </vt:variant>
      <vt:variant>
        <vt:i4>435</vt:i4>
      </vt:variant>
      <vt:variant>
        <vt:i4>0</vt:i4>
      </vt:variant>
      <vt:variant>
        <vt:i4>5</vt:i4>
      </vt:variant>
      <vt:variant>
        <vt:lpwstr>https://www.acma.gov.au/radiocomms-licence-data</vt:lpwstr>
      </vt:variant>
      <vt:variant>
        <vt:lpwstr/>
      </vt:variant>
      <vt:variant>
        <vt:i4>1310737</vt:i4>
      </vt:variant>
      <vt:variant>
        <vt:i4>351</vt:i4>
      </vt:variant>
      <vt:variant>
        <vt:i4>0</vt:i4>
      </vt:variant>
      <vt:variant>
        <vt:i4>5</vt:i4>
      </vt:variant>
      <vt:variant>
        <vt:lpwstr/>
      </vt:variant>
      <vt:variant>
        <vt:lpwstr>appD</vt:lpwstr>
      </vt:variant>
      <vt:variant>
        <vt:i4>1245201</vt:i4>
      </vt:variant>
      <vt:variant>
        <vt:i4>348</vt:i4>
      </vt:variant>
      <vt:variant>
        <vt:i4>0</vt:i4>
      </vt:variant>
      <vt:variant>
        <vt:i4>5</vt:i4>
      </vt:variant>
      <vt:variant>
        <vt:lpwstr/>
      </vt:variant>
      <vt:variant>
        <vt:lpwstr>appC</vt:lpwstr>
      </vt:variant>
      <vt:variant>
        <vt:i4>1179665</vt:i4>
      </vt:variant>
      <vt:variant>
        <vt:i4>345</vt:i4>
      </vt:variant>
      <vt:variant>
        <vt:i4>0</vt:i4>
      </vt:variant>
      <vt:variant>
        <vt:i4>5</vt:i4>
      </vt:variant>
      <vt:variant>
        <vt:lpwstr/>
      </vt:variant>
      <vt:variant>
        <vt:lpwstr>appB</vt:lpwstr>
      </vt:variant>
      <vt:variant>
        <vt:i4>1376273</vt:i4>
      </vt:variant>
      <vt:variant>
        <vt:i4>342</vt:i4>
      </vt:variant>
      <vt:variant>
        <vt:i4>0</vt:i4>
      </vt:variant>
      <vt:variant>
        <vt:i4>5</vt:i4>
      </vt:variant>
      <vt:variant>
        <vt:lpwstr/>
      </vt:variant>
      <vt:variant>
        <vt:lpwstr>appE</vt:lpwstr>
      </vt:variant>
      <vt:variant>
        <vt:i4>2818104</vt:i4>
      </vt:variant>
      <vt:variant>
        <vt:i4>339</vt:i4>
      </vt:variant>
      <vt:variant>
        <vt:i4>0</vt:i4>
      </vt:variant>
      <vt:variant>
        <vt:i4>5</vt:i4>
      </vt:variant>
      <vt:variant>
        <vt:lpwstr>https://www.legislation.gov.au/F2024L00315/asmade/text</vt:lpwstr>
      </vt:variant>
      <vt:variant>
        <vt:lpwstr/>
      </vt:variant>
      <vt:variant>
        <vt:i4>4325416</vt:i4>
      </vt:variant>
      <vt:variant>
        <vt:i4>336</vt:i4>
      </vt:variant>
      <vt:variant>
        <vt:i4>0</vt:i4>
      </vt:variant>
      <vt:variant>
        <vt:i4>5</vt:i4>
      </vt:variant>
      <vt:variant>
        <vt:lpwstr>mailto:freqplan@acma.gov.au</vt:lpwstr>
      </vt:variant>
      <vt:variant>
        <vt:lpwstr/>
      </vt:variant>
      <vt:variant>
        <vt:i4>1441853</vt:i4>
      </vt:variant>
      <vt:variant>
        <vt:i4>329</vt:i4>
      </vt:variant>
      <vt:variant>
        <vt:i4>0</vt:i4>
      </vt:variant>
      <vt:variant>
        <vt:i4>5</vt:i4>
      </vt:variant>
      <vt:variant>
        <vt:lpwstr/>
      </vt:variant>
      <vt:variant>
        <vt:lpwstr>_Toc230765902</vt:lpwstr>
      </vt:variant>
      <vt:variant>
        <vt:i4>1441853</vt:i4>
      </vt:variant>
      <vt:variant>
        <vt:i4>323</vt:i4>
      </vt:variant>
      <vt:variant>
        <vt:i4>0</vt:i4>
      </vt:variant>
      <vt:variant>
        <vt:i4>5</vt:i4>
      </vt:variant>
      <vt:variant>
        <vt:lpwstr/>
      </vt:variant>
      <vt:variant>
        <vt:lpwstr>_Toc230765901</vt:lpwstr>
      </vt:variant>
      <vt:variant>
        <vt:i4>1441853</vt:i4>
      </vt:variant>
      <vt:variant>
        <vt:i4>317</vt:i4>
      </vt:variant>
      <vt:variant>
        <vt:i4>0</vt:i4>
      </vt:variant>
      <vt:variant>
        <vt:i4>5</vt:i4>
      </vt:variant>
      <vt:variant>
        <vt:lpwstr/>
      </vt:variant>
      <vt:variant>
        <vt:lpwstr>_Toc230765900</vt:lpwstr>
      </vt:variant>
      <vt:variant>
        <vt:i4>2031676</vt:i4>
      </vt:variant>
      <vt:variant>
        <vt:i4>311</vt:i4>
      </vt:variant>
      <vt:variant>
        <vt:i4>0</vt:i4>
      </vt:variant>
      <vt:variant>
        <vt:i4>5</vt:i4>
      </vt:variant>
      <vt:variant>
        <vt:lpwstr/>
      </vt:variant>
      <vt:variant>
        <vt:lpwstr>_Toc230765899</vt:lpwstr>
      </vt:variant>
      <vt:variant>
        <vt:i4>2031676</vt:i4>
      </vt:variant>
      <vt:variant>
        <vt:i4>305</vt:i4>
      </vt:variant>
      <vt:variant>
        <vt:i4>0</vt:i4>
      </vt:variant>
      <vt:variant>
        <vt:i4>5</vt:i4>
      </vt:variant>
      <vt:variant>
        <vt:lpwstr/>
      </vt:variant>
      <vt:variant>
        <vt:lpwstr>_Toc230765898</vt:lpwstr>
      </vt:variant>
      <vt:variant>
        <vt:i4>2031676</vt:i4>
      </vt:variant>
      <vt:variant>
        <vt:i4>299</vt:i4>
      </vt:variant>
      <vt:variant>
        <vt:i4>0</vt:i4>
      </vt:variant>
      <vt:variant>
        <vt:i4>5</vt:i4>
      </vt:variant>
      <vt:variant>
        <vt:lpwstr/>
      </vt:variant>
      <vt:variant>
        <vt:lpwstr>_Toc230765897</vt:lpwstr>
      </vt:variant>
      <vt:variant>
        <vt:i4>2031676</vt:i4>
      </vt:variant>
      <vt:variant>
        <vt:i4>293</vt:i4>
      </vt:variant>
      <vt:variant>
        <vt:i4>0</vt:i4>
      </vt:variant>
      <vt:variant>
        <vt:i4>5</vt:i4>
      </vt:variant>
      <vt:variant>
        <vt:lpwstr/>
      </vt:variant>
      <vt:variant>
        <vt:lpwstr>_Toc230765896</vt:lpwstr>
      </vt:variant>
      <vt:variant>
        <vt:i4>2031676</vt:i4>
      </vt:variant>
      <vt:variant>
        <vt:i4>287</vt:i4>
      </vt:variant>
      <vt:variant>
        <vt:i4>0</vt:i4>
      </vt:variant>
      <vt:variant>
        <vt:i4>5</vt:i4>
      </vt:variant>
      <vt:variant>
        <vt:lpwstr/>
      </vt:variant>
      <vt:variant>
        <vt:lpwstr>_Toc230765895</vt:lpwstr>
      </vt:variant>
      <vt:variant>
        <vt:i4>2031676</vt:i4>
      </vt:variant>
      <vt:variant>
        <vt:i4>281</vt:i4>
      </vt:variant>
      <vt:variant>
        <vt:i4>0</vt:i4>
      </vt:variant>
      <vt:variant>
        <vt:i4>5</vt:i4>
      </vt:variant>
      <vt:variant>
        <vt:lpwstr/>
      </vt:variant>
      <vt:variant>
        <vt:lpwstr>_Toc230765894</vt:lpwstr>
      </vt:variant>
      <vt:variant>
        <vt:i4>2031676</vt:i4>
      </vt:variant>
      <vt:variant>
        <vt:i4>275</vt:i4>
      </vt:variant>
      <vt:variant>
        <vt:i4>0</vt:i4>
      </vt:variant>
      <vt:variant>
        <vt:i4>5</vt:i4>
      </vt:variant>
      <vt:variant>
        <vt:lpwstr/>
      </vt:variant>
      <vt:variant>
        <vt:lpwstr>_Toc230765893</vt:lpwstr>
      </vt:variant>
      <vt:variant>
        <vt:i4>2031676</vt:i4>
      </vt:variant>
      <vt:variant>
        <vt:i4>269</vt:i4>
      </vt:variant>
      <vt:variant>
        <vt:i4>0</vt:i4>
      </vt:variant>
      <vt:variant>
        <vt:i4>5</vt:i4>
      </vt:variant>
      <vt:variant>
        <vt:lpwstr/>
      </vt:variant>
      <vt:variant>
        <vt:lpwstr>_Toc230765892</vt:lpwstr>
      </vt:variant>
      <vt:variant>
        <vt:i4>2031676</vt:i4>
      </vt:variant>
      <vt:variant>
        <vt:i4>263</vt:i4>
      </vt:variant>
      <vt:variant>
        <vt:i4>0</vt:i4>
      </vt:variant>
      <vt:variant>
        <vt:i4>5</vt:i4>
      </vt:variant>
      <vt:variant>
        <vt:lpwstr/>
      </vt:variant>
      <vt:variant>
        <vt:lpwstr>_Toc230765891</vt:lpwstr>
      </vt:variant>
      <vt:variant>
        <vt:i4>2031676</vt:i4>
      </vt:variant>
      <vt:variant>
        <vt:i4>257</vt:i4>
      </vt:variant>
      <vt:variant>
        <vt:i4>0</vt:i4>
      </vt:variant>
      <vt:variant>
        <vt:i4>5</vt:i4>
      </vt:variant>
      <vt:variant>
        <vt:lpwstr/>
      </vt:variant>
      <vt:variant>
        <vt:lpwstr>_Toc230765890</vt:lpwstr>
      </vt:variant>
      <vt:variant>
        <vt:i4>1966140</vt:i4>
      </vt:variant>
      <vt:variant>
        <vt:i4>251</vt:i4>
      </vt:variant>
      <vt:variant>
        <vt:i4>0</vt:i4>
      </vt:variant>
      <vt:variant>
        <vt:i4>5</vt:i4>
      </vt:variant>
      <vt:variant>
        <vt:lpwstr/>
      </vt:variant>
      <vt:variant>
        <vt:lpwstr>_Toc230765889</vt:lpwstr>
      </vt:variant>
      <vt:variant>
        <vt:i4>1966140</vt:i4>
      </vt:variant>
      <vt:variant>
        <vt:i4>245</vt:i4>
      </vt:variant>
      <vt:variant>
        <vt:i4>0</vt:i4>
      </vt:variant>
      <vt:variant>
        <vt:i4>5</vt:i4>
      </vt:variant>
      <vt:variant>
        <vt:lpwstr/>
      </vt:variant>
      <vt:variant>
        <vt:lpwstr>_Toc230765887</vt:lpwstr>
      </vt:variant>
      <vt:variant>
        <vt:i4>1966140</vt:i4>
      </vt:variant>
      <vt:variant>
        <vt:i4>239</vt:i4>
      </vt:variant>
      <vt:variant>
        <vt:i4>0</vt:i4>
      </vt:variant>
      <vt:variant>
        <vt:i4>5</vt:i4>
      </vt:variant>
      <vt:variant>
        <vt:lpwstr/>
      </vt:variant>
      <vt:variant>
        <vt:lpwstr>_Toc230765886</vt:lpwstr>
      </vt:variant>
      <vt:variant>
        <vt:i4>1966140</vt:i4>
      </vt:variant>
      <vt:variant>
        <vt:i4>233</vt:i4>
      </vt:variant>
      <vt:variant>
        <vt:i4>0</vt:i4>
      </vt:variant>
      <vt:variant>
        <vt:i4>5</vt:i4>
      </vt:variant>
      <vt:variant>
        <vt:lpwstr/>
      </vt:variant>
      <vt:variant>
        <vt:lpwstr>_Toc230765885</vt:lpwstr>
      </vt:variant>
      <vt:variant>
        <vt:i4>1966140</vt:i4>
      </vt:variant>
      <vt:variant>
        <vt:i4>227</vt:i4>
      </vt:variant>
      <vt:variant>
        <vt:i4>0</vt:i4>
      </vt:variant>
      <vt:variant>
        <vt:i4>5</vt:i4>
      </vt:variant>
      <vt:variant>
        <vt:lpwstr/>
      </vt:variant>
      <vt:variant>
        <vt:lpwstr>_Toc230765884</vt:lpwstr>
      </vt:variant>
      <vt:variant>
        <vt:i4>1966140</vt:i4>
      </vt:variant>
      <vt:variant>
        <vt:i4>221</vt:i4>
      </vt:variant>
      <vt:variant>
        <vt:i4>0</vt:i4>
      </vt:variant>
      <vt:variant>
        <vt:i4>5</vt:i4>
      </vt:variant>
      <vt:variant>
        <vt:lpwstr/>
      </vt:variant>
      <vt:variant>
        <vt:lpwstr>_Toc230765883</vt:lpwstr>
      </vt:variant>
      <vt:variant>
        <vt:i4>1966140</vt:i4>
      </vt:variant>
      <vt:variant>
        <vt:i4>215</vt:i4>
      </vt:variant>
      <vt:variant>
        <vt:i4>0</vt:i4>
      </vt:variant>
      <vt:variant>
        <vt:i4>5</vt:i4>
      </vt:variant>
      <vt:variant>
        <vt:lpwstr/>
      </vt:variant>
      <vt:variant>
        <vt:lpwstr>_Toc230765882</vt:lpwstr>
      </vt:variant>
      <vt:variant>
        <vt:i4>1966140</vt:i4>
      </vt:variant>
      <vt:variant>
        <vt:i4>209</vt:i4>
      </vt:variant>
      <vt:variant>
        <vt:i4>0</vt:i4>
      </vt:variant>
      <vt:variant>
        <vt:i4>5</vt:i4>
      </vt:variant>
      <vt:variant>
        <vt:lpwstr/>
      </vt:variant>
      <vt:variant>
        <vt:lpwstr>_Toc230765881</vt:lpwstr>
      </vt:variant>
      <vt:variant>
        <vt:i4>1966140</vt:i4>
      </vt:variant>
      <vt:variant>
        <vt:i4>203</vt:i4>
      </vt:variant>
      <vt:variant>
        <vt:i4>0</vt:i4>
      </vt:variant>
      <vt:variant>
        <vt:i4>5</vt:i4>
      </vt:variant>
      <vt:variant>
        <vt:lpwstr/>
      </vt:variant>
      <vt:variant>
        <vt:lpwstr>_Toc230765880</vt:lpwstr>
      </vt:variant>
      <vt:variant>
        <vt:i4>1114172</vt:i4>
      </vt:variant>
      <vt:variant>
        <vt:i4>197</vt:i4>
      </vt:variant>
      <vt:variant>
        <vt:i4>0</vt:i4>
      </vt:variant>
      <vt:variant>
        <vt:i4>5</vt:i4>
      </vt:variant>
      <vt:variant>
        <vt:lpwstr/>
      </vt:variant>
      <vt:variant>
        <vt:lpwstr>_Toc230765879</vt:lpwstr>
      </vt:variant>
      <vt:variant>
        <vt:i4>1114172</vt:i4>
      </vt:variant>
      <vt:variant>
        <vt:i4>191</vt:i4>
      </vt:variant>
      <vt:variant>
        <vt:i4>0</vt:i4>
      </vt:variant>
      <vt:variant>
        <vt:i4>5</vt:i4>
      </vt:variant>
      <vt:variant>
        <vt:lpwstr/>
      </vt:variant>
      <vt:variant>
        <vt:lpwstr>_Toc230765878</vt:lpwstr>
      </vt:variant>
      <vt:variant>
        <vt:i4>1245244</vt:i4>
      </vt:variant>
      <vt:variant>
        <vt:i4>185</vt:i4>
      </vt:variant>
      <vt:variant>
        <vt:i4>0</vt:i4>
      </vt:variant>
      <vt:variant>
        <vt:i4>5</vt:i4>
      </vt:variant>
      <vt:variant>
        <vt:lpwstr/>
      </vt:variant>
      <vt:variant>
        <vt:lpwstr>_Toc230765852</vt:lpwstr>
      </vt:variant>
      <vt:variant>
        <vt:i4>1245244</vt:i4>
      </vt:variant>
      <vt:variant>
        <vt:i4>179</vt:i4>
      </vt:variant>
      <vt:variant>
        <vt:i4>0</vt:i4>
      </vt:variant>
      <vt:variant>
        <vt:i4>5</vt:i4>
      </vt:variant>
      <vt:variant>
        <vt:lpwstr/>
      </vt:variant>
      <vt:variant>
        <vt:lpwstr>_Toc230765851</vt:lpwstr>
      </vt:variant>
      <vt:variant>
        <vt:i4>1245244</vt:i4>
      </vt:variant>
      <vt:variant>
        <vt:i4>173</vt:i4>
      </vt:variant>
      <vt:variant>
        <vt:i4>0</vt:i4>
      </vt:variant>
      <vt:variant>
        <vt:i4>5</vt:i4>
      </vt:variant>
      <vt:variant>
        <vt:lpwstr/>
      </vt:variant>
      <vt:variant>
        <vt:lpwstr>_Toc230765850</vt:lpwstr>
      </vt:variant>
      <vt:variant>
        <vt:i4>1179708</vt:i4>
      </vt:variant>
      <vt:variant>
        <vt:i4>167</vt:i4>
      </vt:variant>
      <vt:variant>
        <vt:i4>0</vt:i4>
      </vt:variant>
      <vt:variant>
        <vt:i4>5</vt:i4>
      </vt:variant>
      <vt:variant>
        <vt:lpwstr/>
      </vt:variant>
      <vt:variant>
        <vt:lpwstr>_Toc230765849</vt:lpwstr>
      </vt:variant>
      <vt:variant>
        <vt:i4>1179708</vt:i4>
      </vt:variant>
      <vt:variant>
        <vt:i4>161</vt:i4>
      </vt:variant>
      <vt:variant>
        <vt:i4>0</vt:i4>
      </vt:variant>
      <vt:variant>
        <vt:i4>5</vt:i4>
      </vt:variant>
      <vt:variant>
        <vt:lpwstr/>
      </vt:variant>
      <vt:variant>
        <vt:lpwstr>_Toc230765848</vt:lpwstr>
      </vt:variant>
      <vt:variant>
        <vt:i4>1179708</vt:i4>
      </vt:variant>
      <vt:variant>
        <vt:i4>155</vt:i4>
      </vt:variant>
      <vt:variant>
        <vt:i4>0</vt:i4>
      </vt:variant>
      <vt:variant>
        <vt:i4>5</vt:i4>
      </vt:variant>
      <vt:variant>
        <vt:lpwstr/>
      </vt:variant>
      <vt:variant>
        <vt:lpwstr>_Toc230765847</vt:lpwstr>
      </vt:variant>
      <vt:variant>
        <vt:i4>1179708</vt:i4>
      </vt:variant>
      <vt:variant>
        <vt:i4>149</vt:i4>
      </vt:variant>
      <vt:variant>
        <vt:i4>0</vt:i4>
      </vt:variant>
      <vt:variant>
        <vt:i4>5</vt:i4>
      </vt:variant>
      <vt:variant>
        <vt:lpwstr/>
      </vt:variant>
      <vt:variant>
        <vt:lpwstr>_Toc230765846</vt:lpwstr>
      </vt:variant>
      <vt:variant>
        <vt:i4>1179708</vt:i4>
      </vt:variant>
      <vt:variant>
        <vt:i4>143</vt:i4>
      </vt:variant>
      <vt:variant>
        <vt:i4>0</vt:i4>
      </vt:variant>
      <vt:variant>
        <vt:i4>5</vt:i4>
      </vt:variant>
      <vt:variant>
        <vt:lpwstr/>
      </vt:variant>
      <vt:variant>
        <vt:lpwstr>_Toc230765845</vt:lpwstr>
      </vt:variant>
      <vt:variant>
        <vt:i4>1179708</vt:i4>
      </vt:variant>
      <vt:variant>
        <vt:i4>137</vt:i4>
      </vt:variant>
      <vt:variant>
        <vt:i4>0</vt:i4>
      </vt:variant>
      <vt:variant>
        <vt:i4>5</vt:i4>
      </vt:variant>
      <vt:variant>
        <vt:lpwstr/>
      </vt:variant>
      <vt:variant>
        <vt:lpwstr>_Toc230765844</vt:lpwstr>
      </vt:variant>
      <vt:variant>
        <vt:i4>1179708</vt:i4>
      </vt:variant>
      <vt:variant>
        <vt:i4>131</vt:i4>
      </vt:variant>
      <vt:variant>
        <vt:i4>0</vt:i4>
      </vt:variant>
      <vt:variant>
        <vt:i4>5</vt:i4>
      </vt:variant>
      <vt:variant>
        <vt:lpwstr/>
      </vt:variant>
      <vt:variant>
        <vt:lpwstr>_Toc230765843</vt:lpwstr>
      </vt:variant>
      <vt:variant>
        <vt:i4>1179708</vt:i4>
      </vt:variant>
      <vt:variant>
        <vt:i4>125</vt:i4>
      </vt:variant>
      <vt:variant>
        <vt:i4>0</vt:i4>
      </vt:variant>
      <vt:variant>
        <vt:i4>5</vt:i4>
      </vt:variant>
      <vt:variant>
        <vt:lpwstr/>
      </vt:variant>
      <vt:variant>
        <vt:lpwstr>_Toc230765842</vt:lpwstr>
      </vt:variant>
      <vt:variant>
        <vt:i4>1179708</vt:i4>
      </vt:variant>
      <vt:variant>
        <vt:i4>119</vt:i4>
      </vt:variant>
      <vt:variant>
        <vt:i4>0</vt:i4>
      </vt:variant>
      <vt:variant>
        <vt:i4>5</vt:i4>
      </vt:variant>
      <vt:variant>
        <vt:lpwstr/>
      </vt:variant>
      <vt:variant>
        <vt:lpwstr>_Toc230765841</vt:lpwstr>
      </vt:variant>
      <vt:variant>
        <vt:i4>1179708</vt:i4>
      </vt:variant>
      <vt:variant>
        <vt:i4>113</vt:i4>
      </vt:variant>
      <vt:variant>
        <vt:i4>0</vt:i4>
      </vt:variant>
      <vt:variant>
        <vt:i4>5</vt:i4>
      </vt:variant>
      <vt:variant>
        <vt:lpwstr/>
      </vt:variant>
      <vt:variant>
        <vt:lpwstr>_Toc230765840</vt:lpwstr>
      </vt:variant>
      <vt:variant>
        <vt:i4>1376316</vt:i4>
      </vt:variant>
      <vt:variant>
        <vt:i4>107</vt:i4>
      </vt:variant>
      <vt:variant>
        <vt:i4>0</vt:i4>
      </vt:variant>
      <vt:variant>
        <vt:i4>5</vt:i4>
      </vt:variant>
      <vt:variant>
        <vt:lpwstr/>
      </vt:variant>
      <vt:variant>
        <vt:lpwstr>_Toc230765839</vt:lpwstr>
      </vt:variant>
      <vt:variant>
        <vt:i4>1376316</vt:i4>
      </vt:variant>
      <vt:variant>
        <vt:i4>101</vt:i4>
      </vt:variant>
      <vt:variant>
        <vt:i4>0</vt:i4>
      </vt:variant>
      <vt:variant>
        <vt:i4>5</vt:i4>
      </vt:variant>
      <vt:variant>
        <vt:lpwstr/>
      </vt:variant>
      <vt:variant>
        <vt:lpwstr>_Toc230765838</vt:lpwstr>
      </vt:variant>
      <vt:variant>
        <vt:i4>1376316</vt:i4>
      </vt:variant>
      <vt:variant>
        <vt:i4>95</vt:i4>
      </vt:variant>
      <vt:variant>
        <vt:i4>0</vt:i4>
      </vt:variant>
      <vt:variant>
        <vt:i4>5</vt:i4>
      </vt:variant>
      <vt:variant>
        <vt:lpwstr/>
      </vt:variant>
      <vt:variant>
        <vt:lpwstr>_Toc230765837</vt:lpwstr>
      </vt:variant>
      <vt:variant>
        <vt:i4>1376316</vt:i4>
      </vt:variant>
      <vt:variant>
        <vt:i4>89</vt:i4>
      </vt:variant>
      <vt:variant>
        <vt:i4>0</vt:i4>
      </vt:variant>
      <vt:variant>
        <vt:i4>5</vt:i4>
      </vt:variant>
      <vt:variant>
        <vt:lpwstr/>
      </vt:variant>
      <vt:variant>
        <vt:lpwstr>_Toc230765836</vt:lpwstr>
      </vt:variant>
      <vt:variant>
        <vt:i4>1376316</vt:i4>
      </vt:variant>
      <vt:variant>
        <vt:i4>83</vt:i4>
      </vt:variant>
      <vt:variant>
        <vt:i4>0</vt:i4>
      </vt:variant>
      <vt:variant>
        <vt:i4>5</vt:i4>
      </vt:variant>
      <vt:variant>
        <vt:lpwstr/>
      </vt:variant>
      <vt:variant>
        <vt:lpwstr>_Toc230765835</vt:lpwstr>
      </vt:variant>
      <vt:variant>
        <vt:i4>1376316</vt:i4>
      </vt:variant>
      <vt:variant>
        <vt:i4>77</vt:i4>
      </vt:variant>
      <vt:variant>
        <vt:i4>0</vt:i4>
      </vt:variant>
      <vt:variant>
        <vt:i4>5</vt:i4>
      </vt:variant>
      <vt:variant>
        <vt:lpwstr/>
      </vt:variant>
      <vt:variant>
        <vt:lpwstr>_Toc230765834</vt:lpwstr>
      </vt:variant>
      <vt:variant>
        <vt:i4>1376316</vt:i4>
      </vt:variant>
      <vt:variant>
        <vt:i4>71</vt:i4>
      </vt:variant>
      <vt:variant>
        <vt:i4>0</vt:i4>
      </vt:variant>
      <vt:variant>
        <vt:i4>5</vt:i4>
      </vt:variant>
      <vt:variant>
        <vt:lpwstr/>
      </vt:variant>
      <vt:variant>
        <vt:lpwstr>_Toc230765833</vt:lpwstr>
      </vt:variant>
      <vt:variant>
        <vt:i4>1376316</vt:i4>
      </vt:variant>
      <vt:variant>
        <vt:i4>65</vt:i4>
      </vt:variant>
      <vt:variant>
        <vt:i4>0</vt:i4>
      </vt:variant>
      <vt:variant>
        <vt:i4>5</vt:i4>
      </vt:variant>
      <vt:variant>
        <vt:lpwstr/>
      </vt:variant>
      <vt:variant>
        <vt:lpwstr>_Toc230765832</vt:lpwstr>
      </vt:variant>
      <vt:variant>
        <vt:i4>1376316</vt:i4>
      </vt:variant>
      <vt:variant>
        <vt:i4>59</vt:i4>
      </vt:variant>
      <vt:variant>
        <vt:i4>0</vt:i4>
      </vt:variant>
      <vt:variant>
        <vt:i4>5</vt:i4>
      </vt:variant>
      <vt:variant>
        <vt:lpwstr/>
      </vt:variant>
      <vt:variant>
        <vt:lpwstr>_Toc230765831</vt:lpwstr>
      </vt:variant>
      <vt:variant>
        <vt:i4>1376316</vt:i4>
      </vt:variant>
      <vt:variant>
        <vt:i4>53</vt:i4>
      </vt:variant>
      <vt:variant>
        <vt:i4>0</vt:i4>
      </vt:variant>
      <vt:variant>
        <vt:i4>5</vt:i4>
      </vt:variant>
      <vt:variant>
        <vt:lpwstr/>
      </vt:variant>
      <vt:variant>
        <vt:lpwstr>_Toc230765830</vt:lpwstr>
      </vt:variant>
      <vt:variant>
        <vt:i4>1310780</vt:i4>
      </vt:variant>
      <vt:variant>
        <vt:i4>47</vt:i4>
      </vt:variant>
      <vt:variant>
        <vt:i4>0</vt:i4>
      </vt:variant>
      <vt:variant>
        <vt:i4>5</vt:i4>
      </vt:variant>
      <vt:variant>
        <vt:lpwstr/>
      </vt:variant>
      <vt:variant>
        <vt:lpwstr>_Toc230765829</vt:lpwstr>
      </vt:variant>
      <vt:variant>
        <vt:i4>1310780</vt:i4>
      </vt:variant>
      <vt:variant>
        <vt:i4>41</vt:i4>
      </vt:variant>
      <vt:variant>
        <vt:i4>0</vt:i4>
      </vt:variant>
      <vt:variant>
        <vt:i4>5</vt:i4>
      </vt:variant>
      <vt:variant>
        <vt:lpwstr/>
      </vt:variant>
      <vt:variant>
        <vt:lpwstr>_Toc230765828</vt:lpwstr>
      </vt:variant>
      <vt:variant>
        <vt:i4>1310780</vt:i4>
      </vt:variant>
      <vt:variant>
        <vt:i4>35</vt:i4>
      </vt:variant>
      <vt:variant>
        <vt:i4>0</vt:i4>
      </vt:variant>
      <vt:variant>
        <vt:i4>5</vt:i4>
      </vt:variant>
      <vt:variant>
        <vt:lpwstr/>
      </vt:variant>
      <vt:variant>
        <vt:lpwstr>_Toc230765827</vt:lpwstr>
      </vt:variant>
      <vt:variant>
        <vt:i4>1310780</vt:i4>
      </vt:variant>
      <vt:variant>
        <vt:i4>29</vt:i4>
      </vt:variant>
      <vt:variant>
        <vt:i4>0</vt:i4>
      </vt:variant>
      <vt:variant>
        <vt:i4>5</vt:i4>
      </vt:variant>
      <vt:variant>
        <vt:lpwstr/>
      </vt:variant>
      <vt:variant>
        <vt:lpwstr>_Toc230765826</vt:lpwstr>
      </vt:variant>
      <vt:variant>
        <vt:i4>1310780</vt:i4>
      </vt:variant>
      <vt:variant>
        <vt:i4>23</vt:i4>
      </vt:variant>
      <vt:variant>
        <vt:i4>0</vt:i4>
      </vt:variant>
      <vt:variant>
        <vt:i4>5</vt:i4>
      </vt:variant>
      <vt:variant>
        <vt:lpwstr/>
      </vt:variant>
      <vt:variant>
        <vt:lpwstr>_Toc230765825</vt:lpwstr>
      </vt:variant>
      <vt:variant>
        <vt:i4>1310780</vt:i4>
      </vt:variant>
      <vt:variant>
        <vt:i4>17</vt:i4>
      </vt:variant>
      <vt:variant>
        <vt:i4>0</vt:i4>
      </vt:variant>
      <vt:variant>
        <vt:i4>5</vt:i4>
      </vt:variant>
      <vt:variant>
        <vt:lpwstr/>
      </vt:variant>
      <vt:variant>
        <vt:lpwstr>_Toc230765824</vt:lpwstr>
      </vt:variant>
      <vt:variant>
        <vt:i4>1310780</vt:i4>
      </vt:variant>
      <vt:variant>
        <vt:i4>11</vt:i4>
      </vt:variant>
      <vt:variant>
        <vt:i4>0</vt:i4>
      </vt:variant>
      <vt:variant>
        <vt:i4>5</vt:i4>
      </vt:variant>
      <vt:variant>
        <vt:lpwstr/>
      </vt:variant>
      <vt:variant>
        <vt:lpwstr>_Toc230765823</vt:lpwstr>
      </vt:variant>
      <vt:variant>
        <vt:i4>1310780</vt:i4>
      </vt:variant>
      <vt:variant>
        <vt:i4>5</vt:i4>
      </vt:variant>
      <vt:variant>
        <vt:i4>0</vt:i4>
      </vt:variant>
      <vt:variant>
        <vt:i4>5</vt:i4>
      </vt:variant>
      <vt:variant>
        <vt:lpwstr/>
      </vt:variant>
      <vt:variant>
        <vt:lpwstr>_Toc230765822</vt:lpwstr>
      </vt:variant>
      <vt:variant>
        <vt:i4>4325416</vt:i4>
      </vt:variant>
      <vt:variant>
        <vt:i4>0</vt:i4>
      </vt:variant>
      <vt:variant>
        <vt:i4>0</vt:i4>
      </vt:variant>
      <vt:variant>
        <vt:i4>5</vt:i4>
      </vt:variant>
      <vt:variant>
        <vt:lpwstr>mailto:freqplan@acma.gov.au</vt:lpwstr>
      </vt:variant>
      <vt:variant>
        <vt:lpwstr/>
      </vt:variant>
      <vt:variant>
        <vt:i4>8257651</vt:i4>
      </vt:variant>
      <vt:variant>
        <vt:i4>0</vt:i4>
      </vt:variant>
      <vt:variant>
        <vt:i4>0</vt:i4>
      </vt:variant>
      <vt:variant>
        <vt:i4>5</vt:i4>
      </vt:variant>
      <vt:variant>
        <vt:lpwstr>https://www.acma.gov.au/publications/2019-09/publication/rali-fx3-microwave-fixed-services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2026-07-01T00:05:00Z</dcterms:created>
  <dcterms:modified xsi:type="dcterms:W3CDTF">2026-07-01T06:47:00Z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322b21c4,3005862f,328c6aca,593b5e8e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7fa47f2c,58b1a9a7,f7fabe6,5ed1de6,2b4c7ac6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aeb57847-2996-43f6-9ac9-aca8e5487221_Enabled">
    <vt:lpwstr>true</vt:lpwstr>
  </property>
  <property fmtid="{D5CDD505-2E9C-101B-9397-08002B2CF9AE}" pid="9" name="MSIP_Label_aeb57847-2996-43f6-9ac9-aca8e5487221_SetDate">
    <vt:lpwstr>2026-07-01T00:06:02Z</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ActionId">
    <vt:lpwstr>cf4e9070-13bf-40c9-94f4-7a2cd5aa1d4c</vt:lpwstr>
  </property>
  <property fmtid="{D5CDD505-2E9C-101B-9397-08002B2CF9AE}" pid="14" name="MSIP_Label_aeb57847-2996-43f6-9ac9-aca8e5487221_ContentBits">
    <vt:lpwstr>3</vt:lpwstr>
  </property>
  <property fmtid="{D5CDD505-2E9C-101B-9397-08002B2CF9AE}" pid="15" name="MSIP_Label_aeb57847-2996-43f6-9ac9-aca8e5487221_Tag">
    <vt:lpwstr>10, 0, 1, 1</vt:lpwstr>
  </property>
</Properties>
</file>