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2C1DF" w14:textId="77777777" w:rsidR="00595B18" w:rsidRPr="007D04B2" w:rsidRDefault="00595B18" w:rsidP="00595B18">
      <w:pPr>
        <w:pStyle w:val="ACMAReportTitle"/>
      </w:pPr>
      <w:r>
        <w:t xml:space="preserve">Review </w:t>
      </w:r>
      <w:r w:rsidRPr="007D04B2">
        <w:t xml:space="preserve">of the </w:t>
      </w:r>
      <w:r>
        <w:t>2.5</w:t>
      </w:r>
      <w:r w:rsidRPr="007D04B2">
        <w:t xml:space="preserve"> </w:t>
      </w:r>
      <w:r>
        <w:t>GH</w:t>
      </w:r>
      <w:r w:rsidRPr="007D04B2">
        <w:t>z spectrum licence technical framework</w:t>
      </w:r>
    </w:p>
    <w:p w14:paraId="591B8F07" w14:textId="77777777" w:rsidR="00595B18" w:rsidRPr="007D04B2" w:rsidRDefault="00595B18" w:rsidP="00595B18">
      <w:pPr>
        <w:pStyle w:val="ACMAReportSubTitle"/>
      </w:pPr>
      <w:r w:rsidRPr="007D04B2">
        <w:t xml:space="preserve">Technical </w:t>
      </w:r>
      <w:r>
        <w:t>l</w:t>
      </w:r>
      <w:r w:rsidRPr="007D04B2">
        <w:t xml:space="preserve">iaison </w:t>
      </w:r>
      <w:r>
        <w:t>g</w:t>
      </w:r>
      <w:r w:rsidRPr="007D04B2">
        <w:t xml:space="preserve">roup </w:t>
      </w:r>
      <w:r>
        <w:t>p</w:t>
      </w:r>
      <w:r w:rsidRPr="007D04B2">
        <w:t>aper</w:t>
      </w:r>
    </w:p>
    <w:p w14:paraId="679D91E7" w14:textId="3D72417E" w:rsidR="00C97736" w:rsidRDefault="00595B18" w:rsidP="00EC2B68">
      <w:pPr>
        <w:pStyle w:val="Reportdate"/>
        <w:spacing w:after="720"/>
      </w:pPr>
      <w:r>
        <w:t xml:space="preserve">MArch </w:t>
      </w:r>
      <w:r w:rsidR="00BD4421" w:rsidRPr="00A17B1B">
        <w:t>20</w:t>
      </w:r>
      <w:r w:rsidR="000971BD" w:rsidRPr="00A17B1B">
        <w:t>2</w:t>
      </w:r>
      <w:r>
        <w:t>6</w:t>
      </w:r>
    </w:p>
    <w:p w14:paraId="22F33E9C" w14:textId="77777777" w:rsidR="00401FFD" w:rsidRDefault="00401FFD" w:rsidP="00EC2B68">
      <w:pPr>
        <w:pStyle w:val="Reportdate"/>
        <w:spacing w:after="720"/>
      </w:pPr>
    </w:p>
    <w:p w14:paraId="68B5AB87" w14:textId="77777777" w:rsidR="00401FFD" w:rsidRPr="00A17B1B" w:rsidRDefault="00401FFD" w:rsidP="00EC2B68">
      <w:pPr>
        <w:pStyle w:val="Reportdate"/>
        <w:spacing w:after="720"/>
        <w:rPr>
          <w:rFonts w:cs="Arial"/>
        </w:rPr>
        <w:sectPr w:rsidR="00401FFD" w:rsidRPr="00A17B1B" w:rsidSect="005A62E5">
          <w:headerReference w:type="even" r:id="rId11"/>
          <w:headerReference w:type="default" r:id="rId12"/>
          <w:footerReference w:type="even" r:id="rId13"/>
          <w:footerReference w:type="default" r:id="rId14"/>
          <w:headerReference w:type="first" r:id="rId15"/>
          <w:footerReference w:type="first" r:id="rId16"/>
          <w:pgSz w:w="11906" w:h="16838" w:code="9"/>
          <w:pgMar w:top="3924" w:right="1418" w:bottom="1134" w:left="1418" w:header="850" w:footer="454" w:gutter="0"/>
          <w:cols w:space="708"/>
          <w:docGrid w:linePitch="360"/>
        </w:sectPr>
      </w:pPr>
    </w:p>
    <w:p w14:paraId="1C82577A" w14:textId="77777777" w:rsidR="00284A74" w:rsidRPr="00A17B1B" w:rsidRDefault="00284A74" w:rsidP="00284A74">
      <w:pPr>
        <w:pStyle w:val="ACMACorporateAddressHeader"/>
      </w:pPr>
      <w:r w:rsidRPr="00A17B1B">
        <w:lastRenderedPageBreak/>
        <w:t>Canberra</w:t>
      </w:r>
    </w:p>
    <w:p w14:paraId="4F629958" w14:textId="77777777" w:rsidR="00284A74" w:rsidRPr="00A17B1B" w:rsidRDefault="00181180" w:rsidP="00284A74">
      <w:pPr>
        <w:pStyle w:val="ACMACorporateAddresses"/>
      </w:pPr>
      <w:r>
        <w:t>Level 3</w:t>
      </w:r>
      <w:r>
        <w:br/>
        <w:t>40 Cameron Avenue</w:t>
      </w:r>
      <w:r w:rsidR="00284A74" w:rsidRPr="00A17B1B">
        <w:t xml:space="preserve"> </w:t>
      </w:r>
      <w:r w:rsidR="00284A74" w:rsidRPr="00A17B1B">
        <w:br/>
        <w:t>Belconnen ACT</w:t>
      </w:r>
    </w:p>
    <w:p w14:paraId="14A19D63" w14:textId="77777777" w:rsidR="00284A74" w:rsidRPr="00A17B1B" w:rsidRDefault="00284A74" w:rsidP="00284A74">
      <w:pPr>
        <w:pStyle w:val="ACMACorporateAddresses"/>
      </w:pPr>
      <w:r w:rsidRPr="00A17B1B">
        <w:t>PO Box 78</w:t>
      </w:r>
      <w:r w:rsidRPr="00A17B1B">
        <w:br/>
        <w:t>Belconnen ACT 2616</w:t>
      </w:r>
    </w:p>
    <w:p w14:paraId="171F9F55" w14:textId="77777777" w:rsidR="00284A74" w:rsidRPr="00A17B1B" w:rsidRDefault="00284A74" w:rsidP="00284A74">
      <w:pPr>
        <w:pStyle w:val="ACMACorporateAddresses"/>
      </w:pPr>
      <w:r w:rsidRPr="00A17B1B">
        <w:t>T</w:t>
      </w:r>
      <w:r w:rsidRPr="00A17B1B">
        <w:tab/>
        <w:t>+61 2 6219 5555</w:t>
      </w:r>
      <w:r w:rsidRPr="00A17B1B">
        <w:br/>
        <w:t>F</w:t>
      </w:r>
      <w:r w:rsidRPr="00A17B1B">
        <w:tab/>
        <w:t>+61 2 6219 5353</w:t>
      </w:r>
    </w:p>
    <w:p w14:paraId="3330347B" w14:textId="77777777" w:rsidR="00284A74" w:rsidRPr="00A17B1B" w:rsidRDefault="00284A74" w:rsidP="00284A74">
      <w:pPr>
        <w:pStyle w:val="ACMACorporateAddressHeader"/>
      </w:pPr>
      <w:r w:rsidRPr="00A17B1B">
        <w:t>Melbourne</w:t>
      </w:r>
    </w:p>
    <w:p w14:paraId="5B5A19CA" w14:textId="77777777" w:rsidR="00284A74" w:rsidRPr="00A17B1B" w:rsidRDefault="00284A74" w:rsidP="00284A74">
      <w:pPr>
        <w:pStyle w:val="ACMACorporateAddresses"/>
      </w:pPr>
      <w:r w:rsidRPr="00A17B1B">
        <w:t xml:space="preserve">Level 32 </w:t>
      </w:r>
      <w:r w:rsidRPr="00A17B1B">
        <w:br/>
        <w:t>Melbourne Central Tower</w:t>
      </w:r>
      <w:r w:rsidRPr="00A17B1B">
        <w:br/>
        <w:t xml:space="preserve">360 Elizabeth Street </w:t>
      </w:r>
      <w:r w:rsidRPr="00A17B1B">
        <w:br/>
        <w:t>Melbourne VIC</w:t>
      </w:r>
    </w:p>
    <w:p w14:paraId="2A9C42AF" w14:textId="77777777" w:rsidR="00284A74" w:rsidRPr="00A17B1B" w:rsidRDefault="00284A74" w:rsidP="00284A74">
      <w:pPr>
        <w:pStyle w:val="ACMACorporateAddresses"/>
      </w:pPr>
      <w:r w:rsidRPr="00A17B1B">
        <w:t>PO Box 13112</w:t>
      </w:r>
      <w:r w:rsidRPr="00A17B1B">
        <w:br/>
        <w:t xml:space="preserve">Law Courts </w:t>
      </w:r>
      <w:r w:rsidRPr="00A17B1B">
        <w:br/>
        <w:t>Melbourne VIC 8010</w:t>
      </w:r>
    </w:p>
    <w:p w14:paraId="47B7076B" w14:textId="77777777" w:rsidR="00284A74" w:rsidRPr="00A17B1B" w:rsidRDefault="00284A74" w:rsidP="00284A74">
      <w:pPr>
        <w:pStyle w:val="ACMACorporateAddresses"/>
      </w:pPr>
      <w:r w:rsidRPr="00A17B1B">
        <w:t>T</w:t>
      </w:r>
      <w:r w:rsidRPr="00A17B1B">
        <w:tab/>
        <w:t>+61 3 9963 6800</w:t>
      </w:r>
      <w:r w:rsidRPr="00A17B1B">
        <w:br/>
        <w:t>F</w:t>
      </w:r>
      <w:r w:rsidRPr="00A17B1B">
        <w:tab/>
        <w:t>+61 3 9963 6899</w:t>
      </w:r>
    </w:p>
    <w:p w14:paraId="53A47786" w14:textId="77777777" w:rsidR="00284A74" w:rsidRPr="00A17B1B" w:rsidRDefault="00284A74" w:rsidP="00284A74">
      <w:pPr>
        <w:pStyle w:val="ACMACorporateAddressHeader"/>
      </w:pPr>
      <w:r w:rsidRPr="00A17B1B">
        <w:t>Sydney</w:t>
      </w:r>
    </w:p>
    <w:p w14:paraId="678A3FD8" w14:textId="77777777" w:rsidR="00284A74" w:rsidRPr="00A17B1B" w:rsidRDefault="00284A74" w:rsidP="00284A74">
      <w:pPr>
        <w:pStyle w:val="ACMACorporateAddresses"/>
      </w:pPr>
      <w:r w:rsidRPr="00A17B1B">
        <w:t xml:space="preserve">Level 5 </w:t>
      </w:r>
      <w:r w:rsidRPr="00A17B1B">
        <w:br/>
        <w:t>The Bay Centre</w:t>
      </w:r>
      <w:r w:rsidRPr="00A17B1B">
        <w:br/>
        <w:t xml:space="preserve">65 Pirrama Road </w:t>
      </w:r>
      <w:r w:rsidRPr="00A17B1B">
        <w:br/>
        <w:t>Pyrmont NSW</w:t>
      </w:r>
    </w:p>
    <w:p w14:paraId="3DC03E73" w14:textId="77777777" w:rsidR="00284A74" w:rsidRPr="00A17B1B" w:rsidRDefault="00284A74" w:rsidP="00284A74">
      <w:pPr>
        <w:pStyle w:val="ACMACorporateAddresses"/>
      </w:pPr>
      <w:r w:rsidRPr="00A17B1B">
        <w:t>PO Box Q500</w:t>
      </w:r>
      <w:r w:rsidRPr="00A17B1B">
        <w:br/>
        <w:t xml:space="preserve">Queen Victoria Building </w:t>
      </w:r>
      <w:r w:rsidRPr="00A17B1B">
        <w:br/>
        <w:t>NSW 1230</w:t>
      </w:r>
    </w:p>
    <w:p w14:paraId="13289AB8" w14:textId="77777777" w:rsidR="00284A74" w:rsidRPr="00A17B1B" w:rsidRDefault="00284A74" w:rsidP="00284A74">
      <w:pPr>
        <w:pStyle w:val="ACMACorporateAddresses"/>
      </w:pPr>
      <w:r w:rsidRPr="00A17B1B">
        <w:t>T</w:t>
      </w:r>
      <w:r w:rsidRPr="00A17B1B">
        <w:tab/>
        <w:t>+61 2 9334 7700</w:t>
      </w:r>
      <w:r w:rsidRPr="00A17B1B">
        <w:br/>
        <w:t>F</w:t>
      </w:r>
      <w:r w:rsidRPr="00A17B1B">
        <w:tab/>
        <w:t>+61 2 9334 7799</w:t>
      </w:r>
    </w:p>
    <w:p w14:paraId="17C44FA0" w14:textId="77777777" w:rsidR="00284A74" w:rsidRPr="00A17B1B" w:rsidRDefault="00284A74" w:rsidP="005A62E5">
      <w:pPr>
        <w:pStyle w:val="ACMACopyrightHeader"/>
        <w:spacing w:before="4200"/>
      </w:pPr>
      <w:r w:rsidRPr="00A17B1B">
        <w:t>Copyright notice</w:t>
      </w:r>
    </w:p>
    <w:p w14:paraId="612F6B3D" w14:textId="20B0B8F4" w:rsidR="00284A74" w:rsidRPr="00A17B1B" w:rsidRDefault="00284A74" w:rsidP="00284A74">
      <w:pPr>
        <w:pStyle w:val="ACMACClogo"/>
      </w:pPr>
      <w:r w:rsidRPr="00A17B1B">
        <w:rPr>
          <w:noProof/>
        </w:rPr>
        <w:drawing>
          <wp:inline distT="0" distB="0" distL="0" distR="0" wp14:anchorId="0C13EA6D" wp14:editId="73150B12">
            <wp:extent cx="838200" cy="295275"/>
            <wp:effectExtent l="0" t="0" r="0" b="0"/>
            <wp:docPr id="1" name="Picture 1" title="Creative Commons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7"/>
                    </pic:cNvPr>
                    <pic:cNvPicPr>
                      <a:picLocks noChangeAspect="1" noChangeArrowheads="1"/>
                    </pic:cNvPicPr>
                  </pic:nvPicPr>
                  <pic:blipFill>
                    <a:blip r:embed="rId18" cstate="print"/>
                    <a:srcRect/>
                    <a:stretch>
                      <a:fillRect/>
                    </a:stretch>
                  </pic:blipFill>
                  <pic:spPr bwMode="auto">
                    <a:xfrm>
                      <a:off x="0" y="0"/>
                      <a:ext cx="838200" cy="295275"/>
                    </a:xfrm>
                    <a:prstGeom prst="rect">
                      <a:avLst/>
                    </a:prstGeom>
                    <a:noFill/>
                  </pic:spPr>
                </pic:pic>
              </a:graphicData>
            </a:graphic>
          </wp:inline>
        </w:drawing>
      </w:r>
    </w:p>
    <w:p w14:paraId="7331F340" w14:textId="77777777" w:rsidR="00284A74" w:rsidRPr="00A17B1B" w:rsidRDefault="00284A74" w:rsidP="00284A74">
      <w:pPr>
        <w:pStyle w:val="ACMACorporateAddresses"/>
        <w:rPr>
          <w:rStyle w:val="Hyperlink"/>
        </w:rPr>
      </w:pPr>
      <w:hyperlink r:id="rId19" w:history="1">
        <w:r w:rsidRPr="00A17B1B">
          <w:rPr>
            <w:rStyle w:val="Hyperlink"/>
          </w:rPr>
          <w:t>https://creativecommons.org/licenses/by/4.0/</w:t>
        </w:r>
      </w:hyperlink>
    </w:p>
    <w:p w14:paraId="5E4DD443" w14:textId="77777777" w:rsidR="00AA1F0B" w:rsidRPr="00E162C4" w:rsidRDefault="00AA1F0B" w:rsidP="00AA1F0B">
      <w:pPr>
        <w:pStyle w:val="ACMACorporateAddresses"/>
      </w:pPr>
      <w:r>
        <w:t>Except for the Commonwealth</w:t>
      </w:r>
      <w:r w:rsidRPr="00E162C4">
        <w:t xml:space="preserve"> </w:t>
      </w:r>
      <w:r>
        <w:t>C</w:t>
      </w:r>
      <w:r w:rsidRPr="00E162C4">
        <w:t xml:space="preserve">oat of </w:t>
      </w:r>
      <w:r>
        <w:t>A</w:t>
      </w:r>
      <w:r w:rsidRPr="00E162C4">
        <w:t xml:space="preserve">rms, logos, emblems, images, other third-party material or devices protected by a trademark, this content is made available under the terms of the Creative Commons Attribution 4.0 International (CC BY 4.0) licence. </w:t>
      </w:r>
    </w:p>
    <w:p w14:paraId="6AD4EB79" w14:textId="77777777" w:rsidR="00AA1F0B" w:rsidRPr="00E162C4" w:rsidRDefault="00AA1F0B" w:rsidP="00AA1F0B">
      <w:pPr>
        <w:pStyle w:val="ACMACorporateAddresses"/>
      </w:pPr>
      <w:r w:rsidRPr="00E162C4">
        <w:t>All other rights are reserved.</w:t>
      </w:r>
    </w:p>
    <w:p w14:paraId="055A78B2" w14:textId="77777777" w:rsidR="00AA1F0B" w:rsidRDefault="00AA1F0B" w:rsidP="00AA1F0B">
      <w:pPr>
        <w:pStyle w:val="ACMACorporateAddresses"/>
      </w:pPr>
      <w:r w:rsidRPr="00E162C4">
        <w:t>The Australian Communications and Media Authority has undertaken reasonable enquiries to identify material owned by third parties and secure permission for its reproduction. Permission may need to be obtained from third parties to re-use their material.</w:t>
      </w:r>
    </w:p>
    <w:p w14:paraId="7AD50254" w14:textId="77777777" w:rsidR="00AA1F0B" w:rsidRPr="00D04C32" w:rsidRDefault="00AA1F0B" w:rsidP="00AA1F0B">
      <w:pPr>
        <w:pStyle w:val="ACMACorporateAddresses"/>
        <w:rPr>
          <w:rStyle w:val="Hyperlink"/>
          <w:color w:val="auto"/>
          <w:u w:val="none"/>
        </w:rPr>
      </w:pPr>
      <w:r w:rsidRPr="00E162C4">
        <w:t>We request attribution as © Commonwealth of Australia (Australian Communications and Media Authority) 202</w:t>
      </w:r>
      <w:r w:rsidR="001106BC">
        <w:t>5</w:t>
      </w:r>
      <w:r w:rsidRPr="00E162C4">
        <w:t xml:space="preserve">. </w:t>
      </w:r>
    </w:p>
    <w:p w14:paraId="58C73D29" w14:textId="77777777" w:rsidR="00D16FE3" w:rsidRPr="00A17B1B" w:rsidRDefault="00D16FE3" w:rsidP="00D16FE3">
      <w:pPr>
        <w:pStyle w:val="ACMACorporateAddresses"/>
        <w:sectPr w:rsidR="00D16FE3" w:rsidRPr="00A17B1B" w:rsidSect="005A62E5">
          <w:headerReference w:type="even" r:id="rId20"/>
          <w:headerReference w:type="default" r:id="rId21"/>
          <w:footerReference w:type="even" r:id="rId22"/>
          <w:footerReference w:type="default" r:id="rId23"/>
          <w:pgSz w:w="11906" w:h="16838" w:code="9"/>
          <w:pgMar w:top="3924" w:right="1418" w:bottom="1134" w:left="1418" w:header="709" w:footer="119" w:gutter="0"/>
          <w:cols w:space="708"/>
          <w:docGrid w:linePitch="360"/>
        </w:sectPr>
      </w:pPr>
    </w:p>
    <w:p w14:paraId="6EAF50D3" w14:textId="24BA0B75" w:rsidR="0046110B" w:rsidRDefault="00401FFD">
      <w:pPr>
        <w:pStyle w:val="TOC1"/>
        <w:rPr>
          <w:rFonts w:asciiTheme="minorHAnsi" w:eastAsiaTheme="minorEastAsia" w:hAnsiTheme="minorHAnsi" w:cstheme="minorBidi"/>
          <w:b w:val="0"/>
          <w:spacing w:val="0"/>
          <w:kern w:val="2"/>
          <w:sz w:val="24"/>
          <w14:ligatures w14:val="standardContextual"/>
        </w:rPr>
      </w:pPr>
      <w:r>
        <w:rPr>
          <w:rFonts w:cs="Arial"/>
          <w:b w:val="0"/>
        </w:rPr>
        <w:lastRenderedPageBreak/>
        <w:fldChar w:fldCharType="begin"/>
      </w:r>
      <w:r>
        <w:rPr>
          <w:rFonts w:cs="Arial"/>
          <w:b w:val="0"/>
        </w:rPr>
        <w:instrText xml:space="preserve"> TOC \o "1-2" \h \z \t "Exec summary heading,1" </w:instrText>
      </w:r>
      <w:r>
        <w:rPr>
          <w:rFonts w:cs="Arial"/>
          <w:b w:val="0"/>
        </w:rPr>
        <w:fldChar w:fldCharType="separate"/>
      </w:r>
      <w:hyperlink w:anchor="_Toc230690555" w:history="1">
        <w:r w:rsidR="0046110B" w:rsidRPr="004A6D5A">
          <w:rPr>
            <w:rStyle w:val="Hyperlink"/>
          </w:rPr>
          <w:t>Version control</w:t>
        </w:r>
        <w:r w:rsidR="0046110B">
          <w:rPr>
            <w:webHidden/>
          </w:rPr>
          <w:tab/>
        </w:r>
        <w:r w:rsidR="0046110B">
          <w:rPr>
            <w:webHidden/>
          </w:rPr>
          <w:fldChar w:fldCharType="begin"/>
        </w:r>
        <w:r w:rsidR="0046110B">
          <w:rPr>
            <w:webHidden/>
          </w:rPr>
          <w:instrText xml:space="preserve"> PAGEREF _Toc230690555 \h </w:instrText>
        </w:r>
        <w:r w:rsidR="0046110B">
          <w:rPr>
            <w:webHidden/>
          </w:rPr>
        </w:r>
        <w:r w:rsidR="0046110B">
          <w:rPr>
            <w:webHidden/>
          </w:rPr>
          <w:fldChar w:fldCharType="separate"/>
        </w:r>
        <w:r w:rsidR="0046110B">
          <w:rPr>
            <w:webHidden/>
          </w:rPr>
          <w:t>1</w:t>
        </w:r>
        <w:r w:rsidR="0046110B">
          <w:rPr>
            <w:webHidden/>
          </w:rPr>
          <w:fldChar w:fldCharType="end"/>
        </w:r>
      </w:hyperlink>
    </w:p>
    <w:p w14:paraId="56BC91A2" w14:textId="589CEFC9" w:rsidR="0046110B" w:rsidRDefault="0046110B">
      <w:pPr>
        <w:pStyle w:val="TOC1"/>
        <w:rPr>
          <w:rFonts w:asciiTheme="minorHAnsi" w:eastAsiaTheme="minorEastAsia" w:hAnsiTheme="minorHAnsi" w:cstheme="minorBidi"/>
          <w:b w:val="0"/>
          <w:spacing w:val="0"/>
          <w:kern w:val="2"/>
          <w:sz w:val="24"/>
          <w14:ligatures w14:val="standardContextual"/>
        </w:rPr>
      </w:pPr>
      <w:hyperlink w:anchor="_Toc230690556" w:history="1">
        <w:r w:rsidRPr="004A6D5A">
          <w:rPr>
            <w:rStyle w:val="Hyperlink"/>
          </w:rPr>
          <w:t>Introduction</w:t>
        </w:r>
        <w:r>
          <w:rPr>
            <w:webHidden/>
          </w:rPr>
          <w:tab/>
        </w:r>
        <w:r>
          <w:rPr>
            <w:webHidden/>
          </w:rPr>
          <w:fldChar w:fldCharType="begin"/>
        </w:r>
        <w:r>
          <w:rPr>
            <w:webHidden/>
          </w:rPr>
          <w:instrText xml:space="preserve"> PAGEREF _Toc230690556 \h </w:instrText>
        </w:r>
        <w:r>
          <w:rPr>
            <w:webHidden/>
          </w:rPr>
        </w:r>
        <w:r>
          <w:rPr>
            <w:webHidden/>
          </w:rPr>
          <w:fldChar w:fldCharType="separate"/>
        </w:r>
        <w:r>
          <w:rPr>
            <w:webHidden/>
          </w:rPr>
          <w:t>2</w:t>
        </w:r>
        <w:r>
          <w:rPr>
            <w:webHidden/>
          </w:rPr>
          <w:fldChar w:fldCharType="end"/>
        </w:r>
      </w:hyperlink>
    </w:p>
    <w:p w14:paraId="1B2BCBBF" w14:textId="7F8FF29F" w:rsidR="0046110B" w:rsidRDefault="0046110B">
      <w:pPr>
        <w:pStyle w:val="TOC2"/>
        <w:rPr>
          <w:rFonts w:asciiTheme="minorHAnsi" w:eastAsiaTheme="minorEastAsia" w:hAnsiTheme="minorHAnsi" w:cstheme="minorBidi"/>
          <w:spacing w:val="0"/>
          <w:kern w:val="2"/>
          <w:sz w:val="24"/>
          <w:szCs w:val="24"/>
          <w14:ligatures w14:val="standardContextual"/>
        </w:rPr>
      </w:pPr>
      <w:hyperlink w:anchor="_Toc230690557" w:history="1">
        <w:r w:rsidRPr="004A6D5A">
          <w:rPr>
            <w:rStyle w:val="Hyperlink"/>
          </w:rPr>
          <w:t>Outline</w:t>
        </w:r>
        <w:r>
          <w:rPr>
            <w:webHidden/>
          </w:rPr>
          <w:tab/>
        </w:r>
        <w:r>
          <w:rPr>
            <w:webHidden/>
          </w:rPr>
          <w:tab/>
        </w:r>
        <w:r>
          <w:rPr>
            <w:webHidden/>
          </w:rPr>
          <w:fldChar w:fldCharType="begin"/>
        </w:r>
        <w:r>
          <w:rPr>
            <w:webHidden/>
          </w:rPr>
          <w:instrText xml:space="preserve"> PAGEREF _Toc230690557 \h </w:instrText>
        </w:r>
        <w:r>
          <w:rPr>
            <w:webHidden/>
          </w:rPr>
        </w:r>
        <w:r>
          <w:rPr>
            <w:webHidden/>
          </w:rPr>
          <w:fldChar w:fldCharType="separate"/>
        </w:r>
        <w:r>
          <w:rPr>
            <w:webHidden/>
          </w:rPr>
          <w:t>3</w:t>
        </w:r>
        <w:r>
          <w:rPr>
            <w:webHidden/>
          </w:rPr>
          <w:fldChar w:fldCharType="end"/>
        </w:r>
      </w:hyperlink>
    </w:p>
    <w:p w14:paraId="7A341455" w14:textId="505BC575" w:rsidR="0046110B" w:rsidRDefault="0046110B">
      <w:pPr>
        <w:pStyle w:val="TOC2"/>
        <w:rPr>
          <w:rFonts w:asciiTheme="minorHAnsi" w:eastAsiaTheme="minorEastAsia" w:hAnsiTheme="minorHAnsi" w:cstheme="minorBidi"/>
          <w:spacing w:val="0"/>
          <w:kern w:val="2"/>
          <w:sz w:val="24"/>
          <w:szCs w:val="24"/>
          <w14:ligatures w14:val="standardContextual"/>
        </w:rPr>
      </w:pPr>
      <w:hyperlink w:anchor="_Toc230690558" w:history="1">
        <w:r w:rsidRPr="004A6D5A">
          <w:rPr>
            <w:rStyle w:val="Hyperlink"/>
            <w:rFonts w:cs="Calibri"/>
          </w:rPr>
          <w:t>Scope</w:t>
        </w:r>
        <w:r>
          <w:rPr>
            <w:webHidden/>
          </w:rPr>
          <w:tab/>
        </w:r>
        <w:r>
          <w:rPr>
            <w:webHidden/>
          </w:rPr>
          <w:tab/>
        </w:r>
        <w:r>
          <w:rPr>
            <w:webHidden/>
          </w:rPr>
          <w:fldChar w:fldCharType="begin"/>
        </w:r>
        <w:r>
          <w:rPr>
            <w:webHidden/>
          </w:rPr>
          <w:instrText xml:space="preserve"> PAGEREF _Toc230690558 \h </w:instrText>
        </w:r>
        <w:r>
          <w:rPr>
            <w:webHidden/>
          </w:rPr>
        </w:r>
        <w:r>
          <w:rPr>
            <w:webHidden/>
          </w:rPr>
          <w:fldChar w:fldCharType="separate"/>
        </w:r>
        <w:r>
          <w:rPr>
            <w:webHidden/>
          </w:rPr>
          <w:t>3</w:t>
        </w:r>
        <w:r>
          <w:rPr>
            <w:webHidden/>
          </w:rPr>
          <w:fldChar w:fldCharType="end"/>
        </w:r>
      </w:hyperlink>
    </w:p>
    <w:p w14:paraId="3AFCF8B1" w14:textId="6BB2F18B" w:rsidR="0046110B" w:rsidRDefault="0046110B">
      <w:pPr>
        <w:pStyle w:val="TOC2"/>
        <w:rPr>
          <w:rFonts w:asciiTheme="minorHAnsi" w:eastAsiaTheme="minorEastAsia" w:hAnsiTheme="minorHAnsi" w:cstheme="minorBidi"/>
          <w:spacing w:val="0"/>
          <w:kern w:val="2"/>
          <w:sz w:val="24"/>
          <w:szCs w:val="24"/>
          <w14:ligatures w14:val="standardContextual"/>
        </w:rPr>
      </w:pPr>
      <w:hyperlink w:anchor="_Toc230690559" w:history="1">
        <w:r w:rsidRPr="004A6D5A">
          <w:rPr>
            <w:rStyle w:val="Hyperlink"/>
          </w:rPr>
          <w:t>Timeline</w:t>
        </w:r>
        <w:r>
          <w:rPr>
            <w:webHidden/>
          </w:rPr>
          <w:tab/>
        </w:r>
        <w:r>
          <w:rPr>
            <w:webHidden/>
          </w:rPr>
          <w:tab/>
        </w:r>
        <w:r>
          <w:rPr>
            <w:webHidden/>
          </w:rPr>
          <w:fldChar w:fldCharType="begin"/>
        </w:r>
        <w:r>
          <w:rPr>
            <w:webHidden/>
          </w:rPr>
          <w:instrText xml:space="preserve"> PAGEREF _Toc230690559 \h </w:instrText>
        </w:r>
        <w:r>
          <w:rPr>
            <w:webHidden/>
          </w:rPr>
        </w:r>
        <w:r>
          <w:rPr>
            <w:webHidden/>
          </w:rPr>
          <w:fldChar w:fldCharType="separate"/>
        </w:r>
        <w:r>
          <w:rPr>
            <w:webHidden/>
          </w:rPr>
          <w:t>3</w:t>
        </w:r>
        <w:r>
          <w:rPr>
            <w:webHidden/>
          </w:rPr>
          <w:fldChar w:fldCharType="end"/>
        </w:r>
      </w:hyperlink>
    </w:p>
    <w:p w14:paraId="15DD62DD" w14:textId="757E8227" w:rsidR="0046110B" w:rsidRDefault="0046110B">
      <w:pPr>
        <w:pStyle w:val="TOC1"/>
        <w:rPr>
          <w:rFonts w:asciiTheme="minorHAnsi" w:eastAsiaTheme="minorEastAsia" w:hAnsiTheme="minorHAnsi" w:cstheme="minorBidi"/>
          <w:b w:val="0"/>
          <w:spacing w:val="0"/>
          <w:kern w:val="2"/>
          <w:sz w:val="24"/>
          <w14:ligatures w14:val="standardContextual"/>
        </w:rPr>
      </w:pPr>
      <w:hyperlink w:anchor="_Toc230690560" w:history="1">
        <w:r w:rsidRPr="004A6D5A">
          <w:rPr>
            <w:rStyle w:val="Hyperlink"/>
          </w:rPr>
          <w:t>Discussion on proposed technical framework</w:t>
        </w:r>
        <w:r>
          <w:rPr>
            <w:webHidden/>
          </w:rPr>
          <w:tab/>
        </w:r>
        <w:r>
          <w:rPr>
            <w:webHidden/>
          </w:rPr>
          <w:fldChar w:fldCharType="begin"/>
        </w:r>
        <w:r>
          <w:rPr>
            <w:webHidden/>
          </w:rPr>
          <w:instrText xml:space="preserve"> PAGEREF _Toc230690560 \h </w:instrText>
        </w:r>
        <w:r>
          <w:rPr>
            <w:webHidden/>
          </w:rPr>
        </w:r>
        <w:r>
          <w:rPr>
            <w:webHidden/>
          </w:rPr>
          <w:fldChar w:fldCharType="separate"/>
        </w:r>
        <w:r>
          <w:rPr>
            <w:webHidden/>
          </w:rPr>
          <w:t>5</w:t>
        </w:r>
        <w:r>
          <w:rPr>
            <w:webHidden/>
          </w:rPr>
          <w:fldChar w:fldCharType="end"/>
        </w:r>
      </w:hyperlink>
    </w:p>
    <w:p w14:paraId="6926737A" w14:textId="6020E5F7" w:rsidR="0046110B" w:rsidRDefault="0046110B">
      <w:pPr>
        <w:pStyle w:val="TOC2"/>
        <w:rPr>
          <w:rFonts w:asciiTheme="minorHAnsi" w:eastAsiaTheme="minorEastAsia" w:hAnsiTheme="minorHAnsi" w:cstheme="minorBidi"/>
          <w:spacing w:val="0"/>
          <w:kern w:val="2"/>
          <w:sz w:val="24"/>
          <w:szCs w:val="24"/>
          <w14:ligatures w14:val="standardContextual"/>
        </w:rPr>
      </w:pPr>
      <w:hyperlink w:anchor="_Toc230690561" w:history="1">
        <w:r w:rsidRPr="004A6D5A">
          <w:rPr>
            <w:rStyle w:val="Hyperlink"/>
          </w:rPr>
          <w:t>2.5 GHz mid band gap spectrum licence technical framework</w:t>
        </w:r>
        <w:r>
          <w:rPr>
            <w:webHidden/>
          </w:rPr>
          <w:tab/>
        </w:r>
        <w:r>
          <w:rPr>
            <w:webHidden/>
          </w:rPr>
          <w:fldChar w:fldCharType="begin"/>
        </w:r>
        <w:r>
          <w:rPr>
            <w:webHidden/>
          </w:rPr>
          <w:instrText xml:space="preserve"> PAGEREF _Toc230690561 \h </w:instrText>
        </w:r>
        <w:r>
          <w:rPr>
            <w:webHidden/>
          </w:rPr>
        </w:r>
        <w:r>
          <w:rPr>
            <w:webHidden/>
          </w:rPr>
          <w:fldChar w:fldCharType="separate"/>
        </w:r>
        <w:r>
          <w:rPr>
            <w:webHidden/>
          </w:rPr>
          <w:t>5</w:t>
        </w:r>
        <w:r>
          <w:rPr>
            <w:webHidden/>
          </w:rPr>
          <w:fldChar w:fldCharType="end"/>
        </w:r>
      </w:hyperlink>
    </w:p>
    <w:p w14:paraId="0328FC32" w14:textId="042603DB" w:rsidR="0046110B" w:rsidRDefault="0046110B">
      <w:pPr>
        <w:pStyle w:val="TOC2"/>
        <w:rPr>
          <w:rFonts w:asciiTheme="minorHAnsi" w:eastAsiaTheme="minorEastAsia" w:hAnsiTheme="minorHAnsi" w:cstheme="minorBidi"/>
          <w:spacing w:val="0"/>
          <w:kern w:val="2"/>
          <w:sz w:val="24"/>
          <w:szCs w:val="24"/>
          <w14:ligatures w14:val="standardContextual"/>
        </w:rPr>
      </w:pPr>
      <w:hyperlink w:anchor="_Toc230690562" w:history="1">
        <w:r w:rsidRPr="004A6D5A">
          <w:rPr>
            <w:rStyle w:val="Hyperlink"/>
          </w:rPr>
          <w:t>2.5 GHz band spectrum licence technical framework</w:t>
        </w:r>
        <w:r>
          <w:rPr>
            <w:webHidden/>
          </w:rPr>
          <w:tab/>
        </w:r>
        <w:r>
          <w:rPr>
            <w:webHidden/>
          </w:rPr>
          <w:fldChar w:fldCharType="begin"/>
        </w:r>
        <w:r>
          <w:rPr>
            <w:webHidden/>
          </w:rPr>
          <w:instrText xml:space="preserve"> PAGEREF _Toc230690562 \h </w:instrText>
        </w:r>
        <w:r>
          <w:rPr>
            <w:webHidden/>
          </w:rPr>
        </w:r>
        <w:r>
          <w:rPr>
            <w:webHidden/>
          </w:rPr>
          <w:fldChar w:fldCharType="separate"/>
        </w:r>
        <w:r>
          <w:rPr>
            <w:webHidden/>
          </w:rPr>
          <w:t>5</w:t>
        </w:r>
        <w:r>
          <w:rPr>
            <w:webHidden/>
          </w:rPr>
          <w:fldChar w:fldCharType="end"/>
        </w:r>
      </w:hyperlink>
    </w:p>
    <w:p w14:paraId="565FBAB7" w14:textId="4D89DE3D" w:rsidR="0046110B" w:rsidRDefault="0046110B">
      <w:pPr>
        <w:pStyle w:val="TOC2"/>
        <w:rPr>
          <w:rFonts w:asciiTheme="minorHAnsi" w:eastAsiaTheme="minorEastAsia" w:hAnsiTheme="minorHAnsi" w:cstheme="minorBidi"/>
          <w:spacing w:val="0"/>
          <w:kern w:val="2"/>
          <w:sz w:val="24"/>
          <w:szCs w:val="24"/>
          <w14:ligatures w14:val="standardContextual"/>
        </w:rPr>
      </w:pPr>
      <w:hyperlink w:anchor="_Toc230690563" w:history="1">
        <w:r w:rsidRPr="004A6D5A">
          <w:rPr>
            <w:rStyle w:val="Hyperlink"/>
          </w:rPr>
          <w:t>Conditions on the spectrum licence</w:t>
        </w:r>
        <w:r>
          <w:rPr>
            <w:webHidden/>
          </w:rPr>
          <w:tab/>
        </w:r>
        <w:r>
          <w:rPr>
            <w:webHidden/>
          </w:rPr>
          <w:fldChar w:fldCharType="begin"/>
        </w:r>
        <w:r>
          <w:rPr>
            <w:webHidden/>
          </w:rPr>
          <w:instrText xml:space="preserve"> PAGEREF _Toc230690563 \h </w:instrText>
        </w:r>
        <w:r>
          <w:rPr>
            <w:webHidden/>
          </w:rPr>
        </w:r>
        <w:r>
          <w:rPr>
            <w:webHidden/>
          </w:rPr>
          <w:fldChar w:fldCharType="separate"/>
        </w:r>
        <w:r>
          <w:rPr>
            <w:webHidden/>
          </w:rPr>
          <w:t>5</w:t>
        </w:r>
        <w:r>
          <w:rPr>
            <w:webHidden/>
          </w:rPr>
          <w:fldChar w:fldCharType="end"/>
        </w:r>
      </w:hyperlink>
    </w:p>
    <w:p w14:paraId="318AF34C" w14:textId="04982682" w:rsidR="0046110B" w:rsidRDefault="0046110B">
      <w:pPr>
        <w:pStyle w:val="TOC2"/>
        <w:rPr>
          <w:rFonts w:asciiTheme="minorHAnsi" w:eastAsiaTheme="minorEastAsia" w:hAnsiTheme="minorHAnsi" w:cstheme="minorBidi"/>
          <w:spacing w:val="0"/>
          <w:kern w:val="2"/>
          <w:sz w:val="24"/>
          <w:szCs w:val="24"/>
          <w14:ligatures w14:val="standardContextual"/>
        </w:rPr>
      </w:pPr>
      <w:hyperlink w:anchor="_Toc230690564" w:history="1">
        <w:r w:rsidRPr="004A6D5A">
          <w:rPr>
            <w:rStyle w:val="Hyperlink"/>
          </w:rPr>
          <w:t>Radiocommunications advisory guidelines</w:t>
        </w:r>
        <w:r>
          <w:rPr>
            <w:webHidden/>
          </w:rPr>
          <w:tab/>
        </w:r>
        <w:r>
          <w:rPr>
            <w:webHidden/>
          </w:rPr>
          <w:fldChar w:fldCharType="begin"/>
        </w:r>
        <w:r>
          <w:rPr>
            <w:webHidden/>
          </w:rPr>
          <w:instrText xml:space="preserve"> PAGEREF _Toc230690564 \h </w:instrText>
        </w:r>
        <w:r>
          <w:rPr>
            <w:webHidden/>
          </w:rPr>
        </w:r>
        <w:r>
          <w:rPr>
            <w:webHidden/>
          </w:rPr>
          <w:fldChar w:fldCharType="separate"/>
        </w:r>
        <w:r>
          <w:rPr>
            <w:webHidden/>
          </w:rPr>
          <w:t>16</w:t>
        </w:r>
        <w:r>
          <w:rPr>
            <w:webHidden/>
          </w:rPr>
          <w:fldChar w:fldCharType="end"/>
        </w:r>
      </w:hyperlink>
    </w:p>
    <w:p w14:paraId="3AA47BE8" w14:textId="06C2F078" w:rsidR="0046110B" w:rsidRDefault="0046110B">
      <w:pPr>
        <w:pStyle w:val="TOC2"/>
        <w:rPr>
          <w:rFonts w:asciiTheme="minorHAnsi" w:eastAsiaTheme="minorEastAsia" w:hAnsiTheme="minorHAnsi" w:cstheme="minorBidi"/>
          <w:spacing w:val="0"/>
          <w:kern w:val="2"/>
          <w:sz w:val="24"/>
          <w:szCs w:val="24"/>
          <w14:ligatures w14:val="standardContextual"/>
        </w:rPr>
      </w:pPr>
      <w:hyperlink w:anchor="_Toc230690565" w:history="1">
        <w:r w:rsidRPr="004A6D5A">
          <w:rPr>
            <w:rStyle w:val="Hyperlink"/>
          </w:rPr>
          <w:t>Provisions to support wideband amplifiers</w:t>
        </w:r>
        <w:r>
          <w:rPr>
            <w:webHidden/>
          </w:rPr>
          <w:tab/>
        </w:r>
        <w:r>
          <w:rPr>
            <w:webHidden/>
          </w:rPr>
          <w:fldChar w:fldCharType="begin"/>
        </w:r>
        <w:r>
          <w:rPr>
            <w:webHidden/>
          </w:rPr>
          <w:instrText xml:space="preserve"> PAGEREF _Toc230690565 \h </w:instrText>
        </w:r>
        <w:r>
          <w:rPr>
            <w:webHidden/>
          </w:rPr>
        </w:r>
        <w:r>
          <w:rPr>
            <w:webHidden/>
          </w:rPr>
          <w:fldChar w:fldCharType="separate"/>
        </w:r>
        <w:r>
          <w:rPr>
            <w:webHidden/>
          </w:rPr>
          <w:t>18</w:t>
        </w:r>
        <w:r>
          <w:rPr>
            <w:webHidden/>
          </w:rPr>
          <w:fldChar w:fldCharType="end"/>
        </w:r>
      </w:hyperlink>
    </w:p>
    <w:p w14:paraId="1E7DBEC6" w14:textId="53325031" w:rsidR="004D56FF" w:rsidRPr="00A17B1B" w:rsidRDefault="00401FFD">
      <w:pPr>
        <w:rPr>
          <w:rFonts w:cs="Arial"/>
        </w:rPr>
        <w:sectPr w:rsidR="004D56FF" w:rsidRPr="00A17B1B" w:rsidSect="005A62E5">
          <w:headerReference w:type="even" r:id="rId24"/>
          <w:headerReference w:type="default" r:id="rId25"/>
          <w:footerReference w:type="even" r:id="rId26"/>
          <w:footerReference w:type="default" r:id="rId27"/>
          <w:footerReference w:type="first" r:id="rId28"/>
          <w:pgSz w:w="11906" w:h="16838" w:code="9"/>
          <w:pgMar w:top="1418" w:right="1418" w:bottom="1134" w:left="1418" w:header="709" w:footer="119" w:gutter="0"/>
          <w:pgNumType w:fmt="lowerRoman" w:start="3"/>
          <w:cols w:space="708"/>
          <w:titlePg/>
          <w:docGrid w:linePitch="360"/>
        </w:sectPr>
      </w:pPr>
      <w:r>
        <w:rPr>
          <w:rFonts w:cs="Arial"/>
          <w:b/>
          <w:noProof/>
          <w:spacing w:val="-14"/>
          <w:sz w:val="28"/>
        </w:rPr>
        <w:fldChar w:fldCharType="end"/>
      </w:r>
    </w:p>
    <w:p w14:paraId="2ADAB60F" w14:textId="05D351CD" w:rsidR="00595B18" w:rsidRDefault="00595B18" w:rsidP="00595B18">
      <w:pPr>
        <w:pStyle w:val="Heading1"/>
      </w:pPr>
      <w:bookmarkStart w:id="0" w:name="_Toc56006325"/>
      <w:bookmarkStart w:id="1" w:name="_Toc84339331"/>
      <w:bookmarkStart w:id="2" w:name="_Toc230690555"/>
      <w:r w:rsidRPr="007D04B2">
        <w:lastRenderedPageBreak/>
        <w:t xml:space="preserve">Version </w:t>
      </w:r>
      <w:bookmarkEnd w:id="0"/>
      <w:r>
        <w:t>c</w:t>
      </w:r>
      <w:r w:rsidRPr="007D04B2">
        <w:t>ontrol</w:t>
      </w:r>
      <w:bookmarkEnd w:id="1"/>
      <w:bookmarkEnd w:id="2"/>
    </w:p>
    <w:tbl>
      <w:tblPr>
        <w:tblStyle w:val="TableGrid"/>
        <w:tblW w:w="0" w:type="auto"/>
        <w:tblLook w:val="04A0" w:firstRow="1" w:lastRow="0" w:firstColumn="1" w:lastColumn="0" w:noHBand="0" w:noVBand="1"/>
      </w:tblPr>
      <w:tblGrid>
        <w:gridCol w:w="1947"/>
        <w:gridCol w:w="7113"/>
      </w:tblGrid>
      <w:tr w:rsidR="00595B18" w:rsidRPr="007D04B2" w14:paraId="362E7822" w14:textId="77777777" w:rsidTr="2C87AD26">
        <w:tc>
          <w:tcPr>
            <w:tcW w:w="1980" w:type="dxa"/>
            <w:shd w:val="clear" w:color="auto" w:fill="7F7F7F" w:themeFill="text2" w:themeFillTint="80"/>
          </w:tcPr>
          <w:p w14:paraId="1B5C62B6" w14:textId="77777777" w:rsidR="00595B18" w:rsidRPr="007D04B2" w:rsidRDefault="00595B18">
            <w:pPr>
              <w:spacing w:before="120" w:after="120" w:line="240" w:lineRule="auto"/>
              <w:rPr>
                <w:b/>
                <w:color w:val="FFFFFF" w:themeColor="background1"/>
              </w:rPr>
            </w:pPr>
            <w:r w:rsidRPr="007D04B2">
              <w:rPr>
                <w:b/>
                <w:color w:val="FFFFFF" w:themeColor="background1"/>
              </w:rPr>
              <w:t>Version</w:t>
            </w:r>
          </w:p>
        </w:tc>
        <w:tc>
          <w:tcPr>
            <w:tcW w:w="7310" w:type="dxa"/>
            <w:shd w:val="clear" w:color="auto" w:fill="7F7F7F" w:themeFill="text2" w:themeFillTint="80"/>
          </w:tcPr>
          <w:p w14:paraId="42439817" w14:textId="77777777" w:rsidR="00595B18" w:rsidRPr="007D04B2" w:rsidRDefault="00595B18">
            <w:pPr>
              <w:spacing w:before="120" w:after="120" w:line="240" w:lineRule="auto"/>
              <w:rPr>
                <w:b/>
                <w:color w:val="FFFFFF" w:themeColor="background1"/>
              </w:rPr>
            </w:pPr>
            <w:r w:rsidRPr="007D04B2">
              <w:rPr>
                <w:b/>
                <w:color w:val="FFFFFF" w:themeColor="background1"/>
              </w:rPr>
              <w:t>Comments</w:t>
            </w:r>
          </w:p>
        </w:tc>
      </w:tr>
      <w:tr w:rsidR="00595B18" w:rsidRPr="007D04B2" w14:paraId="76946FEE" w14:textId="77777777" w:rsidTr="2C87AD26">
        <w:tc>
          <w:tcPr>
            <w:tcW w:w="1980" w:type="dxa"/>
          </w:tcPr>
          <w:p w14:paraId="2FC378A9" w14:textId="77777777" w:rsidR="00595B18" w:rsidRPr="007D04B2" w:rsidRDefault="00595B18">
            <w:pPr>
              <w:spacing w:before="120" w:after="120" w:line="240" w:lineRule="auto"/>
            </w:pPr>
            <w:r w:rsidRPr="007D04B2">
              <w:t>Version 1.0</w:t>
            </w:r>
          </w:p>
        </w:tc>
        <w:tc>
          <w:tcPr>
            <w:tcW w:w="7310" w:type="dxa"/>
          </w:tcPr>
          <w:p w14:paraId="78F8A9BB" w14:textId="545A0B92" w:rsidR="00595B18" w:rsidRPr="007D04B2" w:rsidRDefault="00595B18">
            <w:pPr>
              <w:spacing w:before="120" w:after="120" w:line="240" w:lineRule="auto"/>
            </w:pPr>
            <w:r>
              <w:t xml:space="preserve">Initial release: </w:t>
            </w:r>
            <w:r w:rsidR="007A040B">
              <w:t xml:space="preserve">10 </w:t>
            </w:r>
            <w:r w:rsidR="002E5615">
              <w:t>March 2026</w:t>
            </w:r>
          </w:p>
        </w:tc>
      </w:tr>
      <w:tr w:rsidR="00595B18" w:rsidRPr="007D04B2" w14:paraId="4DFD0206" w14:textId="77777777" w:rsidTr="2C87AD26">
        <w:tc>
          <w:tcPr>
            <w:tcW w:w="1980" w:type="dxa"/>
          </w:tcPr>
          <w:p w14:paraId="3796E730" w14:textId="0CA8D6CF" w:rsidR="00595B18" w:rsidRPr="007D04B2" w:rsidRDefault="005C1555">
            <w:pPr>
              <w:spacing w:before="120" w:after="120" w:line="240" w:lineRule="auto"/>
            </w:pPr>
            <w:r>
              <w:t>Version 2.0</w:t>
            </w:r>
          </w:p>
        </w:tc>
        <w:tc>
          <w:tcPr>
            <w:tcW w:w="7310" w:type="dxa"/>
          </w:tcPr>
          <w:p w14:paraId="332FDB4E" w14:textId="7E764552" w:rsidR="00595B18" w:rsidRPr="007D04B2" w:rsidRDefault="005C1555">
            <w:pPr>
              <w:spacing w:before="120" w:after="120" w:line="240" w:lineRule="auto"/>
            </w:pPr>
            <w:r>
              <w:t>Final release: May 2026</w:t>
            </w:r>
          </w:p>
        </w:tc>
      </w:tr>
    </w:tbl>
    <w:p w14:paraId="7113B039" w14:textId="77777777" w:rsidR="00595B18" w:rsidRPr="00595B18" w:rsidRDefault="00595B18" w:rsidP="00595B18"/>
    <w:p w14:paraId="1C0301E1" w14:textId="0BB300CB" w:rsidR="00595B18" w:rsidRDefault="00595B18" w:rsidP="005E250B">
      <w:pPr>
        <w:pStyle w:val="Heading1"/>
      </w:pPr>
      <w:bookmarkStart w:id="3" w:name="_Toc56006326"/>
      <w:bookmarkStart w:id="4" w:name="_Toc84339332"/>
      <w:bookmarkStart w:id="5" w:name="_Toc230690556"/>
      <w:r w:rsidRPr="00473557">
        <w:lastRenderedPageBreak/>
        <w:t>Introduction</w:t>
      </w:r>
      <w:bookmarkEnd w:id="3"/>
      <w:bookmarkEnd w:id="4"/>
      <w:bookmarkEnd w:id="5"/>
    </w:p>
    <w:p w14:paraId="53BD7F9E" w14:textId="77777777" w:rsidR="00595B18" w:rsidRPr="007D04B2" w:rsidRDefault="00595B18" w:rsidP="00595B18">
      <w:pPr>
        <w:rPr>
          <w:rFonts w:cs="Arial"/>
        </w:rPr>
      </w:pPr>
      <w:r w:rsidRPr="007D04B2">
        <w:rPr>
          <w:rFonts w:cs="Arial"/>
        </w:rPr>
        <w:t xml:space="preserve">The Australian Communications and Media Authority (ACMA) </w:t>
      </w:r>
      <w:proofErr w:type="gramStart"/>
      <w:r w:rsidRPr="007D04B2">
        <w:rPr>
          <w:rFonts w:cs="Arial"/>
        </w:rPr>
        <w:t>develops</w:t>
      </w:r>
      <w:proofErr w:type="gramEnd"/>
      <w:r w:rsidRPr="007D04B2">
        <w:rPr>
          <w:rFonts w:cs="Arial"/>
        </w:rPr>
        <w:t xml:space="preserve"> a technical framework for every band subject to spectrum licensing. Each framework is a collection of technical and regulatory conditions applicable to the use of radiocommunications devices in the spectrum-licensed band. The purpose</w:t>
      </w:r>
      <w:r w:rsidRPr="007D04B2" w:rsidDel="00F774CE">
        <w:rPr>
          <w:rFonts w:cs="Arial"/>
        </w:rPr>
        <w:t xml:space="preserve"> </w:t>
      </w:r>
      <w:r w:rsidRPr="007D04B2">
        <w:rPr>
          <w:rFonts w:cs="Arial"/>
        </w:rPr>
        <w:t>of the technical framework is to define the technical conditions and constraints under which a device may be deployed and operated within the specified geographic area and frequency band of the licence.</w:t>
      </w:r>
    </w:p>
    <w:p w14:paraId="27D5A12C" w14:textId="043FDAFD" w:rsidR="00595B18" w:rsidRPr="007D04B2" w:rsidRDefault="00595B18" w:rsidP="00595B18">
      <w:pPr>
        <w:rPr>
          <w:rFonts w:cs="Arial"/>
        </w:rPr>
      </w:pPr>
      <w:r w:rsidRPr="007D04B2">
        <w:rPr>
          <w:rFonts w:cs="Arial"/>
        </w:rPr>
        <w:t>Although the technical framework is optimised for technologies or services most likely to be deployed in the band, it is intended to be technology</w:t>
      </w:r>
      <w:r>
        <w:rPr>
          <w:rFonts w:cs="Arial"/>
        </w:rPr>
        <w:t xml:space="preserve"> </w:t>
      </w:r>
      <w:r w:rsidRPr="007D04B2">
        <w:rPr>
          <w:rFonts w:cs="Arial"/>
        </w:rPr>
        <w:t xml:space="preserve">flexible. This means licensees can operate any type of radiocommunications device for any purpose, provided they comply with the technical framework relevant to the licence. </w:t>
      </w:r>
    </w:p>
    <w:p w14:paraId="4994E77B" w14:textId="0760BB3E" w:rsidR="00595B18" w:rsidRDefault="00595B18" w:rsidP="00595B18">
      <w:pPr>
        <w:rPr>
          <w:rFonts w:cs="Arial"/>
        </w:rPr>
      </w:pPr>
      <w:r w:rsidRPr="2C87AD26">
        <w:rPr>
          <w:rFonts w:cs="Arial"/>
        </w:rPr>
        <w:t xml:space="preserve">The paired frequency ranges </w:t>
      </w:r>
      <w:r w:rsidR="00D173A9" w:rsidRPr="2C87AD26">
        <w:rPr>
          <w:rFonts w:cs="Arial"/>
        </w:rPr>
        <w:t>250</w:t>
      </w:r>
      <w:r w:rsidRPr="2C87AD26">
        <w:rPr>
          <w:rFonts w:cs="Arial"/>
        </w:rPr>
        <w:t>0–</w:t>
      </w:r>
      <w:r w:rsidR="00D173A9" w:rsidRPr="2C87AD26">
        <w:rPr>
          <w:rFonts w:cs="Arial"/>
        </w:rPr>
        <w:t>257</w:t>
      </w:r>
      <w:r w:rsidRPr="2C87AD26">
        <w:rPr>
          <w:rFonts w:cs="Arial"/>
        </w:rPr>
        <w:t xml:space="preserve">0 MHz and 2620–2690 MHz (the 2.5 GHz band) were designated for the issue of spectrum licences </w:t>
      </w:r>
      <w:r w:rsidR="00D173A9" w:rsidRPr="2C87AD26">
        <w:rPr>
          <w:rFonts w:cs="Arial"/>
        </w:rPr>
        <w:t>on an Australia wide basis</w:t>
      </w:r>
      <w:r w:rsidRPr="2C87AD26">
        <w:rPr>
          <w:rFonts w:cs="Arial"/>
        </w:rPr>
        <w:t>. The most recent modification of the technical framework of the 2</w:t>
      </w:r>
      <w:r w:rsidR="00D173A9" w:rsidRPr="2C87AD26">
        <w:rPr>
          <w:rFonts w:cs="Arial"/>
        </w:rPr>
        <w:t>.5</w:t>
      </w:r>
      <w:r w:rsidRPr="2C87AD26">
        <w:rPr>
          <w:rFonts w:cs="Arial"/>
        </w:rPr>
        <w:t> GHz band was finalised in 2016. This optimised</w:t>
      </w:r>
      <w:r w:rsidR="0F66A8A0" w:rsidRPr="2C87AD26">
        <w:rPr>
          <w:rFonts w:cs="Arial"/>
        </w:rPr>
        <w:t xml:space="preserve"> the</w:t>
      </w:r>
      <w:r w:rsidRPr="2C87AD26">
        <w:rPr>
          <w:rFonts w:cs="Arial"/>
        </w:rPr>
        <w:t xml:space="preserve"> use of the band for 4G technologies. Since then, 5G standards and advanced antenna systems (AAS) have been introduced and are now commercially available in the 2</w:t>
      </w:r>
      <w:r w:rsidR="00D173A9" w:rsidRPr="2C87AD26">
        <w:rPr>
          <w:rFonts w:cs="Arial"/>
        </w:rPr>
        <w:t>.5</w:t>
      </w:r>
      <w:r w:rsidRPr="2C87AD26">
        <w:rPr>
          <w:rFonts w:cs="Arial"/>
        </w:rPr>
        <w:t xml:space="preserve"> GHz band. Therefore, it was considered, in consultation with stakeholders, that a revision to the 2</w:t>
      </w:r>
      <w:r w:rsidR="00D173A9" w:rsidRPr="2C87AD26">
        <w:rPr>
          <w:rFonts w:cs="Arial"/>
        </w:rPr>
        <w:t>.5</w:t>
      </w:r>
      <w:r w:rsidRPr="2C87AD26">
        <w:rPr>
          <w:rFonts w:cs="Arial"/>
        </w:rPr>
        <w:t xml:space="preserve"> GHz technical framework to account for these developments was warranted.</w:t>
      </w:r>
    </w:p>
    <w:p w14:paraId="36782F0A" w14:textId="3EE1F8E2" w:rsidR="00FB33CF" w:rsidRDefault="00FB33CF" w:rsidP="00595B18">
      <w:pPr>
        <w:rPr>
          <w:rFonts w:cs="Arial"/>
        </w:rPr>
      </w:pPr>
      <w:r w:rsidRPr="007D04B2">
        <w:rPr>
          <w:rFonts w:cs="Arial"/>
        </w:rPr>
        <w:t xml:space="preserve">The frequency range </w:t>
      </w:r>
      <w:r>
        <w:rPr>
          <w:rFonts w:cs="Arial"/>
        </w:rPr>
        <w:t xml:space="preserve">2570–2620 MHz </w:t>
      </w:r>
      <w:r w:rsidR="00192C28">
        <w:rPr>
          <w:rFonts w:cs="Arial"/>
        </w:rPr>
        <w:t>(the 2.5 GH</w:t>
      </w:r>
      <w:r w:rsidR="002F7657">
        <w:rPr>
          <w:rFonts w:cs="Arial"/>
        </w:rPr>
        <w:t xml:space="preserve">z mid band gap) </w:t>
      </w:r>
      <w:r>
        <w:rPr>
          <w:rFonts w:cs="Arial"/>
        </w:rPr>
        <w:t>was designated</w:t>
      </w:r>
      <w:r w:rsidRPr="007D04B2">
        <w:rPr>
          <w:rFonts w:cs="Arial"/>
        </w:rPr>
        <w:t xml:space="preserve"> for the issue of spectrum licences </w:t>
      </w:r>
      <w:r>
        <w:rPr>
          <w:rFonts w:cs="Arial"/>
        </w:rPr>
        <w:t xml:space="preserve">on an Australia wide basis </w:t>
      </w:r>
      <w:r w:rsidR="00AD29DB">
        <w:rPr>
          <w:rFonts w:cs="Arial"/>
        </w:rPr>
        <w:t xml:space="preserve">with the associated technical framework optimised </w:t>
      </w:r>
      <w:r>
        <w:rPr>
          <w:rFonts w:cs="Arial"/>
        </w:rPr>
        <w:t>for the purposes of providing Television Outside Broadcast (TOB)</w:t>
      </w:r>
      <w:r w:rsidR="00993DC1">
        <w:rPr>
          <w:rFonts w:cs="Arial"/>
        </w:rPr>
        <w:t xml:space="preserve"> services</w:t>
      </w:r>
      <w:r w:rsidRPr="007D04B2">
        <w:rPr>
          <w:rFonts w:cs="Arial"/>
        </w:rPr>
        <w:t>.</w:t>
      </w:r>
      <w:r>
        <w:rPr>
          <w:rFonts w:cs="Arial"/>
        </w:rPr>
        <w:t xml:space="preserve"> </w:t>
      </w:r>
    </w:p>
    <w:p w14:paraId="708132FF" w14:textId="77777777" w:rsidR="00595B18" w:rsidRDefault="00595B18" w:rsidP="00595B18">
      <w:pPr>
        <w:rPr>
          <w:rFonts w:cs="Arial"/>
        </w:rPr>
      </w:pPr>
      <w:r>
        <w:rPr>
          <w:rFonts w:cs="Arial"/>
        </w:rPr>
        <w:t xml:space="preserve">We have stated our intention to progressively review the technical framework for all spectrum-licensed bands in the </w:t>
      </w:r>
      <w:hyperlink r:id="rId29" w:history="1">
        <w:r w:rsidRPr="00934500">
          <w:rPr>
            <w:rStyle w:val="Hyperlink"/>
            <w:rFonts w:cs="Arial"/>
            <w:i/>
            <w:iCs/>
          </w:rPr>
          <w:t>Five-year spectrum outlook 2019–23</w:t>
        </w:r>
      </w:hyperlink>
      <w:r>
        <w:rPr>
          <w:rFonts w:cs="Arial"/>
        </w:rPr>
        <w:t xml:space="preserve">. </w:t>
      </w:r>
    </w:p>
    <w:p w14:paraId="278E4E42" w14:textId="1A52F311" w:rsidR="00595B18" w:rsidRDefault="00595B18" w:rsidP="00595B18">
      <w:pPr>
        <w:rPr>
          <w:rFonts w:cs="Arial"/>
        </w:rPr>
      </w:pPr>
      <w:r>
        <w:rPr>
          <w:rFonts w:cs="Arial"/>
        </w:rPr>
        <w:t>To assist with this work, we formed the 2</w:t>
      </w:r>
      <w:r w:rsidR="00D173A9">
        <w:rPr>
          <w:rFonts w:cs="Arial"/>
        </w:rPr>
        <w:t>.5</w:t>
      </w:r>
      <w:r>
        <w:rPr>
          <w:rFonts w:cs="Arial"/>
        </w:rPr>
        <w:t xml:space="preserve"> GHz technical liaison group (TLG)</w:t>
      </w:r>
      <w:r w:rsidR="00C44D72">
        <w:rPr>
          <w:rFonts w:cs="Arial"/>
        </w:rPr>
        <w:t xml:space="preserve"> in </w:t>
      </w:r>
      <w:r w:rsidR="00141435">
        <w:rPr>
          <w:rFonts w:cs="Arial"/>
        </w:rPr>
        <w:t>October</w:t>
      </w:r>
      <w:r w:rsidR="00C44D72">
        <w:rPr>
          <w:rFonts w:cs="Arial"/>
        </w:rPr>
        <w:t xml:space="preserve"> 2025</w:t>
      </w:r>
      <w:r>
        <w:rPr>
          <w:rFonts w:cs="Arial"/>
        </w:rPr>
        <w:t>. Members of the TLG included 2</w:t>
      </w:r>
      <w:r w:rsidR="00D173A9">
        <w:rPr>
          <w:rFonts w:cs="Arial"/>
        </w:rPr>
        <w:t>.5</w:t>
      </w:r>
      <w:r>
        <w:rPr>
          <w:rFonts w:cs="Arial"/>
        </w:rPr>
        <w:t xml:space="preserve"> GHz spectrum licensees, in-band and adjacent-band apparatus licensees, equipment manufacturers and accredited persons. </w:t>
      </w:r>
    </w:p>
    <w:p w14:paraId="195D09EE" w14:textId="6ECA963A" w:rsidR="00595B18" w:rsidRPr="007918C8" w:rsidRDefault="00595B18" w:rsidP="00595B18">
      <w:pPr>
        <w:rPr>
          <w:rFonts w:cs="Arial"/>
        </w:rPr>
      </w:pPr>
      <w:r w:rsidRPr="2C87AD26">
        <w:rPr>
          <w:rFonts w:cs="Arial"/>
        </w:rPr>
        <w:t xml:space="preserve">The TLG is the first step in the process of reviewing or establishing a technical framework. We will </w:t>
      </w:r>
      <w:r w:rsidR="00720D43" w:rsidRPr="2C87AD26">
        <w:rPr>
          <w:rFonts w:cs="Arial"/>
        </w:rPr>
        <w:t xml:space="preserve">consider </w:t>
      </w:r>
      <w:r w:rsidRPr="2C87AD26">
        <w:rPr>
          <w:rFonts w:cs="Arial"/>
        </w:rPr>
        <w:t xml:space="preserve">the outcomes of the TLG </w:t>
      </w:r>
      <w:r w:rsidR="00720D43" w:rsidRPr="2C87AD26">
        <w:rPr>
          <w:rFonts w:cs="Arial"/>
        </w:rPr>
        <w:t>when we</w:t>
      </w:r>
      <w:r w:rsidRPr="2C87AD26">
        <w:rPr>
          <w:rFonts w:cs="Arial"/>
        </w:rPr>
        <w:t xml:space="preserve"> publicly consult on proposed changes to</w:t>
      </w:r>
      <w:r w:rsidR="00623E7C" w:rsidRPr="2C87AD26">
        <w:rPr>
          <w:rFonts w:cs="Arial"/>
        </w:rPr>
        <w:t xml:space="preserve"> existing</w:t>
      </w:r>
      <w:r w:rsidRPr="2C87AD26">
        <w:rPr>
          <w:rFonts w:cs="Arial"/>
        </w:rPr>
        <w:t>, or new,</w:t>
      </w:r>
      <w:r w:rsidR="00623E7C" w:rsidRPr="2C87AD26">
        <w:rPr>
          <w:rFonts w:cs="Arial"/>
        </w:rPr>
        <w:t xml:space="preserve"> spectrum licence conditions as well as the</w:t>
      </w:r>
      <w:r w:rsidRPr="2C87AD26">
        <w:rPr>
          <w:rFonts w:cs="Arial"/>
        </w:rPr>
        <w:t xml:space="preserve"> relevant instruments that form the 2</w:t>
      </w:r>
      <w:r w:rsidR="00D173A9" w:rsidRPr="2C87AD26">
        <w:rPr>
          <w:rFonts w:cs="Arial"/>
        </w:rPr>
        <w:t>.5</w:t>
      </w:r>
      <w:r w:rsidRPr="2C87AD26">
        <w:rPr>
          <w:rFonts w:cs="Arial"/>
        </w:rPr>
        <w:t xml:space="preserve"> GHz band technical frameworks. TLG members </w:t>
      </w:r>
      <w:proofErr w:type="gramStart"/>
      <w:r w:rsidRPr="2C87AD26">
        <w:rPr>
          <w:rFonts w:cs="Arial"/>
        </w:rPr>
        <w:t xml:space="preserve">are able </w:t>
      </w:r>
      <w:r w:rsidR="001761D2" w:rsidRPr="2C87AD26">
        <w:rPr>
          <w:rFonts w:cs="Arial"/>
        </w:rPr>
        <w:t>to</w:t>
      </w:r>
      <w:proofErr w:type="gramEnd"/>
      <w:r w:rsidR="001761D2" w:rsidRPr="2C87AD26">
        <w:rPr>
          <w:rFonts w:cs="Arial"/>
        </w:rPr>
        <w:t xml:space="preserve"> comment</w:t>
      </w:r>
      <w:r w:rsidRPr="2C87AD26">
        <w:rPr>
          <w:rFonts w:cs="Arial"/>
        </w:rPr>
        <w:t xml:space="preserve"> on the technical frameworks both as part of the informal TLG and the subsequent formal public consultation processes.</w:t>
      </w:r>
    </w:p>
    <w:p w14:paraId="21529BAC" w14:textId="77777777" w:rsidR="00595B18" w:rsidRDefault="00595B18" w:rsidP="00595B18">
      <w:pPr>
        <w:rPr>
          <w:rFonts w:cs="Arial"/>
        </w:rPr>
      </w:pPr>
      <w:r w:rsidRPr="007918C8">
        <w:rPr>
          <w:rFonts w:cs="Arial"/>
        </w:rPr>
        <w:t xml:space="preserve">While </w:t>
      </w:r>
      <w:r>
        <w:rPr>
          <w:rFonts w:cs="Arial"/>
        </w:rPr>
        <w:t>we</w:t>
      </w:r>
      <w:r w:rsidRPr="007918C8">
        <w:rPr>
          <w:rFonts w:cs="Arial"/>
        </w:rPr>
        <w:t xml:space="preserve"> strive to achieve consensus with members, the final decision on the content of, or changes to, a spectrum or apparatus licence technical framework rests with the ACMA. This is particularly relevant in cases where consensus cannot be achieved on an issue, or advice from the TLG is not provided within a reasonable time frame.</w:t>
      </w:r>
    </w:p>
    <w:p w14:paraId="792ACF67" w14:textId="69E9D046" w:rsidR="00595B18" w:rsidRDefault="00595B18" w:rsidP="00595B18">
      <w:pPr>
        <w:rPr>
          <w:rFonts w:cs="Arial"/>
        </w:rPr>
      </w:pPr>
      <w:r w:rsidRPr="007D04B2">
        <w:rPr>
          <w:rFonts w:cs="Arial"/>
        </w:rPr>
        <w:t xml:space="preserve">The purpose of this paper is to </w:t>
      </w:r>
      <w:r>
        <w:rPr>
          <w:rFonts w:cs="Arial"/>
        </w:rPr>
        <w:t>summarise changes to the 2</w:t>
      </w:r>
      <w:r w:rsidR="00D173A9">
        <w:rPr>
          <w:rFonts w:cs="Arial"/>
        </w:rPr>
        <w:t>.5</w:t>
      </w:r>
      <w:r>
        <w:rPr>
          <w:rFonts w:cs="Arial"/>
        </w:rPr>
        <w:t xml:space="preserve"> GHz band spectrum licence technical framework proposed by the TLG. </w:t>
      </w:r>
    </w:p>
    <w:p w14:paraId="7A638BEA" w14:textId="77777777" w:rsidR="00595B18" w:rsidRDefault="00595B18" w:rsidP="00595B18">
      <w:pPr>
        <w:spacing w:after="0" w:line="240" w:lineRule="auto"/>
        <w:rPr>
          <w:rFonts w:cs="Arial"/>
        </w:rPr>
      </w:pPr>
      <w:r>
        <w:rPr>
          <w:rFonts w:cs="Arial"/>
        </w:rPr>
        <w:br w:type="page"/>
      </w:r>
    </w:p>
    <w:p w14:paraId="43618C97" w14:textId="77777777" w:rsidR="00595B18" w:rsidRPr="007D04B2" w:rsidRDefault="00595B18" w:rsidP="00595B18">
      <w:pPr>
        <w:pStyle w:val="Heading2"/>
      </w:pPr>
      <w:bookmarkStart w:id="6" w:name="_Toc56006327"/>
      <w:bookmarkStart w:id="7" w:name="_Toc84339333"/>
      <w:bookmarkStart w:id="8" w:name="_Toc230690557"/>
      <w:r w:rsidRPr="007D04B2">
        <w:lastRenderedPageBreak/>
        <w:t>Outline</w:t>
      </w:r>
      <w:bookmarkEnd w:id="6"/>
      <w:bookmarkEnd w:id="7"/>
      <w:bookmarkEnd w:id="8"/>
    </w:p>
    <w:p w14:paraId="105B65C2" w14:textId="77777777" w:rsidR="00595B18" w:rsidRPr="007D04B2" w:rsidRDefault="00595B18" w:rsidP="00595B18">
      <w:pPr>
        <w:spacing w:after="60" w:line="240" w:lineRule="auto"/>
      </w:pPr>
      <w:r w:rsidRPr="007D04B2">
        <w:t>This paper has been divided into discussion on the relevant instrument</w:t>
      </w:r>
      <w:r>
        <w:t>s</w:t>
      </w:r>
      <w:r w:rsidRPr="007D04B2">
        <w:t xml:space="preserve"> that form a spectrum licence technical framework</w:t>
      </w:r>
      <w:r>
        <w:t xml:space="preserve"> as follows</w:t>
      </w:r>
      <w:r w:rsidRPr="007D04B2">
        <w:t>:</w:t>
      </w:r>
    </w:p>
    <w:p w14:paraId="1D5B8258" w14:textId="0065B08B" w:rsidR="00595B18" w:rsidRPr="00552CB6" w:rsidRDefault="00595B18" w:rsidP="009F608C">
      <w:pPr>
        <w:pStyle w:val="Bulletlevel1"/>
        <w:rPr>
          <w:szCs w:val="20"/>
        </w:rPr>
      </w:pPr>
      <w:r w:rsidRPr="009F608C">
        <w:rPr>
          <w:sz w:val="20"/>
          <w:szCs w:val="20"/>
        </w:rPr>
        <w:t xml:space="preserve">The </w:t>
      </w:r>
      <w:r w:rsidR="007F5C7A" w:rsidRPr="009F608C">
        <w:rPr>
          <w:sz w:val="20"/>
          <w:szCs w:val="20"/>
        </w:rPr>
        <w:t xml:space="preserve">conditions on </w:t>
      </w:r>
      <w:r w:rsidRPr="009F608C">
        <w:rPr>
          <w:sz w:val="20"/>
          <w:szCs w:val="20"/>
        </w:rPr>
        <w:t>spectrum licence</w:t>
      </w:r>
      <w:r w:rsidR="007F5C7A" w:rsidRPr="009F608C">
        <w:rPr>
          <w:sz w:val="20"/>
          <w:szCs w:val="20"/>
        </w:rPr>
        <w:t>s</w:t>
      </w:r>
      <w:r w:rsidRPr="009F608C">
        <w:rPr>
          <w:sz w:val="20"/>
          <w:szCs w:val="20"/>
        </w:rPr>
        <w:t>, specifically:</w:t>
      </w:r>
    </w:p>
    <w:p w14:paraId="5AA42CA7" w14:textId="77777777" w:rsidR="00595B18" w:rsidRPr="00552CB6" w:rsidRDefault="00595B18" w:rsidP="009F608C">
      <w:pPr>
        <w:pStyle w:val="Bulletlevel2"/>
        <w:rPr>
          <w:szCs w:val="20"/>
        </w:rPr>
      </w:pPr>
      <w:r w:rsidRPr="009F608C">
        <w:rPr>
          <w:sz w:val="20"/>
          <w:szCs w:val="20"/>
        </w:rPr>
        <w:t>unwanted emission limits</w:t>
      </w:r>
    </w:p>
    <w:p w14:paraId="6751F5D5" w14:textId="77777777" w:rsidR="00595B18" w:rsidRPr="00552CB6" w:rsidRDefault="00595B18" w:rsidP="009F608C">
      <w:pPr>
        <w:pStyle w:val="Bulletlevel2"/>
        <w:rPr>
          <w:szCs w:val="20"/>
        </w:rPr>
      </w:pPr>
      <w:r w:rsidRPr="009F608C">
        <w:rPr>
          <w:sz w:val="20"/>
          <w:szCs w:val="20"/>
        </w:rPr>
        <w:t>other conditions on the licence.</w:t>
      </w:r>
    </w:p>
    <w:p w14:paraId="4E50CD30" w14:textId="26C0205E" w:rsidR="00595B18" w:rsidRPr="00552CB6" w:rsidRDefault="00595B18" w:rsidP="009F608C">
      <w:pPr>
        <w:pStyle w:val="Bulletlevel1"/>
        <w:rPr>
          <w:szCs w:val="20"/>
        </w:rPr>
      </w:pPr>
      <w:r w:rsidRPr="009F608C">
        <w:rPr>
          <w:sz w:val="20"/>
          <w:szCs w:val="20"/>
        </w:rPr>
        <w:t>The s.145(4) determination on unacceptable levels of interference, specifically:</w:t>
      </w:r>
    </w:p>
    <w:p w14:paraId="0CDC77FE" w14:textId="77777777" w:rsidR="00595B18" w:rsidRPr="00552CB6" w:rsidRDefault="00595B18" w:rsidP="009F608C">
      <w:pPr>
        <w:pStyle w:val="Bulletlevel2"/>
        <w:rPr>
          <w:szCs w:val="20"/>
        </w:rPr>
      </w:pPr>
      <w:r w:rsidRPr="009F608C">
        <w:rPr>
          <w:sz w:val="20"/>
          <w:szCs w:val="20"/>
        </w:rPr>
        <w:t>the device boundary criteria (controlling emissions across geographical boundaries)</w:t>
      </w:r>
    </w:p>
    <w:p w14:paraId="00F3FEAE" w14:textId="77777777" w:rsidR="00595B18" w:rsidRPr="00552CB6" w:rsidRDefault="00595B18" w:rsidP="009F608C">
      <w:pPr>
        <w:pStyle w:val="Bulletlevel2"/>
        <w:rPr>
          <w:szCs w:val="20"/>
        </w:rPr>
      </w:pPr>
      <w:r w:rsidRPr="009F608C">
        <w:rPr>
          <w:sz w:val="20"/>
          <w:szCs w:val="20"/>
        </w:rPr>
        <w:t>deployment constraints.</w:t>
      </w:r>
    </w:p>
    <w:p w14:paraId="2B7DFD8E" w14:textId="33A6850D" w:rsidR="00595B18" w:rsidRPr="00552CB6" w:rsidRDefault="00595B18" w:rsidP="009F608C">
      <w:pPr>
        <w:pStyle w:val="Bulletlevel1"/>
        <w:rPr>
          <w:szCs w:val="20"/>
        </w:rPr>
      </w:pPr>
      <w:r w:rsidRPr="009F608C">
        <w:rPr>
          <w:sz w:val="20"/>
          <w:szCs w:val="20"/>
        </w:rPr>
        <w:t>The advisory guidelines made under s.262 for:</w:t>
      </w:r>
    </w:p>
    <w:p w14:paraId="1B74E7BD" w14:textId="77777777" w:rsidR="00595B18" w:rsidRPr="00552CB6" w:rsidRDefault="00595B18" w:rsidP="009F608C">
      <w:pPr>
        <w:pStyle w:val="Bulletlevel2"/>
        <w:rPr>
          <w:szCs w:val="20"/>
        </w:rPr>
      </w:pPr>
      <w:r w:rsidRPr="009F608C">
        <w:rPr>
          <w:sz w:val="20"/>
          <w:szCs w:val="20"/>
        </w:rPr>
        <w:t>managing interference from spectrum licensed transmitters to the following:</w:t>
      </w:r>
    </w:p>
    <w:p w14:paraId="49955C75" w14:textId="034978BF" w:rsidR="000015D4" w:rsidRPr="00552CB6" w:rsidRDefault="00FF4A23" w:rsidP="009F608C">
      <w:pPr>
        <w:pStyle w:val="Bulletlevel2"/>
        <w:numPr>
          <w:ilvl w:val="1"/>
          <w:numId w:val="13"/>
        </w:numPr>
        <w:rPr>
          <w:szCs w:val="20"/>
        </w:rPr>
      </w:pPr>
      <w:r w:rsidRPr="009F608C">
        <w:rPr>
          <w:sz w:val="20"/>
          <w:szCs w:val="20"/>
        </w:rPr>
        <w:t>spectrum licensed receivers</w:t>
      </w:r>
      <w:r w:rsidR="000015D4" w:rsidRPr="009F608C">
        <w:rPr>
          <w:sz w:val="20"/>
          <w:szCs w:val="20"/>
        </w:rPr>
        <w:t xml:space="preserve">, including television outside broadcast (TOB) spectrum services </w:t>
      </w:r>
      <w:r w:rsidR="000015D4" w:rsidRPr="009F608C">
        <w:rPr>
          <w:color w:val="000000"/>
          <w:sz w:val="20"/>
          <w:szCs w:val="20"/>
          <w:shd w:val="clear" w:color="auto" w:fill="FFFFFF"/>
        </w:rPr>
        <w:t>operating in the 2.5 GHz mid band gap</w:t>
      </w:r>
    </w:p>
    <w:p w14:paraId="75CACEDA" w14:textId="652AA4B9" w:rsidR="009F0B34" w:rsidRPr="00552CB6" w:rsidRDefault="007C7D69" w:rsidP="009F608C">
      <w:pPr>
        <w:pStyle w:val="Bulletlevel2"/>
        <w:numPr>
          <w:ilvl w:val="1"/>
          <w:numId w:val="13"/>
        </w:numPr>
        <w:rPr>
          <w:szCs w:val="20"/>
        </w:rPr>
      </w:pPr>
      <w:r w:rsidRPr="009F608C">
        <w:rPr>
          <w:sz w:val="20"/>
          <w:szCs w:val="20"/>
        </w:rPr>
        <w:t>f</w:t>
      </w:r>
      <w:r w:rsidR="009F0B34" w:rsidRPr="009F608C">
        <w:rPr>
          <w:sz w:val="20"/>
          <w:szCs w:val="20"/>
        </w:rPr>
        <w:t xml:space="preserve">ixed point to </w:t>
      </w:r>
      <w:r w:rsidR="000015D4" w:rsidRPr="009F608C">
        <w:rPr>
          <w:sz w:val="20"/>
          <w:szCs w:val="20"/>
        </w:rPr>
        <w:t>point links</w:t>
      </w:r>
    </w:p>
    <w:p w14:paraId="2BA6081B" w14:textId="73EE201A" w:rsidR="00595B18" w:rsidRPr="00552CB6" w:rsidRDefault="00595B18" w:rsidP="009F608C">
      <w:pPr>
        <w:pStyle w:val="Bulletlevel2"/>
        <w:numPr>
          <w:ilvl w:val="1"/>
          <w:numId w:val="13"/>
        </w:numPr>
        <w:rPr>
          <w:szCs w:val="20"/>
        </w:rPr>
      </w:pPr>
      <w:r w:rsidRPr="009F608C">
        <w:rPr>
          <w:sz w:val="20"/>
          <w:szCs w:val="20"/>
        </w:rPr>
        <w:t>space services</w:t>
      </w:r>
    </w:p>
    <w:p w14:paraId="49CA5B9E" w14:textId="77777777" w:rsidR="00595B18" w:rsidRPr="00552CB6" w:rsidRDefault="00595B18" w:rsidP="009F608C">
      <w:pPr>
        <w:pStyle w:val="Bulletlevel2"/>
        <w:numPr>
          <w:ilvl w:val="1"/>
          <w:numId w:val="13"/>
        </w:numPr>
        <w:rPr>
          <w:szCs w:val="20"/>
        </w:rPr>
      </w:pPr>
      <w:r w:rsidRPr="009F608C">
        <w:rPr>
          <w:sz w:val="20"/>
          <w:szCs w:val="20"/>
        </w:rPr>
        <w:t>class-licensed services</w:t>
      </w:r>
    </w:p>
    <w:p w14:paraId="1C6CFFBC" w14:textId="2D9F9C68" w:rsidR="00595B18" w:rsidRPr="00552CB6" w:rsidRDefault="00595B18" w:rsidP="009F608C">
      <w:pPr>
        <w:pStyle w:val="Bulletlevel2"/>
        <w:numPr>
          <w:ilvl w:val="1"/>
          <w:numId w:val="13"/>
        </w:numPr>
        <w:rPr>
          <w:szCs w:val="20"/>
        </w:rPr>
      </w:pPr>
      <w:r w:rsidRPr="009F608C">
        <w:rPr>
          <w:sz w:val="20"/>
          <w:szCs w:val="20"/>
        </w:rPr>
        <w:t xml:space="preserve">radio-astronomy services </w:t>
      </w:r>
    </w:p>
    <w:p w14:paraId="4A43EA2A" w14:textId="12682A44" w:rsidR="006562C3" w:rsidRPr="00552CB6" w:rsidRDefault="007C7D69" w:rsidP="009F608C">
      <w:pPr>
        <w:pStyle w:val="Bulletlevel2"/>
        <w:numPr>
          <w:ilvl w:val="1"/>
          <w:numId w:val="13"/>
        </w:numPr>
        <w:rPr>
          <w:szCs w:val="20"/>
        </w:rPr>
      </w:pPr>
      <w:r w:rsidRPr="009F608C">
        <w:rPr>
          <w:sz w:val="20"/>
          <w:szCs w:val="20"/>
        </w:rPr>
        <w:t>r</w:t>
      </w:r>
      <w:r w:rsidR="006562C3" w:rsidRPr="009F608C">
        <w:rPr>
          <w:sz w:val="20"/>
          <w:szCs w:val="20"/>
        </w:rPr>
        <w:t>adiodetermination services</w:t>
      </w:r>
    </w:p>
    <w:p w14:paraId="1C9B7DFB" w14:textId="77777777" w:rsidR="00595B18" w:rsidRPr="00552CB6" w:rsidRDefault="00595B18" w:rsidP="009F608C">
      <w:pPr>
        <w:pStyle w:val="Bulletlevel2last"/>
        <w:rPr>
          <w:szCs w:val="20"/>
        </w:rPr>
      </w:pPr>
      <w:r w:rsidRPr="009F608C">
        <w:rPr>
          <w:sz w:val="20"/>
          <w:szCs w:val="20"/>
        </w:rPr>
        <w:t>managing interference to spectrum-licensed receivers.</w:t>
      </w:r>
    </w:p>
    <w:p w14:paraId="7999EF54" w14:textId="77777777" w:rsidR="00595B18" w:rsidRPr="007D04B2" w:rsidRDefault="00595B18" w:rsidP="00595B18">
      <w:pPr>
        <w:pStyle w:val="Heading2"/>
      </w:pPr>
      <w:bookmarkStart w:id="9" w:name="_Toc56006328"/>
      <w:bookmarkStart w:id="10" w:name="_Toc84339334"/>
      <w:bookmarkStart w:id="11" w:name="_Toc230690558"/>
      <w:r w:rsidRPr="007D04B2">
        <w:rPr>
          <w:rFonts w:cs="Calibri"/>
        </w:rPr>
        <w:t>Scope</w:t>
      </w:r>
      <w:bookmarkEnd w:id="9"/>
      <w:bookmarkEnd w:id="10"/>
      <w:bookmarkEnd w:id="11"/>
      <w:r w:rsidRPr="007D04B2">
        <w:t xml:space="preserve"> </w:t>
      </w:r>
    </w:p>
    <w:p w14:paraId="217F6C7E" w14:textId="0F3F8663" w:rsidR="00595B18" w:rsidRPr="007D04B2" w:rsidRDefault="00595B18" w:rsidP="00595B18">
      <w:pPr>
        <w:rPr>
          <w:rFonts w:cs="Arial"/>
        </w:rPr>
      </w:pPr>
      <w:r w:rsidRPr="007D04B2">
        <w:rPr>
          <w:rFonts w:cs="Calibri"/>
        </w:rPr>
        <w:t>This paper is focused on</w:t>
      </w:r>
      <w:r w:rsidR="00CA7666">
        <w:rPr>
          <w:rFonts w:cs="Calibri"/>
        </w:rPr>
        <w:t xml:space="preserve"> potential</w:t>
      </w:r>
      <w:r w:rsidRPr="007D04B2">
        <w:rPr>
          <w:rFonts w:cs="Calibri"/>
        </w:rPr>
        <w:t xml:space="preserve"> </w:t>
      </w:r>
      <w:r>
        <w:rPr>
          <w:rFonts w:cs="Calibri"/>
        </w:rPr>
        <w:t xml:space="preserve">modifications to the </w:t>
      </w:r>
      <w:r w:rsidRPr="007D04B2">
        <w:rPr>
          <w:rFonts w:cs="Calibri"/>
        </w:rPr>
        <w:t xml:space="preserve">technical framework for the areas and frequencies </w:t>
      </w:r>
      <w:r>
        <w:rPr>
          <w:rFonts w:cs="Calibri"/>
        </w:rPr>
        <w:t>subject to spectrum licensing in the</w:t>
      </w:r>
      <w:r w:rsidRPr="007D04B2">
        <w:rPr>
          <w:rFonts w:cs="Calibri"/>
        </w:rPr>
        <w:t xml:space="preserve"> </w:t>
      </w:r>
      <w:r>
        <w:rPr>
          <w:rFonts w:cs="Arial"/>
        </w:rPr>
        <w:t>2</w:t>
      </w:r>
      <w:r w:rsidR="00192C28">
        <w:rPr>
          <w:rFonts w:cs="Arial"/>
        </w:rPr>
        <w:t>.5</w:t>
      </w:r>
      <w:r>
        <w:rPr>
          <w:rFonts w:cs="Arial"/>
        </w:rPr>
        <w:t xml:space="preserve"> GHz</w:t>
      </w:r>
      <w:r w:rsidRPr="007D04B2">
        <w:rPr>
          <w:rFonts w:cs="Calibri"/>
        </w:rPr>
        <w:t xml:space="preserve"> band </w:t>
      </w:r>
      <w:r>
        <w:rPr>
          <w:rFonts w:cs="Calibri"/>
        </w:rPr>
        <w:t>to cater for the use of 5G technologies including advanced antenna systems.</w:t>
      </w:r>
      <w:r w:rsidRPr="007D04B2">
        <w:rPr>
          <w:rFonts w:cs="Arial"/>
        </w:rPr>
        <w:t xml:space="preserve"> </w:t>
      </w:r>
    </w:p>
    <w:p w14:paraId="3071E4BB" w14:textId="77777777" w:rsidR="00595B18" w:rsidRPr="007D04B2" w:rsidRDefault="00595B18" w:rsidP="00595B18">
      <w:pPr>
        <w:pStyle w:val="Heading2"/>
      </w:pPr>
      <w:bookmarkStart w:id="12" w:name="_Toc56006329"/>
      <w:bookmarkStart w:id="13" w:name="_Toc84339335"/>
      <w:bookmarkStart w:id="14" w:name="_Toc230690559"/>
      <w:r w:rsidRPr="007D04B2">
        <w:t>Timeline</w:t>
      </w:r>
      <w:bookmarkEnd w:id="12"/>
      <w:bookmarkEnd w:id="13"/>
      <w:bookmarkEnd w:id="14"/>
      <w:r w:rsidRPr="007D04B2">
        <w:t xml:space="preserve"> </w:t>
      </w:r>
    </w:p>
    <w:p w14:paraId="1C60B44D" w14:textId="66FB40D6" w:rsidR="00595B18" w:rsidRPr="007D04B2" w:rsidRDefault="00595B18" w:rsidP="00595B18">
      <w:pPr>
        <w:spacing w:after="120"/>
        <w:rPr>
          <w:rFonts w:cs="Calibri"/>
        </w:rPr>
      </w:pPr>
      <w:r w:rsidRPr="007D04B2">
        <w:rPr>
          <w:rFonts w:cs="Calibri"/>
        </w:rPr>
        <w:t>T</w:t>
      </w:r>
      <w:r>
        <w:rPr>
          <w:rFonts w:cs="Calibri"/>
        </w:rPr>
        <w:t>he proposed timeline for updating the 2</w:t>
      </w:r>
      <w:r w:rsidR="00B04A72">
        <w:rPr>
          <w:rFonts w:cs="Calibri"/>
        </w:rPr>
        <w:t>.5</w:t>
      </w:r>
      <w:r>
        <w:rPr>
          <w:rFonts w:cs="Calibri"/>
        </w:rPr>
        <w:t xml:space="preserve"> GHz </w:t>
      </w:r>
      <w:r w:rsidR="00CA7666">
        <w:rPr>
          <w:rFonts w:cs="Calibri"/>
        </w:rPr>
        <w:t xml:space="preserve">spectrum licence </w:t>
      </w:r>
      <w:r>
        <w:rPr>
          <w:rFonts w:cs="Calibri"/>
        </w:rPr>
        <w:t xml:space="preserve">technical framework </w:t>
      </w:r>
      <w:r w:rsidRPr="007D04B2">
        <w:rPr>
          <w:rFonts w:cs="Calibri"/>
        </w:rPr>
        <w:t>is:</w:t>
      </w:r>
    </w:p>
    <w:tbl>
      <w:tblPr>
        <w:tblStyle w:val="TableGrid"/>
        <w:tblW w:w="8648" w:type="dxa"/>
        <w:tblInd w:w="137" w:type="dxa"/>
        <w:tblLayout w:type="fixed"/>
        <w:tblCellMar>
          <w:top w:w="57" w:type="dxa"/>
          <w:left w:w="57" w:type="dxa"/>
          <w:bottom w:w="57" w:type="dxa"/>
          <w:right w:w="57" w:type="dxa"/>
        </w:tblCellMar>
        <w:tblLook w:val="04A0" w:firstRow="1" w:lastRow="0" w:firstColumn="1" w:lastColumn="0" w:noHBand="0" w:noVBand="1"/>
        <w:tblCaption w:val="Indicative timetable for the reallocation process"/>
        <w:tblDescription w:val="The table provides the indicative timetable which outlines the key steps in the re-allocation process. The ACMA is working towards giving the Minister a recommendation to make a spectrum reallocation declaration in May 2015, and anticipates that the Minister will make a spectrum re-allocation declaration in May 2015. However, under section 153E of the Act, the Minister has 180 days after receiving the ACMA’s recommendation to make a spectrum re-allocation declaration. If the Minister makes a spectrum re-allocation declaration in May, the ACMA is proposing to commence an auction of the 1800 megahertz band in November 2015. "/>
      </w:tblPr>
      <w:tblGrid>
        <w:gridCol w:w="6521"/>
        <w:gridCol w:w="2127"/>
      </w:tblGrid>
      <w:tr w:rsidR="00595B18" w:rsidRPr="007D04B2" w14:paraId="7BCB9FE2" w14:textId="77777777">
        <w:trPr>
          <w:cantSplit/>
          <w:tblHeader/>
        </w:trPr>
        <w:tc>
          <w:tcPr>
            <w:tcW w:w="6521" w:type="dxa"/>
            <w:shd w:val="clear" w:color="auto" w:fill="404040" w:themeFill="text1" w:themeFillTint="BF"/>
            <w:tcMar>
              <w:top w:w="57" w:type="dxa"/>
              <w:bottom w:w="28" w:type="dxa"/>
            </w:tcMar>
          </w:tcPr>
          <w:p w14:paraId="44F1A3B2" w14:textId="77777777" w:rsidR="00595B18" w:rsidRPr="007D04B2" w:rsidRDefault="00595B18">
            <w:pPr>
              <w:pStyle w:val="TableHeading0"/>
              <w:rPr>
                <w:color w:val="FFFFFF" w:themeColor="background1"/>
              </w:rPr>
            </w:pPr>
            <w:r w:rsidRPr="007D04B2">
              <w:rPr>
                <w:color w:val="FFFFFF" w:themeColor="background1"/>
              </w:rPr>
              <w:t>Key steps</w:t>
            </w:r>
          </w:p>
        </w:tc>
        <w:tc>
          <w:tcPr>
            <w:tcW w:w="2127" w:type="dxa"/>
            <w:shd w:val="clear" w:color="auto" w:fill="404040" w:themeFill="text1" w:themeFillTint="BF"/>
            <w:tcMar>
              <w:top w:w="57" w:type="dxa"/>
              <w:bottom w:w="28" w:type="dxa"/>
            </w:tcMar>
          </w:tcPr>
          <w:p w14:paraId="0521C693" w14:textId="77777777" w:rsidR="00595B18" w:rsidRPr="007D04B2" w:rsidRDefault="00595B18">
            <w:pPr>
              <w:pStyle w:val="TableHeading0"/>
              <w:rPr>
                <w:color w:val="FFFFFF" w:themeColor="background1"/>
              </w:rPr>
            </w:pPr>
            <w:r w:rsidRPr="007D04B2">
              <w:rPr>
                <w:color w:val="FFFFFF" w:themeColor="background1"/>
              </w:rPr>
              <w:t xml:space="preserve">Proposed </w:t>
            </w:r>
            <w:r>
              <w:rPr>
                <w:color w:val="FFFFFF" w:themeColor="background1"/>
              </w:rPr>
              <w:t>d</w:t>
            </w:r>
            <w:r w:rsidRPr="007D04B2">
              <w:rPr>
                <w:color w:val="FFFFFF" w:themeColor="background1"/>
              </w:rPr>
              <w:t>ate</w:t>
            </w:r>
          </w:p>
        </w:tc>
      </w:tr>
      <w:tr w:rsidR="00595B18" w:rsidRPr="007D04B2" w14:paraId="0ECA7768" w14:textId="77777777">
        <w:trPr>
          <w:cantSplit/>
        </w:trPr>
        <w:tc>
          <w:tcPr>
            <w:tcW w:w="6521" w:type="dxa"/>
            <w:tcMar>
              <w:top w:w="57" w:type="dxa"/>
              <w:bottom w:w="28" w:type="dxa"/>
            </w:tcMar>
          </w:tcPr>
          <w:p w14:paraId="4DC1A0EE" w14:textId="77777777" w:rsidR="00595B18" w:rsidRPr="00327AED" w:rsidRDefault="00595B18">
            <w:pPr>
              <w:keepNext/>
              <w:keepLines/>
              <w:spacing w:after="0"/>
            </w:pPr>
            <w:r w:rsidRPr="007D04B2">
              <w:rPr>
                <w:rFonts w:cs="Arial"/>
                <w:szCs w:val="20"/>
              </w:rPr>
              <w:t>TLG process</w:t>
            </w:r>
          </w:p>
        </w:tc>
        <w:tc>
          <w:tcPr>
            <w:tcW w:w="2127" w:type="dxa"/>
            <w:tcMar>
              <w:top w:w="57" w:type="dxa"/>
              <w:bottom w:w="28" w:type="dxa"/>
            </w:tcMar>
          </w:tcPr>
          <w:p w14:paraId="18479FCF" w14:textId="56950F8C" w:rsidR="00595B18" w:rsidRPr="007D04B2" w:rsidRDefault="00141435">
            <w:pPr>
              <w:keepNext/>
              <w:keepLines/>
              <w:spacing w:after="0"/>
              <w:rPr>
                <w:rFonts w:cs="Arial"/>
                <w:szCs w:val="20"/>
              </w:rPr>
            </w:pPr>
            <w:r>
              <w:rPr>
                <w:rFonts w:cs="Arial"/>
                <w:szCs w:val="20"/>
              </w:rPr>
              <w:t>October</w:t>
            </w:r>
            <w:r w:rsidR="00595B18">
              <w:rPr>
                <w:rFonts w:cs="Arial"/>
                <w:szCs w:val="20"/>
              </w:rPr>
              <w:t xml:space="preserve"> 202</w:t>
            </w:r>
            <w:r w:rsidR="00603CC3">
              <w:rPr>
                <w:rFonts w:cs="Arial"/>
                <w:szCs w:val="20"/>
              </w:rPr>
              <w:t>5</w:t>
            </w:r>
            <w:r w:rsidR="00595B18">
              <w:rPr>
                <w:rFonts w:cs="Arial"/>
                <w:szCs w:val="20"/>
              </w:rPr>
              <w:t xml:space="preserve"> to </w:t>
            </w:r>
            <w:r w:rsidR="00595B18">
              <w:rPr>
                <w:rFonts w:cs="Arial"/>
                <w:szCs w:val="20"/>
              </w:rPr>
              <w:br/>
            </w:r>
            <w:r w:rsidR="002F7657">
              <w:rPr>
                <w:rFonts w:cs="Arial"/>
                <w:szCs w:val="20"/>
              </w:rPr>
              <w:t>February</w:t>
            </w:r>
            <w:r w:rsidR="00595B18">
              <w:rPr>
                <w:rFonts w:cs="Arial"/>
                <w:szCs w:val="20"/>
              </w:rPr>
              <w:t xml:space="preserve"> 202</w:t>
            </w:r>
            <w:r w:rsidR="002F7657">
              <w:rPr>
                <w:rFonts w:cs="Arial"/>
                <w:szCs w:val="20"/>
              </w:rPr>
              <w:t>6</w:t>
            </w:r>
          </w:p>
        </w:tc>
      </w:tr>
      <w:tr w:rsidR="00595B18" w:rsidRPr="007D04B2" w14:paraId="1F749A80" w14:textId="77777777">
        <w:trPr>
          <w:cantSplit/>
        </w:trPr>
        <w:tc>
          <w:tcPr>
            <w:tcW w:w="6521" w:type="dxa"/>
            <w:shd w:val="clear" w:color="auto" w:fill="F2F2F2" w:themeFill="background1" w:themeFillShade="F2"/>
            <w:tcMar>
              <w:top w:w="57" w:type="dxa"/>
              <w:bottom w:w="28" w:type="dxa"/>
            </w:tcMar>
          </w:tcPr>
          <w:p w14:paraId="085394E5" w14:textId="77777777" w:rsidR="00595B18" w:rsidRPr="007D04B2" w:rsidRDefault="00595B18">
            <w:pPr>
              <w:keepNext/>
              <w:keepLines/>
              <w:spacing w:after="80"/>
              <w:rPr>
                <w:rFonts w:cs="Arial"/>
                <w:szCs w:val="20"/>
              </w:rPr>
            </w:pPr>
            <w:r w:rsidRPr="007D04B2">
              <w:rPr>
                <w:rFonts w:cs="Arial"/>
                <w:szCs w:val="20"/>
              </w:rPr>
              <w:t>Public consultation on the draft updates to the following technical framework instruments:</w:t>
            </w:r>
          </w:p>
          <w:p w14:paraId="0983CCF1" w14:textId="65369661" w:rsidR="00595B18" w:rsidRPr="007D04B2" w:rsidRDefault="00595B18">
            <w:pPr>
              <w:pStyle w:val="ListBullet"/>
            </w:pPr>
            <w:r w:rsidRPr="007D04B2">
              <w:t xml:space="preserve">Draft </w:t>
            </w:r>
            <w:r w:rsidR="002952B7">
              <w:t xml:space="preserve">update to </w:t>
            </w:r>
            <w:r w:rsidRPr="007D04B2">
              <w:t>spectrum licence</w:t>
            </w:r>
            <w:r w:rsidR="002952B7">
              <w:t>s</w:t>
            </w:r>
          </w:p>
          <w:p w14:paraId="2059F26C" w14:textId="5F81CF1D" w:rsidR="00595B18" w:rsidRPr="00473557" w:rsidRDefault="00595B18">
            <w:pPr>
              <w:pStyle w:val="ListBullet"/>
              <w:rPr>
                <w:rFonts w:cs="Arial"/>
                <w:szCs w:val="20"/>
              </w:rPr>
            </w:pPr>
            <w:r w:rsidRPr="007D04B2">
              <w:t xml:space="preserve">Draft update to </w:t>
            </w:r>
            <w:r w:rsidR="00603CC3" w:rsidRPr="00603CC3">
              <w:rPr>
                <w:bCs/>
              </w:rPr>
              <w:t>Radiocommunications Advisory Guidelines (Managing Interference from Spectrum Licensed Transmitters — 2.5 GHz Band) 2023</w:t>
            </w:r>
            <w:r>
              <w:rPr>
                <w:bCs/>
              </w:rPr>
              <w:t>.</w:t>
            </w:r>
          </w:p>
        </w:tc>
        <w:tc>
          <w:tcPr>
            <w:tcW w:w="2127" w:type="dxa"/>
            <w:shd w:val="clear" w:color="auto" w:fill="F2F2F2" w:themeFill="background1" w:themeFillShade="F2"/>
            <w:tcMar>
              <w:top w:w="57" w:type="dxa"/>
              <w:bottom w:w="28" w:type="dxa"/>
            </w:tcMar>
          </w:tcPr>
          <w:p w14:paraId="35B5EDE8" w14:textId="706734FB" w:rsidR="00595B18" w:rsidRPr="007D04B2" w:rsidRDefault="00A35518">
            <w:pPr>
              <w:keepNext/>
              <w:keepLines/>
              <w:spacing w:after="0"/>
              <w:rPr>
                <w:rFonts w:cs="Arial"/>
                <w:szCs w:val="20"/>
              </w:rPr>
            </w:pPr>
            <w:r>
              <w:rPr>
                <w:rFonts w:cs="Arial"/>
                <w:szCs w:val="20"/>
              </w:rPr>
              <w:t>Q2</w:t>
            </w:r>
            <w:r w:rsidR="00595B18">
              <w:rPr>
                <w:rFonts w:cs="Arial"/>
                <w:szCs w:val="20"/>
              </w:rPr>
              <w:t xml:space="preserve"> 202</w:t>
            </w:r>
            <w:r w:rsidR="002F7657">
              <w:rPr>
                <w:rFonts w:cs="Arial"/>
                <w:szCs w:val="20"/>
              </w:rPr>
              <w:t>6</w:t>
            </w:r>
          </w:p>
        </w:tc>
      </w:tr>
      <w:tr w:rsidR="00595B18" w:rsidRPr="007D04B2" w14:paraId="193259C0" w14:textId="77777777">
        <w:trPr>
          <w:cantSplit/>
        </w:trPr>
        <w:tc>
          <w:tcPr>
            <w:tcW w:w="6521" w:type="dxa"/>
            <w:shd w:val="clear" w:color="auto" w:fill="FFFFFF" w:themeFill="background1"/>
            <w:tcMar>
              <w:top w:w="57" w:type="dxa"/>
              <w:bottom w:w="28" w:type="dxa"/>
            </w:tcMar>
          </w:tcPr>
          <w:p w14:paraId="5757E356" w14:textId="77777777" w:rsidR="00595B18" w:rsidRPr="007D04B2" w:rsidRDefault="00595B18">
            <w:pPr>
              <w:keepNext/>
              <w:keepLines/>
              <w:spacing w:after="0"/>
              <w:rPr>
                <w:rFonts w:cs="Arial"/>
                <w:szCs w:val="20"/>
              </w:rPr>
            </w:pPr>
            <w:r>
              <w:rPr>
                <w:rFonts w:cs="Arial"/>
                <w:szCs w:val="20"/>
              </w:rPr>
              <w:t>Finalisation of technical framework</w:t>
            </w:r>
          </w:p>
        </w:tc>
        <w:tc>
          <w:tcPr>
            <w:tcW w:w="2127" w:type="dxa"/>
            <w:shd w:val="clear" w:color="auto" w:fill="FFFFFF" w:themeFill="background1"/>
            <w:tcMar>
              <w:top w:w="57" w:type="dxa"/>
              <w:bottom w:w="28" w:type="dxa"/>
            </w:tcMar>
          </w:tcPr>
          <w:p w14:paraId="61B934FB" w14:textId="1BB9B32F" w:rsidR="00595B18" w:rsidRPr="007D04B2" w:rsidRDefault="00595B18">
            <w:pPr>
              <w:keepNext/>
              <w:keepLines/>
              <w:spacing w:after="0"/>
              <w:rPr>
                <w:rFonts w:cs="Arial"/>
                <w:szCs w:val="20"/>
              </w:rPr>
            </w:pPr>
            <w:r>
              <w:rPr>
                <w:rFonts w:cs="Arial"/>
                <w:szCs w:val="20"/>
              </w:rPr>
              <w:t>Q</w:t>
            </w:r>
            <w:r w:rsidR="002F7657">
              <w:rPr>
                <w:rFonts w:cs="Arial"/>
                <w:szCs w:val="20"/>
              </w:rPr>
              <w:t>3</w:t>
            </w:r>
            <w:r>
              <w:rPr>
                <w:rFonts w:cs="Arial"/>
                <w:szCs w:val="20"/>
              </w:rPr>
              <w:t xml:space="preserve"> 202</w:t>
            </w:r>
            <w:r w:rsidR="002F7657">
              <w:rPr>
                <w:rFonts w:cs="Arial"/>
                <w:szCs w:val="20"/>
              </w:rPr>
              <w:t>6</w:t>
            </w:r>
          </w:p>
        </w:tc>
      </w:tr>
    </w:tbl>
    <w:p w14:paraId="3BA9E90D" w14:textId="77777777" w:rsidR="00595B18" w:rsidRDefault="00595B18" w:rsidP="00595B18">
      <w:pPr>
        <w:pStyle w:val="ListBullet"/>
        <w:numPr>
          <w:ilvl w:val="0"/>
          <w:numId w:val="0"/>
        </w:numPr>
        <w:spacing w:before="240" w:after="60"/>
        <w:rPr>
          <w:rFonts w:cs="Arial"/>
        </w:rPr>
      </w:pPr>
      <w:r w:rsidRPr="007D04B2">
        <w:rPr>
          <w:rFonts w:cs="Arial"/>
        </w:rPr>
        <w:t>It is noted that</w:t>
      </w:r>
      <w:r>
        <w:rPr>
          <w:rFonts w:cs="Arial"/>
        </w:rPr>
        <w:t>:</w:t>
      </w:r>
      <w:r w:rsidRPr="007D04B2">
        <w:rPr>
          <w:rFonts w:cs="Arial"/>
        </w:rPr>
        <w:t xml:space="preserve"> </w:t>
      </w:r>
    </w:p>
    <w:p w14:paraId="005E6A73" w14:textId="6FE207D9" w:rsidR="00595B18" w:rsidRPr="00552CB6" w:rsidRDefault="00595B18" w:rsidP="009F608C">
      <w:pPr>
        <w:pStyle w:val="Bulletlevel1"/>
        <w:rPr>
          <w:szCs w:val="20"/>
        </w:rPr>
      </w:pPr>
      <w:r w:rsidRPr="009F608C">
        <w:rPr>
          <w:sz w:val="20"/>
          <w:szCs w:val="20"/>
        </w:rPr>
        <w:t xml:space="preserve">The TLG is the first step in the process of developing or updating a technical framework. </w:t>
      </w:r>
      <w:r w:rsidR="009A745A" w:rsidRPr="009F608C">
        <w:rPr>
          <w:sz w:val="20"/>
          <w:szCs w:val="20"/>
        </w:rPr>
        <w:t>We</w:t>
      </w:r>
      <w:r w:rsidRPr="009F608C">
        <w:rPr>
          <w:sz w:val="20"/>
          <w:szCs w:val="20"/>
        </w:rPr>
        <w:t xml:space="preserve"> will </w:t>
      </w:r>
      <w:r w:rsidR="000A6C65" w:rsidRPr="009F608C">
        <w:rPr>
          <w:sz w:val="20"/>
          <w:szCs w:val="20"/>
        </w:rPr>
        <w:t>consider</w:t>
      </w:r>
      <w:r w:rsidRPr="009F608C">
        <w:rPr>
          <w:sz w:val="20"/>
          <w:szCs w:val="20"/>
        </w:rPr>
        <w:t xml:space="preserve"> the outcomes of the TLG </w:t>
      </w:r>
      <w:r w:rsidR="000A6C65" w:rsidRPr="009F608C">
        <w:rPr>
          <w:sz w:val="20"/>
          <w:szCs w:val="20"/>
        </w:rPr>
        <w:t xml:space="preserve">when </w:t>
      </w:r>
      <w:r w:rsidR="009A745A" w:rsidRPr="009F608C">
        <w:rPr>
          <w:sz w:val="20"/>
          <w:szCs w:val="20"/>
        </w:rPr>
        <w:t>we</w:t>
      </w:r>
      <w:r w:rsidR="000A6C65" w:rsidRPr="009F608C">
        <w:rPr>
          <w:sz w:val="20"/>
          <w:szCs w:val="20"/>
        </w:rPr>
        <w:t xml:space="preserve"> </w:t>
      </w:r>
      <w:r w:rsidRPr="009F608C">
        <w:rPr>
          <w:sz w:val="20"/>
          <w:szCs w:val="20"/>
        </w:rPr>
        <w:t>publicly consult on the relevant instruments that will form the 2</w:t>
      </w:r>
      <w:r w:rsidR="002F7657" w:rsidRPr="009F608C">
        <w:rPr>
          <w:sz w:val="20"/>
          <w:szCs w:val="20"/>
        </w:rPr>
        <w:t>.5</w:t>
      </w:r>
      <w:r w:rsidRPr="009F608C">
        <w:rPr>
          <w:sz w:val="20"/>
          <w:szCs w:val="20"/>
        </w:rPr>
        <w:t xml:space="preserve"> GHz band technical framework. This means TLG members will be able to provide comments on the technical framework both as part of the informal TLG and subsequent formal public consultation processes.</w:t>
      </w:r>
    </w:p>
    <w:p w14:paraId="6D321AA6" w14:textId="7BA46EA6" w:rsidR="00595B18" w:rsidRPr="00A70B99" w:rsidRDefault="00595B18" w:rsidP="009F608C">
      <w:pPr>
        <w:pStyle w:val="Bulletlevel1last"/>
        <w:rPr>
          <w:bCs/>
          <w:color w:val="323232"/>
          <w:kern w:val="32"/>
          <w:sz w:val="53"/>
          <w:szCs w:val="32"/>
        </w:rPr>
      </w:pPr>
      <w:r w:rsidRPr="009F608C">
        <w:rPr>
          <w:sz w:val="20"/>
          <w:szCs w:val="20"/>
        </w:rPr>
        <w:lastRenderedPageBreak/>
        <w:t>A TLG is a short-term advisory body convened by the ACMA. Its purpose is to provide advice on the development of, or possible changes to, a spectrum or apparatus licence technical framework. While we strive to achieve consensus with members, the final decision on the content of, or changes to, a spectrum or apparatus licence technical framework rests with the ACMA. This is particularly relevant in cases where consensus cannot be achieved on an issue or advice from the TLG is not provided within a reasonable time frame.</w:t>
      </w:r>
      <w:r>
        <w:br w:type="page"/>
      </w:r>
    </w:p>
    <w:p w14:paraId="68260E67" w14:textId="77777777" w:rsidR="002F7657" w:rsidRPr="007D04B2" w:rsidRDefault="002F7657" w:rsidP="002F7657">
      <w:pPr>
        <w:pStyle w:val="Heading1"/>
      </w:pPr>
      <w:bookmarkStart w:id="15" w:name="_Toc56006331"/>
      <w:bookmarkStart w:id="16" w:name="_Toc84339336"/>
      <w:bookmarkStart w:id="17" w:name="_Toc230690560"/>
      <w:r w:rsidRPr="007D04B2">
        <w:lastRenderedPageBreak/>
        <w:t>Discussion on proposed technical framework</w:t>
      </w:r>
      <w:bookmarkEnd w:id="15"/>
      <w:bookmarkEnd w:id="16"/>
      <w:bookmarkEnd w:id="17"/>
    </w:p>
    <w:p w14:paraId="1703749D" w14:textId="77777777" w:rsidR="002F7657" w:rsidRPr="007D04B2" w:rsidRDefault="002F7657" w:rsidP="002F7657">
      <w:pPr>
        <w:spacing w:after="60"/>
        <w:rPr>
          <w:rFonts w:cs="Arial"/>
        </w:rPr>
      </w:pPr>
      <w:r w:rsidRPr="007D04B2">
        <w:rPr>
          <w:rFonts w:cs="Arial"/>
        </w:rPr>
        <w:t xml:space="preserve">A technical framework consists of </w:t>
      </w:r>
      <w:r>
        <w:rPr>
          <w:rFonts w:cs="Arial"/>
        </w:rPr>
        <w:t>3</w:t>
      </w:r>
      <w:r w:rsidRPr="007D04B2">
        <w:rPr>
          <w:rFonts w:cs="Arial"/>
        </w:rPr>
        <w:t xml:space="preserve"> interlocking regulatory elements provided for under the </w:t>
      </w:r>
      <w:r w:rsidRPr="005438AE">
        <w:rPr>
          <w:rFonts w:cs="Arial"/>
          <w:i/>
          <w:iCs/>
        </w:rPr>
        <w:t>Radiocommunications Act 1992</w:t>
      </w:r>
      <w:r>
        <w:rPr>
          <w:rFonts w:cs="Arial"/>
        </w:rPr>
        <w:t xml:space="preserve"> (the Act)</w:t>
      </w:r>
      <w:r w:rsidRPr="007D04B2">
        <w:rPr>
          <w:rFonts w:cs="Arial"/>
        </w:rPr>
        <w:t>:</w:t>
      </w:r>
    </w:p>
    <w:p w14:paraId="7A9D73CA" w14:textId="77777777" w:rsidR="002F7657" w:rsidRPr="00552CB6" w:rsidRDefault="002F7657" w:rsidP="009F608C">
      <w:pPr>
        <w:pStyle w:val="Bulletlevel1"/>
        <w:rPr>
          <w:szCs w:val="20"/>
        </w:rPr>
      </w:pPr>
      <w:r w:rsidRPr="009F608C">
        <w:rPr>
          <w:sz w:val="20"/>
          <w:szCs w:val="20"/>
        </w:rPr>
        <w:t xml:space="preserve">The conditions specified on the spectrum licence – in particular, the core conditions that define the spectrum space (both frequency and geographical area) and the level of emissions permitted inside and across the frequency boundaries of the licence (section 66 of the Act). </w:t>
      </w:r>
    </w:p>
    <w:p w14:paraId="056FF489" w14:textId="77777777" w:rsidR="002F7657" w:rsidRPr="00552CB6" w:rsidRDefault="002F7657" w:rsidP="009F608C">
      <w:pPr>
        <w:pStyle w:val="Bulletlevel1"/>
        <w:rPr>
          <w:szCs w:val="20"/>
        </w:rPr>
      </w:pPr>
      <w:r w:rsidRPr="009F608C">
        <w:rPr>
          <w:sz w:val="20"/>
          <w:szCs w:val="20"/>
        </w:rPr>
        <w:t>A determination of unacceptable interference for the purpose of device registration in each band (section 145 of the Act). This defines permissible levels of emissions across geographical licence boundaries and can also define various deployment constraints.</w:t>
      </w:r>
    </w:p>
    <w:p w14:paraId="3304F1D4" w14:textId="77777777" w:rsidR="002F7657" w:rsidRPr="00552CB6" w:rsidRDefault="002F7657" w:rsidP="009F608C">
      <w:pPr>
        <w:pStyle w:val="Bulletlevel1last"/>
        <w:rPr>
          <w:szCs w:val="20"/>
        </w:rPr>
      </w:pPr>
      <w:r w:rsidRPr="009F608C">
        <w:rPr>
          <w:sz w:val="20"/>
          <w:szCs w:val="20"/>
        </w:rPr>
        <w:t xml:space="preserve">Radiocommunications advisory guidelines (RAG) that </w:t>
      </w:r>
      <w:proofErr w:type="gramStart"/>
      <w:r w:rsidRPr="009F608C">
        <w:rPr>
          <w:sz w:val="20"/>
          <w:szCs w:val="20"/>
        </w:rPr>
        <w:t>provide assistance</w:t>
      </w:r>
      <w:proofErr w:type="gramEnd"/>
      <w:r w:rsidRPr="009F608C">
        <w:rPr>
          <w:sz w:val="20"/>
          <w:szCs w:val="20"/>
        </w:rPr>
        <w:t xml:space="preserve"> and advice for coordination with stations in other services when and where required (section 262 of the Act). This includes detailing interference management criteria with incumbent apparatus and other spectrum licences. </w:t>
      </w:r>
    </w:p>
    <w:p w14:paraId="5FBE257C" w14:textId="77777777" w:rsidR="002F7657" w:rsidRPr="007D04B2" w:rsidRDefault="002F7657" w:rsidP="002F7657">
      <w:pPr>
        <w:rPr>
          <w:rFonts w:cs="Arial"/>
          <w:bCs/>
          <w:iCs/>
        </w:rPr>
      </w:pPr>
      <w:r w:rsidRPr="007D04B2">
        <w:rPr>
          <w:rFonts w:cs="Arial"/>
          <w:bCs/>
          <w:iCs/>
        </w:rPr>
        <w:t xml:space="preserve">A more comprehensive explanation of spectrum licence technical frameworks is provided in the document </w:t>
      </w:r>
      <w:hyperlink r:id="rId30" w:history="1">
        <w:r w:rsidRPr="00A64DAB">
          <w:rPr>
            <w:rStyle w:val="Hyperlink"/>
            <w:rFonts w:cs="Arial"/>
            <w:bCs/>
            <w:i/>
            <w:iCs/>
          </w:rPr>
          <w:t>Spectrum licensees</w:t>
        </w:r>
        <w:r>
          <w:rPr>
            <w:rStyle w:val="Hyperlink"/>
            <w:rFonts w:cs="Arial"/>
            <w:bCs/>
            <w:i/>
            <w:iCs/>
          </w:rPr>
          <w:t xml:space="preserve"> – know your obligations</w:t>
        </w:r>
        <w:r w:rsidRPr="004B4090">
          <w:rPr>
            <w:rStyle w:val="Hyperlink"/>
            <w:rFonts w:cs="Arial"/>
            <w:bCs/>
            <w:iCs/>
            <w:color w:val="auto"/>
            <w:u w:val="none"/>
          </w:rPr>
          <w:t>.</w:t>
        </w:r>
      </w:hyperlink>
    </w:p>
    <w:p w14:paraId="1CB0ED3A" w14:textId="77777777" w:rsidR="002F7657" w:rsidRDefault="002F7657" w:rsidP="002F7657">
      <w:pPr>
        <w:rPr>
          <w:rFonts w:cs="Arial"/>
        </w:rPr>
      </w:pPr>
      <w:r w:rsidRPr="007D04B2">
        <w:rPr>
          <w:rFonts w:cs="Arial"/>
        </w:rPr>
        <w:t>This section of the paper considers the development of each of these components</w:t>
      </w:r>
      <w:r>
        <w:rPr>
          <w:rFonts w:cs="Arial"/>
        </w:rPr>
        <w:t xml:space="preserve">. This would normally include </w:t>
      </w:r>
      <w:r w:rsidRPr="007D04B2">
        <w:rPr>
          <w:rFonts w:cs="Arial"/>
        </w:rPr>
        <w:t>the standard trading unit and minimum contiguous bandwidth</w:t>
      </w:r>
      <w:r>
        <w:rPr>
          <w:rFonts w:cs="Arial"/>
        </w:rPr>
        <w:t>, however, as these will not change, they are not discussed</w:t>
      </w:r>
      <w:r w:rsidRPr="007D04B2">
        <w:rPr>
          <w:rFonts w:cs="Arial"/>
        </w:rPr>
        <w:t xml:space="preserve">. </w:t>
      </w:r>
    </w:p>
    <w:p w14:paraId="34EEB892" w14:textId="4DB45E7E" w:rsidR="001A5C2A" w:rsidRPr="007D04B2" w:rsidRDefault="001A5C2A" w:rsidP="001A5C2A">
      <w:pPr>
        <w:pStyle w:val="Heading2"/>
      </w:pPr>
      <w:bookmarkStart w:id="18" w:name="_Toc230690561"/>
      <w:r>
        <w:t>2.5 GHz</w:t>
      </w:r>
      <w:r w:rsidRPr="00473557">
        <w:t xml:space="preserve"> </w:t>
      </w:r>
      <w:r>
        <w:t>mid b</w:t>
      </w:r>
      <w:r w:rsidRPr="007D04B2">
        <w:t>and</w:t>
      </w:r>
      <w:r>
        <w:t xml:space="preserve"> gap</w:t>
      </w:r>
      <w:r w:rsidRPr="007D04B2">
        <w:t xml:space="preserve"> </w:t>
      </w:r>
      <w:r>
        <w:t>s</w:t>
      </w:r>
      <w:r w:rsidRPr="007D04B2">
        <w:t xml:space="preserve">pectrum </w:t>
      </w:r>
      <w:r>
        <w:t>l</w:t>
      </w:r>
      <w:r w:rsidRPr="007D04B2">
        <w:t xml:space="preserve">icence </w:t>
      </w:r>
      <w:r>
        <w:t>t</w:t>
      </w:r>
      <w:r w:rsidRPr="007D04B2">
        <w:t xml:space="preserve">echnical </w:t>
      </w:r>
      <w:r>
        <w:t>f</w:t>
      </w:r>
      <w:r w:rsidRPr="007D04B2">
        <w:t>ramework</w:t>
      </w:r>
      <w:bookmarkEnd w:id="18"/>
    </w:p>
    <w:p w14:paraId="17F42DAB" w14:textId="28AC9B33" w:rsidR="001A5C2A" w:rsidRPr="007D04B2" w:rsidRDefault="001A5C2A" w:rsidP="002F7657">
      <w:pPr>
        <w:rPr>
          <w:rFonts w:cs="Arial"/>
        </w:rPr>
      </w:pPr>
      <w:r>
        <w:rPr>
          <w:rFonts w:cs="Arial"/>
        </w:rPr>
        <w:t xml:space="preserve">As TOB services do not use AAS, the ACMA </w:t>
      </w:r>
      <w:r w:rsidR="00691318">
        <w:rPr>
          <w:rFonts w:cs="Arial"/>
        </w:rPr>
        <w:t xml:space="preserve">made </w:t>
      </w:r>
      <w:r w:rsidR="00E9031B">
        <w:rPr>
          <w:rFonts w:cs="Arial"/>
        </w:rPr>
        <w:t>an initial</w:t>
      </w:r>
      <w:r>
        <w:rPr>
          <w:rFonts w:cs="Arial"/>
        </w:rPr>
        <w:t xml:space="preserve"> </w:t>
      </w:r>
      <w:r w:rsidR="0088275D">
        <w:rPr>
          <w:rFonts w:cs="Arial"/>
        </w:rPr>
        <w:t>propos</w:t>
      </w:r>
      <w:r w:rsidR="00E9031B">
        <w:rPr>
          <w:rFonts w:cs="Arial"/>
        </w:rPr>
        <w:t>al</w:t>
      </w:r>
      <w:r w:rsidR="0088275D">
        <w:rPr>
          <w:rFonts w:cs="Arial"/>
        </w:rPr>
        <w:t xml:space="preserve"> to the TLG that </w:t>
      </w:r>
      <w:r>
        <w:rPr>
          <w:rFonts w:cs="Arial"/>
        </w:rPr>
        <w:t>no necessary changes to this band</w:t>
      </w:r>
      <w:r w:rsidR="00155F8D">
        <w:rPr>
          <w:rFonts w:cs="Arial"/>
        </w:rPr>
        <w:t xml:space="preserve"> </w:t>
      </w:r>
      <w:r w:rsidR="00F430F1">
        <w:rPr>
          <w:rFonts w:cs="Arial"/>
        </w:rPr>
        <w:t xml:space="preserve">were required. </w:t>
      </w:r>
      <w:r w:rsidR="00060862">
        <w:rPr>
          <w:rFonts w:cs="Arial"/>
        </w:rPr>
        <w:t>The ACMA requested TLG members pr</w:t>
      </w:r>
      <w:r w:rsidR="00347501">
        <w:rPr>
          <w:rFonts w:cs="Arial"/>
        </w:rPr>
        <w:t xml:space="preserve">esent any issues </w:t>
      </w:r>
      <w:r w:rsidR="00F401BB">
        <w:rPr>
          <w:rFonts w:cs="Arial"/>
        </w:rPr>
        <w:t>relevant to the 2.5 GHz mid band gap</w:t>
      </w:r>
      <w:r w:rsidR="00347501">
        <w:rPr>
          <w:rFonts w:cs="Arial"/>
        </w:rPr>
        <w:t xml:space="preserve"> that may need to be considered. </w:t>
      </w:r>
      <w:r w:rsidR="00914BB4">
        <w:rPr>
          <w:rFonts w:cs="Arial"/>
        </w:rPr>
        <w:t xml:space="preserve">No issues were raised by </w:t>
      </w:r>
      <w:r w:rsidR="00F430F1">
        <w:rPr>
          <w:rFonts w:cs="Arial"/>
        </w:rPr>
        <w:t xml:space="preserve">TLG </w:t>
      </w:r>
      <w:proofErr w:type="gramStart"/>
      <w:r w:rsidR="00F430F1">
        <w:rPr>
          <w:rFonts w:cs="Arial"/>
        </w:rPr>
        <w:t>members</w:t>
      </w:r>
      <w:proofErr w:type="gramEnd"/>
      <w:r w:rsidR="00F430F1">
        <w:rPr>
          <w:rFonts w:cs="Arial"/>
        </w:rPr>
        <w:t xml:space="preserve"> </w:t>
      </w:r>
      <w:r w:rsidR="00914BB4">
        <w:rPr>
          <w:rFonts w:cs="Arial"/>
        </w:rPr>
        <w:t>and no further discussion were undertak</w:t>
      </w:r>
      <w:r w:rsidR="007C566D">
        <w:rPr>
          <w:rFonts w:cs="Arial"/>
        </w:rPr>
        <w:t>en with regards to the technical framework for</w:t>
      </w:r>
      <w:r w:rsidR="00914BB4">
        <w:rPr>
          <w:rFonts w:cs="Arial"/>
        </w:rPr>
        <w:t xml:space="preserve"> the 2.5 GHz mid band gap in this TLG.</w:t>
      </w:r>
      <w:r w:rsidR="0026247D">
        <w:rPr>
          <w:rFonts w:cs="Arial"/>
        </w:rPr>
        <w:t xml:space="preserve"> </w:t>
      </w:r>
    </w:p>
    <w:p w14:paraId="4A89821E" w14:textId="12BBD29A" w:rsidR="002F7657" w:rsidRPr="007D04B2" w:rsidRDefault="002F7657" w:rsidP="002F7657">
      <w:pPr>
        <w:pStyle w:val="Heading2"/>
      </w:pPr>
      <w:bookmarkStart w:id="19" w:name="_Toc56006332"/>
      <w:bookmarkStart w:id="20" w:name="_Toc84339337"/>
      <w:bookmarkStart w:id="21" w:name="_Toc230690562"/>
      <w:r>
        <w:t>2</w:t>
      </w:r>
      <w:r w:rsidR="00D615D0">
        <w:t>.5</w:t>
      </w:r>
      <w:r>
        <w:t xml:space="preserve"> GHz</w:t>
      </w:r>
      <w:r w:rsidRPr="00473557">
        <w:t xml:space="preserve"> </w:t>
      </w:r>
      <w:r>
        <w:t>b</w:t>
      </w:r>
      <w:r w:rsidRPr="007D04B2">
        <w:t xml:space="preserve">and </w:t>
      </w:r>
      <w:r>
        <w:t>s</w:t>
      </w:r>
      <w:r w:rsidRPr="007D04B2">
        <w:t xml:space="preserve">pectrum </w:t>
      </w:r>
      <w:r>
        <w:t>l</w:t>
      </w:r>
      <w:r w:rsidRPr="007D04B2">
        <w:t xml:space="preserve">icence </w:t>
      </w:r>
      <w:r>
        <w:t>t</w:t>
      </w:r>
      <w:r w:rsidRPr="007D04B2">
        <w:t xml:space="preserve">echnical </w:t>
      </w:r>
      <w:r>
        <w:t>f</w:t>
      </w:r>
      <w:r w:rsidRPr="007D04B2">
        <w:t>ramework</w:t>
      </w:r>
      <w:bookmarkEnd w:id="19"/>
      <w:bookmarkEnd w:id="20"/>
      <w:bookmarkEnd w:id="21"/>
    </w:p>
    <w:p w14:paraId="18518DA5" w14:textId="1B54C613" w:rsidR="002F7657" w:rsidRPr="007D04B2" w:rsidRDefault="002F7657" w:rsidP="002F7657">
      <w:pPr>
        <w:rPr>
          <w:rFonts w:cs="Arial"/>
        </w:rPr>
      </w:pPr>
      <w:r>
        <w:rPr>
          <w:rFonts w:cs="Arial"/>
        </w:rPr>
        <w:t xml:space="preserve">The current </w:t>
      </w:r>
      <w:r>
        <w:t>2</w:t>
      </w:r>
      <w:r w:rsidR="00964F51">
        <w:t>.5</w:t>
      </w:r>
      <w:r>
        <w:t xml:space="preserve"> GHz</w:t>
      </w:r>
      <w:r w:rsidRPr="00473557">
        <w:t xml:space="preserve"> </w:t>
      </w:r>
      <w:r>
        <w:rPr>
          <w:rFonts w:cs="Arial"/>
        </w:rPr>
        <w:t xml:space="preserve">spectrum licence technical framework is optimised for the use of frequency division duplex (FDD) technologies. </w:t>
      </w:r>
      <w:r w:rsidR="00763840">
        <w:rPr>
          <w:rFonts w:cs="Arial"/>
        </w:rPr>
        <w:t>W</w:t>
      </w:r>
      <w:r w:rsidR="00763840" w:rsidRPr="00763840">
        <w:rPr>
          <w:rFonts w:cs="Arial"/>
        </w:rPr>
        <w:t>e remain of the view that this is appropriate for the 2.5 GHz band</w:t>
      </w:r>
      <w:r>
        <w:rPr>
          <w:rFonts w:cs="Arial"/>
        </w:rPr>
        <w:t>.</w:t>
      </w:r>
      <w:r w:rsidRPr="007D04B2">
        <w:rPr>
          <w:rFonts w:cs="Arial"/>
        </w:rPr>
        <w:t xml:space="preserve"> </w:t>
      </w:r>
    </w:p>
    <w:p w14:paraId="0BB3B721" w14:textId="13EAB877" w:rsidR="002F7657" w:rsidRPr="007D04B2" w:rsidRDefault="002F7657" w:rsidP="002F7657">
      <w:pPr>
        <w:spacing w:before="240" w:after="80"/>
        <w:rPr>
          <w:rFonts w:cs="Arial"/>
        </w:rPr>
      </w:pPr>
      <w:r w:rsidRPr="007D04B2">
        <w:rPr>
          <w:rFonts w:cs="Arial"/>
        </w:rPr>
        <w:t xml:space="preserve">The relevant </w:t>
      </w:r>
      <w:r>
        <w:rPr>
          <w:rFonts w:cs="Arial"/>
        </w:rPr>
        <w:t>2</w:t>
      </w:r>
      <w:r w:rsidR="00C46DC8">
        <w:rPr>
          <w:rFonts w:cs="Arial"/>
        </w:rPr>
        <w:t>.5</w:t>
      </w:r>
      <w:r>
        <w:rPr>
          <w:rFonts w:cs="Arial"/>
        </w:rPr>
        <w:t xml:space="preserve"> GHz</w:t>
      </w:r>
      <w:r w:rsidRPr="007D04B2">
        <w:rPr>
          <w:rFonts w:cs="Arial"/>
        </w:rPr>
        <w:t xml:space="preserve"> band technical framework instruments are</w:t>
      </w:r>
      <w:r>
        <w:rPr>
          <w:rFonts w:cs="Arial"/>
        </w:rPr>
        <w:t xml:space="preserve"> the</w:t>
      </w:r>
      <w:r w:rsidRPr="007D04B2">
        <w:rPr>
          <w:rFonts w:cs="Arial"/>
        </w:rPr>
        <w:t>:</w:t>
      </w:r>
    </w:p>
    <w:p w14:paraId="08852BB5" w14:textId="77777777" w:rsidR="002F7657" w:rsidRPr="00552CB6" w:rsidRDefault="002F7657" w:rsidP="009F608C">
      <w:pPr>
        <w:pStyle w:val="Bulletlevel1"/>
        <w:rPr>
          <w:rStyle w:val="Hyperlink"/>
          <w:color w:val="auto"/>
          <w:szCs w:val="20"/>
          <w:u w:val="none"/>
        </w:rPr>
      </w:pPr>
      <w:r w:rsidRPr="009F608C">
        <w:rPr>
          <w:sz w:val="20"/>
          <w:szCs w:val="20"/>
        </w:rPr>
        <w:t>Spectrum licence (</w:t>
      </w:r>
      <w:hyperlink r:id="rId31" w:history="1">
        <w:r w:rsidRPr="009F608C">
          <w:rPr>
            <w:rStyle w:val="Hyperlink"/>
            <w:sz w:val="20"/>
            <w:szCs w:val="20"/>
          </w:rPr>
          <w:t>current licence holders and copies of licences</w:t>
        </w:r>
      </w:hyperlink>
      <w:r w:rsidRPr="009F608C">
        <w:rPr>
          <w:rStyle w:val="Hyperlink"/>
          <w:color w:val="auto"/>
          <w:sz w:val="20"/>
          <w:szCs w:val="20"/>
          <w:u w:val="none"/>
        </w:rPr>
        <w:t>)</w:t>
      </w:r>
    </w:p>
    <w:p w14:paraId="77EA7380" w14:textId="7F75FC75" w:rsidR="002F7657" w:rsidRPr="009F608C" w:rsidRDefault="002F7657" w:rsidP="009F608C">
      <w:pPr>
        <w:pStyle w:val="Bulletlevel1"/>
        <w:rPr>
          <w:rStyle w:val="Hyperlink"/>
          <w:bCs/>
          <w:sz w:val="20"/>
          <w:szCs w:val="20"/>
        </w:rPr>
      </w:pPr>
      <w:hyperlink r:id="rId32" w:history="1">
        <w:r w:rsidRPr="009F608C">
          <w:rPr>
            <w:rStyle w:val="Hyperlink"/>
            <w:bCs/>
            <w:sz w:val="20"/>
            <w:szCs w:val="20"/>
          </w:rPr>
          <w:t xml:space="preserve">Radiocommunications (Unacceptable Levels of Interference — </w:t>
        </w:r>
        <w:r w:rsidRPr="009F608C">
          <w:rPr>
            <w:rStyle w:val="Hyperlink"/>
            <w:sz w:val="20"/>
            <w:szCs w:val="20"/>
          </w:rPr>
          <w:t>2</w:t>
        </w:r>
        <w:r w:rsidR="00D615D0" w:rsidRPr="009F608C">
          <w:rPr>
            <w:rStyle w:val="Hyperlink"/>
            <w:sz w:val="20"/>
            <w:szCs w:val="20"/>
          </w:rPr>
          <w:t>.5</w:t>
        </w:r>
        <w:r w:rsidRPr="009F608C">
          <w:rPr>
            <w:rStyle w:val="Hyperlink"/>
            <w:sz w:val="20"/>
            <w:szCs w:val="20"/>
          </w:rPr>
          <w:t xml:space="preserve"> GHz</w:t>
        </w:r>
        <w:r w:rsidRPr="009F608C">
          <w:rPr>
            <w:rStyle w:val="Hyperlink"/>
            <w:bCs/>
            <w:sz w:val="20"/>
            <w:szCs w:val="20"/>
          </w:rPr>
          <w:t xml:space="preserve"> Band) Determination 2</w:t>
        </w:r>
        <w:r w:rsidR="00D615D0" w:rsidRPr="009F608C">
          <w:rPr>
            <w:rStyle w:val="Hyperlink"/>
            <w:bCs/>
            <w:sz w:val="20"/>
            <w:szCs w:val="20"/>
          </w:rPr>
          <w:t>023</w:t>
        </w:r>
      </w:hyperlink>
      <w:r w:rsidR="00C27DD9" w:rsidRPr="009F608C">
        <w:rPr>
          <w:sz w:val="20"/>
          <w:szCs w:val="20"/>
        </w:rPr>
        <w:t xml:space="preserve"> </w:t>
      </w:r>
      <w:r w:rsidR="00155D22" w:rsidRPr="009F608C">
        <w:rPr>
          <w:sz w:val="20"/>
          <w:szCs w:val="20"/>
        </w:rPr>
        <w:t>(</w:t>
      </w:r>
      <w:proofErr w:type="spellStart"/>
      <w:r w:rsidR="00155D22" w:rsidRPr="009F608C">
        <w:rPr>
          <w:sz w:val="20"/>
          <w:szCs w:val="20"/>
        </w:rPr>
        <w:t>ULoI</w:t>
      </w:r>
      <w:proofErr w:type="spellEnd"/>
      <w:r w:rsidR="00155D22" w:rsidRPr="009F608C">
        <w:rPr>
          <w:sz w:val="20"/>
          <w:szCs w:val="20"/>
        </w:rPr>
        <w:t>)</w:t>
      </w:r>
    </w:p>
    <w:p w14:paraId="785DF0E7" w14:textId="6CE4974C" w:rsidR="002F7657" w:rsidRPr="00552CB6" w:rsidRDefault="002F7657" w:rsidP="009F608C">
      <w:pPr>
        <w:pStyle w:val="Bulletlevel1"/>
        <w:rPr>
          <w:bCs/>
          <w:szCs w:val="20"/>
        </w:rPr>
      </w:pPr>
      <w:hyperlink r:id="rId33" w:history="1">
        <w:r w:rsidRPr="009F608C">
          <w:rPr>
            <w:rStyle w:val="Hyperlink"/>
            <w:bCs/>
            <w:sz w:val="20"/>
            <w:szCs w:val="20"/>
          </w:rPr>
          <w:t xml:space="preserve">Radiocommunications Advisory Guidelines (Managing Interference from Spectrum Licensed Transmitters — </w:t>
        </w:r>
        <w:r w:rsidRPr="009F608C">
          <w:rPr>
            <w:rStyle w:val="Hyperlink"/>
            <w:sz w:val="20"/>
            <w:szCs w:val="20"/>
          </w:rPr>
          <w:t>2</w:t>
        </w:r>
        <w:r w:rsidR="00D615D0" w:rsidRPr="009F608C">
          <w:rPr>
            <w:rStyle w:val="Hyperlink"/>
            <w:sz w:val="20"/>
            <w:szCs w:val="20"/>
          </w:rPr>
          <w:t>.5</w:t>
        </w:r>
        <w:r w:rsidRPr="009F608C">
          <w:rPr>
            <w:rStyle w:val="Hyperlink"/>
            <w:sz w:val="20"/>
            <w:szCs w:val="20"/>
          </w:rPr>
          <w:t xml:space="preserve"> GHz</w:t>
        </w:r>
        <w:r w:rsidRPr="009F608C">
          <w:rPr>
            <w:rStyle w:val="Hyperlink"/>
            <w:bCs/>
            <w:sz w:val="20"/>
            <w:szCs w:val="20"/>
          </w:rPr>
          <w:t xml:space="preserve"> Band) 20</w:t>
        </w:r>
        <w:r w:rsidR="00D615D0" w:rsidRPr="009F608C">
          <w:rPr>
            <w:rStyle w:val="Hyperlink"/>
            <w:bCs/>
            <w:sz w:val="20"/>
            <w:szCs w:val="20"/>
          </w:rPr>
          <w:t>23</w:t>
        </w:r>
      </w:hyperlink>
      <w:r w:rsidR="00C27DD9" w:rsidRPr="009F608C">
        <w:rPr>
          <w:sz w:val="20"/>
          <w:szCs w:val="20"/>
        </w:rPr>
        <w:t xml:space="preserve"> (RAG Tx)</w:t>
      </w:r>
    </w:p>
    <w:p w14:paraId="46EFD46A" w14:textId="57EAFE45" w:rsidR="002F7657" w:rsidRPr="00552CB6" w:rsidRDefault="002F7657" w:rsidP="009F608C">
      <w:pPr>
        <w:pStyle w:val="Bulletlevel1last"/>
        <w:rPr>
          <w:szCs w:val="20"/>
        </w:rPr>
      </w:pPr>
      <w:hyperlink r:id="rId34" w:history="1">
        <w:r w:rsidRPr="009F608C">
          <w:rPr>
            <w:rStyle w:val="Hyperlink"/>
            <w:bCs/>
            <w:sz w:val="20"/>
            <w:szCs w:val="20"/>
          </w:rPr>
          <w:t xml:space="preserve">Radiocommunications Advisory Guidelines (Managing Interference to Spectrum Licensed Receivers – </w:t>
        </w:r>
        <w:r w:rsidRPr="009F608C">
          <w:rPr>
            <w:rStyle w:val="Hyperlink"/>
            <w:sz w:val="20"/>
            <w:szCs w:val="20"/>
          </w:rPr>
          <w:t>2</w:t>
        </w:r>
        <w:r w:rsidR="00D615D0" w:rsidRPr="009F608C">
          <w:rPr>
            <w:rStyle w:val="Hyperlink"/>
            <w:sz w:val="20"/>
            <w:szCs w:val="20"/>
          </w:rPr>
          <w:t>.5</w:t>
        </w:r>
        <w:r w:rsidRPr="009F608C">
          <w:rPr>
            <w:rStyle w:val="Hyperlink"/>
            <w:sz w:val="20"/>
            <w:szCs w:val="20"/>
          </w:rPr>
          <w:t xml:space="preserve"> GHz</w:t>
        </w:r>
        <w:r w:rsidRPr="009F608C">
          <w:rPr>
            <w:rStyle w:val="Hyperlink"/>
            <w:bCs/>
            <w:sz w:val="20"/>
            <w:szCs w:val="20"/>
          </w:rPr>
          <w:t xml:space="preserve"> Band) 20</w:t>
        </w:r>
        <w:r w:rsidR="00D615D0" w:rsidRPr="009F608C">
          <w:rPr>
            <w:rStyle w:val="Hyperlink"/>
            <w:bCs/>
            <w:sz w:val="20"/>
            <w:szCs w:val="20"/>
          </w:rPr>
          <w:t>23</w:t>
        </w:r>
      </w:hyperlink>
      <w:r w:rsidR="00C27DD9" w:rsidRPr="009F608C">
        <w:rPr>
          <w:sz w:val="20"/>
          <w:szCs w:val="20"/>
        </w:rPr>
        <w:t xml:space="preserve"> (RAG Rx)</w:t>
      </w:r>
    </w:p>
    <w:p w14:paraId="79B4C224" w14:textId="77777777" w:rsidR="002F7657" w:rsidRPr="007D04B2" w:rsidRDefault="002F7657" w:rsidP="002F7657">
      <w:pPr>
        <w:pStyle w:val="Heading2"/>
        <w:keepLines/>
        <w:spacing w:before="480"/>
      </w:pPr>
      <w:bookmarkStart w:id="22" w:name="_Toc403740552"/>
      <w:bookmarkStart w:id="23" w:name="_Toc404333447"/>
      <w:bookmarkStart w:id="24" w:name="_Toc444690625"/>
      <w:bookmarkStart w:id="25" w:name="_Toc56006333"/>
      <w:bookmarkStart w:id="26" w:name="_Toc84339338"/>
      <w:bookmarkStart w:id="27" w:name="_Toc230690563"/>
      <w:r w:rsidRPr="007D04B2">
        <w:t>Conditions on the spectrum licence</w:t>
      </w:r>
      <w:bookmarkEnd w:id="22"/>
      <w:bookmarkEnd w:id="23"/>
      <w:bookmarkEnd w:id="24"/>
      <w:bookmarkEnd w:id="25"/>
      <w:bookmarkEnd w:id="26"/>
      <w:bookmarkEnd w:id="27"/>
    </w:p>
    <w:p w14:paraId="2688E4E7" w14:textId="77777777" w:rsidR="002F7657" w:rsidRPr="00552CB6" w:rsidRDefault="002F7657" w:rsidP="009F608C">
      <w:pPr>
        <w:pStyle w:val="Paragraphbeforelist"/>
        <w:rPr>
          <w:szCs w:val="20"/>
        </w:rPr>
      </w:pPr>
      <w:r w:rsidRPr="009F608C">
        <w:rPr>
          <w:sz w:val="20"/>
          <w:szCs w:val="20"/>
        </w:rPr>
        <w:t>Each spectrum licence includes both core conditions and statutory conditions specified under relevant sections of the Act. The Act also provides that other specific conditions may be included by the ACMA.</w:t>
      </w:r>
    </w:p>
    <w:p w14:paraId="6CC23547" w14:textId="77777777" w:rsidR="002F7657" w:rsidRPr="00552CB6" w:rsidRDefault="002F7657" w:rsidP="009F608C">
      <w:pPr>
        <w:pStyle w:val="Bulletlevel1"/>
        <w:rPr>
          <w:szCs w:val="20"/>
        </w:rPr>
      </w:pPr>
      <w:r w:rsidRPr="009F608C">
        <w:rPr>
          <w:b/>
          <w:sz w:val="20"/>
          <w:szCs w:val="20"/>
        </w:rPr>
        <w:lastRenderedPageBreak/>
        <w:t xml:space="preserve">Core conditions </w:t>
      </w:r>
      <w:r w:rsidRPr="009F608C">
        <w:rPr>
          <w:sz w:val="20"/>
          <w:szCs w:val="20"/>
        </w:rPr>
        <w:t>— required under section 66, these conditions define the spectrum space within which the licensee is authorised to operate radiocommunications devices under the licence, and the maximum permitted level of radio emissions inside and outside the band. They are included in all spectrum licences.</w:t>
      </w:r>
    </w:p>
    <w:p w14:paraId="7182C9F2" w14:textId="77777777" w:rsidR="002F7657" w:rsidRPr="00552CB6" w:rsidRDefault="002F7657" w:rsidP="009F608C">
      <w:pPr>
        <w:pStyle w:val="Bulletlevel1"/>
        <w:rPr>
          <w:szCs w:val="20"/>
        </w:rPr>
      </w:pPr>
      <w:r w:rsidRPr="009F608C">
        <w:rPr>
          <w:b/>
          <w:sz w:val="20"/>
          <w:szCs w:val="20"/>
        </w:rPr>
        <w:t xml:space="preserve">Statutory conditions </w:t>
      </w:r>
      <w:r w:rsidRPr="009F608C">
        <w:rPr>
          <w:sz w:val="20"/>
          <w:szCs w:val="20"/>
        </w:rPr>
        <w:t>— required under sections 67 to 69A, these conditions include information about payment of charges, use by third parties, residency, registration of transmitters and devices exempt from registration. They are included in all spectrum licences.</w:t>
      </w:r>
    </w:p>
    <w:p w14:paraId="418A2B25" w14:textId="77777777" w:rsidR="002F7657" w:rsidRPr="00552CB6" w:rsidRDefault="002F7657" w:rsidP="009F608C">
      <w:pPr>
        <w:pStyle w:val="Bulletlevel1last"/>
        <w:rPr>
          <w:szCs w:val="20"/>
        </w:rPr>
      </w:pPr>
      <w:r w:rsidRPr="009F608C">
        <w:rPr>
          <w:b/>
          <w:sz w:val="20"/>
          <w:szCs w:val="20"/>
        </w:rPr>
        <w:t xml:space="preserve">Other conditions </w:t>
      </w:r>
      <w:r w:rsidRPr="009F608C">
        <w:rPr>
          <w:sz w:val="20"/>
          <w:szCs w:val="20"/>
        </w:rPr>
        <w:t>— conditions placed on licences under section 71 generally provide for the efficient management of the spectrum and administration of the Act. They may vary from one band or licence to another.</w:t>
      </w:r>
    </w:p>
    <w:p w14:paraId="6CA60960" w14:textId="77777777" w:rsidR="002F7657" w:rsidRPr="007D04B2" w:rsidRDefault="002F7657" w:rsidP="002F7657">
      <w:pPr>
        <w:spacing w:after="80"/>
      </w:pPr>
      <w:r w:rsidRPr="007D04B2">
        <w:t>The core conditions of a spectrum licence form the fundamental building blocks for operation of a spectrum-licensed device, and for managing interference with adjacent frequency bands and geographic areas. Section 66 of the Act states spectrum licences must specify the following core conditions:</w:t>
      </w:r>
    </w:p>
    <w:p w14:paraId="38C28709" w14:textId="77777777" w:rsidR="002F7657" w:rsidRPr="00552CB6" w:rsidRDefault="002F7657" w:rsidP="009F608C">
      <w:pPr>
        <w:pStyle w:val="Bulletlevel1"/>
        <w:rPr>
          <w:szCs w:val="20"/>
        </w:rPr>
      </w:pPr>
      <w:r w:rsidRPr="009F608C">
        <w:rPr>
          <w:sz w:val="20"/>
          <w:szCs w:val="20"/>
        </w:rPr>
        <w:t>The part or parts of the spectrum in which operation of radiocommunications devices is authorised under the licence (frequency range of operation).</w:t>
      </w:r>
    </w:p>
    <w:p w14:paraId="19C3321F" w14:textId="77777777" w:rsidR="002F7657" w:rsidRPr="00552CB6" w:rsidRDefault="002F7657" w:rsidP="009F608C">
      <w:pPr>
        <w:pStyle w:val="Bulletlevel1"/>
        <w:rPr>
          <w:szCs w:val="20"/>
        </w:rPr>
      </w:pPr>
      <w:r w:rsidRPr="009F608C">
        <w:rPr>
          <w:sz w:val="20"/>
          <w:szCs w:val="20"/>
        </w:rPr>
        <w:t>The maximum permitted level of radio emission, in parts of the spectrum outside the frequency range specified on the licence, that may be caused by operation of radiocommunications devices under the licence (outside-the-band emission).</w:t>
      </w:r>
    </w:p>
    <w:p w14:paraId="70669E89" w14:textId="77777777" w:rsidR="002F7657" w:rsidRPr="00552CB6" w:rsidRDefault="002F7657" w:rsidP="009F608C">
      <w:pPr>
        <w:pStyle w:val="Bulletlevel1"/>
        <w:rPr>
          <w:szCs w:val="20"/>
        </w:rPr>
      </w:pPr>
      <w:r w:rsidRPr="009F608C">
        <w:rPr>
          <w:sz w:val="20"/>
          <w:szCs w:val="20"/>
        </w:rPr>
        <w:t>The area within which operation of radiocommunications devices is authorised under the licence (geographic area of operation).</w:t>
      </w:r>
    </w:p>
    <w:p w14:paraId="2BDCCE5B" w14:textId="77777777" w:rsidR="002F7657" w:rsidRPr="00552CB6" w:rsidRDefault="002F7657" w:rsidP="009F608C">
      <w:pPr>
        <w:pStyle w:val="Bulletlevel1last"/>
        <w:rPr>
          <w:szCs w:val="20"/>
        </w:rPr>
      </w:pPr>
      <w:r w:rsidRPr="009F608C">
        <w:rPr>
          <w:sz w:val="20"/>
          <w:szCs w:val="20"/>
        </w:rPr>
        <w:t>The maximum permitted level of radio emission that may be caused by the operation of radiocommunications devices under the licence (outside-the-area emission).</w:t>
      </w:r>
    </w:p>
    <w:p w14:paraId="50E531C7" w14:textId="77777777" w:rsidR="002F7657" w:rsidRPr="007D04B2" w:rsidRDefault="002F7657" w:rsidP="002F7657">
      <w:pPr>
        <w:pStyle w:val="Heading3"/>
      </w:pPr>
      <w:bookmarkStart w:id="28" w:name="_Toc506899797"/>
      <w:bookmarkStart w:id="29" w:name="_Toc56006334"/>
      <w:bookmarkStart w:id="30" w:name="_Toc84339339"/>
      <w:r w:rsidRPr="007D04B2">
        <w:t>In-band emission limits</w:t>
      </w:r>
      <w:bookmarkEnd w:id="28"/>
      <w:bookmarkEnd w:id="29"/>
      <w:bookmarkEnd w:id="30"/>
    </w:p>
    <w:p w14:paraId="03B38C64" w14:textId="47CBC6A3" w:rsidR="002F7657" w:rsidRPr="007D04B2" w:rsidRDefault="002F7657" w:rsidP="002F7657">
      <w:pPr>
        <w:spacing w:after="80"/>
      </w:pPr>
      <w:r w:rsidRPr="007D04B2">
        <w:t xml:space="preserve">The current in-band emission limit for </w:t>
      </w:r>
      <w:r>
        <w:t>2</w:t>
      </w:r>
      <w:r w:rsidR="00964F51">
        <w:t>.5</w:t>
      </w:r>
      <w:r>
        <w:t xml:space="preserve"> GHz</w:t>
      </w:r>
      <w:r w:rsidRPr="007D04B2">
        <w:t xml:space="preserve"> band spectrum licences </w:t>
      </w:r>
      <w:r>
        <w:t>is</w:t>
      </w:r>
      <w:r w:rsidRPr="007D04B2">
        <w:t>:</w:t>
      </w:r>
    </w:p>
    <w:p w14:paraId="1A1D9DCA" w14:textId="432C4B2E" w:rsidR="002F7657" w:rsidRPr="00552CB6" w:rsidRDefault="005D3B8F" w:rsidP="009F608C">
      <w:pPr>
        <w:pStyle w:val="Bulletlevel1last"/>
        <w:rPr>
          <w:szCs w:val="20"/>
        </w:rPr>
      </w:pPr>
      <w:r w:rsidRPr="009F608C">
        <w:rPr>
          <w:sz w:val="20"/>
          <w:szCs w:val="20"/>
        </w:rPr>
        <w:t>45</w:t>
      </w:r>
      <w:r w:rsidR="002F7657" w:rsidRPr="009F608C">
        <w:rPr>
          <w:sz w:val="20"/>
          <w:szCs w:val="20"/>
        </w:rPr>
        <w:t xml:space="preserve"> dBm/</w:t>
      </w:r>
      <w:r w:rsidRPr="009F608C">
        <w:rPr>
          <w:sz w:val="20"/>
          <w:szCs w:val="20"/>
        </w:rPr>
        <w:t>30</w:t>
      </w:r>
      <w:r w:rsidR="002F7657" w:rsidRPr="009F608C">
        <w:rPr>
          <w:sz w:val="20"/>
          <w:szCs w:val="20"/>
        </w:rPr>
        <w:t xml:space="preserve"> </w:t>
      </w:r>
      <w:r w:rsidRPr="009F608C">
        <w:rPr>
          <w:sz w:val="20"/>
          <w:szCs w:val="20"/>
        </w:rPr>
        <w:t>k</w:t>
      </w:r>
      <w:r w:rsidR="002F7657" w:rsidRPr="009F608C">
        <w:rPr>
          <w:sz w:val="20"/>
          <w:szCs w:val="20"/>
        </w:rPr>
        <w:t>Hz EIRP.</w:t>
      </w:r>
      <w:r w:rsidR="002F7657" w:rsidRPr="009F608C">
        <w:rPr>
          <w:rStyle w:val="FootnoteReference"/>
          <w:sz w:val="20"/>
          <w:szCs w:val="20"/>
        </w:rPr>
        <w:footnoteReference w:id="1"/>
      </w:r>
    </w:p>
    <w:p w14:paraId="7D3B1077" w14:textId="57C35A6D" w:rsidR="002F7657" w:rsidRDefault="002F7657" w:rsidP="002F7657">
      <w:r>
        <w:t xml:space="preserve">While traditionally emission limits in technical and regulatory frameworks have been defined in terms of EIRP, there is a general preference to define emission limits for services using AAS in the form of total radiated power (TRP). This is considered to more accurately reflect </w:t>
      </w:r>
      <w:r w:rsidRPr="009635FB">
        <w:t xml:space="preserve">and limit the risk of interference </w:t>
      </w:r>
      <w:r>
        <w:t xml:space="preserve">presented by </w:t>
      </w:r>
      <w:r w:rsidR="00992976">
        <w:t xml:space="preserve">systems that employ </w:t>
      </w:r>
      <w:r>
        <w:t xml:space="preserve">AAS (refer to section 6.3.2.1 of </w:t>
      </w:r>
      <w:hyperlink r:id="rId35" w:history="1">
        <w:r w:rsidRPr="007D04B2">
          <w:rPr>
            <w:rStyle w:val="Hyperlink"/>
            <w:rFonts w:cs="Arial"/>
          </w:rPr>
          <w:t>ECC Report 281</w:t>
        </w:r>
      </w:hyperlink>
      <w:r w:rsidRPr="00322232">
        <w:rPr>
          <w:rStyle w:val="Hyperlink"/>
          <w:rFonts w:cs="Arial"/>
          <w:color w:val="auto"/>
          <w:u w:val="none"/>
        </w:rPr>
        <w:t>)</w:t>
      </w:r>
      <w:r>
        <w:t xml:space="preserve">. </w:t>
      </w:r>
      <w:r w:rsidRPr="009635FB">
        <w:t xml:space="preserve"> </w:t>
      </w:r>
    </w:p>
    <w:p w14:paraId="5DF3AD60" w14:textId="00CACD98" w:rsidR="002F7657" w:rsidRDefault="002F7657" w:rsidP="002F7657">
      <w:r w:rsidRPr="009635FB">
        <w:t>Section 6.3.2.1 of ECC Report 281 provides a comparison on the use of TRP vs EIRP metrics to specify AAS emissions. Based on 3GPP studies</w:t>
      </w:r>
      <w:r>
        <w:rPr>
          <w:rStyle w:val="FootnoteReference"/>
        </w:rPr>
        <w:footnoteReference w:id="2"/>
      </w:r>
      <w:r w:rsidR="000D0C2C">
        <w:t>,</w:t>
      </w:r>
      <w:r w:rsidRPr="009635FB">
        <w:t xml:space="preserve"> the impact of unwanted emissions on the adjacent mobile systems is best represented and limited by use of TRP. While these studies apply to mobile systems, similar logic is considered to apply</w:t>
      </w:r>
      <w:r>
        <w:t xml:space="preserve"> for interference</w:t>
      </w:r>
      <w:r w:rsidRPr="009635FB">
        <w:t xml:space="preserve"> to other services.</w:t>
      </w:r>
      <w:r>
        <w:t xml:space="preserve"> </w:t>
      </w:r>
    </w:p>
    <w:p w14:paraId="684F175C" w14:textId="11EDA9CD" w:rsidR="002F7657" w:rsidRDefault="002F7657" w:rsidP="000F3D9C">
      <w:r w:rsidRPr="00602151">
        <w:t xml:space="preserve">Importantly, it is not intended that </w:t>
      </w:r>
      <w:r w:rsidR="00273618">
        <w:t xml:space="preserve">the </w:t>
      </w:r>
      <w:r w:rsidRPr="00FD023A">
        <w:t xml:space="preserve">use of TRP </w:t>
      </w:r>
      <w:r w:rsidRPr="00602151">
        <w:t xml:space="preserve">replace the need for spectrum licensees to coordinate with other </w:t>
      </w:r>
      <w:r w:rsidRPr="0038741C">
        <w:t>services</w:t>
      </w:r>
      <w:r>
        <w:t>, with known locations,</w:t>
      </w:r>
      <w:r w:rsidRPr="0038741C">
        <w:t xml:space="preserve"> using actual EIRP values. This requirement, along with the defined protection criteria</w:t>
      </w:r>
      <w:r w:rsidRPr="00DB5756">
        <w:t xml:space="preserve"> for other services</w:t>
      </w:r>
      <w:r w:rsidRPr="00D644ED">
        <w:t xml:space="preserve"> will not change.</w:t>
      </w:r>
      <w:r w:rsidRPr="00602151">
        <w:t xml:space="preserve">  </w:t>
      </w:r>
    </w:p>
    <w:p w14:paraId="3D401C4F" w14:textId="08A36F5B" w:rsidR="002F7657" w:rsidRDefault="002F7657" w:rsidP="002F7657">
      <w:r w:rsidRPr="00FD023A">
        <w:t xml:space="preserve">The use of TRP </w:t>
      </w:r>
      <w:r>
        <w:t xml:space="preserve">also </w:t>
      </w:r>
      <w:r w:rsidRPr="003F4263">
        <w:t xml:space="preserve">provides a </w:t>
      </w:r>
      <w:r w:rsidRPr="00FD023A">
        <w:t xml:space="preserve">level of flexibility to the technical framework that </w:t>
      </w:r>
      <w:r w:rsidR="0030598F">
        <w:t>may</w:t>
      </w:r>
      <w:r w:rsidRPr="00FD023A">
        <w:t xml:space="preserve"> help future </w:t>
      </w:r>
      <w:r>
        <w:t>technologies</w:t>
      </w:r>
      <w:r w:rsidR="0030598F">
        <w:t xml:space="preserve"> be accommodated without further changes to the technical framework</w:t>
      </w:r>
      <w:r>
        <w:t>.</w:t>
      </w:r>
      <w:r w:rsidRPr="008E72D1">
        <w:t xml:space="preserve"> </w:t>
      </w:r>
    </w:p>
    <w:p w14:paraId="6B1384A2" w14:textId="00F3AA96" w:rsidR="002F7657" w:rsidRDefault="002F7657" w:rsidP="000F3D9C">
      <w:r>
        <w:t xml:space="preserve">Considering the current EIRP in-band limit of </w:t>
      </w:r>
      <w:r w:rsidR="003309EA">
        <w:t>45</w:t>
      </w:r>
      <w:r w:rsidRPr="003D4F66">
        <w:t xml:space="preserve"> </w:t>
      </w:r>
      <w:r>
        <w:t>dBm/</w:t>
      </w:r>
      <w:r w:rsidR="003309EA">
        <w:t>30</w:t>
      </w:r>
      <w:r>
        <w:t xml:space="preserve"> </w:t>
      </w:r>
      <w:r w:rsidR="003309EA">
        <w:t>k</w:t>
      </w:r>
      <w:r>
        <w:t xml:space="preserve">Hz, the </w:t>
      </w:r>
      <w:r w:rsidR="00BD47EF">
        <w:t>ACMA proposed a</w:t>
      </w:r>
      <w:r w:rsidR="009F1672">
        <w:t xml:space="preserve"> TR</w:t>
      </w:r>
      <w:r>
        <w:t xml:space="preserve">P </w:t>
      </w:r>
      <w:r w:rsidR="009F1672">
        <w:t xml:space="preserve">limit </w:t>
      </w:r>
      <w:r>
        <w:t>of 5</w:t>
      </w:r>
      <w:r w:rsidR="00370074">
        <w:t>0.2</w:t>
      </w:r>
      <w:r w:rsidRPr="00792707">
        <w:t xml:space="preserve"> dBm/5 MHz</w:t>
      </w:r>
      <w:r>
        <w:t xml:space="preserve"> for all transmitters.</w:t>
      </w:r>
      <w:r>
        <w:rPr>
          <w:rStyle w:val="FootnoteReference"/>
        </w:rPr>
        <w:footnoteReference w:id="3"/>
      </w:r>
    </w:p>
    <w:p w14:paraId="2901B137" w14:textId="5E245B81" w:rsidR="00BD47EF" w:rsidRDefault="00622CA0" w:rsidP="000F3D9C">
      <w:r>
        <w:lastRenderedPageBreak/>
        <w:t xml:space="preserve">TLG members requested an increase the AAS limit to 53 dBm/5MHz TRP. </w:t>
      </w:r>
      <w:r w:rsidR="00FB6F08">
        <w:t xml:space="preserve">It was </w:t>
      </w:r>
      <w:r>
        <w:t xml:space="preserve">suggested that the increase to </w:t>
      </w:r>
      <w:r w:rsidRPr="00677819">
        <w:t xml:space="preserve">53dBm/5MHz TRP </w:t>
      </w:r>
      <w:r>
        <w:t xml:space="preserve">would be in line with the </w:t>
      </w:r>
      <w:r w:rsidRPr="00677819">
        <w:t xml:space="preserve">lower end of </w:t>
      </w:r>
      <w:hyperlink r:id="rId36" w:history="1">
        <w:r w:rsidRPr="00E70354">
          <w:rPr>
            <w:rStyle w:val="Hyperlink"/>
          </w:rPr>
          <w:t>ECC Decision 05(05).</w:t>
        </w:r>
      </w:hyperlink>
      <w:r>
        <w:t xml:space="preserve"> </w:t>
      </w:r>
      <w:r w:rsidR="00D67339">
        <w:t xml:space="preserve">The ACMA reviewed the ECC Decision 05(05) and found that while it did propose </w:t>
      </w:r>
      <w:r w:rsidR="001D1612">
        <w:t xml:space="preserve">a limit of 53 dBm/5MHz, it also </w:t>
      </w:r>
      <w:r w:rsidR="00FE1E37">
        <w:t>stated</w:t>
      </w:r>
      <w:r w:rsidR="001D1612">
        <w:t xml:space="preserve"> that </w:t>
      </w:r>
      <w:r w:rsidR="00FE1E37">
        <w:t>“</w:t>
      </w:r>
      <w:r w:rsidR="00FE1E37" w:rsidRPr="006429F0">
        <w:t>For locations where coordination procedure with adjacent services applies an upper bound on output power can be set by administrations.</w:t>
      </w:r>
      <w:r w:rsidR="00FE1E37">
        <w:t xml:space="preserve">”. </w:t>
      </w:r>
      <w:r w:rsidR="009A6D64">
        <w:t>The ACMA</w:t>
      </w:r>
      <w:r w:rsidR="00314F0D">
        <w:t xml:space="preserve"> argued that the </w:t>
      </w:r>
      <w:r w:rsidR="0000752D">
        <w:t>proposed level of TRP of 50.2</w:t>
      </w:r>
      <w:r w:rsidR="0000752D" w:rsidRPr="00792707">
        <w:t xml:space="preserve"> dBm/5 MHz</w:t>
      </w:r>
      <w:r w:rsidR="0000752D">
        <w:t xml:space="preserve"> </w:t>
      </w:r>
      <w:r w:rsidR="008C4902" w:rsidRPr="008C4902">
        <w:t>continues to meet</w:t>
      </w:r>
      <w:r w:rsidR="008C4902">
        <w:t xml:space="preserve"> </w:t>
      </w:r>
      <w:r w:rsidR="00E76DA9">
        <w:t>the current requirements. A</w:t>
      </w:r>
      <w:r w:rsidR="00EE0A07">
        <w:t xml:space="preserve"> </w:t>
      </w:r>
      <w:r w:rsidR="00476769">
        <w:t>potential</w:t>
      </w:r>
      <w:r w:rsidR="00E76DA9">
        <w:t xml:space="preserve"> increase to this </w:t>
      </w:r>
      <w:r w:rsidR="007D6AC5">
        <w:t xml:space="preserve">limit </w:t>
      </w:r>
      <w:r w:rsidR="00E76DA9">
        <w:t xml:space="preserve">could be explored </w:t>
      </w:r>
      <w:r w:rsidR="007D6AC5">
        <w:t>under</w:t>
      </w:r>
      <w:r w:rsidR="00E76DA9">
        <w:t xml:space="preserve"> the expiring </w:t>
      </w:r>
      <w:r w:rsidR="00A737E7">
        <w:t>spectrum licence (ESL) process.</w:t>
      </w:r>
    </w:p>
    <w:p w14:paraId="2A2DB30B" w14:textId="3D95FDBC" w:rsidR="00BD47EF" w:rsidRDefault="009F1672" w:rsidP="00BD47EF">
      <w:pPr>
        <w:spacing w:before="240" w:after="60"/>
      </w:pPr>
      <w:r>
        <w:t>T</w:t>
      </w:r>
      <w:r w:rsidR="00BD47EF">
        <w:t>he following in-band limit was proposed and agreed by 2.5 GHz band spectrum licensees:</w:t>
      </w:r>
    </w:p>
    <w:p w14:paraId="363A6E8F" w14:textId="4DD8019C" w:rsidR="00BD47EF" w:rsidRPr="00552CB6" w:rsidRDefault="00BD47EF" w:rsidP="009F608C">
      <w:pPr>
        <w:pStyle w:val="Bulletlevel1last"/>
        <w:rPr>
          <w:szCs w:val="20"/>
        </w:rPr>
      </w:pPr>
      <w:r w:rsidRPr="009F608C">
        <w:rPr>
          <w:sz w:val="20"/>
          <w:szCs w:val="20"/>
        </w:rPr>
        <w:t>TRP of 5</w:t>
      </w:r>
      <w:r w:rsidR="0000752D" w:rsidRPr="009F608C">
        <w:rPr>
          <w:sz w:val="20"/>
          <w:szCs w:val="20"/>
        </w:rPr>
        <w:t>0.2</w:t>
      </w:r>
      <w:r w:rsidRPr="009F608C">
        <w:rPr>
          <w:sz w:val="20"/>
          <w:szCs w:val="20"/>
        </w:rPr>
        <w:t xml:space="preserve"> dBm/5 MHz for all transmitters.</w:t>
      </w:r>
    </w:p>
    <w:p w14:paraId="66D42C37" w14:textId="37B895EA" w:rsidR="002F7657" w:rsidRPr="0062295F" w:rsidRDefault="002F7657" w:rsidP="002F7657">
      <w:pPr>
        <w:pStyle w:val="ListBullet"/>
        <w:numPr>
          <w:ilvl w:val="0"/>
          <w:numId w:val="0"/>
        </w:numPr>
      </w:pPr>
      <w:r>
        <w:t>Adopting th</w:t>
      </w:r>
      <w:r w:rsidR="00465466">
        <w:t>is</w:t>
      </w:r>
      <w:r>
        <w:t xml:space="preserve"> level </w:t>
      </w:r>
      <w:r w:rsidRPr="00DF4591">
        <w:t xml:space="preserve">also </w:t>
      </w:r>
      <w:r w:rsidRPr="00FD023A">
        <w:t xml:space="preserve">ensures </w:t>
      </w:r>
      <w:r w:rsidRPr="00DF4591">
        <w:t xml:space="preserve">existing registered devices </w:t>
      </w:r>
      <w:r w:rsidRPr="00845A9D">
        <w:t>operatin</w:t>
      </w:r>
      <w:r w:rsidRPr="00FC05CF">
        <w:t xml:space="preserve">g in the </w:t>
      </w:r>
      <w:r>
        <w:t>2</w:t>
      </w:r>
      <w:r w:rsidR="009F1672">
        <w:t>.5</w:t>
      </w:r>
      <w:r>
        <w:t xml:space="preserve"> GHz</w:t>
      </w:r>
      <w:r w:rsidRPr="00FC05CF">
        <w:t xml:space="preserve"> band are </w:t>
      </w:r>
      <w:r>
        <w:t xml:space="preserve">not affected by the change. </w:t>
      </w:r>
      <w:bookmarkStart w:id="31" w:name="_Toc506899798"/>
      <w:bookmarkStart w:id="32" w:name="_Toc56006335"/>
    </w:p>
    <w:p w14:paraId="74B13370" w14:textId="77777777" w:rsidR="002F7657" w:rsidRPr="007D04B2" w:rsidRDefault="002F7657" w:rsidP="002F7657">
      <w:pPr>
        <w:pStyle w:val="Heading3"/>
        <w:spacing w:before="240"/>
      </w:pPr>
      <w:bookmarkStart w:id="33" w:name="_Toc84339340"/>
      <w:r w:rsidRPr="007D04B2">
        <w:t>Unwanted emission limits</w:t>
      </w:r>
      <w:bookmarkEnd w:id="31"/>
      <w:bookmarkEnd w:id="32"/>
      <w:bookmarkEnd w:id="33"/>
    </w:p>
    <w:p w14:paraId="4D0F3A63" w14:textId="5C3B06C8" w:rsidR="002F7657" w:rsidRDefault="002F7657" w:rsidP="002F7657">
      <w:r w:rsidRPr="007D04B2">
        <w:t xml:space="preserve">Existing unwanted emission limits that apply to </w:t>
      </w:r>
      <w:r>
        <w:t>2</w:t>
      </w:r>
      <w:r w:rsidR="00363F0A">
        <w:t>.5</w:t>
      </w:r>
      <w:r>
        <w:t xml:space="preserve"> GHz</w:t>
      </w:r>
      <w:r w:rsidRPr="007D04B2">
        <w:t xml:space="preserve"> band spectrum licences </w:t>
      </w:r>
      <w:r>
        <w:t>are</w:t>
      </w:r>
      <w:r w:rsidRPr="007D04B2">
        <w:t xml:space="preserve"> reproduced at </w:t>
      </w:r>
      <w:hyperlink w:anchor="_Appendix_B_–" w:history="1">
        <w:r w:rsidRPr="00CC15EE">
          <w:rPr>
            <w:rStyle w:val="Hyperlink"/>
          </w:rPr>
          <w:t>Appendix B</w:t>
        </w:r>
      </w:hyperlink>
      <w:r w:rsidRPr="007D04B2">
        <w:t>.</w:t>
      </w:r>
      <w:r>
        <w:t xml:space="preserve"> </w:t>
      </w:r>
      <w:r w:rsidR="007A5556">
        <w:t>While current 2.5 GHz band spectrum licence refer</w:t>
      </w:r>
      <w:r w:rsidR="009A52C5">
        <w:t>s</w:t>
      </w:r>
      <w:r w:rsidR="007A5556">
        <w:t xml:space="preserve"> to </w:t>
      </w:r>
      <w:r w:rsidR="007A5556" w:rsidRPr="009F608C">
        <w:rPr>
          <w:i/>
          <w:iCs/>
        </w:rPr>
        <w:t>spurious</w:t>
      </w:r>
      <w:r w:rsidR="007A5556">
        <w:t xml:space="preserve"> and </w:t>
      </w:r>
      <w:r w:rsidR="007A5556" w:rsidRPr="009F608C">
        <w:rPr>
          <w:i/>
          <w:iCs/>
        </w:rPr>
        <w:t>non-spurious</w:t>
      </w:r>
      <w:r w:rsidR="007A5556">
        <w:t xml:space="preserve"> emissions, the ACMA has been moving toward using the</w:t>
      </w:r>
      <w:r>
        <w:t xml:space="preserve"> term </w:t>
      </w:r>
      <w:r w:rsidRPr="009F608C">
        <w:rPr>
          <w:i/>
          <w:iCs/>
        </w:rPr>
        <w:t>unwanted emission limits</w:t>
      </w:r>
      <w:r w:rsidR="00513F94">
        <w:t xml:space="preserve"> to</w:t>
      </w:r>
      <w:r>
        <w:t xml:space="preserve"> encompasses both spurious </w:t>
      </w:r>
      <w:r w:rsidR="00513F94">
        <w:t xml:space="preserve">and non-spurious </w:t>
      </w:r>
      <w:r>
        <w:t xml:space="preserve">emission limits. 3GPP standards define different limits for both cases. </w:t>
      </w:r>
    </w:p>
    <w:p w14:paraId="5C3FB49D" w14:textId="556593ED" w:rsidR="002F7657" w:rsidRDefault="002F7657" w:rsidP="002F7657">
      <w:pPr>
        <w:pStyle w:val="Heading3"/>
        <w:rPr>
          <w:iCs/>
        </w:rPr>
      </w:pPr>
      <w:r w:rsidRPr="005438AE">
        <w:rPr>
          <w:iCs/>
        </w:rPr>
        <w:t xml:space="preserve">Proposed </w:t>
      </w:r>
      <w:r>
        <w:rPr>
          <w:iCs/>
        </w:rPr>
        <w:t xml:space="preserve">unwanted emission limits for devices operating in </w:t>
      </w:r>
      <w:r w:rsidR="006E69B9">
        <w:rPr>
          <w:iCs/>
        </w:rPr>
        <w:t xml:space="preserve">the </w:t>
      </w:r>
      <w:r w:rsidR="001532A8">
        <w:t xml:space="preserve">frequency range </w:t>
      </w:r>
      <w:r w:rsidR="001061C0">
        <w:rPr>
          <w:iCs/>
        </w:rPr>
        <w:t>2620</w:t>
      </w:r>
      <w:r w:rsidR="001532A8">
        <w:rPr>
          <w:iCs/>
        </w:rPr>
        <w:t> </w:t>
      </w:r>
      <w:r w:rsidR="001061C0">
        <w:rPr>
          <w:iCs/>
        </w:rPr>
        <w:t>–</w:t>
      </w:r>
      <w:r w:rsidR="001532A8">
        <w:rPr>
          <w:iCs/>
        </w:rPr>
        <w:t> </w:t>
      </w:r>
      <w:r w:rsidR="001061C0">
        <w:rPr>
          <w:iCs/>
        </w:rPr>
        <w:t>2690</w:t>
      </w:r>
      <w:r w:rsidR="001532A8">
        <w:rPr>
          <w:iCs/>
        </w:rPr>
        <w:t> </w:t>
      </w:r>
      <w:r w:rsidR="001061C0">
        <w:rPr>
          <w:iCs/>
        </w:rPr>
        <w:t xml:space="preserve">MHz (the </w:t>
      </w:r>
      <w:r>
        <w:rPr>
          <w:iCs/>
        </w:rPr>
        <w:t>upper 2</w:t>
      </w:r>
      <w:r w:rsidR="004A14D0">
        <w:rPr>
          <w:iCs/>
        </w:rPr>
        <w:t>.5</w:t>
      </w:r>
      <w:r>
        <w:rPr>
          <w:iCs/>
        </w:rPr>
        <w:t xml:space="preserve"> GHz band</w:t>
      </w:r>
      <w:r w:rsidR="001061C0">
        <w:rPr>
          <w:iCs/>
        </w:rPr>
        <w:t>)</w:t>
      </w:r>
    </w:p>
    <w:p w14:paraId="1300E446" w14:textId="44BF1006" w:rsidR="002F7657" w:rsidRPr="007D04B2" w:rsidRDefault="002F7657" w:rsidP="002F7657">
      <w:pPr>
        <w:spacing w:after="80"/>
      </w:pPr>
      <w:r>
        <w:t>The TLG considered changes to the unwanted emission limits for devices operating in the 2</w:t>
      </w:r>
      <w:r w:rsidR="004A14D0">
        <w:t>62</w:t>
      </w:r>
      <w:r>
        <w:t>0–2</w:t>
      </w:r>
      <w:r w:rsidR="004A14D0">
        <w:t>69</w:t>
      </w:r>
      <w:r>
        <w:t>0 MHz band (the upper 2</w:t>
      </w:r>
      <w:r w:rsidR="004A14D0">
        <w:t>.5</w:t>
      </w:r>
      <w:r>
        <w:t xml:space="preserve"> GHz band). </w:t>
      </w:r>
    </w:p>
    <w:p w14:paraId="244200DC" w14:textId="5B85E7F1" w:rsidR="002F7657" w:rsidRPr="007D04B2" w:rsidRDefault="00EF205A" w:rsidP="002F7657">
      <w:pPr>
        <w:spacing w:before="240" w:after="80"/>
      </w:pPr>
      <w:r>
        <w:t>Key p</w:t>
      </w:r>
      <w:r w:rsidR="002F7657">
        <w:t xml:space="preserve">oints raised in the TLG on this issue </w:t>
      </w:r>
      <w:r>
        <w:t>were</w:t>
      </w:r>
      <w:r w:rsidR="002F7657" w:rsidRPr="007D04B2">
        <w:t>:</w:t>
      </w:r>
    </w:p>
    <w:p w14:paraId="1327D0F1" w14:textId="7F31EDC2" w:rsidR="002F7657" w:rsidRPr="00552CB6" w:rsidRDefault="002F7657" w:rsidP="009F608C">
      <w:pPr>
        <w:pStyle w:val="Bulletlevel1"/>
        <w:rPr>
          <w:szCs w:val="20"/>
        </w:rPr>
      </w:pPr>
      <w:r w:rsidRPr="009F608C">
        <w:rPr>
          <w:sz w:val="20"/>
          <w:szCs w:val="20"/>
        </w:rPr>
        <w:t>Mobile network operators (MNOs) Optus</w:t>
      </w:r>
      <w:r w:rsidR="00A5031B" w:rsidRPr="009F608C">
        <w:rPr>
          <w:sz w:val="20"/>
          <w:szCs w:val="20"/>
        </w:rPr>
        <w:t xml:space="preserve"> and </w:t>
      </w:r>
      <w:r w:rsidRPr="009F608C">
        <w:rPr>
          <w:sz w:val="20"/>
          <w:szCs w:val="20"/>
        </w:rPr>
        <w:t>Telstra currently operate 4G services using the 2</w:t>
      </w:r>
      <w:r w:rsidR="000F2781" w:rsidRPr="009F608C">
        <w:rPr>
          <w:sz w:val="20"/>
          <w:szCs w:val="20"/>
        </w:rPr>
        <w:t>.5</w:t>
      </w:r>
      <w:r w:rsidRPr="009F608C">
        <w:rPr>
          <w:sz w:val="20"/>
          <w:szCs w:val="20"/>
        </w:rPr>
        <w:t xml:space="preserve"> GHz spectrum licences. However, there is a desire to be able to deploy AAS and migrate to 5G technologies in the future. </w:t>
      </w:r>
    </w:p>
    <w:p w14:paraId="798758EE" w14:textId="224F2939" w:rsidR="002F7657" w:rsidRPr="00552CB6" w:rsidRDefault="002F7657" w:rsidP="009F608C">
      <w:pPr>
        <w:pStyle w:val="Bulletlevel1"/>
        <w:rPr>
          <w:szCs w:val="20"/>
        </w:rPr>
      </w:pPr>
      <w:r w:rsidRPr="009F608C">
        <w:rPr>
          <w:sz w:val="20"/>
          <w:szCs w:val="20"/>
        </w:rPr>
        <w:t xml:space="preserve">The current </w:t>
      </w:r>
      <w:r w:rsidR="00F93417" w:rsidRPr="009F608C">
        <w:rPr>
          <w:sz w:val="20"/>
          <w:szCs w:val="20"/>
        </w:rPr>
        <w:t>unwanted emission</w:t>
      </w:r>
      <w:r w:rsidRPr="009F608C">
        <w:rPr>
          <w:sz w:val="20"/>
          <w:szCs w:val="20"/>
        </w:rPr>
        <w:t xml:space="preserve"> limits were defined to provide a degree of coexistence with services operating inside and adjacent to the 2</w:t>
      </w:r>
      <w:r w:rsidR="00FB4B35" w:rsidRPr="009F608C">
        <w:rPr>
          <w:sz w:val="20"/>
          <w:szCs w:val="20"/>
        </w:rPr>
        <w:t>.5</w:t>
      </w:r>
      <w:r w:rsidRPr="009F608C">
        <w:rPr>
          <w:sz w:val="20"/>
          <w:szCs w:val="20"/>
        </w:rPr>
        <w:t xml:space="preserve"> GHz band. </w:t>
      </w:r>
    </w:p>
    <w:p w14:paraId="586BA92E" w14:textId="5C78119D" w:rsidR="002F7657" w:rsidRPr="00552CB6" w:rsidRDefault="002F7657" w:rsidP="009F608C">
      <w:pPr>
        <w:pStyle w:val="Bulletlevel1"/>
        <w:rPr>
          <w:szCs w:val="20"/>
        </w:rPr>
      </w:pPr>
      <w:r w:rsidRPr="009F608C">
        <w:rPr>
          <w:sz w:val="20"/>
          <w:szCs w:val="20"/>
        </w:rPr>
        <w:t>Upper</w:t>
      </w:r>
      <w:r w:rsidR="009C0E5C" w:rsidRPr="009F608C">
        <w:rPr>
          <w:sz w:val="20"/>
          <w:szCs w:val="20"/>
        </w:rPr>
        <w:t xml:space="preserve"> 2.5 GHz</w:t>
      </w:r>
      <w:r w:rsidRPr="009F608C">
        <w:rPr>
          <w:sz w:val="20"/>
          <w:szCs w:val="20"/>
        </w:rPr>
        <w:t xml:space="preserve"> band </w:t>
      </w:r>
      <w:r w:rsidR="00F93417" w:rsidRPr="009F608C">
        <w:rPr>
          <w:sz w:val="20"/>
          <w:szCs w:val="20"/>
        </w:rPr>
        <w:t xml:space="preserve">unwanted </w:t>
      </w:r>
      <w:r w:rsidRPr="009F608C">
        <w:rPr>
          <w:sz w:val="20"/>
          <w:szCs w:val="20"/>
        </w:rPr>
        <w:t>emission limits above 2</w:t>
      </w:r>
      <w:r w:rsidR="00BC70CE" w:rsidRPr="009F608C">
        <w:rPr>
          <w:sz w:val="20"/>
          <w:szCs w:val="20"/>
        </w:rPr>
        <w:t>69</w:t>
      </w:r>
      <w:r w:rsidRPr="009F608C">
        <w:rPr>
          <w:sz w:val="20"/>
          <w:szCs w:val="20"/>
        </w:rPr>
        <w:t xml:space="preserve">0 </w:t>
      </w:r>
      <w:r w:rsidR="00BC70CE" w:rsidRPr="009F608C">
        <w:rPr>
          <w:sz w:val="20"/>
          <w:szCs w:val="20"/>
        </w:rPr>
        <w:t xml:space="preserve">are derived to </w:t>
      </w:r>
      <w:r w:rsidR="00233F0E" w:rsidRPr="009F608C">
        <w:rPr>
          <w:sz w:val="20"/>
          <w:szCs w:val="20"/>
        </w:rPr>
        <w:t>support coexistence with</w:t>
      </w:r>
      <w:r w:rsidR="00BC70CE" w:rsidRPr="009F608C">
        <w:rPr>
          <w:sz w:val="20"/>
          <w:szCs w:val="20"/>
        </w:rPr>
        <w:t xml:space="preserve"> adjacent </w:t>
      </w:r>
      <w:r w:rsidR="00791B80" w:rsidRPr="009F608C">
        <w:rPr>
          <w:sz w:val="20"/>
          <w:szCs w:val="20"/>
        </w:rPr>
        <w:t>services above 2700 MHz</w:t>
      </w:r>
      <w:r w:rsidR="00BC70CE" w:rsidRPr="009F608C">
        <w:rPr>
          <w:sz w:val="20"/>
          <w:szCs w:val="20"/>
        </w:rPr>
        <w:t>.</w:t>
      </w:r>
    </w:p>
    <w:p w14:paraId="35463A54" w14:textId="05489B5D" w:rsidR="002F7657" w:rsidRPr="00552CB6" w:rsidRDefault="002F7657" w:rsidP="009F608C">
      <w:pPr>
        <w:pStyle w:val="Bulletlevel1"/>
        <w:rPr>
          <w:szCs w:val="20"/>
        </w:rPr>
      </w:pPr>
      <w:r w:rsidRPr="009F608C">
        <w:rPr>
          <w:sz w:val="20"/>
          <w:szCs w:val="20"/>
        </w:rPr>
        <w:t xml:space="preserve">Upper </w:t>
      </w:r>
      <w:r w:rsidR="009C0E5C" w:rsidRPr="009F608C">
        <w:rPr>
          <w:sz w:val="20"/>
          <w:szCs w:val="20"/>
        </w:rPr>
        <w:t>2.5 GHz</w:t>
      </w:r>
      <w:r w:rsidRPr="009F608C">
        <w:rPr>
          <w:sz w:val="20"/>
          <w:szCs w:val="20"/>
        </w:rPr>
        <w:t xml:space="preserve"> band</w:t>
      </w:r>
      <w:r w:rsidR="00F93417" w:rsidRPr="009F608C">
        <w:rPr>
          <w:sz w:val="20"/>
          <w:szCs w:val="20"/>
        </w:rPr>
        <w:t xml:space="preserve"> unwanted</w:t>
      </w:r>
      <w:r w:rsidRPr="009F608C">
        <w:rPr>
          <w:sz w:val="20"/>
          <w:szCs w:val="20"/>
        </w:rPr>
        <w:t xml:space="preserve"> emission limits below 2</w:t>
      </w:r>
      <w:r w:rsidR="00BC70CE" w:rsidRPr="009F608C">
        <w:rPr>
          <w:sz w:val="20"/>
          <w:szCs w:val="20"/>
        </w:rPr>
        <w:t>62</w:t>
      </w:r>
      <w:r w:rsidRPr="009F608C">
        <w:rPr>
          <w:sz w:val="20"/>
          <w:szCs w:val="20"/>
        </w:rPr>
        <w:t xml:space="preserve">0 are derived to </w:t>
      </w:r>
      <w:r w:rsidR="00547AC8" w:rsidRPr="009F608C">
        <w:rPr>
          <w:sz w:val="20"/>
          <w:szCs w:val="20"/>
        </w:rPr>
        <w:t>support coexistence with</w:t>
      </w:r>
      <w:r w:rsidRPr="009F608C">
        <w:rPr>
          <w:sz w:val="20"/>
          <w:szCs w:val="20"/>
        </w:rPr>
        <w:t xml:space="preserve"> adjacent</w:t>
      </w:r>
      <w:r w:rsidR="007E0607" w:rsidRPr="009F608C">
        <w:rPr>
          <w:sz w:val="20"/>
          <w:szCs w:val="20"/>
        </w:rPr>
        <w:t xml:space="preserve"> 2.5 GHz mid band gap spectrum licenced </w:t>
      </w:r>
      <w:r w:rsidRPr="009F608C">
        <w:rPr>
          <w:sz w:val="20"/>
          <w:szCs w:val="20"/>
        </w:rPr>
        <w:t>TOB services.</w:t>
      </w:r>
    </w:p>
    <w:p w14:paraId="62388294" w14:textId="046B14DE" w:rsidR="002F7657" w:rsidRPr="00552CB6" w:rsidRDefault="002F7657" w:rsidP="009F608C">
      <w:pPr>
        <w:pStyle w:val="Bulletlevel1"/>
        <w:rPr>
          <w:szCs w:val="20"/>
        </w:rPr>
      </w:pPr>
      <w:r w:rsidRPr="009F608C">
        <w:rPr>
          <w:sz w:val="20"/>
          <w:szCs w:val="20"/>
        </w:rPr>
        <w:t>The unwanted emission limits for non-AAS base station transmitters in the upper 2</w:t>
      </w:r>
      <w:r w:rsidR="007E0607" w:rsidRPr="009F608C">
        <w:rPr>
          <w:sz w:val="20"/>
          <w:szCs w:val="20"/>
        </w:rPr>
        <w:t>.5</w:t>
      </w:r>
      <w:r w:rsidRPr="009F608C">
        <w:rPr>
          <w:sz w:val="20"/>
          <w:szCs w:val="20"/>
        </w:rPr>
        <w:t> GHz band below 2</w:t>
      </w:r>
      <w:r w:rsidR="00356B4F" w:rsidRPr="009F608C">
        <w:rPr>
          <w:sz w:val="20"/>
          <w:szCs w:val="20"/>
        </w:rPr>
        <w:t>62</w:t>
      </w:r>
      <w:r w:rsidRPr="009F608C">
        <w:rPr>
          <w:sz w:val="20"/>
          <w:szCs w:val="20"/>
        </w:rPr>
        <w:t xml:space="preserve">0 MHz </w:t>
      </w:r>
      <w:r w:rsidR="00356B4F" w:rsidRPr="009F608C">
        <w:rPr>
          <w:sz w:val="20"/>
          <w:szCs w:val="20"/>
        </w:rPr>
        <w:t xml:space="preserve">and above 2690 MHz </w:t>
      </w:r>
      <w:r w:rsidRPr="009F608C">
        <w:rPr>
          <w:sz w:val="20"/>
          <w:szCs w:val="20"/>
        </w:rPr>
        <w:t>are more restrictive than Category B (Option 1) limits defined in 3GPP standards. Category B (Option 1) limits are preferred by the MNOs.</w:t>
      </w:r>
    </w:p>
    <w:p w14:paraId="00285300" w14:textId="77777777" w:rsidR="002F7657" w:rsidRPr="00552CB6" w:rsidRDefault="002F7657" w:rsidP="009F608C">
      <w:pPr>
        <w:pStyle w:val="Bulletlevel1last"/>
        <w:rPr>
          <w:szCs w:val="20"/>
        </w:rPr>
      </w:pPr>
      <w:r w:rsidRPr="009F608C">
        <w:rPr>
          <w:sz w:val="20"/>
          <w:szCs w:val="20"/>
        </w:rPr>
        <w:t>All unwanted emission limits are defined as EIRP levels. However, AAS networks are more effectively defined in terms of TRP.</w:t>
      </w:r>
    </w:p>
    <w:p w14:paraId="2604CFFD" w14:textId="413E61EE" w:rsidR="002F7657" w:rsidRPr="0038765E" w:rsidRDefault="002F7657" w:rsidP="002F7657">
      <w:pPr>
        <w:spacing w:after="80"/>
      </w:pPr>
      <w:proofErr w:type="gramStart"/>
      <w:r>
        <w:t>Taking into account</w:t>
      </w:r>
      <w:proofErr w:type="gramEnd"/>
      <w:r>
        <w:t xml:space="preserve"> the above issues, the TLG agreed</w:t>
      </w:r>
      <w:r w:rsidRPr="007D04B2">
        <w:t xml:space="preserve"> </w:t>
      </w:r>
      <w:r>
        <w:t>a</w:t>
      </w:r>
      <w:r w:rsidRPr="007D04B2">
        <w:t xml:space="preserve"> revis</w:t>
      </w:r>
      <w:r>
        <w:t>ion of</w:t>
      </w:r>
      <w:r w:rsidRPr="007D04B2">
        <w:t xml:space="preserve"> </w:t>
      </w:r>
      <w:r>
        <w:t xml:space="preserve">the </w:t>
      </w:r>
      <w:r w:rsidRPr="007D04B2">
        <w:t xml:space="preserve">current </w:t>
      </w:r>
      <w:r>
        <w:t>upper 2</w:t>
      </w:r>
      <w:r w:rsidR="005160EA">
        <w:t>.5</w:t>
      </w:r>
      <w:r>
        <w:t xml:space="preserve"> GHz</w:t>
      </w:r>
      <w:r w:rsidRPr="007D04B2">
        <w:t xml:space="preserve"> band unwanted emission limits</w:t>
      </w:r>
      <w:r>
        <w:t xml:space="preserve"> was required</w:t>
      </w:r>
      <w:r w:rsidRPr="007D04B2">
        <w:t xml:space="preserve">. The aim of </w:t>
      </w:r>
      <w:r>
        <w:t xml:space="preserve">the </w:t>
      </w:r>
      <w:r w:rsidRPr="0038765E">
        <w:t xml:space="preserve">revision </w:t>
      </w:r>
      <w:r>
        <w:t>was</w:t>
      </w:r>
      <w:r w:rsidRPr="0038765E">
        <w:t xml:space="preserve"> to:</w:t>
      </w:r>
    </w:p>
    <w:p w14:paraId="21ABDE1A" w14:textId="54DC24AC" w:rsidR="002F7657" w:rsidRPr="00552CB6" w:rsidRDefault="002F7657" w:rsidP="009F608C">
      <w:pPr>
        <w:pStyle w:val="Bulletlevel1"/>
        <w:rPr>
          <w:szCs w:val="20"/>
        </w:rPr>
      </w:pPr>
      <w:r w:rsidRPr="009F608C">
        <w:rPr>
          <w:sz w:val="20"/>
          <w:szCs w:val="20"/>
        </w:rPr>
        <w:t>ensure existing devices deployed under the current 2</w:t>
      </w:r>
      <w:r w:rsidR="005160EA" w:rsidRPr="009F608C">
        <w:rPr>
          <w:sz w:val="20"/>
          <w:szCs w:val="20"/>
        </w:rPr>
        <w:t>.5</w:t>
      </w:r>
      <w:r w:rsidRPr="009F608C">
        <w:rPr>
          <w:sz w:val="20"/>
          <w:szCs w:val="20"/>
        </w:rPr>
        <w:t xml:space="preserve"> GHz band framework can continue operating unaffected by any changes</w:t>
      </w:r>
    </w:p>
    <w:p w14:paraId="59744E5B" w14:textId="68DE5DF3" w:rsidR="002F7657" w:rsidRPr="00552CB6" w:rsidRDefault="0078484F" w:rsidP="009F608C">
      <w:pPr>
        <w:pStyle w:val="Bulletlevel1"/>
        <w:rPr>
          <w:szCs w:val="20"/>
        </w:rPr>
      </w:pPr>
      <w:r w:rsidRPr="009F608C">
        <w:rPr>
          <w:sz w:val="20"/>
          <w:szCs w:val="20"/>
        </w:rPr>
        <w:t>support the de</w:t>
      </w:r>
      <w:r w:rsidR="00ED5399" w:rsidRPr="009F608C">
        <w:rPr>
          <w:sz w:val="20"/>
          <w:szCs w:val="20"/>
        </w:rPr>
        <w:t>ployment</w:t>
      </w:r>
      <w:r w:rsidRPr="009F608C">
        <w:rPr>
          <w:sz w:val="20"/>
          <w:szCs w:val="20"/>
        </w:rPr>
        <w:t xml:space="preserve"> of</w:t>
      </w:r>
      <w:r w:rsidR="002F7657" w:rsidRPr="009F608C">
        <w:rPr>
          <w:sz w:val="20"/>
          <w:szCs w:val="20"/>
        </w:rPr>
        <w:t xml:space="preserve"> new technologies (for example, 5G and AAS) </w:t>
      </w:r>
    </w:p>
    <w:p w14:paraId="5DEEDAC3" w14:textId="6860B386" w:rsidR="002F7657" w:rsidRPr="00552CB6" w:rsidRDefault="00314AEB" w:rsidP="009F608C">
      <w:pPr>
        <w:pStyle w:val="Bulletlevel1"/>
        <w:rPr>
          <w:szCs w:val="20"/>
        </w:rPr>
      </w:pPr>
      <w:r w:rsidRPr="009F608C">
        <w:rPr>
          <w:sz w:val="20"/>
          <w:szCs w:val="20"/>
        </w:rPr>
        <w:t xml:space="preserve">where possible, </w:t>
      </w:r>
      <w:r w:rsidR="002F7657" w:rsidRPr="009F608C">
        <w:rPr>
          <w:sz w:val="20"/>
          <w:szCs w:val="20"/>
        </w:rPr>
        <w:t>avoid unnecessary costs and burdens on licensees to implement strict unwanted emission limits that are only required to enable compatibility in specific situations</w:t>
      </w:r>
    </w:p>
    <w:p w14:paraId="2F4B65A6" w14:textId="77777777" w:rsidR="002F7657" w:rsidRPr="00552CB6" w:rsidRDefault="002F7657" w:rsidP="009F608C">
      <w:pPr>
        <w:pStyle w:val="Bulletlevel1last"/>
        <w:rPr>
          <w:szCs w:val="20"/>
        </w:rPr>
      </w:pPr>
      <w:r w:rsidRPr="009F608C">
        <w:rPr>
          <w:sz w:val="20"/>
          <w:szCs w:val="20"/>
        </w:rPr>
        <w:t xml:space="preserve">align the way unwanted emission limits are defined with international standards except where appropriate to support coexistence with other services.  </w:t>
      </w:r>
    </w:p>
    <w:p w14:paraId="7A875FFA" w14:textId="683102AB" w:rsidR="002F7657" w:rsidRPr="00F23405" w:rsidRDefault="00842265" w:rsidP="002F7657">
      <w:pPr>
        <w:pStyle w:val="Heading3"/>
      </w:pPr>
      <w:r>
        <w:lastRenderedPageBreak/>
        <w:t>Upper</w:t>
      </w:r>
      <w:r w:rsidR="003C3B7D">
        <w:t xml:space="preserve"> 2.5 GHz</w:t>
      </w:r>
      <w:r>
        <w:t xml:space="preserve"> band transmitter unwanted emission limits in the frequency range </w:t>
      </w:r>
      <w:r w:rsidR="002F7657" w:rsidRPr="00F23405">
        <w:t>2</w:t>
      </w:r>
      <w:r w:rsidR="00B47416">
        <w:t>62</w:t>
      </w:r>
      <w:r w:rsidR="002F7657" w:rsidRPr="00F23405">
        <w:t>0</w:t>
      </w:r>
      <w:r w:rsidR="002F7657">
        <w:t>–</w:t>
      </w:r>
      <w:r w:rsidR="002F7657" w:rsidRPr="00F23405">
        <w:t>2</w:t>
      </w:r>
      <w:r w:rsidR="00B47416">
        <w:t>69</w:t>
      </w:r>
      <w:r w:rsidR="002F7657" w:rsidRPr="00F23405">
        <w:t>0 MHz</w:t>
      </w:r>
    </w:p>
    <w:p w14:paraId="3679EF62" w14:textId="75EF7C61" w:rsidR="002F7657" w:rsidRDefault="002F7657" w:rsidP="008561DC">
      <w:r>
        <w:t>The TLG agreed to adopt</w:t>
      </w:r>
      <w:r w:rsidRPr="00144415">
        <w:t xml:space="preserve"> the 3GPP 38.104 Category B option 1 limits for AAS devices</w:t>
      </w:r>
      <w:r w:rsidR="00F33804">
        <w:t xml:space="preserve"> and</w:t>
      </w:r>
      <w:r w:rsidR="00B42F5F">
        <w:t xml:space="preserve"> for non-AAS devices. </w:t>
      </w:r>
      <w:r w:rsidRPr="00312611">
        <w:rPr>
          <w:rStyle w:val="CommentReference"/>
          <w:sz w:val="20"/>
          <w:szCs w:val="24"/>
        </w:rPr>
        <w:t>Non-AAS</w:t>
      </w:r>
      <w:r w:rsidRPr="00144415">
        <w:t xml:space="preserve"> limits are defined as conducted powers (</w:t>
      </w:r>
      <w:r>
        <w:t xml:space="preserve">that is, </w:t>
      </w:r>
      <w:r w:rsidRPr="00144415">
        <w:t>mean power) per antenna port</w:t>
      </w:r>
      <w:r>
        <w:t xml:space="preserve">, see Table </w:t>
      </w:r>
      <w:r w:rsidR="00363354">
        <w:t>1</w:t>
      </w:r>
      <w:r w:rsidRPr="00144415">
        <w:t>. AAS limits are defined in terms of TRP</w:t>
      </w:r>
      <w:r>
        <w:t>,</w:t>
      </w:r>
      <w:r w:rsidRPr="00144415">
        <w:t xml:space="preserve"> which means they apply to the aggregate emissions from all transmitters and receivers </w:t>
      </w:r>
      <w:r>
        <w:t>contained</w:t>
      </w:r>
      <w:r w:rsidRPr="00144415">
        <w:t xml:space="preserve"> </w:t>
      </w:r>
      <w:r>
        <w:t xml:space="preserve">in </w:t>
      </w:r>
      <w:r w:rsidRPr="00144415">
        <w:t>a piece of equipment</w:t>
      </w:r>
      <w:r w:rsidR="00F47C4F">
        <w:t>, see Table 2</w:t>
      </w:r>
      <w:r w:rsidRPr="00144415">
        <w:t xml:space="preserve">. This is consistent with the approach adopted in </w:t>
      </w:r>
      <w:r w:rsidR="00363354">
        <w:t>other spectrum licensed</w:t>
      </w:r>
      <w:r w:rsidRPr="00144415">
        <w:t xml:space="preserve"> band review</w:t>
      </w:r>
      <w:r w:rsidR="001D14B2">
        <w:t>s</w:t>
      </w:r>
      <w:r w:rsidR="00025203">
        <w:t xml:space="preserve"> to support AAS</w:t>
      </w:r>
      <w:r w:rsidRPr="00144415">
        <w:t>.</w:t>
      </w:r>
      <w:r>
        <w:t xml:space="preserve"> </w:t>
      </w:r>
    </w:p>
    <w:p w14:paraId="6791132A" w14:textId="77777777" w:rsidR="00B74C3E" w:rsidRDefault="00B74C3E" w:rsidP="00B74C3E">
      <w:pPr>
        <w:pStyle w:val="ACMATableHeader"/>
        <w:keepNext/>
        <w:keepLines/>
        <w:spacing w:line="240" w:lineRule="atLeast"/>
      </w:pPr>
      <w:r>
        <w:rPr>
          <w:rFonts w:cs="Arial"/>
        </w:rPr>
        <w:t>U</w:t>
      </w:r>
      <w:r w:rsidRPr="007D04B2">
        <w:rPr>
          <w:rFonts w:cs="Arial"/>
        </w:rPr>
        <w:t>nwanted emission limits</w:t>
      </w:r>
      <w:r>
        <w:rPr>
          <w:rFonts w:cs="Arial"/>
        </w:rPr>
        <w:t xml:space="preserve"> in 2620 MHz to 2690 MHz for transmitters operating in the upper 2.5 GHz band </w:t>
      </w:r>
      <w:r w:rsidRPr="007D04B2">
        <w:rPr>
          <w:rFonts w:cs="Arial"/>
        </w:rPr>
        <w:t>–</w:t>
      </w:r>
      <w:r>
        <w:rPr>
          <w:rFonts w:cs="Arial"/>
        </w:rPr>
        <w:t xml:space="preserve"> non-AAS </w:t>
      </w:r>
      <w:r w:rsidRPr="007D04B2">
        <w:rPr>
          <w:rFonts w:cs="Arial"/>
        </w:rPr>
        <w:t>devices</w:t>
      </w:r>
    </w:p>
    <w:tbl>
      <w:tblPr>
        <w:tblStyle w:val="TableGrid"/>
        <w:tblW w:w="7230" w:type="dxa"/>
        <w:jc w:val="center"/>
        <w:tblLook w:val="04A0" w:firstRow="1" w:lastRow="0" w:firstColumn="1" w:lastColumn="0" w:noHBand="0" w:noVBand="1"/>
      </w:tblPr>
      <w:tblGrid>
        <w:gridCol w:w="2972"/>
        <w:gridCol w:w="2699"/>
        <w:gridCol w:w="1559"/>
      </w:tblGrid>
      <w:tr w:rsidR="00B74C3E" w:rsidRPr="00ED4130" w14:paraId="2505CABF" w14:textId="77777777">
        <w:trPr>
          <w:jc w:val="center"/>
        </w:trPr>
        <w:tc>
          <w:tcPr>
            <w:tcW w:w="2972" w:type="dxa"/>
            <w:shd w:val="clear" w:color="auto" w:fill="404040" w:themeFill="text1" w:themeFillTint="BF"/>
          </w:tcPr>
          <w:p w14:paraId="43993382" w14:textId="50BABAAD" w:rsidR="00B74C3E" w:rsidRPr="008C4645" w:rsidRDefault="00B74C3E">
            <w:pPr>
              <w:keepNext/>
              <w:keepLines/>
              <w:spacing w:after="0"/>
              <w:contextualSpacing/>
              <w:jc w:val="center"/>
              <w:rPr>
                <w:rFonts w:cs="Arial"/>
                <w:b/>
                <w:color w:val="FFFFFF" w:themeColor="background1"/>
              </w:rPr>
            </w:pPr>
            <w:r w:rsidRPr="008C4645">
              <w:rPr>
                <w:rFonts w:cs="Arial"/>
                <w:b/>
                <w:color w:val="FFFFFF" w:themeColor="background1"/>
              </w:rPr>
              <w:t xml:space="preserve">Frequency offset </w:t>
            </w:r>
            <w:r w:rsidRPr="00452A31">
              <w:rPr>
                <w:rFonts w:cs="Arial"/>
                <w:b/>
                <w:color w:val="FFFFFF" w:themeColor="background1"/>
              </w:rPr>
              <w:t>(</w:t>
            </w:r>
            <w:proofErr w:type="spellStart"/>
            <w:r w:rsidRPr="00452A31">
              <w:rPr>
                <w:rFonts w:cs="Arial"/>
                <w:b/>
                <w:color w:val="FFFFFF" w:themeColor="background1"/>
              </w:rPr>
              <w:t>f</w:t>
            </w:r>
            <w:r w:rsidRPr="00452A31">
              <w:rPr>
                <w:rFonts w:cs="Arial"/>
                <w:b/>
                <w:color w:val="FFFFFF" w:themeColor="background1"/>
                <w:vertAlign w:val="subscript"/>
              </w:rPr>
              <w:t>offset</w:t>
            </w:r>
            <w:proofErr w:type="spellEnd"/>
            <w:r w:rsidRPr="00452A31">
              <w:rPr>
                <w:rFonts w:cs="Arial"/>
                <w:b/>
                <w:color w:val="FFFFFF" w:themeColor="background1"/>
              </w:rPr>
              <w:t>)</w:t>
            </w:r>
          </w:p>
        </w:tc>
        <w:tc>
          <w:tcPr>
            <w:tcW w:w="2699" w:type="dxa"/>
            <w:shd w:val="clear" w:color="auto" w:fill="404040" w:themeFill="text1" w:themeFillTint="BF"/>
          </w:tcPr>
          <w:p w14:paraId="6759E8BA" w14:textId="77777777" w:rsidR="00B74C3E" w:rsidRPr="008C4645" w:rsidRDefault="00B74C3E">
            <w:pPr>
              <w:keepNext/>
              <w:keepLines/>
              <w:spacing w:after="0"/>
              <w:contextualSpacing/>
              <w:jc w:val="center"/>
              <w:rPr>
                <w:rFonts w:cs="Arial"/>
                <w:b/>
                <w:color w:val="FFFFFF" w:themeColor="background1"/>
              </w:rPr>
            </w:pPr>
            <w:r w:rsidRPr="008C4645">
              <w:rPr>
                <w:rFonts w:cs="Arial"/>
                <w:b/>
                <w:color w:val="FFFFFF" w:themeColor="background1"/>
              </w:rPr>
              <w:t>Mean power (dBm) per transmitter</w:t>
            </w:r>
            <w:r>
              <w:rPr>
                <w:rFonts w:cs="Arial"/>
                <w:b/>
                <w:color w:val="FFFFFF" w:themeColor="background1"/>
              </w:rPr>
              <w:t xml:space="preserve"> port</w:t>
            </w:r>
          </w:p>
        </w:tc>
        <w:tc>
          <w:tcPr>
            <w:tcW w:w="1559" w:type="dxa"/>
            <w:shd w:val="clear" w:color="auto" w:fill="404040" w:themeFill="text1" w:themeFillTint="BF"/>
          </w:tcPr>
          <w:p w14:paraId="7F4213FD" w14:textId="77777777" w:rsidR="00B74C3E" w:rsidRPr="008C4645" w:rsidRDefault="00B74C3E">
            <w:pPr>
              <w:keepNext/>
              <w:keepLines/>
              <w:spacing w:after="0"/>
              <w:contextualSpacing/>
              <w:jc w:val="center"/>
              <w:rPr>
                <w:rFonts w:cs="Arial"/>
                <w:b/>
                <w:color w:val="FFFFFF" w:themeColor="background1"/>
              </w:rPr>
            </w:pPr>
            <w:r w:rsidRPr="008C4645">
              <w:rPr>
                <w:rFonts w:cs="Arial"/>
                <w:b/>
                <w:color w:val="FFFFFF" w:themeColor="background1"/>
              </w:rPr>
              <w:t>Measurement bandwidth</w:t>
            </w:r>
          </w:p>
        </w:tc>
      </w:tr>
      <w:tr w:rsidR="00B74C3E" w:rsidRPr="00ED4130" w14:paraId="6E87D069" w14:textId="77777777">
        <w:trPr>
          <w:jc w:val="center"/>
        </w:trPr>
        <w:tc>
          <w:tcPr>
            <w:tcW w:w="2972" w:type="dxa"/>
          </w:tcPr>
          <w:p w14:paraId="6A3FC259" w14:textId="77777777" w:rsidR="00B74C3E" w:rsidRPr="008C4645" w:rsidRDefault="00B74C3E">
            <w:pPr>
              <w:keepNext/>
              <w:keepLines/>
              <w:spacing w:after="0"/>
              <w:contextualSpacing/>
              <w:jc w:val="center"/>
              <w:rPr>
                <w:rFonts w:cs="Arial"/>
                <w:sz w:val="16"/>
                <w:szCs w:val="16"/>
                <w:u w:val="single"/>
              </w:rPr>
            </w:pPr>
            <w:r w:rsidRPr="008C4645">
              <w:rPr>
                <w:rFonts w:cs="Arial"/>
                <w:sz w:val="18"/>
                <w:szCs w:val="18"/>
              </w:rPr>
              <w:t>0 MHz</w:t>
            </w:r>
            <w:r w:rsidRPr="008C4645">
              <w:rPr>
                <w:rFonts w:cs="Arial"/>
                <w:spacing w:val="13"/>
                <w:sz w:val="18"/>
                <w:szCs w:val="18"/>
              </w:rPr>
              <w:t xml:space="preserve"> </w:t>
            </w:r>
            <w:r w:rsidRPr="008C4645">
              <w:rPr>
                <w:rFonts w:cs="Arial"/>
              </w:rPr>
              <w:t xml:space="preserve">≤ </w:t>
            </w:r>
            <w:proofErr w:type="spellStart"/>
            <w:r w:rsidRPr="008C4645">
              <w:rPr>
                <w:rFonts w:cs="Arial"/>
                <w:sz w:val="18"/>
                <w:szCs w:val="18"/>
              </w:rPr>
              <w:t>f</w:t>
            </w:r>
            <w:r w:rsidRPr="008C4645">
              <w:rPr>
                <w:rFonts w:cs="Arial"/>
                <w:sz w:val="18"/>
                <w:szCs w:val="18"/>
                <w:vertAlign w:val="subscript"/>
              </w:rPr>
              <w:t>offset</w:t>
            </w:r>
            <w:proofErr w:type="spellEnd"/>
            <w:r w:rsidRPr="008C4645">
              <w:rPr>
                <w:rFonts w:cs="Arial"/>
                <w:spacing w:val="27"/>
                <w:position w:val="-1"/>
                <w:sz w:val="18"/>
                <w:szCs w:val="18"/>
              </w:rPr>
              <w:t xml:space="preserve"> </w:t>
            </w:r>
            <w:r w:rsidRPr="008C4645">
              <w:rPr>
                <w:rFonts w:cs="Arial"/>
              </w:rPr>
              <w:t>&lt;</w:t>
            </w:r>
            <w:r w:rsidRPr="008C4645">
              <w:rPr>
                <w:rFonts w:cs="Arial"/>
                <w:spacing w:val="1"/>
                <w:sz w:val="18"/>
                <w:szCs w:val="18"/>
              </w:rPr>
              <w:t xml:space="preserve"> 5 MHz</w:t>
            </w:r>
          </w:p>
        </w:tc>
        <w:tc>
          <w:tcPr>
            <w:tcW w:w="2699" w:type="dxa"/>
          </w:tcPr>
          <w:p w14:paraId="2B0FBCAE" w14:textId="77777777" w:rsidR="00B74C3E" w:rsidRPr="008C4645" w:rsidRDefault="00B74C3E">
            <w:pPr>
              <w:keepNext/>
              <w:keepLines/>
              <w:spacing w:after="0"/>
              <w:contextualSpacing/>
              <w:jc w:val="center"/>
              <w:rPr>
                <w:rFonts w:cs="Arial"/>
                <w:sz w:val="18"/>
                <w:szCs w:val="18"/>
                <w:vertAlign w:val="subscript"/>
              </w:rPr>
            </w:pPr>
            <m:oMathPara>
              <m:oMath>
                <m:r>
                  <w:rPr>
                    <w:rFonts w:ascii="Cambria Math" w:hAnsi="Cambria Math" w:cs="Arial"/>
                    <w:sz w:val="18"/>
                    <w:szCs w:val="18"/>
                    <w:vertAlign w:val="subscript"/>
                  </w:rPr>
                  <m:t>-7dBm-</m:t>
                </m:r>
                <m:f>
                  <m:fPr>
                    <m:ctrlPr>
                      <w:rPr>
                        <w:rFonts w:ascii="Cambria Math" w:hAnsi="Cambria Math" w:cs="Arial"/>
                        <w:i/>
                        <w:sz w:val="18"/>
                        <w:szCs w:val="18"/>
                        <w:vertAlign w:val="subscript"/>
                      </w:rPr>
                    </m:ctrlPr>
                  </m:fPr>
                  <m:num>
                    <m:r>
                      <w:rPr>
                        <w:rFonts w:ascii="Cambria Math" w:hAnsi="Cambria Math" w:cs="Arial"/>
                        <w:sz w:val="18"/>
                        <w:szCs w:val="18"/>
                        <w:vertAlign w:val="subscript"/>
                      </w:rPr>
                      <m:t>7</m:t>
                    </m:r>
                  </m:num>
                  <m:den>
                    <m:r>
                      <w:rPr>
                        <w:rFonts w:ascii="Cambria Math" w:hAnsi="Cambria Math" w:cs="Arial"/>
                        <w:sz w:val="18"/>
                        <w:szCs w:val="18"/>
                        <w:vertAlign w:val="subscript"/>
                      </w:rPr>
                      <m:t>5</m:t>
                    </m:r>
                  </m:den>
                </m:f>
                <m:d>
                  <m:dPr>
                    <m:ctrlPr>
                      <w:rPr>
                        <w:rFonts w:ascii="Cambria Math" w:hAnsi="Cambria Math" w:cs="Arial"/>
                        <w:i/>
                        <w:sz w:val="18"/>
                        <w:szCs w:val="18"/>
                        <w:vertAlign w:val="subscript"/>
                      </w:rPr>
                    </m:ctrlPr>
                  </m:dPr>
                  <m:e>
                    <m:f>
                      <m:fPr>
                        <m:ctrlPr>
                          <w:rPr>
                            <w:rFonts w:ascii="Cambria Math" w:hAnsi="Cambria Math" w:cs="Arial"/>
                            <w:i/>
                            <w:sz w:val="18"/>
                            <w:szCs w:val="18"/>
                            <w:vertAlign w:val="subscript"/>
                          </w:rPr>
                        </m:ctrlPr>
                      </m:fPr>
                      <m:num>
                        <m:sSub>
                          <m:sSubPr>
                            <m:ctrlPr>
                              <w:rPr>
                                <w:rFonts w:ascii="Cambria Math" w:hAnsi="Cambria Math" w:cs="Arial"/>
                                <w:i/>
                                <w:sz w:val="18"/>
                                <w:szCs w:val="18"/>
                                <w:vertAlign w:val="subscript"/>
                              </w:rPr>
                            </m:ctrlPr>
                          </m:sSubPr>
                          <m:e>
                            <m:r>
                              <w:rPr>
                                <w:rFonts w:ascii="Cambria Math" w:hAnsi="Cambria Math" w:cs="Arial"/>
                                <w:sz w:val="18"/>
                                <w:szCs w:val="18"/>
                                <w:vertAlign w:val="subscript"/>
                              </w:rPr>
                              <m:t>f</m:t>
                            </m:r>
                          </m:e>
                          <m:sub>
                            <m:r>
                              <w:rPr>
                                <w:rFonts w:ascii="Cambria Math" w:hAnsi="Cambria Math" w:cs="Arial"/>
                                <w:sz w:val="18"/>
                                <w:szCs w:val="18"/>
                                <w:vertAlign w:val="subscript"/>
                              </w:rPr>
                              <m:t>offset</m:t>
                            </m:r>
                          </m:sub>
                        </m:sSub>
                      </m:num>
                      <m:den>
                        <m:r>
                          <w:rPr>
                            <w:rFonts w:ascii="Cambria Math" w:hAnsi="Cambria Math" w:cs="Arial"/>
                            <w:sz w:val="18"/>
                            <w:szCs w:val="18"/>
                            <w:vertAlign w:val="subscript"/>
                          </w:rPr>
                          <m:t>MHz</m:t>
                        </m:r>
                      </m:den>
                    </m:f>
                    <m:r>
                      <w:rPr>
                        <w:rFonts w:ascii="Cambria Math" w:hAnsi="Cambria Math" w:cs="Arial"/>
                        <w:sz w:val="18"/>
                        <w:szCs w:val="18"/>
                        <w:vertAlign w:val="subscript"/>
                      </w:rPr>
                      <m:t>-0.05</m:t>
                    </m:r>
                  </m:e>
                </m:d>
                <m:r>
                  <w:rPr>
                    <w:rFonts w:ascii="Cambria Math" w:hAnsi="Cambria Math" w:cs="Arial"/>
                    <w:sz w:val="18"/>
                    <w:szCs w:val="18"/>
                    <w:vertAlign w:val="subscript"/>
                  </w:rPr>
                  <m:t>dB</m:t>
                </m:r>
              </m:oMath>
            </m:oMathPara>
          </w:p>
        </w:tc>
        <w:tc>
          <w:tcPr>
            <w:tcW w:w="1559" w:type="dxa"/>
          </w:tcPr>
          <w:p w14:paraId="15C62BB7" w14:textId="77777777" w:rsidR="00B74C3E" w:rsidRPr="008C4645" w:rsidRDefault="00B74C3E">
            <w:pPr>
              <w:keepNext/>
              <w:keepLines/>
              <w:spacing w:after="0"/>
              <w:contextualSpacing/>
              <w:jc w:val="center"/>
              <w:rPr>
                <w:rFonts w:cs="Arial"/>
                <w:sz w:val="18"/>
                <w:szCs w:val="18"/>
              </w:rPr>
            </w:pPr>
            <w:r w:rsidRPr="008C4645">
              <w:rPr>
                <w:rFonts w:cs="Arial"/>
                <w:sz w:val="18"/>
                <w:szCs w:val="18"/>
              </w:rPr>
              <w:t>100 kHz</w:t>
            </w:r>
          </w:p>
        </w:tc>
      </w:tr>
      <w:tr w:rsidR="00B74C3E" w:rsidRPr="00ED4130" w14:paraId="42C91688" w14:textId="77777777">
        <w:trPr>
          <w:jc w:val="center"/>
        </w:trPr>
        <w:tc>
          <w:tcPr>
            <w:tcW w:w="2972" w:type="dxa"/>
            <w:shd w:val="clear" w:color="auto" w:fill="F2F2F2" w:themeFill="background1" w:themeFillShade="F2"/>
          </w:tcPr>
          <w:p w14:paraId="6B53508A" w14:textId="77777777" w:rsidR="00B74C3E" w:rsidRPr="008C4645" w:rsidRDefault="00B74C3E">
            <w:pPr>
              <w:keepNext/>
              <w:keepLines/>
              <w:spacing w:after="0"/>
              <w:contextualSpacing/>
              <w:jc w:val="center"/>
              <w:rPr>
                <w:rFonts w:cs="Arial"/>
                <w:sz w:val="18"/>
                <w:szCs w:val="18"/>
              </w:rPr>
            </w:pPr>
            <w:r w:rsidRPr="008C4645">
              <w:rPr>
                <w:rFonts w:cs="Arial"/>
                <w:sz w:val="18"/>
                <w:szCs w:val="18"/>
              </w:rPr>
              <w:t>5 MHz</w:t>
            </w:r>
            <w:r w:rsidRPr="008C4645">
              <w:rPr>
                <w:rFonts w:cs="Arial"/>
                <w:spacing w:val="13"/>
                <w:sz w:val="18"/>
                <w:szCs w:val="18"/>
              </w:rPr>
              <w:t xml:space="preserve"> </w:t>
            </w:r>
            <w:r w:rsidRPr="008C4645">
              <w:rPr>
                <w:rFonts w:cs="Arial"/>
              </w:rPr>
              <w:t xml:space="preserve">≤ </w:t>
            </w:r>
            <w:proofErr w:type="spellStart"/>
            <w:r w:rsidRPr="008C4645">
              <w:rPr>
                <w:rFonts w:cs="Arial"/>
                <w:sz w:val="18"/>
                <w:szCs w:val="18"/>
              </w:rPr>
              <w:t>f</w:t>
            </w:r>
            <w:r w:rsidRPr="008C4645">
              <w:rPr>
                <w:rFonts w:cs="Arial"/>
                <w:sz w:val="18"/>
                <w:szCs w:val="18"/>
                <w:vertAlign w:val="subscript"/>
              </w:rPr>
              <w:t>offset</w:t>
            </w:r>
            <w:proofErr w:type="spellEnd"/>
            <w:r w:rsidRPr="008C4645">
              <w:rPr>
                <w:rFonts w:cs="Arial"/>
                <w:spacing w:val="27"/>
                <w:position w:val="-1"/>
                <w:sz w:val="18"/>
                <w:szCs w:val="18"/>
              </w:rPr>
              <w:t xml:space="preserve"> </w:t>
            </w:r>
            <w:r w:rsidRPr="008C4645">
              <w:rPr>
                <w:rFonts w:cs="Arial"/>
              </w:rPr>
              <w:t>&lt;</w:t>
            </w:r>
            <w:r w:rsidRPr="008C4645">
              <w:rPr>
                <w:rFonts w:cs="Arial"/>
                <w:spacing w:val="1"/>
                <w:sz w:val="18"/>
                <w:szCs w:val="18"/>
              </w:rPr>
              <w:t xml:space="preserve"> 10 MHz</w:t>
            </w:r>
          </w:p>
        </w:tc>
        <w:tc>
          <w:tcPr>
            <w:tcW w:w="2699" w:type="dxa"/>
            <w:shd w:val="clear" w:color="auto" w:fill="F2F2F2" w:themeFill="background1" w:themeFillShade="F2"/>
          </w:tcPr>
          <w:p w14:paraId="7645BCD5" w14:textId="77777777" w:rsidR="00B74C3E" w:rsidRPr="008C4645" w:rsidRDefault="00B74C3E">
            <w:pPr>
              <w:keepNext/>
              <w:keepLines/>
              <w:spacing w:after="0"/>
              <w:contextualSpacing/>
              <w:jc w:val="center"/>
              <w:rPr>
                <w:rFonts w:cs="Arial"/>
                <w:sz w:val="18"/>
                <w:szCs w:val="18"/>
              </w:rPr>
            </w:pPr>
            <w:r w:rsidRPr="008C4645">
              <w:rPr>
                <w:rFonts w:cs="Arial"/>
                <w:sz w:val="18"/>
                <w:szCs w:val="18"/>
              </w:rPr>
              <w:t>-14</w:t>
            </w:r>
          </w:p>
        </w:tc>
        <w:tc>
          <w:tcPr>
            <w:tcW w:w="1559" w:type="dxa"/>
            <w:shd w:val="clear" w:color="auto" w:fill="F2F2F2" w:themeFill="background1" w:themeFillShade="F2"/>
          </w:tcPr>
          <w:p w14:paraId="6C6A3D93" w14:textId="77777777" w:rsidR="00B74C3E" w:rsidRPr="008C4645" w:rsidRDefault="00B74C3E">
            <w:pPr>
              <w:keepNext/>
              <w:keepLines/>
              <w:spacing w:after="0"/>
              <w:contextualSpacing/>
              <w:jc w:val="center"/>
              <w:rPr>
                <w:rFonts w:cs="Arial"/>
                <w:sz w:val="18"/>
                <w:szCs w:val="18"/>
              </w:rPr>
            </w:pPr>
            <w:r w:rsidRPr="008C4645">
              <w:rPr>
                <w:rFonts w:cs="Arial"/>
                <w:sz w:val="18"/>
                <w:szCs w:val="18"/>
              </w:rPr>
              <w:t>100 kHz</w:t>
            </w:r>
          </w:p>
        </w:tc>
      </w:tr>
      <w:tr w:rsidR="00B74C3E" w:rsidRPr="001B511F" w14:paraId="02AAE60A" w14:textId="77777777">
        <w:trPr>
          <w:jc w:val="center"/>
        </w:trPr>
        <w:tc>
          <w:tcPr>
            <w:tcW w:w="2972" w:type="dxa"/>
            <w:shd w:val="clear" w:color="auto" w:fill="FFFFFF" w:themeFill="background1"/>
          </w:tcPr>
          <w:p w14:paraId="37722910" w14:textId="77777777" w:rsidR="00B74C3E" w:rsidRPr="008C4645" w:rsidRDefault="00B74C3E">
            <w:pPr>
              <w:keepNext/>
              <w:keepLines/>
              <w:spacing w:after="0"/>
              <w:contextualSpacing/>
              <w:jc w:val="center"/>
              <w:rPr>
                <w:rFonts w:cs="Arial"/>
                <w:sz w:val="18"/>
                <w:szCs w:val="18"/>
              </w:rPr>
            </w:pPr>
            <w:r w:rsidRPr="008C4645">
              <w:rPr>
                <w:rFonts w:cs="Arial"/>
                <w:sz w:val="18"/>
                <w:szCs w:val="18"/>
              </w:rPr>
              <w:t>10 MHz</w:t>
            </w:r>
            <w:r w:rsidRPr="008C4645">
              <w:rPr>
                <w:rFonts w:cs="Arial"/>
                <w:spacing w:val="13"/>
                <w:sz w:val="18"/>
                <w:szCs w:val="18"/>
              </w:rPr>
              <w:t xml:space="preserve"> </w:t>
            </w:r>
            <w:r w:rsidRPr="008C4645">
              <w:rPr>
                <w:rFonts w:cs="Arial"/>
              </w:rPr>
              <w:t>≤</w:t>
            </w:r>
            <w:r w:rsidRPr="008C4645">
              <w:rPr>
                <w:rFonts w:cs="Arial"/>
                <w:spacing w:val="11"/>
                <w:sz w:val="18"/>
                <w:szCs w:val="18"/>
                <w:u w:val="single" w:color="000000"/>
              </w:rPr>
              <w:t xml:space="preserve"> </w:t>
            </w:r>
            <w:proofErr w:type="spellStart"/>
            <w:r w:rsidRPr="008C4645">
              <w:rPr>
                <w:rFonts w:cs="Arial"/>
                <w:sz w:val="18"/>
                <w:szCs w:val="18"/>
              </w:rPr>
              <w:t>f</w:t>
            </w:r>
            <w:r w:rsidRPr="008C4645">
              <w:rPr>
                <w:rFonts w:cs="Arial"/>
                <w:sz w:val="18"/>
                <w:szCs w:val="18"/>
                <w:vertAlign w:val="subscript"/>
              </w:rPr>
              <w:t>offset</w:t>
            </w:r>
            <w:proofErr w:type="spellEnd"/>
            <w:r w:rsidRPr="008C4645">
              <w:rPr>
                <w:rFonts w:cs="Arial"/>
                <w:spacing w:val="27"/>
                <w:position w:val="-1"/>
                <w:sz w:val="18"/>
                <w:szCs w:val="18"/>
              </w:rPr>
              <w:t xml:space="preserve"> </w:t>
            </w:r>
          </w:p>
        </w:tc>
        <w:tc>
          <w:tcPr>
            <w:tcW w:w="2699" w:type="dxa"/>
            <w:shd w:val="clear" w:color="auto" w:fill="FFFFFF" w:themeFill="background1"/>
          </w:tcPr>
          <w:p w14:paraId="319E137F" w14:textId="77777777" w:rsidR="00B74C3E" w:rsidRPr="008C4645" w:rsidRDefault="00B74C3E">
            <w:pPr>
              <w:keepNext/>
              <w:keepLines/>
              <w:spacing w:after="0"/>
              <w:contextualSpacing/>
              <w:jc w:val="center"/>
              <w:rPr>
                <w:rFonts w:cs="Arial"/>
                <w:sz w:val="18"/>
                <w:szCs w:val="18"/>
              </w:rPr>
            </w:pPr>
            <w:r w:rsidRPr="008C4645">
              <w:rPr>
                <w:rFonts w:cs="Arial"/>
                <w:sz w:val="18"/>
                <w:szCs w:val="18"/>
              </w:rPr>
              <w:t>-1</w:t>
            </w:r>
            <w:r>
              <w:rPr>
                <w:rFonts w:cs="Arial"/>
                <w:sz w:val="18"/>
                <w:szCs w:val="18"/>
              </w:rPr>
              <w:t>5</w:t>
            </w:r>
          </w:p>
        </w:tc>
        <w:tc>
          <w:tcPr>
            <w:tcW w:w="1559" w:type="dxa"/>
            <w:shd w:val="clear" w:color="auto" w:fill="FFFFFF" w:themeFill="background1"/>
          </w:tcPr>
          <w:p w14:paraId="185EA9F5" w14:textId="77777777" w:rsidR="00B74C3E" w:rsidRPr="008C4645" w:rsidRDefault="00B74C3E">
            <w:pPr>
              <w:keepNext/>
              <w:keepLines/>
              <w:spacing w:after="0"/>
              <w:contextualSpacing/>
              <w:jc w:val="center"/>
              <w:rPr>
                <w:rFonts w:cs="Arial"/>
                <w:sz w:val="18"/>
                <w:szCs w:val="18"/>
              </w:rPr>
            </w:pPr>
            <w:r w:rsidRPr="008C4645">
              <w:rPr>
                <w:rFonts w:cs="Arial"/>
                <w:sz w:val="18"/>
                <w:szCs w:val="18"/>
              </w:rPr>
              <w:t xml:space="preserve">1 </w:t>
            </w:r>
            <w:r>
              <w:rPr>
                <w:rFonts w:cs="Arial"/>
                <w:sz w:val="18"/>
                <w:szCs w:val="18"/>
              </w:rPr>
              <w:t>M</w:t>
            </w:r>
            <w:r w:rsidRPr="008C4645">
              <w:rPr>
                <w:rFonts w:cs="Arial"/>
                <w:sz w:val="18"/>
                <w:szCs w:val="18"/>
              </w:rPr>
              <w:t>Hz</w:t>
            </w:r>
          </w:p>
        </w:tc>
      </w:tr>
    </w:tbl>
    <w:p w14:paraId="7147AC6D" w14:textId="77777777" w:rsidR="00B74C3E" w:rsidRDefault="00B74C3E" w:rsidP="00B74C3E">
      <w:pPr>
        <w:pStyle w:val="Spaceaftertable"/>
      </w:pPr>
    </w:p>
    <w:p w14:paraId="65AEC48A" w14:textId="77777777" w:rsidR="00B74C3E" w:rsidRPr="003C03D5" w:rsidRDefault="00B74C3E" w:rsidP="00B74C3E">
      <w:pPr>
        <w:pStyle w:val="ACMATableHeader"/>
        <w:keepNext/>
        <w:keepLines/>
        <w:spacing w:line="240" w:lineRule="atLeast"/>
      </w:pPr>
      <w:r w:rsidRPr="003C03D5">
        <w:rPr>
          <w:rFonts w:cs="Arial"/>
        </w:rPr>
        <w:t xml:space="preserve">Unwanted emission limits in </w:t>
      </w:r>
      <w:r>
        <w:rPr>
          <w:rFonts w:cs="Arial"/>
        </w:rPr>
        <w:t>2620</w:t>
      </w:r>
      <w:r w:rsidRPr="003C03D5">
        <w:rPr>
          <w:rFonts w:cs="Arial"/>
        </w:rPr>
        <w:t xml:space="preserve"> MHz to </w:t>
      </w:r>
      <w:r>
        <w:rPr>
          <w:rFonts w:cs="Arial"/>
        </w:rPr>
        <w:t>2690</w:t>
      </w:r>
      <w:r w:rsidRPr="003C03D5">
        <w:rPr>
          <w:rFonts w:cs="Arial"/>
        </w:rPr>
        <w:t xml:space="preserve"> MHz for transmitters operating in the upper </w:t>
      </w:r>
      <w:r>
        <w:rPr>
          <w:rFonts w:cs="Arial"/>
        </w:rPr>
        <w:t>2.5 G</w:t>
      </w:r>
      <w:r w:rsidRPr="003C03D5">
        <w:rPr>
          <w:rFonts w:cs="Arial"/>
        </w:rPr>
        <w:t>Hz band – AAS devices</w:t>
      </w:r>
    </w:p>
    <w:tbl>
      <w:tblPr>
        <w:tblStyle w:val="TableGrid"/>
        <w:tblW w:w="7230" w:type="dxa"/>
        <w:jc w:val="center"/>
        <w:tblLook w:val="04A0" w:firstRow="1" w:lastRow="0" w:firstColumn="1" w:lastColumn="0" w:noHBand="0" w:noVBand="1"/>
      </w:tblPr>
      <w:tblGrid>
        <w:gridCol w:w="2972"/>
        <w:gridCol w:w="2699"/>
        <w:gridCol w:w="1559"/>
      </w:tblGrid>
      <w:tr w:rsidR="00B74C3E" w:rsidRPr="003C03D5" w14:paraId="3532A834" w14:textId="77777777">
        <w:trPr>
          <w:jc w:val="center"/>
        </w:trPr>
        <w:tc>
          <w:tcPr>
            <w:tcW w:w="2972" w:type="dxa"/>
            <w:shd w:val="clear" w:color="auto" w:fill="404040" w:themeFill="text1" w:themeFillTint="BF"/>
          </w:tcPr>
          <w:p w14:paraId="7CB6C51C" w14:textId="40860778" w:rsidR="00B74C3E" w:rsidRPr="003C03D5" w:rsidRDefault="00B74C3E">
            <w:pPr>
              <w:keepNext/>
              <w:keepLines/>
              <w:spacing w:after="0"/>
              <w:contextualSpacing/>
              <w:jc w:val="center"/>
              <w:rPr>
                <w:rFonts w:cs="Arial"/>
                <w:b/>
                <w:color w:val="FFFFFF" w:themeColor="background1"/>
                <w:vertAlign w:val="superscript"/>
              </w:rPr>
            </w:pPr>
            <w:r w:rsidRPr="003C03D5">
              <w:rPr>
                <w:rFonts w:cs="Arial"/>
                <w:b/>
                <w:color w:val="FFFFFF" w:themeColor="background1"/>
              </w:rPr>
              <w:t>Frequency offset (</w:t>
            </w:r>
            <w:proofErr w:type="spellStart"/>
            <w:r w:rsidRPr="003C03D5">
              <w:rPr>
                <w:rFonts w:cs="Arial"/>
                <w:b/>
                <w:color w:val="FFFFFF" w:themeColor="background1"/>
              </w:rPr>
              <w:t>f</w:t>
            </w:r>
            <w:r w:rsidRPr="003C03D5">
              <w:rPr>
                <w:rFonts w:cs="Arial"/>
                <w:b/>
                <w:color w:val="FFFFFF" w:themeColor="background1"/>
                <w:vertAlign w:val="subscript"/>
              </w:rPr>
              <w:t>offset</w:t>
            </w:r>
            <w:proofErr w:type="spellEnd"/>
            <w:r w:rsidRPr="003C03D5">
              <w:rPr>
                <w:rFonts w:cs="Arial"/>
                <w:b/>
                <w:color w:val="FFFFFF" w:themeColor="background1"/>
              </w:rPr>
              <w:t xml:space="preserve">) </w:t>
            </w:r>
          </w:p>
        </w:tc>
        <w:tc>
          <w:tcPr>
            <w:tcW w:w="2699" w:type="dxa"/>
            <w:shd w:val="clear" w:color="auto" w:fill="404040" w:themeFill="text1" w:themeFillTint="BF"/>
          </w:tcPr>
          <w:p w14:paraId="0AB4C15B" w14:textId="00A773F4" w:rsidR="00B74C3E" w:rsidRPr="003C03D5" w:rsidRDefault="00B74C3E">
            <w:pPr>
              <w:keepNext/>
              <w:keepLines/>
              <w:spacing w:after="0"/>
              <w:contextualSpacing/>
              <w:jc w:val="center"/>
              <w:rPr>
                <w:rFonts w:cs="Arial"/>
                <w:b/>
                <w:color w:val="FFFFFF" w:themeColor="background1"/>
              </w:rPr>
            </w:pPr>
            <w:r w:rsidRPr="003C03D5">
              <w:rPr>
                <w:rFonts w:cs="Arial"/>
                <w:b/>
                <w:color w:val="FFFFFF" w:themeColor="background1"/>
              </w:rPr>
              <w:t xml:space="preserve">Total radiated power per </w:t>
            </w:r>
            <w:r w:rsidR="00BA5679">
              <w:rPr>
                <w:rFonts w:cs="Arial"/>
                <w:b/>
                <w:color w:val="FFFFFF" w:themeColor="background1"/>
              </w:rPr>
              <w:t>cell/</w:t>
            </w:r>
            <w:r w:rsidRPr="003C03D5">
              <w:rPr>
                <w:rFonts w:cs="Arial"/>
                <w:b/>
                <w:color w:val="FFFFFF" w:themeColor="background1"/>
              </w:rPr>
              <w:t>sector (dBm)</w:t>
            </w:r>
          </w:p>
        </w:tc>
        <w:tc>
          <w:tcPr>
            <w:tcW w:w="1559" w:type="dxa"/>
            <w:shd w:val="clear" w:color="auto" w:fill="404040" w:themeFill="text1" w:themeFillTint="BF"/>
          </w:tcPr>
          <w:p w14:paraId="536A6F0A" w14:textId="77777777" w:rsidR="00B74C3E" w:rsidRPr="003C03D5" w:rsidRDefault="00B74C3E">
            <w:pPr>
              <w:keepNext/>
              <w:keepLines/>
              <w:spacing w:after="0"/>
              <w:contextualSpacing/>
              <w:jc w:val="center"/>
              <w:rPr>
                <w:rFonts w:cs="Arial"/>
                <w:b/>
                <w:color w:val="FFFFFF" w:themeColor="background1"/>
              </w:rPr>
            </w:pPr>
            <w:r w:rsidRPr="003C03D5">
              <w:rPr>
                <w:rFonts w:cs="Arial"/>
                <w:b/>
                <w:color w:val="FFFFFF" w:themeColor="background1"/>
              </w:rPr>
              <w:t>Measurement bandwidth</w:t>
            </w:r>
          </w:p>
        </w:tc>
      </w:tr>
      <w:tr w:rsidR="00B74C3E" w:rsidRPr="003C03D5" w14:paraId="1BE7D874" w14:textId="77777777">
        <w:trPr>
          <w:jc w:val="center"/>
        </w:trPr>
        <w:tc>
          <w:tcPr>
            <w:tcW w:w="2972" w:type="dxa"/>
          </w:tcPr>
          <w:p w14:paraId="736B96FF" w14:textId="77777777" w:rsidR="00B74C3E" w:rsidRPr="003C03D5" w:rsidRDefault="00B74C3E">
            <w:pPr>
              <w:keepNext/>
              <w:keepLines/>
              <w:spacing w:after="0"/>
              <w:contextualSpacing/>
              <w:jc w:val="center"/>
              <w:rPr>
                <w:rFonts w:cs="Arial"/>
                <w:sz w:val="16"/>
                <w:szCs w:val="16"/>
                <w:u w:val="single"/>
              </w:rPr>
            </w:pPr>
            <w:r w:rsidRPr="003C03D5">
              <w:rPr>
                <w:rFonts w:cs="Arial"/>
                <w:sz w:val="18"/>
                <w:szCs w:val="18"/>
              </w:rPr>
              <w:t>0 MHz</w:t>
            </w:r>
            <w:r w:rsidRPr="003C03D5">
              <w:rPr>
                <w:rFonts w:cs="Arial"/>
                <w:spacing w:val="13"/>
                <w:sz w:val="18"/>
                <w:szCs w:val="18"/>
              </w:rPr>
              <w:t xml:space="preserve"> </w:t>
            </w:r>
            <w:r w:rsidRPr="003C03D5">
              <w:rPr>
                <w:rFonts w:cs="Arial"/>
              </w:rPr>
              <w:t xml:space="preserve">≤ </w:t>
            </w:r>
            <w:proofErr w:type="spellStart"/>
            <w:r w:rsidRPr="003C03D5">
              <w:rPr>
                <w:rFonts w:cs="Arial"/>
                <w:sz w:val="18"/>
                <w:szCs w:val="18"/>
              </w:rPr>
              <w:t>f</w:t>
            </w:r>
            <w:r w:rsidRPr="003C03D5">
              <w:rPr>
                <w:rFonts w:cs="Arial"/>
                <w:sz w:val="18"/>
                <w:szCs w:val="18"/>
                <w:vertAlign w:val="subscript"/>
              </w:rPr>
              <w:t>offset</w:t>
            </w:r>
            <w:proofErr w:type="spellEnd"/>
            <w:r w:rsidRPr="003C03D5">
              <w:rPr>
                <w:rFonts w:cs="Arial"/>
                <w:spacing w:val="27"/>
                <w:position w:val="-1"/>
                <w:sz w:val="18"/>
                <w:szCs w:val="18"/>
              </w:rPr>
              <w:t xml:space="preserve"> </w:t>
            </w:r>
            <w:r w:rsidRPr="003C03D5">
              <w:rPr>
                <w:rFonts w:cs="Arial"/>
              </w:rPr>
              <w:t>&lt;</w:t>
            </w:r>
            <w:r w:rsidRPr="003C03D5">
              <w:rPr>
                <w:rFonts w:cs="Arial"/>
                <w:spacing w:val="1"/>
                <w:sz w:val="18"/>
                <w:szCs w:val="18"/>
              </w:rPr>
              <w:t xml:space="preserve"> 5 MHz</w:t>
            </w:r>
          </w:p>
        </w:tc>
        <w:tc>
          <w:tcPr>
            <w:tcW w:w="2699" w:type="dxa"/>
          </w:tcPr>
          <w:p w14:paraId="018CB91D" w14:textId="77777777" w:rsidR="00B74C3E" w:rsidRPr="003C03D5" w:rsidRDefault="00B74C3E">
            <w:pPr>
              <w:keepNext/>
              <w:keepLines/>
              <w:spacing w:after="0"/>
              <w:contextualSpacing/>
              <w:jc w:val="center"/>
              <w:rPr>
                <w:rFonts w:cs="Arial"/>
                <w:sz w:val="18"/>
                <w:szCs w:val="18"/>
              </w:rPr>
            </w:pPr>
            <m:oMathPara>
              <m:oMath>
                <m:r>
                  <w:rPr>
                    <w:rFonts w:ascii="Cambria Math" w:hAnsi="Cambria Math" w:cs="Arial"/>
                    <w:sz w:val="18"/>
                    <w:szCs w:val="18"/>
                    <w:vertAlign w:val="subscript"/>
                  </w:rPr>
                  <m:t>2dBm-</m:t>
                </m:r>
                <m:f>
                  <m:fPr>
                    <m:ctrlPr>
                      <w:rPr>
                        <w:rFonts w:ascii="Cambria Math" w:hAnsi="Cambria Math" w:cs="Arial"/>
                        <w:i/>
                        <w:sz w:val="18"/>
                        <w:szCs w:val="18"/>
                        <w:vertAlign w:val="subscript"/>
                      </w:rPr>
                    </m:ctrlPr>
                  </m:fPr>
                  <m:num>
                    <m:r>
                      <w:rPr>
                        <w:rFonts w:ascii="Cambria Math" w:hAnsi="Cambria Math" w:cs="Arial"/>
                        <w:sz w:val="18"/>
                        <w:szCs w:val="18"/>
                        <w:vertAlign w:val="subscript"/>
                      </w:rPr>
                      <m:t>7</m:t>
                    </m:r>
                  </m:num>
                  <m:den>
                    <m:r>
                      <w:rPr>
                        <w:rFonts w:ascii="Cambria Math" w:hAnsi="Cambria Math" w:cs="Arial"/>
                        <w:sz w:val="18"/>
                        <w:szCs w:val="18"/>
                        <w:vertAlign w:val="subscript"/>
                      </w:rPr>
                      <m:t>5</m:t>
                    </m:r>
                  </m:den>
                </m:f>
                <m:d>
                  <m:dPr>
                    <m:ctrlPr>
                      <w:rPr>
                        <w:rFonts w:ascii="Cambria Math" w:hAnsi="Cambria Math" w:cs="Arial"/>
                        <w:i/>
                        <w:sz w:val="18"/>
                        <w:szCs w:val="18"/>
                        <w:vertAlign w:val="subscript"/>
                      </w:rPr>
                    </m:ctrlPr>
                  </m:dPr>
                  <m:e>
                    <m:f>
                      <m:fPr>
                        <m:ctrlPr>
                          <w:rPr>
                            <w:rFonts w:ascii="Cambria Math" w:hAnsi="Cambria Math" w:cs="Arial"/>
                            <w:i/>
                            <w:sz w:val="18"/>
                            <w:szCs w:val="18"/>
                            <w:vertAlign w:val="subscript"/>
                          </w:rPr>
                        </m:ctrlPr>
                      </m:fPr>
                      <m:num>
                        <m:sSub>
                          <m:sSubPr>
                            <m:ctrlPr>
                              <w:rPr>
                                <w:rFonts w:ascii="Cambria Math" w:hAnsi="Cambria Math" w:cs="Arial"/>
                                <w:i/>
                                <w:sz w:val="18"/>
                                <w:szCs w:val="18"/>
                                <w:vertAlign w:val="subscript"/>
                              </w:rPr>
                            </m:ctrlPr>
                          </m:sSubPr>
                          <m:e>
                            <m:r>
                              <w:rPr>
                                <w:rFonts w:ascii="Cambria Math" w:hAnsi="Cambria Math" w:cs="Arial"/>
                                <w:sz w:val="18"/>
                                <w:szCs w:val="18"/>
                                <w:vertAlign w:val="subscript"/>
                              </w:rPr>
                              <m:t>f</m:t>
                            </m:r>
                          </m:e>
                          <m:sub>
                            <m:r>
                              <w:rPr>
                                <w:rFonts w:ascii="Cambria Math" w:hAnsi="Cambria Math" w:cs="Arial"/>
                                <w:sz w:val="18"/>
                                <w:szCs w:val="18"/>
                                <w:vertAlign w:val="subscript"/>
                              </w:rPr>
                              <m:t>offset</m:t>
                            </m:r>
                          </m:sub>
                        </m:sSub>
                      </m:num>
                      <m:den>
                        <m:r>
                          <w:rPr>
                            <w:rFonts w:ascii="Cambria Math" w:hAnsi="Cambria Math" w:cs="Arial"/>
                            <w:sz w:val="18"/>
                            <w:szCs w:val="18"/>
                            <w:vertAlign w:val="subscript"/>
                          </w:rPr>
                          <m:t>MHz</m:t>
                        </m:r>
                      </m:den>
                    </m:f>
                    <m:r>
                      <w:rPr>
                        <w:rFonts w:ascii="Cambria Math" w:hAnsi="Cambria Math" w:cs="Arial"/>
                        <w:sz w:val="18"/>
                        <w:szCs w:val="18"/>
                        <w:vertAlign w:val="subscript"/>
                      </w:rPr>
                      <m:t>-0.05</m:t>
                    </m:r>
                  </m:e>
                </m:d>
                <m:r>
                  <w:rPr>
                    <w:rFonts w:ascii="Cambria Math" w:hAnsi="Cambria Math" w:cs="Arial"/>
                    <w:sz w:val="18"/>
                    <w:szCs w:val="18"/>
                    <w:vertAlign w:val="subscript"/>
                  </w:rPr>
                  <m:t>dB</m:t>
                </m:r>
              </m:oMath>
            </m:oMathPara>
          </w:p>
        </w:tc>
        <w:tc>
          <w:tcPr>
            <w:tcW w:w="1559" w:type="dxa"/>
          </w:tcPr>
          <w:p w14:paraId="0EA64669" w14:textId="77777777" w:rsidR="00B74C3E" w:rsidRPr="003C03D5" w:rsidRDefault="00B74C3E">
            <w:pPr>
              <w:keepNext/>
              <w:keepLines/>
              <w:spacing w:after="0"/>
              <w:contextualSpacing/>
              <w:jc w:val="center"/>
              <w:rPr>
                <w:rFonts w:cs="Arial"/>
                <w:sz w:val="18"/>
                <w:szCs w:val="18"/>
              </w:rPr>
            </w:pPr>
            <w:r w:rsidRPr="003C03D5">
              <w:rPr>
                <w:rFonts w:cs="Arial"/>
                <w:sz w:val="18"/>
                <w:szCs w:val="18"/>
              </w:rPr>
              <w:t>100 kHz</w:t>
            </w:r>
          </w:p>
        </w:tc>
      </w:tr>
      <w:tr w:rsidR="00B74C3E" w:rsidRPr="003C03D5" w14:paraId="0F13412C" w14:textId="77777777">
        <w:trPr>
          <w:jc w:val="center"/>
        </w:trPr>
        <w:tc>
          <w:tcPr>
            <w:tcW w:w="2972" w:type="dxa"/>
            <w:shd w:val="clear" w:color="auto" w:fill="F2F2F2" w:themeFill="background1" w:themeFillShade="F2"/>
          </w:tcPr>
          <w:p w14:paraId="2867A2DC" w14:textId="77777777" w:rsidR="00B74C3E" w:rsidRPr="003C03D5" w:rsidRDefault="00B74C3E">
            <w:pPr>
              <w:keepNext/>
              <w:keepLines/>
              <w:spacing w:after="0"/>
              <w:contextualSpacing/>
              <w:jc w:val="center"/>
              <w:rPr>
                <w:rFonts w:cs="Arial"/>
                <w:sz w:val="18"/>
                <w:szCs w:val="18"/>
              </w:rPr>
            </w:pPr>
            <w:r w:rsidRPr="003C03D5">
              <w:rPr>
                <w:rFonts w:cs="Arial"/>
                <w:sz w:val="18"/>
                <w:szCs w:val="18"/>
              </w:rPr>
              <w:t>5 MHz</w:t>
            </w:r>
            <w:r w:rsidRPr="003C03D5">
              <w:rPr>
                <w:rFonts w:cs="Arial"/>
                <w:spacing w:val="13"/>
                <w:sz w:val="18"/>
                <w:szCs w:val="18"/>
              </w:rPr>
              <w:t xml:space="preserve"> </w:t>
            </w:r>
            <w:r w:rsidRPr="003C03D5">
              <w:rPr>
                <w:rFonts w:cs="Arial"/>
              </w:rPr>
              <w:t xml:space="preserve">≤ </w:t>
            </w:r>
            <w:proofErr w:type="spellStart"/>
            <w:r w:rsidRPr="003C03D5">
              <w:rPr>
                <w:rFonts w:cs="Arial"/>
                <w:sz w:val="18"/>
                <w:szCs w:val="18"/>
              </w:rPr>
              <w:t>f</w:t>
            </w:r>
            <w:r w:rsidRPr="003C03D5">
              <w:rPr>
                <w:rFonts w:cs="Arial"/>
                <w:sz w:val="18"/>
                <w:szCs w:val="18"/>
                <w:vertAlign w:val="subscript"/>
              </w:rPr>
              <w:t>offset</w:t>
            </w:r>
            <w:proofErr w:type="spellEnd"/>
            <w:r w:rsidRPr="003C03D5">
              <w:rPr>
                <w:rFonts w:cs="Arial"/>
                <w:spacing w:val="27"/>
                <w:position w:val="-1"/>
                <w:sz w:val="18"/>
                <w:szCs w:val="18"/>
              </w:rPr>
              <w:t xml:space="preserve"> </w:t>
            </w:r>
            <w:r w:rsidRPr="003C03D5">
              <w:rPr>
                <w:rFonts w:cs="Arial"/>
              </w:rPr>
              <w:t>&lt;</w:t>
            </w:r>
            <w:r w:rsidRPr="003C03D5">
              <w:rPr>
                <w:rFonts w:cs="Arial"/>
                <w:spacing w:val="1"/>
                <w:sz w:val="18"/>
                <w:szCs w:val="18"/>
              </w:rPr>
              <w:t xml:space="preserve"> 10 MHz</w:t>
            </w:r>
          </w:p>
        </w:tc>
        <w:tc>
          <w:tcPr>
            <w:tcW w:w="2699" w:type="dxa"/>
            <w:shd w:val="clear" w:color="auto" w:fill="F2F2F2" w:themeFill="background1" w:themeFillShade="F2"/>
          </w:tcPr>
          <w:p w14:paraId="2ADFA368" w14:textId="77777777" w:rsidR="00B74C3E" w:rsidRPr="003C03D5" w:rsidRDefault="00B74C3E">
            <w:pPr>
              <w:keepNext/>
              <w:keepLines/>
              <w:spacing w:after="0"/>
              <w:contextualSpacing/>
              <w:jc w:val="center"/>
              <w:rPr>
                <w:rFonts w:cs="Arial"/>
                <w:sz w:val="18"/>
                <w:szCs w:val="18"/>
              </w:rPr>
            </w:pPr>
            <w:r w:rsidRPr="003C03D5">
              <w:rPr>
                <w:rFonts w:cs="Arial"/>
                <w:sz w:val="18"/>
                <w:szCs w:val="18"/>
              </w:rPr>
              <w:t>-5</w:t>
            </w:r>
          </w:p>
        </w:tc>
        <w:tc>
          <w:tcPr>
            <w:tcW w:w="1559" w:type="dxa"/>
            <w:shd w:val="clear" w:color="auto" w:fill="F2F2F2" w:themeFill="background1" w:themeFillShade="F2"/>
          </w:tcPr>
          <w:p w14:paraId="608CA7EE" w14:textId="77777777" w:rsidR="00B74C3E" w:rsidRPr="003C03D5" w:rsidRDefault="00B74C3E">
            <w:pPr>
              <w:keepNext/>
              <w:keepLines/>
              <w:spacing w:after="0"/>
              <w:contextualSpacing/>
              <w:jc w:val="center"/>
              <w:rPr>
                <w:rFonts w:cs="Arial"/>
                <w:sz w:val="18"/>
                <w:szCs w:val="18"/>
              </w:rPr>
            </w:pPr>
            <w:r w:rsidRPr="003C03D5">
              <w:rPr>
                <w:rFonts w:cs="Arial"/>
                <w:sz w:val="18"/>
                <w:szCs w:val="18"/>
              </w:rPr>
              <w:t>100 kHz</w:t>
            </w:r>
          </w:p>
        </w:tc>
      </w:tr>
      <w:tr w:rsidR="00B74C3E" w:rsidRPr="001B511F" w14:paraId="5A5B44D6" w14:textId="77777777">
        <w:trPr>
          <w:jc w:val="center"/>
        </w:trPr>
        <w:tc>
          <w:tcPr>
            <w:tcW w:w="2972" w:type="dxa"/>
          </w:tcPr>
          <w:p w14:paraId="70B7FFC3" w14:textId="77777777" w:rsidR="00B74C3E" w:rsidRPr="003C03D5" w:rsidRDefault="00B74C3E">
            <w:pPr>
              <w:keepNext/>
              <w:keepLines/>
              <w:spacing w:after="0"/>
              <w:contextualSpacing/>
              <w:jc w:val="center"/>
              <w:rPr>
                <w:rFonts w:cs="Arial"/>
                <w:sz w:val="18"/>
                <w:szCs w:val="18"/>
              </w:rPr>
            </w:pPr>
            <w:r w:rsidRPr="003C03D5">
              <w:rPr>
                <w:rFonts w:cs="Arial"/>
                <w:sz w:val="18"/>
                <w:szCs w:val="18"/>
              </w:rPr>
              <w:t>10 MHz</w:t>
            </w:r>
            <w:r w:rsidRPr="003C03D5">
              <w:rPr>
                <w:rFonts w:cs="Arial"/>
                <w:spacing w:val="13"/>
                <w:sz w:val="18"/>
                <w:szCs w:val="18"/>
              </w:rPr>
              <w:t xml:space="preserve"> </w:t>
            </w:r>
            <w:r w:rsidRPr="003C03D5">
              <w:rPr>
                <w:rFonts w:cs="Arial"/>
              </w:rPr>
              <w:t>≤</w:t>
            </w:r>
            <w:r w:rsidRPr="003C03D5">
              <w:rPr>
                <w:rFonts w:cs="Arial"/>
                <w:spacing w:val="11"/>
                <w:sz w:val="18"/>
                <w:szCs w:val="18"/>
                <w:u w:val="single" w:color="000000"/>
              </w:rPr>
              <w:t xml:space="preserve"> </w:t>
            </w:r>
            <w:proofErr w:type="spellStart"/>
            <w:r w:rsidRPr="003C03D5">
              <w:rPr>
                <w:rFonts w:cs="Arial"/>
                <w:sz w:val="18"/>
                <w:szCs w:val="18"/>
              </w:rPr>
              <w:t>f</w:t>
            </w:r>
            <w:r w:rsidRPr="003C03D5">
              <w:rPr>
                <w:rFonts w:cs="Arial"/>
                <w:sz w:val="18"/>
                <w:szCs w:val="18"/>
                <w:vertAlign w:val="subscript"/>
              </w:rPr>
              <w:t>offset</w:t>
            </w:r>
            <w:proofErr w:type="spellEnd"/>
            <w:r w:rsidRPr="003C03D5">
              <w:rPr>
                <w:rFonts w:cs="Arial"/>
                <w:spacing w:val="27"/>
                <w:position w:val="-1"/>
                <w:sz w:val="18"/>
                <w:szCs w:val="18"/>
              </w:rPr>
              <w:t xml:space="preserve"> </w:t>
            </w:r>
          </w:p>
        </w:tc>
        <w:tc>
          <w:tcPr>
            <w:tcW w:w="2699" w:type="dxa"/>
          </w:tcPr>
          <w:p w14:paraId="5DDBC051" w14:textId="77777777" w:rsidR="00B74C3E" w:rsidRPr="003C03D5" w:rsidDel="00CF0645" w:rsidRDefault="00B74C3E">
            <w:pPr>
              <w:keepNext/>
              <w:keepLines/>
              <w:spacing w:after="0"/>
              <w:contextualSpacing/>
              <w:jc w:val="center"/>
              <w:rPr>
                <w:rFonts w:cs="Arial"/>
                <w:sz w:val="18"/>
                <w:szCs w:val="18"/>
              </w:rPr>
            </w:pPr>
            <w:r w:rsidRPr="003C03D5">
              <w:rPr>
                <w:rFonts w:cs="Arial"/>
                <w:sz w:val="18"/>
                <w:szCs w:val="18"/>
              </w:rPr>
              <w:t>-</w:t>
            </w:r>
            <w:r>
              <w:rPr>
                <w:rFonts w:cs="Arial"/>
                <w:sz w:val="18"/>
                <w:szCs w:val="18"/>
              </w:rPr>
              <w:t>6</w:t>
            </w:r>
          </w:p>
        </w:tc>
        <w:tc>
          <w:tcPr>
            <w:tcW w:w="1559" w:type="dxa"/>
          </w:tcPr>
          <w:p w14:paraId="526DD398" w14:textId="77777777" w:rsidR="00B74C3E" w:rsidRPr="001B511F" w:rsidRDefault="00B74C3E">
            <w:pPr>
              <w:keepNext/>
              <w:keepLines/>
              <w:spacing w:after="0"/>
              <w:contextualSpacing/>
              <w:jc w:val="center"/>
              <w:rPr>
                <w:rFonts w:cs="Arial"/>
                <w:sz w:val="18"/>
                <w:szCs w:val="18"/>
              </w:rPr>
            </w:pPr>
            <w:r w:rsidRPr="008C4645">
              <w:rPr>
                <w:rFonts w:cs="Arial"/>
                <w:sz w:val="18"/>
                <w:szCs w:val="18"/>
              </w:rPr>
              <w:t xml:space="preserve">1 </w:t>
            </w:r>
            <w:r>
              <w:rPr>
                <w:rFonts w:cs="Arial"/>
                <w:sz w:val="18"/>
                <w:szCs w:val="18"/>
              </w:rPr>
              <w:t>M</w:t>
            </w:r>
            <w:r w:rsidRPr="008C4645">
              <w:rPr>
                <w:rFonts w:cs="Arial"/>
                <w:sz w:val="18"/>
                <w:szCs w:val="18"/>
              </w:rPr>
              <w:t>Hz</w:t>
            </w:r>
          </w:p>
        </w:tc>
      </w:tr>
    </w:tbl>
    <w:p w14:paraId="17897C55" w14:textId="77777777" w:rsidR="002F7657" w:rsidRPr="00322232" w:rsidRDefault="002F7657" w:rsidP="002F7657">
      <w:pPr>
        <w:keepNext/>
        <w:keepLines/>
        <w:spacing w:before="120"/>
        <w:ind w:left="284"/>
        <w:rPr>
          <w:rFonts w:cs="Arial"/>
          <w:bCs/>
          <w:i/>
          <w:iCs/>
          <w:sz w:val="16"/>
          <w:szCs w:val="16"/>
        </w:rPr>
      </w:pPr>
      <w:r w:rsidRPr="00322232">
        <w:rPr>
          <w:rFonts w:cs="Arial"/>
          <w:bCs/>
          <w:i/>
          <w:iCs/>
          <w:sz w:val="16"/>
          <w:szCs w:val="16"/>
        </w:rPr>
        <w:t xml:space="preserve">Note: </w:t>
      </w:r>
      <w:proofErr w:type="spellStart"/>
      <w:r w:rsidRPr="00322232">
        <w:rPr>
          <w:rFonts w:cs="Arial"/>
          <w:bCs/>
          <w:i/>
          <w:iCs/>
          <w:sz w:val="16"/>
          <w:szCs w:val="16"/>
        </w:rPr>
        <w:t>f</w:t>
      </w:r>
      <w:r w:rsidRPr="00322232">
        <w:rPr>
          <w:rFonts w:cs="Arial"/>
          <w:bCs/>
          <w:i/>
          <w:iCs/>
          <w:sz w:val="16"/>
          <w:szCs w:val="16"/>
          <w:vertAlign w:val="subscript"/>
        </w:rPr>
        <w:t>offset</w:t>
      </w:r>
      <w:proofErr w:type="spellEnd"/>
      <w:r w:rsidRPr="00322232">
        <w:rPr>
          <w:rFonts w:cs="Arial"/>
          <w:bCs/>
          <w:i/>
          <w:iCs/>
          <w:sz w:val="16"/>
          <w:szCs w:val="16"/>
          <w:vertAlign w:val="subscript"/>
        </w:rPr>
        <w:t xml:space="preserve"> </w:t>
      </w:r>
      <w:r w:rsidRPr="00322232">
        <w:rPr>
          <w:rFonts w:cs="Arial"/>
          <w:bCs/>
          <w:i/>
          <w:iCs/>
          <w:sz w:val="16"/>
          <w:szCs w:val="16"/>
        </w:rPr>
        <w:t xml:space="preserve">is the frequency offset from the upper or lower frequency limits set out in Part 2 of Licence Schedule 1. </w:t>
      </w:r>
      <w:r w:rsidRPr="00322232">
        <w:rPr>
          <w:bCs/>
          <w:i/>
          <w:iCs/>
          <w:sz w:val="16"/>
          <w:szCs w:val="16"/>
        </w:rPr>
        <w:t>The</w:t>
      </w:r>
      <w:r w:rsidRPr="00322232">
        <w:rPr>
          <w:i/>
          <w:iCs/>
          <w:sz w:val="16"/>
          <w:szCs w:val="16"/>
        </w:rPr>
        <w:t xml:space="preserve"> closest -3dB point of the measurement bandwidth to </w:t>
      </w:r>
      <w:r w:rsidRPr="00322232">
        <w:rPr>
          <w:rFonts w:cs="Arial"/>
          <w:bCs/>
          <w:i/>
          <w:iCs/>
          <w:sz w:val="16"/>
          <w:szCs w:val="16"/>
        </w:rPr>
        <w:t>the upper or lower frequency limits i</w:t>
      </w:r>
      <w:r w:rsidRPr="00322232">
        <w:rPr>
          <w:i/>
          <w:iCs/>
          <w:sz w:val="16"/>
          <w:szCs w:val="16"/>
        </w:rPr>
        <w:t xml:space="preserve">s placed at </w:t>
      </w:r>
      <w:proofErr w:type="spellStart"/>
      <w:r w:rsidRPr="00322232">
        <w:rPr>
          <w:i/>
          <w:iCs/>
          <w:sz w:val="16"/>
          <w:szCs w:val="16"/>
        </w:rPr>
        <w:t>f</w:t>
      </w:r>
      <w:r w:rsidRPr="00322232">
        <w:rPr>
          <w:i/>
          <w:iCs/>
          <w:sz w:val="16"/>
          <w:szCs w:val="16"/>
          <w:vertAlign w:val="subscript"/>
        </w:rPr>
        <w:t>offset</w:t>
      </w:r>
      <w:proofErr w:type="spellEnd"/>
      <w:r w:rsidRPr="00322232">
        <w:rPr>
          <w:i/>
          <w:iCs/>
          <w:sz w:val="16"/>
          <w:szCs w:val="16"/>
        </w:rPr>
        <w:t>.</w:t>
      </w:r>
    </w:p>
    <w:p w14:paraId="1073875F" w14:textId="5796630A" w:rsidR="002F7657" w:rsidRPr="00B244A8" w:rsidRDefault="00842265" w:rsidP="002F7657">
      <w:pPr>
        <w:pStyle w:val="Heading3"/>
      </w:pPr>
      <w:r>
        <w:t xml:space="preserve">Upper </w:t>
      </w:r>
      <w:r w:rsidR="00E53D8C">
        <w:t>2.5 GHz</w:t>
      </w:r>
      <w:r>
        <w:t xml:space="preserve"> band transmitter unwanted emission limits in the frequency range </w:t>
      </w:r>
      <w:r w:rsidR="002F7657" w:rsidRPr="00B244A8">
        <w:t>2</w:t>
      </w:r>
      <w:r w:rsidR="00C83845">
        <w:t>69</w:t>
      </w:r>
      <w:r w:rsidR="002F7657" w:rsidRPr="00B244A8">
        <w:t>0</w:t>
      </w:r>
      <w:r w:rsidR="002F7657">
        <w:t>–</w:t>
      </w:r>
      <w:r w:rsidR="002F7657" w:rsidRPr="00B244A8">
        <w:t>2</w:t>
      </w:r>
      <w:r w:rsidR="00C83845">
        <w:t>70</w:t>
      </w:r>
      <w:r w:rsidR="002F7657" w:rsidRPr="00B244A8">
        <w:t>0</w:t>
      </w:r>
      <w:r w:rsidR="002F7657">
        <w:t xml:space="preserve"> MHz</w:t>
      </w:r>
    </w:p>
    <w:p w14:paraId="6189E80A" w14:textId="5C332C91" w:rsidR="00BC23C8" w:rsidRDefault="00BC23C8" w:rsidP="00BC23C8">
      <w:r w:rsidRPr="00BC23C8">
        <w:t>The existing unwanted emissions limits are defined as an EIRP based on requirements to protect adjacent services above 2690 MHz. The unwanted emission limits above 2690 MHz are less stringent than the limits below 2620 MHz, as they are only required to meet the -45 dBm/5MHz at an offset of 10 MHz. The ACMA initially proposed the following emission limits</w:t>
      </w:r>
      <w:r w:rsidR="003D0CD8">
        <w:t xml:space="preserve"> (offset from 2690 MHz):</w:t>
      </w:r>
    </w:p>
    <w:p w14:paraId="0744ED52" w14:textId="77F8178A" w:rsidR="00941EF8" w:rsidRPr="00552CB6" w:rsidRDefault="002F7657" w:rsidP="009F608C">
      <w:pPr>
        <w:pStyle w:val="Bulletlevel1"/>
        <w:rPr>
          <w:szCs w:val="20"/>
        </w:rPr>
      </w:pPr>
      <w:r w:rsidRPr="009F608C">
        <w:rPr>
          <w:sz w:val="20"/>
          <w:szCs w:val="20"/>
        </w:rPr>
        <w:t xml:space="preserve">Adopt 3GPP Category B option 1 </w:t>
      </w:r>
      <w:r w:rsidR="00941EF8" w:rsidRPr="009F608C">
        <w:rPr>
          <w:sz w:val="20"/>
          <w:szCs w:val="20"/>
        </w:rPr>
        <w:t>between 0 and 1 MH</w:t>
      </w:r>
      <w:r w:rsidR="00394A04" w:rsidRPr="009F608C">
        <w:rPr>
          <w:sz w:val="20"/>
          <w:szCs w:val="20"/>
        </w:rPr>
        <w:t>z</w:t>
      </w:r>
      <w:r w:rsidR="00941EF8" w:rsidRPr="009F608C">
        <w:rPr>
          <w:sz w:val="20"/>
          <w:szCs w:val="20"/>
        </w:rPr>
        <w:t xml:space="preserve"> </w:t>
      </w:r>
      <w:proofErr w:type="gramStart"/>
      <w:r w:rsidR="00941EF8" w:rsidRPr="009F608C">
        <w:rPr>
          <w:sz w:val="20"/>
          <w:szCs w:val="20"/>
        </w:rPr>
        <w:t>offset</w:t>
      </w:r>
      <w:r w:rsidR="00394A04" w:rsidRPr="009F608C">
        <w:rPr>
          <w:sz w:val="20"/>
          <w:szCs w:val="20"/>
        </w:rPr>
        <w:t>;</w:t>
      </w:r>
      <w:proofErr w:type="gramEnd"/>
    </w:p>
    <w:p w14:paraId="4E20DCE8" w14:textId="6E8CE042" w:rsidR="00394A04" w:rsidRPr="00552CB6" w:rsidRDefault="00311942" w:rsidP="009F608C">
      <w:pPr>
        <w:pStyle w:val="Bulletlevel1"/>
        <w:rPr>
          <w:szCs w:val="20"/>
        </w:rPr>
      </w:pPr>
      <w:r w:rsidRPr="009F608C">
        <w:rPr>
          <w:sz w:val="20"/>
          <w:szCs w:val="20"/>
        </w:rPr>
        <w:t>adopt</w:t>
      </w:r>
      <w:r w:rsidR="00BC7662" w:rsidRPr="009F608C">
        <w:rPr>
          <w:sz w:val="20"/>
          <w:szCs w:val="20"/>
        </w:rPr>
        <w:t xml:space="preserve"> a slope </w:t>
      </w:r>
      <w:r w:rsidRPr="009F608C">
        <w:rPr>
          <w:sz w:val="20"/>
          <w:szCs w:val="20"/>
        </w:rPr>
        <w:t>transitioning</w:t>
      </w:r>
      <w:r w:rsidR="00BC7662" w:rsidRPr="009F608C">
        <w:rPr>
          <w:sz w:val="20"/>
          <w:szCs w:val="20"/>
        </w:rPr>
        <w:t xml:space="preserve"> from 3GPP Category B option 1 emission limits </w:t>
      </w:r>
      <w:r w:rsidRPr="009F608C">
        <w:rPr>
          <w:sz w:val="20"/>
          <w:szCs w:val="20"/>
        </w:rPr>
        <w:t xml:space="preserve">at 1 MHz </w:t>
      </w:r>
      <w:r w:rsidR="00955786" w:rsidRPr="009F608C">
        <w:rPr>
          <w:sz w:val="20"/>
          <w:szCs w:val="20"/>
        </w:rPr>
        <w:t xml:space="preserve">offset </w:t>
      </w:r>
      <w:r w:rsidRPr="009F608C">
        <w:rPr>
          <w:sz w:val="20"/>
          <w:szCs w:val="20"/>
        </w:rPr>
        <w:t xml:space="preserve">to </w:t>
      </w:r>
      <w:r w:rsidR="00394A04" w:rsidRPr="009F608C">
        <w:rPr>
          <w:sz w:val="20"/>
          <w:szCs w:val="20"/>
        </w:rPr>
        <w:t xml:space="preserve">the existing emission limits at </w:t>
      </w:r>
      <w:r w:rsidR="003641EA" w:rsidRPr="009F608C">
        <w:rPr>
          <w:sz w:val="20"/>
          <w:szCs w:val="20"/>
        </w:rPr>
        <w:t>5</w:t>
      </w:r>
      <w:r w:rsidR="00394A04" w:rsidRPr="009F608C">
        <w:rPr>
          <w:sz w:val="20"/>
          <w:szCs w:val="20"/>
        </w:rPr>
        <w:t xml:space="preserve"> MHz</w:t>
      </w:r>
      <w:r w:rsidR="00955786" w:rsidRPr="009F608C">
        <w:rPr>
          <w:sz w:val="20"/>
          <w:szCs w:val="20"/>
        </w:rPr>
        <w:t xml:space="preserve"> offset;</w:t>
      </w:r>
      <w:r w:rsidR="00394A04" w:rsidRPr="009F608C">
        <w:rPr>
          <w:sz w:val="20"/>
          <w:szCs w:val="20"/>
        </w:rPr>
        <w:t xml:space="preserve"> </w:t>
      </w:r>
      <w:r w:rsidR="0039094E" w:rsidRPr="009F608C">
        <w:rPr>
          <w:sz w:val="20"/>
          <w:szCs w:val="20"/>
        </w:rPr>
        <w:t>and</w:t>
      </w:r>
    </w:p>
    <w:p w14:paraId="6ABFA53C" w14:textId="5DD64537" w:rsidR="00BC7662" w:rsidRPr="00552CB6" w:rsidRDefault="00394A04" w:rsidP="009F608C">
      <w:pPr>
        <w:pStyle w:val="Bulletlevel1last"/>
        <w:rPr>
          <w:szCs w:val="20"/>
        </w:rPr>
      </w:pPr>
      <w:r w:rsidRPr="009F608C">
        <w:rPr>
          <w:sz w:val="20"/>
          <w:szCs w:val="20"/>
        </w:rPr>
        <w:t xml:space="preserve">maintain the existing </w:t>
      </w:r>
      <w:r w:rsidR="00955786" w:rsidRPr="009F608C">
        <w:rPr>
          <w:sz w:val="20"/>
          <w:szCs w:val="20"/>
        </w:rPr>
        <w:t>emission</w:t>
      </w:r>
      <w:r w:rsidRPr="009F608C">
        <w:rPr>
          <w:sz w:val="20"/>
          <w:szCs w:val="20"/>
        </w:rPr>
        <w:t xml:space="preserve"> limits from </w:t>
      </w:r>
      <w:r w:rsidR="0039094E" w:rsidRPr="009F608C">
        <w:rPr>
          <w:sz w:val="20"/>
          <w:szCs w:val="20"/>
        </w:rPr>
        <w:t>5</w:t>
      </w:r>
      <w:r w:rsidRPr="009F608C">
        <w:rPr>
          <w:sz w:val="20"/>
          <w:szCs w:val="20"/>
        </w:rPr>
        <w:t xml:space="preserve"> MHz to 10 MHz</w:t>
      </w:r>
      <w:r w:rsidR="00955786" w:rsidRPr="009F608C">
        <w:rPr>
          <w:sz w:val="20"/>
          <w:szCs w:val="20"/>
        </w:rPr>
        <w:t xml:space="preserve"> offset.</w:t>
      </w:r>
    </w:p>
    <w:p w14:paraId="454E7F85" w14:textId="71C98149" w:rsidR="005F447D" w:rsidRDefault="005F447D" w:rsidP="008561DC">
      <w:r>
        <w:t>The ACMA discussed with a TLG member the ability to reduce the transition between the 3GPP limit at 1 MHz and the existing limit. The TLG member indicated that this transition could be reduced to a transition between 1 MHz and 3 MHz offsets</w:t>
      </w:r>
      <w:r w:rsidR="00CE0F34">
        <w:t>.</w:t>
      </w:r>
    </w:p>
    <w:p w14:paraId="79C10B87" w14:textId="47A786E6" w:rsidR="00E0248C" w:rsidRDefault="00E0248C" w:rsidP="008561DC">
      <w:r>
        <w:t xml:space="preserve">The TLG members agreed to </w:t>
      </w:r>
      <w:r w:rsidR="00E32B75">
        <w:t>the proposed limits with the transition between 1 MHz and 3 MHz offsets</w:t>
      </w:r>
      <w:r w:rsidR="00E15FF9">
        <w:t>,</w:t>
      </w:r>
      <w:r w:rsidR="00E15FF9" w:rsidRPr="006D268E">
        <w:t xml:space="preserve"> </w:t>
      </w:r>
      <w:r w:rsidR="00E15FF9">
        <w:t>noting that AMTA proposed</w:t>
      </w:r>
      <w:r w:rsidR="00E15FF9" w:rsidRPr="006D268E">
        <w:t xml:space="preserve"> that greater alignment with 3GPP could be achieved for the renewed spectrum licences post-2029</w:t>
      </w:r>
      <w:r w:rsidR="00E32B75">
        <w:t>.</w:t>
      </w:r>
      <w:r w:rsidR="00FE718A">
        <w:t xml:space="preserve"> A comparison between the </w:t>
      </w:r>
      <w:r w:rsidR="00B026DA" w:rsidRPr="00B026DA">
        <w:t xml:space="preserve">existing unwanted emissions limits </w:t>
      </w:r>
      <w:r w:rsidR="00B026DA">
        <w:t>above</w:t>
      </w:r>
      <w:r w:rsidR="00B026DA" w:rsidRPr="00B026DA">
        <w:t xml:space="preserve"> </w:t>
      </w:r>
      <w:r w:rsidR="00B026DA">
        <w:t>2690</w:t>
      </w:r>
      <w:r w:rsidR="00B026DA" w:rsidRPr="00B026DA">
        <w:t xml:space="preserve"> MHz (amended from EIRP to conducted power for comparison purposes) </w:t>
      </w:r>
      <w:r w:rsidR="00B026DA">
        <w:t xml:space="preserve">and </w:t>
      </w:r>
      <w:r w:rsidR="00D63022">
        <w:t>the proposed emission limits are shown</w:t>
      </w:r>
      <w:r w:rsidR="00B026DA" w:rsidRPr="00B026DA">
        <w:t xml:space="preserve"> in Figure 1. </w:t>
      </w:r>
    </w:p>
    <w:p w14:paraId="113FEBD0" w14:textId="6D3DCA06" w:rsidR="004E3145" w:rsidRDefault="004E3145" w:rsidP="004E3145">
      <w:pPr>
        <w:pStyle w:val="Figureheading"/>
        <w:spacing w:line="240" w:lineRule="atLeast"/>
      </w:pPr>
      <w:r>
        <w:lastRenderedPageBreak/>
        <w:t>Unwanted emission limits comparison between 2690 MHz - 2700 MHz for upper band devices</w:t>
      </w:r>
    </w:p>
    <w:p w14:paraId="0AE6C9FB" w14:textId="5DADC9A4" w:rsidR="00D63022" w:rsidRDefault="005C7DF7" w:rsidP="00F47C4F">
      <w:pPr>
        <w:pStyle w:val="ListBullet"/>
        <w:numPr>
          <w:ilvl w:val="0"/>
          <w:numId w:val="0"/>
        </w:numPr>
      </w:pPr>
      <w:r>
        <w:rPr>
          <w:noProof/>
        </w:rPr>
        <w:drawing>
          <wp:inline distT="0" distB="0" distL="0" distR="0" wp14:anchorId="13470F6E" wp14:editId="7B10CD0A">
            <wp:extent cx="5400000" cy="3519719"/>
            <wp:effectExtent l="0" t="0" r="0" b="5080"/>
            <wp:docPr id="178672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00000" cy="3519719"/>
                    </a:xfrm>
                    <a:prstGeom prst="rect">
                      <a:avLst/>
                    </a:prstGeom>
                    <a:noFill/>
                  </pic:spPr>
                </pic:pic>
              </a:graphicData>
            </a:graphic>
          </wp:inline>
        </w:drawing>
      </w:r>
    </w:p>
    <w:p w14:paraId="09F7DD53" w14:textId="77777777" w:rsidR="00E32B75" w:rsidRDefault="00E32B75" w:rsidP="00F47C4F">
      <w:pPr>
        <w:pStyle w:val="ListBullet"/>
        <w:numPr>
          <w:ilvl w:val="0"/>
          <w:numId w:val="0"/>
        </w:numPr>
      </w:pPr>
    </w:p>
    <w:p w14:paraId="3A1E41DC" w14:textId="3AFB0932" w:rsidR="00394A04" w:rsidRDefault="00955786" w:rsidP="00F47C4F">
      <w:pPr>
        <w:pStyle w:val="ListBullet"/>
        <w:numPr>
          <w:ilvl w:val="0"/>
          <w:numId w:val="0"/>
        </w:numPr>
      </w:pPr>
      <w:r w:rsidRPr="008561DC">
        <w:t xml:space="preserve">These limits will be </w:t>
      </w:r>
      <w:r w:rsidR="00301833" w:rsidRPr="008561DC">
        <w:t xml:space="preserve">specified </w:t>
      </w:r>
      <w:r w:rsidR="00394A04" w:rsidRPr="008561DC">
        <w:t>for both non AAS (specified as a conducted power) and AAS (TRP).</w:t>
      </w:r>
      <w:r w:rsidR="00160D08" w:rsidRPr="008561DC">
        <w:t xml:space="preserve"> See Table 3 for non-AAS limits and Table 4 for AAS limits</w:t>
      </w:r>
      <w:r w:rsidR="00160D08">
        <w:t>.</w:t>
      </w:r>
    </w:p>
    <w:p w14:paraId="429847FA" w14:textId="77777777" w:rsidR="002615DC" w:rsidRDefault="002615DC" w:rsidP="00F47C4F">
      <w:pPr>
        <w:pStyle w:val="ListBullet"/>
        <w:numPr>
          <w:ilvl w:val="0"/>
          <w:numId w:val="0"/>
        </w:numPr>
      </w:pPr>
    </w:p>
    <w:p w14:paraId="47E17A33" w14:textId="7FFA5632" w:rsidR="000836F1" w:rsidRDefault="000836F1" w:rsidP="000836F1">
      <w:pPr>
        <w:pStyle w:val="ACMATableHeader"/>
        <w:keepNext/>
        <w:keepLines/>
        <w:spacing w:line="240" w:lineRule="atLeast"/>
      </w:pPr>
      <w:r>
        <w:rPr>
          <w:rFonts w:cs="Arial"/>
        </w:rPr>
        <w:t>U</w:t>
      </w:r>
      <w:r w:rsidRPr="007D04B2">
        <w:rPr>
          <w:rFonts w:cs="Arial"/>
        </w:rPr>
        <w:t>nwanted emission limits</w:t>
      </w:r>
      <w:r>
        <w:rPr>
          <w:rFonts w:cs="Arial"/>
        </w:rPr>
        <w:t xml:space="preserve"> in 26</w:t>
      </w:r>
      <w:r w:rsidR="00621CDF">
        <w:rPr>
          <w:rFonts w:cs="Arial"/>
        </w:rPr>
        <w:t>90</w:t>
      </w:r>
      <w:r>
        <w:rPr>
          <w:rFonts w:cs="Arial"/>
        </w:rPr>
        <w:t xml:space="preserve"> MHz to </w:t>
      </w:r>
      <w:r w:rsidR="00621CDF">
        <w:rPr>
          <w:rFonts w:cs="Arial"/>
        </w:rPr>
        <w:t>2700</w:t>
      </w:r>
      <w:r>
        <w:rPr>
          <w:rFonts w:cs="Arial"/>
        </w:rPr>
        <w:t xml:space="preserve"> MHz for transmitters operating in the upper 2.5 GHz band </w:t>
      </w:r>
      <w:r w:rsidRPr="007D04B2">
        <w:rPr>
          <w:rFonts w:cs="Arial"/>
        </w:rPr>
        <w:t>–</w:t>
      </w:r>
      <w:r>
        <w:rPr>
          <w:rFonts w:cs="Arial"/>
        </w:rPr>
        <w:t xml:space="preserve"> non-AAS </w:t>
      </w:r>
      <w:r w:rsidRPr="007D04B2">
        <w:rPr>
          <w:rFonts w:cs="Arial"/>
        </w:rPr>
        <w:t>devices</w:t>
      </w:r>
    </w:p>
    <w:tbl>
      <w:tblPr>
        <w:tblStyle w:val="TableGrid"/>
        <w:tblW w:w="7792" w:type="dxa"/>
        <w:jc w:val="center"/>
        <w:tblLook w:val="04A0" w:firstRow="1" w:lastRow="0" w:firstColumn="1" w:lastColumn="0" w:noHBand="0" w:noVBand="1"/>
      </w:tblPr>
      <w:tblGrid>
        <w:gridCol w:w="2972"/>
        <w:gridCol w:w="3260"/>
        <w:gridCol w:w="1560"/>
      </w:tblGrid>
      <w:tr w:rsidR="000836F1" w:rsidRPr="008C4645" w14:paraId="41A69769" w14:textId="77777777">
        <w:trPr>
          <w:jc w:val="center"/>
        </w:trPr>
        <w:tc>
          <w:tcPr>
            <w:tcW w:w="2972" w:type="dxa"/>
            <w:shd w:val="clear" w:color="auto" w:fill="404040" w:themeFill="text1" w:themeFillTint="BF"/>
          </w:tcPr>
          <w:p w14:paraId="3019DFE1" w14:textId="32C56484" w:rsidR="000836F1" w:rsidRPr="008C4645" w:rsidRDefault="000836F1">
            <w:pPr>
              <w:keepNext/>
              <w:keepLines/>
              <w:spacing w:after="0"/>
              <w:contextualSpacing/>
              <w:jc w:val="center"/>
              <w:rPr>
                <w:rFonts w:cs="Arial"/>
                <w:b/>
                <w:color w:val="FFFFFF" w:themeColor="background1"/>
              </w:rPr>
            </w:pPr>
            <w:r w:rsidRPr="008C4645">
              <w:rPr>
                <w:rFonts w:cs="Arial"/>
                <w:b/>
                <w:color w:val="FFFFFF" w:themeColor="background1"/>
              </w:rPr>
              <w:t xml:space="preserve">Frequency offset from </w:t>
            </w:r>
            <w:r w:rsidR="00E1312F">
              <w:rPr>
                <w:rFonts w:cs="Arial"/>
                <w:b/>
                <w:color w:val="FFFFFF" w:themeColor="background1"/>
              </w:rPr>
              <w:t>2690 MHz</w:t>
            </w:r>
            <w:r w:rsidRPr="00452A31">
              <w:rPr>
                <w:rFonts w:cs="Arial"/>
                <w:b/>
                <w:color w:val="FFFFFF" w:themeColor="background1"/>
              </w:rPr>
              <w:t xml:space="preserve"> (</w:t>
            </w:r>
            <w:proofErr w:type="spellStart"/>
            <w:r w:rsidRPr="00452A31">
              <w:rPr>
                <w:rFonts w:cs="Arial"/>
                <w:b/>
                <w:color w:val="FFFFFF" w:themeColor="background1"/>
              </w:rPr>
              <w:t>f</w:t>
            </w:r>
            <w:r w:rsidRPr="00452A31">
              <w:rPr>
                <w:rFonts w:cs="Arial"/>
                <w:b/>
                <w:color w:val="FFFFFF" w:themeColor="background1"/>
                <w:vertAlign w:val="subscript"/>
              </w:rPr>
              <w:t>offset</w:t>
            </w:r>
            <w:proofErr w:type="spellEnd"/>
            <w:r w:rsidRPr="00452A31">
              <w:rPr>
                <w:rFonts w:cs="Arial"/>
                <w:b/>
                <w:color w:val="FFFFFF" w:themeColor="background1"/>
              </w:rPr>
              <w:t>)</w:t>
            </w:r>
          </w:p>
        </w:tc>
        <w:tc>
          <w:tcPr>
            <w:tcW w:w="3260" w:type="dxa"/>
            <w:shd w:val="clear" w:color="auto" w:fill="404040" w:themeFill="text1" w:themeFillTint="BF"/>
          </w:tcPr>
          <w:p w14:paraId="6BAE7D0C" w14:textId="77777777" w:rsidR="000836F1" w:rsidRPr="008C4645" w:rsidRDefault="000836F1">
            <w:pPr>
              <w:keepNext/>
              <w:keepLines/>
              <w:spacing w:after="0"/>
              <w:contextualSpacing/>
              <w:jc w:val="center"/>
              <w:rPr>
                <w:rFonts w:cs="Arial"/>
                <w:b/>
                <w:color w:val="FFFFFF" w:themeColor="background1"/>
              </w:rPr>
            </w:pPr>
            <w:r w:rsidRPr="008C4645">
              <w:rPr>
                <w:rFonts w:cs="Arial"/>
                <w:b/>
                <w:color w:val="FFFFFF" w:themeColor="background1"/>
              </w:rPr>
              <w:t>Mean power (dBm) per transmitter</w:t>
            </w:r>
            <w:r>
              <w:rPr>
                <w:rFonts w:cs="Arial"/>
                <w:b/>
                <w:color w:val="FFFFFF" w:themeColor="background1"/>
              </w:rPr>
              <w:t xml:space="preserve"> port</w:t>
            </w:r>
          </w:p>
        </w:tc>
        <w:tc>
          <w:tcPr>
            <w:tcW w:w="1560" w:type="dxa"/>
            <w:shd w:val="clear" w:color="auto" w:fill="404040" w:themeFill="text1" w:themeFillTint="BF"/>
          </w:tcPr>
          <w:p w14:paraId="20002C0C" w14:textId="77777777" w:rsidR="000836F1" w:rsidRPr="008C4645" w:rsidRDefault="000836F1">
            <w:pPr>
              <w:keepNext/>
              <w:keepLines/>
              <w:spacing w:after="0"/>
              <w:contextualSpacing/>
              <w:jc w:val="center"/>
              <w:rPr>
                <w:rFonts w:cs="Arial"/>
                <w:b/>
                <w:color w:val="FFFFFF" w:themeColor="background1"/>
              </w:rPr>
            </w:pPr>
            <w:r w:rsidRPr="008C4645">
              <w:rPr>
                <w:rFonts w:cs="Arial"/>
                <w:b/>
                <w:color w:val="FFFFFF" w:themeColor="background1"/>
              </w:rPr>
              <w:t>Measurement bandwidth</w:t>
            </w:r>
          </w:p>
        </w:tc>
      </w:tr>
      <w:tr w:rsidR="000836F1" w:rsidRPr="008C4645" w14:paraId="32081A33" w14:textId="77777777">
        <w:trPr>
          <w:jc w:val="center"/>
        </w:trPr>
        <w:tc>
          <w:tcPr>
            <w:tcW w:w="2972" w:type="dxa"/>
            <w:vAlign w:val="center"/>
          </w:tcPr>
          <w:p w14:paraId="2F0B62D3" w14:textId="77777777" w:rsidR="000836F1" w:rsidRPr="008C4645" w:rsidRDefault="000836F1">
            <w:pPr>
              <w:keepNext/>
              <w:keepLines/>
              <w:spacing w:after="0"/>
              <w:contextualSpacing/>
              <w:jc w:val="center"/>
              <w:rPr>
                <w:rFonts w:cs="Arial"/>
                <w:sz w:val="16"/>
                <w:szCs w:val="16"/>
                <w:u w:val="single"/>
              </w:rPr>
            </w:pPr>
            <w:r w:rsidRPr="008C4645">
              <w:rPr>
                <w:rFonts w:cs="Arial"/>
                <w:sz w:val="18"/>
                <w:szCs w:val="18"/>
              </w:rPr>
              <w:t>0 MHz</w:t>
            </w:r>
            <w:r w:rsidRPr="008C4645">
              <w:rPr>
                <w:rFonts w:cs="Arial"/>
                <w:spacing w:val="13"/>
                <w:sz w:val="18"/>
                <w:szCs w:val="18"/>
              </w:rPr>
              <w:t xml:space="preserve"> </w:t>
            </w:r>
            <w:r w:rsidRPr="008C4645">
              <w:rPr>
                <w:rFonts w:cs="Arial"/>
              </w:rPr>
              <w:t xml:space="preserve">≤ </w:t>
            </w:r>
            <w:proofErr w:type="spellStart"/>
            <w:r w:rsidRPr="008C4645">
              <w:rPr>
                <w:rFonts w:cs="Arial"/>
                <w:sz w:val="18"/>
                <w:szCs w:val="18"/>
              </w:rPr>
              <w:t>f</w:t>
            </w:r>
            <w:r w:rsidRPr="008C4645">
              <w:rPr>
                <w:rFonts w:cs="Arial"/>
                <w:sz w:val="18"/>
                <w:szCs w:val="18"/>
                <w:vertAlign w:val="subscript"/>
              </w:rPr>
              <w:t>offset</w:t>
            </w:r>
            <w:proofErr w:type="spellEnd"/>
            <w:r w:rsidRPr="008C4645">
              <w:rPr>
                <w:rFonts w:cs="Arial"/>
                <w:spacing w:val="27"/>
                <w:position w:val="-1"/>
                <w:sz w:val="18"/>
                <w:szCs w:val="18"/>
              </w:rPr>
              <w:t xml:space="preserve"> </w:t>
            </w:r>
            <w:r w:rsidRPr="008C4645">
              <w:rPr>
                <w:rFonts w:cs="Arial"/>
              </w:rPr>
              <w:t>&lt;</w:t>
            </w:r>
            <w:r w:rsidRPr="008C4645">
              <w:rPr>
                <w:rFonts w:cs="Arial"/>
                <w:spacing w:val="1"/>
                <w:sz w:val="18"/>
                <w:szCs w:val="18"/>
              </w:rPr>
              <w:t xml:space="preserve"> </w:t>
            </w:r>
            <w:r>
              <w:rPr>
                <w:rFonts w:cs="Arial"/>
                <w:spacing w:val="1"/>
                <w:sz w:val="18"/>
                <w:szCs w:val="18"/>
              </w:rPr>
              <w:t>1</w:t>
            </w:r>
            <w:r w:rsidRPr="008C4645">
              <w:rPr>
                <w:rFonts w:cs="Arial"/>
                <w:spacing w:val="1"/>
                <w:sz w:val="18"/>
                <w:szCs w:val="18"/>
              </w:rPr>
              <w:t xml:space="preserve"> MHz</w:t>
            </w:r>
          </w:p>
        </w:tc>
        <w:tc>
          <w:tcPr>
            <w:tcW w:w="3260" w:type="dxa"/>
            <w:vAlign w:val="center"/>
          </w:tcPr>
          <w:p w14:paraId="62DAFDA9" w14:textId="77777777" w:rsidR="000836F1" w:rsidRPr="008C4645" w:rsidRDefault="000836F1">
            <w:pPr>
              <w:keepNext/>
              <w:keepLines/>
              <w:spacing w:after="0"/>
              <w:contextualSpacing/>
              <w:jc w:val="center"/>
              <w:rPr>
                <w:rFonts w:cs="Arial"/>
                <w:sz w:val="18"/>
                <w:szCs w:val="18"/>
                <w:vertAlign w:val="subscript"/>
              </w:rPr>
            </w:pPr>
            <m:oMathPara>
              <m:oMath>
                <m:r>
                  <w:rPr>
                    <w:rFonts w:ascii="Cambria Math" w:hAnsi="Cambria Math" w:cs="Arial"/>
                    <w:sz w:val="18"/>
                    <w:szCs w:val="18"/>
                    <w:vertAlign w:val="subscript"/>
                  </w:rPr>
                  <m:t>-7dBm-</m:t>
                </m:r>
                <m:f>
                  <m:fPr>
                    <m:ctrlPr>
                      <w:rPr>
                        <w:rFonts w:ascii="Cambria Math" w:hAnsi="Cambria Math" w:cs="Arial"/>
                        <w:i/>
                        <w:sz w:val="18"/>
                        <w:szCs w:val="18"/>
                        <w:vertAlign w:val="subscript"/>
                      </w:rPr>
                    </m:ctrlPr>
                  </m:fPr>
                  <m:num>
                    <m:r>
                      <w:rPr>
                        <w:rFonts w:ascii="Cambria Math" w:hAnsi="Cambria Math" w:cs="Arial"/>
                        <w:sz w:val="18"/>
                        <w:szCs w:val="18"/>
                        <w:vertAlign w:val="subscript"/>
                      </w:rPr>
                      <m:t>7</m:t>
                    </m:r>
                  </m:num>
                  <m:den>
                    <m:r>
                      <w:rPr>
                        <w:rFonts w:ascii="Cambria Math" w:hAnsi="Cambria Math" w:cs="Arial"/>
                        <w:sz w:val="18"/>
                        <w:szCs w:val="18"/>
                        <w:vertAlign w:val="subscript"/>
                      </w:rPr>
                      <m:t>5</m:t>
                    </m:r>
                  </m:den>
                </m:f>
                <m:d>
                  <m:dPr>
                    <m:ctrlPr>
                      <w:rPr>
                        <w:rFonts w:ascii="Cambria Math" w:hAnsi="Cambria Math" w:cs="Arial"/>
                        <w:i/>
                        <w:sz w:val="18"/>
                        <w:szCs w:val="18"/>
                        <w:vertAlign w:val="subscript"/>
                      </w:rPr>
                    </m:ctrlPr>
                  </m:dPr>
                  <m:e>
                    <m:f>
                      <m:fPr>
                        <m:ctrlPr>
                          <w:rPr>
                            <w:rFonts w:ascii="Cambria Math" w:hAnsi="Cambria Math" w:cs="Arial"/>
                            <w:i/>
                            <w:sz w:val="18"/>
                            <w:szCs w:val="18"/>
                            <w:vertAlign w:val="subscript"/>
                          </w:rPr>
                        </m:ctrlPr>
                      </m:fPr>
                      <m:num>
                        <m:sSub>
                          <m:sSubPr>
                            <m:ctrlPr>
                              <w:rPr>
                                <w:rFonts w:ascii="Cambria Math" w:hAnsi="Cambria Math" w:cs="Arial"/>
                                <w:i/>
                                <w:sz w:val="18"/>
                                <w:szCs w:val="18"/>
                                <w:vertAlign w:val="subscript"/>
                              </w:rPr>
                            </m:ctrlPr>
                          </m:sSubPr>
                          <m:e>
                            <m:r>
                              <w:rPr>
                                <w:rFonts w:ascii="Cambria Math" w:hAnsi="Cambria Math" w:cs="Arial"/>
                                <w:sz w:val="18"/>
                                <w:szCs w:val="18"/>
                                <w:vertAlign w:val="subscript"/>
                              </w:rPr>
                              <m:t>f</m:t>
                            </m:r>
                          </m:e>
                          <m:sub>
                            <m:r>
                              <w:rPr>
                                <w:rFonts w:ascii="Cambria Math" w:hAnsi="Cambria Math" w:cs="Arial"/>
                                <w:sz w:val="18"/>
                                <w:szCs w:val="18"/>
                                <w:vertAlign w:val="subscript"/>
                              </w:rPr>
                              <m:t>offset</m:t>
                            </m:r>
                          </m:sub>
                        </m:sSub>
                      </m:num>
                      <m:den>
                        <m:r>
                          <w:rPr>
                            <w:rFonts w:ascii="Cambria Math" w:hAnsi="Cambria Math" w:cs="Arial"/>
                            <w:sz w:val="18"/>
                            <w:szCs w:val="18"/>
                            <w:vertAlign w:val="subscript"/>
                          </w:rPr>
                          <m:t>MHz</m:t>
                        </m:r>
                      </m:den>
                    </m:f>
                    <m:r>
                      <w:rPr>
                        <w:rFonts w:ascii="Cambria Math" w:hAnsi="Cambria Math" w:cs="Arial"/>
                        <w:sz w:val="18"/>
                        <w:szCs w:val="18"/>
                        <w:vertAlign w:val="subscript"/>
                      </w:rPr>
                      <m:t>-0.05</m:t>
                    </m:r>
                  </m:e>
                </m:d>
                <m:r>
                  <w:rPr>
                    <w:rFonts w:ascii="Cambria Math" w:hAnsi="Cambria Math" w:cs="Arial"/>
                    <w:sz w:val="18"/>
                    <w:szCs w:val="18"/>
                    <w:vertAlign w:val="subscript"/>
                  </w:rPr>
                  <m:t>dB</m:t>
                </m:r>
              </m:oMath>
            </m:oMathPara>
          </w:p>
        </w:tc>
        <w:tc>
          <w:tcPr>
            <w:tcW w:w="1560" w:type="dxa"/>
            <w:vAlign w:val="center"/>
          </w:tcPr>
          <w:p w14:paraId="06422167" w14:textId="77777777" w:rsidR="000836F1" w:rsidRPr="008C4645" w:rsidRDefault="000836F1">
            <w:pPr>
              <w:keepNext/>
              <w:keepLines/>
              <w:spacing w:after="0"/>
              <w:contextualSpacing/>
              <w:jc w:val="center"/>
              <w:rPr>
                <w:rFonts w:cs="Arial"/>
                <w:sz w:val="18"/>
                <w:szCs w:val="18"/>
              </w:rPr>
            </w:pPr>
            <w:r w:rsidRPr="008C4645">
              <w:rPr>
                <w:rFonts w:cs="Arial"/>
                <w:sz w:val="18"/>
                <w:szCs w:val="18"/>
              </w:rPr>
              <w:t>100 kHz</w:t>
            </w:r>
          </w:p>
        </w:tc>
      </w:tr>
      <w:tr w:rsidR="000836F1" w:rsidRPr="008C4645" w14:paraId="2D2E6B7C" w14:textId="77777777">
        <w:trPr>
          <w:jc w:val="center"/>
        </w:trPr>
        <w:tc>
          <w:tcPr>
            <w:tcW w:w="2972" w:type="dxa"/>
            <w:shd w:val="clear" w:color="auto" w:fill="FFFFFF" w:themeFill="background1"/>
            <w:vAlign w:val="center"/>
          </w:tcPr>
          <w:p w14:paraId="7BE1EFB0" w14:textId="77777777" w:rsidR="000836F1" w:rsidRPr="008C4645" w:rsidRDefault="000836F1">
            <w:pPr>
              <w:keepNext/>
              <w:keepLines/>
              <w:spacing w:after="0"/>
              <w:contextualSpacing/>
              <w:jc w:val="center"/>
              <w:rPr>
                <w:rFonts w:cs="Arial"/>
                <w:sz w:val="18"/>
                <w:szCs w:val="18"/>
              </w:rPr>
            </w:pPr>
            <w:r w:rsidRPr="008C4645">
              <w:rPr>
                <w:rFonts w:cs="Arial"/>
                <w:sz w:val="18"/>
                <w:szCs w:val="18"/>
              </w:rPr>
              <w:t>1 MHz</w:t>
            </w:r>
            <w:r w:rsidRPr="008C4645">
              <w:rPr>
                <w:rFonts w:cs="Arial"/>
                <w:spacing w:val="13"/>
                <w:sz w:val="18"/>
                <w:szCs w:val="18"/>
              </w:rPr>
              <w:t xml:space="preserve"> </w:t>
            </w:r>
            <w:r w:rsidRPr="008C4645">
              <w:rPr>
                <w:rFonts w:cs="Arial"/>
              </w:rPr>
              <w:t>≤</w:t>
            </w:r>
            <w:r w:rsidRPr="008C4645">
              <w:rPr>
                <w:rFonts w:cs="Arial"/>
                <w:spacing w:val="11"/>
                <w:sz w:val="18"/>
                <w:szCs w:val="18"/>
                <w:u w:val="single" w:color="000000"/>
              </w:rPr>
              <w:t xml:space="preserve"> </w:t>
            </w:r>
            <w:proofErr w:type="spellStart"/>
            <w:r w:rsidRPr="008C4645">
              <w:rPr>
                <w:rFonts w:cs="Arial"/>
                <w:sz w:val="18"/>
                <w:szCs w:val="18"/>
              </w:rPr>
              <w:t>f</w:t>
            </w:r>
            <w:r w:rsidRPr="008C4645">
              <w:rPr>
                <w:rFonts w:cs="Arial"/>
                <w:sz w:val="18"/>
                <w:szCs w:val="18"/>
                <w:vertAlign w:val="subscript"/>
              </w:rPr>
              <w:t>offset</w:t>
            </w:r>
            <w:proofErr w:type="spellEnd"/>
            <w:r w:rsidRPr="008C4645">
              <w:rPr>
                <w:rFonts w:cs="Arial"/>
                <w:spacing w:val="27"/>
                <w:position w:val="-1"/>
                <w:sz w:val="18"/>
                <w:szCs w:val="18"/>
              </w:rPr>
              <w:t xml:space="preserve"> </w:t>
            </w:r>
            <w:r w:rsidRPr="003C03D5">
              <w:rPr>
                <w:rFonts w:cs="Arial"/>
              </w:rPr>
              <w:t>&lt;</w:t>
            </w:r>
            <w:r w:rsidRPr="003C03D5">
              <w:rPr>
                <w:rFonts w:cs="Arial"/>
                <w:spacing w:val="1"/>
                <w:sz w:val="18"/>
                <w:szCs w:val="18"/>
              </w:rPr>
              <w:t xml:space="preserve"> </w:t>
            </w:r>
            <w:r>
              <w:rPr>
                <w:rFonts w:cs="Arial"/>
                <w:spacing w:val="1"/>
                <w:sz w:val="18"/>
                <w:szCs w:val="18"/>
              </w:rPr>
              <w:t>3</w:t>
            </w:r>
            <w:r w:rsidRPr="003C03D5">
              <w:rPr>
                <w:rFonts w:cs="Arial"/>
                <w:spacing w:val="1"/>
                <w:sz w:val="18"/>
                <w:szCs w:val="18"/>
              </w:rPr>
              <w:t xml:space="preserve"> MHz</w:t>
            </w:r>
          </w:p>
        </w:tc>
        <w:tc>
          <w:tcPr>
            <w:tcW w:w="3260" w:type="dxa"/>
            <w:shd w:val="clear" w:color="auto" w:fill="FFFFFF" w:themeFill="background1"/>
            <w:vAlign w:val="center"/>
          </w:tcPr>
          <w:p w14:paraId="25B538FC" w14:textId="77777777" w:rsidR="000836F1" w:rsidRPr="008C4645" w:rsidRDefault="000836F1">
            <w:pPr>
              <w:keepNext/>
              <w:keepLines/>
              <w:spacing w:after="0"/>
              <w:contextualSpacing/>
              <w:jc w:val="center"/>
              <w:rPr>
                <w:rFonts w:cs="Arial"/>
                <w:sz w:val="18"/>
                <w:szCs w:val="18"/>
              </w:rPr>
            </w:pPr>
            <m:oMathPara>
              <m:oMath>
                <m:r>
                  <w:rPr>
                    <w:rFonts w:ascii="Cambria Math" w:hAnsi="Cambria Math" w:cs="Arial"/>
                    <w:sz w:val="18"/>
                    <w:szCs w:val="18"/>
                    <w:vertAlign w:val="subscript"/>
                  </w:rPr>
                  <m:t>-1.66 dBm-7.12</m:t>
                </m:r>
                <m:d>
                  <m:dPr>
                    <m:ctrlPr>
                      <w:rPr>
                        <w:rFonts w:ascii="Cambria Math" w:hAnsi="Cambria Math" w:cs="Arial"/>
                        <w:i/>
                        <w:sz w:val="18"/>
                        <w:szCs w:val="18"/>
                        <w:vertAlign w:val="subscript"/>
                      </w:rPr>
                    </m:ctrlPr>
                  </m:dPr>
                  <m:e>
                    <m:f>
                      <m:fPr>
                        <m:ctrlPr>
                          <w:rPr>
                            <w:rFonts w:ascii="Cambria Math" w:hAnsi="Cambria Math" w:cs="Arial"/>
                            <w:i/>
                            <w:sz w:val="18"/>
                            <w:szCs w:val="18"/>
                            <w:vertAlign w:val="subscript"/>
                          </w:rPr>
                        </m:ctrlPr>
                      </m:fPr>
                      <m:num>
                        <m:sSub>
                          <m:sSubPr>
                            <m:ctrlPr>
                              <w:rPr>
                                <w:rFonts w:ascii="Cambria Math" w:hAnsi="Cambria Math" w:cs="Arial"/>
                                <w:i/>
                                <w:sz w:val="18"/>
                                <w:szCs w:val="18"/>
                                <w:vertAlign w:val="subscript"/>
                              </w:rPr>
                            </m:ctrlPr>
                          </m:sSubPr>
                          <m:e>
                            <m:r>
                              <w:rPr>
                                <w:rFonts w:ascii="Cambria Math" w:hAnsi="Cambria Math" w:cs="Arial"/>
                                <w:sz w:val="18"/>
                                <w:szCs w:val="18"/>
                                <w:vertAlign w:val="subscript"/>
                              </w:rPr>
                              <m:t>f</m:t>
                            </m:r>
                          </m:e>
                          <m:sub>
                            <m:r>
                              <w:rPr>
                                <w:rFonts w:ascii="Cambria Math" w:hAnsi="Cambria Math" w:cs="Arial"/>
                                <w:sz w:val="18"/>
                                <w:szCs w:val="18"/>
                                <w:vertAlign w:val="subscript"/>
                              </w:rPr>
                              <m:t>offset</m:t>
                            </m:r>
                          </m:sub>
                        </m:sSub>
                      </m:num>
                      <m:den>
                        <m:r>
                          <w:rPr>
                            <w:rFonts w:ascii="Cambria Math" w:hAnsi="Cambria Math" w:cs="Arial"/>
                            <w:sz w:val="18"/>
                            <w:szCs w:val="18"/>
                            <w:vertAlign w:val="subscript"/>
                          </w:rPr>
                          <m:t>MHz</m:t>
                        </m:r>
                      </m:den>
                    </m:f>
                    <m:r>
                      <w:rPr>
                        <w:rFonts w:ascii="Cambria Math" w:hAnsi="Cambria Math" w:cs="Arial"/>
                        <w:sz w:val="18"/>
                        <w:szCs w:val="18"/>
                        <w:vertAlign w:val="subscript"/>
                      </w:rPr>
                      <m:t>-0.05</m:t>
                    </m:r>
                  </m:e>
                </m:d>
                <m:r>
                  <w:rPr>
                    <w:rFonts w:ascii="Cambria Math" w:hAnsi="Cambria Math" w:cs="Arial"/>
                    <w:sz w:val="18"/>
                    <w:szCs w:val="18"/>
                    <w:vertAlign w:val="subscript"/>
                  </w:rPr>
                  <m:t>dB</m:t>
                </m:r>
              </m:oMath>
            </m:oMathPara>
          </w:p>
        </w:tc>
        <w:tc>
          <w:tcPr>
            <w:tcW w:w="1560" w:type="dxa"/>
            <w:shd w:val="clear" w:color="auto" w:fill="FFFFFF" w:themeFill="background1"/>
            <w:vAlign w:val="center"/>
          </w:tcPr>
          <w:p w14:paraId="3457F3BD" w14:textId="77777777" w:rsidR="000836F1" w:rsidRPr="008C4645" w:rsidRDefault="000836F1">
            <w:pPr>
              <w:keepNext/>
              <w:keepLines/>
              <w:spacing w:after="0"/>
              <w:contextualSpacing/>
              <w:jc w:val="center"/>
              <w:rPr>
                <w:rFonts w:cs="Arial"/>
                <w:sz w:val="18"/>
                <w:szCs w:val="18"/>
              </w:rPr>
            </w:pPr>
            <w:r w:rsidRPr="008C4645">
              <w:rPr>
                <w:rFonts w:cs="Arial"/>
                <w:sz w:val="18"/>
                <w:szCs w:val="18"/>
              </w:rPr>
              <w:t>100 kHz</w:t>
            </w:r>
          </w:p>
        </w:tc>
      </w:tr>
      <w:tr w:rsidR="000836F1" w:rsidRPr="008C4645" w14:paraId="1E7F15B8" w14:textId="77777777">
        <w:trPr>
          <w:trHeight w:val="466"/>
          <w:jc w:val="center"/>
        </w:trPr>
        <w:tc>
          <w:tcPr>
            <w:tcW w:w="2972" w:type="dxa"/>
            <w:shd w:val="clear" w:color="auto" w:fill="FFFFFF" w:themeFill="background1"/>
            <w:vAlign w:val="center"/>
          </w:tcPr>
          <w:p w14:paraId="68DE3502" w14:textId="77777777" w:rsidR="000836F1" w:rsidRPr="008C4645" w:rsidRDefault="000836F1">
            <w:pPr>
              <w:keepNext/>
              <w:keepLines/>
              <w:spacing w:after="0"/>
              <w:contextualSpacing/>
              <w:jc w:val="center"/>
              <w:rPr>
                <w:rFonts w:cs="Arial"/>
                <w:sz w:val="18"/>
                <w:szCs w:val="18"/>
              </w:rPr>
            </w:pPr>
            <w:r>
              <w:rPr>
                <w:rFonts w:cs="Arial"/>
                <w:sz w:val="18"/>
                <w:szCs w:val="18"/>
              </w:rPr>
              <w:t>3</w:t>
            </w:r>
            <w:r w:rsidRPr="008C4645">
              <w:rPr>
                <w:rFonts w:cs="Arial"/>
                <w:sz w:val="18"/>
                <w:szCs w:val="18"/>
              </w:rPr>
              <w:t xml:space="preserve"> MHz</w:t>
            </w:r>
            <w:r w:rsidRPr="008C4645">
              <w:rPr>
                <w:rFonts w:cs="Arial"/>
                <w:spacing w:val="13"/>
                <w:sz w:val="18"/>
                <w:szCs w:val="18"/>
              </w:rPr>
              <w:t xml:space="preserve"> </w:t>
            </w:r>
            <w:r w:rsidRPr="008C4645">
              <w:rPr>
                <w:rFonts w:cs="Arial"/>
              </w:rPr>
              <w:t>≤</w:t>
            </w:r>
            <w:r w:rsidRPr="008C4645">
              <w:rPr>
                <w:rFonts w:cs="Arial"/>
                <w:spacing w:val="11"/>
                <w:sz w:val="18"/>
                <w:szCs w:val="18"/>
                <w:u w:val="single" w:color="000000"/>
              </w:rPr>
              <w:t xml:space="preserve"> </w:t>
            </w:r>
            <w:proofErr w:type="spellStart"/>
            <w:r w:rsidRPr="008C4645">
              <w:rPr>
                <w:rFonts w:cs="Arial"/>
                <w:sz w:val="18"/>
                <w:szCs w:val="18"/>
              </w:rPr>
              <w:t>f</w:t>
            </w:r>
            <w:r w:rsidRPr="008C4645">
              <w:rPr>
                <w:rFonts w:cs="Arial"/>
                <w:sz w:val="18"/>
                <w:szCs w:val="18"/>
                <w:vertAlign w:val="subscript"/>
              </w:rPr>
              <w:t>offset</w:t>
            </w:r>
            <w:proofErr w:type="spellEnd"/>
            <w:r w:rsidRPr="008C4645">
              <w:rPr>
                <w:rFonts w:cs="Arial"/>
                <w:spacing w:val="27"/>
                <w:position w:val="-1"/>
                <w:sz w:val="18"/>
                <w:szCs w:val="18"/>
              </w:rPr>
              <w:t xml:space="preserve"> </w:t>
            </w:r>
            <w:r w:rsidRPr="003C03D5">
              <w:rPr>
                <w:rFonts w:cs="Arial"/>
              </w:rPr>
              <w:t>&lt;</w:t>
            </w:r>
            <w:r w:rsidRPr="003C03D5">
              <w:rPr>
                <w:rFonts w:cs="Arial"/>
                <w:spacing w:val="1"/>
                <w:sz w:val="18"/>
                <w:szCs w:val="18"/>
              </w:rPr>
              <w:t xml:space="preserve"> </w:t>
            </w:r>
            <w:r>
              <w:rPr>
                <w:rFonts w:cs="Arial"/>
                <w:spacing w:val="1"/>
                <w:sz w:val="18"/>
                <w:szCs w:val="18"/>
              </w:rPr>
              <w:t>10</w:t>
            </w:r>
            <w:r w:rsidRPr="003C03D5">
              <w:rPr>
                <w:rFonts w:cs="Arial"/>
                <w:spacing w:val="1"/>
                <w:sz w:val="18"/>
                <w:szCs w:val="18"/>
              </w:rPr>
              <w:t xml:space="preserve"> MHz</w:t>
            </w:r>
          </w:p>
        </w:tc>
        <w:tc>
          <w:tcPr>
            <w:tcW w:w="3260" w:type="dxa"/>
            <w:shd w:val="clear" w:color="auto" w:fill="FFFFFF" w:themeFill="background1"/>
            <w:vAlign w:val="center"/>
          </w:tcPr>
          <w:p w14:paraId="2FA47A13" w14:textId="77777777" w:rsidR="000836F1" w:rsidRPr="0023093F" w:rsidRDefault="000836F1">
            <w:pPr>
              <w:keepNext/>
              <w:keepLines/>
              <w:spacing w:after="0"/>
              <w:contextualSpacing/>
              <w:jc w:val="center"/>
              <w:rPr>
                <w:rFonts w:cs="Arial"/>
                <w:sz w:val="18"/>
                <w:szCs w:val="18"/>
              </w:rPr>
            </w:pPr>
            <w:r>
              <w:rPr>
                <w:rFonts w:cs="Arial"/>
                <w:sz w:val="18"/>
                <w:szCs w:val="18"/>
              </w:rPr>
              <w:t>-13</w:t>
            </w:r>
          </w:p>
        </w:tc>
        <w:tc>
          <w:tcPr>
            <w:tcW w:w="1560" w:type="dxa"/>
            <w:shd w:val="clear" w:color="auto" w:fill="FFFFFF" w:themeFill="background1"/>
            <w:vAlign w:val="center"/>
          </w:tcPr>
          <w:p w14:paraId="53EBF767" w14:textId="77777777" w:rsidR="000836F1" w:rsidRPr="008C4645" w:rsidRDefault="000836F1">
            <w:pPr>
              <w:keepNext/>
              <w:keepLines/>
              <w:spacing w:after="0"/>
              <w:contextualSpacing/>
              <w:jc w:val="center"/>
              <w:rPr>
                <w:rFonts w:cs="Arial"/>
                <w:sz w:val="18"/>
                <w:szCs w:val="18"/>
              </w:rPr>
            </w:pPr>
            <w:r>
              <w:rPr>
                <w:rFonts w:cs="Arial"/>
                <w:sz w:val="18"/>
                <w:szCs w:val="18"/>
              </w:rPr>
              <w:t>1 MHz</w:t>
            </w:r>
          </w:p>
        </w:tc>
      </w:tr>
    </w:tbl>
    <w:p w14:paraId="0C70EB85" w14:textId="77777777" w:rsidR="000836F1" w:rsidRDefault="000836F1" w:rsidP="000836F1">
      <w:pPr>
        <w:pStyle w:val="Spaceaftertable"/>
      </w:pPr>
    </w:p>
    <w:p w14:paraId="6307FF38" w14:textId="1015EA25" w:rsidR="000836F1" w:rsidRDefault="000836F1" w:rsidP="000836F1">
      <w:pPr>
        <w:pStyle w:val="ACMATableHeader"/>
        <w:keepNext/>
        <w:keepLines/>
        <w:spacing w:line="240" w:lineRule="atLeast"/>
      </w:pPr>
      <w:r>
        <w:rPr>
          <w:rFonts w:cs="Arial"/>
        </w:rPr>
        <w:lastRenderedPageBreak/>
        <w:t>U</w:t>
      </w:r>
      <w:r w:rsidRPr="007D04B2">
        <w:rPr>
          <w:rFonts w:cs="Arial"/>
        </w:rPr>
        <w:t>nwanted emission limits</w:t>
      </w:r>
      <w:r>
        <w:rPr>
          <w:rFonts w:cs="Arial"/>
        </w:rPr>
        <w:t xml:space="preserve"> in </w:t>
      </w:r>
      <w:r w:rsidR="00621CDF">
        <w:rPr>
          <w:rFonts w:cs="Arial"/>
        </w:rPr>
        <w:t xml:space="preserve">2690 MHz to 2700 MHz </w:t>
      </w:r>
      <w:r>
        <w:rPr>
          <w:rFonts w:cs="Arial"/>
        </w:rPr>
        <w:t xml:space="preserve">for transmitters operating in the upper 2.5 GHz band </w:t>
      </w:r>
      <w:r w:rsidRPr="007D04B2">
        <w:rPr>
          <w:rFonts w:cs="Arial"/>
        </w:rPr>
        <w:t>–</w:t>
      </w:r>
      <w:r>
        <w:rPr>
          <w:rFonts w:cs="Arial"/>
        </w:rPr>
        <w:t xml:space="preserve"> AAS </w:t>
      </w:r>
      <w:r w:rsidRPr="007D04B2">
        <w:rPr>
          <w:rFonts w:cs="Arial"/>
        </w:rPr>
        <w:t>devices</w:t>
      </w:r>
    </w:p>
    <w:tbl>
      <w:tblPr>
        <w:tblStyle w:val="TableGrid"/>
        <w:tblW w:w="7792" w:type="dxa"/>
        <w:jc w:val="center"/>
        <w:tblLook w:val="04A0" w:firstRow="1" w:lastRow="0" w:firstColumn="1" w:lastColumn="0" w:noHBand="0" w:noVBand="1"/>
      </w:tblPr>
      <w:tblGrid>
        <w:gridCol w:w="2972"/>
        <w:gridCol w:w="3260"/>
        <w:gridCol w:w="1560"/>
      </w:tblGrid>
      <w:tr w:rsidR="000836F1" w:rsidRPr="008C4645" w14:paraId="2DDCF6AF" w14:textId="77777777">
        <w:trPr>
          <w:jc w:val="center"/>
        </w:trPr>
        <w:tc>
          <w:tcPr>
            <w:tcW w:w="2972" w:type="dxa"/>
            <w:shd w:val="clear" w:color="auto" w:fill="404040" w:themeFill="text1" w:themeFillTint="BF"/>
          </w:tcPr>
          <w:p w14:paraId="44D6E022" w14:textId="18F0E144" w:rsidR="000836F1" w:rsidRPr="008C4645" w:rsidRDefault="000836F1">
            <w:pPr>
              <w:keepNext/>
              <w:keepLines/>
              <w:spacing w:after="0"/>
              <w:contextualSpacing/>
              <w:jc w:val="center"/>
              <w:rPr>
                <w:rFonts w:cs="Arial"/>
                <w:b/>
                <w:color w:val="FFFFFF" w:themeColor="background1"/>
              </w:rPr>
            </w:pPr>
            <w:r w:rsidRPr="008C4645">
              <w:rPr>
                <w:rFonts w:cs="Arial"/>
                <w:b/>
                <w:color w:val="FFFFFF" w:themeColor="background1"/>
              </w:rPr>
              <w:t xml:space="preserve">Frequency offset from </w:t>
            </w:r>
            <w:r w:rsidR="00D10860">
              <w:rPr>
                <w:rFonts w:cs="Arial"/>
                <w:b/>
                <w:color w:val="FFFFFF" w:themeColor="background1"/>
              </w:rPr>
              <w:t>2690 MHz</w:t>
            </w:r>
            <w:r w:rsidRPr="00452A31">
              <w:rPr>
                <w:rFonts w:cs="Arial"/>
                <w:b/>
                <w:color w:val="FFFFFF" w:themeColor="background1"/>
              </w:rPr>
              <w:t xml:space="preserve"> (</w:t>
            </w:r>
            <w:proofErr w:type="spellStart"/>
            <w:r w:rsidRPr="00452A31">
              <w:rPr>
                <w:rFonts w:cs="Arial"/>
                <w:b/>
                <w:color w:val="FFFFFF" w:themeColor="background1"/>
              </w:rPr>
              <w:t>f</w:t>
            </w:r>
            <w:r w:rsidRPr="00452A31">
              <w:rPr>
                <w:rFonts w:cs="Arial"/>
                <w:b/>
                <w:color w:val="FFFFFF" w:themeColor="background1"/>
                <w:vertAlign w:val="subscript"/>
              </w:rPr>
              <w:t>offset</w:t>
            </w:r>
            <w:proofErr w:type="spellEnd"/>
            <w:r w:rsidRPr="00452A31">
              <w:rPr>
                <w:rFonts w:cs="Arial"/>
                <w:b/>
                <w:color w:val="FFFFFF" w:themeColor="background1"/>
              </w:rPr>
              <w:t>)</w:t>
            </w:r>
          </w:p>
        </w:tc>
        <w:tc>
          <w:tcPr>
            <w:tcW w:w="3260" w:type="dxa"/>
            <w:shd w:val="clear" w:color="auto" w:fill="404040" w:themeFill="text1" w:themeFillTint="BF"/>
          </w:tcPr>
          <w:p w14:paraId="02615B90" w14:textId="44C3A9CF" w:rsidR="000836F1" w:rsidRPr="008C4645" w:rsidRDefault="000836F1">
            <w:pPr>
              <w:keepNext/>
              <w:keepLines/>
              <w:spacing w:after="0"/>
              <w:contextualSpacing/>
              <w:jc w:val="center"/>
              <w:rPr>
                <w:rFonts w:cs="Arial"/>
                <w:b/>
                <w:color w:val="FFFFFF" w:themeColor="background1"/>
              </w:rPr>
            </w:pPr>
            <w:r w:rsidRPr="00C63246">
              <w:rPr>
                <w:rFonts w:cs="Arial"/>
                <w:b/>
                <w:color w:val="FFFFFF" w:themeColor="background1"/>
              </w:rPr>
              <w:t xml:space="preserve">Total radiated power per </w:t>
            </w:r>
            <w:r w:rsidR="001064EB">
              <w:rPr>
                <w:rFonts w:cs="Arial"/>
                <w:b/>
                <w:color w:val="FFFFFF" w:themeColor="background1"/>
              </w:rPr>
              <w:t>cell/</w:t>
            </w:r>
            <w:r w:rsidRPr="00C63246">
              <w:rPr>
                <w:rFonts w:cs="Arial"/>
                <w:b/>
                <w:color w:val="FFFFFF" w:themeColor="background1"/>
              </w:rPr>
              <w:t>sector (dBm)</w:t>
            </w:r>
          </w:p>
        </w:tc>
        <w:tc>
          <w:tcPr>
            <w:tcW w:w="1560" w:type="dxa"/>
            <w:shd w:val="clear" w:color="auto" w:fill="404040" w:themeFill="text1" w:themeFillTint="BF"/>
          </w:tcPr>
          <w:p w14:paraId="6C02434E" w14:textId="77777777" w:rsidR="000836F1" w:rsidRPr="008C4645" w:rsidRDefault="000836F1">
            <w:pPr>
              <w:keepNext/>
              <w:keepLines/>
              <w:spacing w:after="0"/>
              <w:contextualSpacing/>
              <w:jc w:val="center"/>
              <w:rPr>
                <w:rFonts w:cs="Arial"/>
                <w:b/>
                <w:color w:val="FFFFFF" w:themeColor="background1"/>
              </w:rPr>
            </w:pPr>
            <w:r w:rsidRPr="008C4645">
              <w:rPr>
                <w:rFonts w:cs="Arial"/>
                <w:b/>
                <w:color w:val="FFFFFF" w:themeColor="background1"/>
              </w:rPr>
              <w:t>Measurement bandwidth</w:t>
            </w:r>
          </w:p>
        </w:tc>
      </w:tr>
      <w:tr w:rsidR="000836F1" w:rsidRPr="008C4645" w14:paraId="4A8330DD" w14:textId="77777777">
        <w:trPr>
          <w:jc w:val="center"/>
        </w:trPr>
        <w:tc>
          <w:tcPr>
            <w:tcW w:w="2972" w:type="dxa"/>
            <w:vAlign w:val="center"/>
          </w:tcPr>
          <w:p w14:paraId="10F05EFC" w14:textId="77777777" w:rsidR="000836F1" w:rsidRPr="008C4645" w:rsidRDefault="000836F1">
            <w:pPr>
              <w:keepNext/>
              <w:keepLines/>
              <w:spacing w:after="0"/>
              <w:contextualSpacing/>
              <w:jc w:val="center"/>
              <w:rPr>
                <w:rFonts w:cs="Arial"/>
                <w:sz w:val="16"/>
                <w:szCs w:val="16"/>
                <w:u w:val="single"/>
              </w:rPr>
            </w:pPr>
            <w:r w:rsidRPr="008C4645">
              <w:rPr>
                <w:rFonts w:cs="Arial"/>
                <w:sz w:val="18"/>
                <w:szCs w:val="18"/>
              </w:rPr>
              <w:t>0 MHz</w:t>
            </w:r>
            <w:r w:rsidRPr="008C4645">
              <w:rPr>
                <w:rFonts w:cs="Arial"/>
                <w:spacing w:val="13"/>
                <w:sz w:val="18"/>
                <w:szCs w:val="18"/>
              </w:rPr>
              <w:t xml:space="preserve"> </w:t>
            </w:r>
            <w:r w:rsidRPr="008C4645">
              <w:rPr>
                <w:rFonts w:cs="Arial"/>
              </w:rPr>
              <w:t xml:space="preserve">≤ </w:t>
            </w:r>
            <w:proofErr w:type="spellStart"/>
            <w:r w:rsidRPr="008C4645">
              <w:rPr>
                <w:rFonts w:cs="Arial"/>
                <w:sz w:val="18"/>
                <w:szCs w:val="18"/>
              </w:rPr>
              <w:t>f</w:t>
            </w:r>
            <w:r w:rsidRPr="008C4645">
              <w:rPr>
                <w:rFonts w:cs="Arial"/>
                <w:sz w:val="18"/>
                <w:szCs w:val="18"/>
                <w:vertAlign w:val="subscript"/>
              </w:rPr>
              <w:t>offset</w:t>
            </w:r>
            <w:proofErr w:type="spellEnd"/>
            <w:r w:rsidRPr="008C4645">
              <w:rPr>
                <w:rFonts w:cs="Arial"/>
                <w:spacing w:val="27"/>
                <w:position w:val="-1"/>
                <w:sz w:val="18"/>
                <w:szCs w:val="18"/>
              </w:rPr>
              <w:t xml:space="preserve"> </w:t>
            </w:r>
            <w:r w:rsidRPr="008C4645">
              <w:rPr>
                <w:rFonts w:cs="Arial"/>
              </w:rPr>
              <w:t>&lt;</w:t>
            </w:r>
            <w:r w:rsidRPr="008C4645">
              <w:rPr>
                <w:rFonts w:cs="Arial"/>
                <w:spacing w:val="1"/>
                <w:sz w:val="18"/>
                <w:szCs w:val="18"/>
              </w:rPr>
              <w:t xml:space="preserve"> </w:t>
            </w:r>
            <w:r>
              <w:rPr>
                <w:rFonts w:cs="Arial"/>
                <w:spacing w:val="1"/>
                <w:sz w:val="18"/>
                <w:szCs w:val="18"/>
              </w:rPr>
              <w:t>1</w:t>
            </w:r>
            <w:r w:rsidRPr="008C4645">
              <w:rPr>
                <w:rFonts w:cs="Arial"/>
                <w:spacing w:val="1"/>
                <w:sz w:val="18"/>
                <w:szCs w:val="18"/>
              </w:rPr>
              <w:t xml:space="preserve"> MHz</w:t>
            </w:r>
          </w:p>
        </w:tc>
        <w:tc>
          <w:tcPr>
            <w:tcW w:w="3260" w:type="dxa"/>
            <w:vAlign w:val="center"/>
          </w:tcPr>
          <w:p w14:paraId="7078A0FE" w14:textId="77777777" w:rsidR="000836F1" w:rsidRPr="008C4645" w:rsidRDefault="000836F1">
            <w:pPr>
              <w:keepNext/>
              <w:keepLines/>
              <w:spacing w:after="0"/>
              <w:contextualSpacing/>
              <w:jc w:val="center"/>
              <w:rPr>
                <w:rFonts w:cs="Arial"/>
                <w:sz w:val="18"/>
                <w:szCs w:val="18"/>
                <w:vertAlign w:val="subscript"/>
              </w:rPr>
            </w:pPr>
            <m:oMathPara>
              <m:oMath>
                <m:r>
                  <w:rPr>
                    <w:rFonts w:ascii="Cambria Math" w:hAnsi="Cambria Math" w:cs="Arial"/>
                    <w:sz w:val="18"/>
                    <w:szCs w:val="18"/>
                    <w:vertAlign w:val="subscript"/>
                  </w:rPr>
                  <m:t>2dBm-</m:t>
                </m:r>
                <m:f>
                  <m:fPr>
                    <m:ctrlPr>
                      <w:rPr>
                        <w:rFonts w:ascii="Cambria Math" w:hAnsi="Cambria Math" w:cs="Arial"/>
                        <w:i/>
                        <w:sz w:val="18"/>
                        <w:szCs w:val="18"/>
                        <w:vertAlign w:val="subscript"/>
                      </w:rPr>
                    </m:ctrlPr>
                  </m:fPr>
                  <m:num>
                    <m:r>
                      <w:rPr>
                        <w:rFonts w:ascii="Cambria Math" w:hAnsi="Cambria Math" w:cs="Arial"/>
                        <w:sz w:val="18"/>
                        <w:szCs w:val="18"/>
                        <w:vertAlign w:val="subscript"/>
                      </w:rPr>
                      <m:t>7</m:t>
                    </m:r>
                  </m:num>
                  <m:den>
                    <m:r>
                      <w:rPr>
                        <w:rFonts w:ascii="Cambria Math" w:hAnsi="Cambria Math" w:cs="Arial"/>
                        <w:sz w:val="18"/>
                        <w:szCs w:val="18"/>
                        <w:vertAlign w:val="subscript"/>
                      </w:rPr>
                      <m:t>5</m:t>
                    </m:r>
                  </m:den>
                </m:f>
                <m:d>
                  <m:dPr>
                    <m:ctrlPr>
                      <w:rPr>
                        <w:rFonts w:ascii="Cambria Math" w:hAnsi="Cambria Math" w:cs="Arial"/>
                        <w:i/>
                        <w:sz w:val="18"/>
                        <w:szCs w:val="18"/>
                        <w:vertAlign w:val="subscript"/>
                      </w:rPr>
                    </m:ctrlPr>
                  </m:dPr>
                  <m:e>
                    <m:f>
                      <m:fPr>
                        <m:ctrlPr>
                          <w:rPr>
                            <w:rFonts w:ascii="Cambria Math" w:hAnsi="Cambria Math" w:cs="Arial"/>
                            <w:i/>
                            <w:sz w:val="18"/>
                            <w:szCs w:val="18"/>
                            <w:vertAlign w:val="subscript"/>
                          </w:rPr>
                        </m:ctrlPr>
                      </m:fPr>
                      <m:num>
                        <m:sSub>
                          <m:sSubPr>
                            <m:ctrlPr>
                              <w:rPr>
                                <w:rFonts w:ascii="Cambria Math" w:hAnsi="Cambria Math" w:cs="Arial"/>
                                <w:i/>
                                <w:sz w:val="18"/>
                                <w:szCs w:val="18"/>
                                <w:vertAlign w:val="subscript"/>
                              </w:rPr>
                            </m:ctrlPr>
                          </m:sSubPr>
                          <m:e>
                            <m:r>
                              <w:rPr>
                                <w:rFonts w:ascii="Cambria Math" w:hAnsi="Cambria Math" w:cs="Arial"/>
                                <w:sz w:val="18"/>
                                <w:szCs w:val="18"/>
                                <w:vertAlign w:val="subscript"/>
                              </w:rPr>
                              <m:t>f</m:t>
                            </m:r>
                          </m:e>
                          <m:sub>
                            <m:r>
                              <w:rPr>
                                <w:rFonts w:ascii="Cambria Math" w:hAnsi="Cambria Math" w:cs="Arial"/>
                                <w:sz w:val="18"/>
                                <w:szCs w:val="18"/>
                                <w:vertAlign w:val="subscript"/>
                              </w:rPr>
                              <m:t>offset</m:t>
                            </m:r>
                          </m:sub>
                        </m:sSub>
                      </m:num>
                      <m:den>
                        <m:r>
                          <w:rPr>
                            <w:rFonts w:ascii="Cambria Math" w:hAnsi="Cambria Math" w:cs="Arial"/>
                            <w:sz w:val="18"/>
                            <w:szCs w:val="18"/>
                            <w:vertAlign w:val="subscript"/>
                          </w:rPr>
                          <m:t>MHz</m:t>
                        </m:r>
                      </m:den>
                    </m:f>
                    <m:r>
                      <w:rPr>
                        <w:rFonts w:ascii="Cambria Math" w:hAnsi="Cambria Math" w:cs="Arial"/>
                        <w:sz w:val="18"/>
                        <w:szCs w:val="18"/>
                        <w:vertAlign w:val="subscript"/>
                      </w:rPr>
                      <m:t>-0.05</m:t>
                    </m:r>
                  </m:e>
                </m:d>
                <m:r>
                  <w:rPr>
                    <w:rFonts w:ascii="Cambria Math" w:hAnsi="Cambria Math" w:cs="Arial"/>
                    <w:sz w:val="18"/>
                    <w:szCs w:val="18"/>
                    <w:vertAlign w:val="subscript"/>
                  </w:rPr>
                  <m:t>dB</m:t>
                </m:r>
              </m:oMath>
            </m:oMathPara>
          </w:p>
        </w:tc>
        <w:tc>
          <w:tcPr>
            <w:tcW w:w="1560" w:type="dxa"/>
            <w:vAlign w:val="center"/>
          </w:tcPr>
          <w:p w14:paraId="5EC519FF" w14:textId="77777777" w:rsidR="000836F1" w:rsidRPr="008C4645" w:rsidRDefault="000836F1">
            <w:pPr>
              <w:keepNext/>
              <w:keepLines/>
              <w:spacing w:after="0"/>
              <w:contextualSpacing/>
              <w:jc w:val="center"/>
              <w:rPr>
                <w:rFonts w:cs="Arial"/>
                <w:sz w:val="18"/>
                <w:szCs w:val="18"/>
              </w:rPr>
            </w:pPr>
            <w:r w:rsidRPr="008C4645">
              <w:rPr>
                <w:rFonts w:cs="Arial"/>
                <w:sz w:val="18"/>
                <w:szCs w:val="18"/>
              </w:rPr>
              <w:t>100 kHz</w:t>
            </w:r>
          </w:p>
        </w:tc>
      </w:tr>
      <w:tr w:rsidR="000836F1" w:rsidRPr="008C4645" w14:paraId="0539DD64" w14:textId="77777777">
        <w:trPr>
          <w:jc w:val="center"/>
        </w:trPr>
        <w:tc>
          <w:tcPr>
            <w:tcW w:w="2972" w:type="dxa"/>
            <w:shd w:val="clear" w:color="auto" w:fill="FFFFFF" w:themeFill="background1"/>
            <w:vAlign w:val="center"/>
          </w:tcPr>
          <w:p w14:paraId="25F67756" w14:textId="77777777" w:rsidR="000836F1" w:rsidRPr="008C4645" w:rsidRDefault="000836F1">
            <w:pPr>
              <w:keepNext/>
              <w:keepLines/>
              <w:spacing w:after="0"/>
              <w:contextualSpacing/>
              <w:jc w:val="center"/>
              <w:rPr>
                <w:rFonts w:cs="Arial"/>
                <w:sz w:val="18"/>
                <w:szCs w:val="18"/>
              </w:rPr>
            </w:pPr>
            <w:r w:rsidRPr="008C4645">
              <w:rPr>
                <w:rFonts w:cs="Arial"/>
                <w:sz w:val="18"/>
                <w:szCs w:val="18"/>
              </w:rPr>
              <w:t>1 MHz</w:t>
            </w:r>
            <w:r w:rsidRPr="008C4645">
              <w:rPr>
                <w:rFonts w:cs="Arial"/>
                <w:spacing w:val="13"/>
                <w:sz w:val="18"/>
                <w:szCs w:val="18"/>
              </w:rPr>
              <w:t xml:space="preserve"> </w:t>
            </w:r>
            <w:r w:rsidRPr="008C4645">
              <w:rPr>
                <w:rFonts w:cs="Arial"/>
              </w:rPr>
              <w:t>≤</w:t>
            </w:r>
            <w:r w:rsidRPr="008C4645">
              <w:rPr>
                <w:rFonts w:cs="Arial"/>
                <w:spacing w:val="11"/>
                <w:sz w:val="18"/>
                <w:szCs w:val="18"/>
                <w:u w:val="single" w:color="000000"/>
              </w:rPr>
              <w:t xml:space="preserve"> </w:t>
            </w:r>
            <w:proofErr w:type="spellStart"/>
            <w:r w:rsidRPr="008C4645">
              <w:rPr>
                <w:rFonts w:cs="Arial"/>
                <w:sz w:val="18"/>
                <w:szCs w:val="18"/>
              </w:rPr>
              <w:t>f</w:t>
            </w:r>
            <w:r w:rsidRPr="008C4645">
              <w:rPr>
                <w:rFonts w:cs="Arial"/>
                <w:sz w:val="18"/>
                <w:szCs w:val="18"/>
                <w:vertAlign w:val="subscript"/>
              </w:rPr>
              <w:t>offset</w:t>
            </w:r>
            <w:proofErr w:type="spellEnd"/>
            <w:r w:rsidRPr="008C4645">
              <w:rPr>
                <w:rFonts w:cs="Arial"/>
                <w:spacing w:val="27"/>
                <w:position w:val="-1"/>
                <w:sz w:val="18"/>
                <w:szCs w:val="18"/>
              </w:rPr>
              <w:t xml:space="preserve"> </w:t>
            </w:r>
            <w:r w:rsidRPr="003C03D5">
              <w:rPr>
                <w:rFonts w:cs="Arial"/>
              </w:rPr>
              <w:t>&lt;</w:t>
            </w:r>
            <w:r w:rsidRPr="003C03D5">
              <w:rPr>
                <w:rFonts w:cs="Arial"/>
                <w:spacing w:val="1"/>
                <w:sz w:val="18"/>
                <w:szCs w:val="18"/>
              </w:rPr>
              <w:t xml:space="preserve"> </w:t>
            </w:r>
            <w:r>
              <w:rPr>
                <w:rFonts w:cs="Arial"/>
                <w:spacing w:val="1"/>
                <w:sz w:val="18"/>
                <w:szCs w:val="18"/>
              </w:rPr>
              <w:t>3</w:t>
            </w:r>
            <w:r w:rsidRPr="003C03D5">
              <w:rPr>
                <w:rFonts w:cs="Arial"/>
                <w:spacing w:val="1"/>
                <w:sz w:val="18"/>
                <w:szCs w:val="18"/>
              </w:rPr>
              <w:t xml:space="preserve"> MHz</w:t>
            </w:r>
          </w:p>
        </w:tc>
        <w:tc>
          <w:tcPr>
            <w:tcW w:w="3260" w:type="dxa"/>
            <w:shd w:val="clear" w:color="auto" w:fill="FFFFFF" w:themeFill="background1"/>
            <w:vAlign w:val="center"/>
          </w:tcPr>
          <w:p w14:paraId="7B4CEB0A" w14:textId="77777777" w:rsidR="000836F1" w:rsidRPr="008C4645" w:rsidRDefault="000836F1">
            <w:pPr>
              <w:keepNext/>
              <w:keepLines/>
              <w:spacing w:after="0"/>
              <w:contextualSpacing/>
              <w:jc w:val="center"/>
              <w:rPr>
                <w:rFonts w:cs="Arial"/>
                <w:sz w:val="18"/>
                <w:szCs w:val="18"/>
              </w:rPr>
            </w:pPr>
            <m:oMathPara>
              <m:oMath>
                <m:r>
                  <w:rPr>
                    <w:rFonts w:ascii="Cambria Math" w:hAnsi="Cambria Math" w:cs="Arial"/>
                    <w:sz w:val="18"/>
                    <w:szCs w:val="18"/>
                    <w:vertAlign w:val="subscript"/>
                  </w:rPr>
                  <m:t>7.34 dBm-7.12</m:t>
                </m:r>
                <m:d>
                  <m:dPr>
                    <m:ctrlPr>
                      <w:rPr>
                        <w:rFonts w:ascii="Cambria Math" w:hAnsi="Cambria Math" w:cs="Arial"/>
                        <w:i/>
                        <w:sz w:val="18"/>
                        <w:szCs w:val="18"/>
                        <w:vertAlign w:val="subscript"/>
                      </w:rPr>
                    </m:ctrlPr>
                  </m:dPr>
                  <m:e>
                    <m:f>
                      <m:fPr>
                        <m:ctrlPr>
                          <w:rPr>
                            <w:rFonts w:ascii="Cambria Math" w:hAnsi="Cambria Math" w:cs="Arial"/>
                            <w:i/>
                            <w:sz w:val="18"/>
                            <w:szCs w:val="18"/>
                            <w:vertAlign w:val="subscript"/>
                          </w:rPr>
                        </m:ctrlPr>
                      </m:fPr>
                      <m:num>
                        <m:sSub>
                          <m:sSubPr>
                            <m:ctrlPr>
                              <w:rPr>
                                <w:rFonts w:ascii="Cambria Math" w:hAnsi="Cambria Math" w:cs="Arial"/>
                                <w:i/>
                                <w:sz w:val="18"/>
                                <w:szCs w:val="18"/>
                                <w:vertAlign w:val="subscript"/>
                              </w:rPr>
                            </m:ctrlPr>
                          </m:sSubPr>
                          <m:e>
                            <m:r>
                              <w:rPr>
                                <w:rFonts w:ascii="Cambria Math" w:hAnsi="Cambria Math" w:cs="Arial"/>
                                <w:sz w:val="18"/>
                                <w:szCs w:val="18"/>
                                <w:vertAlign w:val="subscript"/>
                              </w:rPr>
                              <m:t>f</m:t>
                            </m:r>
                          </m:e>
                          <m:sub>
                            <m:r>
                              <w:rPr>
                                <w:rFonts w:ascii="Cambria Math" w:hAnsi="Cambria Math" w:cs="Arial"/>
                                <w:sz w:val="18"/>
                                <w:szCs w:val="18"/>
                                <w:vertAlign w:val="subscript"/>
                              </w:rPr>
                              <m:t>offset</m:t>
                            </m:r>
                          </m:sub>
                        </m:sSub>
                      </m:num>
                      <m:den>
                        <m:r>
                          <w:rPr>
                            <w:rFonts w:ascii="Cambria Math" w:hAnsi="Cambria Math" w:cs="Arial"/>
                            <w:sz w:val="18"/>
                            <w:szCs w:val="18"/>
                            <w:vertAlign w:val="subscript"/>
                          </w:rPr>
                          <m:t>MHz</m:t>
                        </m:r>
                      </m:den>
                    </m:f>
                    <m:r>
                      <w:rPr>
                        <w:rFonts w:ascii="Cambria Math" w:hAnsi="Cambria Math" w:cs="Arial"/>
                        <w:sz w:val="18"/>
                        <w:szCs w:val="18"/>
                        <w:vertAlign w:val="subscript"/>
                      </w:rPr>
                      <m:t>-0.05</m:t>
                    </m:r>
                  </m:e>
                </m:d>
                <m:r>
                  <w:rPr>
                    <w:rFonts w:ascii="Cambria Math" w:hAnsi="Cambria Math" w:cs="Arial"/>
                    <w:sz w:val="18"/>
                    <w:szCs w:val="18"/>
                    <w:vertAlign w:val="subscript"/>
                  </w:rPr>
                  <m:t>dB</m:t>
                </m:r>
              </m:oMath>
            </m:oMathPara>
          </w:p>
        </w:tc>
        <w:tc>
          <w:tcPr>
            <w:tcW w:w="1560" w:type="dxa"/>
            <w:shd w:val="clear" w:color="auto" w:fill="FFFFFF" w:themeFill="background1"/>
            <w:vAlign w:val="center"/>
          </w:tcPr>
          <w:p w14:paraId="50E1E5CE" w14:textId="77777777" w:rsidR="000836F1" w:rsidRPr="008C4645" w:rsidRDefault="000836F1">
            <w:pPr>
              <w:keepNext/>
              <w:keepLines/>
              <w:spacing w:after="0"/>
              <w:contextualSpacing/>
              <w:jc w:val="center"/>
              <w:rPr>
                <w:rFonts w:cs="Arial"/>
                <w:sz w:val="18"/>
                <w:szCs w:val="18"/>
              </w:rPr>
            </w:pPr>
            <w:r w:rsidRPr="008C4645">
              <w:rPr>
                <w:rFonts w:cs="Arial"/>
                <w:sz w:val="18"/>
                <w:szCs w:val="18"/>
              </w:rPr>
              <w:t>100 kHz</w:t>
            </w:r>
          </w:p>
        </w:tc>
      </w:tr>
      <w:tr w:rsidR="000836F1" w:rsidRPr="008C4645" w14:paraId="36B6B76C" w14:textId="77777777">
        <w:trPr>
          <w:trHeight w:val="447"/>
          <w:jc w:val="center"/>
        </w:trPr>
        <w:tc>
          <w:tcPr>
            <w:tcW w:w="2972" w:type="dxa"/>
            <w:shd w:val="clear" w:color="auto" w:fill="FFFFFF" w:themeFill="background1"/>
            <w:vAlign w:val="center"/>
          </w:tcPr>
          <w:p w14:paraId="17EEF8BB" w14:textId="77777777" w:rsidR="000836F1" w:rsidRPr="008C4645" w:rsidRDefault="000836F1">
            <w:pPr>
              <w:keepNext/>
              <w:keepLines/>
              <w:spacing w:after="0"/>
              <w:contextualSpacing/>
              <w:jc w:val="center"/>
              <w:rPr>
                <w:rFonts w:cs="Arial"/>
                <w:sz w:val="18"/>
                <w:szCs w:val="18"/>
              </w:rPr>
            </w:pPr>
            <w:r>
              <w:rPr>
                <w:rFonts w:cs="Arial"/>
                <w:sz w:val="18"/>
                <w:szCs w:val="18"/>
              </w:rPr>
              <w:t>3</w:t>
            </w:r>
            <w:r w:rsidRPr="008C4645">
              <w:rPr>
                <w:rFonts w:cs="Arial"/>
                <w:sz w:val="18"/>
                <w:szCs w:val="18"/>
              </w:rPr>
              <w:t xml:space="preserve"> MHz</w:t>
            </w:r>
            <w:r w:rsidRPr="008C4645">
              <w:rPr>
                <w:rFonts w:cs="Arial"/>
                <w:spacing w:val="13"/>
                <w:sz w:val="18"/>
                <w:szCs w:val="18"/>
              </w:rPr>
              <w:t xml:space="preserve"> </w:t>
            </w:r>
            <w:r w:rsidRPr="008C4645">
              <w:rPr>
                <w:rFonts w:cs="Arial"/>
              </w:rPr>
              <w:t>≤</w:t>
            </w:r>
            <w:r w:rsidRPr="008C4645">
              <w:rPr>
                <w:rFonts w:cs="Arial"/>
                <w:spacing w:val="11"/>
                <w:sz w:val="18"/>
                <w:szCs w:val="18"/>
                <w:u w:val="single" w:color="000000"/>
              </w:rPr>
              <w:t xml:space="preserve"> </w:t>
            </w:r>
            <w:proofErr w:type="spellStart"/>
            <w:r w:rsidRPr="008C4645">
              <w:rPr>
                <w:rFonts w:cs="Arial"/>
                <w:sz w:val="18"/>
                <w:szCs w:val="18"/>
              </w:rPr>
              <w:t>f</w:t>
            </w:r>
            <w:r w:rsidRPr="008C4645">
              <w:rPr>
                <w:rFonts w:cs="Arial"/>
                <w:sz w:val="18"/>
                <w:szCs w:val="18"/>
                <w:vertAlign w:val="subscript"/>
              </w:rPr>
              <w:t>offset</w:t>
            </w:r>
            <w:proofErr w:type="spellEnd"/>
            <w:r w:rsidRPr="008C4645">
              <w:rPr>
                <w:rFonts w:cs="Arial"/>
                <w:spacing w:val="27"/>
                <w:position w:val="-1"/>
                <w:sz w:val="18"/>
                <w:szCs w:val="18"/>
              </w:rPr>
              <w:t xml:space="preserve"> </w:t>
            </w:r>
            <w:r w:rsidRPr="003C03D5">
              <w:rPr>
                <w:rFonts w:cs="Arial"/>
              </w:rPr>
              <w:t>&lt;</w:t>
            </w:r>
            <w:r w:rsidRPr="003C03D5">
              <w:rPr>
                <w:rFonts w:cs="Arial"/>
                <w:spacing w:val="1"/>
                <w:sz w:val="18"/>
                <w:szCs w:val="18"/>
              </w:rPr>
              <w:t xml:space="preserve"> </w:t>
            </w:r>
            <w:r>
              <w:rPr>
                <w:rFonts w:cs="Arial"/>
                <w:spacing w:val="1"/>
                <w:sz w:val="18"/>
                <w:szCs w:val="18"/>
              </w:rPr>
              <w:t>10</w:t>
            </w:r>
            <w:r w:rsidRPr="003C03D5">
              <w:rPr>
                <w:rFonts w:cs="Arial"/>
                <w:spacing w:val="1"/>
                <w:sz w:val="18"/>
                <w:szCs w:val="18"/>
              </w:rPr>
              <w:t xml:space="preserve"> MHz</w:t>
            </w:r>
          </w:p>
        </w:tc>
        <w:tc>
          <w:tcPr>
            <w:tcW w:w="3260" w:type="dxa"/>
            <w:shd w:val="clear" w:color="auto" w:fill="FFFFFF" w:themeFill="background1"/>
            <w:vAlign w:val="center"/>
          </w:tcPr>
          <w:p w14:paraId="45C8E8A3" w14:textId="77777777" w:rsidR="000836F1" w:rsidRPr="0023093F" w:rsidRDefault="000836F1">
            <w:pPr>
              <w:keepNext/>
              <w:keepLines/>
              <w:spacing w:after="0"/>
              <w:contextualSpacing/>
              <w:jc w:val="center"/>
              <w:rPr>
                <w:rFonts w:cs="Arial"/>
                <w:sz w:val="18"/>
                <w:szCs w:val="18"/>
              </w:rPr>
            </w:pPr>
            <w:r>
              <w:rPr>
                <w:rFonts w:cs="Arial"/>
                <w:sz w:val="18"/>
                <w:szCs w:val="18"/>
              </w:rPr>
              <w:t>-4</w:t>
            </w:r>
          </w:p>
        </w:tc>
        <w:tc>
          <w:tcPr>
            <w:tcW w:w="1560" w:type="dxa"/>
            <w:shd w:val="clear" w:color="auto" w:fill="FFFFFF" w:themeFill="background1"/>
            <w:vAlign w:val="center"/>
          </w:tcPr>
          <w:p w14:paraId="479192BA" w14:textId="77777777" w:rsidR="000836F1" w:rsidRPr="008C4645" w:rsidRDefault="000836F1">
            <w:pPr>
              <w:keepNext/>
              <w:keepLines/>
              <w:spacing w:after="0"/>
              <w:contextualSpacing/>
              <w:jc w:val="center"/>
              <w:rPr>
                <w:rFonts w:cs="Arial"/>
                <w:sz w:val="18"/>
                <w:szCs w:val="18"/>
              </w:rPr>
            </w:pPr>
            <w:r>
              <w:rPr>
                <w:rFonts w:cs="Arial"/>
                <w:sz w:val="18"/>
                <w:szCs w:val="18"/>
              </w:rPr>
              <w:t>1 MHz</w:t>
            </w:r>
          </w:p>
        </w:tc>
      </w:tr>
    </w:tbl>
    <w:p w14:paraId="176A7B69" w14:textId="223A7B9F" w:rsidR="00504D74" w:rsidRPr="00322232" w:rsidRDefault="00504D74" w:rsidP="00504D74">
      <w:pPr>
        <w:keepNext/>
        <w:keepLines/>
        <w:spacing w:before="120"/>
        <w:ind w:left="284"/>
        <w:rPr>
          <w:rFonts w:cs="Arial"/>
          <w:bCs/>
          <w:i/>
          <w:iCs/>
          <w:sz w:val="16"/>
          <w:szCs w:val="16"/>
        </w:rPr>
      </w:pPr>
      <w:r w:rsidRPr="00322232">
        <w:rPr>
          <w:rFonts w:cs="Arial"/>
          <w:bCs/>
          <w:i/>
          <w:iCs/>
          <w:sz w:val="16"/>
          <w:szCs w:val="16"/>
        </w:rPr>
        <w:t xml:space="preserve">Note: </w:t>
      </w:r>
      <w:r w:rsidRPr="00322232">
        <w:rPr>
          <w:bCs/>
          <w:i/>
          <w:iCs/>
          <w:sz w:val="16"/>
          <w:szCs w:val="16"/>
        </w:rPr>
        <w:t>The</w:t>
      </w:r>
      <w:r w:rsidRPr="00322232">
        <w:rPr>
          <w:i/>
          <w:iCs/>
          <w:sz w:val="16"/>
          <w:szCs w:val="16"/>
        </w:rPr>
        <w:t xml:space="preserve"> closest -3dB point of the measurement bandwidth to </w:t>
      </w:r>
      <w:r w:rsidRPr="00322232">
        <w:rPr>
          <w:rFonts w:cs="Arial"/>
          <w:bCs/>
          <w:i/>
          <w:iCs/>
          <w:sz w:val="16"/>
          <w:szCs w:val="16"/>
        </w:rPr>
        <w:t>the upper or lower frequency limits i</w:t>
      </w:r>
      <w:r w:rsidRPr="00322232">
        <w:rPr>
          <w:i/>
          <w:iCs/>
          <w:sz w:val="16"/>
          <w:szCs w:val="16"/>
        </w:rPr>
        <w:t xml:space="preserve">s placed at </w:t>
      </w:r>
      <w:proofErr w:type="spellStart"/>
      <w:r w:rsidRPr="00322232">
        <w:rPr>
          <w:i/>
          <w:iCs/>
          <w:sz w:val="16"/>
          <w:szCs w:val="16"/>
        </w:rPr>
        <w:t>f</w:t>
      </w:r>
      <w:r w:rsidRPr="00322232">
        <w:rPr>
          <w:i/>
          <w:iCs/>
          <w:sz w:val="16"/>
          <w:szCs w:val="16"/>
          <w:vertAlign w:val="subscript"/>
        </w:rPr>
        <w:t>offset</w:t>
      </w:r>
      <w:proofErr w:type="spellEnd"/>
      <w:r w:rsidRPr="00322232">
        <w:rPr>
          <w:i/>
          <w:iCs/>
          <w:sz w:val="16"/>
          <w:szCs w:val="16"/>
        </w:rPr>
        <w:t>.</w:t>
      </w:r>
    </w:p>
    <w:p w14:paraId="0EA65A79" w14:textId="77777777" w:rsidR="00E1312F" w:rsidRPr="00322232" w:rsidRDefault="00E1312F" w:rsidP="002F7657">
      <w:pPr>
        <w:keepNext/>
        <w:keepLines/>
        <w:spacing w:before="120"/>
        <w:ind w:left="284"/>
        <w:rPr>
          <w:rFonts w:cs="Arial"/>
          <w:bCs/>
          <w:i/>
          <w:iCs/>
          <w:sz w:val="16"/>
          <w:szCs w:val="16"/>
        </w:rPr>
      </w:pPr>
    </w:p>
    <w:p w14:paraId="19D826BC" w14:textId="216E9DA7" w:rsidR="00CF19E3" w:rsidRDefault="002F7657" w:rsidP="008561DC">
      <w:r w:rsidRPr="008561DC">
        <w:t xml:space="preserve">The agreed proposed limits will have negligible impact to the existing interference environment for </w:t>
      </w:r>
      <w:r w:rsidR="00AA7C28">
        <w:t xml:space="preserve">adjacent band </w:t>
      </w:r>
      <w:r w:rsidR="000709D8" w:rsidRPr="008561DC">
        <w:t xml:space="preserve">services as </w:t>
      </w:r>
      <w:r w:rsidR="00F14399">
        <w:t xml:space="preserve">no change to the unwanted emission </w:t>
      </w:r>
      <w:r w:rsidR="000709D8" w:rsidRPr="008561DC">
        <w:t xml:space="preserve">limits </w:t>
      </w:r>
      <w:r w:rsidR="008F7864">
        <w:t>i</w:t>
      </w:r>
      <w:r w:rsidR="00D86072">
        <w:t>s proposed at offsets greater than</w:t>
      </w:r>
      <w:r w:rsidR="00945A27" w:rsidRPr="008561DC">
        <w:t xml:space="preserve"> 3 MHz.</w:t>
      </w:r>
    </w:p>
    <w:p w14:paraId="5DD5315B" w14:textId="7AE4FBA6" w:rsidR="002F7657" w:rsidRPr="00681697" w:rsidRDefault="00842265" w:rsidP="002F7657">
      <w:pPr>
        <w:pStyle w:val="Heading3"/>
      </w:pPr>
      <w:r>
        <w:t xml:space="preserve">Upper </w:t>
      </w:r>
      <w:r w:rsidR="00D86072">
        <w:t>2.5 GHz</w:t>
      </w:r>
      <w:r>
        <w:t xml:space="preserve"> band transmitter unwanted emission limits in the frequency range </w:t>
      </w:r>
      <w:r w:rsidR="002F7657" w:rsidRPr="00681697">
        <w:t>2</w:t>
      </w:r>
      <w:r w:rsidR="00113FC8">
        <w:t>615</w:t>
      </w:r>
      <w:r w:rsidR="002F7657">
        <w:t>–</w:t>
      </w:r>
      <w:r w:rsidR="002F7657" w:rsidRPr="00681697">
        <w:t>2</w:t>
      </w:r>
      <w:r w:rsidR="00113FC8">
        <w:t>620</w:t>
      </w:r>
      <w:r w:rsidR="00161CCF">
        <w:t xml:space="preserve"> </w:t>
      </w:r>
      <w:r w:rsidR="002F7657">
        <w:t>MHz</w:t>
      </w:r>
    </w:p>
    <w:p w14:paraId="7AEE7EC1" w14:textId="6A7995A5" w:rsidR="00A04151" w:rsidRDefault="00BF5B83" w:rsidP="008561DC">
      <w:r>
        <w:t xml:space="preserve">The discussion regarding the emission limits between </w:t>
      </w:r>
      <w:r w:rsidR="004A172F">
        <w:t xml:space="preserve">2690 MHz to 2700 MHz </w:t>
      </w:r>
      <w:r w:rsidR="00540968">
        <w:t>helped</w:t>
      </w:r>
      <w:r w:rsidR="004A172F">
        <w:t xml:space="preserve"> inform the limits </w:t>
      </w:r>
      <w:r w:rsidR="00E519F1">
        <w:t xml:space="preserve">between </w:t>
      </w:r>
      <w:r w:rsidR="002C722B">
        <w:t>2615 MHz to 2620 MHz</w:t>
      </w:r>
      <w:r w:rsidR="00E519F1">
        <w:t xml:space="preserve">. The </w:t>
      </w:r>
      <w:r w:rsidR="00CF7270">
        <w:t xml:space="preserve">only difference is </w:t>
      </w:r>
      <w:r w:rsidR="00120EBA">
        <w:t xml:space="preserve">the requirement </w:t>
      </w:r>
      <w:r w:rsidR="00310F01">
        <w:t xml:space="preserve">to maintain the current </w:t>
      </w:r>
      <w:r w:rsidR="002055EB">
        <w:t>unwanted emission limit</w:t>
      </w:r>
      <w:r w:rsidR="00BB1BB2">
        <w:t xml:space="preserve"> </w:t>
      </w:r>
      <w:r w:rsidR="002055EB">
        <w:t>of</w:t>
      </w:r>
      <w:r w:rsidR="00BB1BB2">
        <w:t xml:space="preserve"> -45 dBm/MHz </w:t>
      </w:r>
      <w:r w:rsidR="00F70E55">
        <w:t>l</w:t>
      </w:r>
      <w:r w:rsidR="005967A4">
        <w:t xml:space="preserve">imit </w:t>
      </w:r>
      <w:r w:rsidR="00BB1BB2">
        <w:t>at an offset of 5 MHz</w:t>
      </w:r>
      <w:r w:rsidR="00D56280">
        <w:t xml:space="preserve"> below 26</w:t>
      </w:r>
      <w:r w:rsidR="00A13BEC">
        <w:t>20</w:t>
      </w:r>
      <w:r w:rsidR="00D56280">
        <w:t xml:space="preserve"> MHz</w:t>
      </w:r>
      <w:r w:rsidR="006A0C2F">
        <w:t xml:space="preserve"> </w:t>
      </w:r>
      <w:r w:rsidR="00007FAC">
        <w:t>(</w:t>
      </w:r>
      <w:r w:rsidR="005967A4">
        <w:t xml:space="preserve">compared to </w:t>
      </w:r>
      <w:r w:rsidR="00710FA6">
        <w:t xml:space="preserve">the -45 dBm/MHz limit applying at a </w:t>
      </w:r>
      <w:r w:rsidR="00F140BE">
        <w:t>10 MHz</w:t>
      </w:r>
      <w:r w:rsidR="000D2E49">
        <w:t xml:space="preserve"> offset</w:t>
      </w:r>
      <w:r w:rsidR="009A5802">
        <w:t xml:space="preserve"> </w:t>
      </w:r>
      <w:r w:rsidR="009E70D0">
        <w:t>for unwanted emissions above 2690 MHz</w:t>
      </w:r>
      <w:r w:rsidR="00710FA6">
        <w:t>)</w:t>
      </w:r>
      <w:r w:rsidR="00BB1BB2">
        <w:t>.</w:t>
      </w:r>
      <w:r w:rsidR="00A04151" w:rsidRPr="00A04151">
        <w:t xml:space="preserve"> </w:t>
      </w:r>
      <w:r w:rsidR="00A04151">
        <w:t xml:space="preserve">A comparison between the </w:t>
      </w:r>
      <w:r w:rsidR="00A04151" w:rsidRPr="00B026DA">
        <w:t xml:space="preserve">existing unwanted emissions limits </w:t>
      </w:r>
      <w:r w:rsidR="00A04151">
        <w:t>below 2620</w:t>
      </w:r>
      <w:r w:rsidR="00A04151" w:rsidRPr="00B026DA">
        <w:t xml:space="preserve"> MHz (amended from </w:t>
      </w:r>
      <w:r w:rsidR="002C5E52">
        <w:t>an</w:t>
      </w:r>
      <w:r w:rsidR="00A04151" w:rsidRPr="00B026DA">
        <w:t xml:space="preserve"> EIRP to </w:t>
      </w:r>
      <w:r w:rsidR="002C5E52">
        <w:t>a</w:t>
      </w:r>
      <w:r w:rsidR="00A04151" w:rsidRPr="00B026DA">
        <w:t xml:space="preserve"> conducted power for comparison purposes) </w:t>
      </w:r>
      <w:r w:rsidR="00A04151">
        <w:t>and the proposed emission limits are shown</w:t>
      </w:r>
      <w:r w:rsidR="00A04151" w:rsidRPr="00B026DA">
        <w:t xml:space="preserve"> in Figure </w:t>
      </w:r>
      <w:r w:rsidR="00A04151">
        <w:t>2</w:t>
      </w:r>
      <w:r w:rsidR="00A04151" w:rsidRPr="00B026DA">
        <w:t xml:space="preserve">. </w:t>
      </w:r>
      <w:r w:rsidR="00BB1BB2">
        <w:t xml:space="preserve"> </w:t>
      </w:r>
    </w:p>
    <w:p w14:paraId="2A81AB80" w14:textId="46884DE8" w:rsidR="00A04151" w:rsidRDefault="00A04151" w:rsidP="00A04151">
      <w:pPr>
        <w:pStyle w:val="Figureheading"/>
        <w:spacing w:line="240" w:lineRule="atLeast"/>
      </w:pPr>
      <w:r>
        <w:t>Unwanted emission limits comparison between 2615 MHz - 2620 MHz for upper band devices</w:t>
      </w:r>
    </w:p>
    <w:p w14:paraId="4B9D0ADE" w14:textId="704D5BDA" w:rsidR="00A04151" w:rsidRDefault="00AF6600" w:rsidP="00A04151">
      <w:pPr>
        <w:pStyle w:val="ListBullet"/>
        <w:numPr>
          <w:ilvl w:val="0"/>
          <w:numId w:val="0"/>
        </w:numPr>
      </w:pPr>
      <w:r>
        <w:rPr>
          <w:noProof/>
        </w:rPr>
        <w:drawing>
          <wp:inline distT="0" distB="0" distL="0" distR="0" wp14:anchorId="686B67BB" wp14:editId="45ACE7EE">
            <wp:extent cx="5400000" cy="3521002"/>
            <wp:effectExtent l="0" t="0" r="0" b="3810"/>
            <wp:docPr id="1886519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00000" cy="3521002"/>
                    </a:xfrm>
                    <a:prstGeom prst="rect">
                      <a:avLst/>
                    </a:prstGeom>
                    <a:noFill/>
                  </pic:spPr>
                </pic:pic>
              </a:graphicData>
            </a:graphic>
          </wp:inline>
        </w:drawing>
      </w:r>
    </w:p>
    <w:p w14:paraId="62B6B76B" w14:textId="77777777" w:rsidR="00A04151" w:rsidRDefault="00A04151" w:rsidP="00A04151">
      <w:pPr>
        <w:pStyle w:val="ListBullet"/>
        <w:numPr>
          <w:ilvl w:val="0"/>
          <w:numId w:val="0"/>
        </w:numPr>
      </w:pPr>
    </w:p>
    <w:p w14:paraId="0F0A5D32" w14:textId="1EA11D73" w:rsidR="000526A9" w:rsidRDefault="000526A9" w:rsidP="000526A9">
      <w:pPr>
        <w:pStyle w:val="ListBullet"/>
        <w:numPr>
          <w:ilvl w:val="0"/>
          <w:numId w:val="0"/>
        </w:numPr>
      </w:pPr>
      <w:r w:rsidRPr="008561DC">
        <w:t>The TLG members agreed to the proposed limits</w:t>
      </w:r>
      <w:r w:rsidR="00EC247F">
        <w:t>,</w:t>
      </w:r>
      <w:r w:rsidR="00EC247F" w:rsidRPr="006D268E">
        <w:t xml:space="preserve"> </w:t>
      </w:r>
      <w:r w:rsidR="00EC247F">
        <w:t>noting that AMTA proposed</w:t>
      </w:r>
      <w:r w:rsidR="00EC247F" w:rsidRPr="006D268E">
        <w:t xml:space="preserve"> that greater alignment with 3GPP could be achieved for the renewed spectrum licences post-2029</w:t>
      </w:r>
      <w:r w:rsidRPr="008561DC">
        <w:t xml:space="preserve">. These limits will be </w:t>
      </w:r>
      <w:r w:rsidRPr="008561DC">
        <w:lastRenderedPageBreak/>
        <w:t>specified for both non AAS (specified as a conducted power) and AAS (TRP). See Table 5 for non-AAS limits and Table 6 for AAS limits</w:t>
      </w:r>
      <w:r>
        <w:t>.</w:t>
      </w:r>
    </w:p>
    <w:p w14:paraId="56EBA45B" w14:textId="77777777" w:rsidR="00B91554" w:rsidRDefault="00B91554" w:rsidP="00B91554">
      <w:pPr>
        <w:pStyle w:val="ACMATableHeader"/>
        <w:keepNext/>
        <w:keepLines/>
        <w:spacing w:line="240" w:lineRule="atLeast"/>
      </w:pPr>
      <w:r>
        <w:rPr>
          <w:rFonts w:cs="Arial"/>
        </w:rPr>
        <w:t>U</w:t>
      </w:r>
      <w:r w:rsidRPr="007D04B2">
        <w:rPr>
          <w:rFonts w:cs="Arial"/>
        </w:rPr>
        <w:t>nwanted emission limits</w:t>
      </w:r>
      <w:r>
        <w:rPr>
          <w:rFonts w:cs="Arial"/>
        </w:rPr>
        <w:t xml:space="preserve"> in 2615 MHz to 2620 MHz for transmitters operating in the upper 2.5 GHz band </w:t>
      </w:r>
      <w:r w:rsidRPr="007D04B2">
        <w:rPr>
          <w:rFonts w:cs="Arial"/>
        </w:rPr>
        <w:t>–</w:t>
      </w:r>
      <w:r>
        <w:rPr>
          <w:rFonts w:cs="Arial"/>
        </w:rPr>
        <w:t xml:space="preserve"> non-AAS </w:t>
      </w:r>
      <w:r w:rsidRPr="007D04B2">
        <w:rPr>
          <w:rFonts w:cs="Arial"/>
        </w:rPr>
        <w:t>devices</w:t>
      </w:r>
    </w:p>
    <w:tbl>
      <w:tblPr>
        <w:tblStyle w:val="TableGrid"/>
        <w:tblW w:w="7792" w:type="dxa"/>
        <w:jc w:val="center"/>
        <w:tblLook w:val="04A0" w:firstRow="1" w:lastRow="0" w:firstColumn="1" w:lastColumn="0" w:noHBand="0" w:noVBand="1"/>
      </w:tblPr>
      <w:tblGrid>
        <w:gridCol w:w="2972"/>
        <w:gridCol w:w="3260"/>
        <w:gridCol w:w="1560"/>
      </w:tblGrid>
      <w:tr w:rsidR="00B91554" w:rsidRPr="008C4645" w14:paraId="21FE2163" w14:textId="77777777">
        <w:trPr>
          <w:jc w:val="center"/>
        </w:trPr>
        <w:tc>
          <w:tcPr>
            <w:tcW w:w="2972" w:type="dxa"/>
            <w:shd w:val="clear" w:color="auto" w:fill="404040" w:themeFill="text1" w:themeFillTint="BF"/>
          </w:tcPr>
          <w:p w14:paraId="290D1159" w14:textId="3A16A1AD" w:rsidR="00B91554" w:rsidRPr="008C4645" w:rsidRDefault="00B91554">
            <w:pPr>
              <w:keepNext/>
              <w:keepLines/>
              <w:spacing w:after="0"/>
              <w:contextualSpacing/>
              <w:jc w:val="center"/>
              <w:rPr>
                <w:rFonts w:cs="Arial"/>
                <w:b/>
                <w:color w:val="FFFFFF" w:themeColor="background1"/>
              </w:rPr>
            </w:pPr>
            <w:r w:rsidRPr="008C4645">
              <w:rPr>
                <w:rFonts w:cs="Arial"/>
                <w:b/>
                <w:color w:val="FFFFFF" w:themeColor="background1"/>
              </w:rPr>
              <w:t xml:space="preserve">Frequency offset </w:t>
            </w:r>
            <w:r w:rsidR="003C5DC2">
              <w:rPr>
                <w:rFonts w:cs="Arial"/>
                <w:b/>
                <w:color w:val="FFFFFF" w:themeColor="background1"/>
              </w:rPr>
              <w:t>from 2620 MHz</w:t>
            </w:r>
            <w:r w:rsidRPr="00452A31">
              <w:rPr>
                <w:rFonts w:cs="Arial"/>
                <w:b/>
                <w:color w:val="FFFFFF" w:themeColor="background1"/>
              </w:rPr>
              <w:t>(</w:t>
            </w:r>
            <w:proofErr w:type="spellStart"/>
            <w:r w:rsidRPr="00452A31">
              <w:rPr>
                <w:rFonts w:cs="Arial"/>
                <w:b/>
                <w:color w:val="FFFFFF" w:themeColor="background1"/>
              </w:rPr>
              <w:t>f</w:t>
            </w:r>
            <w:r w:rsidRPr="00452A31">
              <w:rPr>
                <w:rFonts w:cs="Arial"/>
                <w:b/>
                <w:color w:val="FFFFFF" w:themeColor="background1"/>
                <w:vertAlign w:val="subscript"/>
              </w:rPr>
              <w:t>offset</w:t>
            </w:r>
            <w:proofErr w:type="spellEnd"/>
            <w:r w:rsidRPr="00452A31">
              <w:rPr>
                <w:rFonts w:cs="Arial"/>
                <w:b/>
                <w:color w:val="FFFFFF" w:themeColor="background1"/>
              </w:rPr>
              <w:t>)</w:t>
            </w:r>
          </w:p>
        </w:tc>
        <w:tc>
          <w:tcPr>
            <w:tcW w:w="3260" w:type="dxa"/>
            <w:shd w:val="clear" w:color="auto" w:fill="404040" w:themeFill="text1" w:themeFillTint="BF"/>
          </w:tcPr>
          <w:p w14:paraId="755F5873" w14:textId="77777777" w:rsidR="00B91554" w:rsidRPr="008C4645" w:rsidRDefault="00B91554">
            <w:pPr>
              <w:keepNext/>
              <w:keepLines/>
              <w:spacing w:after="0"/>
              <w:contextualSpacing/>
              <w:jc w:val="center"/>
              <w:rPr>
                <w:rFonts w:cs="Arial"/>
                <w:b/>
                <w:color w:val="FFFFFF" w:themeColor="background1"/>
              </w:rPr>
            </w:pPr>
            <w:r w:rsidRPr="008C4645">
              <w:rPr>
                <w:rFonts w:cs="Arial"/>
                <w:b/>
                <w:color w:val="FFFFFF" w:themeColor="background1"/>
              </w:rPr>
              <w:t>Mean power (dBm) per transmitter</w:t>
            </w:r>
            <w:r>
              <w:rPr>
                <w:rFonts w:cs="Arial"/>
                <w:b/>
                <w:color w:val="FFFFFF" w:themeColor="background1"/>
              </w:rPr>
              <w:t xml:space="preserve"> port</w:t>
            </w:r>
          </w:p>
        </w:tc>
        <w:tc>
          <w:tcPr>
            <w:tcW w:w="1560" w:type="dxa"/>
            <w:shd w:val="clear" w:color="auto" w:fill="404040" w:themeFill="text1" w:themeFillTint="BF"/>
          </w:tcPr>
          <w:p w14:paraId="65D11ACD" w14:textId="77777777" w:rsidR="00B91554" w:rsidRPr="008C4645" w:rsidRDefault="00B91554">
            <w:pPr>
              <w:keepNext/>
              <w:keepLines/>
              <w:spacing w:after="0"/>
              <w:contextualSpacing/>
              <w:jc w:val="center"/>
              <w:rPr>
                <w:rFonts w:cs="Arial"/>
                <w:b/>
                <w:color w:val="FFFFFF" w:themeColor="background1"/>
              </w:rPr>
            </w:pPr>
            <w:r w:rsidRPr="008C4645">
              <w:rPr>
                <w:rFonts w:cs="Arial"/>
                <w:b/>
                <w:color w:val="FFFFFF" w:themeColor="background1"/>
              </w:rPr>
              <w:t>Measurement bandwidth</w:t>
            </w:r>
          </w:p>
        </w:tc>
      </w:tr>
      <w:tr w:rsidR="00B91554" w:rsidRPr="008C4645" w14:paraId="52386F2E" w14:textId="77777777">
        <w:trPr>
          <w:jc w:val="center"/>
        </w:trPr>
        <w:tc>
          <w:tcPr>
            <w:tcW w:w="2972" w:type="dxa"/>
          </w:tcPr>
          <w:p w14:paraId="2D53908F" w14:textId="77777777" w:rsidR="00B91554" w:rsidRPr="008C4645" w:rsidRDefault="00B91554">
            <w:pPr>
              <w:keepNext/>
              <w:keepLines/>
              <w:spacing w:after="0"/>
              <w:contextualSpacing/>
              <w:jc w:val="center"/>
              <w:rPr>
                <w:rFonts w:cs="Arial"/>
                <w:sz w:val="16"/>
                <w:szCs w:val="16"/>
                <w:u w:val="single"/>
              </w:rPr>
            </w:pPr>
            <w:r w:rsidRPr="008C4645">
              <w:rPr>
                <w:rFonts w:cs="Arial"/>
                <w:sz w:val="18"/>
                <w:szCs w:val="18"/>
              </w:rPr>
              <w:t>0 MHz</w:t>
            </w:r>
            <w:r w:rsidRPr="008C4645">
              <w:rPr>
                <w:rFonts w:cs="Arial"/>
                <w:spacing w:val="13"/>
                <w:sz w:val="18"/>
                <w:szCs w:val="18"/>
              </w:rPr>
              <w:t xml:space="preserve"> </w:t>
            </w:r>
            <w:r w:rsidRPr="008C4645">
              <w:rPr>
                <w:rFonts w:cs="Arial"/>
              </w:rPr>
              <w:t xml:space="preserve">≤ </w:t>
            </w:r>
            <w:proofErr w:type="spellStart"/>
            <w:r w:rsidRPr="008C4645">
              <w:rPr>
                <w:rFonts w:cs="Arial"/>
                <w:sz w:val="18"/>
                <w:szCs w:val="18"/>
              </w:rPr>
              <w:t>f</w:t>
            </w:r>
            <w:r w:rsidRPr="008C4645">
              <w:rPr>
                <w:rFonts w:cs="Arial"/>
                <w:sz w:val="18"/>
                <w:szCs w:val="18"/>
                <w:vertAlign w:val="subscript"/>
              </w:rPr>
              <w:t>offset</w:t>
            </w:r>
            <w:proofErr w:type="spellEnd"/>
            <w:r w:rsidRPr="008C4645">
              <w:rPr>
                <w:rFonts w:cs="Arial"/>
                <w:spacing w:val="27"/>
                <w:position w:val="-1"/>
                <w:sz w:val="18"/>
                <w:szCs w:val="18"/>
              </w:rPr>
              <w:t xml:space="preserve"> </w:t>
            </w:r>
            <w:r w:rsidRPr="008C4645">
              <w:rPr>
                <w:rFonts w:cs="Arial"/>
              </w:rPr>
              <w:t>&lt;</w:t>
            </w:r>
            <w:r w:rsidRPr="008C4645">
              <w:rPr>
                <w:rFonts w:cs="Arial"/>
                <w:spacing w:val="1"/>
                <w:sz w:val="18"/>
                <w:szCs w:val="18"/>
              </w:rPr>
              <w:t xml:space="preserve"> </w:t>
            </w:r>
            <w:r>
              <w:rPr>
                <w:rFonts w:cs="Arial"/>
                <w:spacing w:val="1"/>
                <w:sz w:val="18"/>
                <w:szCs w:val="18"/>
              </w:rPr>
              <w:t>1</w:t>
            </w:r>
            <w:r w:rsidRPr="008C4645">
              <w:rPr>
                <w:rFonts w:cs="Arial"/>
                <w:spacing w:val="1"/>
                <w:sz w:val="18"/>
                <w:szCs w:val="18"/>
              </w:rPr>
              <w:t xml:space="preserve"> MHz</w:t>
            </w:r>
          </w:p>
        </w:tc>
        <w:tc>
          <w:tcPr>
            <w:tcW w:w="3260" w:type="dxa"/>
          </w:tcPr>
          <w:p w14:paraId="79DD7D43" w14:textId="77777777" w:rsidR="00B91554" w:rsidRPr="008C4645" w:rsidRDefault="00B91554">
            <w:pPr>
              <w:keepNext/>
              <w:keepLines/>
              <w:spacing w:after="0"/>
              <w:contextualSpacing/>
              <w:jc w:val="center"/>
              <w:rPr>
                <w:rFonts w:cs="Arial"/>
                <w:sz w:val="18"/>
                <w:szCs w:val="18"/>
                <w:vertAlign w:val="subscript"/>
              </w:rPr>
            </w:pPr>
            <m:oMathPara>
              <m:oMath>
                <m:r>
                  <w:rPr>
                    <w:rFonts w:ascii="Cambria Math" w:hAnsi="Cambria Math" w:cs="Arial"/>
                    <w:sz w:val="18"/>
                    <w:szCs w:val="18"/>
                    <w:vertAlign w:val="subscript"/>
                  </w:rPr>
                  <m:t>-7dBm-</m:t>
                </m:r>
                <m:f>
                  <m:fPr>
                    <m:ctrlPr>
                      <w:rPr>
                        <w:rFonts w:ascii="Cambria Math" w:hAnsi="Cambria Math" w:cs="Arial"/>
                        <w:i/>
                        <w:sz w:val="18"/>
                        <w:szCs w:val="18"/>
                        <w:vertAlign w:val="subscript"/>
                      </w:rPr>
                    </m:ctrlPr>
                  </m:fPr>
                  <m:num>
                    <m:r>
                      <w:rPr>
                        <w:rFonts w:ascii="Cambria Math" w:hAnsi="Cambria Math" w:cs="Arial"/>
                        <w:sz w:val="18"/>
                        <w:szCs w:val="18"/>
                        <w:vertAlign w:val="subscript"/>
                      </w:rPr>
                      <m:t>7</m:t>
                    </m:r>
                  </m:num>
                  <m:den>
                    <m:r>
                      <w:rPr>
                        <w:rFonts w:ascii="Cambria Math" w:hAnsi="Cambria Math" w:cs="Arial"/>
                        <w:sz w:val="18"/>
                        <w:szCs w:val="18"/>
                        <w:vertAlign w:val="subscript"/>
                      </w:rPr>
                      <m:t>5</m:t>
                    </m:r>
                  </m:den>
                </m:f>
                <m:d>
                  <m:dPr>
                    <m:ctrlPr>
                      <w:rPr>
                        <w:rFonts w:ascii="Cambria Math" w:hAnsi="Cambria Math" w:cs="Arial"/>
                        <w:i/>
                        <w:sz w:val="18"/>
                        <w:szCs w:val="18"/>
                        <w:vertAlign w:val="subscript"/>
                      </w:rPr>
                    </m:ctrlPr>
                  </m:dPr>
                  <m:e>
                    <m:f>
                      <m:fPr>
                        <m:ctrlPr>
                          <w:rPr>
                            <w:rFonts w:ascii="Cambria Math" w:hAnsi="Cambria Math" w:cs="Arial"/>
                            <w:i/>
                            <w:sz w:val="18"/>
                            <w:szCs w:val="18"/>
                            <w:vertAlign w:val="subscript"/>
                          </w:rPr>
                        </m:ctrlPr>
                      </m:fPr>
                      <m:num>
                        <m:sSub>
                          <m:sSubPr>
                            <m:ctrlPr>
                              <w:rPr>
                                <w:rFonts w:ascii="Cambria Math" w:hAnsi="Cambria Math" w:cs="Arial"/>
                                <w:i/>
                                <w:sz w:val="18"/>
                                <w:szCs w:val="18"/>
                                <w:vertAlign w:val="subscript"/>
                              </w:rPr>
                            </m:ctrlPr>
                          </m:sSubPr>
                          <m:e>
                            <m:r>
                              <w:rPr>
                                <w:rFonts w:ascii="Cambria Math" w:hAnsi="Cambria Math" w:cs="Arial"/>
                                <w:sz w:val="18"/>
                                <w:szCs w:val="18"/>
                                <w:vertAlign w:val="subscript"/>
                              </w:rPr>
                              <m:t>f</m:t>
                            </m:r>
                          </m:e>
                          <m:sub>
                            <m:r>
                              <w:rPr>
                                <w:rFonts w:ascii="Cambria Math" w:hAnsi="Cambria Math" w:cs="Arial"/>
                                <w:sz w:val="18"/>
                                <w:szCs w:val="18"/>
                                <w:vertAlign w:val="subscript"/>
                              </w:rPr>
                              <m:t>offset</m:t>
                            </m:r>
                          </m:sub>
                        </m:sSub>
                      </m:num>
                      <m:den>
                        <m:r>
                          <w:rPr>
                            <w:rFonts w:ascii="Cambria Math" w:hAnsi="Cambria Math" w:cs="Arial"/>
                            <w:sz w:val="18"/>
                            <w:szCs w:val="18"/>
                            <w:vertAlign w:val="subscript"/>
                          </w:rPr>
                          <m:t>MHz</m:t>
                        </m:r>
                      </m:den>
                    </m:f>
                    <m:r>
                      <w:rPr>
                        <w:rFonts w:ascii="Cambria Math" w:hAnsi="Cambria Math" w:cs="Arial"/>
                        <w:sz w:val="18"/>
                        <w:szCs w:val="18"/>
                        <w:vertAlign w:val="subscript"/>
                      </w:rPr>
                      <m:t>-0.05</m:t>
                    </m:r>
                  </m:e>
                </m:d>
                <m:r>
                  <w:rPr>
                    <w:rFonts w:ascii="Cambria Math" w:hAnsi="Cambria Math" w:cs="Arial"/>
                    <w:sz w:val="18"/>
                    <w:szCs w:val="18"/>
                    <w:vertAlign w:val="subscript"/>
                  </w:rPr>
                  <m:t>dB</m:t>
                </m:r>
              </m:oMath>
            </m:oMathPara>
          </w:p>
        </w:tc>
        <w:tc>
          <w:tcPr>
            <w:tcW w:w="1560" w:type="dxa"/>
          </w:tcPr>
          <w:p w14:paraId="411B5FD6" w14:textId="77777777" w:rsidR="00B91554" w:rsidRPr="008C4645" w:rsidRDefault="00B91554">
            <w:pPr>
              <w:keepNext/>
              <w:keepLines/>
              <w:spacing w:after="0"/>
              <w:contextualSpacing/>
              <w:jc w:val="center"/>
              <w:rPr>
                <w:rFonts w:cs="Arial"/>
                <w:sz w:val="18"/>
                <w:szCs w:val="18"/>
              </w:rPr>
            </w:pPr>
            <w:r w:rsidRPr="008C4645">
              <w:rPr>
                <w:rFonts w:cs="Arial"/>
                <w:sz w:val="18"/>
                <w:szCs w:val="18"/>
              </w:rPr>
              <w:t>100 kHz</w:t>
            </w:r>
          </w:p>
        </w:tc>
      </w:tr>
      <w:tr w:rsidR="00B91554" w:rsidRPr="008C4645" w14:paraId="3F0B444B" w14:textId="77777777">
        <w:trPr>
          <w:jc w:val="center"/>
        </w:trPr>
        <w:tc>
          <w:tcPr>
            <w:tcW w:w="2972" w:type="dxa"/>
            <w:shd w:val="clear" w:color="auto" w:fill="FFFFFF" w:themeFill="background1"/>
          </w:tcPr>
          <w:p w14:paraId="5A0E1AC4" w14:textId="77777777" w:rsidR="00B91554" w:rsidRPr="008C4645" w:rsidRDefault="00B91554">
            <w:pPr>
              <w:keepNext/>
              <w:keepLines/>
              <w:spacing w:after="0"/>
              <w:contextualSpacing/>
              <w:jc w:val="center"/>
              <w:rPr>
                <w:rFonts w:cs="Arial"/>
                <w:sz w:val="18"/>
                <w:szCs w:val="18"/>
              </w:rPr>
            </w:pPr>
            <w:r w:rsidRPr="008C4645">
              <w:rPr>
                <w:rFonts w:cs="Arial"/>
                <w:sz w:val="18"/>
                <w:szCs w:val="18"/>
              </w:rPr>
              <w:t>1 MHz</w:t>
            </w:r>
            <w:r w:rsidRPr="008C4645">
              <w:rPr>
                <w:rFonts w:cs="Arial"/>
                <w:spacing w:val="13"/>
                <w:sz w:val="18"/>
                <w:szCs w:val="18"/>
              </w:rPr>
              <w:t xml:space="preserve"> </w:t>
            </w:r>
            <w:r w:rsidRPr="008C4645">
              <w:rPr>
                <w:rFonts w:cs="Arial"/>
              </w:rPr>
              <w:t>≤</w:t>
            </w:r>
            <w:r w:rsidRPr="008C4645">
              <w:rPr>
                <w:rFonts w:cs="Arial"/>
                <w:spacing w:val="11"/>
                <w:sz w:val="18"/>
                <w:szCs w:val="18"/>
                <w:u w:val="single" w:color="000000"/>
              </w:rPr>
              <w:t xml:space="preserve"> </w:t>
            </w:r>
            <w:proofErr w:type="spellStart"/>
            <w:r w:rsidRPr="008C4645">
              <w:rPr>
                <w:rFonts w:cs="Arial"/>
                <w:sz w:val="18"/>
                <w:szCs w:val="18"/>
              </w:rPr>
              <w:t>f</w:t>
            </w:r>
            <w:r w:rsidRPr="008C4645">
              <w:rPr>
                <w:rFonts w:cs="Arial"/>
                <w:sz w:val="18"/>
                <w:szCs w:val="18"/>
                <w:vertAlign w:val="subscript"/>
              </w:rPr>
              <w:t>offset</w:t>
            </w:r>
            <w:proofErr w:type="spellEnd"/>
            <w:r w:rsidRPr="008C4645">
              <w:rPr>
                <w:rFonts w:cs="Arial"/>
                <w:spacing w:val="27"/>
                <w:position w:val="-1"/>
                <w:sz w:val="18"/>
                <w:szCs w:val="18"/>
              </w:rPr>
              <w:t xml:space="preserve"> </w:t>
            </w:r>
            <w:r w:rsidRPr="003C03D5">
              <w:rPr>
                <w:rFonts w:cs="Arial"/>
              </w:rPr>
              <w:t>&lt;</w:t>
            </w:r>
            <w:r w:rsidRPr="003C03D5">
              <w:rPr>
                <w:rFonts w:cs="Arial"/>
                <w:spacing w:val="1"/>
                <w:sz w:val="18"/>
                <w:szCs w:val="18"/>
              </w:rPr>
              <w:t xml:space="preserve"> </w:t>
            </w:r>
            <w:r>
              <w:rPr>
                <w:rFonts w:cs="Arial"/>
                <w:spacing w:val="1"/>
                <w:sz w:val="18"/>
                <w:szCs w:val="18"/>
              </w:rPr>
              <w:t>3</w:t>
            </w:r>
            <w:r w:rsidRPr="003C03D5">
              <w:rPr>
                <w:rFonts w:cs="Arial"/>
                <w:spacing w:val="1"/>
                <w:sz w:val="18"/>
                <w:szCs w:val="18"/>
              </w:rPr>
              <w:t xml:space="preserve"> MHz</w:t>
            </w:r>
          </w:p>
        </w:tc>
        <w:tc>
          <w:tcPr>
            <w:tcW w:w="3260" w:type="dxa"/>
            <w:shd w:val="clear" w:color="auto" w:fill="FFFFFF" w:themeFill="background1"/>
          </w:tcPr>
          <w:p w14:paraId="6A25AFFC" w14:textId="77777777" w:rsidR="00B91554" w:rsidRPr="008C4645" w:rsidRDefault="00B91554">
            <w:pPr>
              <w:keepNext/>
              <w:keepLines/>
              <w:spacing w:after="0"/>
              <w:contextualSpacing/>
              <w:jc w:val="center"/>
              <w:rPr>
                <w:rFonts w:cs="Arial"/>
                <w:sz w:val="18"/>
                <w:szCs w:val="18"/>
              </w:rPr>
            </w:pPr>
            <m:oMathPara>
              <m:oMath>
                <m:r>
                  <w:rPr>
                    <w:rFonts w:ascii="Cambria Math" w:hAnsi="Cambria Math" w:cs="Arial"/>
                    <w:sz w:val="18"/>
                    <w:szCs w:val="18"/>
                    <w:vertAlign w:val="subscript"/>
                  </w:rPr>
                  <m:t>-1.66 dBm-7.12</m:t>
                </m:r>
                <m:d>
                  <m:dPr>
                    <m:ctrlPr>
                      <w:rPr>
                        <w:rFonts w:ascii="Cambria Math" w:hAnsi="Cambria Math" w:cs="Arial"/>
                        <w:i/>
                        <w:sz w:val="18"/>
                        <w:szCs w:val="18"/>
                        <w:vertAlign w:val="subscript"/>
                      </w:rPr>
                    </m:ctrlPr>
                  </m:dPr>
                  <m:e>
                    <m:f>
                      <m:fPr>
                        <m:ctrlPr>
                          <w:rPr>
                            <w:rFonts w:ascii="Cambria Math" w:hAnsi="Cambria Math" w:cs="Arial"/>
                            <w:i/>
                            <w:sz w:val="18"/>
                            <w:szCs w:val="18"/>
                            <w:vertAlign w:val="subscript"/>
                          </w:rPr>
                        </m:ctrlPr>
                      </m:fPr>
                      <m:num>
                        <m:sSub>
                          <m:sSubPr>
                            <m:ctrlPr>
                              <w:rPr>
                                <w:rFonts w:ascii="Cambria Math" w:hAnsi="Cambria Math" w:cs="Arial"/>
                                <w:i/>
                                <w:sz w:val="18"/>
                                <w:szCs w:val="18"/>
                                <w:vertAlign w:val="subscript"/>
                              </w:rPr>
                            </m:ctrlPr>
                          </m:sSubPr>
                          <m:e>
                            <m:r>
                              <w:rPr>
                                <w:rFonts w:ascii="Cambria Math" w:hAnsi="Cambria Math" w:cs="Arial"/>
                                <w:sz w:val="18"/>
                                <w:szCs w:val="18"/>
                                <w:vertAlign w:val="subscript"/>
                              </w:rPr>
                              <m:t>f</m:t>
                            </m:r>
                          </m:e>
                          <m:sub>
                            <m:r>
                              <w:rPr>
                                <w:rFonts w:ascii="Cambria Math" w:hAnsi="Cambria Math" w:cs="Arial"/>
                                <w:sz w:val="18"/>
                                <w:szCs w:val="18"/>
                                <w:vertAlign w:val="subscript"/>
                              </w:rPr>
                              <m:t>offset</m:t>
                            </m:r>
                          </m:sub>
                        </m:sSub>
                      </m:num>
                      <m:den>
                        <m:r>
                          <w:rPr>
                            <w:rFonts w:ascii="Cambria Math" w:hAnsi="Cambria Math" w:cs="Arial"/>
                            <w:sz w:val="18"/>
                            <w:szCs w:val="18"/>
                            <w:vertAlign w:val="subscript"/>
                          </w:rPr>
                          <m:t>MHz</m:t>
                        </m:r>
                      </m:den>
                    </m:f>
                    <m:r>
                      <w:rPr>
                        <w:rFonts w:ascii="Cambria Math" w:hAnsi="Cambria Math" w:cs="Arial"/>
                        <w:sz w:val="18"/>
                        <w:szCs w:val="18"/>
                        <w:vertAlign w:val="subscript"/>
                      </w:rPr>
                      <m:t>-0.05</m:t>
                    </m:r>
                  </m:e>
                </m:d>
                <m:r>
                  <w:rPr>
                    <w:rFonts w:ascii="Cambria Math" w:hAnsi="Cambria Math" w:cs="Arial"/>
                    <w:sz w:val="18"/>
                    <w:szCs w:val="18"/>
                    <w:vertAlign w:val="subscript"/>
                  </w:rPr>
                  <m:t>dB</m:t>
                </m:r>
              </m:oMath>
            </m:oMathPara>
          </w:p>
        </w:tc>
        <w:tc>
          <w:tcPr>
            <w:tcW w:w="1560" w:type="dxa"/>
            <w:shd w:val="clear" w:color="auto" w:fill="FFFFFF" w:themeFill="background1"/>
          </w:tcPr>
          <w:p w14:paraId="42DD4E22" w14:textId="77777777" w:rsidR="00B91554" w:rsidRPr="008C4645" w:rsidRDefault="00B91554">
            <w:pPr>
              <w:keepNext/>
              <w:keepLines/>
              <w:spacing w:after="0"/>
              <w:contextualSpacing/>
              <w:jc w:val="center"/>
              <w:rPr>
                <w:rFonts w:cs="Arial"/>
                <w:sz w:val="18"/>
                <w:szCs w:val="18"/>
              </w:rPr>
            </w:pPr>
            <w:r w:rsidRPr="008C4645">
              <w:rPr>
                <w:rFonts w:cs="Arial"/>
                <w:sz w:val="18"/>
                <w:szCs w:val="18"/>
              </w:rPr>
              <w:t>100 kHz</w:t>
            </w:r>
          </w:p>
        </w:tc>
      </w:tr>
      <w:tr w:rsidR="00B91554" w:rsidRPr="008C4645" w14:paraId="008A3685" w14:textId="77777777">
        <w:trPr>
          <w:trHeight w:val="475"/>
          <w:jc w:val="center"/>
        </w:trPr>
        <w:tc>
          <w:tcPr>
            <w:tcW w:w="2972" w:type="dxa"/>
            <w:shd w:val="clear" w:color="auto" w:fill="FFFFFF" w:themeFill="background1"/>
            <w:vAlign w:val="center"/>
          </w:tcPr>
          <w:p w14:paraId="2E47D833" w14:textId="77777777" w:rsidR="00B91554" w:rsidRPr="008C4645" w:rsidRDefault="00B91554">
            <w:pPr>
              <w:keepNext/>
              <w:keepLines/>
              <w:spacing w:after="0"/>
              <w:contextualSpacing/>
              <w:jc w:val="center"/>
              <w:rPr>
                <w:rFonts w:cs="Arial"/>
                <w:sz w:val="18"/>
                <w:szCs w:val="18"/>
              </w:rPr>
            </w:pPr>
            <w:r>
              <w:rPr>
                <w:rFonts w:cs="Arial"/>
                <w:sz w:val="18"/>
                <w:szCs w:val="18"/>
              </w:rPr>
              <w:t>3</w:t>
            </w:r>
            <w:r w:rsidRPr="008C4645">
              <w:rPr>
                <w:rFonts w:cs="Arial"/>
                <w:sz w:val="18"/>
                <w:szCs w:val="18"/>
              </w:rPr>
              <w:t xml:space="preserve"> MHz</w:t>
            </w:r>
            <w:r w:rsidRPr="008C4645">
              <w:rPr>
                <w:rFonts w:cs="Arial"/>
                <w:spacing w:val="13"/>
                <w:sz w:val="18"/>
                <w:szCs w:val="18"/>
              </w:rPr>
              <w:t xml:space="preserve"> </w:t>
            </w:r>
            <w:r w:rsidRPr="008C4645">
              <w:rPr>
                <w:rFonts w:cs="Arial"/>
              </w:rPr>
              <w:t>≤</w:t>
            </w:r>
            <w:r w:rsidRPr="008C4645">
              <w:rPr>
                <w:rFonts w:cs="Arial"/>
                <w:spacing w:val="11"/>
                <w:sz w:val="18"/>
                <w:szCs w:val="18"/>
                <w:u w:val="single" w:color="000000"/>
              </w:rPr>
              <w:t xml:space="preserve"> </w:t>
            </w:r>
            <w:proofErr w:type="spellStart"/>
            <w:r w:rsidRPr="008C4645">
              <w:rPr>
                <w:rFonts w:cs="Arial"/>
                <w:sz w:val="18"/>
                <w:szCs w:val="18"/>
              </w:rPr>
              <w:t>f</w:t>
            </w:r>
            <w:r w:rsidRPr="008C4645">
              <w:rPr>
                <w:rFonts w:cs="Arial"/>
                <w:sz w:val="18"/>
                <w:szCs w:val="18"/>
                <w:vertAlign w:val="subscript"/>
              </w:rPr>
              <w:t>offset</w:t>
            </w:r>
            <w:proofErr w:type="spellEnd"/>
            <w:r w:rsidRPr="008C4645">
              <w:rPr>
                <w:rFonts w:cs="Arial"/>
                <w:spacing w:val="27"/>
                <w:position w:val="-1"/>
                <w:sz w:val="18"/>
                <w:szCs w:val="18"/>
              </w:rPr>
              <w:t xml:space="preserve"> </w:t>
            </w:r>
            <w:r w:rsidRPr="003C03D5">
              <w:rPr>
                <w:rFonts w:cs="Arial"/>
              </w:rPr>
              <w:t>&lt;</w:t>
            </w:r>
            <w:r w:rsidRPr="003C03D5">
              <w:rPr>
                <w:rFonts w:cs="Arial"/>
                <w:spacing w:val="1"/>
                <w:sz w:val="18"/>
                <w:szCs w:val="18"/>
              </w:rPr>
              <w:t xml:space="preserve"> 5 MHz</w:t>
            </w:r>
          </w:p>
        </w:tc>
        <w:tc>
          <w:tcPr>
            <w:tcW w:w="3260" w:type="dxa"/>
            <w:shd w:val="clear" w:color="auto" w:fill="FFFFFF" w:themeFill="background1"/>
            <w:vAlign w:val="center"/>
          </w:tcPr>
          <w:p w14:paraId="153DE609" w14:textId="77777777" w:rsidR="00B91554" w:rsidRPr="0023093F" w:rsidRDefault="00B91554">
            <w:pPr>
              <w:keepNext/>
              <w:keepLines/>
              <w:spacing w:after="0"/>
              <w:contextualSpacing/>
              <w:jc w:val="center"/>
              <w:rPr>
                <w:rFonts w:cs="Arial"/>
                <w:sz w:val="18"/>
                <w:szCs w:val="18"/>
              </w:rPr>
            </w:pPr>
            <w:r>
              <w:rPr>
                <w:rFonts w:cs="Arial"/>
                <w:sz w:val="18"/>
                <w:szCs w:val="18"/>
              </w:rPr>
              <w:t>-13</w:t>
            </w:r>
          </w:p>
        </w:tc>
        <w:tc>
          <w:tcPr>
            <w:tcW w:w="1560" w:type="dxa"/>
            <w:shd w:val="clear" w:color="auto" w:fill="FFFFFF" w:themeFill="background1"/>
            <w:vAlign w:val="center"/>
          </w:tcPr>
          <w:p w14:paraId="02AEA204" w14:textId="77777777" w:rsidR="00B91554" w:rsidRPr="008C4645" w:rsidRDefault="00B91554">
            <w:pPr>
              <w:keepNext/>
              <w:keepLines/>
              <w:spacing w:after="0"/>
              <w:contextualSpacing/>
              <w:jc w:val="center"/>
              <w:rPr>
                <w:rFonts w:cs="Arial"/>
                <w:sz w:val="18"/>
                <w:szCs w:val="18"/>
              </w:rPr>
            </w:pPr>
            <w:r>
              <w:rPr>
                <w:rFonts w:cs="Arial"/>
                <w:sz w:val="18"/>
                <w:szCs w:val="18"/>
              </w:rPr>
              <w:t>1 MHz</w:t>
            </w:r>
          </w:p>
        </w:tc>
      </w:tr>
    </w:tbl>
    <w:p w14:paraId="0BD2F400" w14:textId="77777777" w:rsidR="00B91554" w:rsidRDefault="00B91554" w:rsidP="00B91554">
      <w:pPr>
        <w:pStyle w:val="Spaceaftertable"/>
      </w:pPr>
    </w:p>
    <w:p w14:paraId="36E75740" w14:textId="77777777" w:rsidR="00B91554" w:rsidRDefault="00B91554" w:rsidP="00B91554">
      <w:pPr>
        <w:pStyle w:val="ACMATableHeader"/>
        <w:keepNext/>
        <w:keepLines/>
        <w:spacing w:line="240" w:lineRule="atLeast"/>
      </w:pPr>
      <w:r>
        <w:rPr>
          <w:rFonts w:cs="Arial"/>
        </w:rPr>
        <w:t>U</w:t>
      </w:r>
      <w:r w:rsidRPr="007D04B2">
        <w:rPr>
          <w:rFonts w:cs="Arial"/>
        </w:rPr>
        <w:t>nwanted emission limits</w:t>
      </w:r>
      <w:r>
        <w:rPr>
          <w:rFonts w:cs="Arial"/>
        </w:rPr>
        <w:t xml:space="preserve"> in 2615 MHz to 2620 MHz for transmitters operating in the upper 2.5 GHz band </w:t>
      </w:r>
      <w:r w:rsidRPr="007D04B2">
        <w:rPr>
          <w:rFonts w:cs="Arial"/>
        </w:rPr>
        <w:t>–</w:t>
      </w:r>
      <w:r>
        <w:rPr>
          <w:rFonts w:cs="Arial"/>
        </w:rPr>
        <w:t xml:space="preserve"> AAS </w:t>
      </w:r>
      <w:r w:rsidRPr="007D04B2">
        <w:rPr>
          <w:rFonts w:cs="Arial"/>
        </w:rPr>
        <w:t>devices</w:t>
      </w:r>
    </w:p>
    <w:tbl>
      <w:tblPr>
        <w:tblStyle w:val="TableGrid"/>
        <w:tblW w:w="7792" w:type="dxa"/>
        <w:jc w:val="center"/>
        <w:tblLook w:val="04A0" w:firstRow="1" w:lastRow="0" w:firstColumn="1" w:lastColumn="0" w:noHBand="0" w:noVBand="1"/>
      </w:tblPr>
      <w:tblGrid>
        <w:gridCol w:w="2972"/>
        <w:gridCol w:w="3260"/>
        <w:gridCol w:w="1560"/>
      </w:tblGrid>
      <w:tr w:rsidR="00B91554" w:rsidRPr="008C4645" w14:paraId="0FC24932" w14:textId="77777777">
        <w:trPr>
          <w:jc w:val="center"/>
        </w:trPr>
        <w:tc>
          <w:tcPr>
            <w:tcW w:w="2972" w:type="dxa"/>
            <w:shd w:val="clear" w:color="auto" w:fill="404040" w:themeFill="text1" w:themeFillTint="BF"/>
          </w:tcPr>
          <w:p w14:paraId="640B1561" w14:textId="2685282B" w:rsidR="00B91554" w:rsidRPr="008C4645" w:rsidRDefault="00B91554">
            <w:pPr>
              <w:keepNext/>
              <w:keepLines/>
              <w:spacing w:after="0"/>
              <w:contextualSpacing/>
              <w:jc w:val="center"/>
              <w:rPr>
                <w:rFonts w:cs="Arial"/>
                <w:b/>
                <w:color w:val="FFFFFF" w:themeColor="background1"/>
              </w:rPr>
            </w:pPr>
            <w:r w:rsidRPr="008C4645">
              <w:rPr>
                <w:rFonts w:cs="Arial"/>
                <w:b/>
                <w:color w:val="FFFFFF" w:themeColor="background1"/>
              </w:rPr>
              <w:t xml:space="preserve">Frequency offset </w:t>
            </w:r>
            <w:r w:rsidR="003C5DC2">
              <w:rPr>
                <w:rFonts w:cs="Arial"/>
                <w:b/>
                <w:color w:val="FFFFFF" w:themeColor="background1"/>
              </w:rPr>
              <w:t>from 2620 MHz</w:t>
            </w:r>
            <w:r w:rsidRPr="00452A31">
              <w:rPr>
                <w:rFonts w:cs="Arial"/>
                <w:b/>
                <w:color w:val="FFFFFF" w:themeColor="background1"/>
              </w:rPr>
              <w:t>(</w:t>
            </w:r>
            <w:proofErr w:type="spellStart"/>
            <w:r w:rsidRPr="00452A31">
              <w:rPr>
                <w:rFonts w:cs="Arial"/>
                <w:b/>
                <w:color w:val="FFFFFF" w:themeColor="background1"/>
              </w:rPr>
              <w:t>f</w:t>
            </w:r>
            <w:r w:rsidRPr="00452A31">
              <w:rPr>
                <w:rFonts w:cs="Arial"/>
                <w:b/>
                <w:color w:val="FFFFFF" w:themeColor="background1"/>
                <w:vertAlign w:val="subscript"/>
              </w:rPr>
              <w:t>offset</w:t>
            </w:r>
            <w:proofErr w:type="spellEnd"/>
            <w:r w:rsidRPr="00452A31">
              <w:rPr>
                <w:rFonts w:cs="Arial"/>
                <w:b/>
                <w:color w:val="FFFFFF" w:themeColor="background1"/>
              </w:rPr>
              <w:t>)</w:t>
            </w:r>
          </w:p>
        </w:tc>
        <w:tc>
          <w:tcPr>
            <w:tcW w:w="3260" w:type="dxa"/>
            <w:shd w:val="clear" w:color="auto" w:fill="404040" w:themeFill="text1" w:themeFillTint="BF"/>
          </w:tcPr>
          <w:p w14:paraId="18400FFE" w14:textId="317FF658" w:rsidR="00B91554" w:rsidRPr="008C4645" w:rsidRDefault="00B91554">
            <w:pPr>
              <w:keepNext/>
              <w:keepLines/>
              <w:spacing w:after="0"/>
              <w:contextualSpacing/>
              <w:jc w:val="center"/>
              <w:rPr>
                <w:rFonts w:cs="Arial"/>
                <w:b/>
                <w:color w:val="FFFFFF" w:themeColor="background1"/>
              </w:rPr>
            </w:pPr>
            <w:r w:rsidRPr="00C63246">
              <w:rPr>
                <w:rFonts w:cs="Arial"/>
                <w:b/>
                <w:color w:val="FFFFFF" w:themeColor="background1"/>
              </w:rPr>
              <w:t xml:space="preserve">Total radiated power per </w:t>
            </w:r>
            <w:r w:rsidR="00181AA2">
              <w:rPr>
                <w:rFonts w:cs="Arial"/>
                <w:b/>
                <w:color w:val="FFFFFF" w:themeColor="background1"/>
              </w:rPr>
              <w:t>cell/</w:t>
            </w:r>
            <w:r w:rsidRPr="00C63246">
              <w:rPr>
                <w:rFonts w:cs="Arial"/>
                <w:b/>
                <w:color w:val="FFFFFF" w:themeColor="background1"/>
              </w:rPr>
              <w:t>sector (dBm)</w:t>
            </w:r>
          </w:p>
        </w:tc>
        <w:tc>
          <w:tcPr>
            <w:tcW w:w="1560" w:type="dxa"/>
            <w:shd w:val="clear" w:color="auto" w:fill="404040" w:themeFill="text1" w:themeFillTint="BF"/>
          </w:tcPr>
          <w:p w14:paraId="6CB2505F" w14:textId="77777777" w:rsidR="00B91554" w:rsidRPr="008C4645" w:rsidRDefault="00B91554">
            <w:pPr>
              <w:keepNext/>
              <w:keepLines/>
              <w:spacing w:after="0"/>
              <w:contextualSpacing/>
              <w:jc w:val="center"/>
              <w:rPr>
                <w:rFonts w:cs="Arial"/>
                <w:b/>
                <w:color w:val="FFFFFF" w:themeColor="background1"/>
              </w:rPr>
            </w:pPr>
            <w:r w:rsidRPr="008C4645">
              <w:rPr>
                <w:rFonts w:cs="Arial"/>
                <w:b/>
                <w:color w:val="FFFFFF" w:themeColor="background1"/>
              </w:rPr>
              <w:t>Measurement bandwidth</w:t>
            </w:r>
          </w:p>
        </w:tc>
      </w:tr>
      <w:tr w:rsidR="00B91554" w:rsidRPr="008C4645" w14:paraId="0DAB06C3" w14:textId="77777777">
        <w:trPr>
          <w:jc w:val="center"/>
        </w:trPr>
        <w:tc>
          <w:tcPr>
            <w:tcW w:w="2972" w:type="dxa"/>
          </w:tcPr>
          <w:p w14:paraId="2B7EC03B" w14:textId="77777777" w:rsidR="00B91554" w:rsidRPr="008C4645" w:rsidRDefault="00B91554">
            <w:pPr>
              <w:keepNext/>
              <w:keepLines/>
              <w:spacing w:after="0"/>
              <w:contextualSpacing/>
              <w:jc w:val="center"/>
              <w:rPr>
                <w:rFonts w:cs="Arial"/>
                <w:sz w:val="16"/>
                <w:szCs w:val="16"/>
                <w:u w:val="single"/>
              </w:rPr>
            </w:pPr>
            <w:r w:rsidRPr="008C4645">
              <w:rPr>
                <w:rFonts w:cs="Arial"/>
                <w:sz w:val="18"/>
                <w:szCs w:val="18"/>
              </w:rPr>
              <w:t>0 MHz</w:t>
            </w:r>
            <w:r w:rsidRPr="008C4645">
              <w:rPr>
                <w:rFonts w:cs="Arial"/>
                <w:spacing w:val="13"/>
                <w:sz w:val="18"/>
                <w:szCs w:val="18"/>
              </w:rPr>
              <w:t xml:space="preserve"> </w:t>
            </w:r>
            <w:r w:rsidRPr="008C4645">
              <w:rPr>
                <w:rFonts w:cs="Arial"/>
              </w:rPr>
              <w:t xml:space="preserve">≤ </w:t>
            </w:r>
            <w:proofErr w:type="spellStart"/>
            <w:r w:rsidRPr="008C4645">
              <w:rPr>
                <w:rFonts w:cs="Arial"/>
                <w:sz w:val="18"/>
                <w:szCs w:val="18"/>
              </w:rPr>
              <w:t>f</w:t>
            </w:r>
            <w:r w:rsidRPr="008C4645">
              <w:rPr>
                <w:rFonts w:cs="Arial"/>
                <w:sz w:val="18"/>
                <w:szCs w:val="18"/>
                <w:vertAlign w:val="subscript"/>
              </w:rPr>
              <w:t>offset</w:t>
            </w:r>
            <w:proofErr w:type="spellEnd"/>
            <w:r w:rsidRPr="008C4645">
              <w:rPr>
                <w:rFonts w:cs="Arial"/>
                <w:spacing w:val="27"/>
                <w:position w:val="-1"/>
                <w:sz w:val="18"/>
                <w:szCs w:val="18"/>
              </w:rPr>
              <w:t xml:space="preserve"> </w:t>
            </w:r>
            <w:r w:rsidRPr="008C4645">
              <w:rPr>
                <w:rFonts w:cs="Arial"/>
              </w:rPr>
              <w:t>&lt;</w:t>
            </w:r>
            <w:r w:rsidRPr="008C4645">
              <w:rPr>
                <w:rFonts w:cs="Arial"/>
                <w:spacing w:val="1"/>
                <w:sz w:val="18"/>
                <w:szCs w:val="18"/>
              </w:rPr>
              <w:t xml:space="preserve"> </w:t>
            </w:r>
            <w:r>
              <w:rPr>
                <w:rFonts w:cs="Arial"/>
                <w:spacing w:val="1"/>
                <w:sz w:val="18"/>
                <w:szCs w:val="18"/>
              </w:rPr>
              <w:t>1</w:t>
            </w:r>
            <w:r w:rsidRPr="008C4645">
              <w:rPr>
                <w:rFonts w:cs="Arial"/>
                <w:spacing w:val="1"/>
                <w:sz w:val="18"/>
                <w:szCs w:val="18"/>
              </w:rPr>
              <w:t xml:space="preserve"> MHz</w:t>
            </w:r>
          </w:p>
        </w:tc>
        <w:tc>
          <w:tcPr>
            <w:tcW w:w="3260" w:type="dxa"/>
          </w:tcPr>
          <w:p w14:paraId="38A172B2" w14:textId="77777777" w:rsidR="00B91554" w:rsidRPr="008C4645" w:rsidRDefault="00B91554">
            <w:pPr>
              <w:keepNext/>
              <w:keepLines/>
              <w:spacing w:after="0"/>
              <w:contextualSpacing/>
              <w:jc w:val="center"/>
              <w:rPr>
                <w:rFonts w:cs="Arial"/>
                <w:sz w:val="18"/>
                <w:szCs w:val="18"/>
                <w:vertAlign w:val="subscript"/>
              </w:rPr>
            </w:pPr>
            <m:oMathPara>
              <m:oMath>
                <m:r>
                  <w:rPr>
                    <w:rFonts w:ascii="Cambria Math" w:hAnsi="Cambria Math" w:cs="Arial"/>
                    <w:sz w:val="18"/>
                    <w:szCs w:val="18"/>
                    <w:vertAlign w:val="subscript"/>
                  </w:rPr>
                  <m:t>2dBm-</m:t>
                </m:r>
                <m:f>
                  <m:fPr>
                    <m:ctrlPr>
                      <w:rPr>
                        <w:rFonts w:ascii="Cambria Math" w:hAnsi="Cambria Math" w:cs="Arial"/>
                        <w:i/>
                        <w:sz w:val="18"/>
                        <w:szCs w:val="18"/>
                        <w:vertAlign w:val="subscript"/>
                      </w:rPr>
                    </m:ctrlPr>
                  </m:fPr>
                  <m:num>
                    <m:r>
                      <w:rPr>
                        <w:rFonts w:ascii="Cambria Math" w:hAnsi="Cambria Math" w:cs="Arial"/>
                        <w:sz w:val="18"/>
                        <w:szCs w:val="18"/>
                        <w:vertAlign w:val="subscript"/>
                      </w:rPr>
                      <m:t>7</m:t>
                    </m:r>
                  </m:num>
                  <m:den>
                    <m:r>
                      <w:rPr>
                        <w:rFonts w:ascii="Cambria Math" w:hAnsi="Cambria Math" w:cs="Arial"/>
                        <w:sz w:val="18"/>
                        <w:szCs w:val="18"/>
                        <w:vertAlign w:val="subscript"/>
                      </w:rPr>
                      <m:t>5</m:t>
                    </m:r>
                  </m:den>
                </m:f>
                <m:d>
                  <m:dPr>
                    <m:ctrlPr>
                      <w:rPr>
                        <w:rFonts w:ascii="Cambria Math" w:hAnsi="Cambria Math" w:cs="Arial"/>
                        <w:i/>
                        <w:sz w:val="18"/>
                        <w:szCs w:val="18"/>
                        <w:vertAlign w:val="subscript"/>
                      </w:rPr>
                    </m:ctrlPr>
                  </m:dPr>
                  <m:e>
                    <m:f>
                      <m:fPr>
                        <m:ctrlPr>
                          <w:rPr>
                            <w:rFonts w:ascii="Cambria Math" w:hAnsi="Cambria Math" w:cs="Arial"/>
                            <w:i/>
                            <w:sz w:val="18"/>
                            <w:szCs w:val="18"/>
                            <w:vertAlign w:val="subscript"/>
                          </w:rPr>
                        </m:ctrlPr>
                      </m:fPr>
                      <m:num>
                        <m:sSub>
                          <m:sSubPr>
                            <m:ctrlPr>
                              <w:rPr>
                                <w:rFonts w:ascii="Cambria Math" w:hAnsi="Cambria Math" w:cs="Arial"/>
                                <w:i/>
                                <w:sz w:val="18"/>
                                <w:szCs w:val="18"/>
                                <w:vertAlign w:val="subscript"/>
                              </w:rPr>
                            </m:ctrlPr>
                          </m:sSubPr>
                          <m:e>
                            <m:r>
                              <w:rPr>
                                <w:rFonts w:ascii="Cambria Math" w:hAnsi="Cambria Math" w:cs="Arial"/>
                                <w:sz w:val="18"/>
                                <w:szCs w:val="18"/>
                                <w:vertAlign w:val="subscript"/>
                              </w:rPr>
                              <m:t>f</m:t>
                            </m:r>
                          </m:e>
                          <m:sub>
                            <m:r>
                              <w:rPr>
                                <w:rFonts w:ascii="Cambria Math" w:hAnsi="Cambria Math" w:cs="Arial"/>
                                <w:sz w:val="18"/>
                                <w:szCs w:val="18"/>
                                <w:vertAlign w:val="subscript"/>
                              </w:rPr>
                              <m:t>offset</m:t>
                            </m:r>
                          </m:sub>
                        </m:sSub>
                      </m:num>
                      <m:den>
                        <m:r>
                          <w:rPr>
                            <w:rFonts w:ascii="Cambria Math" w:hAnsi="Cambria Math" w:cs="Arial"/>
                            <w:sz w:val="18"/>
                            <w:szCs w:val="18"/>
                            <w:vertAlign w:val="subscript"/>
                          </w:rPr>
                          <m:t>MHz</m:t>
                        </m:r>
                      </m:den>
                    </m:f>
                    <m:r>
                      <w:rPr>
                        <w:rFonts w:ascii="Cambria Math" w:hAnsi="Cambria Math" w:cs="Arial"/>
                        <w:sz w:val="18"/>
                        <w:szCs w:val="18"/>
                        <w:vertAlign w:val="subscript"/>
                      </w:rPr>
                      <m:t>-0.05</m:t>
                    </m:r>
                  </m:e>
                </m:d>
                <m:r>
                  <w:rPr>
                    <w:rFonts w:ascii="Cambria Math" w:hAnsi="Cambria Math" w:cs="Arial"/>
                    <w:sz w:val="18"/>
                    <w:szCs w:val="18"/>
                    <w:vertAlign w:val="subscript"/>
                  </w:rPr>
                  <m:t>dB</m:t>
                </m:r>
              </m:oMath>
            </m:oMathPara>
          </w:p>
        </w:tc>
        <w:tc>
          <w:tcPr>
            <w:tcW w:w="1560" w:type="dxa"/>
          </w:tcPr>
          <w:p w14:paraId="24B9F9A5" w14:textId="77777777" w:rsidR="00B91554" w:rsidRPr="008C4645" w:rsidRDefault="00B91554">
            <w:pPr>
              <w:keepNext/>
              <w:keepLines/>
              <w:spacing w:after="0"/>
              <w:contextualSpacing/>
              <w:jc w:val="center"/>
              <w:rPr>
                <w:rFonts w:cs="Arial"/>
                <w:sz w:val="18"/>
                <w:szCs w:val="18"/>
              </w:rPr>
            </w:pPr>
            <w:r w:rsidRPr="008C4645">
              <w:rPr>
                <w:rFonts w:cs="Arial"/>
                <w:sz w:val="18"/>
                <w:szCs w:val="18"/>
              </w:rPr>
              <w:t>100 kHz</w:t>
            </w:r>
          </w:p>
        </w:tc>
      </w:tr>
      <w:tr w:rsidR="00B91554" w:rsidRPr="008C4645" w14:paraId="238DFAC2" w14:textId="77777777">
        <w:trPr>
          <w:jc w:val="center"/>
        </w:trPr>
        <w:tc>
          <w:tcPr>
            <w:tcW w:w="2972" w:type="dxa"/>
            <w:shd w:val="clear" w:color="auto" w:fill="FFFFFF" w:themeFill="background1"/>
          </w:tcPr>
          <w:p w14:paraId="752F15D1" w14:textId="77777777" w:rsidR="00B91554" w:rsidRPr="008C4645" w:rsidRDefault="00B91554">
            <w:pPr>
              <w:keepNext/>
              <w:keepLines/>
              <w:spacing w:after="0"/>
              <w:contextualSpacing/>
              <w:jc w:val="center"/>
              <w:rPr>
                <w:rFonts w:cs="Arial"/>
                <w:sz w:val="18"/>
                <w:szCs w:val="18"/>
              </w:rPr>
            </w:pPr>
            <w:r w:rsidRPr="008C4645">
              <w:rPr>
                <w:rFonts w:cs="Arial"/>
                <w:sz w:val="18"/>
                <w:szCs w:val="18"/>
              </w:rPr>
              <w:t>1 MHz</w:t>
            </w:r>
            <w:r w:rsidRPr="008C4645">
              <w:rPr>
                <w:rFonts w:cs="Arial"/>
                <w:spacing w:val="13"/>
                <w:sz w:val="18"/>
                <w:szCs w:val="18"/>
              </w:rPr>
              <w:t xml:space="preserve"> </w:t>
            </w:r>
            <w:r w:rsidRPr="008C4645">
              <w:rPr>
                <w:rFonts w:cs="Arial"/>
              </w:rPr>
              <w:t>≤</w:t>
            </w:r>
            <w:r w:rsidRPr="008C4645">
              <w:rPr>
                <w:rFonts w:cs="Arial"/>
                <w:spacing w:val="11"/>
                <w:sz w:val="18"/>
                <w:szCs w:val="18"/>
                <w:u w:val="single" w:color="000000"/>
              </w:rPr>
              <w:t xml:space="preserve"> </w:t>
            </w:r>
            <w:proofErr w:type="spellStart"/>
            <w:r w:rsidRPr="008C4645">
              <w:rPr>
                <w:rFonts w:cs="Arial"/>
                <w:sz w:val="18"/>
                <w:szCs w:val="18"/>
              </w:rPr>
              <w:t>f</w:t>
            </w:r>
            <w:r w:rsidRPr="008C4645">
              <w:rPr>
                <w:rFonts w:cs="Arial"/>
                <w:sz w:val="18"/>
                <w:szCs w:val="18"/>
                <w:vertAlign w:val="subscript"/>
              </w:rPr>
              <w:t>offset</w:t>
            </w:r>
            <w:proofErr w:type="spellEnd"/>
            <w:r w:rsidRPr="008C4645">
              <w:rPr>
                <w:rFonts w:cs="Arial"/>
                <w:spacing w:val="27"/>
                <w:position w:val="-1"/>
                <w:sz w:val="18"/>
                <w:szCs w:val="18"/>
              </w:rPr>
              <w:t xml:space="preserve"> </w:t>
            </w:r>
            <w:r w:rsidRPr="003C03D5">
              <w:rPr>
                <w:rFonts w:cs="Arial"/>
              </w:rPr>
              <w:t>&lt;</w:t>
            </w:r>
            <w:r w:rsidRPr="003C03D5">
              <w:rPr>
                <w:rFonts w:cs="Arial"/>
                <w:spacing w:val="1"/>
                <w:sz w:val="18"/>
                <w:szCs w:val="18"/>
              </w:rPr>
              <w:t xml:space="preserve"> </w:t>
            </w:r>
            <w:r>
              <w:rPr>
                <w:rFonts w:cs="Arial"/>
                <w:spacing w:val="1"/>
                <w:sz w:val="18"/>
                <w:szCs w:val="18"/>
              </w:rPr>
              <w:t>3</w:t>
            </w:r>
            <w:r w:rsidRPr="003C03D5">
              <w:rPr>
                <w:rFonts w:cs="Arial"/>
                <w:spacing w:val="1"/>
                <w:sz w:val="18"/>
                <w:szCs w:val="18"/>
              </w:rPr>
              <w:t xml:space="preserve"> MHz</w:t>
            </w:r>
          </w:p>
        </w:tc>
        <w:tc>
          <w:tcPr>
            <w:tcW w:w="3260" w:type="dxa"/>
            <w:shd w:val="clear" w:color="auto" w:fill="FFFFFF" w:themeFill="background1"/>
          </w:tcPr>
          <w:p w14:paraId="2A64EEDC" w14:textId="77777777" w:rsidR="00B91554" w:rsidRPr="008C4645" w:rsidRDefault="00B91554">
            <w:pPr>
              <w:keepNext/>
              <w:keepLines/>
              <w:spacing w:after="0"/>
              <w:contextualSpacing/>
              <w:jc w:val="center"/>
              <w:rPr>
                <w:rFonts w:cs="Arial"/>
                <w:sz w:val="18"/>
                <w:szCs w:val="18"/>
              </w:rPr>
            </w:pPr>
            <m:oMathPara>
              <m:oMath>
                <m:r>
                  <w:rPr>
                    <w:rFonts w:ascii="Cambria Math" w:hAnsi="Cambria Math" w:cs="Arial"/>
                    <w:sz w:val="18"/>
                    <w:szCs w:val="18"/>
                    <w:vertAlign w:val="subscript"/>
                  </w:rPr>
                  <m:t>7.34 dBm-7.12</m:t>
                </m:r>
                <m:d>
                  <m:dPr>
                    <m:ctrlPr>
                      <w:rPr>
                        <w:rFonts w:ascii="Cambria Math" w:hAnsi="Cambria Math" w:cs="Arial"/>
                        <w:i/>
                        <w:sz w:val="18"/>
                        <w:szCs w:val="18"/>
                        <w:vertAlign w:val="subscript"/>
                      </w:rPr>
                    </m:ctrlPr>
                  </m:dPr>
                  <m:e>
                    <m:f>
                      <m:fPr>
                        <m:ctrlPr>
                          <w:rPr>
                            <w:rFonts w:ascii="Cambria Math" w:hAnsi="Cambria Math" w:cs="Arial"/>
                            <w:i/>
                            <w:sz w:val="18"/>
                            <w:szCs w:val="18"/>
                            <w:vertAlign w:val="subscript"/>
                          </w:rPr>
                        </m:ctrlPr>
                      </m:fPr>
                      <m:num>
                        <m:sSub>
                          <m:sSubPr>
                            <m:ctrlPr>
                              <w:rPr>
                                <w:rFonts w:ascii="Cambria Math" w:hAnsi="Cambria Math" w:cs="Arial"/>
                                <w:i/>
                                <w:sz w:val="18"/>
                                <w:szCs w:val="18"/>
                                <w:vertAlign w:val="subscript"/>
                              </w:rPr>
                            </m:ctrlPr>
                          </m:sSubPr>
                          <m:e>
                            <m:r>
                              <w:rPr>
                                <w:rFonts w:ascii="Cambria Math" w:hAnsi="Cambria Math" w:cs="Arial"/>
                                <w:sz w:val="18"/>
                                <w:szCs w:val="18"/>
                                <w:vertAlign w:val="subscript"/>
                              </w:rPr>
                              <m:t>f</m:t>
                            </m:r>
                          </m:e>
                          <m:sub>
                            <m:r>
                              <w:rPr>
                                <w:rFonts w:ascii="Cambria Math" w:hAnsi="Cambria Math" w:cs="Arial"/>
                                <w:sz w:val="18"/>
                                <w:szCs w:val="18"/>
                                <w:vertAlign w:val="subscript"/>
                              </w:rPr>
                              <m:t>offset</m:t>
                            </m:r>
                          </m:sub>
                        </m:sSub>
                      </m:num>
                      <m:den>
                        <m:r>
                          <w:rPr>
                            <w:rFonts w:ascii="Cambria Math" w:hAnsi="Cambria Math" w:cs="Arial"/>
                            <w:sz w:val="18"/>
                            <w:szCs w:val="18"/>
                            <w:vertAlign w:val="subscript"/>
                          </w:rPr>
                          <m:t>MHz</m:t>
                        </m:r>
                      </m:den>
                    </m:f>
                    <m:r>
                      <w:rPr>
                        <w:rFonts w:ascii="Cambria Math" w:hAnsi="Cambria Math" w:cs="Arial"/>
                        <w:sz w:val="18"/>
                        <w:szCs w:val="18"/>
                        <w:vertAlign w:val="subscript"/>
                      </w:rPr>
                      <m:t>-0.05</m:t>
                    </m:r>
                  </m:e>
                </m:d>
                <m:r>
                  <w:rPr>
                    <w:rFonts w:ascii="Cambria Math" w:hAnsi="Cambria Math" w:cs="Arial"/>
                    <w:sz w:val="18"/>
                    <w:szCs w:val="18"/>
                    <w:vertAlign w:val="subscript"/>
                  </w:rPr>
                  <m:t>dB</m:t>
                </m:r>
              </m:oMath>
            </m:oMathPara>
          </w:p>
        </w:tc>
        <w:tc>
          <w:tcPr>
            <w:tcW w:w="1560" w:type="dxa"/>
            <w:shd w:val="clear" w:color="auto" w:fill="FFFFFF" w:themeFill="background1"/>
          </w:tcPr>
          <w:p w14:paraId="7D2C322E" w14:textId="77777777" w:rsidR="00B91554" w:rsidRPr="008C4645" w:rsidRDefault="00B91554">
            <w:pPr>
              <w:keepNext/>
              <w:keepLines/>
              <w:spacing w:after="0"/>
              <w:contextualSpacing/>
              <w:jc w:val="center"/>
              <w:rPr>
                <w:rFonts w:cs="Arial"/>
                <w:sz w:val="18"/>
                <w:szCs w:val="18"/>
              </w:rPr>
            </w:pPr>
            <w:r w:rsidRPr="008C4645">
              <w:rPr>
                <w:rFonts w:cs="Arial"/>
                <w:sz w:val="18"/>
                <w:szCs w:val="18"/>
              </w:rPr>
              <w:t>100 kHz</w:t>
            </w:r>
          </w:p>
        </w:tc>
      </w:tr>
      <w:tr w:rsidR="00B91554" w:rsidRPr="008C4645" w14:paraId="2124F3F6" w14:textId="77777777">
        <w:trPr>
          <w:trHeight w:val="507"/>
          <w:jc w:val="center"/>
        </w:trPr>
        <w:tc>
          <w:tcPr>
            <w:tcW w:w="2972" w:type="dxa"/>
            <w:shd w:val="clear" w:color="auto" w:fill="FFFFFF" w:themeFill="background1"/>
            <w:vAlign w:val="center"/>
          </w:tcPr>
          <w:p w14:paraId="18D9BB9F" w14:textId="77777777" w:rsidR="00B91554" w:rsidRPr="008C4645" w:rsidRDefault="00B91554">
            <w:pPr>
              <w:keepNext/>
              <w:keepLines/>
              <w:spacing w:after="0"/>
              <w:contextualSpacing/>
              <w:jc w:val="center"/>
              <w:rPr>
                <w:rFonts w:cs="Arial"/>
                <w:sz w:val="18"/>
                <w:szCs w:val="18"/>
              </w:rPr>
            </w:pPr>
            <w:r>
              <w:rPr>
                <w:rFonts w:cs="Arial"/>
                <w:sz w:val="18"/>
                <w:szCs w:val="18"/>
              </w:rPr>
              <w:t>3</w:t>
            </w:r>
            <w:r w:rsidRPr="008C4645">
              <w:rPr>
                <w:rFonts w:cs="Arial"/>
                <w:sz w:val="18"/>
                <w:szCs w:val="18"/>
              </w:rPr>
              <w:t xml:space="preserve"> MHz</w:t>
            </w:r>
            <w:r w:rsidRPr="008C4645">
              <w:rPr>
                <w:rFonts w:cs="Arial"/>
                <w:spacing w:val="13"/>
                <w:sz w:val="18"/>
                <w:szCs w:val="18"/>
              </w:rPr>
              <w:t xml:space="preserve"> </w:t>
            </w:r>
            <w:r w:rsidRPr="008C4645">
              <w:rPr>
                <w:rFonts w:cs="Arial"/>
              </w:rPr>
              <w:t>≤</w:t>
            </w:r>
            <w:r w:rsidRPr="008C4645">
              <w:rPr>
                <w:rFonts w:cs="Arial"/>
                <w:spacing w:val="11"/>
                <w:sz w:val="18"/>
                <w:szCs w:val="18"/>
                <w:u w:val="single" w:color="000000"/>
              </w:rPr>
              <w:t xml:space="preserve"> </w:t>
            </w:r>
            <w:proofErr w:type="spellStart"/>
            <w:r w:rsidRPr="008C4645">
              <w:rPr>
                <w:rFonts w:cs="Arial"/>
                <w:sz w:val="18"/>
                <w:szCs w:val="18"/>
              </w:rPr>
              <w:t>f</w:t>
            </w:r>
            <w:r w:rsidRPr="008C4645">
              <w:rPr>
                <w:rFonts w:cs="Arial"/>
                <w:sz w:val="18"/>
                <w:szCs w:val="18"/>
                <w:vertAlign w:val="subscript"/>
              </w:rPr>
              <w:t>offset</w:t>
            </w:r>
            <w:proofErr w:type="spellEnd"/>
            <w:r w:rsidRPr="008C4645">
              <w:rPr>
                <w:rFonts w:cs="Arial"/>
                <w:spacing w:val="27"/>
                <w:position w:val="-1"/>
                <w:sz w:val="18"/>
                <w:szCs w:val="18"/>
              </w:rPr>
              <w:t xml:space="preserve"> </w:t>
            </w:r>
            <w:r w:rsidRPr="003C03D5">
              <w:rPr>
                <w:rFonts w:cs="Arial"/>
              </w:rPr>
              <w:t>&lt;</w:t>
            </w:r>
            <w:r w:rsidRPr="003C03D5">
              <w:rPr>
                <w:rFonts w:cs="Arial"/>
                <w:spacing w:val="1"/>
                <w:sz w:val="18"/>
                <w:szCs w:val="18"/>
              </w:rPr>
              <w:t xml:space="preserve"> 5 MHz</w:t>
            </w:r>
          </w:p>
        </w:tc>
        <w:tc>
          <w:tcPr>
            <w:tcW w:w="3260" w:type="dxa"/>
            <w:shd w:val="clear" w:color="auto" w:fill="FFFFFF" w:themeFill="background1"/>
            <w:vAlign w:val="center"/>
          </w:tcPr>
          <w:p w14:paraId="73FF7FC0" w14:textId="77777777" w:rsidR="00B91554" w:rsidRPr="0023093F" w:rsidRDefault="00B91554">
            <w:pPr>
              <w:keepNext/>
              <w:keepLines/>
              <w:spacing w:after="0"/>
              <w:contextualSpacing/>
              <w:jc w:val="center"/>
              <w:rPr>
                <w:rFonts w:cs="Arial"/>
                <w:sz w:val="18"/>
                <w:szCs w:val="18"/>
              </w:rPr>
            </w:pPr>
            <w:r>
              <w:rPr>
                <w:rFonts w:cs="Arial"/>
                <w:sz w:val="18"/>
                <w:szCs w:val="18"/>
              </w:rPr>
              <w:t>-4</w:t>
            </w:r>
          </w:p>
        </w:tc>
        <w:tc>
          <w:tcPr>
            <w:tcW w:w="1560" w:type="dxa"/>
            <w:shd w:val="clear" w:color="auto" w:fill="FFFFFF" w:themeFill="background1"/>
            <w:vAlign w:val="center"/>
          </w:tcPr>
          <w:p w14:paraId="2BD4E369" w14:textId="77777777" w:rsidR="00B91554" w:rsidRPr="008C4645" w:rsidRDefault="00B91554">
            <w:pPr>
              <w:keepNext/>
              <w:keepLines/>
              <w:spacing w:after="0"/>
              <w:contextualSpacing/>
              <w:jc w:val="center"/>
              <w:rPr>
                <w:rFonts w:cs="Arial"/>
                <w:sz w:val="18"/>
                <w:szCs w:val="18"/>
              </w:rPr>
            </w:pPr>
            <w:r>
              <w:rPr>
                <w:rFonts w:cs="Arial"/>
                <w:sz w:val="18"/>
                <w:szCs w:val="18"/>
              </w:rPr>
              <w:t>1 MHz</w:t>
            </w:r>
          </w:p>
        </w:tc>
      </w:tr>
    </w:tbl>
    <w:p w14:paraId="59CB6A51" w14:textId="77777777" w:rsidR="00A9681B" w:rsidRPr="00322232" w:rsidRDefault="00A9681B" w:rsidP="00A9681B">
      <w:pPr>
        <w:keepNext/>
        <w:keepLines/>
        <w:spacing w:before="120"/>
        <w:ind w:left="284"/>
        <w:rPr>
          <w:rFonts w:cs="Arial"/>
          <w:bCs/>
          <w:i/>
          <w:iCs/>
          <w:sz w:val="16"/>
          <w:szCs w:val="16"/>
        </w:rPr>
      </w:pPr>
      <w:r w:rsidRPr="00322232">
        <w:rPr>
          <w:rFonts w:cs="Arial"/>
          <w:bCs/>
          <w:i/>
          <w:iCs/>
          <w:sz w:val="16"/>
          <w:szCs w:val="16"/>
        </w:rPr>
        <w:t xml:space="preserve">Note: </w:t>
      </w:r>
      <w:r w:rsidRPr="00322232">
        <w:rPr>
          <w:bCs/>
          <w:i/>
          <w:iCs/>
          <w:sz w:val="16"/>
          <w:szCs w:val="16"/>
        </w:rPr>
        <w:t>The</w:t>
      </w:r>
      <w:r w:rsidRPr="00322232">
        <w:rPr>
          <w:i/>
          <w:iCs/>
          <w:sz w:val="16"/>
          <w:szCs w:val="16"/>
        </w:rPr>
        <w:t xml:space="preserve"> closest -3dB point of the measurement bandwidth to </w:t>
      </w:r>
      <w:r w:rsidRPr="00322232">
        <w:rPr>
          <w:rFonts w:cs="Arial"/>
          <w:bCs/>
          <w:i/>
          <w:iCs/>
          <w:sz w:val="16"/>
          <w:szCs w:val="16"/>
        </w:rPr>
        <w:t>the upper or lower frequency limits i</w:t>
      </w:r>
      <w:r w:rsidRPr="00322232">
        <w:rPr>
          <w:i/>
          <w:iCs/>
          <w:sz w:val="16"/>
          <w:szCs w:val="16"/>
        </w:rPr>
        <w:t xml:space="preserve">s placed at </w:t>
      </w:r>
      <w:proofErr w:type="spellStart"/>
      <w:r w:rsidRPr="00322232">
        <w:rPr>
          <w:i/>
          <w:iCs/>
          <w:sz w:val="16"/>
          <w:szCs w:val="16"/>
        </w:rPr>
        <w:t>f</w:t>
      </w:r>
      <w:r w:rsidRPr="00322232">
        <w:rPr>
          <w:i/>
          <w:iCs/>
          <w:sz w:val="16"/>
          <w:szCs w:val="16"/>
          <w:vertAlign w:val="subscript"/>
        </w:rPr>
        <w:t>offset</w:t>
      </w:r>
      <w:proofErr w:type="spellEnd"/>
      <w:r w:rsidRPr="00322232">
        <w:rPr>
          <w:i/>
          <w:iCs/>
          <w:sz w:val="16"/>
          <w:szCs w:val="16"/>
        </w:rPr>
        <w:t>.</w:t>
      </w:r>
    </w:p>
    <w:p w14:paraId="3E7627EB" w14:textId="77777777" w:rsidR="00192BA7" w:rsidRDefault="00192BA7" w:rsidP="009F608C"/>
    <w:p w14:paraId="636E59F7" w14:textId="6210ED8D" w:rsidR="000526A9" w:rsidRDefault="00AA0C3F" w:rsidP="006252E0">
      <w:pPr>
        <w:pStyle w:val="Heading3"/>
      </w:pPr>
      <w:r>
        <w:t xml:space="preserve">Upper </w:t>
      </w:r>
      <w:r w:rsidR="008A3949">
        <w:t>2.5 GHz</w:t>
      </w:r>
      <w:r>
        <w:t xml:space="preserve"> band transmitter unwanted emission limits in the frequency range 2490 – 2800 MHz excluding 26</w:t>
      </w:r>
      <w:r w:rsidR="00FF66EA">
        <w:t>15</w:t>
      </w:r>
      <w:r>
        <w:t xml:space="preserve"> – 2</w:t>
      </w:r>
      <w:r w:rsidR="00FF66EA">
        <w:t>70</w:t>
      </w:r>
      <w:r>
        <w:t>0 MHz</w:t>
      </w:r>
    </w:p>
    <w:p w14:paraId="5B44A4E0" w14:textId="5A11EA22" w:rsidR="00D87B26" w:rsidRDefault="00D87B26" w:rsidP="008561DC">
      <w:r>
        <w:t xml:space="preserve">The ACMA’s initial proposal was to maintain </w:t>
      </w:r>
      <w:r w:rsidR="00413FC9">
        <w:t xml:space="preserve">unwanted </w:t>
      </w:r>
      <w:r>
        <w:t xml:space="preserve">emission limits outside 2615 – 2700 MHz </w:t>
      </w:r>
      <w:r w:rsidR="00413FC9">
        <w:t>at an</w:t>
      </w:r>
      <w:r>
        <w:t xml:space="preserve"> EIRP of -45 dBm/MHz for non-AAS devices and a TRP limit of -53 dBm/MHz for AAS devices.</w:t>
      </w:r>
    </w:p>
    <w:p w14:paraId="73761949" w14:textId="0383797C" w:rsidR="00D87B26" w:rsidRDefault="00D87B26" w:rsidP="008561DC">
      <w:r>
        <w:t>Some TLG members supported the proposal to provide a TRP limit for AAS transmitters, however requested</w:t>
      </w:r>
      <w:r w:rsidR="00ED0383">
        <w:t xml:space="preserve"> that</w:t>
      </w:r>
      <w:r>
        <w:t xml:space="preserve"> the TRP limit be relaxed to -52 dBm/MHz for AAS </w:t>
      </w:r>
      <w:r w:rsidR="00105EEB">
        <w:t>transmitters</w:t>
      </w:r>
      <w:r>
        <w:t xml:space="preserve"> for emissions below 2615 MHz. The request was based on the intention to align with ECC Decision 05(05). For emissions in 2700-2800 MHz, some members proposed alignment with 3GPP limits (-30 dBm/MHz for non-AAS and -21 dBm/MHz for AAS).  </w:t>
      </w:r>
      <w:r w:rsidR="004F4F93">
        <w:t xml:space="preserve">The ACMA indicated that </w:t>
      </w:r>
      <w:r w:rsidR="00100E32">
        <w:t xml:space="preserve">those limits are significantly different from the current limits which are </w:t>
      </w:r>
      <w:r w:rsidR="00AF1856">
        <w:t xml:space="preserve">in place </w:t>
      </w:r>
      <w:r w:rsidR="00BF5DBF">
        <w:t>for coexistence</w:t>
      </w:r>
      <w:r w:rsidR="00100E32">
        <w:t xml:space="preserve"> of adjacent services.</w:t>
      </w:r>
    </w:p>
    <w:p w14:paraId="14B505A6" w14:textId="163F476F" w:rsidR="00D87B26" w:rsidRDefault="00D87B26" w:rsidP="008561DC">
      <w:r>
        <w:t xml:space="preserve">The ACMA’s initial view is that </w:t>
      </w:r>
      <w:r w:rsidR="00C7411F">
        <w:t>a 1 dB</w:t>
      </w:r>
      <w:r>
        <w:t xml:space="preserve"> increase in TRP from -53 dBm/MHz to -52 dBm/MHz will not significantly increase the potential </w:t>
      </w:r>
      <w:r w:rsidR="00F82CCF">
        <w:t xml:space="preserve">of </w:t>
      </w:r>
      <w:r>
        <w:t>interference. Manufacturers have indicated that their systems operate at much lower levels than -53 dBm/MHz, however indicated that adopting the level of -52 dBm/MHz will align with international standards and will reduce the burden on manufacturers to undergo further Australia</w:t>
      </w:r>
      <w:r w:rsidR="00D45DC9">
        <w:t>-</w:t>
      </w:r>
      <w:r>
        <w:t xml:space="preserve">specific testing. </w:t>
      </w:r>
    </w:p>
    <w:p w14:paraId="339E5341" w14:textId="701DB9DB" w:rsidR="00D87B26" w:rsidRDefault="00705EC7" w:rsidP="008561DC">
      <w:r>
        <w:t>TLG members agreed</w:t>
      </w:r>
      <w:r w:rsidR="00D87B26">
        <w:t xml:space="preserve"> to maintain emission limits outside 2615 – 2700 MHz to </w:t>
      </w:r>
      <w:r w:rsidR="00B33A26">
        <w:t xml:space="preserve">a </w:t>
      </w:r>
      <w:r w:rsidR="00D87B26">
        <w:t xml:space="preserve">max EIRP of -45 dBm/MHz for non-AAS devices and </w:t>
      </w:r>
      <w:r>
        <w:t xml:space="preserve">adopt </w:t>
      </w:r>
      <w:r w:rsidR="00D87B26">
        <w:t>a TRP limit of -52 dBm/MHz for AAS devices</w:t>
      </w:r>
      <w:r w:rsidR="0000463B">
        <w:t xml:space="preserve">, noting that </w:t>
      </w:r>
      <w:r w:rsidR="00D969AD">
        <w:t>AMTA</w:t>
      </w:r>
      <w:r w:rsidR="0000463B">
        <w:t xml:space="preserve"> proposed</w:t>
      </w:r>
      <w:r w:rsidR="0000463B" w:rsidRPr="006D268E">
        <w:t xml:space="preserve"> that greater alignment with 3GPP could be achieved for the renewed spectrum licences post-2029</w:t>
      </w:r>
      <w:r w:rsidR="0000463B">
        <w:t xml:space="preserve"> for unwanted emissions in the range 2700-2800 MHz</w:t>
      </w:r>
      <w:r w:rsidR="00D87B26">
        <w:t>. Maintaining the non-AAS limit as an EIRP (instead of a TRP), will help ensure the interference environment from these transmitters is unchanged.</w:t>
      </w:r>
    </w:p>
    <w:p w14:paraId="67BC4AF2" w14:textId="77777777" w:rsidR="00DD518F" w:rsidRDefault="00DD518F">
      <w:pPr>
        <w:spacing w:after="0" w:line="240" w:lineRule="auto"/>
        <w:rPr>
          <w:szCs w:val="20"/>
        </w:rPr>
      </w:pPr>
      <w:r>
        <w:rPr>
          <w:szCs w:val="20"/>
        </w:rPr>
        <w:br w:type="page"/>
      </w:r>
    </w:p>
    <w:p w14:paraId="7EC76496" w14:textId="54D7121A" w:rsidR="00160223" w:rsidRPr="007C2C66" w:rsidRDefault="00160223" w:rsidP="008561DC">
      <w:pPr>
        <w:rPr>
          <w:szCs w:val="20"/>
        </w:rPr>
      </w:pPr>
      <w:r w:rsidRPr="007C2C66">
        <w:rPr>
          <w:szCs w:val="20"/>
        </w:rPr>
        <w:lastRenderedPageBreak/>
        <w:t>The TLG members agreed to the proposed emission limits in Table 7 for non-AAS and Table 8 for AAS.</w:t>
      </w:r>
    </w:p>
    <w:p w14:paraId="426AD031" w14:textId="2C872114" w:rsidR="00160223" w:rsidRPr="00C63246" w:rsidRDefault="00160223" w:rsidP="00160223">
      <w:pPr>
        <w:pStyle w:val="ACMATableHeader"/>
        <w:spacing w:before="240" w:line="240" w:lineRule="atLeast"/>
      </w:pPr>
      <w:r w:rsidRPr="00C63246">
        <w:rPr>
          <w:rFonts w:cs="Arial"/>
        </w:rPr>
        <w:t xml:space="preserve">Unwanted emission limits </w:t>
      </w:r>
      <w:r w:rsidR="00762BBE">
        <w:rPr>
          <w:rFonts w:cs="Arial"/>
        </w:rPr>
        <w:t>inside</w:t>
      </w:r>
      <w:r w:rsidRPr="00C63246">
        <w:rPr>
          <w:rFonts w:cs="Arial"/>
        </w:rPr>
        <w:t xml:space="preserve"> </w:t>
      </w:r>
      <w:r>
        <w:rPr>
          <w:rFonts w:cs="Arial"/>
        </w:rPr>
        <w:t xml:space="preserve">2490 </w:t>
      </w:r>
      <w:r w:rsidRPr="00C63246">
        <w:rPr>
          <w:rFonts w:cs="Arial"/>
        </w:rPr>
        <w:t xml:space="preserve">MHz to </w:t>
      </w:r>
      <w:r>
        <w:rPr>
          <w:rFonts w:cs="Arial"/>
        </w:rPr>
        <w:t>2800</w:t>
      </w:r>
      <w:r w:rsidRPr="00C63246">
        <w:rPr>
          <w:rFonts w:cs="Arial"/>
        </w:rPr>
        <w:t xml:space="preserve"> MHz </w:t>
      </w:r>
      <w:r w:rsidR="00762BBE" w:rsidRPr="00762BBE">
        <w:rPr>
          <w:rFonts w:cs="Arial"/>
        </w:rPr>
        <w:t>excluding 26</w:t>
      </w:r>
      <w:r w:rsidR="00FF66EA">
        <w:rPr>
          <w:rFonts w:cs="Arial"/>
        </w:rPr>
        <w:t>15</w:t>
      </w:r>
      <w:r w:rsidR="00762BBE" w:rsidRPr="00762BBE">
        <w:rPr>
          <w:rFonts w:cs="Arial"/>
        </w:rPr>
        <w:t xml:space="preserve"> – 2</w:t>
      </w:r>
      <w:r w:rsidR="00FF66EA">
        <w:rPr>
          <w:rFonts w:cs="Arial"/>
        </w:rPr>
        <w:t>70</w:t>
      </w:r>
      <w:r w:rsidR="00762BBE" w:rsidRPr="00762BBE">
        <w:rPr>
          <w:rFonts w:cs="Arial"/>
        </w:rPr>
        <w:t xml:space="preserve">0 MHz </w:t>
      </w:r>
      <w:r w:rsidRPr="00C63246">
        <w:rPr>
          <w:rFonts w:cs="Arial"/>
        </w:rPr>
        <w:t xml:space="preserve">for transmitters operating in the upper </w:t>
      </w:r>
      <w:r>
        <w:rPr>
          <w:rFonts w:cs="Arial"/>
        </w:rPr>
        <w:t>2.5 G</w:t>
      </w:r>
      <w:r w:rsidRPr="00C63246">
        <w:rPr>
          <w:rFonts w:cs="Arial"/>
        </w:rPr>
        <w:t>Hz band – non-AAS transmitters</w:t>
      </w:r>
    </w:p>
    <w:tbl>
      <w:tblPr>
        <w:tblStyle w:val="TableGrid"/>
        <w:tblW w:w="7241" w:type="dxa"/>
        <w:jc w:val="center"/>
        <w:tblLook w:val="04A0" w:firstRow="1" w:lastRow="0" w:firstColumn="1" w:lastColumn="0" w:noHBand="0" w:noVBand="1"/>
      </w:tblPr>
      <w:tblGrid>
        <w:gridCol w:w="3125"/>
        <w:gridCol w:w="2610"/>
        <w:gridCol w:w="1506"/>
      </w:tblGrid>
      <w:tr w:rsidR="00160223" w:rsidRPr="00C63246" w14:paraId="27A2194B" w14:textId="77777777">
        <w:trPr>
          <w:jc w:val="center"/>
        </w:trPr>
        <w:tc>
          <w:tcPr>
            <w:tcW w:w="3125" w:type="dxa"/>
            <w:shd w:val="clear" w:color="auto" w:fill="404040" w:themeFill="text1" w:themeFillTint="BF"/>
          </w:tcPr>
          <w:p w14:paraId="249B6651" w14:textId="108D94DE" w:rsidR="00160223" w:rsidRPr="00C63246" w:rsidRDefault="00C75884">
            <w:pPr>
              <w:spacing w:after="0"/>
              <w:contextualSpacing/>
              <w:jc w:val="center"/>
              <w:rPr>
                <w:rFonts w:cs="Arial"/>
                <w:b/>
                <w:color w:val="FFFFFF" w:themeColor="background1"/>
              </w:rPr>
            </w:pPr>
            <w:r w:rsidRPr="008C4645">
              <w:rPr>
                <w:rFonts w:cs="Arial"/>
                <w:b/>
                <w:color w:val="FFFFFF" w:themeColor="background1"/>
              </w:rPr>
              <w:t xml:space="preserve">Frequency offset </w:t>
            </w:r>
            <w:proofErr w:type="spellStart"/>
            <w:r w:rsidRPr="00452A31">
              <w:rPr>
                <w:rFonts w:cs="Arial"/>
                <w:b/>
                <w:color w:val="FFFFFF" w:themeColor="background1"/>
              </w:rPr>
              <w:t>f</w:t>
            </w:r>
            <w:r w:rsidRPr="00452A31">
              <w:rPr>
                <w:rFonts w:cs="Arial"/>
                <w:b/>
                <w:color w:val="FFFFFF" w:themeColor="background1"/>
                <w:vertAlign w:val="subscript"/>
              </w:rPr>
              <w:t>offset</w:t>
            </w:r>
            <w:proofErr w:type="spellEnd"/>
            <w:r w:rsidRPr="00452A31">
              <w:rPr>
                <w:rFonts w:cs="Arial"/>
                <w:b/>
                <w:color w:val="FFFFFF" w:themeColor="background1"/>
              </w:rPr>
              <w:t>)</w:t>
            </w:r>
          </w:p>
        </w:tc>
        <w:tc>
          <w:tcPr>
            <w:tcW w:w="2610" w:type="dxa"/>
            <w:shd w:val="clear" w:color="auto" w:fill="404040" w:themeFill="text1" w:themeFillTint="BF"/>
          </w:tcPr>
          <w:p w14:paraId="05E04D67" w14:textId="77777777" w:rsidR="00953C33" w:rsidRPr="00953C33" w:rsidRDefault="00953C33" w:rsidP="00953C33">
            <w:pPr>
              <w:spacing w:after="0"/>
              <w:contextualSpacing/>
              <w:jc w:val="center"/>
              <w:rPr>
                <w:rFonts w:cs="Arial"/>
                <w:b/>
                <w:color w:val="FFFFFF" w:themeColor="background1"/>
              </w:rPr>
            </w:pPr>
            <w:r w:rsidRPr="00953C33">
              <w:rPr>
                <w:rFonts w:cs="Arial"/>
                <w:b/>
                <w:color w:val="FFFFFF" w:themeColor="background1"/>
              </w:rPr>
              <w:t>Radiated maximum true mean power</w:t>
            </w:r>
          </w:p>
          <w:p w14:paraId="78B10305" w14:textId="0906294F" w:rsidR="00160223" w:rsidRPr="00C63246" w:rsidRDefault="00953C33" w:rsidP="00953C33">
            <w:pPr>
              <w:spacing w:after="0"/>
              <w:contextualSpacing/>
              <w:jc w:val="center"/>
              <w:rPr>
                <w:rFonts w:cs="Arial"/>
                <w:b/>
                <w:color w:val="FFFFFF" w:themeColor="background1"/>
              </w:rPr>
            </w:pPr>
            <w:r w:rsidRPr="00953C33">
              <w:rPr>
                <w:rFonts w:cs="Arial"/>
                <w:b/>
                <w:color w:val="FFFFFF" w:themeColor="background1"/>
              </w:rPr>
              <w:t>(dBm EIRP)</w:t>
            </w:r>
          </w:p>
        </w:tc>
        <w:tc>
          <w:tcPr>
            <w:tcW w:w="1506" w:type="dxa"/>
            <w:shd w:val="clear" w:color="auto" w:fill="404040" w:themeFill="text1" w:themeFillTint="BF"/>
          </w:tcPr>
          <w:p w14:paraId="39CDCF9A" w14:textId="77777777" w:rsidR="00160223" w:rsidRPr="00C63246" w:rsidRDefault="00160223">
            <w:pPr>
              <w:spacing w:after="0"/>
              <w:contextualSpacing/>
              <w:jc w:val="center"/>
              <w:rPr>
                <w:rFonts w:cs="Arial"/>
                <w:b/>
                <w:color w:val="FFFFFF" w:themeColor="background1"/>
              </w:rPr>
            </w:pPr>
            <w:r w:rsidRPr="00C63246">
              <w:rPr>
                <w:rFonts w:cs="Arial"/>
                <w:b/>
                <w:color w:val="FFFFFF" w:themeColor="background1"/>
              </w:rPr>
              <w:t>Measurement bandwidth</w:t>
            </w:r>
          </w:p>
        </w:tc>
      </w:tr>
      <w:tr w:rsidR="00160223" w:rsidRPr="00C63246" w14:paraId="75ADD0E5" w14:textId="77777777">
        <w:trPr>
          <w:jc w:val="center"/>
        </w:trPr>
        <w:tc>
          <w:tcPr>
            <w:tcW w:w="3125" w:type="dxa"/>
          </w:tcPr>
          <w:p w14:paraId="10B11DA1" w14:textId="02271CD0" w:rsidR="00F73009" w:rsidRPr="00C63246" w:rsidRDefault="009740A5" w:rsidP="00967295">
            <w:pPr>
              <w:spacing w:after="0"/>
              <w:contextualSpacing/>
              <w:jc w:val="center"/>
              <w:rPr>
                <w:rFonts w:cs="Arial"/>
                <w:sz w:val="18"/>
                <w:szCs w:val="18"/>
              </w:rPr>
            </w:pPr>
            <w:proofErr w:type="spellStart"/>
            <w:r w:rsidRPr="008C4645">
              <w:rPr>
                <w:rFonts w:cs="Arial"/>
                <w:sz w:val="18"/>
                <w:szCs w:val="18"/>
              </w:rPr>
              <w:t>f</w:t>
            </w:r>
            <w:r w:rsidRPr="008C4645">
              <w:rPr>
                <w:rFonts w:cs="Arial"/>
                <w:sz w:val="18"/>
                <w:szCs w:val="18"/>
                <w:vertAlign w:val="subscript"/>
              </w:rPr>
              <w:t>offset</w:t>
            </w:r>
            <w:proofErr w:type="spellEnd"/>
            <w:r w:rsidRPr="008C4645">
              <w:rPr>
                <w:rFonts w:cs="Arial"/>
                <w:spacing w:val="27"/>
                <w:position w:val="-1"/>
                <w:sz w:val="18"/>
                <w:szCs w:val="18"/>
              </w:rPr>
              <w:t xml:space="preserve"> </w:t>
            </w:r>
            <w:r w:rsidR="005C36C1">
              <w:rPr>
                <w:rFonts w:cs="Arial"/>
                <w:sz w:val="18"/>
                <w:szCs w:val="18"/>
              </w:rPr>
              <w:t>≥</w:t>
            </w:r>
            <w:r w:rsidR="00160223" w:rsidRPr="00C63246">
              <w:rPr>
                <w:rFonts w:cs="Arial"/>
                <w:sz w:val="18"/>
                <w:szCs w:val="18"/>
              </w:rPr>
              <w:t xml:space="preserve"> 0 Hz</w:t>
            </w:r>
          </w:p>
        </w:tc>
        <w:tc>
          <w:tcPr>
            <w:tcW w:w="2610" w:type="dxa"/>
          </w:tcPr>
          <w:p w14:paraId="75CA529F" w14:textId="39B59814" w:rsidR="00160223" w:rsidRPr="00C63246" w:rsidRDefault="00160223">
            <w:pPr>
              <w:spacing w:after="0"/>
              <w:contextualSpacing/>
              <w:jc w:val="center"/>
              <w:rPr>
                <w:rFonts w:cs="Arial"/>
                <w:sz w:val="18"/>
                <w:szCs w:val="18"/>
              </w:rPr>
            </w:pPr>
            <w:r w:rsidRPr="00C63246">
              <w:rPr>
                <w:rFonts w:cs="Arial"/>
                <w:sz w:val="18"/>
                <w:szCs w:val="18"/>
              </w:rPr>
              <w:t>-</w:t>
            </w:r>
            <w:r w:rsidR="00967295">
              <w:rPr>
                <w:rFonts w:cs="Arial"/>
                <w:sz w:val="18"/>
                <w:szCs w:val="18"/>
              </w:rPr>
              <w:t>45</w:t>
            </w:r>
          </w:p>
        </w:tc>
        <w:tc>
          <w:tcPr>
            <w:tcW w:w="1506" w:type="dxa"/>
          </w:tcPr>
          <w:p w14:paraId="6DD0933F" w14:textId="2315F586" w:rsidR="00160223" w:rsidRPr="00C63246" w:rsidRDefault="00160223">
            <w:pPr>
              <w:spacing w:after="0"/>
              <w:contextualSpacing/>
              <w:jc w:val="center"/>
              <w:rPr>
                <w:rFonts w:cs="Arial"/>
                <w:sz w:val="18"/>
                <w:szCs w:val="18"/>
              </w:rPr>
            </w:pPr>
            <w:r w:rsidRPr="00C63246">
              <w:rPr>
                <w:rFonts w:cs="Arial"/>
                <w:sz w:val="18"/>
                <w:szCs w:val="18"/>
              </w:rPr>
              <w:t xml:space="preserve">1 </w:t>
            </w:r>
            <w:r w:rsidR="00967295">
              <w:rPr>
                <w:rFonts w:cs="Arial"/>
                <w:sz w:val="18"/>
                <w:szCs w:val="18"/>
              </w:rPr>
              <w:t>M</w:t>
            </w:r>
            <w:r w:rsidRPr="00C63246">
              <w:rPr>
                <w:rFonts w:cs="Arial"/>
                <w:sz w:val="18"/>
                <w:szCs w:val="18"/>
              </w:rPr>
              <w:t>Hz</w:t>
            </w:r>
          </w:p>
        </w:tc>
      </w:tr>
    </w:tbl>
    <w:p w14:paraId="3EF15C9D" w14:textId="77777777" w:rsidR="00160223" w:rsidRPr="00A406B6" w:rsidRDefault="00160223" w:rsidP="00160223">
      <w:pPr>
        <w:pStyle w:val="Spaceaftertable"/>
      </w:pPr>
    </w:p>
    <w:p w14:paraId="4C7AC7A1" w14:textId="0F403783" w:rsidR="00160223" w:rsidRPr="00C63246" w:rsidRDefault="00FF66EA" w:rsidP="00160223">
      <w:pPr>
        <w:pStyle w:val="ACMATableHeader"/>
        <w:spacing w:before="240" w:line="240" w:lineRule="atLeast"/>
      </w:pPr>
      <w:r w:rsidRPr="00C63246">
        <w:rPr>
          <w:rFonts w:cs="Arial"/>
        </w:rPr>
        <w:t xml:space="preserve">Unwanted emission limits </w:t>
      </w:r>
      <w:r>
        <w:rPr>
          <w:rFonts w:cs="Arial"/>
        </w:rPr>
        <w:t>inside</w:t>
      </w:r>
      <w:r w:rsidRPr="00C63246">
        <w:rPr>
          <w:rFonts w:cs="Arial"/>
        </w:rPr>
        <w:t xml:space="preserve"> </w:t>
      </w:r>
      <w:r>
        <w:rPr>
          <w:rFonts w:cs="Arial"/>
        </w:rPr>
        <w:t xml:space="preserve">2490 </w:t>
      </w:r>
      <w:r w:rsidRPr="00C63246">
        <w:rPr>
          <w:rFonts w:cs="Arial"/>
        </w:rPr>
        <w:t xml:space="preserve">MHz to </w:t>
      </w:r>
      <w:r>
        <w:rPr>
          <w:rFonts w:cs="Arial"/>
        </w:rPr>
        <w:t>2800</w:t>
      </w:r>
      <w:r w:rsidRPr="00C63246">
        <w:rPr>
          <w:rFonts w:cs="Arial"/>
        </w:rPr>
        <w:t xml:space="preserve"> MHz </w:t>
      </w:r>
      <w:r w:rsidRPr="00762BBE">
        <w:rPr>
          <w:rFonts w:cs="Arial"/>
        </w:rPr>
        <w:t>excluding 26</w:t>
      </w:r>
      <w:r>
        <w:rPr>
          <w:rFonts w:cs="Arial"/>
        </w:rPr>
        <w:t>15</w:t>
      </w:r>
      <w:r w:rsidRPr="00762BBE">
        <w:rPr>
          <w:rFonts w:cs="Arial"/>
        </w:rPr>
        <w:t xml:space="preserve"> – 2</w:t>
      </w:r>
      <w:r>
        <w:rPr>
          <w:rFonts w:cs="Arial"/>
        </w:rPr>
        <w:t>70</w:t>
      </w:r>
      <w:r w:rsidRPr="00762BBE">
        <w:rPr>
          <w:rFonts w:cs="Arial"/>
        </w:rPr>
        <w:t xml:space="preserve">0 MHz </w:t>
      </w:r>
      <w:r w:rsidRPr="00C63246">
        <w:rPr>
          <w:rFonts w:cs="Arial"/>
        </w:rPr>
        <w:t xml:space="preserve">for transmitters operating in the upper </w:t>
      </w:r>
      <w:r>
        <w:rPr>
          <w:rFonts w:cs="Arial"/>
        </w:rPr>
        <w:t>2.5 G</w:t>
      </w:r>
      <w:r w:rsidRPr="00C63246">
        <w:rPr>
          <w:rFonts w:cs="Arial"/>
        </w:rPr>
        <w:t xml:space="preserve">Hz band </w:t>
      </w:r>
      <w:r w:rsidR="00160223" w:rsidRPr="00C63246">
        <w:rPr>
          <w:rFonts w:cs="Arial"/>
        </w:rPr>
        <w:t>– AAS transmitters</w:t>
      </w:r>
    </w:p>
    <w:tbl>
      <w:tblPr>
        <w:tblStyle w:val="TableGrid"/>
        <w:tblW w:w="7288" w:type="dxa"/>
        <w:jc w:val="center"/>
        <w:tblLook w:val="04A0" w:firstRow="1" w:lastRow="0" w:firstColumn="1" w:lastColumn="0" w:noHBand="0" w:noVBand="1"/>
      </w:tblPr>
      <w:tblGrid>
        <w:gridCol w:w="3418"/>
        <w:gridCol w:w="2270"/>
        <w:gridCol w:w="1600"/>
      </w:tblGrid>
      <w:tr w:rsidR="00160223" w:rsidRPr="00C63246" w14:paraId="2DC9D4EE" w14:textId="77777777">
        <w:trPr>
          <w:jc w:val="center"/>
        </w:trPr>
        <w:tc>
          <w:tcPr>
            <w:tcW w:w="3418" w:type="dxa"/>
            <w:shd w:val="clear" w:color="auto" w:fill="404040" w:themeFill="text1" w:themeFillTint="BF"/>
          </w:tcPr>
          <w:p w14:paraId="1F5FD468" w14:textId="2BC0FA2A" w:rsidR="00160223" w:rsidRPr="00C63246" w:rsidRDefault="00C75884">
            <w:pPr>
              <w:spacing w:after="0"/>
              <w:contextualSpacing/>
              <w:jc w:val="center"/>
              <w:rPr>
                <w:rFonts w:cs="Arial"/>
                <w:b/>
                <w:color w:val="FFFFFF" w:themeColor="background1"/>
              </w:rPr>
            </w:pPr>
            <w:r w:rsidRPr="008C4645">
              <w:rPr>
                <w:rFonts w:cs="Arial"/>
                <w:b/>
                <w:color w:val="FFFFFF" w:themeColor="background1"/>
              </w:rPr>
              <w:t xml:space="preserve">Frequency offset </w:t>
            </w:r>
            <w:proofErr w:type="spellStart"/>
            <w:r w:rsidRPr="00452A31">
              <w:rPr>
                <w:rFonts w:cs="Arial"/>
                <w:b/>
                <w:color w:val="FFFFFF" w:themeColor="background1"/>
              </w:rPr>
              <w:t>f</w:t>
            </w:r>
            <w:r w:rsidRPr="00452A31">
              <w:rPr>
                <w:rFonts w:cs="Arial"/>
                <w:b/>
                <w:color w:val="FFFFFF" w:themeColor="background1"/>
                <w:vertAlign w:val="subscript"/>
              </w:rPr>
              <w:t>offset</w:t>
            </w:r>
            <w:proofErr w:type="spellEnd"/>
            <w:r w:rsidRPr="00452A31">
              <w:rPr>
                <w:rFonts w:cs="Arial"/>
                <w:b/>
                <w:color w:val="FFFFFF" w:themeColor="background1"/>
              </w:rPr>
              <w:t>)</w:t>
            </w:r>
          </w:p>
        </w:tc>
        <w:tc>
          <w:tcPr>
            <w:tcW w:w="2270" w:type="dxa"/>
            <w:shd w:val="clear" w:color="auto" w:fill="404040" w:themeFill="text1" w:themeFillTint="BF"/>
          </w:tcPr>
          <w:p w14:paraId="3A644DC8" w14:textId="39B743C0" w:rsidR="00160223" w:rsidRPr="00C63246" w:rsidRDefault="00160223">
            <w:pPr>
              <w:spacing w:after="0"/>
              <w:contextualSpacing/>
              <w:jc w:val="center"/>
              <w:rPr>
                <w:rFonts w:cs="Arial"/>
                <w:b/>
                <w:color w:val="FFFFFF" w:themeColor="background1"/>
              </w:rPr>
            </w:pPr>
            <w:r w:rsidRPr="00C63246">
              <w:rPr>
                <w:rFonts w:cs="Arial"/>
                <w:b/>
                <w:color w:val="FFFFFF" w:themeColor="background1"/>
              </w:rPr>
              <w:t xml:space="preserve">Total radiated power per </w:t>
            </w:r>
            <w:r w:rsidR="00181AA2">
              <w:rPr>
                <w:rFonts w:cs="Arial"/>
                <w:b/>
                <w:color w:val="FFFFFF" w:themeColor="background1"/>
              </w:rPr>
              <w:t>cell/</w:t>
            </w:r>
            <w:r w:rsidRPr="00C63246">
              <w:rPr>
                <w:rFonts w:cs="Arial"/>
                <w:b/>
                <w:color w:val="FFFFFF" w:themeColor="background1"/>
              </w:rPr>
              <w:t xml:space="preserve">sector (dBm) </w:t>
            </w:r>
          </w:p>
        </w:tc>
        <w:tc>
          <w:tcPr>
            <w:tcW w:w="1600" w:type="dxa"/>
            <w:shd w:val="clear" w:color="auto" w:fill="404040" w:themeFill="text1" w:themeFillTint="BF"/>
          </w:tcPr>
          <w:p w14:paraId="3508CDBE" w14:textId="77777777" w:rsidR="00160223" w:rsidRPr="00C63246" w:rsidRDefault="00160223">
            <w:pPr>
              <w:spacing w:after="0"/>
              <w:contextualSpacing/>
              <w:jc w:val="center"/>
              <w:rPr>
                <w:rFonts w:cs="Arial"/>
                <w:b/>
                <w:color w:val="FFFFFF" w:themeColor="background1"/>
              </w:rPr>
            </w:pPr>
            <w:r w:rsidRPr="00C63246">
              <w:rPr>
                <w:rFonts w:cs="Arial"/>
                <w:b/>
                <w:color w:val="FFFFFF" w:themeColor="background1"/>
              </w:rPr>
              <w:t>Measurement bandwidth</w:t>
            </w:r>
          </w:p>
        </w:tc>
      </w:tr>
      <w:tr w:rsidR="00953C33" w:rsidRPr="00C63246" w14:paraId="773F74C5" w14:textId="77777777">
        <w:trPr>
          <w:jc w:val="center"/>
        </w:trPr>
        <w:tc>
          <w:tcPr>
            <w:tcW w:w="3418" w:type="dxa"/>
          </w:tcPr>
          <w:p w14:paraId="32FA7F4F" w14:textId="3F44773E" w:rsidR="00953C33" w:rsidRPr="00C63246" w:rsidRDefault="009740A5" w:rsidP="00953C33">
            <w:pPr>
              <w:spacing w:after="0"/>
              <w:contextualSpacing/>
              <w:jc w:val="center"/>
              <w:rPr>
                <w:rFonts w:cs="Arial"/>
                <w:sz w:val="18"/>
                <w:szCs w:val="18"/>
              </w:rPr>
            </w:pPr>
            <w:proofErr w:type="spellStart"/>
            <w:r w:rsidRPr="008C4645">
              <w:rPr>
                <w:rFonts w:cs="Arial"/>
                <w:sz w:val="18"/>
                <w:szCs w:val="18"/>
              </w:rPr>
              <w:t>f</w:t>
            </w:r>
            <w:r w:rsidRPr="008C4645">
              <w:rPr>
                <w:rFonts w:cs="Arial"/>
                <w:sz w:val="18"/>
                <w:szCs w:val="18"/>
                <w:vertAlign w:val="subscript"/>
              </w:rPr>
              <w:t>offset</w:t>
            </w:r>
            <w:proofErr w:type="spellEnd"/>
            <w:r w:rsidRPr="008C4645">
              <w:rPr>
                <w:rFonts w:cs="Arial"/>
                <w:spacing w:val="27"/>
                <w:position w:val="-1"/>
                <w:sz w:val="18"/>
                <w:szCs w:val="18"/>
              </w:rPr>
              <w:t xml:space="preserve"> </w:t>
            </w:r>
            <w:r w:rsidR="00E36490">
              <w:rPr>
                <w:rFonts w:cs="Arial"/>
                <w:sz w:val="18"/>
                <w:szCs w:val="18"/>
              </w:rPr>
              <w:t>≥</w:t>
            </w:r>
            <w:r w:rsidR="00953C33" w:rsidRPr="00C63246">
              <w:rPr>
                <w:rFonts w:cs="Arial"/>
                <w:sz w:val="18"/>
                <w:szCs w:val="18"/>
              </w:rPr>
              <w:t xml:space="preserve"> 0 Hz</w:t>
            </w:r>
          </w:p>
        </w:tc>
        <w:tc>
          <w:tcPr>
            <w:tcW w:w="2270" w:type="dxa"/>
          </w:tcPr>
          <w:p w14:paraId="4EF2D32A" w14:textId="195005B9" w:rsidR="00953C33" w:rsidRPr="00C63246" w:rsidRDefault="00953C33" w:rsidP="00953C33">
            <w:pPr>
              <w:spacing w:after="0"/>
              <w:contextualSpacing/>
              <w:jc w:val="center"/>
              <w:rPr>
                <w:rFonts w:cs="Arial"/>
                <w:sz w:val="18"/>
                <w:szCs w:val="18"/>
              </w:rPr>
            </w:pPr>
            <w:r w:rsidRPr="00C63246">
              <w:rPr>
                <w:rFonts w:cs="Arial"/>
                <w:sz w:val="18"/>
                <w:szCs w:val="18"/>
              </w:rPr>
              <w:t>-</w:t>
            </w:r>
            <w:r>
              <w:rPr>
                <w:rFonts w:cs="Arial"/>
                <w:sz w:val="18"/>
                <w:szCs w:val="18"/>
              </w:rPr>
              <w:t>52</w:t>
            </w:r>
          </w:p>
        </w:tc>
        <w:tc>
          <w:tcPr>
            <w:tcW w:w="1600" w:type="dxa"/>
          </w:tcPr>
          <w:p w14:paraId="549BC773" w14:textId="2986E8D6" w:rsidR="00953C33" w:rsidRPr="00C63246" w:rsidRDefault="00953C33" w:rsidP="00953C33">
            <w:pPr>
              <w:spacing w:after="0"/>
              <w:contextualSpacing/>
              <w:jc w:val="center"/>
              <w:rPr>
                <w:rFonts w:cs="Arial"/>
                <w:sz w:val="18"/>
                <w:szCs w:val="18"/>
              </w:rPr>
            </w:pPr>
            <w:r w:rsidRPr="00C63246">
              <w:rPr>
                <w:rFonts w:cs="Arial"/>
                <w:sz w:val="18"/>
                <w:szCs w:val="18"/>
              </w:rPr>
              <w:t xml:space="preserve">1 </w:t>
            </w:r>
            <w:r>
              <w:rPr>
                <w:rFonts w:cs="Arial"/>
                <w:sz w:val="18"/>
                <w:szCs w:val="18"/>
              </w:rPr>
              <w:t>M</w:t>
            </w:r>
            <w:r w:rsidRPr="00C63246">
              <w:rPr>
                <w:rFonts w:cs="Arial"/>
                <w:sz w:val="18"/>
                <w:szCs w:val="18"/>
              </w:rPr>
              <w:t>Hz</w:t>
            </w:r>
          </w:p>
        </w:tc>
      </w:tr>
    </w:tbl>
    <w:p w14:paraId="7B36C563" w14:textId="77777777" w:rsidR="00034508" w:rsidRPr="00322232" w:rsidRDefault="00034508" w:rsidP="00034508">
      <w:pPr>
        <w:keepNext/>
        <w:keepLines/>
        <w:spacing w:before="120"/>
        <w:ind w:left="284"/>
        <w:rPr>
          <w:rFonts w:cs="Arial"/>
          <w:bCs/>
          <w:i/>
          <w:iCs/>
          <w:sz w:val="16"/>
          <w:szCs w:val="16"/>
        </w:rPr>
      </w:pPr>
      <w:r w:rsidRPr="00322232">
        <w:rPr>
          <w:rFonts w:cs="Arial"/>
          <w:bCs/>
          <w:i/>
          <w:iCs/>
          <w:sz w:val="16"/>
          <w:szCs w:val="16"/>
        </w:rPr>
        <w:t xml:space="preserve">Note: </w:t>
      </w:r>
      <w:r w:rsidRPr="00322232">
        <w:rPr>
          <w:bCs/>
          <w:i/>
          <w:iCs/>
          <w:sz w:val="16"/>
          <w:szCs w:val="16"/>
        </w:rPr>
        <w:t>The</w:t>
      </w:r>
      <w:r w:rsidRPr="00322232">
        <w:rPr>
          <w:i/>
          <w:iCs/>
          <w:sz w:val="16"/>
          <w:szCs w:val="16"/>
        </w:rPr>
        <w:t xml:space="preserve"> closest -3dB point of the measurement bandwidth to </w:t>
      </w:r>
      <w:r w:rsidRPr="00322232">
        <w:rPr>
          <w:rFonts w:cs="Arial"/>
          <w:bCs/>
          <w:i/>
          <w:iCs/>
          <w:sz w:val="16"/>
          <w:szCs w:val="16"/>
        </w:rPr>
        <w:t>the upper or lower frequency limits i</w:t>
      </w:r>
      <w:r w:rsidRPr="00322232">
        <w:rPr>
          <w:i/>
          <w:iCs/>
          <w:sz w:val="16"/>
          <w:szCs w:val="16"/>
        </w:rPr>
        <w:t xml:space="preserve">s placed at </w:t>
      </w:r>
      <w:proofErr w:type="spellStart"/>
      <w:r w:rsidRPr="00322232">
        <w:rPr>
          <w:i/>
          <w:iCs/>
          <w:sz w:val="16"/>
          <w:szCs w:val="16"/>
        </w:rPr>
        <w:t>f</w:t>
      </w:r>
      <w:r w:rsidRPr="00322232">
        <w:rPr>
          <w:i/>
          <w:iCs/>
          <w:sz w:val="16"/>
          <w:szCs w:val="16"/>
          <w:vertAlign w:val="subscript"/>
        </w:rPr>
        <w:t>offset</w:t>
      </w:r>
      <w:proofErr w:type="spellEnd"/>
      <w:r w:rsidRPr="00322232">
        <w:rPr>
          <w:i/>
          <w:iCs/>
          <w:sz w:val="16"/>
          <w:szCs w:val="16"/>
        </w:rPr>
        <w:t>.</w:t>
      </w:r>
    </w:p>
    <w:p w14:paraId="278DF2D2" w14:textId="053C47A3" w:rsidR="002F7657" w:rsidRPr="00F14BC3" w:rsidRDefault="002F7657" w:rsidP="002F7657">
      <w:pPr>
        <w:pStyle w:val="ListParagraph"/>
        <w:spacing w:before="240"/>
        <w:ind w:left="0"/>
        <w:rPr>
          <w:rFonts w:ascii="Arial" w:hAnsi="Arial" w:cs="Arial"/>
        </w:rPr>
      </w:pPr>
    </w:p>
    <w:p w14:paraId="0A60E80D" w14:textId="52A48A0D" w:rsidR="006252E0" w:rsidRDefault="006252E0" w:rsidP="006252E0">
      <w:pPr>
        <w:pStyle w:val="Heading3"/>
      </w:pPr>
      <w:bookmarkStart w:id="34" w:name="_Toc84339342"/>
      <w:r>
        <w:t>Upper</w:t>
      </w:r>
      <w:r w:rsidR="009129EF">
        <w:t xml:space="preserve"> 2.5 GHz</w:t>
      </w:r>
      <w:r>
        <w:t xml:space="preserve"> band transmitter </w:t>
      </w:r>
      <w:r w:rsidR="005B42DF">
        <w:t>unwanted</w:t>
      </w:r>
      <w:r>
        <w:t xml:space="preserve"> emission</w:t>
      </w:r>
      <w:r w:rsidR="00947067">
        <w:t>s</w:t>
      </w:r>
      <w:r>
        <w:t xml:space="preserve"> outside the frequency range 2490 – 2800 MHz</w:t>
      </w:r>
      <w:r w:rsidR="00947067">
        <w:t>)</w:t>
      </w:r>
      <w:r>
        <w:t xml:space="preserve"> </w:t>
      </w:r>
    </w:p>
    <w:p w14:paraId="2550D157" w14:textId="0D510771" w:rsidR="003848F0" w:rsidRDefault="003848F0" w:rsidP="003848F0">
      <w:r>
        <w:t xml:space="preserve">The </w:t>
      </w:r>
      <w:r w:rsidR="00B05611">
        <w:t>ACMA</w:t>
      </w:r>
      <w:r>
        <w:t xml:space="preserve"> proposed </w:t>
      </w:r>
      <w:r w:rsidR="001D0DA2">
        <w:t>maintaining</w:t>
      </w:r>
      <w:r>
        <w:t xml:space="preserve"> the </w:t>
      </w:r>
      <w:r w:rsidR="00B21F9E">
        <w:t xml:space="preserve">current </w:t>
      </w:r>
      <w:r>
        <w:t xml:space="preserve">transmitter </w:t>
      </w:r>
      <w:r w:rsidR="007B2412">
        <w:t>unwanted</w:t>
      </w:r>
      <w:r>
        <w:t xml:space="preserve"> emissions limits</w:t>
      </w:r>
      <w:r w:rsidR="007B2412">
        <w:t xml:space="preserve"> outside the range 2490-2800 MHz</w:t>
      </w:r>
      <w:r>
        <w:t xml:space="preserve"> </w:t>
      </w:r>
      <w:r w:rsidR="004449C6">
        <w:t>with the clarification th</w:t>
      </w:r>
      <w:r w:rsidR="007D449D">
        <w:t>at the limits</w:t>
      </w:r>
      <w:r w:rsidR="00835835">
        <w:t xml:space="preserve"> </w:t>
      </w:r>
      <w:r w:rsidR="00321B2F">
        <w:t xml:space="preserve">apply </w:t>
      </w:r>
      <w:r w:rsidR="00216A2F">
        <w:t xml:space="preserve">for non-AAS </w:t>
      </w:r>
      <w:r w:rsidR="0057452F">
        <w:t>transmitters</w:t>
      </w:r>
      <w:r w:rsidR="00216A2F">
        <w:t xml:space="preserve"> are </w:t>
      </w:r>
      <w:r w:rsidR="007D449D">
        <w:t xml:space="preserve">apply per port. </w:t>
      </w:r>
      <w:r w:rsidR="00D65C39">
        <w:t xml:space="preserve">This is consistent with </w:t>
      </w:r>
      <w:r w:rsidRPr="0038765E">
        <w:t xml:space="preserve">3GPP </w:t>
      </w:r>
      <w:r>
        <w:t>TS 38.104.</w:t>
      </w:r>
      <w:r w:rsidRPr="0038765E">
        <w:rPr>
          <w:rStyle w:val="FootnoteReference"/>
        </w:rPr>
        <w:footnoteReference w:id="4"/>
      </w:r>
      <w:r>
        <w:t xml:space="preserve"> </w:t>
      </w:r>
      <w:r w:rsidR="00C5218F">
        <w:t>For AAS transmitters, t</w:t>
      </w:r>
      <w:r w:rsidR="00D65C39">
        <w:t xml:space="preserve">he ACMA proposed </w:t>
      </w:r>
      <w:r w:rsidR="006B296C">
        <w:t xml:space="preserve">to </w:t>
      </w:r>
      <w:r w:rsidR="00215A1C">
        <w:t xml:space="preserve">also </w:t>
      </w:r>
      <w:r w:rsidR="006B296C">
        <w:t>adopt the</w:t>
      </w:r>
      <w:r w:rsidR="00215A1C">
        <w:t xml:space="preserve"> limits in </w:t>
      </w:r>
      <w:r w:rsidRPr="0038765E">
        <w:t xml:space="preserve">3GPP </w:t>
      </w:r>
      <w:r>
        <w:t xml:space="preserve">TS 38.104 </w:t>
      </w:r>
      <w:r w:rsidR="002423B6">
        <w:t>that</w:t>
      </w:r>
      <w:r>
        <w:t xml:space="preserve"> are defined in terms of TRP, which means they apply to the aggregate emissions from all transmitters/receivers that form a device.</w:t>
      </w:r>
      <w:r w:rsidR="00B05611">
        <w:t xml:space="preserve"> </w:t>
      </w:r>
    </w:p>
    <w:p w14:paraId="33D51890" w14:textId="209DAE81" w:rsidR="00F44C5D" w:rsidRPr="00144415" w:rsidRDefault="00F44C5D" w:rsidP="000E521C">
      <w:r>
        <w:t>Th</w:t>
      </w:r>
      <w:r w:rsidR="00A439E8">
        <w:t>ese</w:t>
      </w:r>
      <w:r w:rsidR="00165FD0">
        <w:t xml:space="preserve"> </w:t>
      </w:r>
      <w:r w:rsidR="007C2C66" w:rsidRPr="007C2C66">
        <w:rPr>
          <w:szCs w:val="20"/>
        </w:rPr>
        <w:t xml:space="preserve">proposed emission limits in </w:t>
      </w:r>
      <w:r w:rsidR="00B323B1">
        <w:rPr>
          <w:szCs w:val="20"/>
        </w:rPr>
        <w:t xml:space="preserve">contained in </w:t>
      </w:r>
      <w:r w:rsidR="007C2C66" w:rsidRPr="007C2C66">
        <w:rPr>
          <w:szCs w:val="20"/>
        </w:rPr>
        <w:t xml:space="preserve">Table </w:t>
      </w:r>
      <w:r w:rsidR="000E521C">
        <w:rPr>
          <w:szCs w:val="20"/>
        </w:rPr>
        <w:t>9</w:t>
      </w:r>
      <w:r w:rsidR="007C2C66" w:rsidRPr="007C2C66">
        <w:rPr>
          <w:szCs w:val="20"/>
        </w:rPr>
        <w:t xml:space="preserve"> for non-AAS and Table </w:t>
      </w:r>
      <w:r w:rsidR="000E521C">
        <w:rPr>
          <w:szCs w:val="20"/>
        </w:rPr>
        <w:t>10</w:t>
      </w:r>
      <w:r w:rsidR="007C2C66" w:rsidRPr="007C2C66">
        <w:rPr>
          <w:szCs w:val="20"/>
        </w:rPr>
        <w:t xml:space="preserve"> for </w:t>
      </w:r>
      <w:proofErr w:type="gramStart"/>
      <w:r w:rsidR="007C2C66" w:rsidRPr="007C2C66">
        <w:rPr>
          <w:szCs w:val="20"/>
        </w:rPr>
        <w:t>AAS</w:t>
      </w:r>
      <w:r w:rsidR="00B323B1">
        <w:rPr>
          <w:szCs w:val="20"/>
        </w:rPr>
        <w:t>, and</w:t>
      </w:r>
      <w:proofErr w:type="gramEnd"/>
      <w:r w:rsidR="00B323B1">
        <w:rPr>
          <w:szCs w:val="20"/>
        </w:rPr>
        <w:t xml:space="preserve"> </w:t>
      </w:r>
      <w:r w:rsidR="00165FD0">
        <w:t>were supported by TLG members</w:t>
      </w:r>
      <w:r w:rsidR="007C2C66">
        <w:t>.</w:t>
      </w:r>
    </w:p>
    <w:p w14:paraId="111C1F09" w14:textId="77777777" w:rsidR="00F44C5D" w:rsidRPr="00C63246" w:rsidRDefault="00F44C5D" w:rsidP="00F44C5D">
      <w:pPr>
        <w:pStyle w:val="ACMATableHeader"/>
        <w:spacing w:before="240" w:line="240" w:lineRule="atLeast"/>
      </w:pPr>
      <w:r w:rsidRPr="00C63246">
        <w:rPr>
          <w:rFonts w:cs="Arial"/>
        </w:rPr>
        <w:t xml:space="preserve">Unwanted emission limits outside </w:t>
      </w:r>
      <w:r>
        <w:rPr>
          <w:rFonts w:cs="Arial"/>
        </w:rPr>
        <w:t xml:space="preserve">2490 </w:t>
      </w:r>
      <w:r w:rsidRPr="00C63246">
        <w:rPr>
          <w:rFonts w:cs="Arial"/>
        </w:rPr>
        <w:t xml:space="preserve">MHz to </w:t>
      </w:r>
      <w:r>
        <w:rPr>
          <w:rFonts w:cs="Arial"/>
        </w:rPr>
        <w:t>2800</w:t>
      </w:r>
      <w:r w:rsidRPr="00C63246">
        <w:rPr>
          <w:rFonts w:cs="Arial"/>
        </w:rPr>
        <w:t xml:space="preserve"> MHz for transmitters operating in the upper </w:t>
      </w:r>
      <w:r>
        <w:rPr>
          <w:rFonts w:cs="Arial"/>
        </w:rPr>
        <w:t>2.5 G</w:t>
      </w:r>
      <w:r w:rsidRPr="00C63246">
        <w:rPr>
          <w:rFonts w:cs="Arial"/>
        </w:rPr>
        <w:t>Hz band – non-AAS transmitters</w:t>
      </w:r>
    </w:p>
    <w:tbl>
      <w:tblPr>
        <w:tblStyle w:val="TableGrid"/>
        <w:tblW w:w="7241" w:type="dxa"/>
        <w:jc w:val="center"/>
        <w:tblLook w:val="04A0" w:firstRow="1" w:lastRow="0" w:firstColumn="1" w:lastColumn="0" w:noHBand="0" w:noVBand="1"/>
      </w:tblPr>
      <w:tblGrid>
        <w:gridCol w:w="3125"/>
        <w:gridCol w:w="2610"/>
        <w:gridCol w:w="1506"/>
      </w:tblGrid>
      <w:tr w:rsidR="00F44C5D" w:rsidRPr="00C63246" w14:paraId="348BEAC8" w14:textId="77777777">
        <w:trPr>
          <w:jc w:val="center"/>
        </w:trPr>
        <w:tc>
          <w:tcPr>
            <w:tcW w:w="3125" w:type="dxa"/>
            <w:shd w:val="clear" w:color="auto" w:fill="404040" w:themeFill="text1" w:themeFillTint="BF"/>
          </w:tcPr>
          <w:p w14:paraId="7EDF641F" w14:textId="77777777" w:rsidR="00F44C5D" w:rsidRPr="00C63246" w:rsidRDefault="00F44C5D">
            <w:pPr>
              <w:spacing w:after="0"/>
              <w:ind w:left="-394"/>
              <w:contextualSpacing/>
              <w:jc w:val="center"/>
              <w:rPr>
                <w:rFonts w:cs="Arial"/>
                <w:b/>
                <w:color w:val="FFFFFF" w:themeColor="background1"/>
              </w:rPr>
            </w:pPr>
            <w:r w:rsidRPr="00C63246">
              <w:rPr>
                <w:rFonts w:cs="Arial"/>
                <w:b/>
                <w:color w:val="FFFFFF" w:themeColor="background1"/>
              </w:rPr>
              <w:t xml:space="preserve">Frequency range </w:t>
            </w:r>
          </w:p>
          <w:p w14:paraId="5B1100E1" w14:textId="77777777" w:rsidR="00F44C5D" w:rsidRPr="00C63246" w:rsidRDefault="00F44C5D">
            <w:pPr>
              <w:spacing w:after="0"/>
              <w:contextualSpacing/>
              <w:jc w:val="center"/>
              <w:rPr>
                <w:rFonts w:cs="Arial"/>
                <w:b/>
                <w:color w:val="FFFFFF" w:themeColor="background1"/>
              </w:rPr>
            </w:pPr>
            <w:r w:rsidRPr="00C63246">
              <w:rPr>
                <w:rFonts w:cs="Arial"/>
                <w:b/>
                <w:color w:val="FFFFFF" w:themeColor="background1"/>
              </w:rPr>
              <w:t>(f)</w:t>
            </w:r>
          </w:p>
        </w:tc>
        <w:tc>
          <w:tcPr>
            <w:tcW w:w="2610" w:type="dxa"/>
            <w:shd w:val="clear" w:color="auto" w:fill="404040" w:themeFill="text1" w:themeFillTint="BF"/>
          </w:tcPr>
          <w:p w14:paraId="365BAF40" w14:textId="1F91E5FD" w:rsidR="00F44C5D" w:rsidRPr="00C63246" w:rsidRDefault="00F44C5D">
            <w:pPr>
              <w:spacing w:after="0"/>
              <w:contextualSpacing/>
              <w:jc w:val="center"/>
              <w:rPr>
                <w:rFonts w:cs="Arial"/>
                <w:b/>
                <w:color w:val="FFFFFF" w:themeColor="background1"/>
              </w:rPr>
            </w:pPr>
            <w:r w:rsidRPr="00C63246">
              <w:rPr>
                <w:rFonts w:cs="Arial"/>
                <w:b/>
                <w:color w:val="FFFFFF" w:themeColor="background1"/>
              </w:rPr>
              <w:t>Mean power (dBm) per transmitter</w:t>
            </w:r>
            <w:r w:rsidR="00834EDE">
              <w:rPr>
                <w:rFonts w:cs="Arial"/>
                <w:b/>
                <w:color w:val="FFFFFF" w:themeColor="background1"/>
              </w:rPr>
              <w:t xml:space="preserve"> port</w:t>
            </w:r>
          </w:p>
        </w:tc>
        <w:tc>
          <w:tcPr>
            <w:tcW w:w="1506" w:type="dxa"/>
            <w:shd w:val="clear" w:color="auto" w:fill="404040" w:themeFill="text1" w:themeFillTint="BF"/>
          </w:tcPr>
          <w:p w14:paraId="765EF939" w14:textId="77777777" w:rsidR="00F44C5D" w:rsidRPr="00C63246" w:rsidRDefault="00F44C5D">
            <w:pPr>
              <w:spacing w:after="0"/>
              <w:contextualSpacing/>
              <w:jc w:val="center"/>
              <w:rPr>
                <w:rFonts w:cs="Arial"/>
                <w:b/>
                <w:color w:val="FFFFFF" w:themeColor="background1"/>
              </w:rPr>
            </w:pPr>
            <w:r w:rsidRPr="00C63246">
              <w:rPr>
                <w:rFonts w:cs="Arial"/>
                <w:b/>
                <w:color w:val="FFFFFF" w:themeColor="background1"/>
              </w:rPr>
              <w:t>Measurement bandwidth</w:t>
            </w:r>
          </w:p>
        </w:tc>
      </w:tr>
      <w:tr w:rsidR="00F44C5D" w:rsidRPr="00C63246" w14:paraId="5A560D24" w14:textId="77777777">
        <w:trPr>
          <w:jc w:val="center"/>
        </w:trPr>
        <w:tc>
          <w:tcPr>
            <w:tcW w:w="3125" w:type="dxa"/>
          </w:tcPr>
          <w:p w14:paraId="76BAC3DC" w14:textId="77777777" w:rsidR="00F44C5D" w:rsidRPr="00C63246" w:rsidRDefault="00F44C5D">
            <w:pPr>
              <w:spacing w:after="0"/>
              <w:contextualSpacing/>
              <w:jc w:val="center"/>
              <w:rPr>
                <w:rFonts w:cs="Arial"/>
                <w:sz w:val="18"/>
                <w:szCs w:val="18"/>
              </w:rPr>
            </w:pPr>
            <w:r w:rsidRPr="00C63246">
              <w:rPr>
                <w:rFonts w:cs="Arial"/>
                <w:sz w:val="18"/>
                <w:szCs w:val="18"/>
              </w:rPr>
              <w:t>9 kHz ≤ f &lt; 150 kHz</w:t>
            </w:r>
          </w:p>
        </w:tc>
        <w:tc>
          <w:tcPr>
            <w:tcW w:w="2610" w:type="dxa"/>
          </w:tcPr>
          <w:p w14:paraId="75F8BA84" w14:textId="77777777" w:rsidR="00F44C5D" w:rsidRPr="00C63246" w:rsidRDefault="00F44C5D">
            <w:pPr>
              <w:spacing w:after="0"/>
              <w:contextualSpacing/>
              <w:jc w:val="center"/>
              <w:rPr>
                <w:rFonts w:cs="Arial"/>
                <w:sz w:val="18"/>
                <w:szCs w:val="18"/>
              </w:rPr>
            </w:pPr>
            <w:r w:rsidRPr="00C63246">
              <w:rPr>
                <w:rFonts w:cs="Arial"/>
                <w:sz w:val="18"/>
                <w:szCs w:val="18"/>
              </w:rPr>
              <w:t>-36</w:t>
            </w:r>
          </w:p>
        </w:tc>
        <w:tc>
          <w:tcPr>
            <w:tcW w:w="1506" w:type="dxa"/>
          </w:tcPr>
          <w:p w14:paraId="621853DC" w14:textId="77777777" w:rsidR="00F44C5D" w:rsidRPr="00C63246" w:rsidRDefault="00F44C5D">
            <w:pPr>
              <w:spacing w:after="0"/>
              <w:contextualSpacing/>
              <w:jc w:val="center"/>
              <w:rPr>
                <w:rFonts w:cs="Arial"/>
                <w:sz w:val="18"/>
                <w:szCs w:val="18"/>
              </w:rPr>
            </w:pPr>
            <w:r w:rsidRPr="00C63246">
              <w:rPr>
                <w:rFonts w:cs="Arial"/>
                <w:sz w:val="18"/>
                <w:szCs w:val="18"/>
              </w:rPr>
              <w:t>1 kHz</w:t>
            </w:r>
          </w:p>
        </w:tc>
      </w:tr>
      <w:tr w:rsidR="00F44C5D" w:rsidRPr="00C63246" w14:paraId="445FAF44" w14:textId="77777777">
        <w:trPr>
          <w:jc w:val="center"/>
        </w:trPr>
        <w:tc>
          <w:tcPr>
            <w:tcW w:w="3125" w:type="dxa"/>
            <w:shd w:val="clear" w:color="auto" w:fill="F2F2F2" w:themeFill="background1" w:themeFillShade="F2"/>
          </w:tcPr>
          <w:p w14:paraId="3242FF56" w14:textId="77777777" w:rsidR="00F44C5D" w:rsidRPr="00C63246" w:rsidRDefault="00F44C5D">
            <w:pPr>
              <w:spacing w:after="0"/>
              <w:contextualSpacing/>
              <w:jc w:val="center"/>
              <w:rPr>
                <w:rFonts w:cs="Arial"/>
                <w:sz w:val="18"/>
                <w:szCs w:val="18"/>
              </w:rPr>
            </w:pPr>
            <w:r w:rsidRPr="00C63246">
              <w:rPr>
                <w:rFonts w:cs="Arial"/>
                <w:sz w:val="18"/>
                <w:szCs w:val="18"/>
              </w:rPr>
              <w:t>150 kHz ≤ f &lt; 30 MHz</w:t>
            </w:r>
          </w:p>
        </w:tc>
        <w:tc>
          <w:tcPr>
            <w:tcW w:w="2610" w:type="dxa"/>
            <w:shd w:val="clear" w:color="auto" w:fill="F2F2F2" w:themeFill="background1" w:themeFillShade="F2"/>
          </w:tcPr>
          <w:p w14:paraId="4F4A573D" w14:textId="77777777" w:rsidR="00F44C5D" w:rsidRPr="00C63246" w:rsidRDefault="00F44C5D">
            <w:pPr>
              <w:spacing w:after="0"/>
              <w:contextualSpacing/>
              <w:jc w:val="center"/>
              <w:rPr>
                <w:rFonts w:cs="Arial"/>
                <w:sz w:val="18"/>
                <w:szCs w:val="18"/>
              </w:rPr>
            </w:pPr>
            <w:r w:rsidRPr="00C63246">
              <w:rPr>
                <w:rFonts w:cs="Arial"/>
                <w:sz w:val="18"/>
                <w:szCs w:val="18"/>
              </w:rPr>
              <w:t>-36</w:t>
            </w:r>
          </w:p>
        </w:tc>
        <w:tc>
          <w:tcPr>
            <w:tcW w:w="1506" w:type="dxa"/>
            <w:shd w:val="clear" w:color="auto" w:fill="F2F2F2" w:themeFill="background1" w:themeFillShade="F2"/>
          </w:tcPr>
          <w:p w14:paraId="7201A68F" w14:textId="77777777" w:rsidR="00F44C5D" w:rsidRPr="00C63246" w:rsidRDefault="00F44C5D">
            <w:pPr>
              <w:spacing w:after="0"/>
              <w:contextualSpacing/>
              <w:jc w:val="center"/>
              <w:rPr>
                <w:rFonts w:cs="Arial"/>
                <w:sz w:val="18"/>
                <w:szCs w:val="18"/>
              </w:rPr>
            </w:pPr>
            <w:r w:rsidRPr="00C63246">
              <w:rPr>
                <w:rFonts w:cs="Arial"/>
                <w:sz w:val="18"/>
                <w:szCs w:val="18"/>
              </w:rPr>
              <w:t>10 kHz</w:t>
            </w:r>
          </w:p>
        </w:tc>
      </w:tr>
      <w:tr w:rsidR="00F44C5D" w:rsidRPr="00C63246" w14:paraId="46CC3846" w14:textId="77777777">
        <w:trPr>
          <w:jc w:val="center"/>
        </w:trPr>
        <w:tc>
          <w:tcPr>
            <w:tcW w:w="3125" w:type="dxa"/>
          </w:tcPr>
          <w:p w14:paraId="25D38C29" w14:textId="77777777" w:rsidR="00F44C5D" w:rsidRPr="00C63246" w:rsidRDefault="00F44C5D">
            <w:pPr>
              <w:spacing w:after="0"/>
              <w:contextualSpacing/>
              <w:jc w:val="center"/>
              <w:rPr>
                <w:rFonts w:cs="Arial"/>
                <w:sz w:val="18"/>
                <w:szCs w:val="18"/>
              </w:rPr>
            </w:pPr>
            <w:r w:rsidRPr="00C63246">
              <w:rPr>
                <w:rFonts w:cs="Arial"/>
                <w:sz w:val="18"/>
                <w:szCs w:val="18"/>
              </w:rPr>
              <w:t>30 MHz ≤ f &lt; 1 GHz</w:t>
            </w:r>
          </w:p>
        </w:tc>
        <w:tc>
          <w:tcPr>
            <w:tcW w:w="2610" w:type="dxa"/>
          </w:tcPr>
          <w:p w14:paraId="3FB4CD2C" w14:textId="77777777" w:rsidR="00F44C5D" w:rsidRPr="00C63246" w:rsidRDefault="00F44C5D">
            <w:pPr>
              <w:spacing w:after="0"/>
              <w:contextualSpacing/>
              <w:jc w:val="center"/>
              <w:rPr>
                <w:rFonts w:cs="Arial"/>
                <w:sz w:val="18"/>
                <w:szCs w:val="18"/>
              </w:rPr>
            </w:pPr>
            <w:r w:rsidRPr="00C63246">
              <w:rPr>
                <w:rFonts w:cs="Arial"/>
                <w:sz w:val="18"/>
                <w:szCs w:val="18"/>
              </w:rPr>
              <w:t>-36</w:t>
            </w:r>
          </w:p>
        </w:tc>
        <w:tc>
          <w:tcPr>
            <w:tcW w:w="1506" w:type="dxa"/>
          </w:tcPr>
          <w:p w14:paraId="162FE761" w14:textId="77777777" w:rsidR="00F44C5D" w:rsidRPr="00C63246" w:rsidRDefault="00F44C5D">
            <w:pPr>
              <w:spacing w:after="0"/>
              <w:contextualSpacing/>
              <w:jc w:val="center"/>
              <w:rPr>
                <w:rFonts w:cs="Arial"/>
                <w:sz w:val="18"/>
                <w:szCs w:val="18"/>
              </w:rPr>
            </w:pPr>
            <w:r w:rsidRPr="00C63246">
              <w:rPr>
                <w:rFonts w:cs="Arial"/>
                <w:sz w:val="18"/>
                <w:szCs w:val="18"/>
              </w:rPr>
              <w:t>100 kHz</w:t>
            </w:r>
          </w:p>
        </w:tc>
      </w:tr>
      <w:tr w:rsidR="00F44C5D" w:rsidRPr="00C63246" w14:paraId="443548A6" w14:textId="77777777">
        <w:trPr>
          <w:jc w:val="center"/>
        </w:trPr>
        <w:tc>
          <w:tcPr>
            <w:tcW w:w="3125" w:type="dxa"/>
            <w:shd w:val="clear" w:color="auto" w:fill="F2F2F2" w:themeFill="background1" w:themeFillShade="F2"/>
          </w:tcPr>
          <w:p w14:paraId="2397AC93" w14:textId="77777777" w:rsidR="00F44C5D" w:rsidRPr="00C63246" w:rsidRDefault="00F44C5D">
            <w:pPr>
              <w:spacing w:after="0"/>
              <w:contextualSpacing/>
              <w:jc w:val="center"/>
              <w:rPr>
                <w:rFonts w:cs="Arial"/>
                <w:sz w:val="18"/>
                <w:szCs w:val="18"/>
              </w:rPr>
            </w:pPr>
            <w:r w:rsidRPr="00C63246">
              <w:rPr>
                <w:rFonts w:cs="Arial"/>
                <w:sz w:val="18"/>
                <w:szCs w:val="18"/>
              </w:rPr>
              <w:t>1 GHz ≤ f &lt; 12.75 GHz</w:t>
            </w:r>
          </w:p>
        </w:tc>
        <w:tc>
          <w:tcPr>
            <w:tcW w:w="2610" w:type="dxa"/>
            <w:shd w:val="clear" w:color="auto" w:fill="F2F2F2" w:themeFill="background1" w:themeFillShade="F2"/>
          </w:tcPr>
          <w:p w14:paraId="0CC44066" w14:textId="77777777" w:rsidR="00F44C5D" w:rsidRPr="00C63246" w:rsidRDefault="00F44C5D">
            <w:pPr>
              <w:spacing w:after="0"/>
              <w:contextualSpacing/>
              <w:jc w:val="center"/>
              <w:rPr>
                <w:rFonts w:cs="Arial"/>
                <w:sz w:val="18"/>
                <w:szCs w:val="18"/>
              </w:rPr>
            </w:pPr>
            <w:r w:rsidRPr="00C63246">
              <w:rPr>
                <w:rFonts w:cs="Arial"/>
                <w:sz w:val="18"/>
                <w:szCs w:val="18"/>
              </w:rPr>
              <w:t>-30</w:t>
            </w:r>
          </w:p>
        </w:tc>
        <w:tc>
          <w:tcPr>
            <w:tcW w:w="1506" w:type="dxa"/>
            <w:shd w:val="clear" w:color="auto" w:fill="F2F2F2" w:themeFill="background1" w:themeFillShade="F2"/>
          </w:tcPr>
          <w:p w14:paraId="5FE736FC" w14:textId="77777777" w:rsidR="00F44C5D" w:rsidRPr="00C63246" w:rsidRDefault="00F44C5D">
            <w:pPr>
              <w:spacing w:after="0"/>
              <w:contextualSpacing/>
              <w:jc w:val="center"/>
              <w:rPr>
                <w:rFonts w:cs="Arial"/>
                <w:sz w:val="18"/>
                <w:szCs w:val="18"/>
              </w:rPr>
            </w:pPr>
            <w:r w:rsidRPr="00C63246">
              <w:rPr>
                <w:rFonts w:cs="Arial"/>
                <w:sz w:val="18"/>
                <w:szCs w:val="18"/>
              </w:rPr>
              <w:t>1 MHz</w:t>
            </w:r>
          </w:p>
        </w:tc>
      </w:tr>
    </w:tbl>
    <w:p w14:paraId="4B30DFBF" w14:textId="77777777" w:rsidR="00F44C5D" w:rsidRPr="00A406B6" w:rsidRDefault="00F44C5D" w:rsidP="00F44C5D">
      <w:pPr>
        <w:pStyle w:val="Spaceaftertable"/>
      </w:pPr>
    </w:p>
    <w:p w14:paraId="2D047B41" w14:textId="77777777" w:rsidR="00F44C5D" w:rsidRPr="00C63246" w:rsidRDefault="00F44C5D" w:rsidP="00F44C5D">
      <w:pPr>
        <w:pStyle w:val="ACMATableHeader"/>
        <w:spacing w:before="240" w:line="240" w:lineRule="atLeast"/>
      </w:pPr>
      <w:r w:rsidRPr="00C63246">
        <w:rPr>
          <w:rFonts w:cs="Arial"/>
        </w:rPr>
        <w:t xml:space="preserve">Unwanted emission limits outside </w:t>
      </w:r>
      <w:r>
        <w:rPr>
          <w:rFonts w:cs="Arial"/>
        </w:rPr>
        <w:t xml:space="preserve">2490 </w:t>
      </w:r>
      <w:r w:rsidRPr="00C63246">
        <w:rPr>
          <w:rFonts w:cs="Arial"/>
        </w:rPr>
        <w:t xml:space="preserve">MHz to </w:t>
      </w:r>
      <w:r>
        <w:rPr>
          <w:rFonts w:cs="Arial"/>
        </w:rPr>
        <w:t>2800</w:t>
      </w:r>
      <w:r w:rsidRPr="00C63246">
        <w:rPr>
          <w:rFonts w:cs="Arial"/>
        </w:rPr>
        <w:t xml:space="preserve"> MHz for transmitters operating in the upper </w:t>
      </w:r>
      <w:r>
        <w:rPr>
          <w:rFonts w:cs="Arial"/>
        </w:rPr>
        <w:t>2.5 G</w:t>
      </w:r>
      <w:r w:rsidRPr="00C63246">
        <w:rPr>
          <w:rFonts w:cs="Arial"/>
        </w:rPr>
        <w:t>Hz band – AAS transmitters</w:t>
      </w:r>
    </w:p>
    <w:tbl>
      <w:tblPr>
        <w:tblStyle w:val="TableGrid"/>
        <w:tblW w:w="7288" w:type="dxa"/>
        <w:jc w:val="center"/>
        <w:tblLook w:val="04A0" w:firstRow="1" w:lastRow="0" w:firstColumn="1" w:lastColumn="0" w:noHBand="0" w:noVBand="1"/>
      </w:tblPr>
      <w:tblGrid>
        <w:gridCol w:w="3418"/>
        <w:gridCol w:w="2270"/>
        <w:gridCol w:w="1600"/>
      </w:tblGrid>
      <w:tr w:rsidR="00F44C5D" w:rsidRPr="00C63246" w14:paraId="51F828EA" w14:textId="77777777">
        <w:trPr>
          <w:jc w:val="center"/>
        </w:trPr>
        <w:tc>
          <w:tcPr>
            <w:tcW w:w="3418" w:type="dxa"/>
            <w:shd w:val="clear" w:color="auto" w:fill="404040" w:themeFill="text1" w:themeFillTint="BF"/>
          </w:tcPr>
          <w:p w14:paraId="1FF9306D" w14:textId="77777777" w:rsidR="00F44C5D" w:rsidRPr="00C63246" w:rsidRDefault="00F44C5D">
            <w:pPr>
              <w:spacing w:after="0"/>
              <w:contextualSpacing/>
              <w:jc w:val="center"/>
              <w:rPr>
                <w:rFonts w:cs="Arial"/>
                <w:b/>
                <w:color w:val="FFFFFF" w:themeColor="background1"/>
              </w:rPr>
            </w:pPr>
            <w:r w:rsidRPr="00C63246">
              <w:rPr>
                <w:rFonts w:cs="Arial"/>
                <w:b/>
                <w:color w:val="FFFFFF" w:themeColor="background1"/>
              </w:rPr>
              <w:t xml:space="preserve">Frequency range </w:t>
            </w:r>
          </w:p>
          <w:p w14:paraId="35C387D6" w14:textId="77777777" w:rsidR="00F44C5D" w:rsidRPr="00C63246" w:rsidRDefault="00F44C5D">
            <w:pPr>
              <w:spacing w:after="0"/>
              <w:contextualSpacing/>
              <w:jc w:val="center"/>
              <w:rPr>
                <w:rFonts w:cs="Arial"/>
                <w:b/>
                <w:color w:val="FFFFFF" w:themeColor="background1"/>
              </w:rPr>
            </w:pPr>
            <w:r w:rsidRPr="00C63246">
              <w:rPr>
                <w:rFonts w:cs="Arial"/>
                <w:b/>
                <w:color w:val="FFFFFF" w:themeColor="background1"/>
              </w:rPr>
              <w:t>(f)</w:t>
            </w:r>
          </w:p>
        </w:tc>
        <w:tc>
          <w:tcPr>
            <w:tcW w:w="2270" w:type="dxa"/>
            <w:shd w:val="clear" w:color="auto" w:fill="404040" w:themeFill="text1" w:themeFillTint="BF"/>
          </w:tcPr>
          <w:p w14:paraId="293EE619" w14:textId="605BCDEA" w:rsidR="00F44C5D" w:rsidRPr="00C63246" w:rsidRDefault="00F44C5D">
            <w:pPr>
              <w:spacing w:after="0"/>
              <w:contextualSpacing/>
              <w:jc w:val="center"/>
              <w:rPr>
                <w:rFonts w:cs="Arial"/>
                <w:b/>
                <w:color w:val="FFFFFF" w:themeColor="background1"/>
              </w:rPr>
            </w:pPr>
            <w:r w:rsidRPr="00C63246">
              <w:rPr>
                <w:rFonts w:cs="Arial"/>
                <w:b/>
                <w:color w:val="FFFFFF" w:themeColor="background1"/>
              </w:rPr>
              <w:t xml:space="preserve">Total radiated power per </w:t>
            </w:r>
            <w:r w:rsidR="00181AA2">
              <w:rPr>
                <w:rFonts w:cs="Arial"/>
                <w:b/>
                <w:color w:val="FFFFFF" w:themeColor="background1"/>
              </w:rPr>
              <w:t>cell/</w:t>
            </w:r>
            <w:r w:rsidRPr="00C63246">
              <w:rPr>
                <w:rFonts w:cs="Arial"/>
                <w:b/>
                <w:color w:val="FFFFFF" w:themeColor="background1"/>
              </w:rPr>
              <w:t xml:space="preserve">sector (dBm) </w:t>
            </w:r>
          </w:p>
        </w:tc>
        <w:tc>
          <w:tcPr>
            <w:tcW w:w="1600" w:type="dxa"/>
            <w:shd w:val="clear" w:color="auto" w:fill="404040" w:themeFill="text1" w:themeFillTint="BF"/>
          </w:tcPr>
          <w:p w14:paraId="6D0E2040" w14:textId="77777777" w:rsidR="00F44C5D" w:rsidRPr="00C63246" w:rsidRDefault="00F44C5D">
            <w:pPr>
              <w:spacing w:after="0"/>
              <w:contextualSpacing/>
              <w:jc w:val="center"/>
              <w:rPr>
                <w:rFonts w:cs="Arial"/>
                <w:b/>
                <w:color w:val="FFFFFF" w:themeColor="background1"/>
              </w:rPr>
            </w:pPr>
            <w:r w:rsidRPr="00C63246">
              <w:rPr>
                <w:rFonts w:cs="Arial"/>
                <w:b/>
                <w:color w:val="FFFFFF" w:themeColor="background1"/>
              </w:rPr>
              <w:t>Measurement bandwidth</w:t>
            </w:r>
          </w:p>
        </w:tc>
      </w:tr>
      <w:tr w:rsidR="00F44C5D" w:rsidRPr="00C63246" w14:paraId="70325B04" w14:textId="77777777">
        <w:trPr>
          <w:jc w:val="center"/>
        </w:trPr>
        <w:tc>
          <w:tcPr>
            <w:tcW w:w="3418" w:type="dxa"/>
          </w:tcPr>
          <w:p w14:paraId="384687FA" w14:textId="77777777" w:rsidR="00F44C5D" w:rsidRPr="00C63246" w:rsidRDefault="00F44C5D">
            <w:pPr>
              <w:spacing w:after="0"/>
              <w:contextualSpacing/>
              <w:jc w:val="center"/>
              <w:rPr>
                <w:rFonts w:cs="Arial"/>
                <w:sz w:val="18"/>
                <w:szCs w:val="18"/>
              </w:rPr>
            </w:pPr>
            <w:r w:rsidRPr="00C63246">
              <w:rPr>
                <w:rFonts w:cs="Arial"/>
                <w:sz w:val="18"/>
                <w:szCs w:val="18"/>
              </w:rPr>
              <w:t>9 kHz ≤ f &lt; 150 kHz</w:t>
            </w:r>
          </w:p>
        </w:tc>
        <w:tc>
          <w:tcPr>
            <w:tcW w:w="2270" w:type="dxa"/>
          </w:tcPr>
          <w:p w14:paraId="04DB5C0A" w14:textId="77777777" w:rsidR="00F44C5D" w:rsidRPr="00C63246" w:rsidRDefault="00F44C5D">
            <w:pPr>
              <w:spacing w:after="0"/>
              <w:contextualSpacing/>
              <w:jc w:val="center"/>
              <w:rPr>
                <w:rFonts w:cs="Arial"/>
                <w:sz w:val="18"/>
                <w:szCs w:val="18"/>
              </w:rPr>
            </w:pPr>
            <w:r w:rsidRPr="00C63246">
              <w:rPr>
                <w:rFonts w:cs="Arial"/>
                <w:sz w:val="18"/>
                <w:szCs w:val="18"/>
              </w:rPr>
              <w:t>-27</w:t>
            </w:r>
          </w:p>
        </w:tc>
        <w:tc>
          <w:tcPr>
            <w:tcW w:w="1600" w:type="dxa"/>
          </w:tcPr>
          <w:p w14:paraId="6E66936B" w14:textId="77777777" w:rsidR="00F44C5D" w:rsidRPr="00C63246" w:rsidRDefault="00F44C5D">
            <w:pPr>
              <w:spacing w:after="0"/>
              <w:contextualSpacing/>
              <w:jc w:val="center"/>
              <w:rPr>
                <w:rFonts w:cs="Arial"/>
                <w:sz w:val="18"/>
                <w:szCs w:val="18"/>
              </w:rPr>
            </w:pPr>
            <w:r w:rsidRPr="00C63246">
              <w:rPr>
                <w:rFonts w:cs="Arial"/>
                <w:sz w:val="18"/>
                <w:szCs w:val="18"/>
              </w:rPr>
              <w:t>1 kHz</w:t>
            </w:r>
          </w:p>
        </w:tc>
      </w:tr>
      <w:tr w:rsidR="00F44C5D" w:rsidRPr="00C63246" w14:paraId="06CC16D2" w14:textId="77777777">
        <w:trPr>
          <w:jc w:val="center"/>
        </w:trPr>
        <w:tc>
          <w:tcPr>
            <w:tcW w:w="3418" w:type="dxa"/>
            <w:shd w:val="clear" w:color="auto" w:fill="F2F2F2" w:themeFill="background1" w:themeFillShade="F2"/>
          </w:tcPr>
          <w:p w14:paraId="56DA9F10" w14:textId="77777777" w:rsidR="00F44C5D" w:rsidRPr="00C63246" w:rsidRDefault="00F44C5D">
            <w:pPr>
              <w:spacing w:after="0"/>
              <w:contextualSpacing/>
              <w:jc w:val="center"/>
              <w:rPr>
                <w:rFonts w:cs="Arial"/>
                <w:sz w:val="18"/>
                <w:szCs w:val="18"/>
              </w:rPr>
            </w:pPr>
            <w:r w:rsidRPr="00C63246">
              <w:rPr>
                <w:rFonts w:cs="Arial"/>
                <w:sz w:val="18"/>
                <w:szCs w:val="18"/>
              </w:rPr>
              <w:t>150 kHz ≤ f &lt; 30 MHz</w:t>
            </w:r>
          </w:p>
        </w:tc>
        <w:tc>
          <w:tcPr>
            <w:tcW w:w="2270" w:type="dxa"/>
            <w:shd w:val="clear" w:color="auto" w:fill="F2F2F2" w:themeFill="background1" w:themeFillShade="F2"/>
          </w:tcPr>
          <w:p w14:paraId="1C151756" w14:textId="77777777" w:rsidR="00F44C5D" w:rsidRPr="00C63246" w:rsidRDefault="00F44C5D">
            <w:pPr>
              <w:spacing w:after="0"/>
              <w:contextualSpacing/>
              <w:jc w:val="center"/>
              <w:rPr>
                <w:rFonts w:cs="Arial"/>
                <w:sz w:val="18"/>
                <w:szCs w:val="18"/>
              </w:rPr>
            </w:pPr>
            <w:r w:rsidRPr="00C63246">
              <w:rPr>
                <w:rFonts w:cs="Arial"/>
                <w:sz w:val="18"/>
                <w:szCs w:val="18"/>
              </w:rPr>
              <w:t>-27</w:t>
            </w:r>
          </w:p>
        </w:tc>
        <w:tc>
          <w:tcPr>
            <w:tcW w:w="1600" w:type="dxa"/>
            <w:shd w:val="clear" w:color="auto" w:fill="F2F2F2" w:themeFill="background1" w:themeFillShade="F2"/>
          </w:tcPr>
          <w:p w14:paraId="702CEEA5" w14:textId="77777777" w:rsidR="00F44C5D" w:rsidRPr="00C63246" w:rsidRDefault="00F44C5D">
            <w:pPr>
              <w:spacing w:after="0"/>
              <w:contextualSpacing/>
              <w:jc w:val="center"/>
              <w:rPr>
                <w:rFonts w:cs="Arial"/>
                <w:sz w:val="18"/>
                <w:szCs w:val="18"/>
              </w:rPr>
            </w:pPr>
            <w:r w:rsidRPr="00C63246">
              <w:rPr>
                <w:rFonts w:cs="Arial"/>
                <w:sz w:val="18"/>
                <w:szCs w:val="18"/>
              </w:rPr>
              <w:t>10 kHz</w:t>
            </w:r>
          </w:p>
        </w:tc>
      </w:tr>
      <w:tr w:rsidR="00F44C5D" w:rsidRPr="00C63246" w14:paraId="26767577" w14:textId="77777777">
        <w:trPr>
          <w:jc w:val="center"/>
        </w:trPr>
        <w:tc>
          <w:tcPr>
            <w:tcW w:w="3418" w:type="dxa"/>
          </w:tcPr>
          <w:p w14:paraId="5E9438E6" w14:textId="77777777" w:rsidR="00F44C5D" w:rsidRPr="00C63246" w:rsidRDefault="00F44C5D">
            <w:pPr>
              <w:spacing w:after="0"/>
              <w:contextualSpacing/>
              <w:jc w:val="center"/>
              <w:rPr>
                <w:rFonts w:cs="Arial"/>
                <w:sz w:val="18"/>
                <w:szCs w:val="18"/>
              </w:rPr>
            </w:pPr>
            <w:r w:rsidRPr="00C63246">
              <w:rPr>
                <w:rFonts w:cs="Arial"/>
                <w:sz w:val="18"/>
                <w:szCs w:val="18"/>
              </w:rPr>
              <w:t>30 MHz ≤ f &lt; 1 GHz</w:t>
            </w:r>
          </w:p>
        </w:tc>
        <w:tc>
          <w:tcPr>
            <w:tcW w:w="2270" w:type="dxa"/>
          </w:tcPr>
          <w:p w14:paraId="7757BBC0" w14:textId="77777777" w:rsidR="00F44C5D" w:rsidRPr="00C63246" w:rsidRDefault="00F44C5D">
            <w:pPr>
              <w:spacing w:after="0"/>
              <w:contextualSpacing/>
              <w:jc w:val="center"/>
              <w:rPr>
                <w:rFonts w:cs="Arial"/>
                <w:sz w:val="18"/>
                <w:szCs w:val="18"/>
              </w:rPr>
            </w:pPr>
            <w:r w:rsidRPr="00C63246">
              <w:rPr>
                <w:rFonts w:cs="Arial"/>
                <w:sz w:val="18"/>
                <w:szCs w:val="18"/>
              </w:rPr>
              <w:t>-27</w:t>
            </w:r>
          </w:p>
        </w:tc>
        <w:tc>
          <w:tcPr>
            <w:tcW w:w="1600" w:type="dxa"/>
          </w:tcPr>
          <w:p w14:paraId="7BCA99AD" w14:textId="77777777" w:rsidR="00F44C5D" w:rsidRPr="00C63246" w:rsidRDefault="00F44C5D">
            <w:pPr>
              <w:spacing w:after="0"/>
              <w:contextualSpacing/>
              <w:jc w:val="center"/>
              <w:rPr>
                <w:rFonts w:cs="Arial"/>
                <w:sz w:val="18"/>
                <w:szCs w:val="18"/>
              </w:rPr>
            </w:pPr>
            <w:r w:rsidRPr="00C63246">
              <w:rPr>
                <w:rFonts w:cs="Arial"/>
                <w:sz w:val="18"/>
                <w:szCs w:val="18"/>
              </w:rPr>
              <w:t>100 kHz</w:t>
            </w:r>
          </w:p>
        </w:tc>
      </w:tr>
      <w:tr w:rsidR="00F44C5D" w:rsidRPr="001B511F" w14:paraId="5F46B099" w14:textId="77777777">
        <w:trPr>
          <w:jc w:val="center"/>
        </w:trPr>
        <w:tc>
          <w:tcPr>
            <w:tcW w:w="3418" w:type="dxa"/>
            <w:shd w:val="clear" w:color="auto" w:fill="F2F2F2" w:themeFill="background1" w:themeFillShade="F2"/>
          </w:tcPr>
          <w:p w14:paraId="29851433" w14:textId="77777777" w:rsidR="00F44C5D" w:rsidRPr="00C63246" w:rsidRDefault="00F44C5D">
            <w:pPr>
              <w:spacing w:after="0"/>
              <w:contextualSpacing/>
              <w:jc w:val="center"/>
              <w:rPr>
                <w:rFonts w:cs="Arial"/>
                <w:sz w:val="18"/>
                <w:szCs w:val="18"/>
              </w:rPr>
            </w:pPr>
            <w:r w:rsidRPr="00C63246">
              <w:rPr>
                <w:rFonts w:cs="Arial"/>
                <w:sz w:val="18"/>
                <w:szCs w:val="18"/>
              </w:rPr>
              <w:t>1 GHz ≤ f &lt; 12.75 GHz</w:t>
            </w:r>
          </w:p>
        </w:tc>
        <w:tc>
          <w:tcPr>
            <w:tcW w:w="2270" w:type="dxa"/>
            <w:shd w:val="clear" w:color="auto" w:fill="F2F2F2" w:themeFill="background1" w:themeFillShade="F2"/>
          </w:tcPr>
          <w:p w14:paraId="7164A451" w14:textId="77777777" w:rsidR="00F44C5D" w:rsidRPr="00C63246" w:rsidRDefault="00F44C5D">
            <w:pPr>
              <w:spacing w:after="0"/>
              <w:contextualSpacing/>
              <w:jc w:val="center"/>
              <w:rPr>
                <w:rFonts w:cs="Arial"/>
                <w:sz w:val="18"/>
                <w:szCs w:val="18"/>
              </w:rPr>
            </w:pPr>
            <w:r w:rsidRPr="00C63246">
              <w:rPr>
                <w:rFonts w:cs="Arial"/>
                <w:sz w:val="18"/>
                <w:szCs w:val="18"/>
              </w:rPr>
              <w:t>-21</w:t>
            </w:r>
          </w:p>
        </w:tc>
        <w:tc>
          <w:tcPr>
            <w:tcW w:w="1600" w:type="dxa"/>
            <w:shd w:val="clear" w:color="auto" w:fill="F2F2F2" w:themeFill="background1" w:themeFillShade="F2"/>
          </w:tcPr>
          <w:p w14:paraId="3D00B5AE" w14:textId="77777777" w:rsidR="00F44C5D" w:rsidRPr="001B511F" w:rsidRDefault="00F44C5D">
            <w:pPr>
              <w:spacing w:after="0"/>
              <w:contextualSpacing/>
              <w:jc w:val="center"/>
              <w:rPr>
                <w:rFonts w:cs="Arial"/>
                <w:sz w:val="18"/>
                <w:szCs w:val="18"/>
              </w:rPr>
            </w:pPr>
            <w:r w:rsidRPr="00C63246">
              <w:rPr>
                <w:rFonts w:cs="Arial"/>
                <w:sz w:val="18"/>
                <w:szCs w:val="18"/>
              </w:rPr>
              <w:t>1 MHz</w:t>
            </w:r>
          </w:p>
        </w:tc>
      </w:tr>
    </w:tbl>
    <w:p w14:paraId="35F1B600" w14:textId="77777777" w:rsidR="00F44C5D" w:rsidRPr="00A406B6" w:rsidRDefault="00F44C5D" w:rsidP="00F44C5D">
      <w:pPr>
        <w:pStyle w:val="Spaceaftertable"/>
      </w:pPr>
    </w:p>
    <w:p w14:paraId="6DB06B73" w14:textId="77777777" w:rsidR="000E521C" w:rsidRDefault="000E521C">
      <w:pPr>
        <w:spacing w:after="0" w:line="240" w:lineRule="auto"/>
        <w:rPr>
          <w:rFonts w:cs="Arial"/>
          <w:b/>
          <w:bCs/>
          <w:sz w:val="22"/>
          <w:szCs w:val="26"/>
        </w:rPr>
      </w:pPr>
      <w:r>
        <w:br w:type="page"/>
      </w:r>
    </w:p>
    <w:p w14:paraId="14DFDE5E" w14:textId="7ACA67CE" w:rsidR="00F44C5D" w:rsidRDefault="00F44C5D" w:rsidP="00F44C5D">
      <w:pPr>
        <w:pStyle w:val="Heading3"/>
      </w:pPr>
      <w:r>
        <w:lastRenderedPageBreak/>
        <w:t xml:space="preserve">Upper </w:t>
      </w:r>
      <w:r w:rsidR="006F330F">
        <w:t xml:space="preserve">2.5 GHz </w:t>
      </w:r>
      <w:r>
        <w:t xml:space="preserve">band Receiver </w:t>
      </w:r>
      <w:r w:rsidR="00483FFC">
        <w:t>unwanted</w:t>
      </w:r>
      <w:r>
        <w:t xml:space="preserve"> emissions o</w:t>
      </w:r>
      <w:r w:rsidRPr="00C63246">
        <w:t xml:space="preserve">utside the </w:t>
      </w:r>
      <w:r w:rsidR="00947067">
        <w:t xml:space="preserve">frequency range </w:t>
      </w:r>
      <w:r>
        <w:t>2490</w:t>
      </w:r>
      <w:r w:rsidRPr="00C63246">
        <w:t xml:space="preserve"> – </w:t>
      </w:r>
      <w:r>
        <w:t>2700</w:t>
      </w:r>
      <w:r w:rsidRPr="00C63246">
        <w:t xml:space="preserve"> MHz frequency range)</w:t>
      </w:r>
    </w:p>
    <w:p w14:paraId="6B6270BF" w14:textId="41FD30A3" w:rsidR="00F44C5D" w:rsidRDefault="00F44C5D" w:rsidP="00F44C5D">
      <w:r w:rsidRPr="00C63246">
        <w:t>We propose</w:t>
      </w:r>
      <w:r>
        <w:t>d</w:t>
      </w:r>
      <w:r w:rsidRPr="00C63246">
        <w:t xml:space="preserve"> </w:t>
      </w:r>
      <w:r>
        <w:t>to maintain the current</w:t>
      </w:r>
      <w:r w:rsidRPr="00C63246">
        <w:t xml:space="preserve"> </w:t>
      </w:r>
      <w:r w:rsidR="000336AA">
        <w:t>unwanted</w:t>
      </w:r>
      <w:r w:rsidRPr="00C63246">
        <w:t xml:space="preserve"> emissions limits </w:t>
      </w:r>
      <w:r>
        <w:t>for receivers but to define them as TRP.</w:t>
      </w:r>
    </w:p>
    <w:p w14:paraId="00C19B17" w14:textId="1A9E2350" w:rsidR="00C05A48" w:rsidRPr="00144415" w:rsidRDefault="00C05A48" w:rsidP="00C05A48">
      <w:r>
        <w:t xml:space="preserve">This was supported by TLG members. </w:t>
      </w:r>
      <w:r w:rsidRPr="003A78C2">
        <w:rPr>
          <w:szCs w:val="20"/>
        </w:rPr>
        <w:t xml:space="preserve">The </w:t>
      </w:r>
      <w:r w:rsidRPr="007C2C66">
        <w:rPr>
          <w:szCs w:val="20"/>
        </w:rPr>
        <w:t xml:space="preserve">TLG members agreed to the proposed emission limits in Table </w:t>
      </w:r>
      <w:r>
        <w:rPr>
          <w:szCs w:val="20"/>
        </w:rPr>
        <w:t>11</w:t>
      </w:r>
      <w:r w:rsidRPr="007C2C66">
        <w:rPr>
          <w:szCs w:val="20"/>
        </w:rPr>
        <w:t>.</w:t>
      </w:r>
    </w:p>
    <w:p w14:paraId="08A9FCA4" w14:textId="77777777" w:rsidR="00F44C5D" w:rsidRDefault="00F44C5D" w:rsidP="00F44C5D">
      <w:pPr>
        <w:pStyle w:val="ACMATableHeader"/>
        <w:keepNext/>
        <w:keepLines/>
        <w:spacing w:line="240" w:lineRule="atLeast"/>
      </w:pPr>
      <w:r>
        <w:rPr>
          <w:rFonts w:cs="Arial"/>
        </w:rPr>
        <w:t>Unwanted emission limits for receivers operating in the upper 2.5 GHz band – All receivers</w:t>
      </w:r>
    </w:p>
    <w:tbl>
      <w:tblPr>
        <w:tblStyle w:val="TableGrid"/>
        <w:tblW w:w="7319" w:type="dxa"/>
        <w:jc w:val="center"/>
        <w:tblLook w:val="04A0" w:firstRow="1" w:lastRow="0" w:firstColumn="1" w:lastColumn="0" w:noHBand="0" w:noVBand="1"/>
      </w:tblPr>
      <w:tblGrid>
        <w:gridCol w:w="3265"/>
        <w:gridCol w:w="2548"/>
        <w:gridCol w:w="1506"/>
      </w:tblGrid>
      <w:tr w:rsidR="00F44C5D" w:rsidRPr="00912F86" w14:paraId="78D502F3" w14:textId="77777777">
        <w:trPr>
          <w:jc w:val="center"/>
        </w:trPr>
        <w:tc>
          <w:tcPr>
            <w:tcW w:w="3265" w:type="dxa"/>
            <w:shd w:val="clear" w:color="auto" w:fill="404040" w:themeFill="text1" w:themeFillTint="BF"/>
          </w:tcPr>
          <w:p w14:paraId="7C4DD8BF" w14:textId="77777777" w:rsidR="00F44C5D" w:rsidRPr="00912F86" w:rsidRDefault="00F44C5D">
            <w:pPr>
              <w:keepNext/>
              <w:keepLines/>
              <w:spacing w:after="0"/>
              <w:contextualSpacing/>
              <w:jc w:val="center"/>
              <w:rPr>
                <w:rFonts w:cs="Arial"/>
                <w:b/>
                <w:color w:val="FFFFFF" w:themeColor="background1"/>
              </w:rPr>
            </w:pPr>
            <w:r w:rsidRPr="00912F86">
              <w:rPr>
                <w:rFonts w:cs="Arial"/>
                <w:b/>
                <w:color w:val="FFFFFF" w:themeColor="background1"/>
              </w:rPr>
              <w:t>Frequency range</w:t>
            </w:r>
          </w:p>
          <w:p w14:paraId="518107EE" w14:textId="77777777" w:rsidR="00F44C5D" w:rsidRPr="00912F86" w:rsidRDefault="00F44C5D">
            <w:pPr>
              <w:keepNext/>
              <w:keepLines/>
              <w:spacing w:after="0"/>
              <w:contextualSpacing/>
              <w:jc w:val="center"/>
              <w:rPr>
                <w:rFonts w:cs="Arial"/>
                <w:b/>
                <w:color w:val="FFFFFF" w:themeColor="background1"/>
              </w:rPr>
            </w:pPr>
            <w:r w:rsidRPr="00912F86">
              <w:rPr>
                <w:rFonts w:cs="Arial"/>
                <w:b/>
                <w:color w:val="FFFFFF" w:themeColor="background1"/>
              </w:rPr>
              <w:t>(f)</w:t>
            </w:r>
          </w:p>
        </w:tc>
        <w:tc>
          <w:tcPr>
            <w:tcW w:w="2548" w:type="dxa"/>
            <w:shd w:val="clear" w:color="auto" w:fill="404040" w:themeFill="text1" w:themeFillTint="BF"/>
          </w:tcPr>
          <w:p w14:paraId="5E1A08B4" w14:textId="77777777" w:rsidR="00F44C5D" w:rsidRPr="00912F86" w:rsidRDefault="00F44C5D">
            <w:pPr>
              <w:keepNext/>
              <w:keepLines/>
              <w:spacing w:after="0"/>
              <w:contextualSpacing/>
              <w:jc w:val="center"/>
              <w:rPr>
                <w:rFonts w:cs="Arial"/>
                <w:b/>
                <w:color w:val="FFFFFF" w:themeColor="background1"/>
              </w:rPr>
            </w:pPr>
            <w:r w:rsidRPr="003B3E24">
              <w:rPr>
                <w:rFonts w:cs="Arial"/>
                <w:b/>
                <w:color w:val="FFFFFF" w:themeColor="background1"/>
              </w:rPr>
              <w:t>Total radiated power (dBm)</w:t>
            </w:r>
          </w:p>
        </w:tc>
        <w:tc>
          <w:tcPr>
            <w:tcW w:w="1506" w:type="dxa"/>
            <w:shd w:val="clear" w:color="auto" w:fill="404040" w:themeFill="text1" w:themeFillTint="BF"/>
          </w:tcPr>
          <w:p w14:paraId="27CCDA07" w14:textId="77777777" w:rsidR="00F44C5D" w:rsidRPr="00912F86" w:rsidRDefault="00F44C5D">
            <w:pPr>
              <w:keepNext/>
              <w:keepLines/>
              <w:spacing w:after="0"/>
              <w:contextualSpacing/>
              <w:jc w:val="center"/>
              <w:rPr>
                <w:rFonts w:cs="Arial"/>
                <w:b/>
                <w:color w:val="FFFFFF" w:themeColor="background1"/>
              </w:rPr>
            </w:pPr>
            <w:r w:rsidRPr="00912F86">
              <w:rPr>
                <w:rFonts w:cs="Arial"/>
                <w:b/>
                <w:color w:val="FFFFFF" w:themeColor="background1"/>
              </w:rPr>
              <w:t>Measurement bandwidth</w:t>
            </w:r>
          </w:p>
        </w:tc>
      </w:tr>
      <w:tr w:rsidR="00F44C5D" w:rsidRPr="00912F86" w14:paraId="08AC0954" w14:textId="77777777">
        <w:trPr>
          <w:jc w:val="center"/>
        </w:trPr>
        <w:tc>
          <w:tcPr>
            <w:tcW w:w="3265" w:type="dxa"/>
          </w:tcPr>
          <w:p w14:paraId="1EDF1E43" w14:textId="77777777" w:rsidR="00F44C5D" w:rsidRPr="00912F86" w:rsidRDefault="00F44C5D">
            <w:pPr>
              <w:keepNext/>
              <w:keepLines/>
              <w:spacing w:after="0"/>
              <w:contextualSpacing/>
              <w:jc w:val="center"/>
              <w:rPr>
                <w:rFonts w:cs="Arial"/>
                <w:sz w:val="18"/>
                <w:szCs w:val="18"/>
              </w:rPr>
            </w:pPr>
            <w:r w:rsidRPr="00912F86">
              <w:rPr>
                <w:rFonts w:cs="Arial"/>
                <w:sz w:val="18"/>
                <w:szCs w:val="18"/>
              </w:rPr>
              <w:t>30 MHz ≤ f &lt; 1 GHz</w:t>
            </w:r>
          </w:p>
        </w:tc>
        <w:tc>
          <w:tcPr>
            <w:tcW w:w="2548" w:type="dxa"/>
          </w:tcPr>
          <w:p w14:paraId="7098BF16" w14:textId="77777777" w:rsidR="00F44C5D" w:rsidRPr="00912F86" w:rsidRDefault="00F44C5D">
            <w:pPr>
              <w:keepNext/>
              <w:keepLines/>
              <w:spacing w:after="0"/>
              <w:contextualSpacing/>
              <w:jc w:val="center"/>
              <w:rPr>
                <w:rFonts w:cs="Arial"/>
                <w:sz w:val="18"/>
                <w:szCs w:val="18"/>
              </w:rPr>
            </w:pPr>
            <w:r w:rsidRPr="00912F86">
              <w:rPr>
                <w:rFonts w:cs="Arial"/>
                <w:sz w:val="18"/>
                <w:szCs w:val="18"/>
              </w:rPr>
              <w:t>-57</w:t>
            </w:r>
          </w:p>
        </w:tc>
        <w:tc>
          <w:tcPr>
            <w:tcW w:w="1506" w:type="dxa"/>
          </w:tcPr>
          <w:p w14:paraId="2EE7AB86" w14:textId="77777777" w:rsidR="00F44C5D" w:rsidRPr="00912F86" w:rsidRDefault="00F44C5D">
            <w:pPr>
              <w:keepNext/>
              <w:keepLines/>
              <w:spacing w:after="0"/>
              <w:contextualSpacing/>
              <w:jc w:val="center"/>
              <w:rPr>
                <w:rFonts w:cs="Arial"/>
                <w:sz w:val="18"/>
                <w:szCs w:val="18"/>
              </w:rPr>
            </w:pPr>
            <w:r w:rsidRPr="00912F86">
              <w:rPr>
                <w:rFonts w:cs="Arial"/>
                <w:sz w:val="18"/>
                <w:szCs w:val="18"/>
              </w:rPr>
              <w:t>100 kHz</w:t>
            </w:r>
          </w:p>
        </w:tc>
      </w:tr>
      <w:tr w:rsidR="00F44C5D" w:rsidRPr="00912F86" w14:paraId="662CBE9D" w14:textId="77777777">
        <w:trPr>
          <w:jc w:val="center"/>
        </w:trPr>
        <w:tc>
          <w:tcPr>
            <w:tcW w:w="3265" w:type="dxa"/>
            <w:shd w:val="clear" w:color="auto" w:fill="F2F2F2" w:themeFill="background1" w:themeFillShade="F2"/>
          </w:tcPr>
          <w:p w14:paraId="4AEE803B" w14:textId="77777777" w:rsidR="00F44C5D" w:rsidRPr="00912F86" w:rsidRDefault="00F44C5D">
            <w:pPr>
              <w:keepNext/>
              <w:keepLines/>
              <w:spacing w:after="0"/>
              <w:contextualSpacing/>
              <w:jc w:val="center"/>
              <w:rPr>
                <w:rFonts w:cs="Arial"/>
                <w:sz w:val="18"/>
                <w:szCs w:val="18"/>
              </w:rPr>
            </w:pPr>
            <w:r w:rsidRPr="00912F86">
              <w:rPr>
                <w:rFonts w:cs="Arial"/>
                <w:sz w:val="18"/>
                <w:szCs w:val="18"/>
              </w:rPr>
              <w:t>1 GHz ≤ f &lt; 12.75 GHz</w:t>
            </w:r>
          </w:p>
        </w:tc>
        <w:tc>
          <w:tcPr>
            <w:tcW w:w="2548" w:type="dxa"/>
            <w:shd w:val="clear" w:color="auto" w:fill="F2F2F2" w:themeFill="background1" w:themeFillShade="F2"/>
          </w:tcPr>
          <w:p w14:paraId="3ABA316C" w14:textId="77777777" w:rsidR="00F44C5D" w:rsidRPr="00912F86" w:rsidRDefault="00F44C5D">
            <w:pPr>
              <w:keepNext/>
              <w:keepLines/>
              <w:spacing w:after="0"/>
              <w:contextualSpacing/>
              <w:jc w:val="center"/>
              <w:rPr>
                <w:rFonts w:cs="Arial"/>
                <w:sz w:val="18"/>
                <w:szCs w:val="18"/>
              </w:rPr>
            </w:pPr>
            <w:r w:rsidRPr="00912F86">
              <w:rPr>
                <w:rFonts w:cs="Arial"/>
                <w:sz w:val="18"/>
                <w:szCs w:val="18"/>
              </w:rPr>
              <w:t>-47</w:t>
            </w:r>
          </w:p>
        </w:tc>
        <w:tc>
          <w:tcPr>
            <w:tcW w:w="1506" w:type="dxa"/>
            <w:shd w:val="clear" w:color="auto" w:fill="F2F2F2" w:themeFill="background1" w:themeFillShade="F2"/>
          </w:tcPr>
          <w:p w14:paraId="1406DBD9" w14:textId="77777777" w:rsidR="00F44C5D" w:rsidRPr="00912F86" w:rsidRDefault="00F44C5D">
            <w:pPr>
              <w:keepNext/>
              <w:keepLines/>
              <w:spacing w:after="0"/>
              <w:contextualSpacing/>
              <w:jc w:val="center"/>
              <w:rPr>
                <w:rFonts w:cs="Arial"/>
                <w:sz w:val="18"/>
                <w:szCs w:val="18"/>
              </w:rPr>
            </w:pPr>
            <w:r w:rsidRPr="00912F86">
              <w:rPr>
                <w:rFonts w:cs="Arial"/>
                <w:sz w:val="18"/>
                <w:szCs w:val="18"/>
              </w:rPr>
              <w:t>1 MHz</w:t>
            </w:r>
          </w:p>
        </w:tc>
      </w:tr>
    </w:tbl>
    <w:p w14:paraId="688F2D2D" w14:textId="77777777" w:rsidR="00636609" w:rsidRDefault="00636609" w:rsidP="009F608C"/>
    <w:p w14:paraId="0BA93D1C" w14:textId="6084FA9C" w:rsidR="002F7657" w:rsidRDefault="002F7657" w:rsidP="002F7657">
      <w:pPr>
        <w:pStyle w:val="Heading3"/>
        <w:rPr>
          <w:iCs/>
        </w:rPr>
      </w:pPr>
      <w:r w:rsidRPr="005438AE">
        <w:rPr>
          <w:iCs/>
        </w:rPr>
        <w:t xml:space="preserve">Proposed </w:t>
      </w:r>
      <w:r>
        <w:rPr>
          <w:iCs/>
        </w:rPr>
        <w:t xml:space="preserve">in-band emission limits for devices operating in the </w:t>
      </w:r>
      <w:r w:rsidR="001061C0">
        <w:t xml:space="preserve">frequency range </w:t>
      </w:r>
      <w:r w:rsidR="001061C0">
        <w:rPr>
          <w:iCs/>
        </w:rPr>
        <w:t>2500</w:t>
      </w:r>
      <w:r w:rsidR="006E69B9">
        <w:rPr>
          <w:iCs/>
        </w:rPr>
        <w:t> </w:t>
      </w:r>
      <w:r w:rsidR="001061C0">
        <w:rPr>
          <w:iCs/>
        </w:rPr>
        <w:t>–</w:t>
      </w:r>
      <w:r w:rsidR="006E69B9">
        <w:rPr>
          <w:iCs/>
        </w:rPr>
        <w:t> 2</w:t>
      </w:r>
      <w:r w:rsidR="001061C0">
        <w:rPr>
          <w:iCs/>
        </w:rPr>
        <w:t>570</w:t>
      </w:r>
      <w:r w:rsidR="006E69B9">
        <w:rPr>
          <w:iCs/>
        </w:rPr>
        <w:t> </w:t>
      </w:r>
      <w:r w:rsidR="001061C0">
        <w:rPr>
          <w:iCs/>
        </w:rPr>
        <w:t xml:space="preserve">MHz (the </w:t>
      </w:r>
      <w:r>
        <w:rPr>
          <w:iCs/>
        </w:rPr>
        <w:t>lower 2</w:t>
      </w:r>
      <w:r w:rsidR="001C2E0D">
        <w:rPr>
          <w:iCs/>
        </w:rPr>
        <w:t>.5</w:t>
      </w:r>
      <w:r>
        <w:rPr>
          <w:iCs/>
        </w:rPr>
        <w:t xml:space="preserve"> GHz band</w:t>
      </w:r>
      <w:r w:rsidR="001061C0">
        <w:rPr>
          <w:iCs/>
        </w:rPr>
        <w:t>)</w:t>
      </w:r>
    </w:p>
    <w:p w14:paraId="769A04FB" w14:textId="5C3C5CE9" w:rsidR="002F7657" w:rsidRPr="00392F92" w:rsidRDefault="002F7657" w:rsidP="008561DC">
      <w:r w:rsidRPr="00392F92">
        <w:t xml:space="preserve">The ACMA proposed </w:t>
      </w:r>
      <w:r w:rsidR="00D87DDB" w:rsidRPr="00392F92">
        <w:t>to maintain the</w:t>
      </w:r>
      <w:r w:rsidRPr="00392F92">
        <w:t xml:space="preserve"> </w:t>
      </w:r>
      <w:r w:rsidR="00B5207A" w:rsidRPr="00392F92">
        <w:t xml:space="preserve">unwanted emission limits </w:t>
      </w:r>
      <w:r w:rsidR="00B5207A">
        <w:t xml:space="preserve">that are consistent with </w:t>
      </w:r>
      <w:r w:rsidRPr="00392F92">
        <w:t>3GPP TS 38.101-1</w:t>
      </w:r>
      <w:r w:rsidRPr="00392F92">
        <w:rPr>
          <w:rStyle w:val="FootnoteReference"/>
          <w:szCs w:val="20"/>
        </w:rPr>
        <w:footnoteReference w:id="5"/>
      </w:r>
      <w:r w:rsidRPr="00392F92">
        <w:t xml:space="preserve"> for in-band emission limits. Importantly this standard does not define separate limits for AAS transmitters. To future-proof arrangements for possible AAS use, we proposed to implement the 3GPP limits as TRP rather than conducted power – see Table </w:t>
      </w:r>
      <w:r w:rsidR="00551CB3" w:rsidRPr="00392F92">
        <w:t>12</w:t>
      </w:r>
      <w:r w:rsidRPr="00392F92">
        <w:t>. The TLG agreed with the ACMA’s proposals.</w:t>
      </w:r>
    </w:p>
    <w:p w14:paraId="0DBDF8AA" w14:textId="46DB0991" w:rsidR="002F7657" w:rsidRPr="00392F92" w:rsidRDefault="002F7657" w:rsidP="008561DC">
      <w:r w:rsidRPr="00392F92">
        <w:t>3GPP TS 38.101-1</w:t>
      </w:r>
      <w:r w:rsidRPr="00392F92">
        <w:rPr>
          <w:rStyle w:val="FootnoteReference"/>
          <w:szCs w:val="20"/>
        </w:rPr>
        <w:footnoteReference w:id="6"/>
      </w:r>
      <w:r w:rsidRPr="00392F92">
        <w:t xml:space="preserve"> defines spurious emission limits as applying +/- (channel bandwidth + 5 MHz) outside a device’s assigned channel. This means non-spurious emissions apply at offsets of +/- (channel bandwidth + 5 MHz). So</w:t>
      </w:r>
      <w:r w:rsidR="004562F6" w:rsidRPr="00392F92">
        <w:t>,</w:t>
      </w:r>
      <w:r w:rsidRPr="00392F92">
        <w:t xml:space="preserve"> these limits also encompass possible LTE operating bandwidths of 5 MHz or less, the term </w:t>
      </w:r>
      <w:proofErr w:type="gramStart"/>
      <w:r w:rsidRPr="00392F92">
        <w:t>max(</w:t>
      </w:r>
      <w:proofErr w:type="gramEnd"/>
      <w:r w:rsidRPr="00392F92">
        <w:t xml:space="preserve">Channel BW, 5) is used. </w:t>
      </w:r>
    </w:p>
    <w:p w14:paraId="038A0F60" w14:textId="77777777" w:rsidR="0018316C" w:rsidRDefault="0018316C" w:rsidP="0018316C">
      <w:pPr>
        <w:pStyle w:val="ACMATableHeader"/>
        <w:spacing w:line="240" w:lineRule="atLeast"/>
      </w:pPr>
      <w:r>
        <w:rPr>
          <w:rFonts w:cs="Arial"/>
        </w:rPr>
        <w:t>Unwanted emission</w:t>
      </w:r>
      <w:r w:rsidRPr="007D04B2">
        <w:rPr>
          <w:rFonts w:cs="Arial"/>
        </w:rPr>
        <w:t xml:space="preserve"> limits </w:t>
      </w:r>
      <w:r>
        <w:rPr>
          <w:rFonts w:cs="Arial"/>
        </w:rPr>
        <w:t xml:space="preserve">for transmitters operating in the lower 2.5 GHz band at frequency offsets of channel bandwidth + 5 MHz </w:t>
      </w:r>
      <w:r w:rsidRPr="007D04B2">
        <w:rPr>
          <w:rFonts w:cs="Arial"/>
        </w:rPr>
        <w:t>–</w:t>
      </w:r>
      <w:r>
        <w:rPr>
          <w:rFonts w:cs="Arial"/>
        </w:rPr>
        <w:t xml:space="preserve"> all transmitters</w:t>
      </w:r>
    </w:p>
    <w:tbl>
      <w:tblPr>
        <w:tblStyle w:val="TableGrid"/>
        <w:tblW w:w="7934" w:type="dxa"/>
        <w:jc w:val="center"/>
        <w:tblLook w:val="04A0" w:firstRow="1" w:lastRow="0" w:firstColumn="1" w:lastColumn="0" w:noHBand="0" w:noVBand="1"/>
      </w:tblPr>
      <w:tblGrid>
        <w:gridCol w:w="3823"/>
        <w:gridCol w:w="2552"/>
        <w:gridCol w:w="1559"/>
      </w:tblGrid>
      <w:tr w:rsidR="0018316C" w:rsidRPr="00903FDC" w14:paraId="0887D40B" w14:textId="77777777">
        <w:trPr>
          <w:jc w:val="center"/>
        </w:trPr>
        <w:tc>
          <w:tcPr>
            <w:tcW w:w="3823" w:type="dxa"/>
            <w:shd w:val="clear" w:color="auto" w:fill="404040" w:themeFill="text1" w:themeFillTint="BF"/>
          </w:tcPr>
          <w:p w14:paraId="627C8C92" w14:textId="77777777" w:rsidR="0018316C" w:rsidRPr="00903FDC" w:rsidRDefault="0018316C">
            <w:pPr>
              <w:keepNext/>
              <w:keepLines/>
              <w:spacing w:after="0"/>
              <w:contextualSpacing/>
              <w:jc w:val="center"/>
              <w:rPr>
                <w:rFonts w:cs="Arial"/>
                <w:b/>
                <w:color w:val="FFFFFF" w:themeColor="background1"/>
              </w:rPr>
            </w:pPr>
            <w:r w:rsidRPr="00903FDC">
              <w:rPr>
                <w:rFonts w:cs="Arial"/>
                <w:b/>
                <w:color w:val="FFFFFF" w:themeColor="background1"/>
              </w:rPr>
              <w:t>Frequency offset</w:t>
            </w:r>
          </w:p>
          <w:p w14:paraId="5F29ADCE" w14:textId="77777777" w:rsidR="0018316C" w:rsidRPr="00903FDC" w:rsidRDefault="0018316C">
            <w:pPr>
              <w:keepNext/>
              <w:keepLines/>
              <w:spacing w:after="0"/>
              <w:contextualSpacing/>
              <w:jc w:val="center"/>
              <w:rPr>
                <w:rFonts w:cs="Arial"/>
                <w:b/>
                <w:color w:val="FFFFFF" w:themeColor="background1"/>
                <w:vertAlign w:val="superscript"/>
              </w:rPr>
            </w:pPr>
            <w:r w:rsidRPr="00903FDC">
              <w:rPr>
                <w:rFonts w:cs="Arial"/>
                <w:b/>
                <w:color w:val="FFFFFF" w:themeColor="background1"/>
              </w:rPr>
              <w:t>(</w:t>
            </w:r>
            <w:proofErr w:type="spellStart"/>
            <w:r w:rsidRPr="00903FDC">
              <w:rPr>
                <w:rFonts w:cs="Arial"/>
                <w:b/>
                <w:color w:val="FFFFFF" w:themeColor="background1"/>
              </w:rPr>
              <w:t>f</w:t>
            </w:r>
            <w:r w:rsidRPr="00903FDC">
              <w:rPr>
                <w:rFonts w:cs="Arial"/>
                <w:b/>
                <w:color w:val="FFFFFF" w:themeColor="background1"/>
                <w:vertAlign w:val="subscript"/>
              </w:rPr>
              <w:t>offset</w:t>
            </w:r>
            <w:proofErr w:type="spellEnd"/>
            <w:r w:rsidRPr="00903FDC">
              <w:rPr>
                <w:rFonts w:cs="Arial"/>
                <w:b/>
                <w:color w:val="FFFFFF" w:themeColor="background1"/>
              </w:rPr>
              <w:t xml:space="preserve">) </w:t>
            </w:r>
          </w:p>
        </w:tc>
        <w:tc>
          <w:tcPr>
            <w:tcW w:w="2552" w:type="dxa"/>
            <w:shd w:val="clear" w:color="auto" w:fill="404040" w:themeFill="text1" w:themeFillTint="BF"/>
          </w:tcPr>
          <w:p w14:paraId="5CFD9FD6" w14:textId="1F35370F" w:rsidR="0018316C" w:rsidRPr="00903FDC" w:rsidRDefault="0018316C">
            <w:pPr>
              <w:keepNext/>
              <w:keepLines/>
              <w:spacing w:after="0"/>
              <w:contextualSpacing/>
              <w:jc w:val="center"/>
              <w:rPr>
                <w:rFonts w:cs="Arial"/>
                <w:b/>
                <w:color w:val="FFFFFF" w:themeColor="background1"/>
              </w:rPr>
            </w:pPr>
            <w:r w:rsidRPr="003C03D5">
              <w:rPr>
                <w:rFonts w:cs="Arial"/>
                <w:b/>
                <w:color w:val="FFFFFF" w:themeColor="background1"/>
              </w:rPr>
              <w:t xml:space="preserve">Total radiated power </w:t>
            </w:r>
            <w:r w:rsidRPr="00FC03B1">
              <w:rPr>
                <w:rFonts w:cs="Arial"/>
                <w:b/>
                <w:color w:val="FFFFFF" w:themeColor="background1"/>
              </w:rPr>
              <w:t>(dBm)</w:t>
            </w:r>
          </w:p>
        </w:tc>
        <w:tc>
          <w:tcPr>
            <w:tcW w:w="1559" w:type="dxa"/>
            <w:shd w:val="clear" w:color="auto" w:fill="404040" w:themeFill="text1" w:themeFillTint="BF"/>
          </w:tcPr>
          <w:p w14:paraId="08E9B315" w14:textId="77777777" w:rsidR="0018316C" w:rsidRPr="00903FDC" w:rsidRDefault="0018316C">
            <w:pPr>
              <w:keepNext/>
              <w:keepLines/>
              <w:spacing w:after="0"/>
              <w:contextualSpacing/>
              <w:jc w:val="center"/>
              <w:rPr>
                <w:rFonts w:cs="Arial"/>
                <w:b/>
                <w:color w:val="FFFFFF" w:themeColor="background1"/>
              </w:rPr>
            </w:pPr>
            <w:r w:rsidRPr="00903FDC">
              <w:rPr>
                <w:rFonts w:cs="Arial"/>
                <w:b/>
                <w:color w:val="FFFFFF" w:themeColor="background1"/>
              </w:rPr>
              <w:t>Measurement bandwidth</w:t>
            </w:r>
          </w:p>
        </w:tc>
      </w:tr>
      <w:tr w:rsidR="0018316C" w:rsidRPr="00903FDC" w14:paraId="3025AF55" w14:textId="77777777">
        <w:trPr>
          <w:jc w:val="center"/>
        </w:trPr>
        <w:tc>
          <w:tcPr>
            <w:tcW w:w="3823" w:type="dxa"/>
          </w:tcPr>
          <w:p w14:paraId="5DDE724D" w14:textId="77777777" w:rsidR="0018316C" w:rsidRPr="00903FDC" w:rsidRDefault="0018316C">
            <w:pPr>
              <w:keepNext/>
              <w:keepLines/>
              <w:spacing w:after="0"/>
              <w:contextualSpacing/>
              <w:jc w:val="center"/>
              <w:rPr>
                <w:rFonts w:cs="Arial"/>
                <w:sz w:val="16"/>
                <w:szCs w:val="16"/>
                <w:u w:val="single"/>
              </w:rPr>
            </w:pPr>
            <w:r w:rsidRPr="00903FDC">
              <w:rPr>
                <w:rFonts w:cs="Arial"/>
                <w:sz w:val="18"/>
                <w:szCs w:val="18"/>
              </w:rPr>
              <w:t>0 MHz</w:t>
            </w:r>
            <w:r w:rsidRPr="00903FDC">
              <w:rPr>
                <w:rFonts w:cs="Arial"/>
                <w:spacing w:val="13"/>
                <w:sz w:val="18"/>
                <w:szCs w:val="18"/>
              </w:rPr>
              <w:t xml:space="preserve"> </w:t>
            </w:r>
            <w:r w:rsidRPr="00903FDC">
              <w:rPr>
                <w:rFonts w:cs="Arial"/>
              </w:rPr>
              <w:t xml:space="preserve">≤ </w:t>
            </w:r>
            <w:proofErr w:type="spellStart"/>
            <w:r w:rsidRPr="00903FDC">
              <w:rPr>
                <w:rFonts w:cs="Arial"/>
                <w:sz w:val="18"/>
                <w:szCs w:val="18"/>
              </w:rPr>
              <w:t>f</w:t>
            </w:r>
            <w:r w:rsidRPr="00903FDC">
              <w:rPr>
                <w:rFonts w:cs="Arial"/>
                <w:sz w:val="18"/>
                <w:szCs w:val="18"/>
                <w:vertAlign w:val="subscript"/>
              </w:rPr>
              <w:t>offset</w:t>
            </w:r>
            <w:proofErr w:type="spellEnd"/>
            <w:r w:rsidRPr="00903FDC">
              <w:rPr>
                <w:rFonts w:cs="Arial"/>
                <w:spacing w:val="27"/>
                <w:position w:val="-1"/>
                <w:sz w:val="18"/>
                <w:szCs w:val="18"/>
              </w:rPr>
              <w:t xml:space="preserve"> </w:t>
            </w:r>
            <w:r w:rsidRPr="00903FDC">
              <w:rPr>
                <w:rFonts w:cs="Arial"/>
              </w:rPr>
              <w:t>&lt;</w:t>
            </w:r>
            <w:r w:rsidRPr="00903FDC">
              <w:rPr>
                <w:rFonts w:cs="Arial"/>
                <w:spacing w:val="1"/>
                <w:sz w:val="18"/>
                <w:szCs w:val="18"/>
              </w:rPr>
              <w:t xml:space="preserve"> </w:t>
            </w:r>
            <w:r>
              <w:rPr>
                <w:rFonts w:cs="Arial"/>
                <w:spacing w:val="1"/>
                <w:sz w:val="18"/>
                <w:szCs w:val="18"/>
              </w:rPr>
              <w:t>1 M</w:t>
            </w:r>
            <w:r w:rsidRPr="00903FDC">
              <w:rPr>
                <w:rFonts w:cs="Arial"/>
                <w:sz w:val="18"/>
                <w:szCs w:val="18"/>
              </w:rPr>
              <w:t>Hz</w:t>
            </w:r>
          </w:p>
        </w:tc>
        <w:tc>
          <w:tcPr>
            <w:tcW w:w="2552" w:type="dxa"/>
          </w:tcPr>
          <w:p w14:paraId="39D3D8AD" w14:textId="77777777" w:rsidR="0018316C" w:rsidRPr="00903FDC" w:rsidRDefault="0018316C">
            <w:pPr>
              <w:keepNext/>
              <w:keepLines/>
              <w:spacing w:after="0"/>
              <w:contextualSpacing/>
              <w:jc w:val="center"/>
              <w:rPr>
                <w:rFonts w:cs="Arial"/>
                <w:sz w:val="18"/>
                <w:szCs w:val="18"/>
              </w:rPr>
            </w:pPr>
            <w:r w:rsidRPr="00903FDC">
              <w:rPr>
                <w:rFonts w:cs="Arial"/>
                <w:sz w:val="18"/>
                <w:szCs w:val="18"/>
              </w:rPr>
              <w:t>-</w:t>
            </w:r>
            <w:r>
              <w:rPr>
                <w:rFonts w:cs="Arial"/>
                <w:sz w:val="18"/>
                <w:szCs w:val="18"/>
              </w:rPr>
              <w:t>15</w:t>
            </w:r>
          </w:p>
        </w:tc>
        <w:tc>
          <w:tcPr>
            <w:tcW w:w="1559" w:type="dxa"/>
          </w:tcPr>
          <w:p w14:paraId="0F2C437C" w14:textId="77777777" w:rsidR="0018316C" w:rsidRPr="00903FDC" w:rsidRDefault="0018316C">
            <w:pPr>
              <w:keepNext/>
              <w:keepLines/>
              <w:spacing w:after="0"/>
              <w:contextualSpacing/>
              <w:jc w:val="center"/>
              <w:rPr>
                <w:rFonts w:cs="Arial"/>
                <w:sz w:val="18"/>
                <w:szCs w:val="18"/>
              </w:rPr>
            </w:pPr>
            <w:r w:rsidRPr="00903FDC">
              <w:rPr>
                <w:rFonts w:cs="Arial"/>
                <w:sz w:val="18"/>
                <w:szCs w:val="18"/>
              </w:rPr>
              <w:t>30 kHz</w:t>
            </w:r>
          </w:p>
        </w:tc>
      </w:tr>
      <w:tr w:rsidR="0018316C" w:rsidRPr="00903FDC" w14:paraId="4C8BF807" w14:textId="77777777">
        <w:trPr>
          <w:jc w:val="center"/>
        </w:trPr>
        <w:tc>
          <w:tcPr>
            <w:tcW w:w="3823" w:type="dxa"/>
            <w:shd w:val="clear" w:color="auto" w:fill="F2F2F2" w:themeFill="background1" w:themeFillShade="F2"/>
          </w:tcPr>
          <w:p w14:paraId="30C42E11" w14:textId="77777777" w:rsidR="0018316C" w:rsidRPr="00903FDC" w:rsidRDefault="0018316C">
            <w:pPr>
              <w:keepNext/>
              <w:keepLines/>
              <w:spacing w:after="0"/>
              <w:contextualSpacing/>
              <w:jc w:val="center"/>
              <w:rPr>
                <w:rFonts w:cs="Arial"/>
                <w:sz w:val="18"/>
                <w:szCs w:val="18"/>
              </w:rPr>
            </w:pPr>
            <w:r>
              <w:rPr>
                <w:rFonts w:cs="Arial"/>
                <w:sz w:val="18"/>
                <w:szCs w:val="18"/>
              </w:rPr>
              <w:t>1 M</w:t>
            </w:r>
            <w:r w:rsidRPr="00903FDC">
              <w:rPr>
                <w:rFonts w:cs="Arial"/>
                <w:sz w:val="18"/>
                <w:szCs w:val="18"/>
              </w:rPr>
              <w:t>Hz</w:t>
            </w:r>
            <w:r w:rsidRPr="00903FDC">
              <w:rPr>
                <w:rFonts w:cs="Arial"/>
                <w:spacing w:val="13"/>
                <w:sz w:val="18"/>
                <w:szCs w:val="18"/>
              </w:rPr>
              <w:t xml:space="preserve"> </w:t>
            </w:r>
            <w:r w:rsidRPr="00903FDC">
              <w:rPr>
                <w:rFonts w:cs="Arial"/>
              </w:rPr>
              <w:t xml:space="preserve">≤ </w:t>
            </w:r>
            <w:proofErr w:type="spellStart"/>
            <w:r w:rsidRPr="00903FDC">
              <w:rPr>
                <w:rFonts w:cs="Arial"/>
                <w:sz w:val="18"/>
                <w:szCs w:val="18"/>
              </w:rPr>
              <w:t>f</w:t>
            </w:r>
            <w:r w:rsidRPr="00903FDC">
              <w:rPr>
                <w:rFonts w:cs="Arial"/>
                <w:sz w:val="18"/>
                <w:szCs w:val="18"/>
                <w:vertAlign w:val="subscript"/>
              </w:rPr>
              <w:t>offset</w:t>
            </w:r>
            <w:proofErr w:type="spellEnd"/>
            <w:r w:rsidRPr="00903FDC">
              <w:rPr>
                <w:rFonts w:cs="Arial"/>
                <w:spacing w:val="27"/>
                <w:position w:val="-1"/>
                <w:sz w:val="18"/>
                <w:szCs w:val="18"/>
              </w:rPr>
              <w:t xml:space="preserve"> </w:t>
            </w:r>
            <w:r w:rsidRPr="00903FDC">
              <w:rPr>
                <w:rFonts w:cs="Arial"/>
              </w:rPr>
              <w:t>&lt;</w:t>
            </w:r>
            <w:r w:rsidRPr="00903FDC">
              <w:rPr>
                <w:rFonts w:cs="Arial"/>
                <w:spacing w:val="1"/>
                <w:sz w:val="18"/>
                <w:szCs w:val="18"/>
              </w:rPr>
              <w:t xml:space="preserve"> </w:t>
            </w:r>
            <w:r>
              <w:rPr>
                <w:rFonts w:cs="Arial"/>
                <w:spacing w:val="1"/>
                <w:sz w:val="18"/>
                <w:szCs w:val="18"/>
              </w:rPr>
              <w:t>5</w:t>
            </w:r>
            <w:r w:rsidRPr="00903FDC">
              <w:rPr>
                <w:rFonts w:cs="Arial"/>
                <w:spacing w:val="1"/>
                <w:sz w:val="18"/>
                <w:szCs w:val="18"/>
              </w:rPr>
              <w:t xml:space="preserve"> MHz</w:t>
            </w:r>
          </w:p>
        </w:tc>
        <w:tc>
          <w:tcPr>
            <w:tcW w:w="2552" w:type="dxa"/>
            <w:shd w:val="clear" w:color="auto" w:fill="F2F2F2" w:themeFill="background1" w:themeFillShade="F2"/>
          </w:tcPr>
          <w:p w14:paraId="71280203" w14:textId="77777777" w:rsidR="0018316C" w:rsidRPr="00903FDC" w:rsidRDefault="0018316C">
            <w:pPr>
              <w:keepNext/>
              <w:keepLines/>
              <w:spacing w:after="0"/>
              <w:contextualSpacing/>
              <w:jc w:val="center"/>
              <w:rPr>
                <w:rFonts w:cs="Arial"/>
                <w:sz w:val="18"/>
                <w:szCs w:val="18"/>
              </w:rPr>
            </w:pPr>
            <w:r>
              <w:rPr>
                <w:rFonts w:cs="Arial"/>
                <w:sz w:val="18"/>
                <w:szCs w:val="18"/>
              </w:rPr>
              <w:t>-10</w:t>
            </w:r>
          </w:p>
        </w:tc>
        <w:tc>
          <w:tcPr>
            <w:tcW w:w="1559" w:type="dxa"/>
            <w:shd w:val="clear" w:color="auto" w:fill="F2F2F2" w:themeFill="background1" w:themeFillShade="F2"/>
          </w:tcPr>
          <w:p w14:paraId="26E22401" w14:textId="77777777" w:rsidR="0018316C" w:rsidRPr="00903FDC" w:rsidRDefault="0018316C">
            <w:pPr>
              <w:keepNext/>
              <w:keepLines/>
              <w:spacing w:after="0"/>
              <w:contextualSpacing/>
              <w:jc w:val="center"/>
              <w:rPr>
                <w:rFonts w:cs="Arial"/>
                <w:sz w:val="18"/>
                <w:szCs w:val="18"/>
              </w:rPr>
            </w:pPr>
            <w:r>
              <w:rPr>
                <w:rFonts w:cs="Arial"/>
                <w:sz w:val="18"/>
                <w:szCs w:val="18"/>
              </w:rPr>
              <w:t>1 MHz</w:t>
            </w:r>
          </w:p>
        </w:tc>
      </w:tr>
      <w:tr w:rsidR="0018316C" w:rsidRPr="00903FDC" w14:paraId="3F156669" w14:textId="77777777">
        <w:trPr>
          <w:jc w:val="center"/>
        </w:trPr>
        <w:tc>
          <w:tcPr>
            <w:tcW w:w="3823" w:type="dxa"/>
          </w:tcPr>
          <w:p w14:paraId="30B71131" w14:textId="12C52C84" w:rsidR="0018316C" w:rsidRDefault="0018316C">
            <w:pPr>
              <w:keepNext/>
              <w:keepLines/>
              <w:spacing w:after="0"/>
              <w:contextualSpacing/>
              <w:jc w:val="center"/>
              <w:rPr>
                <w:rFonts w:cs="Arial"/>
                <w:sz w:val="18"/>
                <w:szCs w:val="18"/>
              </w:rPr>
            </w:pPr>
            <w:r>
              <w:rPr>
                <w:rFonts w:cs="Arial"/>
                <w:sz w:val="18"/>
                <w:szCs w:val="18"/>
              </w:rPr>
              <w:t xml:space="preserve">5 </w:t>
            </w:r>
            <w:r w:rsidRPr="00903FDC">
              <w:rPr>
                <w:rFonts w:cs="Arial"/>
                <w:sz w:val="18"/>
                <w:szCs w:val="18"/>
              </w:rPr>
              <w:t>MHz</w:t>
            </w:r>
            <w:r w:rsidRPr="00903FDC">
              <w:rPr>
                <w:rFonts w:cs="Arial"/>
                <w:spacing w:val="13"/>
                <w:sz w:val="18"/>
                <w:szCs w:val="18"/>
              </w:rPr>
              <w:t xml:space="preserve"> </w:t>
            </w:r>
            <w:r w:rsidRPr="00903FDC">
              <w:rPr>
                <w:rFonts w:cs="Arial"/>
              </w:rPr>
              <w:t xml:space="preserve">≤ </w:t>
            </w:r>
            <w:proofErr w:type="spellStart"/>
            <w:r w:rsidRPr="00903FDC">
              <w:rPr>
                <w:rFonts w:cs="Arial"/>
                <w:sz w:val="18"/>
                <w:szCs w:val="18"/>
              </w:rPr>
              <w:t>f</w:t>
            </w:r>
            <w:r w:rsidRPr="00903FDC">
              <w:rPr>
                <w:rFonts w:cs="Arial"/>
                <w:sz w:val="18"/>
                <w:szCs w:val="18"/>
                <w:vertAlign w:val="subscript"/>
              </w:rPr>
              <w:t>offset</w:t>
            </w:r>
            <w:proofErr w:type="spellEnd"/>
            <w:r w:rsidRPr="00903FDC">
              <w:rPr>
                <w:rFonts w:cs="Arial"/>
                <w:spacing w:val="27"/>
                <w:position w:val="-1"/>
                <w:sz w:val="18"/>
                <w:szCs w:val="18"/>
              </w:rPr>
              <w:t xml:space="preserve"> </w:t>
            </w:r>
            <w:r w:rsidRPr="00903FDC">
              <w:rPr>
                <w:rFonts w:cs="Arial"/>
              </w:rPr>
              <w:t>&lt;</w:t>
            </w:r>
            <w:r w:rsidRPr="00903FDC">
              <w:rPr>
                <w:rFonts w:cs="Arial"/>
                <w:spacing w:val="1"/>
                <w:sz w:val="18"/>
                <w:szCs w:val="18"/>
              </w:rPr>
              <w:t xml:space="preserve"> </w:t>
            </w:r>
            <w:proofErr w:type="gramStart"/>
            <w:r>
              <w:rPr>
                <w:rFonts w:cs="Arial"/>
                <w:spacing w:val="1"/>
                <w:sz w:val="18"/>
                <w:szCs w:val="18"/>
              </w:rPr>
              <w:t>max(</w:t>
            </w:r>
            <w:proofErr w:type="gramEnd"/>
            <w:r>
              <w:rPr>
                <w:rFonts w:cs="Arial"/>
                <w:spacing w:val="1"/>
                <w:sz w:val="18"/>
                <w:szCs w:val="18"/>
              </w:rPr>
              <w:t xml:space="preserve">Channel BW, </w:t>
            </w:r>
            <w:r w:rsidR="00BD3005">
              <w:rPr>
                <w:rFonts w:cs="Arial"/>
                <w:spacing w:val="1"/>
                <w:sz w:val="18"/>
                <w:szCs w:val="18"/>
              </w:rPr>
              <w:t>5</w:t>
            </w:r>
            <w:r>
              <w:rPr>
                <w:rFonts w:cs="Arial"/>
                <w:spacing w:val="1"/>
                <w:sz w:val="18"/>
                <w:szCs w:val="18"/>
              </w:rPr>
              <w:t>)</w:t>
            </w:r>
          </w:p>
        </w:tc>
        <w:tc>
          <w:tcPr>
            <w:tcW w:w="2552" w:type="dxa"/>
          </w:tcPr>
          <w:p w14:paraId="7A1B46CF" w14:textId="77777777" w:rsidR="0018316C" w:rsidRDefault="0018316C">
            <w:pPr>
              <w:keepNext/>
              <w:keepLines/>
              <w:spacing w:after="0"/>
              <w:contextualSpacing/>
              <w:jc w:val="center"/>
              <w:rPr>
                <w:rFonts w:cs="Arial"/>
                <w:sz w:val="18"/>
                <w:szCs w:val="18"/>
              </w:rPr>
            </w:pPr>
            <w:r>
              <w:rPr>
                <w:rFonts w:cs="Arial"/>
                <w:sz w:val="18"/>
                <w:szCs w:val="18"/>
              </w:rPr>
              <w:t>-13</w:t>
            </w:r>
          </w:p>
        </w:tc>
        <w:tc>
          <w:tcPr>
            <w:tcW w:w="1559" w:type="dxa"/>
          </w:tcPr>
          <w:p w14:paraId="03787461" w14:textId="77777777" w:rsidR="0018316C" w:rsidRPr="00903FDC" w:rsidRDefault="0018316C">
            <w:pPr>
              <w:keepNext/>
              <w:keepLines/>
              <w:spacing w:after="0"/>
              <w:contextualSpacing/>
              <w:jc w:val="center"/>
              <w:rPr>
                <w:rFonts w:cs="Arial"/>
                <w:sz w:val="18"/>
                <w:szCs w:val="18"/>
              </w:rPr>
            </w:pPr>
            <w:r w:rsidRPr="00903FDC">
              <w:rPr>
                <w:rFonts w:cs="Arial"/>
                <w:sz w:val="18"/>
                <w:szCs w:val="18"/>
              </w:rPr>
              <w:t>1 MHz</w:t>
            </w:r>
          </w:p>
        </w:tc>
      </w:tr>
      <w:tr w:rsidR="0018316C" w:rsidRPr="00903FDC" w14:paraId="4CD1D525" w14:textId="77777777">
        <w:trPr>
          <w:jc w:val="center"/>
        </w:trPr>
        <w:tc>
          <w:tcPr>
            <w:tcW w:w="3823" w:type="dxa"/>
            <w:shd w:val="clear" w:color="auto" w:fill="F2F2F2" w:themeFill="background1" w:themeFillShade="F2"/>
          </w:tcPr>
          <w:p w14:paraId="33069453" w14:textId="31497D93" w:rsidR="0018316C" w:rsidRPr="00287C9B" w:rsidRDefault="0018316C">
            <w:pPr>
              <w:keepNext/>
              <w:keepLines/>
              <w:spacing w:after="0"/>
              <w:contextualSpacing/>
              <w:jc w:val="center"/>
              <w:rPr>
                <w:rFonts w:cs="Arial"/>
                <w:spacing w:val="1"/>
                <w:sz w:val="18"/>
                <w:szCs w:val="18"/>
                <w:lang w:val="fr-FR"/>
              </w:rPr>
            </w:pPr>
            <w:proofErr w:type="gramStart"/>
            <w:r w:rsidRPr="00287C9B">
              <w:rPr>
                <w:rFonts w:cs="Arial"/>
                <w:spacing w:val="1"/>
                <w:sz w:val="18"/>
                <w:szCs w:val="18"/>
                <w:lang w:val="fr-FR"/>
              </w:rPr>
              <w:t>max(</w:t>
            </w:r>
            <w:proofErr w:type="gramEnd"/>
            <w:r w:rsidRPr="00287C9B">
              <w:rPr>
                <w:rFonts w:cs="Arial"/>
                <w:spacing w:val="1"/>
                <w:sz w:val="18"/>
                <w:szCs w:val="18"/>
                <w:lang w:val="fr-FR"/>
              </w:rPr>
              <w:t xml:space="preserve">Channel BW, </w:t>
            </w:r>
            <w:r w:rsidR="00BD3005" w:rsidRPr="00287C9B">
              <w:rPr>
                <w:rFonts w:cs="Arial"/>
                <w:spacing w:val="1"/>
                <w:sz w:val="18"/>
                <w:szCs w:val="18"/>
                <w:lang w:val="fr-FR"/>
              </w:rPr>
              <w:t>5</w:t>
            </w:r>
            <w:r w:rsidRPr="00287C9B">
              <w:rPr>
                <w:rFonts w:cs="Arial"/>
                <w:spacing w:val="1"/>
                <w:sz w:val="18"/>
                <w:szCs w:val="18"/>
                <w:lang w:val="fr-FR"/>
              </w:rPr>
              <w:t xml:space="preserve">) </w:t>
            </w:r>
            <w:r w:rsidRPr="00287C9B">
              <w:rPr>
                <w:rFonts w:cs="Arial"/>
                <w:lang w:val="fr-FR"/>
              </w:rPr>
              <w:t xml:space="preserve">≤ </w:t>
            </w:r>
            <w:proofErr w:type="spellStart"/>
            <w:r w:rsidRPr="00287C9B">
              <w:rPr>
                <w:rFonts w:cs="Arial"/>
                <w:sz w:val="18"/>
                <w:szCs w:val="18"/>
                <w:lang w:val="fr-FR"/>
              </w:rPr>
              <w:t>f</w:t>
            </w:r>
            <w:r w:rsidRPr="00287C9B">
              <w:rPr>
                <w:rFonts w:cs="Arial"/>
                <w:sz w:val="18"/>
                <w:szCs w:val="18"/>
                <w:vertAlign w:val="subscript"/>
                <w:lang w:val="fr-FR"/>
              </w:rPr>
              <w:t>offset</w:t>
            </w:r>
            <w:proofErr w:type="spellEnd"/>
            <w:r w:rsidRPr="00287C9B">
              <w:rPr>
                <w:rFonts w:cs="Arial"/>
                <w:spacing w:val="27"/>
                <w:position w:val="-1"/>
                <w:sz w:val="18"/>
                <w:szCs w:val="18"/>
                <w:lang w:val="fr-FR"/>
              </w:rPr>
              <w:t xml:space="preserve"> </w:t>
            </w:r>
            <w:r w:rsidRPr="00287C9B">
              <w:rPr>
                <w:rFonts w:cs="Arial"/>
                <w:lang w:val="fr-FR"/>
              </w:rPr>
              <w:t xml:space="preserve">&lt; </w:t>
            </w:r>
            <w:proofErr w:type="gramStart"/>
            <w:r w:rsidRPr="00287C9B">
              <w:rPr>
                <w:rFonts w:cs="Arial"/>
                <w:spacing w:val="1"/>
                <w:sz w:val="18"/>
                <w:szCs w:val="18"/>
                <w:lang w:val="fr-FR"/>
              </w:rPr>
              <w:t>max(</w:t>
            </w:r>
            <w:proofErr w:type="gramEnd"/>
            <w:r w:rsidRPr="00287C9B">
              <w:rPr>
                <w:rFonts w:cs="Arial"/>
                <w:spacing w:val="1"/>
                <w:sz w:val="18"/>
                <w:szCs w:val="18"/>
                <w:lang w:val="fr-FR"/>
              </w:rPr>
              <w:t>Channel BW + 5, 10)</w:t>
            </w:r>
          </w:p>
        </w:tc>
        <w:tc>
          <w:tcPr>
            <w:tcW w:w="2552" w:type="dxa"/>
            <w:shd w:val="clear" w:color="auto" w:fill="F2F2F2" w:themeFill="background1" w:themeFillShade="F2"/>
          </w:tcPr>
          <w:p w14:paraId="1E750740" w14:textId="77777777" w:rsidR="0018316C" w:rsidRPr="00903FDC" w:rsidDel="00CF0645" w:rsidRDefault="0018316C">
            <w:pPr>
              <w:keepNext/>
              <w:keepLines/>
              <w:spacing w:after="0"/>
              <w:contextualSpacing/>
              <w:jc w:val="center"/>
              <w:rPr>
                <w:rFonts w:cs="Arial"/>
                <w:sz w:val="18"/>
                <w:szCs w:val="18"/>
              </w:rPr>
            </w:pPr>
            <w:r>
              <w:rPr>
                <w:rFonts w:cs="Arial"/>
                <w:sz w:val="18"/>
                <w:szCs w:val="18"/>
              </w:rPr>
              <w:t>-19</w:t>
            </w:r>
          </w:p>
        </w:tc>
        <w:tc>
          <w:tcPr>
            <w:tcW w:w="1559" w:type="dxa"/>
            <w:shd w:val="clear" w:color="auto" w:fill="F2F2F2" w:themeFill="background1" w:themeFillShade="F2"/>
          </w:tcPr>
          <w:p w14:paraId="0AA3E697" w14:textId="77777777" w:rsidR="0018316C" w:rsidRPr="00903FDC" w:rsidRDefault="0018316C">
            <w:pPr>
              <w:keepNext/>
              <w:keepLines/>
              <w:spacing w:after="0"/>
              <w:contextualSpacing/>
              <w:jc w:val="center"/>
              <w:rPr>
                <w:rFonts w:cs="Arial"/>
                <w:sz w:val="18"/>
                <w:szCs w:val="18"/>
              </w:rPr>
            </w:pPr>
            <w:r w:rsidRPr="00903FDC">
              <w:rPr>
                <w:rFonts w:cs="Arial"/>
                <w:sz w:val="18"/>
                <w:szCs w:val="18"/>
              </w:rPr>
              <w:t>1 MHz</w:t>
            </w:r>
          </w:p>
        </w:tc>
      </w:tr>
    </w:tbl>
    <w:p w14:paraId="03EC1B2F" w14:textId="77777777" w:rsidR="0018316C" w:rsidRDefault="0018316C" w:rsidP="002F7657">
      <w:pPr>
        <w:pStyle w:val="Paragraph"/>
      </w:pPr>
    </w:p>
    <w:p w14:paraId="695CB955" w14:textId="293FBF26" w:rsidR="00217A0C" w:rsidRPr="007D04B2" w:rsidRDefault="00B60D86" w:rsidP="00217A0C">
      <w:pPr>
        <w:pStyle w:val="Heading3"/>
        <w:spacing w:before="240"/>
      </w:pPr>
      <w:r>
        <w:rPr>
          <w:iCs/>
        </w:rPr>
        <w:t>Lower</w:t>
      </w:r>
      <w:r w:rsidRPr="00B60D86">
        <w:rPr>
          <w:iCs/>
        </w:rPr>
        <w:t xml:space="preserve"> </w:t>
      </w:r>
      <w:r w:rsidR="006F7987">
        <w:rPr>
          <w:iCs/>
        </w:rPr>
        <w:t>2.5 GHz</w:t>
      </w:r>
      <w:r w:rsidRPr="00B60D86">
        <w:rPr>
          <w:iCs/>
        </w:rPr>
        <w:t xml:space="preserve"> band transmitter </w:t>
      </w:r>
      <w:r w:rsidR="001A32FB">
        <w:rPr>
          <w:iCs/>
        </w:rPr>
        <w:t>unwanted</w:t>
      </w:r>
      <w:r w:rsidR="001A32FB" w:rsidRPr="00B60D86">
        <w:rPr>
          <w:iCs/>
        </w:rPr>
        <w:t xml:space="preserve"> </w:t>
      </w:r>
      <w:r w:rsidRPr="00B60D86">
        <w:rPr>
          <w:iCs/>
        </w:rPr>
        <w:t>emissions</w:t>
      </w:r>
      <w:r w:rsidR="00217A0C" w:rsidRPr="005438AE">
        <w:rPr>
          <w:iCs/>
        </w:rPr>
        <w:t xml:space="preserve"> </w:t>
      </w:r>
    </w:p>
    <w:p w14:paraId="71494104" w14:textId="58063173" w:rsidR="00480196" w:rsidRDefault="00112195" w:rsidP="00480196">
      <w:r>
        <w:t>As per the transmitter spurious emission limits</w:t>
      </w:r>
      <w:r w:rsidR="001F5A3B">
        <w:t xml:space="preserve"> in the upper 2.5 GHz band</w:t>
      </w:r>
      <w:r>
        <w:t xml:space="preserve">, the TLG supported </w:t>
      </w:r>
      <w:r w:rsidR="00575B3F">
        <w:t>the ACMA’s</w:t>
      </w:r>
      <w:r>
        <w:t xml:space="preserve"> proposal to maintain</w:t>
      </w:r>
      <w:r w:rsidR="00480196" w:rsidRPr="00823F2D">
        <w:t xml:space="preserve"> the </w:t>
      </w:r>
      <w:r w:rsidR="00422CF3">
        <w:t xml:space="preserve">current </w:t>
      </w:r>
      <w:r w:rsidR="003E48E9">
        <w:t>transmitter</w:t>
      </w:r>
      <w:r w:rsidR="00480196" w:rsidRPr="00823F2D">
        <w:t xml:space="preserve"> spurious emissions limits </w:t>
      </w:r>
      <w:r w:rsidR="003E48E9">
        <w:t xml:space="preserve">in the lower 2.5 GHz band </w:t>
      </w:r>
      <w:r w:rsidR="00422CF3">
        <w:t>however specify them as a TRP instead of an EIRP for consistency with</w:t>
      </w:r>
      <w:r w:rsidR="00480196" w:rsidRPr="00823F2D">
        <w:t xml:space="preserve"> 3GPP TS 38.101-1</w:t>
      </w:r>
      <w:r w:rsidR="00603C24">
        <w:t xml:space="preserve">. The </w:t>
      </w:r>
      <w:r w:rsidR="00480196">
        <w:t>propose</w:t>
      </w:r>
      <w:r w:rsidR="00CD36AF">
        <w:t>d</w:t>
      </w:r>
      <w:r w:rsidR="00480196">
        <w:t xml:space="preserve"> emission limits</w:t>
      </w:r>
      <w:r w:rsidR="00CA38AD">
        <w:t xml:space="preserve"> for all transmitters in the lower 2.5 GHz band are </w:t>
      </w:r>
      <w:r w:rsidR="00851C86">
        <w:t>provided</w:t>
      </w:r>
      <w:r w:rsidR="00480196">
        <w:t xml:space="preserve"> in Table 1</w:t>
      </w:r>
      <w:r w:rsidR="00CD36AF">
        <w:t>3</w:t>
      </w:r>
      <w:r w:rsidR="00480196">
        <w:t>.</w:t>
      </w:r>
    </w:p>
    <w:p w14:paraId="22501983" w14:textId="77777777" w:rsidR="00480196" w:rsidRPr="007D04B2" w:rsidRDefault="00480196" w:rsidP="00480196">
      <w:pPr>
        <w:pStyle w:val="ACMATableHeader"/>
        <w:spacing w:line="240" w:lineRule="atLeast"/>
      </w:pPr>
      <w:r>
        <w:rPr>
          <w:rFonts w:cs="Arial"/>
        </w:rPr>
        <w:t>Unwanted emission</w:t>
      </w:r>
      <w:r w:rsidRPr="007D04B2">
        <w:rPr>
          <w:rFonts w:cs="Arial"/>
        </w:rPr>
        <w:t xml:space="preserve"> limits </w:t>
      </w:r>
      <w:r>
        <w:rPr>
          <w:rFonts w:cs="Arial"/>
        </w:rPr>
        <w:t xml:space="preserve">for transmitters operating in the lower 2.5 GHz band at frequency offsets greater than channel bandwidth + 5 MHz </w:t>
      </w:r>
      <w:r w:rsidRPr="007D04B2">
        <w:rPr>
          <w:rFonts w:cs="Arial"/>
        </w:rPr>
        <w:t>–</w:t>
      </w:r>
      <w:r>
        <w:rPr>
          <w:rFonts w:cs="Arial"/>
        </w:rPr>
        <w:t xml:space="preserve"> all transmitters</w:t>
      </w:r>
    </w:p>
    <w:tbl>
      <w:tblPr>
        <w:tblStyle w:val="TableGrid"/>
        <w:tblW w:w="7135" w:type="dxa"/>
        <w:jc w:val="center"/>
        <w:tblLook w:val="04A0" w:firstRow="1" w:lastRow="0" w:firstColumn="1" w:lastColumn="0" w:noHBand="0" w:noVBand="1"/>
      </w:tblPr>
      <w:tblGrid>
        <w:gridCol w:w="3265"/>
        <w:gridCol w:w="2270"/>
        <w:gridCol w:w="1600"/>
      </w:tblGrid>
      <w:tr w:rsidR="00480196" w:rsidRPr="00823F2D" w14:paraId="3E5FA665" w14:textId="77777777">
        <w:trPr>
          <w:jc w:val="center"/>
        </w:trPr>
        <w:tc>
          <w:tcPr>
            <w:tcW w:w="3265" w:type="dxa"/>
            <w:shd w:val="clear" w:color="auto" w:fill="404040" w:themeFill="text1" w:themeFillTint="BF"/>
          </w:tcPr>
          <w:p w14:paraId="75EF6F28" w14:textId="77777777" w:rsidR="00480196" w:rsidRPr="00823F2D" w:rsidRDefault="00480196">
            <w:pPr>
              <w:spacing w:after="0"/>
              <w:contextualSpacing/>
              <w:jc w:val="center"/>
              <w:rPr>
                <w:rFonts w:cs="Arial"/>
                <w:b/>
                <w:color w:val="FFFFFF" w:themeColor="background1"/>
              </w:rPr>
            </w:pPr>
            <w:r w:rsidRPr="00823F2D">
              <w:rPr>
                <w:rFonts w:cs="Arial"/>
                <w:b/>
                <w:color w:val="FFFFFF" w:themeColor="background1"/>
              </w:rPr>
              <w:t xml:space="preserve">Frequency range </w:t>
            </w:r>
          </w:p>
          <w:p w14:paraId="7D88570D" w14:textId="77777777" w:rsidR="00480196" w:rsidRPr="00823F2D" w:rsidRDefault="00480196">
            <w:pPr>
              <w:spacing w:after="0"/>
              <w:contextualSpacing/>
              <w:jc w:val="center"/>
              <w:rPr>
                <w:rFonts w:cs="Arial"/>
                <w:b/>
                <w:color w:val="FFFFFF" w:themeColor="background1"/>
              </w:rPr>
            </w:pPr>
            <w:r w:rsidRPr="00823F2D">
              <w:rPr>
                <w:rFonts w:cs="Arial"/>
                <w:b/>
                <w:color w:val="FFFFFF" w:themeColor="background1"/>
              </w:rPr>
              <w:t>(f)</w:t>
            </w:r>
          </w:p>
        </w:tc>
        <w:tc>
          <w:tcPr>
            <w:tcW w:w="2270" w:type="dxa"/>
            <w:shd w:val="clear" w:color="auto" w:fill="404040" w:themeFill="text1" w:themeFillTint="BF"/>
          </w:tcPr>
          <w:p w14:paraId="728081EF" w14:textId="77777777" w:rsidR="00480196" w:rsidRPr="00823F2D" w:rsidRDefault="00480196">
            <w:pPr>
              <w:spacing w:after="0"/>
              <w:contextualSpacing/>
              <w:jc w:val="center"/>
              <w:rPr>
                <w:rFonts w:cs="Arial"/>
                <w:b/>
                <w:color w:val="FFFFFF" w:themeColor="background1"/>
              </w:rPr>
            </w:pPr>
            <w:r w:rsidRPr="00823F2D">
              <w:rPr>
                <w:rFonts w:cs="Arial"/>
                <w:b/>
                <w:color w:val="FFFFFF" w:themeColor="background1"/>
              </w:rPr>
              <w:t xml:space="preserve">Total radiated power (dBm) </w:t>
            </w:r>
          </w:p>
        </w:tc>
        <w:tc>
          <w:tcPr>
            <w:tcW w:w="1600" w:type="dxa"/>
            <w:shd w:val="clear" w:color="auto" w:fill="404040" w:themeFill="text1" w:themeFillTint="BF"/>
          </w:tcPr>
          <w:p w14:paraId="4705A389" w14:textId="77777777" w:rsidR="00480196" w:rsidRPr="00823F2D" w:rsidRDefault="00480196">
            <w:pPr>
              <w:spacing w:after="0"/>
              <w:contextualSpacing/>
              <w:jc w:val="center"/>
              <w:rPr>
                <w:rFonts w:cs="Arial"/>
                <w:b/>
                <w:color w:val="FFFFFF" w:themeColor="background1"/>
              </w:rPr>
            </w:pPr>
            <w:r w:rsidRPr="00823F2D">
              <w:rPr>
                <w:rFonts w:cs="Arial"/>
                <w:b/>
                <w:color w:val="FFFFFF" w:themeColor="background1"/>
              </w:rPr>
              <w:t>Measurement bandwidth</w:t>
            </w:r>
          </w:p>
        </w:tc>
      </w:tr>
      <w:tr w:rsidR="00480196" w:rsidRPr="00823F2D" w14:paraId="47E455D3" w14:textId="77777777">
        <w:trPr>
          <w:jc w:val="center"/>
        </w:trPr>
        <w:tc>
          <w:tcPr>
            <w:tcW w:w="3265" w:type="dxa"/>
          </w:tcPr>
          <w:p w14:paraId="767F528B" w14:textId="77777777" w:rsidR="00480196" w:rsidRPr="00823F2D" w:rsidRDefault="00480196">
            <w:pPr>
              <w:spacing w:after="0"/>
              <w:contextualSpacing/>
              <w:jc w:val="center"/>
              <w:rPr>
                <w:rFonts w:cs="Arial"/>
                <w:sz w:val="18"/>
                <w:szCs w:val="18"/>
              </w:rPr>
            </w:pPr>
            <w:r w:rsidRPr="00823F2D">
              <w:rPr>
                <w:rFonts w:cs="Arial"/>
                <w:sz w:val="18"/>
                <w:szCs w:val="18"/>
              </w:rPr>
              <w:lastRenderedPageBreak/>
              <w:t>9 kHz ≤ f &lt; 150 kHz</w:t>
            </w:r>
          </w:p>
        </w:tc>
        <w:tc>
          <w:tcPr>
            <w:tcW w:w="2270" w:type="dxa"/>
          </w:tcPr>
          <w:p w14:paraId="0D8EA73E" w14:textId="77777777" w:rsidR="00480196" w:rsidRPr="00823F2D" w:rsidRDefault="00480196">
            <w:pPr>
              <w:spacing w:after="0"/>
              <w:contextualSpacing/>
              <w:jc w:val="center"/>
              <w:rPr>
                <w:rFonts w:cs="Arial"/>
                <w:sz w:val="18"/>
                <w:szCs w:val="18"/>
              </w:rPr>
            </w:pPr>
            <w:r w:rsidRPr="00823F2D">
              <w:rPr>
                <w:rFonts w:cs="Arial"/>
                <w:sz w:val="18"/>
                <w:szCs w:val="18"/>
              </w:rPr>
              <w:t>-36</w:t>
            </w:r>
          </w:p>
        </w:tc>
        <w:tc>
          <w:tcPr>
            <w:tcW w:w="1600" w:type="dxa"/>
          </w:tcPr>
          <w:p w14:paraId="34B2BC08" w14:textId="77777777" w:rsidR="00480196" w:rsidRPr="00823F2D" w:rsidRDefault="00480196">
            <w:pPr>
              <w:spacing w:after="0"/>
              <w:contextualSpacing/>
              <w:jc w:val="center"/>
              <w:rPr>
                <w:rFonts w:cs="Arial"/>
                <w:sz w:val="18"/>
                <w:szCs w:val="18"/>
              </w:rPr>
            </w:pPr>
            <w:r w:rsidRPr="00823F2D">
              <w:rPr>
                <w:rFonts w:cs="Arial"/>
                <w:sz w:val="18"/>
                <w:szCs w:val="18"/>
              </w:rPr>
              <w:t>1 kHz</w:t>
            </w:r>
          </w:p>
        </w:tc>
      </w:tr>
      <w:tr w:rsidR="00480196" w:rsidRPr="00823F2D" w14:paraId="0E54CC3F" w14:textId="77777777">
        <w:trPr>
          <w:jc w:val="center"/>
        </w:trPr>
        <w:tc>
          <w:tcPr>
            <w:tcW w:w="3265" w:type="dxa"/>
            <w:shd w:val="clear" w:color="auto" w:fill="F2F2F2" w:themeFill="background1" w:themeFillShade="F2"/>
          </w:tcPr>
          <w:p w14:paraId="1DBD4E1B" w14:textId="77777777" w:rsidR="00480196" w:rsidRPr="00823F2D" w:rsidRDefault="00480196">
            <w:pPr>
              <w:spacing w:after="0"/>
              <w:contextualSpacing/>
              <w:jc w:val="center"/>
              <w:rPr>
                <w:rFonts w:cs="Arial"/>
                <w:sz w:val="18"/>
                <w:szCs w:val="18"/>
              </w:rPr>
            </w:pPr>
            <w:r w:rsidRPr="00823F2D">
              <w:rPr>
                <w:rFonts w:cs="Arial"/>
                <w:sz w:val="18"/>
                <w:szCs w:val="18"/>
              </w:rPr>
              <w:t>150 kHz ≤ f &lt; 30 MHz</w:t>
            </w:r>
          </w:p>
        </w:tc>
        <w:tc>
          <w:tcPr>
            <w:tcW w:w="2270" w:type="dxa"/>
            <w:shd w:val="clear" w:color="auto" w:fill="F2F2F2" w:themeFill="background1" w:themeFillShade="F2"/>
          </w:tcPr>
          <w:p w14:paraId="026A1C1B" w14:textId="77777777" w:rsidR="00480196" w:rsidRPr="00823F2D" w:rsidRDefault="00480196">
            <w:pPr>
              <w:spacing w:after="0"/>
              <w:contextualSpacing/>
              <w:jc w:val="center"/>
              <w:rPr>
                <w:rFonts w:cs="Arial"/>
                <w:sz w:val="18"/>
                <w:szCs w:val="18"/>
              </w:rPr>
            </w:pPr>
            <w:r w:rsidRPr="00823F2D">
              <w:rPr>
                <w:rFonts w:cs="Arial"/>
                <w:sz w:val="18"/>
                <w:szCs w:val="18"/>
              </w:rPr>
              <w:t>-36</w:t>
            </w:r>
          </w:p>
        </w:tc>
        <w:tc>
          <w:tcPr>
            <w:tcW w:w="1600" w:type="dxa"/>
            <w:shd w:val="clear" w:color="auto" w:fill="F2F2F2" w:themeFill="background1" w:themeFillShade="F2"/>
          </w:tcPr>
          <w:p w14:paraId="3BC4F76C" w14:textId="77777777" w:rsidR="00480196" w:rsidRPr="00823F2D" w:rsidRDefault="00480196">
            <w:pPr>
              <w:spacing w:after="0"/>
              <w:contextualSpacing/>
              <w:jc w:val="center"/>
              <w:rPr>
                <w:rFonts w:cs="Arial"/>
                <w:sz w:val="18"/>
                <w:szCs w:val="18"/>
              </w:rPr>
            </w:pPr>
            <w:r w:rsidRPr="00823F2D">
              <w:rPr>
                <w:rFonts w:cs="Arial"/>
                <w:sz w:val="18"/>
                <w:szCs w:val="18"/>
              </w:rPr>
              <w:t>10 kHz</w:t>
            </w:r>
          </w:p>
        </w:tc>
      </w:tr>
      <w:tr w:rsidR="00480196" w:rsidRPr="00823F2D" w14:paraId="094BE8AF" w14:textId="77777777">
        <w:trPr>
          <w:jc w:val="center"/>
        </w:trPr>
        <w:tc>
          <w:tcPr>
            <w:tcW w:w="3265" w:type="dxa"/>
          </w:tcPr>
          <w:p w14:paraId="662C477B" w14:textId="77777777" w:rsidR="00480196" w:rsidRPr="00823F2D" w:rsidRDefault="00480196">
            <w:pPr>
              <w:spacing w:after="0"/>
              <w:contextualSpacing/>
              <w:jc w:val="center"/>
              <w:rPr>
                <w:rFonts w:cs="Arial"/>
                <w:sz w:val="18"/>
                <w:szCs w:val="18"/>
              </w:rPr>
            </w:pPr>
            <w:r w:rsidRPr="00823F2D">
              <w:rPr>
                <w:rFonts w:cs="Arial"/>
                <w:sz w:val="18"/>
                <w:szCs w:val="18"/>
              </w:rPr>
              <w:t>30 MHz ≤ f &lt; 1 GHz</w:t>
            </w:r>
          </w:p>
        </w:tc>
        <w:tc>
          <w:tcPr>
            <w:tcW w:w="2270" w:type="dxa"/>
          </w:tcPr>
          <w:p w14:paraId="4BBF152C" w14:textId="77777777" w:rsidR="00480196" w:rsidRPr="00823F2D" w:rsidRDefault="00480196">
            <w:pPr>
              <w:spacing w:after="0"/>
              <w:contextualSpacing/>
              <w:jc w:val="center"/>
              <w:rPr>
                <w:rFonts w:cs="Arial"/>
                <w:sz w:val="18"/>
                <w:szCs w:val="18"/>
              </w:rPr>
            </w:pPr>
            <w:r w:rsidRPr="00823F2D">
              <w:rPr>
                <w:rFonts w:cs="Arial"/>
                <w:sz w:val="18"/>
                <w:szCs w:val="18"/>
              </w:rPr>
              <w:t>-36</w:t>
            </w:r>
          </w:p>
        </w:tc>
        <w:tc>
          <w:tcPr>
            <w:tcW w:w="1600" w:type="dxa"/>
          </w:tcPr>
          <w:p w14:paraId="7C9C0A81" w14:textId="77777777" w:rsidR="00480196" w:rsidRPr="00823F2D" w:rsidRDefault="00480196">
            <w:pPr>
              <w:spacing w:after="0"/>
              <w:contextualSpacing/>
              <w:jc w:val="center"/>
              <w:rPr>
                <w:rFonts w:cs="Arial"/>
                <w:sz w:val="18"/>
                <w:szCs w:val="18"/>
              </w:rPr>
            </w:pPr>
            <w:r w:rsidRPr="00823F2D">
              <w:rPr>
                <w:rFonts w:cs="Arial"/>
                <w:sz w:val="18"/>
                <w:szCs w:val="18"/>
              </w:rPr>
              <w:t>100 kHz</w:t>
            </w:r>
          </w:p>
        </w:tc>
      </w:tr>
      <w:tr w:rsidR="00480196" w:rsidRPr="00823F2D" w14:paraId="550BA3EE" w14:textId="77777777">
        <w:trPr>
          <w:jc w:val="center"/>
        </w:trPr>
        <w:tc>
          <w:tcPr>
            <w:tcW w:w="3265" w:type="dxa"/>
            <w:shd w:val="clear" w:color="auto" w:fill="F2F2F2" w:themeFill="background1" w:themeFillShade="F2"/>
          </w:tcPr>
          <w:p w14:paraId="402A31C1" w14:textId="77777777" w:rsidR="00480196" w:rsidRPr="00823F2D" w:rsidRDefault="00480196">
            <w:pPr>
              <w:spacing w:after="0"/>
              <w:contextualSpacing/>
              <w:jc w:val="center"/>
              <w:rPr>
                <w:rFonts w:cs="Arial"/>
                <w:sz w:val="18"/>
                <w:szCs w:val="18"/>
              </w:rPr>
            </w:pPr>
            <w:r w:rsidRPr="00823F2D">
              <w:rPr>
                <w:rFonts w:cs="Arial"/>
                <w:sz w:val="18"/>
                <w:szCs w:val="18"/>
              </w:rPr>
              <w:t>1 GHz ≤ f &lt; 12.75 GHz</w:t>
            </w:r>
          </w:p>
        </w:tc>
        <w:tc>
          <w:tcPr>
            <w:tcW w:w="2270" w:type="dxa"/>
            <w:shd w:val="clear" w:color="auto" w:fill="F2F2F2" w:themeFill="background1" w:themeFillShade="F2"/>
          </w:tcPr>
          <w:p w14:paraId="2DC38B16" w14:textId="77777777" w:rsidR="00480196" w:rsidRPr="00823F2D" w:rsidRDefault="00480196">
            <w:pPr>
              <w:spacing w:after="0"/>
              <w:contextualSpacing/>
              <w:jc w:val="center"/>
              <w:rPr>
                <w:rFonts w:cs="Arial"/>
                <w:sz w:val="18"/>
                <w:szCs w:val="18"/>
              </w:rPr>
            </w:pPr>
            <w:r w:rsidRPr="00823F2D">
              <w:rPr>
                <w:rFonts w:cs="Arial"/>
                <w:sz w:val="18"/>
                <w:szCs w:val="18"/>
              </w:rPr>
              <w:t>-30</w:t>
            </w:r>
          </w:p>
        </w:tc>
        <w:tc>
          <w:tcPr>
            <w:tcW w:w="1600" w:type="dxa"/>
            <w:shd w:val="clear" w:color="auto" w:fill="F2F2F2" w:themeFill="background1" w:themeFillShade="F2"/>
          </w:tcPr>
          <w:p w14:paraId="41BB99E4" w14:textId="77777777" w:rsidR="00480196" w:rsidRPr="00823F2D" w:rsidRDefault="00480196">
            <w:pPr>
              <w:spacing w:after="0"/>
              <w:contextualSpacing/>
              <w:jc w:val="center"/>
              <w:rPr>
                <w:rFonts w:cs="Arial"/>
                <w:sz w:val="18"/>
                <w:szCs w:val="18"/>
              </w:rPr>
            </w:pPr>
            <w:r w:rsidRPr="00823F2D">
              <w:rPr>
                <w:rFonts w:cs="Arial"/>
                <w:sz w:val="18"/>
                <w:szCs w:val="18"/>
              </w:rPr>
              <w:t>1 MHz</w:t>
            </w:r>
          </w:p>
        </w:tc>
      </w:tr>
    </w:tbl>
    <w:p w14:paraId="5BC40EA4" w14:textId="77777777" w:rsidR="00217A0C" w:rsidRDefault="00217A0C" w:rsidP="002F7657">
      <w:pPr>
        <w:pStyle w:val="Paragraph"/>
      </w:pPr>
    </w:p>
    <w:p w14:paraId="5201F212" w14:textId="0D94D7CB" w:rsidR="00217A0C" w:rsidRDefault="00B60D86" w:rsidP="00ED49B8">
      <w:pPr>
        <w:pStyle w:val="Heading3"/>
      </w:pPr>
      <w:r>
        <w:t>Lower</w:t>
      </w:r>
      <w:r w:rsidRPr="00B60D86">
        <w:t xml:space="preserve"> </w:t>
      </w:r>
      <w:r w:rsidR="00401302">
        <w:t xml:space="preserve">2.5 GHz </w:t>
      </w:r>
      <w:r w:rsidRPr="00B60D86">
        <w:t xml:space="preserve">band </w:t>
      </w:r>
      <w:r w:rsidR="00ED49B8">
        <w:t>receiver</w:t>
      </w:r>
      <w:r w:rsidRPr="00B60D86">
        <w:t xml:space="preserve"> </w:t>
      </w:r>
      <w:r w:rsidR="005121BC">
        <w:t>unwanted</w:t>
      </w:r>
      <w:r w:rsidR="005121BC" w:rsidRPr="00B60D86">
        <w:t xml:space="preserve"> </w:t>
      </w:r>
      <w:r w:rsidRPr="00B60D86">
        <w:t>emissions</w:t>
      </w:r>
    </w:p>
    <w:p w14:paraId="11307376" w14:textId="582A94C5" w:rsidR="00DD4021" w:rsidRDefault="00DD4021" w:rsidP="00E8439C">
      <w:r>
        <w:t xml:space="preserve">As per the receiver </w:t>
      </w:r>
      <w:r w:rsidR="005121BC">
        <w:t xml:space="preserve">unwanted </w:t>
      </w:r>
      <w:r>
        <w:t xml:space="preserve">emission limits in the upper 2.5 GHz band, the TLG supported the ACMA’s proposal to </w:t>
      </w:r>
      <w:r w:rsidR="00381554">
        <w:t>align</w:t>
      </w:r>
      <w:r w:rsidR="00381554" w:rsidRPr="00823F2D">
        <w:t xml:space="preserve"> </w:t>
      </w:r>
      <w:r w:rsidRPr="00823F2D">
        <w:t xml:space="preserve">the </w:t>
      </w:r>
      <w:r>
        <w:t>receiver</w:t>
      </w:r>
      <w:r w:rsidRPr="00823F2D">
        <w:t xml:space="preserve"> </w:t>
      </w:r>
      <w:r w:rsidR="005121BC">
        <w:t>unwanted</w:t>
      </w:r>
      <w:r w:rsidR="005121BC" w:rsidRPr="00823F2D">
        <w:t xml:space="preserve"> </w:t>
      </w:r>
      <w:r w:rsidRPr="00823F2D">
        <w:t xml:space="preserve">emissions limits </w:t>
      </w:r>
      <w:r>
        <w:t xml:space="preserve">in the lower 2.5 GHz band </w:t>
      </w:r>
      <w:r w:rsidR="00381554">
        <w:t xml:space="preserve">with the limits </w:t>
      </w:r>
      <w:r w:rsidRPr="00823F2D">
        <w:t>specified in 3GPP TS 38.101-1</w:t>
      </w:r>
      <w:r>
        <w:t xml:space="preserve">. </w:t>
      </w:r>
    </w:p>
    <w:p w14:paraId="50F22051" w14:textId="749A3EFA" w:rsidR="00E8439C" w:rsidRPr="00392F92" w:rsidRDefault="00DD4021" w:rsidP="00E8439C">
      <w:pPr>
        <w:rPr>
          <w:szCs w:val="20"/>
        </w:rPr>
      </w:pPr>
      <w:r>
        <w:rPr>
          <w:szCs w:val="20"/>
        </w:rPr>
        <w:t>The</w:t>
      </w:r>
      <w:r w:rsidR="00E8439C" w:rsidRPr="00392F92">
        <w:rPr>
          <w:szCs w:val="20"/>
        </w:rPr>
        <w:t xml:space="preserve"> TLG members noted that </w:t>
      </w:r>
      <w:r w:rsidR="00734027">
        <w:rPr>
          <w:szCs w:val="20"/>
        </w:rPr>
        <w:t>for</w:t>
      </w:r>
      <w:r>
        <w:rPr>
          <w:szCs w:val="20"/>
        </w:rPr>
        <w:t xml:space="preserve"> </w:t>
      </w:r>
      <w:r w:rsidR="00E8439C" w:rsidRPr="00392F92">
        <w:rPr>
          <w:szCs w:val="20"/>
        </w:rPr>
        <w:t xml:space="preserve">a </w:t>
      </w:r>
      <w:proofErr w:type="gramStart"/>
      <w:r w:rsidR="00E8439C" w:rsidRPr="00392F92">
        <w:rPr>
          <w:szCs w:val="20"/>
        </w:rPr>
        <w:t>radiocommunications</w:t>
      </w:r>
      <w:proofErr w:type="gramEnd"/>
      <w:r w:rsidR="00E8439C" w:rsidRPr="00392F92">
        <w:rPr>
          <w:szCs w:val="20"/>
        </w:rPr>
        <w:t xml:space="preserve"> receiver where the antenna or transceiver array boundary connectors support both a radiocommunications receiver and a radiocommunications transmitter</w:t>
      </w:r>
      <w:r w:rsidR="00285045">
        <w:rPr>
          <w:szCs w:val="20"/>
        </w:rPr>
        <w:t xml:space="preserve">, </w:t>
      </w:r>
      <w:r w:rsidR="00734027">
        <w:rPr>
          <w:szCs w:val="20"/>
        </w:rPr>
        <w:t xml:space="preserve">the limits for the transmitter </w:t>
      </w:r>
      <w:r w:rsidR="005121BC">
        <w:rPr>
          <w:szCs w:val="20"/>
        </w:rPr>
        <w:t xml:space="preserve">unwanted </w:t>
      </w:r>
      <w:r w:rsidR="00285045">
        <w:rPr>
          <w:szCs w:val="20"/>
        </w:rPr>
        <w:t>emission limits should be adopted</w:t>
      </w:r>
      <w:r w:rsidR="00E8439C" w:rsidRPr="00392F92">
        <w:rPr>
          <w:szCs w:val="20"/>
        </w:rPr>
        <w:t xml:space="preserve">. </w:t>
      </w:r>
    </w:p>
    <w:p w14:paraId="56ED1CF6" w14:textId="59390515" w:rsidR="00E8439C" w:rsidRDefault="00E831D5" w:rsidP="00C1584C">
      <w:pPr>
        <w:pStyle w:val="Paragraph"/>
      </w:pPr>
      <w:r>
        <w:rPr>
          <w:sz w:val="20"/>
          <w:szCs w:val="20"/>
        </w:rPr>
        <w:t>The TLG agreed to the pro</w:t>
      </w:r>
      <w:r w:rsidR="00ED0275">
        <w:rPr>
          <w:sz w:val="20"/>
          <w:szCs w:val="20"/>
        </w:rPr>
        <w:t>po</w:t>
      </w:r>
      <w:r>
        <w:rPr>
          <w:sz w:val="20"/>
          <w:szCs w:val="20"/>
        </w:rPr>
        <w:t>sed</w:t>
      </w:r>
      <w:r w:rsidR="00E8439C" w:rsidRPr="00392F92">
        <w:rPr>
          <w:sz w:val="20"/>
          <w:szCs w:val="20"/>
        </w:rPr>
        <w:t xml:space="preserve"> emission limits in Table 1</w:t>
      </w:r>
      <w:r>
        <w:rPr>
          <w:sz w:val="20"/>
          <w:szCs w:val="20"/>
        </w:rPr>
        <w:t>4</w:t>
      </w:r>
      <w:r w:rsidR="00E8439C" w:rsidRPr="00392F92">
        <w:rPr>
          <w:sz w:val="20"/>
          <w:szCs w:val="20"/>
        </w:rPr>
        <w:t xml:space="preserve"> for non-AAS devices, Table 1</w:t>
      </w:r>
      <w:r>
        <w:rPr>
          <w:sz w:val="20"/>
          <w:szCs w:val="20"/>
        </w:rPr>
        <w:t>5</w:t>
      </w:r>
      <w:r w:rsidR="00E8439C" w:rsidRPr="00392F92">
        <w:rPr>
          <w:sz w:val="20"/>
          <w:szCs w:val="20"/>
        </w:rPr>
        <w:t xml:space="preserve"> for non-AAS devices that are connected to transmitter antenna array and Table 1</w:t>
      </w:r>
      <w:r>
        <w:rPr>
          <w:sz w:val="20"/>
          <w:szCs w:val="20"/>
        </w:rPr>
        <w:t>6</w:t>
      </w:r>
      <w:r w:rsidR="00E8439C" w:rsidRPr="00392F92">
        <w:rPr>
          <w:sz w:val="20"/>
          <w:szCs w:val="20"/>
        </w:rPr>
        <w:t xml:space="preserve"> for AAS devices.</w:t>
      </w:r>
    </w:p>
    <w:p w14:paraId="617CFA48" w14:textId="77777777" w:rsidR="00E8439C" w:rsidRDefault="00E8439C" w:rsidP="00E8439C">
      <w:pPr>
        <w:pStyle w:val="ACMATableHeader"/>
        <w:keepNext/>
        <w:keepLines/>
        <w:spacing w:line="240" w:lineRule="atLeast"/>
      </w:pPr>
      <w:r>
        <w:rPr>
          <w:rFonts w:cs="Arial"/>
        </w:rPr>
        <w:t>Unwanted emission limits for receivers operating in the lower 2.5 GHz band - non-AAS receivers</w:t>
      </w:r>
    </w:p>
    <w:tbl>
      <w:tblPr>
        <w:tblStyle w:val="TableGrid"/>
        <w:tblW w:w="7319" w:type="dxa"/>
        <w:jc w:val="center"/>
        <w:tblLook w:val="04A0" w:firstRow="1" w:lastRow="0" w:firstColumn="1" w:lastColumn="0" w:noHBand="0" w:noVBand="1"/>
      </w:tblPr>
      <w:tblGrid>
        <w:gridCol w:w="3265"/>
        <w:gridCol w:w="2548"/>
        <w:gridCol w:w="1506"/>
      </w:tblGrid>
      <w:tr w:rsidR="00E8439C" w:rsidRPr="00912F86" w14:paraId="52E3B841" w14:textId="77777777">
        <w:trPr>
          <w:jc w:val="center"/>
        </w:trPr>
        <w:tc>
          <w:tcPr>
            <w:tcW w:w="3265" w:type="dxa"/>
            <w:shd w:val="clear" w:color="auto" w:fill="404040" w:themeFill="text1" w:themeFillTint="BF"/>
          </w:tcPr>
          <w:p w14:paraId="129A9219" w14:textId="77777777" w:rsidR="00E8439C" w:rsidRPr="00912F86" w:rsidRDefault="00E8439C">
            <w:pPr>
              <w:keepNext/>
              <w:keepLines/>
              <w:spacing w:after="0"/>
              <w:contextualSpacing/>
              <w:jc w:val="center"/>
              <w:rPr>
                <w:rFonts w:cs="Arial"/>
                <w:b/>
                <w:color w:val="FFFFFF" w:themeColor="background1"/>
              </w:rPr>
            </w:pPr>
            <w:r w:rsidRPr="00912F86">
              <w:rPr>
                <w:rFonts w:cs="Arial"/>
                <w:b/>
                <w:color w:val="FFFFFF" w:themeColor="background1"/>
              </w:rPr>
              <w:t>Frequency range</w:t>
            </w:r>
          </w:p>
          <w:p w14:paraId="4EE378D0" w14:textId="77777777" w:rsidR="00E8439C" w:rsidRPr="00912F86" w:rsidRDefault="00E8439C">
            <w:pPr>
              <w:keepNext/>
              <w:keepLines/>
              <w:spacing w:after="0"/>
              <w:contextualSpacing/>
              <w:jc w:val="center"/>
              <w:rPr>
                <w:rFonts w:cs="Arial"/>
                <w:b/>
                <w:color w:val="FFFFFF" w:themeColor="background1"/>
              </w:rPr>
            </w:pPr>
            <w:r w:rsidRPr="00912F86">
              <w:rPr>
                <w:rFonts w:cs="Arial"/>
                <w:b/>
                <w:color w:val="FFFFFF" w:themeColor="background1"/>
              </w:rPr>
              <w:t>(f)</w:t>
            </w:r>
          </w:p>
        </w:tc>
        <w:tc>
          <w:tcPr>
            <w:tcW w:w="2548" w:type="dxa"/>
            <w:shd w:val="clear" w:color="auto" w:fill="404040" w:themeFill="text1" w:themeFillTint="BF"/>
          </w:tcPr>
          <w:p w14:paraId="079E9217" w14:textId="77777777" w:rsidR="00E8439C" w:rsidRPr="00912F86" w:rsidRDefault="00E8439C">
            <w:pPr>
              <w:keepNext/>
              <w:keepLines/>
              <w:spacing w:after="0"/>
              <w:contextualSpacing/>
              <w:jc w:val="center"/>
              <w:rPr>
                <w:rFonts w:cs="Arial"/>
                <w:b/>
                <w:color w:val="FFFFFF" w:themeColor="background1"/>
              </w:rPr>
            </w:pPr>
            <w:r w:rsidRPr="00E11C98">
              <w:rPr>
                <w:rFonts w:cs="Arial"/>
                <w:b/>
                <w:color w:val="FFFFFF" w:themeColor="background1"/>
              </w:rPr>
              <w:t>Mean power (dBm) per receiver port</w:t>
            </w:r>
          </w:p>
        </w:tc>
        <w:tc>
          <w:tcPr>
            <w:tcW w:w="1506" w:type="dxa"/>
            <w:shd w:val="clear" w:color="auto" w:fill="404040" w:themeFill="text1" w:themeFillTint="BF"/>
          </w:tcPr>
          <w:p w14:paraId="69573D9E" w14:textId="77777777" w:rsidR="00E8439C" w:rsidRPr="00912F86" w:rsidRDefault="00E8439C">
            <w:pPr>
              <w:keepNext/>
              <w:keepLines/>
              <w:spacing w:after="0"/>
              <w:contextualSpacing/>
              <w:jc w:val="center"/>
              <w:rPr>
                <w:rFonts w:cs="Arial"/>
                <w:b/>
                <w:color w:val="FFFFFF" w:themeColor="background1"/>
              </w:rPr>
            </w:pPr>
            <w:r w:rsidRPr="00912F86">
              <w:rPr>
                <w:rFonts w:cs="Arial"/>
                <w:b/>
                <w:color w:val="FFFFFF" w:themeColor="background1"/>
              </w:rPr>
              <w:t>Measurement bandwidth</w:t>
            </w:r>
          </w:p>
        </w:tc>
      </w:tr>
      <w:tr w:rsidR="00E8439C" w:rsidRPr="00912F86" w14:paraId="0B79BFFC" w14:textId="77777777">
        <w:trPr>
          <w:jc w:val="center"/>
        </w:trPr>
        <w:tc>
          <w:tcPr>
            <w:tcW w:w="3265" w:type="dxa"/>
          </w:tcPr>
          <w:p w14:paraId="052077FF" w14:textId="77777777" w:rsidR="00E8439C" w:rsidRPr="00912F86" w:rsidRDefault="00E8439C">
            <w:pPr>
              <w:keepNext/>
              <w:keepLines/>
              <w:spacing w:after="0"/>
              <w:contextualSpacing/>
              <w:jc w:val="center"/>
              <w:rPr>
                <w:rFonts w:cs="Arial"/>
                <w:sz w:val="18"/>
                <w:szCs w:val="18"/>
              </w:rPr>
            </w:pPr>
            <w:r w:rsidRPr="00912F86">
              <w:rPr>
                <w:rFonts w:cs="Arial"/>
                <w:sz w:val="18"/>
                <w:szCs w:val="18"/>
              </w:rPr>
              <w:t>30 MHz ≤ f &lt; 1 GHz</w:t>
            </w:r>
          </w:p>
        </w:tc>
        <w:tc>
          <w:tcPr>
            <w:tcW w:w="2548" w:type="dxa"/>
          </w:tcPr>
          <w:p w14:paraId="49A83812" w14:textId="77777777" w:rsidR="00E8439C" w:rsidRPr="00912F86" w:rsidRDefault="00E8439C">
            <w:pPr>
              <w:keepNext/>
              <w:keepLines/>
              <w:spacing w:after="0"/>
              <w:contextualSpacing/>
              <w:jc w:val="center"/>
              <w:rPr>
                <w:rFonts w:cs="Arial"/>
                <w:sz w:val="18"/>
                <w:szCs w:val="18"/>
              </w:rPr>
            </w:pPr>
            <w:r w:rsidRPr="00912F86">
              <w:rPr>
                <w:rFonts w:cs="Arial"/>
                <w:sz w:val="18"/>
                <w:szCs w:val="18"/>
              </w:rPr>
              <w:t>-57</w:t>
            </w:r>
          </w:p>
        </w:tc>
        <w:tc>
          <w:tcPr>
            <w:tcW w:w="1506" w:type="dxa"/>
          </w:tcPr>
          <w:p w14:paraId="557BDA7D" w14:textId="77777777" w:rsidR="00E8439C" w:rsidRPr="00912F86" w:rsidRDefault="00E8439C">
            <w:pPr>
              <w:keepNext/>
              <w:keepLines/>
              <w:spacing w:after="0"/>
              <w:contextualSpacing/>
              <w:jc w:val="center"/>
              <w:rPr>
                <w:rFonts w:cs="Arial"/>
                <w:sz w:val="18"/>
                <w:szCs w:val="18"/>
              </w:rPr>
            </w:pPr>
            <w:r w:rsidRPr="00912F86">
              <w:rPr>
                <w:rFonts w:cs="Arial"/>
                <w:sz w:val="18"/>
                <w:szCs w:val="18"/>
              </w:rPr>
              <w:t>100 kHz</w:t>
            </w:r>
          </w:p>
        </w:tc>
      </w:tr>
      <w:tr w:rsidR="00E8439C" w:rsidRPr="00912F86" w14:paraId="02F91F29" w14:textId="77777777">
        <w:trPr>
          <w:jc w:val="center"/>
        </w:trPr>
        <w:tc>
          <w:tcPr>
            <w:tcW w:w="3265" w:type="dxa"/>
            <w:shd w:val="clear" w:color="auto" w:fill="F2F2F2" w:themeFill="background1" w:themeFillShade="F2"/>
          </w:tcPr>
          <w:p w14:paraId="58C6E077" w14:textId="77777777" w:rsidR="00E8439C" w:rsidRPr="00912F86" w:rsidRDefault="00E8439C">
            <w:pPr>
              <w:keepNext/>
              <w:keepLines/>
              <w:spacing w:after="0"/>
              <w:contextualSpacing/>
              <w:jc w:val="center"/>
              <w:rPr>
                <w:rFonts w:cs="Arial"/>
                <w:sz w:val="18"/>
                <w:szCs w:val="18"/>
              </w:rPr>
            </w:pPr>
            <w:r w:rsidRPr="00912F86">
              <w:rPr>
                <w:rFonts w:cs="Arial"/>
                <w:sz w:val="18"/>
                <w:szCs w:val="18"/>
              </w:rPr>
              <w:t>1 GHz ≤ f &lt; 12.75 GHz</w:t>
            </w:r>
          </w:p>
        </w:tc>
        <w:tc>
          <w:tcPr>
            <w:tcW w:w="2548" w:type="dxa"/>
            <w:shd w:val="clear" w:color="auto" w:fill="F2F2F2" w:themeFill="background1" w:themeFillShade="F2"/>
          </w:tcPr>
          <w:p w14:paraId="609E1EBA" w14:textId="77777777" w:rsidR="00E8439C" w:rsidRPr="00912F86" w:rsidRDefault="00E8439C">
            <w:pPr>
              <w:keepNext/>
              <w:keepLines/>
              <w:spacing w:after="0"/>
              <w:contextualSpacing/>
              <w:jc w:val="center"/>
              <w:rPr>
                <w:rFonts w:cs="Arial"/>
                <w:sz w:val="18"/>
                <w:szCs w:val="18"/>
              </w:rPr>
            </w:pPr>
            <w:r w:rsidRPr="00912F86">
              <w:rPr>
                <w:rFonts w:cs="Arial"/>
                <w:sz w:val="18"/>
                <w:szCs w:val="18"/>
              </w:rPr>
              <w:t>-47</w:t>
            </w:r>
          </w:p>
        </w:tc>
        <w:tc>
          <w:tcPr>
            <w:tcW w:w="1506" w:type="dxa"/>
            <w:shd w:val="clear" w:color="auto" w:fill="F2F2F2" w:themeFill="background1" w:themeFillShade="F2"/>
          </w:tcPr>
          <w:p w14:paraId="2D0DBC2F" w14:textId="77777777" w:rsidR="00E8439C" w:rsidRPr="00912F86" w:rsidRDefault="00E8439C">
            <w:pPr>
              <w:keepNext/>
              <w:keepLines/>
              <w:spacing w:after="0"/>
              <w:contextualSpacing/>
              <w:jc w:val="center"/>
              <w:rPr>
                <w:rFonts w:cs="Arial"/>
                <w:sz w:val="18"/>
                <w:szCs w:val="18"/>
              </w:rPr>
            </w:pPr>
            <w:r w:rsidRPr="00912F86">
              <w:rPr>
                <w:rFonts w:cs="Arial"/>
                <w:sz w:val="18"/>
                <w:szCs w:val="18"/>
              </w:rPr>
              <w:t>1 MHz</w:t>
            </w:r>
          </w:p>
        </w:tc>
      </w:tr>
    </w:tbl>
    <w:p w14:paraId="2A2D1155" w14:textId="77777777" w:rsidR="00E8439C" w:rsidRPr="00A406B6" w:rsidRDefault="00E8439C" w:rsidP="00E8439C">
      <w:pPr>
        <w:pStyle w:val="Spaceaftertable"/>
      </w:pPr>
    </w:p>
    <w:p w14:paraId="1DFEAE85" w14:textId="63670FCE" w:rsidR="00E8439C" w:rsidRDefault="00E8439C" w:rsidP="00E8439C">
      <w:pPr>
        <w:pStyle w:val="ACMATableHeader"/>
        <w:keepNext/>
        <w:keepLines/>
        <w:spacing w:line="240" w:lineRule="atLeast"/>
      </w:pPr>
      <w:r>
        <w:rPr>
          <w:rFonts w:cs="Arial"/>
        </w:rPr>
        <w:t xml:space="preserve">Unwanted emission limits for receivers operating in the lower 2.5 GHz band connected to Tx array – non-AAS receivers (same as Table </w:t>
      </w:r>
      <w:r w:rsidR="00DE5E72">
        <w:rPr>
          <w:rFonts w:cs="Arial"/>
        </w:rPr>
        <w:t>9</w:t>
      </w:r>
      <w:r>
        <w:rPr>
          <w:rFonts w:cs="Arial"/>
        </w:rPr>
        <w:t>)</w:t>
      </w:r>
    </w:p>
    <w:tbl>
      <w:tblPr>
        <w:tblStyle w:val="TableGrid"/>
        <w:tblW w:w="7135" w:type="dxa"/>
        <w:jc w:val="center"/>
        <w:tblLook w:val="04A0" w:firstRow="1" w:lastRow="0" w:firstColumn="1" w:lastColumn="0" w:noHBand="0" w:noVBand="1"/>
      </w:tblPr>
      <w:tblGrid>
        <w:gridCol w:w="3265"/>
        <w:gridCol w:w="2270"/>
        <w:gridCol w:w="1600"/>
      </w:tblGrid>
      <w:tr w:rsidR="00E8439C" w:rsidRPr="00823F2D" w14:paraId="62D8962E" w14:textId="77777777">
        <w:trPr>
          <w:jc w:val="center"/>
        </w:trPr>
        <w:tc>
          <w:tcPr>
            <w:tcW w:w="3265" w:type="dxa"/>
            <w:shd w:val="clear" w:color="auto" w:fill="404040" w:themeFill="text1" w:themeFillTint="BF"/>
          </w:tcPr>
          <w:p w14:paraId="4E79D71E" w14:textId="77777777" w:rsidR="00E8439C" w:rsidRPr="00823F2D" w:rsidRDefault="00E8439C">
            <w:pPr>
              <w:spacing w:after="0"/>
              <w:contextualSpacing/>
              <w:jc w:val="center"/>
              <w:rPr>
                <w:rFonts w:cs="Arial"/>
                <w:b/>
                <w:color w:val="FFFFFF" w:themeColor="background1"/>
              </w:rPr>
            </w:pPr>
            <w:r w:rsidRPr="00823F2D">
              <w:rPr>
                <w:rFonts w:cs="Arial"/>
                <w:b/>
                <w:color w:val="FFFFFF" w:themeColor="background1"/>
              </w:rPr>
              <w:t xml:space="preserve">Frequency range </w:t>
            </w:r>
          </w:p>
          <w:p w14:paraId="333E7995" w14:textId="77777777" w:rsidR="00E8439C" w:rsidRPr="00823F2D" w:rsidRDefault="00E8439C">
            <w:pPr>
              <w:spacing w:after="0"/>
              <w:contextualSpacing/>
              <w:jc w:val="center"/>
              <w:rPr>
                <w:rFonts w:cs="Arial"/>
                <w:b/>
                <w:color w:val="FFFFFF" w:themeColor="background1"/>
              </w:rPr>
            </w:pPr>
            <w:r w:rsidRPr="00823F2D">
              <w:rPr>
                <w:rFonts w:cs="Arial"/>
                <w:b/>
                <w:color w:val="FFFFFF" w:themeColor="background1"/>
              </w:rPr>
              <w:t>(f)</w:t>
            </w:r>
          </w:p>
        </w:tc>
        <w:tc>
          <w:tcPr>
            <w:tcW w:w="2270" w:type="dxa"/>
            <w:shd w:val="clear" w:color="auto" w:fill="404040" w:themeFill="text1" w:themeFillTint="BF"/>
          </w:tcPr>
          <w:p w14:paraId="7ECB213E" w14:textId="77777777" w:rsidR="00E8439C" w:rsidRPr="00823F2D" w:rsidRDefault="00E8439C">
            <w:pPr>
              <w:spacing w:after="0"/>
              <w:contextualSpacing/>
              <w:jc w:val="center"/>
              <w:rPr>
                <w:rFonts w:cs="Arial"/>
                <w:b/>
                <w:color w:val="FFFFFF" w:themeColor="background1"/>
              </w:rPr>
            </w:pPr>
            <w:r w:rsidRPr="00E11C98">
              <w:rPr>
                <w:rFonts w:cs="Arial"/>
                <w:b/>
                <w:color w:val="FFFFFF" w:themeColor="background1"/>
              </w:rPr>
              <w:t>Mean power (dBm) per receiver port</w:t>
            </w:r>
          </w:p>
        </w:tc>
        <w:tc>
          <w:tcPr>
            <w:tcW w:w="1600" w:type="dxa"/>
            <w:shd w:val="clear" w:color="auto" w:fill="404040" w:themeFill="text1" w:themeFillTint="BF"/>
          </w:tcPr>
          <w:p w14:paraId="51C738BD" w14:textId="77777777" w:rsidR="00E8439C" w:rsidRPr="00823F2D" w:rsidRDefault="00E8439C">
            <w:pPr>
              <w:spacing w:after="0"/>
              <w:contextualSpacing/>
              <w:jc w:val="center"/>
              <w:rPr>
                <w:rFonts w:cs="Arial"/>
                <w:b/>
                <w:color w:val="FFFFFF" w:themeColor="background1"/>
              </w:rPr>
            </w:pPr>
            <w:r w:rsidRPr="00823F2D">
              <w:rPr>
                <w:rFonts w:cs="Arial"/>
                <w:b/>
                <w:color w:val="FFFFFF" w:themeColor="background1"/>
              </w:rPr>
              <w:t>Measurement bandwidth</w:t>
            </w:r>
          </w:p>
        </w:tc>
      </w:tr>
      <w:tr w:rsidR="00E8439C" w:rsidRPr="00823F2D" w14:paraId="5CAE8648" w14:textId="77777777">
        <w:trPr>
          <w:jc w:val="center"/>
        </w:trPr>
        <w:tc>
          <w:tcPr>
            <w:tcW w:w="3265" w:type="dxa"/>
          </w:tcPr>
          <w:p w14:paraId="2A0655A7" w14:textId="77777777" w:rsidR="00E8439C" w:rsidRPr="00823F2D" w:rsidRDefault="00E8439C">
            <w:pPr>
              <w:spacing w:after="0"/>
              <w:contextualSpacing/>
              <w:jc w:val="center"/>
              <w:rPr>
                <w:rFonts w:cs="Arial"/>
                <w:sz w:val="18"/>
                <w:szCs w:val="18"/>
              </w:rPr>
            </w:pPr>
            <w:r w:rsidRPr="00823F2D">
              <w:rPr>
                <w:rFonts w:cs="Arial"/>
                <w:sz w:val="18"/>
                <w:szCs w:val="18"/>
              </w:rPr>
              <w:t>9 kHz ≤ f &lt; 150 kHz</w:t>
            </w:r>
          </w:p>
        </w:tc>
        <w:tc>
          <w:tcPr>
            <w:tcW w:w="2270" w:type="dxa"/>
          </w:tcPr>
          <w:p w14:paraId="5010B392" w14:textId="77777777" w:rsidR="00E8439C" w:rsidRPr="00823F2D" w:rsidRDefault="00E8439C">
            <w:pPr>
              <w:spacing w:after="0"/>
              <w:contextualSpacing/>
              <w:jc w:val="center"/>
              <w:rPr>
                <w:rFonts w:cs="Arial"/>
                <w:sz w:val="18"/>
                <w:szCs w:val="18"/>
              </w:rPr>
            </w:pPr>
            <w:r w:rsidRPr="00823F2D">
              <w:rPr>
                <w:rFonts w:cs="Arial"/>
                <w:sz w:val="18"/>
                <w:szCs w:val="18"/>
              </w:rPr>
              <w:t>-36</w:t>
            </w:r>
          </w:p>
        </w:tc>
        <w:tc>
          <w:tcPr>
            <w:tcW w:w="1600" w:type="dxa"/>
          </w:tcPr>
          <w:p w14:paraId="2BC5C1F4" w14:textId="77777777" w:rsidR="00E8439C" w:rsidRPr="00823F2D" w:rsidRDefault="00E8439C">
            <w:pPr>
              <w:spacing w:after="0"/>
              <w:contextualSpacing/>
              <w:jc w:val="center"/>
              <w:rPr>
                <w:rFonts w:cs="Arial"/>
                <w:sz w:val="18"/>
                <w:szCs w:val="18"/>
              </w:rPr>
            </w:pPr>
            <w:r w:rsidRPr="00823F2D">
              <w:rPr>
                <w:rFonts w:cs="Arial"/>
                <w:sz w:val="18"/>
                <w:szCs w:val="18"/>
              </w:rPr>
              <w:t>1 kHz</w:t>
            </w:r>
          </w:p>
        </w:tc>
      </w:tr>
      <w:tr w:rsidR="00E8439C" w:rsidRPr="00823F2D" w14:paraId="4E25F136" w14:textId="77777777">
        <w:trPr>
          <w:jc w:val="center"/>
        </w:trPr>
        <w:tc>
          <w:tcPr>
            <w:tcW w:w="3265" w:type="dxa"/>
            <w:shd w:val="clear" w:color="auto" w:fill="F2F2F2" w:themeFill="background1" w:themeFillShade="F2"/>
          </w:tcPr>
          <w:p w14:paraId="2E624D6D" w14:textId="77777777" w:rsidR="00E8439C" w:rsidRPr="00823F2D" w:rsidRDefault="00E8439C">
            <w:pPr>
              <w:spacing w:after="0"/>
              <w:contextualSpacing/>
              <w:jc w:val="center"/>
              <w:rPr>
                <w:rFonts w:cs="Arial"/>
                <w:sz w:val="18"/>
                <w:szCs w:val="18"/>
              </w:rPr>
            </w:pPr>
            <w:r w:rsidRPr="00823F2D">
              <w:rPr>
                <w:rFonts w:cs="Arial"/>
                <w:sz w:val="18"/>
                <w:szCs w:val="18"/>
              </w:rPr>
              <w:t>150 kHz ≤ f &lt; 30 MHz</w:t>
            </w:r>
          </w:p>
        </w:tc>
        <w:tc>
          <w:tcPr>
            <w:tcW w:w="2270" w:type="dxa"/>
            <w:shd w:val="clear" w:color="auto" w:fill="F2F2F2" w:themeFill="background1" w:themeFillShade="F2"/>
          </w:tcPr>
          <w:p w14:paraId="0C411D33" w14:textId="77777777" w:rsidR="00E8439C" w:rsidRPr="00823F2D" w:rsidRDefault="00E8439C">
            <w:pPr>
              <w:spacing w:after="0"/>
              <w:contextualSpacing/>
              <w:jc w:val="center"/>
              <w:rPr>
                <w:rFonts w:cs="Arial"/>
                <w:sz w:val="18"/>
                <w:szCs w:val="18"/>
              </w:rPr>
            </w:pPr>
            <w:r w:rsidRPr="00823F2D">
              <w:rPr>
                <w:rFonts w:cs="Arial"/>
                <w:sz w:val="18"/>
                <w:szCs w:val="18"/>
              </w:rPr>
              <w:t>-36</w:t>
            </w:r>
          </w:p>
        </w:tc>
        <w:tc>
          <w:tcPr>
            <w:tcW w:w="1600" w:type="dxa"/>
            <w:shd w:val="clear" w:color="auto" w:fill="F2F2F2" w:themeFill="background1" w:themeFillShade="F2"/>
          </w:tcPr>
          <w:p w14:paraId="3909F5C2" w14:textId="77777777" w:rsidR="00E8439C" w:rsidRPr="00823F2D" w:rsidRDefault="00E8439C">
            <w:pPr>
              <w:spacing w:after="0"/>
              <w:contextualSpacing/>
              <w:jc w:val="center"/>
              <w:rPr>
                <w:rFonts w:cs="Arial"/>
                <w:sz w:val="18"/>
                <w:szCs w:val="18"/>
              </w:rPr>
            </w:pPr>
            <w:r w:rsidRPr="00823F2D">
              <w:rPr>
                <w:rFonts w:cs="Arial"/>
                <w:sz w:val="18"/>
                <w:szCs w:val="18"/>
              </w:rPr>
              <w:t>10 kHz</w:t>
            </w:r>
          </w:p>
        </w:tc>
      </w:tr>
      <w:tr w:rsidR="00E8439C" w:rsidRPr="00823F2D" w14:paraId="73126403" w14:textId="77777777">
        <w:trPr>
          <w:jc w:val="center"/>
        </w:trPr>
        <w:tc>
          <w:tcPr>
            <w:tcW w:w="3265" w:type="dxa"/>
          </w:tcPr>
          <w:p w14:paraId="20A38760" w14:textId="77777777" w:rsidR="00E8439C" w:rsidRPr="00823F2D" w:rsidRDefault="00E8439C">
            <w:pPr>
              <w:spacing w:after="0"/>
              <w:contextualSpacing/>
              <w:jc w:val="center"/>
              <w:rPr>
                <w:rFonts w:cs="Arial"/>
                <w:sz w:val="18"/>
                <w:szCs w:val="18"/>
              </w:rPr>
            </w:pPr>
            <w:r w:rsidRPr="00823F2D">
              <w:rPr>
                <w:rFonts w:cs="Arial"/>
                <w:sz w:val="18"/>
                <w:szCs w:val="18"/>
              </w:rPr>
              <w:t>30 MHz ≤ f &lt; 1 GHz</w:t>
            </w:r>
          </w:p>
        </w:tc>
        <w:tc>
          <w:tcPr>
            <w:tcW w:w="2270" w:type="dxa"/>
          </w:tcPr>
          <w:p w14:paraId="3C8D30C9" w14:textId="77777777" w:rsidR="00E8439C" w:rsidRPr="00823F2D" w:rsidRDefault="00E8439C">
            <w:pPr>
              <w:spacing w:after="0"/>
              <w:contextualSpacing/>
              <w:jc w:val="center"/>
              <w:rPr>
                <w:rFonts w:cs="Arial"/>
                <w:sz w:val="18"/>
                <w:szCs w:val="18"/>
              </w:rPr>
            </w:pPr>
            <w:r w:rsidRPr="00823F2D">
              <w:rPr>
                <w:rFonts w:cs="Arial"/>
                <w:sz w:val="18"/>
                <w:szCs w:val="18"/>
              </w:rPr>
              <w:t>-36</w:t>
            </w:r>
          </w:p>
        </w:tc>
        <w:tc>
          <w:tcPr>
            <w:tcW w:w="1600" w:type="dxa"/>
          </w:tcPr>
          <w:p w14:paraId="0F9570BB" w14:textId="77777777" w:rsidR="00E8439C" w:rsidRPr="00823F2D" w:rsidRDefault="00E8439C">
            <w:pPr>
              <w:spacing w:after="0"/>
              <w:contextualSpacing/>
              <w:jc w:val="center"/>
              <w:rPr>
                <w:rFonts w:cs="Arial"/>
                <w:sz w:val="18"/>
                <w:szCs w:val="18"/>
              </w:rPr>
            </w:pPr>
            <w:r w:rsidRPr="00823F2D">
              <w:rPr>
                <w:rFonts w:cs="Arial"/>
                <w:sz w:val="18"/>
                <w:szCs w:val="18"/>
              </w:rPr>
              <w:t>100 kHz</w:t>
            </w:r>
          </w:p>
        </w:tc>
      </w:tr>
      <w:tr w:rsidR="00E8439C" w:rsidRPr="00823F2D" w14:paraId="33B5DDC9" w14:textId="77777777">
        <w:trPr>
          <w:jc w:val="center"/>
        </w:trPr>
        <w:tc>
          <w:tcPr>
            <w:tcW w:w="3265" w:type="dxa"/>
            <w:shd w:val="clear" w:color="auto" w:fill="F2F2F2" w:themeFill="background1" w:themeFillShade="F2"/>
          </w:tcPr>
          <w:p w14:paraId="2393BC21" w14:textId="77777777" w:rsidR="00E8439C" w:rsidRPr="00823F2D" w:rsidRDefault="00E8439C">
            <w:pPr>
              <w:spacing w:after="0"/>
              <w:contextualSpacing/>
              <w:jc w:val="center"/>
              <w:rPr>
                <w:rFonts w:cs="Arial"/>
                <w:sz w:val="18"/>
                <w:szCs w:val="18"/>
              </w:rPr>
            </w:pPr>
            <w:r w:rsidRPr="00823F2D">
              <w:rPr>
                <w:rFonts w:cs="Arial"/>
                <w:sz w:val="18"/>
                <w:szCs w:val="18"/>
              </w:rPr>
              <w:t>1 GHz ≤ f &lt; 12.75 GHz</w:t>
            </w:r>
          </w:p>
        </w:tc>
        <w:tc>
          <w:tcPr>
            <w:tcW w:w="2270" w:type="dxa"/>
            <w:shd w:val="clear" w:color="auto" w:fill="F2F2F2" w:themeFill="background1" w:themeFillShade="F2"/>
          </w:tcPr>
          <w:p w14:paraId="75A50D56" w14:textId="77777777" w:rsidR="00E8439C" w:rsidRPr="00823F2D" w:rsidRDefault="00E8439C">
            <w:pPr>
              <w:spacing w:after="0"/>
              <w:contextualSpacing/>
              <w:jc w:val="center"/>
              <w:rPr>
                <w:rFonts w:cs="Arial"/>
                <w:sz w:val="18"/>
                <w:szCs w:val="18"/>
              </w:rPr>
            </w:pPr>
            <w:r w:rsidRPr="00823F2D">
              <w:rPr>
                <w:rFonts w:cs="Arial"/>
                <w:sz w:val="18"/>
                <w:szCs w:val="18"/>
              </w:rPr>
              <w:t>-30</w:t>
            </w:r>
          </w:p>
        </w:tc>
        <w:tc>
          <w:tcPr>
            <w:tcW w:w="1600" w:type="dxa"/>
            <w:shd w:val="clear" w:color="auto" w:fill="F2F2F2" w:themeFill="background1" w:themeFillShade="F2"/>
          </w:tcPr>
          <w:p w14:paraId="57FD83CB" w14:textId="77777777" w:rsidR="00E8439C" w:rsidRPr="00823F2D" w:rsidRDefault="00E8439C">
            <w:pPr>
              <w:spacing w:after="0"/>
              <w:contextualSpacing/>
              <w:jc w:val="center"/>
              <w:rPr>
                <w:rFonts w:cs="Arial"/>
                <w:sz w:val="18"/>
                <w:szCs w:val="18"/>
              </w:rPr>
            </w:pPr>
            <w:r w:rsidRPr="00823F2D">
              <w:rPr>
                <w:rFonts w:cs="Arial"/>
                <w:sz w:val="18"/>
                <w:szCs w:val="18"/>
              </w:rPr>
              <w:t>1 MHz</w:t>
            </w:r>
          </w:p>
        </w:tc>
      </w:tr>
    </w:tbl>
    <w:p w14:paraId="630A3618" w14:textId="77777777" w:rsidR="00E8439C" w:rsidRDefault="00E8439C" w:rsidP="00E8439C">
      <w:pPr>
        <w:pStyle w:val="Spaceaftertable"/>
        <w:rPr>
          <w:highlight w:val="cyan"/>
        </w:rPr>
      </w:pPr>
    </w:p>
    <w:p w14:paraId="19CA1AE7" w14:textId="134B49AC" w:rsidR="00E8439C" w:rsidRDefault="00E8439C" w:rsidP="00E8439C">
      <w:pPr>
        <w:pStyle w:val="ACMATableHeader"/>
        <w:keepNext/>
        <w:keepLines/>
        <w:spacing w:line="240" w:lineRule="atLeast"/>
      </w:pPr>
      <w:r>
        <w:rPr>
          <w:rFonts w:cs="Arial"/>
        </w:rPr>
        <w:t xml:space="preserve">Unwanted emission limits for receivers operating in the lower 2.5 GHz band - AAS receivers (same as Table </w:t>
      </w:r>
      <w:r w:rsidR="00DE5E72">
        <w:rPr>
          <w:rFonts w:cs="Arial"/>
        </w:rPr>
        <w:t>10</w:t>
      </w:r>
      <w:r>
        <w:rPr>
          <w:rFonts w:cs="Arial"/>
        </w:rPr>
        <w:t>)</w:t>
      </w:r>
    </w:p>
    <w:tbl>
      <w:tblPr>
        <w:tblStyle w:val="TableGrid"/>
        <w:tblW w:w="7288" w:type="dxa"/>
        <w:jc w:val="center"/>
        <w:tblLook w:val="04A0" w:firstRow="1" w:lastRow="0" w:firstColumn="1" w:lastColumn="0" w:noHBand="0" w:noVBand="1"/>
      </w:tblPr>
      <w:tblGrid>
        <w:gridCol w:w="3418"/>
        <w:gridCol w:w="2270"/>
        <w:gridCol w:w="1600"/>
      </w:tblGrid>
      <w:tr w:rsidR="00E8439C" w:rsidRPr="00C63246" w14:paraId="272EC85F" w14:textId="77777777">
        <w:trPr>
          <w:jc w:val="center"/>
        </w:trPr>
        <w:tc>
          <w:tcPr>
            <w:tcW w:w="3418" w:type="dxa"/>
            <w:shd w:val="clear" w:color="auto" w:fill="404040" w:themeFill="text1" w:themeFillTint="BF"/>
          </w:tcPr>
          <w:p w14:paraId="7976BDC5" w14:textId="77777777" w:rsidR="00E8439C" w:rsidRPr="00C63246" w:rsidRDefault="00E8439C">
            <w:pPr>
              <w:spacing w:after="0"/>
              <w:contextualSpacing/>
              <w:jc w:val="center"/>
              <w:rPr>
                <w:rFonts w:cs="Arial"/>
                <w:b/>
                <w:color w:val="FFFFFF" w:themeColor="background1"/>
              </w:rPr>
            </w:pPr>
            <w:r w:rsidRPr="00C63246">
              <w:rPr>
                <w:rFonts w:cs="Arial"/>
                <w:b/>
                <w:color w:val="FFFFFF" w:themeColor="background1"/>
              </w:rPr>
              <w:t xml:space="preserve">Frequency range </w:t>
            </w:r>
          </w:p>
          <w:p w14:paraId="5B5B3510" w14:textId="77777777" w:rsidR="00E8439C" w:rsidRPr="00C63246" w:rsidRDefault="00E8439C">
            <w:pPr>
              <w:spacing w:after="0"/>
              <w:contextualSpacing/>
              <w:jc w:val="center"/>
              <w:rPr>
                <w:rFonts w:cs="Arial"/>
                <w:b/>
                <w:color w:val="FFFFFF" w:themeColor="background1"/>
              </w:rPr>
            </w:pPr>
            <w:r w:rsidRPr="00C63246">
              <w:rPr>
                <w:rFonts w:cs="Arial"/>
                <w:b/>
                <w:color w:val="FFFFFF" w:themeColor="background1"/>
              </w:rPr>
              <w:t>(f)</w:t>
            </w:r>
          </w:p>
        </w:tc>
        <w:tc>
          <w:tcPr>
            <w:tcW w:w="2270" w:type="dxa"/>
            <w:shd w:val="clear" w:color="auto" w:fill="404040" w:themeFill="text1" w:themeFillTint="BF"/>
          </w:tcPr>
          <w:p w14:paraId="550F8273" w14:textId="16684BD3" w:rsidR="00E8439C" w:rsidRPr="00C63246" w:rsidRDefault="00E8439C">
            <w:pPr>
              <w:spacing w:after="0"/>
              <w:contextualSpacing/>
              <w:jc w:val="center"/>
              <w:rPr>
                <w:rFonts w:cs="Arial"/>
                <w:b/>
                <w:color w:val="FFFFFF" w:themeColor="background1"/>
              </w:rPr>
            </w:pPr>
            <w:r w:rsidRPr="00C63246">
              <w:rPr>
                <w:rFonts w:cs="Arial"/>
                <w:b/>
                <w:color w:val="FFFFFF" w:themeColor="background1"/>
              </w:rPr>
              <w:t xml:space="preserve">Total radiated power per </w:t>
            </w:r>
            <w:r w:rsidR="0020781A">
              <w:rPr>
                <w:rFonts w:cs="Arial"/>
                <w:b/>
                <w:color w:val="FFFFFF" w:themeColor="background1"/>
              </w:rPr>
              <w:t>cell/</w:t>
            </w:r>
            <w:r w:rsidRPr="00C63246">
              <w:rPr>
                <w:rFonts w:cs="Arial"/>
                <w:b/>
                <w:color w:val="FFFFFF" w:themeColor="background1"/>
              </w:rPr>
              <w:t xml:space="preserve">sector (dBm) </w:t>
            </w:r>
          </w:p>
        </w:tc>
        <w:tc>
          <w:tcPr>
            <w:tcW w:w="1600" w:type="dxa"/>
            <w:shd w:val="clear" w:color="auto" w:fill="404040" w:themeFill="text1" w:themeFillTint="BF"/>
          </w:tcPr>
          <w:p w14:paraId="4F0C553C" w14:textId="77777777" w:rsidR="00E8439C" w:rsidRPr="00C63246" w:rsidRDefault="00E8439C">
            <w:pPr>
              <w:spacing w:after="0"/>
              <w:contextualSpacing/>
              <w:jc w:val="center"/>
              <w:rPr>
                <w:rFonts w:cs="Arial"/>
                <w:b/>
                <w:color w:val="FFFFFF" w:themeColor="background1"/>
              </w:rPr>
            </w:pPr>
            <w:r w:rsidRPr="00C63246">
              <w:rPr>
                <w:rFonts w:cs="Arial"/>
                <w:b/>
                <w:color w:val="FFFFFF" w:themeColor="background1"/>
              </w:rPr>
              <w:t>Measurement bandwidth</w:t>
            </w:r>
          </w:p>
        </w:tc>
      </w:tr>
      <w:tr w:rsidR="00E8439C" w:rsidRPr="00C63246" w14:paraId="07934C6A" w14:textId="77777777">
        <w:trPr>
          <w:jc w:val="center"/>
        </w:trPr>
        <w:tc>
          <w:tcPr>
            <w:tcW w:w="3418" w:type="dxa"/>
          </w:tcPr>
          <w:p w14:paraId="48C9BBBA" w14:textId="77777777" w:rsidR="00E8439C" w:rsidRPr="00C63246" w:rsidRDefault="00E8439C">
            <w:pPr>
              <w:spacing w:after="0"/>
              <w:contextualSpacing/>
              <w:jc w:val="center"/>
              <w:rPr>
                <w:rFonts w:cs="Arial"/>
                <w:sz w:val="18"/>
                <w:szCs w:val="18"/>
              </w:rPr>
            </w:pPr>
            <w:r w:rsidRPr="00C63246">
              <w:rPr>
                <w:rFonts w:cs="Arial"/>
                <w:sz w:val="18"/>
                <w:szCs w:val="18"/>
              </w:rPr>
              <w:t>9 kHz ≤ f &lt; 150 kHz</w:t>
            </w:r>
          </w:p>
        </w:tc>
        <w:tc>
          <w:tcPr>
            <w:tcW w:w="2270" w:type="dxa"/>
          </w:tcPr>
          <w:p w14:paraId="7E33B8E4" w14:textId="77777777" w:rsidR="00E8439C" w:rsidRPr="00C63246" w:rsidRDefault="00E8439C">
            <w:pPr>
              <w:spacing w:after="0"/>
              <w:contextualSpacing/>
              <w:jc w:val="center"/>
              <w:rPr>
                <w:rFonts w:cs="Arial"/>
                <w:sz w:val="18"/>
                <w:szCs w:val="18"/>
              </w:rPr>
            </w:pPr>
            <w:r w:rsidRPr="00C63246">
              <w:rPr>
                <w:rFonts w:cs="Arial"/>
                <w:sz w:val="18"/>
                <w:szCs w:val="18"/>
              </w:rPr>
              <w:t>-27</w:t>
            </w:r>
          </w:p>
        </w:tc>
        <w:tc>
          <w:tcPr>
            <w:tcW w:w="1600" w:type="dxa"/>
          </w:tcPr>
          <w:p w14:paraId="2148F95E" w14:textId="77777777" w:rsidR="00E8439C" w:rsidRPr="00C63246" w:rsidRDefault="00E8439C">
            <w:pPr>
              <w:spacing w:after="0"/>
              <w:contextualSpacing/>
              <w:jc w:val="center"/>
              <w:rPr>
                <w:rFonts w:cs="Arial"/>
                <w:sz w:val="18"/>
                <w:szCs w:val="18"/>
              </w:rPr>
            </w:pPr>
            <w:r w:rsidRPr="00C63246">
              <w:rPr>
                <w:rFonts w:cs="Arial"/>
                <w:sz w:val="18"/>
                <w:szCs w:val="18"/>
              </w:rPr>
              <w:t>1 kHz</w:t>
            </w:r>
          </w:p>
        </w:tc>
      </w:tr>
      <w:tr w:rsidR="00E8439C" w:rsidRPr="00C63246" w14:paraId="75579B37" w14:textId="77777777">
        <w:trPr>
          <w:jc w:val="center"/>
        </w:trPr>
        <w:tc>
          <w:tcPr>
            <w:tcW w:w="3418" w:type="dxa"/>
            <w:shd w:val="clear" w:color="auto" w:fill="F2F2F2" w:themeFill="background1" w:themeFillShade="F2"/>
          </w:tcPr>
          <w:p w14:paraId="38E73A00" w14:textId="77777777" w:rsidR="00E8439C" w:rsidRPr="00C63246" w:rsidRDefault="00E8439C">
            <w:pPr>
              <w:spacing w:after="0"/>
              <w:contextualSpacing/>
              <w:jc w:val="center"/>
              <w:rPr>
                <w:rFonts w:cs="Arial"/>
                <w:sz w:val="18"/>
                <w:szCs w:val="18"/>
              </w:rPr>
            </w:pPr>
            <w:r w:rsidRPr="00C63246">
              <w:rPr>
                <w:rFonts w:cs="Arial"/>
                <w:sz w:val="18"/>
                <w:szCs w:val="18"/>
              </w:rPr>
              <w:t>150 kHz ≤ f &lt; 30 MHz</w:t>
            </w:r>
          </w:p>
        </w:tc>
        <w:tc>
          <w:tcPr>
            <w:tcW w:w="2270" w:type="dxa"/>
            <w:shd w:val="clear" w:color="auto" w:fill="F2F2F2" w:themeFill="background1" w:themeFillShade="F2"/>
          </w:tcPr>
          <w:p w14:paraId="19A8F462" w14:textId="77777777" w:rsidR="00E8439C" w:rsidRPr="00C63246" w:rsidRDefault="00E8439C">
            <w:pPr>
              <w:spacing w:after="0"/>
              <w:contextualSpacing/>
              <w:jc w:val="center"/>
              <w:rPr>
                <w:rFonts w:cs="Arial"/>
                <w:sz w:val="18"/>
                <w:szCs w:val="18"/>
              </w:rPr>
            </w:pPr>
            <w:r w:rsidRPr="00C63246">
              <w:rPr>
                <w:rFonts w:cs="Arial"/>
                <w:sz w:val="18"/>
                <w:szCs w:val="18"/>
              </w:rPr>
              <w:t>-27</w:t>
            </w:r>
          </w:p>
        </w:tc>
        <w:tc>
          <w:tcPr>
            <w:tcW w:w="1600" w:type="dxa"/>
            <w:shd w:val="clear" w:color="auto" w:fill="F2F2F2" w:themeFill="background1" w:themeFillShade="F2"/>
          </w:tcPr>
          <w:p w14:paraId="01B41A0A" w14:textId="77777777" w:rsidR="00E8439C" w:rsidRPr="00C63246" w:rsidRDefault="00E8439C">
            <w:pPr>
              <w:spacing w:after="0"/>
              <w:contextualSpacing/>
              <w:jc w:val="center"/>
              <w:rPr>
                <w:rFonts w:cs="Arial"/>
                <w:sz w:val="18"/>
                <w:szCs w:val="18"/>
              </w:rPr>
            </w:pPr>
            <w:r w:rsidRPr="00C63246">
              <w:rPr>
                <w:rFonts w:cs="Arial"/>
                <w:sz w:val="18"/>
                <w:szCs w:val="18"/>
              </w:rPr>
              <w:t>10 kHz</w:t>
            </w:r>
          </w:p>
        </w:tc>
      </w:tr>
      <w:tr w:rsidR="00E8439C" w:rsidRPr="00C63246" w14:paraId="4398B82D" w14:textId="77777777">
        <w:trPr>
          <w:jc w:val="center"/>
        </w:trPr>
        <w:tc>
          <w:tcPr>
            <w:tcW w:w="3418" w:type="dxa"/>
          </w:tcPr>
          <w:p w14:paraId="3CEA85EB" w14:textId="77777777" w:rsidR="00E8439C" w:rsidRPr="00C63246" w:rsidRDefault="00E8439C">
            <w:pPr>
              <w:spacing w:after="0"/>
              <w:contextualSpacing/>
              <w:jc w:val="center"/>
              <w:rPr>
                <w:rFonts w:cs="Arial"/>
                <w:sz w:val="18"/>
                <w:szCs w:val="18"/>
              </w:rPr>
            </w:pPr>
            <w:r w:rsidRPr="00C63246">
              <w:rPr>
                <w:rFonts w:cs="Arial"/>
                <w:sz w:val="18"/>
                <w:szCs w:val="18"/>
              </w:rPr>
              <w:t>30 MHz ≤ f &lt; 1 GHz</w:t>
            </w:r>
          </w:p>
        </w:tc>
        <w:tc>
          <w:tcPr>
            <w:tcW w:w="2270" w:type="dxa"/>
          </w:tcPr>
          <w:p w14:paraId="0C20595F" w14:textId="77777777" w:rsidR="00E8439C" w:rsidRPr="00C63246" w:rsidRDefault="00E8439C">
            <w:pPr>
              <w:spacing w:after="0"/>
              <w:contextualSpacing/>
              <w:jc w:val="center"/>
              <w:rPr>
                <w:rFonts w:cs="Arial"/>
                <w:sz w:val="18"/>
                <w:szCs w:val="18"/>
              </w:rPr>
            </w:pPr>
            <w:r w:rsidRPr="00C63246">
              <w:rPr>
                <w:rFonts w:cs="Arial"/>
                <w:sz w:val="18"/>
                <w:szCs w:val="18"/>
              </w:rPr>
              <w:t>-27</w:t>
            </w:r>
          </w:p>
        </w:tc>
        <w:tc>
          <w:tcPr>
            <w:tcW w:w="1600" w:type="dxa"/>
          </w:tcPr>
          <w:p w14:paraId="5011528C" w14:textId="77777777" w:rsidR="00E8439C" w:rsidRPr="00C63246" w:rsidRDefault="00E8439C">
            <w:pPr>
              <w:spacing w:after="0"/>
              <w:contextualSpacing/>
              <w:jc w:val="center"/>
              <w:rPr>
                <w:rFonts w:cs="Arial"/>
                <w:sz w:val="18"/>
                <w:szCs w:val="18"/>
              </w:rPr>
            </w:pPr>
            <w:r w:rsidRPr="00C63246">
              <w:rPr>
                <w:rFonts w:cs="Arial"/>
                <w:sz w:val="18"/>
                <w:szCs w:val="18"/>
              </w:rPr>
              <w:t>100 kHz</w:t>
            </w:r>
          </w:p>
        </w:tc>
      </w:tr>
      <w:tr w:rsidR="00E8439C" w:rsidRPr="001B511F" w14:paraId="7D45ED4A" w14:textId="77777777">
        <w:trPr>
          <w:jc w:val="center"/>
        </w:trPr>
        <w:tc>
          <w:tcPr>
            <w:tcW w:w="3418" w:type="dxa"/>
            <w:shd w:val="clear" w:color="auto" w:fill="F2F2F2" w:themeFill="background1" w:themeFillShade="F2"/>
          </w:tcPr>
          <w:p w14:paraId="54DE5EBA" w14:textId="77777777" w:rsidR="00E8439C" w:rsidRPr="00C63246" w:rsidRDefault="00E8439C">
            <w:pPr>
              <w:spacing w:after="0"/>
              <w:contextualSpacing/>
              <w:jc w:val="center"/>
              <w:rPr>
                <w:rFonts w:cs="Arial"/>
                <w:sz w:val="18"/>
                <w:szCs w:val="18"/>
              </w:rPr>
            </w:pPr>
            <w:r w:rsidRPr="00C63246">
              <w:rPr>
                <w:rFonts w:cs="Arial"/>
                <w:sz w:val="18"/>
                <w:szCs w:val="18"/>
              </w:rPr>
              <w:t>1 GHz ≤ f &lt; 12.75 GHz</w:t>
            </w:r>
          </w:p>
        </w:tc>
        <w:tc>
          <w:tcPr>
            <w:tcW w:w="2270" w:type="dxa"/>
            <w:shd w:val="clear" w:color="auto" w:fill="F2F2F2" w:themeFill="background1" w:themeFillShade="F2"/>
          </w:tcPr>
          <w:p w14:paraId="71E4F13D" w14:textId="77777777" w:rsidR="00E8439C" w:rsidRPr="00C63246" w:rsidRDefault="00E8439C">
            <w:pPr>
              <w:spacing w:after="0"/>
              <w:contextualSpacing/>
              <w:jc w:val="center"/>
              <w:rPr>
                <w:rFonts w:cs="Arial"/>
                <w:sz w:val="18"/>
                <w:szCs w:val="18"/>
              </w:rPr>
            </w:pPr>
            <w:r w:rsidRPr="00C63246">
              <w:rPr>
                <w:rFonts w:cs="Arial"/>
                <w:sz w:val="18"/>
                <w:szCs w:val="18"/>
              </w:rPr>
              <w:t>-21</w:t>
            </w:r>
          </w:p>
        </w:tc>
        <w:tc>
          <w:tcPr>
            <w:tcW w:w="1600" w:type="dxa"/>
            <w:shd w:val="clear" w:color="auto" w:fill="F2F2F2" w:themeFill="background1" w:themeFillShade="F2"/>
          </w:tcPr>
          <w:p w14:paraId="7707B209" w14:textId="77777777" w:rsidR="00E8439C" w:rsidRPr="001B511F" w:rsidRDefault="00E8439C">
            <w:pPr>
              <w:spacing w:after="0"/>
              <w:contextualSpacing/>
              <w:jc w:val="center"/>
              <w:rPr>
                <w:rFonts w:cs="Arial"/>
                <w:sz w:val="18"/>
                <w:szCs w:val="18"/>
              </w:rPr>
            </w:pPr>
            <w:r w:rsidRPr="00C63246">
              <w:rPr>
                <w:rFonts w:cs="Arial"/>
                <w:sz w:val="18"/>
                <w:szCs w:val="18"/>
              </w:rPr>
              <w:t>1 MHz</w:t>
            </w:r>
          </w:p>
        </w:tc>
      </w:tr>
    </w:tbl>
    <w:p w14:paraId="289D056C" w14:textId="77777777" w:rsidR="0016207D" w:rsidRDefault="0016207D" w:rsidP="009F608C">
      <w:bookmarkStart w:id="35" w:name="_Toc84339343"/>
      <w:bookmarkEnd w:id="34"/>
    </w:p>
    <w:p w14:paraId="4B93431D" w14:textId="77777777" w:rsidR="0016207D" w:rsidRDefault="0016207D">
      <w:pPr>
        <w:spacing w:after="0" w:line="240" w:lineRule="auto"/>
        <w:rPr>
          <w:rFonts w:cs="Arial"/>
          <w:b/>
          <w:bCs/>
          <w:sz w:val="22"/>
          <w:szCs w:val="26"/>
        </w:rPr>
      </w:pPr>
      <w:r>
        <w:br w:type="page"/>
      </w:r>
    </w:p>
    <w:p w14:paraId="118DB178" w14:textId="2AE5C3BF" w:rsidR="002F7657" w:rsidRDefault="002F7657" w:rsidP="002F7657">
      <w:pPr>
        <w:pStyle w:val="Heading3"/>
        <w:spacing w:before="360"/>
      </w:pPr>
      <w:r w:rsidRPr="007D04B2">
        <w:lastRenderedPageBreak/>
        <w:t>Devices exempt from registration</w:t>
      </w:r>
      <w:bookmarkEnd w:id="35"/>
    </w:p>
    <w:p w14:paraId="0894781B" w14:textId="116AC589" w:rsidR="00AC2BA3" w:rsidRDefault="00175B38" w:rsidP="008E3E27">
      <w:r>
        <w:t xml:space="preserve">The current limit for </w:t>
      </w:r>
      <w:r w:rsidR="00952855">
        <w:t>d</w:t>
      </w:r>
      <w:r w:rsidR="0059723B">
        <w:t>evices</w:t>
      </w:r>
      <w:r w:rsidR="00952855">
        <w:t xml:space="preserve"> that are</w:t>
      </w:r>
      <w:r w:rsidR="0059723B">
        <w:t xml:space="preserve"> exempt from registration </w:t>
      </w:r>
      <w:r w:rsidR="00C830E6">
        <w:t>is “</w:t>
      </w:r>
      <w:r w:rsidR="00C830E6" w:rsidRPr="00C830E6">
        <w:t>a radiated maximum true mean power of less than or equal to 35 dBm EIRP per 5MHz</w:t>
      </w:r>
      <w:r w:rsidR="0060461B">
        <w:t>”</w:t>
      </w:r>
      <w:r w:rsidR="002F7657">
        <w:t xml:space="preserve">. </w:t>
      </w:r>
      <w:r w:rsidR="00785B8D">
        <w:t>For other recent</w:t>
      </w:r>
      <w:r w:rsidR="0060461B">
        <w:t xml:space="preserve"> spectrum licence framework reviews</w:t>
      </w:r>
      <w:r w:rsidR="008E3E27">
        <w:t>, the TLG</w:t>
      </w:r>
      <w:r w:rsidR="00785B8D">
        <w:t xml:space="preserve"> has</w:t>
      </w:r>
      <w:r w:rsidR="008E3E27">
        <w:t xml:space="preserve"> agreed to maintain the limit but change the </w:t>
      </w:r>
      <w:r w:rsidR="009A24FE">
        <w:t xml:space="preserve">measurement from an EIRP to a TRP. However, in </w:t>
      </w:r>
      <w:r w:rsidR="00CF2B3B">
        <w:t>th</w:t>
      </w:r>
      <w:r w:rsidR="00B61E9F">
        <w:t>o</w:t>
      </w:r>
      <w:r w:rsidR="00CF2B3B">
        <w:t xml:space="preserve">se instances the power level was 25 dBm per bandwidth. </w:t>
      </w:r>
      <w:r w:rsidR="00924FBF">
        <w:t xml:space="preserve">In the 2.5 GHz band, with the </w:t>
      </w:r>
      <w:r w:rsidR="007C53B8">
        <w:t xml:space="preserve">current </w:t>
      </w:r>
      <w:r w:rsidR="00924FBF">
        <w:t xml:space="preserve">power being 35 dBm EIRP per 5MHz, changing </w:t>
      </w:r>
      <w:r w:rsidR="00A0548F">
        <w:t xml:space="preserve">this to 35 dBm TRP per 5 MHz could </w:t>
      </w:r>
      <w:r w:rsidR="00B01844">
        <w:t xml:space="preserve">permit </w:t>
      </w:r>
      <w:r w:rsidR="00287FA0">
        <w:t>high power</w:t>
      </w:r>
      <w:r w:rsidR="00C03818">
        <w:t>ed transmitters to be operated</w:t>
      </w:r>
      <w:r w:rsidR="00287FA0">
        <w:t xml:space="preserve"> unregistered</w:t>
      </w:r>
      <w:r w:rsidR="00A93DB1">
        <w:t>. For this reason, the ACMA proposed a limit of 25 dBm TRP per occupied bandwidth</w:t>
      </w:r>
    </w:p>
    <w:p w14:paraId="241145FA" w14:textId="2BEBCBB7" w:rsidR="00F03ED1" w:rsidRDefault="008357F4" w:rsidP="008E3E27">
      <w:r>
        <w:t xml:space="preserve">The TLG members rejected the ACMA’s proposal as it </w:t>
      </w:r>
      <w:r w:rsidR="00266D91">
        <w:t xml:space="preserve">may unduly affect </w:t>
      </w:r>
      <w:proofErr w:type="gramStart"/>
      <w:r w:rsidR="00266D91">
        <w:t>a number of</w:t>
      </w:r>
      <w:proofErr w:type="gramEnd"/>
      <w:r w:rsidR="00266D91">
        <w:t xml:space="preserve"> services that would be above this limit.</w:t>
      </w:r>
      <w:r w:rsidR="00EB4FEF">
        <w:t xml:space="preserve"> However, the TLG members also noted the potential for interference with a 35 dBm TRP per bandwidth</w:t>
      </w:r>
      <w:r w:rsidR="00FE60B5">
        <w:t xml:space="preserve">. As a result, the TLG members proposed to maintain the existing criteria. The ACMA </w:t>
      </w:r>
      <w:r w:rsidR="00034309">
        <w:t xml:space="preserve">accepted the TLG’s proposal. </w:t>
      </w:r>
    </w:p>
    <w:p w14:paraId="76A788E9" w14:textId="38F3F6D1" w:rsidR="00034309" w:rsidRDefault="00034309" w:rsidP="008E3E27">
      <w:pPr>
        <w:rPr>
          <w:b/>
        </w:rPr>
      </w:pPr>
      <w:r>
        <w:t xml:space="preserve">The </w:t>
      </w:r>
      <w:r w:rsidR="00DF2614">
        <w:t>devices exempt from registration criteria will not be amended.</w:t>
      </w:r>
    </w:p>
    <w:p w14:paraId="4BD71288" w14:textId="77777777" w:rsidR="00AC2BA3" w:rsidRDefault="00AC2BA3" w:rsidP="002F7657">
      <w:pPr>
        <w:spacing w:after="0"/>
        <w:rPr>
          <w:b/>
        </w:rPr>
      </w:pPr>
    </w:p>
    <w:p w14:paraId="5E87677B" w14:textId="77777777" w:rsidR="002F7657" w:rsidRPr="007D04B2" w:rsidRDefault="002F7657" w:rsidP="002F7657">
      <w:pPr>
        <w:pStyle w:val="Heading3"/>
        <w:spacing w:before="0"/>
      </w:pPr>
      <w:bookmarkStart w:id="36" w:name="_Toc506899799"/>
      <w:bookmarkStart w:id="37" w:name="_Toc56006336"/>
      <w:bookmarkStart w:id="38" w:name="_Toc84339344"/>
      <w:r w:rsidRPr="007D04B2">
        <w:t>Other conditions on the licence</w:t>
      </w:r>
      <w:bookmarkEnd w:id="36"/>
      <w:bookmarkEnd w:id="37"/>
      <w:bookmarkEnd w:id="38"/>
    </w:p>
    <w:p w14:paraId="0B99D086" w14:textId="339228B4" w:rsidR="002F7657" w:rsidRPr="007D04B2" w:rsidRDefault="002F7657" w:rsidP="002F7657">
      <w:r w:rsidRPr="007D04B2">
        <w:t xml:space="preserve">It is proposed to maintain </w:t>
      </w:r>
      <w:proofErr w:type="gramStart"/>
      <w:r w:rsidRPr="007D04B2">
        <w:t>all of</w:t>
      </w:r>
      <w:proofErr w:type="gramEnd"/>
      <w:r w:rsidRPr="007D04B2">
        <w:t xml:space="preserve"> the ‘other conditions’ (</w:t>
      </w:r>
      <w:r>
        <w:t>that is,</w:t>
      </w:r>
      <w:r w:rsidRPr="007D04B2">
        <w:t xml:space="preserve"> those other than core and statutory conditions) that are currently contained in </w:t>
      </w:r>
      <w:r>
        <w:t>2</w:t>
      </w:r>
      <w:r w:rsidR="000F2781">
        <w:t>.5</w:t>
      </w:r>
      <w:r>
        <w:t xml:space="preserve"> GHz</w:t>
      </w:r>
      <w:r w:rsidRPr="007D04B2">
        <w:t xml:space="preserve"> band spectrum licences</w:t>
      </w:r>
      <w:r>
        <w:t>. Please r</w:t>
      </w:r>
      <w:r w:rsidRPr="007D04B2">
        <w:t xml:space="preserve">efer to the PDF image of current </w:t>
      </w:r>
      <w:r>
        <w:t>2</w:t>
      </w:r>
      <w:r w:rsidR="000F2781">
        <w:t>.5</w:t>
      </w:r>
      <w:r>
        <w:t xml:space="preserve"> GHz</w:t>
      </w:r>
      <w:r w:rsidRPr="007D04B2">
        <w:t xml:space="preserve"> band spectrum licences </w:t>
      </w:r>
      <w:hyperlink r:id="rId39" w:history="1">
        <w:r w:rsidRPr="00FB3542">
          <w:rPr>
            <w:rStyle w:val="Hyperlink"/>
          </w:rPr>
          <w:t>available on the RRL</w:t>
        </w:r>
      </w:hyperlink>
      <w:r w:rsidRPr="007D04B2">
        <w:t xml:space="preserve"> for more details. </w:t>
      </w:r>
    </w:p>
    <w:p w14:paraId="09DCF98D" w14:textId="77777777" w:rsidR="0016207D" w:rsidRDefault="0016207D">
      <w:pPr>
        <w:spacing w:after="0" w:line="240" w:lineRule="auto"/>
        <w:rPr>
          <w:rFonts w:cs="Arial"/>
          <w:b/>
          <w:bCs/>
          <w:iCs/>
          <w:sz w:val="28"/>
          <w:szCs w:val="28"/>
        </w:rPr>
      </w:pPr>
      <w:bookmarkStart w:id="39" w:name="_Ref312338161"/>
      <w:bookmarkStart w:id="40" w:name="_Ref312338219"/>
      <w:bookmarkStart w:id="41" w:name="_Ref314129073"/>
      <w:bookmarkStart w:id="42" w:name="_Toc328403872"/>
      <w:bookmarkStart w:id="43" w:name="_Toc403740554"/>
      <w:bookmarkStart w:id="44" w:name="_Toc404333449"/>
      <w:bookmarkStart w:id="45" w:name="_Toc444690627"/>
      <w:bookmarkStart w:id="46" w:name="_Toc56006340"/>
      <w:bookmarkStart w:id="47" w:name="_Toc84339346"/>
      <w:r>
        <w:br w:type="page"/>
      </w:r>
    </w:p>
    <w:p w14:paraId="768F3D52" w14:textId="6B82895F" w:rsidR="002F7657" w:rsidRPr="007D04B2" w:rsidRDefault="002F7657" w:rsidP="002F7657">
      <w:pPr>
        <w:pStyle w:val="Heading2"/>
      </w:pPr>
      <w:bookmarkStart w:id="48" w:name="_Toc230690564"/>
      <w:r w:rsidRPr="007D04B2">
        <w:lastRenderedPageBreak/>
        <w:t>Radiocommunications advisory guidelines</w:t>
      </w:r>
      <w:bookmarkEnd w:id="39"/>
      <w:bookmarkEnd w:id="40"/>
      <w:bookmarkEnd w:id="41"/>
      <w:bookmarkEnd w:id="42"/>
      <w:bookmarkEnd w:id="43"/>
      <w:bookmarkEnd w:id="44"/>
      <w:bookmarkEnd w:id="45"/>
      <w:bookmarkEnd w:id="46"/>
      <w:bookmarkEnd w:id="47"/>
      <w:bookmarkEnd w:id="48"/>
    </w:p>
    <w:p w14:paraId="70307A42" w14:textId="77777777" w:rsidR="002F7657" w:rsidRPr="007D04B2" w:rsidRDefault="002F7657" w:rsidP="002F7657">
      <w:pPr>
        <w:rPr>
          <w:rFonts w:cs="Arial"/>
        </w:rPr>
      </w:pPr>
      <w:r w:rsidRPr="007D04B2">
        <w:rPr>
          <w:rFonts w:cs="Arial"/>
        </w:rPr>
        <w:t>Further guidance on interference management with other licensed services is provided in Radiocommunications Advisory Guidelines (RAGs) made under section 262 of the Act. RAGs can refer to any aspect of radiocommunications or radio emissions.</w:t>
      </w:r>
    </w:p>
    <w:p w14:paraId="0ECF1F67" w14:textId="77777777" w:rsidR="002F7657" w:rsidRPr="007D04B2" w:rsidRDefault="002F7657" w:rsidP="00EB5A81">
      <w:r w:rsidRPr="007D04B2">
        <w:t>Generally, RAGs include provisions to help assess the possible interference between spectrum-licensed devices and services operating under spectrum, apparatus or class licences. Potentially affected services are identified in the RAGs to enable licensees to assess and mitigate the risk of interference between these services.</w:t>
      </w:r>
    </w:p>
    <w:p w14:paraId="3AF47BC6" w14:textId="77777777" w:rsidR="002F7657" w:rsidRPr="007D04B2" w:rsidRDefault="002F7657" w:rsidP="002F7657">
      <w:pPr>
        <w:rPr>
          <w:rFonts w:cs="Arial"/>
        </w:rPr>
      </w:pPr>
      <w:r w:rsidRPr="007D04B2">
        <w:rPr>
          <w:rFonts w:cs="Arial"/>
        </w:rPr>
        <w:t xml:space="preserve">It is important to note that where a case of interference arises between a spectrum-licensed device and another licensed device, the ACMA will refer to the provisions of the RAGs in resolving the matter. In general, affected licensees also </w:t>
      </w:r>
      <w:proofErr w:type="gramStart"/>
      <w:r w:rsidRPr="007D04B2">
        <w:rPr>
          <w:rFonts w:cs="Arial"/>
        </w:rPr>
        <w:t>have the ability to</w:t>
      </w:r>
      <w:proofErr w:type="gramEnd"/>
      <w:r w:rsidRPr="007D04B2">
        <w:rPr>
          <w:rFonts w:cs="Arial"/>
        </w:rPr>
        <w:t xml:space="preserve"> negotiate their own arrangements </w:t>
      </w:r>
      <w:proofErr w:type="gramStart"/>
      <w:r w:rsidRPr="007D04B2">
        <w:rPr>
          <w:rFonts w:cs="Arial"/>
        </w:rPr>
        <w:t>in order to</w:t>
      </w:r>
      <w:proofErr w:type="gramEnd"/>
      <w:r w:rsidRPr="007D04B2">
        <w:rPr>
          <w:rFonts w:cs="Arial"/>
        </w:rPr>
        <w:t xml:space="preserve"> manage interference. Such arrangements will also be </w:t>
      </w:r>
      <w:proofErr w:type="gramStart"/>
      <w:r w:rsidRPr="007D04B2">
        <w:rPr>
          <w:rFonts w:cs="Arial"/>
        </w:rPr>
        <w:t>taken into account</w:t>
      </w:r>
      <w:proofErr w:type="gramEnd"/>
      <w:r w:rsidRPr="007D04B2">
        <w:rPr>
          <w:rFonts w:cs="Arial"/>
        </w:rPr>
        <w:t xml:space="preserve"> when resolving any interference disputes.  </w:t>
      </w:r>
    </w:p>
    <w:p w14:paraId="503D2E19" w14:textId="01135BC4" w:rsidR="002F7657" w:rsidRDefault="002F7657" w:rsidP="002F7657">
      <w:pPr>
        <w:keepNext/>
        <w:spacing w:after="80"/>
        <w:rPr>
          <w:rFonts w:cs="Arial"/>
        </w:rPr>
      </w:pPr>
      <w:r w:rsidRPr="007D04B2">
        <w:rPr>
          <w:rFonts w:cs="Arial"/>
        </w:rPr>
        <w:t xml:space="preserve">Currently, there are </w:t>
      </w:r>
      <w:r w:rsidR="00286EB0">
        <w:rPr>
          <w:rFonts w:cs="Arial"/>
        </w:rPr>
        <w:t>2</w:t>
      </w:r>
      <w:r w:rsidR="00286EB0" w:rsidRPr="007D04B2">
        <w:rPr>
          <w:rFonts w:cs="Arial"/>
        </w:rPr>
        <w:t xml:space="preserve"> </w:t>
      </w:r>
      <w:r w:rsidRPr="007D04B2">
        <w:rPr>
          <w:rFonts w:cs="Arial"/>
        </w:rPr>
        <w:t xml:space="preserve">section 262 guidelines relevant to the deployment of services under </w:t>
      </w:r>
      <w:r>
        <w:rPr>
          <w:rFonts w:cs="Arial"/>
        </w:rPr>
        <w:t>2</w:t>
      </w:r>
      <w:r w:rsidR="006C0B6E">
        <w:rPr>
          <w:rFonts w:cs="Arial"/>
        </w:rPr>
        <w:t>.5</w:t>
      </w:r>
      <w:r>
        <w:rPr>
          <w:rFonts w:cs="Arial"/>
        </w:rPr>
        <w:t xml:space="preserve"> GHz</w:t>
      </w:r>
      <w:r w:rsidRPr="007D04B2">
        <w:rPr>
          <w:rFonts w:cs="Arial"/>
        </w:rPr>
        <w:t xml:space="preserve"> band spectrum licences:</w:t>
      </w:r>
    </w:p>
    <w:p w14:paraId="583EE60A" w14:textId="061E19DB" w:rsidR="006C0B6E" w:rsidRPr="00552CB6" w:rsidRDefault="006C0B6E" w:rsidP="009F608C">
      <w:pPr>
        <w:pStyle w:val="Bulletlevel1"/>
        <w:rPr>
          <w:szCs w:val="20"/>
        </w:rPr>
      </w:pPr>
      <w:hyperlink r:id="rId40" w:history="1">
        <w:r w:rsidRPr="009F608C">
          <w:rPr>
            <w:rStyle w:val="Hyperlink"/>
            <w:bCs/>
            <w:sz w:val="20"/>
            <w:szCs w:val="20"/>
          </w:rPr>
          <w:t xml:space="preserve">Radiocommunications Advisory Guidelines (Managing Interference from Spectrum Licensed Transmitters — </w:t>
        </w:r>
        <w:r w:rsidRPr="009F608C">
          <w:rPr>
            <w:rStyle w:val="Hyperlink"/>
            <w:sz w:val="20"/>
            <w:szCs w:val="20"/>
          </w:rPr>
          <w:t>2.5 GHz</w:t>
        </w:r>
        <w:r w:rsidRPr="009F608C">
          <w:rPr>
            <w:rStyle w:val="Hyperlink"/>
            <w:bCs/>
            <w:sz w:val="20"/>
            <w:szCs w:val="20"/>
          </w:rPr>
          <w:t xml:space="preserve"> Band) 2023</w:t>
        </w:r>
      </w:hyperlink>
      <w:r w:rsidRPr="009F608C">
        <w:rPr>
          <w:sz w:val="20"/>
          <w:szCs w:val="20"/>
        </w:rPr>
        <w:t xml:space="preserve"> </w:t>
      </w:r>
      <w:r w:rsidR="00DB12A3" w:rsidRPr="009F608C">
        <w:rPr>
          <w:sz w:val="20"/>
          <w:szCs w:val="20"/>
        </w:rPr>
        <w:t xml:space="preserve">(RAG </w:t>
      </w:r>
      <w:r w:rsidR="00B07DFD" w:rsidRPr="009F608C">
        <w:rPr>
          <w:sz w:val="20"/>
          <w:szCs w:val="20"/>
        </w:rPr>
        <w:t>Tx)</w:t>
      </w:r>
    </w:p>
    <w:p w14:paraId="000BEA40" w14:textId="08BD58FD" w:rsidR="006C0B6E" w:rsidRPr="00552CB6" w:rsidRDefault="006C0B6E" w:rsidP="009F608C">
      <w:pPr>
        <w:pStyle w:val="Bulletlevel1last"/>
        <w:rPr>
          <w:szCs w:val="20"/>
        </w:rPr>
      </w:pPr>
      <w:hyperlink r:id="rId41" w:history="1">
        <w:r w:rsidRPr="009F608C">
          <w:rPr>
            <w:rStyle w:val="Hyperlink"/>
            <w:bCs/>
            <w:sz w:val="20"/>
            <w:szCs w:val="20"/>
          </w:rPr>
          <w:t xml:space="preserve">Radiocommunications Advisory Guidelines (Managing Interference to Spectrum Licensed Receivers – </w:t>
        </w:r>
        <w:r w:rsidRPr="009F608C">
          <w:rPr>
            <w:rStyle w:val="Hyperlink"/>
            <w:sz w:val="20"/>
            <w:szCs w:val="20"/>
          </w:rPr>
          <w:t>2.5 GHz</w:t>
        </w:r>
        <w:r w:rsidRPr="009F608C">
          <w:rPr>
            <w:rStyle w:val="Hyperlink"/>
            <w:bCs/>
            <w:sz w:val="20"/>
            <w:szCs w:val="20"/>
          </w:rPr>
          <w:t xml:space="preserve"> Band) 2023</w:t>
        </w:r>
      </w:hyperlink>
      <w:r w:rsidRPr="009F608C">
        <w:rPr>
          <w:sz w:val="20"/>
          <w:szCs w:val="20"/>
        </w:rPr>
        <w:t xml:space="preserve"> </w:t>
      </w:r>
      <w:r w:rsidR="00B07DFD" w:rsidRPr="009F608C">
        <w:rPr>
          <w:sz w:val="20"/>
          <w:szCs w:val="20"/>
        </w:rPr>
        <w:t>(RAG Rx)</w:t>
      </w:r>
    </w:p>
    <w:p w14:paraId="7734E6C5" w14:textId="53C8B33A" w:rsidR="00575B3F" w:rsidRDefault="005E34C3" w:rsidP="00C9601C">
      <w:pPr>
        <w:autoSpaceDE w:val="0"/>
        <w:autoSpaceDN w:val="0"/>
        <w:adjustRightInd w:val="0"/>
        <w:spacing w:line="240" w:lineRule="auto"/>
      </w:pPr>
      <w:r>
        <w:t xml:space="preserve">The </w:t>
      </w:r>
      <w:r w:rsidR="00FF1D64">
        <w:t>Bureau</w:t>
      </w:r>
      <w:r w:rsidR="009B5C11">
        <w:t xml:space="preserve"> of </w:t>
      </w:r>
      <w:r w:rsidR="00FF1D64">
        <w:t>Meteorology</w:t>
      </w:r>
      <w:r w:rsidR="009B5C11">
        <w:t xml:space="preserve"> (BoM) raised a concern with the current provision in the RAG Tx for </w:t>
      </w:r>
      <w:r w:rsidR="00C35B94">
        <w:t xml:space="preserve">coordination with </w:t>
      </w:r>
      <w:r w:rsidR="009B5C11" w:rsidRPr="009B5C11">
        <w:t>radiolocation service</w:t>
      </w:r>
      <w:r w:rsidR="00FF1D64">
        <w:t>s</w:t>
      </w:r>
      <w:r w:rsidR="00154702">
        <w:t xml:space="preserve"> </w:t>
      </w:r>
      <w:r w:rsidR="003A7EE4">
        <w:t>(</w:t>
      </w:r>
      <w:r w:rsidR="00154702">
        <w:t xml:space="preserve">including </w:t>
      </w:r>
      <w:r w:rsidR="00D0264E">
        <w:t xml:space="preserve">weather radars </w:t>
      </w:r>
      <w:r w:rsidR="005D49D0">
        <w:t>operated by</w:t>
      </w:r>
      <w:r w:rsidR="00F332BB">
        <w:t xml:space="preserve"> BoM</w:t>
      </w:r>
      <w:r w:rsidR="005D49D0">
        <w:t>)</w:t>
      </w:r>
      <w:r w:rsidR="00A878EF">
        <w:t xml:space="preserve">. </w:t>
      </w:r>
      <w:r w:rsidR="00573034">
        <w:t xml:space="preserve">BoM indicated their belief that the </w:t>
      </w:r>
      <w:r w:rsidR="005D49D0">
        <w:t>protection</w:t>
      </w:r>
      <w:r w:rsidR="00573034">
        <w:t xml:space="preserve"> criteria</w:t>
      </w:r>
      <w:r w:rsidR="005D49D0">
        <w:t xml:space="preserve"> in Part 7 of RAG Tx</w:t>
      </w:r>
      <w:r w:rsidR="00573034">
        <w:t xml:space="preserve"> </w:t>
      </w:r>
      <w:r w:rsidR="00EE79A6">
        <w:t xml:space="preserve">was not concise enough and could lead to the </w:t>
      </w:r>
      <w:r w:rsidR="005032A5">
        <w:t xml:space="preserve">insufficient </w:t>
      </w:r>
      <w:r w:rsidR="00EE79A6">
        <w:t xml:space="preserve">protection for its services. </w:t>
      </w:r>
      <w:r w:rsidR="00EC6BBA">
        <w:t xml:space="preserve">BoM proposed </w:t>
      </w:r>
      <w:r w:rsidR="00AB0872">
        <w:t>that</w:t>
      </w:r>
      <w:r w:rsidR="00EC6BBA">
        <w:t xml:space="preserve"> a </w:t>
      </w:r>
      <w:r w:rsidR="000B24BC">
        <w:t xml:space="preserve">power flux density (PFD) </w:t>
      </w:r>
      <w:r w:rsidR="00C714FE">
        <w:t>interference limit</w:t>
      </w:r>
      <w:r w:rsidR="00EC6BBA">
        <w:t xml:space="preserve"> of</w:t>
      </w:r>
      <w:r w:rsidR="00B119F3">
        <w:t xml:space="preserve"> -</w:t>
      </w:r>
      <w:r w:rsidR="00C714FE" w:rsidRPr="00C714FE">
        <w:t>133</w:t>
      </w:r>
      <w:r w:rsidR="00B119F3">
        <w:t> </w:t>
      </w:r>
      <w:r w:rsidR="00C714FE" w:rsidRPr="00C714FE">
        <w:t>dBm/MHz/m²</w:t>
      </w:r>
      <w:r w:rsidR="006C3E20">
        <w:t xml:space="preserve"> be included in the RAG TX for RLS services, based on the typical parameters </w:t>
      </w:r>
      <w:r w:rsidR="00F1215B">
        <w:t xml:space="preserve">of </w:t>
      </w:r>
      <w:r w:rsidR="00595672">
        <w:t xml:space="preserve">radars operated by </w:t>
      </w:r>
      <w:r w:rsidR="00F1215B">
        <w:t xml:space="preserve">BoM </w:t>
      </w:r>
      <w:r w:rsidR="005562CD">
        <w:t xml:space="preserve">and </w:t>
      </w:r>
      <w:r w:rsidR="00033542">
        <w:t>consistent</w:t>
      </w:r>
      <w:r w:rsidR="005562CD">
        <w:t xml:space="preserve"> with the</w:t>
      </w:r>
      <w:r w:rsidR="00033542">
        <w:t xml:space="preserve"> ITU-R Recommendations already listed in the RAG Tx</w:t>
      </w:r>
      <w:r w:rsidR="00F1215B">
        <w:t>.</w:t>
      </w:r>
    </w:p>
    <w:p w14:paraId="6CCD087B" w14:textId="651873D0" w:rsidR="0077237C" w:rsidRDefault="0077237C" w:rsidP="00C9601C">
      <w:pPr>
        <w:autoSpaceDE w:val="0"/>
        <w:autoSpaceDN w:val="0"/>
        <w:adjustRightInd w:val="0"/>
        <w:spacing w:line="240" w:lineRule="auto"/>
      </w:pPr>
      <w:r>
        <w:t xml:space="preserve">The ACMA noted to the TLG that this </w:t>
      </w:r>
      <w:r w:rsidR="002516B7">
        <w:t xml:space="preserve">inclusion did not represent a </w:t>
      </w:r>
      <w:r w:rsidR="00677A25">
        <w:t>new criterion</w:t>
      </w:r>
      <w:r w:rsidR="002516B7">
        <w:t xml:space="preserve"> for spectrum licences</w:t>
      </w:r>
      <w:r w:rsidR="00677A25">
        <w:t xml:space="preserve">, </w:t>
      </w:r>
      <w:r w:rsidR="006679E7">
        <w:t>i</w:t>
      </w:r>
      <w:r w:rsidR="00677A25">
        <w:t xml:space="preserve">t just provided </w:t>
      </w:r>
      <w:r w:rsidR="006679E7">
        <w:t>clarification on the criterion they were already been required to meet.</w:t>
      </w:r>
      <w:r w:rsidR="00FA15A5">
        <w:t xml:space="preserve"> In principle the TLG agreed to the inclusion on the basis it did not </w:t>
      </w:r>
      <w:r w:rsidR="00BD60A4">
        <w:t>provide</w:t>
      </w:r>
      <w:r w:rsidR="00FA15A5">
        <w:t xml:space="preserve"> an additional </w:t>
      </w:r>
      <w:r w:rsidR="00BD60A4">
        <w:t>interference mitigation burden.</w:t>
      </w:r>
    </w:p>
    <w:p w14:paraId="3CF71CD5" w14:textId="79441093" w:rsidR="00BD60A4" w:rsidRDefault="00BD60A4" w:rsidP="00C9601C">
      <w:pPr>
        <w:autoSpaceDE w:val="0"/>
        <w:autoSpaceDN w:val="0"/>
        <w:adjustRightInd w:val="0"/>
        <w:spacing w:line="240" w:lineRule="auto"/>
      </w:pPr>
      <w:r>
        <w:t>The AC</w:t>
      </w:r>
      <w:r w:rsidR="00D87A7B">
        <w:t>M</w:t>
      </w:r>
      <w:r>
        <w:t xml:space="preserve">A proposed using </w:t>
      </w:r>
      <w:r w:rsidR="005356AD">
        <w:t xml:space="preserve">a </w:t>
      </w:r>
      <w:r w:rsidR="001E30F2">
        <w:t xml:space="preserve">dBm/MHz power limit rather than a </w:t>
      </w:r>
      <w:r w:rsidR="001E30F2" w:rsidRPr="00C714FE">
        <w:t>dBm/MHz/m²</w:t>
      </w:r>
      <w:r w:rsidR="001E30F2">
        <w:t xml:space="preserve"> pfd limit</w:t>
      </w:r>
      <w:r w:rsidR="00BB7D6B">
        <w:t xml:space="preserve">. The ACMA argued that a pfd limit assumed </w:t>
      </w:r>
      <w:r w:rsidR="001D5BAC">
        <w:t xml:space="preserve">antenna criteria, </w:t>
      </w:r>
      <w:r w:rsidR="00B8757B">
        <w:t xml:space="preserve">while a dBm/MHz power limit would allow </w:t>
      </w:r>
      <w:r w:rsidR="00B95548">
        <w:t>site specific antenna criteria to be considered.</w:t>
      </w:r>
      <w:r w:rsidR="00E21722">
        <w:t xml:space="preserve"> Given </w:t>
      </w:r>
      <w:r w:rsidR="002C3FD3">
        <w:t>the multiple BoM sites</w:t>
      </w:r>
      <w:r w:rsidR="00287C9B">
        <w:t>,</w:t>
      </w:r>
      <w:r w:rsidR="002C3FD3">
        <w:t xml:space="preserve"> </w:t>
      </w:r>
      <w:r w:rsidR="009F216A">
        <w:t xml:space="preserve">with </w:t>
      </w:r>
      <w:r w:rsidR="00EE548B">
        <w:t>each having different antenna</w:t>
      </w:r>
      <w:r w:rsidR="009F216A">
        <w:t xml:space="preserve"> </w:t>
      </w:r>
      <w:r w:rsidR="00287C9B">
        <w:t>characteristics</w:t>
      </w:r>
      <w:r w:rsidR="002C3FD3">
        <w:t xml:space="preserve">, and </w:t>
      </w:r>
      <w:r w:rsidR="001D5BAC">
        <w:t>the RRL provides the actual</w:t>
      </w:r>
      <w:r w:rsidR="00B8757B">
        <w:t xml:space="preserve"> antenna criteria for the</w:t>
      </w:r>
      <w:r w:rsidR="002C3FD3">
        <w:t>se</w:t>
      </w:r>
      <w:r w:rsidR="00B8757B">
        <w:t xml:space="preserve"> different BoM sites</w:t>
      </w:r>
      <w:r w:rsidR="00CA28F9">
        <w:t xml:space="preserve">, the </w:t>
      </w:r>
      <w:r w:rsidR="000F727E">
        <w:t>TLG agreed to use a</w:t>
      </w:r>
      <w:r w:rsidR="00CA28F9">
        <w:t xml:space="preserve"> </w:t>
      </w:r>
      <w:r w:rsidR="000F727E">
        <w:t xml:space="preserve">dBm/MHz power limit </w:t>
      </w:r>
      <w:r w:rsidR="005356AD">
        <w:t>criterion</w:t>
      </w:r>
      <w:r w:rsidR="000F727E">
        <w:t>.</w:t>
      </w:r>
    </w:p>
    <w:p w14:paraId="1D7D51DF" w14:textId="0CAFE9CA" w:rsidR="00EB17A1" w:rsidRDefault="00A90B0A" w:rsidP="00C9601C">
      <w:pPr>
        <w:autoSpaceDE w:val="0"/>
        <w:autoSpaceDN w:val="0"/>
        <w:adjustRightInd w:val="0"/>
        <w:spacing w:line="240" w:lineRule="auto"/>
      </w:pPr>
      <w:r>
        <w:t xml:space="preserve">The </w:t>
      </w:r>
      <w:r w:rsidR="00EB17A1">
        <w:t>following power limit w</w:t>
      </w:r>
      <w:r w:rsidR="004211F8">
        <w:t>ere</w:t>
      </w:r>
      <w:r w:rsidR="00F056BE">
        <w:t xml:space="preserve"> </w:t>
      </w:r>
      <w:r w:rsidR="00EB17A1">
        <w:t>proposed:</w:t>
      </w:r>
    </w:p>
    <w:p w14:paraId="11C361BC" w14:textId="7E523595" w:rsidR="00EB17A1" w:rsidRPr="00552CB6" w:rsidRDefault="005B3DD8" w:rsidP="009F608C">
      <w:pPr>
        <w:pStyle w:val="Bulletlevel1"/>
        <w:rPr>
          <w:szCs w:val="20"/>
        </w:rPr>
      </w:pPr>
      <w:r w:rsidRPr="009F608C">
        <w:rPr>
          <w:sz w:val="20"/>
          <w:szCs w:val="20"/>
        </w:rPr>
        <w:t>BoM: -119 dBm/</w:t>
      </w:r>
      <w:r w:rsidR="0000206A" w:rsidRPr="009F608C">
        <w:rPr>
          <w:sz w:val="20"/>
          <w:szCs w:val="20"/>
        </w:rPr>
        <w:t xml:space="preserve">MHz at the </w:t>
      </w:r>
      <w:r w:rsidR="0000206A" w:rsidRPr="009F608C">
        <w:rPr>
          <w:b/>
          <w:bCs/>
          <w:i/>
          <w:iCs/>
          <w:sz w:val="20"/>
          <w:szCs w:val="20"/>
          <w:u w:val="single"/>
        </w:rPr>
        <w:t>radar antenna connector</w:t>
      </w:r>
      <w:r w:rsidR="0000206A" w:rsidRPr="009F608C">
        <w:rPr>
          <w:sz w:val="20"/>
          <w:szCs w:val="20"/>
        </w:rPr>
        <w:t> </w:t>
      </w:r>
    </w:p>
    <w:p w14:paraId="0215A501" w14:textId="0EA6448D" w:rsidR="005B3DD8" w:rsidRPr="00552CB6" w:rsidRDefault="005B3DD8" w:rsidP="009F608C">
      <w:pPr>
        <w:pStyle w:val="Bulletlevel1last"/>
        <w:rPr>
          <w:szCs w:val="20"/>
        </w:rPr>
      </w:pPr>
      <w:r w:rsidRPr="009F608C">
        <w:rPr>
          <w:sz w:val="20"/>
          <w:szCs w:val="20"/>
        </w:rPr>
        <w:t xml:space="preserve">AMTA: </w:t>
      </w:r>
      <w:r w:rsidR="004211F8" w:rsidRPr="009F608C">
        <w:rPr>
          <w:sz w:val="20"/>
          <w:szCs w:val="20"/>
        </w:rPr>
        <w:t>-</w:t>
      </w:r>
      <w:r w:rsidRPr="009F608C">
        <w:rPr>
          <w:sz w:val="20"/>
          <w:szCs w:val="20"/>
        </w:rPr>
        <w:t>118 dBm/</w:t>
      </w:r>
      <w:r w:rsidR="0000206A" w:rsidRPr="009F608C">
        <w:rPr>
          <w:sz w:val="20"/>
          <w:szCs w:val="20"/>
        </w:rPr>
        <w:t>MHz at th</w:t>
      </w:r>
      <w:r w:rsidR="00DB02AA" w:rsidRPr="009F608C">
        <w:rPr>
          <w:sz w:val="20"/>
          <w:szCs w:val="20"/>
        </w:rPr>
        <w:t>e</w:t>
      </w:r>
      <w:r w:rsidR="0000206A" w:rsidRPr="009F608C">
        <w:rPr>
          <w:sz w:val="20"/>
          <w:szCs w:val="20"/>
        </w:rPr>
        <w:t xml:space="preserve"> input connector of the radar receiver</w:t>
      </w:r>
    </w:p>
    <w:p w14:paraId="178BAD02" w14:textId="559097D4" w:rsidR="00E27E70" w:rsidRPr="00E27E70" w:rsidRDefault="00F056BE" w:rsidP="00E27E70">
      <w:pPr>
        <w:autoSpaceDE w:val="0"/>
        <w:autoSpaceDN w:val="0"/>
        <w:adjustRightInd w:val="0"/>
        <w:spacing w:line="240" w:lineRule="auto"/>
      </w:pPr>
      <w:r>
        <w:t>While t</w:t>
      </w:r>
      <w:r w:rsidR="00DB02AA">
        <w:t xml:space="preserve">he TLG agreed to the level of </w:t>
      </w:r>
      <w:r>
        <w:t>-119 dBm/MHz</w:t>
      </w:r>
      <w:r w:rsidR="00C14382">
        <w:t>, the</w:t>
      </w:r>
      <w:r w:rsidR="0006397E">
        <w:t>re</w:t>
      </w:r>
      <w:r w:rsidR="00C14382">
        <w:t xml:space="preserve"> was further discussion on where </w:t>
      </w:r>
      <w:r w:rsidR="00A346D4">
        <w:t xml:space="preserve">in the receive-chain </w:t>
      </w:r>
      <w:r w:rsidR="00C14382">
        <w:t xml:space="preserve">this level should be </w:t>
      </w:r>
      <w:r w:rsidR="00A73299">
        <w:t xml:space="preserve">measured. </w:t>
      </w:r>
      <w:r w:rsidR="00B775EF">
        <w:t xml:space="preserve">BoM proposed that </w:t>
      </w:r>
      <w:r w:rsidR="00C37205">
        <w:t>specifying the limit at</w:t>
      </w:r>
      <w:r w:rsidR="00B775EF">
        <w:t xml:space="preserve"> the radar antenna connector would be </w:t>
      </w:r>
      <w:r w:rsidR="00E27E70">
        <w:t xml:space="preserve">simpler, while AMTA proposed that </w:t>
      </w:r>
      <w:r w:rsidR="00C37205">
        <w:t>specifying the limit at</w:t>
      </w:r>
      <w:r w:rsidR="00E27E70">
        <w:t xml:space="preserve"> the input connector of the radar receiver was more common industry practice. The ACMA </w:t>
      </w:r>
      <w:r w:rsidR="00BB2DC1">
        <w:t xml:space="preserve">propose </w:t>
      </w:r>
      <w:r w:rsidR="00E27E70">
        <w:t>to use</w:t>
      </w:r>
      <w:r w:rsidR="00BB2DC1">
        <w:t xml:space="preserve"> </w:t>
      </w:r>
      <w:r w:rsidR="00042C5F">
        <w:t>the</w:t>
      </w:r>
      <w:r w:rsidR="00E27E70" w:rsidRPr="00E27E70">
        <w:t xml:space="preserve"> “</w:t>
      </w:r>
      <w:r w:rsidR="00E27E70" w:rsidRPr="00E27E70">
        <w:rPr>
          <w:b/>
          <w:bCs/>
          <w:i/>
          <w:iCs/>
          <w:u w:val="single"/>
        </w:rPr>
        <w:t>input connector of the radar receiver</w:t>
      </w:r>
      <w:r w:rsidR="00E27E70" w:rsidRPr="00E27E70">
        <w:t xml:space="preserve">” as this would allow any feeder losses as specified in the RRL (or agreed to) to be accounted for when calculating potential interference. </w:t>
      </w:r>
      <w:r w:rsidR="00042C5F">
        <w:t>The TLG members agreed to the ACMA’s proposal.</w:t>
      </w:r>
      <w:r w:rsidR="00BB2DC1">
        <w:t xml:space="preserve"> </w:t>
      </w:r>
    </w:p>
    <w:p w14:paraId="62F7D457" w14:textId="271D7F1A" w:rsidR="00C9601C" w:rsidRPr="00C9601C" w:rsidRDefault="00BB2DC1" w:rsidP="00C9601C">
      <w:pPr>
        <w:autoSpaceDE w:val="0"/>
        <w:autoSpaceDN w:val="0"/>
        <w:adjustRightInd w:val="0"/>
        <w:spacing w:line="240" w:lineRule="auto"/>
      </w:pPr>
      <w:r>
        <w:t xml:space="preserve">The final proposed text to be included in </w:t>
      </w:r>
      <w:r w:rsidR="00D961BF">
        <w:t xml:space="preserve">Part 7 of </w:t>
      </w:r>
      <w:r>
        <w:t>the RAG Tx is:</w:t>
      </w:r>
      <w:r w:rsidR="00C9601C" w:rsidRPr="00C9601C">
        <w:t> </w:t>
      </w:r>
    </w:p>
    <w:p w14:paraId="5899ED8D" w14:textId="77777777" w:rsidR="00C9601C" w:rsidRPr="00C9601C" w:rsidRDefault="00C9601C" w:rsidP="00C9601C">
      <w:pPr>
        <w:autoSpaceDE w:val="0"/>
        <w:autoSpaceDN w:val="0"/>
        <w:adjustRightInd w:val="0"/>
        <w:spacing w:line="240" w:lineRule="auto"/>
      </w:pPr>
      <w:r w:rsidRPr="00C9601C">
        <w:t> </w:t>
      </w:r>
    </w:p>
    <w:p w14:paraId="7388E12A" w14:textId="58CA2ACD" w:rsidR="001769C5" w:rsidRPr="001769C5" w:rsidRDefault="001769C5" w:rsidP="00EF6347">
      <w:pPr>
        <w:autoSpaceDE w:val="0"/>
        <w:autoSpaceDN w:val="0"/>
        <w:adjustRightInd w:val="0"/>
        <w:spacing w:line="240" w:lineRule="auto"/>
        <w:ind w:left="284"/>
      </w:pPr>
      <w:r w:rsidRPr="001769C5">
        <w:lastRenderedPageBreak/>
        <w:t>“</w:t>
      </w:r>
      <w:r w:rsidRPr="001769C5">
        <w:rPr>
          <w:b/>
          <w:bCs/>
          <w:i/>
          <w:iCs/>
        </w:rPr>
        <w:t>(6) Protection is to be afforded to all licensed fixed receivers used for RLS, including weather radars operated by the Bureau of Meteorology, operating in the frequency band 2700–2900 MHz, that were included in the Register before a fixed transmitter operating under a 2.5 GHz spectrum licence was included in the Register. </w:t>
      </w:r>
    </w:p>
    <w:p w14:paraId="70517A33" w14:textId="7254D2F5" w:rsidR="001769C5" w:rsidRPr="001769C5" w:rsidRDefault="001769C5" w:rsidP="00EF6347">
      <w:pPr>
        <w:autoSpaceDE w:val="0"/>
        <w:autoSpaceDN w:val="0"/>
        <w:adjustRightInd w:val="0"/>
        <w:spacing w:line="240" w:lineRule="auto"/>
        <w:ind w:left="284"/>
      </w:pPr>
      <w:r w:rsidRPr="001769C5">
        <w:rPr>
          <w:b/>
          <w:bCs/>
          <w:i/>
          <w:iCs/>
        </w:rPr>
        <w:t>Protection is achieved if the out-of-band emissions falling within the receiver’s licensed bandwidth do</w:t>
      </w:r>
      <w:r w:rsidR="00D02594">
        <w:rPr>
          <w:b/>
          <w:bCs/>
          <w:i/>
          <w:iCs/>
        </w:rPr>
        <w:t>es</w:t>
      </w:r>
      <w:r w:rsidRPr="001769C5">
        <w:rPr>
          <w:b/>
          <w:bCs/>
          <w:i/>
          <w:iCs/>
        </w:rPr>
        <w:t xml:space="preserve"> not exceed a maximum unwanted signal received level of –119 dBm/MHz at the input connector of the radar receiver. </w:t>
      </w:r>
    </w:p>
    <w:p w14:paraId="00C9EE44" w14:textId="3D79D6F0" w:rsidR="001769C5" w:rsidRPr="001769C5" w:rsidRDefault="001769C5" w:rsidP="00EF6347">
      <w:pPr>
        <w:autoSpaceDE w:val="0"/>
        <w:autoSpaceDN w:val="0"/>
        <w:adjustRightInd w:val="0"/>
        <w:spacing w:line="240" w:lineRule="auto"/>
        <w:ind w:left="284"/>
      </w:pPr>
      <w:r w:rsidRPr="001769C5">
        <w:rPr>
          <w:b/>
          <w:bCs/>
          <w:i/>
          <w:iCs/>
        </w:rPr>
        <w:t>Additional consideration of blocking/overload and other interference checks is not required</w:t>
      </w:r>
      <w:r w:rsidR="00B827C0">
        <w:rPr>
          <w:b/>
          <w:bCs/>
          <w:i/>
          <w:iCs/>
        </w:rPr>
        <w:t>.”</w:t>
      </w:r>
    </w:p>
    <w:p w14:paraId="75FFD9A9" w14:textId="77777777" w:rsidR="00380C00" w:rsidRDefault="00380C00" w:rsidP="002F7657">
      <w:pPr>
        <w:autoSpaceDE w:val="0"/>
        <w:autoSpaceDN w:val="0"/>
        <w:adjustRightInd w:val="0"/>
        <w:spacing w:line="240" w:lineRule="auto"/>
      </w:pPr>
    </w:p>
    <w:p w14:paraId="4D704967" w14:textId="0C3FA437" w:rsidR="002F7657" w:rsidRDefault="002F7657" w:rsidP="002F7657">
      <w:pPr>
        <w:autoSpaceDE w:val="0"/>
        <w:autoSpaceDN w:val="0"/>
        <w:adjustRightInd w:val="0"/>
        <w:spacing w:line="240" w:lineRule="auto"/>
      </w:pPr>
      <w:r>
        <w:t>No substantial updates were proposed by the TLG</w:t>
      </w:r>
      <w:r w:rsidR="00380C00">
        <w:t xml:space="preserve"> to the RAG Rx</w:t>
      </w:r>
      <w:r>
        <w:t>.</w:t>
      </w:r>
    </w:p>
    <w:p w14:paraId="7832D59C" w14:textId="77777777" w:rsidR="00EB5A81" w:rsidRDefault="00EB5A81" w:rsidP="002F7657">
      <w:pPr>
        <w:autoSpaceDE w:val="0"/>
        <w:autoSpaceDN w:val="0"/>
        <w:adjustRightInd w:val="0"/>
        <w:spacing w:line="240" w:lineRule="auto"/>
      </w:pPr>
    </w:p>
    <w:p w14:paraId="2532AA38" w14:textId="77777777" w:rsidR="0016207D" w:rsidRDefault="0016207D">
      <w:pPr>
        <w:spacing w:after="0" w:line="240" w:lineRule="auto"/>
        <w:rPr>
          <w:rFonts w:cs="Arial"/>
          <w:b/>
          <w:bCs/>
          <w:iCs/>
          <w:sz w:val="28"/>
          <w:szCs w:val="28"/>
        </w:rPr>
      </w:pPr>
      <w:r>
        <w:br w:type="page"/>
      </w:r>
    </w:p>
    <w:p w14:paraId="0BEEEE6D" w14:textId="7D5E4965" w:rsidR="00EB5A81" w:rsidRDefault="00EB5A81" w:rsidP="00EB5A81">
      <w:pPr>
        <w:pStyle w:val="Heading2"/>
      </w:pPr>
      <w:bookmarkStart w:id="49" w:name="_Toc230690565"/>
      <w:r>
        <w:lastRenderedPageBreak/>
        <w:t>Provisions to support wideband amplifiers</w:t>
      </w:r>
      <w:bookmarkEnd w:id="49"/>
    </w:p>
    <w:p w14:paraId="1E3B3401" w14:textId="0D5781CC" w:rsidR="00E822F8" w:rsidRPr="008E7E24" w:rsidRDefault="00ED5DFE" w:rsidP="00E822F8">
      <w:r>
        <w:t>The ACM</w:t>
      </w:r>
      <w:r w:rsidR="00BD5648">
        <w:t>A</w:t>
      </w:r>
      <w:r>
        <w:t xml:space="preserve"> identified an</w:t>
      </w:r>
      <w:r w:rsidR="00E822F8">
        <w:t xml:space="preserve"> increasing </w:t>
      </w:r>
      <w:r w:rsidR="00145BB0">
        <w:t xml:space="preserve">desire by stakeholders </w:t>
      </w:r>
      <w:r w:rsidR="00E822F8">
        <w:t>to deploy and operate base stations with wideband power amplifiers under spectrum licences. In simple terms, wideband amplifiers operate over more than one frequency band, with carriers in each operating band mapped to a single antenna connector. While operation could be permitted using spectrum licences held in the different bands, there is a regulatory conflict with how conditions are currently specified on licences. That is, the licensee would need to meet different (conflicting) wanted and unwanted emission limits, as specified on the separate spectrum licences, within the same frequency ranges. An example is illustrated in the below diagram.</w:t>
      </w:r>
    </w:p>
    <w:p w14:paraId="6046C328" w14:textId="77777777" w:rsidR="00E822F8" w:rsidRDefault="00E822F8" w:rsidP="00124A3F">
      <w:r>
        <w:rPr>
          <w:noProof/>
        </w:rPr>
        <w:drawing>
          <wp:inline distT="0" distB="0" distL="0" distR="0" wp14:anchorId="1377B3EC" wp14:editId="723E2731">
            <wp:extent cx="4871085" cy="3380105"/>
            <wp:effectExtent l="0" t="0" r="5715" b="0"/>
            <wp:docPr id="1922675486" name="Picture 1" descr="A graph of a frequen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75486" name="Picture 1" descr="A graph of a frequency&#10;&#10;AI-generated content may be incorrect."/>
                    <pic:cNvPicPr/>
                  </pic:nvPicPr>
                  <pic:blipFill>
                    <a:blip r:embed="rId42"/>
                    <a:stretch>
                      <a:fillRect/>
                    </a:stretch>
                  </pic:blipFill>
                  <pic:spPr>
                    <a:xfrm>
                      <a:off x="0" y="0"/>
                      <a:ext cx="4871085" cy="3380105"/>
                    </a:xfrm>
                    <a:prstGeom prst="rect">
                      <a:avLst/>
                    </a:prstGeom>
                  </pic:spPr>
                </pic:pic>
              </a:graphicData>
            </a:graphic>
          </wp:inline>
        </w:drawing>
      </w:r>
    </w:p>
    <w:p w14:paraId="15B9C999" w14:textId="77777777" w:rsidR="00E822F8" w:rsidRDefault="00E822F8" w:rsidP="00145BB0">
      <w:r>
        <w:t xml:space="preserve">The ACMA recently applied </w:t>
      </w:r>
      <w:hyperlink r:id="rId43" w:history="1">
        <w:r w:rsidRPr="0060431A">
          <w:rPr>
            <w:rStyle w:val="Hyperlink"/>
          </w:rPr>
          <w:t>conditional regulatory forbearance</w:t>
        </w:r>
      </w:hyperlink>
      <w:r>
        <w:t xml:space="preserve"> as a temporary measure to support the deployment of wideband amplifiers in certain situations until permanent arrangements can be considered and implemented. We are now taking this opportunity to discuss potential modifications to spectrum licences to support wideband amplifiers. Our intention is that the same regulatory solution can then be applied to spectrum licences in other bands.</w:t>
      </w:r>
    </w:p>
    <w:p w14:paraId="683D7209" w14:textId="31A1CF2E" w:rsidR="00EB5A81" w:rsidRPr="00EB5A81" w:rsidRDefault="00EB5A81" w:rsidP="00EB5A81">
      <w:r w:rsidRPr="00EB5A81">
        <w:t xml:space="preserve">The </w:t>
      </w:r>
      <w:r w:rsidR="00145BB0">
        <w:t>ACMA</w:t>
      </w:r>
      <w:r w:rsidR="00C30770">
        <w:t xml:space="preserve"> provide</w:t>
      </w:r>
      <w:r w:rsidR="00FD2678">
        <w:t>d</w:t>
      </w:r>
      <w:r w:rsidR="00C30770">
        <w:t xml:space="preserve"> </w:t>
      </w:r>
      <w:r w:rsidRPr="00EB5A81">
        <w:t xml:space="preserve">2 initial broad options </w:t>
      </w:r>
      <w:r w:rsidR="00440B37">
        <w:t xml:space="preserve">for consideration by TLG members </w:t>
      </w:r>
      <w:r w:rsidRPr="00EB5A81">
        <w:t>to support wideband amplifiers:</w:t>
      </w:r>
    </w:p>
    <w:p w14:paraId="184CA414" w14:textId="77777777" w:rsidR="00EB5A81" w:rsidRPr="009F608C" w:rsidRDefault="00EB5A81" w:rsidP="009F608C">
      <w:pPr>
        <w:pStyle w:val="Bulletlevel1"/>
        <w:rPr>
          <w:sz w:val="20"/>
          <w:szCs w:val="20"/>
        </w:rPr>
      </w:pPr>
      <w:r w:rsidRPr="009F608C">
        <w:rPr>
          <w:sz w:val="20"/>
          <w:szCs w:val="20"/>
          <w:u w:val="single"/>
        </w:rPr>
        <w:t>Option 1:</w:t>
      </w:r>
      <w:r w:rsidRPr="009F608C">
        <w:rPr>
          <w:sz w:val="20"/>
          <w:szCs w:val="20"/>
        </w:rPr>
        <w:t xml:space="preserve"> </w:t>
      </w:r>
      <w:r w:rsidRPr="0023147A">
        <w:rPr>
          <w:sz w:val="20"/>
          <w:szCs w:val="20"/>
        </w:rPr>
        <w:t>provide</w:t>
      </w:r>
      <w:r w:rsidRPr="009F608C">
        <w:rPr>
          <w:sz w:val="20"/>
          <w:szCs w:val="20"/>
        </w:rPr>
        <w:t xml:space="preserve"> a ‘carve-out’ where specific unwanted emission limits do not apply for wideband amplifiers. </w:t>
      </w:r>
    </w:p>
    <w:p w14:paraId="4F3F60D1" w14:textId="77777777" w:rsidR="00EB5A81" w:rsidRPr="009F608C" w:rsidRDefault="00EB5A81" w:rsidP="009F608C">
      <w:pPr>
        <w:pStyle w:val="Bulletlevel2"/>
        <w:rPr>
          <w:sz w:val="20"/>
          <w:szCs w:val="20"/>
        </w:rPr>
      </w:pPr>
      <w:r w:rsidRPr="009F608C">
        <w:rPr>
          <w:sz w:val="20"/>
          <w:szCs w:val="20"/>
        </w:rPr>
        <w:t xml:space="preserve">This could be </w:t>
      </w:r>
      <w:proofErr w:type="gramStart"/>
      <w:r w:rsidRPr="009F608C">
        <w:rPr>
          <w:sz w:val="20"/>
          <w:szCs w:val="20"/>
        </w:rPr>
        <w:t>similar to</w:t>
      </w:r>
      <w:proofErr w:type="gramEnd"/>
      <w:r w:rsidRPr="009F608C">
        <w:rPr>
          <w:sz w:val="20"/>
          <w:szCs w:val="20"/>
        </w:rPr>
        <w:t xml:space="preserve"> the carve-out in 3GPP standards: ‘for a multi-band connector, for each supported operating band together with </w:t>
      </w:r>
      <w:proofErr w:type="spellStart"/>
      <w:r w:rsidRPr="009F608C">
        <w:rPr>
          <w:sz w:val="20"/>
          <w:szCs w:val="20"/>
        </w:rPr>
        <w:t>ΔfOBUE</w:t>
      </w:r>
      <w:proofErr w:type="spellEnd"/>
      <w:r w:rsidRPr="009F608C">
        <w:rPr>
          <w:sz w:val="20"/>
          <w:szCs w:val="20"/>
        </w:rPr>
        <w:t xml:space="preserve"> around the band is excluded from the transmitter spurious emissions requirement’.</w:t>
      </w:r>
    </w:p>
    <w:p w14:paraId="4D720BB0" w14:textId="77777777" w:rsidR="00EB5A81" w:rsidRPr="009F608C" w:rsidRDefault="00EB5A81" w:rsidP="009F608C">
      <w:pPr>
        <w:pStyle w:val="Bulletlevel1"/>
        <w:rPr>
          <w:sz w:val="20"/>
          <w:szCs w:val="20"/>
        </w:rPr>
      </w:pPr>
      <w:r w:rsidRPr="009F608C">
        <w:rPr>
          <w:sz w:val="20"/>
          <w:szCs w:val="20"/>
          <w:u w:val="single"/>
        </w:rPr>
        <w:t>Option 2:</w:t>
      </w:r>
      <w:r w:rsidRPr="009F608C">
        <w:rPr>
          <w:sz w:val="20"/>
          <w:szCs w:val="20"/>
        </w:rPr>
        <w:t xml:space="preserve"> expand the current ‘agreement’ provisions in spectrum licences, to permitted unwanted emission limits to be exceeded when there is an agreement with non-adjacent spectrum licensees.</w:t>
      </w:r>
      <w:r w:rsidRPr="0023147A">
        <w:rPr>
          <w:rStyle w:val="FootnoteReference"/>
          <w:sz w:val="20"/>
          <w:szCs w:val="20"/>
        </w:rPr>
        <w:footnoteReference w:id="7"/>
      </w:r>
      <w:r w:rsidRPr="009F608C">
        <w:rPr>
          <w:sz w:val="20"/>
          <w:szCs w:val="20"/>
        </w:rPr>
        <w:t xml:space="preserve"> </w:t>
      </w:r>
    </w:p>
    <w:p w14:paraId="2B375002" w14:textId="77777777" w:rsidR="00EB5A81" w:rsidRPr="009F608C" w:rsidRDefault="00EB5A81" w:rsidP="009F608C">
      <w:pPr>
        <w:pStyle w:val="Bulletlevel2last"/>
        <w:rPr>
          <w:sz w:val="20"/>
          <w:szCs w:val="20"/>
        </w:rPr>
      </w:pPr>
      <w:r w:rsidRPr="009F608C">
        <w:rPr>
          <w:sz w:val="20"/>
          <w:szCs w:val="20"/>
        </w:rPr>
        <w:t xml:space="preserve">This option would allow licensees to exceed unwanted emission limits in the frequency ranges authorised by the other licence(s), where there is a written agreement with other impacted spectrum licensees in the other frequency band. </w:t>
      </w:r>
    </w:p>
    <w:p w14:paraId="040513E1" w14:textId="77777777" w:rsidR="00EB5A81" w:rsidRPr="00EB5A81" w:rsidRDefault="00EB5A81" w:rsidP="00EB5A81">
      <w:pPr>
        <w:pStyle w:val="Bulletlevel1"/>
        <w:numPr>
          <w:ilvl w:val="0"/>
          <w:numId w:val="0"/>
        </w:numPr>
        <w:ind w:left="295" w:hanging="295"/>
        <w:rPr>
          <w:sz w:val="20"/>
          <w:szCs w:val="20"/>
        </w:rPr>
      </w:pPr>
    </w:p>
    <w:p w14:paraId="51D8463A" w14:textId="77777777" w:rsidR="00EB5A81" w:rsidRPr="00EB5A81" w:rsidRDefault="00EB5A81" w:rsidP="00EB5A81">
      <w:pPr>
        <w:pStyle w:val="Paragraph"/>
        <w:rPr>
          <w:sz w:val="20"/>
          <w:szCs w:val="20"/>
        </w:rPr>
      </w:pPr>
      <w:r w:rsidRPr="00EB5A81">
        <w:rPr>
          <w:sz w:val="20"/>
          <w:szCs w:val="20"/>
        </w:rPr>
        <w:t xml:space="preserve">AMTA supports Option 1 (the ‘carve-out’ for “operating band + </w:t>
      </w:r>
      <w:proofErr w:type="spellStart"/>
      <w:r w:rsidRPr="00EB5A81">
        <w:rPr>
          <w:sz w:val="20"/>
          <w:szCs w:val="20"/>
        </w:rPr>
        <w:t>ΔfOBUE</w:t>
      </w:r>
      <w:proofErr w:type="spellEnd"/>
      <w:r w:rsidRPr="00EB5A81">
        <w:rPr>
          <w:sz w:val="20"/>
          <w:szCs w:val="20"/>
        </w:rPr>
        <w:t>”), over the ACMA’s regulatory forbearance approach.</w:t>
      </w:r>
    </w:p>
    <w:p w14:paraId="710AEE57" w14:textId="77777777" w:rsidR="00EB5A81" w:rsidRPr="00EB5A81" w:rsidRDefault="00EB5A81" w:rsidP="00EB5A81">
      <w:pPr>
        <w:pStyle w:val="Paragraph"/>
        <w:rPr>
          <w:sz w:val="20"/>
          <w:szCs w:val="20"/>
        </w:rPr>
      </w:pPr>
      <w:r w:rsidRPr="00EB5A81">
        <w:rPr>
          <w:sz w:val="20"/>
          <w:szCs w:val="20"/>
        </w:rPr>
        <w:t xml:space="preserve">AMTA is cautious of potential unintended consequences, for example, where radios able to operate in certain 3GPP bands used overseas (but not here) may be unintentionally exempted from unwanted emission limits imposed by the ACMA in Australia. As such, they are considering whether the “operating band” exempted needs to be limited to a band that is either spectrum-licensed, re-allocated for spectrum licensing, and/or allocated for wireless broadband (WBB) in Australia. </w:t>
      </w:r>
    </w:p>
    <w:p w14:paraId="4B66868D" w14:textId="77777777" w:rsidR="00EB5A81" w:rsidRPr="00EB5A81" w:rsidRDefault="00EB5A81" w:rsidP="00EB5A81">
      <w:pPr>
        <w:pStyle w:val="Paragraph"/>
        <w:rPr>
          <w:sz w:val="20"/>
          <w:szCs w:val="20"/>
        </w:rPr>
      </w:pPr>
      <w:r w:rsidRPr="00EB5A81">
        <w:rPr>
          <w:sz w:val="20"/>
          <w:szCs w:val="20"/>
        </w:rPr>
        <w:t>This should help to avoid exempting bands which are not used in Australia for WBB.</w:t>
      </w:r>
    </w:p>
    <w:p w14:paraId="3744AE4F" w14:textId="48913629" w:rsidR="00EB5A81" w:rsidRPr="00EB5A81" w:rsidRDefault="00EB5A81" w:rsidP="00EB5A81">
      <w:pPr>
        <w:pStyle w:val="Paragraph"/>
        <w:rPr>
          <w:sz w:val="20"/>
          <w:szCs w:val="20"/>
        </w:rPr>
      </w:pPr>
      <w:r w:rsidRPr="00EB5A81">
        <w:rPr>
          <w:sz w:val="20"/>
          <w:szCs w:val="20"/>
        </w:rPr>
        <w:t xml:space="preserve">Ericsson’s preferred approach is for Option 1 which would be </w:t>
      </w:r>
      <w:proofErr w:type="gramStart"/>
      <w:r w:rsidRPr="00EB5A81">
        <w:rPr>
          <w:sz w:val="20"/>
          <w:szCs w:val="20"/>
        </w:rPr>
        <w:t>similar to</w:t>
      </w:r>
      <w:proofErr w:type="gramEnd"/>
      <w:r w:rsidRPr="00EB5A81">
        <w:rPr>
          <w:sz w:val="20"/>
          <w:szCs w:val="20"/>
        </w:rPr>
        <w:t xml:space="preserve"> 3GPP</w:t>
      </w:r>
      <w:r w:rsidR="002D44C1">
        <w:rPr>
          <w:sz w:val="20"/>
          <w:szCs w:val="20"/>
        </w:rPr>
        <w:t>.</w:t>
      </w:r>
    </w:p>
    <w:p w14:paraId="60DFD36E" w14:textId="77777777" w:rsidR="00EB5A81" w:rsidRPr="00EB5A81" w:rsidRDefault="00EB5A81" w:rsidP="00EB5A81">
      <w:pPr>
        <w:pStyle w:val="Paragraph"/>
        <w:rPr>
          <w:sz w:val="20"/>
          <w:szCs w:val="20"/>
        </w:rPr>
      </w:pPr>
      <w:r w:rsidRPr="00EB5A81">
        <w:rPr>
          <w:sz w:val="20"/>
          <w:szCs w:val="20"/>
        </w:rPr>
        <w:t>A concern Ericsson may have is if this applies only to 2 x Spectrum licences. While this might not be of concern for 2.5GHz (being Australia wide), the “other” band could potentially be Spectrum Licenced, AWL licensed or Apparatus Licenced in the future.</w:t>
      </w:r>
    </w:p>
    <w:p w14:paraId="05BF0EC9" w14:textId="558766BC" w:rsidR="00EB5A81" w:rsidRPr="00EB5A81" w:rsidRDefault="00C30770" w:rsidP="00EB5A81">
      <w:pPr>
        <w:pStyle w:val="Paragraph"/>
        <w:rPr>
          <w:sz w:val="20"/>
          <w:szCs w:val="20"/>
        </w:rPr>
      </w:pPr>
      <w:r>
        <w:rPr>
          <w:sz w:val="20"/>
          <w:szCs w:val="20"/>
        </w:rPr>
        <w:t>The ACMA identified 2 p</w:t>
      </w:r>
      <w:r w:rsidR="00EB5A81" w:rsidRPr="00EB5A81">
        <w:rPr>
          <w:sz w:val="20"/>
          <w:szCs w:val="20"/>
        </w:rPr>
        <w:t>otential variations on Option 1 that attempt to address issues identified by TLG members could be:</w:t>
      </w:r>
    </w:p>
    <w:p w14:paraId="2C452A13" w14:textId="092D80FC" w:rsidR="00EB5A81" w:rsidRPr="009F608C" w:rsidRDefault="00EB5A81" w:rsidP="009F608C">
      <w:pPr>
        <w:pStyle w:val="Bulletlevel1"/>
        <w:rPr>
          <w:sz w:val="20"/>
          <w:szCs w:val="20"/>
        </w:rPr>
      </w:pPr>
      <w:r w:rsidRPr="009F608C">
        <w:rPr>
          <w:sz w:val="20"/>
          <w:szCs w:val="20"/>
        </w:rPr>
        <w:t>Option 1a: wideband amplifiers must not exceed the higher of the wanted or unwanted emission limits as applicable on all licences held by the operator (</w:t>
      </w:r>
      <w:proofErr w:type="gramStart"/>
      <w:r w:rsidRPr="009F608C">
        <w:rPr>
          <w:sz w:val="20"/>
          <w:szCs w:val="20"/>
        </w:rPr>
        <w:t>similar to</w:t>
      </w:r>
      <w:proofErr w:type="gramEnd"/>
      <w:r w:rsidRPr="009F608C">
        <w:rPr>
          <w:sz w:val="20"/>
          <w:szCs w:val="20"/>
        </w:rPr>
        <w:t xml:space="preserve"> the regulatory forbearance requirements but potentially expanded to cover more than two licences as well as apparatus licences.</w:t>
      </w:r>
    </w:p>
    <w:p w14:paraId="5962A897" w14:textId="1E9C5009" w:rsidR="00EB5A81" w:rsidRPr="009F608C" w:rsidRDefault="00EB5A81" w:rsidP="009F608C">
      <w:pPr>
        <w:pStyle w:val="Bulletlevel2"/>
        <w:rPr>
          <w:sz w:val="20"/>
          <w:szCs w:val="20"/>
        </w:rPr>
      </w:pPr>
      <w:r w:rsidRPr="009F608C">
        <w:rPr>
          <w:sz w:val="20"/>
          <w:szCs w:val="20"/>
        </w:rPr>
        <w:t>This would contain emission</w:t>
      </w:r>
      <w:r w:rsidR="00A036B6" w:rsidRPr="009F608C">
        <w:rPr>
          <w:sz w:val="20"/>
          <w:szCs w:val="20"/>
        </w:rPr>
        <w:t>s</w:t>
      </w:r>
      <w:r w:rsidRPr="009F608C">
        <w:rPr>
          <w:sz w:val="20"/>
          <w:szCs w:val="20"/>
        </w:rPr>
        <w:t xml:space="preserve"> to within the envelope of licences held by the </w:t>
      </w:r>
      <w:proofErr w:type="gramStart"/>
      <w:r w:rsidRPr="009F608C">
        <w:rPr>
          <w:sz w:val="20"/>
          <w:szCs w:val="20"/>
        </w:rPr>
        <w:t>licensee,</w:t>
      </w:r>
      <w:proofErr w:type="gramEnd"/>
      <w:r w:rsidRPr="009F608C">
        <w:rPr>
          <w:sz w:val="20"/>
          <w:szCs w:val="20"/>
        </w:rPr>
        <w:t xml:space="preserve"> however it would not permit relaxed emissions in bands that an operator does not hold a licence in.</w:t>
      </w:r>
    </w:p>
    <w:p w14:paraId="38EA8445" w14:textId="2795DD2C" w:rsidR="00EB5A81" w:rsidRPr="009F608C" w:rsidRDefault="00EB5A81" w:rsidP="009F608C">
      <w:pPr>
        <w:pStyle w:val="Bulletlevel1"/>
        <w:rPr>
          <w:sz w:val="20"/>
          <w:szCs w:val="20"/>
        </w:rPr>
      </w:pPr>
      <w:r w:rsidRPr="009F608C">
        <w:rPr>
          <w:sz w:val="20"/>
          <w:szCs w:val="20"/>
        </w:rPr>
        <w:t>Option 1b: On each spectrum licence, specify the actual unwanted emission limit appl</w:t>
      </w:r>
      <w:r w:rsidR="00260F29" w:rsidRPr="009F608C">
        <w:rPr>
          <w:sz w:val="20"/>
          <w:szCs w:val="20"/>
        </w:rPr>
        <w:t>icable</w:t>
      </w:r>
      <w:r w:rsidRPr="009F608C">
        <w:rPr>
          <w:sz w:val="20"/>
          <w:szCs w:val="20"/>
        </w:rPr>
        <w:t xml:space="preserve"> in the frequency range of all other spectrum licenced band</w:t>
      </w:r>
      <w:r w:rsidR="005357AA" w:rsidRPr="009F608C">
        <w:rPr>
          <w:sz w:val="20"/>
          <w:szCs w:val="20"/>
        </w:rPr>
        <w:t>s</w:t>
      </w:r>
      <w:r w:rsidRPr="009F608C">
        <w:rPr>
          <w:sz w:val="20"/>
          <w:szCs w:val="20"/>
        </w:rPr>
        <w:t>. For example, on the 1800 MHz licence, specify that unwanted emissions from wideband amplifiers in the range 2100-2180 MHz (2 GHz upper band + 10 MHz) need comply with the 2 GHz band unwanted emission limits.</w:t>
      </w:r>
    </w:p>
    <w:p w14:paraId="17E1159F" w14:textId="3B52A312" w:rsidR="00EB5A81" w:rsidRPr="009F608C" w:rsidRDefault="00EB5A81" w:rsidP="009F608C">
      <w:pPr>
        <w:pStyle w:val="Bulletlevel2last"/>
        <w:rPr>
          <w:sz w:val="20"/>
          <w:szCs w:val="20"/>
        </w:rPr>
      </w:pPr>
      <w:r w:rsidRPr="009F608C">
        <w:rPr>
          <w:sz w:val="20"/>
          <w:szCs w:val="20"/>
        </w:rPr>
        <w:t>This would permit relaxed unwanted emissions is all specified spectrum licen</w:t>
      </w:r>
      <w:r w:rsidR="00331ECB" w:rsidRPr="009F608C">
        <w:rPr>
          <w:sz w:val="20"/>
          <w:szCs w:val="20"/>
        </w:rPr>
        <w:t>sed</w:t>
      </w:r>
      <w:r w:rsidRPr="009F608C">
        <w:rPr>
          <w:sz w:val="20"/>
          <w:szCs w:val="20"/>
        </w:rPr>
        <w:t xml:space="preserve"> bands, regardless of if a licensee holds a </w:t>
      </w:r>
      <w:proofErr w:type="gramStart"/>
      <w:r w:rsidRPr="009F608C">
        <w:rPr>
          <w:sz w:val="20"/>
          <w:szCs w:val="20"/>
        </w:rPr>
        <w:t>licences</w:t>
      </w:r>
      <w:proofErr w:type="gramEnd"/>
      <w:r w:rsidRPr="009F608C">
        <w:rPr>
          <w:sz w:val="20"/>
          <w:szCs w:val="20"/>
        </w:rPr>
        <w:t xml:space="preserve"> in each </w:t>
      </w:r>
      <w:proofErr w:type="gramStart"/>
      <w:r w:rsidRPr="009F608C">
        <w:rPr>
          <w:sz w:val="20"/>
          <w:szCs w:val="20"/>
        </w:rPr>
        <w:t>particular band</w:t>
      </w:r>
      <w:proofErr w:type="gramEnd"/>
      <w:r w:rsidRPr="009F608C">
        <w:rPr>
          <w:sz w:val="20"/>
          <w:szCs w:val="20"/>
        </w:rPr>
        <w:t>. However, drafting on the licence may be complex, if the specified relaxed limits for each spectrum licensed band need to be included on every licence.</w:t>
      </w:r>
    </w:p>
    <w:p w14:paraId="0812A6D3" w14:textId="192AB0EC" w:rsidR="0060658A" w:rsidRPr="0060658A" w:rsidRDefault="00800AF1" w:rsidP="009F608C">
      <w:r w:rsidRPr="00800AF1">
        <w:t>The issue of how to deal with wideband amplifiers was deferred to a subsequent consultation process (i.e. 850/1800 MHz), with the intention that whatever comes out of that process w</w:t>
      </w:r>
      <w:r w:rsidR="003279EB">
        <w:t>ould</w:t>
      </w:r>
      <w:r w:rsidRPr="00800AF1">
        <w:t xml:space="preserve"> be applied across all other spectrum licensed bands (including the 2.5 GHz band</w:t>
      </w:r>
      <w:proofErr w:type="gramStart"/>
      <w:r w:rsidRPr="00800AF1">
        <w:t>).</w:t>
      </w:r>
      <w:r w:rsidR="0060658A" w:rsidRPr="0060658A">
        <w:t>.</w:t>
      </w:r>
      <w:proofErr w:type="gramEnd"/>
      <w:r w:rsidR="0060658A" w:rsidRPr="0060658A">
        <w:t xml:space="preserve"> This proposal is discussed further in the </w:t>
      </w:r>
      <w:hyperlink r:id="rId44" w:history="1">
        <w:r w:rsidR="0060658A" w:rsidRPr="0060658A">
          <w:rPr>
            <w:rStyle w:val="Hyperlink"/>
          </w:rPr>
          <w:t>850/1800 MHz bands technical framework consultation paper</w:t>
        </w:r>
      </w:hyperlink>
      <w:r w:rsidR="0060658A" w:rsidRPr="0060658A">
        <w:t> that w</w:t>
      </w:r>
      <w:r w:rsidR="00D24C48">
        <w:t>as</w:t>
      </w:r>
      <w:r w:rsidR="0060658A" w:rsidRPr="0060658A">
        <w:t xml:space="preserve"> released</w:t>
      </w:r>
      <w:r w:rsidR="0041041D">
        <w:t xml:space="preserve"> in February 2026</w:t>
      </w:r>
      <w:r w:rsidR="0060658A" w:rsidRPr="0060658A">
        <w:t>.</w:t>
      </w:r>
    </w:p>
    <w:p w14:paraId="699BC1CA" w14:textId="29FBB8CD" w:rsidR="00694581" w:rsidRDefault="00694581" w:rsidP="002F7657">
      <w:pPr>
        <w:autoSpaceDE w:val="0"/>
        <w:autoSpaceDN w:val="0"/>
        <w:adjustRightInd w:val="0"/>
        <w:spacing w:line="240" w:lineRule="auto"/>
      </w:pPr>
    </w:p>
    <w:sectPr w:rsidR="00694581" w:rsidSect="005A62E5">
      <w:headerReference w:type="even" r:id="rId45"/>
      <w:headerReference w:type="default" r:id="rId46"/>
      <w:footerReference w:type="even" r:id="rId47"/>
      <w:footerReference w:type="default" r:id="rId48"/>
      <w:pgSz w:w="11906" w:h="16838" w:code="9"/>
      <w:pgMar w:top="1418" w:right="1418" w:bottom="1134" w:left="1418"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44CDE" w14:textId="77777777" w:rsidR="009349BA" w:rsidRDefault="009349BA">
      <w:r>
        <w:separator/>
      </w:r>
    </w:p>
  </w:endnote>
  <w:endnote w:type="continuationSeparator" w:id="0">
    <w:p w14:paraId="02C9201F" w14:textId="77777777" w:rsidR="009349BA" w:rsidRDefault="0093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533E" w14:textId="7B200D14" w:rsidR="002C71B2" w:rsidRDefault="009B401B">
    <w:pPr>
      <w:pStyle w:val="Footer"/>
    </w:pPr>
    <w:r>
      <w:rPr>
        <w:noProof/>
      </w:rPr>
      <mc:AlternateContent>
        <mc:Choice Requires="wps">
          <w:drawing>
            <wp:anchor distT="0" distB="0" distL="0" distR="0" simplePos="0" relativeHeight="251658250" behindDoc="0" locked="0" layoutInCell="1" allowOverlap="1" wp14:anchorId="17A2A48A" wp14:editId="3653CCEC">
              <wp:simplePos x="635" y="635"/>
              <wp:positionH relativeFrom="page">
                <wp:align>center</wp:align>
              </wp:positionH>
              <wp:positionV relativeFrom="page">
                <wp:align>bottom</wp:align>
              </wp:positionV>
              <wp:extent cx="622300" cy="376555"/>
              <wp:effectExtent l="0" t="0" r="6350" b="0"/>
              <wp:wrapNone/>
              <wp:docPr id="144384734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5BA9E7" w14:textId="0F91B8CB"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A2A48A" id="_x0000_t202" coordsize="21600,21600" o:spt="202" path="m,l,21600r21600,l21600,xe">
              <v:stroke joinstyle="miter"/>
              <v:path gradientshapeok="t" o:connecttype="rect"/>
            </v:shapetype>
            <v:shape id="Text Box 11" o:spid="_x0000_s1028" type="#_x0000_t202" alt="OFFICIAL" style="position:absolute;margin-left:0;margin-top:0;width:49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185BA9E7" w14:textId="0F91B8CB"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54B4" w14:textId="23EFA6C2" w:rsidR="00C053A1" w:rsidRPr="005A62E5" w:rsidRDefault="009B401B" w:rsidP="002C71B2">
    <w:pPr>
      <w:pStyle w:val="Header"/>
      <w:tabs>
        <w:tab w:val="clear" w:pos="4153"/>
        <w:tab w:val="clear" w:pos="8306"/>
        <w:tab w:val="left" w:pos="5445"/>
        <w:tab w:val="right" w:pos="9072"/>
      </w:tabs>
      <w:spacing w:after="360"/>
      <w:rPr>
        <w:noProof/>
        <w:sz w:val="20"/>
      </w:rPr>
    </w:pPr>
    <w:r>
      <w:rPr>
        <w:noProof/>
        <w:color w:val="505050"/>
      </w:rPr>
      <mc:AlternateContent>
        <mc:Choice Requires="wps">
          <w:drawing>
            <wp:anchor distT="0" distB="0" distL="0" distR="0" simplePos="0" relativeHeight="251658258" behindDoc="0" locked="0" layoutInCell="1" allowOverlap="1" wp14:anchorId="3BDD15E7" wp14:editId="0016A0AE">
              <wp:simplePos x="903514" y="10270671"/>
              <wp:positionH relativeFrom="page">
                <wp:align>center</wp:align>
              </wp:positionH>
              <wp:positionV relativeFrom="page">
                <wp:align>bottom</wp:align>
              </wp:positionV>
              <wp:extent cx="622300" cy="376555"/>
              <wp:effectExtent l="0" t="0" r="6350" b="0"/>
              <wp:wrapNone/>
              <wp:docPr id="924123534"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F164A3" w14:textId="77AEA47E"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DD15E7" id="_x0000_t202" coordsize="21600,21600" o:spt="202" path="m,l,21600r21600,l21600,xe">
              <v:stroke joinstyle="miter"/>
              <v:path gradientshapeok="t" o:connecttype="rect"/>
            </v:shapetype>
            <v:shape id="Text Box 19" o:spid="_x0000_s1044" type="#_x0000_t202" alt="OFFICIAL" style="position:absolute;margin-left:0;margin-top:0;width:49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zbNDgIAAB0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Srs/nZsfw/VGady0C/cW75psPaW+fDCHG4Y20XV&#10;hmc8pIK2pDBYlNTgfvzNH/OReIxS0qJiSmpQ0pSobwYXEsU1Gm409smY3uXzyI856gdAHU7xSVie&#10;TPS6oEZTOtBvqOd1LIQhZjiWK+l+NB9CL118D1ys1ykJdWRZ2Jqd5RE68hXJfO3emLMD4wFX9QSj&#10;nFjxjvg+N970dn0MSH/aSuS2J3KgHDWY9jq8lyjyX/9T1vVVr34C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Lw/Ns0OAgAAHQQA&#10;AA4AAAAAAAAAAAAAAAAALgIAAGRycy9lMm9Eb2MueG1sUEsBAi0AFAAGAAgAAAAhAGmI2w/ZAAAA&#10;AwEAAA8AAAAAAAAAAAAAAAAAaAQAAGRycy9kb3ducmV2LnhtbFBLBQYAAAAABAAEAPMAAABuBQAA&#10;AAA=&#10;" filled="f" stroked="f">
              <v:textbox style="mso-fit-shape-to-text:t" inset="0,0,0,15pt">
                <w:txbxContent>
                  <w:p w14:paraId="70F164A3" w14:textId="77AEA47E"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r w:rsidR="005A62E5">
      <w:rPr>
        <w:color w:val="505050"/>
      </w:rPr>
      <w:t>Australian Communications and Media Authority</w:t>
    </w:r>
    <w:r w:rsidR="005A62E5">
      <w:rPr>
        <w:color w:val="505050"/>
      </w:rPr>
      <w:tab/>
    </w:r>
    <w:r w:rsidR="005A62E5">
      <w:rPr>
        <w:color w:val="505050"/>
      </w:rPr>
      <w:tab/>
    </w:r>
    <w:sdt>
      <w:sdtPr>
        <w:id w:val="726493579"/>
        <w:docPartObj>
          <w:docPartGallery w:val="Page Numbers (Top of Page)"/>
          <w:docPartUnique/>
        </w:docPartObj>
      </w:sdtPr>
      <w:sdtEndPr>
        <w:rPr>
          <w:noProof/>
        </w:rPr>
      </w:sdtEndPr>
      <w:sdtContent>
        <w:r w:rsidR="005A62E5">
          <w:fldChar w:fldCharType="begin"/>
        </w:r>
        <w:r w:rsidR="005A62E5">
          <w:instrText xml:space="preserve"> PAGE   \* MERGEFORMAT </w:instrText>
        </w:r>
        <w:r w:rsidR="005A62E5">
          <w:fldChar w:fldCharType="separate"/>
        </w:r>
        <w:r w:rsidR="005A62E5">
          <w:t>1</w:t>
        </w:r>
        <w:r w:rsidR="005A62E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FC52" w14:textId="5D9F7B6B" w:rsidR="005E250B" w:rsidRDefault="009B401B" w:rsidP="005E250B">
    <w:pPr>
      <w:pStyle w:val="Footer"/>
      <w:jc w:val="right"/>
    </w:pPr>
    <w:r>
      <w:rPr>
        <w:noProof/>
        <w:vertAlign w:val="subscript"/>
      </w:rPr>
      <mc:AlternateContent>
        <mc:Choice Requires="wps">
          <w:drawing>
            <wp:anchor distT="0" distB="0" distL="0" distR="0" simplePos="0" relativeHeight="251658251" behindDoc="0" locked="0" layoutInCell="1" allowOverlap="1" wp14:anchorId="4A4E965B" wp14:editId="07AC5EDF">
              <wp:simplePos x="635" y="635"/>
              <wp:positionH relativeFrom="page">
                <wp:align>center</wp:align>
              </wp:positionH>
              <wp:positionV relativeFrom="page">
                <wp:align>bottom</wp:align>
              </wp:positionV>
              <wp:extent cx="622300" cy="376555"/>
              <wp:effectExtent l="0" t="0" r="6350" b="0"/>
              <wp:wrapNone/>
              <wp:docPr id="5277899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09B0BB" w14:textId="23CDA72A"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4E965B" id="_x0000_t202" coordsize="21600,21600" o:spt="202" path="m,l,21600r21600,l21600,xe">
              <v:stroke joinstyle="miter"/>
              <v:path gradientshapeok="t" o:connecttype="rect"/>
            </v:shapetype>
            <v:shape id="Text Box 12" o:spid="_x0000_s1029" type="#_x0000_t202" alt="OFFICIAL" style="position:absolute;left:0;text-align:left;margin-left:0;margin-top:0;width:49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909B0BB" w14:textId="23CDA72A"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r w:rsidR="005E250B" w:rsidRPr="005E250B">
      <w:rPr>
        <w:noProof/>
        <w:vertAlign w:val="subscript"/>
      </w:rPr>
      <w:drawing>
        <wp:inline distT="0" distB="0" distL="0" distR="0" wp14:anchorId="01CEC6C2" wp14:editId="74ABA377">
          <wp:extent cx="1066800" cy="277368"/>
          <wp:effectExtent l="0" t="0" r="0" b="0"/>
          <wp:docPr id="1531462038" name="Picture 1531462038"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631C" w14:textId="6A692F4B" w:rsidR="002C71B2" w:rsidRDefault="009B401B">
    <w:pPr>
      <w:pStyle w:val="Footer"/>
    </w:pPr>
    <w:r>
      <w:rPr>
        <w:noProof/>
      </w:rPr>
      <mc:AlternateContent>
        <mc:Choice Requires="wps">
          <w:drawing>
            <wp:anchor distT="0" distB="0" distL="0" distR="0" simplePos="0" relativeHeight="251658249" behindDoc="0" locked="0" layoutInCell="1" allowOverlap="1" wp14:anchorId="6048455B" wp14:editId="47B49152">
              <wp:simplePos x="635" y="635"/>
              <wp:positionH relativeFrom="page">
                <wp:align>center</wp:align>
              </wp:positionH>
              <wp:positionV relativeFrom="page">
                <wp:align>bottom</wp:align>
              </wp:positionV>
              <wp:extent cx="622300" cy="376555"/>
              <wp:effectExtent l="0" t="0" r="6350" b="0"/>
              <wp:wrapNone/>
              <wp:docPr id="102550297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1B47D7" w14:textId="0E9FBEFA"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48455B" id="_x0000_t202" coordsize="21600,21600" o:spt="202" path="m,l,21600r21600,l21600,xe">
              <v:stroke joinstyle="miter"/>
              <v:path gradientshapeok="t" o:connecttype="rect"/>
            </v:shapetype>
            <v:shape id="Text Box 10" o:spid="_x0000_s1031" type="#_x0000_t202" alt="OFFICIAL" style="position:absolute;margin-left:0;margin-top:0;width:49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11B47D7" w14:textId="0E9FBEFA"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B8B1" w14:textId="3AF0F986" w:rsidR="00C053A1" w:rsidRDefault="009B401B">
    <w:pPr>
      <w:pStyle w:val="Footer"/>
    </w:pPr>
    <w:r>
      <w:rPr>
        <w:noProof/>
      </w:rPr>
      <mc:AlternateContent>
        <mc:Choice Requires="wps">
          <w:drawing>
            <wp:anchor distT="0" distB="0" distL="0" distR="0" simplePos="0" relativeHeight="251658252" behindDoc="0" locked="0" layoutInCell="1" allowOverlap="1" wp14:anchorId="49A16EC2" wp14:editId="635A824F">
              <wp:simplePos x="635" y="635"/>
              <wp:positionH relativeFrom="page">
                <wp:align>center</wp:align>
              </wp:positionH>
              <wp:positionV relativeFrom="page">
                <wp:align>bottom</wp:align>
              </wp:positionV>
              <wp:extent cx="622300" cy="376555"/>
              <wp:effectExtent l="0" t="0" r="6350" b="0"/>
              <wp:wrapNone/>
              <wp:docPr id="53049629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D6A139E" w14:textId="397F42A1"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A16EC2" id="_x0000_t202" coordsize="21600,21600" o:spt="202" path="m,l,21600r21600,l21600,xe">
              <v:stroke joinstyle="miter"/>
              <v:path gradientshapeok="t" o:connecttype="rect"/>
            </v:shapetype>
            <v:shape id="Text Box 13" o:spid="_x0000_s1034" type="#_x0000_t202" alt="OFFICIAL" style="position:absolute;margin-left:0;margin-top:0;width:49pt;height:29.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giDg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ZGw43GPhnTu3we6TFH/QAowym+CMuT&#10;iV4X1GhKB/oN5byOhTDEDMdyJd2P5kPolYvPgYv1OiWhjCwLW7OzPEJHuiKXr90bc3YgPOCmnmBU&#10;Eyve8d7nxpvero8B2U9LidT2RA6MowTTWofnEjX+63/Kuj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F0kWCIOAgAAHAQA&#10;AA4AAAAAAAAAAAAAAAAALgIAAGRycy9lMm9Eb2MueG1sUEsBAi0AFAAGAAgAAAAhAGmI2w/ZAAAA&#10;AwEAAA8AAAAAAAAAAAAAAAAAaAQAAGRycy9kb3ducmV2LnhtbFBLBQYAAAAABAAEAPMAAABuBQAA&#10;AAA=&#10;" filled="f" stroked="f">
              <v:textbox style="mso-fit-shape-to-text:t" inset="0,0,0,15pt">
                <w:txbxContent>
                  <w:p w14:paraId="0D6A139E" w14:textId="397F42A1"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2A0D" w14:textId="6F380252" w:rsidR="00C053A1" w:rsidRDefault="009B401B">
    <w:pPr>
      <w:pStyle w:val="Footer"/>
    </w:pPr>
    <w:r>
      <w:rPr>
        <w:noProof/>
      </w:rPr>
      <mc:AlternateContent>
        <mc:Choice Requires="wps">
          <w:drawing>
            <wp:anchor distT="0" distB="0" distL="0" distR="0" simplePos="0" relativeHeight="251658253" behindDoc="0" locked="0" layoutInCell="1" allowOverlap="1" wp14:anchorId="52BDEDA9" wp14:editId="1D4338AA">
              <wp:simplePos x="635" y="635"/>
              <wp:positionH relativeFrom="page">
                <wp:align>center</wp:align>
              </wp:positionH>
              <wp:positionV relativeFrom="page">
                <wp:align>bottom</wp:align>
              </wp:positionV>
              <wp:extent cx="622300" cy="376555"/>
              <wp:effectExtent l="0" t="0" r="6350" b="0"/>
              <wp:wrapNone/>
              <wp:docPr id="46335901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CCCD07" w14:textId="3BE25F4F"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BDEDA9" id="_x0000_t202" coordsize="21600,21600" o:spt="202" path="m,l,21600r21600,l21600,xe">
              <v:stroke joinstyle="miter"/>
              <v:path gradientshapeok="t" o:connecttype="rect"/>
            </v:shapetype>
            <v:shape id="Text Box 14" o:spid="_x0000_s1035" type="#_x0000_t202" alt="OFFICIAL" style="position:absolute;margin-left:0;margin-top:0;width:49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fDg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uS3o7dV1CfcCgHw7695ZsWS2+ZD8/M4YKxWxRt&#10;eMJDKuhKCmeLkgbcz7/5Yz7yjlFKOhRMSQ0qmhL13eA+orZGw41GlYzpbT6P9JiDvgeU4RRfhOXJ&#10;RK8LajSlA/2Kcl7HQhhihmO5klajeR8G5eJz4GK9TkkoI8vC1uwsj9CRrsjlS//KnD0THnBTjzCq&#10;iRXveB9y401v14eA7KelRGoHIs+MowTTWs/PJWr87X/Kuj7q1S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DCb6h8OAgAAHAQA&#10;AA4AAAAAAAAAAAAAAAAALgIAAGRycy9lMm9Eb2MueG1sUEsBAi0AFAAGAAgAAAAhAGmI2w/ZAAAA&#10;AwEAAA8AAAAAAAAAAAAAAAAAaAQAAGRycy9kb3ducmV2LnhtbFBLBQYAAAAABAAEAPMAAABuBQAA&#10;AAA=&#10;" filled="f" stroked="f">
              <v:textbox style="mso-fit-shape-to-text:t" inset="0,0,0,15pt">
                <w:txbxContent>
                  <w:p w14:paraId="30CCCD07" w14:textId="3BE25F4F"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A730" w14:textId="334A8D00" w:rsidR="00C053A1" w:rsidRPr="00401FFD" w:rsidRDefault="009B401B" w:rsidP="00401FFD">
    <w:pPr>
      <w:pStyle w:val="Header"/>
      <w:tabs>
        <w:tab w:val="clear" w:pos="4153"/>
        <w:tab w:val="clear" w:pos="8306"/>
        <w:tab w:val="right" w:pos="9072"/>
      </w:tabs>
      <w:rPr>
        <w:noProof/>
        <w:sz w:val="20"/>
      </w:rPr>
    </w:pPr>
    <w:r>
      <w:rPr>
        <w:noProof/>
        <w:color w:val="505050"/>
      </w:rPr>
      <mc:AlternateContent>
        <mc:Choice Requires="wps">
          <w:drawing>
            <wp:anchor distT="0" distB="0" distL="0" distR="0" simplePos="0" relativeHeight="251658255" behindDoc="0" locked="0" layoutInCell="1" allowOverlap="1" wp14:anchorId="4E0FF8B0" wp14:editId="12C4C2F4">
              <wp:simplePos x="635" y="635"/>
              <wp:positionH relativeFrom="page">
                <wp:align>center</wp:align>
              </wp:positionH>
              <wp:positionV relativeFrom="page">
                <wp:align>bottom</wp:align>
              </wp:positionV>
              <wp:extent cx="622300" cy="376555"/>
              <wp:effectExtent l="0" t="0" r="6350" b="0"/>
              <wp:wrapNone/>
              <wp:docPr id="25249810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613B0A" w14:textId="38229572"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0FF8B0" id="_x0000_t202" coordsize="21600,21600" o:spt="202" path="m,l,21600r21600,l21600,xe">
              <v:stroke joinstyle="miter"/>
              <v:path gradientshapeok="t" o:connecttype="rect"/>
            </v:shapetype>
            <v:shape id="Text Box 16" o:spid="_x0000_s1038" type="#_x0000_t202" alt="OFFICIAL" style="position:absolute;margin-left:0;margin-top:0;width:49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eADgIAAB0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UXdz8b2d1CdaCqEYeHeyU1DtR+ED88CacPULqk2&#10;PNGhDXQlh7PFWQ3442/+mE/EU5SzjhRTckuS5sx8s7SQKK7RwNHYJWP6OZ9HfuyhvQPS4ZSehJPJ&#10;JC8GM5oaoX0lPa9jIQoJK6lcyXejeRcG6dJ7kGq9TkmkIyfCg906GaEjX5HMl/5VoDszHmhVjzDK&#10;SRRviB9y403v1odA9KetRG4HIs+UkwbTXs/vJYr81/+UdX3Vq5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E+8t4AOAgAAHQQA&#10;AA4AAAAAAAAAAAAAAAAALgIAAGRycy9lMm9Eb2MueG1sUEsBAi0AFAAGAAgAAAAhAGmI2w/ZAAAA&#10;AwEAAA8AAAAAAAAAAAAAAAAAaAQAAGRycy9kb3ducmV2LnhtbFBLBQYAAAAABAAEAPMAAABuBQAA&#10;AAA=&#10;" filled="f" stroked="f">
              <v:textbox style="mso-fit-shape-to-text:t" inset="0,0,0,15pt">
                <w:txbxContent>
                  <w:p w14:paraId="07613B0A" w14:textId="38229572"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r w:rsidR="00401FFD">
      <w:rPr>
        <w:color w:val="505050"/>
      </w:rPr>
      <w:t>Australian Communications and Media Authority</w:t>
    </w:r>
    <w:r w:rsidR="00401FFD">
      <w:rPr>
        <w:color w:val="505050"/>
      </w:rPr>
      <w:tab/>
    </w:r>
    <w:r w:rsidR="00401FFD" w:rsidRPr="005A62E5">
      <w:rPr>
        <w:color w:val="505050"/>
      </w:rPr>
      <w:fldChar w:fldCharType="begin"/>
    </w:r>
    <w:r w:rsidR="00401FFD" w:rsidRPr="005A62E5">
      <w:rPr>
        <w:color w:val="505050"/>
      </w:rPr>
      <w:instrText xml:space="preserve"> PAGE   \* MERGEFORMAT </w:instrText>
    </w:r>
    <w:r w:rsidR="00401FFD" w:rsidRPr="005A62E5">
      <w:rPr>
        <w:color w:val="505050"/>
      </w:rPr>
      <w:fldChar w:fldCharType="separate"/>
    </w:r>
    <w:r w:rsidR="00401FFD">
      <w:rPr>
        <w:color w:val="505050"/>
      </w:rPr>
      <w:t>iii</w:t>
    </w:r>
    <w:r w:rsidR="00401FFD" w:rsidRPr="005A62E5">
      <w:rPr>
        <w:noProof/>
        <w:color w:val="50505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B4A1" w14:textId="0D490E18" w:rsidR="00C053A1" w:rsidRPr="00401FFD" w:rsidRDefault="009B401B" w:rsidP="00401FFD">
    <w:pPr>
      <w:pStyle w:val="Header"/>
      <w:tabs>
        <w:tab w:val="clear" w:pos="4153"/>
        <w:tab w:val="clear" w:pos="8306"/>
        <w:tab w:val="right" w:pos="9072"/>
      </w:tabs>
      <w:rPr>
        <w:noProof/>
        <w:sz w:val="20"/>
      </w:rPr>
    </w:pPr>
    <w:r>
      <w:rPr>
        <w:noProof/>
        <w:color w:val="505050"/>
      </w:rPr>
      <mc:AlternateContent>
        <mc:Choice Requires="wps">
          <w:drawing>
            <wp:anchor distT="0" distB="0" distL="0" distR="0" simplePos="0" relativeHeight="251658256" behindDoc="0" locked="0" layoutInCell="1" allowOverlap="1" wp14:anchorId="46AE7035" wp14:editId="0F910B80">
              <wp:simplePos x="635" y="635"/>
              <wp:positionH relativeFrom="page">
                <wp:align>center</wp:align>
              </wp:positionH>
              <wp:positionV relativeFrom="page">
                <wp:align>bottom</wp:align>
              </wp:positionV>
              <wp:extent cx="622300" cy="376555"/>
              <wp:effectExtent l="0" t="0" r="6350" b="0"/>
              <wp:wrapNone/>
              <wp:docPr id="1816373689"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40CC7F" w14:textId="64F1E985"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AE7035" id="_x0000_t202" coordsize="21600,21600" o:spt="202" path="m,l,21600r21600,l21600,xe">
              <v:stroke joinstyle="miter"/>
              <v:path gradientshapeok="t" o:connecttype="rect"/>
            </v:shapetype>
            <v:shape id="Text Box 17" o:spid="_x0000_s1039" type="#_x0000_t202" alt="OFFICIAL" style="position:absolute;margin-left:0;margin-top:0;width:49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CIDBb0OAgAAHQQA&#10;AA4AAAAAAAAAAAAAAAAALgIAAGRycy9lMm9Eb2MueG1sUEsBAi0AFAAGAAgAAAAhAGmI2w/ZAAAA&#10;AwEAAA8AAAAAAAAAAAAAAAAAaAQAAGRycy9kb3ducmV2LnhtbFBLBQYAAAAABAAEAPMAAABuBQAA&#10;AAA=&#10;" filled="f" stroked="f">
              <v:textbox style="mso-fit-shape-to-text:t" inset="0,0,0,15pt">
                <w:txbxContent>
                  <w:p w14:paraId="2440CC7F" w14:textId="64F1E985"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r w:rsidR="00401FFD">
      <w:rPr>
        <w:color w:val="505050"/>
      </w:rPr>
      <w:t>Australian Communications and Media Authority</w:t>
    </w:r>
    <w:r w:rsidR="00401FFD">
      <w:rPr>
        <w:color w:val="505050"/>
      </w:rPr>
      <w:tab/>
    </w:r>
    <w:r w:rsidR="00401FFD" w:rsidRPr="005A62E5">
      <w:rPr>
        <w:color w:val="505050"/>
      </w:rPr>
      <w:fldChar w:fldCharType="begin"/>
    </w:r>
    <w:r w:rsidR="00401FFD" w:rsidRPr="005A62E5">
      <w:rPr>
        <w:color w:val="505050"/>
      </w:rPr>
      <w:instrText xml:space="preserve"> PAGE   \* MERGEFORMAT </w:instrText>
    </w:r>
    <w:r w:rsidR="00401FFD" w:rsidRPr="005A62E5">
      <w:rPr>
        <w:color w:val="505050"/>
      </w:rPr>
      <w:fldChar w:fldCharType="separate"/>
    </w:r>
    <w:r w:rsidR="00401FFD">
      <w:rPr>
        <w:color w:val="505050"/>
      </w:rPr>
      <w:t>iii</w:t>
    </w:r>
    <w:r w:rsidR="00401FFD" w:rsidRPr="005A62E5">
      <w:rPr>
        <w:noProof/>
        <w:color w:val="50505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5108" w14:textId="06988B43" w:rsidR="00C053A1" w:rsidRPr="005A62E5" w:rsidRDefault="009B401B" w:rsidP="002C71B2">
    <w:pPr>
      <w:pStyle w:val="Header"/>
      <w:tabs>
        <w:tab w:val="clear" w:pos="4153"/>
        <w:tab w:val="clear" w:pos="8306"/>
        <w:tab w:val="right" w:pos="9072"/>
      </w:tabs>
      <w:spacing w:after="360"/>
      <w:rPr>
        <w:noProof/>
        <w:sz w:val="20"/>
      </w:rPr>
    </w:pPr>
    <w:r>
      <w:rPr>
        <w:noProof/>
        <w:color w:val="505050"/>
      </w:rPr>
      <mc:AlternateContent>
        <mc:Choice Requires="wps">
          <w:drawing>
            <wp:anchor distT="0" distB="0" distL="0" distR="0" simplePos="0" relativeHeight="251658254" behindDoc="0" locked="0" layoutInCell="1" allowOverlap="1" wp14:anchorId="25234B0E" wp14:editId="5CB25B86">
              <wp:simplePos x="635" y="635"/>
              <wp:positionH relativeFrom="page">
                <wp:align>center</wp:align>
              </wp:positionH>
              <wp:positionV relativeFrom="page">
                <wp:align>bottom</wp:align>
              </wp:positionV>
              <wp:extent cx="622300" cy="376555"/>
              <wp:effectExtent l="0" t="0" r="6350" b="0"/>
              <wp:wrapNone/>
              <wp:docPr id="700403882"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473A34" w14:textId="2590E470"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234B0E" id="_x0000_t202" coordsize="21600,21600" o:spt="202" path="m,l,21600r21600,l21600,xe">
              <v:stroke joinstyle="miter"/>
              <v:path gradientshapeok="t" o:connecttype="rect"/>
            </v:shapetype>
            <v:shape id="Text Box 15" o:spid="_x0000_s1040" type="#_x0000_t202" alt="OFFICIAL" style="position:absolute;margin-left:0;margin-top:0;width:49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gNDgIAAB0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DV2/3Fsv4L6hFM5GBbuLd+0WHvLfHhmDjeM7aJq&#10;wxMeUkFXUjhblDTgfvzNH/OReIxS0qFiSmpQ0pSobwYXEsU1Gm40qmRMP+fzyI856HtAHU7xSVie&#10;TPS6oEZTOtCvqOd1LIQhZjiWK2k1mvdhkC6+By7W65SEOrIsbM3O8ggd+YpkvvSvzNkz4wFX9Qij&#10;nFjxhvghN970dn0ISH/aSuR2IPJMOWow7fX8XqLIf/1PWddXvfoJ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CE/GA0OAgAAHQQA&#10;AA4AAAAAAAAAAAAAAAAALgIAAGRycy9lMm9Eb2MueG1sUEsBAi0AFAAGAAgAAAAhAGmI2w/ZAAAA&#10;AwEAAA8AAAAAAAAAAAAAAAAAaAQAAGRycy9kb3ducmV2LnhtbFBLBQYAAAAABAAEAPMAAABuBQAA&#10;AAA=&#10;" filled="f" stroked="f">
              <v:textbox style="mso-fit-shape-to-text:t" inset="0,0,0,15pt">
                <w:txbxContent>
                  <w:p w14:paraId="76473A34" w14:textId="2590E470"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r w:rsidR="005A62E5">
      <w:rPr>
        <w:color w:val="505050"/>
      </w:rPr>
      <w:t>Australian Communications and Media Authority</w:t>
    </w:r>
    <w:r w:rsidR="005A62E5">
      <w:rPr>
        <w:color w:val="505050"/>
      </w:rPr>
      <w:tab/>
    </w:r>
    <w:r w:rsidR="005A62E5" w:rsidRPr="005A62E5">
      <w:rPr>
        <w:color w:val="505050"/>
      </w:rPr>
      <w:fldChar w:fldCharType="begin"/>
    </w:r>
    <w:r w:rsidR="005A62E5" w:rsidRPr="005A62E5">
      <w:rPr>
        <w:color w:val="505050"/>
      </w:rPr>
      <w:instrText xml:space="preserve"> PAGE   \* MERGEFORMAT </w:instrText>
    </w:r>
    <w:r w:rsidR="005A62E5" w:rsidRPr="005A62E5">
      <w:rPr>
        <w:color w:val="505050"/>
      </w:rPr>
      <w:fldChar w:fldCharType="separate"/>
    </w:r>
    <w:r w:rsidR="005A62E5" w:rsidRPr="005A62E5">
      <w:rPr>
        <w:noProof/>
        <w:color w:val="505050"/>
      </w:rPr>
      <w:t>1</w:t>
    </w:r>
    <w:r w:rsidR="005A62E5" w:rsidRPr="005A62E5">
      <w:rPr>
        <w:noProof/>
        <w:color w:val="50505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E14D" w14:textId="32D4B803" w:rsidR="00C053A1" w:rsidRPr="005A62E5" w:rsidRDefault="009B401B" w:rsidP="002C71B2">
    <w:pPr>
      <w:pStyle w:val="Header"/>
      <w:tabs>
        <w:tab w:val="clear" w:pos="4153"/>
        <w:tab w:val="clear" w:pos="8306"/>
        <w:tab w:val="left" w:pos="5445"/>
        <w:tab w:val="right" w:pos="9072"/>
      </w:tabs>
      <w:spacing w:after="360"/>
      <w:rPr>
        <w:noProof/>
        <w:sz w:val="20"/>
      </w:rPr>
    </w:pPr>
    <w:r>
      <w:rPr>
        <w:noProof/>
        <w:color w:val="505050"/>
      </w:rPr>
      <mc:AlternateContent>
        <mc:Choice Requires="wps">
          <w:drawing>
            <wp:anchor distT="0" distB="0" distL="0" distR="0" simplePos="0" relativeHeight="251658257" behindDoc="0" locked="0" layoutInCell="1" allowOverlap="1" wp14:anchorId="25A42049" wp14:editId="2CE7ABF2">
              <wp:simplePos x="903514" y="10270671"/>
              <wp:positionH relativeFrom="page">
                <wp:align>center</wp:align>
              </wp:positionH>
              <wp:positionV relativeFrom="page">
                <wp:align>bottom</wp:align>
              </wp:positionV>
              <wp:extent cx="622300" cy="376555"/>
              <wp:effectExtent l="0" t="0" r="6350" b="0"/>
              <wp:wrapNone/>
              <wp:docPr id="161081285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AEA77AE" w14:textId="2FFE0E20"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A42049" id="_x0000_t202" coordsize="21600,21600" o:spt="202" path="m,l,21600r21600,l21600,xe">
              <v:stroke joinstyle="miter"/>
              <v:path gradientshapeok="t" o:connecttype="rect"/>
            </v:shapetype>
            <v:shape id="Text Box 18" o:spid="_x0000_s1043" type="#_x0000_t202" alt="OFFICIAL" style="position:absolute;margin-left:0;margin-top:0;width:49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LDgIAAB0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Srs/nZsfw/VGady0C/cW75psPaW+fDCHG4Y20XV&#10;hmc8pIK2pDBYlNTgfvzNH/OReIxS0qJiSmpQ0pSobwYXEsU1Gm409smY3uXzyI856gdAHU7xSVie&#10;TPS6oEZTOtBvqOd1LIQhZjiWK+l+NB9CL118D1ys1ykJdWRZ2Jqd5RE68hXJfO3emLMD4wFX9QSj&#10;nFjxjvg+N970dn0MSH/aSuS2J3KgHDWY9jq8lyjyX/9T1vVVr34C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Jb+z0sOAgAAHQQA&#10;AA4AAAAAAAAAAAAAAAAALgIAAGRycy9lMm9Eb2MueG1sUEsBAi0AFAAGAAgAAAAhAGmI2w/ZAAAA&#10;AwEAAA8AAAAAAAAAAAAAAAAAaAQAAGRycy9kb3ducmV2LnhtbFBLBQYAAAAABAAEAPMAAABuBQAA&#10;AAA=&#10;" filled="f" stroked="f">
              <v:textbox style="mso-fit-shape-to-text:t" inset="0,0,0,15pt">
                <w:txbxContent>
                  <w:p w14:paraId="1AEA77AE" w14:textId="2FFE0E20"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r w:rsidR="005A62E5">
      <w:rPr>
        <w:color w:val="505050"/>
      </w:rPr>
      <w:t>Australian Communications and Media Authority</w:t>
    </w:r>
    <w:r w:rsidR="005A62E5">
      <w:rPr>
        <w:color w:val="505050"/>
      </w:rPr>
      <w:tab/>
    </w:r>
    <w:r w:rsidR="005A62E5">
      <w:rPr>
        <w:color w:val="505050"/>
      </w:rPr>
      <w:tab/>
    </w:r>
    <w:sdt>
      <w:sdtPr>
        <w:id w:val="-305168851"/>
        <w:docPartObj>
          <w:docPartGallery w:val="Page Numbers (Top of Page)"/>
          <w:docPartUnique/>
        </w:docPartObj>
      </w:sdtPr>
      <w:sdtEndPr>
        <w:rPr>
          <w:noProof/>
        </w:rPr>
      </w:sdtEndPr>
      <w:sdtContent>
        <w:r w:rsidR="005A62E5">
          <w:fldChar w:fldCharType="begin"/>
        </w:r>
        <w:r w:rsidR="005A62E5">
          <w:instrText xml:space="preserve"> PAGE   \* MERGEFORMAT </w:instrText>
        </w:r>
        <w:r w:rsidR="005A62E5">
          <w:fldChar w:fldCharType="separate"/>
        </w:r>
        <w:r w:rsidR="005A62E5">
          <w:t>1</w:t>
        </w:r>
        <w:r w:rsidR="005A62E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E6CD" w14:textId="77777777" w:rsidR="009349BA" w:rsidRDefault="009349BA" w:rsidP="00DB3A64">
      <w:pPr>
        <w:spacing w:after="0"/>
      </w:pPr>
      <w:r>
        <w:separator/>
      </w:r>
    </w:p>
  </w:footnote>
  <w:footnote w:type="continuationSeparator" w:id="0">
    <w:p w14:paraId="079621F3" w14:textId="77777777" w:rsidR="009349BA" w:rsidRDefault="009349BA">
      <w:r>
        <w:continuationSeparator/>
      </w:r>
    </w:p>
  </w:footnote>
  <w:footnote w:id="1">
    <w:p w14:paraId="0FE28309" w14:textId="77777777" w:rsidR="002F7657" w:rsidRDefault="002F7657" w:rsidP="002F7657">
      <w:pPr>
        <w:pStyle w:val="FootnoteText"/>
        <w:spacing w:after="60" w:line="240" w:lineRule="auto"/>
      </w:pPr>
      <w:r>
        <w:rPr>
          <w:rStyle w:val="FootnoteReference"/>
        </w:rPr>
        <w:footnoteRef/>
      </w:r>
      <w:r>
        <w:t xml:space="preserve"> Equivalent isotropic radiated power.</w:t>
      </w:r>
    </w:p>
  </w:footnote>
  <w:footnote w:id="2">
    <w:p w14:paraId="7FC9AD2F" w14:textId="77777777" w:rsidR="002F7657" w:rsidRDefault="002F7657" w:rsidP="002F7657">
      <w:pPr>
        <w:pStyle w:val="FootnoteText"/>
        <w:spacing w:line="240" w:lineRule="auto"/>
      </w:pPr>
      <w:r>
        <w:rPr>
          <w:rStyle w:val="FootnoteReference"/>
        </w:rPr>
        <w:footnoteRef/>
      </w:r>
      <w:r>
        <w:t xml:space="preserve"> </w:t>
      </w:r>
      <w:r w:rsidRPr="00CF0720">
        <w:t xml:space="preserve">3GPP R4-168430, </w:t>
      </w:r>
      <w:r>
        <w:t>‘</w:t>
      </w:r>
      <w:r w:rsidRPr="00CF0720">
        <w:t>On NRb BS ACLR requirement</w:t>
      </w:r>
      <w:r>
        <w:t>’</w:t>
      </w:r>
      <w:r w:rsidRPr="00CF0720">
        <w:t>, Huawei, 3GPP TSG-RAN WG4 Meeting #80bis, Oct</w:t>
      </w:r>
      <w:r>
        <w:t>ober</w:t>
      </w:r>
      <w:r w:rsidRPr="00CF0720">
        <w:t xml:space="preserve"> 2016</w:t>
      </w:r>
      <w:r>
        <w:t>.</w:t>
      </w:r>
    </w:p>
  </w:footnote>
  <w:footnote w:id="3">
    <w:p w14:paraId="7705D7C3" w14:textId="730A3755" w:rsidR="002F7657" w:rsidRDefault="002F7657" w:rsidP="002F7657">
      <w:pPr>
        <w:pStyle w:val="FootnoteText"/>
      </w:pPr>
      <w:r>
        <w:rPr>
          <w:rStyle w:val="FootnoteReference"/>
        </w:rPr>
        <w:footnoteRef/>
      </w:r>
      <w:r>
        <w:t xml:space="preserve"> A gain of </w:t>
      </w:r>
      <w:r w:rsidR="0079063C">
        <w:t>17</w:t>
      </w:r>
      <w:r>
        <w:t xml:space="preserve"> dBi (</w:t>
      </w:r>
      <w:r w:rsidR="0079063C">
        <w:t xml:space="preserve">based on </w:t>
      </w:r>
      <w:r w:rsidR="00333E80">
        <w:t>agreed</w:t>
      </w:r>
      <w:r w:rsidR="002B5E26">
        <w:t xml:space="preserve"> parameters </w:t>
      </w:r>
      <w:r w:rsidR="00333E80">
        <w:t>from</w:t>
      </w:r>
      <w:r w:rsidR="00E85CEC">
        <w:t xml:space="preserve"> the</w:t>
      </w:r>
      <w:r w:rsidR="0079063C">
        <w:t xml:space="preserve"> </w:t>
      </w:r>
      <w:r w:rsidR="002750B6">
        <w:t>2016 2</w:t>
      </w:r>
      <w:r w:rsidR="002B5E26">
        <w:t>.</w:t>
      </w:r>
      <w:r w:rsidR="002750B6">
        <w:t xml:space="preserve">5 GHz TLG) </w:t>
      </w:r>
      <w:r w:rsidR="00095B5D">
        <w:t xml:space="preserve">was </w:t>
      </w:r>
      <w:r>
        <w:t xml:space="preserve">used </w:t>
      </w:r>
      <w:r w:rsidR="00095B5D">
        <w:t xml:space="preserve">to </w:t>
      </w:r>
      <w:r>
        <w:t xml:space="preserve">convert from EIRP to TRP. </w:t>
      </w:r>
    </w:p>
  </w:footnote>
  <w:footnote w:id="4">
    <w:p w14:paraId="287BCF8C" w14:textId="77777777" w:rsidR="003848F0" w:rsidRDefault="003848F0" w:rsidP="003848F0">
      <w:pPr>
        <w:pStyle w:val="FootnoteText"/>
        <w:spacing w:after="60" w:line="240" w:lineRule="auto"/>
      </w:pPr>
      <w:r>
        <w:rPr>
          <w:rStyle w:val="FootnoteReference"/>
        </w:rPr>
        <w:footnoteRef/>
      </w:r>
      <w:r>
        <w:t xml:space="preserve"> 3GPP </w:t>
      </w:r>
      <w:r w:rsidRPr="00B46252">
        <w:t>TS 3</w:t>
      </w:r>
      <w:r>
        <w:t>8</w:t>
      </w:r>
      <w:r w:rsidRPr="00B46252">
        <w:t xml:space="preserve">.104, available at: </w:t>
      </w:r>
      <w:hyperlink r:id="rId1" w:history="1">
        <w:r w:rsidRPr="006129E5">
          <w:rPr>
            <w:rStyle w:val="Hyperlink"/>
          </w:rPr>
          <w:t>https://portal.3gpp.org/desktopmodules/Specifications/SpecificationDetails.aspx?specificationId=3202</w:t>
        </w:r>
      </w:hyperlink>
      <w:r>
        <w:t xml:space="preserve">. </w:t>
      </w:r>
    </w:p>
  </w:footnote>
  <w:footnote w:id="5">
    <w:p w14:paraId="1761B700" w14:textId="77777777" w:rsidR="002F7657" w:rsidRDefault="002F7657" w:rsidP="002F7657">
      <w:pPr>
        <w:pStyle w:val="FootnoteText"/>
        <w:spacing w:after="60" w:line="240" w:lineRule="auto"/>
      </w:pPr>
      <w:r>
        <w:rPr>
          <w:rStyle w:val="FootnoteReference"/>
        </w:rPr>
        <w:footnoteRef/>
      </w:r>
      <w:r>
        <w:t xml:space="preserve"> 3GPP </w:t>
      </w:r>
      <w:r w:rsidRPr="00B46252">
        <w:t>TS 3</w:t>
      </w:r>
      <w:r>
        <w:t>8</w:t>
      </w:r>
      <w:r w:rsidRPr="00B46252">
        <w:t>.10</w:t>
      </w:r>
      <w:r>
        <w:t>1-1 is</w:t>
      </w:r>
      <w:r w:rsidRPr="00B46252">
        <w:t xml:space="preserve"> available at: </w:t>
      </w:r>
      <w:hyperlink r:id="rId2" w:history="1">
        <w:r w:rsidRPr="00966C5B">
          <w:rPr>
            <w:rStyle w:val="Hyperlink"/>
          </w:rPr>
          <w:t>https://portal.3gpp.org/desktopmodules/Specifications/SpecificationDetails.aspx?specificationId=3283</w:t>
        </w:r>
      </w:hyperlink>
      <w:r w:rsidRPr="00C725C6">
        <w:rPr>
          <w:rStyle w:val="Hyperlink"/>
          <w:color w:val="auto"/>
          <w:u w:val="none"/>
        </w:rPr>
        <w:t>.</w:t>
      </w:r>
    </w:p>
  </w:footnote>
  <w:footnote w:id="6">
    <w:p w14:paraId="1AB628EF" w14:textId="77777777" w:rsidR="002F7657" w:rsidRDefault="002F7657" w:rsidP="002F7657">
      <w:pPr>
        <w:pStyle w:val="FootnoteText"/>
        <w:spacing w:after="60" w:line="240" w:lineRule="auto"/>
      </w:pPr>
      <w:r>
        <w:rPr>
          <w:rStyle w:val="FootnoteReference"/>
        </w:rPr>
        <w:footnoteRef/>
      </w:r>
      <w:r>
        <w:t xml:space="preserve"> 3GPP </w:t>
      </w:r>
      <w:r w:rsidRPr="00B46252">
        <w:t>TS 3</w:t>
      </w:r>
      <w:r>
        <w:t>8</w:t>
      </w:r>
      <w:r w:rsidRPr="00B46252">
        <w:t>.10</w:t>
      </w:r>
      <w:r>
        <w:t>1-1 is</w:t>
      </w:r>
      <w:r w:rsidRPr="00B46252">
        <w:t xml:space="preserve"> available at: </w:t>
      </w:r>
      <w:hyperlink r:id="rId3" w:history="1">
        <w:r w:rsidRPr="00966C5B">
          <w:rPr>
            <w:rStyle w:val="Hyperlink"/>
          </w:rPr>
          <w:t>https://portal.3gpp.org/desktopmodules/Specifications/SpecificationDetails.aspx?specificationId=3283</w:t>
        </w:r>
      </w:hyperlink>
      <w:r w:rsidRPr="00C725C6">
        <w:rPr>
          <w:rStyle w:val="Hyperlink"/>
          <w:color w:val="auto"/>
          <w:u w:val="none"/>
        </w:rPr>
        <w:t>.</w:t>
      </w:r>
    </w:p>
  </w:footnote>
  <w:footnote w:id="7">
    <w:p w14:paraId="5CD04AC4" w14:textId="77777777" w:rsidR="00EB5A81" w:rsidRDefault="00EB5A81" w:rsidP="00EB5A81">
      <w:pPr>
        <w:pStyle w:val="FootnoteText"/>
      </w:pPr>
      <w:r>
        <w:rPr>
          <w:rStyle w:val="FootnoteReference"/>
        </w:rPr>
        <w:footnoteRef/>
      </w:r>
      <w:r>
        <w:t xml:space="preserve"> Agreements are only currently permitted between frequency- and area-adjacent spectrum licensees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4EEC" w14:textId="251468F6" w:rsidR="002C71B2" w:rsidRDefault="009B401B">
    <w:pPr>
      <w:pStyle w:val="Header"/>
    </w:pPr>
    <w:r>
      <w:rPr>
        <w:noProof/>
      </w:rPr>
      <mc:AlternateContent>
        <mc:Choice Requires="wps">
          <w:drawing>
            <wp:anchor distT="0" distB="0" distL="0" distR="0" simplePos="0" relativeHeight="251658241" behindDoc="0" locked="0" layoutInCell="1" allowOverlap="1" wp14:anchorId="1B0B7B3D" wp14:editId="1EEA8A37">
              <wp:simplePos x="635" y="635"/>
              <wp:positionH relativeFrom="page">
                <wp:align>center</wp:align>
              </wp:positionH>
              <wp:positionV relativeFrom="page">
                <wp:align>top</wp:align>
              </wp:positionV>
              <wp:extent cx="622300" cy="376555"/>
              <wp:effectExtent l="0" t="0" r="6350" b="4445"/>
              <wp:wrapNone/>
              <wp:docPr id="9690086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EAA84E3" w14:textId="6EB8E568"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0B7B3D"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EAA84E3" w14:textId="6EB8E568"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3257" w14:textId="73D586A9" w:rsidR="00C053A1" w:rsidRPr="005A62E5" w:rsidRDefault="009B401B" w:rsidP="005A62E5">
    <w:pPr>
      <w:pStyle w:val="Header"/>
    </w:pPr>
    <w:r>
      <w:rPr>
        <w:noProof/>
      </w:rPr>
      <mc:AlternateContent>
        <mc:Choice Requires="wps">
          <w:drawing>
            <wp:anchor distT="0" distB="0" distL="0" distR="0" simplePos="0" relativeHeight="251658242" behindDoc="0" locked="0" layoutInCell="1" allowOverlap="1" wp14:anchorId="619C0052" wp14:editId="4171480A">
              <wp:simplePos x="635" y="635"/>
              <wp:positionH relativeFrom="page">
                <wp:align>center</wp:align>
              </wp:positionH>
              <wp:positionV relativeFrom="page">
                <wp:align>top</wp:align>
              </wp:positionV>
              <wp:extent cx="622300" cy="376555"/>
              <wp:effectExtent l="0" t="0" r="6350" b="4445"/>
              <wp:wrapNone/>
              <wp:docPr id="14075942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10F4BEC" w14:textId="02E07EBF"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9C0052"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10F4BEC" w14:textId="02E07EBF"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r w:rsidR="005A62E5">
      <w:rPr>
        <w:noProof/>
      </w:rPr>
      <w:drawing>
        <wp:inline distT="0" distB="0" distL="0" distR="0" wp14:anchorId="74D04EDC" wp14:editId="766E5564">
          <wp:extent cx="3229598" cy="381000"/>
          <wp:effectExtent l="0" t="0" r="9525" b="0"/>
          <wp:docPr id="1842845650" name="Picture 1842845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3300801" cy="389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62E8" w14:textId="3BA11AF6" w:rsidR="00C053A1" w:rsidRPr="00A5474E" w:rsidRDefault="009B401B" w:rsidP="00594E9C">
    <w:pPr>
      <w:pStyle w:val="TOCHeading"/>
    </w:pPr>
    <w:r>
      <w:rPr>
        <w:noProof/>
      </w:rPr>
      <mc:AlternateContent>
        <mc:Choice Requires="wps">
          <w:drawing>
            <wp:anchor distT="0" distB="0" distL="0" distR="0" simplePos="0" relativeHeight="251658240" behindDoc="0" locked="0" layoutInCell="1" allowOverlap="1" wp14:anchorId="2E9428FC" wp14:editId="7FF9AB81">
              <wp:simplePos x="635" y="635"/>
              <wp:positionH relativeFrom="page">
                <wp:align>center</wp:align>
              </wp:positionH>
              <wp:positionV relativeFrom="page">
                <wp:align>top</wp:align>
              </wp:positionV>
              <wp:extent cx="622300" cy="376555"/>
              <wp:effectExtent l="0" t="0" r="6350" b="4445"/>
              <wp:wrapNone/>
              <wp:docPr id="6287951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67E7D76" w14:textId="5D9FEE1C"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9428FC"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67E7D76" w14:textId="5D9FEE1C"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r w:rsidR="00C053A1" w:rsidRPr="0029593B">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AC93" w14:textId="4B9F3C66" w:rsidR="00C053A1" w:rsidRDefault="009B401B">
    <w:pPr>
      <w:pStyle w:val="Header"/>
    </w:pPr>
    <w:r>
      <w:rPr>
        <w:noProof/>
      </w:rPr>
      <mc:AlternateContent>
        <mc:Choice Requires="wps">
          <w:drawing>
            <wp:anchor distT="0" distB="0" distL="0" distR="0" simplePos="0" relativeHeight="251658243" behindDoc="0" locked="0" layoutInCell="1" allowOverlap="1" wp14:anchorId="36DCE5D4" wp14:editId="1E586B64">
              <wp:simplePos x="635" y="635"/>
              <wp:positionH relativeFrom="page">
                <wp:align>center</wp:align>
              </wp:positionH>
              <wp:positionV relativeFrom="page">
                <wp:align>top</wp:align>
              </wp:positionV>
              <wp:extent cx="622300" cy="376555"/>
              <wp:effectExtent l="0" t="0" r="6350" b="4445"/>
              <wp:wrapNone/>
              <wp:docPr id="134417231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CDE58A" w14:textId="73EBAF01"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DCE5D4" id="_x0000_t202" coordsize="21600,21600" o:spt="202" path="m,l,21600r21600,l21600,xe">
              <v:stroke joinstyle="miter"/>
              <v:path gradientshapeok="t" o:connecttype="rect"/>
            </v:shapetype>
            <v:shape id="Text Box 4" o:spid="_x0000_s1032" type="#_x0000_t202" alt="OFFICIAL" style="position:absolute;margin-left:0;margin-top:0;width:49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16CDE58A" w14:textId="73EBAF01"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E84D" w14:textId="01BE8E12" w:rsidR="00C053A1" w:rsidRDefault="009B401B">
    <w:pPr>
      <w:pStyle w:val="Header"/>
    </w:pPr>
    <w:r>
      <w:rPr>
        <w:noProof/>
      </w:rPr>
      <mc:AlternateContent>
        <mc:Choice Requires="wps">
          <w:drawing>
            <wp:anchor distT="0" distB="0" distL="0" distR="0" simplePos="0" relativeHeight="251658244" behindDoc="0" locked="0" layoutInCell="1" allowOverlap="1" wp14:anchorId="065CEFF5" wp14:editId="03B59394">
              <wp:simplePos x="635" y="635"/>
              <wp:positionH relativeFrom="page">
                <wp:align>center</wp:align>
              </wp:positionH>
              <wp:positionV relativeFrom="page">
                <wp:align>top</wp:align>
              </wp:positionV>
              <wp:extent cx="622300" cy="376555"/>
              <wp:effectExtent l="0" t="0" r="6350" b="4445"/>
              <wp:wrapNone/>
              <wp:docPr id="131280089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2A0F351" w14:textId="23A352CE"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5CEFF5" id="_x0000_t202" coordsize="21600,21600" o:spt="202" path="m,l,21600r21600,l21600,xe">
              <v:stroke joinstyle="miter"/>
              <v:path gradientshapeok="t" o:connecttype="rect"/>
            </v:shapetype>
            <v:shape id="Text Box 5" o:spid="_x0000_s1033" type="#_x0000_t202" alt="OFFICIAL" style="position:absolute;margin-left:0;margin-top:0;width:49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AQDQ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6SLwEA0CAAAcBAAA&#10;DgAAAAAAAAAAAAAAAAAuAgAAZHJzL2Uyb0RvYy54bWxQSwECLQAUAAYACAAAACEAinsHsNkAAAAD&#10;AQAADwAAAAAAAAAAAAAAAABnBAAAZHJzL2Rvd25yZXYueG1sUEsFBgAAAAAEAAQA8wAAAG0FAAAA&#10;AA==&#10;" filled="f" stroked="f">
              <v:textbox style="mso-fit-shape-to-text:t" inset="0,15pt,0,0">
                <w:txbxContent>
                  <w:p w14:paraId="72A0F351" w14:textId="23A352CE"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4359AD94" w14:textId="77777777">
      <w:trPr>
        <w:trHeight w:hRule="exact" w:val="988"/>
      </w:trPr>
      <w:tc>
        <w:tcPr>
          <w:tcW w:w="7678" w:type="dxa"/>
        </w:tcPr>
        <w:p w14:paraId="56B04526" w14:textId="474AEF30" w:rsidR="00971914" w:rsidRDefault="009B401B" w:rsidP="00971914">
          <w:pPr>
            <w:pStyle w:val="Header"/>
          </w:pPr>
          <w:r>
            <w:rPr>
              <w:noProof/>
            </w:rPr>
            <mc:AlternateContent>
              <mc:Choice Requires="wps">
                <w:drawing>
                  <wp:anchor distT="0" distB="0" distL="0" distR="0" simplePos="0" relativeHeight="251658245" behindDoc="0" locked="0" layoutInCell="1" allowOverlap="1" wp14:anchorId="20C6E2D9" wp14:editId="25961056">
                    <wp:simplePos x="635" y="635"/>
                    <wp:positionH relativeFrom="page">
                      <wp:align>center</wp:align>
                    </wp:positionH>
                    <wp:positionV relativeFrom="page">
                      <wp:align>top</wp:align>
                    </wp:positionV>
                    <wp:extent cx="622300" cy="376555"/>
                    <wp:effectExtent l="0" t="0" r="6350" b="4445"/>
                    <wp:wrapNone/>
                    <wp:docPr id="208673027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96B275B" w14:textId="0ED1A92D"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C6E2D9" id="_x0000_t202" coordsize="21600,21600" o:spt="202" path="m,l,21600r21600,l21600,xe">
                    <v:stroke joinstyle="miter"/>
                    <v:path gradientshapeok="t" o:connecttype="rect"/>
                  </v:shapetype>
                  <v:shape id="Text Box 6" o:spid="_x0000_s1036" type="#_x0000_t202" alt="OFFICIAL" style="position:absolute;margin-left:0;margin-top:0;width:49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LBYNPDAIAAB0EAAAO&#10;AAAAAAAAAAAAAAAAAC4CAABkcnMvZTJvRG9jLnhtbFBLAQItABQABgAIAAAAIQCKewew2QAAAAMB&#10;AAAPAAAAAAAAAAAAAAAAAGYEAABkcnMvZG93bnJldi54bWxQSwUGAAAAAAQABADzAAAAbAUAAAAA&#10;" filled="f" stroked="f">
                    <v:textbox style="mso-fit-shape-to-text:t" inset="0,15pt,0,0">
                      <w:txbxContent>
                        <w:p w14:paraId="296B275B" w14:textId="0ED1A92D"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p>
      </w:tc>
    </w:tr>
    <w:tr w:rsidR="00971914" w14:paraId="521AD6B7" w14:textId="77777777">
      <w:tc>
        <w:tcPr>
          <w:tcW w:w="7678" w:type="dxa"/>
        </w:tcPr>
        <w:p w14:paraId="6264DA62" w14:textId="77777777" w:rsidR="00971914" w:rsidRDefault="00971914" w:rsidP="00971914">
          <w:pPr>
            <w:pStyle w:val="GridTable31"/>
          </w:pPr>
          <w:r>
            <w:t xml:space="preserve">Contents </w:t>
          </w:r>
          <w:r w:rsidRPr="00915B1C">
            <w:rPr>
              <w:b w:val="0"/>
              <w:spacing w:val="0"/>
              <w:sz w:val="28"/>
              <w:szCs w:val="28"/>
            </w:rPr>
            <w:t>(Continued)</w:t>
          </w:r>
        </w:p>
      </w:tc>
    </w:tr>
    <w:tr w:rsidR="00971914" w14:paraId="63A1B5CC" w14:textId="77777777">
      <w:trPr>
        <w:trHeight w:val="1220"/>
      </w:trPr>
      <w:tc>
        <w:tcPr>
          <w:tcW w:w="7678" w:type="dxa"/>
        </w:tcPr>
        <w:p w14:paraId="6AAC00A5" w14:textId="77777777" w:rsidR="00971914" w:rsidRDefault="00971914" w:rsidP="00971914"/>
      </w:tc>
    </w:tr>
  </w:tbl>
  <w:p w14:paraId="4DC8369D" w14:textId="77777777" w:rsidR="00971914" w:rsidRDefault="00971914" w:rsidP="009719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57F15E81" w14:textId="77777777">
      <w:trPr>
        <w:trHeight w:hRule="exact" w:val="988"/>
      </w:trPr>
      <w:tc>
        <w:tcPr>
          <w:tcW w:w="7678" w:type="dxa"/>
        </w:tcPr>
        <w:p w14:paraId="0AF79A91" w14:textId="7CB0AEA2" w:rsidR="00971914" w:rsidRDefault="009B401B" w:rsidP="00971914">
          <w:pPr>
            <w:pStyle w:val="Header"/>
          </w:pPr>
          <w:r>
            <w:rPr>
              <w:noProof/>
            </w:rPr>
            <mc:AlternateContent>
              <mc:Choice Requires="wps">
                <w:drawing>
                  <wp:anchor distT="0" distB="0" distL="0" distR="0" simplePos="0" relativeHeight="251658246" behindDoc="0" locked="0" layoutInCell="1" allowOverlap="1" wp14:anchorId="21287411" wp14:editId="71A593CB">
                    <wp:simplePos x="635" y="635"/>
                    <wp:positionH relativeFrom="page">
                      <wp:align>center</wp:align>
                    </wp:positionH>
                    <wp:positionV relativeFrom="page">
                      <wp:align>top</wp:align>
                    </wp:positionV>
                    <wp:extent cx="622300" cy="376555"/>
                    <wp:effectExtent l="0" t="0" r="6350" b="4445"/>
                    <wp:wrapNone/>
                    <wp:docPr id="51418236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B56E6F" w14:textId="5D5A650D"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287411" id="_x0000_t202" coordsize="21600,21600" o:spt="202" path="m,l,21600r21600,l21600,xe">
                    <v:stroke joinstyle="miter"/>
                    <v:path gradientshapeok="t" o:connecttype="rect"/>
                  </v:shapetype>
                  <v:shape id="Text Box 7" o:spid="_x0000_s1037" type="#_x0000_t202" alt="OFFICIAL" style="position:absolute;margin-left:0;margin-top:0;width:49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FyDQIAAB0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6v7S/g+pEU3kYFh6c3DRU+0EEfBaeNkztkmrx&#10;iQ5toCs5nC3OavA//uaP+UQ8RTnrSDEltyRpzsw3SwuJ4krG9HM+j2z40b0bDXto74B0OKUn4WQy&#10;Yx6a0dQe2lfS8zoWopCwksqVHEfzDgfp0nuQar1OSaQjJ/DBbp2M0JGvSOZL/yq8OzOOtKpHGOUk&#10;ijfED7nxZnDrAxL9aSuR24HIM+WkwbTX83uJIv/1P2VdX/XqJwA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Zroxcg0CAAAdBAAA&#10;DgAAAAAAAAAAAAAAAAAuAgAAZHJzL2Uyb0RvYy54bWxQSwECLQAUAAYACAAAACEAinsHsNkAAAAD&#10;AQAADwAAAAAAAAAAAAAAAABnBAAAZHJzL2Rvd25yZXYueG1sUEsFBgAAAAAEAAQA8wAAAG0FAAAA&#10;AA==&#10;" filled="f" stroked="f">
                    <v:textbox style="mso-fit-shape-to-text:t" inset="0,15pt,0,0">
                      <w:txbxContent>
                        <w:p w14:paraId="3AB56E6F" w14:textId="5D5A650D"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p>
      </w:tc>
    </w:tr>
    <w:tr w:rsidR="00971914" w14:paraId="1C61BCE7" w14:textId="77777777">
      <w:tc>
        <w:tcPr>
          <w:tcW w:w="7678" w:type="dxa"/>
        </w:tcPr>
        <w:p w14:paraId="61C34CAF" w14:textId="77777777" w:rsidR="00971914" w:rsidRDefault="00971914" w:rsidP="00971914">
          <w:pPr>
            <w:pStyle w:val="GridTable31"/>
          </w:pPr>
          <w:r>
            <w:t xml:space="preserve">Contents </w:t>
          </w:r>
          <w:r w:rsidRPr="00915B1C">
            <w:rPr>
              <w:b w:val="0"/>
              <w:spacing w:val="0"/>
              <w:sz w:val="28"/>
              <w:szCs w:val="28"/>
            </w:rPr>
            <w:t>(Continued)</w:t>
          </w:r>
        </w:p>
      </w:tc>
    </w:tr>
    <w:tr w:rsidR="00971914" w14:paraId="38A0FD6C" w14:textId="77777777">
      <w:trPr>
        <w:trHeight w:val="1220"/>
      </w:trPr>
      <w:tc>
        <w:tcPr>
          <w:tcW w:w="7678" w:type="dxa"/>
        </w:tcPr>
        <w:p w14:paraId="6C98AFE6" w14:textId="77777777" w:rsidR="00971914" w:rsidRDefault="00971914" w:rsidP="00971914"/>
      </w:tc>
    </w:tr>
  </w:tbl>
  <w:p w14:paraId="1326DD3F" w14:textId="77777777" w:rsidR="00C053A1" w:rsidRPr="00A5474E" w:rsidRDefault="00C053A1" w:rsidP="00A547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CEDB" w14:textId="126BD9ED" w:rsidR="00C053A1" w:rsidRDefault="009B401B">
    <w:pPr>
      <w:pStyle w:val="Header"/>
    </w:pPr>
    <w:r>
      <w:rPr>
        <w:noProof/>
      </w:rPr>
      <mc:AlternateContent>
        <mc:Choice Requires="wps">
          <w:drawing>
            <wp:anchor distT="0" distB="0" distL="0" distR="0" simplePos="0" relativeHeight="251658247" behindDoc="0" locked="0" layoutInCell="1" allowOverlap="1" wp14:anchorId="4E940C93" wp14:editId="38D5AADE">
              <wp:simplePos x="903514" y="451757"/>
              <wp:positionH relativeFrom="page">
                <wp:align>center</wp:align>
              </wp:positionH>
              <wp:positionV relativeFrom="page">
                <wp:align>top</wp:align>
              </wp:positionV>
              <wp:extent cx="622300" cy="376555"/>
              <wp:effectExtent l="0" t="0" r="6350" b="4445"/>
              <wp:wrapNone/>
              <wp:docPr id="50320663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0D5279" w14:textId="7C21B7B5"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940C93" id="_x0000_t202" coordsize="21600,21600" o:spt="202" path="m,l,21600r21600,l21600,xe">
              <v:stroke joinstyle="miter"/>
              <v:path gradientshapeok="t" o:connecttype="rect"/>
            </v:shapetype>
            <v:shape id="Text Box 8" o:spid="_x0000_s1041" type="#_x0000_t202" alt="OFFICIAL" style="position:absolute;margin-left:0;margin-top:0;width:49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EDAIAAB0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oq6T4WjawvVkabycFp4cHLVUu21CPgkPG2Y2iXV&#10;4iMdtYau5HC2OGvA/3rPH/OJeIpy1pFiSm5J0pzpH5YWEsWVjPHXfBrZ8IN7Oxh2b+6AdDimJ+Fk&#10;MmMe6sGsPZgX0vMyFqKQsJLKlRwH8w5P0qX3INVymZJIR07g2m6cjNCRr0jmc/8ivDszjrSqBxjk&#10;JIpXxJ9y483glnsk+tNWrkSeKScNpr2e30sU+Z//Kev6qhe/A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DSR/uEDAIAAB0EAAAO&#10;AAAAAAAAAAAAAAAAAC4CAABkcnMvZTJvRG9jLnhtbFBLAQItABQABgAIAAAAIQCKewew2QAAAAMB&#10;AAAPAAAAAAAAAAAAAAAAAGYEAABkcnMvZG93bnJldi54bWxQSwUGAAAAAAQABADzAAAAbAUAAAAA&#10;" filled="f" stroked="f">
              <v:textbox style="mso-fit-shape-to-text:t" inset="0,15pt,0,0">
                <w:txbxContent>
                  <w:p w14:paraId="4A0D5279" w14:textId="7C21B7B5"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8298" w14:textId="0809080B" w:rsidR="00C053A1" w:rsidRDefault="009B401B">
    <w:pPr>
      <w:pStyle w:val="Header"/>
    </w:pPr>
    <w:r>
      <w:rPr>
        <w:noProof/>
      </w:rPr>
      <mc:AlternateContent>
        <mc:Choice Requires="wps">
          <w:drawing>
            <wp:anchor distT="0" distB="0" distL="0" distR="0" simplePos="0" relativeHeight="251658248" behindDoc="0" locked="0" layoutInCell="1" allowOverlap="1" wp14:anchorId="5D8639D4" wp14:editId="5DAD3347">
              <wp:simplePos x="903514" y="451757"/>
              <wp:positionH relativeFrom="page">
                <wp:align>center</wp:align>
              </wp:positionH>
              <wp:positionV relativeFrom="page">
                <wp:align>top</wp:align>
              </wp:positionV>
              <wp:extent cx="622300" cy="376555"/>
              <wp:effectExtent l="0" t="0" r="6350" b="4445"/>
              <wp:wrapNone/>
              <wp:docPr id="154485594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F461648" w14:textId="1ED1AD59"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8639D4" id="_x0000_t202" coordsize="21600,21600" o:spt="202" path="m,l,21600r21600,l21600,xe">
              <v:stroke joinstyle="miter"/>
              <v:path gradientshapeok="t" o:connecttype="rect"/>
            </v:shapetype>
            <v:shape id="Text Box 9" o:spid="_x0000_s1042" type="#_x0000_t202" alt="OFFICIAL" style="position:absolute;margin-left:0;margin-top:0;width:49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zCDQIAAB0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6X4zt76A60VQehoUHJzcN1X4QAZ+Fpw1Tu6Ra&#10;fKJDG+hKDmeLsxr8j7/5Yz4RT1HOOlJMyS1JmjPzzdJCoriSMf2czyMbfnTvRsMe2jsgHU7pSTiZ&#10;zJiHZjS1h/aV9LyOhSgkrKRyJcfRvMNBuvQepFqvUxLpyAl8sFsnI3TkK5L50r8K786MI63qEUY5&#10;ieIN8UNuvBnc+oBEf9pK5HYg8kw5aTDt9fxeosh//U9Z11e9+gk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ZYYswg0CAAAdBAAA&#10;DgAAAAAAAAAAAAAAAAAuAgAAZHJzL2Uyb0RvYy54bWxQSwECLQAUAAYACAAAACEAinsHsNkAAAAD&#10;AQAADwAAAAAAAAAAAAAAAABnBAAAZHJzL2Rvd25yZXYueG1sUEsFBgAAAAAEAAQA8wAAAG0FAAAA&#10;AA==&#10;" filled="f" stroked="f">
              <v:textbox style="mso-fit-shape-to-text:t" inset="0,15pt,0,0">
                <w:txbxContent>
                  <w:p w14:paraId="5F461648" w14:textId="1ED1AD59" w:rsidR="009B401B" w:rsidRPr="009B401B" w:rsidRDefault="009B401B" w:rsidP="009B401B">
                    <w:pPr>
                      <w:spacing w:after="0"/>
                      <w:rPr>
                        <w:rFonts w:ascii="Aptos" w:eastAsia="Aptos" w:hAnsi="Aptos" w:cs="Aptos"/>
                        <w:noProof/>
                        <w:color w:val="FF0000"/>
                        <w:sz w:val="24"/>
                      </w:rPr>
                    </w:pPr>
                    <w:r w:rsidRPr="009B401B">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93C0CEB6"/>
    <w:lvl w:ilvl="0">
      <w:start w:val="1"/>
      <w:numFmt w:val="decimal"/>
      <w:pStyle w:val="ListNumber"/>
      <w:lvlText w:val="%1."/>
      <w:lvlJc w:val="left"/>
      <w:pPr>
        <w:ind w:left="360" w:hanging="360"/>
      </w:pPr>
      <w:rPr>
        <w:rFonts w:hint="default"/>
        <w:b w:val="0"/>
        <w:bCs/>
        <w:caps/>
        <w:sz w:val="22"/>
        <w:szCs w:val="28"/>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11AD521D"/>
    <w:multiLevelType w:val="hybridMultilevel"/>
    <w:tmpl w:val="B108FD84"/>
    <w:lvl w:ilvl="0" w:tplc="DD00C67E">
      <w:start w:val="1"/>
      <w:numFmt w:val="bullet"/>
      <w:pStyle w:val="Bulletlevel2"/>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E3E5EE0"/>
    <w:multiLevelType w:val="multilevel"/>
    <w:tmpl w:val="19B81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3435097D"/>
    <w:multiLevelType w:val="hybridMultilevel"/>
    <w:tmpl w:val="7326FCDC"/>
    <w:lvl w:ilvl="0" w:tplc="8DFEE398">
      <w:start w:val="1"/>
      <w:numFmt w:val="bullet"/>
      <w:pStyle w:val="Bulletlevel2las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47537C3E"/>
    <w:multiLevelType w:val="multilevel"/>
    <w:tmpl w:val="535AF4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429FD"/>
    <w:multiLevelType w:val="hybridMultilevel"/>
    <w:tmpl w:val="1B446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2E1A81"/>
    <w:multiLevelType w:val="hybridMultilevel"/>
    <w:tmpl w:val="757EEF72"/>
    <w:lvl w:ilvl="0" w:tplc="95C8A05E">
      <w:start w:val="1"/>
      <w:numFmt w:val="bullet"/>
      <w:pStyle w:val="Bulletlevel1las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BC098E"/>
    <w:multiLevelType w:val="hybridMultilevel"/>
    <w:tmpl w:val="2E386898"/>
    <w:lvl w:ilvl="0" w:tplc="BD340FDA">
      <w:start w:val="1"/>
      <w:numFmt w:val="bullet"/>
      <w:pStyle w:val="Bulle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7521768">
    <w:abstractNumId w:val="3"/>
  </w:num>
  <w:num w:numId="2" w16cid:durableId="969045093">
    <w:abstractNumId w:val="1"/>
  </w:num>
  <w:num w:numId="3" w16cid:durableId="1714190328">
    <w:abstractNumId w:val="2"/>
  </w:num>
  <w:num w:numId="4" w16cid:durableId="1292904938">
    <w:abstractNumId w:val="0"/>
  </w:num>
  <w:num w:numId="5" w16cid:durableId="1192914688">
    <w:abstractNumId w:val="6"/>
  </w:num>
  <w:num w:numId="6" w16cid:durableId="818768531">
    <w:abstractNumId w:val="12"/>
  </w:num>
  <w:num w:numId="7" w16cid:durableId="636617026">
    <w:abstractNumId w:val="9"/>
  </w:num>
  <w:num w:numId="8" w16cid:durableId="227307242">
    <w:abstractNumId w:val="11"/>
  </w:num>
  <w:num w:numId="9" w16cid:durableId="1325478460">
    <w:abstractNumId w:val="13"/>
  </w:num>
  <w:num w:numId="10" w16cid:durableId="529613017">
    <w:abstractNumId w:val="2"/>
    <w:lvlOverride w:ilvl="0">
      <w:startOverride w:val="1"/>
    </w:lvlOverride>
  </w:num>
  <w:num w:numId="11" w16cid:durableId="44449778">
    <w:abstractNumId w:val="15"/>
  </w:num>
  <w:num w:numId="12" w16cid:durableId="319240718">
    <w:abstractNumId w:val="14"/>
  </w:num>
  <w:num w:numId="13" w16cid:durableId="1091731347">
    <w:abstractNumId w:val="4"/>
  </w:num>
  <w:num w:numId="14" w16cid:durableId="1733236431">
    <w:abstractNumId w:val="7"/>
  </w:num>
  <w:num w:numId="15" w16cid:durableId="1678726611">
    <w:abstractNumId w:val="2"/>
    <w:lvlOverride w:ilvl="0">
      <w:startOverride w:val="1"/>
    </w:lvlOverride>
  </w:num>
  <w:num w:numId="16" w16cid:durableId="1304847979">
    <w:abstractNumId w:val="2"/>
    <w:lvlOverride w:ilvl="0">
      <w:startOverride w:val="1"/>
    </w:lvlOverride>
  </w:num>
  <w:num w:numId="17" w16cid:durableId="371226207">
    <w:abstractNumId w:val="8"/>
  </w:num>
  <w:num w:numId="18" w16cid:durableId="783039537">
    <w:abstractNumId w:val="5"/>
  </w:num>
  <w:num w:numId="19" w16cid:durableId="70401576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DateAndTime/>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B18"/>
    <w:rsid w:val="000015D4"/>
    <w:rsid w:val="0000206A"/>
    <w:rsid w:val="000022E1"/>
    <w:rsid w:val="0000463B"/>
    <w:rsid w:val="000073D3"/>
    <w:rsid w:val="0000752D"/>
    <w:rsid w:val="0000779F"/>
    <w:rsid w:val="00007FAC"/>
    <w:rsid w:val="00007FE9"/>
    <w:rsid w:val="00010667"/>
    <w:rsid w:val="000129D5"/>
    <w:rsid w:val="000134A6"/>
    <w:rsid w:val="00013A73"/>
    <w:rsid w:val="000140FE"/>
    <w:rsid w:val="00015AE7"/>
    <w:rsid w:val="00016E21"/>
    <w:rsid w:val="0001719C"/>
    <w:rsid w:val="0001775A"/>
    <w:rsid w:val="000208A6"/>
    <w:rsid w:val="0002224E"/>
    <w:rsid w:val="000245E5"/>
    <w:rsid w:val="00025203"/>
    <w:rsid w:val="000265E2"/>
    <w:rsid w:val="00026F91"/>
    <w:rsid w:val="00033542"/>
    <w:rsid w:val="000336AA"/>
    <w:rsid w:val="00033A79"/>
    <w:rsid w:val="00033FFF"/>
    <w:rsid w:val="00034309"/>
    <w:rsid w:val="00034508"/>
    <w:rsid w:val="00040BA5"/>
    <w:rsid w:val="00042C5F"/>
    <w:rsid w:val="00044CE4"/>
    <w:rsid w:val="0004764C"/>
    <w:rsid w:val="0005011A"/>
    <w:rsid w:val="0005045A"/>
    <w:rsid w:val="00051C1E"/>
    <w:rsid w:val="000526A9"/>
    <w:rsid w:val="00053692"/>
    <w:rsid w:val="000539F9"/>
    <w:rsid w:val="00054C27"/>
    <w:rsid w:val="00055633"/>
    <w:rsid w:val="00055EC3"/>
    <w:rsid w:val="000563CE"/>
    <w:rsid w:val="00056520"/>
    <w:rsid w:val="000601D3"/>
    <w:rsid w:val="00060862"/>
    <w:rsid w:val="00061046"/>
    <w:rsid w:val="00061C00"/>
    <w:rsid w:val="000629BE"/>
    <w:rsid w:val="0006397E"/>
    <w:rsid w:val="0006429C"/>
    <w:rsid w:val="00065207"/>
    <w:rsid w:val="00065477"/>
    <w:rsid w:val="000659B6"/>
    <w:rsid w:val="0006686F"/>
    <w:rsid w:val="0006722A"/>
    <w:rsid w:val="0006755D"/>
    <w:rsid w:val="00067732"/>
    <w:rsid w:val="000709D8"/>
    <w:rsid w:val="000732CF"/>
    <w:rsid w:val="000750D8"/>
    <w:rsid w:val="00075B96"/>
    <w:rsid w:val="00080855"/>
    <w:rsid w:val="0008196A"/>
    <w:rsid w:val="000836F1"/>
    <w:rsid w:val="00086406"/>
    <w:rsid w:val="000915ED"/>
    <w:rsid w:val="00091F77"/>
    <w:rsid w:val="0009209D"/>
    <w:rsid w:val="0009463C"/>
    <w:rsid w:val="00095B5D"/>
    <w:rsid w:val="000969BD"/>
    <w:rsid w:val="000969BF"/>
    <w:rsid w:val="000971BD"/>
    <w:rsid w:val="00097E82"/>
    <w:rsid w:val="000A0C22"/>
    <w:rsid w:val="000A1400"/>
    <w:rsid w:val="000A3C43"/>
    <w:rsid w:val="000A4A51"/>
    <w:rsid w:val="000A523A"/>
    <w:rsid w:val="000A5D2B"/>
    <w:rsid w:val="000A6C65"/>
    <w:rsid w:val="000A7B20"/>
    <w:rsid w:val="000B053A"/>
    <w:rsid w:val="000B0DDD"/>
    <w:rsid w:val="000B24BC"/>
    <w:rsid w:val="000B3E38"/>
    <w:rsid w:val="000B4664"/>
    <w:rsid w:val="000B4C26"/>
    <w:rsid w:val="000B5DE3"/>
    <w:rsid w:val="000C0A57"/>
    <w:rsid w:val="000C230C"/>
    <w:rsid w:val="000C5077"/>
    <w:rsid w:val="000C5CE5"/>
    <w:rsid w:val="000C6AB4"/>
    <w:rsid w:val="000C7276"/>
    <w:rsid w:val="000D0C2C"/>
    <w:rsid w:val="000D2E49"/>
    <w:rsid w:val="000D71D9"/>
    <w:rsid w:val="000D76E0"/>
    <w:rsid w:val="000D7E8B"/>
    <w:rsid w:val="000E1280"/>
    <w:rsid w:val="000E4449"/>
    <w:rsid w:val="000E521C"/>
    <w:rsid w:val="000E6097"/>
    <w:rsid w:val="000E75D4"/>
    <w:rsid w:val="000F182B"/>
    <w:rsid w:val="000F2781"/>
    <w:rsid w:val="000F3D9C"/>
    <w:rsid w:val="000F444F"/>
    <w:rsid w:val="000F727E"/>
    <w:rsid w:val="00100E32"/>
    <w:rsid w:val="0010267F"/>
    <w:rsid w:val="00103829"/>
    <w:rsid w:val="00105EEB"/>
    <w:rsid w:val="001061C0"/>
    <w:rsid w:val="001064EB"/>
    <w:rsid w:val="00107A8E"/>
    <w:rsid w:val="001106BC"/>
    <w:rsid w:val="001118D9"/>
    <w:rsid w:val="00111FCE"/>
    <w:rsid w:val="00112195"/>
    <w:rsid w:val="00113F84"/>
    <w:rsid w:val="00113FC8"/>
    <w:rsid w:val="001166BD"/>
    <w:rsid w:val="00116F9D"/>
    <w:rsid w:val="00117472"/>
    <w:rsid w:val="00120EBA"/>
    <w:rsid w:val="001229A5"/>
    <w:rsid w:val="00122C4C"/>
    <w:rsid w:val="0012489B"/>
    <w:rsid w:val="00124A3F"/>
    <w:rsid w:val="00125A37"/>
    <w:rsid w:val="00126E52"/>
    <w:rsid w:val="00126F1A"/>
    <w:rsid w:val="0012722B"/>
    <w:rsid w:val="00130017"/>
    <w:rsid w:val="00130F91"/>
    <w:rsid w:val="001318C3"/>
    <w:rsid w:val="001349ED"/>
    <w:rsid w:val="00137424"/>
    <w:rsid w:val="00140318"/>
    <w:rsid w:val="00141435"/>
    <w:rsid w:val="00141AD9"/>
    <w:rsid w:val="00143552"/>
    <w:rsid w:val="00145BB0"/>
    <w:rsid w:val="00146CE6"/>
    <w:rsid w:val="00152903"/>
    <w:rsid w:val="001532A8"/>
    <w:rsid w:val="00153D09"/>
    <w:rsid w:val="00153FD5"/>
    <w:rsid w:val="00154702"/>
    <w:rsid w:val="0015482D"/>
    <w:rsid w:val="00155D22"/>
    <w:rsid w:val="00155F8D"/>
    <w:rsid w:val="0015614F"/>
    <w:rsid w:val="00157503"/>
    <w:rsid w:val="001577C2"/>
    <w:rsid w:val="00160223"/>
    <w:rsid w:val="0016099B"/>
    <w:rsid w:val="00160D08"/>
    <w:rsid w:val="00161CCF"/>
    <w:rsid w:val="0016207D"/>
    <w:rsid w:val="001633C4"/>
    <w:rsid w:val="00165FD0"/>
    <w:rsid w:val="00167AB2"/>
    <w:rsid w:val="001704D5"/>
    <w:rsid w:val="00171591"/>
    <w:rsid w:val="00173981"/>
    <w:rsid w:val="00174C4D"/>
    <w:rsid w:val="00175B38"/>
    <w:rsid w:val="001761D2"/>
    <w:rsid w:val="001769C5"/>
    <w:rsid w:val="00176FF6"/>
    <w:rsid w:val="0017719D"/>
    <w:rsid w:val="00181180"/>
    <w:rsid w:val="001818D5"/>
    <w:rsid w:val="00181AA2"/>
    <w:rsid w:val="00182A0B"/>
    <w:rsid w:val="0018316C"/>
    <w:rsid w:val="00183FD7"/>
    <w:rsid w:val="00185CAB"/>
    <w:rsid w:val="001875B7"/>
    <w:rsid w:val="00187CB3"/>
    <w:rsid w:val="0019050A"/>
    <w:rsid w:val="001910D4"/>
    <w:rsid w:val="00192B45"/>
    <w:rsid w:val="00192BA7"/>
    <w:rsid w:val="00192C28"/>
    <w:rsid w:val="001935C1"/>
    <w:rsid w:val="001976E3"/>
    <w:rsid w:val="001A0A4B"/>
    <w:rsid w:val="001A1F50"/>
    <w:rsid w:val="001A3209"/>
    <w:rsid w:val="001A322A"/>
    <w:rsid w:val="001A32FB"/>
    <w:rsid w:val="001A44EC"/>
    <w:rsid w:val="001A5885"/>
    <w:rsid w:val="001A5C1B"/>
    <w:rsid w:val="001A5C2A"/>
    <w:rsid w:val="001A6B3F"/>
    <w:rsid w:val="001B1F26"/>
    <w:rsid w:val="001B28D9"/>
    <w:rsid w:val="001B47FF"/>
    <w:rsid w:val="001B58AA"/>
    <w:rsid w:val="001B7E48"/>
    <w:rsid w:val="001C17CE"/>
    <w:rsid w:val="001C2E0D"/>
    <w:rsid w:val="001C36CA"/>
    <w:rsid w:val="001C44D1"/>
    <w:rsid w:val="001C4ED6"/>
    <w:rsid w:val="001C4F83"/>
    <w:rsid w:val="001C6AEE"/>
    <w:rsid w:val="001C6D83"/>
    <w:rsid w:val="001C7630"/>
    <w:rsid w:val="001D0DA2"/>
    <w:rsid w:val="001D14B2"/>
    <w:rsid w:val="001D1612"/>
    <w:rsid w:val="001D2872"/>
    <w:rsid w:val="001D4DD0"/>
    <w:rsid w:val="001D5BAC"/>
    <w:rsid w:val="001D6D15"/>
    <w:rsid w:val="001E2839"/>
    <w:rsid w:val="001E30F2"/>
    <w:rsid w:val="001E3761"/>
    <w:rsid w:val="001E3D55"/>
    <w:rsid w:val="001E6FEA"/>
    <w:rsid w:val="001F2593"/>
    <w:rsid w:val="001F4212"/>
    <w:rsid w:val="001F5A3B"/>
    <w:rsid w:val="001F5EEB"/>
    <w:rsid w:val="001F7558"/>
    <w:rsid w:val="001F786C"/>
    <w:rsid w:val="001F7C9F"/>
    <w:rsid w:val="00200161"/>
    <w:rsid w:val="002004FF"/>
    <w:rsid w:val="00201342"/>
    <w:rsid w:val="002055EB"/>
    <w:rsid w:val="00205B57"/>
    <w:rsid w:val="0020781A"/>
    <w:rsid w:val="00212133"/>
    <w:rsid w:val="002157E0"/>
    <w:rsid w:val="00215A1C"/>
    <w:rsid w:val="00216A2F"/>
    <w:rsid w:val="00216A57"/>
    <w:rsid w:val="00217448"/>
    <w:rsid w:val="00217A0C"/>
    <w:rsid w:val="0022334F"/>
    <w:rsid w:val="00223C34"/>
    <w:rsid w:val="00226819"/>
    <w:rsid w:val="00226FA4"/>
    <w:rsid w:val="0023147A"/>
    <w:rsid w:val="00233101"/>
    <w:rsid w:val="00233217"/>
    <w:rsid w:val="00233817"/>
    <w:rsid w:val="00233F0E"/>
    <w:rsid w:val="002344D9"/>
    <w:rsid w:val="002353C6"/>
    <w:rsid w:val="002367FF"/>
    <w:rsid w:val="00240CE9"/>
    <w:rsid w:val="00240DDD"/>
    <w:rsid w:val="002423B6"/>
    <w:rsid w:val="002434BA"/>
    <w:rsid w:val="00244DAE"/>
    <w:rsid w:val="00246089"/>
    <w:rsid w:val="00246093"/>
    <w:rsid w:val="00246702"/>
    <w:rsid w:val="00247A7A"/>
    <w:rsid w:val="00247C59"/>
    <w:rsid w:val="00247F2E"/>
    <w:rsid w:val="00250ADC"/>
    <w:rsid w:val="00250B07"/>
    <w:rsid w:val="002511E6"/>
    <w:rsid w:val="002516B7"/>
    <w:rsid w:val="00252DC9"/>
    <w:rsid w:val="00257553"/>
    <w:rsid w:val="0026048F"/>
    <w:rsid w:val="00260F29"/>
    <w:rsid w:val="00260FB2"/>
    <w:rsid w:val="002615DC"/>
    <w:rsid w:val="00262128"/>
    <w:rsid w:val="0026247D"/>
    <w:rsid w:val="002645F3"/>
    <w:rsid w:val="00266D91"/>
    <w:rsid w:val="002671A3"/>
    <w:rsid w:val="00271094"/>
    <w:rsid w:val="0027165D"/>
    <w:rsid w:val="00273618"/>
    <w:rsid w:val="00273CEB"/>
    <w:rsid w:val="002750B6"/>
    <w:rsid w:val="0028069C"/>
    <w:rsid w:val="00281C89"/>
    <w:rsid w:val="0028282F"/>
    <w:rsid w:val="0028305F"/>
    <w:rsid w:val="00284748"/>
    <w:rsid w:val="00284A74"/>
    <w:rsid w:val="00285045"/>
    <w:rsid w:val="00285CBD"/>
    <w:rsid w:val="002863A8"/>
    <w:rsid w:val="00286EB0"/>
    <w:rsid w:val="00287BED"/>
    <w:rsid w:val="00287C9B"/>
    <w:rsid w:val="00287FA0"/>
    <w:rsid w:val="0029201F"/>
    <w:rsid w:val="00292408"/>
    <w:rsid w:val="002952B7"/>
    <w:rsid w:val="0029593B"/>
    <w:rsid w:val="00297FC5"/>
    <w:rsid w:val="002A0417"/>
    <w:rsid w:val="002A045F"/>
    <w:rsid w:val="002A0EC1"/>
    <w:rsid w:val="002A16D8"/>
    <w:rsid w:val="002A17F0"/>
    <w:rsid w:val="002A1BC8"/>
    <w:rsid w:val="002A38BF"/>
    <w:rsid w:val="002A3EF2"/>
    <w:rsid w:val="002A4C4F"/>
    <w:rsid w:val="002B0DED"/>
    <w:rsid w:val="002B19A2"/>
    <w:rsid w:val="002B381A"/>
    <w:rsid w:val="002B4FCC"/>
    <w:rsid w:val="002B5E26"/>
    <w:rsid w:val="002B6EE1"/>
    <w:rsid w:val="002B7408"/>
    <w:rsid w:val="002B7CFD"/>
    <w:rsid w:val="002C00DB"/>
    <w:rsid w:val="002C210F"/>
    <w:rsid w:val="002C3FD3"/>
    <w:rsid w:val="002C5E52"/>
    <w:rsid w:val="002C6DD9"/>
    <w:rsid w:val="002C71B2"/>
    <w:rsid w:val="002C722B"/>
    <w:rsid w:val="002C7275"/>
    <w:rsid w:val="002C7315"/>
    <w:rsid w:val="002C7382"/>
    <w:rsid w:val="002D06D0"/>
    <w:rsid w:val="002D0DBA"/>
    <w:rsid w:val="002D3600"/>
    <w:rsid w:val="002D44C1"/>
    <w:rsid w:val="002D5BFF"/>
    <w:rsid w:val="002D6693"/>
    <w:rsid w:val="002E0FA9"/>
    <w:rsid w:val="002E133A"/>
    <w:rsid w:val="002E4DDC"/>
    <w:rsid w:val="002E5615"/>
    <w:rsid w:val="002F5F11"/>
    <w:rsid w:val="002F6AFB"/>
    <w:rsid w:val="002F7657"/>
    <w:rsid w:val="00300DC9"/>
    <w:rsid w:val="00301833"/>
    <w:rsid w:val="00302480"/>
    <w:rsid w:val="00302758"/>
    <w:rsid w:val="0030301B"/>
    <w:rsid w:val="0030598F"/>
    <w:rsid w:val="00306491"/>
    <w:rsid w:val="00306622"/>
    <w:rsid w:val="00310035"/>
    <w:rsid w:val="00310F01"/>
    <w:rsid w:val="00311942"/>
    <w:rsid w:val="003125DD"/>
    <w:rsid w:val="00314AEB"/>
    <w:rsid w:val="00314F0D"/>
    <w:rsid w:val="00315880"/>
    <w:rsid w:val="003165E6"/>
    <w:rsid w:val="00317856"/>
    <w:rsid w:val="003215B5"/>
    <w:rsid w:val="00321B2F"/>
    <w:rsid w:val="003221CF"/>
    <w:rsid w:val="003233ED"/>
    <w:rsid w:val="00324D9F"/>
    <w:rsid w:val="0032578C"/>
    <w:rsid w:val="00326285"/>
    <w:rsid w:val="00327948"/>
    <w:rsid w:val="003279EB"/>
    <w:rsid w:val="0033000F"/>
    <w:rsid w:val="003309EA"/>
    <w:rsid w:val="00330F25"/>
    <w:rsid w:val="00331ECB"/>
    <w:rsid w:val="00332011"/>
    <w:rsid w:val="00332518"/>
    <w:rsid w:val="00332925"/>
    <w:rsid w:val="003332ED"/>
    <w:rsid w:val="003336B4"/>
    <w:rsid w:val="00333E80"/>
    <w:rsid w:val="003368DC"/>
    <w:rsid w:val="00336D5A"/>
    <w:rsid w:val="003409C0"/>
    <w:rsid w:val="003409D9"/>
    <w:rsid w:val="003434C6"/>
    <w:rsid w:val="003446EA"/>
    <w:rsid w:val="00344FDE"/>
    <w:rsid w:val="00345927"/>
    <w:rsid w:val="00347501"/>
    <w:rsid w:val="00350584"/>
    <w:rsid w:val="00351316"/>
    <w:rsid w:val="00351857"/>
    <w:rsid w:val="00353CC5"/>
    <w:rsid w:val="003545E8"/>
    <w:rsid w:val="0035466C"/>
    <w:rsid w:val="003566AC"/>
    <w:rsid w:val="00356947"/>
    <w:rsid w:val="00356B4F"/>
    <w:rsid w:val="003576AD"/>
    <w:rsid w:val="003610E1"/>
    <w:rsid w:val="00362878"/>
    <w:rsid w:val="00362ACA"/>
    <w:rsid w:val="00362BFE"/>
    <w:rsid w:val="00363354"/>
    <w:rsid w:val="00363BE1"/>
    <w:rsid w:val="00363C21"/>
    <w:rsid w:val="00363F0A"/>
    <w:rsid w:val="003641EA"/>
    <w:rsid w:val="003671BE"/>
    <w:rsid w:val="00370074"/>
    <w:rsid w:val="003717C4"/>
    <w:rsid w:val="003718CB"/>
    <w:rsid w:val="00372485"/>
    <w:rsid w:val="00373200"/>
    <w:rsid w:val="00375EF5"/>
    <w:rsid w:val="003767A5"/>
    <w:rsid w:val="00380C00"/>
    <w:rsid w:val="00381554"/>
    <w:rsid w:val="00381D15"/>
    <w:rsid w:val="00382DE5"/>
    <w:rsid w:val="00383AA2"/>
    <w:rsid w:val="003848F0"/>
    <w:rsid w:val="00385254"/>
    <w:rsid w:val="003906A0"/>
    <w:rsid w:val="0039094E"/>
    <w:rsid w:val="0039128C"/>
    <w:rsid w:val="00392F92"/>
    <w:rsid w:val="00394A04"/>
    <w:rsid w:val="00397CBA"/>
    <w:rsid w:val="003A04DB"/>
    <w:rsid w:val="003A31D6"/>
    <w:rsid w:val="003A5F5B"/>
    <w:rsid w:val="003A789A"/>
    <w:rsid w:val="003A78C2"/>
    <w:rsid w:val="003A7EE4"/>
    <w:rsid w:val="003B12EC"/>
    <w:rsid w:val="003B31A6"/>
    <w:rsid w:val="003B351E"/>
    <w:rsid w:val="003B76D8"/>
    <w:rsid w:val="003C0351"/>
    <w:rsid w:val="003C0EE7"/>
    <w:rsid w:val="003C16FF"/>
    <w:rsid w:val="003C3B7D"/>
    <w:rsid w:val="003C4631"/>
    <w:rsid w:val="003C5DC2"/>
    <w:rsid w:val="003C77E0"/>
    <w:rsid w:val="003D0CD8"/>
    <w:rsid w:val="003D17D7"/>
    <w:rsid w:val="003D2678"/>
    <w:rsid w:val="003D568E"/>
    <w:rsid w:val="003D71A3"/>
    <w:rsid w:val="003E1C00"/>
    <w:rsid w:val="003E2B75"/>
    <w:rsid w:val="003E2B8A"/>
    <w:rsid w:val="003E2BEF"/>
    <w:rsid w:val="003E48E9"/>
    <w:rsid w:val="003F10EE"/>
    <w:rsid w:val="003F16F6"/>
    <w:rsid w:val="003F1B47"/>
    <w:rsid w:val="003F44FD"/>
    <w:rsid w:val="003F4DC7"/>
    <w:rsid w:val="003F5235"/>
    <w:rsid w:val="003F66FA"/>
    <w:rsid w:val="00401302"/>
    <w:rsid w:val="00401FFD"/>
    <w:rsid w:val="004027E4"/>
    <w:rsid w:val="00407DB2"/>
    <w:rsid w:val="00410400"/>
    <w:rsid w:val="0041041D"/>
    <w:rsid w:val="0041071D"/>
    <w:rsid w:val="00411C17"/>
    <w:rsid w:val="00413E8A"/>
    <w:rsid w:val="00413FC9"/>
    <w:rsid w:val="00414AFC"/>
    <w:rsid w:val="00414D51"/>
    <w:rsid w:val="004151A7"/>
    <w:rsid w:val="00415310"/>
    <w:rsid w:val="004211F8"/>
    <w:rsid w:val="00421709"/>
    <w:rsid w:val="00422CF3"/>
    <w:rsid w:val="00423763"/>
    <w:rsid w:val="004267B6"/>
    <w:rsid w:val="0042762F"/>
    <w:rsid w:val="00427A06"/>
    <w:rsid w:val="00427A23"/>
    <w:rsid w:val="00427DC7"/>
    <w:rsid w:val="0043081D"/>
    <w:rsid w:val="00431613"/>
    <w:rsid w:val="00431792"/>
    <w:rsid w:val="0043297A"/>
    <w:rsid w:val="00432EB2"/>
    <w:rsid w:val="004335C5"/>
    <w:rsid w:val="0043714F"/>
    <w:rsid w:val="00440B37"/>
    <w:rsid w:val="004438B5"/>
    <w:rsid w:val="004449C6"/>
    <w:rsid w:val="00447037"/>
    <w:rsid w:val="004511C5"/>
    <w:rsid w:val="0045124D"/>
    <w:rsid w:val="00454596"/>
    <w:rsid w:val="0045605D"/>
    <w:rsid w:val="004562F6"/>
    <w:rsid w:val="00456E10"/>
    <w:rsid w:val="0046110B"/>
    <w:rsid w:val="0046135B"/>
    <w:rsid w:val="00461D47"/>
    <w:rsid w:val="00465466"/>
    <w:rsid w:val="00466F84"/>
    <w:rsid w:val="004718CC"/>
    <w:rsid w:val="00476769"/>
    <w:rsid w:val="00480196"/>
    <w:rsid w:val="00481695"/>
    <w:rsid w:val="00481B0A"/>
    <w:rsid w:val="00483FFC"/>
    <w:rsid w:val="004948F1"/>
    <w:rsid w:val="004958FD"/>
    <w:rsid w:val="00495A96"/>
    <w:rsid w:val="00495BB3"/>
    <w:rsid w:val="004962DC"/>
    <w:rsid w:val="00497184"/>
    <w:rsid w:val="004A14D0"/>
    <w:rsid w:val="004A172F"/>
    <w:rsid w:val="004A474D"/>
    <w:rsid w:val="004A56BB"/>
    <w:rsid w:val="004A70D6"/>
    <w:rsid w:val="004B00C9"/>
    <w:rsid w:val="004B1751"/>
    <w:rsid w:val="004B2960"/>
    <w:rsid w:val="004B4540"/>
    <w:rsid w:val="004B6C71"/>
    <w:rsid w:val="004C0159"/>
    <w:rsid w:val="004C0253"/>
    <w:rsid w:val="004C1BA4"/>
    <w:rsid w:val="004C2C6A"/>
    <w:rsid w:val="004C3032"/>
    <w:rsid w:val="004C40B1"/>
    <w:rsid w:val="004C5BAC"/>
    <w:rsid w:val="004D33A9"/>
    <w:rsid w:val="004D54CE"/>
    <w:rsid w:val="004D56FF"/>
    <w:rsid w:val="004D706B"/>
    <w:rsid w:val="004D7D14"/>
    <w:rsid w:val="004E3145"/>
    <w:rsid w:val="004E39D3"/>
    <w:rsid w:val="004E508A"/>
    <w:rsid w:val="004E616D"/>
    <w:rsid w:val="004E6173"/>
    <w:rsid w:val="004E6B0D"/>
    <w:rsid w:val="004E73BB"/>
    <w:rsid w:val="004F1BDE"/>
    <w:rsid w:val="004F2CEE"/>
    <w:rsid w:val="004F4F93"/>
    <w:rsid w:val="004F556E"/>
    <w:rsid w:val="004F591C"/>
    <w:rsid w:val="004F7513"/>
    <w:rsid w:val="004F7F44"/>
    <w:rsid w:val="00500B57"/>
    <w:rsid w:val="005032A5"/>
    <w:rsid w:val="005037B4"/>
    <w:rsid w:val="00504D74"/>
    <w:rsid w:val="00506B08"/>
    <w:rsid w:val="00507467"/>
    <w:rsid w:val="005079BF"/>
    <w:rsid w:val="005121BC"/>
    <w:rsid w:val="0051269A"/>
    <w:rsid w:val="00513F94"/>
    <w:rsid w:val="005144FA"/>
    <w:rsid w:val="0051550E"/>
    <w:rsid w:val="005160EA"/>
    <w:rsid w:val="00517FF6"/>
    <w:rsid w:val="005209DF"/>
    <w:rsid w:val="005219E7"/>
    <w:rsid w:val="00521ED4"/>
    <w:rsid w:val="00525B37"/>
    <w:rsid w:val="00526E8C"/>
    <w:rsid w:val="00530BD8"/>
    <w:rsid w:val="0053108C"/>
    <w:rsid w:val="00531354"/>
    <w:rsid w:val="00531B9A"/>
    <w:rsid w:val="00531D15"/>
    <w:rsid w:val="0053432C"/>
    <w:rsid w:val="0053443F"/>
    <w:rsid w:val="005356AD"/>
    <w:rsid w:val="005357AA"/>
    <w:rsid w:val="005373ED"/>
    <w:rsid w:val="00537604"/>
    <w:rsid w:val="00540968"/>
    <w:rsid w:val="00542359"/>
    <w:rsid w:val="00542377"/>
    <w:rsid w:val="00542A60"/>
    <w:rsid w:val="005476EB"/>
    <w:rsid w:val="00547AC8"/>
    <w:rsid w:val="00551782"/>
    <w:rsid w:val="00551CB3"/>
    <w:rsid w:val="00552158"/>
    <w:rsid w:val="00552CB6"/>
    <w:rsid w:val="005562CD"/>
    <w:rsid w:val="00557493"/>
    <w:rsid w:val="0056122B"/>
    <w:rsid w:val="005638D2"/>
    <w:rsid w:val="00563EF1"/>
    <w:rsid w:val="00565417"/>
    <w:rsid w:val="00566AB4"/>
    <w:rsid w:val="0057005F"/>
    <w:rsid w:val="0057255F"/>
    <w:rsid w:val="00573034"/>
    <w:rsid w:val="005735DB"/>
    <w:rsid w:val="0057452F"/>
    <w:rsid w:val="0057524A"/>
    <w:rsid w:val="00575AC5"/>
    <w:rsid w:val="00575B3F"/>
    <w:rsid w:val="0057605D"/>
    <w:rsid w:val="00577C90"/>
    <w:rsid w:val="00580529"/>
    <w:rsid w:val="00581347"/>
    <w:rsid w:val="00581AC9"/>
    <w:rsid w:val="005825ED"/>
    <w:rsid w:val="005849F8"/>
    <w:rsid w:val="00591B78"/>
    <w:rsid w:val="005938DF"/>
    <w:rsid w:val="00593A97"/>
    <w:rsid w:val="00594E9C"/>
    <w:rsid w:val="00595672"/>
    <w:rsid w:val="00595B18"/>
    <w:rsid w:val="005967A4"/>
    <w:rsid w:val="0059723B"/>
    <w:rsid w:val="00597AB8"/>
    <w:rsid w:val="005A099B"/>
    <w:rsid w:val="005A2D9C"/>
    <w:rsid w:val="005A55FE"/>
    <w:rsid w:val="005A62E5"/>
    <w:rsid w:val="005A6A11"/>
    <w:rsid w:val="005B17E7"/>
    <w:rsid w:val="005B2DC8"/>
    <w:rsid w:val="005B38ED"/>
    <w:rsid w:val="005B3DD8"/>
    <w:rsid w:val="005B42DF"/>
    <w:rsid w:val="005B4E1E"/>
    <w:rsid w:val="005C1555"/>
    <w:rsid w:val="005C36C1"/>
    <w:rsid w:val="005C6005"/>
    <w:rsid w:val="005C7DF7"/>
    <w:rsid w:val="005D2502"/>
    <w:rsid w:val="005D3B8F"/>
    <w:rsid w:val="005D40BB"/>
    <w:rsid w:val="005D458F"/>
    <w:rsid w:val="005D467B"/>
    <w:rsid w:val="005D47F3"/>
    <w:rsid w:val="005D49BF"/>
    <w:rsid w:val="005D49D0"/>
    <w:rsid w:val="005D4AA5"/>
    <w:rsid w:val="005D6F4E"/>
    <w:rsid w:val="005D7BDC"/>
    <w:rsid w:val="005D7C73"/>
    <w:rsid w:val="005E176C"/>
    <w:rsid w:val="005E2046"/>
    <w:rsid w:val="005E250B"/>
    <w:rsid w:val="005E31D2"/>
    <w:rsid w:val="005E34C3"/>
    <w:rsid w:val="005E3ACD"/>
    <w:rsid w:val="005E7226"/>
    <w:rsid w:val="005E7A57"/>
    <w:rsid w:val="005F24B0"/>
    <w:rsid w:val="005F447D"/>
    <w:rsid w:val="005F4FCD"/>
    <w:rsid w:val="00601B57"/>
    <w:rsid w:val="00603C24"/>
    <w:rsid w:val="00603CC3"/>
    <w:rsid w:val="00604315"/>
    <w:rsid w:val="0060461B"/>
    <w:rsid w:val="00604E26"/>
    <w:rsid w:val="0060523F"/>
    <w:rsid w:val="006052CF"/>
    <w:rsid w:val="00605D14"/>
    <w:rsid w:val="0060658A"/>
    <w:rsid w:val="00607B8D"/>
    <w:rsid w:val="00611F5C"/>
    <w:rsid w:val="006161D8"/>
    <w:rsid w:val="00616E09"/>
    <w:rsid w:val="0061772A"/>
    <w:rsid w:val="00621CDF"/>
    <w:rsid w:val="00622A3B"/>
    <w:rsid w:val="00622CA0"/>
    <w:rsid w:val="00622EEA"/>
    <w:rsid w:val="0062396C"/>
    <w:rsid w:val="00623E7C"/>
    <w:rsid w:val="00623FF9"/>
    <w:rsid w:val="00624595"/>
    <w:rsid w:val="006252B0"/>
    <w:rsid w:val="006252E0"/>
    <w:rsid w:val="0062659E"/>
    <w:rsid w:val="00627D4E"/>
    <w:rsid w:val="006314D1"/>
    <w:rsid w:val="00632B89"/>
    <w:rsid w:val="0063346D"/>
    <w:rsid w:val="00634117"/>
    <w:rsid w:val="00634478"/>
    <w:rsid w:val="00636609"/>
    <w:rsid w:val="00636634"/>
    <w:rsid w:val="00644373"/>
    <w:rsid w:val="00644ED5"/>
    <w:rsid w:val="00645915"/>
    <w:rsid w:val="006519C3"/>
    <w:rsid w:val="006522E8"/>
    <w:rsid w:val="00652B30"/>
    <w:rsid w:val="0065402A"/>
    <w:rsid w:val="006545ED"/>
    <w:rsid w:val="006562C3"/>
    <w:rsid w:val="00656345"/>
    <w:rsid w:val="00656DA9"/>
    <w:rsid w:val="00656DC6"/>
    <w:rsid w:val="00657834"/>
    <w:rsid w:val="006602D8"/>
    <w:rsid w:val="00660EC6"/>
    <w:rsid w:val="00664110"/>
    <w:rsid w:val="00664D17"/>
    <w:rsid w:val="00666520"/>
    <w:rsid w:val="006679E7"/>
    <w:rsid w:val="00667C5B"/>
    <w:rsid w:val="006702FE"/>
    <w:rsid w:val="00670B0C"/>
    <w:rsid w:val="00675244"/>
    <w:rsid w:val="00677A25"/>
    <w:rsid w:val="00677D4F"/>
    <w:rsid w:val="0068266E"/>
    <w:rsid w:val="00691318"/>
    <w:rsid w:val="00691EB8"/>
    <w:rsid w:val="00692CDE"/>
    <w:rsid w:val="00693073"/>
    <w:rsid w:val="00694581"/>
    <w:rsid w:val="00694E96"/>
    <w:rsid w:val="00695049"/>
    <w:rsid w:val="00697041"/>
    <w:rsid w:val="006977FF"/>
    <w:rsid w:val="006A01FA"/>
    <w:rsid w:val="006A0C2F"/>
    <w:rsid w:val="006A0E9E"/>
    <w:rsid w:val="006A17C2"/>
    <w:rsid w:val="006A25C7"/>
    <w:rsid w:val="006A2A49"/>
    <w:rsid w:val="006A4626"/>
    <w:rsid w:val="006A4AAD"/>
    <w:rsid w:val="006A4F1B"/>
    <w:rsid w:val="006A5A63"/>
    <w:rsid w:val="006A610D"/>
    <w:rsid w:val="006A6DA2"/>
    <w:rsid w:val="006A7AB2"/>
    <w:rsid w:val="006B296C"/>
    <w:rsid w:val="006B36F4"/>
    <w:rsid w:val="006B38E2"/>
    <w:rsid w:val="006B52DE"/>
    <w:rsid w:val="006B5717"/>
    <w:rsid w:val="006B582F"/>
    <w:rsid w:val="006B5EB2"/>
    <w:rsid w:val="006B7992"/>
    <w:rsid w:val="006C0B6E"/>
    <w:rsid w:val="006C0CEB"/>
    <w:rsid w:val="006C1631"/>
    <w:rsid w:val="006C3B1E"/>
    <w:rsid w:val="006C3E20"/>
    <w:rsid w:val="006C435C"/>
    <w:rsid w:val="006C47FD"/>
    <w:rsid w:val="006C5C19"/>
    <w:rsid w:val="006C70A0"/>
    <w:rsid w:val="006D27CB"/>
    <w:rsid w:val="006D2F08"/>
    <w:rsid w:val="006D4139"/>
    <w:rsid w:val="006D4BB7"/>
    <w:rsid w:val="006D576C"/>
    <w:rsid w:val="006D5865"/>
    <w:rsid w:val="006D726B"/>
    <w:rsid w:val="006D7A08"/>
    <w:rsid w:val="006E21CA"/>
    <w:rsid w:val="006E30BE"/>
    <w:rsid w:val="006E4B1B"/>
    <w:rsid w:val="006E5445"/>
    <w:rsid w:val="006E69B9"/>
    <w:rsid w:val="006E7D93"/>
    <w:rsid w:val="006F0F12"/>
    <w:rsid w:val="006F3051"/>
    <w:rsid w:val="006F330F"/>
    <w:rsid w:val="006F7987"/>
    <w:rsid w:val="007029A3"/>
    <w:rsid w:val="00702EA1"/>
    <w:rsid w:val="00703C15"/>
    <w:rsid w:val="00705EC7"/>
    <w:rsid w:val="00706E4E"/>
    <w:rsid w:val="0070791C"/>
    <w:rsid w:val="00710185"/>
    <w:rsid w:val="007108B4"/>
    <w:rsid w:val="00710FA6"/>
    <w:rsid w:val="00711135"/>
    <w:rsid w:val="00711ACA"/>
    <w:rsid w:val="007134BE"/>
    <w:rsid w:val="0071383C"/>
    <w:rsid w:val="007141A7"/>
    <w:rsid w:val="007152CD"/>
    <w:rsid w:val="00715722"/>
    <w:rsid w:val="00720D43"/>
    <w:rsid w:val="00721032"/>
    <w:rsid w:val="007211C0"/>
    <w:rsid w:val="00721B55"/>
    <w:rsid w:val="00726CE4"/>
    <w:rsid w:val="00733BD5"/>
    <w:rsid w:val="00734027"/>
    <w:rsid w:val="00734143"/>
    <w:rsid w:val="0073641D"/>
    <w:rsid w:val="00737E47"/>
    <w:rsid w:val="00740EAC"/>
    <w:rsid w:val="00743A22"/>
    <w:rsid w:val="00744956"/>
    <w:rsid w:val="00744D6E"/>
    <w:rsid w:val="00745A5C"/>
    <w:rsid w:val="0074605F"/>
    <w:rsid w:val="00747E94"/>
    <w:rsid w:val="00754C83"/>
    <w:rsid w:val="00761E5C"/>
    <w:rsid w:val="00762BBE"/>
    <w:rsid w:val="00763840"/>
    <w:rsid w:val="00764BB2"/>
    <w:rsid w:val="00764CBD"/>
    <w:rsid w:val="00765DF8"/>
    <w:rsid w:val="00766749"/>
    <w:rsid w:val="00767C1B"/>
    <w:rsid w:val="007714A9"/>
    <w:rsid w:val="0077237C"/>
    <w:rsid w:val="007738A5"/>
    <w:rsid w:val="00774F88"/>
    <w:rsid w:val="00774FDB"/>
    <w:rsid w:val="0077700D"/>
    <w:rsid w:val="007775FC"/>
    <w:rsid w:val="00777BA2"/>
    <w:rsid w:val="00781408"/>
    <w:rsid w:val="00784534"/>
    <w:rsid w:val="0078484F"/>
    <w:rsid w:val="00784F7F"/>
    <w:rsid w:val="007858F6"/>
    <w:rsid w:val="00785B8D"/>
    <w:rsid w:val="00786C35"/>
    <w:rsid w:val="007878BD"/>
    <w:rsid w:val="0079004D"/>
    <w:rsid w:val="0079063C"/>
    <w:rsid w:val="00791015"/>
    <w:rsid w:val="0079167D"/>
    <w:rsid w:val="00791B80"/>
    <w:rsid w:val="00792079"/>
    <w:rsid w:val="007950C0"/>
    <w:rsid w:val="007965FA"/>
    <w:rsid w:val="00796F25"/>
    <w:rsid w:val="007A040B"/>
    <w:rsid w:val="007A06EE"/>
    <w:rsid w:val="007A2C36"/>
    <w:rsid w:val="007A2E98"/>
    <w:rsid w:val="007A3BA3"/>
    <w:rsid w:val="007A5556"/>
    <w:rsid w:val="007A5BE0"/>
    <w:rsid w:val="007A6CC0"/>
    <w:rsid w:val="007A7024"/>
    <w:rsid w:val="007A7293"/>
    <w:rsid w:val="007A7FEC"/>
    <w:rsid w:val="007B1499"/>
    <w:rsid w:val="007B1BBF"/>
    <w:rsid w:val="007B201E"/>
    <w:rsid w:val="007B2412"/>
    <w:rsid w:val="007B2960"/>
    <w:rsid w:val="007B355D"/>
    <w:rsid w:val="007B3AB4"/>
    <w:rsid w:val="007B45A1"/>
    <w:rsid w:val="007B5371"/>
    <w:rsid w:val="007B7980"/>
    <w:rsid w:val="007C0DEF"/>
    <w:rsid w:val="007C2A03"/>
    <w:rsid w:val="007C2C66"/>
    <w:rsid w:val="007C2C87"/>
    <w:rsid w:val="007C3039"/>
    <w:rsid w:val="007C4A1E"/>
    <w:rsid w:val="007C53B8"/>
    <w:rsid w:val="007C566D"/>
    <w:rsid w:val="007C5CED"/>
    <w:rsid w:val="007C5D5A"/>
    <w:rsid w:val="007C607F"/>
    <w:rsid w:val="007C6820"/>
    <w:rsid w:val="007C6E44"/>
    <w:rsid w:val="007C79DD"/>
    <w:rsid w:val="007C7D69"/>
    <w:rsid w:val="007C7DF6"/>
    <w:rsid w:val="007D0A3C"/>
    <w:rsid w:val="007D1A97"/>
    <w:rsid w:val="007D2C39"/>
    <w:rsid w:val="007D2CD6"/>
    <w:rsid w:val="007D3063"/>
    <w:rsid w:val="007D3CEB"/>
    <w:rsid w:val="007D449D"/>
    <w:rsid w:val="007D592F"/>
    <w:rsid w:val="007D6AC5"/>
    <w:rsid w:val="007D6C4E"/>
    <w:rsid w:val="007E0607"/>
    <w:rsid w:val="007E0DDC"/>
    <w:rsid w:val="007E3375"/>
    <w:rsid w:val="007E7683"/>
    <w:rsid w:val="007F10C5"/>
    <w:rsid w:val="007F48AD"/>
    <w:rsid w:val="007F49FA"/>
    <w:rsid w:val="007F54C4"/>
    <w:rsid w:val="007F5C7A"/>
    <w:rsid w:val="007F62E5"/>
    <w:rsid w:val="007F6E9A"/>
    <w:rsid w:val="007F739C"/>
    <w:rsid w:val="008002A7"/>
    <w:rsid w:val="00800AF1"/>
    <w:rsid w:val="00800AF8"/>
    <w:rsid w:val="00800CCD"/>
    <w:rsid w:val="00802FD9"/>
    <w:rsid w:val="008036AA"/>
    <w:rsid w:val="00803C2E"/>
    <w:rsid w:val="008044D4"/>
    <w:rsid w:val="00804913"/>
    <w:rsid w:val="008100BE"/>
    <w:rsid w:val="00810AB4"/>
    <w:rsid w:val="0081250B"/>
    <w:rsid w:val="00813C53"/>
    <w:rsid w:val="00816353"/>
    <w:rsid w:val="00817B56"/>
    <w:rsid w:val="008205FB"/>
    <w:rsid w:val="00821881"/>
    <w:rsid w:val="00821A88"/>
    <w:rsid w:val="00822A7B"/>
    <w:rsid w:val="00822BD6"/>
    <w:rsid w:val="0082495D"/>
    <w:rsid w:val="00831010"/>
    <w:rsid w:val="00831AC3"/>
    <w:rsid w:val="00833BA0"/>
    <w:rsid w:val="00834EDE"/>
    <w:rsid w:val="008357F4"/>
    <w:rsid w:val="00835835"/>
    <w:rsid w:val="00836AA0"/>
    <w:rsid w:val="00836FCE"/>
    <w:rsid w:val="008408FF"/>
    <w:rsid w:val="00842265"/>
    <w:rsid w:val="00851098"/>
    <w:rsid w:val="00851C86"/>
    <w:rsid w:val="00851F3F"/>
    <w:rsid w:val="00855F58"/>
    <w:rsid w:val="0085618F"/>
    <w:rsid w:val="008561DC"/>
    <w:rsid w:val="008568F7"/>
    <w:rsid w:val="00856EDC"/>
    <w:rsid w:val="00860C3B"/>
    <w:rsid w:val="008623B5"/>
    <w:rsid w:val="0086305F"/>
    <w:rsid w:val="00870ABA"/>
    <w:rsid w:val="008710E1"/>
    <w:rsid w:val="008716E5"/>
    <w:rsid w:val="00871C88"/>
    <w:rsid w:val="00874725"/>
    <w:rsid w:val="00876E02"/>
    <w:rsid w:val="00876E2A"/>
    <w:rsid w:val="008775A6"/>
    <w:rsid w:val="00881CA9"/>
    <w:rsid w:val="0088275D"/>
    <w:rsid w:val="0088339A"/>
    <w:rsid w:val="0088354C"/>
    <w:rsid w:val="00883628"/>
    <w:rsid w:val="00885544"/>
    <w:rsid w:val="00885C80"/>
    <w:rsid w:val="0088634E"/>
    <w:rsid w:val="00887911"/>
    <w:rsid w:val="00890085"/>
    <w:rsid w:val="00893AB8"/>
    <w:rsid w:val="00894307"/>
    <w:rsid w:val="008A04C8"/>
    <w:rsid w:val="008A234A"/>
    <w:rsid w:val="008A3949"/>
    <w:rsid w:val="008A61F1"/>
    <w:rsid w:val="008A6913"/>
    <w:rsid w:val="008B18EE"/>
    <w:rsid w:val="008B2E5D"/>
    <w:rsid w:val="008B70F3"/>
    <w:rsid w:val="008B71C4"/>
    <w:rsid w:val="008B76DF"/>
    <w:rsid w:val="008B7C0A"/>
    <w:rsid w:val="008C10F4"/>
    <w:rsid w:val="008C3D55"/>
    <w:rsid w:val="008C41CB"/>
    <w:rsid w:val="008C4902"/>
    <w:rsid w:val="008C65F7"/>
    <w:rsid w:val="008E032A"/>
    <w:rsid w:val="008E22FF"/>
    <w:rsid w:val="008E3E27"/>
    <w:rsid w:val="008E4767"/>
    <w:rsid w:val="008E4C93"/>
    <w:rsid w:val="008E7A8C"/>
    <w:rsid w:val="008F7864"/>
    <w:rsid w:val="0090203B"/>
    <w:rsid w:val="00902432"/>
    <w:rsid w:val="00902448"/>
    <w:rsid w:val="00903285"/>
    <w:rsid w:val="00906F40"/>
    <w:rsid w:val="0090731E"/>
    <w:rsid w:val="009129EF"/>
    <w:rsid w:val="009141E2"/>
    <w:rsid w:val="00914BB4"/>
    <w:rsid w:val="00915995"/>
    <w:rsid w:val="00915B1C"/>
    <w:rsid w:val="009174F3"/>
    <w:rsid w:val="0091797D"/>
    <w:rsid w:val="00917EEC"/>
    <w:rsid w:val="00923CBA"/>
    <w:rsid w:val="009242EB"/>
    <w:rsid w:val="00924FBF"/>
    <w:rsid w:val="00926703"/>
    <w:rsid w:val="00927691"/>
    <w:rsid w:val="00927A5F"/>
    <w:rsid w:val="00930510"/>
    <w:rsid w:val="00933958"/>
    <w:rsid w:val="009349BA"/>
    <w:rsid w:val="00935B63"/>
    <w:rsid w:val="00936479"/>
    <w:rsid w:val="0094078F"/>
    <w:rsid w:val="00940FA3"/>
    <w:rsid w:val="00941EF8"/>
    <w:rsid w:val="00941FB0"/>
    <w:rsid w:val="009426D4"/>
    <w:rsid w:val="00943057"/>
    <w:rsid w:val="00945959"/>
    <w:rsid w:val="00945A27"/>
    <w:rsid w:val="00947067"/>
    <w:rsid w:val="00947F25"/>
    <w:rsid w:val="00950159"/>
    <w:rsid w:val="00952855"/>
    <w:rsid w:val="00952C78"/>
    <w:rsid w:val="00953C33"/>
    <w:rsid w:val="009542CB"/>
    <w:rsid w:val="0095490B"/>
    <w:rsid w:val="00954E3E"/>
    <w:rsid w:val="0095535D"/>
    <w:rsid w:val="00955786"/>
    <w:rsid w:val="009565BD"/>
    <w:rsid w:val="00960A33"/>
    <w:rsid w:val="00961194"/>
    <w:rsid w:val="00964F51"/>
    <w:rsid w:val="00967295"/>
    <w:rsid w:val="00970A1B"/>
    <w:rsid w:val="00971914"/>
    <w:rsid w:val="009738EF"/>
    <w:rsid w:val="009740A5"/>
    <w:rsid w:val="00974363"/>
    <w:rsid w:val="00976E46"/>
    <w:rsid w:val="00981898"/>
    <w:rsid w:val="00990754"/>
    <w:rsid w:val="00992976"/>
    <w:rsid w:val="00992E0A"/>
    <w:rsid w:val="00993DC1"/>
    <w:rsid w:val="0099577C"/>
    <w:rsid w:val="009A24FE"/>
    <w:rsid w:val="009A4736"/>
    <w:rsid w:val="009A52C5"/>
    <w:rsid w:val="009A5802"/>
    <w:rsid w:val="009A6084"/>
    <w:rsid w:val="009A6D64"/>
    <w:rsid w:val="009A745A"/>
    <w:rsid w:val="009A7D72"/>
    <w:rsid w:val="009B24A5"/>
    <w:rsid w:val="009B2601"/>
    <w:rsid w:val="009B28B7"/>
    <w:rsid w:val="009B401B"/>
    <w:rsid w:val="009B4E9E"/>
    <w:rsid w:val="009B5C11"/>
    <w:rsid w:val="009B7B7D"/>
    <w:rsid w:val="009C0E5C"/>
    <w:rsid w:val="009C1690"/>
    <w:rsid w:val="009C29ED"/>
    <w:rsid w:val="009C6881"/>
    <w:rsid w:val="009C76FD"/>
    <w:rsid w:val="009C7759"/>
    <w:rsid w:val="009D043D"/>
    <w:rsid w:val="009D07C8"/>
    <w:rsid w:val="009D1D05"/>
    <w:rsid w:val="009D2529"/>
    <w:rsid w:val="009D684D"/>
    <w:rsid w:val="009D6C71"/>
    <w:rsid w:val="009E0631"/>
    <w:rsid w:val="009E16D0"/>
    <w:rsid w:val="009E2051"/>
    <w:rsid w:val="009E38FD"/>
    <w:rsid w:val="009E3B1F"/>
    <w:rsid w:val="009E578F"/>
    <w:rsid w:val="009E668C"/>
    <w:rsid w:val="009E70D0"/>
    <w:rsid w:val="009F0B34"/>
    <w:rsid w:val="009F13D6"/>
    <w:rsid w:val="009F1544"/>
    <w:rsid w:val="009F1672"/>
    <w:rsid w:val="009F216A"/>
    <w:rsid w:val="009F4C6B"/>
    <w:rsid w:val="009F608C"/>
    <w:rsid w:val="009F6C6C"/>
    <w:rsid w:val="009F721D"/>
    <w:rsid w:val="009F78A8"/>
    <w:rsid w:val="00A0172E"/>
    <w:rsid w:val="00A02AD6"/>
    <w:rsid w:val="00A036B6"/>
    <w:rsid w:val="00A036D6"/>
    <w:rsid w:val="00A04151"/>
    <w:rsid w:val="00A0548F"/>
    <w:rsid w:val="00A07096"/>
    <w:rsid w:val="00A07318"/>
    <w:rsid w:val="00A07CFD"/>
    <w:rsid w:val="00A11370"/>
    <w:rsid w:val="00A12BD7"/>
    <w:rsid w:val="00A137F2"/>
    <w:rsid w:val="00A13BEC"/>
    <w:rsid w:val="00A1573F"/>
    <w:rsid w:val="00A17B1B"/>
    <w:rsid w:val="00A224CE"/>
    <w:rsid w:val="00A22522"/>
    <w:rsid w:val="00A233AF"/>
    <w:rsid w:val="00A2440D"/>
    <w:rsid w:val="00A24882"/>
    <w:rsid w:val="00A24AFD"/>
    <w:rsid w:val="00A24F5C"/>
    <w:rsid w:val="00A30433"/>
    <w:rsid w:val="00A3051B"/>
    <w:rsid w:val="00A32F96"/>
    <w:rsid w:val="00A346D4"/>
    <w:rsid w:val="00A35518"/>
    <w:rsid w:val="00A36780"/>
    <w:rsid w:val="00A40871"/>
    <w:rsid w:val="00A412AB"/>
    <w:rsid w:val="00A4193E"/>
    <w:rsid w:val="00A439E8"/>
    <w:rsid w:val="00A440E0"/>
    <w:rsid w:val="00A442EF"/>
    <w:rsid w:val="00A45BBD"/>
    <w:rsid w:val="00A500AF"/>
    <w:rsid w:val="00A5031B"/>
    <w:rsid w:val="00A51D1A"/>
    <w:rsid w:val="00A5418D"/>
    <w:rsid w:val="00A5420F"/>
    <w:rsid w:val="00A5474E"/>
    <w:rsid w:val="00A62560"/>
    <w:rsid w:val="00A64234"/>
    <w:rsid w:val="00A70658"/>
    <w:rsid w:val="00A70ADF"/>
    <w:rsid w:val="00A70B99"/>
    <w:rsid w:val="00A71466"/>
    <w:rsid w:val="00A71D49"/>
    <w:rsid w:val="00A73299"/>
    <w:rsid w:val="00A737E7"/>
    <w:rsid w:val="00A74173"/>
    <w:rsid w:val="00A74B5E"/>
    <w:rsid w:val="00A75498"/>
    <w:rsid w:val="00A760CF"/>
    <w:rsid w:val="00A81BED"/>
    <w:rsid w:val="00A81EC4"/>
    <w:rsid w:val="00A824E8"/>
    <w:rsid w:val="00A82A81"/>
    <w:rsid w:val="00A85DF4"/>
    <w:rsid w:val="00A878EF"/>
    <w:rsid w:val="00A87DA8"/>
    <w:rsid w:val="00A90B0A"/>
    <w:rsid w:val="00A93DB1"/>
    <w:rsid w:val="00A967FD"/>
    <w:rsid w:val="00A9681B"/>
    <w:rsid w:val="00A97A2C"/>
    <w:rsid w:val="00AA0321"/>
    <w:rsid w:val="00AA0C3F"/>
    <w:rsid w:val="00AA1F0B"/>
    <w:rsid w:val="00AA2DE5"/>
    <w:rsid w:val="00AA2EBE"/>
    <w:rsid w:val="00AA4B3E"/>
    <w:rsid w:val="00AA5FC5"/>
    <w:rsid w:val="00AA60E8"/>
    <w:rsid w:val="00AA7C28"/>
    <w:rsid w:val="00AA7C32"/>
    <w:rsid w:val="00AB0872"/>
    <w:rsid w:val="00AB156C"/>
    <w:rsid w:val="00AB5A0D"/>
    <w:rsid w:val="00AB6814"/>
    <w:rsid w:val="00AC04BA"/>
    <w:rsid w:val="00AC0E39"/>
    <w:rsid w:val="00AC15AC"/>
    <w:rsid w:val="00AC2BA3"/>
    <w:rsid w:val="00AC537E"/>
    <w:rsid w:val="00AD122C"/>
    <w:rsid w:val="00AD1F47"/>
    <w:rsid w:val="00AD29DB"/>
    <w:rsid w:val="00AD3082"/>
    <w:rsid w:val="00AD32B4"/>
    <w:rsid w:val="00AD4AD0"/>
    <w:rsid w:val="00AD5150"/>
    <w:rsid w:val="00AD5436"/>
    <w:rsid w:val="00AD60CD"/>
    <w:rsid w:val="00AD6C8C"/>
    <w:rsid w:val="00AD6E3A"/>
    <w:rsid w:val="00AE091D"/>
    <w:rsid w:val="00AE2121"/>
    <w:rsid w:val="00AE3B60"/>
    <w:rsid w:val="00AE53A1"/>
    <w:rsid w:val="00AE78EF"/>
    <w:rsid w:val="00AF0186"/>
    <w:rsid w:val="00AF1856"/>
    <w:rsid w:val="00AF2484"/>
    <w:rsid w:val="00AF31F1"/>
    <w:rsid w:val="00AF63E7"/>
    <w:rsid w:val="00AF6600"/>
    <w:rsid w:val="00AF6E17"/>
    <w:rsid w:val="00B0165D"/>
    <w:rsid w:val="00B01844"/>
    <w:rsid w:val="00B01B60"/>
    <w:rsid w:val="00B026DA"/>
    <w:rsid w:val="00B031F3"/>
    <w:rsid w:val="00B03ECB"/>
    <w:rsid w:val="00B04A72"/>
    <w:rsid w:val="00B052A4"/>
    <w:rsid w:val="00B05611"/>
    <w:rsid w:val="00B07488"/>
    <w:rsid w:val="00B07DFD"/>
    <w:rsid w:val="00B10CBC"/>
    <w:rsid w:val="00B119F3"/>
    <w:rsid w:val="00B125DE"/>
    <w:rsid w:val="00B13589"/>
    <w:rsid w:val="00B13FDD"/>
    <w:rsid w:val="00B1693C"/>
    <w:rsid w:val="00B203F2"/>
    <w:rsid w:val="00B211D5"/>
    <w:rsid w:val="00B21F9E"/>
    <w:rsid w:val="00B22EB2"/>
    <w:rsid w:val="00B25E0E"/>
    <w:rsid w:val="00B27442"/>
    <w:rsid w:val="00B31167"/>
    <w:rsid w:val="00B323B1"/>
    <w:rsid w:val="00B329D8"/>
    <w:rsid w:val="00B32BB9"/>
    <w:rsid w:val="00B33A26"/>
    <w:rsid w:val="00B33AE1"/>
    <w:rsid w:val="00B37C38"/>
    <w:rsid w:val="00B40B6B"/>
    <w:rsid w:val="00B41729"/>
    <w:rsid w:val="00B4288C"/>
    <w:rsid w:val="00B42F5F"/>
    <w:rsid w:val="00B43262"/>
    <w:rsid w:val="00B43DD9"/>
    <w:rsid w:val="00B44100"/>
    <w:rsid w:val="00B464B3"/>
    <w:rsid w:val="00B46CAE"/>
    <w:rsid w:val="00B46CBA"/>
    <w:rsid w:val="00B46F94"/>
    <w:rsid w:val="00B47416"/>
    <w:rsid w:val="00B506B1"/>
    <w:rsid w:val="00B5207A"/>
    <w:rsid w:val="00B55BB2"/>
    <w:rsid w:val="00B5605C"/>
    <w:rsid w:val="00B6003C"/>
    <w:rsid w:val="00B60D86"/>
    <w:rsid w:val="00B61793"/>
    <w:rsid w:val="00B61857"/>
    <w:rsid w:val="00B61E9F"/>
    <w:rsid w:val="00B61F03"/>
    <w:rsid w:val="00B622EB"/>
    <w:rsid w:val="00B626E4"/>
    <w:rsid w:val="00B66AAF"/>
    <w:rsid w:val="00B66C87"/>
    <w:rsid w:val="00B7185F"/>
    <w:rsid w:val="00B71CAC"/>
    <w:rsid w:val="00B72F4A"/>
    <w:rsid w:val="00B73F43"/>
    <w:rsid w:val="00B74AD5"/>
    <w:rsid w:val="00B74C3E"/>
    <w:rsid w:val="00B775EF"/>
    <w:rsid w:val="00B80FE7"/>
    <w:rsid w:val="00B827C0"/>
    <w:rsid w:val="00B83C27"/>
    <w:rsid w:val="00B8470B"/>
    <w:rsid w:val="00B84BC3"/>
    <w:rsid w:val="00B84BDD"/>
    <w:rsid w:val="00B8757B"/>
    <w:rsid w:val="00B91554"/>
    <w:rsid w:val="00B91BE9"/>
    <w:rsid w:val="00B92812"/>
    <w:rsid w:val="00B9412A"/>
    <w:rsid w:val="00B951AE"/>
    <w:rsid w:val="00B95548"/>
    <w:rsid w:val="00B95E8A"/>
    <w:rsid w:val="00B9611E"/>
    <w:rsid w:val="00BA5679"/>
    <w:rsid w:val="00BB1BB2"/>
    <w:rsid w:val="00BB243E"/>
    <w:rsid w:val="00BB2DC1"/>
    <w:rsid w:val="00BB45A1"/>
    <w:rsid w:val="00BB7686"/>
    <w:rsid w:val="00BB7D6B"/>
    <w:rsid w:val="00BC23C8"/>
    <w:rsid w:val="00BC23F9"/>
    <w:rsid w:val="00BC3421"/>
    <w:rsid w:val="00BC60F1"/>
    <w:rsid w:val="00BC6266"/>
    <w:rsid w:val="00BC70CE"/>
    <w:rsid w:val="00BC732C"/>
    <w:rsid w:val="00BC7345"/>
    <w:rsid w:val="00BC7662"/>
    <w:rsid w:val="00BD14FA"/>
    <w:rsid w:val="00BD2C04"/>
    <w:rsid w:val="00BD3005"/>
    <w:rsid w:val="00BD4276"/>
    <w:rsid w:val="00BD4421"/>
    <w:rsid w:val="00BD47EF"/>
    <w:rsid w:val="00BD5648"/>
    <w:rsid w:val="00BD60A4"/>
    <w:rsid w:val="00BD7249"/>
    <w:rsid w:val="00BE2580"/>
    <w:rsid w:val="00BE266D"/>
    <w:rsid w:val="00BE337B"/>
    <w:rsid w:val="00BE35CB"/>
    <w:rsid w:val="00BE3938"/>
    <w:rsid w:val="00BE4C11"/>
    <w:rsid w:val="00BE669C"/>
    <w:rsid w:val="00BE6805"/>
    <w:rsid w:val="00BE6988"/>
    <w:rsid w:val="00BE71C0"/>
    <w:rsid w:val="00BF5B83"/>
    <w:rsid w:val="00BF5DBF"/>
    <w:rsid w:val="00BF610C"/>
    <w:rsid w:val="00C0060B"/>
    <w:rsid w:val="00C00C3C"/>
    <w:rsid w:val="00C01A6C"/>
    <w:rsid w:val="00C02092"/>
    <w:rsid w:val="00C02549"/>
    <w:rsid w:val="00C0277D"/>
    <w:rsid w:val="00C03818"/>
    <w:rsid w:val="00C053A1"/>
    <w:rsid w:val="00C05A48"/>
    <w:rsid w:val="00C065FB"/>
    <w:rsid w:val="00C121C3"/>
    <w:rsid w:val="00C127B6"/>
    <w:rsid w:val="00C14382"/>
    <w:rsid w:val="00C14C0D"/>
    <w:rsid w:val="00C14F78"/>
    <w:rsid w:val="00C1584C"/>
    <w:rsid w:val="00C16198"/>
    <w:rsid w:val="00C2083D"/>
    <w:rsid w:val="00C24A53"/>
    <w:rsid w:val="00C27DD9"/>
    <w:rsid w:val="00C30770"/>
    <w:rsid w:val="00C30795"/>
    <w:rsid w:val="00C34A05"/>
    <w:rsid w:val="00C35B94"/>
    <w:rsid w:val="00C35CCE"/>
    <w:rsid w:val="00C37205"/>
    <w:rsid w:val="00C4032F"/>
    <w:rsid w:val="00C44047"/>
    <w:rsid w:val="00C44D72"/>
    <w:rsid w:val="00C45155"/>
    <w:rsid w:val="00C46DC8"/>
    <w:rsid w:val="00C4763B"/>
    <w:rsid w:val="00C51971"/>
    <w:rsid w:val="00C51FDA"/>
    <w:rsid w:val="00C5218F"/>
    <w:rsid w:val="00C527B1"/>
    <w:rsid w:val="00C5498F"/>
    <w:rsid w:val="00C55235"/>
    <w:rsid w:val="00C55D36"/>
    <w:rsid w:val="00C6347B"/>
    <w:rsid w:val="00C63683"/>
    <w:rsid w:val="00C64857"/>
    <w:rsid w:val="00C64CD0"/>
    <w:rsid w:val="00C64CF0"/>
    <w:rsid w:val="00C6684F"/>
    <w:rsid w:val="00C70E70"/>
    <w:rsid w:val="00C714FE"/>
    <w:rsid w:val="00C72F54"/>
    <w:rsid w:val="00C7411F"/>
    <w:rsid w:val="00C74D49"/>
    <w:rsid w:val="00C75884"/>
    <w:rsid w:val="00C75F8D"/>
    <w:rsid w:val="00C77230"/>
    <w:rsid w:val="00C77380"/>
    <w:rsid w:val="00C82940"/>
    <w:rsid w:val="00C830E6"/>
    <w:rsid w:val="00C832A8"/>
    <w:rsid w:val="00C83845"/>
    <w:rsid w:val="00C83D7E"/>
    <w:rsid w:val="00C856C4"/>
    <w:rsid w:val="00C87E8A"/>
    <w:rsid w:val="00C923B6"/>
    <w:rsid w:val="00C92973"/>
    <w:rsid w:val="00C9601C"/>
    <w:rsid w:val="00C97736"/>
    <w:rsid w:val="00CA1DE2"/>
    <w:rsid w:val="00CA28F9"/>
    <w:rsid w:val="00CA345A"/>
    <w:rsid w:val="00CA38AD"/>
    <w:rsid w:val="00CA7666"/>
    <w:rsid w:val="00CB1E82"/>
    <w:rsid w:val="00CB28B1"/>
    <w:rsid w:val="00CB2950"/>
    <w:rsid w:val="00CB3B00"/>
    <w:rsid w:val="00CB4BA8"/>
    <w:rsid w:val="00CB52D7"/>
    <w:rsid w:val="00CB7B48"/>
    <w:rsid w:val="00CC33E7"/>
    <w:rsid w:val="00CC6732"/>
    <w:rsid w:val="00CD194D"/>
    <w:rsid w:val="00CD36AF"/>
    <w:rsid w:val="00CD5C91"/>
    <w:rsid w:val="00CE0BB5"/>
    <w:rsid w:val="00CE0F34"/>
    <w:rsid w:val="00CE392A"/>
    <w:rsid w:val="00CE3C96"/>
    <w:rsid w:val="00CE4650"/>
    <w:rsid w:val="00CE51A8"/>
    <w:rsid w:val="00CE5FEA"/>
    <w:rsid w:val="00CF12D5"/>
    <w:rsid w:val="00CF1715"/>
    <w:rsid w:val="00CF19E3"/>
    <w:rsid w:val="00CF2B3B"/>
    <w:rsid w:val="00CF369B"/>
    <w:rsid w:val="00CF64F2"/>
    <w:rsid w:val="00CF7270"/>
    <w:rsid w:val="00D00E28"/>
    <w:rsid w:val="00D02594"/>
    <w:rsid w:val="00D0264E"/>
    <w:rsid w:val="00D0269E"/>
    <w:rsid w:val="00D02E6B"/>
    <w:rsid w:val="00D048F9"/>
    <w:rsid w:val="00D05D6C"/>
    <w:rsid w:val="00D10860"/>
    <w:rsid w:val="00D15810"/>
    <w:rsid w:val="00D16D4E"/>
    <w:rsid w:val="00D16FE3"/>
    <w:rsid w:val="00D173A9"/>
    <w:rsid w:val="00D176E4"/>
    <w:rsid w:val="00D201F9"/>
    <w:rsid w:val="00D23DB1"/>
    <w:rsid w:val="00D24C48"/>
    <w:rsid w:val="00D27F41"/>
    <w:rsid w:val="00D32663"/>
    <w:rsid w:val="00D33216"/>
    <w:rsid w:val="00D35594"/>
    <w:rsid w:val="00D36441"/>
    <w:rsid w:val="00D3653B"/>
    <w:rsid w:val="00D3657D"/>
    <w:rsid w:val="00D37F07"/>
    <w:rsid w:val="00D4064E"/>
    <w:rsid w:val="00D414E9"/>
    <w:rsid w:val="00D42EF0"/>
    <w:rsid w:val="00D4323D"/>
    <w:rsid w:val="00D44CF4"/>
    <w:rsid w:val="00D44E9B"/>
    <w:rsid w:val="00D45DC9"/>
    <w:rsid w:val="00D45FD2"/>
    <w:rsid w:val="00D47AEB"/>
    <w:rsid w:val="00D50DB9"/>
    <w:rsid w:val="00D51302"/>
    <w:rsid w:val="00D51D08"/>
    <w:rsid w:val="00D52B82"/>
    <w:rsid w:val="00D52C43"/>
    <w:rsid w:val="00D532B8"/>
    <w:rsid w:val="00D56280"/>
    <w:rsid w:val="00D60571"/>
    <w:rsid w:val="00D61191"/>
    <w:rsid w:val="00D615D0"/>
    <w:rsid w:val="00D63022"/>
    <w:rsid w:val="00D6507F"/>
    <w:rsid w:val="00D6566F"/>
    <w:rsid w:val="00D65C39"/>
    <w:rsid w:val="00D67339"/>
    <w:rsid w:val="00D730BC"/>
    <w:rsid w:val="00D7330C"/>
    <w:rsid w:val="00D73912"/>
    <w:rsid w:val="00D76572"/>
    <w:rsid w:val="00D80DBD"/>
    <w:rsid w:val="00D83EA1"/>
    <w:rsid w:val="00D85226"/>
    <w:rsid w:val="00D85E53"/>
    <w:rsid w:val="00D86072"/>
    <w:rsid w:val="00D87A7B"/>
    <w:rsid w:val="00D87B26"/>
    <w:rsid w:val="00D87B94"/>
    <w:rsid w:val="00D87DDB"/>
    <w:rsid w:val="00D91C64"/>
    <w:rsid w:val="00D9264E"/>
    <w:rsid w:val="00D92B36"/>
    <w:rsid w:val="00D92D49"/>
    <w:rsid w:val="00D92EC1"/>
    <w:rsid w:val="00D961BF"/>
    <w:rsid w:val="00D969AD"/>
    <w:rsid w:val="00D96DEA"/>
    <w:rsid w:val="00DA381C"/>
    <w:rsid w:val="00DA4E41"/>
    <w:rsid w:val="00DA706E"/>
    <w:rsid w:val="00DB02AA"/>
    <w:rsid w:val="00DB117A"/>
    <w:rsid w:val="00DB12A3"/>
    <w:rsid w:val="00DB2CFC"/>
    <w:rsid w:val="00DB3A64"/>
    <w:rsid w:val="00DB5173"/>
    <w:rsid w:val="00DB581D"/>
    <w:rsid w:val="00DB7873"/>
    <w:rsid w:val="00DC0117"/>
    <w:rsid w:val="00DC1212"/>
    <w:rsid w:val="00DC187B"/>
    <w:rsid w:val="00DC508E"/>
    <w:rsid w:val="00DC5191"/>
    <w:rsid w:val="00DC618F"/>
    <w:rsid w:val="00DC723C"/>
    <w:rsid w:val="00DC7DEF"/>
    <w:rsid w:val="00DD19B6"/>
    <w:rsid w:val="00DD1A43"/>
    <w:rsid w:val="00DD20B7"/>
    <w:rsid w:val="00DD4021"/>
    <w:rsid w:val="00DD518F"/>
    <w:rsid w:val="00DD6C8F"/>
    <w:rsid w:val="00DD73C2"/>
    <w:rsid w:val="00DD7911"/>
    <w:rsid w:val="00DE1323"/>
    <w:rsid w:val="00DE319B"/>
    <w:rsid w:val="00DE4C71"/>
    <w:rsid w:val="00DE5E72"/>
    <w:rsid w:val="00DF06FB"/>
    <w:rsid w:val="00DF0799"/>
    <w:rsid w:val="00DF2237"/>
    <w:rsid w:val="00DF2614"/>
    <w:rsid w:val="00DF34FE"/>
    <w:rsid w:val="00DF42EF"/>
    <w:rsid w:val="00DF56AA"/>
    <w:rsid w:val="00DF56AF"/>
    <w:rsid w:val="00DF6F38"/>
    <w:rsid w:val="00DF78E7"/>
    <w:rsid w:val="00E009CC"/>
    <w:rsid w:val="00E0248C"/>
    <w:rsid w:val="00E07A07"/>
    <w:rsid w:val="00E07C1B"/>
    <w:rsid w:val="00E100D9"/>
    <w:rsid w:val="00E10538"/>
    <w:rsid w:val="00E110E0"/>
    <w:rsid w:val="00E11E68"/>
    <w:rsid w:val="00E1312F"/>
    <w:rsid w:val="00E13F32"/>
    <w:rsid w:val="00E15371"/>
    <w:rsid w:val="00E15FF9"/>
    <w:rsid w:val="00E213D5"/>
    <w:rsid w:val="00E21722"/>
    <w:rsid w:val="00E23372"/>
    <w:rsid w:val="00E24104"/>
    <w:rsid w:val="00E27E70"/>
    <w:rsid w:val="00E302D0"/>
    <w:rsid w:val="00E32B75"/>
    <w:rsid w:val="00E351C8"/>
    <w:rsid w:val="00E35707"/>
    <w:rsid w:val="00E36490"/>
    <w:rsid w:val="00E36AA1"/>
    <w:rsid w:val="00E402C3"/>
    <w:rsid w:val="00E41ECB"/>
    <w:rsid w:val="00E42676"/>
    <w:rsid w:val="00E42A7A"/>
    <w:rsid w:val="00E45CFA"/>
    <w:rsid w:val="00E45F53"/>
    <w:rsid w:val="00E519F1"/>
    <w:rsid w:val="00E53D8C"/>
    <w:rsid w:val="00E54FDB"/>
    <w:rsid w:val="00E5617D"/>
    <w:rsid w:val="00E563D7"/>
    <w:rsid w:val="00E615BD"/>
    <w:rsid w:val="00E62DBA"/>
    <w:rsid w:val="00E65D2F"/>
    <w:rsid w:val="00E663F4"/>
    <w:rsid w:val="00E66601"/>
    <w:rsid w:val="00E666F2"/>
    <w:rsid w:val="00E66DD4"/>
    <w:rsid w:val="00E673CF"/>
    <w:rsid w:val="00E70354"/>
    <w:rsid w:val="00E733BC"/>
    <w:rsid w:val="00E73548"/>
    <w:rsid w:val="00E748CC"/>
    <w:rsid w:val="00E75415"/>
    <w:rsid w:val="00E76DA9"/>
    <w:rsid w:val="00E775B1"/>
    <w:rsid w:val="00E8152A"/>
    <w:rsid w:val="00E822F8"/>
    <w:rsid w:val="00E831D5"/>
    <w:rsid w:val="00E8436E"/>
    <w:rsid w:val="00E8439C"/>
    <w:rsid w:val="00E85CEC"/>
    <w:rsid w:val="00E9031B"/>
    <w:rsid w:val="00E93629"/>
    <w:rsid w:val="00E93B5C"/>
    <w:rsid w:val="00E943A8"/>
    <w:rsid w:val="00E9441F"/>
    <w:rsid w:val="00E94CEC"/>
    <w:rsid w:val="00EA04EF"/>
    <w:rsid w:val="00EA2B7B"/>
    <w:rsid w:val="00EA5106"/>
    <w:rsid w:val="00EA6D15"/>
    <w:rsid w:val="00EA6F19"/>
    <w:rsid w:val="00EB0D6F"/>
    <w:rsid w:val="00EB17A1"/>
    <w:rsid w:val="00EB36C6"/>
    <w:rsid w:val="00EB4576"/>
    <w:rsid w:val="00EB4A19"/>
    <w:rsid w:val="00EB4A28"/>
    <w:rsid w:val="00EB4FEF"/>
    <w:rsid w:val="00EB5A81"/>
    <w:rsid w:val="00EB7090"/>
    <w:rsid w:val="00EB78FD"/>
    <w:rsid w:val="00EC1BBE"/>
    <w:rsid w:val="00EC247F"/>
    <w:rsid w:val="00EC2B68"/>
    <w:rsid w:val="00EC30DB"/>
    <w:rsid w:val="00EC3AEF"/>
    <w:rsid w:val="00EC5CD7"/>
    <w:rsid w:val="00EC6BBA"/>
    <w:rsid w:val="00ED0275"/>
    <w:rsid w:val="00ED0383"/>
    <w:rsid w:val="00ED1769"/>
    <w:rsid w:val="00ED1F6B"/>
    <w:rsid w:val="00ED4713"/>
    <w:rsid w:val="00ED484E"/>
    <w:rsid w:val="00ED49B8"/>
    <w:rsid w:val="00ED5399"/>
    <w:rsid w:val="00ED5DFE"/>
    <w:rsid w:val="00EE0A07"/>
    <w:rsid w:val="00EE35CC"/>
    <w:rsid w:val="00EE548B"/>
    <w:rsid w:val="00EE5FB3"/>
    <w:rsid w:val="00EE6084"/>
    <w:rsid w:val="00EE7621"/>
    <w:rsid w:val="00EE79A6"/>
    <w:rsid w:val="00EE7F79"/>
    <w:rsid w:val="00EF205A"/>
    <w:rsid w:val="00EF6347"/>
    <w:rsid w:val="00EF715A"/>
    <w:rsid w:val="00F00D8C"/>
    <w:rsid w:val="00F0178B"/>
    <w:rsid w:val="00F01BC3"/>
    <w:rsid w:val="00F0273F"/>
    <w:rsid w:val="00F03681"/>
    <w:rsid w:val="00F03ED1"/>
    <w:rsid w:val="00F04366"/>
    <w:rsid w:val="00F056BE"/>
    <w:rsid w:val="00F063C9"/>
    <w:rsid w:val="00F06E14"/>
    <w:rsid w:val="00F1215B"/>
    <w:rsid w:val="00F1233F"/>
    <w:rsid w:val="00F13B90"/>
    <w:rsid w:val="00F140BE"/>
    <w:rsid w:val="00F14399"/>
    <w:rsid w:val="00F17720"/>
    <w:rsid w:val="00F179D4"/>
    <w:rsid w:val="00F220D9"/>
    <w:rsid w:val="00F26009"/>
    <w:rsid w:val="00F317EB"/>
    <w:rsid w:val="00F32BCC"/>
    <w:rsid w:val="00F332BB"/>
    <w:rsid w:val="00F33804"/>
    <w:rsid w:val="00F33C56"/>
    <w:rsid w:val="00F347C7"/>
    <w:rsid w:val="00F34848"/>
    <w:rsid w:val="00F34B13"/>
    <w:rsid w:val="00F401BB"/>
    <w:rsid w:val="00F42D46"/>
    <w:rsid w:val="00F430F1"/>
    <w:rsid w:val="00F4496C"/>
    <w:rsid w:val="00F44C5D"/>
    <w:rsid w:val="00F44F3A"/>
    <w:rsid w:val="00F45DD5"/>
    <w:rsid w:val="00F46255"/>
    <w:rsid w:val="00F47C4F"/>
    <w:rsid w:val="00F51785"/>
    <w:rsid w:val="00F51E7E"/>
    <w:rsid w:val="00F51F10"/>
    <w:rsid w:val="00F529A5"/>
    <w:rsid w:val="00F60F00"/>
    <w:rsid w:val="00F614C0"/>
    <w:rsid w:val="00F61C77"/>
    <w:rsid w:val="00F70A61"/>
    <w:rsid w:val="00F70E55"/>
    <w:rsid w:val="00F72CB4"/>
    <w:rsid w:val="00F73009"/>
    <w:rsid w:val="00F7389C"/>
    <w:rsid w:val="00F7638B"/>
    <w:rsid w:val="00F77B33"/>
    <w:rsid w:val="00F82CCF"/>
    <w:rsid w:val="00F83848"/>
    <w:rsid w:val="00F86379"/>
    <w:rsid w:val="00F93417"/>
    <w:rsid w:val="00F94C63"/>
    <w:rsid w:val="00F96A97"/>
    <w:rsid w:val="00F975E9"/>
    <w:rsid w:val="00FA15A5"/>
    <w:rsid w:val="00FA1B7D"/>
    <w:rsid w:val="00FA63C8"/>
    <w:rsid w:val="00FB15F9"/>
    <w:rsid w:val="00FB1FC8"/>
    <w:rsid w:val="00FB3318"/>
    <w:rsid w:val="00FB33CF"/>
    <w:rsid w:val="00FB4B35"/>
    <w:rsid w:val="00FB695F"/>
    <w:rsid w:val="00FB6F08"/>
    <w:rsid w:val="00FC07B9"/>
    <w:rsid w:val="00FC3AB9"/>
    <w:rsid w:val="00FC4E21"/>
    <w:rsid w:val="00FC5F6D"/>
    <w:rsid w:val="00FD0107"/>
    <w:rsid w:val="00FD2678"/>
    <w:rsid w:val="00FD2C2F"/>
    <w:rsid w:val="00FD30D2"/>
    <w:rsid w:val="00FD3991"/>
    <w:rsid w:val="00FD3B31"/>
    <w:rsid w:val="00FE1823"/>
    <w:rsid w:val="00FE1E37"/>
    <w:rsid w:val="00FE290C"/>
    <w:rsid w:val="00FE487A"/>
    <w:rsid w:val="00FE60B5"/>
    <w:rsid w:val="00FE6503"/>
    <w:rsid w:val="00FE718A"/>
    <w:rsid w:val="00FF0569"/>
    <w:rsid w:val="00FF1D64"/>
    <w:rsid w:val="00FF206E"/>
    <w:rsid w:val="00FF3065"/>
    <w:rsid w:val="00FF32FA"/>
    <w:rsid w:val="00FF3C69"/>
    <w:rsid w:val="00FF4A23"/>
    <w:rsid w:val="00FF5F8A"/>
    <w:rsid w:val="00FF66EA"/>
    <w:rsid w:val="00FF6E0A"/>
    <w:rsid w:val="0DFA32E3"/>
    <w:rsid w:val="0F66A8A0"/>
    <w:rsid w:val="2C87AD26"/>
    <w:rsid w:val="7822FDF2"/>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48EA95FE"/>
  <w15:docId w15:val="{E1969043-73FF-4713-8EDA-159C9130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uiPriority="1"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A48"/>
    <w:pPr>
      <w:spacing w:after="240" w:line="240" w:lineRule="atLeast"/>
    </w:pPr>
    <w:rPr>
      <w:rFonts w:ascii="Arial" w:hAnsi="Arial"/>
      <w:sz w:val="20"/>
    </w:rPr>
  </w:style>
  <w:style w:type="paragraph" w:styleId="Heading1">
    <w:name w:val="heading 1"/>
    <w:basedOn w:val="Normal"/>
    <w:next w:val="Normal"/>
    <w:link w:val="Heading1Char"/>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aliases w:val="RIS Heading 2"/>
    <w:basedOn w:val="Normal"/>
    <w:next w:val="Paragraph"/>
    <w:link w:val="Heading2Char"/>
    <w:uiPriority w:val="1"/>
    <w:qFormat/>
    <w:rsid w:val="00711ACA"/>
    <w:pPr>
      <w:keepNext/>
      <w:spacing w:before="320" w:after="60" w:line="280" w:lineRule="atLeast"/>
      <w:outlineLvl w:val="1"/>
    </w:pPr>
    <w:rPr>
      <w:rFonts w:cs="Arial"/>
      <w:b/>
      <w:bCs/>
      <w:iCs/>
      <w:sz w:val="28"/>
      <w:szCs w:val="28"/>
    </w:rPr>
  </w:style>
  <w:style w:type="paragraph" w:styleId="Heading3">
    <w:name w:val="heading 3"/>
    <w:basedOn w:val="Normal"/>
    <w:next w:val="Normal"/>
    <w:link w:val="Heading3Char"/>
    <w:qFormat/>
    <w:rsid w:val="00711ACA"/>
    <w:pPr>
      <w:keepNext/>
      <w:spacing w:before="60" w:after="60" w:line="280" w:lineRule="atLeast"/>
      <w:outlineLvl w:val="2"/>
    </w:pPr>
    <w:rPr>
      <w:rFonts w:cs="Arial"/>
      <w:b/>
      <w:bCs/>
      <w:sz w:val="22"/>
      <w:szCs w:val="26"/>
    </w:rPr>
  </w:style>
  <w:style w:type="paragraph" w:styleId="Heading4">
    <w:name w:val="heading 4"/>
    <w:basedOn w:val="BodySubHeader"/>
    <w:next w:val="Normal"/>
    <w:qFormat/>
    <w:rsid w:val="00711ACA"/>
    <w:pPr>
      <w:spacing w:line="280" w:lineRule="atLeast"/>
      <w:outlineLvl w:val="3"/>
    </w:pPr>
    <w:rPr>
      <w:rFonts w:cs="Arial"/>
      <w:sz w:val="22"/>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uiPriority w:val="99"/>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uiPriority w:val="99"/>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3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4267B6"/>
    <w:pPr>
      <w:spacing w:after="0"/>
    </w:pPr>
    <w:rPr>
      <w:b/>
      <w:sz w:val="22"/>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E8152A"/>
    <w:pPr>
      <w:numPr>
        <w:numId w:val="9"/>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link w:val="ListBulletChar"/>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4B2960"/>
    <w:pPr>
      <w:numPr>
        <w:numId w:val="3"/>
      </w:numPr>
      <w:spacing w:after="80" w:line="260" w:lineRule="atLeast"/>
      <w:ind w:left="284" w:hanging="284"/>
    </w:pPr>
    <w:rPr>
      <w:sz w:val="22"/>
    </w:rPr>
  </w:style>
  <w:style w:type="paragraph" w:styleId="ListNumber2">
    <w:name w:val="List Number 2"/>
    <w:basedOn w:val="Normal"/>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E66601"/>
    <w:pPr>
      <w:pageBreakBefore/>
      <w:spacing w:after="36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D60571"/>
    <w:pPr>
      <w:tabs>
        <w:tab w:val="right" w:pos="9072"/>
      </w:tabs>
      <w:spacing w:before="280" w:after="80" w:line="320" w:lineRule="exact"/>
    </w:pPr>
    <w:rPr>
      <w:b/>
      <w:noProof/>
      <w:spacing w:val="-14"/>
      <w:sz w:val="28"/>
    </w:rPr>
  </w:style>
  <w:style w:type="paragraph" w:styleId="TOC2">
    <w:name w:val="toc 2"/>
    <w:basedOn w:val="Normal"/>
    <w:next w:val="Normal"/>
    <w:uiPriority w:val="39"/>
    <w:qFormat/>
    <w:rsid w:val="00D60571"/>
    <w:pPr>
      <w:tabs>
        <w:tab w:val="right" w:pos="9072"/>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D60571"/>
    <w:pPr>
      <w:tabs>
        <w:tab w:val="right" w:pos="9072"/>
      </w:tabs>
      <w:spacing w:after="80" w:line="240" w:lineRule="auto"/>
    </w:pPr>
    <w:rPr>
      <w:noProof/>
      <w:sz w:val="22"/>
      <w:szCs w:val="22"/>
    </w:rPr>
  </w:style>
  <w:style w:type="character" w:styleId="Hyperlink">
    <w:name w:val="Hyperlink"/>
    <w:aliases w:val="CEO_Hyperlink"/>
    <w:basedOn w:val="DefaultParagraphFont"/>
    <w:uiPriority w:val="99"/>
    <w:qFormat/>
    <w:rsid w:val="00C35CCE"/>
    <w:rPr>
      <w:color w:val="0000FF"/>
      <w:u w:val="single" w:color="0000FF"/>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Style 13,FR"/>
    <w:basedOn w:val="DefaultParagraphFont"/>
    <w:uiPriority w:val="99"/>
    <w:rsid w:val="00566AB4"/>
    <w:rPr>
      <w:rFonts w:ascii="Arial" w:hAnsi="Arial"/>
      <w:vertAlign w:val="superscript"/>
    </w:rPr>
  </w:style>
  <w:style w:type="paragraph" w:styleId="FootnoteText">
    <w:name w:val="footnote text"/>
    <w:aliases w:val="Footnote text,ACMA Footnote Text,ABA Footnote Text,footnote text,Footnote Text Char1,Footnote Text Char Char,Footnote Text Char1 Char Char,Footnote Text Char Char Char Char,Footnote Text Char1 Char Char Char Char,f,fn"/>
    <w:basedOn w:val="Normal"/>
    <w:link w:val="FootnoteTextChar"/>
    <w:rsid w:val="00A17B1B"/>
    <w:pPr>
      <w:spacing w:after="0" w:line="200" w:lineRule="atLeast"/>
    </w:pPr>
    <w:rPr>
      <w:sz w:val="16"/>
      <w:szCs w:val="16"/>
    </w:rPr>
  </w:style>
  <w:style w:type="paragraph" w:customStyle="1" w:styleId="TableBody">
    <w:name w:val="Table Body"/>
    <w:basedOn w:val="Normal"/>
    <w:qFormat/>
    <w:rsid w:val="004267B6"/>
    <w:pPr>
      <w:spacing w:after="0" w:line="240" w:lineRule="auto"/>
    </w:pPr>
    <w:rPr>
      <w:sz w:val="22"/>
    </w:r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uiPriority w:val="99"/>
    <w:rsid w:val="00EE7F79"/>
    <w:pPr>
      <w:spacing w:line="240" w:lineRule="auto"/>
    </w:pPr>
    <w:rPr>
      <w:szCs w:val="20"/>
    </w:rPr>
  </w:style>
  <w:style w:type="character" w:customStyle="1" w:styleId="CommentTextChar">
    <w:name w:val="Comment Text Char"/>
    <w:basedOn w:val="DefaultParagraphFont"/>
    <w:link w:val="CommentText"/>
    <w:uiPriority w:val="99"/>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711ACA"/>
    <w:pPr>
      <w:numPr>
        <w:numId w:val="11"/>
      </w:numPr>
      <w:spacing w:line="280" w:lineRule="atLeast"/>
      <w:ind w:left="284" w:hanging="284"/>
    </w:pPr>
    <w:rPr>
      <w:rFonts w:cs="Arial"/>
      <w:sz w:val="22"/>
    </w:rPr>
  </w:style>
  <w:style w:type="paragraph" w:customStyle="1" w:styleId="ACMACorporateAddressHeader">
    <w:name w:val="ACMA_CorporateAddressHeader"/>
    <w:basedOn w:val="Normal"/>
    <w:next w:val="ACMACorporateAddresses"/>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unhideWhenUsed/>
    <w:qFormat/>
    <w:rsid w:val="00FC07B9"/>
    <w:pPr>
      <w:spacing w:before="0" w:after="120"/>
    </w:pPr>
    <w:rPr>
      <w:b w:val="0"/>
    </w:rPr>
  </w:style>
  <w:style w:type="paragraph" w:customStyle="1" w:styleId="ACMACopyrightHeader">
    <w:name w:val="ACMA_CopyrightHeader"/>
    <w:basedOn w:val="ACMACorporateAddressHeader"/>
    <w:unhideWhenUsed/>
    <w:qFormat/>
    <w:rsid w:val="00950159"/>
    <w:pPr>
      <w:spacing w:before="3000"/>
    </w:pPr>
  </w:style>
  <w:style w:type="paragraph" w:customStyle="1" w:styleId="ACMACClogo">
    <w:name w:val="ACMA_CClogo"/>
    <w:unhideWhenUsed/>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3F10EE"/>
    <w:pPr>
      <w:numPr>
        <w:numId w:val="7"/>
      </w:numPr>
      <w:spacing w:after="160"/>
    </w:pPr>
    <w:rPr>
      <w:rFonts w:ascii="Arial" w:hAnsi="Arial"/>
      <w:b/>
      <w:bCs/>
      <w:color w:val="323232"/>
      <w:sz w:val="20"/>
      <w:szCs w:val="20"/>
    </w:rPr>
  </w:style>
  <w:style w:type="paragraph" w:customStyle="1" w:styleId="ACMANotes">
    <w:name w:val="ACMA_Notes"/>
    <w:qFormat/>
    <w:rsid w:val="00FF206E"/>
    <w:pPr>
      <w:spacing w:before="80"/>
    </w:pPr>
    <w:rPr>
      <w:rFonts w:ascii="Arial" w:hAnsi="Arial" w:cs="Arial"/>
      <w:i/>
      <w:sz w:val="16"/>
    </w:rPr>
  </w:style>
  <w:style w:type="paragraph" w:customStyle="1" w:styleId="Numberlistlevel1">
    <w:name w:val="Number list level 1"/>
    <w:basedOn w:val="ListNumber"/>
    <w:uiPriority w:val="9"/>
    <w:qFormat/>
    <w:rsid w:val="00711ACA"/>
    <w:pPr>
      <w:spacing w:line="280" w:lineRule="atLeast"/>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qFormat/>
    <w:rsid w:val="00E8152A"/>
    <w:pPr>
      <w:keepNext/>
      <w:numPr>
        <w:numId w:val="8"/>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uiPriority w:val="1"/>
    <w:rsid w:val="00CE0BB5"/>
    <w:rPr>
      <w:rFonts w:ascii="Arial" w:hAnsi="Arial" w:cs="Arial"/>
      <w:bCs/>
      <w:color w:val="323232"/>
      <w:kern w:val="32"/>
      <w:sz w:val="53"/>
      <w:szCs w:val="32"/>
    </w:rPr>
  </w:style>
  <w:style w:type="character" w:customStyle="1" w:styleId="Heading2Char">
    <w:name w:val="Heading 2 Char"/>
    <w:aliases w:val="RIS Heading 2 Char"/>
    <w:basedOn w:val="DefaultParagraphFont"/>
    <w:link w:val="Heading2"/>
    <w:uiPriority w:val="1"/>
    <w:rsid w:val="00711ACA"/>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rsid w:val="00711ACA"/>
    <w:rPr>
      <w:rFonts w:ascii="Arial" w:hAnsi="Arial" w:cs="Arial"/>
      <w:b/>
      <w:bCs/>
      <w:sz w:val="22"/>
      <w:szCs w:val="26"/>
    </w:rPr>
  </w:style>
  <w:style w:type="paragraph" w:customStyle="1" w:styleId="Paragraph">
    <w:name w:val="Paragraph"/>
    <w:basedOn w:val="Normal"/>
    <w:qFormat/>
    <w:rsid w:val="00711ACA"/>
    <w:pPr>
      <w:spacing w:line="280" w:lineRule="atLeast"/>
    </w:pPr>
    <w:rPr>
      <w:rFonts w:cs="Arial"/>
      <w:sz w:val="22"/>
    </w:rPr>
  </w:style>
  <w:style w:type="paragraph" w:customStyle="1" w:styleId="Bulletlevel2">
    <w:name w:val="Bullet level 2"/>
    <w:basedOn w:val="ListBullet2"/>
    <w:uiPriority w:val="7"/>
    <w:qFormat/>
    <w:rsid w:val="00711ACA"/>
    <w:pPr>
      <w:numPr>
        <w:numId w:val="13"/>
      </w:numPr>
      <w:tabs>
        <w:tab w:val="left" w:pos="295"/>
      </w:tabs>
      <w:spacing w:line="280" w:lineRule="atLeast"/>
      <w:ind w:left="568" w:hanging="284"/>
    </w:pPr>
    <w:rPr>
      <w:rFonts w:cs="Arial"/>
      <w:sz w:val="22"/>
    </w:rPr>
  </w:style>
  <w:style w:type="paragraph" w:customStyle="1" w:styleId="Bulletlevel1last">
    <w:name w:val="Bullet level 1 last"/>
    <w:basedOn w:val="ListBulletLast"/>
    <w:uiPriority w:val="6"/>
    <w:qFormat/>
    <w:rsid w:val="00711ACA"/>
    <w:pPr>
      <w:numPr>
        <w:numId w:val="12"/>
      </w:numPr>
      <w:spacing w:line="280" w:lineRule="atLeast"/>
      <w:ind w:left="284" w:hanging="284"/>
    </w:pPr>
    <w:rPr>
      <w:sz w:val="22"/>
    </w:rPr>
  </w:style>
  <w:style w:type="paragraph" w:customStyle="1" w:styleId="Numberlistlevel2">
    <w:name w:val="Number list level 2"/>
    <w:basedOn w:val="ListNumber2"/>
    <w:uiPriority w:val="11"/>
    <w:qFormat/>
    <w:rsid w:val="00711ACA"/>
    <w:pPr>
      <w:spacing w:line="280" w:lineRule="atLeast"/>
      <w:ind w:left="738" w:hanging="284"/>
    </w:pPr>
    <w:rPr>
      <w:sz w:val="22"/>
    </w:rPr>
  </w:style>
  <w:style w:type="paragraph" w:customStyle="1" w:styleId="Numberlistlast">
    <w:name w:val="Number list last"/>
    <w:basedOn w:val="ListNumberLast"/>
    <w:uiPriority w:val="10"/>
    <w:qFormat/>
    <w:rsid w:val="00711ACA"/>
    <w:pPr>
      <w:spacing w:line="280" w:lineRule="atLeast"/>
      <w:ind w:left="284" w:hanging="284"/>
    </w:pPr>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5A62E5"/>
    <w:pPr>
      <w:numPr>
        <w:numId w:val="14"/>
      </w:numPr>
      <w:spacing w:after="240"/>
      <w:ind w:left="568" w:hanging="284"/>
    </w:pPr>
  </w:style>
  <w:style w:type="table" w:customStyle="1" w:styleId="ACMAtablestyle">
    <w:name w:val="ACMA table style"/>
    <w:basedOn w:val="TableNormal"/>
    <w:uiPriority w:val="99"/>
    <w:rsid w:val="00F04366"/>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rPr>
        <w:rFonts w:ascii="Arial" w:hAnsi="Arial"/>
        <w:sz w:val="20"/>
      </w:rPr>
      <w:tblPr/>
      <w:tcPr>
        <w:shd w:val="clear" w:color="auto" w:fill="F2F2F2" w:themeFill="background1" w:themeFillShade="F2"/>
      </w:tcPr>
    </w:tblStylePr>
  </w:style>
  <w:style w:type="paragraph" w:customStyle="1" w:styleId="Tableheading">
    <w:name w:val="Table heading"/>
    <w:basedOn w:val="ACMATableHeader"/>
    <w:uiPriority w:val="13"/>
    <w:qFormat/>
    <w:rsid w:val="00711ACA"/>
    <w:pPr>
      <w:keepNext/>
      <w:spacing w:line="280" w:lineRule="atLeast"/>
    </w:pPr>
    <w:rPr>
      <w:sz w:val="22"/>
    </w:r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uiPriority w:val="16"/>
    <w:qFormat/>
    <w:rsid w:val="00711ACA"/>
    <w:pPr>
      <w:keepNext/>
      <w:spacing w:line="280" w:lineRule="atLeast"/>
    </w:pPr>
    <w:rPr>
      <w:sz w:val="22"/>
    </w:rPr>
  </w:style>
  <w:style w:type="paragraph" w:customStyle="1" w:styleId="Tableorfigurenotemultiple">
    <w:name w:val="Table or figure note multiple"/>
    <w:basedOn w:val="Tableorfigurenote"/>
    <w:uiPriority w:val="18"/>
    <w:qFormat/>
    <w:rsid w:val="00930510"/>
    <w:pPr>
      <w:spacing w:after="80"/>
    </w:pPr>
  </w:style>
  <w:style w:type="paragraph" w:customStyle="1" w:styleId="Protectivemarking">
    <w:name w:val="Protective marking"/>
    <w:basedOn w:val="Normal"/>
    <w:uiPriority w:val="99"/>
    <w:qFormat/>
    <w:rsid w:val="007E3375"/>
    <w:pPr>
      <w:tabs>
        <w:tab w:val="left" w:pos="720"/>
      </w:tabs>
      <w:spacing w:after="0" w:line="240" w:lineRule="auto"/>
      <w:jc w:val="center"/>
    </w:pPr>
    <w:rPr>
      <w:rFonts w:cs="Arial"/>
      <w:b/>
      <w:bCs/>
      <w:color w:val="FF0000"/>
      <w:sz w:val="32"/>
      <w:lang w:eastAsia="en-US"/>
    </w:rPr>
  </w:style>
  <w:style w:type="paragraph" w:styleId="BalloonText">
    <w:name w:val="Balloon Text"/>
    <w:basedOn w:val="Normal"/>
    <w:link w:val="BalloonTextChar"/>
    <w:semiHidden/>
    <w:unhideWhenUsed/>
    <w:rsid w:val="00451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511C5"/>
    <w:rPr>
      <w:rFonts w:ascii="Segoe UI" w:hAnsi="Segoe UI" w:cs="Segoe UI"/>
      <w:sz w:val="18"/>
      <w:szCs w:val="18"/>
    </w:rPr>
  </w:style>
  <w:style w:type="paragraph" w:styleId="Revision">
    <w:name w:val="Revision"/>
    <w:hidden/>
    <w:semiHidden/>
    <w:rsid w:val="004511C5"/>
    <w:rPr>
      <w:rFonts w:ascii="Arial" w:hAnsi="Arial"/>
      <w:sz w:val="20"/>
    </w:rPr>
  </w:style>
  <w:style w:type="paragraph" w:customStyle="1" w:styleId="Executivesummarysubheading">
    <w:name w:val="Executive summary subheading"/>
    <w:basedOn w:val="Heading4"/>
    <w:uiPriority w:val="3"/>
    <w:qFormat/>
    <w:rsid w:val="00711ACA"/>
    <w:pPr>
      <w:spacing w:after="80"/>
    </w:pPr>
  </w:style>
  <w:style w:type="paragraph" w:customStyle="1" w:styleId="ACMAReportTitle">
    <w:name w:val="ACMA_ReportTitle"/>
    <w:basedOn w:val="Normal"/>
    <w:qFormat/>
    <w:rsid w:val="00595B18"/>
    <w:pPr>
      <w:spacing w:after="0" w:line="560" w:lineRule="exact"/>
    </w:pPr>
    <w:rPr>
      <w:b/>
      <w:spacing w:val="-28"/>
      <w:sz w:val="53"/>
    </w:rPr>
  </w:style>
  <w:style w:type="paragraph" w:customStyle="1" w:styleId="ACMAReportSubTitle">
    <w:name w:val="ACMA_ReportSubTitle"/>
    <w:basedOn w:val="Normal"/>
    <w:qFormat/>
    <w:rsid w:val="00595B18"/>
    <w:pPr>
      <w:spacing w:after="200" w:line="560" w:lineRule="exact"/>
    </w:pPr>
    <w:rPr>
      <w:color w:val="323232"/>
      <w:spacing w:val="-28"/>
      <w:sz w:val="53"/>
    </w:rPr>
  </w:style>
  <w:style w:type="paragraph" w:customStyle="1" w:styleId="TableHeading0">
    <w:name w:val="Table Heading"/>
    <w:basedOn w:val="Normal"/>
    <w:qFormat/>
    <w:rsid w:val="00595B18"/>
    <w:pPr>
      <w:spacing w:after="0"/>
    </w:pPr>
    <w:rPr>
      <w:b/>
    </w:rPr>
  </w:style>
  <w:style w:type="character" w:customStyle="1" w:styleId="ListBulletChar">
    <w:name w:val="List Bullet Char"/>
    <w:basedOn w:val="DefaultParagraphFont"/>
    <w:link w:val="ListBullet"/>
    <w:rsid w:val="00595B18"/>
    <w:rPr>
      <w:rFonts w:ascii="Arial" w:hAnsi="Arial"/>
      <w:sz w:val="20"/>
    </w:rPr>
  </w:style>
  <w:style w:type="paragraph" w:customStyle="1" w:styleId="ACMAReportDate">
    <w:name w:val="ACMA_ReportDate"/>
    <w:basedOn w:val="ACMAReportSubTitle"/>
    <w:qFormat/>
    <w:rsid w:val="002F7657"/>
    <w:pPr>
      <w:spacing w:after="1200" w:line="240" w:lineRule="auto"/>
    </w:pPr>
    <w:rPr>
      <w:caps/>
      <w:spacing w:val="-10"/>
      <w:sz w:val="20"/>
    </w:rPr>
  </w:style>
  <w:style w:type="paragraph" w:customStyle="1" w:styleId="ACMAExecSummaryHeading">
    <w:name w:val="ACMA_ExecSummaryHeading"/>
    <w:basedOn w:val="Normal"/>
    <w:qFormat/>
    <w:rsid w:val="002F7657"/>
    <w:pPr>
      <w:spacing w:after="1440" w:line="550" w:lineRule="exact"/>
    </w:pPr>
    <w:rPr>
      <w:b/>
      <w:color w:val="323232"/>
      <w:spacing w:val="-18"/>
      <w:sz w:val="53"/>
    </w:rPr>
  </w:style>
  <w:style w:type="character" w:styleId="Strong">
    <w:name w:val="Strong"/>
    <w:basedOn w:val="DefaultParagraphFont"/>
    <w:semiHidden/>
    <w:qFormat/>
    <w:rsid w:val="002F7657"/>
    <w:rPr>
      <w:b/>
      <w:bCs/>
    </w:rPr>
  </w:style>
  <w:style w:type="paragraph" w:customStyle="1" w:styleId="ACMANormalTabbed">
    <w:name w:val="ACMA_NormalTabbed"/>
    <w:basedOn w:val="Normal"/>
    <w:qFormat/>
    <w:rsid w:val="002F7657"/>
    <w:pPr>
      <w:tabs>
        <w:tab w:val="left" w:pos="1134"/>
      </w:tabs>
    </w:pPr>
  </w:style>
  <w:style w:type="paragraph" w:customStyle="1" w:styleId="ACMASpaceaftertable">
    <w:name w:val="ACMA_Space after table"/>
    <w:basedOn w:val="Normal"/>
    <w:qFormat/>
    <w:rsid w:val="002F7657"/>
    <w:rPr>
      <w:rFonts w:cs="Arial"/>
    </w:rPr>
  </w:style>
  <w:style w:type="paragraph" w:styleId="ListParagraph">
    <w:name w:val="List Paragraph"/>
    <w:basedOn w:val="Normal"/>
    <w:uiPriority w:val="34"/>
    <w:qFormat/>
    <w:rsid w:val="002F7657"/>
    <w:pPr>
      <w:spacing w:after="0"/>
      <w:ind w:left="720"/>
      <w:contextualSpacing/>
    </w:pPr>
    <w:rPr>
      <w:rFonts w:ascii="Calibri" w:hAnsi="Calibri"/>
    </w:rPr>
  </w:style>
  <w:style w:type="character" w:customStyle="1" w:styleId="FootnoteTextChar">
    <w:name w:val="Footnote Text Char"/>
    <w:aliases w:val="Footnote text Char,ACMA Footnote Text Char,ABA Footnote Text Char,footnote text Char,Footnote Text Char1 Char,Footnote Text Char Char Char,Footnote Text Char1 Char Char Char,Footnote Text Char Char Char Char Char,f Char,fn Char"/>
    <w:basedOn w:val="DefaultParagraphFont"/>
    <w:link w:val="FootnoteText"/>
    <w:rsid w:val="002F7657"/>
    <w:rPr>
      <w:rFonts w:ascii="Arial" w:hAnsi="Arial"/>
      <w:sz w:val="16"/>
      <w:szCs w:val="16"/>
    </w:rPr>
  </w:style>
  <w:style w:type="character" w:customStyle="1" w:styleId="ACMAFootnoteTextCharChar">
    <w:name w:val="ACMA Footnote Text Char Char"/>
    <w:basedOn w:val="DefaultParagraphFont"/>
    <w:rsid w:val="002F7657"/>
    <w:rPr>
      <w:lang w:val="en-AU" w:eastAsia="en-US" w:bidi="ar-SA"/>
    </w:rPr>
  </w:style>
  <w:style w:type="character" w:customStyle="1" w:styleId="ECCParagraph">
    <w:name w:val="ECC Paragraph"/>
    <w:basedOn w:val="DefaultParagraphFont"/>
    <w:uiPriority w:val="1"/>
    <w:qFormat/>
    <w:rsid w:val="002F7657"/>
    <w:rPr>
      <w:rFonts w:ascii="Arial" w:hAnsi="Arial"/>
      <w:noProof w:val="0"/>
      <w:sz w:val="20"/>
      <w:bdr w:val="none" w:sz="0" w:space="0" w:color="auto"/>
      <w:lang w:val="en-GB"/>
    </w:rPr>
  </w:style>
  <w:style w:type="paragraph" w:customStyle="1" w:styleId="Jeanpara">
    <w:name w:val="Jean para"/>
    <w:basedOn w:val="Normal"/>
    <w:uiPriority w:val="99"/>
    <w:rsid w:val="002F7657"/>
    <w:pPr>
      <w:spacing w:after="0" w:line="240" w:lineRule="auto"/>
      <w:ind w:left="1020" w:hanging="340"/>
    </w:pPr>
    <w:rPr>
      <w:rFonts w:ascii="Times New Roman" w:hAnsi="Times New Roman"/>
      <w:sz w:val="24"/>
      <w:szCs w:val="20"/>
    </w:rPr>
  </w:style>
  <w:style w:type="paragraph" w:styleId="BodyText">
    <w:name w:val="Body Text"/>
    <w:basedOn w:val="Normal"/>
    <w:link w:val="BodyTextChar"/>
    <w:uiPriority w:val="1"/>
    <w:qFormat/>
    <w:rsid w:val="002F7657"/>
    <w:pPr>
      <w:widowControl w:val="0"/>
      <w:spacing w:after="0" w:line="240" w:lineRule="auto"/>
      <w:ind w:left="891" w:hanging="360"/>
    </w:pPr>
    <w:rPr>
      <w:rFonts w:ascii="Times New Roman" w:hAnsi="Times New Roman" w:cstheme="minorBidi"/>
      <w:sz w:val="21"/>
      <w:szCs w:val="21"/>
      <w:lang w:val="en-US" w:eastAsia="en-US"/>
    </w:rPr>
  </w:style>
  <w:style w:type="character" w:customStyle="1" w:styleId="BodyTextChar">
    <w:name w:val="Body Text Char"/>
    <w:basedOn w:val="DefaultParagraphFont"/>
    <w:link w:val="BodyText"/>
    <w:uiPriority w:val="1"/>
    <w:rsid w:val="002F7657"/>
    <w:rPr>
      <w:rFonts w:cstheme="minorBidi"/>
      <w:sz w:val="21"/>
      <w:szCs w:val="21"/>
      <w:lang w:val="en-US" w:eastAsia="en-US"/>
    </w:rPr>
  </w:style>
  <w:style w:type="paragraph" w:customStyle="1" w:styleId="TableParagraph">
    <w:name w:val="Table Paragraph"/>
    <w:basedOn w:val="Normal"/>
    <w:uiPriority w:val="1"/>
    <w:qFormat/>
    <w:rsid w:val="002F7657"/>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A2">
    <w:name w:val="A2"/>
    <w:aliases w:val="1.1 amendment,Instruction amendment"/>
    <w:basedOn w:val="Normal"/>
    <w:next w:val="Normal"/>
    <w:rsid w:val="002F7657"/>
    <w:pPr>
      <w:tabs>
        <w:tab w:val="right" w:pos="794"/>
      </w:tabs>
      <w:spacing w:before="120" w:after="0" w:line="260" w:lineRule="exact"/>
      <w:ind w:left="964" w:hanging="964"/>
      <w:jc w:val="both"/>
    </w:pPr>
    <w:rPr>
      <w:rFonts w:ascii="Times New Roman" w:hAnsi="Times New Roman"/>
      <w:noProof/>
      <w:sz w:val="24"/>
      <w:lang w:eastAsia="en-US"/>
    </w:rPr>
  </w:style>
  <w:style w:type="paragraph" w:customStyle="1" w:styleId="R1">
    <w:name w:val="R1"/>
    <w:aliases w:val="1. or 1.(1)"/>
    <w:basedOn w:val="Normal"/>
    <w:next w:val="Normal"/>
    <w:rsid w:val="002F7657"/>
    <w:pPr>
      <w:tabs>
        <w:tab w:val="right" w:pos="794"/>
      </w:tabs>
      <w:spacing w:before="120" w:after="0" w:line="260" w:lineRule="exact"/>
      <w:ind w:left="964" w:hanging="964"/>
      <w:jc w:val="both"/>
    </w:pPr>
    <w:rPr>
      <w:rFonts w:ascii="Times New Roman" w:hAnsi="Times New Roman"/>
      <w:noProof/>
      <w:sz w:val="24"/>
      <w:lang w:eastAsia="en-US"/>
    </w:rPr>
  </w:style>
  <w:style w:type="paragraph" w:styleId="BlockText">
    <w:name w:val="Block Text"/>
    <w:basedOn w:val="Normal"/>
    <w:rsid w:val="002F7657"/>
    <w:pPr>
      <w:pBdr>
        <w:top w:val="single" w:sz="2" w:space="10" w:color="00A0A4" w:themeColor="accent1"/>
        <w:left w:val="single" w:sz="2" w:space="10" w:color="00A0A4" w:themeColor="accent1"/>
        <w:bottom w:val="single" w:sz="2" w:space="10" w:color="00A0A4" w:themeColor="accent1"/>
        <w:right w:val="single" w:sz="2" w:space="10" w:color="00A0A4" w:themeColor="accent1"/>
      </w:pBdr>
      <w:ind w:left="1152" w:right="1152"/>
    </w:pPr>
    <w:rPr>
      <w:rFonts w:asciiTheme="minorHAnsi" w:eastAsiaTheme="minorEastAsia" w:hAnsiTheme="minorHAnsi" w:cstheme="minorBidi"/>
      <w:i/>
      <w:iCs/>
      <w:color w:val="00A0A4" w:themeColor="accent1"/>
    </w:rPr>
  </w:style>
  <w:style w:type="paragraph" w:styleId="Index2">
    <w:name w:val="index 2"/>
    <w:basedOn w:val="Normal"/>
    <w:next w:val="Normal"/>
    <w:autoRedefine/>
    <w:rsid w:val="002F7657"/>
    <w:pPr>
      <w:spacing w:after="0" w:line="240" w:lineRule="auto"/>
      <w:ind w:left="400" w:hanging="200"/>
    </w:pPr>
  </w:style>
  <w:style w:type="paragraph" w:customStyle="1" w:styleId="sub-heading">
    <w:name w:val="sub-heading"/>
    <w:basedOn w:val="Normal"/>
    <w:rsid w:val="002F7657"/>
    <w:pPr>
      <w:spacing w:before="100" w:beforeAutospacing="1" w:after="100" w:afterAutospacing="1" w:line="240" w:lineRule="auto"/>
    </w:pPr>
    <w:rPr>
      <w:rFonts w:ascii="Times New Roman" w:hAnsi="Times New Roman"/>
      <w:sz w:val="24"/>
    </w:rPr>
  </w:style>
  <w:style w:type="character" w:customStyle="1" w:styleId="consultationno">
    <w:name w:val="consultationno"/>
    <w:basedOn w:val="DefaultParagraphFont"/>
    <w:rsid w:val="002F7657"/>
  </w:style>
  <w:style w:type="character" w:styleId="Mention">
    <w:name w:val="Mention"/>
    <w:basedOn w:val="DefaultParagraphFont"/>
    <w:uiPriority w:val="99"/>
    <w:unhideWhenUsed/>
    <w:rsid w:val="00B03E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footer" Target="footer6.xml"/><Relationship Id="rId39" Type="http://schemas.openxmlformats.org/officeDocument/2006/relationships/hyperlink" Target="https://web.acma.gov.au/rrl/register_search.main_page" TargetMode="External"/><Relationship Id="rId21" Type="http://schemas.openxmlformats.org/officeDocument/2006/relationships/header" Target="header5.xml"/><Relationship Id="rId34" Type="http://schemas.openxmlformats.org/officeDocument/2006/relationships/hyperlink" Target="https://www.legislation.gov.au/F2023L00240/asmade/text" TargetMode="External"/><Relationship Id="rId42" Type="http://schemas.openxmlformats.org/officeDocument/2006/relationships/image" Target="media/image6.png"/><Relationship Id="rId47" Type="http://schemas.openxmlformats.org/officeDocument/2006/relationships/footer" Target="footer9.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acma.gov.au/publications/2019-09/plan/five-year-spectrum-outlook-2019-23" TargetMode="Externa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s://www.legislation.gov.au/F2023L00239/asmade/text" TargetMode="External"/><Relationship Id="rId37" Type="http://schemas.openxmlformats.org/officeDocument/2006/relationships/image" Target="media/image4.png"/><Relationship Id="rId40" Type="http://schemas.openxmlformats.org/officeDocument/2006/relationships/hyperlink" Target="https://www.legislation.gov.au/F2023L00283/asmade" TargetMode="External"/><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s://docdb.cept.org/download/1664"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31" Type="http://schemas.openxmlformats.org/officeDocument/2006/relationships/hyperlink" Target="https://web.acma.gov.au/rrl/register_search.search_dispatcher" TargetMode="External"/><Relationship Id="rId44" Type="http://schemas.openxmlformats.org/officeDocument/2006/relationships/hyperlink" Target="https://www.acma.gov.au/consultations/2026-02/technical-framework-renewed-850-mhz-and-1800-mhz-band-spectrum-licen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yperlink" Target="https://www.acma.gov.au/publications/2012-12/guide/spectrum-licencees-know-your-obligations" TargetMode="External"/><Relationship Id="rId35" Type="http://schemas.openxmlformats.org/officeDocument/2006/relationships/hyperlink" Target="https://docdb.cept.org/document/3360" TargetMode="External"/><Relationship Id="rId43" Type="http://schemas.openxmlformats.org/officeDocument/2006/relationships/hyperlink" Target="https://www.acma.gov.au/publications/2025-09/instruction/conditional-regulatory-forbearance-notice" TargetMode="External"/><Relationship Id="rId48"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i.creativecommons.org/l/by/3.0/88x31.png" TargetMode="External"/><Relationship Id="rId25" Type="http://schemas.openxmlformats.org/officeDocument/2006/relationships/header" Target="header7.xml"/><Relationship Id="rId33" Type="http://schemas.openxmlformats.org/officeDocument/2006/relationships/hyperlink" Target="https://www.legislation.gov.au/F2023L00283/asmade" TargetMode="External"/><Relationship Id="rId38" Type="http://schemas.openxmlformats.org/officeDocument/2006/relationships/image" Target="media/image5.png"/><Relationship Id="rId46" Type="http://schemas.openxmlformats.org/officeDocument/2006/relationships/header" Target="header9.xml"/><Relationship Id="rId20" Type="http://schemas.openxmlformats.org/officeDocument/2006/relationships/header" Target="header4.xml"/><Relationship Id="rId41" Type="http://schemas.openxmlformats.org/officeDocument/2006/relationships/hyperlink" Target="https://www.legislation.gov.au/F2023L00240/asmade/text"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ortal.3gpp.org/desktopmodules/Specifications/SpecificationDetails.aspx?specificationId=3283" TargetMode="External"/><Relationship Id="rId2" Type="http://schemas.openxmlformats.org/officeDocument/2006/relationships/hyperlink" Target="https://portal.3gpp.org/desktopmodules/Specifications/SpecificationDetails.aspx?specificationId=3283" TargetMode="External"/><Relationship Id="rId1" Type="http://schemas.openxmlformats.org/officeDocument/2006/relationships/hyperlink" Target="https://portal.3gpp.org/desktopmodules/Specifications/SpecificationDetails.aspx?specificationId=32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CMA-System\Templates\ACMA\Consultation%20paper.dotx"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FFFFF"/>
      </a:lt2>
      <a:accent1>
        <a:srgbClr val="00A0A4"/>
      </a:accent1>
      <a:accent2>
        <a:srgbClr val="7C426F"/>
      </a:accent2>
      <a:accent3>
        <a:srgbClr val="39457C"/>
      </a:accent3>
      <a:accent4>
        <a:srgbClr val="85BEC2"/>
      </a:accent4>
      <a:accent5>
        <a:srgbClr val="CBB6CA"/>
      </a:accent5>
      <a:accent6>
        <a:srgbClr val="D3E5E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7C564D86C6614787095A6C8D08FFA6" ma:contentTypeVersion="3" ma:contentTypeDescription="Create a new document." ma:contentTypeScope="" ma:versionID="fa989db2e4c60a65d684c1c922b46525">
  <xsd:schema xmlns:xsd="http://www.w3.org/2001/XMLSchema" xmlns:xs="http://www.w3.org/2001/XMLSchema" xmlns:p="http://schemas.microsoft.com/office/2006/metadata/properties" xmlns:ns2="37600a81-90a9-4db7-8ff0-15251ed73e8b" targetNamespace="http://schemas.microsoft.com/office/2006/metadata/properties" ma:root="true" ma:fieldsID="2bb5123b413218c4ecd28e2949adafe9" ns2:_="">
    <xsd:import namespace="37600a81-90a9-4db7-8ff0-15251ed73e8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00a81-90a9-4db7-8ff0-15251ed73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B1B88-2587-4A5E-AEED-7905CABCE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00a81-90a9-4db7-8ff0-15251ed73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1EF73-48E5-4370-AF51-C9D223F3701E}">
  <ds:schemaRefs>
    <ds:schemaRef ds:uri="http://schemas.microsoft.com/sharepoint/v3/contenttype/forms"/>
  </ds:schemaRefs>
</ds:datastoreItem>
</file>

<file path=customXml/itemProps3.xml><?xml version="1.0" encoding="utf-8"?>
<ds:datastoreItem xmlns:ds="http://schemas.openxmlformats.org/officeDocument/2006/customXml" ds:itemID="{27C8A747-FD8F-4F17-B419-5D5FCECE8F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C86DBA-C773-4DAC-958D-07E48CB3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90</TotalTime>
  <Pages>23</Pages>
  <Words>7051</Words>
  <Characters>36595</Characters>
  <Application>Microsoft Office Word</Application>
  <DocSecurity>0</DocSecurity>
  <Lines>871</Lines>
  <Paragraphs>545</Paragraphs>
  <ScaleCrop>false</ScaleCrop>
  <Manager/>
  <Company/>
  <LinksUpToDate>false</LinksUpToDate>
  <CharactersWithSpaces>43101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Phillips</dc:creator>
  <cp:keywords/>
  <dc:description/>
  <cp:lastModifiedBy>Gabriel Phillips</cp:lastModifiedBy>
  <cp:revision>47</cp:revision>
  <dcterms:created xsi:type="dcterms:W3CDTF">2026-05-18T03:48:00Z</dcterms:created>
  <dcterms:modified xsi:type="dcterms:W3CDTF">2026-05-26T02:33:00Z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0x010100517C564D86C6614787095A6C8D08FFA6</vt:lpwstr>
  </property>
  <property fmtid="{D5CDD505-2E9C-101B-9397-08002B2CF9AE}" pid="3" name="MediaServiceImageTags">
    <vt:lpwstr/>
  </property>
  <property fmtid="{D5CDD505-2E9C-101B-9397-08002B2CF9AE}" pid="4" name="ClassificationContentMarkingHeaderShapeIds">
    <vt:lpwstr>257aa734,39c1e61a,53e62eea,501e711b,4e3fc07a,7c60fa1f,1ea5ccdf,1dfe52ea,5c14a18c</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3d1fef01,560f5cae,32557f7,1f9ebb29,1b9e4c27,29bf50aa,f0cd0b9,6c43a9b9,60030dbb,3715018e</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aeb57847-2996-43f6-9ac9-aca8e5487221_Enabled">
    <vt:lpwstr>true</vt:lpwstr>
  </property>
  <property fmtid="{D5CDD505-2E9C-101B-9397-08002B2CF9AE}" pid="11" name="MSIP_Label_aeb57847-2996-43f6-9ac9-aca8e5487221_SetDate">
    <vt:lpwstr>2026-02-14T06:58:19Z</vt:lpwstr>
  </property>
  <property fmtid="{D5CDD505-2E9C-101B-9397-08002B2CF9AE}" pid="12" name="MSIP_Label_aeb57847-2996-43f6-9ac9-aca8e5487221_Method">
    <vt:lpwstr>Privileged</vt:lpwstr>
  </property>
  <property fmtid="{D5CDD505-2E9C-101B-9397-08002B2CF9AE}" pid="13" name="MSIP_Label_aeb57847-2996-43f6-9ac9-aca8e5487221_Name">
    <vt:lpwstr>90fb82dc-5319-427a-bd3a-0b26e5d5e425</vt:lpwstr>
  </property>
  <property fmtid="{D5CDD505-2E9C-101B-9397-08002B2CF9AE}" pid="14" name="MSIP_Label_aeb57847-2996-43f6-9ac9-aca8e5487221_SiteId">
    <vt:lpwstr>0dac7f39-d20c-4e71-8af3-71ee7e268a2b</vt:lpwstr>
  </property>
  <property fmtid="{D5CDD505-2E9C-101B-9397-08002B2CF9AE}" pid="15" name="MSIP_Label_aeb57847-2996-43f6-9ac9-aca8e5487221_ActionId">
    <vt:lpwstr>b9e0be79-17fc-4bb6-9d8d-375e2293f054</vt:lpwstr>
  </property>
  <property fmtid="{D5CDD505-2E9C-101B-9397-08002B2CF9AE}" pid="16" name="MSIP_Label_aeb57847-2996-43f6-9ac9-aca8e5487221_ContentBits">
    <vt:lpwstr>3</vt:lpwstr>
  </property>
  <property fmtid="{D5CDD505-2E9C-101B-9397-08002B2CF9AE}" pid="17" name="MSIP_Label_aeb57847-2996-43f6-9ac9-aca8e5487221_Tag">
    <vt:lpwstr>10, 0, 1, 1</vt:lpwstr>
  </property>
</Properties>
</file>