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6FF40" w14:textId="5E56A8D5" w:rsidR="004A13A7" w:rsidRPr="00A51D1A" w:rsidRDefault="007A5234" w:rsidP="004A13A7">
      <w:pPr>
        <w:pStyle w:val="ACMAReportTitle"/>
      </w:pPr>
      <w:bookmarkStart w:id="0" w:name="_Toc6298709"/>
      <w:r>
        <w:t>Frequency plan for services in the 900 MHz band</w:t>
      </w:r>
    </w:p>
    <w:p w14:paraId="3ADB2A91" w14:textId="7D73EC9A" w:rsidR="004A13A7" w:rsidRDefault="007A5234" w:rsidP="004A13A7">
      <w:pPr>
        <w:pStyle w:val="ACMAReportSubTitle"/>
      </w:pPr>
      <w:r>
        <w:t>890-960 MHz</w:t>
      </w:r>
    </w:p>
    <w:p w14:paraId="04FCE14F" w14:textId="77777777" w:rsidR="004A13A7" w:rsidRPr="004D735E" w:rsidRDefault="004A13A7" w:rsidP="004A13A7">
      <w:pPr>
        <w:pStyle w:val="ACMAInstructions"/>
        <w:rPr>
          <w:rFonts w:ascii="Arial Bold" w:hAnsi="Arial Bold"/>
          <w:vanish w:val="0"/>
        </w:rPr>
      </w:pPr>
      <w:r w:rsidRPr="004D735E">
        <w:rPr>
          <w:rFonts w:ascii="Arial Bold" w:hAnsi="Arial Bold"/>
          <w:vanish w:val="0"/>
        </w:rPr>
        <w:t>Radiocommunications Assignment and Licensing Instruction</w:t>
      </w:r>
    </w:p>
    <w:p w14:paraId="745C4500" w14:textId="437AFD8C" w:rsidR="004A13A7" w:rsidRPr="00C87159" w:rsidRDefault="004A13A7" w:rsidP="004A13A7">
      <w:pPr>
        <w:pStyle w:val="ACMAReportDate"/>
        <w:rPr>
          <w:b/>
        </w:rPr>
      </w:pPr>
      <w:r w:rsidRPr="00C87159">
        <w:rPr>
          <w:b/>
        </w:rPr>
        <w:t xml:space="preserve">rali: MS </w:t>
      </w:r>
      <w:r w:rsidR="007A5234">
        <w:rPr>
          <w:b/>
        </w:rPr>
        <w:t>41</w:t>
      </w:r>
    </w:p>
    <w:p w14:paraId="12CFFEC6" w14:textId="1DE62562" w:rsidR="004A13A7" w:rsidRDefault="004A13A7" w:rsidP="008F7E36">
      <w:pPr>
        <w:pStyle w:val="ACMAReportDate"/>
        <w:widowControl w:val="0"/>
        <w:rPr>
          <w:b/>
        </w:rPr>
      </w:pPr>
      <w:r w:rsidRPr="00C87159">
        <w:rPr>
          <w:b/>
        </w:rPr>
        <w:t xml:space="preserve">date of effect: </w:t>
      </w:r>
      <w:r w:rsidR="003949EF">
        <w:rPr>
          <w:b/>
        </w:rPr>
        <w:t>5 MARCH 2026</w:t>
      </w:r>
    </w:p>
    <w:p w14:paraId="506DA973" w14:textId="77777777" w:rsidR="002D1060" w:rsidRPr="00C87159" w:rsidRDefault="002D1060" w:rsidP="008F7E36">
      <w:pPr>
        <w:pStyle w:val="ACMAReportDate"/>
        <w:widowControl w:val="0"/>
        <w:rPr>
          <w:b/>
        </w:rPr>
      </w:pPr>
    </w:p>
    <w:p w14:paraId="1A0A9179" w14:textId="77777777" w:rsidR="00822B3D" w:rsidRDefault="002D1060" w:rsidP="002D1060">
      <w:pPr>
        <w:pStyle w:val="ACMABulletLevel1"/>
        <w:numPr>
          <w:ilvl w:val="0"/>
          <w:numId w:val="0"/>
        </w:numPr>
        <w:rPr>
          <w:szCs w:val="44"/>
        </w:rPr>
        <w:sectPr w:rsidR="00822B3D" w:rsidSect="00A07457">
          <w:footerReference w:type="even" r:id="rId8"/>
          <w:footerReference w:type="default" r:id="rId9"/>
          <w:headerReference w:type="first" r:id="rId10"/>
          <w:type w:val="oddPage"/>
          <w:pgSz w:w="11906" w:h="16838"/>
          <w:pgMar w:top="3251" w:right="1440" w:bottom="1440" w:left="1440" w:header="708" w:footer="708" w:gutter="0"/>
          <w:pgNumType w:fmt="lowerRoman" w:start="1"/>
          <w:cols w:space="708"/>
          <w:titlePg/>
          <w:docGrid w:linePitch="360"/>
        </w:sectPr>
      </w:pPr>
      <w:r w:rsidRPr="00575D58">
        <w:rPr>
          <w:rFonts w:ascii="Arial" w:hAnsi="Arial" w:cs="Arial"/>
          <w:bCs/>
          <w:sz w:val="20"/>
        </w:rPr>
        <w:t>.</w:t>
      </w:r>
    </w:p>
    <w:p w14:paraId="227B89A1" w14:textId="77777777" w:rsidR="004A13A7" w:rsidRPr="00420CAF" w:rsidRDefault="004A13A7" w:rsidP="00420CAF">
      <w:pPr>
        <w:rPr>
          <w:sz w:val="32"/>
        </w:rPr>
      </w:pPr>
      <w:r w:rsidRPr="00420CAF">
        <w:rPr>
          <w:sz w:val="32"/>
          <w:szCs w:val="32"/>
        </w:rPr>
        <w:lastRenderedPageBreak/>
        <w:t>Amendment history</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6528"/>
      </w:tblGrid>
      <w:tr w:rsidR="004A13A7" w:rsidRPr="002E390A" w14:paraId="7298934E" w14:textId="77777777">
        <w:trPr>
          <w:cantSplit/>
          <w:tblHeader/>
        </w:trPr>
        <w:tc>
          <w:tcPr>
            <w:tcW w:w="2085" w:type="dxa"/>
            <w:shd w:val="clear" w:color="auto" w:fill="D9D9D9"/>
          </w:tcPr>
          <w:p w14:paraId="785BA194" w14:textId="77777777" w:rsidR="004A13A7" w:rsidRPr="00AF06C8" w:rsidRDefault="004A13A7">
            <w:pPr>
              <w:pStyle w:val="TableHeading"/>
              <w:spacing w:line="240" w:lineRule="auto"/>
              <w:rPr>
                <w:rFonts w:eastAsiaTheme="minorHAnsi"/>
                <w:szCs w:val="22"/>
              </w:rPr>
            </w:pPr>
            <w:r w:rsidRPr="00AF06C8">
              <w:rPr>
                <w:rFonts w:eastAsiaTheme="minorHAnsi"/>
                <w:szCs w:val="22"/>
              </w:rPr>
              <w:t>Date</w:t>
            </w:r>
          </w:p>
        </w:tc>
        <w:tc>
          <w:tcPr>
            <w:tcW w:w="6528" w:type="dxa"/>
            <w:shd w:val="clear" w:color="auto" w:fill="D9D9D9"/>
          </w:tcPr>
          <w:p w14:paraId="6E529E87" w14:textId="77777777" w:rsidR="004A13A7" w:rsidRPr="00AF06C8" w:rsidRDefault="004A13A7">
            <w:pPr>
              <w:pStyle w:val="TableHeading"/>
              <w:spacing w:line="240" w:lineRule="auto"/>
              <w:rPr>
                <w:rFonts w:eastAsiaTheme="minorHAnsi"/>
                <w:szCs w:val="22"/>
              </w:rPr>
            </w:pPr>
            <w:r w:rsidRPr="00AF06C8">
              <w:rPr>
                <w:rFonts w:eastAsiaTheme="minorHAnsi"/>
                <w:szCs w:val="22"/>
              </w:rPr>
              <w:t>Comments</w:t>
            </w:r>
          </w:p>
        </w:tc>
      </w:tr>
      <w:tr w:rsidR="004E6B83" w:rsidRPr="002E390A" w14:paraId="34E59DE1" w14:textId="77777777">
        <w:tc>
          <w:tcPr>
            <w:tcW w:w="2085" w:type="dxa"/>
          </w:tcPr>
          <w:p w14:paraId="625817B0" w14:textId="0BDF4DF9" w:rsidR="004E6B83" w:rsidRPr="00AF06C8" w:rsidRDefault="004E6B83" w:rsidP="004E6B83">
            <w:pPr>
              <w:pStyle w:val="TableBody"/>
              <w:rPr>
                <w:rFonts w:eastAsiaTheme="minorHAnsi"/>
                <w:szCs w:val="22"/>
              </w:rPr>
            </w:pPr>
            <w:r w:rsidRPr="007A5234">
              <w:rPr>
                <w:rFonts w:eastAsiaTheme="minorHAnsi"/>
                <w:szCs w:val="22"/>
              </w:rPr>
              <w:t>August 2015</w:t>
            </w:r>
          </w:p>
        </w:tc>
        <w:tc>
          <w:tcPr>
            <w:tcW w:w="6528" w:type="dxa"/>
          </w:tcPr>
          <w:p w14:paraId="68919A9E" w14:textId="178C1AD9" w:rsidR="004E6B83" w:rsidRPr="00AF06C8" w:rsidRDefault="004E6B83" w:rsidP="004E6B83">
            <w:pPr>
              <w:pStyle w:val="TableBody"/>
              <w:rPr>
                <w:rFonts w:eastAsiaTheme="minorHAnsi"/>
                <w:szCs w:val="22"/>
              </w:rPr>
            </w:pPr>
            <w:r w:rsidRPr="00017328">
              <w:t>Initial draft covering material taken from the Radiocommunications 900 MHz Band Plan 1992</w:t>
            </w:r>
          </w:p>
        </w:tc>
      </w:tr>
      <w:tr w:rsidR="004E6B83" w:rsidRPr="002E390A" w14:paraId="3B6C74F2" w14:textId="77777777">
        <w:tc>
          <w:tcPr>
            <w:tcW w:w="2085" w:type="dxa"/>
          </w:tcPr>
          <w:p w14:paraId="67E68B97" w14:textId="594B2B1C" w:rsidR="004E6B83" w:rsidRPr="00AF06C8" w:rsidRDefault="004E6B83" w:rsidP="004E6B83">
            <w:pPr>
              <w:pStyle w:val="TableBody"/>
              <w:rPr>
                <w:rFonts w:eastAsiaTheme="minorHAnsi"/>
                <w:szCs w:val="22"/>
              </w:rPr>
            </w:pPr>
            <w:r w:rsidRPr="007A5234">
              <w:rPr>
                <w:rFonts w:eastAsiaTheme="minorHAnsi"/>
                <w:szCs w:val="22"/>
              </w:rPr>
              <w:t>September 2015</w:t>
            </w:r>
          </w:p>
        </w:tc>
        <w:tc>
          <w:tcPr>
            <w:tcW w:w="6528" w:type="dxa"/>
          </w:tcPr>
          <w:p w14:paraId="12860B4E" w14:textId="06F0BD5F" w:rsidR="004E6B83" w:rsidRPr="00AF06C8" w:rsidRDefault="004E6B83" w:rsidP="004E6B83">
            <w:pPr>
              <w:pStyle w:val="TableBody"/>
              <w:rPr>
                <w:rFonts w:eastAsiaTheme="minorHAnsi"/>
                <w:szCs w:val="22"/>
              </w:rPr>
            </w:pPr>
            <w:r w:rsidRPr="00017328">
              <w:t xml:space="preserve">Finalised RALI following public consultation. </w:t>
            </w:r>
          </w:p>
        </w:tc>
      </w:tr>
      <w:tr w:rsidR="004E6B83" w:rsidRPr="002E390A" w14:paraId="7C117ABB" w14:textId="77777777">
        <w:tc>
          <w:tcPr>
            <w:tcW w:w="2085" w:type="dxa"/>
          </w:tcPr>
          <w:p w14:paraId="4ACF37F0" w14:textId="164ECA41" w:rsidR="004E6B83" w:rsidRPr="00AF06C8" w:rsidRDefault="004E6B83" w:rsidP="004E6B83">
            <w:pPr>
              <w:pStyle w:val="TableBody"/>
              <w:rPr>
                <w:rFonts w:eastAsiaTheme="minorHAnsi"/>
                <w:szCs w:val="22"/>
              </w:rPr>
            </w:pPr>
            <w:r w:rsidRPr="007A5234">
              <w:rPr>
                <w:rFonts w:eastAsiaTheme="minorHAnsi"/>
                <w:szCs w:val="22"/>
              </w:rPr>
              <w:t>August 2018</w:t>
            </w:r>
          </w:p>
        </w:tc>
        <w:tc>
          <w:tcPr>
            <w:tcW w:w="6528" w:type="dxa"/>
          </w:tcPr>
          <w:p w14:paraId="0AA1CBBB" w14:textId="77094CAB" w:rsidR="004E6B83" w:rsidRPr="00AF06C8" w:rsidRDefault="004E6B83" w:rsidP="004E6B83">
            <w:pPr>
              <w:pStyle w:val="TableBody"/>
              <w:rPr>
                <w:rFonts w:eastAsiaTheme="minorHAnsi"/>
                <w:szCs w:val="22"/>
              </w:rPr>
            </w:pPr>
            <w:r w:rsidRPr="00017328">
              <w:t>Updated to provide incremental allocation changes</w:t>
            </w:r>
            <w:r>
              <w:t xml:space="preserve"> </w:t>
            </w:r>
            <w:r w:rsidRPr="00017328">
              <w:t xml:space="preserve">to support the 803-960 MHz review implementation plan until completion. </w:t>
            </w:r>
          </w:p>
        </w:tc>
      </w:tr>
      <w:tr w:rsidR="004E6B83" w:rsidRPr="002E390A" w14:paraId="103456FC" w14:textId="77777777">
        <w:tc>
          <w:tcPr>
            <w:tcW w:w="2085" w:type="dxa"/>
          </w:tcPr>
          <w:p w14:paraId="3653F93A" w14:textId="350D393D" w:rsidR="004E6B83" w:rsidRPr="002C7A77" w:rsidRDefault="004E6B83" w:rsidP="004E6B83">
            <w:pPr>
              <w:pStyle w:val="TableBody"/>
              <w:rPr>
                <w:rFonts w:eastAsiaTheme="minorHAnsi"/>
                <w:szCs w:val="22"/>
              </w:rPr>
            </w:pPr>
            <w:r w:rsidRPr="002C7A77">
              <w:rPr>
                <w:rFonts w:eastAsiaTheme="minorHAnsi"/>
                <w:szCs w:val="22"/>
              </w:rPr>
              <w:t>July 2020</w:t>
            </w:r>
          </w:p>
        </w:tc>
        <w:tc>
          <w:tcPr>
            <w:tcW w:w="6528" w:type="dxa"/>
          </w:tcPr>
          <w:p w14:paraId="4E8CF232" w14:textId="4C66D4FA" w:rsidR="004E6B83" w:rsidRPr="00AF06C8" w:rsidRDefault="004E6B83" w:rsidP="004E6B83">
            <w:pPr>
              <w:pStyle w:val="TableBody"/>
              <w:rPr>
                <w:rFonts w:eastAsiaTheme="minorHAnsi"/>
                <w:szCs w:val="22"/>
              </w:rPr>
            </w:pPr>
            <w:r w:rsidRPr="00017328">
              <w:t>Update</w:t>
            </w:r>
            <w:r>
              <w:t>d</w:t>
            </w:r>
            <w:r w:rsidRPr="00017328">
              <w:t xml:space="preserve"> to include provisions previously contained in Embargo 64 </w:t>
            </w:r>
            <w:r w:rsidR="003627B5">
              <w:t>(</w:t>
            </w:r>
            <w:r w:rsidRPr="00017328">
              <w:t>See IFC 12/2020</w:t>
            </w:r>
            <w:r w:rsidR="003627B5">
              <w:t>)</w:t>
            </w:r>
            <w:r w:rsidRPr="00017328">
              <w:t>.</w:t>
            </w:r>
          </w:p>
        </w:tc>
      </w:tr>
      <w:tr w:rsidR="007A5234" w:rsidRPr="002E390A" w14:paraId="0BBCF9BD" w14:textId="77777777">
        <w:tc>
          <w:tcPr>
            <w:tcW w:w="2085" w:type="dxa"/>
          </w:tcPr>
          <w:p w14:paraId="090E0666" w14:textId="5814B331" w:rsidR="007A5234" w:rsidRPr="002C7A77" w:rsidRDefault="003627B5">
            <w:pPr>
              <w:pStyle w:val="TableBody"/>
              <w:rPr>
                <w:rFonts w:eastAsiaTheme="minorHAnsi"/>
                <w:szCs w:val="22"/>
              </w:rPr>
            </w:pPr>
            <w:r w:rsidRPr="002C7A77">
              <w:rPr>
                <w:rFonts w:eastAsiaTheme="minorHAnsi"/>
                <w:szCs w:val="22"/>
              </w:rPr>
              <w:t xml:space="preserve">March </w:t>
            </w:r>
            <w:r w:rsidR="007664DC" w:rsidRPr="002C7A77">
              <w:rPr>
                <w:rFonts w:eastAsiaTheme="minorHAnsi"/>
                <w:szCs w:val="22"/>
              </w:rPr>
              <w:t>2026</w:t>
            </w:r>
          </w:p>
        </w:tc>
        <w:tc>
          <w:tcPr>
            <w:tcW w:w="6528" w:type="dxa"/>
          </w:tcPr>
          <w:p w14:paraId="7A1827D4" w14:textId="41F8840F" w:rsidR="007A5234" w:rsidRPr="00AF06C8" w:rsidRDefault="00897B8D">
            <w:pPr>
              <w:pStyle w:val="TableBody"/>
              <w:rPr>
                <w:rFonts w:eastAsiaTheme="minorHAnsi"/>
                <w:szCs w:val="22"/>
              </w:rPr>
            </w:pPr>
            <w:r>
              <w:rPr>
                <w:rFonts w:eastAsiaTheme="minorHAnsi"/>
                <w:szCs w:val="22"/>
              </w:rPr>
              <w:t xml:space="preserve">Editorial update to remove transitional text which was included to support </w:t>
            </w:r>
            <w:r w:rsidRPr="00017328">
              <w:t>the 803-960 MHz review implementation plan</w:t>
            </w:r>
            <w:r>
              <w:t>.</w:t>
            </w:r>
          </w:p>
        </w:tc>
      </w:tr>
    </w:tbl>
    <w:p w14:paraId="459E41CF" w14:textId="77777777" w:rsidR="004A13A7" w:rsidRDefault="004A13A7" w:rsidP="004A13A7">
      <w:pPr>
        <w:pStyle w:val="ACMASpaceaftertable"/>
      </w:pPr>
    </w:p>
    <w:p w14:paraId="634F6F00" w14:textId="588D2584" w:rsidR="004A13A7" w:rsidRPr="00516C9D" w:rsidRDefault="004A13A7" w:rsidP="004A13A7">
      <w:pPr>
        <w:rPr>
          <w:color w:val="000000" w:themeColor="text1"/>
          <w:szCs w:val="22"/>
        </w:rPr>
      </w:pPr>
      <w:r w:rsidRPr="00516C9D">
        <w:rPr>
          <w:color w:val="000000" w:themeColor="text1"/>
          <w:szCs w:val="22"/>
        </w:rPr>
        <w:t xml:space="preserve">Suggestions for </w:t>
      </w:r>
      <w:r w:rsidRPr="007664DC">
        <w:rPr>
          <w:color w:val="000000" w:themeColor="text1"/>
          <w:szCs w:val="22"/>
        </w:rPr>
        <w:t xml:space="preserve">improvements to Radiocommunications Assignment and Licensing Instruction MS </w:t>
      </w:r>
      <w:r w:rsidR="007A5234" w:rsidRPr="007664DC">
        <w:rPr>
          <w:color w:val="000000" w:themeColor="text1"/>
          <w:szCs w:val="22"/>
        </w:rPr>
        <w:t>41</w:t>
      </w:r>
      <w:r w:rsidRPr="007664DC">
        <w:rPr>
          <w:color w:val="000000" w:themeColor="text1"/>
          <w:szCs w:val="22"/>
        </w:rPr>
        <w:t xml:space="preserve"> may b</w:t>
      </w:r>
      <w:r w:rsidRPr="00516C9D">
        <w:rPr>
          <w:color w:val="000000" w:themeColor="text1"/>
          <w:szCs w:val="22"/>
        </w:rPr>
        <w:t>e addressed to:</w:t>
      </w:r>
    </w:p>
    <w:p w14:paraId="796233CE" w14:textId="77777777" w:rsidR="004A13A7" w:rsidRPr="00516C9D" w:rsidRDefault="004A13A7" w:rsidP="004A13A7">
      <w:pPr>
        <w:rPr>
          <w:color w:val="000000" w:themeColor="text1"/>
          <w:szCs w:val="22"/>
        </w:rPr>
      </w:pPr>
      <w:r w:rsidRPr="00516C9D">
        <w:rPr>
          <w:color w:val="000000" w:themeColor="text1"/>
          <w:szCs w:val="22"/>
        </w:rPr>
        <w:t xml:space="preserve">The Manager, Spectrum </w:t>
      </w:r>
      <w:r w:rsidR="00746A68" w:rsidRPr="00516C9D">
        <w:rPr>
          <w:color w:val="000000" w:themeColor="text1"/>
          <w:szCs w:val="22"/>
        </w:rPr>
        <w:t>Planning Section</w:t>
      </w:r>
      <w:r w:rsidRPr="00516C9D">
        <w:rPr>
          <w:color w:val="000000" w:themeColor="text1"/>
          <w:szCs w:val="22"/>
        </w:rPr>
        <w:br/>
        <w:t>Australian Communications and Media Authority</w:t>
      </w:r>
      <w:r w:rsidRPr="00516C9D">
        <w:rPr>
          <w:color w:val="000000" w:themeColor="text1"/>
          <w:szCs w:val="22"/>
        </w:rPr>
        <w:br/>
        <w:t xml:space="preserve">PO Box 78 </w:t>
      </w:r>
      <w:r w:rsidRPr="00516C9D">
        <w:rPr>
          <w:color w:val="000000" w:themeColor="text1"/>
          <w:szCs w:val="22"/>
        </w:rPr>
        <w:br/>
        <w:t>Belconnen ACT 2616</w:t>
      </w:r>
    </w:p>
    <w:p w14:paraId="476A59C0" w14:textId="77777777" w:rsidR="004A13A7" w:rsidRPr="00516C9D" w:rsidRDefault="004A13A7" w:rsidP="004A13A7">
      <w:pPr>
        <w:rPr>
          <w:rFonts w:cstheme="minorHAnsi"/>
          <w:color w:val="000000" w:themeColor="text1"/>
          <w:szCs w:val="22"/>
        </w:rPr>
      </w:pPr>
      <w:r w:rsidRPr="00516C9D">
        <w:rPr>
          <w:rFonts w:cstheme="minorHAnsi"/>
          <w:color w:val="000000" w:themeColor="text1"/>
          <w:szCs w:val="22"/>
        </w:rPr>
        <w:t xml:space="preserve">or by email to: </w:t>
      </w:r>
      <w:hyperlink r:id="rId11" w:history="1">
        <w:r w:rsidRPr="00516C9D">
          <w:rPr>
            <w:rStyle w:val="Hyperlink"/>
            <w:rFonts w:cstheme="minorHAnsi"/>
            <w:color w:val="000000" w:themeColor="text1"/>
            <w:szCs w:val="22"/>
          </w:rPr>
          <w:t>freqplan@acma.gov.au</w:t>
        </w:r>
      </w:hyperlink>
      <w:r w:rsidRPr="00516C9D">
        <w:rPr>
          <w:rFonts w:cstheme="minorHAnsi"/>
          <w:color w:val="000000" w:themeColor="text1"/>
          <w:szCs w:val="22"/>
        </w:rPr>
        <w:t>.</w:t>
      </w:r>
    </w:p>
    <w:p w14:paraId="5601F497" w14:textId="77777777" w:rsidR="00B95DA7" w:rsidRPr="00516C9D" w:rsidRDefault="004A13A7" w:rsidP="004A13A7">
      <w:pPr>
        <w:rPr>
          <w:color w:val="000000" w:themeColor="text1"/>
          <w:szCs w:val="22"/>
        </w:rPr>
      </w:pPr>
      <w:r w:rsidRPr="00516C9D">
        <w:rPr>
          <w:color w:val="000000" w:themeColor="text1"/>
          <w:szCs w:val="22"/>
        </w:rPr>
        <w:t>Please notify the ACMA of any inaccuracy or ambiguity found in this RALI, so that it can be investigated and appropriate action taken.</w:t>
      </w:r>
    </w:p>
    <w:p w14:paraId="24111688" w14:textId="77777777" w:rsidR="00822B3D" w:rsidRDefault="00822B3D" w:rsidP="004A13A7">
      <w:pPr>
        <w:rPr>
          <w:b/>
          <w:sz w:val="52"/>
          <w:szCs w:val="52"/>
        </w:rPr>
        <w:sectPr w:rsidR="00822B3D" w:rsidSect="00822B3D">
          <w:footerReference w:type="even" r:id="rId12"/>
          <w:type w:val="evenPage"/>
          <w:pgSz w:w="11906" w:h="16838"/>
          <w:pgMar w:top="1440" w:right="1440" w:bottom="1440" w:left="1440" w:header="708" w:footer="708" w:gutter="0"/>
          <w:pgNumType w:fmt="lowerRoman" w:start="2"/>
          <w:cols w:space="708"/>
          <w:docGrid w:linePitch="360"/>
        </w:sectPr>
      </w:pPr>
    </w:p>
    <w:sdt>
      <w:sdtPr>
        <w:rPr>
          <w:b w:val="0"/>
          <w:color w:val="auto"/>
          <w:spacing w:val="0"/>
          <w:sz w:val="24"/>
        </w:rPr>
        <w:id w:val="2122026567"/>
        <w:docPartObj>
          <w:docPartGallery w:val="Table of Contents"/>
          <w:docPartUnique/>
        </w:docPartObj>
      </w:sdtPr>
      <w:sdtEndPr>
        <w:rPr>
          <w:sz w:val="22"/>
          <w:szCs w:val="22"/>
        </w:rPr>
      </w:sdtEndPr>
      <w:sdtContent>
        <w:p w14:paraId="3E9A126F" w14:textId="77777777" w:rsidR="00097D72" w:rsidRDefault="00097D72">
          <w:pPr>
            <w:pStyle w:val="TOCHeading"/>
          </w:pPr>
          <w:r>
            <w:t>Contents</w:t>
          </w:r>
        </w:p>
        <w:p w14:paraId="068FC97D" w14:textId="120A4800" w:rsidR="003B6CAB" w:rsidRDefault="00097D72">
          <w:pPr>
            <w:pStyle w:val="TOC1"/>
            <w:tabs>
              <w:tab w:val="left" w:pos="885"/>
            </w:tabs>
            <w:rPr>
              <w:rFonts w:asciiTheme="minorHAnsi" w:eastAsiaTheme="minorEastAsia" w:hAnsiTheme="minorHAnsi" w:cstheme="minorBidi"/>
              <w:b w:val="0"/>
              <w:spacing w:val="0"/>
              <w:kern w:val="2"/>
              <w:sz w:val="24"/>
              <w14:ligatures w14:val="standardContextual"/>
            </w:rPr>
          </w:pPr>
          <w:r>
            <w:fldChar w:fldCharType="begin"/>
          </w:r>
          <w:r>
            <w:instrText xml:space="preserve"> TOC \o "1-3" \h \z \u </w:instrText>
          </w:r>
          <w:r>
            <w:fldChar w:fldCharType="separate"/>
          </w:r>
          <w:hyperlink w:anchor="_Toc223506655" w:history="1">
            <w:r w:rsidR="003B6CAB" w:rsidRPr="00D931B6">
              <w:rPr>
                <w:rStyle w:val="Hyperlink"/>
                <w14:scene3d>
                  <w14:camera w14:prst="orthographicFront"/>
                  <w14:lightRig w14:rig="threePt" w14:dir="t">
                    <w14:rot w14:lat="0" w14:lon="0" w14:rev="0"/>
                  </w14:lightRig>
                </w14:scene3d>
              </w:rPr>
              <w:t>1</w:t>
            </w:r>
            <w:r w:rsidR="003B6CAB">
              <w:rPr>
                <w:rFonts w:asciiTheme="minorHAnsi" w:eastAsiaTheme="minorEastAsia" w:hAnsiTheme="minorHAnsi" w:cstheme="minorBidi"/>
                <w:b w:val="0"/>
                <w:spacing w:val="0"/>
                <w:kern w:val="2"/>
                <w:sz w:val="24"/>
                <w14:ligatures w14:val="standardContextual"/>
              </w:rPr>
              <w:tab/>
            </w:r>
            <w:r w:rsidR="003B6CAB" w:rsidRPr="00D931B6">
              <w:rPr>
                <w:rStyle w:val="Hyperlink"/>
              </w:rPr>
              <w:t>Frequency plan for services in the 900 MHz band</w:t>
            </w:r>
            <w:r w:rsidR="003B6CAB">
              <w:rPr>
                <w:webHidden/>
              </w:rPr>
              <w:tab/>
            </w:r>
            <w:r w:rsidR="003B6CAB">
              <w:rPr>
                <w:webHidden/>
              </w:rPr>
              <w:fldChar w:fldCharType="begin"/>
            </w:r>
            <w:r w:rsidR="003B6CAB">
              <w:rPr>
                <w:webHidden/>
              </w:rPr>
              <w:instrText xml:space="preserve"> PAGEREF _Toc223506655 \h </w:instrText>
            </w:r>
            <w:r w:rsidR="003B6CAB">
              <w:rPr>
                <w:webHidden/>
              </w:rPr>
            </w:r>
            <w:r w:rsidR="003B6CAB">
              <w:rPr>
                <w:webHidden/>
              </w:rPr>
              <w:fldChar w:fldCharType="separate"/>
            </w:r>
            <w:r w:rsidR="00082D5F">
              <w:rPr>
                <w:webHidden/>
              </w:rPr>
              <w:t>1</w:t>
            </w:r>
            <w:r w:rsidR="003B6CAB">
              <w:rPr>
                <w:webHidden/>
              </w:rPr>
              <w:fldChar w:fldCharType="end"/>
            </w:r>
          </w:hyperlink>
        </w:p>
        <w:p w14:paraId="553174B6" w14:textId="4D1AEB60" w:rsidR="003B6CAB" w:rsidRDefault="003B6CAB">
          <w:pPr>
            <w:pStyle w:val="TOC2"/>
            <w:rPr>
              <w:rFonts w:asciiTheme="minorHAnsi" w:eastAsiaTheme="minorEastAsia" w:hAnsiTheme="minorHAnsi" w:cstheme="minorBidi"/>
              <w:spacing w:val="0"/>
              <w:kern w:val="2"/>
              <w:sz w:val="24"/>
              <w:szCs w:val="24"/>
              <w14:ligatures w14:val="standardContextual"/>
            </w:rPr>
          </w:pPr>
          <w:hyperlink w:anchor="_Toc223506656" w:history="1">
            <w:r w:rsidRPr="00D931B6">
              <w:rPr>
                <w:rStyle w:val="Hyperlink"/>
              </w:rPr>
              <w:t>1.1</w:t>
            </w:r>
            <w:r>
              <w:rPr>
                <w:rFonts w:asciiTheme="minorHAnsi" w:eastAsiaTheme="minorEastAsia" w:hAnsiTheme="minorHAnsi" w:cstheme="minorBidi"/>
                <w:spacing w:val="0"/>
                <w:kern w:val="2"/>
                <w:sz w:val="24"/>
                <w:szCs w:val="24"/>
                <w14:ligatures w14:val="standardContextual"/>
              </w:rPr>
              <w:tab/>
            </w:r>
            <w:r w:rsidRPr="00D931B6">
              <w:rPr>
                <w:rStyle w:val="Hyperlink"/>
              </w:rPr>
              <w:t>Purpose</w:t>
            </w:r>
            <w:r>
              <w:rPr>
                <w:webHidden/>
              </w:rPr>
              <w:tab/>
            </w:r>
            <w:r>
              <w:rPr>
                <w:webHidden/>
              </w:rPr>
              <w:fldChar w:fldCharType="begin"/>
            </w:r>
            <w:r>
              <w:rPr>
                <w:webHidden/>
              </w:rPr>
              <w:instrText xml:space="preserve"> PAGEREF _Toc223506656 \h </w:instrText>
            </w:r>
            <w:r>
              <w:rPr>
                <w:webHidden/>
              </w:rPr>
            </w:r>
            <w:r>
              <w:rPr>
                <w:webHidden/>
              </w:rPr>
              <w:fldChar w:fldCharType="separate"/>
            </w:r>
            <w:r w:rsidR="00082D5F">
              <w:rPr>
                <w:webHidden/>
              </w:rPr>
              <w:t>1</w:t>
            </w:r>
            <w:r>
              <w:rPr>
                <w:webHidden/>
              </w:rPr>
              <w:fldChar w:fldCharType="end"/>
            </w:r>
          </w:hyperlink>
        </w:p>
        <w:p w14:paraId="65573BB6" w14:textId="3FD2936B" w:rsidR="003B6CAB" w:rsidRDefault="003B6CAB">
          <w:pPr>
            <w:pStyle w:val="TOC2"/>
            <w:rPr>
              <w:rFonts w:asciiTheme="minorHAnsi" w:eastAsiaTheme="minorEastAsia" w:hAnsiTheme="minorHAnsi" w:cstheme="minorBidi"/>
              <w:spacing w:val="0"/>
              <w:kern w:val="2"/>
              <w:sz w:val="24"/>
              <w:szCs w:val="24"/>
              <w14:ligatures w14:val="standardContextual"/>
            </w:rPr>
          </w:pPr>
          <w:hyperlink w:anchor="_Toc223506657" w:history="1">
            <w:r w:rsidRPr="00D931B6">
              <w:rPr>
                <w:rStyle w:val="Hyperlink"/>
              </w:rPr>
              <w:t>1.2</w:t>
            </w:r>
            <w:r>
              <w:rPr>
                <w:rFonts w:asciiTheme="minorHAnsi" w:eastAsiaTheme="minorEastAsia" w:hAnsiTheme="minorHAnsi" w:cstheme="minorBidi"/>
                <w:spacing w:val="0"/>
                <w:kern w:val="2"/>
                <w:sz w:val="24"/>
                <w:szCs w:val="24"/>
                <w14:ligatures w14:val="standardContextual"/>
              </w:rPr>
              <w:tab/>
            </w:r>
            <w:r w:rsidRPr="00D931B6">
              <w:rPr>
                <w:rStyle w:val="Hyperlink"/>
              </w:rPr>
              <w:t>History</w:t>
            </w:r>
            <w:r>
              <w:rPr>
                <w:webHidden/>
              </w:rPr>
              <w:tab/>
            </w:r>
            <w:r>
              <w:rPr>
                <w:webHidden/>
              </w:rPr>
              <w:fldChar w:fldCharType="begin"/>
            </w:r>
            <w:r>
              <w:rPr>
                <w:webHidden/>
              </w:rPr>
              <w:instrText xml:space="preserve"> PAGEREF _Toc223506657 \h </w:instrText>
            </w:r>
            <w:r>
              <w:rPr>
                <w:webHidden/>
              </w:rPr>
            </w:r>
            <w:r>
              <w:rPr>
                <w:webHidden/>
              </w:rPr>
              <w:fldChar w:fldCharType="separate"/>
            </w:r>
            <w:r w:rsidR="00082D5F">
              <w:rPr>
                <w:webHidden/>
              </w:rPr>
              <w:t>1</w:t>
            </w:r>
            <w:r>
              <w:rPr>
                <w:webHidden/>
              </w:rPr>
              <w:fldChar w:fldCharType="end"/>
            </w:r>
          </w:hyperlink>
        </w:p>
        <w:p w14:paraId="5E9AADE6" w14:textId="7BD29686" w:rsidR="003B6CAB" w:rsidRDefault="003B6CAB">
          <w:pPr>
            <w:pStyle w:val="TOC2"/>
            <w:rPr>
              <w:rFonts w:asciiTheme="minorHAnsi" w:eastAsiaTheme="minorEastAsia" w:hAnsiTheme="minorHAnsi" w:cstheme="minorBidi"/>
              <w:spacing w:val="0"/>
              <w:kern w:val="2"/>
              <w:sz w:val="24"/>
              <w:szCs w:val="24"/>
              <w14:ligatures w14:val="standardContextual"/>
            </w:rPr>
          </w:pPr>
          <w:hyperlink w:anchor="_Toc223506658" w:history="1">
            <w:r w:rsidRPr="00D931B6">
              <w:rPr>
                <w:rStyle w:val="Hyperlink"/>
              </w:rPr>
              <w:t>1.3</w:t>
            </w:r>
            <w:r>
              <w:rPr>
                <w:rFonts w:asciiTheme="minorHAnsi" w:eastAsiaTheme="minorEastAsia" w:hAnsiTheme="minorHAnsi" w:cstheme="minorBidi"/>
                <w:spacing w:val="0"/>
                <w:kern w:val="2"/>
                <w:sz w:val="24"/>
                <w:szCs w:val="24"/>
                <w14:ligatures w14:val="standardContextual"/>
              </w:rPr>
              <w:tab/>
            </w:r>
            <w:r w:rsidRPr="00D931B6">
              <w:rPr>
                <w:rStyle w:val="Hyperlink"/>
              </w:rPr>
              <w:t>Spectrum arrangements</w:t>
            </w:r>
            <w:r>
              <w:rPr>
                <w:webHidden/>
              </w:rPr>
              <w:tab/>
            </w:r>
            <w:r>
              <w:rPr>
                <w:webHidden/>
              </w:rPr>
              <w:fldChar w:fldCharType="begin"/>
            </w:r>
            <w:r>
              <w:rPr>
                <w:webHidden/>
              </w:rPr>
              <w:instrText xml:space="preserve"> PAGEREF _Toc223506658 \h </w:instrText>
            </w:r>
            <w:r>
              <w:rPr>
                <w:webHidden/>
              </w:rPr>
            </w:r>
            <w:r>
              <w:rPr>
                <w:webHidden/>
              </w:rPr>
              <w:fldChar w:fldCharType="separate"/>
            </w:r>
            <w:r w:rsidR="00082D5F">
              <w:rPr>
                <w:webHidden/>
              </w:rPr>
              <w:t>1</w:t>
            </w:r>
            <w:r>
              <w:rPr>
                <w:webHidden/>
              </w:rPr>
              <w:fldChar w:fldCharType="end"/>
            </w:r>
          </w:hyperlink>
        </w:p>
        <w:p w14:paraId="6F0E4943" w14:textId="769A83F3" w:rsidR="003B6CAB" w:rsidRDefault="003B6CAB">
          <w:pPr>
            <w:pStyle w:val="TOC3"/>
            <w:tabs>
              <w:tab w:val="left" w:pos="885"/>
            </w:tabs>
            <w:rPr>
              <w:rFonts w:asciiTheme="minorHAnsi" w:eastAsiaTheme="minorEastAsia" w:hAnsiTheme="minorHAnsi" w:cstheme="minorBidi"/>
              <w:kern w:val="2"/>
              <w:sz w:val="24"/>
              <w:szCs w:val="24"/>
              <w14:ligatures w14:val="standardContextual"/>
            </w:rPr>
          </w:pPr>
          <w:hyperlink w:anchor="_Toc223506659" w:history="1">
            <w:r w:rsidRPr="00D931B6">
              <w:rPr>
                <w:rStyle w:val="Hyperlink"/>
              </w:rPr>
              <w:t>1.3.1</w:t>
            </w:r>
            <w:r>
              <w:rPr>
                <w:rFonts w:asciiTheme="minorHAnsi" w:eastAsiaTheme="minorEastAsia" w:hAnsiTheme="minorHAnsi" w:cstheme="minorBidi"/>
                <w:kern w:val="2"/>
                <w:sz w:val="24"/>
                <w:szCs w:val="24"/>
                <w14:ligatures w14:val="standardContextual"/>
              </w:rPr>
              <w:tab/>
            </w:r>
            <w:r w:rsidRPr="00D931B6">
              <w:rPr>
                <w:rStyle w:val="Hyperlink"/>
              </w:rPr>
              <w:t>Assignment conditions</w:t>
            </w:r>
            <w:r>
              <w:rPr>
                <w:webHidden/>
              </w:rPr>
              <w:tab/>
            </w:r>
            <w:r>
              <w:rPr>
                <w:webHidden/>
              </w:rPr>
              <w:fldChar w:fldCharType="begin"/>
            </w:r>
            <w:r>
              <w:rPr>
                <w:webHidden/>
              </w:rPr>
              <w:instrText xml:space="preserve"> PAGEREF _Toc223506659 \h </w:instrText>
            </w:r>
            <w:r>
              <w:rPr>
                <w:webHidden/>
              </w:rPr>
            </w:r>
            <w:r>
              <w:rPr>
                <w:webHidden/>
              </w:rPr>
              <w:fldChar w:fldCharType="separate"/>
            </w:r>
            <w:r w:rsidR="00082D5F">
              <w:rPr>
                <w:webHidden/>
              </w:rPr>
              <w:t>2</w:t>
            </w:r>
            <w:r>
              <w:rPr>
                <w:webHidden/>
              </w:rPr>
              <w:fldChar w:fldCharType="end"/>
            </w:r>
          </w:hyperlink>
        </w:p>
        <w:p w14:paraId="121D8116" w14:textId="425AAC0C" w:rsidR="003B6CAB" w:rsidRDefault="003B6CAB">
          <w:pPr>
            <w:pStyle w:val="TOC2"/>
            <w:rPr>
              <w:rFonts w:asciiTheme="minorHAnsi" w:eastAsiaTheme="minorEastAsia" w:hAnsiTheme="minorHAnsi" w:cstheme="minorBidi"/>
              <w:spacing w:val="0"/>
              <w:kern w:val="2"/>
              <w:sz w:val="24"/>
              <w:szCs w:val="24"/>
              <w14:ligatures w14:val="standardContextual"/>
            </w:rPr>
          </w:pPr>
          <w:hyperlink w:anchor="_Toc223506660" w:history="1">
            <w:r w:rsidRPr="00D931B6">
              <w:rPr>
                <w:rStyle w:val="Hyperlink"/>
              </w:rPr>
              <w:t>1.4</w:t>
            </w:r>
            <w:r>
              <w:rPr>
                <w:rFonts w:asciiTheme="minorHAnsi" w:eastAsiaTheme="minorEastAsia" w:hAnsiTheme="minorHAnsi" w:cstheme="minorBidi"/>
                <w:spacing w:val="0"/>
                <w:kern w:val="2"/>
                <w:sz w:val="24"/>
                <w:szCs w:val="24"/>
                <w14:ligatures w14:val="standardContextual"/>
              </w:rPr>
              <w:tab/>
            </w:r>
            <w:r w:rsidRPr="00D931B6">
              <w:rPr>
                <w:rStyle w:val="Hyperlink"/>
              </w:rPr>
              <w:t>Relationship with RALI MS 40</w:t>
            </w:r>
            <w:r>
              <w:rPr>
                <w:webHidden/>
              </w:rPr>
              <w:tab/>
            </w:r>
            <w:r>
              <w:rPr>
                <w:webHidden/>
              </w:rPr>
              <w:fldChar w:fldCharType="begin"/>
            </w:r>
            <w:r>
              <w:rPr>
                <w:webHidden/>
              </w:rPr>
              <w:instrText xml:space="preserve"> PAGEREF _Toc223506660 \h </w:instrText>
            </w:r>
            <w:r>
              <w:rPr>
                <w:webHidden/>
              </w:rPr>
            </w:r>
            <w:r>
              <w:rPr>
                <w:webHidden/>
              </w:rPr>
              <w:fldChar w:fldCharType="separate"/>
            </w:r>
            <w:r w:rsidR="00082D5F">
              <w:rPr>
                <w:webHidden/>
              </w:rPr>
              <w:t>2</w:t>
            </w:r>
            <w:r>
              <w:rPr>
                <w:webHidden/>
              </w:rPr>
              <w:fldChar w:fldCharType="end"/>
            </w:r>
          </w:hyperlink>
        </w:p>
        <w:p w14:paraId="10EDD248" w14:textId="795A7A27" w:rsidR="003B6CAB" w:rsidRDefault="003B6CAB">
          <w:pPr>
            <w:pStyle w:val="TOC1"/>
            <w:tabs>
              <w:tab w:val="left" w:pos="885"/>
            </w:tabs>
            <w:rPr>
              <w:rFonts w:asciiTheme="minorHAnsi" w:eastAsiaTheme="minorEastAsia" w:hAnsiTheme="minorHAnsi" w:cstheme="minorBidi"/>
              <w:b w:val="0"/>
              <w:spacing w:val="0"/>
              <w:kern w:val="2"/>
              <w:sz w:val="24"/>
              <w14:ligatures w14:val="standardContextual"/>
            </w:rPr>
          </w:pPr>
          <w:hyperlink w:anchor="_Toc223506661" w:history="1">
            <w:r w:rsidRPr="00D931B6">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 w:val="0"/>
                <w:spacing w:val="0"/>
                <w:kern w:val="2"/>
                <w:sz w:val="24"/>
                <w14:ligatures w14:val="standardContextual"/>
              </w:rPr>
              <w:tab/>
            </w:r>
            <w:r w:rsidRPr="00D931B6">
              <w:rPr>
                <w:rStyle w:val="Hyperlink"/>
              </w:rPr>
              <w:t>Exceptions</w:t>
            </w:r>
            <w:r>
              <w:rPr>
                <w:webHidden/>
              </w:rPr>
              <w:tab/>
            </w:r>
            <w:r>
              <w:rPr>
                <w:webHidden/>
              </w:rPr>
              <w:fldChar w:fldCharType="begin"/>
            </w:r>
            <w:r>
              <w:rPr>
                <w:webHidden/>
              </w:rPr>
              <w:instrText xml:space="preserve"> PAGEREF _Toc223506661 \h </w:instrText>
            </w:r>
            <w:r>
              <w:rPr>
                <w:webHidden/>
              </w:rPr>
            </w:r>
            <w:r>
              <w:rPr>
                <w:webHidden/>
              </w:rPr>
              <w:fldChar w:fldCharType="separate"/>
            </w:r>
            <w:r w:rsidR="00082D5F">
              <w:rPr>
                <w:webHidden/>
              </w:rPr>
              <w:t>3</w:t>
            </w:r>
            <w:r>
              <w:rPr>
                <w:webHidden/>
              </w:rPr>
              <w:fldChar w:fldCharType="end"/>
            </w:r>
          </w:hyperlink>
        </w:p>
        <w:p w14:paraId="0EA8CADB" w14:textId="589D9EFB" w:rsidR="003B6CAB" w:rsidRDefault="003B6CAB">
          <w:pPr>
            <w:pStyle w:val="TOC1"/>
            <w:tabs>
              <w:tab w:val="left" w:pos="885"/>
            </w:tabs>
            <w:rPr>
              <w:rFonts w:asciiTheme="minorHAnsi" w:eastAsiaTheme="minorEastAsia" w:hAnsiTheme="minorHAnsi" w:cstheme="minorBidi"/>
              <w:b w:val="0"/>
              <w:spacing w:val="0"/>
              <w:kern w:val="2"/>
              <w:sz w:val="24"/>
              <w14:ligatures w14:val="standardContextual"/>
            </w:rPr>
          </w:pPr>
          <w:hyperlink w:anchor="_Toc223506662" w:history="1">
            <w:r w:rsidRPr="00D931B6">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spacing w:val="0"/>
                <w:kern w:val="2"/>
                <w:sz w:val="24"/>
                <w14:ligatures w14:val="standardContextual"/>
              </w:rPr>
              <w:tab/>
            </w:r>
            <w:r w:rsidRPr="00D931B6">
              <w:rPr>
                <w:rStyle w:val="Hyperlink"/>
              </w:rPr>
              <w:t>RALI Authorisation</w:t>
            </w:r>
            <w:r>
              <w:rPr>
                <w:webHidden/>
              </w:rPr>
              <w:tab/>
            </w:r>
            <w:r>
              <w:rPr>
                <w:webHidden/>
              </w:rPr>
              <w:fldChar w:fldCharType="begin"/>
            </w:r>
            <w:r>
              <w:rPr>
                <w:webHidden/>
              </w:rPr>
              <w:instrText xml:space="preserve"> PAGEREF _Toc223506662 \h </w:instrText>
            </w:r>
            <w:r>
              <w:rPr>
                <w:webHidden/>
              </w:rPr>
            </w:r>
            <w:r>
              <w:rPr>
                <w:webHidden/>
              </w:rPr>
              <w:fldChar w:fldCharType="separate"/>
            </w:r>
            <w:r w:rsidR="00082D5F">
              <w:rPr>
                <w:webHidden/>
              </w:rPr>
              <w:t>4</w:t>
            </w:r>
            <w:r>
              <w:rPr>
                <w:webHidden/>
              </w:rPr>
              <w:fldChar w:fldCharType="end"/>
            </w:r>
          </w:hyperlink>
        </w:p>
        <w:p w14:paraId="7C7AFDF6" w14:textId="517BF26C" w:rsidR="003B6CAB" w:rsidRDefault="003B6CAB">
          <w:pPr>
            <w:pStyle w:val="TOC1"/>
            <w:rPr>
              <w:rFonts w:asciiTheme="minorHAnsi" w:eastAsiaTheme="minorEastAsia" w:hAnsiTheme="minorHAnsi" w:cstheme="minorBidi"/>
              <w:b w:val="0"/>
              <w:spacing w:val="0"/>
              <w:kern w:val="2"/>
              <w:sz w:val="24"/>
              <w14:ligatures w14:val="standardContextual"/>
            </w:rPr>
          </w:pPr>
          <w:hyperlink w:anchor="_Toc223506663" w:history="1">
            <w:r w:rsidRPr="00D931B6">
              <w:rPr>
                <w:rStyle w:val="Hyperlink"/>
              </w:rPr>
              <w:t>Appendix A: Allocation and channelling arrangements</w:t>
            </w:r>
            <w:r>
              <w:rPr>
                <w:webHidden/>
              </w:rPr>
              <w:tab/>
            </w:r>
            <w:r>
              <w:rPr>
                <w:webHidden/>
              </w:rPr>
              <w:fldChar w:fldCharType="begin"/>
            </w:r>
            <w:r>
              <w:rPr>
                <w:webHidden/>
              </w:rPr>
              <w:instrText xml:space="preserve"> PAGEREF _Toc223506663 \h </w:instrText>
            </w:r>
            <w:r>
              <w:rPr>
                <w:webHidden/>
              </w:rPr>
            </w:r>
            <w:r>
              <w:rPr>
                <w:webHidden/>
              </w:rPr>
              <w:fldChar w:fldCharType="separate"/>
            </w:r>
            <w:r w:rsidR="00082D5F">
              <w:rPr>
                <w:webHidden/>
              </w:rPr>
              <w:t>5</w:t>
            </w:r>
            <w:r>
              <w:rPr>
                <w:webHidden/>
              </w:rPr>
              <w:fldChar w:fldCharType="end"/>
            </w:r>
          </w:hyperlink>
        </w:p>
        <w:p w14:paraId="4394C014" w14:textId="156DAE5F" w:rsidR="00097D72" w:rsidRDefault="00097D72">
          <w:r>
            <w:rPr>
              <w:b/>
              <w:bCs/>
              <w:noProof/>
            </w:rPr>
            <w:fldChar w:fldCharType="end"/>
          </w:r>
        </w:p>
      </w:sdtContent>
    </w:sdt>
    <w:p w14:paraId="3C9996B5" w14:textId="77777777" w:rsidR="00097D72" w:rsidRDefault="00097D72" w:rsidP="00097D72">
      <w:bookmarkStart w:id="1" w:name="_Toc8983846"/>
      <w:bookmarkStart w:id="2" w:name="_Toc8986370"/>
    </w:p>
    <w:p w14:paraId="6B37769E" w14:textId="77777777" w:rsidR="001F0E76" w:rsidRPr="00420CAF" w:rsidRDefault="001F0E76" w:rsidP="00420CAF">
      <w:pPr>
        <w:sectPr w:rsidR="001F0E76" w:rsidRPr="00420CAF" w:rsidSect="00822B3D">
          <w:type w:val="oddPage"/>
          <w:pgSz w:w="11906" w:h="16838"/>
          <w:pgMar w:top="1440" w:right="1440" w:bottom="1440" w:left="1440" w:header="708" w:footer="708" w:gutter="0"/>
          <w:pgNumType w:fmt="lowerRoman" w:start="2"/>
          <w:cols w:space="708"/>
          <w:docGrid w:linePitch="360"/>
        </w:sectPr>
      </w:pPr>
    </w:p>
    <w:p w14:paraId="49CE7592" w14:textId="67D94E9D" w:rsidR="004A13A7" w:rsidRPr="00923D7A" w:rsidRDefault="00F20596" w:rsidP="000B27C0">
      <w:pPr>
        <w:pStyle w:val="Heading1"/>
      </w:pPr>
      <w:bookmarkStart w:id="3" w:name="_Toc223506655"/>
      <w:bookmarkEnd w:id="0"/>
      <w:bookmarkEnd w:id="1"/>
      <w:bookmarkEnd w:id="2"/>
      <w:r w:rsidRPr="00F20596">
        <w:lastRenderedPageBreak/>
        <w:t>Frequency plan for services in the 900 MHz band</w:t>
      </w:r>
      <w:bookmarkEnd w:id="3"/>
    </w:p>
    <w:p w14:paraId="10814AB8" w14:textId="77777777" w:rsidR="004A13A7" w:rsidRPr="00DE7566" w:rsidRDefault="004A13A7" w:rsidP="00254146">
      <w:pPr>
        <w:pStyle w:val="Heading2"/>
      </w:pPr>
      <w:bookmarkStart w:id="4" w:name="_Toc6298710"/>
      <w:bookmarkStart w:id="5" w:name="_Toc8983847"/>
      <w:bookmarkStart w:id="6" w:name="_Toc8986371"/>
      <w:bookmarkStart w:id="7" w:name="_Toc223506656"/>
      <w:r w:rsidRPr="00DE7566">
        <w:t>Purpose</w:t>
      </w:r>
      <w:bookmarkEnd w:id="4"/>
      <w:bookmarkEnd w:id="5"/>
      <w:bookmarkEnd w:id="6"/>
      <w:bookmarkEnd w:id="7"/>
    </w:p>
    <w:p w14:paraId="0D3A5E0E" w14:textId="4D51BED2" w:rsidR="003A711B" w:rsidRPr="003A711B" w:rsidRDefault="003A711B" w:rsidP="003A711B">
      <w:pPr>
        <w:rPr>
          <w:szCs w:val="22"/>
        </w:rPr>
      </w:pPr>
      <w:r w:rsidRPr="003A711B">
        <w:rPr>
          <w:szCs w:val="22"/>
        </w:rPr>
        <w:t>The purpose of this Radiocommunications Assignment and Licensing Instruction (RALI) is to set out spectrum planning arrangements for radiocommunications services in the frequency band 890 to 960 MHz (known as the 900 MHz Band). The RALI specifies the service allocations including the frequency limits of each allocation segment, and the channelling arrangements within these segments (where applicable).</w:t>
      </w:r>
    </w:p>
    <w:p w14:paraId="10D693E3" w14:textId="35D0E149" w:rsidR="004A13A7" w:rsidRPr="00AF06C8" w:rsidRDefault="004A13A7" w:rsidP="00AF06C8">
      <w:pPr>
        <w:rPr>
          <w:szCs w:val="22"/>
        </w:rPr>
      </w:pPr>
      <w:r w:rsidRPr="00AF06C8">
        <w:rPr>
          <w:rFonts w:cs="Calibri"/>
          <w:szCs w:val="22"/>
        </w:rPr>
        <w:t xml:space="preserve">In making decisions, </w:t>
      </w:r>
      <w:r w:rsidRPr="00AF06C8">
        <w:rPr>
          <w:rFonts w:cstheme="minorHAnsi"/>
          <w:szCs w:val="22"/>
        </w:rPr>
        <w:t xml:space="preserve">accredited frequency assigners and the ACMA’s officers </w:t>
      </w:r>
      <w:r w:rsidRPr="00AF06C8">
        <w:rPr>
          <w:rFonts w:cs="Calibri"/>
          <w:szCs w:val="22"/>
        </w:rPr>
        <w:t xml:space="preserve">should take all relevant factors into account and decide each case on its merits. Issues relating to this document that appear to fall outside the enunciated </w:t>
      </w:r>
      <w:r w:rsidRPr="00AF06C8">
        <w:rPr>
          <w:rFonts w:cstheme="minorHAnsi"/>
          <w:szCs w:val="22"/>
        </w:rPr>
        <w:t xml:space="preserve">policy should be referred </w:t>
      </w:r>
      <w:r w:rsidRPr="00AF06C8">
        <w:rPr>
          <w:szCs w:val="22"/>
        </w:rPr>
        <w:t>to:</w:t>
      </w:r>
    </w:p>
    <w:p w14:paraId="12F43725" w14:textId="77777777" w:rsidR="004A13A7" w:rsidRPr="00AF06C8" w:rsidRDefault="004A13A7" w:rsidP="00AF06C8">
      <w:pPr>
        <w:rPr>
          <w:szCs w:val="22"/>
        </w:rPr>
      </w:pPr>
      <w:r w:rsidRPr="00AF06C8">
        <w:rPr>
          <w:szCs w:val="22"/>
        </w:rPr>
        <w:t xml:space="preserve">The Manager, Spectrum </w:t>
      </w:r>
      <w:r w:rsidR="00746A68">
        <w:rPr>
          <w:szCs w:val="22"/>
        </w:rPr>
        <w:t>Planning Section</w:t>
      </w:r>
      <w:r w:rsidRPr="00AF06C8">
        <w:rPr>
          <w:szCs w:val="22"/>
        </w:rPr>
        <w:br/>
        <w:t>Australian Communications and Media Authority</w:t>
      </w:r>
      <w:r w:rsidRPr="00AF06C8">
        <w:rPr>
          <w:szCs w:val="22"/>
        </w:rPr>
        <w:br/>
        <w:t xml:space="preserve">PO Box 78 </w:t>
      </w:r>
      <w:r w:rsidRPr="00AF06C8">
        <w:rPr>
          <w:szCs w:val="22"/>
        </w:rPr>
        <w:br/>
        <w:t>Belconnen ACT 2616</w:t>
      </w:r>
    </w:p>
    <w:p w14:paraId="3DF44B73" w14:textId="77777777" w:rsidR="004A13A7" w:rsidRPr="00AF06C8" w:rsidRDefault="004A13A7" w:rsidP="00AF06C8">
      <w:pPr>
        <w:rPr>
          <w:rFonts w:cstheme="minorHAnsi"/>
          <w:szCs w:val="22"/>
        </w:rPr>
      </w:pPr>
      <w:r w:rsidRPr="00AF06C8">
        <w:rPr>
          <w:rFonts w:cstheme="minorHAnsi"/>
          <w:szCs w:val="22"/>
        </w:rPr>
        <w:t xml:space="preserve">or by email to: </w:t>
      </w:r>
      <w:hyperlink r:id="rId13" w:history="1">
        <w:r w:rsidRPr="00AF06C8">
          <w:rPr>
            <w:rStyle w:val="Hyperlink"/>
            <w:rFonts w:cstheme="minorHAnsi"/>
            <w:szCs w:val="22"/>
          </w:rPr>
          <w:t>freqplan@acma.gov.au</w:t>
        </w:r>
      </w:hyperlink>
      <w:r w:rsidRPr="00AF06C8">
        <w:rPr>
          <w:rFonts w:cstheme="minorHAnsi"/>
          <w:szCs w:val="22"/>
        </w:rPr>
        <w:t>.</w:t>
      </w:r>
    </w:p>
    <w:p w14:paraId="3D49ADE4" w14:textId="77B21622" w:rsidR="00D81BF1" w:rsidRPr="00D81BF1" w:rsidRDefault="00B728D2" w:rsidP="00D81BF1">
      <w:pPr>
        <w:pStyle w:val="Heading2"/>
      </w:pPr>
      <w:bookmarkStart w:id="8" w:name="_Toc223506657"/>
      <w:r>
        <w:t>History</w:t>
      </w:r>
      <w:bookmarkEnd w:id="8"/>
    </w:p>
    <w:p w14:paraId="2EA92AC7" w14:textId="5C4C88EB" w:rsidR="00501CBF" w:rsidRPr="00501CBF" w:rsidRDefault="00501CBF" w:rsidP="00501CBF">
      <w:pPr>
        <w:rPr>
          <w:szCs w:val="22"/>
        </w:rPr>
      </w:pPr>
      <w:r w:rsidRPr="00501CBF">
        <w:rPr>
          <w:szCs w:val="22"/>
        </w:rPr>
        <w:t xml:space="preserve">The ACMA commenced a review of arrangements in the 803–960 MHz frequency band in May 2011 (the Review). The scope of the Review included services operating within the band 820-960 MHz, as well as consideration of future use of the 803-820 MHz segment vacated as part of the digital dividend. In November 2015, the ACMA completed the Review and released its decision in the paper: </w:t>
      </w:r>
      <w:hyperlink r:id="rId14" w:history="1">
        <w:r w:rsidRPr="00086518">
          <w:rPr>
            <w:rStyle w:val="Hyperlink"/>
            <w:szCs w:val="22"/>
          </w:rPr>
          <w:t>‘The ACMA’s long-term strategy for the 803-960 MHz band’</w:t>
        </w:r>
      </w:hyperlink>
      <w:r w:rsidRPr="00501CBF">
        <w:rPr>
          <w:szCs w:val="22"/>
        </w:rPr>
        <w:t xml:space="preserve"> (the Decision paper). The Decision paper contains a range of decisions on reforms to the 803-960 MHz band, as well as a detailed plan for the implementation of these reforms (see Section 3.3 of the Decision paper).</w:t>
      </w:r>
    </w:p>
    <w:p w14:paraId="50E65E8C" w14:textId="3BADE10B" w:rsidR="00526603" w:rsidRDefault="00501CBF" w:rsidP="00086518">
      <w:pPr>
        <w:rPr>
          <w:szCs w:val="22"/>
        </w:rPr>
      </w:pPr>
      <w:r w:rsidRPr="00501CBF">
        <w:rPr>
          <w:szCs w:val="22"/>
        </w:rPr>
        <w:t>This RALI pr</w:t>
      </w:r>
      <w:r w:rsidR="00526603">
        <w:rPr>
          <w:szCs w:val="22"/>
        </w:rPr>
        <w:t xml:space="preserve">eviously contained </w:t>
      </w:r>
      <w:r w:rsidRPr="00501CBF">
        <w:rPr>
          <w:szCs w:val="22"/>
        </w:rPr>
        <w:t>incremental changes to the spectrum allocations in the 900 MHz band to support the implementation of the new arraignments in the 900 MHz band. These incremental changes align</w:t>
      </w:r>
      <w:r w:rsidR="00526603">
        <w:rPr>
          <w:szCs w:val="22"/>
        </w:rPr>
        <w:t>ed</w:t>
      </w:r>
      <w:r w:rsidRPr="00501CBF">
        <w:rPr>
          <w:szCs w:val="22"/>
        </w:rPr>
        <w:t xml:space="preserve"> with the Review implementation plan detailed in the Decision paper. </w:t>
      </w:r>
      <w:r w:rsidR="00AF6BB4">
        <w:rPr>
          <w:szCs w:val="22"/>
        </w:rPr>
        <w:t>This implementation process</w:t>
      </w:r>
      <w:r w:rsidR="007D388A">
        <w:rPr>
          <w:szCs w:val="22"/>
        </w:rPr>
        <w:t xml:space="preserve"> concluded on 1 July 2021</w:t>
      </w:r>
      <w:r w:rsidR="00D446C7">
        <w:rPr>
          <w:szCs w:val="22"/>
        </w:rPr>
        <w:t>.</w:t>
      </w:r>
      <w:r w:rsidR="007D388A">
        <w:rPr>
          <w:szCs w:val="22"/>
        </w:rPr>
        <w:t xml:space="preserve"> </w:t>
      </w:r>
    </w:p>
    <w:p w14:paraId="1422DE31" w14:textId="64F18533" w:rsidR="00086518" w:rsidRPr="00AF06C8" w:rsidRDefault="00AF6BB4" w:rsidP="00086518">
      <w:pPr>
        <w:rPr>
          <w:rFonts w:cstheme="minorHAnsi"/>
          <w:szCs w:val="22"/>
        </w:rPr>
      </w:pPr>
      <w:r>
        <w:rPr>
          <w:szCs w:val="22"/>
        </w:rPr>
        <w:t>This RALI now reflec</w:t>
      </w:r>
      <w:r w:rsidR="00501CBF" w:rsidRPr="00501CBF">
        <w:rPr>
          <w:szCs w:val="22"/>
        </w:rPr>
        <w:t>t</w:t>
      </w:r>
      <w:r>
        <w:rPr>
          <w:szCs w:val="22"/>
        </w:rPr>
        <w:t>s</w:t>
      </w:r>
      <w:r w:rsidR="00501CBF" w:rsidRPr="00501CBF">
        <w:rPr>
          <w:szCs w:val="22"/>
        </w:rPr>
        <w:t xml:space="preserve"> the final arrangements in the band at the completion of the review implementation process.</w:t>
      </w:r>
    </w:p>
    <w:p w14:paraId="18B2C12A" w14:textId="0BF4FB7A" w:rsidR="00086518" w:rsidRPr="00D81BF1" w:rsidRDefault="00086518" w:rsidP="00086518">
      <w:pPr>
        <w:pStyle w:val="Heading2"/>
      </w:pPr>
      <w:bookmarkStart w:id="9" w:name="_Toc223506658"/>
      <w:r>
        <w:t>Spectrum arrangements</w:t>
      </w:r>
      <w:bookmarkEnd w:id="9"/>
    </w:p>
    <w:p w14:paraId="630A4FCD" w14:textId="217F3A01" w:rsidR="004A13A7" w:rsidRPr="00AF06C8" w:rsidRDefault="008730C8" w:rsidP="001B0653">
      <w:pPr>
        <w:spacing w:after="120"/>
        <w:rPr>
          <w:rFonts w:cstheme="minorHAnsi"/>
        </w:rPr>
      </w:pPr>
      <w:r w:rsidRPr="008730C8">
        <w:rPr>
          <w:szCs w:val="22"/>
        </w:rPr>
        <w:t xml:space="preserve">Spectrum allocation and channelling arrangements for the 900 MHz band are contained in </w:t>
      </w:r>
      <w:r w:rsidR="00D446C7">
        <w:rPr>
          <w:szCs w:val="22"/>
        </w:rPr>
        <w:t>Appendix A</w:t>
      </w:r>
      <w:r w:rsidR="00D446C7" w:rsidRPr="008730C8">
        <w:rPr>
          <w:szCs w:val="22"/>
        </w:rPr>
        <w:t xml:space="preserve"> </w:t>
      </w:r>
      <w:r w:rsidRPr="008730C8">
        <w:rPr>
          <w:szCs w:val="22"/>
        </w:rPr>
        <w:t>to this RALI</w:t>
      </w:r>
      <w:r w:rsidR="00D446C7">
        <w:t>.</w:t>
      </w:r>
      <w:r w:rsidRPr="008730C8">
        <w:t xml:space="preserve"> </w:t>
      </w:r>
      <w:r w:rsidR="00CB7F93">
        <w:t xml:space="preserve"> </w:t>
      </w:r>
    </w:p>
    <w:p w14:paraId="1DA444A4" w14:textId="422ACA20" w:rsidR="004A13A7" w:rsidRPr="00DE7566" w:rsidRDefault="008B4D1C" w:rsidP="00317CE5">
      <w:pPr>
        <w:pStyle w:val="Heading3"/>
      </w:pPr>
      <w:bookmarkStart w:id="10" w:name="_Toc223506659"/>
      <w:r>
        <w:lastRenderedPageBreak/>
        <w:t>Assignment conditions</w:t>
      </w:r>
      <w:bookmarkEnd w:id="10"/>
    </w:p>
    <w:p w14:paraId="0D46ACF0" w14:textId="77777777" w:rsidR="00CB7F93" w:rsidRPr="00CB7F93" w:rsidRDefault="00CB7F93" w:rsidP="00CB7F93">
      <w:pPr>
        <w:rPr>
          <w:szCs w:val="22"/>
        </w:rPr>
      </w:pPr>
      <w:r w:rsidRPr="00CB7F93">
        <w:rPr>
          <w:szCs w:val="22"/>
        </w:rPr>
        <w:t>Services are to be assigned in accordance with this RALI.</w:t>
      </w:r>
    </w:p>
    <w:p w14:paraId="14F5EBDC" w14:textId="6840B27E" w:rsidR="007275D0" w:rsidRPr="00AF06C8" w:rsidRDefault="007275D0" w:rsidP="000169B6">
      <w:pPr>
        <w:spacing w:after="120"/>
        <w:rPr>
          <w:rFonts w:cstheme="minorHAnsi"/>
          <w:szCs w:val="22"/>
        </w:rPr>
      </w:pPr>
      <w:r>
        <w:rPr>
          <w:rFonts w:cstheme="minorHAnsi"/>
          <w:szCs w:val="22"/>
        </w:rPr>
        <w:t>A</w:t>
      </w:r>
      <w:r w:rsidRPr="007275D0">
        <w:rPr>
          <w:rFonts w:cstheme="minorHAnsi"/>
          <w:szCs w:val="22"/>
        </w:rPr>
        <w:t xml:space="preserve">rrangements other than those specified in this RALI may be authorised where such arrangements provide for more efficient use of the spectrum, when compared to the arrangements specified for that segment in this RALI. </w:t>
      </w:r>
    </w:p>
    <w:p w14:paraId="33C37988" w14:textId="77777777" w:rsidR="003A6013" w:rsidRPr="003A6013" w:rsidRDefault="003A6013" w:rsidP="003A6013">
      <w:pPr>
        <w:pStyle w:val="Heading2"/>
      </w:pPr>
      <w:bookmarkStart w:id="11" w:name="_Toc223506660"/>
      <w:r w:rsidRPr="003A6013">
        <w:t>Relationship with RALI MS 40</w:t>
      </w:r>
      <w:bookmarkEnd w:id="11"/>
      <w:r w:rsidRPr="003A6013">
        <w:t xml:space="preserve">  </w:t>
      </w:r>
    </w:p>
    <w:p w14:paraId="09999577" w14:textId="2C6F6360" w:rsidR="00243D31" w:rsidRPr="00243D31" w:rsidRDefault="00243D31" w:rsidP="00243D31">
      <w:pPr>
        <w:spacing w:after="120"/>
        <w:rPr>
          <w:szCs w:val="22"/>
        </w:rPr>
      </w:pPr>
      <w:bookmarkStart w:id="12" w:name="_Toc513476332"/>
      <w:bookmarkStart w:id="13" w:name="_Toc8983859"/>
      <w:bookmarkStart w:id="14" w:name="_Toc8986383"/>
      <w:r w:rsidRPr="00243D31">
        <w:rPr>
          <w:szCs w:val="22"/>
        </w:rPr>
        <w:t>One outcome of the Review was to separate planning arrangements for the 803-960 MHz band into two distinct band plans – RALI MS 40 for the 803-890</w:t>
      </w:r>
      <w:r w:rsidR="00C264C1">
        <w:rPr>
          <w:szCs w:val="22"/>
        </w:rPr>
        <w:t> </w:t>
      </w:r>
      <w:r w:rsidRPr="00243D31">
        <w:rPr>
          <w:szCs w:val="22"/>
        </w:rPr>
        <w:t>MHz band and RALI MS 41 for the 890-960 MHz band. The reasons for creating two separate band plans are twofold:</w:t>
      </w:r>
    </w:p>
    <w:p w14:paraId="6407B9F7" w14:textId="77777777" w:rsidR="00243D31" w:rsidRPr="00243D31" w:rsidRDefault="00243D31" w:rsidP="00AD3B10">
      <w:pPr>
        <w:pStyle w:val="ListBullet"/>
      </w:pPr>
      <w:r w:rsidRPr="00243D31">
        <w:t xml:space="preserve">To provide the flexibility needed to make future revisions, </w:t>
      </w:r>
      <w:proofErr w:type="gramStart"/>
      <w:r w:rsidRPr="00243D31">
        <w:t>in particular to</w:t>
      </w:r>
      <w:proofErr w:type="gramEnd"/>
      <w:r w:rsidRPr="00243D31">
        <w:t xml:space="preserve"> implement the outcomes of the Review; and</w:t>
      </w:r>
    </w:p>
    <w:p w14:paraId="17761A5D" w14:textId="77777777" w:rsidR="00243D31" w:rsidRPr="00243D31" w:rsidRDefault="00243D31" w:rsidP="00AD3B10">
      <w:pPr>
        <w:pStyle w:val="ListBulletLast"/>
      </w:pPr>
      <w:r w:rsidRPr="00243D31">
        <w:t xml:space="preserve">To reflect a general change in community and industry-accepted nomenclature on the frequency extremes of both bands. </w:t>
      </w:r>
    </w:p>
    <w:p w14:paraId="6E244872" w14:textId="482DCDA8" w:rsidR="00971EAE" w:rsidRPr="00243D31" w:rsidRDefault="00971EAE" w:rsidP="00C70EC7">
      <w:pPr>
        <w:spacing w:after="120"/>
      </w:pPr>
      <w:r>
        <w:t>Although the planning arrangements in the range 803-960 MHz are split between the two administrative band plans, radiolocation service</w:t>
      </w:r>
      <w:r w:rsidR="01A05271">
        <w:t>s</w:t>
      </w:r>
      <w:r>
        <w:t xml:space="preserve"> in the range 850-915 MHz </w:t>
      </w:r>
      <w:r w:rsidR="0EA7D7E1">
        <w:t>are</w:t>
      </w:r>
      <w:r>
        <w:t xml:space="preserve"> currently covered by both plans</w:t>
      </w:r>
      <w:r w:rsidR="00C70EC7">
        <w:t>.</w:t>
      </w:r>
    </w:p>
    <w:p w14:paraId="71AA3B68" w14:textId="196103C8" w:rsidR="004A13A7" w:rsidRPr="000B27C0" w:rsidRDefault="004A13A7" w:rsidP="000B27C0">
      <w:pPr>
        <w:pStyle w:val="Heading1"/>
      </w:pPr>
      <w:bookmarkStart w:id="15" w:name="_Toc223506661"/>
      <w:r w:rsidRPr="000B27C0">
        <w:lastRenderedPageBreak/>
        <w:t>Exceptions</w:t>
      </w:r>
      <w:bookmarkEnd w:id="12"/>
      <w:bookmarkEnd w:id="13"/>
      <w:bookmarkEnd w:id="14"/>
      <w:bookmarkEnd w:id="15"/>
    </w:p>
    <w:p w14:paraId="2AB5F8D9" w14:textId="77777777" w:rsidR="004A13A7" w:rsidRPr="00AF06C8" w:rsidRDefault="004A13A7" w:rsidP="004A13A7">
      <w:pPr>
        <w:rPr>
          <w:rFonts w:cstheme="minorBidi"/>
          <w:szCs w:val="22"/>
        </w:rPr>
      </w:pPr>
      <w:r w:rsidRPr="00AF06C8">
        <w:rPr>
          <w:szCs w:val="22"/>
        </w:rPr>
        <w:t xml:space="preserve">Exceptions to the requirements of this RALI for prospective assignments require case-by-case consideration by the Manager, Spectrum </w:t>
      </w:r>
      <w:r w:rsidR="00A1481A">
        <w:rPr>
          <w:szCs w:val="22"/>
        </w:rPr>
        <w:t>Planning Section</w:t>
      </w:r>
      <w:r w:rsidRPr="00AF06C8">
        <w:rPr>
          <w:szCs w:val="22"/>
        </w:rPr>
        <w:t>.</w:t>
      </w:r>
    </w:p>
    <w:p w14:paraId="22185E3F" w14:textId="77777777" w:rsidR="004A13A7" w:rsidRPr="00AF06C8" w:rsidRDefault="004A13A7" w:rsidP="004A13A7">
      <w:pPr>
        <w:rPr>
          <w:szCs w:val="22"/>
        </w:rPr>
      </w:pPr>
      <w:r w:rsidRPr="00AF06C8">
        <w:rPr>
          <w:szCs w:val="22"/>
        </w:rPr>
        <w:t>A request for exemption from the requirements of this RALI would need to be accompanied by evidence to support the request.</w:t>
      </w:r>
    </w:p>
    <w:p w14:paraId="1BE46052" w14:textId="77777777" w:rsidR="000B27C0" w:rsidRPr="000B27C0" w:rsidRDefault="004A13A7" w:rsidP="000B27C0">
      <w:pPr>
        <w:rPr>
          <w:rFonts w:cs="Arial"/>
          <w:szCs w:val="22"/>
        </w:rPr>
      </w:pPr>
      <w:r w:rsidRPr="00AF06C8">
        <w:rPr>
          <w:rFonts w:cs="Arial"/>
          <w:szCs w:val="22"/>
        </w:rPr>
        <w:t xml:space="preserve">All requests for exemptions should be submitted to </w:t>
      </w:r>
      <w:hyperlink r:id="rId15" w:history="1">
        <w:r w:rsidR="00746A68" w:rsidRPr="00AD1617">
          <w:rPr>
            <w:rStyle w:val="Hyperlink"/>
            <w:rFonts w:cs="Arial"/>
            <w:szCs w:val="22"/>
          </w:rPr>
          <w:t>freqplan@acma.gov.au</w:t>
        </w:r>
      </w:hyperlink>
      <w:r w:rsidR="00746A68">
        <w:rPr>
          <w:rFonts w:cs="Arial"/>
          <w:szCs w:val="22"/>
        </w:rPr>
        <w:t xml:space="preserve">. </w:t>
      </w:r>
    </w:p>
    <w:p w14:paraId="234FDD91" w14:textId="77777777" w:rsidR="004A13A7" w:rsidRPr="008C3D36" w:rsidRDefault="004A13A7" w:rsidP="00923D7A">
      <w:pPr>
        <w:pStyle w:val="Heading1"/>
      </w:pPr>
      <w:bookmarkStart w:id="16" w:name="_Toc8983860"/>
      <w:bookmarkStart w:id="17" w:name="_Toc8986384"/>
      <w:bookmarkStart w:id="18" w:name="_Toc223506662"/>
      <w:r w:rsidRPr="008C3D36">
        <w:lastRenderedPageBreak/>
        <w:t>RALI Authorisation</w:t>
      </w:r>
      <w:bookmarkEnd w:id="16"/>
      <w:bookmarkEnd w:id="17"/>
      <w:bookmarkEnd w:id="18"/>
    </w:p>
    <w:p w14:paraId="49F3CADB" w14:textId="172D77FB" w:rsidR="004A13A7" w:rsidRPr="00AF06C8" w:rsidRDefault="004A13A7" w:rsidP="004A13A7">
      <w:pPr>
        <w:rPr>
          <w:szCs w:val="22"/>
        </w:rPr>
      </w:pPr>
      <w:r w:rsidRPr="00AF06C8">
        <w:rPr>
          <w:szCs w:val="22"/>
        </w:rPr>
        <w:t>[</w:t>
      </w:r>
      <w:r w:rsidR="0043309D">
        <w:rPr>
          <w:szCs w:val="22"/>
        </w:rPr>
        <w:t>A</w:t>
      </w:r>
      <w:r w:rsidRPr="00AF06C8">
        <w:rPr>
          <w:szCs w:val="22"/>
        </w:rPr>
        <w:t xml:space="preserve">pproved]     </w:t>
      </w:r>
      <w:r w:rsidRPr="00AF06C8">
        <w:rPr>
          <w:szCs w:val="22"/>
        </w:rPr>
        <w:tab/>
      </w:r>
      <w:r w:rsidR="003949EF">
        <w:rPr>
          <w:szCs w:val="22"/>
        </w:rPr>
        <w:t>05</w:t>
      </w:r>
      <w:r w:rsidRPr="00AF06C8">
        <w:rPr>
          <w:szCs w:val="22"/>
        </w:rPr>
        <w:t>/</w:t>
      </w:r>
      <w:r w:rsidR="003949EF">
        <w:rPr>
          <w:szCs w:val="22"/>
        </w:rPr>
        <w:t>03</w:t>
      </w:r>
      <w:r w:rsidRPr="00AF06C8">
        <w:rPr>
          <w:szCs w:val="22"/>
        </w:rPr>
        <w:t>/20</w:t>
      </w:r>
      <w:r w:rsidR="00CB7F93">
        <w:rPr>
          <w:szCs w:val="22"/>
        </w:rPr>
        <w:t>26</w:t>
      </w:r>
    </w:p>
    <w:p w14:paraId="28BA22D4" w14:textId="6FD1F560" w:rsidR="004A13A7" w:rsidRPr="00AF06C8" w:rsidRDefault="004A13A7" w:rsidP="004A13A7">
      <w:pPr>
        <w:rPr>
          <w:szCs w:val="22"/>
        </w:rPr>
      </w:pPr>
      <w:r w:rsidRPr="00AF06C8">
        <w:rPr>
          <w:szCs w:val="22"/>
        </w:rPr>
        <w:br/>
        <w:t>Manager</w:t>
      </w:r>
      <w:r w:rsidRPr="00AF06C8">
        <w:rPr>
          <w:szCs w:val="22"/>
        </w:rPr>
        <w:br/>
        <w:t xml:space="preserve">Spectrum </w:t>
      </w:r>
      <w:r w:rsidR="00746A68">
        <w:rPr>
          <w:szCs w:val="22"/>
        </w:rPr>
        <w:t>Planning Section</w:t>
      </w:r>
      <w:r w:rsidRPr="00AF06C8">
        <w:rPr>
          <w:szCs w:val="22"/>
        </w:rPr>
        <w:br/>
        <w:t>Spectrum Planning and Engineering Branch</w:t>
      </w:r>
    </w:p>
    <w:p w14:paraId="07D6EEBE" w14:textId="77777777" w:rsidR="004A13A7" w:rsidRPr="00AF06C8" w:rsidRDefault="004A13A7" w:rsidP="004A13A7">
      <w:pPr>
        <w:rPr>
          <w:szCs w:val="22"/>
        </w:rPr>
      </w:pPr>
      <w:r w:rsidRPr="00AF06C8">
        <w:rPr>
          <w:szCs w:val="22"/>
        </w:rPr>
        <w:t>Communications Infrastructure Division</w:t>
      </w:r>
      <w:r w:rsidRPr="00AF06C8">
        <w:rPr>
          <w:szCs w:val="22"/>
        </w:rPr>
        <w:br/>
        <w:t>Australian Communications and Media Authority</w:t>
      </w:r>
    </w:p>
    <w:p w14:paraId="5B91ACB0" w14:textId="657F40A7" w:rsidR="004A13A7" w:rsidRPr="00AF06C8" w:rsidRDefault="004A13A7" w:rsidP="00420CAF">
      <w:pPr>
        <w:pStyle w:val="Heading1"/>
        <w:numPr>
          <w:ilvl w:val="0"/>
          <w:numId w:val="0"/>
        </w:numPr>
        <w:rPr>
          <w:szCs w:val="44"/>
        </w:rPr>
      </w:pPr>
      <w:bookmarkStart w:id="19" w:name="_Toc8983861"/>
      <w:bookmarkStart w:id="20" w:name="_Toc8986385"/>
      <w:bookmarkStart w:id="21" w:name="_Toc223506663"/>
      <w:r w:rsidRPr="00AF06C8">
        <w:rPr>
          <w:szCs w:val="44"/>
        </w:rPr>
        <w:lastRenderedPageBreak/>
        <w:t xml:space="preserve">Appendix A: </w:t>
      </w:r>
      <w:bookmarkEnd w:id="19"/>
      <w:bookmarkEnd w:id="20"/>
      <w:r w:rsidR="00CC345C">
        <w:rPr>
          <w:szCs w:val="44"/>
        </w:rPr>
        <w:t>Allocation</w:t>
      </w:r>
      <w:r w:rsidR="007D624A">
        <w:rPr>
          <w:szCs w:val="44"/>
        </w:rPr>
        <w:t xml:space="preserve"> and channelling arrangements</w:t>
      </w:r>
      <w:bookmarkEnd w:id="21"/>
    </w:p>
    <w:p w14:paraId="007384C9" w14:textId="6283F42B" w:rsidR="00440DBA" w:rsidRDefault="00440DBA" w:rsidP="00D301A5">
      <w:pPr>
        <w:rPr>
          <w:szCs w:val="22"/>
        </w:rPr>
      </w:pPr>
      <w:r w:rsidRPr="00440DBA">
        <w:rPr>
          <w:szCs w:val="22"/>
        </w:rPr>
        <w:t>The allocation and channelling arrangements for the 900 MHz band</w:t>
      </w:r>
      <w:r w:rsidR="00F27D61">
        <w:rPr>
          <w:szCs w:val="22"/>
        </w:rPr>
        <w:t xml:space="preserve"> </w:t>
      </w:r>
      <w:r w:rsidRPr="00440DBA">
        <w:rPr>
          <w:szCs w:val="22"/>
        </w:rPr>
        <w:t xml:space="preserve">are set out in the following figure and tables:  </w:t>
      </w:r>
    </w:p>
    <w:p w14:paraId="6B3B0A31" w14:textId="0DD35BC0" w:rsidR="00D301A5" w:rsidRPr="00D301A5" w:rsidRDefault="00D301A5" w:rsidP="00D301A5">
      <w:pPr>
        <w:rPr>
          <w:b/>
          <w:bCs/>
          <w:szCs w:val="22"/>
        </w:rPr>
      </w:pPr>
      <w:r w:rsidRPr="00D301A5">
        <w:rPr>
          <w:b/>
          <w:bCs/>
          <w:szCs w:val="22"/>
        </w:rPr>
        <w:t>Figure 1: 900 MHz band services (890 - 960 MHz) diagram</w:t>
      </w:r>
    </w:p>
    <w:p w14:paraId="5302F37C" w14:textId="77777777" w:rsidR="00D301A5" w:rsidRPr="00D301A5" w:rsidRDefault="00D301A5" w:rsidP="00D301A5">
      <w:pPr>
        <w:rPr>
          <w:b/>
          <w:bCs/>
          <w:szCs w:val="22"/>
        </w:rPr>
      </w:pPr>
      <w:r w:rsidRPr="00D301A5">
        <w:rPr>
          <w:b/>
          <w:bCs/>
          <w:szCs w:val="22"/>
        </w:rPr>
        <w:t xml:space="preserve">Table 1: Service allocations and channelling arrangements for primary services </w:t>
      </w:r>
    </w:p>
    <w:p w14:paraId="7E9AC894" w14:textId="3343B54A" w:rsidR="00A771E3" w:rsidRDefault="00D301A5" w:rsidP="00D301A5">
      <w:pPr>
        <w:rPr>
          <w:b/>
          <w:bCs/>
          <w:szCs w:val="22"/>
        </w:rPr>
      </w:pPr>
      <w:r w:rsidRPr="00D301A5">
        <w:rPr>
          <w:b/>
          <w:bCs/>
          <w:szCs w:val="22"/>
        </w:rPr>
        <w:t>Table 2: Service allocations and channelling arrangements for secondary services</w:t>
      </w:r>
    </w:p>
    <w:p w14:paraId="0E2EE87F" w14:textId="77777777" w:rsidR="00440DBA" w:rsidRDefault="00440DBA" w:rsidP="00D301A5">
      <w:pPr>
        <w:rPr>
          <w:b/>
          <w:bCs/>
          <w:szCs w:val="22"/>
        </w:rPr>
        <w:sectPr w:rsidR="00440DBA" w:rsidSect="008730C8">
          <w:headerReference w:type="default" r:id="rId16"/>
          <w:footerReference w:type="even" r:id="rId17"/>
          <w:type w:val="oddPage"/>
          <w:pgSz w:w="11906" w:h="16838" w:code="9"/>
          <w:pgMar w:top="1945" w:right="3101" w:bottom="1418" w:left="1134" w:header="709" w:footer="119" w:gutter="0"/>
          <w:pgNumType w:start="1"/>
          <w:cols w:space="708"/>
          <w:docGrid w:linePitch="360"/>
        </w:sectPr>
      </w:pPr>
    </w:p>
    <w:tbl>
      <w:tblPr>
        <w:tblW w:w="14034" w:type="dxa"/>
        <w:tblLayout w:type="fixed"/>
        <w:tblCellMar>
          <w:left w:w="0" w:type="dxa"/>
          <w:right w:w="0" w:type="dxa"/>
        </w:tblCellMar>
        <w:tblLook w:val="01E0" w:firstRow="1" w:lastRow="1" w:firstColumn="1" w:lastColumn="1" w:noHBand="0" w:noVBand="0"/>
      </w:tblPr>
      <w:tblGrid>
        <w:gridCol w:w="14034"/>
      </w:tblGrid>
      <w:tr w:rsidR="003322C2" w14:paraId="74FEB71D" w14:textId="77777777">
        <w:trPr>
          <w:trHeight w:val="570"/>
        </w:trPr>
        <w:tc>
          <w:tcPr>
            <w:tcW w:w="14034" w:type="dxa"/>
            <w:vAlign w:val="center"/>
          </w:tcPr>
          <w:p w14:paraId="4908E324" w14:textId="15ECC6F1" w:rsidR="003322C2" w:rsidRDefault="003322C2" w:rsidP="00C41603">
            <w:pPr>
              <w:pStyle w:val="Captionfigure"/>
            </w:pPr>
            <w:r w:rsidRPr="00143FE3">
              <w:lastRenderedPageBreak/>
              <w:t>900 MHz band (890 – 960 MHz) services diagram</w:t>
            </w:r>
          </w:p>
        </w:tc>
      </w:tr>
      <w:tr w:rsidR="003322C2" w:rsidRPr="00583E39" w14:paraId="73DB7FC8" w14:textId="77777777">
        <w:trPr>
          <w:trHeight w:val="570"/>
        </w:trPr>
        <w:tc>
          <w:tcPr>
            <w:tcW w:w="14034" w:type="dxa"/>
            <w:vAlign w:val="center"/>
          </w:tcPr>
          <w:p w14:paraId="6AC3C7F9" w14:textId="77777777" w:rsidR="003322C2" w:rsidRPr="00583E39" w:rsidRDefault="003322C2" w:rsidP="00C41603">
            <w:pPr>
              <w:pStyle w:val="Caption"/>
              <w:numPr>
                <w:ilvl w:val="0"/>
                <w:numId w:val="0"/>
              </w:numPr>
              <w:ind w:left="964" w:hanging="964"/>
              <w:rPr>
                <w:rFonts w:cs="Arial"/>
              </w:rPr>
            </w:pPr>
          </w:p>
        </w:tc>
      </w:tr>
    </w:tbl>
    <w:p w14:paraId="46C2242D" w14:textId="4CEDB37F" w:rsidR="003322C2" w:rsidRDefault="00AF555D" w:rsidP="003322C2">
      <w:r>
        <w:rPr>
          <w:noProof/>
        </w:rPr>
        <w:drawing>
          <wp:inline distT="0" distB="0" distL="0" distR="0" wp14:anchorId="5DD8AB7D" wp14:editId="739C0BEC">
            <wp:extent cx="6743700" cy="3390900"/>
            <wp:effectExtent l="0" t="0" r="0" b="0"/>
            <wp:docPr id="810466461" name="Picture 2" descr="Diagram of 890 to 960 MHz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66461" name="Picture 2" descr="Diagram of 890 to 960 MHz services.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43700" cy="3390900"/>
                    </a:xfrm>
                    <a:prstGeom prst="rect">
                      <a:avLst/>
                    </a:prstGeom>
                    <a:noFill/>
                    <a:ln>
                      <a:noFill/>
                    </a:ln>
                  </pic:spPr>
                </pic:pic>
              </a:graphicData>
            </a:graphic>
          </wp:inline>
        </w:drawing>
      </w:r>
    </w:p>
    <w:p w14:paraId="20F2AA64" w14:textId="77777777" w:rsidR="003322C2" w:rsidRDefault="003322C2" w:rsidP="003322C2"/>
    <w:p w14:paraId="187F8237" w14:textId="77777777" w:rsidR="003322C2" w:rsidRDefault="003322C2" w:rsidP="003322C2">
      <w:pPr>
        <w:rPr>
          <w:sz w:val="28"/>
        </w:rPr>
      </w:pPr>
      <w:r>
        <w:br w:type="page"/>
      </w:r>
    </w:p>
    <w:p w14:paraId="6EB3412F" w14:textId="729333AD" w:rsidR="003322C2" w:rsidRDefault="003322C2" w:rsidP="00C01857">
      <w:pPr>
        <w:pStyle w:val="Caption"/>
        <w:spacing w:after="240"/>
      </w:pPr>
      <w:r w:rsidRPr="00143FE3">
        <w:lastRenderedPageBreak/>
        <w:t>Service allocations and channelling arrangements for primary services (note 1)</w:t>
      </w:r>
      <w:r>
        <w:t xml:space="preserve"> </w:t>
      </w:r>
    </w:p>
    <w:tbl>
      <w:tblPr>
        <w:tblStyle w:val="ACMAtablestyle"/>
        <w:tblW w:w="12328" w:type="dxa"/>
        <w:tblLayout w:type="fixed"/>
        <w:tblLook w:val="01E0" w:firstRow="1" w:lastRow="1" w:firstColumn="1" w:lastColumn="1" w:noHBand="0" w:noVBand="0"/>
        <w:tblCaption w:val="Table title to go here"/>
        <w:tblDescription w:val="Table description to go here"/>
      </w:tblPr>
      <w:tblGrid>
        <w:gridCol w:w="704"/>
        <w:gridCol w:w="4962"/>
        <w:gridCol w:w="6662"/>
      </w:tblGrid>
      <w:tr w:rsidR="00612EF9" w:rsidRPr="0097505A" w14:paraId="0A584D25" w14:textId="77777777" w:rsidTr="00FA4AD3">
        <w:trPr>
          <w:cnfStyle w:val="100000000000" w:firstRow="1" w:lastRow="0" w:firstColumn="0" w:lastColumn="0" w:oddVBand="0" w:evenVBand="0" w:oddHBand="0" w:evenHBand="0" w:firstRowFirstColumn="0" w:firstRowLastColumn="0" w:lastRowFirstColumn="0" w:lastRowLastColumn="0"/>
        </w:trPr>
        <w:tc>
          <w:tcPr>
            <w:tcW w:w="704" w:type="dxa"/>
          </w:tcPr>
          <w:p w14:paraId="498ECB39" w14:textId="644BF6CB" w:rsidR="00612EF9" w:rsidRPr="0097505A" w:rsidRDefault="00612EF9" w:rsidP="00612EF9">
            <w:pPr>
              <w:keepNext/>
              <w:keepLines/>
              <w:spacing w:after="0"/>
              <w:rPr>
                <w:b/>
                <w:bCs/>
              </w:rPr>
            </w:pPr>
            <w:r w:rsidRPr="00612EF9">
              <w:rPr>
                <w:b/>
                <w:bCs/>
              </w:rPr>
              <w:t>Item</w:t>
            </w:r>
          </w:p>
        </w:tc>
        <w:tc>
          <w:tcPr>
            <w:tcW w:w="4962" w:type="dxa"/>
          </w:tcPr>
          <w:p w14:paraId="2255B042" w14:textId="77777777" w:rsidR="004A59E6" w:rsidRDefault="00612EF9" w:rsidP="00612EF9">
            <w:pPr>
              <w:keepNext/>
              <w:keepLines/>
              <w:spacing w:after="0"/>
              <w:rPr>
                <w:b/>
                <w:bCs/>
              </w:rPr>
            </w:pPr>
            <w:r w:rsidRPr="00612EF9">
              <w:rPr>
                <w:b/>
                <w:bCs/>
              </w:rPr>
              <w:t xml:space="preserve">Segment frequency limits (MHz) </w:t>
            </w:r>
          </w:p>
          <w:p w14:paraId="06172400" w14:textId="73BC8560" w:rsidR="00612EF9" w:rsidRPr="0097505A" w:rsidRDefault="004A59E6" w:rsidP="00612EF9">
            <w:pPr>
              <w:keepNext/>
              <w:keepLines/>
              <w:spacing w:after="0"/>
              <w:rPr>
                <w:b/>
                <w:bCs/>
              </w:rPr>
            </w:pPr>
            <w:r>
              <w:rPr>
                <w:b/>
                <w:bCs/>
              </w:rPr>
              <w:t>(</w:t>
            </w:r>
            <w:r w:rsidR="00612EF9" w:rsidRPr="00612EF9">
              <w:rPr>
                <w:b/>
                <w:bCs/>
              </w:rPr>
              <w:t>lower limit exclusion, upper limit inclusive)</w:t>
            </w:r>
          </w:p>
        </w:tc>
        <w:tc>
          <w:tcPr>
            <w:tcW w:w="6662" w:type="dxa"/>
          </w:tcPr>
          <w:p w14:paraId="40CCC2C1" w14:textId="1BEFBABB" w:rsidR="00612EF9" w:rsidRPr="0097505A" w:rsidRDefault="00612EF9" w:rsidP="00612EF9">
            <w:pPr>
              <w:keepNext/>
              <w:keepLines/>
              <w:spacing w:after="0"/>
              <w:rPr>
                <w:b/>
                <w:bCs/>
              </w:rPr>
            </w:pPr>
            <w:r w:rsidRPr="00612EF9">
              <w:rPr>
                <w:b/>
                <w:bCs/>
              </w:rPr>
              <w:t>Service allocation</w:t>
            </w:r>
          </w:p>
        </w:tc>
      </w:tr>
      <w:tr w:rsidR="00FA4AD3" w:rsidRPr="0097505A" w14:paraId="7B32A1B6" w14:textId="77777777" w:rsidTr="00FA4AD3">
        <w:trPr>
          <w:cnfStyle w:val="000000100000" w:firstRow="0" w:lastRow="0" w:firstColumn="0" w:lastColumn="0" w:oddVBand="0" w:evenVBand="0" w:oddHBand="1" w:evenHBand="0" w:firstRowFirstColumn="0" w:firstRowLastColumn="0" w:lastRowFirstColumn="0" w:lastRowLastColumn="0"/>
        </w:trPr>
        <w:tc>
          <w:tcPr>
            <w:tcW w:w="704" w:type="dxa"/>
          </w:tcPr>
          <w:p w14:paraId="78942E8C" w14:textId="01C814B1" w:rsidR="00FA4AD3" w:rsidRPr="0097505A" w:rsidRDefault="00FA4AD3" w:rsidP="00FA4AD3">
            <w:pPr>
              <w:keepNext/>
              <w:keepLines/>
              <w:spacing w:after="0" w:line="240" w:lineRule="auto"/>
            </w:pPr>
            <w:r>
              <w:t>1</w:t>
            </w:r>
          </w:p>
        </w:tc>
        <w:tc>
          <w:tcPr>
            <w:tcW w:w="4962" w:type="dxa"/>
          </w:tcPr>
          <w:p w14:paraId="67CAB435" w14:textId="5A2C95F2" w:rsidR="00FA4AD3" w:rsidRPr="0097505A" w:rsidRDefault="00FA4AD3" w:rsidP="00FA4AD3">
            <w:pPr>
              <w:keepNext/>
              <w:keepLines/>
              <w:spacing w:after="0" w:line="240" w:lineRule="auto"/>
            </w:pPr>
            <w:r w:rsidRPr="00811519">
              <w:t>890 – 915</w:t>
            </w:r>
          </w:p>
        </w:tc>
        <w:tc>
          <w:tcPr>
            <w:tcW w:w="6662" w:type="dxa"/>
          </w:tcPr>
          <w:p w14:paraId="66703F20" w14:textId="27169CA7" w:rsidR="00FA4AD3" w:rsidRPr="0097505A" w:rsidRDefault="004059C1" w:rsidP="00FA4AD3">
            <w:pPr>
              <w:keepNext/>
              <w:keepLines/>
              <w:spacing w:after="0" w:line="240" w:lineRule="auto"/>
            </w:pPr>
            <w:r>
              <w:t>Subject to</w:t>
            </w:r>
            <w:r w:rsidR="00802323">
              <w:t xml:space="preserve"> </w:t>
            </w:r>
            <w:r w:rsidR="00FA4AD3" w:rsidRPr="006B3927">
              <w:t>spectrum licen</w:t>
            </w:r>
            <w:r>
              <w:t>sing</w:t>
            </w:r>
            <w:r w:rsidR="00F27D61">
              <w:t xml:space="preserve"> (Australia-wide)</w:t>
            </w:r>
            <w:r w:rsidR="00FA4AD3" w:rsidRPr="006B3927">
              <w:t xml:space="preserve"> (see note 2</w:t>
            </w:r>
            <w:r w:rsidR="00154853">
              <w:t>)</w:t>
            </w:r>
          </w:p>
        </w:tc>
      </w:tr>
      <w:tr w:rsidR="00A41632" w:rsidRPr="0097505A" w14:paraId="0F0F31BC" w14:textId="77777777" w:rsidTr="000A5B2B">
        <w:trPr>
          <w:cnfStyle w:val="000000010000" w:firstRow="0" w:lastRow="0" w:firstColumn="0" w:lastColumn="0" w:oddVBand="0" w:evenVBand="0" w:oddHBand="0" w:evenHBand="1" w:firstRowFirstColumn="0" w:firstRowLastColumn="0" w:lastRowFirstColumn="0" w:lastRowLastColumn="0"/>
        </w:trPr>
        <w:tc>
          <w:tcPr>
            <w:tcW w:w="704" w:type="dxa"/>
            <w:vMerge w:val="restart"/>
          </w:tcPr>
          <w:p w14:paraId="1E56BFE0" w14:textId="7A280DA5" w:rsidR="00A41632" w:rsidRDefault="00A41632" w:rsidP="00FA4AD3">
            <w:pPr>
              <w:keepNext/>
              <w:keepLines/>
              <w:spacing w:after="0" w:line="240" w:lineRule="auto"/>
            </w:pPr>
            <w:r>
              <w:t>2</w:t>
            </w:r>
          </w:p>
        </w:tc>
        <w:tc>
          <w:tcPr>
            <w:tcW w:w="4962" w:type="dxa"/>
            <w:vMerge w:val="restart"/>
            <w:shd w:val="clear" w:color="auto" w:fill="F2F2F2" w:themeFill="background1" w:themeFillShade="F2"/>
          </w:tcPr>
          <w:p w14:paraId="010BB258" w14:textId="0618BBE4" w:rsidR="00A41632" w:rsidRPr="00811519" w:rsidRDefault="00A41632" w:rsidP="00FA4AD3">
            <w:pPr>
              <w:keepNext/>
              <w:keepLines/>
              <w:spacing w:after="0" w:line="240" w:lineRule="auto"/>
            </w:pPr>
            <w:r w:rsidRPr="00811519">
              <w:t>915 – 918</w:t>
            </w:r>
          </w:p>
        </w:tc>
        <w:tc>
          <w:tcPr>
            <w:tcW w:w="6662" w:type="dxa"/>
            <w:shd w:val="clear" w:color="auto" w:fill="F2F2F2" w:themeFill="background1" w:themeFillShade="F2"/>
          </w:tcPr>
          <w:p w14:paraId="38C595C3" w14:textId="29848790" w:rsidR="00A41632" w:rsidRPr="006B3927" w:rsidRDefault="00A41632">
            <w:pPr>
              <w:keepNext/>
              <w:keepLines/>
              <w:spacing w:after="0" w:line="240" w:lineRule="auto"/>
            </w:pPr>
            <w:r w:rsidRPr="006B3927">
              <w:t xml:space="preserve">Radiolocation (see note </w:t>
            </w:r>
            <w:r>
              <w:t>3</w:t>
            </w:r>
            <w:r w:rsidRPr="006B3927">
              <w:t>)</w:t>
            </w:r>
          </w:p>
        </w:tc>
      </w:tr>
      <w:tr w:rsidR="00A41632" w:rsidRPr="0097505A" w14:paraId="23DF8618" w14:textId="77777777" w:rsidTr="000A5B2B">
        <w:trPr>
          <w:cnfStyle w:val="000000100000" w:firstRow="0" w:lastRow="0" w:firstColumn="0" w:lastColumn="0" w:oddVBand="0" w:evenVBand="0" w:oddHBand="1" w:evenHBand="0" w:firstRowFirstColumn="0" w:firstRowLastColumn="0" w:lastRowFirstColumn="0" w:lastRowLastColumn="0"/>
        </w:trPr>
        <w:tc>
          <w:tcPr>
            <w:tcW w:w="704" w:type="dxa"/>
            <w:vMerge/>
          </w:tcPr>
          <w:p w14:paraId="6072C351" w14:textId="68B0A348" w:rsidR="00A41632" w:rsidRPr="0097505A" w:rsidRDefault="00A41632" w:rsidP="00FA4AD3">
            <w:pPr>
              <w:keepNext/>
              <w:keepLines/>
              <w:spacing w:after="0" w:line="240" w:lineRule="auto"/>
            </w:pPr>
          </w:p>
        </w:tc>
        <w:tc>
          <w:tcPr>
            <w:tcW w:w="4962" w:type="dxa"/>
            <w:vMerge/>
            <w:shd w:val="clear" w:color="auto" w:fill="F2F2F2" w:themeFill="background1" w:themeFillShade="F2"/>
          </w:tcPr>
          <w:p w14:paraId="2DBBF28A" w14:textId="312B2BF5" w:rsidR="00A41632" w:rsidRPr="0097505A" w:rsidRDefault="00A41632" w:rsidP="00FA4AD3">
            <w:pPr>
              <w:keepNext/>
              <w:keepLines/>
              <w:spacing w:after="0" w:line="240" w:lineRule="auto"/>
            </w:pPr>
          </w:p>
        </w:tc>
        <w:tc>
          <w:tcPr>
            <w:tcW w:w="6662" w:type="dxa"/>
            <w:shd w:val="clear" w:color="auto" w:fill="F2F2F2" w:themeFill="background1" w:themeFillShade="F2"/>
          </w:tcPr>
          <w:p w14:paraId="1E545221" w14:textId="7D3A20A9" w:rsidR="00A41632" w:rsidRPr="0097505A" w:rsidRDefault="00A41632" w:rsidP="00FA4AD3">
            <w:pPr>
              <w:keepNext/>
              <w:keepLines/>
              <w:spacing w:after="0" w:line="240" w:lineRule="auto"/>
            </w:pPr>
            <w:r>
              <w:t>Low</w:t>
            </w:r>
            <w:r w:rsidR="00FB44F7">
              <w:t xml:space="preserve"> </w:t>
            </w:r>
            <w:r>
              <w:t>interference potential devices (see note 4)</w:t>
            </w:r>
          </w:p>
        </w:tc>
      </w:tr>
      <w:tr w:rsidR="00A41632" w:rsidRPr="0097505A" w14:paraId="73B54149" w14:textId="77777777" w:rsidTr="000A5B2B">
        <w:trPr>
          <w:cnfStyle w:val="000000010000" w:firstRow="0" w:lastRow="0" w:firstColumn="0" w:lastColumn="0" w:oddVBand="0" w:evenVBand="0" w:oddHBand="0" w:evenHBand="1" w:firstRowFirstColumn="0" w:firstRowLastColumn="0" w:lastRowFirstColumn="0" w:lastRowLastColumn="0"/>
        </w:trPr>
        <w:tc>
          <w:tcPr>
            <w:tcW w:w="704" w:type="dxa"/>
            <w:vMerge w:val="restart"/>
            <w:shd w:val="clear" w:color="auto" w:fill="auto"/>
          </w:tcPr>
          <w:p w14:paraId="512812D8" w14:textId="31C78C90" w:rsidR="00A41632" w:rsidRPr="0097505A" w:rsidRDefault="00A41632" w:rsidP="00FA4AD3">
            <w:pPr>
              <w:keepNext/>
              <w:keepLines/>
              <w:spacing w:after="0" w:line="240" w:lineRule="auto"/>
            </w:pPr>
            <w:r>
              <w:t>3</w:t>
            </w:r>
          </w:p>
        </w:tc>
        <w:tc>
          <w:tcPr>
            <w:tcW w:w="4962" w:type="dxa"/>
            <w:vMerge w:val="restart"/>
            <w:shd w:val="clear" w:color="auto" w:fill="auto"/>
          </w:tcPr>
          <w:p w14:paraId="0967D74B" w14:textId="3CF1F035" w:rsidR="00A41632" w:rsidRPr="0097505A" w:rsidRDefault="00A41632" w:rsidP="00FA4AD3">
            <w:pPr>
              <w:keepNext/>
              <w:keepLines/>
              <w:spacing w:after="0" w:line="240" w:lineRule="auto"/>
            </w:pPr>
            <w:r w:rsidRPr="00811519">
              <w:t>918 – 926</w:t>
            </w:r>
          </w:p>
        </w:tc>
        <w:tc>
          <w:tcPr>
            <w:tcW w:w="6662" w:type="dxa"/>
            <w:shd w:val="clear" w:color="auto" w:fill="auto"/>
          </w:tcPr>
          <w:p w14:paraId="6FBAFE28" w14:textId="30367366" w:rsidR="00A41632" w:rsidRPr="0097505A" w:rsidRDefault="00A41632" w:rsidP="00FA4AD3">
            <w:pPr>
              <w:keepNext/>
              <w:keepLines/>
              <w:spacing w:after="0" w:line="240" w:lineRule="auto"/>
            </w:pPr>
            <w:r w:rsidRPr="006B3927">
              <w:t xml:space="preserve">Radiolocation (see note </w:t>
            </w:r>
            <w:r>
              <w:t>3</w:t>
            </w:r>
            <w:r w:rsidRPr="006B3927">
              <w:t>)</w:t>
            </w:r>
          </w:p>
        </w:tc>
      </w:tr>
      <w:tr w:rsidR="00A41632" w:rsidRPr="0097505A" w14:paraId="316F0B87" w14:textId="77777777" w:rsidTr="00FA4AD3">
        <w:trPr>
          <w:cnfStyle w:val="000000100000" w:firstRow="0" w:lastRow="0" w:firstColumn="0" w:lastColumn="0" w:oddVBand="0" w:evenVBand="0" w:oddHBand="1" w:evenHBand="0" w:firstRowFirstColumn="0" w:firstRowLastColumn="0" w:lastRowFirstColumn="0" w:lastRowLastColumn="0"/>
        </w:trPr>
        <w:tc>
          <w:tcPr>
            <w:tcW w:w="704" w:type="dxa"/>
            <w:vMerge/>
          </w:tcPr>
          <w:p w14:paraId="087115B6" w14:textId="77777777" w:rsidR="00A41632" w:rsidRDefault="00A41632" w:rsidP="00B31F36">
            <w:pPr>
              <w:keepNext/>
              <w:keepLines/>
              <w:spacing w:after="0" w:line="240" w:lineRule="auto"/>
            </w:pPr>
          </w:p>
        </w:tc>
        <w:tc>
          <w:tcPr>
            <w:tcW w:w="4962" w:type="dxa"/>
            <w:vMerge/>
          </w:tcPr>
          <w:p w14:paraId="755A9B1D" w14:textId="77777777" w:rsidR="00A41632" w:rsidRPr="00811519" w:rsidRDefault="00A41632" w:rsidP="00B31F36">
            <w:pPr>
              <w:keepNext/>
              <w:keepLines/>
              <w:spacing w:after="0" w:line="240" w:lineRule="auto"/>
            </w:pPr>
          </w:p>
        </w:tc>
        <w:tc>
          <w:tcPr>
            <w:tcW w:w="6662" w:type="dxa"/>
          </w:tcPr>
          <w:p w14:paraId="2FFDA9FD" w14:textId="3EAE1D12" w:rsidR="00A41632" w:rsidRPr="006B3927" w:rsidRDefault="00A41632" w:rsidP="00B31F36">
            <w:pPr>
              <w:keepNext/>
              <w:keepLines/>
              <w:spacing w:after="0" w:line="240" w:lineRule="auto"/>
            </w:pPr>
            <w:r w:rsidRPr="006B3927">
              <w:t>Industrial, Scientific and Medical Applications</w:t>
            </w:r>
          </w:p>
        </w:tc>
      </w:tr>
      <w:tr w:rsidR="00A41632" w:rsidRPr="0097505A" w14:paraId="66720D97" w14:textId="77777777" w:rsidTr="000A5B2B">
        <w:trPr>
          <w:cnfStyle w:val="000000010000" w:firstRow="0" w:lastRow="0" w:firstColumn="0" w:lastColumn="0" w:oddVBand="0" w:evenVBand="0" w:oddHBand="0" w:evenHBand="1" w:firstRowFirstColumn="0" w:firstRowLastColumn="0" w:lastRowFirstColumn="0" w:lastRowLastColumn="0"/>
        </w:trPr>
        <w:tc>
          <w:tcPr>
            <w:tcW w:w="704" w:type="dxa"/>
            <w:vMerge/>
            <w:shd w:val="clear" w:color="auto" w:fill="auto"/>
          </w:tcPr>
          <w:p w14:paraId="0D12DD96" w14:textId="77777777" w:rsidR="00A41632" w:rsidRDefault="00A41632" w:rsidP="00B31F36">
            <w:pPr>
              <w:keepNext/>
              <w:keepLines/>
              <w:spacing w:after="0" w:line="240" w:lineRule="auto"/>
            </w:pPr>
          </w:p>
        </w:tc>
        <w:tc>
          <w:tcPr>
            <w:tcW w:w="4962" w:type="dxa"/>
            <w:vMerge/>
            <w:shd w:val="clear" w:color="auto" w:fill="auto"/>
          </w:tcPr>
          <w:p w14:paraId="27CB76F8" w14:textId="77777777" w:rsidR="00A41632" w:rsidRPr="00811519" w:rsidRDefault="00A41632" w:rsidP="00B31F36">
            <w:pPr>
              <w:keepNext/>
              <w:keepLines/>
              <w:spacing w:after="0" w:line="240" w:lineRule="auto"/>
            </w:pPr>
          </w:p>
        </w:tc>
        <w:tc>
          <w:tcPr>
            <w:tcW w:w="6662" w:type="dxa"/>
            <w:shd w:val="clear" w:color="auto" w:fill="auto"/>
          </w:tcPr>
          <w:p w14:paraId="439FD9C4" w14:textId="43A811B6" w:rsidR="00A41632" w:rsidRPr="006B3927" w:rsidRDefault="00A41632" w:rsidP="00B31F36">
            <w:pPr>
              <w:keepNext/>
              <w:keepLines/>
              <w:spacing w:after="0" w:line="240" w:lineRule="auto"/>
            </w:pPr>
            <w:r>
              <w:t>Low</w:t>
            </w:r>
            <w:r w:rsidR="00FB44F7">
              <w:t xml:space="preserve"> </w:t>
            </w:r>
            <w:r>
              <w:t>interference potential devices (see note 4)</w:t>
            </w:r>
          </w:p>
        </w:tc>
      </w:tr>
      <w:tr w:rsidR="00031600" w:rsidRPr="0097505A" w14:paraId="6AFB0AFA" w14:textId="77777777" w:rsidTr="000A5B2B">
        <w:trPr>
          <w:cnfStyle w:val="000000100000" w:firstRow="0" w:lastRow="0" w:firstColumn="0" w:lastColumn="0" w:oddVBand="0" w:evenVBand="0" w:oddHBand="1" w:evenHBand="0" w:firstRowFirstColumn="0" w:firstRowLastColumn="0" w:lastRowFirstColumn="0" w:lastRowLastColumn="0"/>
        </w:trPr>
        <w:tc>
          <w:tcPr>
            <w:tcW w:w="704" w:type="dxa"/>
            <w:vMerge w:val="restart"/>
            <w:shd w:val="clear" w:color="auto" w:fill="F2F2F2" w:themeFill="background1" w:themeFillShade="F2"/>
          </w:tcPr>
          <w:p w14:paraId="6C9036D6" w14:textId="555513ED" w:rsidR="00031600" w:rsidRDefault="00031600" w:rsidP="00B31F36">
            <w:pPr>
              <w:keepNext/>
              <w:keepLines/>
              <w:spacing w:after="0" w:line="240" w:lineRule="auto"/>
            </w:pPr>
            <w:r>
              <w:t>4</w:t>
            </w:r>
          </w:p>
        </w:tc>
        <w:tc>
          <w:tcPr>
            <w:tcW w:w="4962" w:type="dxa"/>
            <w:vMerge w:val="restart"/>
            <w:shd w:val="clear" w:color="auto" w:fill="F2F2F2" w:themeFill="background1" w:themeFillShade="F2"/>
          </w:tcPr>
          <w:p w14:paraId="40B4E7DE" w14:textId="77777777" w:rsidR="00031600" w:rsidRDefault="00031600" w:rsidP="00B31F36">
            <w:pPr>
              <w:keepNext/>
              <w:keepLines/>
              <w:spacing w:after="0" w:line="240" w:lineRule="auto"/>
            </w:pPr>
            <w:r>
              <w:t>926 – 928</w:t>
            </w:r>
          </w:p>
          <w:p w14:paraId="7394A84D" w14:textId="77777777" w:rsidR="00031600" w:rsidRDefault="00031600" w:rsidP="00B31F36">
            <w:pPr>
              <w:keepNext/>
              <w:keepLines/>
              <w:spacing w:after="0" w:line="240" w:lineRule="auto"/>
            </w:pPr>
          </w:p>
        </w:tc>
        <w:tc>
          <w:tcPr>
            <w:tcW w:w="6662" w:type="dxa"/>
            <w:shd w:val="clear" w:color="auto" w:fill="F2F2F2" w:themeFill="background1" w:themeFillShade="F2"/>
          </w:tcPr>
          <w:p w14:paraId="290975DB" w14:textId="33F5D2AB" w:rsidR="00031600" w:rsidRPr="006B3927" w:rsidRDefault="00031600" w:rsidP="00B31F36">
            <w:pPr>
              <w:keepNext/>
              <w:keepLines/>
              <w:spacing w:after="0" w:line="240" w:lineRule="auto"/>
            </w:pPr>
            <w:r w:rsidRPr="006B3927">
              <w:t xml:space="preserve">Radiolocation (see note </w:t>
            </w:r>
            <w:r>
              <w:t>3</w:t>
            </w:r>
            <w:r w:rsidRPr="006B3927">
              <w:t>)</w:t>
            </w:r>
          </w:p>
        </w:tc>
      </w:tr>
      <w:tr w:rsidR="00031600" w:rsidRPr="0097505A" w14:paraId="4F6C281F" w14:textId="77777777" w:rsidTr="000A5B2B">
        <w:trPr>
          <w:cnfStyle w:val="000000010000" w:firstRow="0" w:lastRow="0" w:firstColumn="0" w:lastColumn="0" w:oddVBand="0" w:evenVBand="0" w:oddHBand="0" w:evenHBand="1" w:firstRowFirstColumn="0" w:firstRowLastColumn="0" w:lastRowFirstColumn="0" w:lastRowLastColumn="0"/>
        </w:trPr>
        <w:tc>
          <w:tcPr>
            <w:tcW w:w="704" w:type="dxa"/>
            <w:vMerge/>
            <w:shd w:val="clear" w:color="auto" w:fill="F2F2F2" w:themeFill="background1" w:themeFillShade="F2"/>
          </w:tcPr>
          <w:p w14:paraId="6D58EA33" w14:textId="134E8649" w:rsidR="00031600" w:rsidRPr="0097505A" w:rsidRDefault="00031600" w:rsidP="00B31F36">
            <w:pPr>
              <w:keepNext/>
              <w:keepLines/>
              <w:spacing w:after="0" w:line="240" w:lineRule="auto"/>
            </w:pPr>
          </w:p>
        </w:tc>
        <w:tc>
          <w:tcPr>
            <w:tcW w:w="4962" w:type="dxa"/>
            <w:vMerge/>
            <w:shd w:val="clear" w:color="auto" w:fill="F2F2F2" w:themeFill="background1" w:themeFillShade="F2"/>
          </w:tcPr>
          <w:p w14:paraId="071D93DA" w14:textId="0A24DF8D" w:rsidR="00031600" w:rsidRPr="0097505A" w:rsidRDefault="00031600" w:rsidP="00B31F36">
            <w:pPr>
              <w:keepNext/>
              <w:keepLines/>
              <w:spacing w:after="0" w:line="240" w:lineRule="auto"/>
            </w:pPr>
          </w:p>
        </w:tc>
        <w:tc>
          <w:tcPr>
            <w:tcW w:w="6662" w:type="dxa"/>
            <w:shd w:val="clear" w:color="auto" w:fill="F2F2F2" w:themeFill="background1" w:themeFillShade="F2"/>
          </w:tcPr>
          <w:p w14:paraId="14BDC646" w14:textId="4DB65DA3" w:rsidR="00031600" w:rsidRPr="0097505A" w:rsidRDefault="00031600" w:rsidP="00B31F36">
            <w:pPr>
              <w:keepNext/>
              <w:keepLines/>
              <w:spacing w:after="0" w:line="240" w:lineRule="auto"/>
            </w:pPr>
            <w:r>
              <w:t>Low</w:t>
            </w:r>
            <w:r w:rsidR="00FB44F7">
              <w:t xml:space="preserve"> </w:t>
            </w:r>
            <w:r>
              <w:t>interference potential devices (see note 4)</w:t>
            </w:r>
          </w:p>
        </w:tc>
      </w:tr>
      <w:tr w:rsidR="00B31F36" w:rsidRPr="0097505A" w14:paraId="5C64923A" w14:textId="77777777" w:rsidTr="00FA4AD3">
        <w:trPr>
          <w:cnfStyle w:val="000000100000" w:firstRow="0" w:lastRow="0" w:firstColumn="0" w:lastColumn="0" w:oddVBand="0" w:evenVBand="0" w:oddHBand="1" w:evenHBand="0" w:firstRowFirstColumn="0" w:firstRowLastColumn="0" w:lastRowFirstColumn="0" w:lastRowLastColumn="0"/>
        </w:trPr>
        <w:tc>
          <w:tcPr>
            <w:tcW w:w="704" w:type="dxa"/>
          </w:tcPr>
          <w:p w14:paraId="3850737F" w14:textId="6F6486AA" w:rsidR="00B31F36" w:rsidRPr="0097505A" w:rsidRDefault="00B31F36" w:rsidP="00B31F36">
            <w:pPr>
              <w:keepNext/>
              <w:keepLines/>
              <w:spacing w:after="0" w:line="240" w:lineRule="auto"/>
            </w:pPr>
            <w:r>
              <w:t>5</w:t>
            </w:r>
          </w:p>
        </w:tc>
        <w:tc>
          <w:tcPr>
            <w:tcW w:w="4962" w:type="dxa"/>
          </w:tcPr>
          <w:p w14:paraId="016B8F94" w14:textId="58FA65BA" w:rsidR="00B31F36" w:rsidRPr="0097505A" w:rsidRDefault="00B31F36" w:rsidP="00771A65">
            <w:pPr>
              <w:keepNext/>
              <w:keepLines/>
              <w:spacing w:after="0" w:line="240" w:lineRule="auto"/>
            </w:pPr>
            <w:r>
              <w:t>928 – 93</w:t>
            </w:r>
            <w:r w:rsidR="00004778">
              <w:t>5</w:t>
            </w:r>
            <w:r>
              <w:t xml:space="preserve"> </w:t>
            </w:r>
          </w:p>
        </w:tc>
        <w:tc>
          <w:tcPr>
            <w:tcW w:w="6662" w:type="dxa"/>
          </w:tcPr>
          <w:p w14:paraId="166FDC56" w14:textId="0860AD41" w:rsidR="00B31F36" w:rsidRPr="0097505A" w:rsidRDefault="00004778" w:rsidP="00B31F36">
            <w:pPr>
              <w:keepNext/>
              <w:keepLines/>
              <w:spacing w:after="0" w:line="240" w:lineRule="auto"/>
            </w:pPr>
            <w:r>
              <w:t>Low</w:t>
            </w:r>
            <w:r w:rsidR="00FB44F7">
              <w:t xml:space="preserve"> </w:t>
            </w:r>
            <w:r>
              <w:t>interference potential devices (see note 4)</w:t>
            </w:r>
          </w:p>
        </w:tc>
      </w:tr>
      <w:tr w:rsidR="00B31F36" w:rsidRPr="0097505A" w14:paraId="1056FD8B" w14:textId="77777777" w:rsidTr="000A5B2B">
        <w:trPr>
          <w:cnfStyle w:val="000000010000" w:firstRow="0" w:lastRow="0" w:firstColumn="0" w:lastColumn="0" w:oddVBand="0" w:evenVBand="0" w:oddHBand="0" w:evenHBand="1" w:firstRowFirstColumn="0" w:firstRowLastColumn="0" w:lastRowFirstColumn="0" w:lastRowLastColumn="0"/>
        </w:trPr>
        <w:tc>
          <w:tcPr>
            <w:tcW w:w="704" w:type="dxa"/>
            <w:shd w:val="clear" w:color="auto" w:fill="F2F2F2" w:themeFill="background1" w:themeFillShade="F2"/>
          </w:tcPr>
          <w:p w14:paraId="25DA254D" w14:textId="03E62DAC" w:rsidR="00B31F36" w:rsidRPr="0097505A" w:rsidRDefault="00602B0F" w:rsidP="00B31F36">
            <w:pPr>
              <w:keepNext/>
              <w:keepLines/>
              <w:spacing w:after="0" w:line="240" w:lineRule="auto"/>
            </w:pPr>
            <w:r>
              <w:t>6</w:t>
            </w:r>
          </w:p>
        </w:tc>
        <w:tc>
          <w:tcPr>
            <w:tcW w:w="4962" w:type="dxa"/>
            <w:shd w:val="clear" w:color="auto" w:fill="F2F2F2" w:themeFill="background1" w:themeFillShade="F2"/>
          </w:tcPr>
          <w:p w14:paraId="3CD5C78D" w14:textId="2749DDB0" w:rsidR="00B31F36" w:rsidRPr="0097505A" w:rsidRDefault="00B31F36" w:rsidP="00B31F36">
            <w:pPr>
              <w:keepNext/>
              <w:keepLines/>
              <w:spacing w:after="0" w:line="240" w:lineRule="auto"/>
            </w:pPr>
            <w:r w:rsidRPr="00E7486B">
              <w:rPr>
                <w:rFonts w:cs="Arial"/>
                <w:szCs w:val="20"/>
                <w:lang w:val="en-GB"/>
              </w:rPr>
              <w:t>935 – 960</w:t>
            </w:r>
          </w:p>
        </w:tc>
        <w:tc>
          <w:tcPr>
            <w:tcW w:w="6662" w:type="dxa"/>
            <w:shd w:val="clear" w:color="auto" w:fill="F2F2F2" w:themeFill="background1" w:themeFillShade="F2"/>
          </w:tcPr>
          <w:p w14:paraId="7055381F" w14:textId="23F9EE97" w:rsidR="00B31F36" w:rsidRPr="0097505A" w:rsidRDefault="004059C1" w:rsidP="00B31F36">
            <w:pPr>
              <w:keepNext/>
              <w:keepLines/>
              <w:spacing w:after="0" w:line="240" w:lineRule="auto"/>
            </w:pPr>
            <w:r>
              <w:t>Subject to</w:t>
            </w:r>
            <w:r w:rsidR="0044491F">
              <w:t xml:space="preserve"> </w:t>
            </w:r>
            <w:r w:rsidR="004904C9" w:rsidRPr="004904C9">
              <w:t xml:space="preserve">spectrum licensing </w:t>
            </w:r>
            <w:r w:rsidR="00F27D61">
              <w:t>(Australia-wide)</w:t>
            </w:r>
            <w:r w:rsidR="00F27D61" w:rsidRPr="004904C9">
              <w:t xml:space="preserve"> </w:t>
            </w:r>
            <w:r w:rsidR="004904C9" w:rsidRPr="004904C9">
              <w:t>(see note 2</w:t>
            </w:r>
            <w:r w:rsidR="0044491F">
              <w:t>)</w:t>
            </w:r>
          </w:p>
        </w:tc>
      </w:tr>
    </w:tbl>
    <w:p w14:paraId="1FD1D2E0" w14:textId="77777777" w:rsidR="003322C2" w:rsidRPr="002050CE" w:rsidRDefault="003322C2" w:rsidP="000A5B2B">
      <w:pPr>
        <w:widowControl w:val="0"/>
        <w:spacing w:before="240" w:after="120" w:line="240" w:lineRule="auto"/>
        <w:rPr>
          <w:rFonts w:cs="Arial"/>
          <w:szCs w:val="20"/>
          <w:lang w:val="en-GB"/>
        </w:rPr>
      </w:pPr>
      <w:r w:rsidRPr="002050CE">
        <w:rPr>
          <w:rFonts w:cs="Arial"/>
          <w:b/>
          <w:szCs w:val="20"/>
          <w:lang w:val="en-GB"/>
        </w:rPr>
        <w:t>Notes:</w:t>
      </w:r>
    </w:p>
    <w:p w14:paraId="4F9398D1" w14:textId="541F8419" w:rsidR="003322C2" w:rsidRDefault="003322C2" w:rsidP="0030638F">
      <w:pPr>
        <w:pStyle w:val="ListNumber2"/>
        <w:rPr>
          <w:lang w:val="en-GB"/>
        </w:rPr>
      </w:pPr>
      <w:r w:rsidRPr="001B28E8">
        <w:rPr>
          <w:lang w:val="en-GB"/>
        </w:rPr>
        <w:t xml:space="preserve">The allocations for these primary services are represented in Figure </w:t>
      </w:r>
      <w:r w:rsidR="0030638F">
        <w:rPr>
          <w:lang w:val="en-GB"/>
        </w:rPr>
        <w:t>1</w:t>
      </w:r>
      <w:r>
        <w:rPr>
          <w:lang w:val="en-GB"/>
        </w:rPr>
        <w:t>.</w:t>
      </w:r>
    </w:p>
    <w:p w14:paraId="35BA3F8F" w14:textId="78B14369" w:rsidR="00A864A2" w:rsidRDefault="0068432F" w:rsidP="0030638F">
      <w:pPr>
        <w:pStyle w:val="ListNumber2"/>
        <w:rPr>
          <w:lang w:val="en-GB"/>
        </w:rPr>
      </w:pPr>
      <w:r>
        <w:rPr>
          <w:lang w:val="en-GB"/>
        </w:rPr>
        <w:t>Information regarding the technical framework and current</w:t>
      </w:r>
      <w:r w:rsidR="00873514">
        <w:rPr>
          <w:lang w:val="en-GB"/>
        </w:rPr>
        <w:t xml:space="preserve"> spectrum</w:t>
      </w:r>
      <w:r>
        <w:rPr>
          <w:lang w:val="en-GB"/>
        </w:rPr>
        <w:t xml:space="preserve"> licence holders in the </w:t>
      </w:r>
      <w:r w:rsidR="00A864A2">
        <w:rPr>
          <w:lang w:val="en-GB"/>
        </w:rPr>
        <w:t>890</w:t>
      </w:r>
      <w:r w:rsidR="00A864A2" w:rsidRPr="00811519">
        <w:t>–</w:t>
      </w:r>
      <w:r w:rsidR="00A864A2">
        <w:t>915/935</w:t>
      </w:r>
      <w:r w:rsidR="00A864A2" w:rsidRPr="00811519">
        <w:t>–</w:t>
      </w:r>
      <w:r w:rsidR="00A864A2">
        <w:t xml:space="preserve">960 MHz band is available on the </w:t>
      </w:r>
      <w:hyperlink r:id="rId19" w:history="1">
        <w:r w:rsidR="00A864A2" w:rsidRPr="00A864A2">
          <w:rPr>
            <w:rStyle w:val="Hyperlink"/>
          </w:rPr>
          <w:t>ACMA website</w:t>
        </w:r>
      </w:hyperlink>
      <w:r w:rsidR="00A864A2">
        <w:t xml:space="preserve">. </w:t>
      </w:r>
      <w:r w:rsidR="003322C2">
        <w:rPr>
          <w:lang w:val="en-GB"/>
        </w:rPr>
        <w:tab/>
      </w:r>
    </w:p>
    <w:p w14:paraId="3CEF907C" w14:textId="3500E501" w:rsidR="003322C2" w:rsidRDefault="003322C2" w:rsidP="005522FC">
      <w:pPr>
        <w:pStyle w:val="ListNumber2"/>
        <w:rPr>
          <w:lang w:val="en-GB"/>
        </w:rPr>
      </w:pPr>
      <w:r>
        <w:rPr>
          <w:lang w:val="en-GB"/>
        </w:rPr>
        <w:t>Assignments to users other that the Department of Defence or the Australian Defence Force will not normally be authorised for this service.</w:t>
      </w:r>
    </w:p>
    <w:p w14:paraId="4D86B0CD" w14:textId="2D850F65" w:rsidR="003322C2" w:rsidRDefault="003322C2" w:rsidP="0030638F">
      <w:pPr>
        <w:pStyle w:val="ListNumber2"/>
      </w:pPr>
      <w:r>
        <w:t xml:space="preserve">Stations operating in this allocation are authorised under the </w:t>
      </w:r>
      <w:hyperlink r:id="rId20" w:history="1">
        <w:r w:rsidRPr="00A55E3A">
          <w:rPr>
            <w:rStyle w:val="Hyperlink"/>
          </w:rPr>
          <w:t>Radiocommunications (Low Interference Potential Devices) Class Licence 20</w:t>
        </w:r>
        <w:r w:rsidR="008F4882" w:rsidRPr="00A55E3A">
          <w:rPr>
            <w:rStyle w:val="Hyperlink"/>
          </w:rPr>
          <w:t>2</w:t>
        </w:r>
        <w:r w:rsidRPr="00A55E3A">
          <w:rPr>
            <w:rStyle w:val="Hyperlink"/>
          </w:rPr>
          <w:t>5</w:t>
        </w:r>
      </w:hyperlink>
      <w:r>
        <w:t>, as in force from time to time.</w:t>
      </w:r>
    </w:p>
    <w:p w14:paraId="0E3540AA" w14:textId="77777777" w:rsidR="003322C2" w:rsidRPr="009129F5" w:rsidRDefault="003322C2" w:rsidP="003322C2">
      <w:pPr>
        <w:spacing w:after="120"/>
        <w:rPr>
          <w:rFonts w:cs="Arial"/>
          <w:szCs w:val="20"/>
          <w:lang w:val="en-GB"/>
        </w:rPr>
      </w:pPr>
      <w:r>
        <w:br w:type="page"/>
      </w:r>
    </w:p>
    <w:p w14:paraId="2BFE67EA" w14:textId="00B64BEF" w:rsidR="003322C2" w:rsidRDefault="0075765A" w:rsidP="004F0E93">
      <w:pPr>
        <w:pStyle w:val="Caption"/>
        <w:spacing w:after="240"/>
      </w:pPr>
      <w:r>
        <w:lastRenderedPageBreak/>
        <w:t>S</w:t>
      </w:r>
      <w:r w:rsidR="003322C2" w:rsidRPr="00143FE3">
        <w:t>ervice allocations and channelling arrangements for secondary services (note 1)</w:t>
      </w:r>
      <w:r w:rsidR="003322C2">
        <w:t xml:space="preserve"> </w:t>
      </w:r>
    </w:p>
    <w:tbl>
      <w:tblPr>
        <w:tblStyle w:val="ACMAtablestyle1"/>
        <w:tblW w:w="8500" w:type="dxa"/>
        <w:tblLayout w:type="fixed"/>
        <w:tblLook w:val="01E0" w:firstRow="1" w:lastRow="1" w:firstColumn="1" w:lastColumn="1" w:noHBand="0" w:noVBand="0"/>
        <w:tblCaption w:val="Table title to go here"/>
        <w:tblDescription w:val="Table description to go here"/>
      </w:tblPr>
      <w:tblGrid>
        <w:gridCol w:w="704"/>
        <w:gridCol w:w="4962"/>
        <w:gridCol w:w="2834"/>
      </w:tblGrid>
      <w:tr w:rsidR="005F756F" w:rsidRPr="005F756F" w14:paraId="45E2BBE4" w14:textId="77777777" w:rsidTr="00292327">
        <w:trPr>
          <w:cnfStyle w:val="100000000000" w:firstRow="1" w:lastRow="0" w:firstColumn="0" w:lastColumn="0" w:oddVBand="0" w:evenVBand="0" w:oddHBand="0" w:evenHBand="0" w:firstRowFirstColumn="0" w:firstRowLastColumn="0" w:lastRowFirstColumn="0" w:lastRowLastColumn="0"/>
        </w:trPr>
        <w:tc>
          <w:tcPr>
            <w:tcW w:w="704" w:type="dxa"/>
          </w:tcPr>
          <w:p w14:paraId="6D109895" w14:textId="585462C6" w:rsidR="005F756F" w:rsidRPr="005F756F" w:rsidRDefault="005F756F" w:rsidP="005F756F">
            <w:pPr>
              <w:keepNext/>
              <w:keepLines/>
              <w:spacing w:after="0"/>
              <w:rPr>
                <w:b/>
              </w:rPr>
            </w:pPr>
            <w:r>
              <w:rPr>
                <w:b/>
              </w:rPr>
              <w:t>Item</w:t>
            </w:r>
          </w:p>
        </w:tc>
        <w:tc>
          <w:tcPr>
            <w:tcW w:w="4962" w:type="dxa"/>
          </w:tcPr>
          <w:p w14:paraId="70AA0B39" w14:textId="1A895D8C" w:rsidR="005F756F" w:rsidRPr="005F756F" w:rsidRDefault="005F756F" w:rsidP="005F756F">
            <w:pPr>
              <w:keepNext/>
              <w:keepLines/>
              <w:spacing w:after="0"/>
              <w:rPr>
                <w:b/>
              </w:rPr>
            </w:pPr>
            <w:r>
              <w:rPr>
                <w:b/>
              </w:rPr>
              <w:t>S</w:t>
            </w:r>
            <w:r w:rsidRPr="005F756F">
              <w:rPr>
                <w:b/>
              </w:rPr>
              <w:t xml:space="preserve">egment frequency limits (MHz) </w:t>
            </w:r>
          </w:p>
          <w:p w14:paraId="30BA8F7B" w14:textId="1BB50D00" w:rsidR="005F756F" w:rsidRPr="005F756F" w:rsidRDefault="005F756F" w:rsidP="005F756F">
            <w:pPr>
              <w:keepNext/>
              <w:keepLines/>
              <w:spacing w:after="0"/>
              <w:rPr>
                <w:b/>
              </w:rPr>
            </w:pPr>
            <w:r w:rsidRPr="005F756F">
              <w:rPr>
                <w:b/>
              </w:rPr>
              <w:t>(lower limit exclusion, upper limit inclusive)</w:t>
            </w:r>
            <w:r w:rsidRPr="005F756F">
              <w:rPr>
                <w:b/>
              </w:rPr>
              <w:tab/>
            </w:r>
          </w:p>
        </w:tc>
        <w:tc>
          <w:tcPr>
            <w:tcW w:w="2834" w:type="dxa"/>
          </w:tcPr>
          <w:p w14:paraId="001F2533" w14:textId="7EF87602" w:rsidR="005F756F" w:rsidRPr="005F756F" w:rsidRDefault="005F756F" w:rsidP="005F756F">
            <w:pPr>
              <w:keepNext/>
              <w:keepLines/>
              <w:spacing w:after="0"/>
              <w:rPr>
                <w:b/>
              </w:rPr>
            </w:pPr>
            <w:r w:rsidRPr="005F756F">
              <w:rPr>
                <w:b/>
              </w:rPr>
              <w:t>Service allocation</w:t>
            </w:r>
          </w:p>
        </w:tc>
      </w:tr>
      <w:tr w:rsidR="005F756F" w:rsidRPr="005F756F" w14:paraId="52D600F2" w14:textId="77777777" w:rsidTr="00292327">
        <w:trPr>
          <w:cnfStyle w:val="000000100000" w:firstRow="0" w:lastRow="0" w:firstColumn="0" w:lastColumn="0" w:oddVBand="0" w:evenVBand="0" w:oddHBand="1" w:evenHBand="0" w:firstRowFirstColumn="0" w:firstRowLastColumn="0" w:lastRowFirstColumn="0" w:lastRowLastColumn="0"/>
        </w:trPr>
        <w:tc>
          <w:tcPr>
            <w:tcW w:w="704" w:type="dxa"/>
          </w:tcPr>
          <w:p w14:paraId="264EF3AC" w14:textId="129C7CEB" w:rsidR="005F756F" w:rsidRPr="005F756F" w:rsidRDefault="005F756F" w:rsidP="005F756F">
            <w:pPr>
              <w:keepNext/>
              <w:keepLines/>
              <w:spacing w:after="0" w:line="240" w:lineRule="auto"/>
            </w:pPr>
            <w:r>
              <w:t>1</w:t>
            </w:r>
          </w:p>
        </w:tc>
        <w:tc>
          <w:tcPr>
            <w:tcW w:w="4962" w:type="dxa"/>
          </w:tcPr>
          <w:p w14:paraId="3DE6C72E" w14:textId="6F5027F2" w:rsidR="005F756F" w:rsidRPr="005F756F" w:rsidRDefault="00292327" w:rsidP="005F756F">
            <w:pPr>
              <w:keepNext/>
              <w:keepLines/>
              <w:spacing w:after="0" w:line="240" w:lineRule="auto"/>
            </w:pPr>
            <w:r w:rsidRPr="00292327">
              <w:t>890 - 915</w:t>
            </w:r>
          </w:p>
        </w:tc>
        <w:tc>
          <w:tcPr>
            <w:tcW w:w="2834" w:type="dxa"/>
          </w:tcPr>
          <w:p w14:paraId="5974044E" w14:textId="38111BC2" w:rsidR="005F756F" w:rsidRPr="005F756F" w:rsidRDefault="007C572F" w:rsidP="005F756F">
            <w:pPr>
              <w:keepNext/>
              <w:keepLines/>
              <w:spacing w:after="0" w:line="240" w:lineRule="auto"/>
            </w:pPr>
            <w:r w:rsidRPr="007C572F">
              <w:t>Radiolocation (see note 2</w:t>
            </w:r>
            <w:r>
              <w:t>)</w:t>
            </w:r>
          </w:p>
        </w:tc>
      </w:tr>
      <w:tr w:rsidR="007C572F" w:rsidRPr="005F756F" w14:paraId="63B1CCD4" w14:textId="77777777" w:rsidTr="00292327">
        <w:trPr>
          <w:cnfStyle w:val="000000010000" w:firstRow="0" w:lastRow="0" w:firstColumn="0" w:lastColumn="0" w:oddVBand="0" w:evenVBand="0" w:oddHBand="0" w:evenHBand="1" w:firstRowFirstColumn="0" w:firstRowLastColumn="0" w:lastRowFirstColumn="0" w:lastRowLastColumn="0"/>
        </w:trPr>
        <w:tc>
          <w:tcPr>
            <w:tcW w:w="704" w:type="dxa"/>
          </w:tcPr>
          <w:p w14:paraId="76EF313B" w14:textId="41478E2B" w:rsidR="007C572F" w:rsidRPr="005F756F" w:rsidRDefault="007C572F" w:rsidP="007C572F">
            <w:pPr>
              <w:keepNext/>
              <w:keepLines/>
              <w:spacing w:after="0" w:line="240" w:lineRule="auto"/>
            </w:pPr>
            <w:r>
              <w:t>2</w:t>
            </w:r>
          </w:p>
        </w:tc>
        <w:tc>
          <w:tcPr>
            <w:tcW w:w="4962" w:type="dxa"/>
          </w:tcPr>
          <w:p w14:paraId="5140A529" w14:textId="4B11F445" w:rsidR="007C572F" w:rsidRPr="005F756F" w:rsidRDefault="007C572F" w:rsidP="007C572F">
            <w:pPr>
              <w:keepNext/>
              <w:keepLines/>
              <w:spacing w:after="0" w:line="240" w:lineRule="auto"/>
            </w:pPr>
            <w:r w:rsidRPr="00292327">
              <w:t>928 – 942</w:t>
            </w:r>
          </w:p>
        </w:tc>
        <w:tc>
          <w:tcPr>
            <w:tcW w:w="2834" w:type="dxa"/>
          </w:tcPr>
          <w:p w14:paraId="380CF222" w14:textId="1D10A697" w:rsidR="007C572F" w:rsidRPr="005F756F" w:rsidRDefault="007C572F" w:rsidP="007C572F">
            <w:pPr>
              <w:keepNext/>
              <w:keepLines/>
              <w:spacing w:after="0" w:line="240" w:lineRule="auto"/>
            </w:pPr>
            <w:r w:rsidRPr="007C572F">
              <w:t>Radiolocation (see note 2</w:t>
            </w:r>
            <w:r>
              <w:t>)</w:t>
            </w:r>
          </w:p>
        </w:tc>
      </w:tr>
    </w:tbl>
    <w:p w14:paraId="5513ED85" w14:textId="77777777" w:rsidR="003322C2" w:rsidRPr="002050CE" w:rsidRDefault="003322C2" w:rsidP="004F0E93">
      <w:pPr>
        <w:widowControl w:val="0"/>
        <w:spacing w:before="240" w:after="120" w:line="240" w:lineRule="auto"/>
        <w:rPr>
          <w:rFonts w:cs="Arial"/>
          <w:szCs w:val="20"/>
          <w:lang w:val="en-GB"/>
        </w:rPr>
      </w:pPr>
      <w:r w:rsidRPr="002050CE">
        <w:rPr>
          <w:rFonts w:cs="Arial"/>
          <w:b/>
          <w:szCs w:val="20"/>
          <w:lang w:val="en-GB"/>
        </w:rPr>
        <w:t>Notes:</w:t>
      </w:r>
    </w:p>
    <w:p w14:paraId="788BE44D" w14:textId="467CD8FF" w:rsidR="003322C2" w:rsidRPr="00DB52E5" w:rsidRDefault="003322C2" w:rsidP="00DB52E5">
      <w:pPr>
        <w:pStyle w:val="ListNumber2"/>
        <w:numPr>
          <w:ilvl w:val="0"/>
          <w:numId w:val="67"/>
        </w:numPr>
        <w:rPr>
          <w:lang w:val="en-GB"/>
        </w:rPr>
      </w:pPr>
      <w:r w:rsidRPr="00DB52E5">
        <w:rPr>
          <w:lang w:val="en-GB"/>
        </w:rPr>
        <w:t xml:space="preserve">The allocations for these secondary services are represented in Figure </w:t>
      </w:r>
      <w:r w:rsidR="008D7A1E" w:rsidRPr="00DB52E5">
        <w:rPr>
          <w:lang w:val="en-GB"/>
        </w:rPr>
        <w:t>1</w:t>
      </w:r>
      <w:r w:rsidRPr="00DB52E5">
        <w:rPr>
          <w:lang w:val="en-GB"/>
        </w:rPr>
        <w:t>.</w:t>
      </w:r>
    </w:p>
    <w:p w14:paraId="29C247C6" w14:textId="4477E444" w:rsidR="003322C2" w:rsidRDefault="003322C2" w:rsidP="004F0E93">
      <w:pPr>
        <w:pStyle w:val="ListNumber2"/>
        <w:rPr>
          <w:lang w:val="en-GB"/>
        </w:rPr>
      </w:pPr>
      <w:r w:rsidRPr="0084573D">
        <w:rPr>
          <w:lang w:val="en-GB"/>
        </w:rPr>
        <w:t>Assignments to users other than the Department of Defence or the Australian Defence Force will not normally be authorised for this service. In this segment the service is primary in offshore areas.</w:t>
      </w:r>
    </w:p>
    <w:p w14:paraId="1D483CB1" w14:textId="77777777" w:rsidR="003322C2" w:rsidRPr="0084573D" w:rsidRDefault="003322C2" w:rsidP="003322C2">
      <w:pPr>
        <w:widowControl w:val="0"/>
        <w:spacing w:after="0" w:line="240" w:lineRule="auto"/>
        <w:rPr>
          <w:rFonts w:cs="Arial"/>
          <w:szCs w:val="20"/>
          <w:lang w:val="en-GB"/>
        </w:rPr>
      </w:pPr>
    </w:p>
    <w:p w14:paraId="774D09E5" w14:textId="77777777" w:rsidR="003322C2" w:rsidRDefault="003322C2" w:rsidP="003322C2">
      <w:pPr>
        <w:spacing w:after="120"/>
        <w:ind w:left="567" w:hanging="567"/>
        <w:rPr>
          <w:rFonts w:cs="Arial"/>
        </w:rPr>
      </w:pPr>
    </w:p>
    <w:p w14:paraId="70BC4D71" w14:textId="77777777" w:rsidR="00440DBA" w:rsidRPr="00D301A5" w:rsidRDefault="00440DBA" w:rsidP="00D301A5">
      <w:pPr>
        <w:rPr>
          <w:b/>
          <w:bCs/>
          <w:szCs w:val="22"/>
        </w:rPr>
      </w:pPr>
    </w:p>
    <w:sectPr w:rsidR="00440DBA" w:rsidRPr="00D301A5" w:rsidSect="00C41603">
      <w:headerReference w:type="even" r:id="rId21"/>
      <w:headerReference w:type="default" r:id="rId22"/>
      <w:footerReference w:type="even" r:id="rId23"/>
      <w:footerReference w:type="default" r:id="rId24"/>
      <w:headerReference w:type="first" r:id="rId25"/>
      <w:footerReference w:type="first" r:id="rId26"/>
      <w:pgSz w:w="16838" w:h="11906" w:orient="landscape" w:code="9"/>
      <w:pgMar w:top="1440" w:right="1440" w:bottom="1418" w:left="1559" w:header="709" w:footer="7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D848A" w14:textId="77777777" w:rsidR="003E0FC9" w:rsidRDefault="003E0FC9">
      <w:r>
        <w:separator/>
      </w:r>
    </w:p>
  </w:endnote>
  <w:endnote w:type="continuationSeparator" w:id="0">
    <w:p w14:paraId="6E25FFBD" w14:textId="77777777" w:rsidR="003E0FC9" w:rsidRDefault="003E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HelveticaNeueLT Std Med">
    <w:panose1 w:val="020B0604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36B3" w14:textId="32601FE5" w:rsidR="00857625" w:rsidRDefault="001638BA">
    <w:pPr>
      <w:pStyle w:val="Footer"/>
    </w:pPr>
    <w:r>
      <w:rPr>
        <w:noProof/>
      </w:rPr>
      <mc:AlternateContent>
        <mc:Choice Requires="wps">
          <w:drawing>
            <wp:anchor distT="0" distB="0" distL="0" distR="0" simplePos="0" relativeHeight="251667469" behindDoc="0" locked="0" layoutInCell="1" allowOverlap="1" wp14:anchorId="2CB46A6F" wp14:editId="678D8235">
              <wp:simplePos x="635" y="635"/>
              <wp:positionH relativeFrom="page">
                <wp:align>center</wp:align>
              </wp:positionH>
              <wp:positionV relativeFrom="page">
                <wp:align>bottom</wp:align>
              </wp:positionV>
              <wp:extent cx="551815" cy="376555"/>
              <wp:effectExtent l="0" t="0" r="635" b="0"/>
              <wp:wrapNone/>
              <wp:docPr id="103990973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7EFE67" w14:textId="1DF29807" w:rsidR="001638BA" w:rsidRPr="001638BA" w:rsidRDefault="001638BA" w:rsidP="001638BA">
                          <w:pPr>
                            <w:spacing w:after="0"/>
                            <w:rPr>
                              <w:rFonts w:ascii="Aptos" w:eastAsia="Aptos" w:hAnsi="Aptos" w:cs="Aptos"/>
                              <w:noProof/>
                              <w:color w:val="FF0000"/>
                              <w:sz w:val="24"/>
                            </w:rPr>
                          </w:pPr>
                          <w:r w:rsidRPr="001638B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B46A6F" id="_x0000_t202" coordsize="21600,21600" o:spt="202" path="m,l,21600r21600,l21600,xe">
              <v:stroke joinstyle="miter"/>
              <v:path gradientshapeok="t" o:connecttype="rect"/>
            </v:shapetype>
            <v:shape id="Text Box 9" o:spid="_x0000_s1026" type="#_x0000_t202" alt="OFFICIAL" style="position:absolute;margin-left:0;margin-top:0;width:43.45pt;height:29.65pt;z-index:2516674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77EFE67" w14:textId="1DF29807" w:rsidR="001638BA" w:rsidRPr="001638BA" w:rsidRDefault="001638BA" w:rsidP="001638BA">
                    <w:pPr>
                      <w:spacing w:after="0"/>
                      <w:rPr>
                        <w:rFonts w:ascii="Aptos" w:eastAsia="Aptos" w:hAnsi="Aptos" w:cs="Aptos"/>
                        <w:noProof/>
                        <w:color w:val="FF0000"/>
                        <w:sz w:val="24"/>
                      </w:rPr>
                    </w:pPr>
                    <w:r w:rsidRPr="001638BA">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EFFC" w14:textId="1E33775E" w:rsidR="003F08D1" w:rsidRDefault="003F08D1" w:rsidP="003F08D1">
    <w:pPr>
      <w:pStyle w:val="Footer"/>
      <w:tabs>
        <w:tab w:val="clear" w:pos="113"/>
        <w:tab w:val="left" w:pos="2550"/>
      </w:tabs>
    </w:pPr>
  </w:p>
  <w:p w14:paraId="4B038930" w14:textId="77777777" w:rsidR="003F08D1" w:rsidRPr="00622A3B" w:rsidRDefault="003F08D1" w:rsidP="00834967">
    <w:pPr>
      <w:pStyle w:val="Footer"/>
      <w:framePr w:w="1332" w:h="357" w:hRule="exact" w:vSpace="425" w:wrap="around" w:vAnchor="page" w:hAnchor="page" w:x="9260" w:y="15877"/>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fldChar w:fldCharType="begin"/>
    </w:r>
    <w:r>
      <w:instrText xml:space="preserve"> PAGE   \* MERGEFORMAT </w:instrText>
    </w:r>
    <w:r>
      <w:fldChar w:fldCharType="separate"/>
    </w:r>
    <w:r>
      <w:t>ii</w:t>
    </w:r>
    <w:r>
      <w:rPr>
        <w:noProof/>
      </w:rPr>
      <w:fldChar w:fldCharType="end"/>
    </w:r>
  </w:p>
  <w:p w14:paraId="61B2CCFA" w14:textId="367AB5D6" w:rsidR="003F08D1" w:rsidRPr="00F012AE" w:rsidRDefault="003F08D1" w:rsidP="00834967">
    <w:pPr>
      <w:pStyle w:val="Footer"/>
      <w:framePr w:w="1332" w:h="357" w:hRule="exact" w:vSpace="425" w:wrap="around" w:vAnchor="page" w:hAnchor="page" w:x="1158" w:y="15877"/>
      <w:tabs>
        <w:tab w:val="clear" w:pos="113"/>
        <w:tab w:val="left" w:pos="284"/>
      </w:tabs>
      <w:rPr>
        <w:rFonts w:cs="Arial"/>
      </w:rPr>
    </w:pPr>
    <w:r w:rsidRPr="00F012AE">
      <w:rPr>
        <w:rFonts w:cs="Arial"/>
        <w:noProof/>
        <w:spacing w:val="-16"/>
        <w:sz w:val="20"/>
        <w:szCs w:val="20"/>
      </w:rPr>
      <w:t xml:space="preserve">RALI </w:t>
    </w:r>
    <w:r>
      <w:rPr>
        <w:rFonts w:cs="Arial"/>
        <w:noProof/>
        <w:spacing w:val="-16"/>
        <w:sz w:val="20"/>
        <w:szCs w:val="20"/>
      </w:rPr>
      <w:t xml:space="preserve"> </w:t>
    </w:r>
    <w:r w:rsidR="00D301A5">
      <w:rPr>
        <w:rFonts w:cs="Arial"/>
        <w:noProof/>
        <w:spacing w:val="-16"/>
        <w:sz w:val="20"/>
        <w:szCs w:val="20"/>
      </w:rPr>
      <w:t>MS</w:t>
    </w:r>
    <w:r w:rsidRPr="00F012AE">
      <w:rPr>
        <w:rFonts w:cs="Arial"/>
        <w:noProof/>
        <w:spacing w:val="-16"/>
        <w:sz w:val="20"/>
        <w:szCs w:val="20"/>
      </w:rPr>
      <w:t xml:space="preserve"> </w:t>
    </w:r>
    <w:r>
      <w:rPr>
        <w:rFonts w:cs="Arial"/>
        <w:noProof/>
        <w:spacing w:val="-16"/>
        <w:sz w:val="20"/>
        <w:szCs w:val="20"/>
      </w:rPr>
      <w:t xml:space="preserve"> </w:t>
    </w:r>
    <w:r w:rsidR="00D301A5">
      <w:rPr>
        <w:rFonts w:cs="Arial"/>
        <w:noProof/>
        <w:spacing w:val="-16"/>
        <w:sz w:val="20"/>
        <w:szCs w:val="20"/>
      </w:rPr>
      <w:t>41</w:t>
    </w:r>
  </w:p>
  <w:p w14:paraId="236E8B28" w14:textId="77777777" w:rsidR="00480538" w:rsidRDefault="004805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739E" w14:textId="7C40E19A" w:rsidR="00F02C77" w:rsidRDefault="00F02C77" w:rsidP="00F02C77">
    <w:pPr>
      <w:pStyle w:val="Footer"/>
      <w:tabs>
        <w:tab w:val="clear" w:pos="113"/>
        <w:tab w:val="left" w:pos="2550"/>
      </w:tabs>
    </w:pPr>
    <w:r>
      <w:tab/>
    </w:r>
  </w:p>
  <w:p w14:paraId="10F329FA" w14:textId="77777777" w:rsidR="00050AE0" w:rsidRPr="00622A3B" w:rsidRDefault="00050AE0" w:rsidP="00480538">
    <w:pPr>
      <w:pStyle w:val="Footer"/>
      <w:framePr w:w="1332" w:h="357" w:hRule="exact" w:vSpace="425" w:wrap="around" w:vAnchor="page" w:hAnchor="page" w:x="1158" w:y="15877"/>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fldChar w:fldCharType="begin"/>
    </w:r>
    <w:r>
      <w:instrText xml:space="preserve"> PAGE   \* MERGEFORMAT </w:instrText>
    </w:r>
    <w:r>
      <w:fldChar w:fldCharType="separate"/>
    </w:r>
    <w:r>
      <w:t>ii</w:t>
    </w:r>
    <w:r>
      <w:rPr>
        <w:noProof/>
      </w:rPr>
      <w:fldChar w:fldCharType="end"/>
    </w:r>
  </w:p>
  <w:p w14:paraId="5B9E0A6D" w14:textId="0A4D6C2F" w:rsidR="00050AE0" w:rsidRPr="00F012AE" w:rsidRDefault="00050AE0" w:rsidP="00480538">
    <w:pPr>
      <w:pStyle w:val="Footer"/>
      <w:framePr w:w="1332" w:h="357" w:hRule="exact" w:vSpace="425" w:wrap="around" w:vAnchor="page" w:hAnchor="page" w:x="9260" w:y="15877"/>
      <w:tabs>
        <w:tab w:val="clear" w:pos="113"/>
        <w:tab w:val="left" w:pos="284"/>
      </w:tabs>
      <w:rPr>
        <w:rFonts w:cs="Arial"/>
      </w:rPr>
    </w:pPr>
    <w:r w:rsidRPr="00F012AE">
      <w:rPr>
        <w:rFonts w:cs="Arial"/>
        <w:noProof/>
        <w:spacing w:val="-16"/>
        <w:sz w:val="20"/>
        <w:szCs w:val="20"/>
      </w:rPr>
      <w:t xml:space="preserve">RALI </w:t>
    </w:r>
    <w:r>
      <w:rPr>
        <w:rFonts w:cs="Arial"/>
        <w:noProof/>
        <w:spacing w:val="-16"/>
        <w:sz w:val="20"/>
        <w:szCs w:val="20"/>
      </w:rPr>
      <w:t xml:space="preserve"> </w:t>
    </w:r>
    <w:r w:rsidR="00F81C9B">
      <w:rPr>
        <w:rFonts w:cs="Arial"/>
        <w:noProof/>
        <w:spacing w:val="-16"/>
        <w:sz w:val="20"/>
        <w:szCs w:val="20"/>
      </w:rPr>
      <w:t>MS</w:t>
    </w:r>
    <w:r w:rsidRPr="00F012AE">
      <w:rPr>
        <w:rFonts w:cs="Arial"/>
        <w:noProof/>
        <w:spacing w:val="-16"/>
        <w:sz w:val="20"/>
        <w:szCs w:val="20"/>
      </w:rPr>
      <w:t xml:space="preserve"> </w:t>
    </w:r>
    <w:r w:rsidR="00F81C9B">
      <w:rPr>
        <w:rFonts w:cs="Arial"/>
        <w:noProof/>
        <w:spacing w:val="-16"/>
        <w:sz w:val="20"/>
        <w:szCs w:val="20"/>
      </w:rPr>
      <w:t>41</w:t>
    </w:r>
  </w:p>
  <w:p w14:paraId="5902D0B0" w14:textId="77777777" w:rsidR="00822B3D" w:rsidRPr="00A07457" w:rsidRDefault="00822B3D" w:rsidP="004805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F199" w14:textId="37772598" w:rsidR="004316DE" w:rsidRDefault="004316DE" w:rsidP="004316DE">
    <w:pPr>
      <w:pStyle w:val="Footer"/>
      <w:tabs>
        <w:tab w:val="clear" w:pos="113"/>
        <w:tab w:val="left" w:pos="2550"/>
      </w:tabs>
    </w:pPr>
    <w:r>
      <w:tab/>
    </w:r>
  </w:p>
  <w:p w14:paraId="4CED3C5E" w14:textId="77777777" w:rsidR="004316DE" w:rsidRPr="00622A3B" w:rsidRDefault="004316DE" w:rsidP="004316DE">
    <w:pPr>
      <w:pStyle w:val="Footer"/>
      <w:framePr w:w="1332" w:h="357" w:hRule="exact" w:vSpace="425" w:wrap="around" w:vAnchor="page" w:hAnchor="page" w:x="1158" w:y="15877"/>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fldChar w:fldCharType="begin"/>
    </w:r>
    <w:r>
      <w:instrText xml:space="preserve"> PAGE   \* MERGEFORMAT </w:instrText>
    </w:r>
    <w:r>
      <w:fldChar w:fldCharType="separate"/>
    </w:r>
    <w:r>
      <w:t>ii</w:t>
    </w:r>
    <w:r>
      <w:rPr>
        <w:noProof/>
      </w:rPr>
      <w:fldChar w:fldCharType="end"/>
    </w:r>
  </w:p>
  <w:p w14:paraId="4431CE6B" w14:textId="18DD7C3C" w:rsidR="004316DE" w:rsidRPr="00F012AE" w:rsidRDefault="004316DE" w:rsidP="004316DE">
    <w:pPr>
      <w:pStyle w:val="Footer"/>
      <w:framePr w:w="1332" w:h="357" w:hRule="exact" w:vSpace="425" w:wrap="around" w:vAnchor="page" w:hAnchor="page" w:x="9260" w:y="15877"/>
      <w:tabs>
        <w:tab w:val="clear" w:pos="113"/>
        <w:tab w:val="left" w:pos="284"/>
      </w:tabs>
      <w:rPr>
        <w:rFonts w:cs="Arial"/>
      </w:rPr>
    </w:pPr>
    <w:r w:rsidRPr="00F012AE">
      <w:rPr>
        <w:rFonts w:cs="Arial"/>
        <w:noProof/>
        <w:spacing w:val="-16"/>
        <w:sz w:val="20"/>
        <w:szCs w:val="20"/>
      </w:rPr>
      <w:t xml:space="preserve">RALI </w:t>
    </w:r>
    <w:r w:rsidR="00D301A5">
      <w:rPr>
        <w:rFonts w:cs="Arial"/>
        <w:noProof/>
        <w:spacing w:val="-16"/>
        <w:sz w:val="20"/>
        <w:szCs w:val="20"/>
      </w:rPr>
      <w:t xml:space="preserve"> MS</w:t>
    </w:r>
    <w:r w:rsidRPr="00F012AE">
      <w:rPr>
        <w:rFonts w:cs="Arial"/>
        <w:noProof/>
        <w:spacing w:val="-16"/>
        <w:sz w:val="20"/>
        <w:szCs w:val="20"/>
      </w:rPr>
      <w:t xml:space="preserve"> </w:t>
    </w:r>
    <w:r w:rsidR="00D301A5">
      <w:rPr>
        <w:rFonts w:cs="Arial"/>
        <w:noProof/>
        <w:spacing w:val="-16"/>
        <w:sz w:val="20"/>
        <w:szCs w:val="20"/>
      </w:rPr>
      <w:t>41</w:t>
    </w:r>
  </w:p>
  <w:p w14:paraId="45C8CAC5" w14:textId="77777777" w:rsidR="00480538" w:rsidRPr="004316DE" w:rsidRDefault="00480538" w:rsidP="004316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9659" w14:textId="5D174E64" w:rsidR="00C41603" w:rsidRDefault="00C41603" w:rsidP="004316DE">
    <w:pPr>
      <w:pStyle w:val="Footer"/>
      <w:tabs>
        <w:tab w:val="clear" w:pos="113"/>
        <w:tab w:val="left" w:pos="2550"/>
      </w:tabs>
    </w:pPr>
    <w:r>
      <w:tab/>
    </w:r>
  </w:p>
  <w:p w14:paraId="6BA68ACD" w14:textId="77777777" w:rsidR="00C41603" w:rsidRPr="00622A3B" w:rsidRDefault="00C41603" w:rsidP="00C41603">
    <w:pPr>
      <w:pStyle w:val="Footer"/>
      <w:framePr w:w="1332" w:h="357" w:hRule="exact" w:vSpace="425" w:wrap="around" w:vAnchor="page" w:hAnchor="page" w:x="1231" w:y="10831"/>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fldChar w:fldCharType="begin"/>
    </w:r>
    <w:r>
      <w:instrText xml:space="preserve"> PAGE   \* MERGEFORMAT </w:instrText>
    </w:r>
    <w:r>
      <w:fldChar w:fldCharType="separate"/>
    </w:r>
    <w:r>
      <w:t>ii</w:t>
    </w:r>
    <w:r>
      <w:rPr>
        <w:noProof/>
      </w:rPr>
      <w:fldChar w:fldCharType="end"/>
    </w:r>
  </w:p>
  <w:p w14:paraId="6F27DCB2" w14:textId="77777777" w:rsidR="00C41603" w:rsidRPr="00F012AE" w:rsidRDefault="00C41603" w:rsidP="00C41603">
    <w:pPr>
      <w:pStyle w:val="Footer"/>
      <w:framePr w:w="1332" w:h="357" w:hRule="exact" w:vSpace="425" w:wrap="around" w:vAnchor="page" w:hAnchor="page" w:x="13981" w:y="10771"/>
      <w:tabs>
        <w:tab w:val="clear" w:pos="113"/>
        <w:tab w:val="left" w:pos="284"/>
      </w:tabs>
      <w:rPr>
        <w:rFonts w:cs="Arial"/>
      </w:rPr>
    </w:pPr>
    <w:r w:rsidRPr="00F012AE">
      <w:rPr>
        <w:rFonts w:cs="Arial"/>
        <w:noProof/>
        <w:spacing w:val="-16"/>
        <w:sz w:val="20"/>
        <w:szCs w:val="20"/>
      </w:rPr>
      <w:t xml:space="preserve">RALI </w:t>
    </w:r>
    <w:r>
      <w:rPr>
        <w:rFonts w:cs="Arial"/>
        <w:noProof/>
        <w:spacing w:val="-16"/>
        <w:sz w:val="20"/>
        <w:szCs w:val="20"/>
      </w:rPr>
      <w:t xml:space="preserve"> MS</w:t>
    </w:r>
    <w:r w:rsidRPr="00F012AE">
      <w:rPr>
        <w:rFonts w:cs="Arial"/>
        <w:noProof/>
        <w:spacing w:val="-16"/>
        <w:sz w:val="20"/>
        <w:szCs w:val="20"/>
      </w:rPr>
      <w:t xml:space="preserve"> </w:t>
    </w:r>
    <w:r>
      <w:rPr>
        <w:rFonts w:cs="Arial"/>
        <w:noProof/>
        <w:spacing w:val="-16"/>
        <w:sz w:val="20"/>
        <w:szCs w:val="20"/>
      </w:rPr>
      <w:t>41</w:t>
    </w:r>
  </w:p>
  <w:p w14:paraId="674A8D2D" w14:textId="77777777" w:rsidR="00C41603" w:rsidRPr="004316DE" w:rsidRDefault="00C41603" w:rsidP="004316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6F3C" w14:textId="391FE1E2" w:rsidR="003D30C0" w:rsidRPr="00F012AE" w:rsidRDefault="001638BA" w:rsidP="003D30C0">
    <w:pPr>
      <w:pStyle w:val="Footer"/>
      <w:framePr w:w="1332" w:h="357" w:hRule="exact" w:vSpace="425" w:wrap="around" w:vAnchor="page" w:hAnchor="page" w:x="1441" w:y="10816"/>
      <w:tabs>
        <w:tab w:val="clear" w:pos="113"/>
        <w:tab w:val="left" w:pos="284"/>
      </w:tabs>
      <w:rPr>
        <w:rFonts w:cs="Arial"/>
      </w:rPr>
    </w:pPr>
    <w:r>
      <w:rPr>
        <w:rFonts w:cs="Arial"/>
        <w:noProof/>
        <w:spacing w:val="-16"/>
        <w:sz w:val="20"/>
        <w:szCs w:val="20"/>
      </w:rPr>
      <mc:AlternateContent>
        <mc:Choice Requires="wps">
          <w:drawing>
            <wp:anchor distT="0" distB="0" distL="0" distR="0" simplePos="0" relativeHeight="251673613" behindDoc="0" locked="0" layoutInCell="1" allowOverlap="1" wp14:anchorId="17296595" wp14:editId="089EC9E5">
              <wp:simplePos x="914400" y="6867525"/>
              <wp:positionH relativeFrom="page">
                <wp:align>center</wp:align>
              </wp:positionH>
              <wp:positionV relativeFrom="page">
                <wp:align>bottom</wp:align>
              </wp:positionV>
              <wp:extent cx="551815" cy="376555"/>
              <wp:effectExtent l="0" t="0" r="635" b="0"/>
              <wp:wrapNone/>
              <wp:docPr id="579898519"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DF92BE" w14:textId="170D47CF" w:rsidR="001638BA" w:rsidRPr="001638BA" w:rsidRDefault="001638BA" w:rsidP="001638BA">
                          <w:pPr>
                            <w:spacing w:after="0"/>
                            <w:rPr>
                              <w:rFonts w:ascii="Aptos" w:eastAsia="Aptos" w:hAnsi="Aptos" w:cs="Aptos"/>
                              <w:noProof/>
                              <w:color w:val="FF0000"/>
                              <w:sz w:val="24"/>
                            </w:rPr>
                          </w:pPr>
                          <w:r w:rsidRPr="001638B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296595" id="_x0000_t202" coordsize="21600,21600" o:spt="202" path="m,l,21600r21600,l21600,xe">
              <v:stroke joinstyle="miter"/>
              <v:path gradientshapeok="t" o:connecttype="rect"/>
            </v:shapetype>
            <v:shape id="Text Box 15" o:spid="_x0000_s1027" type="#_x0000_t202" alt="OFFICIAL" style="position:absolute;margin-left:0;margin-top:0;width:43.45pt;height:29.65pt;z-index:2516736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YGYDwIAAB0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dg95+m9rfQHHEqB+PCveWrDmuvmQ9PzOGGcRBU&#10;bXjEQyroawoni5IW3M+/+WM+Eo9RSnpUTE0NSpoS9d3gQqK4JsNNxjYZxZe8zDFu9voOUIcFPgnL&#10;k4leF9RkSgf6BfW8jIUwxAzHcjXdTuZdGKWL74GL5TIloY4sC2uzsTxCR74imc/DC3P2xHjAVT3A&#10;JCdWvSF+zI03vV3uA9KfthK5HYk8UY4aTHs9vZco8tf/Kevyqhe/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dGBmA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37DF92BE" w14:textId="170D47CF" w:rsidR="001638BA" w:rsidRPr="001638BA" w:rsidRDefault="001638BA" w:rsidP="001638BA">
                    <w:pPr>
                      <w:spacing w:after="0"/>
                      <w:rPr>
                        <w:rFonts w:ascii="Aptos" w:eastAsia="Aptos" w:hAnsi="Aptos" w:cs="Aptos"/>
                        <w:noProof/>
                        <w:color w:val="FF0000"/>
                        <w:sz w:val="24"/>
                      </w:rPr>
                    </w:pPr>
                    <w:r w:rsidRPr="001638BA">
                      <w:rPr>
                        <w:rFonts w:ascii="Aptos" w:eastAsia="Aptos" w:hAnsi="Aptos" w:cs="Aptos"/>
                        <w:noProof/>
                        <w:color w:val="FF0000"/>
                        <w:sz w:val="24"/>
                      </w:rPr>
                      <w:t>OFFICIAL</w:t>
                    </w:r>
                  </w:p>
                </w:txbxContent>
              </v:textbox>
              <w10:wrap anchorx="page" anchory="page"/>
            </v:shape>
          </w:pict>
        </mc:Fallback>
      </mc:AlternateContent>
    </w:r>
    <w:r w:rsidR="003D30C0" w:rsidRPr="00F012AE">
      <w:rPr>
        <w:rFonts w:cs="Arial"/>
        <w:noProof/>
        <w:spacing w:val="-16"/>
        <w:sz w:val="20"/>
        <w:szCs w:val="20"/>
      </w:rPr>
      <w:t xml:space="preserve">RALI </w:t>
    </w:r>
    <w:r w:rsidR="003D30C0">
      <w:rPr>
        <w:rFonts w:cs="Arial"/>
        <w:noProof/>
        <w:spacing w:val="-16"/>
        <w:sz w:val="20"/>
        <w:szCs w:val="20"/>
      </w:rPr>
      <w:t xml:space="preserve"> MS</w:t>
    </w:r>
    <w:r w:rsidR="003D30C0" w:rsidRPr="00F012AE">
      <w:rPr>
        <w:rFonts w:cs="Arial"/>
        <w:noProof/>
        <w:spacing w:val="-16"/>
        <w:sz w:val="20"/>
        <w:szCs w:val="20"/>
      </w:rPr>
      <w:t xml:space="preserve"> </w:t>
    </w:r>
    <w:r w:rsidR="003D30C0">
      <w:rPr>
        <w:rFonts w:cs="Arial"/>
        <w:noProof/>
        <w:spacing w:val="-16"/>
        <w:sz w:val="20"/>
        <w:szCs w:val="20"/>
      </w:rPr>
      <w:t>41</w:t>
    </w:r>
  </w:p>
  <w:p w14:paraId="52541E2A" w14:textId="77777777" w:rsidR="003D30C0" w:rsidRPr="00622A3B" w:rsidRDefault="003D30C0" w:rsidP="003D30C0">
    <w:pPr>
      <w:pStyle w:val="Footer"/>
      <w:framePr w:w="1332" w:h="357" w:hRule="exact" w:vSpace="425" w:wrap="around" w:vAnchor="page" w:hAnchor="page" w:x="13816" w:y="10831"/>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fldChar w:fldCharType="begin"/>
    </w:r>
    <w:r>
      <w:instrText xml:space="preserve"> PAGE   \* MERGEFORMAT </w:instrText>
    </w:r>
    <w:r>
      <w:fldChar w:fldCharType="separate"/>
    </w:r>
    <w:r>
      <w:t>6</w:t>
    </w:r>
    <w:r>
      <w:rPr>
        <w:noProof/>
      </w:rPr>
      <w:fldChar w:fldCharType="end"/>
    </w:r>
  </w:p>
  <w:p w14:paraId="466EB75D" w14:textId="59F407ED" w:rsidR="003322C2" w:rsidRPr="003D30C0" w:rsidRDefault="003322C2" w:rsidP="003D30C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2209" w14:textId="73F388A5" w:rsidR="003322C2" w:rsidRPr="00A51A35" w:rsidRDefault="001638BA">
    <w:pPr>
      <w:pStyle w:val="Footer"/>
      <w:pBdr>
        <w:top w:val="single" w:sz="12" w:space="1" w:color="auto"/>
      </w:pBdr>
      <w:tabs>
        <w:tab w:val="left" w:pos="7088"/>
        <w:tab w:val="right" w:pos="13892"/>
      </w:tabs>
    </w:pPr>
    <w:r>
      <w:rPr>
        <w:rFonts w:cs="Calibri"/>
        <w:noProof/>
        <w:sz w:val="20"/>
      </w:rPr>
      <mc:AlternateContent>
        <mc:Choice Requires="wps">
          <w:drawing>
            <wp:anchor distT="0" distB="0" distL="0" distR="0" simplePos="0" relativeHeight="251671565" behindDoc="0" locked="0" layoutInCell="1" allowOverlap="1" wp14:anchorId="60CE25BD" wp14:editId="78F5355B">
              <wp:simplePos x="635" y="635"/>
              <wp:positionH relativeFrom="page">
                <wp:align>center</wp:align>
              </wp:positionH>
              <wp:positionV relativeFrom="page">
                <wp:align>bottom</wp:align>
              </wp:positionV>
              <wp:extent cx="551815" cy="376555"/>
              <wp:effectExtent l="0" t="0" r="635" b="0"/>
              <wp:wrapNone/>
              <wp:docPr id="46633425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6B4678C" w14:textId="31F541F3" w:rsidR="001638BA" w:rsidRPr="001638BA" w:rsidRDefault="001638BA" w:rsidP="001638BA">
                          <w:pPr>
                            <w:spacing w:after="0"/>
                            <w:rPr>
                              <w:rFonts w:ascii="Aptos" w:eastAsia="Aptos" w:hAnsi="Aptos" w:cs="Aptos"/>
                              <w:noProof/>
                              <w:color w:val="FF0000"/>
                              <w:sz w:val="24"/>
                            </w:rPr>
                          </w:pPr>
                          <w:r w:rsidRPr="001638B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CE25BD" id="_x0000_t202" coordsize="21600,21600" o:spt="202" path="m,l,21600r21600,l21600,xe">
              <v:stroke joinstyle="miter"/>
              <v:path gradientshapeok="t" o:connecttype="rect"/>
            </v:shapetype>
            <v:shape id="Text Box 13" o:spid="_x0000_s1029" type="#_x0000_t202" alt="OFFICIAL" style="position:absolute;margin-left:0;margin-top:0;width:43.45pt;height:29.65pt;z-index:2516715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fill o:detectmouseclick="t"/>
              <v:textbox style="mso-fit-shape-to-text:t" inset="0,0,0,15pt">
                <w:txbxContent>
                  <w:p w14:paraId="66B4678C" w14:textId="31F541F3" w:rsidR="001638BA" w:rsidRPr="001638BA" w:rsidRDefault="001638BA" w:rsidP="001638BA">
                    <w:pPr>
                      <w:spacing w:after="0"/>
                      <w:rPr>
                        <w:rFonts w:ascii="Aptos" w:eastAsia="Aptos" w:hAnsi="Aptos" w:cs="Aptos"/>
                        <w:noProof/>
                        <w:color w:val="FF0000"/>
                        <w:sz w:val="24"/>
                      </w:rPr>
                    </w:pPr>
                    <w:r w:rsidRPr="001638BA">
                      <w:rPr>
                        <w:rFonts w:ascii="Aptos" w:eastAsia="Aptos" w:hAnsi="Aptos" w:cs="Aptos"/>
                        <w:noProof/>
                        <w:color w:val="FF0000"/>
                        <w:sz w:val="24"/>
                      </w:rPr>
                      <w:t>OFFICIAL</w:t>
                    </w:r>
                  </w:p>
                </w:txbxContent>
              </v:textbox>
              <w10:wrap anchorx="page" anchory="page"/>
            </v:shape>
          </w:pict>
        </mc:Fallback>
      </mc:AlternateContent>
    </w:r>
    <w:r w:rsidR="003322C2">
      <w:rPr>
        <w:rFonts w:cs="Calibri"/>
        <w:sz w:val="20"/>
      </w:rPr>
      <w:t xml:space="preserve"> RALI MS xx</w:t>
    </w:r>
    <w:r w:rsidR="003322C2" w:rsidRPr="009811DB">
      <w:rPr>
        <w:rFonts w:cs="Calibri"/>
        <w:sz w:val="20"/>
      </w:rPr>
      <w:tab/>
    </w:r>
    <w:r w:rsidR="003322C2" w:rsidRPr="00E46B65">
      <w:rPr>
        <w:rFonts w:cs="Calibri"/>
        <w:sz w:val="20"/>
      </w:rPr>
      <w:fldChar w:fldCharType="begin"/>
    </w:r>
    <w:r w:rsidR="003322C2" w:rsidRPr="00E46B65">
      <w:rPr>
        <w:rFonts w:cs="Calibri"/>
        <w:sz w:val="20"/>
      </w:rPr>
      <w:instrText xml:space="preserve"> PAGE   \* MERGEFORMAT </w:instrText>
    </w:r>
    <w:r w:rsidR="003322C2" w:rsidRPr="00E46B65">
      <w:rPr>
        <w:rFonts w:cs="Calibri"/>
        <w:sz w:val="20"/>
      </w:rPr>
      <w:fldChar w:fldCharType="separate"/>
    </w:r>
    <w:r w:rsidR="003322C2">
      <w:rPr>
        <w:rFonts w:cs="Calibri"/>
        <w:noProof/>
        <w:sz w:val="20"/>
      </w:rPr>
      <w:t>15</w:t>
    </w:r>
    <w:r w:rsidR="003322C2" w:rsidRPr="00E46B65">
      <w:rPr>
        <w:rFonts w:cs="Calibri"/>
        <w:sz w:val="20"/>
      </w:rPr>
      <w:fldChar w:fldCharType="end"/>
    </w:r>
    <w:r w:rsidR="003322C2">
      <w:rPr>
        <w:rFonts w:cs="Calibri"/>
        <w:sz w:val="20"/>
      </w:rPr>
      <w:tab/>
      <w:t>Initial Draft April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5CC91" w14:textId="77777777" w:rsidR="003E0FC9" w:rsidRDefault="003E0FC9">
      <w:r>
        <w:separator/>
      </w:r>
    </w:p>
  </w:footnote>
  <w:footnote w:type="continuationSeparator" w:id="0">
    <w:p w14:paraId="51C6FCC0" w14:textId="77777777" w:rsidR="003E0FC9" w:rsidRDefault="003E0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FC10" w14:textId="159B10DC" w:rsidR="00A07457" w:rsidRPr="00C10875" w:rsidRDefault="00C10875" w:rsidP="00192370">
    <w:pPr>
      <w:pStyle w:val="Header"/>
      <w:spacing w:before="240"/>
      <w:ind w:hanging="567"/>
    </w:pPr>
    <w:r>
      <w:rPr>
        <w:noProof/>
      </w:rPr>
      <w:drawing>
        <wp:inline distT="0" distB="0" distL="0" distR="0" wp14:anchorId="64408805" wp14:editId="78E28C07">
          <wp:extent cx="3400425" cy="400050"/>
          <wp:effectExtent l="0" t="0" r="9525" b="0"/>
          <wp:docPr id="784618654" name="Picture 7846186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18654" name="Picture 78461865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4000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8AE7" w14:textId="27A91FBE" w:rsidR="00C053A1" w:rsidRDefault="00C05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224A" w14:textId="70EA06E4" w:rsidR="003322C2" w:rsidRDefault="003322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030B" w14:textId="62272C04" w:rsidR="003322C2" w:rsidRDefault="003322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2D5C" w14:textId="7FD7FF53" w:rsidR="003322C2" w:rsidRPr="007E315A" w:rsidRDefault="001638BA">
    <w:pPr>
      <w:pStyle w:val="Header"/>
      <w:jc w:val="right"/>
      <w:rPr>
        <w:rFonts w:cs="Calibri"/>
        <w:color w:val="C0C0C0"/>
      </w:rPr>
    </w:pPr>
    <w:r>
      <w:rPr>
        <w:rFonts w:cs="Calibri"/>
        <w:noProof/>
        <w:color w:val="C0C0C0"/>
      </w:rPr>
      <mc:AlternateContent>
        <mc:Choice Requires="wps">
          <w:drawing>
            <wp:anchor distT="0" distB="0" distL="0" distR="0" simplePos="0" relativeHeight="251663373" behindDoc="0" locked="0" layoutInCell="1" allowOverlap="1" wp14:anchorId="1C6B172E" wp14:editId="139157F4">
              <wp:simplePos x="635" y="635"/>
              <wp:positionH relativeFrom="page">
                <wp:align>center</wp:align>
              </wp:positionH>
              <wp:positionV relativeFrom="page">
                <wp:align>top</wp:align>
              </wp:positionV>
              <wp:extent cx="551815" cy="376555"/>
              <wp:effectExtent l="0" t="0" r="635" b="4445"/>
              <wp:wrapNone/>
              <wp:docPr id="166408515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22C67D" w14:textId="48258280" w:rsidR="001638BA" w:rsidRPr="001638BA" w:rsidRDefault="001638BA" w:rsidP="001638BA">
                          <w:pPr>
                            <w:spacing w:after="0"/>
                            <w:rPr>
                              <w:rFonts w:ascii="Aptos" w:eastAsia="Aptos" w:hAnsi="Aptos" w:cs="Aptos"/>
                              <w:noProof/>
                              <w:color w:val="FF0000"/>
                              <w:sz w:val="24"/>
                            </w:rPr>
                          </w:pPr>
                          <w:r w:rsidRPr="001638B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6B172E"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633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6322C67D" w14:textId="48258280" w:rsidR="001638BA" w:rsidRPr="001638BA" w:rsidRDefault="001638BA" w:rsidP="001638BA">
                    <w:pPr>
                      <w:spacing w:after="0"/>
                      <w:rPr>
                        <w:rFonts w:ascii="Aptos" w:eastAsia="Aptos" w:hAnsi="Aptos" w:cs="Aptos"/>
                        <w:noProof/>
                        <w:color w:val="FF0000"/>
                        <w:sz w:val="24"/>
                      </w:rPr>
                    </w:pPr>
                    <w:r w:rsidRPr="001638BA">
                      <w:rPr>
                        <w:rFonts w:ascii="Aptos" w:eastAsia="Aptos" w:hAnsi="Aptos" w:cs="Aptos"/>
                        <w:noProof/>
                        <w:color w:val="FF0000"/>
                        <w:sz w:val="24"/>
                      </w:rPr>
                      <w:t>OFFICIAL</w:t>
                    </w:r>
                  </w:p>
                </w:txbxContent>
              </v:textbox>
              <w10:wrap anchorx="page" anchory="page"/>
            </v:shape>
          </w:pict>
        </mc:Fallback>
      </mc:AlternateContent>
    </w:r>
    <w:r w:rsidR="003322C2">
      <w:rPr>
        <w:rFonts w:cs="Calibri"/>
        <w:color w:val="C0C0C0"/>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32.25pt;visibility:visible" o:bullet="t">
        <v:imagedata r:id="rId1" o:title="" croptop="15915f" cropbottom="20445f" cropleft="21717f" cropright="21898f"/>
      </v:shape>
    </w:pict>
  </w:numPicBullet>
  <w:abstractNum w:abstractNumId="0" w15:restartNumberingAfterBreak="0">
    <w:nsid w:val="FFFFFF1D"/>
    <w:multiLevelType w:val="multilevel"/>
    <w:tmpl w:val="26F28F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F401D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14A43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1294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03632DA"/>
    <w:lvl w:ilvl="0">
      <w:start w:val="1"/>
      <w:numFmt w:val="decimal"/>
      <w:pStyle w:val="ListNumber2"/>
      <w:lvlText w:val="%1."/>
      <w:lvlJc w:val="left"/>
      <w:pPr>
        <w:ind w:left="360" w:hanging="360"/>
      </w:pPr>
      <w:rPr>
        <w:rFonts w:hint="default"/>
      </w:rPr>
    </w:lvl>
  </w:abstractNum>
  <w:abstractNum w:abstractNumId="5" w15:restartNumberingAfterBreak="0">
    <w:nsid w:val="FFFFFF80"/>
    <w:multiLevelType w:val="singleLevel"/>
    <w:tmpl w:val="0FBE6B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9693F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BCA506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9" w15:restartNumberingAfterBreak="0">
    <w:nsid w:val="FFFFFF88"/>
    <w:multiLevelType w:val="singleLevel"/>
    <w:tmpl w:val="34367B10"/>
    <w:lvl w:ilvl="0">
      <w:start w:val="1"/>
      <w:numFmt w:val="decimal"/>
      <w:pStyle w:val="ListNumber"/>
      <w:lvlText w:val="%1."/>
      <w:lvlJc w:val="left"/>
      <w:pPr>
        <w:ind w:left="360" w:hanging="360"/>
      </w:pPr>
      <w:rPr>
        <w:rFonts w:hint="default"/>
        <w:caps/>
        <w:sz w:val="20"/>
      </w:rPr>
    </w:lvl>
  </w:abstractNum>
  <w:abstractNum w:abstractNumId="10" w15:restartNumberingAfterBreak="0">
    <w:nsid w:val="FFFFFF89"/>
    <w:multiLevelType w:val="singleLevel"/>
    <w:tmpl w:val="8D465DE8"/>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1" w15:restartNumberingAfterBreak="0">
    <w:nsid w:val="026504F6"/>
    <w:multiLevelType w:val="hybridMultilevel"/>
    <w:tmpl w:val="FC1C44E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2AF1222"/>
    <w:multiLevelType w:val="hybridMultilevel"/>
    <w:tmpl w:val="BC6E3CC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34B0EDC"/>
    <w:multiLevelType w:val="hybridMultilevel"/>
    <w:tmpl w:val="361E9DAA"/>
    <w:lvl w:ilvl="0" w:tplc="213C81A6">
      <w:start w:val="1"/>
      <w:numFmt w:val="bullet"/>
      <w:lvlText w:val="&gt;"/>
      <w:lvlJc w:val="left"/>
      <w:pPr>
        <w:ind w:left="720" w:hanging="360"/>
      </w:pPr>
      <w:rPr>
        <w:rFonts w:ascii="Arial" w:hAnsi="Arial" w:hint="default"/>
        <w:sz w:val="20"/>
        <w:szCs w:val="20"/>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086225"/>
    <w:multiLevelType w:val="multilevel"/>
    <w:tmpl w:val="6DA4AA8E"/>
    <w:lvl w:ilvl="0">
      <w:start w:val="1"/>
      <w:numFmt w:val="decimal"/>
      <w:lvlText w:val="Table %1:"/>
      <w:lvlJc w:val="left"/>
      <w:pPr>
        <w:tabs>
          <w:tab w:val="num" w:pos="1077"/>
        </w:tabs>
        <w:ind w:left="1077" w:hanging="107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1614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7E4610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087C268C"/>
    <w:multiLevelType w:val="hybridMultilevel"/>
    <w:tmpl w:val="E0A6CA9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B5A26DF"/>
    <w:multiLevelType w:val="multilevel"/>
    <w:tmpl w:val="CD886062"/>
    <w:lvl w:ilvl="0">
      <w:start w:val="1"/>
      <w:numFmt w:val="decimal"/>
      <w:lvlText w:val="Figure %1: "/>
      <w:lvlJc w:val="left"/>
      <w:pPr>
        <w:tabs>
          <w:tab w:val="num" w:pos="1077"/>
        </w:tabs>
        <w:ind w:left="1077" w:hanging="107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6804DA"/>
    <w:multiLevelType w:val="multilevel"/>
    <w:tmpl w:val="7780E848"/>
    <w:lvl w:ilvl="0">
      <w:start w:val="1"/>
      <w:numFmt w:val="decimalZero"/>
      <w:lvlText w:val="%1"/>
      <w:lvlJc w:val="left"/>
      <w:pPr>
        <w:tabs>
          <w:tab w:val="num" w:pos="454"/>
        </w:tabs>
        <w:ind w:left="454" w:hanging="454"/>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1255DAA"/>
    <w:multiLevelType w:val="multilevel"/>
    <w:tmpl w:val="71FE7796"/>
    <w:lvl w:ilvl="0">
      <w:start w:val="1"/>
      <w:numFmt w:val="decimal"/>
      <w:lvlText w:val="Figure %1:"/>
      <w:lvlJc w:val="left"/>
      <w:pPr>
        <w:tabs>
          <w:tab w:val="num" w:pos="720"/>
        </w:tabs>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4FD5FC5"/>
    <w:multiLevelType w:val="multilevel"/>
    <w:tmpl w:val="951029E0"/>
    <w:lvl w:ilvl="0">
      <w:start w:val="1"/>
      <w:numFmt w:val="decimalZero"/>
      <w:lvlText w:val="%1"/>
      <w:lvlJc w:val="left"/>
      <w:pPr>
        <w:tabs>
          <w:tab w:val="num" w:pos="454"/>
        </w:tabs>
        <w:ind w:left="454" w:hanging="454"/>
      </w:pPr>
      <w:rPr>
        <w:rFonts w:ascii="HelveticaNeueLT Std Med" w:hAnsi="HelveticaNeueLT Std Med" w:hint="default"/>
        <w:b/>
        <w:i w:val="0"/>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6BB2C53"/>
    <w:multiLevelType w:val="hybridMultilevel"/>
    <w:tmpl w:val="405A5006"/>
    <w:lvl w:ilvl="0" w:tplc="E75E7D02">
      <w:start w:val="1"/>
      <w:numFmt w:val="decimal"/>
      <w:lvlText w:val="2.%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8036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8175090"/>
    <w:multiLevelType w:val="hybridMultilevel"/>
    <w:tmpl w:val="C098FD2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5" w15:restartNumberingAfterBreak="0">
    <w:nsid w:val="1C9E10BE"/>
    <w:multiLevelType w:val="hybridMultilevel"/>
    <w:tmpl w:val="7E2272E4"/>
    <w:lvl w:ilvl="0" w:tplc="AD2AA5C8">
      <w:start w:val="1"/>
      <w:numFmt w:val="decimalZero"/>
      <w:lvlText w:val="%1"/>
      <w:lvlJc w:val="left"/>
      <w:pPr>
        <w:tabs>
          <w:tab w:val="num" w:pos="885"/>
        </w:tabs>
        <w:ind w:left="885" w:hanging="885"/>
      </w:pPr>
      <w:rPr>
        <w:rFonts w:ascii="HelveticaNeueLT Std Med" w:hAnsi="HelveticaNeueLT Std Med" w:hint="default"/>
        <w:b/>
        <w:i w:val="0"/>
        <w:color w:val="808285"/>
        <w:sz w:val="2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2BFB64A6"/>
    <w:multiLevelType w:val="multilevel"/>
    <w:tmpl w:val="926E14F2"/>
    <w:lvl w:ilvl="0">
      <w:start w:val="1"/>
      <w:numFmt w:val="decimal"/>
      <w:lvlText w:val="Figure %1:"/>
      <w:lvlJc w:val="left"/>
      <w:pPr>
        <w:tabs>
          <w:tab w:val="num" w:pos="964"/>
        </w:tabs>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301DD4"/>
    <w:multiLevelType w:val="multilevel"/>
    <w:tmpl w:val="72E425F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2EBD5469"/>
    <w:multiLevelType w:val="hybridMultilevel"/>
    <w:tmpl w:val="8E1C38FC"/>
    <w:lvl w:ilvl="0" w:tplc="0FF692CE">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F5A5080"/>
    <w:multiLevelType w:val="hybridMultilevel"/>
    <w:tmpl w:val="BE2AF6CE"/>
    <w:lvl w:ilvl="0" w:tplc="D05E2434">
      <w:start w:val="1"/>
      <w:numFmt w:val="bullet"/>
      <w:pStyle w:val="ACMABulletLevel1"/>
      <w:lvlText w:val="●"/>
      <w:lvlJc w:val="left"/>
      <w:pPr>
        <w:tabs>
          <w:tab w:val="num" w:pos="-31680"/>
        </w:tabs>
        <w:ind w:left="357" w:hanging="357"/>
      </w:pPr>
      <w:rPr>
        <w:rFonts w:ascii="Arial" w:hAnsi="Arial" w:cs="Arial" w:hint="default"/>
        <w:sz w:val="20"/>
        <w:szCs w:val="20"/>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0" w15:restartNumberingAfterBreak="0">
    <w:nsid w:val="318748BA"/>
    <w:multiLevelType w:val="multilevel"/>
    <w:tmpl w:val="6FCC7C70"/>
    <w:lvl w:ilvl="0">
      <w:start w:val="1"/>
      <w:numFmt w:val="decimal"/>
      <w:lvlText w:val="Figure %1: "/>
      <w:lvlJc w:val="left"/>
      <w:pPr>
        <w:tabs>
          <w:tab w:val="num" w:pos="1134"/>
        </w:tabs>
        <w:ind w:left="1134" w:hanging="113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7086907"/>
    <w:multiLevelType w:val="multilevel"/>
    <w:tmpl w:val="5C382F8A"/>
    <w:lvl w:ilvl="0">
      <w:start w:val="1"/>
      <w:numFmt w:val="decimal"/>
      <w:pStyle w:val="Partheading"/>
      <w:suff w:val="space"/>
      <w:lvlText w:val="Part %1:"/>
      <w:lvlJc w:val="left"/>
      <w:pPr>
        <w:ind w:left="0" w:firstLine="0"/>
      </w:pPr>
      <w:rPr>
        <w:rFonts w:hint="default"/>
      </w:rPr>
    </w:lvl>
    <w:lvl w:ilvl="1">
      <w:start w:val="1"/>
      <w:numFmt w:val="decimal"/>
      <w:pStyle w:val="Numberedheading"/>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AEA704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409C5333"/>
    <w:multiLevelType w:val="multilevel"/>
    <w:tmpl w:val="EF7285AC"/>
    <w:lvl w:ilvl="0">
      <w:start w:val="1"/>
      <w:numFmt w:val="decimalZero"/>
      <w:lvlText w:val="%1"/>
      <w:lvlJc w:val="left"/>
      <w:pPr>
        <w:tabs>
          <w:tab w:val="num" w:pos="228"/>
        </w:tabs>
        <w:ind w:left="228" w:hanging="228"/>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1B915F4"/>
    <w:multiLevelType w:val="multilevel"/>
    <w:tmpl w:val="CBBEB100"/>
    <w:lvl w:ilvl="0">
      <w:start w:val="1"/>
      <w:numFmt w:val="decimal"/>
      <w:pStyle w:val="Heading1"/>
      <w:lvlText w:val="%1"/>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431" w:hanging="431"/>
      </w:pPr>
      <w:rPr>
        <w:rFonts w:hint="default"/>
      </w:rPr>
    </w:lvl>
    <w:lvl w:ilvl="2">
      <w:start w:val="1"/>
      <w:numFmt w:val="decimal"/>
      <w:pStyle w:val="Heading3"/>
      <w:lvlText w:val="%1.%2.%3"/>
      <w:lvlJc w:val="left"/>
      <w:pPr>
        <w:ind w:left="431" w:hanging="431"/>
      </w:pPr>
      <w:rPr>
        <w:rFonts w:hint="default"/>
      </w:rPr>
    </w:lvl>
    <w:lvl w:ilvl="3">
      <w:start w:val="1"/>
      <w:numFmt w:val="decimal"/>
      <w:pStyle w:val="Heading4"/>
      <w:lvlText w:val="%1.%2.%3.%4"/>
      <w:lvlJc w:val="left"/>
      <w:pPr>
        <w:ind w:left="431" w:hanging="431"/>
      </w:pPr>
      <w:rPr>
        <w:rFonts w:hint="default"/>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35" w15:restartNumberingAfterBreak="0">
    <w:nsid w:val="42782A6D"/>
    <w:multiLevelType w:val="hybridMultilevel"/>
    <w:tmpl w:val="87962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D2B31D5"/>
    <w:multiLevelType w:val="multilevel"/>
    <w:tmpl w:val="A4BA09CC"/>
    <w:lvl w:ilvl="0">
      <w:start w:val="1"/>
      <w:numFmt w:val="decimal"/>
      <w:lvlText w:val="Figure %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48C3ECD"/>
    <w:multiLevelType w:val="multilevel"/>
    <w:tmpl w:val="9E92C28E"/>
    <w:lvl w:ilvl="0">
      <w:start w:val="1"/>
      <w:numFmt w:val="decimal"/>
      <w:lvlText w:val="Table %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4F745D5"/>
    <w:multiLevelType w:val="multilevel"/>
    <w:tmpl w:val="9FB6A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5AA21F0"/>
    <w:multiLevelType w:val="hybridMultilevel"/>
    <w:tmpl w:val="4DDA0712"/>
    <w:lvl w:ilvl="0" w:tplc="59A6BED4">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C2126C"/>
    <w:multiLevelType w:val="multilevel"/>
    <w:tmpl w:val="F1ACECC8"/>
    <w:lvl w:ilvl="0">
      <w:start w:val="1"/>
      <w:numFmt w:val="decimal"/>
      <w:lvlText w:val="Figure %1: "/>
      <w:lvlJc w:val="left"/>
      <w:pPr>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071478"/>
    <w:multiLevelType w:val="hybridMultilevel"/>
    <w:tmpl w:val="680E522C"/>
    <w:lvl w:ilvl="0" w:tplc="30580B3C">
      <w:start w:val="1"/>
      <w:numFmt w:val="decimal"/>
      <w:pStyle w:val="ACMAFigureHeader"/>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2F056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3A6E40"/>
    <w:multiLevelType w:val="hybridMultilevel"/>
    <w:tmpl w:val="A2647BFA"/>
    <w:lvl w:ilvl="0" w:tplc="53B81448">
      <w:start w:val="1"/>
      <w:numFmt w:val="decimal"/>
      <w:lvlText w:val="3.%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E51670A"/>
    <w:multiLevelType w:val="multilevel"/>
    <w:tmpl w:val="4FD29F6E"/>
    <w:lvl w:ilvl="0">
      <w:start w:val="1"/>
      <w:numFmt w:val="decimal"/>
      <w:lvlText w:val="Table %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137138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71790B94"/>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34313C5"/>
    <w:multiLevelType w:val="multilevel"/>
    <w:tmpl w:val="03DA421E"/>
    <w:lvl w:ilvl="0">
      <w:start w:val="1"/>
      <w:numFmt w:val="decimal"/>
      <w:lvlText w:val="Table %1:"/>
      <w:lvlJc w:val="left"/>
      <w:pPr>
        <w:tabs>
          <w:tab w:val="num" w:pos="964"/>
        </w:tabs>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FB2634"/>
    <w:multiLevelType w:val="hybridMultilevel"/>
    <w:tmpl w:val="C41290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1" w15:restartNumberingAfterBreak="0">
    <w:nsid w:val="743A1385"/>
    <w:multiLevelType w:val="hybridMultilevel"/>
    <w:tmpl w:val="F306BCFE"/>
    <w:lvl w:ilvl="0" w:tplc="DC76228C">
      <w:start w:val="1"/>
      <w:numFmt w:val="bullet"/>
      <w:lvlText w:val="&gt;"/>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2" w15:restartNumberingAfterBreak="0">
    <w:nsid w:val="757603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77A716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93F4A38"/>
    <w:multiLevelType w:val="hybridMultilevel"/>
    <w:tmpl w:val="D89ECD5C"/>
    <w:lvl w:ilvl="0" w:tplc="72FA6082">
      <w:start w:val="1"/>
      <w:numFmt w:val="decimal"/>
      <w:lvlText w:val="4.%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D370812"/>
    <w:multiLevelType w:val="multilevel"/>
    <w:tmpl w:val="D3A27096"/>
    <w:lvl w:ilvl="0">
      <w:start w:val="1"/>
      <w:numFmt w:val="decimal"/>
      <w:lvlText w:val="Table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EBB3307"/>
    <w:multiLevelType w:val="multilevel"/>
    <w:tmpl w:val="6EF41126"/>
    <w:lvl w:ilvl="0">
      <w:start w:val="1"/>
      <w:numFmt w:val="decimal"/>
      <w:lvlText w:val="Figure %1: "/>
      <w:lvlJc w:val="left"/>
      <w:pPr>
        <w:tabs>
          <w:tab w:val="num" w:pos="964"/>
        </w:tabs>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F33169D"/>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92675265">
    <w:abstractNumId w:val="10"/>
  </w:num>
  <w:num w:numId="2" w16cid:durableId="1803494100">
    <w:abstractNumId w:val="8"/>
  </w:num>
  <w:num w:numId="3" w16cid:durableId="234434689">
    <w:abstractNumId w:val="7"/>
  </w:num>
  <w:num w:numId="4" w16cid:durableId="240406061">
    <w:abstractNumId w:val="6"/>
  </w:num>
  <w:num w:numId="5" w16cid:durableId="478959474">
    <w:abstractNumId w:val="5"/>
  </w:num>
  <w:num w:numId="6" w16cid:durableId="807238151">
    <w:abstractNumId w:val="9"/>
  </w:num>
  <w:num w:numId="7" w16cid:durableId="1561093177">
    <w:abstractNumId w:val="4"/>
  </w:num>
  <w:num w:numId="8" w16cid:durableId="1023289903">
    <w:abstractNumId w:val="3"/>
  </w:num>
  <w:num w:numId="9" w16cid:durableId="1744449511">
    <w:abstractNumId w:val="2"/>
  </w:num>
  <w:num w:numId="10" w16cid:durableId="1468819129">
    <w:abstractNumId w:val="1"/>
  </w:num>
  <w:num w:numId="11" w16cid:durableId="1599749840">
    <w:abstractNumId w:val="48"/>
  </w:num>
  <w:num w:numId="12" w16cid:durableId="663164864">
    <w:abstractNumId w:val="25"/>
  </w:num>
  <w:num w:numId="13" w16cid:durableId="891845529">
    <w:abstractNumId w:val="33"/>
  </w:num>
  <w:num w:numId="14" w16cid:durableId="1549410872">
    <w:abstractNumId w:val="19"/>
  </w:num>
  <w:num w:numId="15" w16cid:durableId="764619944">
    <w:abstractNumId w:val="21"/>
  </w:num>
  <w:num w:numId="16" w16cid:durableId="1154299159">
    <w:abstractNumId w:val="57"/>
  </w:num>
  <w:num w:numId="17" w16cid:durableId="1591738772">
    <w:abstractNumId w:val="52"/>
  </w:num>
  <w:num w:numId="18" w16cid:durableId="676076432">
    <w:abstractNumId w:val="38"/>
  </w:num>
  <w:num w:numId="19" w16cid:durableId="537277719">
    <w:abstractNumId w:val="13"/>
  </w:num>
  <w:num w:numId="20" w16cid:durableId="308366023">
    <w:abstractNumId w:val="0"/>
  </w:num>
  <w:num w:numId="21" w16cid:durableId="358698953">
    <w:abstractNumId w:val="15"/>
  </w:num>
  <w:num w:numId="22" w16cid:durableId="568732760">
    <w:abstractNumId w:val="27"/>
  </w:num>
  <w:num w:numId="23" w16cid:durableId="2081636240">
    <w:abstractNumId w:val="23"/>
  </w:num>
  <w:num w:numId="24" w16cid:durableId="818304106">
    <w:abstractNumId w:val="42"/>
  </w:num>
  <w:num w:numId="25" w16cid:durableId="2021736052">
    <w:abstractNumId w:val="55"/>
  </w:num>
  <w:num w:numId="26" w16cid:durableId="1910337687">
    <w:abstractNumId w:val="37"/>
  </w:num>
  <w:num w:numId="27" w16cid:durableId="387195102">
    <w:abstractNumId w:val="39"/>
  </w:num>
  <w:num w:numId="28" w16cid:durableId="1134449811">
    <w:abstractNumId w:val="36"/>
  </w:num>
  <w:num w:numId="29" w16cid:durableId="803885841">
    <w:abstractNumId w:val="20"/>
  </w:num>
  <w:num w:numId="30" w16cid:durableId="1135754401">
    <w:abstractNumId w:val="26"/>
  </w:num>
  <w:num w:numId="31" w16cid:durableId="487137781">
    <w:abstractNumId w:val="40"/>
  </w:num>
  <w:num w:numId="32" w16cid:durableId="1722053936">
    <w:abstractNumId w:val="56"/>
  </w:num>
  <w:num w:numId="33" w16cid:durableId="2105227272">
    <w:abstractNumId w:val="30"/>
  </w:num>
  <w:num w:numId="34" w16cid:durableId="524490392">
    <w:abstractNumId w:val="46"/>
  </w:num>
  <w:num w:numId="35" w16cid:durableId="1744793746">
    <w:abstractNumId w:val="18"/>
  </w:num>
  <w:num w:numId="36" w16cid:durableId="1637221069">
    <w:abstractNumId w:val="14"/>
  </w:num>
  <w:num w:numId="37" w16cid:durableId="1459252032">
    <w:abstractNumId w:val="16"/>
  </w:num>
  <w:num w:numId="38" w16cid:durableId="1000347479">
    <w:abstractNumId w:val="47"/>
  </w:num>
  <w:num w:numId="39" w16cid:durableId="1128746320">
    <w:abstractNumId w:val="32"/>
  </w:num>
  <w:num w:numId="40" w16cid:durableId="448815164">
    <w:abstractNumId w:val="41"/>
  </w:num>
  <w:num w:numId="41" w16cid:durableId="772819286">
    <w:abstractNumId w:val="49"/>
  </w:num>
  <w:num w:numId="42" w16cid:durableId="1089426041">
    <w:abstractNumId w:val="53"/>
  </w:num>
  <w:num w:numId="43" w16cid:durableId="255989194">
    <w:abstractNumId w:val="44"/>
  </w:num>
  <w:num w:numId="44" w16cid:durableId="1078594571">
    <w:abstractNumId w:val="17"/>
  </w:num>
  <w:num w:numId="45" w16cid:durableId="1117988109">
    <w:abstractNumId w:val="12"/>
  </w:num>
  <w:num w:numId="46" w16cid:durableId="781649422">
    <w:abstractNumId w:val="11"/>
  </w:num>
  <w:num w:numId="47" w16cid:durableId="766510610">
    <w:abstractNumId w:val="10"/>
  </w:num>
  <w:num w:numId="48" w16cid:durableId="1905289742">
    <w:abstractNumId w:val="43"/>
  </w:num>
  <w:num w:numId="49" w16cid:durableId="281422744">
    <w:abstractNumId w:val="31"/>
  </w:num>
  <w:num w:numId="50" w16cid:durableId="800735246">
    <w:abstractNumId w:val="35"/>
  </w:num>
  <w:num w:numId="51" w16cid:durableId="519465554">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05480065">
    <w:abstractNumId w:val="31"/>
    <w:lvlOverride w:ilvl="0">
      <w:startOverride w:val="2"/>
    </w:lvlOverride>
    <w:lvlOverride w:ilvl="1">
      <w:startOverride w:val="1"/>
    </w:lvlOverride>
  </w:num>
  <w:num w:numId="53" w16cid:durableId="777020152">
    <w:abstractNumId w:val="31"/>
  </w:num>
  <w:num w:numId="54" w16cid:durableId="383984848">
    <w:abstractNumId w:val="50"/>
  </w:num>
  <w:num w:numId="55" w16cid:durableId="1158154764">
    <w:abstractNumId w:val="28"/>
  </w:num>
  <w:num w:numId="56" w16cid:durableId="217133460">
    <w:abstractNumId w:val="22"/>
  </w:num>
  <w:num w:numId="57" w16cid:durableId="2081973738">
    <w:abstractNumId w:val="45"/>
  </w:num>
  <w:num w:numId="58" w16cid:durableId="1084644968">
    <w:abstractNumId w:val="54"/>
  </w:num>
  <w:num w:numId="59" w16cid:durableId="1146126005">
    <w:abstractNumId w:val="51"/>
  </w:num>
  <w:num w:numId="60" w16cid:durableId="851333836">
    <w:abstractNumId w:val="34"/>
  </w:num>
  <w:num w:numId="61" w16cid:durableId="12242961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58240790">
    <w:abstractNumId w:val="29"/>
  </w:num>
  <w:num w:numId="63" w16cid:durableId="998382224">
    <w:abstractNumId w:val="24"/>
  </w:num>
  <w:num w:numId="64" w16cid:durableId="1810631883">
    <w:abstractNumId w:val="4"/>
    <w:lvlOverride w:ilvl="0">
      <w:startOverride w:val="1"/>
    </w:lvlOverride>
  </w:num>
  <w:num w:numId="65" w16cid:durableId="1852910464">
    <w:abstractNumId w:val="4"/>
  </w:num>
  <w:num w:numId="66" w16cid:durableId="1861553492">
    <w:abstractNumId w:val="4"/>
  </w:num>
  <w:num w:numId="67" w16cid:durableId="963123083">
    <w:abstractNumId w:val="4"/>
    <w:lvlOverride w:ilvl="0">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284"/>
  <w:evenAndOddHeaders/>
  <w:drawingGridHorizontalSpacing w:val="100"/>
  <w:displayHorizontalDrawingGridEvery w:val="2"/>
  <w:characterSpacingControl w:val="doNotCompress"/>
  <w:hdrShapeDefaults>
    <o:shapedefaults v:ext="edit" spidmax="3073">
      <o:colormru v:ext="edit" colors="red,#4d4d4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34"/>
    <w:rsid w:val="00004778"/>
    <w:rsid w:val="00010667"/>
    <w:rsid w:val="000129D5"/>
    <w:rsid w:val="0001362A"/>
    <w:rsid w:val="00015AE7"/>
    <w:rsid w:val="000169B6"/>
    <w:rsid w:val="00016E21"/>
    <w:rsid w:val="0001719C"/>
    <w:rsid w:val="0002224E"/>
    <w:rsid w:val="000245E5"/>
    <w:rsid w:val="00026F91"/>
    <w:rsid w:val="00031600"/>
    <w:rsid w:val="0004764C"/>
    <w:rsid w:val="0005011A"/>
    <w:rsid w:val="0005045A"/>
    <w:rsid w:val="00050AE0"/>
    <w:rsid w:val="00051C1E"/>
    <w:rsid w:val="000539F9"/>
    <w:rsid w:val="00054C27"/>
    <w:rsid w:val="00055EC3"/>
    <w:rsid w:val="000563CE"/>
    <w:rsid w:val="000572FE"/>
    <w:rsid w:val="00063A18"/>
    <w:rsid w:val="000659B6"/>
    <w:rsid w:val="0006686F"/>
    <w:rsid w:val="0006722A"/>
    <w:rsid w:val="000732CF"/>
    <w:rsid w:val="00075B96"/>
    <w:rsid w:val="00077D2B"/>
    <w:rsid w:val="0008196A"/>
    <w:rsid w:val="00082D5F"/>
    <w:rsid w:val="00086518"/>
    <w:rsid w:val="000915ED"/>
    <w:rsid w:val="0009209D"/>
    <w:rsid w:val="00095FA0"/>
    <w:rsid w:val="000969BD"/>
    <w:rsid w:val="000969BF"/>
    <w:rsid w:val="00097D72"/>
    <w:rsid w:val="000A0C22"/>
    <w:rsid w:val="000A1400"/>
    <w:rsid w:val="000A3C43"/>
    <w:rsid w:val="000A4A51"/>
    <w:rsid w:val="000A5B2B"/>
    <w:rsid w:val="000A5D2B"/>
    <w:rsid w:val="000A7442"/>
    <w:rsid w:val="000B2746"/>
    <w:rsid w:val="000B27C0"/>
    <w:rsid w:val="000B418E"/>
    <w:rsid w:val="000B5DE3"/>
    <w:rsid w:val="000B652B"/>
    <w:rsid w:val="000C0A57"/>
    <w:rsid w:val="000C1A48"/>
    <w:rsid w:val="000C230C"/>
    <w:rsid w:val="000C6AB4"/>
    <w:rsid w:val="000C739A"/>
    <w:rsid w:val="000D71D9"/>
    <w:rsid w:val="000D76E0"/>
    <w:rsid w:val="000D7E8B"/>
    <w:rsid w:val="000E4449"/>
    <w:rsid w:val="000E6097"/>
    <w:rsid w:val="000F7CDB"/>
    <w:rsid w:val="00103829"/>
    <w:rsid w:val="00111FCE"/>
    <w:rsid w:val="00114617"/>
    <w:rsid w:val="00116DDD"/>
    <w:rsid w:val="001229A5"/>
    <w:rsid w:val="0012489B"/>
    <w:rsid w:val="00130017"/>
    <w:rsid w:val="00130F91"/>
    <w:rsid w:val="001349ED"/>
    <w:rsid w:val="00137424"/>
    <w:rsid w:val="00140318"/>
    <w:rsid w:val="001405BF"/>
    <w:rsid w:val="00141AD9"/>
    <w:rsid w:val="00146CE6"/>
    <w:rsid w:val="00152903"/>
    <w:rsid w:val="00153FD5"/>
    <w:rsid w:val="00154853"/>
    <w:rsid w:val="0015614F"/>
    <w:rsid w:val="00156B0D"/>
    <w:rsid w:val="001577C2"/>
    <w:rsid w:val="001633C4"/>
    <w:rsid w:val="001638BA"/>
    <w:rsid w:val="001704D5"/>
    <w:rsid w:val="00171591"/>
    <w:rsid w:val="00173981"/>
    <w:rsid w:val="0017719D"/>
    <w:rsid w:val="00183FD7"/>
    <w:rsid w:val="00185A05"/>
    <w:rsid w:val="00185CAB"/>
    <w:rsid w:val="001875B7"/>
    <w:rsid w:val="00187CB3"/>
    <w:rsid w:val="0019050A"/>
    <w:rsid w:val="001910D4"/>
    <w:rsid w:val="00192370"/>
    <w:rsid w:val="001976E3"/>
    <w:rsid w:val="00197836"/>
    <w:rsid w:val="001A44EC"/>
    <w:rsid w:val="001B0653"/>
    <w:rsid w:val="001B1598"/>
    <w:rsid w:val="001B58AA"/>
    <w:rsid w:val="001B7E48"/>
    <w:rsid w:val="001C17CE"/>
    <w:rsid w:val="001C30D8"/>
    <w:rsid w:val="001C36CA"/>
    <w:rsid w:val="001C44D1"/>
    <w:rsid w:val="001C6AEE"/>
    <w:rsid w:val="001C7630"/>
    <w:rsid w:val="001D3131"/>
    <w:rsid w:val="001D6D15"/>
    <w:rsid w:val="001E6386"/>
    <w:rsid w:val="001F0130"/>
    <w:rsid w:val="001F0E76"/>
    <w:rsid w:val="001F7558"/>
    <w:rsid w:val="00205B57"/>
    <w:rsid w:val="0021287F"/>
    <w:rsid w:val="002157E0"/>
    <w:rsid w:val="00216A57"/>
    <w:rsid w:val="0022334F"/>
    <w:rsid w:val="00226819"/>
    <w:rsid w:val="00226E1E"/>
    <w:rsid w:val="00233101"/>
    <w:rsid w:val="00233817"/>
    <w:rsid w:val="002367FF"/>
    <w:rsid w:val="00240CE9"/>
    <w:rsid w:val="002434BA"/>
    <w:rsid w:val="00243D31"/>
    <w:rsid w:val="00244551"/>
    <w:rsid w:val="00246089"/>
    <w:rsid w:val="00246093"/>
    <w:rsid w:val="00246702"/>
    <w:rsid w:val="00247C59"/>
    <w:rsid w:val="00247F2E"/>
    <w:rsid w:val="00250ADC"/>
    <w:rsid w:val="00250B07"/>
    <w:rsid w:val="00254146"/>
    <w:rsid w:val="00257553"/>
    <w:rsid w:val="00260FB2"/>
    <w:rsid w:val="00262128"/>
    <w:rsid w:val="0027165D"/>
    <w:rsid w:val="00273CEB"/>
    <w:rsid w:val="00281C89"/>
    <w:rsid w:val="0028282F"/>
    <w:rsid w:val="00292327"/>
    <w:rsid w:val="0029593B"/>
    <w:rsid w:val="002979D1"/>
    <w:rsid w:val="00297FC5"/>
    <w:rsid w:val="002A0417"/>
    <w:rsid w:val="002A16D8"/>
    <w:rsid w:val="002A1BC8"/>
    <w:rsid w:val="002A3EF2"/>
    <w:rsid w:val="002A467C"/>
    <w:rsid w:val="002B0DED"/>
    <w:rsid w:val="002B19A2"/>
    <w:rsid w:val="002B32B1"/>
    <w:rsid w:val="002B381A"/>
    <w:rsid w:val="002B4FCC"/>
    <w:rsid w:val="002B7408"/>
    <w:rsid w:val="002B7CFD"/>
    <w:rsid w:val="002C210F"/>
    <w:rsid w:val="002C7A77"/>
    <w:rsid w:val="002D1060"/>
    <w:rsid w:val="002D34CD"/>
    <w:rsid w:val="002D3600"/>
    <w:rsid w:val="002D7F52"/>
    <w:rsid w:val="002E4DDC"/>
    <w:rsid w:val="002E5BBB"/>
    <w:rsid w:val="002E689A"/>
    <w:rsid w:val="002E6D36"/>
    <w:rsid w:val="00302480"/>
    <w:rsid w:val="0030638F"/>
    <w:rsid w:val="003165E6"/>
    <w:rsid w:val="00317CE5"/>
    <w:rsid w:val="003215B5"/>
    <w:rsid w:val="003221CF"/>
    <w:rsid w:val="003233ED"/>
    <w:rsid w:val="00324D9F"/>
    <w:rsid w:val="00327948"/>
    <w:rsid w:val="0033000F"/>
    <w:rsid w:val="00330733"/>
    <w:rsid w:val="00332011"/>
    <w:rsid w:val="003322C2"/>
    <w:rsid w:val="00332518"/>
    <w:rsid w:val="00332925"/>
    <w:rsid w:val="003332ED"/>
    <w:rsid w:val="003368DC"/>
    <w:rsid w:val="00345927"/>
    <w:rsid w:val="00350584"/>
    <w:rsid w:val="00351857"/>
    <w:rsid w:val="003545E8"/>
    <w:rsid w:val="003610E1"/>
    <w:rsid w:val="003627B5"/>
    <w:rsid w:val="00366071"/>
    <w:rsid w:val="003671BE"/>
    <w:rsid w:val="00371C83"/>
    <w:rsid w:val="00372485"/>
    <w:rsid w:val="00373200"/>
    <w:rsid w:val="00375EF5"/>
    <w:rsid w:val="003767A5"/>
    <w:rsid w:val="0037743D"/>
    <w:rsid w:val="00381D15"/>
    <w:rsid w:val="00385254"/>
    <w:rsid w:val="003949EF"/>
    <w:rsid w:val="003A04DB"/>
    <w:rsid w:val="003A5F5B"/>
    <w:rsid w:val="003A6013"/>
    <w:rsid w:val="003A711B"/>
    <w:rsid w:val="003A789A"/>
    <w:rsid w:val="003B12EC"/>
    <w:rsid w:val="003B6CAB"/>
    <w:rsid w:val="003C40AC"/>
    <w:rsid w:val="003C77E0"/>
    <w:rsid w:val="003D17D7"/>
    <w:rsid w:val="003D23B9"/>
    <w:rsid w:val="003D2678"/>
    <w:rsid w:val="003D30C0"/>
    <w:rsid w:val="003D71A3"/>
    <w:rsid w:val="003E0FC9"/>
    <w:rsid w:val="003E2B8A"/>
    <w:rsid w:val="003F08D1"/>
    <w:rsid w:val="003F10EE"/>
    <w:rsid w:val="003F16F6"/>
    <w:rsid w:val="003F4DC7"/>
    <w:rsid w:val="003F5235"/>
    <w:rsid w:val="00400A67"/>
    <w:rsid w:val="004027E4"/>
    <w:rsid w:val="0040306E"/>
    <w:rsid w:val="004059C1"/>
    <w:rsid w:val="0040648E"/>
    <w:rsid w:val="0041071D"/>
    <w:rsid w:val="00414AFC"/>
    <w:rsid w:val="004151A7"/>
    <w:rsid w:val="00415310"/>
    <w:rsid w:val="004172FD"/>
    <w:rsid w:val="0041773B"/>
    <w:rsid w:val="00420CAF"/>
    <w:rsid w:val="00421709"/>
    <w:rsid w:val="00423763"/>
    <w:rsid w:val="00425F99"/>
    <w:rsid w:val="0042762F"/>
    <w:rsid w:val="00427DC7"/>
    <w:rsid w:val="00431613"/>
    <w:rsid w:val="004316DE"/>
    <w:rsid w:val="00431792"/>
    <w:rsid w:val="0043297A"/>
    <w:rsid w:val="00432EB2"/>
    <w:rsid w:val="0043309D"/>
    <w:rsid w:val="0043714F"/>
    <w:rsid w:val="00440DBA"/>
    <w:rsid w:val="004438B5"/>
    <w:rsid w:val="0044491F"/>
    <w:rsid w:val="00447037"/>
    <w:rsid w:val="0045124D"/>
    <w:rsid w:val="004530BD"/>
    <w:rsid w:val="00454596"/>
    <w:rsid w:val="0045605D"/>
    <w:rsid w:val="0046135B"/>
    <w:rsid w:val="00461D47"/>
    <w:rsid w:val="00465467"/>
    <w:rsid w:val="004718CC"/>
    <w:rsid w:val="00480538"/>
    <w:rsid w:val="00481695"/>
    <w:rsid w:val="004904C9"/>
    <w:rsid w:val="00495A96"/>
    <w:rsid w:val="00495BB3"/>
    <w:rsid w:val="004A13A7"/>
    <w:rsid w:val="004A56BB"/>
    <w:rsid w:val="004A59E6"/>
    <w:rsid w:val="004B1751"/>
    <w:rsid w:val="004C0253"/>
    <w:rsid w:val="004D56FF"/>
    <w:rsid w:val="004D735E"/>
    <w:rsid w:val="004E012E"/>
    <w:rsid w:val="004E39D3"/>
    <w:rsid w:val="004E508A"/>
    <w:rsid w:val="004E616D"/>
    <w:rsid w:val="004E6B83"/>
    <w:rsid w:val="004F0E93"/>
    <w:rsid w:val="004F1BDE"/>
    <w:rsid w:val="004F2CEE"/>
    <w:rsid w:val="004F556E"/>
    <w:rsid w:val="004F591C"/>
    <w:rsid w:val="004F7DA3"/>
    <w:rsid w:val="004F7F44"/>
    <w:rsid w:val="00501CBF"/>
    <w:rsid w:val="005037B4"/>
    <w:rsid w:val="005079BF"/>
    <w:rsid w:val="0051269A"/>
    <w:rsid w:val="00516C9D"/>
    <w:rsid w:val="005219E7"/>
    <w:rsid w:val="00526603"/>
    <w:rsid w:val="00531B9A"/>
    <w:rsid w:val="00531D15"/>
    <w:rsid w:val="00537604"/>
    <w:rsid w:val="00542377"/>
    <w:rsid w:val="005476EB"/>
    <w:rsid w:val="00551782"/>
    <w:rsid w:val="00551BE0"/>
    <w:rsid w:val="005522FC"/>
    <w:rsid w:val="00563EF1"/>
    <w:rsid w:val="00566AB4"/>
    <w:rsid w:val="00575AC5"/>
    <w:rsid w:val="0057605D"/>
    <w:rsid w:val="00581347"/>
    <w:rsid w:val="00581AC9"/>
    <w:rsid w:val="005849F8"/>
    <w:rsid w:val="005938DF"/>
    <w:rsid w:val="00594E9C"/>
    <w:rsid w:val="005A099B"/>
    <w:rsid w:val="005A2AD5"/>
    <w:rsid w:val="005A2D9C"/>
    <w:rsid w:val="005A55FE"/>
    <w:rsid w:val="005A6A11"/>
    <w:rsid w:val="005D13D1"/>
    <w:rsid w:val="005D2502"/>
    <w:rsid w:val="005D40BB"/>
    <w:rsid w:val="005D47F3"/>
    <w:rsid w:val="005D49BF"/>
    <w:rsid w:val="005D4AA5"/>
    <w:rsid w:val="005D6F4E"/>
    <w:rsid w:val="005D7C73"/>
    <w:rsid w:val="005E042E"/>
    <w:rsid w:val="005E3ACD"/>
    <w:rsid w:val="005E7226"/>
    <w:rsid w:val="005E7A57"/>
    <w:rsid w:val="005F24B0"/>
    <w:rsid w:val="005F2FDC"/>
    <w:rsid w:val="005F756F"/>
    <w:rsid w:val="00602B0F"/>
    <w:rsid w:val="00604315"/>
    <w:rsid w:val="00604E26"/>
    <w:rsid w:val="006052CF"/>
    <w:rsid w:val="00607B8D"/>
    <w:rsid w:val="00611F5C"/>
    <w:rsid w:val="00612EF9"/>
    <w:rsid w:val="00616E09"/>
    <w:rsid w:val="00622A3B"/>
    <w:rsid w:val="00622EEA"/>
    <w:rsid w:val="0062396C"/>
    <w:rsid w:val="00623FF9"/>
    <w:rsid w:val="00627D4E"/>
    <w:rsid w:val="00632A71"/>
    <w:rsid w:val="00632B89"/>
    <w:rsid w:val="00634478"/>
    <w:rsid w:val="00644373"/>
    <w:rsid w:val="00645915"/>
    <w:rsid w:val="006519C3"/>
    <w:rsid w:val="00652B30"/>
    <w:rsid w:val="00656345"/>
    <w:rsid w:val="00656DC6"/>
    <w:rsid w:val="00660EC6"/>
    <w:rsid w:val="00664110"/>
    <w:rsid w:val="00664D17"/>
    <w:rsid w:val="00666520"/>
    <w:rsid w:val="00667C5B"/>
    <w:rsid w:val="0068432F"/>
    <w:rsid w:val="00691779"/>
    <w:rsid w:val="00691EB8"/>
    <w:rsid w:val="00692CDE"/>
    <w:rsid w:val="00693073"/>
    <w:rsid w:val="006977FF"/>
    <w:rsid w:val="006A01FA"/>
    <w:rsid w:val="006A0E9E"/>
    <w:rsid w:val="006A25C7"/>
    <w:rsid w:val="006A4AAD"/>
    <w:rsid w:val="006A6DA2"/>
    <w:rsid w:val="006A7AB2"/>
    <w:rsid w:val="006B530C"/>
    <w:rsid w:val="006B5717"/>
    <w:rsid w:val="006B582F"/>
    <w:rsid w:val="006B5EB2"/>
    <w:rsid w:val="006C0CEB"/>
    <w:rsid w:val="006C3B1E"/>
    <w:rsid w:val="006C47FD"/>
    <w:rsid w:val="006C5C19"/>
    <w:rsid w:val="006C70A0"/>
    <w:rsid w:val="006D27CB"/>
    <w:rsid w:val="006D2F08"/>
    <w:rsid w:val="006D576C"/>
    <w:rsid w:val="006D5865"/>
    <w:rsid w:val="006D5BB1"/>
    <w:rsid w:val="006E3164"/>
    <w:rsid w:val="006E4694"/>
    <w:rsid w:val="006E4B1B"/>
    <w:rsid w:val="006E5445"/>
    <w:rsid w:val="006E7D93"/>
    <w:rsid w:val="007029A3"/>
    <w:rsid w:val="007062D1"/>
    <w:rsid w:val="00706E4E"/>
    <w:rsid w:val="0070791C"/>
    <w:rsid w:val="0071383C"/>
    <w:rsid w:val="00713EED"/>
    <w:rsid w:val="007141A7"/>
    <w:rsid w:val="00715722"/>
    <w:rsid w:val="00721032"/>
    <w:rsid w:val="00721B55"/>
    <w:rsid w:val="00726CE4"/>
    <w:rsid w:val="007275D0"/>
    <w:rsid w:val="00733D5E"/>
    <w:rsid w:val="00734143"/>
    <w:rsid w:val="00736DEA"/>
    <w:rsid w:val="00737E47"/>
    <w:rsid w:val="00740EAC"/>
    <w:rsid w:val="00744956"/>
    <w:rsid w:val="00745A5C"/>
    <w:rsid w:val="0074605F"/>
    <w:rsid w:val="00746A68"/>
    <w:rsid w:val="00747E94"/>
    <w:rsid w:val="00754C83"/>
    <w:rsid w:val="0075765A"/>
    <w:rsid w:val="00765DF8"/>
    <w:rsid w:val="007664DC"/>
    <w:rsid w:val="00766749"/>
    <w:rsid w:val="00767C1B"/>
    <w:rsid w:val="00767E79"/>
    <w:rsid w:val="007714A9"/>
    <w:rsid w:val="00771A65"/>
    <w:rsid w:val="00774F88"/>
    <w:rsid w:val="00774FDB"/>
    <w:rsid w:val="00777BA2"/>
    <w:rsid w:val="00781408"/>
    <w:rsid w:val="00784F7F"/>
    <w:rsid w:val="00785E0F"/>
    <w:rsid w:val="007878BD"/>
    <w:rsid w:val="007924F7"/>
    <w:rsid w:val="00794B29"/>
    <w:rsid w:val="00796F25"/>
    <w:rsid w:val="007A2E98"/>
    <w:rsid w:val="007A3BA3"/>
    <w:rsid w:val="007A5234"/>
    <w:rsid w:val="007A6CC0"/>
    <w:rsid w:val="007A7FEC"/>
    <w:rsid w:val="007B1499"/>
    <w:rsid w:val="007B1BBF"/>
    <w:rsid w:val="007B2960"/>
    <w:rsid w:val="007B355D"/>
    <w:rsid w:val="007B7980"/>
    <w:rsid w:val="007C0DEF"/>
    <w:rsid w:val="007C572F"/>
    <w:rsid w:val="007C5D5A"/>
    <w:rsid w:val="007C607F"/>
    <w:rsid w:val="007C79DD"/>
    <w:rsid w:val="007D1A97"/>
    <w:rsid w:val="007D2CD6"/>
    <w:rsid w:val="007D3063"/>
    <w:rsid w:val="007D388A"/>
    <w:rsid w:val="007D3CEB"/>
    <w:rsid w:val="007D624A"/>
    <w:rsid w:val="007E7683"/>
    <w:rsid w:val="007F49FA"/>
    <w:rsid w:val="007F54C4"/>
    <w:rsid w:val="007F5F75"/>
    <w:rsid w:val="007F6E9A"/>
    <w:rsid w:val="00802323"/>
    <w:rsid w:val="008044D4"/>
    <w:rsid w:val="00810AB4"/>
    <w:rsid w:val="00817B56"/>
    <w:rsid w:val="00821A88"/>
    <w:rsid w:val="00822B3D"/>
    <w:rsid w:val="0082495D"/>
    <w:rsid w:val="00831AC3"/>
    <w:rsid w:val="00834967"/>
    <w:rsid w:val="008408FF"/>
    <w:rsid w:val="00842CBD"/>
    <w:rsid w:val="00851098"/>
    <w:rsid w:val="00851F3F"/>
    <w:rsid w:val="008560DB"/>
    <w:rsid w:val="00856EDC"/>
    <w:rsid w:val="00857625"/>
    <w:rsid w:val="008623B5"/>
    <w:rsid w:val="00863E26"/>
    <w:rsid w:val="00870ABA"/>
    <w:rsid w:val="008710E1"/>
    <w:rsid w:val="008716E5"/>
    <w:rsid w:val="008730C8"/>
    <w:rsid w:val="00873514"/>
    <w:rsid w:val="00881CA9"/>
    <w:rsid w:val="00883628"/>
    <w:rsid w:val="00885544"/>
    <w:rsid w:val="0088634E"/>
    <w:rsid w:val="00893AB8"/>
    <w:rsid w:val="00895B8D"/>
    <w:rsid w:val="00897518"/>
    <w:rsid w:val="00897B8D"/>
    <w:rsid w:val="008A04C8"/>
    <w:rsid w:val="008A6913"/>
    <w:rsid w:val="008B16D0"/>
    <w:rsid w:val="008B4A10"/>
    <w:rsid w:val="008B4D1C"/>
    <w:rsid w:val="008B70F3"/>
    <w:rsid w:val="008B71C4"/>
    <w:rsid w:val="008B76DF"/>
    <w:rsid w:val="008C10F4"/>
    <w:rsid w:val="008C3D36"/>
    <w:rsid w:val="008C65F7"/>
    <w:rsid w:val="008D39AF"/>
    <w:rsid w:val="008D6BD1"/>
    <w:rsid w:val="008D7A1E"/>
    <w:rsid w:val="008E4767"/>
    <w:rsid w:val="008E7A8C"/>
    <w:rsid w:val="008F4882"/>
    <w:rsid w:val="008F7E36"/>
    <w:rsid w:val="00903285"/>
    <w:rsid w:val="00906F40"/>
    <w:rsid w:val="0090731E"/>
    <w:rsid w:val="00915B1C"/>
    <w:rsid w:val="009174F3"/>
    <w:rsid w:val="0091797D"/>
    <w:rsid w:val="00923CBA"/>
    <w:rsid w:val="00923D7A"/>
    <w:rsid w:val="00926703"/>
    <w:rsid w:val="00927691"/>
    <w:rsid w:val="00927A5F"/>
    <w:rsid w:val="009339FE"/>
    <w:rsid w:val="00935B63"/>
    <w:rsid w:val="0094078F"/>
    <w:rsid w:val="00940FA3"/>
    <w:rsid w:val="00941FB0"/>
    <w:rsid w:val="009426D4"/>
    <w:rsid w:val="00947F25"/>
    <w:rsid w:val="00950159"/>
    <w:rsid w:val="0095490B"/>
    <w:rsid w:val="00960A33"/>
    <w:rsid w:val="0096299E"/>
    <w:rsid w:val="00971914"/>
    <w:rsid w:val="00971EAE"/>
    <w:rsid w:val="00974363"/>
    <w:rsid w:val="0097505A"/>
    <w:rsid w:val="00981898"/>
    <w:rsid w:val="0098494B"/>
    <w:rsid w:val="00992EA4"/>
    <w:rsid w:val="0099577C"/>
    <w:rsid w:val="009B2601"/>
    <w:rsid w:val="009B4E9E"/>
    <w:rsid w:val="009C1690"/>
    <w:rsid w:val="009C41ED"/>
    <w:rsid w:val="009C6881"/>
    <w:rsid w:val="009C7759"/>
    <w:rsid w:val="009D043D"/>
    <w:rsid w:val="009D07C8"/>
    <w:rsid w:val="009D69A5"/>
    <w:rsid w:val="009D6C71"/>
    <w:rsid w:val="009E0631"/>
    <w:rsid w:val="009E16D0"/>
    <w:rsid w:val="009E38FD"/>
    <w:rsid w:val="009E6ED1"/>
    <w:rsid w:val="009F13D6"/>
    <w:rsid w:val="009F4C6B"/>
    <w:rsid w:val="009F5B80"/>
    <w:rsid w:val="009F78A8"/>
    <w:rsid w:val="00A02AD6"/>
    <w:rsid w:val="00A07096"/>
    <w:rsid w:val="00A07318"/>
    <w:rsid w:val="00A07457"/>
    <w:rsid w:val="00A11370"/>
    <w:rsid w:val="00A1481A"/>
    <w:rsid w:val="00A220C5"/>
    <w:rsid w:val="00A224CE"/>
    <w:rsid w:val="00A22522"/>
    <w:rsid w:val="00A24AFD"/>
    <w:rsid w:val="00A24F5C"/>
    <w:rsid w:val="00A32F96"/>
    <w:rsid w:val="00A34CAF"/>
    <w:rsid w:val="00A40871"/>
    <w:rsid w:val="00A412AB"/>
    <w:rsid w:val="00A41632"/>
    <w:rsid w:val="00A416B0"/>
    <w:rsid w:val="00A4193E"/>
    <w:rsid w:val="00A440E0"/>
    <w:rsid w:val="00A442EF"/>
    <w:rsid w:val="00A47355"/>
    <w:rsid w:val="00A47699"/>
    <w:rsid w:val="00A51D1A"/>
    <w:rsid w:val="00A5418D"/>
    <w:rsid w:val="00A5474E"/>
    <w:rsid w:val="00A55E3A"/>
    <w:rsid w:val="00A57337"/>
    <w:rsid w:val="00A64234"/>
    <w:rsid w:val="00A70ADF"/>
    <w:rsid w:val="00A71466"/>
    <w:rsid w:val="00A74B5E"/>
    <w:rsid w:val="00A771E3"/>
    <w:rsid w:val="00A81BED"/>
    <w:rsid w:val="00A81EC4"/>
    <w:rsid w:val="00A81F83"/>
    <w:rsid w:val="00A864A2"/>
    <w:rsid w:val="00A967FD"/>
    <w:rsid w:val="00AA2DE5"/>
    <w:rsid w:val="00AB156C"/>
    <w:rsid w:val="00AB6814"/>
    <w:rsid w:val="00AC04BA"/>
    <w:rsid w:val="00AC0E39"/>
    <w:rsid w:val="00AD3082"/>
    <w:rsid w:val="00AD32B4"/>
    <w:rsid w:val="00AD3B10"/>
    <w:rsid w:val="00AD4AD0"/>
    <w:rsid w:val="00AD5436"/>
    <w:rsid w:val="00AD60CD"/>
    <w:rsid w:val="00AD6C8C"/>
    <w:rsid w:val="00AE091D"/>
    <w:rsid w:val="00AE3B60"/>
    <w:rsid w:val="00AE53A1"/>
    <w:rsid w:val="00AF06C8"/>
    <w:rsid w:val="00AF2484"/>
    <w:rsid w:val="00AF555D"/>
    <w:rsid w:val="00AF63E7"/>
    <w:rsid w:val="00AF6BB4"/>
    <w:rsid w:val="00AF6E17"/>
    <w:rsid w:val="00B0165D"/>
    <w:rsid w:val="00B01B60"/>
    <w:rsid w:val="00B031F3"/>
    <w:rsid w:val="00B052A4"/>
    <w:rsid w:val="00B125DE"/>
    <w:rsid w:val="00B13FDD"/>
    <w:rsid w:val="00B22EB2"/>
    <w:rsid w:val="00B27442"/>
    <w:rsid w:val="00B31167"/>
    <w:rsid w:val="00B31F36"/>
    <w:rsid w:val="00B329D8"/>
    <w:rsid w:val="00B32BB9"/>
    <w:rsid w:val="00B33AE1"/>
    <w:rsid w:val="00B37C38"/>
    <w:rsid w:val="00B4288C"/>
    <w:rsid w:val="00B43262"/>
    <w:rsid w:val="00B44100"/>
    <w:rsid w:val="00B46CBA"/>
    <w:rsid w:val="00B46F94"/>
    <w:rsid w:val="00B47802"/>
    <w:rsid w:val="00B6003C"/>
    <w:rsid w:val="00B61F03"/>
    <w:rsid w:val="00B626E4"/>
    <w:rsid w:val="00B728D2"/>
    <w:rsid w:val="00B72F4A"/>
    <w:rsid w:val="00B83C27"/>
    <w:rsid w:val="00B84BC3"/>
    <w:rsid w:val="00B84BDD"/>
    <w:rsid w:val="00B85B64"/>
    <w:rsid w:val="00B91017"/>
    <w:rsid w:val="00B92812"/>
    <w:rsid w:val="00B93F49"/>
    <w:rsid w:val="00B95DA7"/>
    <w:rsid w:val="00BA5A9D"/>
    <w:rsid w:val="00BB45A1"/>
    <w:rsid w:val="00BB7686"/>
    <w:rsid w:val="00BC23F9"/>
    <w:rsid w:val="00BC3421"/>
    <w:rsid w:val="00BC732C"/>
    <w:rsid w:val="00BD4B1B"/>
    <w:rsid w:val="00BD5785"/>
    <w:rsid w:val="00BE2580"/>
    <w:rsid w:val="00BE266D"/>
    <w:rsid w:val="00BE3938"/>
    <w:rsid w:val="00BE4C11"/>
    <w:rsid w:val="00BE71C0"/>
    <w:rsid w:val="00BF610C"/>
    <w:rsid w:val="00C0060B"/>
    <w:rsid w:val="00C01857"/>
    <w:rsid w:val="00C024C3"/>
    <w:rsid w:val="00C0277D"/>
    <w:rsid w:val="00C053A1"/>
    <w:rsid w:val="00C10875"/>
    <w:rsid w:val="00C15678"/>
    <w:rsid w:val="00C16198"/>
    <w:rsid w:val="00C2083D"/>
    <w:rsid w:val="00C24A53"/>
    <w:rsid w:val="00C264C1"/>
    <w:rsid w:val="00C34A05"/>
    <w:rsid w:val="00C36F26"/>
    <w:rsid w:val="00C4032F"/>
    <w:rsid w:val="00C41603"/>
    <w:rsid w:val="00C44047"/>
    <w:rsid w:val="00C45155"/>
    <w:rsid w:val="00C5498F"/>
    <w:rsid w:val="00C55235"/>
    <w:rsid w:val="00C64CD0"/>
    <w:rsid w:val="00C6684F"/>
    <w:rsid w:val="00C70E70"/>
    <w:rsid w:val="00C70EC7"/>
    <w:rsid w:val="00C75F8D"/>
    <w:rsid w:val="00C77380"/>
    <w:rsid w:val="00C87159"/>
    <w:rsid w:val="00C97736"/>
    <w:rsid w:val="00CA345A"/>
    <w:rsid w:val="00CB0A44"/>
    <w:rsid w:val="00CB1E82"/>
    <w:rsid w:val="00CB4BA8"/>
    <w:rsid w:val="00CB52D7"/>
    <w:rsid w:val="00CB7F93"/>
    <w:rsid w:val="00CC345C"/>
    <w:rsid w:val="00CC6732"/>
    <w:rsid w:val="00CE3C96"/>
    <w:rsid w:val="00CE513D"/>
    <w:rsid w:val="00CE51A8"/>
    <w:rsid w:val="00CF369B"/>
    <w:rsid w:val="00D00E28"/>
    <w:rsid w:val="00D0269E"/>
    <w:rsid w:val="00D05D6C"/>
    <w:rsid w:val="00D15810"/>
    <w:rsid w:val="00D16D4E"/>
    <w:rsid w:val="00D16FE3"/>
    <w:rsid w:val="00D2150E"/>
    <w:rsid w:val="00D21721"/>
    <w:rsid w:val="00D25992"/>
    <w:rsid w:val="00D27F41"/>
    <w:rsid w:val="00D301A5"/>
    <w:rsid w:val="00D337EE"/>
    <w:rsid w:val="00D36441"/>
    <w:rsid w:val="00D373B6"/>
    <w:rsid w:val="00D4064E"/>
    <w:rsid w:val="00D446C7"/>
    <w:rsid w:val="00D44E9B"/>
    <w:rsid w:val="00D47AEB"/>
    <w:rsid w:val="00D50DB9"/>
    <w:rsid w:val="00D51302"/>
    <w:rsid w:val="00D52C43"/>
    <w:rsid w:val="00D6507F"/>
    <w:rsid w:val="00D730BC"/>
    <w:rsid w:val="00D73912"/>
    <w:rsid w:val="00D81BF1"/>
    <w:rsid w:val="00D85226"/>
    <w:rsid w:val="00D87B94"/>
    <w:rsid w:val="00D92D49"/>
    <w:rsid w:val="00D92EC1"/>
    <w:rsid w:val="00D937A7"/>
    <w:rsid w:val="00D96DEA"/>
    <w:rsid w:val="00DA4E41"/>
    <w:rsid w:val="00DB117A"/>
    <w:rsid w:val="00DB173D"/>
    <w:rsid w:val="00DB5173"/>
    <w:rsid w:val="00DB52E5"/>
    <w:rsid w:val="00DB7873"/>
    <w:rsid w:val="00DC187B"/>
    <w:rsid w:val="00DD1A43"/>
    <w:rsid w:val="00DD73C2"/>
    <w:rsid w:val="00DE1BC1"/>
    <w:rsid w:val="00DE319B"/>
    <w:rsid w:val="00DF34FE"/>
    <w:rsid w:val="00DF56AA"/>
    <w:rsid w:val="00DF56AF"/>
    <w:rsid w:val="00DF78E7"/>
    <w:rsid w:val="00E110E0"/>
    <w:rsid w:val="00E11537"/>
    <w:rsid w:val="00E15371"/>
    <w:rsid w:val="00E17BB3"/>
    <w:rsid w:val="00E20FDA"/>
    <w:rsid w:val="00E21061"/>
    <w:rsid w:val="00E216E6"/>
    <w:rsid w:val="00E24104"/>
    <w:rsid w:val="00E302D0"/>
    <w:rsid w:val="00E35707"/>
    <w:rsid w:val="00E36AA1"/>
    <w:rsid w:val="00E36E80"/>
    <w:rsid w:val="00E41ECB"/>
    <w:rsid w:val="00E545C3"/>
    <w:rsid w:val="00E54FDB"/>
    <w:rsid w:val="00E55F3C"/>
    <w:rsid w:val="00E5617D"/>
    <w:rsid w:val="00E563D7"/>
    <w:rsid w:val="00E623FE"/>
    <w:rsid w:val="00E628EC"/>
    <w:rsid w:val="00E6301E"/>
    <w:rsid w:val="00E663F4"/>
    <w:rsid w:val="00E666F2"/>
    <w:rsid w:val="00E66DD4"/>
    <w:rsid w:val="00E748CC"/>
    <w:rsid w:val="00E75415"/>
    <w:rsid w:val="00E775B1"/>
    <w:rsid w:val="00E8152A"/>
    <w:rsid w:val="00E821E7"/>
    <w:rsid w:val="00E900AB"/>
    <w:rsid w:val="00E93629"/>
    <w:rsid w:val="00E93B5C"/>
    <w:rsid w:val="00E94CEC"/>
    <w:rsid w:val="00EA04EF"/>
    <w:rsid w:val="00EA6F19"/>
    <w:rsid w:val="00EB7090"/>
    <w:rsid w:val="00EC1BBE"/>
    <w:rsid w:val="00EC32AE"/>
    <w:rsid w:val="00EC5CD7"/>
    <w:rsid w:val="00ED17ED"/>
    <w:rsid w:val="00EE5FB3"/>
    <w:rsid w:val="00EE7F79"/>
    <w:rsid w:val="00EF715A"/>
    <w:rsid w:val="00EF73FF"/>
    <w:rsid w:val="00F012AE"/>
    <w:rsid w:val="00F01345"/>
    <w:rsid w:val="00F02C77"/>
    <w:rsid w:val="00F031E8"/>
    <w:rsid w:val="00F06E14"/>
    <w:rsid w:val="00F14D85"/>
    <w:rsid w:val="00F1517E"/>
    <w:rsid w:val="00F179D4"/>
    <w:rsid w:val="00F20596"/>
    <w:rsid w:val="00F27D61"/>
    <w:rsid w:val="00F33C56"/>
    <w:rsid w:val="00F347C7"/>
    <w:rsid w:val="00F34848"/>
    <w:rsid w:val="00F42D46"/>
    <w:rsid w:val="00F4496C"/>
    <w:rsid w:val="00F44F3A"/>
    <w:rsid w:val="00F46F02"/>
    <w:rsid w:val="00F51F10"/>
    <w:rsid w:val="00F529A5"/>
    <w:rsid w:val="00F57373"/>
    <w:rsid w:val="00F60F00"/>
    <w:rsid w:val="00F614C0"/>
    <w:rsid w:val="00F7507D"/>
    <w:rsid w:val="00F81C9B"/>
    <w:rsid w:val="00F83848"/>
    <w:rsid w:val="00F86AC8"/>
    <w:rsid w:val="00F975E9"/>
    <w:rsid w:val="00FA1B7D"/>
    <w:rsid w:val="00FA4AD3"/>
    <w:rsid w:val="00FB44F7"/>
    <w:rsid w:val="00FC07B9"/>
    <w:rsid w:val="00FC4E21"/>
    <w:rsid w:val="00FC5F6D"/>
    <w:rsid w:val="00FD0107"/>
    <w:rsid w:val="00FD1033"/>
    <w:rsid w:val="00FD2C2F"/>
    <w:rsid w:val="00FD35F4"/>
    <w:rsid w:val="00FD3B31"/>
    <w:rsid w:val="00FD4FA2"/>
    <w:rsid w:val="00FE1823"/>
    <w:rsid w:val="00FE487A"/>
    <w:rsid w:val="00FF0569"/>
    <w:rsid w:val="00FF206E"/>
    <w:rsid w:val="00FF22A6"/>
    <w:rsid w:val="00FF3C69"/>
    <w:rsid w:val="00FF6E0A"/>
    <w:rsid w:val="01A05271"/>
    <w:rsid w:val="0EA7D7E1"/>
    <w:rsid w:val="1307BFB0"/>
    <w:rsid w:val="17B39EB8"/>
    <w:rsid w:val="1E0563FD"/>
    <w:rsid w:val="239353F6"/>
    <w:rsid w:val="2856C370"/>
    <w:rsid w:val="289FC68F"/>
    <w:rsid w:val="3362EB9F"/>
    <w:rsid w:val="3B92FED8"/>
    <w:rsid w:val="5B777A86"/>
    <w:rsid w:val="64F46226"/>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colormru v:ext="edit" colors="red,#4d4d4f"/>
    </o:shapedefaults>
    <o:shapelayout v:ext="edit">
      <o:idmap v:ext="edit" data="2"/>
    </o:shapelayout>
  </w:shapeDefaults>
  <w:decimalSymbol w:val="."/>
  <w:listSeparator w:val=","/>
  <w14:docId w14:val="5DDE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7C0"/>
    <w:pPr>
      <w:spacing w:after="240" w:line="240" w:lineRule="atLeast"/>
    </w:pPr>
    <w:rPr>
      <w:rFonts w:ascii="Arial" w:hAnsi="Arial"/>
      <w:sz w:val="22"/>
    </w:rPr>
  </w:style>
  <w:style w:type="paragraph" w:styleId="Heading1">
    <w:name w:val="heading 1"/>
    <w:basedOn w:val="Normal"/>
    <w:next w:val="Normal"/>
    <w:qFormat/>
    <w:rsid w:val="00923D7A"/>
    <w:pPr>
      <w:keepNext/>
      <w:pageBreakBefore/>
      <w:widowControl w:val="0"/>
      <w:numPr>
        <w:numId w:val="60"/>
      </w:numPr>
      <w:spacing w:after="360" w:line="550" w:lineRule="exact"/>
      <w:outlineLvl w:val="0"/>
    </w:pPr>
    <w:rPr>
      <w:rFonts w:cs="Arial"/>
      <w:bCs/>
      <w:color w:val="323232"/>
      <w:kern w:val="32"/>
      <w:sz w:val="44"/>
      <w:szCs w:val="32"/>
    </w:rPr>
  </w:style>
  <w:style w:type="paragraph" w:styleId="Heading2">
    <w:name w:val="heading 2"/>
    <w:basedOn w:val="Normal"/>
    <w:next w:val="Normal"/>
    <w:uiPriority w:val="9"/>
    <w:qFormat/>
    <w:rsid w:val="00254146"/>
    <w:pPr>
      <w:keepNext/>
      <w:numPr>
        <w:ilvl w:val="1"/>
        <w:numId w:val="60"/>
      </w:numPr>
      <w:spacing w:before="320" w:after="60"/>
      <w:ind w:left="680" w:hanging="680"/>
      <w:outlineLvl w:val="1"/>
    </w:pPr>
    <w:rPr>
      <w:rFonts w:cs="Arial"/>
      <w:b/>
      <w:bCs/>
      <w:iCs/>
      <w:sz w:val="28"/>
      <w:szCs w:val="28"/>
    </w:rPr>
  </w:style>
  <w:style w:type="paragraph" w:styleId="Heading3">
    <w:name w:val="heading 3"/>
    <w:basedOn w:val="Normal"/>
    <w:next w:val="Normal"/>
    <w:qFormat/>
    <w:rsid w:val="00254146"/>
    <w:pPr>
      <w:keepNext/>
      <w:numPr>
        <w:ilvl w:val="2"/>
        <w:numId w:val="60"/>
      </w:numPr>
      <w:spacing w:before="60" w:after="60"/>
      <w:ind w:left="680" w:hanging="680"/>
      <w:outlineLvl w:val="2"/>
    </w:pPr>
    <w:rPr>
      <w:rFonts w:cs="Arial"/>
      <w:b/>
      <w:bCs/>
      <w:szCs w:val="26"/>
    </w:rPr>
  </w:style>
  <w:style w:type="paragraph" w:styleId="Heading4">
    <w:name w:val="heading 4"/>
    <w:basedOn w:val="Normal"/>
    <w:next w:val="Normal"/>
    <w:semiHidden/>
    <w:qFormat/>
    <w:rsid w:val="00AD5436"/>
    <w:pPr>
      <w:keepNext/>
      <w:numPr>
        <w:ilvl w:val="3"/>
        <w:numId w:val="60"/>
      </w:numPr>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AD5436"/>
    <w:pPr>
      <w:numPr>
        <w:ilvl w:val="4"/>
        <w:numId w:val="60"/>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60"/>
      </w:numPr>
      <w:spacing w:before="240" w:after="60"/>
      <w:outlineLvl w:val="5"/>
    </w:pPr>
    <w:rPr>
      <w:rFonts w:ascii="Times New Roman" w:hAnsi="Times New Roman"/>
      <w:b/>
      <w:bCs/>
      <w:szCs w:val="22"/>
    </w:rPr>
  </w:style>
  <w:style w:type="paragraph" w:styleId="Heading7">
    <w:name w:val="heading 7"/>
    <w:basedOn w:val="Normal"/>
    <w:next w:val="Normal"/>
    <w:semiHidden/>
    <w:qFormat/>
    <w:rsid w:val="00AD5436"/>
    <w:pPr>
      <w:numPr>
        <w:ilvl w:val="6"/>
        <w:numId w:val="60"/>
      </w:numPr>
      <w:spacing w:before="240" w:after="60"/>
      <w:outlineLvl w:val="6"/>
    </w:pPr>
    <w:rPr>
      <w:rFonts w:ascii="Times New Roman" w:hAnsi="Times New Roman"/>
    </w:rPr>
  </w:style>
  <w:style w:type="paragraph" w:styleId="Heading8">
    <w:name w:val="heading 8"/>
    <w:basedOn w:val="Normal"/>
    <w:next w:val="Normal"/>
    <w:semiHidden/>
    <w:qFormat/>
    <w:rsid w:val="00AD5436"/>
    <w:pPr>
      <w:numPr>
        <w:ilvl w:val="7"/>
        <w:numId w:val="60"/>
      </w:numPr>
      <w:spacing w:before="240" w:after="60"/>
      <w:outlineLvl w:val="7"/>
    </w:pPr>
    <w:rPr>
      <w:rFonts w:ascii="Times New Roman" w:hAnsi="Times New Roman"/>
      <w:i/>
      <w:iCs/>
    </w:rPr>
  </w:style>
  <w:style w:type="paragraph" w:styleId="Heading9">
    <w:name w:val="heading 9"/>
    <w:basedOn w:val="Normal"/>
    <w:next w:val="Normal"/>
    <w:semiHidden/>
    <w:qFormat/>
    <w:rsid w:val="00AD5436"/>
    <w:pPr>
      <w:numPr>
        <w:ilvl w:val="8"/>
        <w:numId w:val="60"/>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791C"/>
    <w:pPr>
      <w:tabs>
        <w:tab w:val="center" w:pos="4153"/>
        <w:tab w:val="right" w:pos="8306"/>
      </w:tabs>
      <w:spacing w:line="240" w:lineRule="auto"/>
    </w:pPr>
    <w:rPr>
      <w:sz w:val="16"/>
    </w:rPr>
  </w:style>
  <w:style w:type="paragraph" w:styleId="Footer">
    <w:name w:val="footer"/>
    <w:basedOn w:val="Normal"/>
    <w:link w:val="FooterChar"/>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rsid w:val="0094078F"/>
    <w:rPr>
      <w:rFonts w:ascii="Arial" w:hAnsi="Arial"/>
      <w:color w:val="323232"/>
      <w:sz w:val="16"/>
    </w:rPr>
  </w:style>
  <w:style w:type="paragraph" w:customStyle="1" w:styleId="ACMAReportTitle">
    <w:name w:val="ACMA_ReportTitle"/>
    <w:basedOn w:val="Normal"/>
    <w:qFormat/>
    <w:rsid w:val="00A51D1A"/>
    <w:pPr>
      <w:spacing w:after="0" w:line="560" w:lineRule="exact"/>
    </w:pPr>
    <w:rPr>
      <w:b/>
      <w:spacing w:val="-28"/>
      <w:sz w:val="53"/>
    </w:rPr>
  </w:style>
  <w:style w:type="paragraph" w:customStyle="1" w:styleId="ACMAReportSubTitle">
    <w:name w:val="ACMA_ReportSubTitle"/>
    <w:basedOn w:val="Normal"/>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ReportDate">
    <w:name w:val="ACMA_ReportDate"/>
    <w:basedOn w:val="ACMAReportSubTitle"/>
    <w:qFormat/>
    <w:rsid w:val="00063A18"/>
    <w:pPr>
      <w:spacing w:after="120" w:line="240" w:lineRule="auto"/>
    </w:pPr>
    <w:rPr>
      <w:caps/>
      <w:spacing w:val="-10"/>
      <w:sz w:val="20"/>
    </w:rPr>
  </w:style>
  <w:style w:type="paragraph" w:customStyle="1" w:styleId="TableHeading">
    <w:name w:val="Table Heading"/>
    <w:basedOn w:val="Normal"/>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uiPriority w:val="39"/>
    <w:qFormat/>
    <w:rsid w:val="00950159"/>
    <w:pPr>
      <w:spacing w:before="1200" w:line="240" w:lineRule="auto"/>
    </w:pPr>
    <w:rPr>
      <w:b/>
      <w:color w:val="323232"/>
      <w:spacing w:val="-28"/>
      <w:sz w:val="53"/>
    </w:rPr>
  </w:style>
  <w:style w:type="paragraph" w:styleId="Caption">
    <w:name w:val="caption"/>
    <w:aliases w:val="Caption table"/>
    <w:basedOn w:val="Normal"/>
    <w:next w:val="Normal"/>
    <w:qFormat/>
    <w:rsid w:val="00E8152A"/>
    <w:pPr>
      <w:numPr>
        <w:numId w:val="43"/>
      </w:numPr>
      <w:spacing w:after="0"/>
    </w:pPr>
    <w:rPr>
      <w:b/>
      <w:bCs/>
      <w:color w:val="323232"/>
      <w:szCs w:val="20"/>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basedOn w:val="Normal"/>
    <w:qFormat/>
    <w:rsid w:val="001C6AEE"/>
    <w:pPr>
      <w:numPr>
        <w:numId w:val="1"/>
      </w:numPr>
      <w:spacing w:after="80"/>
    </w:pPr>
  </w:style>
  <w:style w:type="paragraph" w:styleId="ListBullet2">
    <w:name w:val="List Bullet 2"/>
    <w:basedOn w:val="Normal"/>
    <w:qFormat/>
    <w:rsid w:val="001C6AEE"/>
    <w:pPr>
      <w:numPr>
        <w:numId w:val="2"/>
      </w:numPr>
      <w:spacing w:after="80"/>
    </w:pPr>
  </w:style>
  <w:style w:type="paragraph" w:styleId="ListNumber">
    <w:name w:val="List Number"/>
    <w:basedOn w:val="Normal"/>
    <w:qFormat/>
    <w:rsid w:val="00C24A53"/>
    <w:pPr>
      <w:numPr>
        <w:numId w:val="6"/>
      </w:numPr>
      <w:spacing w:after="80"/>
    </w:pPr>
  </w:style>
  <w:style w:type="paragraph" w:styleId="ListNumber2">
    <w:name w:val="List Number 2"/>
    <w:basedOn w:val="Normal"/>
    <w:qFormat/>
    <w:rsid w:val="00247C59"/>
    <w:pPr>
      <w:numPr>
        <w:numId w:val="7"/>
      </w:numPr>
      <w:spacing w:after="80"/>
    </w:pPr>
  </w:style>
  <w:style w:type="paragraph" w:customStyle="1" w:styleId="URLEmail">
    <w:name w:val="URL/Email"/>
    <w:basedOn w:val="Normal"/>
    <w:semiHidden/>
    <w:rsid w:val="00302480"/>
    <w:rPr>
      <w:color w:val="4D4D4F"/>
      <w:spacing w:val="4"/>
    </w:rPr>
  </w:style>
  <w:style w:type="paragraph" w:customStyle="1" w:styleId="ACMAExecSummaryHeading">
    <w:name w:val="ACMA_ExecSummaryHeading"/>
    <w:basedOn w:val="Normal"/>
    <w:qFormat/>
    <w:rsid w:val="00950159"/>
    <w:pPr>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Cs w:val="22"/>
    </w:rPr>
  </w:style>
  <w:style w:type="character" w:styleId="Hyperlink">
    <w:name w:val="Hyperlink"/>
    <w:basedOn w:val="DefaultParagraphFont"/>
    <w:uiPriority w:val="99"/>
    <w:qFormat/>
    <w:rsid w:val="003A5F5B"/>
    <w:rPr>
      <w:color w:val="0000FF"/>
      <w:u w:val="single"/>
    </w:rPr>
  </w:style>
  <w:style w:type="character" w:styleId="FootnoteReference">
    <w:name w:val="footnote reference"/>
    <w:basedOn w:val="DefaultParagraphFont"/>
    <w:uiPriority w:val="99"/>
    <w:semiHidden/>
    <w:rsid w:val="00566AB4"/>
    <w:rPr>
      <w:rFonts w:ascii="Arial" w:hAnsi="Arial"/>
      <w:vertAlign w:val="superscript"/>
    </w:rPr>
  </w:style>
  <w:style w:type="paragraph" w:styleId="FootnoteText">
    <w:name w:val="footnote text"/>
    <w:basedOn w:val="Normal"/>
    <w:link w:val="FootnoteTextChar"/>
    <w:uiPriority w:val="99"/>
    <w:semiHidden/>
    <w:rsid w:val="00566AB4"/>
    <w:rPr>
      <w:sz w:val="16"/>
      <w:szCs w:val="16"/>
    </w:rPr>
  </w:style>
  <w:style w:type="paragraph" w:customStyle="1" w:styleId="TableBody">
    <w:name w:val="Table Body"/>
    <w:basedOn w:val="Normal"/>
    <w:qFormat/>
    <w:rsid w:val="00774FDB"/>
    <w:pPr>
      <w:spacing w:after="0" w:line="240" w:lineRule="auto"/>
    </w:pPr>
  </w:style>
  <w:style w:type="character" w:styleId="CommentReference">
    <w:name w:val="annotation reference"/>
    <w:basedOn w:val="DefaultParagraphFont"/>
    <w:uiPriority w:val="99"/>
    <w:rsid w:val="00EE7F79"/>
    <w:rPr>
      <w:sz w:val="16"/>
      <w:szCs w:val="16"/>
    </w:rPr>
  </w:style>
  <w:style w:type="paragraph" w:styleId="CommentText">
    <w:name w:val="annotation text"/>
    <w:basedOn w:val="Normal"/>
    <w:link w:val="CommentTextChar"/>
    <w:uiPriority w:val="99"/>
    <w:rsid w:val="00EE7F79"/>
    <w:pPr>
      <w:spacing w:line="240" w:lineRule="auto"/>
    </w:pPr>
    <w:rPr>
      <w:szCs w:val="20"/>
    </w:rPr>
  </w:style>
  <w:style w:type="character" w:customStyle="1" w:styleId="CommentTextChar">
    <w:name w:val="Comment Text Char"/>
    <w:basedOn w:val="DefaultParagraphFont"/>
    <w:link w:val="CommentText"/>
    <w:uiPriority w:val="99"/>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qFormat/>
    <w:rsid w:val="00BF610C"/>
    <w:pPr>
      <w:spacing w:after="200"/>
    </w:pPr>
    <w:rPr>
      <w:rFonts w:cs="Arial"/>
      <w:b/>
      <w:vanish/>
    </w:rPr>
  </w:style>
  <w:style w:type="paragraph" w:customStyle="1" w:styleId="CorporateAddresses">
    <w:name w:val="Corporate Addresses"/>
    <w:basedOn w:val="Normal"/>
    <w:semiHidden/>
    <w:rsid w:val="0005011A"/>
    <w:pPr>
      <w:spacing w:line="140" w:lineRule="exact"/>
    </w:pPr>
    <w:rPr>
      <w:color w:val="4D4D4F"/>
      <w:sz w:val="13"/>
    </w:rPr>
  </w:style>
  <w:style w:type="character" w:styleId="Strong">
    <w:name w:val="Strong"/>
    <w:basedOn w:val="DefaultParagraphFont"/>
    <w:semiHidden/>
    <w:qFormat/>
    <w:rsid w:val="0005011A"/>
    <w:rPr>
      <w:b/>
      <w:bCs/>
    </w:rPr>
  </w:style>
  <w:style w:type="paragraph" w:customStyle="1" w:styleId="ACMACorporateAddressHeader">
    <w:name w:val="ACMA_CorporateAddressHeader"/>
    <w:basedOn w:val="Normal"/>
    <w:next w:val="ACMACorporateAddresses"/>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qFormat/>
    <w:rsid w:val="00FC07B9"/>
    <w:pPr>
      <w:spacing w:before="0" w:after="120"/>
    </w:pPr>
    <w:rPr>
      <w:b w:val="0"/>
    </w:rPr>
  </w:style>
  <w:style w:type="paragraph" w:customStyle="1" w:styleId="ACMACopyrightHeader">
    <w:name w:val="ACMA_CopyrightHeader"/>
    <w:basedOn w:val="ACMACorporateAddressHeader"/>
    <w:qFormat/>
    <w:rsid w:val="00950159"/>
    <w:pPr>
      <w:spacing w:before="3000"/>
    </w:pPr>
  </w:style>
  <w:style w:type="paragraph" w:customStyle="1" w:styleId="ACMACClogo">
    <w:name w:val="ACMA_CClogo"/>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qFormat/>
    <w:rsid w:val="00C16198"/>
    <w:pPr>
      <w:spacing w:after="240"/>
      <w:ind w:left="357" w:hanging="357"/>
    </w:pPr>
    <w:rPr>
      <w:rFonts w:cs="Arial"/>
    </w:rPr>
  </w:style>
  <w:style w:type="paragraph" w:customStyle="1" w:styleId="ACMATableHeader">
    <w:name w:val="ACMA_TableHeader"/>
    <w:qFormat/>
    <w:rsid w:val="000B27C0"/>
    <w:pPr>
      <w:numPr>
        <w:numId w:val="27"/>
      </w:numPr>
      <w:spacing w:after="160"/>
    </w:pPr>
    <w:rPr>
      <w:rFonts w:ascii="Arial" w:hAnsi="Arial"/>
      <w:b/>
      <w:bCs/>
      <w:color w:val="323232"/>
      <w:sz w:val="22"/>
      <w:szCs w:val="20"/>
    </w:rPr>
  </w:style>
  <w:style w:type="paragraph" w:customStyle="1" w:styleId="ACMANotes">
    <w:name w:val="ACMA_Notes"/>
    <w:qFormat/>
    <w:rsid w:val="00FF206E"/>
    <w:pPr>
      <w:spacing w:before="80"/>
    </w:pPr>
    <w:rPr>
      <w:rFonts w:ascii="Arial" w:hAnsi="Arial" w:cs="Arial"/>
      <w:i/>
      <w:sz w:val="16"/>
    </w:rPr>
  </w:style>
  <w:style w:type="paragraph" w:customStyle="1" w:styleId="ACMANormalTabbed">
    <w:name w:val="ACMA_NormalTabbed"/>
    <w:basedOn w:val="Normal"/>
    <w:qFormat/>
    <w:rsid w:val="005E7226"/>
    <w:pPr>
      <w:tabs>
        <w:tab w:val="left" w:pos="1134"/>
      </w:tabs>
    </w:pPr>
  </w:style>
  <w:style w:type="character" w:styleId="Emphasis">
    <w:name w:val="Emphasis"/>
    <w:basedOn w:val="DefaultParagraphFont"/>
    <w:qFormat/>
    <w:rsid w:val="006D576C"/>
    <w:rPr>
      <w:i/>
      <w:iCs/>
    </w:rPr>
  </w:style>
  <w:style w:type="paragraph" w:customStyle="1" w:styleId="ListNumber2Last">
    <w:name w:val="List Number 2 Last"/>
    <w:basedOn w:val="ListNumber2"/>
    <w:qFormat/>
    <w:rsid w:val="00E35707"/>
    <w:pPr>
      <w:spacing w:after="240"/>
      <w:ind w:left="907"/>
    </w:pPr>
    <w:rPr>
      <w:rFonts w:cs="Arial"/>
    </w:rPr>
  </w:style>
  <w:style w:type="paragraph" w:customStyle="1" w:styleId="ACMASpaceaftertable">
    <w:name w:val="ACMA_Space after table"/>
    <w:basedOn w:val="Normal"/>
    <w:qFormat/>
    <w:rsid w:val="00C2083D"/>
    <w:rPr>
      <w:rFonts w:cs="Arial"/>
    </w:rPr>
  </w:style>
  <w:style w:type="paragraph" w:customStyle="1" w:styleId="FooterLeft">
    <w:name w:val="Footer Left"/>
    <w:basedOn w:val="Footer"/>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qFormat/>
    <w:rsid w:val="000B27C0"/>
    <w:pPr>
      <w:numPr>
        <w:numId w:val="24"/>
      </w:numPr>
      <w:spacing w:after="160"/>
    </w:pPr>
    <w:rPr>
      <w:rFonts w:ascii="Arial" w:hAnsi="Arial"/>
      <w:b/>
      <w:bCs/>
      <w:color w:val="323232"/>
      <w:sz w:val="22"/>
      <w:szCs w:val="20"/>
    </w:rPr>
  </w:style>
  <w:style w:type="paragraph" w:customStyle="1" w:styleId="Captionfigure">
    <w:name w:val="Caption figure"/>
    <w:basedOn w:val="Caption"/>
    <w:qFormat/>
    <w:rsid w:val="00E8152A"/>
    <w:pPr>
      <w:keepNext/>
      <w:numPr>
        <w:numId w:val="40"/>
      </w:numPr>
    </w:pPr>
    <w:rPr>
      <w:rFonts w:cs="Arial"/>
    </w:rPr>
  </w:style>
  <w:style w:type="paragraph" w:customStyle="1" w:styleId="GridTable31">
    <w:name w:val="Grid Table 31"/>
    <w:basedOn w:val="Normal"/>
    <w:qFormat/>
    <w:rsid w:val="00971914"/>
    <w:pPr>
      <w:spacing w:after="0" w:line="240" w:lineRule="auto"/>
    </w:pPr>
    <w:rPr>
      <w:b/>
      <w:color w:val="4D4D4F"/>
      <w:spacing w:val="-28"/>
      <w:sz w:val="53"/>
    </w:rPr>
  </w:style>
  <w:style w:type="character" w:customStyle="1" w:styleId="HeaderChar">
    <w:name w:val="Header Char"/>
    <w:link w:val="Header"/>
    <w:rsid w:val="00971914"/>
    <w:rPr>
      <w:rFonts w:ascii="Arial" w:hAnsi="Arial"/>
      <w:sz w:val="16"/>
    </w:rPr>
  </w:style>
  <w:style w:type="paragraph" w:customStyle="1" w:styleId="Partheading">
    <w:name w:val="Part heading"/>
    <w:basedOn w:val="Heading1"/>
    <w:qFormat/>
    <w:rsid w:val="00FD1033"/>
    <w:pPr>
      <w:numPr>
        <w:numId w:val="49"/>
      </w:numPr>
    </w:pPr>
  </w:style>
  <w:style w:type="paragraph" w:customStyle="1" w:styleId="Numberedheading">
    <w:name w:val="Numbered heading"/>
    <w:basedOn w:val="Heading2"/>
    <w:qFormat/>
    <w:rsid w:val="00FD1033"/>
    <w:pPr>
      <w:numPr>
        <w:numId w:val="49"/>
      </w:numPr>
    </w:pPr>
  </w:style>
  <w:style w:type="paragraph" w:customStyle="1" w:styleId="Heading2noTOC">
    <w:name w:val="Heading 2 no TOC"/>
    <w:qFormat/>
    <w:rsid w:val="00EF73FF"/>
    <w:rPr>
      <w:rFonts w:ascii="Arial" w:hAnsi="Arial" w:cs="Arial"/>
      <w:b/>
      <w:bCs/>
      <w:iCs/>
      <w:sz w:val="28"/>
      <w:szCs w:val="28"/>
    </w:rPr>
  </w:style>
  <w:style w:type="paragraph" w:styleId="ListParagraph">
    <w:name w:val="List Paragraph"/>
    <w:basedOn w:val="Normal"/>
    <w:qFormat/>
    <w:rsid w:val="00366071"/>
    <w:pPr>
      <w:ind w:left="720"/>
      <w:contextualSpacing/>
    </w:pPr>
  </w:style>
  <w:style w:type="character" w:customStyle="1" w:styleId="FootnoteTextChar">
    <w:name w:val="Footnote Text Char"/>
    <w:basedOn w:val="DefaultParagraphFont"/>
    <w:link w:val="FootnoteText"/>
    <w:uiPriority w:val="99"/>
    <w:semiHidden/>
    <w:rsid w:val="00330733"/>
    <w:rPr>
      <w:rFonts w:ascii="Arial" w:hAnsi="Arial"/>
      <w:sz w:val="16"/>
      <w:szCs w:val="16"/>
    </w:rPr>
  </w:style>
  <w:style w:type="character" w:styleId="UnresolvedMention">
    <w:name w:val="Unresolved Mention"/>
    <w:basedOn w:val="DefaultParagraphFont"/>
    <w:uiPriority w:val="99"/>
    <w:semiHidden/>
    <w:unhideWhenUsed/>
    <w:rsid w:val="00746A68"/>
    <w:rPr>
      <w:color w:val="605E5C"/>
      <w:shd w:val="clear" w:color="auto" w:fill="E1DFDD"/>
    </w:rPr>
  </w:style>
  <w:style w:type="paragraph" w:customStyle="1" w:styleId="ACMABulletLevel1">
    <w:name w:val="ACMA Bullet Level 1"/>
    <w:rsid w:val="002D1060"/>
    <w:pPr>
      <w:numPr>
        <w:numId w:val="62"/>
      </w:numPr>
      <w:spacing w:after="120"/>
    </w:pPr>
    <w:rPr>
      <w:szCs w:val="20"/>
      <w:lang w:eastAsia="en-US"/>
    </w:rPr>
  </w:style>
  <w:style w:type="paragraph" w:styleId="Revision">
    <w:name w:val="Revision"/>
    <w:hidden/>
    <w:semiHidden/>
    <w:rsid w:val="004E6B83"/>
    <w:rPr>
      <w:rFonts w:ascii="Arial" w:hAnsi="Arial"/>
      <w:sz w:val="22"/>
    </w:rPr>
  </w:style>
  <w:style w:type="table" w:customStyle="1" w:styleId="ACMAtablestyle">
    <w:name w:val="ACMA table style"/>
    <w:basedOn w:val="TableNormal"/>
    <w:uiPriority w:val="99"/>
    <w:rsid w:val="0097505A"/>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rPr>
        <w:rFonts w:ascii="Arial" w:hAnsi="Arial"/>
        <w:sz w:val="20"/>
      </w:rPr>
      <w:tblPr/>
      <w:tcPr>
        <w:shd w:val="clear" w:color="auto" w:fill="F2F2F2"/>
      </w:tcPr>
    </w:tblStylePr>
  </w:style>
  <w:style w:type="table" w:customStyle="1" w:styleId="ACMAtablestyle1">
    <w:name w:val="ACMA table style1"/>
    <w:basedOn w:val="TableNormal"/>
    <w:uiPriority w:val="99"/>
    <w:rsid w:val="005F756F"/>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rPr>
        <w:rFonts w:ascii="Arial" w:hAnsi="Arial"/>
        <w:sz w:val="20"/>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99772">
      <w:bodyDiv w:val="1"/>
      <w:marLeft w:val="0"/>
      <w:marRight w:val="0"/>
      <w:marTop w:val="0"/>
      <w:marBottom w:val="0"/>
      <w:divBdr>
        <w:top w:val="none" w:sz="0" w:space="0" w:color="auto"/>
        <w:left w:val="none" w:sz="0" w:space="0" w:color="auto"/>
        <w:bottom w:val="none" w:sz="0" w:space="0" w:color="auto"/>
        <w:right w:val="none" w:sz="0" w:space="0" w:color="auto"/>
      </w:divBdr>
    </w:div>
    <w:div w:id="617444858">
      <w:bodyDiv w:val="1"/>
      <w:marLeft w:val="0"/>
      <w:marRight w:val="0"/>
      <w:marTop w:val="0"/>
      <w:marBottom w:val="0"/>
      <w:divBdr>
        <w:top w:val="none" w:sz="0" w:space="0" w:color="auto"/>
        <w:left w:val="none" w:sz="0" w:space="0" w:color="auto"/>
        <w:bottom w:val="none" w:sz="0" w:space="0" w:color="auto"/>
        <w:right w:val="none" w:sz="0" w:space="0" w:color="auto"/>
      </w:divBdr>
    </w:div>
    <w:div w:id="882669866">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847940425">
      <w:bodyDiv w:val="1"/>
      <w:marLeft w:val="0"/>
      <w:marRight w:val="0"/>
      <w:marTop w:val="0"/>
      <w:marBottom w:val="0"/>
      <w:divBdr>
        <w:top w:val="none" w:sz="0" w:space="0" w:color="auto"/>
        <w:left w:val="none" w:sz="0" w:space="0" w:color="auto"/>
        <w:bottom w:val="none" w:sz="0" w:space="0" w:color="auto"/>
        <w:right w:val="none" w:sz="0" w:space="0" w:color="auto"/>
      </w:divBdr>
    </w:div>
    <w:div w:id="1856917279">
      <w:bodyDiv w:val="1"/>
      <w:marLeft w:val="0"/>
      <w:marRight w:val="0"/>
      <w:marTop w:val="0"/>
      <w:marBottom w:val="0"/>
      <w:divBdr>
        <w:top w:val="none" w:sz="0" w:space="0" w:color="auto"/>
        <w:left w:val="none" w:sz="0" w:space="0" w:color="auto"/>
        <w:bottom w:val="none" w:sz="0" w:space="0" w:color="auto"/>
        <w:right w:val="none" w:sz="0" w:space="0" w:color="auto"/>
      </w:divBdr>
    </w:div>
    <w:div w:id="20212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freqplan@acma.gov.au" TargetMode="External"/><Relationship Id="rId18" Type="http://schemas.openxmlformats.org/officeDocument/2006/relationships/image" Target="media/image3.png"/><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legislation.gov.au/F2025L01047/latest/te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eqplan@acma.gov.au"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mailto:freqplan@acma.gov.au"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acma.gov.au/850900-mhz-technical-framework"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acma.gov.au/publications/2015-12/report/acmas-long-term-strategy-803-960-mhz-band-decision-paper" TargetMode="External"/><Relationship Id="rId22" Type="http://schemas.openxmlformats.org/officeDocument/2006/relationships/header" Target="header4.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A8D7D-2EFC-4A51-BD10-F0193BD4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1125</Words>
  <Characters>6231</Characters>
  <Application>Microsoft Office Word</Application>
  <DocSecurity>0</DocSecurity>
  <Lines>197</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2026-03-04T22:16:00Z</dcterms:created>
  <dcterms:modified xsi:type="dcterms:W3CDTF">2026-03-04T22:17:00Z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1ccb9ad7,48a53696,336dbb5f,4ed4c419,632feca2,406ea2fa,25f618c4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226d3220,3dfbc366,5ab03ca0,73f44b23,172f9826,1bcbb22c,5872d066,22908c97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aeb57847-2996-43f6-9ac9-aca8e5487221_Enabled">
    <vt:lpwstr>true</vt:lpwstr>
  </property>
  <property fmtid="{D5CDD505-2E9C-101B-9397-08002B2CF9AE}" pid="9" name="MSIP_Label_aeb57847-2996-43f6-9ac9-aca8e5487221_SetDate">
    <vt:lpwstr>2026-03-04T22:13:54Z</vt:lpwstr>
  </property>
  <property fmtid="{D5CDD505-2E9C-101B-9397-08002B2CF9AE}" pid="10" name="MSIP_Label_aeb57847-2996-43f6-9ac9-aca8e5487221_Method">
    <vt:lpwstr>Privileged</vt:lpwstr>
  </property>
  <property fmtid="{D5CDD505-2E9C-101B-9397-08002B2CF9AE}" pid="11" name="MSIP_Label_aeb57847-2996-43f6-9ac9-aca8e5487221_Name">
    <vt:lpwstr>90fb82dc-5319-427a-bd3a-0b26e5d5e425</vt:lpwstr>
  </property>
  <property fmtid="{D5CDD505-2E9C-101B-9397-08002B2CF9AE}" pid="12" name="MSIP_Label_aeb57847-2996-43f6-9ac9-aca8e5487221_SiteId">
    <vt:lpwstr>0dac7f39-d20c-4e71-8af3-71ee7e268a2b</vt:lpwstr>
  </property>
  <property fmtid="{D5CDD505-2E9C-101B-9397-08002B2CF9AE}" pid="13" name="MSIP_Label_aeb57847-2996-43f6-9ac9-aca8e5487221_ActionId">
    <vt:lpwstr>63002c6c-85d6-49db-a4fd-39b429b3674a</vt:lpwstr>
  </property>
  <property fmtid="{D5CDD505-2E9C-101B-9397-08002B2CF9AE}" pid="14" name="MSIP_Label_aeb57847-2996-43f6-9ac9-aca8e5487221_ContentBits">
    <vt:lpwstr>3</vt:lpwstr>
  </property>
  <property fmtid="{D5CDD505-2E9C-101B-9397-08002B2CF9AE}" pid="15" name="MSIP_Label_aeb57847-2996-43f6-9ac9-aca8e5487221_Tag">
    <vt:lpwstr>10, 0, 1, 1</vt:lpwstr>
  </property>
</Properties>
</file>