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0029" w14:textId="5DC983D2" w:rsidR="00342918" w:rsidRPr="005F0F56" w:rsidRDefault="00342918" w:rsidP="00342918"/>
    <w:p w14:paraId="2A080FAB" w14:textId="7C531048" w:rsidR="00342918" w:rsidRPr="005F0F56" w:rsidRDefault="005427D7" w:rsidP="005B0464">
      <w:pPr>
        <w:pStyle w:val="Title"/>
        <w:rPr>
          <w:rFonts w:asciiTheme="majorHAnsi" w:hAnsiTheme="majorHAnsi"/>
        </w:rPr>
      </w:pPr>
      <w:r w:rsidRPr="005F0F56">
        <w:rPr>
          <w:rFonts w:asciiTheme="majorHAnsi" w:hAnsiTheme="majorHAnsi"/>
        </w:rPr>
        <w:fldChar w:fldCharType="begin"/>
      </w:r>
      <w:r w:rsidRPr="005F0F56">
        <w:rPr>
          <w:rFonts w:asciiTheme="majorHAnsi" w:hAnsiTheme="majorHAnsi"/>
        </w:rPr>
        <w:instrText xml:space="preserve"> DOCPROPERTY "Title" \* MERGEFORMAT </w:instrText>
      </w:r>
      <w:r w:rsidRPr="005F0F56">
        <w:rPr>
          <w:rFonts w:asciiTheme="majorHAnsi" w:hAnsiTheme="majorHAnsi"/>
        </w:rPr>
        <w:fldChar w:fldCharType="separate"/>
      </w:r>
      <w:r w:rsidR="00216ECF">
        <w:rPr>
          <w:rFonts w:asciiTheme="majorHAnsi" w:hAnsiTheme="majorHAnsi"/>
        </w:rPr>
        <w:t>International best practice in spectrum valuation methodologies</w:t>
      </w:r>
      <w:r w:rsidRPr="005F0F56">
        <w:rPr>
          <w:rFonts w:asciiTheme="majorHAnsi" w:hAnsiTheme="majorHAnsi"/>
        </w:rPr>
        <w:fldChar w:fldCharType="end"/>
      </w:r>
    </w:p>
    <w:p w14:paraId="124DE6BF" w14:textId="58F3C210" w:rsidR="00342918" w:rsidRPr="005F0F56" w:rsidRDefault="005427D7" w:rsidP="0043783E">
      <w:pPr>
        <w:pStyle w:val="Subtitle"/>
        <w:spacing w:after="0"/>
        <w:rPr>
          <w:rFonts w:asciiTheme="majorHAnsi" w:hAnsiTheme="majorHAnsi"/>
        </w:rPr>
      </w:pPr>
      <w:r w:rsidRPr="005F0F56">
        <w:rPr>
          <w:rFonts w:asciiTheme="majorHAnsi" w:hAnsiTheme="majorHAnsi"/>
        </w:rPr>
        <w:fldChar w:fldCharType="begin"/>
      </w:r>
      <w:r w:rsidRPr="005F0F56">
        <w:rPr>
          <w:rFonts w:asciiTheme="majorHAnsi" w:hAnsiTheme="majorHAnsi"/>
        </w:rPr>
        <w:instrText xml:space="preserve"> DOCPROPERTY "Date" \* MERGEFORMAT </w:instrText>
      </w:r>
      <w:r w:rsidRPr="005F0F56">
        <w:rPr>
          <w:rFonts w:asciiTheme="majorHAnsi" w:hAnsiTheme="majorHAnsi"/>
        </w:rPr>
        <w:fldChar w:fldCharType="separate"/>
      </w:r>
      <w:r w:rsidR="00216ECF">
        <w:rPr>
          <w:rFonts w:asciiTheme="majorHAnsi" w:hAnsiTheme="majorHAnsi"/>
        </w:rPr>
        <w:t>June 2023</w:t>
      </w:r>
      <w:r w:rsidRPr="005F0F56">
        <w:rPr>
          <w:rFonts w:asciiTheme="majorHAnsi" w:hAnsiTheme="majorHAnsi"/>
        </w:rPr>
        <w:fldChar w:fldCharType="end"/>
      </w:r>
    </w:p>
    <w:p w14:paraId="5199D5C6" w14:textId="77777777" w:rsidR="00342918" w:rsidRPr="005F0F56" w:rsidRDefault="00342918" w:rsidP="0043783E">
      <w:pPr>
        <w:pStyle w:val="Authors"/>
        <w:rPr>
          <w:rFonts w:asciiTheme="majorHAnsi" w:hAnsiTheme="majorHAnsi"/>
        </w:rPr>
      </w:pPr>
      <w:r w:rsidRPr="005F0F56">
        <w:rPr>
          <w:rFonts w:asciiTheme="majorHAnsi" w:hAnsiTheme="majorHAnsi"/>
          <w:noProof/>
        </w:rPr>
        <w:drawing>
          <wp:inline distT="0" distB="0" distL="0" distR="0" wp14:anchorId="50D7C6B8" wp14:editId="00EF6E65">
            <wp:extent cx="1091565" cy="241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1565" cy="24130"/>
                    </a:xfrm>
                    <a:prstGeom prst="rect">
                      <a:avLst/>
                    </a:prstGeom>
                    <a:noFill/>
                  </pic:spPr>
                </pic:pic>
              </a:graphicData>
            </a:graphic>
          </wp:inline>
        </w:drawing>
      </w:r>
      <w:r w:rsidR="0043783E" w:rsidRPr="005F0F56">
        <w:rPr>
          <w:rFonts w:asciiTheme="majorHAnsi" w:hAnsiTheme="majorHAnsi"/>
        </w:rPr>
        <w:t xml:space="preserve"> </w:t>
      </w:r>
    </w:p>
    <w:p w14:paraId="15AAE31A" w14:textId="77777777" w:rsidR="005B0464" w:rsidRPr="005F0F56" w:rsidRDefault="005B0464" w:rsidP="0043783E">
      <w:pPr>
        <w:pStyle w:val="Authors"/>
        <w:rPr>
          <w:rFonts w:asciiTheme="majorHAnsi" w:hAnsiTheme="majorHAnsi"/>
          <w:sz w:val="12"/>
        </w:rPr>
      </w:pPr>
    </w:p>
    <w:p w14:paraId="57D70B93" w14:textId="425E8288" w:rsidR="00342918" w:rsidRPr="005F0F56" w:rsidRDefault="005427D7" w:rsidP="005B0464">
      <w:pPr>
        <w:pStyle w:val="Authors"/>
        <w:spacing w:before="840"/>
        <w:rPr>
          <w:rFonts w:asciiTheme="majorHAnsi" w:hAnsiTheme="majorHAnsi"/>
        </w:rPr>
      </w:pPr>
      <w:r w:rsidRPr="005F0F56">
        <w:rPr>
          <w:rFonts w:asciiTheme="majorHAnsi" w:hAnsiTheme="majorHAnsi"/>
        </w:rPr>
        <w:fldChar w:fldCharType="begin"/>
      </w:r>
      <w:r w:rsidRPr="005F0F56">
        <w:rPr>
          <w:rFonts w:asciiTheme="majorHAnsi" w:hAnsiTheme="majorHAnsi"/>
        </w:rPr>
        <w:instrText xml:space="preserve"> DOCPROPERTY "Author Names" \* MERGEFORMAT </w:instrText>
      </w:r>
      <w:r w:rsidRPr="005F0F56">
        <w:rPr>
          <w:rFonts w:asciiTheme="majorHAnsi" w:hAnsiTheme="majorHAnsi"/>
        </w:rPr>
        <w:fldChar w:fldCharType="separate"/>
      </w:r>
      <w:r w:rsidR="00216ECF">
        <w:rPr>
          <w:rFonts w:asciiTheme="majorHAnsi" w:hAnsiTheme="majorHAnsi"/>
        </w:rPr>
        <w:t>Tim Miller</w:t>
      </w:r>
      <w:r w:rsidRPr="005F0F56">
        <w:rPr>
          <w:rFonts w:asciiTheme="majorHAnsi" w:hAnsiTheme="majorHAnsi"/>
        </w:rPr>
        <w:fldChar w:fldCharType="end"/>
      </w:r>
      <w:r w:rsidR="0043783E" w:rsidRPr="005F0F56">
        <w:rPr>
          <w:rFonts w:asciiTheme="majorHAnsi" w:hAnsiTheme="majorHAnsi"/>
        </w:rPr>
        <w:t xml:space="preserve"> </w:t>
      </w:r>
    </w:p>
    <w:p w14:paraId="6FE3E9E8" w14:textId="4856FC88" w:rsidR="004B619E" w:rsidRDefault="00342918" w:rsidP="00342918">
      <w:pPr>
        <w:pStyle w:val="Base"/>
      </w:pPr>
      <w:bookmarkStart w:id="0" w:name="_Hlk481682412"/>
      <w:bookmarkEnd w:id="0"/>
      <w:r w:rsidRPr="005F0F56">
        <w:br w:type="page"/>
      </w:r>
    </w:p>
    <w:p w14:paraId="15914B84" w14:textId="77777777" w:rsidR="00F22976" w:rsidRDefault="00F22976" w:rsidP="00F22976">
      <w:pPr>
        <w:pStyle w:val="Base"/>
        <w:spacing w:before="480"/>
      </w:pPr>
      <w:bookmarkStart w:id="1" w:name="_Hlk517032991"/>
    </w:p>
    <w:p w14:paraId="020ABF87" w14:textId="77777777" w:rsidR="00342918" w:rsidRPr="005F0F56" w:rsidRDefault="00342918" w:rsidP="00F22976">
      <w:pPr>
        <w:pStyle w:val="Base"/>
        <w:spacing w:before="120"/>
      </w:pPr>
      <w:bookmarkStart w:id="2" w:name="_Hlk517725976"/>
      <w:r w:rsidRPr="005F0F56">
        <w:rPr>
          <w:noProof/>
        </w:rPr>
        <w:drawing>
          <wp:inline distT="0" distB="0" distL="0" distR="0" wp14:anchorId="7C6ABB3B" wp14:editId="5608AB62">
            <wp:extent cx="899160" cy="2438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PECTRUM BAR 25MM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9160" cy="24384"/>
                    </a:xfrm>
                    <a:prstGeom prst="rect">
                      <a:avLst/>
                    </a:prstGeom>
                  </pic:spPr>
                </pic:pic>
              </a:graphicData>
            </a:graphic>
          </wp:inline>
        </w:drawing>
      </w:r>
    </w:p>
    <w:p w14:paraId="716256D6" w14:textId="77777777" w:rsidR="00342918" w:rsidRPr="005F0F56" w:rsidRDefault="00342918" w:rsidP="00342918">
      <w:pPr>
        <w:pStyle w:val="IntroTitle"/>
      </w:pPr>
      <w:r w:rsidRPr="005F0F56">
        <w:t>About Plum</w:t>
      </w:r>
    </w:p>
    <w:p w14:paraId="64AA43CE" w14:textId="77777777" w:rsidR="00342918" w:rsidRPr="005F0F56" w:rsidRDefault="00453EEE" w:rsidP="00453EEE">
      <w:pPr>
        <w:pStyle w:val="IntroText"/>
        <w:rPr>
          <w:rFonts w:asciiTheme="minorHAnsi" w:hAnsiTheme="minorHAnsi"/>
        </w:rPr>
      </w:pPr>
      <w:r w:rsidRPr="005F0F56">
        <w:rPr>
          <w:rFonts w:asciiTheme="minorHAnsi" w:hAnsiTheme="minorHAnsi"/>
        </w:rPr>
        <w:t>Plum offers strategy, policy and regulatory advice on telecoms, spectrum, online and audio-visual media issues. We draw on economics and engineering, our knowledge of the sector and our clients’ understanding and perspective to shape and respond to convergence.</w:t>
      </w:r>
    </w:p>
    <w:p w14:paraId="72F83489" w14:textId="77777777" w:rsidR="00342918" w:rsidRPr="005F0F56" w:rsidRDefault="00342918" w:rsidP="00453EEE">
      <w:pPr>
        <w:pStyle w:val="Base"/>
        <w:spacing w:before="480"/>
      </w:pPr>
      <w:r w:rsidRPr="005F0F56">
        <w:rPr>
          <w:noProof/>
        </w:rPr>
        <w:drawing>
          <wp:inline distT="0" distB="0" distL="0" distR="0" wp14:anchorId="2F5629E3" wp14:editId="50E4010A">
            <wp:extent cx="899160" cy="2438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PECTRUM BAR 25MM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9160" cy="24384"/>
                    </a:xfrm>
                    <a:prstGeom prst="rect">
                      <a:avLst/>
                    </a:prstGeom>
                  </pic:spPr>
                </pic:pic>
              </a:graphicData>
            </a:graphic>
          </wp:inline>
        </w:drawing>
      </w:r>
    </w:p>
    <w:p w14:paraId="370471E4" w14:textId="77777777" w:rsidR="00342918" w:rsidRPr="005F0F56" w:rsidRDefault="00342918" w:rsidP="00342918">
      <w:pPr>
        <w:pStyle w:val="IntroTitle"/>
      </w:pPr>
      <w:r w:rsidRPr="005F0F56">
        <w:t>About this study</w:t>
      </w:r>
    </w:p>
    <w:p w14:paraId="40921710" w14:textId="479406FA" w:rsidR="00342918" w:rsidRPr="005F0F56" w:rsidRDefault="00342918" w:rsidP="00342918">
      <w:pPr>
        <w:pStyle w:val="IntroText"/>
        <w:rPr>
          <w:rFonts w:asciiTheme="minorHAnsi" w:hAnsiTheme="minorHAnsi"/>
        </w:rPr>
      </w:pPr>
      <w:r w:rsidRPr="005F0F56">
        <w:rPr>
          <w:rFonts w:asciiTheme="minorHAnsi" w:hAnsiTheme="minorHAnsi"/>
        </w:rPr>
        <w:t xml:space="preserve">This study for </w:t>
      </w:r>
      <w:r w:rsidR="00650995">
        <w:rPr>
          <w:rFonts w:asciiTheme="minorHAnsi" w:hAnsiTheme="minorHAnsi"/>
        </w:rPr>
        <w:t xml:space="preserve">the </w:t>
      </w:r>
      <w:r w:rsidR="005427D7" w:rsidRPr="005F0F56">
        <w:rPr>
          <w:rFonts w:asciiTheme="minorHAnsi" w:hAnsiTheme="minorHAnsi"/>
        </w:rPr>
        <w:fldChar w:fldCharType="begin"/>
      </w:r>
      <w:r w:rsidR="005427D7" w:rsidRPr="005F0F56">
        <w:rPr>
          <w:rFonts w:asciiTheme="minorHAnsi" w:hAnsiTheme="minorHAnsi"/>
        </w:rPr>
        <w:instrText xml:space="preserve"> DOCPROPERTY "Client Name" \* MERGEFORMAT </w:instrText>
      </w:r>
      <w:r w:rsidR="005427D7" w:rsidRPr="005F0F56">
        <w:rPr>
          <w:rFonts w:asciiTheme="minorHAnsi" w:hAnsiTheme="minorHAnsi"/>
        </w:rPr>
        <w:fldChar w:fldCharType="separate"/>
      </w:r>
      <w:r w:rsidR="00216ECF">
        <w:rPr>
          <w:rFonts w:asciiTheme="minorHAnsi" w:hAnsiTheme="minorHAnsi"/>
        </w:rPr>
        <w:t>ACMA</w:t>
      </w:r>
      <w:r w:rsidR="005427D7" w:rsidRPr="005F0F56">
        <w:rPr>
          <w:rFonts w:asciiTheme="minorHAnsi" w:hAnsiTheme="minorHAnsi"/>
        </w:rPr>
        <w:fldChar w:fldCharType="end"/>
      </w:r>
      <w:r w:rsidRPr="005F0F56">
        <w:rPr>
          <w:rFonts w:asciiTheme="minorHAnsi" w:hAnsiTheme="minorHAnsi"/>
        </w:rPr>
        <w:t xml:space="preserve"> </w:t>
      </w:r>
      <w:r w:rsidR="00931268">
        <w:rPr>
          <w:rFonts w:asciiTheme="minorHAnsi" w:hAnsiTheme="minorHAnsi"/>
        </w:rPr>
        <w:t>looks at the theory behind spectrum valuation, setting out a number of methodologies that have been used by regulators and spectrum users around the world and considering the advantages and disadvantages of each</w:t>
      </w:r>
      <w:r w:rsidRPr="005F0F56">
        <w:rPr>
          <w:rFonts w:asciiTheme="minorHAnsi" w:hAnsiTheme="minorHAnsi"/>
        </w:rPr>
        <w:t>.</w:t>
      </w:r>
    </w:p>
    <w:bookmarkEnd w:id="1"/>
    <w:bookmarkEnd w:id="2"/>
    <w:p w14:paraId="3F8B957B" w14:textId="77777777" w:rsidR="00342918" w:rsidRPr="005F0F56" w:rsidRDefault="00342918" w:rsidP="00342918">
      <w:pPr>
        <w:pStyle w:val="Base"/>
        <w:sectPr w:rsidR="00342918" w:rsidRPr="005F0F56" w:rsidSect="00453EEE">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417" w:left="1134" w:header="567" w:footer="765" w:gutter="0"/>
          <w:cols w:space="708"/>
          <w:titlePg/>
          <w:docGrid w:linePitch="360"/>
        </w:sectPr>
      </w:pPr>
    </w:p>
    <w:p w14:paraId="68F27343" w14:textId="77777777" w:rsidR="00342918" w:rsidRPr="00EF42A2" w:rsidRDefault="00342918" w:rsidP="00342918">
      <w:pPr>
        <w:pStyle w:val="TocTitle"/>
      </w:pPr>
      <w:r w:rsidRPr="00EF42A2">
        <w:lastRenderedPageBreak/>
        <w:t>Contents</w:t>
      </w:r>
    </w:p>
    <w:p w14:paraId="0101F6BF" w14:textId="367D7872" w:rsidR="00216ECF" w:rsidRDefault="00342918">
      <w:pPr>
        <w:pStyle w:val="TOC3"/>
        <w:rPr>
          <w:rFonts w:asciiTheme="minorHAnsi" w:eastAsiaTheme="minorEastAsia" w:hAnsiTheme="minorHAnsi" w:cstheme="minorBidi"/>
          <w:noProof/>
          <w:color w:val="auto"/>
          <w:kern w:val="2"/>
          <w:sz w:val="22"/>
          <w:szCs w:val="22"/>
          <w14:ligatures w14:val="standardContextual"/>
        </w:rPr>
      </w:pPr>
      <w:r w:rsidRPr="005F0F56">
        <w:rPr>
          <w:b/>
        </w:rPr>
        <w:fldChar w:fldCharType="begin"/>
      </w:r>
      <w:r w:rsidR="00984614" w:rsidRPr="005F0F56">
        <w:instrText xml:space="preserve"> TOC \t"Heading 6,6</w:instrText>
      </w:r>
      <w:r w:rsidRPr="005F0F56">
        <w:instrText xml:space="preserve">,Heading 7,2, Heading 1,1,Heading 2,2, Heading 1 unnumbered,3,Heading 2 unnumbered,4" \z </w:instrText>
      </w:r>
      <w:r w:rsidRPr="005F0F56">
        <w:rPr>
          <w:b/>
        </w:rPr>
        <w:fldChar w:fldCharType="separate"/>
      </w:r>
      <w:r w:rsidR="00216ECF">
        <w:rPr>
          <w:noProof/>
        </w:rPr>
        <w:t>Summary</w:t>
      </w:r>
      <w:r w:rsidR="00216ECF">
        <w:rPr>
          <w:noProof/>
          <w:webHidden/>
        </w:rPr>
        <w:tab/>
      </w:r>
      <w:r w:rsidR="00216ECF">
        <w:rPr>
          <w:noProof/>
          <w:webHidden/>
        </w:rPr>
        <w:fldChar w:fldCharType="begin"/>
      </w:r>
      <w:r w:rsidR="00216ECF">
        <w:rPr>
          <w:noProof/>
          <w:webHidden/>
        </w:rPr>
        <w:instrText xml:space="preserve"> PAGEREF _Toc138771591 \h </w:instrText>
      </w:r>
      <w:r w:rsidR="00216ECF">
        <w:rPr>
          <w:noProof/>
          <w:webHidden/>
        </w:rPr>
      </w:r>
      <w:r w:rsidR="00216ECF">
        <w:rPr>
          <w:noProof/>
          <w:webHidden/>
        </w:rPr>
        <w:fldChar w:fldCharType="separate"/>
      </w:r>
      <w:r w:rsidR="0027066B">
        <w:rPr>
          <w:noProof/>
          <w:webHidden/>
        </w:rPr>
        <w:t>5</w:t>
      </w:r>
      <w:r w:rsidR="00216ECF">
        <w:rPr>
          <w:noProof/>
          <w:webHidden/>
        </w:rPr>
        <w:fldChar w:fldCharType="end"/>
      </w:r>
    </w:p>
    <w:p w14:paraId="4363A65F" w14:textId="54DCC4B4"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1</w:t>
      </w:r>
      <w:r>
        <w:rPr>
          <w:rFonts w:asciiTheme="minorHAnsi" w:eastAsiaTheme="minorEastAsia" w:hAnsiTheme="minorHAnsi" w:cstheme="minorBidi"/>
          <w:noProof/>
          <w:color w:val="auto"/>
          <w:kern w:val="2"/>
          <w:sz w:val="22"/>
          <w:szCs w:val="22"/>
          <w14:ligatures w14:val="standardContextual"/>
        </w:rPr>
        <w:tab/>
      </w:r>
      <w:r>
        <w:rPr>
          <w:noProof/>
        </w:rPr>
        <w:t>Introduction</w:t>
      </w:r>
      <w:r>
        <w:rPr>
          <w:noProof/>
          <w:webHidden/>
        </w:rPr>
        <w:tab/>
      </w:r>
      <w:r>
        <w:rPr>
          <w:noProof/>
          <w:webHidden/>
        </w:rPr>
        <w:fldChar w:fldCharType="begin"/>
      </w:r>
      <w:r>
        <w:rPr>
          <w:noProof/>
          <w:webHidden/>
        </w:rPr>
        <w:instrText xml:space="preserve"> PAGEREF _Toc138771592 \h </w:instrText>
      </w:r>
      <w:r>
        <w:rPr>
          <w:noProof/>
          <w:webHidden/>
        </w:rPr>
      </w:r>
      <w:r>
        <w:rPr>
          <w:noProof/>
          <w:webHidden/>
        </w:rPr>
        <w:fldChar w:fldCharType="separate"/>
      </w:r>
      <w:r w:rsidR="0027066B">
        <w:rPr>
          <w:noProof/>
          <w:webHidden/>
        </w:rPr>
        <w:t>7</w:t>
      </w:r>
      <w:r>
        <w:rPr>
          <w:noProof/>
          <w:webHidden/>
        </w:rPr>
        <w:fldChar w:fldCharType="end"/>
      </w:r>
    </w:p>
    <w:p w14:paraId="60F27210" w14:textId="3D30E55D"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1.1</w:t>
      </w:r>
      <w:r>
        <w:rPr>
          <w:rFonts w:eastAsiaTheme="minorEastAsia" w:cstheme="minorBidi"/>
          <w:noProof/>
          <w:kern w:val="2"/>
          <w:sz w:val="22"/>
          <w:szCs w:val="22"/>
          <w14:ligatures w14:val="standardContextual"/>
        </w:rPr>
        <w:tab/>
      </w:r>
      <w:r>
        <w:rPr>
          <w:noProof/>
        </w:rPr>
        <w:t>Structure of this paper</w:t>
      </w:r>
      <w:r>
        <w:rPr>
          <w:noProof/>
          <w:webHidden/>
        </w:rPr>
        <w:tab/>
      </w:r>
      <w:r>
        <w:rPr>
          <w:noProof/>
          <w:webHidden/>
        </w:rPr>
        <w:fldChar w:fldCharType="begin"/>
      </w:r>
      <w:r>
        <w:rPr>
          <w:noProof/>
          <w:webHidden/>
        </w:rPr>
        <w:instrText xml:space="preserve"> PAGEREF _Toc138771593 \h </w:instrText>
      </w:r>
      <w:r>
        <w:rPr>
          <w:noProof/>
          <w:webHidden/>
        </w:rPr>
      </w:r>
      <w:r>
        <w:rPr>
          <w:noProof/>
          <w:webHidden/>
        </w:rPr>
        <w:fldChar w:fldCharType="separate"/>
      </w:r>
      <w:r w:rsidR="0027066B">
        <w:rPr>
          <w:noProof/>
          <w:webHidden/>
        </w:rPr>
        <w:t>7</w:t>
      </w:r>
      <w:r>
        <w:rPr>
          <w:noProof/>
          <w:webHidden/>
        </w:rPr>
        <w:fldChar w:fldCharType="end"/>
      </w:r>
    </w:p>
    <w:p w14:paraId="500EB62A" w14:textId="6BAF2EDE"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2</w:t>
      </w:r>
      <w:r>
        <w:rPr>
          <w:rFonts w:asciiTheme="minorHAnsi" w:eastAsiaTheme="minorEastAsia" w:hAnsiTheme="minorHAnsi" w:cstheme="minorBidi"/>
          <w:noProof/>
          <w:color w:val="auto"/>
          <w:kern w:val="2"/>
          <w:sz w:val="22"/>
          <w:szCs w:val="22"/>
          <w14:ligatures w14:val="standardContextual"/>
        </w:rPr>
        <w:tab/>
      </w:r>
      <w:r>
        <w:rPr>
          <w:noProof/>
        </w:rPr>
        <w:t>A theory of spectrum pricing</w:t>
      </w:r>
      <w:r>
        <w:rPr>
          <w:noProof/>
          <w:webHidden/>
        </w:rPr>
        <w:tab/>
      </w:r>
      <w:r>
        <w:rPr>
          <w:noProof/>
          <w:webHidden/>
        </w:rPr>
        <w:fldChar w:fldCharType="begin"/>
      </w:r>
      <w:r>
        <w:rPr>
          <w:noProof/>
          <w:webHidden/>
        </w:rPr>
        <w:instrText xml:space="preserve"> PAGEREF _Toc138771594 \h </w:instrText>
      </w:r>
      <w:r>
        <w:rPr>
          <w:noProof/>
          <w:webHidden/>
        </w:rPr>
      </w:r>
      <w:r>
        <w:rPr>
          <w:noProof/>
          <w:webHidden/>
        </w:rPr>
        <w:fldChar w:fldCharType="separate"/>
      </w:r>
      <w:r w:rsidR="0027066B">
        <w:rPr>
          <w:noProof/>
          <w:webHidden/>
        </w:rPr>
        <w:t>9</w:t>
      </w:r>
      <w:r>
        <w:rPr>
          <w:noProof/>
          <w:webHidden/>
        </w:rPr>
        <w:fldChar w:fldCharType="end"/>
      </w:r>
    </w:p>
    <w:p w14:paraId="5F6F47BE" w14:textId="07CCC60A"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2.1</w:t>
      </w:r>
      <w:r>
        <w:rPr>
          <w:rFonts w:eastAsiaTheme="minorEastAsia" w:cstheme="minorBidi"/>
          <w:noProof/>
          <w:kern w:val="2"/>
          <w:sz w:val="22"/>
          <w:szCs w:val="22"/>
          <w14:ligatures w14:val="standardContextual"/>
        </w:rPr>
        <w:tab/>
      </w:r>
      <w:r>
        <w:rPr>
          <w:noProof/>
        </w:rPr>
        <w:t>Non-economic factors</w:t>
      </w:r>
      <w:r>
        <w:rPr>
          <w:noProof/>
          <w:webHidden/>
        </w:rPr>
        <w:tab/>
      </w:r>
      <w:r>
        <w:rPr>
          <w:noProof/>
          <w:webHidden/>
        </w:rPr>
        <w:fldChar w:fldCharType="begin"/>
      </w:r>
      <w:r>
        <w:rPr>
          <w:noProof/>
          <w:webHidden/>
        </w:rPr>
        <w:instrText xml:space="preserve"> PAGEREF _Toc138771595 \h </w:instrText>
      </w:r>
      <w:r>
        <w:rPr>
          <w:noProof/>
          <w:webHidden/>
        </w:rPr>
      </w:r>
      <w:r>
        <w:rPr>
          <w:noProof/>
          <w:webHidden/>
        </w:rPr>
        <w:fldChar w:fldCharType="separate"/>
      </w:r>
      <w:r w:rsidR="0027066B">
        <w:rPr>
          <w:noProof/>
          <w:webHidden/>
        </w:rPr>
        <w:t>9</w:t>
      </w:r>
      <w:r>
        <w:rPr>
          <w:noProof/>
          <w:webHidden/>
        </w:rPr>
        <w:fldChar w:fldCharType="end"/>
      </w:r>
    </w:p>
    <w:p w14:paraId="4B201FBC" w14:textId="125C6560"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2.2</w:t>
      </w:r>
      <w:r>
        <w:rPr>
          <w:rFonts w:eastAsiaTheme="minorEastAsia" w:cstheme="minorBidi"/>
          <w:noProof/>
          <w:kern w:val="2"/>
          <w:sz w:val="22"/>
          <w:szCs w:val="22"/>
          <w14:ligatures w14:val="standardContextual"/>
        </w:rPr>
        <w:tab/>
      </w:r>
      <w:r>
        <w:rPr>
          <w:noProof/>
        </w:rPr>
        <w:t>Applications to spectrum assignment</w:t>
      </w:r>
      <w:r>
        <w:rPr>
          <w:noProof/>
          <w:webHidden/>
        </w:rPr>
        <w:tab/>
      </w:r>
      <w:r>
        <w:rPr>
          <w:noProof/>
          <w:webHidden/>
        </w:rPr>
        <w:fldChar w:fldCharType="begin"/>
      </w:r>
      <w:r>
        <w:rPr>
          <w:noProof/>
          <w:webHidden/>
        </w:rPr>
        <w:instrText xml:space="preserve"> PAGEREF _Toc138771596 \h </w:instrText>
      </w:r>
      <w:r>
        <w:rPr>
          <w:noProof/>
          <w:webHidden/>
        </w:rPr>
      </w:r>
      <w:r>
        <w:rPr>
          <w:noProof/>
          <w:webHidden/>
        </w:rPr>
        <w:fldChar w:fldCharType="separate"/>
      </w:r>
      <w:r w:rsidR="0027066B">
        <w:rPr>
          <w:noProof/>
          <w:webHidden/>
        </w:rPr>
        <w:t>10</w:t>
      </w:r>
      <w:r>
        <w:rPr>
          <w:noProof/>
          <w:webHidden/>
        </w:rPr>
        <w:fldChar w:fldCharType="end"/>
      </w:r>
    </w:p>
    <w:p w14:paraId="2A6E55BA" w14:textId="73DECA0C"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3</w:t>
      </w:r>
      <w:r>
        <w:rPr>
          <w:rFonts w:asciiTheme="minorHAnsi" w:eastAsiaTheme="minorEastAsia" w:hAnsiTheme="minorHAnsi" w:cstheme="minorBidi"/>
          <w:noProof/>
          <w:color w:val="auto"/>
          <w:kern w:val="2"/>
          <w:sz w:val="22"/>
          <w:szCs w:val="22"/>
          <w14:ligatures w14:val="standardContextual"/>
        </w:rPr>
        <w:tab/>
      </w:r>
      <w:r>
        <w:rPr>
          <w:noProof/>
        </w:rPr>
        <w:t>Basic theories of valuation</w:t>
      </w:r>
      <w:r>
        <w:rPr>
          <w:noProof/>
          <w:webHidden/>
        </w:rPr>
        <w:tab/>
      </w:r>
      <w:r>
        <w:rPr>
          <w:noProof/>
          <w:webHidden/>
        </w:rPr>
        <w:fldChar w:fldCharType="begin"/>
      </w:r>
      <w:r>
        <w:rPr>
          <w:noProof/>
          <w:webHidden/>
        </w:rPr>
        <w:instrText xml:space="preserve"> PAGEREF _Toc138771597 \h </w:instrText>
      </w:r>
      <w:r>
        <w:rPr>
          <w:noProof/>
          <w:webHidden/>
        </w:rPr>
      </w:r>
      <w:r>
        <w:rPr>
          <w:noProof/>
          <w:webHidden/>
        </w:rPr>
        <w:fldChar w:fldCharType="separate"/>
      </w:r>
      <w:r w:rsidR="0027066B">
        <w:rPr>
          <w:noProof/>
          <w:webHidden/>
        </w:rPr>
        <w:t>12</w:t>
      </w:r>
      <w:r>
        <w:rPr>
          <w:noProof/>
          <w:webHidden/>
        </w:rPr>
        <w:fldChar w:fldCharType="end"/>
      </w:r>
    </w:p>
    <w:p w14:paraId="65DB7FA8" w14:textId="4BF8E625"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3.1</w:t>
      </w:r>
      <w:r>
        <w:rPr>
          <w:rFonts w:eastAsiaTheme="minorEastAsia" w:cstheme="minorBidi"/>
          <w:noProof/>
          <w:kern w:val="2"/>
          <w:sz w:val="22"/>
          <w:szCs w:val="22"/>
          <w14:ligatures w14:val="standardContextual"/>
        </w:rPr>
        <w:tab/>
      </w:r>
      <w:r>
        <w:rPr>
          <w:noProof/>
        </w:rPr>
        <w:t>Constraints on regulators</w:t>
      </w:r>
      <w:r>
        <w:rPr>
          <w:noProof/>
          <w:webHidden/>
        </w:rPr>
        <w:tab/>
      </w:r>
      <w:r>
        <w:rPr>
          <w:noProof/>
          <w:webHidden/>
        </w:rPr>
        <w:fldChar w:fldCharType="begin"/>
      </w:r>
      <w:r>
        <w:rPr>
          <w:noProof/>
          <w:webHidden/>
        </w:rPr>
        <w:instrText xml:space="preserve"> PAGEREF _Toc138771598 \h </w:instrText>
      </w:r>
      <w:r>
        <w:rPr>
          <w:noProof/>
          <w:webHidden/>
        </w:rPr>
      </w:r>
      <w:r>
        <w:rPr>
          <w:noProof/>
          <w:webHidden/>
        </w:rPr>
        <w:fldChar w:fldCharType="separate"/>
      </w:r>
      <w:r w:rsidR="0027066B">
        <w:rPr>
          <w:noProof/>
          <w:webHidden/>
        </w:rPr>
        <w:t>12</w:t>
      </w:r>
      <w:r>
        <w:rPr>
          <w:noProof/>
          <w:webHidden/>
        </w:rPr>
        <w:fldChar w:fldCharType="end"/>
      </w:r>
    </w:p>
    <w:p w14:paraId="30BD4DFD" w14:textId="31269E7D"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4</w:t>
      </w:r>
      <w:r>
        <w:rPr>
          <w:rFonts w:asciiTheme="minorHAnsi" w:eastAsiaTheme="minorEastAsia" w:hAnsiTheme="minorHAnsi" w:cstheme="minorBidi"/>
          <w:noProof/>
          <w:color w:val="auto"/>
          <w:kern w:val="2"/>
          <w:sz w:val="22"/>
          <w:szCs w:val="22"/>
          <w14:ligatures w14:val="standardContextual"/>
        </w:rPr>
        <w:tab/>
      </w:r>
      <w:r>
        <w:rPr>
          <w:noProof/>
        </w:rPr>
        <w:t>Regulatory methods to estimate valuation</w:t>
      </w:r>
      <w:r>
        <w:rPr>
          <w:noProof/>
          <w:webHidden/>
        </w:rPr>
        <w:tab/>
      </w:r>
      <w:r>
        <w:rPr>
          <w:noProof/>
          <w:webHidden/>
        </w:rPr>
        <w:fldChar w:fldCharType="begin"/>
      </w:r>
      <w:r>
        <w:rPr>
          <w:noProof/>
          <w:webHidden/>
        </w:rPr>
        <w:instrText xml:space="preserve"> PAGEREF _Toc138771599 \h </w:instrText>
      </w:r>
      <w:r>
        <w:rPr>
          <w:noProof/>
          <w:webHidden/>
        </w:rPr>
      </w:r>
      <w:r>
        <w:rPr>
          <w:noProof/>
          <w:webHidden/>
        </w:rPr>
        <w:fldChar w:fldCharType="separate"/>
      </w:r>
      <w:r w:rsidR="0027066B">
        <w:rPr>
          <w:noProof/>
          <w:webHidden/>
        </w:rPr>
        <w:t>14</w:t>
      </w:r>
      <w:r>
        <w:rPr>
          <w:noProof/>
          <w:webHidden/>
        </w:rPr>
        <w:fldChar w:fldCharType="end"/>
      </w:r>
    </w:p>
    <w:p w14:paraId="6965A359" w14:textId="208344FC"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5</w:t>
      </w:r>
      <w:r>
        <w:rPr>
          <w:rFonts w:asciiTheme="minorHAnsi" w:eastAsiaTheme="minorEastAsia" w:hAnsiTheme="minorHAnsi" w:cstheme="minorBidi"/>
          <w:noProof/>
          <w:color w:val="auto"/>
          <w:kern w:val="2"/>
          <w:sz w:val="22"/>
          <w:szCs w:val="22"/>
          <w14:ligatures w14:val="standardContextual"/>
        </w:rPr>
        <w:tab/>
      </w:r>
      <w:r>
        <w:rPr>
          <w:noProof/>
        </w:rPr>
        <w:t>Benchmarking methods</w:t>
      </w:r>
      <w:r>
        <w:rPr>
          <w:noProof/>
          <w:webHidden/>
        </w:rPr>
        <w:tab/>
      </w:r>
      <w:r>
        <w:rPr>
          <w:noProof/>
          <w:webHidden/>
        </w:rPr>
        <w:fldChar w:fldCharType="begin"/>
      </w:r>
      <w:r>
        <w:rPr>
          <w:noProof/>
          <w:webHidden/>
        </w:rPr>
        <w:instrText xml:space="preserve"> PAGEREF _Toc138771600 \h </w:instrText>
      </w:r>
      <w:r>
        <w:rPr>
          <w:noProof/>
          <w:webHidden/>
        </w:rPr>
      </w:r>
      <w:r>
        <w:rPr>
          <w:noProof/>
          <w:webHidden/>
        </w:rPr>
        <w:fldChar w:fldCharType="separate"/>
      </w:r>
      <w:r w:rsidR="0027066B">
        <w:rPr>
          <w:noProof/>
          <w:webHidden/>
        </w:rPr>
        <w:t>15</w:t>
      </w:r>
      <w:r>
        <w:rPr>
          <w:noProof/>
          <w:webHidden/>
        </w:rPr>
        <w:fldChar w:fldCharType="end"/>
      </w:r>
    </w:p>
    <w:p w14:paraId="7B386F43" w14:textId="2B227F5F"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5.1</w:t>
      </w:r>
      <w:r>
        <w:rPr>
          <w:rFonts w:eastAsiaTheme="minorEastAsia" w:cstheme="minorBidi"/>
          <w:noProof/>
          <w:kern w:val="2"/>
          <w:sz w:val="22"/>
          <w:szCs w:val="22"/>
          <w14:ligatures w14:val="standardContextual"/>
        </w:rPr>
        <w:tab/>
      </w:r>
      <w:r>
        <w:rPr>
          <w:noProof/>
        </w:rPr>
        <w:t>Direct benchmarking</w:t>
      </w:r>
      <w:r>
        <w:rPr>
          <w:noProof/>
          <w:webHidden/>
        </w:rPr>
        <w:tab/>
      </w:r>
      <w:r>
        <w:rPr>
          <w:noProof/>
          <w:webHidden/>
        </w:rPr>
        <w:fldChar w:fldCharType="begin"/>
      </w:r>
      <w:r>
        <w:rPr>
          <w:noProof/>
          <w:webHidden/>
        </w:rPr>
        <w:instrText xml:space="preserve"> PAGEREF _Toc138771601 \h </w:instrText>
      </w:r>
      <w:r>
        <w:rPr>
          <w:noProof/>
          <w:webHidden/>
        </w:rPr>
      </w:r>
      <w:r>
        <w:rPr>
          <w:noProof/>
          <w:webHidden/>
        </w:rPr>
        <w:fldChar w:fldCharType="separate"/>
      </w:r>
      <w:r w:rsidR="0027066B">
        <w:rPr>
          <w:noProof/>
          <w:webHidden/>
        </w:rPr>
        <w:t>18</w:t>
      </w:r>
      <w:r>
        <w:rPr>
          <w:noProof/>
          <w:webHidden/>
        </w:rPr>
        <w:fldChar w:fldCharType="end"/>
      </w:r>
    </w:p>
    <w:p w14:paraId="3F1146B0" w14:textId="0F8129B5"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5.2</w:t>
      </w:r>
      <w:r>
        <w:rPr>
          <w:rFonts w:eastAsiaTheme="minorEastAsia" w:cstheme="minorBidi"/>
          <w:noProof/>
          <w:kern w:val="2"/>
          <w:sz w:val="22"/>
          <w:szCs w:val="22"/>
          <w14:ligatures w14:val="standardContextual"/>
        </w:rPr>
        <w:tab/>
      </w:r>
      <w:r>
        <w:rPr>
          <w:noProof/>
        </w:rPr>
        <w:t>Adjusted benchmarking</w:t>
      </w:r>
      <w:r>
        <w:rPr>
          <w:noProof/>
          <w:webHidden/>
        </w:rPr>
        <w:tab/>
      </w:r>
      <w:r>
        <w:rPr>
          <w:noProof/>
          <w:webHidden/>
        </w:rPr>
        <w:fldChar w:fldCharType="begin"/>
      </w:r>
      <w:r>
        <w:rPr>
          <w:noProof/>
          <w:webHidden/>
        </w:rPr>
        <w:instrText xml:space="preserve"> PAGEREF _Toc138771602 \h </w:instrText>
      </w:r>
      <w:r>
        <w:rPr>
          <w:noProof/>
          <w:webHidden/>
        </w:rPr>
      </w:r>
      <w:r>
        <w:rPr>
          <w:noProof/>
          <w:webHidden/>
        </w:rPr>
        <w:fldChar w:fldCharType="separate"/>
      </w:r>
      <w:r w:rsidR="0027066B">
        <w:rPr>
          <w:noProof/>
          <w:webHidden/>
        </w:rPr>
        <w:t>19</w:t>
      </w:r>
      <w:r>
        <w:rPr>
          <w:noProof/>
          <w:webHidden/>
        </w:rPr>
        <w:fldChar w:fldCharType="end"/>
      </w:r>
    </w:p>
    <w:p w14:paraId="14D1B6C4" w14:textId="0200506D"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5.3</w:t>
      </w:r>
      <w:r>
        <w:rPr>
          <w:rFonts w:eastAsiaTheme="minorEastAsia" w:cstheme="minorBidi"/>
          <w:noProof/>
          <w:kern w:val="2"/>
          <w:sz w:val="22"/>
          <w:szCs w:val="22"/>
          <w14:ligatures w14:val="standardContextual"/>
        </w:rPr>
        <w:tab/>
      </w:r>
      <w:r>
        <w:rPr>
          <w:noProof/>
        </w:rPr>
        <w:t>Econometric analysis</w:t>
      </w:r>
      <w:r>
        <w:rPr>
          <w:noProof/>
          <w:webHidden/>
        </w:rPr>
        <w:tab/>
      </w:r>
      <w:r>
        <w:rPr>
          <w:noProof/>
          <w:webHidden/>
        </w:rPr>
        <w:fldChar w:fldCharType="begin"/>
      </w:r>
      <w:r>
        <w:rPr>
          <w:noProof/>
          <w:webHidden/>
        </w:rPr>
        <w:instrText xml:space="preserve"> PAGEREF _Toc138771603 \h </w:instrText>
      </w:r>
      <w:r>
        <w:rPr>
          <w:noProof/>
          <w:webHidden/>
        </w:rPr>
      </w:r>
      <w:r>
        <w:rPr>
          <w:noProof/>
          <w:webHidden/>
        </w:rPr>
        <w:fldChar w:fldCharType="separate"/>
      </w:r>
      <w:r w:rsidR="0027066B">
        <w:rPr>
          <w:noProof/>
          <w:webHidden/>
        </w:rPr>
        <w:t>20</w:t>
      </w:r>
      <w:r>
        <w:rPr>
          <w:noProof/>
          <w:webHidden/>
        </w:rPr>
        <w:fldChar w:fldCharType="end"/>
      </w:r>
    </w:p>
    <w:p w14:paraId="4C5D3519" w14:textId="420156E9"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6</w:t>
      </w:r>
      <w:r>
        <w:rPr>
          <w:rFonts w:asciiTheme="minorHAnsi" w:eastAsiaTheme="minorEastAsia" w:hAnsiTheme="minorHAnsi" w:cstheme="minorBidi"/>
          <w:noProof/>
          <w:color w:val="auto"/>
          <w:kern w:val="2"/>
          <w:sz w:val="22"/>
          <w:szCs w:val="22"/>
          <w14:ligatures w14:val="standardContextual"/>
        </w:rPr>
        <w:tab/>
      </w:r>
      <w:r>
        <w:rPr>
          <w:noProof/>
        </w:rPr>
        <w:t>Avoided cost modelling</w:t>
      </w:r>
      <w:r>
        <w:rPr>
          <w:noProof/>
          <w:webHidden/>
        </w:rPr>
        <w:tab/>
      </w:r>
      <w:r>
        <w:rPr>
          <w:noProof/>
          <w:webHidden/>
        </w:rPr>
        <w:fldChar w:fldCharType="begin"/>
      </w:r>
      <w:r>
        <w:rPr>
          <w:noProof/>
          <w:webHidden/>
        </w:rPr>
        <w:instrText xml:space="preserve"> PAGEREF _Toc138771604 \h </w:instrText>
      </w:r>
      <w:r>
        <w:rPr>
          <w:noProof/>
          <w:webHidden/>
        </w:rPr>
      </w:r>
      <w:r>
        <w:rPr>
          <w:noProof/>
          <w:webHidden/>
        </w:rPr>
        <w:fldChar w:fldCharType="separate"/>
      </w:r>
      <w:r w:rsidR="0027066B">
        <w:rPr>
          <w:noProof/>
          <w:webHidden/>
        </w:rPr>
        <w:t>22</w:t>
      </w:r>
      <w:r>
        <w:rPr>
          <w:noProof/>
          <w:webHidden/>
        </w:rPr>
        <w:fldChar w:fldCharType="end"/>
      </w:r>
    </w:p>
    <w:p w14:paraId="2ECAED41" w14:textId="0E5B06DB"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6.1</w:t>
      </w:r>
      <w:r>
        <w:rPr>
          <w:rFonts w:eastAsiaTheme="minorEastAsia" w:cstheme="minorBidi"/>
          <w:noProof/>
          <w:kern w:val="2"/>
          <w:sz w:val="22"/>
          <w:szCs w:val="22"/>
          <w14:ligatures w14:val="standardContextual"/>
        </w:rPr>
        <w:tab/>
      </w:r>
      <w:r>
        <w:rPr>
          <w:noProof/>
        </w:rPr>
        <w:t>Iterative cost model</w:t>
      </w:r>
      <w:r>
        <w:rPr>
          <w:noProof/>
          <w:webHidden/>
        </w:rPr>
        <w:tab/>
      </w:r>
      <w:r>
        <w:rPr>
          <w:noProof/>
          <w:webHidden/>
        </w:rPr>
        <w:fldChar w:fldCharType="begin"/>
      </w:r>
      <w:r>
        <w:rPr>
          <w:noProof/>
          <w:webHidden/>
        </w:rPr>
        <w:instrText xml:space="preserve"> PAGEREF _Toc138771605 \h </w:instrText>
      </w:r>
      <w:r>
        <w:rPr>
          <w:noProof/>
          <w:webHidden/>
        </w:rPr>
      </w:r>
      <w:r>
        <w:rPr>
          <w:noProof/>
          <w:webHidden/>
        </w:rPr>
        <w:fldChar w:fldCharType="separate"/>
      </w:r>
      <w:r w:rsidR="0027066B">
        <w:rPr>
          <w:noProof/>
          <w:webHidden/>
        </w:rPr>
        <w:t>24</w:t>
      </w:r>
      <w:r>
        <w:rPr>
          <w:noProof/>
          <w:webHidden/>
        </w:rPr>
        <w:fldChar w:fldCharType="end"/>
      </w:r>
    </w:p>
    <w:p w14:paraId="39FCA30A" w14:textId="3220D094"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7</w:t>
      </w:r>
      <w:r>
        <w:rPr>
          <w:rFonts w:asciiTheme="minorHAnsi" w:eastAsiaTheme="minorEastAsia" w:hAnsiTheme="minorHAnsi" w:cstheme="minorBidi"/>
          <w:noProof/>
          <w:color w:val="auto"/>
          <w:kern w:val="2"/>
          <w:sz w:val="22"/>
          <w:szCs w:val="22"/>
          <w14:ligatures w14:val="standardContextual"/>
        </w:rPr>
        <w:tab/>
      </w:r>
      <w:r>
        <w:rPr>
          <w:noProof/>
        </w:rPr>
        <w:t>Business modelling</w:t>
      </w:r>
      <w:r>
        <w:rPr>
          <w:noProof/>
          <w:webHidden/>
        </w:rPr>
        <w:tab/>
      </w:r>
      <w:r>
        <w:rPr>
          <w:noProof/>
          <w:webHidden/>
        </w:rPr>
        <w:fldChar w:fldCharType="begin"/>
      </w:r>
      <w:r>
        <w:rPr>
          <w:noProof/>
          <w:webHidden/>
        </w:rPr>
        <w:instrText xml:space="preserve"> PAGEREF _Toc138771606 \h </w:instrText>
      </w:r>
      <w:r>
        <w:rPr>
          <w:noProof/>
          <w:webHidden/>
        </w:rPr>
      </w:r>
      <w:r>
        <w:rPr>
          <w:noProof/>
          <w:webHidden/>
        </w:rPr>
        <w:fldChar w:fldCharType="separate"/>
      </w:r>
      <w:r w:rsidR="0027066B">
        <w:rPr>
          <w:noProof/>
          <w:webHidden/>
        </w:rPr>
        <w:t>26</w:t>
      </w:r>
      <w:r>
        <w:rPr>
          <w:noProof/>
          <w:webHidden/>
        </w:rPr>
        <w:fldChar w:fldCharType="end"/>
      </w:r>
    </w:p>
    <w:p w14:paraId="2C079AF7" w14:textId="6B0D9716"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8</w:t>
      </w:r>
      <w:r>
        <w:rPr>
          <w:rFonts w:asciiTheme="minorHAnsi" w:eastAsiaTheme="minorEastAsia" w:hAnsiTheme="minorHAnsi" w:cstheme="minorBidi"/>
          <w:noProof/>
          <w:color w:val="auto"/>
          <w:kern w:val="2"/>
          <w:sz w:val="22"/>
          <w:szCs w:val="22"/>
          <w14:ligatures w14:val="standardContextual"/>
        </w:rPr>
        <w:tab/>
      </w:r>
      <w:r>
        <w:rPr>
          <w:noProof/>
        </w:rPr>
        <w:t>Opportunity cost modelling</w:t>
      </w:r>
      <w:r>
        <w:rPr>
          <w:noProof/>
          <w:webHidden/>
        </w:rPr>
        <w:tab/>
      </w:r>
      <w:r>
        <w:rPr>
          <w:noProof/>
          <w:webHidden/>
        </w:rPr>
        <w:fldChar w:fldCharType="begin"/>
      </w:r>
      <w:r>
        <w:rPr>
          <w:noProof/>
          <w:webHidden/>
        </w:rPr>
        <w:instrText xml:space="preserve"> PAGEREF _Toc138771607 \h </w:instrText>
      </w:r>
      <w:r>
        <w:rPr>
          <w:noProof/>
          <w:webHidden/>
        </w:rPr>
      </w:r>
      <w:r>
        <w:rPr>
          <w:noProof/>
          <w:webHidden/>
        </w:rPr>
        <w:fldChar w:fldCharType="separate"/>
      </w:r>
      <w:r w:rsidR="0027066B">
        <w:rPr>
          <w:noProof/>
          <w:webHidden/>
        </w:rPr>
        <w:t>28</w:t>
      </w:r>
      <w:r>
        <w:rPr>
          <w:noProof/>
          <w:webHidden/>
        </w:rPr>
        <w:fldChar w:fldCharType="end"/>
      </w:r>
    </w:p>
    <w:p w14:paraId="3AD0B186" w14:textId="1A23BE47"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9</w:t>
      </w:r>
      <w:r>
        <w:rPr>
          <w:rFonts w:asciiTheme="minorHAnsi" w:eastAsiaTheme="minorEastAsia" w:hAnsiTheme="minorHAnsi" w:cstheme="minorBidi"/>
          <w:noProof/>
          <w:color w:val="auto"/>
          <w:kern w:val="2"/>
          <w:sz w:val="22"/>
          <w:szCs w:val="22"/>
          <w14:ligatures w14:val="standardContextual"/>
        </w:rPr>
        <w:tab/>
      </w:r>
      <w:r>
        <w:rPr>
          <w:noProof/>
        </w:rPr>
        <w:t>Summary of methods</w:t>
      </w:r>
      <w:r>
        <w:rPr>
          <w:noProof/>
          <w:webHidden/>
        </w:rPr>
        <w:tab/>
      </w:r>
      <w:r>
        <w:rPr>
          <w:noProof/>
          <w:webHidden/>
        </w:rPr>
        <w:fldChar w:fldCharType="begin"/>
      </w:r>
      <w:r>
        <w:rPr>
          <w:noProof/>
          <w:webHidden/>
        </w:rPr>
        <w:instrText xml:space="preserve"> PAGEREF _Toc138771608 \h </w:instrText>
      </w:r>
      <w:r>
        <w:rPr>
          <w:noProof/>
          <w:webHidden/>
        </w:rPr>
      </w:r>
      <w:r>
        <w:rPr>
          <w:noProof/>
          <w:webHidden/>
        </w:rPr>
        <w:fldChar w:fldCharType="separate"/>
      </w:r>
      <w:r w:rsidR="0027066B">
        <w:rPr>
          <w:noProof/>
          <w:webHidden/>
        </w:rPr>
        <w:t>30</w:t>
      </w:r>
      <w:r>
        <w:rPr>
          <w:noProof/>
          <w:webHidden/>
        </w:rPr>
        <w:fldChar w:fldCharType="end"/>
      </w:r>
    </w:p>
    <w:p w14:paraId="73373991" w14:textId="149B5433"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10</w:t>
      </w:r>
      <w:r>
        <w:rPr>
          <w:rFonts w:asciiTheme="minorHAnsi" w:eastAsiaTheme="minorEastAsia" w:hAnsiTheme="minorHAnsi" w:cstheme="minorBidi"/>
          <w:noProof/>
          <w:color w:val="auto"/>
          <w:kern w:val="2"/>
          <w:sz w:val="22"/>
          <w:szCs w:val="22"/>
          <w14:ligatures w14:val="standardContextual"/>
        </w:rPr>
        <w:tab/>
      </w:r>
      <w:r>
        <w:rPr>
          <w:noProof/>
        </w:rPr>
        <w:t>Case studies of use</w:t>
      </w:r>
      <w:r>
        <w:rPr>
          <w:noProof/>
          <w:webHidden/>
        </w:rPr>
        <w:tab/>
      </w:r>
      <w:r>
        <w:rPr>
          <w:noProof/>
          <w:webHidden/>
        </w:rPr>
        <w:fldChar w:fldCharType="begin"/>
      </w:r>
      <w:r>
        <w:rPr>
          <w:noProof/>
          <w:webHidden/>
        </w:rPr>
        <w:instrText xml:space="preserve"> PAGEREF _Toc138771609 \h </w:instrText>
      </w:r>
      <w:r>
        <w:rPr>
          <w:noProof/>
          <w:webHidden/>
        </w:rPr>
      </w:r>
      <w:r>
        <w:rPr>
          <w:noProof/>
          <w:webHidden/>
        </w:rPr>
        <w:fldChar w:fldCharType="separate"/>
      </w:r>
      <w:r w:rsidR="0027066B">
        <w:rPr>
          <w:noProof/>
          <w:webHidden/>
        </w:rPr>
        <w:t>32</w:t>
      </w:r>
      <w:r>
        <w:rPr>
          <w:noProof/>
          <w:webHidden/>
        </w:rPr>
        <w:fldChar w:fldCharType="end"/>
      </w:r>
    </w:p>
    <w:p w14:paraId="28A8725A" w14:textId="7DA50217"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10.1</w:t>
      </w:r>
      <w:r>
        <w:rPr>
          <w:rFonts w:eastAsiaTheme="minorEastAsia" w:cstheme="minorBidi"/>
          <w:noProof/>
          <w:kern w:val="2"/>
          <w:sz w:val="22"/>
          <w:szCs w:val="22"/>
          <w14:ligatures w14:val="standardContextual"/>
        </w:rPr>
        <w:tab/>
      </w:r>
      <w:r>
        <w:rPr>
          <w:noProof/>
        </w:rPr>
        <w:t>Use of multiple methodologies</w:t>
      </w:r>
      <w:r>
        <w:rPr>
          <w:noProof/>
          <w:webHidden/>
        </w:rPr>
        <w:tab/>
      </w:r>
      <w:r>
        <w:rPr>
          <w:noProof/>
          <w:webHidden/>
        </w:rPr>
        <w:fldChar w:fldCharType="begin"/>
      </w:r>
      <w:r>
        <w:rPr>
          <w:noProof/>
          <w:webHidden/>
        </w:rPr>
        <w:instrText xml:space="preserve"> PAGEREF _Toc138771610 \h </w:instrText>
      </w:r>
      <w:r>
        <w:rPr>
          <w:noProof/>
          <w:webHidden/>
        </w:rPr>
      </w:r>
      <w:r>
        <w:rPr>
          <w:noProof/>
          <w:webHidden/>
        </w:rPr>
        <w:fldChar w:fldCharType="separate"/>
      </w:r>
      <w:r w:rsidR="0027066B">
        <w:rPr>
          <w:noProof/>
          <w:webHidden/>
        </w:rPr>
        <w:t>32</w:t>
      </w:r>
      <w:r>
        <w:rPr>
          <w:noProof/>
          <w:webHidden/>
        </w:rPr>
        <w:fldChar w:fldCharType="end"/>
      </w:r>
    </w:p>
    <w:p w14:paraId="6137B824" w14:textId="5A3B02A9"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10.2</w:t>
      </w:r>
      <w:r>
        <w:rPr>
          <w:rFonts w:eastAsiaTheme="minorEastAsia" w:cstheme="minorBidi"/>
          <w:noProof/>
          <w:kern w:val="2"/>
          <w:sz w:val="22"/>
          <w:szCs w:val="22"/>
          <w14:ligatures w14:val="standardContextual"/>
        </w:rPr>
        <w:tab/>
      </w:r>
      <w:r>
        <w:rPr>
          <w:noProof/>
        </w:rPr>
        <w:t>UK: auction reserve prices</w:t>
      </w:r>
      <w:r>
        <w:rPr>
          <w:noProof/>
          <w:webHidden/>
        </w:rPr>
        <w:tab/>
      </w:r>
      <w:r>
        <w:rPr>
          <w:noProof/>
          <w:webHidden/>
        </w:rPr>
        <w:fldChar w:fldCharType="begin"/>
      </w:r>
      <w:r>
        <w:rPr>
          <w:noProof/>
          <w:webHidden/>
        </w:rPr>
        <w:instrText xml:space="preserve"> PAGEREF _Toc138771611 \h </w:instrText>
      </w:r>
      <w:r>
        <w:rPr>
          <w:noProof/>
          <w:webHidden/>
        </w:rPr>
      </w:r>
      <w:r>
        <w:rPr>
          <w:noProof/>
          <w:webHidden/>
        </w:rPr>
        <w:fldChar w:fldCharType="separate"/>
      </w:r>
      <w:r w:rsidR="0027066B">
        <w:rPr>
          <w:noProof/>
          <w:webHidden/>
        </w:rPr>
        <w:t>33</w:t>
      </w:r>
      <w:r>
        <w:rPr>
          <w:noProof/>
          <w:webHidden/>
        </w:rPr>
        <w:fldChar w:fldCharType="end"/>
      </w:r>
    </w:p>
    <w:p w14:paraId="31A027ED" w14:textId="0AE94988"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10.3</w:t>
      </w:r>
      <w:r>
        <w:rPr>
          <w:rFonts w:eastAsiaTheme="minorEastAsia" w:cstheme="minorBidi"/>
          <w:noProof/>
          <w:kern w:val="2"/>
          <w:sz w:val="22"/>
          <w:szCs w:val="22"/>
          <w14:ligatures w14:val="standardContextual"/>
        </w:rPr>
        <w:tab/>
      </w:r>
      <w:r>
        <w:rPr>
          <w:noProof/>
        </w:rPr>
        <w:t>France: industrial use spectrum fees</w:t>
      </w:r>
      <w:r>
        <w:rPr>
          <w:noProof/>
          <w:webHidden/>
        </w:rPr>
        <w:tab/>
      </w:r>
      <w:r>
        <w:rPr>
          <w:noProof/>
          <w:webHidden/>
        </w:rPr>
        <w:fldChar w:fldCharType="begin"/>
      </w:r>
      <w:r>
        <w:rPr>
          <w:noProof/>
          <w:webHidden/>
        </w:rPr>
        <w:instrText xml:space="preserve"> PAGEREF _Toc138771612 \h </w:instrText>
      </w:r>
      <w:r>
        <w:rPr>
          <w:noProof/>
          <w:webHidden/>
        </w:rPr>
      </w:r>
      <w:r>
        <w:rPr>
          <w:noProof/>
          <w:webHidden/>
        </w:rPr>
        <w:fldChar w:fldCharType="separate"/>
      </w:r>
      <w:r w:rsidR="0027066B">
        <w:rPr>
          <w:noProof/>
          <w:webHidden/>
        </w:rPr>
        <w:t>35</w:t>
      </w:r>
      <w:r>
        <w:rPr>
          <w:noProof/>
          <w:webHidden/>
        </w:rPr>
        <w:fldChar w:fldCharType="end"/>
      </w:r>
    </w:p>
    <w:p w14:paraId="682889AF" w14:textId="21BEAA56"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10.4</w:t>
      </w:r>
      <w:r>
        <w:rPr>
          <w:rFonts w:eastAsiaTheme="minorEastAsia" w:cstheme="minorBidi"/>
          <w:noProof/>
          <w:kern w:val="2"/>
          <w:sz w:val="22"/>
          <w:szCs w:val="22"/>
          <w14:ligatures w14:val="standardContextual"/>
        </w:rPr>
        <w:tab/>
      </w:r>
      <w:r>
        <w:rPr>
          <w:noProof/>
        </w:rPr>
        <w:t>New Zealand: licence renewal</w:t>
      </w:r>
      <w:r>
        <w:rPr>
          <w:noProof/>
          <w:webHidden/>
        </w:rPr>
        <w:tab/>
      </w:r>
      <w:r>
        <w:rPr>
          <w:noProof/>
          <w:webHidden/>
        </w:rPr>
        <w:fldChar w:fldCharType="begin"/>
      </w:r>
      <w:r>
        <w:rPr>
          <w:noProof/>
          <w:webHidden/>
        </w:rPr>
        <w:instrText xml:space="preserve"> PAGEREF _Toc138771613 \h </w:instrText>
      </w:r>
      <w:r>
        <w:rPr>
          <w:noProof/>
          <w:webHidden/>
        </w:rPr>
      </w:r>
      <w:r>
        <w:rPr>
          <w:noProof/>
          <w:webHidden/>
        </w:rPr>
        <w:fldChar w:fldCharType="separate"/>
      </w:r>
      <w:r w:rsidR="0027066B">
        <w:rPr>
          <w:noProof/>
          <w:webHidden/>
        </w:rPr>
        <w:t>36</w:t>
      </w:r>
      <w:r>
        <w:rPr>
          <w:noProof/>
          <w:webHidden/>
        </w:rPr>
        <w:fldChar w:fldCharType="end"/>
      </w:r>
    </w:p>
    <w:p w14:paraId="7636EF90" w14:textId="5B6B544B"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10.5</w:t>
      </w:r>
      <w:r>
        <w:rPr>
          <w:rFonts w:eastAsiaTheme="minorEastAsia" w:cstheme="minorBidi"/>
          <w:noProof/>
          <w:kern w:val="2"/>
          <w:sz w:val="22"/>
          <w:szCs w:val="22"/>
          <w14:ligatures w14:val="standardContextual"/>
        </w:rPr>
        <w:tab/>
      </w:r>
      <w:r>
        <w:rPr>
          <w:noProof/>
        </w:rPr>
        <w:t>Ireland: spectrum usage fees</w:t>
      </w:r>
      <w:r>
        <w:rPr>
          <w:noProof/>
          <w:webHidden/>
        </w:rPr>
        <w:tab/>
      </w:r>
      <w:r>
        <w:rPr>
          <w:noProof/>
          <w:webHidden/>
        </w:rPr>
        <w:fldChar w:fldCharType="begin"/>
      </w:r>
      <w:r>
        <w:rPr>
          <w:noProof/>
          <w:webHidden/>
        </w:rPr>
        <w:instrText xml:space="preserve"> PAGEREF _Toc138771614 \h </w:instrText>
      </w:r>
      <w:r>
        <w:rPr>
          <w:noProof/>
          <w:webHidden/>
        </w:rPr>
      </w:r>
      <w:r>
        <w:rPr>
          <w:noProof/>
          <w:webHidden/>
        </w:rPr>
        <w:fldChar w:fldCharType="separate"/>
      </w:r>
      <w:r w:rsidR="0027066B">
        <w:rPr>
          <w:noProof/>
          <w:webHidden/>
        </w:rPr>
        <w:t>36</w:t>
      </w:r>
      <w:r>
        <w:rPr>
          <w:noProof/>
          <w:webHidden/>
        </w:rPr>
        <w:fldChar w:fldCharType="end"/>
      </w:r>
    </w:p>
    <w:p w14:paraId="34916438" w14:textId="39D92641"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10.6</w:t>
      </w:r>
      <w:r>
        <w:rPr>
          <w:rFonts w:eastAsiaTheme="minorEastAsia" w:cstheme="minorBidi"/>
          <w:noProof/>
          <w:kern w:val="2"/>
          <w:sz w:val="22"/>
          <w:szCs w:val="22"/>
          <w14:ligatures w14:val="standardContextual"/>
        </w:rPr>
        <w:tab/>
      </w:r>
      <w:r>
        <w:rPr>
          <w:noProof/>
        </w:rPr>
        <w:t>Latin American operator: auction participation</w:t>
      </w:r>
      <w:r>
        <w:rPr>
          <w:noProof/>
          <w:webHidden/>
        </w:rPr>
        <w:tab/>
      </w:r>
      <w:r>
        <w:rPr>
          <w:noProof/>
          <w:webHidden/>
        </w:rPr>
        <w:fldChar w:fldCharType="begin"/>
      </w:r>
      <w:r>
        <w:rPr>
          <w:noProof/>
          <w:webHidden/>
        </w:rPr>
        <w:instrText xml:space="preserve"> PAGEREF _Toc138771615 \h </w:instrText>
      </w:r>
      <w:r>
        <w:rPr>
          <w:noProof/>
          <w:webHidden/>
        </w:rPr>
      </w:r>
      <w:r>
        <w:rPr>
          <w:noProof/>
          <w:webHidden/>
        </w:rPr>
        <w:fldChar w:fldCharType="separate"/>
      </w:r>
      <w:r w:rsidR="0027066B">
        <w:rPr>
          <w:noProof/>
          <w:webHidden/>
        </w:rPr>
        <w:t>37</w:t>
      </w:r>
      <w:r>
        <w:rPr>
          <w:noProof/>
          <w:webHidden/>
        </w:rPr>
        <w:fldChar w:fldCharType="end"/>
      </w:r>
    </w:p>
    <w:p w14:paraId="48BE8A64" w14:textId="63C57F40" w:rsidR="00216ECF" w:rsidRDefault="00216ECF">
      <w:pPr>
        <w:pStyle w:val="TOC1"/>
        <w:rPr>
          <w:rFonts w:asciiTheme="minorHAnsi" w:eastAsiaTheme="minorEastAsia" w:hAnsiTheme="minorHAnsi" w:cstheme="minorBidi"/>
          <w:noProof/>
          <w:color w:val="auto"/>
          <w:kern w:val="2"/>
          <w:sz w:val="22"/>
          <w:szCs w:val="22"/>
          <w14:ligatures w14:val="standardContextual"/>
        </w:rPr>
      </w:pPr>
      <w:r w:rsidRPr="001A68D1">
        <w:rPr>
          <w:noProof/>
        </w:rPr>
        <w:t>11</w:t>
      </w:r>
      <w:r>
        <w:rPr>
          <w:rFonts w:asciiTheme="minorHAnsi" w:eastAsiaTheme="minorEastAsia" w:hAnsiTheme="minorHAnsi" w:cstheme="minorBidi"/>
          <w:noProof/>
          <w:color w:val="auto"/>
          <w:kern w:val="2"/>
          <w:sz w:val="22"/>
          <w:szCs w:val="22"/>
          <w14:ligatures w14:val="standardContextual"/>
        </w:rPr>
        <w:tab/>
      </w:r>
      <w:r>
        <w:rPr>
          <w:noProof/>
        </w:rPr>
        <w:t>Choice of methodology</w:t>
      </w:r>
      <w:r>
        <w:rPr>
          <w:noProof/>
          <w:webHidden/>
        </w:rPr>
        <w:tab/>
      </w:r>
      <w:r>
        <w:rPr>
          <w:noProof/>
          <w:webHidden/>
        </w:rPr>
        <w:fldChar w:fldCharType="begin"/>
      </w:r>
      <w:r>
        <w:rPr>
          <w:noProof/>
          <w:webHidden/>
        </w:rPr>
        <w:instrText xml:space="preserve"> PAGEREF _Toc138771616 \h </w:instrText>
      </w:r>
      <w:r>
        <w:rPr>
          <w:noProof/>
          <w:webHidden/>
        </w:rPr>
      </w:r>
      <w:r>
        <w:rPr>
          <w:noProof/>
          <w:webHidden/>
        </w:rPr>
        <w:fldChar w:fldCharType="separate"/>
      </w:r>
      <w:r w:rsidR="0027066B">
        <w:rPr>
          <w:noProof/>
          <w:webHidden/>
        </w:rPr>
        <w:t>38</w:t>
      </w:r>
      <w:r>
        <w:rPr>
          <w:noProof/>
          <w:webHidden/>
        </w:rPr>
        <w:fldChar w:fldCharType="end"/>
      </w:r>
    </w:p>
    <w:p w14:paraId="50CFF432" w14:textId="2EF04F96"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lastRenderedPageBreak/>
        <w:t>11.1</w:t>
      </w:r>
      <w:r>
        <w:rPr>
          <w:rFonts w:eastAsiaTheme="minorEastAsia" w:cstheme="minorBidi"/>
          <w:noProof/>
          <w:kern w:val="2"/>
          <w:sz w:val="22"/>
          <w:szCs w:val="22"/>
          <w14:ligatures w14:val="standardContextual"/>
        </w:rPr>
        <w:tab/>
      </w:r>
      <w:r>
        <w:rPr>
          <w:noProof/>
        </w:rPr>
        <w:t>Data requirements</w:t>
      </w:r>
      <w:r>
        <w:rPr>
          <w:noProof/>
          <w:webHidden/>
        </w:rPr>
        <w:tab/>
      </w:r>
      <w:r>
        <w:rPr>
          <w:noProof/>
          <w:webHidden/>
        </w:rPr>
        <w:fldChar w:fldCharType="begin"/>
      </w:r>
      <w:r>
        <w:rPr>
          <w:noProof/>
          <w:webHidden/>
        </w:rPr>
        <w:instrText xml:space="preserve"> PAGEREF _Toc138771617 \h </w:instrText>
      </w:r>
      <w:r>
        <w:rPr>
          <w:noProof/>
          <w:webHidden/>
        </w:rPr>
      </w:r>
      <w:r>
        <w:rPr>
          <w:noProof/>
          <w:webHidden/>
        </w:rPr>
        <w:fldChar w:fldCharType="separate"/>
      </w:r>
      <w:r w:rsidR="0027066B">
        <w:rPr>
          <w:noProof/>
          <w:webHidden/>
        </w:rPr>
        <w:t>38</w:t>
      </w:r>
      <w:r>
        <w:rPr>
          <w:noProof/>
          <w:webHidden/>
        </w:rPr>
        <w:fldChar w:fldCharType="end"/>
      </w:r>
    </w:p>
    <w:p w14:paraId="54D80225" w14:textId="69994E5F"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11.2</w:t>
      </w:r>
      <w:r>
        <w:rPr>
          <w:rFonts w:eastAsiaTheme="minorEastAsia" w:cstheme="minorBidi"/>
          <w:noProof/>
          <w:kern w:val="2"/>
          <w:sz w:val="22"/>
          <w:szCs w:val="22"/>
          <w14:ligatures w14:val="standardContextual"/>
        </w:rPr>
        <w:tab/>
      </w:r>
      <w:r>
        <w:rPr>
          <w:noProof/>
        </w:rPr>
        <w:t>Availability of benchmarks</w:t>
      </w:r>
      <w:r>
        <w:rPr>
          <w:noProof/>
          <w:webHidden/>
        </w:rPr>
        <w:tab/>
      </w:r>
      <w:r>
        <w:rPr>
          <w:noProof/>
          <w:webHidden/>
        </w:rPr>
        <w:fldChar w:fldCharType="begin"/>
      </w:r>
      <w:r>
        <w:rPr>
          <w:noProof/>
          <w:webHidden/>
        </w:rPr>
        <w:instrText xml:space="preserve"> PAGEREF _Toc138771618 \h </w:instrText>
      </w:r>
      <w:r>
        <w:rPr>
          <w:noProof/>
          <w:webHidden/>
        </w:rPr>
      </w:r>
      <w:r>
        <w:rPr>
          <w:noProof/>
          <w:webHidden/>
        </w:rPr>
        <w:fldChar w:fldCharType="separate"/>
      </w:r>
      <w:r w:rsidR="0027066B">
        <w:rPr>
          <w:noProof/>
          <w:webHidden/>
        </w:rPr>
        <w:t>38</w:t>
      </w:r>
      <w:r>
        <w:rPr>
          <w:noProof/>
          <w:webHidden/>
        </w:rPr>
        <w:fldChar w:fldCharType="end"/>
      </w:r>
    </w:p>
    <w:p w14:paraId="7DD7396D" w14:textId="44CA579D"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11.3</w:t>
      </w:r>
      <w:r>
        <w:rPr>
          <w:rFonts w:eastAsiaTheme="minorEastAsia" w:cstheme="minorBidi"/>
          <w:noProof/>
          <w:kern w:val="2"/>
          <w:sz w:val="22"/>
          <w:szCs w:val="22"/>
          <w14:ligatures w14:val="standardContextual"/>
        </w:rPr>
        <w:tab/>
      </w:r>
      <w:r>
        <w:rPr>
          <w:noProof/>
        </w:rPr>
        <w:t>Technology changes</w:t>
      </w:r>
      <w:r>
        <w:rPr>
          <w:noProof/>
          <w:webHidden/>
        </w:rPr>
        <w:tab/>
      </w:r>
      <w:r>
        <w:rPr>
          <w:noProof/>
          <w:webHidden/>
        </w:rPr>
        <w:fldChar w:fldCharType="begin"/>
      </w:r>
      <w:r>
        <w:rPr>
          <w:noProof/>
          <w:webHidden/>
        </w:rPr>
        <w:instrText xml:space="preserve"> PAGEREF _Toc138771619 \h </w:instrText>
      </w:r>
      <w:r>
        <w:rPr>
          <w:noProof/>
          <w:webHidden/>
        </w:rPr>
      </w:r>
      <w:r>
        <w:rPr>
          <w:noProof/>
          <w:webHidden/>
        </w:rPr>
        <w:fldChar w:fldCharType="separate"/>
      </w:r>
      <w:r w:rsidR="0027066B">
        <w:rPr>
          <w:noProof/>
          <w:webHidden/>
        </w:rPr>
        <w:t>38</w:t>
      </w:r>
      <w:r>
        <w:rPr>
          <w:noProof/>
          <w:webHidden/>
        </w:rPr>
        <w:fldChar w:fldCharType="end"/>
      </w:r>
    </w:p>
    <w:p w14:paraId="44C311B2" w14:textId="2E1D16C3"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11.4</w:t>
      </w:r>
      <w:r>
        <w:rPr>
          <w:rFonts w:eastAsiaTheme="minorEastAsia" w:cstheme="minorBidi"/>
          <w:noProof/>
          <w:kern w:val="2"/>
          <w:sz w:val="22"/>
          <w:szCs w:val="22"/>
          <w14:ligatures w14:val="standardContextual"/>
        </w:rPr>
        <w:tab/>
      </w:r>
      <w:r>
        <w:rPr>
          <w:noProof/>
        </w:rPr>
        <w:t>Proportionality of effort</w:t>
      </w:r>
      <w:r>
        <w:rPr>
          <w:noProof/>
          <w:webHidden/>
        </w:rPr>
        <w:tab/>
      </w:r>
      <w:r>
        <w:rPr>
          <w:noProof/>
          <w:webHidden/>
        </w:rPr>
        <w:fldChar w:fldCharType="begin"/>
      </w:r>
      <w:r>
        <w:rPr>
          <w:noProof/>
          <w:webHidden/>
        </w:rPr>
        <w:instrText xml:space="preserve"> PAGEREF _Toc138771620 \h </w:instrText>
      </w:r>
      <w:r>
        <w:rPr>
          <w:noProof/>
          <w:webHidden/>
        </w:rPr>
      </w:r>
      <w:r>
        <w:rPr>
          <w:noProof/>
          <w:webHidden/>
        </w:rPr>
        <w:fldChar w:fldCharType="separate"/>
      </w:r>
      <w:r w:rsidR="0027066B">
        <w:rPr>
          <w:noProof/>
          <w:webHidden/>
        </w:rPr>
        <w:t>39</w:t>
      </w:r>
      <w:r>
        <w:rPr>
          <w:noProof/>
          <w:webHidden/>
        </w:rPr>
        <w:fldChar w:fldCharType="end"/>
      </w:r>
    </w:p>
    <w:p w14:paraId="0A8AA053" w14:textId="4C4A41C2" w:rsidR="00216ECF" w:rsidRDefault="00216ECF">
      <w:pPr>
        <w:pStyle w:val="TOC2"/>
        <w:tabs>
          <w:tab w:val="left" w:pos="960"/>
        </w:tabs>
        <w:rPr>
          <w:rFonts w:eastAsiaTheme="minorEastAsia" w:cstheme="minorBidi"/>
          <w:noProof/>
          <w:kern w:val="2"/>
          <w:sz w:val="22"/>
          <w:szCs w:val="22"/>
          <w14:ligatures w14:val="standardContextual"/>
        </w:rPr>
      </w:pPr>
      <w:r w:rsidRPr="001A68D1">
        <w:rPr>
          <w:noProof/>
        </w:rPr>
        <w:t>11.5</w:t>
      </w:r>
      <w:r>
        <w:rPr>
          <w:rFonts w:eastAsiaTheme="minorEastAsia" w:cstheme="minorBidi"/>
          <w:noProof/>
          <w:kern w:val="2"/>
          <w:sz w:val="22"/>
          <w:szCs w:val="22"/>
          <w14:ligatures w14:val="standardContextual"/>
        </w:rPr>
        <w:tab/>
      </w:r>
      <w:r>
        <w:rPr>
          <w:noProof/>
        </w:rPr>
        <w:t>Use of valuation</w:t>
      </w:r>
      <w:r>
        <w:rPr>
          <w:noProof/>
          <w:webHidden/>
        </w:rPr>
        <w:tab/>
      </w:r>
      <w:r>
        <w:rPr>
          <w:noProof/>
          <w:webHidden/>
        </w:rPr>
        <w:fldChar w:fldCharType="begin"/>
      </w:r>
      <w:r>
        <w:rPr>
          <w:noProof/>
          <w:webHidden/>
        </w:rPr>
        <w:instrText xml:space="preserve"> PAGEREF _Toc138771621 \h </w:instrText>
      </w:r>
      <w:r>
        <w:rPr>
          <w:noProof/>
          <w:webHidden/>
        </w:rPr>
      </w:r>
      <w:r>
        <w:rPr>
          <w:noProof/>
          <w:webHidden/>
        </w:rPr>
        <w:fldChar w:fldCharType="separate"/>
      </w:r>
      <w:r w:rsidR="0027066B">
        <w:rPr>
          <w:noProof/>
          <w:webHidden/>
        </w:rPr>
        <w:t>39</w:t>
      </w:r>
      <w:r>
        <w:rPr>
          <w:noProof/>
          <w:webHidden/>
        </w:rPr>
        <w:fldChar w:fldCharType="end"/>
      </w:r>
    </w:p>
    <w:p w14:paraId="381EBD11" w14:textId="03354EA6" w:rsidR="00342918" w:rsidRDefault="00342918" w:rsidP="00342918">
      <w:pPr>
        <w:pStyle w:val="BodyText"/>
      </w:pPr>
      <w:r w:rsidRPr="005F0F56">
        <w:fldChar w:fldCharType="end"/>
      </w:r>
    </w:p>
    <w:p w14:paraId="0E4807E6" w14:textId="77777777" w:rsidR="00342918" w:rsidRPr="00EF42A2" w:rsidRDefault="00342918" w:rsidP="00342918">
      <w:pPr>
        <w:pStyle w:val="Heading1unnumbered"/>
        <w:sectPr w:rsidR="00342918" w:rsidRPr="00EF42A2" w:rsidSect="00782692">
          <w:headerReference w:type="default" r:id="rId19"/>
          <w:footerReference w:type="default" r:id="rId20"/>
          <w:headerReference w:type="first" r:id="rId21"/>
          <w:footerReference w:type="first" r:id="rId22"/>
          <w:pgSz w:w="11906" w:h="16838" w:code="9"/>
          <w:pgMar w:top="1332" w:right="1134" w:bottom="1417" w:left="1134" w:header="765" w:footer="765" w:gutter="0"/>
          <w:cols w:space="708"/>
          <w:docGrid w:linePitch="360"/>
        </w:sectPr>
      </w:pPr>
    </w:p>
    <w:p w14:paraId="7C63CA68" w14:textId="77777777" w:rsidR="00342918" w:rsidRDefault="00342918" w:rsidP="008D6285">
      <w:pPr>
        <w:pStyle w:val="Heading1unnumbered"/>
      </w:pPr>
      <w:bookmarkStart w:id="3" w:name="Start"/>
      <w:bookmarkStart w:id="4" w:name="_Toc138771591"/>
      <w:r w:rsidRPr="00EF42A2">
        <w:lastRenderedPageBreak/>
        <w:t>Summary</w:t>
      </w:r>
      <w:bookmarkEnd w:id="3"/>
      <w:bookmarkEnd w:id="4"/>
    </w:p>
    <w:p w14:paraId="693C2524" w14:textId="052C29DF" w:rsidR="005B6C99" w:rsidRDefault="007A40B6" w:rsidP="005B6C99">
      <w:pPr>
        <w:pStyle w:val="BodyText"/>
        <w:rPr>
          <w:lang w:eastAsia="en-US"/>
        </w:rPr>
      </w:pPr>
      <w:r>
        <w:rPr>
          <w:lang w:eastAsia="en-US"/>
        </w:rPr>
        <w:t xml:space="preserve">This paper has been commissioned by the ACMA to consider how spectrum may be valued </w:t>
      </w:r>
      <w:r w:rsidR="0007415D">
        <w:rPr>
          <w:lang w:eastAsia="en-US"/>
        </w:rPr>
        <w:t>by regulators and operators for the purposes of spectrum awards and allocation.</w:t>
      </w:r>
    </w:p>
    <w:p w14:paraId="32759A67" w14:textId="56FB8462" w:rsidR="0007415D" w:rsidRDefault="0007415D" w:rsidP="005B6C99">
      <w:pPr>
        <w:pStyle w:val="BodyText"/>
        <w:rPr>
          <w:lang w:eastAsia="en-US"/>
        </w:rPr>
      </w:pPr>
      <w:r>
        <w:rPr>
          <w:lang w:eastAsia="en-US"/>
        </w:rPr>
        <w:t xml:space="preserve">We start by considering the relationship between valuation and pricing.  While it is often true that setting spectrum prices in line with the value to users will produce economically efficient outcomes, there are several </w:t>
      </w:r>
      <w:r w:rsidR="00450589">
        <w:rPr>
          <w:lang w:eastAsia="en-US"/>
        </w:rPr>
        <w:t xml:space="preserve">considerations that may mean that it is </w:t>
      </w:r>
      <w:r w:rsidR="00450E85">
        <w:rPr>
          <w:lang w:eastAsia="en-US"/>
        </w:rPr>
        <w:t xml:space="preserve">better to set prices at a higher or lower level. Where spectrum is not scarce, for example, </w:t>
      </w:r>
      <w:r w:rsidR="000A652B">
        <w:rPr>
          <w:lang w:eastAsia="en-US"/>
        </w:rPr>
        <w:t xml:space="preserve">use should be encouraged by charging minimal prices to cover administrative costs.  There may be social benefits </w:t>
      </w:r>
      <w:r w:rsidR="00EF6576">
        <w:rPr>
          <w:lang w:eastAsia="en-US"/>
        </w:rPr>
        <w:t xml:space="preserve">that arise through spectrum use, which would not be fully realised if spectrum prices were set too high.  </w:t>
      </w:r>
      <w:r w:rsidR="00AE0264">
        <w:rPr>
          <w:lang w:eastAsia="en-US"/>
        </w:rPr>
        <w:t xml:space="preserve">On </w:t>
      </w:r>
      <w:r w:rsidR="00EF6576">
        <w:rPr>
          <w:lang w:eastAsia="en-US"/>
        </w:rPr>
        <w:t xml:space="preserve">the other hand, where </w:t>
      </w:r>
      <w:r w:rsidR="00246239">
        <w:rPr>
          <w:lang w:eastAsia="en-US"/>
        </w:rPr>
        <w:t xml:space="preserve">those acquiring spectrum </w:t>
      </w:r>
      <w:proofErr w:type="gramStart"/>
      <w:r w:rsidR="00246239">
        <w:rPr>
          <w:lang w:eastAsia="en-US"/>
        </w:rPr>
        <w:t>are able to</w:t>
      </w:r>
      <w:proofErr w:type="gramEnd"/>
      <w:r w:rsidR="00246239">
        <w:rPr>
          <w:lang w:eastAsia="en-US"/>
        </w:rPr>
        <w:t xml:space="preserve"> avoid costly auction processes, there may be an argument for this cost saving to be included in the price.</w:t>
      </w:r>
    </w:p>
    <w:p w14:paraId="5DFC08A6" w14:textId="1A43D82D" w:rsidR="00CB4990" w:rsidRDefault="00CB4990" w:rsidP="005B6C99">
      <w:pPr>
        <w:pStyle w:val="BodyText"/>
        <w:rPr>
          <w:lang w:eastAsia="en-US"/>
        </w:rPr>
      </w:pPr>
      <w:r>
        <w:rPr>
          <w:lang w:eastAsia="en-US"/>
        </w:rPr>
        <w:t xml:space="preserve">Having established the difference between pricing and value, we look at the basic theories of valuation – in terms of the value of spectrum to its users, and the appropriate value to </w:t>
      </w:r>
      <w:r w:rsidR="00457E29">
        <w:rPr>
          <w:lang w:eastAsia="en-US"/>
        </w:rPr>
        <w:t>the economy.  The economically efficient level of pricing is to charge the opportunity cost of spectrum</w:t>
      </w:r>
      <w:r w:rsidR="00794E61">
        <w:rPr>
          <w:lang w:eastAsia="en-US"/>
        </w:rPr>
        <w:t xml:space="preserve">; therefore, the price should be set at the level of the next highest valuation.  </w:t>
      </w:r>
      <w:proofErr w:type="gramStart"/>
      <w:r w:rsidR="00794E61">
        <w:rPr>
          <w:lang w:eastAsia="en-US"/>
        </w:rPr>
        <w:t>In order to</w:t>
      </w:r>
      <w:proofErr w:type="gramEnd"/>
      <w:r w:rsidR="00794E61">
        <w:rPr>
          <w:lang w:eastAsia="en-US"/>
        </w:rPr>
        <w:t xml:space="preserve"> determine the</w:t>
      </w:r>
      <w:r w:rsidR="00F0711E">
        <w:rPr>
          <w:lang w:eastAsia="en-US"/>
        </w:rPr>
        <w:t xml:space="preserve">se values, we must consider the counterfactual – in the absence of spectrum award, how would services be provided, if at all?  If services are reliant on </w:t>
      </w:r>
      <w:r w:rsidR="00D71359">
        <w:rPr>
          <w:lang w:eastAsia="en-US"/>
        </w:rPr>
        <w:t xml:space="preserve">specific spectrum being available, then the entirety of that service is considered as the value of spectrum.  On the other hand, if services could continue, but would be </w:t>
      </w:r>
      <w:r w:rsidR="009400C3">
        <w:rPr>
          <w:lang w:eastAsia="en-US"/>
        </w:rPr>
        <w:t>of a lower quality or incur a higher cost of provision, then the differences imposed by the loss of spectrum should be measured.</w:t>
      </w:r>
    </w:p>
    <w:p w14:paraId="0EC06E33" w14:textId="2999CE86" w:rsidR="009400C3" w:rsidRDefault="009400C3" w:rsidP="005B6C99">
      <w:pPr>
        <w:pStyle w:val="BodyText"/>
        <w:rPr>
          <w:lang w:eastAsia="en-US"/>
        </w:rPr>
      </w:pPr>
      <w:r>
        <w:rPr>
          <w:lang w:eastAsia="en-US"/>
        </w:rPr>
        <w:t xml:space="preserve">Regulators </w:t>
      </w:r>
      <w:r w:rsidR="00E8680A">
        <w:rPr>
          <w:lang w:eastAsia="en-US"/>
        </w:rPr>
        <w:t xml:space="preserve">are, unfortunately, unable to directly measure this counterfactual analysis in most cases, due to </w:t>
      </w:r>
      <w:r w:rsidR="004A7188">
        <w:rPr>
          <w:lang w:eastAsia="en-US"/>
        </w:rPr>
        <w:t xml:space="preserve">information asymmetry </w:t>
      </w:r>
      <w:r w:rsidR="00EC32F3">
        <w:rPr>
          <w:lang w:eastAsia="en-US"/>
        </w:rPr>
        <w:t xml:space="preserve">or </w:t>
      </w:r>
      <w:r w:rsidR="007F48D8">
        <w:rPr>
          <w:lang w:eastAsia="en-US"/>
        </w:rPr>
        <w:t xml:space="preserve">uncertainty.  Instead, </w:t>
      </w:r>
      <w:proofErr w:type="gramStart"/>
      <w:r w:rsidR="007F48D8">
        <w:rPr>
          <w:lang w:eastAsia="en-US"/>
        </w:rPr>
        <w:t>a number of</w:t>
      </w:r>
      <w:proofErr w:type="gramEnd"/>
      <w:r w:rsidR="007F48D8">
        <w:rPr>
          <w:lang w:eastAsia="en-US"/>
        </w:rPr>
        <w:t xml:space="preserve"> tools and methodologies have been developed which allow regulators to estimate the value of spectrum to different users.  Regulators will often use a variety of these methods when determining a robust estimate of value</w:t>
      </w:r>
      <w:r w:rsidR="00C31F0A">
        <w:rPr>
          <w:lang w:eastAsia="en-US"/>
        </w:rPr>
        <w:t>.</w:t>
      </w:r>
    </w:p>
    <w:p w14:paraId="19BC67D7" w14:textId="21EE14AC" w:rsidR="00C31F0A" w:rsidRDefault="00C31F0A" w:rsidP="005B6C99">
      <w:pPr>
        <w:pStyle w:val="BodyText"/>
        <w:rPr>
          <w:lang w:eastAsia="en-US"/>
        </w:rPr>
      </w:pPr>
      <w:r>
        <w:rPr>
          <w:lang w:eastAsia="en-US"/>
        </w:rPr>
        <w:t>Methodologies are broadly split into two categories: benchmarking, and modelling.  Within each category there are a variety of different methods</w:t>
      </w:r>
      <w:r w:rsidR="006E47F2">
        <w:rPr>
          <w:lang w:eastAsia="en-US"/>
        </w:rPr>
        <w:t xml:space="preserve">, as listed in </w:t>
      </w:r>
      <w:r w:rsidR="006E47F2">
        <w:rPr>
          <w:lang w:eastAsia="en-US"/>
        </w:rPr>
        <w:fldChar w:fldCharType="begin"/>
      </w:r>
      <w:r w:rsidR="006E47F2">
        <w:rPr>
          <w:lang w:eastAsia="en-US"/>
        </w:rPr>
        <w:instrText xml:space="preserve"> REF _Ref138716519 </w:instrText>
      </w:r>
      <w:r w:rsidR="006E47F2">
        <w:rPr>
          <w:lang w:eastAsia="en-US"/>
        </w:rPr>
        <w:fldChar w:fldCharType="separate"/>
      </w:r>
      <w:r w:rsidR="0027066B">
        <w:t>Figure</w:t>
      </w:r>
      <w:r w:rsidR="0027066B" w:rsidRPr="00C0159A">
        <w:t xml:space="preserve"> </w:t>
      </w:r>
      <w:r w:rsidR="0027066B">
        <w:rPr>
          <w:noProof/>
        </w:rPr>
        <w:t>1</w:t>
      </w:r>
      <w:r w:rsidR="006E47F2">
        <w:rPr>
          <w:lang w:eastAsia="en-US"/>
        </w:rPr>
        <w:fldChar w:fldCharType="end"/>
      </w:r>
      <w:r w:rsidR="006E47F2">
        <w:rPr>
          <w:lang w:eastAsia="en-US"/>
        </w:rPr>
        <w:t>.</w:t>
      </w:r>
    </w:p>
    <w:p w14:paraId="71D19C43" w14:textId="49199602" w:rsidR="000303E2" w:rsidRDefault="006E47F2" w:rsidP="006E47F2">
      <w:pPr>
        <w:pStyle w:val="FigureCaption"/>
      </w:pPr>
      <w:bookmarkStart w:id="5" w:name="_Ref138716519"/>
      <w:r>
        <w:t>Figure</w:t>
      </w:r>
      <w:r w:rsidRPr="00C0159A">
        <w:t xml:space="preserve"> </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1</w:t>
      </w:r>
      <w:r w:rsidRPr="00C0159A">
        <w:fldChar w:fldCharType="end"/>
      </w:r>
      <w:bookmarkEnd w:id="5"/>
      <w:r w:rsidRPr="00C0159A">
        <w:t xml:space="preserve">: </w:t>
      </w:r>
      <w:r>
        <w:t>Types of valuation methodology</w:t>
      </w:r>
    </w:p>
    <w:p w14:paraId="33EF9D4D" w14:textId="344A3D75" w:rsidR="000303E2" w:rsidRDefault="000303E2" w:rsidP="005B6C99">
      <w:pPr>
        <w:pStyle w:val="BodyText"/>
        <w:rPr>
          <w:lang w:eastAsia="en-US"/>
        </w:rPr>
      </w:pPr>
      <w:r>
        <w:rPr>
          <w:noProof/>
          <w:lang w:eastAsia="en-US"/>
        </w:rPr>
        <w:drawing>
          <wp:inline distT="0" distB="0" distL="0" distR="0" wp14:anchorId="1F2478EA" wp14:editId="6C0B6E26">
            <wp:extent cx="5219700" cy="2743200"/>
            <wp:effectExtent l="0" t="38100" r="0" b="19050"/>
            <wp:docPr id="8744344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FB821CA" w14:textId="13EE567F" w:rsidR="00F960C9" w:rsidRDefault="006E47F2" w:rsidP="005B6C99">
      <w:pPr>
        <w:pStyle w:val="BodyText"/>
        <w:rPr>
          <w:lang w:eastAsia="en-US"/>
        </w:rPr>
      </w:pPr>
      <w:r>
        <w:rPr>
          <w:lang w:eastAsia="en-US"/>
        </w:rPr>
        <w:lastRenderedPageBreak/>
        <w:t xml:space="preserve">This paper describes each of the methods in detail.  </w:t>
      </w:r>
      <w:r w:rsidR="00862404">
        <w:rPr>
          <w:lang w:eastAsia="en-US"/>
        </w:rPr>
        <w:t xml:space="preserve">Each can be seen to have its own advantages and disadvantages, and regulators are usually advised to use a variety of </w:t>
      </w:r>
      <w:r w:rsidR="00F960C9">
        <w:rPr>
          <w:lang w:eastAsia="en-US"/>
        </w:rPr>
        <w:t>methodologies when estimating spectrum value.</w:t>
      </w:r>
      <w:r w:rsidR="005659A0">
        <w:rPr>
          <w:lang w:eastAsia="en-US"/>
        </w:rPr>
        <w:t xml:space="preserve">  A summary of the advantages and disadvantages of each method is included in </w:t>
      </w:r>
      <w:r w:rsidR="005659A0">
        <w:rPr>
          <w:lang w:eastAsia="en-US"/>
        </w:rPr>
        <w:fldChar w:fldCharType="begin"/>
      </w:r>
      <w:r w:rsidR="005659A0">
        <w:rPr>
          <w:lang w:eastAsia="en-US"/>
        </w:rPr>
        <w:instrText xml:space="preserve"> REF _Ref138716641 </w:instrText>
      </w:r>
      <w:r w:rsidR="005659A0">
        <w:rPr>
          <w:lang w:eastAsia="en-US"/>
        </w:rPr>
        <w:fldChar w:fldCharType="separate"/>
      </w:r>
      <w:r w:rsidR="0027066B">
        <w:t>Figure</w:t>
      </w:r>
      <w:r w:rsidR="0027066B" w:rsidRPr="00C0159A">
        <w:t xml:space="preserve"> </w:t>
      </w:r>
      <w:r w:rsidR="0027066B">
        <w:rPr>
          <w:noProof/>
        </w:rPr>
        <w:t>2</w:t>
      </w:r>
      <w:r w:rsidR="005659A0">
        <w:rPr>
          <w:lang w:eastAsia="en-US"/>
        </w:rPr>
        <w:fldChar w:fldCharType="end"/>
      </w:r>
      <w:r w:rsidR="005659A0">
        <w:rPr>
          <w:lang w:eastAsia="en-US"/>
        </w:rPr>
        <w:t xml:space="preserve"> below.</w:t>
      </w:r>
    </w:p>
    <w:p w14:paraId="376F2C50" w14:textId="41C3FE71" w:rsidR="00F960C9" w:rsidRDefault="00F960C9" w:rsidP="00F960C9">
      <w:pPr>
        <w:pStyle w:val="FigureCaption"/>
      </w:pPr>
      <w:bookmarkStart w:id="6" w:name="_Ref138716641"/>
      <w:r>
        <w:t>Figure</w:t>
      </w:r>
      <w:r w:rsidRPr="00C0159A">
        <w:t xml:space="preserve"> </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2</w:t>
      </w:r>
      <w:r w:rsidRPr="00C0159A">
        <w:fldChar w:fldCharType="end"/>
      </w:r>
      <w:bookmarkEnd w:id="6"/>
      <w:r w:rsidRPr="00C0159A">
        <w:t xml:space="preserve">: </w:t>
      </w:r>
      <w:r>
        <w:t>Advantages and disadvantages of various valuation methodologies</w:t>
      </w:r>
    </w:p>
    <w:tbl>
      <w:tblPr>
        <w:tblStyle w:val="PlumTable"/>
        <w:tblW w:w="9608" w:type="dxa"/>
        <w:tblLayout w:type="fixed"/>
        <w:tblLook w:val="0420" w:firstRow="1" w:lastRow="0" w:firstColumn="0" w:lastColumn="0" w:noHBand="0" w:noVBand="1"/>
      </w:tblPr>
      <w:tblGrid>
        <w:gridCol w:w="2395"/>
        <w:gridCol w:w="3606"/>
        <w:gridCol w:w="3607"/>
      </w:tblGrid>
      <w:tr w:rsidR="00F960C9" w:rsidRPr="00F80601" w14:paraId="4EC07359" w14:textId="77777777" w:rsidTr="0093562A">
        <w:trPr>
          <w:cnfStyle w:val="100000000000" w:firstRow="1" w:lastRow="0" w:firstColumn="0" w:lastColumn="0" w:oddVBand="0" w:evenVBand="0" w:oddHBand="0" w:evenHBand="0" w:firstRowFirstColumn="0" w:firstRowLastColumn="0" w:lastRowFirstColumn="0" w:lastRowLastColumn="0"/>
          <w:tblHeader/>
        </w:trPr>
        <w:tc>
          <w:tcPr>
            <w:tcW w:w="2395" w:type="dxa"/>
          </w:tcPr>
          <w:p w14:paraId="3F03D945" w14:textId="77777777" w:rsidR="00F960C9" w:rsidRPr="00F80601" w:rsidRDefault="00F960C9" w:rsidP="0093562A">
            <w:r w:rsidRPr="00F80601">
              <w:t>Valuation methodology</w:t>
            </w:r>
          </w:p>
        </w:tc>
        <w:tc>
          <w:tcPr>
            <w:tcW w:w="3606" w:type="dxa"/>
          </w:tcPr>
          <w:p w14:paraId="11B30E9A" w14:textId="77777777" w:rsidR="00F960C9" w:rsidRPr="00F80601" w:rsidRDefault="00F960C9" w:rsidP="0093562A">
            <w:r w:rsidRPr="00F80601">
              <w:t>Advantages</w:t>
            </w:r>
          </w:p>
        </w:tc>
        <w:tc>
          <w:tcPr>
            <w:tcW w:w="3607" w:type="dxa"/>
          </w:tcPr>
          <w:p w14:paraId="1D43D7F4" w14:textId="77777777" w:rsidR="00F960C9" w:rsidRPr="00F80601" w:rsidRDefault="00F960C9" w:rsidP="0093562A">
            <w:r w:rsidRPr="00F80601">
              <w:t>Disadvantages</w:t>
            </w:r>
          </w:p>
        </w:tc>
      </w:tr>
      <w:tr w:rsidR="00F960C9" w:rsidRPr="00F80601" w14:paraId="22E107FF" w14:textId="77777777" w:rsidTr="0093562A">
        <w:tc>
          <w:tcPr>
            <w:tcW w:w="2395" w:type="dxa"/>
          </w:tcPr>
          <w:p w14:paraId="4815F0A7" w14:textId="77777777" w:rsidR="00F960C9" w:rsidRPr="00F80601" w:rsidRDefault="00F960C9" w:rsidP="0093562A">
            <w:r w:rsidRPr="00F80601">
              <w:t>Direct benchmarking</w:t>
            </w:r>
          </w:p>
        </w:tc>
        <w:tc>
          <w:tcPr>
            <w:tcW w:w="3606" w:type="dxa"/>
          </w:tcPr>
          <w:p w14:paraId="0CBE0FE9" w14:textId="77777777" w:rsidR="00F960C9" w:rsidRPr="00F80601" w:rsidRDefault="00F960C9" w:rsidP="0093562A">
            <w:pPr>
              <w:pStyle w:val="TableBullet"/>
            </w:pPr>
            <w:r w:rsidRPr="00F80601">
              <w:t>Reflects actual prices paid by operators for similar spectrum bands</w:t>
            </w:r>
          </w:p>
          <w:p w14:paraId="72751DEE" w14:textId="77777777" w:rsidR="00F960C9" w:rsidRPr="00F80601" w:rsidRDefault="00F960C9" w:rsidP="0093562A">
            <w:pPr>
              <w:pStyle w:val="TableBullet"/>
            </w:pPr>
            <w:r w:rsidRPr="00F80601">
              <w:t>Transparent as it is based on published auction results and not assumptions and detailed modelling</w:t>
            </w:r>
          </w:p>
        </w:tc>
        <w:tc>
          <w:tcPr>
            <w:tcW w:w="3607" w:type="dxa"/>
          </w:tcPr>
          <w:p w14:paraId="120A2DD2" w14:textId="77777777" w:rsidR="00F960C9" w:rsidRPr="00F80601" w:rsidRDefault="00F960C9" w:rsidP="0093562A">
            <w:pPr>
              <w:pStyle w:val="TableBullet"/>
            </w:pPr>
            <w:r w:rsidRPr="00F80601">
              <w:t>Large dataset needed</w:t>
            </w:r>
          </w:p>
          <w:p w14:paraId="2B8C9C98" w14:textId="77777777" w:rsidR="00F960C9" w:rsidRPr="00F80601" w:rsidRDefault="00F960C9" w:rsidP="0093562A">
            <w:pPr>
              <w:pStyle w:val="TableBullet"/>
            </w:pPr>
            <w:r w:rsidRPr="00F80601">
              <w:t>There may be a lack of data points for certain bands</w:t>
            </w:r>
          </w:p>
          <w:p w14:paraId="4C603BC0" w14:textId="77777777" w:rsidR="00F960C9" w:rsidRPr="00F80601" w:rsidRDefault="00F960C9" w:rsidP="0093562A">
            <w:pPr>
              <w:pStyle w:val="TableBullet"/>
            </w:pPr>
            <w:r w:rsidRPr="00F80601">
              <w:t>May be difficult to make ‘like for like’ comparisons as international benchmarks may reflect specific circumstances</w:t>
            </w:r>
          </w:p>
        </w:tc>
      </w:tr>
      <w:tr w:rsidR="00F960C9" w:rsidRPr="00F80601" w14:paraId="08F91767" w14:textId="77777777" w:rsidTr="0093562A">
        <w:trPr>
          <w:cnfStyle w:val="000000010000" w:firstRow="0" w:lastRow="0" w:firstColumn="0" w:lastColumn="0" w:oddVBand="0" w:evenVBand="0" w:oddHBand="0" w:evenHBand="1" w:firstRowFirstColumn="0" w:firstRowLastColumn="0" w:lastRowFirstColumn="0" w:lastRowLastColumn="0"/>
        </w:trPr>
        <w:tc>
          <w:tcPr>
            <w:tcW w:w="2395" w:type="dxa"/>
          </w:tcPr>
          <w:p w14:paraId="2DFC93E9" w14:textId="77777777" w:rsidR="00F960C9" w:rsidRPr="00F80601" w:rsidRDefault="00F960C9" w:rsidP="0093562A">
            <w:r w:rsidRPr="00F80601">
              <w:t>Adjusted benchmarking</w:t>
            </w:r>
          </w:p>
        </w:tc>
        <w:tc>
          <w:tcPr>
            <w:tcW w:w="3606" w:type="dxa"/>
          </w:tcPr>
          <w:p w14:paraId="4DC3160E" w14:textId="77777777" w:rsidR="00F960C9" w:rsidRPr="00F80601" w:rsidRDefault="00F960C9" w:rsidP="0093562A">
            <w:pPr>
              <w:pStyle w:val="TableBullet"/>
            </w:pPr>
            <w:r w:rsidRPr="00F80601">
              <w:t>Transparent as it is based on published auction results</w:t>
            </w:r>
          </w:p>
          <w:p w14:paraId="5031EAB5" w14:textId="77777777" w:rsidR="00F960C9" w:rsidRPr="00F80601" w:rsidRDefault="00F960C9" w:rsidP="0093562A">
            <w:pPr>
              <w:pStyle w:val="TableBullet"/>
            </w:pPr>
            <w:r w:rsidRPr="00F80601">
              <w:t>Can be used when have relatively few data points</w:t>
            </w:r>
          </w:p>
        </w:tc>
        <w:tc>
          <w:tcPr>
            <w:tcW w:w="3607" w:type="dxa"/>
          </w:tcPr>
          <w:p w14:paraId="2605F081" w14:textId="77777777" w:rsidR="00F960C9" w:rsidRPr="00F80601" w:rsidRDefault="00F960C9" w:rsidP="0093562A">
            <w:pPr>
              <w:pStyle w:val="TableBullet"/>
            </w:pPr>
            <w:r w:rsidRPr="00F80601">
              <w:t>Ratios for other countries may reflect auction- or business-specific factors which may not appropriate comparators</w:t>
            </w:r>
          </w:p>
          <w:p w14:paraId="4CE85B08" w14:textId="77777777" w:rsidR="00F960C9" w:rsidRPr="00F80601" w:rsidRDefault="00F960C9" w:rsidP="0093562A">
            <w:pPr>
              <w:pStyle w:val="TableBullet"/>
            </w:pPr>
            <w:r w:rsidRPr="00F80601">
              <w:t>There may be a lack of data points for certain bands</w:t>
            </w:r>
          </w:p>
        </w:tc>
      </w:tr>
      <w:tr w:rsidR="00F960C9" w:rsidRPr="00F80601" w14:paraId="6AE23788" w14:textId="77777777" w:rsidTr="0093562A">
        <w:tc>
          <w:tcPr>
            <w:tcW w:w="2395" w:type="dxa"/>
          </w:tcPr>
          <w:p w14:paraId="5703878F" w14:textId="77777777" w:rsidR="00F960C9" w:rsidRPr="00F80601" w:rsidRDefault="00F960C9" w:rsidP="0093562A">
            <w:r w:rsidRPr="00F80601">
              <w:t>Econometrics</w:t>
            </w:r>
          </w:p>
        </w:tc>
        <w:tc>
          <w:tcPr>
            <w:tcW w:w="3606" w:type="dxa"/>
          </w:tcPr>
          <w:p w14:paraId="3D745B2E" w14:textId="77777777" w:rsidR="00F960C9" w:rsidRPr="00F80601" w:rsidRDefault="00F960C9" w:rsidP="0093562A">
            <w:pPr>
              <w:pStyle w:val="TableBullet"/>
            </w:pPr>
            <w:r w:rsidRPr="00F80601">
              <w:t>Robust statistical method if suitable data exists</w:t>
            </w:r>
          </w:p>
          <w:p w14:paraId="33DAD292" w14:textId="77777777" w:rsidR="00F960C9" w:rsidRPr="00F80601" w:rsidRDefault="00F960C9" w:rsidP="0093562A">
            <w:pPr>
              <w:pStyle w:val="TableBullet"/>
            </w:pPr>
            <w:r w:rsidRPr="00F80601">
              <w:t>Relies on actual prices paid</w:t>
            </w:r>
          </w:p>
        </w:tc>
        <w:tc>
          <w:tcPr>
            <w:tcW w:w="3607" w:type="dxa"/>
          </w:tcPr>
          <w:p w14:paraId="6CCD033A" w14:textId="77777777" w:rsidR="00F960C9" w:rsidRPr="00F80601" w:rsidRDefault="00F960C9" w:rsidP="0093562A">
            <w:pPr>
              <w:pStyle w:val="TableBullet"/>
            </w:pPr>
            <w:r w:rsidRPr="00F80601">
              <w:t>Large dataset needed</w:t>
            </w:r>
          </w:p>
          <w:p w14:paraId="1001C042" w14:textId="77777777" w:rsidR="00F960C9" w:rsidRPr="00F80601" w:rsidRDefault="00F960C9" w:rsidP="0093562A">
            <w:pPr>
              <w:pStyle w:val="TableBullet"/>
            </w:pPr>
            <w:r w:rsidRPr="00F80601">
              <w:t>Quantitative information on certain drivers of value may not be available and thus cannot be captured in the analysis</w:t>
            </w:r>
          </w:p>
          <w:p w14:paraId="2E3964F1" w14:textId="77777777" w:rsidR="00F960C9" w:rsidRPr="00F80601" w:rsidRDefault="00F960C9" w:rsidP="0093562A">
            <w:pPr>
              <w:pStyle w:val="TableBullet"/>
            </w:pPr>
            <w:r w:rsidRPr="00F80601">
              <w:t xml:space="preserve">Regression models may not provide stable forecast of spectrum value, especially where sample size is limited </w:t>
            </w:r>
          </w:p>
        </w:tc>
      </w:tr>
      <w:tr w:rsidR="00F960C9" w:rsidRPr="00F80601" w14:paraId="3EF63AA3" w14:textId="77777777" w:rsidTr="0093562A">
        <w:trPr>
          <w:cnfStyle w:val="000000010000" w:firstRow="0" w:lastRow="0" w:firstColumn="0" w:lastColumn="0" w:oddVBand="0" w:evenVBand="0" w:oddHBand="0" w:evenHBand="1" w:firstRowFirstColumn="0" w:firstRowLastColumn="0" w:lastRowFirstColumn="0" w:lastRowLastColumn="0"/>
        </w:trPr>
        <w:tc>
          <w:tcPr>
            <w:tcW w:w="2395" w:type="dxa"/>
          </w:tcPr>
          <w:p w14:paraId="03794F46" w14:textId="77777777" w:rsidR="00F960C9" w:rsidRPr="00F80601" w:rsidRDefault="00F960C9" w:rsidP="0093562A">
            <w:r w:rsidRPr="00F80601">
              <w:t>Avoided cost modelling</w:t>
            </w:r>
          </w:p>
        </w:tc>
        <w:tc>
          <w:tcPr>
            <w:tcW w:w="3606" w:type="dxa"/>
          </w:tcPr>
          <w:p w14:paraId="5FE2F570" w14:textId="77777777" w:rsidR="00F960C9" w:rsidRPr="00F80601" w:rsidRDefault="00F960C9" w:rsidP="0093562A">
            <w:pPr>
              <w:pStyle w:val="TableBullet"/>
            </w:pPr>
            <w:r w:rsidRPr="00F80601">
              <w:t>Country-specific contexts can be directly captured in the model</w:t>
            </w:r>
          </w:p>
          <w:p w14:paraId="20EEAEB1" w14:textId="77777777" w:rsidR="00F960C9" w:rsidRPr="00F80601" w:rsidRDefault="00F960C9" w:rsidP="0093562A">
            <w:pPr>
              <w:pStyle w:val="TableBullet"/>
            </w:pPr>
            <w:r w:rsidRPr="00F80601">
              <w:t>Provides outputs on infrastructure requirements (such as base stations) which is not possible with benchmarking methods</w:t>
            </w:r>
          </w:p>
        </w:tc>
        <w:tc>
          <w:tcPr>
            <w:tcW w:w="3607" w:type="dxa"/>
          </w:tcPr>
          <w:p w14:paraId="7FB09071" w14:textId="77777777" w:rsidR="00F960C9" w:rsidRPr="00F80601" w:rsidRDefault="00F960C9" w:rsidP="0093562A">
            <w:pPr>
              <w:pStyle w:val="TableBullet"/>
            </w:pPr>
            <w:r w:rsidRPr="00F80601">
              <w:t xml:space="preserve">Complex modelling </w:t>
            </w:r>
          </w:p>
          <w:p w14:paraId="33A23E94" w14:textId="77777777" w:rsidR="00F960C9" w:rsidRPr="00F80601" w:rsidRDefault="00F960C9" w:rsidP="0093562A">
            <w:pPr>
              <w:pStyle w:val="TableBullet"/>
            </w:pPr>
            <w:r w:rsidRPr="00F80601">
              <w:t>Requires access to information which may not be available to the regulator – this results in uncertainty in results</w:t>
            </w:r>
          </w:p>
          <w:p w14:paraId="72479399" w14:textId="77777777" w:rsidR="00F960C9" w:rsidRPr="00F80601" w:rsidRDefault="00F960C9" w:rsidP="0093562A">
            <w:pPr>
              <w:pStyle w:val="TableBullet"/>
            </w:pPr>
            <w:r w:rsidRPr="00F80601">
              <w:t>Results may be highly sensitive to input and network assumptions</w:t>
            </w:r>
          </w:p>
        </w:tc>
      </w:tr>
      <w:tr w:rsidR="00F960C9" w:rsidRPr="00F80601" w14:paraId="42E63B3E" w14:textId="77777777" w:rsidTr="0093562A">
        <w:tc>
          <w:tcPr>
            <w:tcW w:w="2395" w:type="dxa"/>
          </w:tcPr>
          <w:p w14:paraId="073441FB" w14:textId="77777777" w:rsidR="00F960C9" w:rsidRPr="00F80601" w:rsidRDefault="00F960C9" w:rsidP="0093562A">
            <w:r w:rsidRPr="00F80601">
              <w:t>Iterated cost model</w:t>
            </w:r>
          </w:p>
        </w:tc>
        <w:tc>
          <w:tcPr>
            <w:tcW w:w="3606" w:type="dxa"/>
          </w:tcPr>
          <w:p w14:paraId="7AD3E796" w14:textId="77777777" w:rsidR="00F960C9" w:rsidRPr="00F80601" w:rsidRDefault="00F960C9" w:rsidP="0093562A">
            <w:pPr>
              <w:pStyle w:val="TableBullet"/>
            </w:pPr>
            <w:r w:rsidRPr="00F80601">
              <w:t xml:space="preserve">Less data required – </w:t>
            </w:r>
            <w:proofErr w:type="gramStart"/>
            <w:r w:rsidRPr="00F80601">
              <w:t>in particular traffic</w:t>
            </w:r>
            <w:proofErr w:type="gramEnd"/>
            <w:r w:rsidRPr="00F80601">
              <w:t xml:space="preserve"> forecasts not required</w:t>
            </w:r>
          </w:p>
          <w:p w14:paraId="2E68688B" w14:textId="77777777" w:rsidR="00F960C9" w:rsidRPr="00F80601" w:rsidRDefault="00F960C9" w:rsidP="0093562A">
            <w:pPr>
              <w:pStyle w:val="TableBullet"/>
            </w:pPr>
            <w:r w:rsidRPr="00F80601">
              <w:t xml:space="preserve">Endogenous approach – takes account of consumers’ willingness to pay for data and network costs to derive a mobile traffic forecast rather than using a mobile data traffic forecast </w:t>
            </w:r>
          </w:p>
        </w:tc>
        <w:tc>
          <w:tcPr>
            <w:tcW w:w="3607" w:type="dxa"/>
          </w:tcPr>
          <w:p w14:paraId="767F6A7E" w14:textId="77777777" w:rsidR="00F960C9" w:rsidRPr="00F80601" w:rsidRDefault="00F960C9" w:rsidP="0093562A">
            <w:pPr>
              <w:pStyle w:val="TableBullet"/>
            </w:pPr>
            <w:r w:rsidRPr="00F80601">
              <w:t xml:space="preserve">Complex modelling </w:t>
            </w:r>
          </w:p>
          <w:p w14:paraId="1125675A" w14:textId="77777777" w:rsidR="00F960C9" w:rsidRPr="00F80601" w:rsidRDefault="00F960C9" w:rsidP="0093562A">
            <w:pPr>
              <w:pStyle w:val="TableBullet"/>
            </w:pPr>
            <w:r w:rsidRPr="00F80601">
              <w:t xml:space="preserve">Requires access to information which may not be available to the regulator – this results in uncertainty in results </w:t>
            </w:r>
          </w:p>
          <w:p w14:paraId="62FA99AC" w14:textId="77777777" w:rsidR="00F960C9" w:rsidRPr="00F80601" w:rsidRDefault="00F960C9" w:rsidP="0093562A">
            <w:pPr>
              <w:pStyle w:val="TableBullet"/>
            </w:pPr>
            <w:r w:rsidRPr="00F80601">
              <w:t>Assumptions needed over price elasticity of demand and cost-volume relationships</w:t>
            </w:r>
          </w:p>
        </w:tc>
      </w:tr>
      <w:tr w:rsidR="00F960C9" w:rsidRPr="00F80601" w14:paraId="1327F98E" w14:textId="77777777" w:rsidTr="0093562A">
        <w:trPr>
          <w:cnfStyle w:val="000000010000" w:firstRow="0" w:lastRow="0" w:firstColumn="0" w:lastColumn="0" w:oddVBand="0" w:evenVBand="0" w:oddHBand="0" w:evenHBand="1" w:firstRowFirstColumn="0" w:firstRowLastColumn="0" w:lastRowFirstColumn="0" w:lastRowLastColumn="0"/>
        </w:trPr>
        <w:tc>
          <w:tcPr>
            <w:tcW w:w="2395" w:type="dxa"/>
          </w:tcPr>
          <w:p w14:paraId="157B989C" w14:textId="77777777" w:rsidR="00F960C9" w:rsidRPr="00F80601" w:rsidRDefault="00F960C9" w:rsidP="0093562A">
            <w:r w:rsidRPr="00F80601">
              <w:t>Full enterprise value</w:t>
            </w:r>
            <w:r>
              <w:t xml:space="preserve"> or</w:t>
            </w:r>
            <w:r w:rsidRPr="00F80601">
              <w:t xml:space="preserve"> Business modelling (DCF)</w:t>
            </w:r>
          </w:p>
        </w:tc>
        <w:tc>
          <w:tcPr>
            <w:tcW w:w="3606" w:type="dxa"/>
          </w:tcPr>
          <w:p w14:paraId="419A5F68" w14:textId="77777777" w:rsidR="00F960C9" w:rsidRPr="00F80601" w:rsidRDefault="00F960C9" w:rsidP="0093562A">
            <w:pPr>
              <w:pStyle w:val="TableBullet"/>
            </w:pPr>
            <w:r w:rsidRPr="00F80601">
              <w:t>Theoretically this provides an upper bound on spectrum value to an operator as it estimates profits from running a mobile network; this gives an indication of an upper limit on what regulators and governments can charge for spectrum</w:t>
            </w:r>
          </w:p>
        </w:tc>
        <w:tc>
          <w:tcPr>
            <w:tcW w:w="3607" w:type="dxa"/>
          </w:tcPr>
          <w:p w14:paraId="5A4ADE3D" w14:textId="77777777" w:rsidR="00F960C9" w:rsidRPr="00F80601" w:rsidRDefault="00F960C9" w:rsidP="0093562A">
            <w:pPr>
              <w:pStyle w:val="TableBullet"/>
            </w:pPr>
            <w:r>
              <w:t>L</w:t>
            </w:r>
            <w:r w:rsidRPr="00F80601">
              <w:t xml:space="preserve">ikely to overestimate </w:t>
            </w:r>
            <w:r>
              <w:t>spectrum</w:t>
            </w:r>
            <w:r w:rsidRPr="00F80601">
              <w:t xml:space="preserve"> value</w:t>
            </w:r>
          </w:p>
          <w:p w14:paraId="053CB29D" w14:textId="77777777" w:rsidR="00F960C9" w:rsidRPr="00F80601" w:rsidRDefault="00F960C9" w:rsidP="0093562A">
            <w:pPr>
              <w:pStyle w:val="TableBullet"/>
            </w:pPr>
            <w:r w:rsidRPr="00F80601">
              <w:t>Complex modelling requiring accurate forecasts of future costs and revenues which may not be available</w:t>
            </w:r>
          </w:p>
          <w:p w14:paraId="049CEC75" w14:textId="77777777" w:rsidR="00F960C9" w:rsidRPr="00F80601" w:rsidRDefault="00F960C9" w:rsidP="0093562A">
            <w:pPr>
              <w:pStyle w:val="TableBullet"/>
            </w:pPr>
            <w:r w:rsidRPr="00F80601">
              <w:t>Considerable uncertainty in results given information asymmetry between regulator and operators, and substantial differences in business cases among operators and potential new entrants</w:t>
            </w:r>
          </w:p>
        </w:tc>
      </w:tr>
    </w:tbl>
    <w:p w14:paraId="644B10CE" w14:textId="75543911" w:rsidR="00931268" w:rsidRPr="00931268" w:rsidRDefault="005659A0" w:rsidP="00931268">
      <w:pPr>
        <w:pStyle w:val="BodyText"/>
        <w:rPr>
          <w:lang w:eastAsia="en-US"/>
        </w:rPr>
      </w:pPr>
      <w:r>
        <w:rPr>
          <w:lang w:eastAsia="en-US"/>
        </w:rPr>
        <w:t xml:space="preserve">Our paper </w:t>
      </w:r>
      <w:r w:rsidR="004D5D8C">
        <w:rPr>
          <w:lang w:eastAsia="en-US"/>
        </w:rPr>
        <w:t>concludes</w:t>
      </w:r>
      <w:r>
        <w:rPr>
          <w:lang w:eastAsia="en-US"/>
        </w:rPr>
        <w:t xml:space="preserve"> by looking at factors that would influence the choice of methodology, ranging from data availability </w:t>
      </w:r>
      <w:r w:rsidR="004D5D8C">
        <w:rPr>
          <w:lang w:eastAsia="en-US"/>
        </w:rPr>
        <w:t xml:space="preserve">through to the ways in which the valuation will be used.  </w:t>
      </w:r>
      <w:r w:rsidR="0088400B">
        <w:rPr>
          <w:lang w:eastAsia="en-US"/>
        </w:rPr>
        <w:t xml:space="preserve">However, there is no single correct way of valuing spectrum, and regulators must consider each </w:t>
      </w:r>
      <w:r w:rsidR="00C37028">
        <w:rPr>
          <w:lang w:eastAsia="en-US"/>
        </w:rPr>
        <w:t>exercise by its own requirements.</w:t>
      </w:r>
    </w:p>
    <w:p w14:paraId="1B58FF67" w14:textId="77777777" w:rsidR="009711C3" w:rsidRDefault="009711C3" w:rsidP="00C72C9C">
      <w:pPr>
        <w:pStyle w:val="BodyText"/>
        <w:sectPr w:rsidR="009711C3" w:rsidSect="00BA1AD8">
          <w:headerReference w:type="even" r:id="rId28"/>
          <w:headerReference w:type="default" r:id="rId29"/>
          <w:footerReference w:type="even" r:id="rId30"/>
          <w:footerReference w:type="default" r:id="rId31"/>
          <w:headerReference w:type="first" r:id="rId32"/>
          <w:footerReference w:type="first" r:id="rId33"/>
          <w:pgSz w:w="11906" w:h="16838" w:code="9"/>
          <w:pgMar w:top="1587" w:right="1134" w:bottom="1247" w:left="1134" w:header="765" w:footer="765" w:gutter="0"/>
          <w:cols w:space="708"/>
          <w:docGrid w:linePitch="360"/>
        </w:sectPr>
      </w:pPr>
    </w:p>
    <w:p w14:paraId="404AE391" w14:textId="1A48816D" w:rsidR="00E14EB1" w:rsidRDefault="00931268" w:rsidP="0059477D">
      <w:pPr>
        <w:pStyle w:val="Heading1"/>
      </w:pPr>
      <w:bookmarkStart w:id="7" w:name="_Toc138771592"/>
      <w:r>
        <w:lastRenderedPageBreak/>
        <w:t>Introduction</w:t>
      </w:r>
      <w:bookmarkEnd w:id="7"/>
    </w:p>
    <w:p w14:paraId="1AD2F1D2" w14:textId="713C72F9" w:rsidR="00931268" w:rsidRDefault="00513041" w:rsidP="00931268">
      <w:pPr>
        <w:pStyle w:val="BodyText"/>
        <w:rPr>
          <w:lang w:eastAsia="en-US"/>
        </w:rPr>
      </w:pPr>
      <w:r>
        <w:rPr>
          <w:lang w:eastAsia="en-US"/>
        </w:rPr>
        <w:t xml:space="preserve">This paper has been prepared for the </w:t>
      </w:r>
      <w:r w:rsidR="002A1E74" w:rsidRPr="002A1E74">
        <w:rPr>
          <w:lang w:eastAsia="en-US"/>
        </w:rPr>
        <w:t>Australian Communications and Media Authority</w:t>
      </w:r>
      <w:r w:rsidR="002A1E74">
        <w:rPr>
          <w:lang w:eastAsia="en-US"/>
        </w:rPr>
        <w:t xml:space="preserve"> (</w:t>
      </w:r>
      <w:r w:rsidR="00650995">
        <w:rPr>
          <w:lang w:eastAsia="en-US"/>
        </w:rPr>
        <w:t xml:space="preserve">the </w:t>
      </w:r>
      <w:r w:rsidR="002A1E74">
        <w:rPr>
          <w:lang w:eastAsia="en-US"/>
        </w:rPr>
        <w:t>ACMA)</w:t>
      </w:r>
      <w:r w:rsidR="00076512">
        <w:rPr>
          <w:lang w:eastAsia="en-US"/>
        </w:rPr>
        <w:t xml:space="preserve"> to examine the theory of spectrum valuation and international examples of its use.  This report has been commissioned ahead of </w:t>
      </w:r>
      <w:r w:rsidR="00650995">
        <w:rPr>
          <w:lang w:eastAsia="en-US"/>
        </w:rPr>
        <w:t xml:space="preserve">the ACMA considering </w:t>
      </w:r>
      <w:proofErr w:type="gramStart"/>
      <w:r w:rsidR="00076512">
        <w:rPr>
          <w:lang w:eastAsia="en-US"/>
        </w:rPr>
        <w:t>a number of</w:t>
      </w:r>
      <w:proofErr w:type="gramEnd"/>
      <w:r w:rsidR="00076512">
        <w:rPr>
          <w:lang w:eastAsia="en-US"/>
        </w:rPr>
        <w:t xml:space="preserve"> spectrum licence renewals and awards, due to occur from 2028, but is not restricted to the spectrum included in those awards; the analysis is generic and </w:t>
      </w:r>
      <w:r w:rsidR="00443FA7">
        <w:rPr>
          <w:lang w:eastAsia="en-US"/>
        </w:rPr>
        <w:t>can be applied across all spectrum bands.</w:t>
      </w:r>
      <w:r w:rsidR="00650995">
        <w:rPr>
          <w:lang w:eastAsia="en-US"/>
        </w:rPr>
        <w:t xml:space="preserve"> At the time of finalising this report, the ACMA is consulting</w:t>
      </w:r>
      <w:r w:rsidR="00B045E5">
        <w:rPr>
          <w:rStyle w:val="FootnoteReference"/>
          <w:lang w:eastAsia="en-US"/>
        </w:rPr>
        <w:footnoteReference w:id="1"/>
      </w:r>
      <w:r w:rsidR="00650995">
        <w:rPr>
          <w:lang w:eastAsia="en-US"/>
        </w:rPr>
        <w:t xml:space="preserve"> on its approach to considering these expiring spectrum licences.</w:t>
      </w:r>
    </w:p>
    <w:p w14:paraId="334647B8" w14:textId="71271B01" w:rsidR="00931268" w:rsidRDefault="00443FA7" w:rsidP="00FE4583">
      <w:pPr>
        <w:pStyle w:val="BodyText"/>
        <w:rPr>
          <w:lang w:eastAsia="en-US"/>
        </w:rPr>
      </w:pPr>
      <w:r>
        <w:rPr>
          <w:lang w:eastAsia="en-US"/>
        </w:rPr>
        <w:t xml:space="preserve">When looking to understand the value of spectrum, </w:t>
      </w:r>
      <w:r w:rsidR="005D2738">
        <w:rPr>
          <w:lang w:eastAsia="en-US"/>
        </w:rPr>
        <w:t xml:space="preserve">regulators must consider </w:t>
      </w:r>
      <w:r w:rsidR="000611A7">
        <w:rPr>
          <w:lang w:eastAsia="en-US"/>
        </w:rPr>
        <w:t>the services that use the spectrum (and which other services ca</w:t>
      </w:r>
      <w:r w:rsidR="00D116F8">
        <w:rPr>
          <w:lang w:eastAsia="en-US"/>
        </w:rPr>
        <w:t xml:space="preserve">n use it), the </w:t>
      </w:r>
      <w:r w:rsidR="00797724">
        <w:rPr>
          <w:lang w:eastAsia="en-US"/>
        </w:rPr>
        <w:t xml:space="preserve">length of the licence, the total bandwidth to be awarded, and </w:t>
      </w:r>
      <w:r w:rsidR="006F6941">
        <w:rPr>
          <w:lang w:eastAsia="en-US"/>
        </w:rPr>
        <w:t xml:space="preserve">many other parameters.  When spectrum is awarded at auction, the competitive nature of bidding means that network operators and other spectrum users will reveal their </w:t>
      </w:r>
      <w:r w:rsidR="00C162CC">
        <w:rPr>
          <w:lang w:eastAsia="en-US"/>
        </w:rPr>
        <w:t xml:space="preserve">own valuations, </w:t>
      </w:r>
      <w:r w:rsidR="00E9242A">
        <w:rPr>
          <w:lang w:eastAsia="en-US"/>
        </w:rPr>
        <w:t xml:space="preserve">particularly if the auction is well designed.  As such, regulators need only understand a valuation for the purpose of setting reserve prices or </w:t>
      </w:r>
      <w:r w:rsidR="003234D2">
        <w:rPr>
          <w:lang w:eastAsia="en-US"/>
        </w:rPr>
        <w:t xml:space="preserve">designing an auction to reflect social welfare.  However, not all spectrum is awarded at auction; </w:t>
      </w:r>
      <w:r w:rsidR="001527C6">
        <w:rPr>
          <w:lang w:eastAsia="en-US"/>
        </w:rPr>
        <w:t xml:space="preserve">regulators may need to know more </w:t>
      </w:r>
      <w:r w:rsidR="00FE4583">
        <w:rPr>
          <w:lang w:eastAsia="en-US"/>
        </w:rPr>
        <w:t>accurate values for the purposes of licence renewal, direct awards, or spectrum trading.  In these cases, understanding spectrum value allows for regulators to set a fair price which will result in an economically efficient allocation.</w:t>
      </w:r>
    </w:p>
    <w:p w14:paraId="4D7B05CE" w14:textId="7EB36302" w:rsidR="00FE4583" w:rsidRDefault="00127E40" w:rsidP="00FE4583">
      <w:pPr>
        <w:pStyle w:val="BodyText"/>
        <w:rPr>
          <w:lang w:eastAsia="en-US"/>
        </w:rPr>
      </w:pPr>
      <w:r>
        <w:rPr>
          <w:lang w:eastAsia="en-US"/>
        </w:rPr>
        <w:t xml:space="preserve">In commissioning this </w:t>
      </w:r>
      <w:proofErr w:type="gramStart"/>
      <w:r>
        <w:rPr>
          <w:lang w:eastAsia="en-US"/>
        </w:rPr>
        <w:t>paper</w:t>
      </w:r>
      <w:proofErr w:type="gramEnd"/>
      <w:r>
        <w:rPr>
          <w:lang w:eastAsia="en-US"/>
        </w:rPr>
        <w:t xml:space="preserve"> </w:t>
      </w:r>
      <w:r w:rsidR="00F7407B">
        <w:rPr>
          <w:lang w:eastAsia="en-US"/>
        </w:rPr>
        <w:t xml:space="preserve">the </w:t>
      </w:r>
      <w:r>
        <w:rPr>
          <w:lang w:eastAsia="en-US"/>
        </w:rPr>
        <w:t xml:space="preserve">ACMA has asked </w:t>
      </w:r>
      <w:proofErr w:type="gramStart"/>
      <w:r>
        <w:rPr>
          <w:lang w:eastAsia="en-US"/>
        </w:rPr>
        <w:t>a number of</w:t>
      </w:r>
      <w:proofErr w:type="gramEnd"/>
      <w:r>
        <w:rPr>
          <w:lang w:eastAsia="en-US"/>
        </w:rPr>
        <w:t xml:space="preserve"> key questions:</w:t>
      </w:r>
    </w:p>
    <w:p w14:paraId="17042E55" w14:textId="5B4D46B1" w:rsidR="00127E40" w:rsidRDefault="00127E40" w:rsidP="00127E40">
      <w:pPr>
        <w:pStyle w:val="BulletList1"/>
      </w:pPr>
      <w:r>
        <w:t>What methodologies are possible for estimating the value of spectrum?</w:t>
      </w:r>
    </w:p>
    <w:p w14:paraId="45F856F8" w14:textId="22C91687" w:rsidR="00127E40" w:rsidRDefault="00127E40" w:rsidP="00127E40">
      <w:pPr>
        <w:pStyle w:val="BulletList1"/>
      </w:pPr>
      <w:r>
        <w:t>What the advantages and disadvantages of each of these methods?</w:t>
      </w:r>
    </w:p>
    <w:p w14:paraId="7F333995" w14:textId="41116E7F" w:rsidR="00127E40" w:rsidRDefault="00307FA7" w:rsidP="00127E40">
      <w:pPr>
        <w:pStyle w:val="BulletList1"/>
      </w:pPr>
      <w:r>
        <w:t>Where have these methods been used in the past?</w:t>
      </w:r>
    </w:p>
    <w:p w14:paraId="58E816FE" w14:textId="3A05ABD6" w:rsidR="007B01DC" w:rsidRDefault="007B01DC" w:rsidP="00127E40">
      <w:pPr>
        <w:pStyle w:val="BulletList1"/>
      </w:pPr>
      <w:r>
        <w:t>What factors should be considered when choosing a method?</w:t>
      </w:r>
    </w:p>
    <w:p w14:paraId="5C362815" w14:textId="4879EE18" w:rsidR="00E35173" w:rsidRDefault="00E11378" w:rsidP="00DE0463">
      <w:pPr>
        <w:pStyle w:val="BodyText"/>
      </w:pPr>
      <w:r>
        <w:t>As part of considering these questions</w:t>
      </w:r>
      <w:r w:rsidR="00C4622F">
        <w:t xml:space="preserve"> </w:t>
      </w:r>
      <w:r w:rsidR="00C36E19">
        <w:t>we have</w:t>
      </w:r>
      <w:r w:rsidR="00C4622F">
        <w:t xml:space="preserve"> also reflected on what spectrum value </w:t>
      </w:r>
      <w:r w:rsidR="003A776E">
        <w:t>represent</w:t>
      </w:r>
      <w:r w:rsidR="00DE0463">
        <w:t>s, and how it</w:t>
      </w:r>
      <w:r w:rsidR="003707C3">
        <w:t xml:space="preserve"> should</w:t>
      </w:r>
      <w:r w:rsidR="00DE0463">
        <w:t xml:space="preserve"> be</w:t>
      </w:r>
      <w:r w:rsidR="003707C3">
        <w:t xml:space="preserve"> considered in the regulatory context.</w:t>
      </w:r>
    </w:p>
    <w:p w14:paraId="30E9B9D9" w14:textId="7741A9C7" w:rsidR="00FE4583" w:rsidRDefault="007B01DC" w:rsidP="007B01DC">
      <w:pPr>
        <w:pStyle w:val="Heading2"/>
      </w:pPr>
      <w:bookmarkStart w:id="8" w:name="_Toc138771593"/>
      <w:r>
        <w:t>Structure of this paper</w:t>
      </w:r>
      <w:bookmarkEnd w:id="8"/>
    </w:p>
    <w:p w14:paraId="1F6ECAC4" w14:textId="39E9AB2A" w:rsidR="007B01DC" w:rsidRDefault="007B01DC" w:rsidP="00FE4583">
      <w:pPr>
        <w:pStyle w:val="BodyText"/>
        <w:rPr>
          <w:lang w:eastAsia="en-US"/>
        </w:rPr>
      </w:pPr>
      <w:r>
        <w:rPr>
          <w:lang w:eastAsia="en-US"/>
        </w:rPr>
        <w:t>This report has been structured to answer these questions.</w:t>
      </w:r>
    </w:p>
    <w:p w14:paraId="61A02E1A" w14:textId="13F99E5D" w:rsidR="001367D6" w:rsidRDefault="001367D6" w:rsidP="001367D6">
      <w:pPr>
        <w:pStyle w:val="BulletList1"/>
      </w:pPr>
      <w:r>
        <w:t xml:space="preserve">Section </w:t>
      </w:r>
      <w:r w:rsidR="004961BF">
        <w:fldChar w:fldCharType="begin"/>
      </w:r>
      <w:r w:rsidR="004961BF">
        <w:instrText xml:space="preserve"> REF _Ref137335049 \n </w:instrText>
      </w:r>
      <w:r w:rsidR="004961BF">
        <w:fldChar w:fldCharType="separate"/>
      </w:r>
      <w:r w:rsidR="0027066B">
        <w:t>2</w:t>
      </w:r>
      <w:r w:rsidR="004961BF">
        <w:fldChar w:fldCharType="end"/>
      </w:r>
      <w:r>
        <w:t xml:space="preserve"> </w:t>
      </w:r>
      <w:r w:rsidR="004451AE">
        <w:t>starts by considering the difference between spectrum valuation and spectrum pricing, to provide context for this analysis.</w:t>
      </w:r>
    </w:p>
    <w:p w14:paraId="2C300F4B" w14:textId="7106C1FB" w:rsidR="004451AE" w:rsidRDefault="004451AE" w:rsidP="001367D6">
      <w:pPr>
        <w:pStyle w:val="BulletList1"/>
      </w:pPr>
      <w:r>
        <w:t xml:space="preserve">Section </w:t>
      </w:r>
      <w:r w:rsidR="004961BF">
        <w:fldChar w:fldCharType="begin"/>
      </w:r>
      <w:r w:rsidR="004961BF">
        <w:instrText xml:space="preserve"> REF _Ref137335051 \n </w:instrText>
      </w:r>
      <w:r w:rsidR="004961BF">
        <w:fldChar w:fldCharType="separate"/>
      </w:r>
      <w:r w:rsidR="0027066B">
        <w:t>3</w:t>
      </w:r>
      <w:r w:rsidR="004961BF">
        <w:fldChar w:fldCharType="end"/>
      </w:r>
      <w:r>
        <w:t xml:space="preserve"> provides an overview to the theory of valuation, while Section </w:t>
      </w:r>
      <w:r w:rsidR="004961BF">
        <w:fldChar w:fldCharType="begin"/>
      </w:r>
      <w:r w:rsidR="004961BF">
        <w:instrText xml:space="preserve"> REF _Ref137327606 \n </w:instrText>
      </w:r>
      <w:r w:rsidR="004961BF">
        <w:fldChar w:fldCharType="separate"/>
      </w:r>
      <w:r w:rsidR="0027066B">
        <w:t>4</w:t>
      </w:r>
      <w:r w:rsidR="004961BF">
        <w:fldChar w:fldCharType="end"/>
      </w:r>
      <w:r>
        <w:t xml:space="preserve"> looks at how this is applied by regulators in the course of their work.</w:t>
      </w:r>
    </w:p>
    <w:p w14:paraId="621E9028" w14:textId="50931372" w:rsidR="00E757F5" w:rsidRDefault="004451AE" w:rsidP="001367D6">
      <w:pPr>
        <w:pStyle w:val="BulletList1"/>
      </w:pPr>
      <w:r>
        <w:t xml:space="preserve">Sections </w:t>
      </w:r>
      <w:r w:rsidR="004961BF">
        <w:fldChar w:fldCharType="begin"/>
      </w:r>
      <w:r w:rsidR="004961BF">
        <w:instrText xml:space="preserve"> REF _Ref137335052 \n </w:instrText>
      </w:r>
      <w:r w:rsidR="004961BF">
        <w:fldChar w:fldCharType="separate"/>
      </w:r>
      <w:r w:rsidR="0027066B">
        <w:t>5</w:t>
      </w:r>
      <w:r w:rsidR="004961BF">
        <w:fldChar w:fldCharType="end"/>
      </w:r>
      <w:r>
        <w:t xml:space="preserve">, </w:t>
      </w:r>
      <w:r w:rsidR="004961BF">
        <w:fldChar w:fldCharType="begin"/>
      </w:r>
      <w:r w:rsidR="004961BF">
        <w:instrText xml:space="preserve"> REF _Ref137335053 \n </w:instrText>
      </w:r>
      <w:r w:rsidR="004961BF">
        <w:fldChar w:fldCharType="separate"/>
      </w:r>
      <w:r w:rsidR="0027066B">
        <w:t>6</w:t>
      </w:r>
      <w:r w:rsidR="004961BF">
        <w:fldChar w:fldCharType="end"/>
      </w:r>
      <w:r>
        <w:t xml:space="preserve">, </w:t>
      </w:r>
      <w:r w:rsidR="004961BF">
        <w:fldChar w:fldCharType="begin"/>
      </w:r>
      <w:r w:rsidR="004961BF">
        <w:instrText xml:space="preserve"> REF _Ref137335054 \n </w:instrText>
      </w:r>
      <w:r w:rsidR="004961BF">
        <w:fldChar w:fldCharType="separate"/>
      </w:r>
      <w:r w:rsidR="0027066B">
        <w:t>7</w:t>
      </w:r>
      <w:r w:rsidR="004961BF">
        <w:fldChar w:fldCharType="end"/>
      </w:r>
      <w:r>
        <w:t>,</w:t>
      </w:r>
      <w:r w:rsidR="00E757F5">
        <w:t xml:space="preserve"> and</w:t>
      </w:r>
      <w:r>
        <w:t xml:space="preserve"> </w:t>
      </w:r>
      <w:r w:rsidR="004961BF">
        <w:fldChar w:fldCharType="begin"/>
      </w:r>
      <w:r w:rsidR="004961BF">
        <w:instrText xml:space="preserve"> REF _Ref137335055 \n </w:instrText>
      </w:r>
      <w:r w:rsidR="004961BF">
        <w:fldChar w:fldCharType="separate"/>
      </w:r>
      <w:r w:rsidR="0027066B">
        <w:t>8</w:t>
      </w:r>
      <w:r w:rsidR="004961BF">
        <w:fldChar w:fldCharType="end"/>
      </w:r>
      <w:r w:rsidR="00E757F5">
        <w:t xml:space="preserve"> detail how different valuation methodologies are formulated and applied.</w:t>
      </w:r>
    </w:p>
    <w:p w14:paraId="38E6A085" w14:textId="6C478967" w:rsidR="00E757F5" w:rsidRDefault="00E757F5" w:rsidP="001367D6">
      <w:pPr>
        <w:pStyle w:val="BulletList1"/>
      </w:pPr>
      <w:r>
        <w:t xml:space="preserve">Section </w:t>
      </w:r>
      <w:r w:rsidR="004961BF">
        <w:fldChar w:fldCharType="begin"/>
      </w:r>
      <w:r w:rsidR="004961BF">
        <w:instrText xml:space="preserve"> REF _Ref137333388 \n </w:instrText>
      </w:r>
      <w:r w:rsidR="004961BF">
        <w:fldChar w:fldCharType="separate"/>
      </w:r>
      <w:r w:rsidR="0027066B">
        <w:t>9</w:t>
      </w:r>
      <w:r w:rsidR="004961BF">
        <w:fldChar w:fldCharType="end"/>
      </w:r>
      <w:r>
        <w:t xml:space="preserve"> summarises the advantages and disadvantages of each methodology.</w:t>
      </w:r>
    </w:p>
    <w:p w14:paraId="227321FC" w14:textId="36E99907" w:rsidR="00E757F5" w:rsidRDefault="00E757F5" w:rsidP="001367D6">
      <w:pPr>
        <w:pStyle w:val="BulletList1"/>
      </w:pPr>
      <w:r>
        <w:t xml:space="preserve">Section </w:t>
      </w:r>
      <w:r w:rsidR="004961BF">
        <w:fldChar w:fldCharType="begin"/>
      </w:r>
      <w:r w:rsidR="004961BF">
        <w:instrText xml:space="preserve"> REF _Ref137333346 \n </w:instrText>
      </w:r>
      <w:r w:rsidR="004961BF">
        <w:fldChar w:fldCharType="separate"/>
      </w:r>
      <w:r w:rsidR="0027066B">
        <w:t>10</w:t>
      </w:r>
      <w:r w:rsidR="004961BF">
        <w:fldChar w:fldCharType="end"/>
      </w:r>
      <w:r>
        <w:t xml:space="preserve"> includes </w:t>
      </w:r>
      <w:proofErr w:type="gramStart"/>
      <w:r>
        <w:t>a number of</w:t>
      </w:r>
      <w:proofErr w:type="gramEnd"/>
      <w:r>
        <w:t xml:space="preserve"> case studies showing how regulators around the world have used various valuation methodologies when setting reserve prices or spectrum fees.</w:t>
      </w:r>
    </w:p>
    <w:p w14:paraId="357FDF13" w14:textId="3A034C44" w:rsidR="00931268" w:rsidRDefault="00E757F5" w:rsidP="00F27913">
      <w:pPr>
        <w:pStyle w:val="BulletList1"/>
        <w:rPr>
          <w:lang w:eastAsia="en-US"/>
        </w:rPr>
      </w:pPr>
      <w:r>
        <w:lastRenderedPageBreak/>
        <w:t xml:space="preserve">Section </w:t>
      </w:r>
      <w:r w:rsidR="004961BF">
        <w:fldChar w:fldCharType="begin"/>
      </w:r>
      <w:r w:rsidR="004961BF">
        <w:instrText xml:space="preserve"> REF _Ref137335056 \n </w:instrText>
      </w:r>
      <w:r w:rsidR="004961BF">
        <w:fldChar w:fldCharType="separate"/>
      </w:r>
      <w:r w:rsidR="0027066B">
        <w:t>11</w:t>
      </w:r>
      <w:r w:rsidR="004961BF">
        <w:fldChar w:fldCharType="end"/>
      </w:r>
      <w:r>
        <w:t xml:space="preserve"> explains </w:t>
      </w:r>
      <w:proofErr w:type="gramStart"/>
      <w:r>
        <w:t>a number of</w:t>
      </w:r>
      <w:proofErr w:type="gramEnd"/>
      <w:r>
        <w:t xml:space="preserve"> considerations to be made when deciding on the appropriate methodology to use.</w:t>
      </w:r>
    </w:p>
    <w:p w14:paraId="4D95D701" w14:textId="5A7DF57C" w:rsidR="00931268" w:rsidRDefault="00931268" w:rsidP="00931268">
      <w:pPr>
        <w:pStyle w:val="Heading1"/>
      </w:pPr>
      <w:bookmarkStart w:id="9" w:name="_Ref137335049"/>
      <w:bookmarkStart w:id="10" w:name="_Ref137335050"/>
      <w:bookmarkStart w:id="11" w:name="_Ref137335104"/>
      <w:bookmarkStart w:id="12" w:name="_Toc138771594"/>
      <w:r>
        <w:lastRenderedPageBreak/>
        <w:t>A theory of spectrum pricing</w:t>
      </w:r>
      <w:bookmarkEnd w:id="9"/>
      <w:bookmarkEnd w:id="10"/>
      <w:bookmarkEnd w:id="11"/>
      <w:bookmarkEnd w:id="12"/>
    </w:p>
    <w:p w14:paraId="4D88C258" w14:textId="1B436F6F" w:rsidR="00BE6377" w:rsidRDefault="00BE6377" w:rsidP="00931268">
      <w:pPr>
        <w:pStyle w:val="BodyText"/>
        <w:rPr>
          <w:lang w:eastAsia="en-US"/>
        </w:rPr>
      </w:pPr>
      <w:r>
        <w:rPr>
          <w:lang w:eastAsia="en-US"/>
        </w:rPr>
        <w:t>It is crucial to understand at the outset of this analysis that there is a difference between spectrum pricing and spectrum valuation.</w:t>
      </w:r>
      <w:r w:rsidR="00BD1C48">
        <w:rPr>
          <w:lang w:eastAsia="en-US"/>
        </w:rPr>
        <w:t xml:space="preserve">  Spectrum pricing is the policy decision made by a regulator when setting fees for spectrum, </w:t>
      </w:r>
      <w:r w:rsidR="00FB1AAF">
        <w:rPr>
          <w:lang w:eastAsia="en-US"/>
        </w:rPr>
        <w:t>and while this</w:t>
      </w:r>
      <w:r w:rsidR="00A003E9">
        <w:rPr>
          <w:lang w:eastAsia="en-US"/>
        </w:rPr>
        <w:t xml:space="preserve"> may be based on the value of spectrum it must also take account of </w:t>
      </w:r>
      <w:proofErr w:type="gramStart"/>
      <w:r w:rsidR="00A003E9">
        <w:rPr>
          <w:lang w:eastAsia="en-US"/>
        </w:rPr>
        <w:t>a number of</w:t>
      </w:r>
      <w:proofErr w:type="gramEnd"/>
      <w:r w:rsidR="00A003E9">
        <w:rPr>
          <w:lang w:eastAsia="en-US"/>
        </w:rPr>
        <w:t xml:space="preserve"> other factors.</w:t>
      </w:r>
    </w:p>
    <w:p w14:paraId="15D93E76" w14:textId="28A7028A" w:rsidR="009631F7" w:rsidRDefault="00A003E9" w:rsidP="00CB5A92">
      <w:pPr>
        <w:pStyle w:val="BodyText"/>
      </w:pPr>
      <w:proofErr w:type="gramStart"/>
      <w:r>
        <w:t>In particular, spectrum</w:t>
      </w:r>
      <w:proofErr w:type="gramEnd"/>
      <w:r>
        <w:t xml:space="preserve"> prices, for them to be set at an economically optimum level, should be based on an opportunity cost methodology.  </w:t>
      </w:r>
      <w:r w:rsidR="002D35CE">
        <w:t xml:space="preserve">Rather than paying a fee reflecting the value of spectrum to themselves, spectrum users should instead pay a fee equivalent to the cost suffered by the user with the next highest value.  </w:t>
      </w:r>
      <w:r w:rsidR="00FF0E85">
        <w:t xml:space="preserve">For many spectrum bands this opportunity cost will be zero – that is, there is no </w:t>
      </w:r>
      <w:r w:rsidR="00EF0AA6">
        <w:t xml:space="preserve">spectrum user who is prevented from their use of spectrum by this spectrum licence being awarded.  </w:t>
      </w:r>
    </w:p>
    <w:p w14:paraId="18F9CA06" w14:textId="3EDC2025" w:rsidR="00931268" w:rsidRDefault="00064C4F" w:rsidP="00931268">
      <w:pPr>
        <w:pStyle w:val="BodyText"/>
        <w:rPr>
          <w:lang w:eastAsia="en-US"/>
        </w:rPr>
      </w:pPr>
      <w:r>
        <w:rPr>
          <w:lang w:eastAsia="en-US"/>
        </w:rPr>
        <w:t xml:space="preserve">Where there is zero opportunity cost, specifically where there is no excess demand, </w:t>
      </w:r>
      <w:r w:rsidR="00E74086">
        <w:rPr>
          <w:lang w:eastAsia="en-US"/>
        </w:rPr>
        <w:t xml:space="preserve">economic theory indicates that </w:t>
      </w:r>
      <w:r>
        <w:rPr>
          <w:lang w:eastAsia="en-US"/>
        </w:rPr>
        <w:t>spectrum prices should be set to cover the costs of</w:t>
      </w:r>
      <w:r w:rsidR="00A54912">
        <w:rPr>
          <w:lang w:eastAsia="en-US"/>
        </w:rPr>
        <w:t xml:space="preserve"> regulatory</w:t>
      </w:r>
      <w:r>
        <w:rPr>
          <w:lang w:eastAsia="en-US"/>
        </w:rPr>
        <w:t xml:space="preserve"> administration only</w:t>
      </w:r>
      <w:r w:rsidR="00A54912">
        <w:rPr>
          <w:lang w:eastAsia="en-US"/>
        </w:rPr>
        <w:t>.</w:t>
      </w:r>
      <w:r w:rsidR="00E74086">
        <w:rPr>
          <w:lang w:eastAsia="en-US"/>
        </w:rPr>
        <w:t xml:space="preserve">  However, there are </w:t>
      </w:r>
      <w:r w:rsidR="00DE59A3">
        <w:rPr>
          <w:lang w:eastAsia="en-US"/>
        </w:rPr>
        <w:t xml:space="preserve">several considerations on how this may incentivise use </w:t>
      </w:r>
      <w:r w:rsidR="007853F6">
        <w:rPr>
          <w:lang w:eastAsia="en-US"/>
        </w:rPr>
        <w:t>in a way that is not socially optimal, and the appropriate analysis of pricing mechanisms is beyond the scope of this paper.</w:t>
      </w:r>
    </w:p>
    <w:p w14:paraId="1AF8D535" w14:textId="77777777" w:rsidR="00B958A6" w:rsidRDefault="00A54912" w:rsidP="00931268">
      <w:pPr>
        <w:pStyle w:val="BodyText"/>
        <w:rPr>
          <w:lang w:eastAsia="en-US"/>
        </w:rPr>
      </w:pPr>
      <w:r>
        <w:rPr>
          <w:lang w:eastAsia="en-US"/>
        </w:rPr>
        <w:t>However, in many bands there is</w:t>
      </w:r>
      <w:r w:rsidR="00860FB9">
        <w:rPr>
          <w:lang w:eastAsia="en-US"/>
        </w:rPr>
        <w:t xml:space="preserve"> (or could be)</w:t>
      </w:r>
      <w:r>
        <w:rPr>
          <w:lang w:eastAsia="en-US"/>
        </w:rPr>
        <w:t xml:space="preserve"> excess demand, </w:t>
      </w:r>
      <w:r w:rsidR="00860FB9">
        <w:rPr>
          <w:lang w:eastAsia="en-US"/>
        </w:rPr>
        <w:t xml:space="preserve">and regulators must </w:t>
      </w:r>
      <w:proofErr w:type="gramStart"/>
      <w:r w:rsidR="00860FB9">
        <w:rPr>
          <w:lang w:eastAsia="en-US"/>
        </w:rPr>
        <w:t>make a decision</w:t>
      </w:r>
      <w:proofErr w:type="gramEnd"/>
      <w:r w:rsidR="00860FB9">
        <w:rPr>
          <w:lang w:eastAsia="en-US"/>
        </w:rPr>
        <w:t xml:space="preserve"> on how to allocate spectrum between users.</w:t>
      </w:r>
    </w:p>
    <w:p w14:paraId="29DEEBF5" w14:textId="3F625707" w:rsidR="00B958A6" w:rsidRDefault="00B958A6" w:rsidP="00B958A6">
      <w:pPr>
        <w:pStyle w:val="Heading2"/>
      </w:pPr>
      <w:bookmarkStart w:id="13" w:name="_Toc138771595"/>
      <w:r>
        <w:t>Non-economic factors</w:t>
      </w:r>
      <w:bookmarkEnd w:id="13"/>
    </w:p>
    <w:p w14:paraId="638E0231" w14:textId="67A46C62" w:rsidR="00A54912" w:rsidRDefault="00860FB9" w:rsidP="00931268">
      <w:pPr>
        <w:pStyle w:val="BodyText"/>
        <w:rPr>
          <w:lang w:eastAsia="en-US"/>
        </w:rPr>
      </w:pPr>
      <w:r>
        <w:rPr>
          <w:lang w:eastAsia="en-US"/>
        </w:rPr>
        <w:t xml:space="preserve">Ideally, spectrum prices should be set at </w:t>
      </w:r>
      <w:r w:rsidR="00D83F81">
        <w:rPr>
          <w:lang w:eastAsia="en-US"/>
        </w:rPr>
        <w:t>the</w:t>
      </w:r>
      <w:r>
        <w:rPr>
          <w:lang w:eastAsia="en-US"/>
        </w:rPr>
        <w:t xml:space="preserve"> level where total demand equals total supply, therefore at a high enough level </w:t>
      </w:r>
      <w:r w:rsidR="006F77EF">
        <w:rPr>
          <w:lang w:eastAsia="en-US"/>
        </w:rPr>
        <w:t xml:space="preserve">that some potential users will drop out of the market and results in an equilibrium.  However, </w:t>
      </w:r>
      <w:r w:rsidR="006D0877">
        <w:rPr>
          <w:lang w:eastAsia="en-US"/>
        </w:rPr>
        <w:t xml:space="preserve">there are many cases where this is impossible to </w:t>
      </w:r>
      <w:proofErr w:type="gramStart"/>
      <w:r w:rsidR="006D0877">
        <w:rPr>
          <w:lang w:eastAsia="en-US"/>
        </w:rPr>
        <w:t>do, or</w:t>
      </w:r>
      <w:proofErr w:type="gramEnd"/>
      <w:r w:rsidR="006D0877">
        <w:rPr>
          <w:lang w:eastAsia="en-US"/>
        </w:rPr>
        <w:t xml:space="preserve"> would not be optimum.</w:t>
      </w:r>
    </w:p>
    <w:p w14:paraId="3E64EFC8" w14:textId="7FB63AA8" w:rsidR="006D0877" w:rsidRDefault="006D0877" w:rsidP="00931268">
      <w:pPr>
        <w:pStyle w:val="BodyText"/>
        <w:rPr>
          <w:lang w:eastAsia="en-US"/>
        </w:rPr>
      </w:pPr>
      <w:r>
        <w:rPr>
          <w:lang w:eastAsia="en-US"/>
        </w:rPr>
        <w:t xml:space="preserve">First, if the regulator does not know the equilibrium price.  In an auction, bidding continues until the equilibrium is reached, and therefore the actions of the bidders reveal their valuations.  However, not all spectrum is awarded at auction.  Auctions can be costly and complex, and regulators (and governments) may have </w:t>
      </w:r>
      <w:r w:rsidR="00527809">
        <w:rPr>
          <w:lang w:eastAsia="en-US"/>
        </w:rPr>
        <w:t>objectives for spectrum award other than maximising the private value to bidders</w:t>
      </w:r>
      <w:r w:rsidR="00A36321">
        <w:rPr>
          <w:lang w:eastAsia="en-US"/>
        </w:rPr>
        <w:t xml:space="preserve"> – such as ensuring competition in the market.  When a regulator elects for a direct award, or indeed the renewal of spectrum licences which were previously awarded by auction, </w:t>
      </w:r>
      <w:r w:rsidR="00D83F81">
        <w:rPr>
          <w:lang w:eastAsia="en-US"/>
        </w:rPr>
        <w:t>the va</w:t>
      </w:r>
      <w:r w:rsidR="003933D9">
        <w:rPr>
          <w:lang w:eastAsia="en-US"/>
        </w:rPr>
        <w:t>l</w:t>
      </w:r>
      <w:r w:rsidR="00D83F81">
        <w:rPr>
          <w:lang w:eastAsia="en-US"/>
        </w:rPr>
        <w:t>ue of spectrum is not revealed by its users</w:t>
      </w:r>
      <w:r w:rsidR="003933D9">
        <w:rPr>
          <w:lang w:eastAsia="en-US"/>
        </w:rPr>
        <w:t>, and the regulator must calculate it – or estimate it – themselves.</w:t>
      </w:r>
    </w:p>
    <w:p w14:paraId="1EC36942" w14:textId="3593B9AE" w:rsidR="003726AE" w:rsidRDefault="003933D9" w:rsidP="00620375">
      <w:pPr>
        <w:pStyle w:val="BodyText"/>
        <w:rPr>
          <w:lang w:eastAsia="en-US"/>
        </w:rPr>
      </w:pPr>
      <w:r>
        <w:rPr>
          <w:lang w:eastAsia="en-US"/>
        </w:rPr>
        <w:t xml:space="preserve">Second, if there are non-economic considerations regarding spectrum awards.  </w:t>
      </w:r>
      <w:r w:rsidR="00806E50">
        <w:rPr>
          <w:lang w:eastAsia="en-US"/>
        </w:rPr>
        <w:t xml:space="preserve">Many spectrum bands are used </w:t>
      </w:r>
      <w:r w:rsidR="00316E0C">
        <w:rPr>
          <w:lang w:eastAsia="en-US"/>
        </w:rPr>
        <w:t>for services which have a significant social welfare element</w:t>
      </w:r>
      <w:r w:rsidR="00611F6B">
        <w:rPr>
          <w:lang w:eastAsia="en-US"/>
        </w:rPr>
        <w:t xml:space="preserve">, or positive externalities.  Radio broadcasting, for example, can provide education to remote areas; PMSE </w:t>
      </w:r>
      <w:r w:rsidR="00C936CD">
        <w:rPr>
          <w:lang w:eastAsia="en-US"/>
        </w:rPr>
        <w:t xml:space="preserve">can be used for public events; telecommunications can be used for participation in local and national government.  </w:t>
      </w:r>
      <w:r w:rsidR="00300145">
        <w:rPr>
          <w:lang w:eastAsia="en-US"/>
        </w:rPr>
        <w:t xml:space="preserve">Setting prices </w:t>
      </w:r>
      <w:r w:rsidR="00891AB9">
        <w:rPr>
          <w:lang w:eastAsia="en-US"/>
        </w:rPr>
        <w:t>at</w:t>
      </w:r>
      <w:r w:rsidR="00300145">
        <w:rPr>
          <w:lang w:eastAsia="en-US"/>
        </w:rPr>
        <w:t xml:space="preserve"> a level equal to the valuation of the network operator can lead to an </w:t>
      </w:r>
      <w:r w:rsidR="00891AB9">
        <w:rPr>
          <w:lang w:eastAsia="en-US"/>
        </w:rPr>
        <w:t>inefficient allocation of spectrum from a social point of view, both in terms of allocation between users, and in terms of the total amount of spectrum being allocated.</w:t>
      </w:r>
    </w:p>
    <w:p w14:paraId="0C6D8427" w14:textId="2511A6B6" w:rsidR="003726AE" w:rsidRDefault="00620375" w:rsidP="00931268">
      <w:pPr>
        <w:pStyle w:val="BodyText"/>
        <w:rPr>
          <w:lang w:eastAsia="en-US"/>
        </w:rPr>
      </w:pPr>
      <w:r>
        <w:rPr>
          <w:lang w:eastAsia="en-US"/>
        </w:rPr>
        <w:t xml:space="preserve">Third, there may be specific policies which should be considered when setting spectrum prices.  If a government has an objective to encourage investment in 5G networks, it </w:t>
      </w:r>
      <w:r w:rsidR="00426EDA">
        <w:rPr>
          <w:lang w:eastAsia="en-US"/>
        </w:rPr>
        <w:t>c</w:t>
      </w:r>
      <w:r>
        <w:rPr>
          <w:lang w:eastAsia="en-US"/>
        </w:rPr>
        <w:t xml:space="preserve">ould consider reducing the price of spectrum </w:t>
      </w:r>
      <w:r w:rsidR="001E692A">
        <w:rPr>
          <w:lang w:eastAsia="en-US"/>
        </w:rPr>
        <w:t xml:space="preserve">necessary for those networks.  </w:t>
      </w:r>
      <w:r w:rsidR="00845763">
        <w:rPr>
          <w:lang w:eastAsia="en-US"/>
        </w:rPr>
        <w:t>In some circumstances l</w:t>
      </w:r>
      <w:r w:rsidR="001E692A">
        <w:rPr>
          <w:lang w:eastAsia="en-US"/>
        </w:rPr>
        <w:t xml:space="preserve">ower spectrum prices can lead to increased investment, </w:t>
      </w:r>
      <w:r w:rsidR="00AA6555">
        <w:rPr>
          <w:lang w:eastAsia="en-US"/>
        </w:rPr>
        <w:t>and greater network coverage, particularly because base stations in rural areas may become profitable and a greater quality of service will be possible.  However, this will depend on the level of competition in the market and whether</w:t>
      </w:r>
      <w:r w:rsidR="00552857">
        <w:rPr>
          <w:lang w:eastAsia="en-US"/>
        </w:rPr>
        <w:t xml:space="preserve"> the incentive exists for lower spectrum prices to be passed on through investment or lower consumer prices.  If there is little competition, regulators </w:t>
      </w:r>
      <w:r w:rsidR="00845763">
        <w:rPr>
          <w:lang w:eastAsia="en-US"/>
        </w:rPr>
        <w:t xml:space="preserve">or the </w:t>
      </w:r>
      <w:r w:rsidR="00600A6F">
        <w:rPr>
          <w:lang w:eastAsia="en-US"/>
        </w:rPr>
        <w:t>g</w:t>
      </w:r>
      <w:r w:rsidR="00845763">
        <w:rPr>
          <w:lang w:eastAsia="en-US"/>
        </w:rPr>
        <w:t xml:space="preserve">overnment </w:t>
      </w:r>
      <w:r w:rsidR="00552857">
        <w:rPr>
          <w:lang w:eastAsia="en-US"/>
        </w:rPr>
        <w:t xml:space="preserve">may prefer to keep spectrum prices </w:t>
      </w:r>
      <w:proofErr w:type="gramStart"/>
      <w:r w:rsidR="00552857">
        <w:rPr>
          <w:lang w:eastAsia="en-US"/>
        </w:rPr>
        <w:t>higher, and</w:t>
      </w:r>
      <w:proofErr w:type="gramEnd"/>
      <w:r w:rsidR="00552857">
        <w:rPr>
          <w:lang w:eastAsia="en-US"/>
        </w:rPr>
        <w:t xml:space="preserve"> </w:t>
      </w:r>
      <w:r w:rsidR="00845763">
        <w:rPr>
          <w:lang w:eastAsia="en-US"/>
        </w:rPr>
        <w:t xml:space="preserve">incentivise or </w:t>
      </w:r>
      <w:r w:rsidR="00552857">
        <w:rPr>
          <w:lang w:eastAsia="en-US"/>
        </w:rPr>
        <w:t xml:space="preserve">compel investment through </w:t>
      </w:r>
      <w:r w:rsidR="00EA351F">
        <w:rPr>
          <w:lang w:eastAsia="en-US"/>
        </w:rPr>
        <w:t xml:space="preserve">other </w:t>
      </w:r>
      <w:r w:rsidR="00845763">
        <w:rPr>
          <w:lang w:eastAsia="en-US"/>
        </w:rPr>
        <w:t>mechanisms or program</w:t>
      </w:r>
      <w:r w:rsidR="00E45046">
        <w:rPr>
          <w:lang w:eastAsia="en-US"/>
        </w:rPr>
        <w:t>me</w:t>
      </w:r>
      <w:r w:rsidR="00845763">
        <w:rPr>
          <w:lang w:eastAsia="en-US"/>
        </w:rPr>
        <w:t>s</w:t>
      </w:r>
      <w:r w:rsidR="005310A1">
        <w:rPr>
          <w:lang w:eastAsia="en-US"/>
        </w:rPr>
        <w:t>.</w:t>
      </w:r>
    </w:p>
    <w:p w14:paraId="5E0497EB" w14:textId="3A1D5E5C" w:rsidR="00AA4003" w:rsidRDefault="001E692A" w:rsidP="00B958A6">
      <w:pPr>
        <w:pStyle w:val="BodyText"/>
        <w:rPr>
          <w:lang w:eastAsia="en-US"/>
        </w:rPr>
      </w:pPr>
      <w:r>
        <w:rPr>
          <w:lang w:eastAsia="en-US"/>
        </w:rPr>
        <w:lastRenderedPageBreak/>
        <w:t xml:space="preserve">If spectrum is not awarded at an auction, the </w:t>
      </w:r>
      <w:r w:rsidR="005310A1">
        <w:rPr>
          <w:lang w:eastAsia="en-US"/>
        </w:rPr>
        <w:t xml:space="preserve">regulator has a much greater control of spectrum </w:t>
      </w:r>
      <w:proofErr w:type="gramStart"/>
      <w:r w:rsidR="005310A1">
        <w:rPr>
          <w:lang w:eastAsia="en-US"/>
        </w:rPr>
        <w:t>prices, and</w:t>
      </w:r>
      <w:proofErr w:type="gramEnd"/>
      <w:r w:rsidR="005310A1">
        <w:rPr>
          <w:lang w:eastAsia="en-US"/>
        </w:rPr>
        <w:t xml:space="preserve"> can take account of these factors </w:t>
      </w:r>
      <w:r w:rsidR="00A22BE8">
        <w:rPr>
          <w:lang w:eastAsia="en-US"/>
        </w:rPr>
        <w:t>in setting their policies.  However, this still relies on the regulator having a clear idea of the value of spectrum.</w:t>
      </w:r>
    </w:p>
    <w:p w14:paraId="31F470ED" w14:textId="6EC970E0" w:rsidR="00AA4003" w:rsidRDefault="00940BF4" w:rsidP="00940BF4">
      <w:pPr>
        <w:pStyle w:val="Heading2"/>
      </w:pPr>
      <w:bookmarkStart w:id="14" w:name="_Toc138771596"/>
      <w:r>
        <w:t>Applications to spectrum a</w:t>
      </w:r>
      <w:r w:rsidR="00FA7B86">
        <w:t>ssignment</w:t>
      </w:r>
      <w:bookmarkEnd w:id="14"/>
    </w:p>
    <w:p w14:paraId="270C8BE3" w14:textId="02DFB3AF" w:rsidR="00AA4003" w:rsidRDefault="00940BF4" w:rsidP="00AA4003">
      <w:pPr>
        <w:pStyle w:val="BodyText"/>
      </w:pPr>
      <w:r>
        <w:t>Even when not taking account of social value, t</w:t>
      </w:r>
      <w:r w:rsidR="00AA4003">
        <w:t xml:space="preserve">he results of spectrum valuation can be used by regulators in </w:t>
      </w:r>
      <w:proofErr w:type="gramStart"/>
      <w:r w:rsidR="00AA4003">
        <w:t>a number of</w:t>
      </w:r>
      <w:proofErr w:type="gramEnd"/>
      <w:r w:rsidR="00AA4003">
        <w:t xml:space="preserve"> situations including:</w:t>
      </w:r>
    </w:p>
    <w:p w14:paraId="275F3D89" w14:textId="0896DA75" w:rsidR="00AA4003" w:rsidRDefault="00AA4003" w:rsidP="00B73E7E">
      <w:pPr>
        <w:pStyle w:val="BulletList1"/>
      </w:pPr>
      <w:r>
        <w:t>setting reserve prices for auctions</w:t>
      </w:r>
      <w:r w:rsidR="00B73E7E">
        <w:t>; or</w:t>
      </w:r>
    </w:p>
    <w:p w14:paraId="0BC881D8" w14:textId="537F2804" w:rsidR="00AA4003" w:rsidRDefault="00AA4003" w:rsidP="00B73E7E">
      <w:pPr>
        <w:pStyle w:val="BulletList1"/>
      </w:pPr>
      <w:r>
        <w:t>setting fees for spectrum renewals, beauty contests or direct assignment</w:t>
      </w:r>
      <w:r w:rsidR="00B73E7E">
        <w:t>.</w:t>
      </w:r>
    </w:p>
    <w:p w14:paraId="262A037A" w14:textId="14015641" w:rsidR="00AA4003" w:rsidRPr="00CD3086" w:rsidRDefault="00B73E7E" w:rsidP="00AA4003">
      <w:pPr>
        <w:pStyle w:val="BodyText"/>
      </w:pPr>
      <w:r>
        <w:t>As discussed above, t</w:t>
      </w:r>
      <w:r w:rsidR="00AA4003">
        <w:t xml:space="preserve">he considerations in each of these situations can differ depending on specific policy objectives, and market and regulatory circumstances. There is often a trade-off between different </w:t>
      </w:r>
      <w:proofErr w:type="gramStart"/>
      <w:r w:rsidR="00AA4003">
        <w:t>objectives</w:t>
      </w:r>
      <w:proofErr w:type="gramEnd"/>
      <w:r w:rsidR="00AA4003">
        <w:t xml:space="preserve"> and this affects the </w:t>
      </w:r>
      <w:r w:rsidR="00AA4003" w:rsidRPr="00CD3086">
        <w:t>way spectrum valuation results are applied.</w:t>
      </w:r>
    </w:p>
    <w:p w14:paraId="5472BE07" w14:textId="619B360A" w:rsidR="00257D74" w:rsidRPr="00CD3086" w:rsidRDefault="00AA4003" w:rsidP="00AA4003">
      <w:pPr>
        <w:pStyle w:val="BodyText"/>
      </w:pPr>
      <w:r w:rsidRPr="00CD3086">
        <w:t xml:space="preserve">For example, </w:t>
      </w:r>
      <w:r w:rsidR="00CD3086" w:rsidRPr="00CD3086">
        <w:t>in setting prices for licence renewals</w:t>
      </w:r>
      <w:r w:rsidR="0059524D">
        <w:t>,</w:t>
      </w:r>
      <w:r w:rsidR="00CD3086" w:rsidRPr="00CD3086">
        <w:t xml:space="preserve"> setting prices at too low a level may encourage spectrum hoarding, where holders opt to buy a licence, not to use the spectrum themselves, but instead to prevent others from using it.  On the other hand, prices set too high may mean that operators curtail network </w:t>
      </w:r>
      <w:proofErr w:type="gramStart"/>
      <w:r w:rsidR="00CD3086" w:rsidRPr="00CD3086">
        <w:t>investment, or</w:t>
      </w:r>
      <w:proofErr w:type="gramEnd"/>
      <w:r w:rsidR="00CD3086" w:rsidRPr="00CD3086">
        <w:t xml:space="preserve"> decide to release spectrum which would otherwise be efficiently used – requiring further spectrum award processes.</w:t>
      </w:r>
    </w:p>
    <w:p w14:paraId="2E662E79" w14:textId="1FE7B449" w:rsidR="001F0D91" w:rsidRDefault="0059524D" w:rsidP="00AA4003">
      <w:pPr>
        <w:pStyle w:val="BodyText"/>
      </w:pPr>
      <w:r>
        <w:t xml:space="preserve">There are different considerations </w:t>
      </w:r>
      <w:r w:rsidR="00AA4003" w:rsidRPr="00CD3086">
        <w:t>for auctions</w:t>
      </w:r>
      <w:r>
        <w:t>, where</w:t>
      </w:r>
      <w:r w:rsidR="00AA4003" w:rsidRPr="00CD3086">
        <w:t xml:space="preserve"> there are various objectives which have different effects on the appropriate price level. A non-trivial reserve price may deter collusion between bidders and thereby promote competition in the auction. </w:t>
      </w:r>
      <w:proofErr w:type="gramStart"/>
      <w:r w:rsidR="00AA4003" w:rsidRPr="00CD3086">
        <w:t>However</w:t>
      </w:r>
      <w:proofErr w:type="gramEnd"/>
      <w:r w:rsidR="00AA4003" w:rsidRPr="00CD3086">
        <w:t xml:space="preserve"> the reserve price level should</w:t>
      </w:r>
      <w:r w:rsidR="00AA4003" w:rsidRPr="00A879BE">
        <w:t xml:space="preserve"> be set below the expected value of the spectrum to potential bidders, otherwise they may deter bidders from entering the auction (and so reduce co</w:t>
      </w:r>
      <w:r w:rsidR="00AA4003">
        <w:t>mpetition in the auction) and</w:t>
      </w:r>
      <w:r w:rsidR="00AA4003" w:rsidRPr="00A879BE">
        <w:t xml:space="preserve"> reduce demand from those that do participate in the auction.</w:t>
      </w:r>
    </w:p>
    <w:p w14:paraId="4AFAAF94" w14:textId="417879D8" w:rsidR="00B17080" w:rsidRDefault="007B3124" w:rsidP="00AA4003">
      <w:pPr>
        <w:pStyle w:val="BodyText"/>
      </w:pPr>
      <w:r>
        <w:t>The relation</w:t>
      </w:r>
      <w:r w:rsidR="005226B0">
        <w:t>ship betwe</w:t>
      </w:r>
      <w:r w:rsidR="00F7625B">
        <w:t xml:space="preserve">en value and pricing </w:t>
      </w:r>
      <w:r w:rsidR="006A1746">
        <w:t xml:space="preserve">is further complicated by </w:t>
      </w:r>
      <w:r w:rsidR="006C3C8C">
        <w:t xml:space="preserve">the costs and logistics of </w:t>
      </w:r>
      <w:r w:rsidR="00E137B1">
        <w:t xml:space="preserve">spectrum awards. </w:t>
      </w:r>
      <w:r w:rsidR="00C75812">
        <w:t xml:space="preserve">In </w:t>
      </w:r>
      <w:r w:rsidR="00DF11C4">
        <w:t xml:space="preserve">a previous </w:t>
      </w:r>
      <w:r w:rsidR="00445F39">
        <w:t>report for ACMA</w:t>
      </w:r>
      <w:r w:rsidR="00445F39">
        <w:rPr>
          <w:rStyle w:val="FootnoteReference"/>
        </w:rPr>
        <w:footnoteReference w:id="2"/>
      </w:r>
      <w:r w:rsidR="00445F39">
        <w:t xml:space="preserve">, we investigated </w:t>
      </w:r>
      <w:r w:rsidR="001E2728">
        <w:t xml:space="preserve">the methods that can be used to renew spectrum licences, ranging from a </w:t>
      </w:r>
      <w:r w:rsidR="009F4B4C">
        <w:t xml:space="preserve">direct licence extension through to a new auction.  </w:t>
      </w:r>
      <w:r w:rsidR="0057196C">
        <w:t>Whi</w:t>
      </w:r>
      <w:r w:rsidR="00117CE6">
        <w:t xml:space="preserve">le a new auction may theoretically lead to a more efficient outcome in terms of which users hold spectrum, this is balanced against the high cost and complexity of carrying out </w:t>
      </w:r>
      <w:r w:rsidR="002E493C">
        <w:t>such an award process</w:t>
      </w:r>
      <w:r w:rsidR="00540CD8">
        <w:rPr>
          <w:rStyle w:val="FootnoteReference"/>
        </w:rPr>
        <w:footnoteReference w:id="3"/>
      </w:r>
      <w:r w:rsidR="002E493C">
        <w:t>.</w:t>
      </w:r>
      <w:r w:rsidR="00447FEA">
        <w:t xml:space="preserve">  By avoiding the costs of participating in an auction, spectrum users may be willing to pay a higher price for spectrum</w:t>
      </w:r>
      <w:r w:rsidR="004F6872">
        <w:rPr>
          <w:rStyle w:val="FootnoteReference"/>
        </w:rPr>
        <w:footnoteReference w:id="4"/>
      </w:r>
      <w:r w:rsidR="00447FEA">
        <w:t xml:space="preserve"> </w:t>
      </w:r>
      <w:r w:rsidR="00E63860">
        <w:t>–</w:t>
      </w:r>
      <w:r w:rsidR="00447FEA">
        <w:t xml:space="preserve"> </w:t>
      </w:r>
      <w:r w:rsidR="00E63860">
        <w:t xml:space="preserve">any costs associated with </w:t>
      </w:r>
      <w:r w:rsidR="004B315A">
        <w:t xml:space="preserve">acquiring spectrum will be </w:t>
      </w:r>
      <w:r w:rsidR="00C02178">
        <w:t>subtracted from</w:t>
      </w:r>
      <w:r w:rsidR="004B315A">
        <w:t xml:space="preserve"> the </w:t>
      </w:r>
      <w:r w:rsidR="00784F0E">
        <w:t xml:space="preserve">value when </w:t>
      </w:r>
      <w:r w:rsidR="00F74E8D">
        <w:t>users determine their bidding strategy.</w:t>
      </w:r>
      <w:r w:rsidR="00330F4F">
        <w:t xml:space="preserve">  A direct award could therefore theoretically attract a higher spectrum price</w:t>
      </w:r>
      <w:r w:rsidR="00CF0653">
        <w:t xml:space="preserve">, but again this must be balanced against </w:t>
      </w:r>
      <w:r w:rsidR="00A62252">
        <w:t>the fact that the operators with the highest value are not given the option of acquiring the spectrum.</w:t>
      </w:r>
    </w:p>
    <w:p w14:paraId="7ED935F2" w14:textId="7589CA71" w:rsidR="004F6872" w:rsidRDefault="00CC6A89" w:rsidP="00AA4003">
      <w:pPr>
        <w:pStyle w:val="BodyText"/>
      </w:pPr>
      <w:r>
        <w:t>Further considerations on appropriate pricing levels are as follows.</w:t>
      </w:r>
    </w:p>
    <w:p w14:paraId="1BE8D13C" w14:textId="2F5CCA76" w:rsidR="00CC6A89" w:rsidRDefault="00212F55" w:rsidP="00CC6A89">
      <w:pPr>
        <w:pStyle w:val="BulletList1"/>
      </w:pPr>
      <w:r>
        <w:t xml:space="preserve">Prices in a direct renewal can be reduced to encourage operators to continue using spectrum </w:t>
      </w:r>
      <w:r w:rsidR="00742440">
        <w:t xml:space="preserve">on their existing networks, </w:t>
      </w:r>
      <w:r w:rsidR="006B1170">
        <w:t>rather than incurring costs o</w:t>
      </w:r>
      <w:r w:rsidR="003F631A">
        <w:t xml:space="preserve">f </w:t>
      </w:r>
      <w:r w:rsidR="00543ECF">
        <w:t>redeployment or replanning.  This can also encourage longer-term n</w:t>
      </w:r>
      <w:r w:rsidR="004B6614">
        <w:t xml:space="preserve">etwork planning, rather than operators </w:t>
      </w:r>
      <w:r w:rsidR="001C3143">
        <w:t xml:space="preserve">determining </w:t>
      </w:r>
      <w:r w:rsidR="00860ABD">
        <w:t>their network strategy based around when spectrum licences can be released.</w:t>
      </w:r>
    </w:p>
    <w:p w14:paraId="6BDD8F85" w14:textId="7F8B9C63" w:rsidR="00860ABD" w:rsidRDefault="0000684D" w:rsidP="00CC6A89">
      <w:pPr>
        <w:pStyle w:val="BulletList1"/>
      </w:pPr>
      <w:r>
        <w:t xml:space="preserve">If spectrum prices are high, </w:t>
      </w:r>
      <w:r w:rsidR="00A5701A">
        <w:t xml:space="preserve">operators may have difficulty obtaining the necessary finance to </w:t>
      </w:r>
      <w:r w:rsidR="002315D3">
        <w:t xml:space="preserve">fund the acquisition if they are expected to pay the full amount in a lump sum.  Annual payments or deferred </w:t>
      </w:r>
      <w:r w:rsidR="002315D3">
        <w:lastRenderedPageBreak/>
        <w:t xml:space="preserve">payments can enable operators to pay greater amounts overall, </w:t>
      </w:r>
      <w:r w:rsidR="00FB6DB2">
        <w:t>or a reduced price can be offered to enable a single lump sum payment.</w:t>
      </w:r>
    </w:p>
    <w:p w14:paraId="428ED57B" w14:textId="06AE61C0" w:rsidR="00BB2C49" w:rsidRDefault="00BB2C49" w:rsidP="00CC6A89">
      <w:pPr>
        <w:pStyle w:val="BulletList1"/>
      </w:pPr>
      <w:r>
        <w:t>A more general availability of finance may also impact the ability of spectrum users to pay for spectrum</w:t>
      </w:r>
      <w:r w:rsidR="00675720">
        <w:t xml:space="preserve">, which in turn </w:t>
      </w:r>
      <w:r w:rsidR="00247691">
        <w:t>should impact on regulatory decisions over pricing.</w:t>
      </w:r>
    </w:p>
    <w:p w14:paraId="255D656E" w14:textId="7D037FC7" w:rsidR="00FB6DB2" w:rsidRDefault="00D251B4" w:rsidP="00CC6A89">
      <w:pPr>
        <w:pStyle w:val="BulletList1"/>
      </w:pPr>
      <w:r>
        <w:t xml:space="preserve">General economic uncertainty </w:t>
      </w:r>
      <w:r w:rsidR="000B71EB">
        <w:t xml:space="preserve">may impact the </w:t>
      </w:r>
      <w:r w:rsidR="009D0736">
        <w:t xml:space="preserve">risk profile of operators, to the extent that they are less willing to </w:t>
      </w:r>
      <w:r w:rsidR="00661389">
        <w:t xml:space="preserve">pay large sums for the </w:t>
      </w:r>
      <w:r w:rsidR="0095269D">
        <w:t xml:space="preserve">spectrum up front.  There </w:t>
      </w:r>
      <w:r w:rsidR="004315FC">
        <w:t xml:space="preserve">may be a difference between the regulatory WACC that regulators use when estimating spectrum value and the actual cost of capital faced by </w:t>
      </w:r>
      <w:r w:rsidR="005E081B">
        <w:t>operators, which in turn may vary between a short-term cost of capital and a longer-term expected return.</w:t>
      </w:r>
    </w:p>
    <w:p w14:paraId="4E742EC4" w14:textId="77777777" w:rsidR="00A62252" w:rsidRDefault="00A62252" w:rsidP="00AA4003">
      <w:pPr>
        <w:pStyle w:val="BodyText"/>
      </w:pPr>
    </w:p>
    <w:p w14:paraId="0D82E7BB" w14:textId="5B516D1B" w:rsidR="00313D2E" w:rsidRDefault="00313D2E" w:rsidP="00313D2E">
      <w:pPr>
        <w:pStyle w:val="Heading1"/>
      </w:pPr>
      <w:bookmarkStart w:id="15" w:name="_Ref137335051"/>
      <w:bookmarkStart w:id="16" w:name="_Toc138771597"/>
      <w:r>
        <w:lastRenderedPageBreak/>
        <w:t>Basic theories of valuation</w:t>
      </w:r>
      <w:bookmarkEnd w:id="15"/>
      <w:bookmarkEnd w:id="16"/>
    </w:p>
    <w:p w14:paraId="63F557C1" w14:textId="5DB061D6" w:rsidR="00E9526D" w:rsidRDefault="00806A41" w:rsidP="00837E70">
      <w:pPr>
        <w:pStyle w:val="BodyText"/>
      </w:pPr>
      <w:r>
        <w:t xml:space="preserve">The value of spectrum to a user is the economic benefit that can be </w:t>
      </w:r>
      <w:r w:rsidR="00CD4E9A">
        <w:t>obtained through using the spectrum.  In evaluating this value, economic theory requires us to consider the counterfactual</w:t>
      </w:r>
      <w:r w:rsidR="00E9526D">
        <w:t xml:space="preserve"> – that is, the state of the world in which there was not spectrum awarded.</w:t>
      </w:r>
    </w:p>
    <w:p w14:paraId="0B7AAA7C" w14:textId="536276E9" w:rsidR="00E9526D" w:rsidRDefault="007E5FC3" w:rsidP="00837E70">
      <w:pPr>
        <w:pStyle w:val="BodyText"/>
      </w:pPr>
      <w:r>
        <w:t xml:space="preserve">For some services, removing a spectrum award or allocation would mean these services could not be </w:t>
      </w:r>
      <w:r w:rsidR="00423728">
        <w:t xml:space="preserve">provided at all.  Radioastronomy, for example, relies on the allocation of a specific band of spectrum, and there is no alternative </w:t>
      </w:r>
      <w:r w:rsidR="002177AB">
        <w:t xml:space="preserve">that is suitable.  Maritime and aeronautical uses rely on detailed international harmonisation, </w:t>
      </w:r>
      <w:r w:rsidR="00F14C81">
        <w:t xml:space="preserve">and one country failing to allocate the same spectrum bands would </w:t>
      </w:r>
      <w:r w:rsidR="00DA746E">
        <w:t xml:space="preserve">mean that those industries would be unable to operate.  </w:t>
      </w:r>
      <w:r w:rsidR="00161782">
        <w:t>Similarly, long-distance HF point-to-point communication links require the same allocation in multiple countries.  I</w:t>
      </w:r>
      <w:r w:rsidR="00E808BD">
        <w:t>n these cases, the entirety of the economic profit in the industry can be assigned to the value of spectrum</w:t>
      </w:r>
      <w:r w:rsidR="00161782">
        <w:t>.</w:t>
      </w:r>
    </w:p>
    <w:p w14:paraId="4525ACA6" w14:textId="5D1E6779" w:rsidR="007E5FC3" w:rsidRDefault="00161782" w:rsidP="00837E70">
      <w:pPr>
        <w:pStyle w:val="BodyText"/>
      </w:pPr>
      <w:r>
        <w:t xml:space="preserve">For other services, </w:t>
      </w:r>
      <w:r w:rsidR="00661E8E">
        <w:t>loss of spectrum would mean that the service could be provided but it would need to use alternative technology</w:t>
      </w:r>
      <w:r w:rsidR="0020165B">
        <w:t xml:space="preserve">, which may not be as suitable.  Without availability of spectrum for industrial private networks, </w:t>
      </w:r>
      <w:r w:rsidR="005B284A">
        <w:t xml:space="preserve">users may need to use either public networks or unlicenced spectrum instead, both of which </w:t>
      </w:r>
      <w:r w:rsidR="001715B5">
        <w:t xml:space="preserve">provide a less secure and less reliable connection.  </w:t>
      </w:r>
      <w:r w:rsidR="00EB6573">
        <w:t>Loss of spectrum used for fixed wireless access could be replaced with fibre connections or LEO satellite networks.  In these cases, the value of spectrum is the sum of the cost saved from the alternative network plus the value of the additional benefits gained from the quality of service provided.</w:t>
      </w:r>
    </w:p>
    <w:p w14:paraId="2EBE6CF0" w14:textId="48C8D00B" w:rsidR="00883C1D" w:rsidRDefault="00A04D47" w:rsidP="00276E1D">
      <w:pPr>
        <w:pStyle w:val="BodyText"/>
      </w:pPr>
      <w:r>
        <w:t>Finally, there are some services that can continue with the same quality of service</w:t>
      </w:r>
      <w:r w:rsidR="00B61F75">
        <w:t xml:space="preserve">, using existing alternative spectrum holdings.  </w:t>
      </w:r>
      <w:r w:rsidR="00F46FE0">
        <w:t xml:space="preserve">For example, in some countries with appropriate technology </w:t>
      </w:r>
      <w:r w:rsidR="00677178">
        <w:t xml:space="preserve">and channel markets, </w:t>
      </w:r>
      <w:r w:rsidR="00144F8C">
        <w:t xml:space="preserve">theoretically these </w:t>
      </w:r>
      <w:r w:rsidR="004C1EBB">
        <w:t>b</w:t>
      </w:r>
      <w:r w:rsidR="00B61F75">
        <w:t xml:space="preserve">roadcast networks could transmit the same number of channels </w:t>
      </w:r>
      <w:r w:rsidR="00867FB2">
        <w:t xml:space="preserve">using a more evolved compression algorithm; </w:t>
      </w:r>
      <w:r w:rsidR="00144F8C">
        <w:t xml:space="preserve">similarly, if possible, </w:t>
      </w:r>
      <w:r w:rsidR="00867FB2">
        <w:t xml:space="preserve">mobile networks can increase capacity of their networks by building more base stations in areas of congestion </w:t>
      </w:r>
      <w:r w:rsidR="00276E1D">
        <w:t>rather than adding additional spectrum.  The value of the spectrum here is equal to the cost saved.</w:t>
      </w:r>
    </w:p>
    <w:p w14:paraId="28C2998D" w14:textId="79D5407B" w:rsidR="00883C1D" w:rsidRDefault="00E7441B" w:rsidP="007B0F29">
      <w:pPr>
        <w:pStyle w:val="Heading2"/>
      </w:pPr>
      <w:bookmarkStart w:id="17" w:name="_Toc138771598"/>
      <w:r>
        <w:t>Constraints on</w:t>
      </w:r>
      <w:r w:rsidR="007B0F29">
        <w:t xml:space="preserve"> regulators</w:t>
      </w:r>
      <w:bookmarkEnd w:id="17"/>
    </w:p>
    <w:p w14:paraId="07029916" w14:textId="77777777" w:rsidR="00C406E4" w:rsidRDefault="007B0F29" w:rsidP="00837E70">
      <w:pPr>
        <w:pStyle w:val="BodyText"/>
      </w:pPr>
      <w:r>
        <w:t xml:space="preserve">While it is clear how the value of spectrum is </w:t>
      </w:r>
      <w:r w:rsidR="00C406E4">
        <w:t>defined, it is more complicated to calculate this.</w:t>
      </w:r>
    </w:p>
    <w:p w14:paraId="64FA31E8" w14:textId="14E66858" w:rsidR="00C406E4" w:rsidRDefault="00C406E4" w:rsidP="00837E70">
      <w:pPr>
        <w:pStyle w:val="BodyText"/>
      </w:pPr>
      <w:r>
        <w:t xml:space="preserve">In </w:t>
      </w:r>
      <w:r w:rsidR="00C95D29">
        <w:t xml:space="preserve">the case of services which cannot exist without a certain spectrum band, the profitability of the service can usually be estimated from company reports.  However, setting </w:t>
      </w:r>
      <w:r w:rsidR="00DA06B7">
        <w:t xml:space="preserve">a spectrum price at this level may </w:t>
      </w:r>
      <w:r w:rsidR="007A40B6">
        <w:t>w</w:t>
      </w:r>
      <w:r w:rsidR="00DA06B7">
        <w:t xml:space="preserve">ell lead to companies exiting the market due to a lack of reasonable return, or uncertainty over future profits.  Further, in some cases these spectrum uses are </w:t>
      </w:r>
      <w:r w:rsidR="008E3CF4">
        <w:t>not commercially motivated.</w:t>
      </w:r>
    </w:p>
    <w:p w14:paraId="4D4F9FF7" w14:textId="5502CEAB" w:rsidR="00E03E55" w:rsidRDefault="00C406E4" w:rsidP="00837E70">
      <w:pPr>
        <w:pStyle w:val="BodyText"/>
      </w:pPr>
      <w:r>
        <w:t xml:space="preserve">From the point of view of a mobile operator, </w:t>
      </w:r>
      <w:r w:rsidR="008E3CF4">
        <w:t xml:space="preserve">an accurate estimate of spectrum value can be obtained through a modelling exercise which looks at capacity of each base </w:t>
      </w:r>
      <w:proofErr w:type="gramStart"/>
      <w:r w:rsidR="008E3CF4">
        <w:t xml:space="preserve">station, </w:t>
      </w:r>
      <w:r w:rsidR="0074045A">
        <w:t>and</w:t>
      </w:r>
      <w:proofErr w:type="gramEnd"/>
      <w:r w:rsidR="0074045A">
        <w:t xml:space="preserve"> considers counterfactual analysis to examine how future demand could be met both with and without spectrum award.  This analysis would lead to two different investment profiles, and the difference between them would be the value of spectrum.  Network operators may choose to run this </w:t>
      </w:r>
      <w:r w:rsidR="00B8645A">
        <w:t xml:space="preserve">model at a detailed geographic </w:t>
      </w:r>
      <w:proofErr w:type="gramStart"/>
      <w:r w:rsidR="00B8645A">
        <w:t>level, or</w:t>
      </w:r>
      <w:proofErr w:type="gramEnd"/>
      <w:r w:rsidR="00B8645A">
        <w:t xml:space="preserve"> be categorising base stations by demand.</w:t>
      </w:r>
    </w:p>
    <w:p w14:paraId="7684BF64" w14:textId="1DD53187" w:rsidR="00E30BC4" w:rsidRDefault="00E30BC4" w:rsidP="00837E70">
      <w:pPr>
        <w:pStyle w:val="BodyText"/>
      </w:pPr>
      <w:r>
        <w:t>Industrial users will need to not only evaluate the cost of services with and without the spectrum award – therefore considering two different sets of equipment, one for private 5G networks and one for Wi-Fi use</w:t>
      </w:r>
      <w:r w:rsidR="00B70B28">
        <w:t xml:space="preserve"> – but also the </w:t>
      </w:r>
      <w:proofErr w:type="gramStart"/>
      <w:r w:rsidR="00B70B28">
        <w:t>benefits, and</w:t>
      </w:r>
      <w:proofErr w:type="gramEnd"/>
      <w:r w:rsidR="00B70B28">
        <w:t xml:space="preserve"> attempt to quantify the difference in service quality.</w:t>
      </w:r>
      <w:r w:rsidR="005461D0">
        <w:t xml:space="preserve">  This may involve detailed risk and productivity analysis.</w:t>
      </w:r>
    </w:p>
    <w:p w14:paraId="54D72054" w14:textId="73D6649F" w:rsidR="00AE1BBF" w:rsidRDefault="005461D0" w:rsidP="00837E70">
      <w:pPr>
        <w:pStyle w:val="BodyText"/>
      </w:pPr>
      <w:r>
        <w:lastRenderedPageBreak/>
        <w:t xml:space="preserve">Each of these cases requires detailed calculations, but there are achievable given the </w:t>
      </w:r>
      <w:r w:rsidR="00375AA9">
        <w:t xml:space="preserve">nature of the spectrum use.  However, they all rely on comprehensive data availability, including operational and financial information.  When estimating spectrum values, regulators will not have access to the same level of detail.  Instead, there are </w:t>
      </w:r>
      <w:proofErr w:type="gramStart"/>
      <w:r w:rsidR="00375AA9">
        <w:t>a number of</w:t>
      </w:r>
      <w:proofErr w:type="gramEnd"/>
      <w:r w:rsidR="00375AA9">
        <w:t xml:space="preserve"> methodologies used by regulators to determine spectrum values</w:t>
      </w:r>
      <w:r w:rsidR="00AE1BBF">
        <w:t>, using a lower dataset.  These are discussed in the next section.</w:t>
      </w:r>
    </w:p>
    <w:p w14:paraId="1A155A01" w14:textId="511B2C33" w:rsidR="00313D2E" w:rsidRDefault="00AE1BBF" w:rsidP="00A074ED">
      <w:pPr>
        <w:pStyle w:val="Heading1"/>
      </w:pPr>
      <w:bookmarkStart w:id="18" w:name="_Ref137327606"/>
      <w:bookmarkStart w:id="19" w:name="_Toc138771599"/>
      <w:r>
        <w:lastRenderedPageBreak/>
        <w:t>Regulatory m</w:t>
      </w:r>
      <w:r w:rsidR="00A074ED">
        <w:t>ethods to estimate valuation</w:t>
      </w:r>
      <w:bookmarkEnd w:id="18"/>
      <w:bookmarkEnd w:id="19"/>
    </w:p>
    <w:p w14:paraId="2739DD29" w14:textId="79D75569" w:rsidR="00E03E55" w:rsidRDefault="00E03E55" w:rsidP="00E03E55">
      <w:pPr>
        <w:pStyle w:val="BodyText"/>
      </w:pPr>
      <w:r>
        <w:t>The value of spectrum can be derived from the values revealed in market processes (such as auctions and trades) and through direct estimation of the opportunity cost of spectrum</w:t>
      </w:r>
      <w:r>
        <w:rPr>
          <w:rStyle w:val="FootnoteReference"/>
        </w:rPr>
        <w:footnoteReference w:id="5"/>
      </w:r>
      <w:r>
        <w:t xml:space="preserve"> by taking account of the possibilities of using additional spectrum to reduce network costs. For most spectrum uses, there are no market values and so direct estimation of value is often required.  The main exceptions are frequency bands used for mobile services, where there are now many auction results that can be used to inform the value of spectrum.</w:t>
      </w:r>
    </w:p>
    <w:p w14:paraId="71E6342D" w14:textId="29BA4009" w:rsidR="00E03E55" w:rsidRDefault="00E03E55" w:rsidP="00E03E55">
      <w:pPr>
        <w:pStyle w:val="BodyText"/>
      </w:pPr>
      <w:r>
        <w:t xml:space="preserve">There are </w:t>
      </w:r>
      <w:proofErr w:type="gramStart"/>
      <w:r>
        <w:t>a number of</w:t>
      </w:r>
      <w:proofErr w:type="gramEnd"/>
      <w:r>
        <w:t xml:space="preserve"> methodological tools available to regulators for the valuation of</w:t>
      </w:r>
      <w:r w:rsidR="00BC08CA">
        <w:t xml:space="preserve"> spectrum</w:t>
      </w:r>
      <w:r>
        <w:t>.</w:t>
      </w:r>
      <w:r w:rsidR="00BC08CA">
        <w:t xml:space="preserve"> </w:t>
      </w:r>
      <w:r>
        <w:t xml:space="preserve"> There is no one ideal or correct method</w:t>
      </w:r>
      <w:r w:rsidR="00BC08CA">
        <w:t>,</w:t>
      </w:r>
      <w:r>
        <w:t xml:space="preserve"> and deciding which ones are appropriate depends on the policy context and objectives, and the amount of information available. As there is a necessary degree of uncertainty</w:t>
      </w:r>
      <w:r w:rsidRPr="00151C99">
        <w:t xml:space="preserve"> </w:t>
      </w:r>
      <w:r>
        <w:t xml:space="preserve">when valuing spectrum, a mix of approaches is </w:t>
      </w:r>
      <w:r w:rsidR="00BC08CA">
        <w:t>often</w:t>
      </w:r>
      <w:r>
        <w:t xml:space="preserve"> used by regulators </w:t>
      </w:r>
      <w:proofErr w:type="gramStart"/>
      <w:r>
        <w:t>in order to</w:t>
      </w:r>
      <w:proofErr w:type="gramEnd"/>
      <w:r>
        <w:t xml:space="preserve"> provide a sense check on the value estimates. It also is important to understand each methodology and recognise their limitations when applying them and when interpreting the results obtained.</w:t>
      </w:r>
    </w:p>
    <w:p w14:paraId="276C8AB9" w14:textId="77777777" w:rsidR="00E03E55" w:rsidRDefault="00E03E55" w:rsidP="00E03E55">
      <w:pPr>
        <w:pStyle w:val="BodyText"/>
      </w:pPr>
      <w:r>
        <w:t>In general regulators typically use the following approaches:</w:t>
      </w:r>
    </w:p>
    <w:p w14:paraId="1D0C87AD" w14:textId="38988A93" w:rsidR="00E03E55" w:rsidRDefault="00E03E55" w:rsidP="00BC08CA">
      <w:pPr>
        <w:pStyle w:val="BulletList1"/>
      </w:pPr>
      <w:r>
        <w:t>Benchmarking analysis based on past auction results or trades, including</w:t>
      </w:r>
      <w:r w:rsidR="00BC08CA">
        <w:t xml:space="preserve"> d</w:t>
      </w:r>
      <w:r>
        <w:t>irect benchmarking based on selected countries</w:t>
      </w:r>
      <w:r w:rsidR="00BC08CA">
        <w:t>; a</w:t>
      </w:r>
      <w:r>
        <w:t>djusted benchmarking using relative value, or distance methods (using selected benchmarks)</w:t>
      </w:r>
      <w:r w:rsidR="00BC08CA">
        <w:t>; and e</w:t>
      </w:r>
      <w:r>
        <w:t>conometric analysis, which may automatically take account of socio-economic or topological differences.</w:t>
      </w:r>
    </w:p>
    <w:p w14:paraId="04BDB8AA" w14:textId="4CE75333" w:rsidR="00E03E55" w:rsidRDefault="00E03E55" w:rsidP="00BC08CA">
      <w:pPr>
        <w:pStyle w:val="BulletList1"/>
      </w:pPr>
      <w:r>
        <w:t>Avoided cost modelling, which calculates the cost that operators would need to invest in their networks to meet demand absent the award of additional spectrum.  A variant of avoided cost modelling involves iterative models, which are based on assumptions of willingness to pay rather than taking demand as exogenous.</w:t>
      </w:r>
    </w:p>
    <w:p w14:paraId="7D6209CD" w14:textId="68A29646" w:rsidR="00E03E55" w:rsidRDefault="00E03E55" w:rsidP="00BC08CA">
      <w:pPr>
        <w:pStyle w:val="BulletList1"/>
      </w:pPr>
      <w:r>
        <w:t>Business modelling, such as full enterprise valuation or discounted cash flow modelling, which looks at the profit that operators can expect from rolling out additional spectrum and reflects the business planning process that will have been followed.</w:t>
      </w:r>
    </w:p>
    <w:p w14:paraId="351EF895" w14:textId="3C4B03E6" w:rsidR="00E03E55" w:rsidRDefault="00E03E55" w:rsidP="00BC08CA">
      <w:pPr>
        <w:pStyle w:val="BulletList1"/>
      </w:pPr>
      <w:r>
        <w:t xml:space="preserve">Opportunity cost estimation using least cost alternative or earnings approaches to calculate the value of spectrum to potential spectrum applications other than </w:t>
      </w:r>
      <w:r w:rsidR="00C00378">
        <w:t>the current use</w:t>
      </w:r>
      <w:r>
        <w:t xml:space="preserve">.  This method is </w:t>
      </w:r>
      <w:r w:rsidR="00C00378">
        <w:t xml:space="preserve">occasionally </w:t>
      </w:r>
      <w:r>
        <w:t>used in cases where there are potential alternative uses of the band</w:t>
      </w:r>
      <w:r w:rsidR="00C00378">
        <w:t>, which are expected to have a higher value.</w:t>
      </w:r>
      <w:r w:rsidR="00336F9D">
        <w:t xml:space="preserve">  </w:t>
      </w:r>
      <w:proofErr w:type="gramStart"/>
      <w:r w:rsidR="00336F9D">
        <w:t>In reality, due to</w:t>
      </w:r>
      <w:proofErr w:type="gramEnd"/>
      <w:r w:rsidR="00336F9D">
        <w:t xml:space="preserve"> harmonisation of primary uses, this method is usually not relevant.</w:t>
      </w:r>
    </w:p>
    <w:p w14:paraId="5D3117B6" w14:textId="1DD7947D" w:rsidR="00E03E55" w:rsidRDefault="00E03E55" w:rsidP="00837E70">
      <w:pPr>
        <w:pStyle w:val="BodyText"/>
      </w:pPr>
      <w:r>
        <w:t xml:space="preserve">The starting premise underlying this range of approaches is that rational licensees should not pay more than the net present value of future cash flows from use of the spectrum – this is known as the full enterprise value and can be estimated through a business modelling approach. On the other hand, licensees should be willing to pay at least the infrastructure costs saved from having an incremental lot of </w:t>
      </w:r>
      <w:proofErr w:type="gramStart"/>
      <w:r>
        <w:t>spectrum</w:t>
      </w:r>
      <w:proofErr w:type="gramEnd"/>
      <w:r>
        <w:t xml:space="preserve"> – this is known as the avoided cost value and can be estimated through a network cost modelling approach.</w:t>
      </w:r>
      <w:r w:rsidR="00E839FC">
        <w:t xml:space="preserve">  </w:t>
      </w:r>
      <w:r>
        <w:t xml:space="preserve">An auction price (or traded spectrum value) would be expected to lie in the range between the full enterprise value and the avoided cost value for the marginal bidder. </w:t>
      </w:r>
      <w:r w:rsidR="00E839FC">
        <w:t xml:space="preserve"> </w:t>
      </w:r>
      <w:r>
        <w:t xml:space="preserve">Auction prices for a particular country should fall between these two values although international benchmarks could be outside this range depending on country-specific circumstances. </w:t>
      </w:r>
    </w:p>
    <w:p w14:paraId="133D5FC0" w14:textId="43B7C327" w:rsidR="00313D2E" w:rsidRDefault="00F27216" w:rsidP="00837E70">
      <w:pPr>
        <w:pStyle w:val="BodyText"/>
      </w:pPr>
      <w:r>
        <w:t xml:space="preserve">The different approaches to valuation are explained further in the </w:t>
      </w:r>
      <w:r w:rsidR="0002400F">
        <w:t>following sections</w:t>
      </w:r>
      <w:r>
        <w:t>.</w:t>
      </w:r>
    </w:p>
    <w:p w14:paraId="03C41817" w14:textId="459A7886" w:rsidR="00A074ED" w:rsidRDefault="00A074ED" w:rsidP="0002400F">
      <w:pPr>
        <w:pStyle w:val="Heading1"/>
      </w:pPr>
      <w:bookmarkStart w:id="20" w:name="_Ref137335052"/>
      <w:bookmarkStart w:id="21" w:name="_Toc138771600"/>
      <w:r>
        <w:lastRenderedPageBreak/>
        <w:t>Benchmarking methods</w:t>
      </w:r>
      <w:bookmarkEnd w:id="20"/>
      <w:bookmarkEnd w:id="21"/>
    </w:p>
    <w:p w14:paraId="45EFA9C1" w14:textId="77777777" w:rsidR="006E49EC" w:rsidRDefault="006E49EC" w:rsidP="006E49EC">
      <w:pPr>
        <w:pStyle w:val="BodyText"/>
      </w:pPr>
      <w:r>
        <w:t>Benchmarking analysis is a common methodology used by regulators in spectrum valuation. It involves a comparison of actual prices from spectrum auctions or trades for a selection of data points. This is feasible in the case of bands used for cellular mobile services but not for bands used for other services (such as land mobile radio, microwave links, or satellite services).</w:t>
      </w:r>
    </w:p>
    <w:p w14:paraId="16503166" w14:textId="77777777" w:rsidR="006E49EC" w:rsidRDefault="006E49EC" w:rsidP="006E49EC">
      <w:pPr>
        <w:pStyle w:val="BodyText"/>
      </w:pPr>
      <w:r>
        <w:t xml:space="preserve">The advantages of benchmarking analysis are that it is relatively simple and easy to understand as each data point reflects the actual amount paid by operators for spectrum and is verifiable because it is based on publicly available data. </w:t>
      </w:r>
      <w:r w:rsidRPr="0006112C">
        <w:t xml:space="preserve">Prices paid in an efficient spectrum auction will </w:t>
      </w:r>
      <w:r>
        <w:t xml:space="preserve">generally </w:t>
      </w:r>
      <w:r w:rsidRPr="0006112C">
        <w:t xml:space="preserve">reflect the value of an incremental spectrum lot to the marginal bidder – either the lowest value for a winning bidder or highest value for a losing bidder.  </w:t>
      </w:r>
      <w:r>
        <w:t xml:space="preserve">In this sense auction benchmarks are arguably the best indicators of the market value of spectrum. </w:t>
      </w:r>
      <w:proofErr w:type="gramStart"/>
      <w:r>
        <w:t>However</w:t>
      </w:r>
      <w:proofErr w:type="gramEnd"/>
      <w:r>
        <w:t xml:space="preserve"> the key drawbacks are that data points from other countries may not reflect local market conditions in the country in question and because values vary between countries the choice of the benchmark countries can significantly affect outcomes. </w:t>
      </w:r>
    </w:p>
    <w:p w14:paraId="1D83D931" w14:textId="29137B10" w:rsidR="006E49EC" w:rsidRDefault="006E49EC" w:rsidP="006E49EC">
      <w:pPr>
        <w:pStyle w:val="TableCaption"/>
      </w:pPr>
      <w:r w:rsidRPr="00C0159A">
        <w:t xml:space="preserve">Table </w:t>
      </w:r>
      <w:r w:rsidR="004961BF">
        <w:fldChar w:fldCharType="begin"/>
      </w:r>
      <w:r w:rsidR="004961BF">
        <w:instrText xml:space="preserve"> STYLEREF 1 \s </w:instrText>
      </w:r>
      <w:r w:rsidR="004961BF">
        <w:fldChar w:fldCharType="separate"/>
      </w:r>
      <w:r w:rsidR="0027066B">
        <w:rPr>
          <w:noProof/>
        </w:rPr>
        <w:t>5</w:t>
      </w:r>
      <w:r w:rsidR="004961BF">
        <w:rPr>
          <w:noProof/>
        </w:rPr>
        <w:fldChar w:fldCharType="end"/>
      </w:r>
      <w:r w:rsidRPr="00C0159A">
        <w:noBreakHyphen/>
      </w:r>
      <w:r w:rsidR="004961BF">
        <w:fldChar w:fldCharType="begin"/>
      </w:r>
      <w:r w:rsidR="004961BF">
        <w:instrText xml:space="preserve"> SEQ Table \* ARABIC \s 1 </w:instrText>
      </w:r>
      <w:r w:rsidR="004961BF">
        <w:fldChar w:fldCharType="separate"/>
      </w:r>
      <w:r w:rsidR="0027066B">
        <w:rPr>
          <w:noProof/>
        </w:rPr>
        <w:t>1</w:t>
      </w:r>
      <w:r w:rsidR="004961BF">
        <w:rPr>
          <w:noProof/>
        </w:rPr>
        <w:fldChar w:fldCharType="end"/>
      </w:r>
      <w:r w:rsidRPr="00C0159A">
        <w:t>:</w:t>
      </w:r>
      <w:r>
        <w:t xml:space="preserve"> </w:t>
      </w:r>
      <w:r w:rsidR="006B2BBD">
        <w:t>Advantages and disadvantages</w:t>
      </w:r>
      <w:r>
        <w:t xml:space="preserve"> of benchmarking</w:t>
      </w:r>
    </w:p>
    <w:p w14:paraId="7284F9EE" w14:textId="77777777" w:rsidR="007E054A" w:rsidRDefault="00D5221D" w:rsidP="007E054A">
      <w:pPr>
        <w:pStyle w:val="BodyText"/>
      </w:pPr>
      <w:r>
        <w:rPr>
          <w:noProof/>
        </w:rPr>
        <w:drawing>
          <wp:inline distT="0" distB="0" distL="0" distR="0" wp14:anchorId="58FC3CAF" wp14:editId="16F02652">
            <wp:extent cx="5486400" cy="3200400"/>
            <wp:effectExtent l="19050" t="19050" r="0" b="38100"/>
            <wp:docPr id="201666449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bookmarkStart w:id="22" w:name="_Toc418695666"/>
    </w:p>
    <w:p w14:paraId="71A8B5E6" w14:textId="55DBF64E" w:rsidR="006E49EC" w:rsidRDefault="006E49EC" w:rsidP="0002400F">
      <w:pPr>
        <w:pStyle w:val="Heading3unnumbered"/>
      </w:pPr>
      <w:r>
        <w:t>Benchmarking data</w:t>
      </w:r>
      <w:bookmarkEnd w:id="22"/>
    </w:p>
    <w:p w14:paraId="70572F50" w14:textId="77777777" w:rsidR="006E49EC" w:rsidRPr="00547CD7" w:rsidRDefault="006E49EC" w:rsidP="006E49EC">
      <w:pPr>
        <w:pStyle w:val="BodyText"/>
      </w:pPr>
      <w:r>
        <w:t xml:space="preserve">As benchmarking involves the use of data from different countries which occur at different points in time, a significant amount of care is required in selection of the dataset to derive good “like for like” comparisons.  In addition, adjustments to data points are usually required to take account of differences in the timing or auctions, currency differences and variation in licence duration and annual spectrum fees.  These steps are described below. </w:t>
      </w:r>
    </w:p>
    <w:p w14:paraId="5BBF0C84" w14:textId="77777777" w:rsidR="006E49EC" w:rsidRDefault="006E49EC" w:rsidP="006919C6">
      <w:pPr>
        <w:pStyle w:val="Heading3unnumbered"/>
      </w:pPr>
      <w:r>
        <w:lastRenderedPageBreak/>
        <w:t xml:space="preserve">Selection of dataset </w:t>
      </w:r>
    </w:p>
    <w:p w14:paraId="4B5018EA" w14:textId="2FA2C06A" w:rsidR="006E49EC" w:rsidRDefault="006E49EC" w:rsidP="006E49EC">
      <w:pPr>
        <w:pStyle w:val="BodyText"/>
      </w:pPr>
      <w:r>
        <w:t xml:space="preserve">In identifying the appropriate dataset for the benchmark analysis, the main aim is to select data points that come from circumstances that are </w:t>
      </w:r>
      <w:proofErr w:type="gramStart"/>
      <w:r>
        <w:t>similar to</w:t>
      </w:r>
      <w:proofErr w:type="gramEnd"/>
      <w:r>
        <w:t xml:space="preserve"> those for the band being valued and where these circumstances are likely to affect spectrum value.</w:t>
      </w:r>
    </w:p>
    <w:p w14:paraId="5AD8B79A" w14:textId="4E5371F8" w:rsidR="006E49EC" w:rsidRDefault="006E49EC" w:rsidP="006E49EC">
      <w:pPr>
        <w:pStyle w:val="BulletList1"/>
        <w:numPr>
          <w:ilvl w:val="0"/>
          <w:numId w:val="0"/>
        </w:numPr>
      </w:pPr>
      <w:r>
        <w:t>In relation to spectrum for cellular mobile services, the key factors affecting the value of spectrum revealed through a market process such as an auction are likely to include</w:t>
      </w:r>
      <w:r w:rsidR="00EB5A98">
        <w:t xml:space="preserve"> the following.</w:t>
      </w:r>
    </w:p>
    <w:p w14:paraId="47086CAE" w14:textId="6D27131E" w:rsidR="006E49EC" w:rsidRDefault="006E49EC" w:rsidP="00784932">
      <w:pPr>
        <w:pStyle w:val="BulletList1"/>
      </w:pPr>
      <w:r w:rsidRPr="006919C6">
        <w:rPr>
          <w:rFonts w:asciiTheme="majorHAnsi" w:hAnsiTheme="majorHAnsi" w:cstheme="majorHAnsi"/>
        </w:rPr>
        <w:t>The characteristics of the frequencies sold</w:t>
      </w:r>
      <w:r>
        <w:t xml:space="preserve"> including the frequency range, the technologies and services that may be supported and the quantity of spectrum available. Data for the same or similar bands should be used; differences in band plans across different regions should also be noted and preferences may be given to countries where similar band plans are used</w:t>
      </w:r>
      <w:r w:rsidR="00EB5A98">
        <w:t>.</w:t>
      </w:r>
    </w:p>
    <w:p w14:paraId="293E31F8" w14:textId="122D6F91" w:rsidR="006E49EC" w:rsidRDefault="006E49EC" w:rsidP="00784932">
      <w:pPr>
        <w:pStyle w:val="BulletList1"/>
      </w:pPr>
      <w:r w:rsidRPr="006919C6">
        <w:rPr>
          <w:rFonts w:asciiTheme="majorHAnsi" w:hAnsiTheme="majorHAnsi" w:cstheme="majorHAnsi"/>
        </w:rPr>
        <w:t>Frequency licence characteristics</w:t>
      </w:r>
      <w:r>
        <w:t xml:space="preserve"> including the terms and conditions of licences sold – licence duration and any licence obligations</w:t>
      </w:r>
      <w:r w:rsidR="00EB5A98">
        <w:t>.</w:t>
      </w:r>
    </w:p>
    <w:p w14:paraId="520FBA01" w14:textId="318B174D" w:rsidR="006E49EC" w:rsidRDefault="006E49EC" w:rsidP="00784932">
      <w:pPr>
        <w:pStyle w:val="BulletList1"/>
      </w:pPr>
      <w:r w:rsidRPr="006919C6">
        <w:rPr>
          <w:rFonts w:asciiTheme="majorHAnsi" w:hAnsiTheme="majorHAnsi" w:cstheme="majorHAnsi"/>
        </w:rPr>
        <w:t>Timing of auctions</w:t>
      </w:r>
      <w:r>
        <w:t xml:space="preserve"> – data from old auctions may not be appropriate as the market circumstances and technology choices are likely to be different from current market situation; more recent data points are likely to have more reliably anticipated the growth of mobile broadband</w:t>
      </w:r>
      <w:r w:rsidR="00EB5A98">
        <w:t>.</w:t>
      </w:r>
    </w:p>
    <w:p w14:paraId="405F9A12" w14:textId="56AB90B7" w:rsidR="006E49EC" w:rsidRDefault="006E49EC" w:rsidP="00784932">
      <w:pPr>
        <w:pStyle w:val="BulletList1"/>
      </w:pPr>
      <w:r w:rsidRPr="006919C6">
        <w:rPr>
          <w:rFonts w:asciiTheme="majorHAnsi" w:hAnsiTheme="majorHAnsi" w:cstheme="majorHAnsi"/>
        </w:rPr>
        <w:t>Economic and market drivers</w:t>
      </w:r>
      <w:r w:rsidR="00784932">
        <w:t xml:space="preserve"> s</w:t>
      </w:r>
      <w:r w:rsidRPr="00083EB7">
        <w:t xml:space="preserve">uch as </w:t>
      </w:r>
      <w:r>
        <w:t xml:space="preserve">anticipated </w:t>
      </w:r>
      <w:r w:rsidRPr="00083EB7">
        <w:t>GDP</w:t>
      </w:r>
      <w:r>
        <w:t xml:space="preserve"> or income</w:t>
      </w:r>
      <w:r w:rsidRPr="00D65169">
        <w:t xml:space="preserve"> growth</w:t>
      </w:r>
      <w:r>
        <w:t>, population density and</w:t>
      </w:r>
      <w:r w:rsidR="006919C6">
        <w:t xml:space="preserve"> </w:t>
      </w:r>
      <w:r>
        <w:t>level of urbanisation</w:t>
      </w:r>
      <w:r w:rsidR="00EB5A98">
        <w:t>.</w:t>
      </w:r>
    </w:p>
    <w:p w14:paraId="2EA678FC" w14:textId="19804D7D" w:rsidR="006E49EC" w:rsidRDefault="006E49EC" w:rsidP="00784932">
      <w:pPr>
        <w:pStyle w:val="BulletList1"/>
      </w:pPr>
      <w:r w:rsidRPr="006919C6">
        <w:rPr>
          <w:rFonts w:asciiTheme="majorHAnsi" w:hAnsiTheme="majorHAnsi" w:cstheme="majorHAnsi"/>
        </w:rPr>
        <w:t>Bidder specific aspects of valuation</w:t>
      </w:r>
      <w:r>
        <w:t xml:space="preserve"> which in turn will depend on their planned use of the spectrum to generate incremental profit – either additional revenues or reduced costs – and their market expectations.  This includes factors such as operators’ existing spectrum holdings, their planned use of spectrum, extent of their existing network, strategic objectives and market expectations</w:t>
      </w:r>
      <w:r w:rsidR="00EB5A98">
        <w:t>.</w:t>
      </w:r>
    </w:p>
    <w:p w14:paraId="437C2A39" w14:textId="64D9B868" w:rsidR="006E49EC" w:rsidRDefault="006E49EC" w:rsidP="00784932">
      <w:pPr>
        <w:pStyle w:val="BulletList1"/>
      </w:pPr>
      <w:r w:rsidRPr="006919C6">
        <w:rPr>
          <w:rFonts w:asciiTheme="majorHAnsi" w:hAnsiTheme="majorHAnsi" w:cstheme="majorHAnsi"/>
        </w:rPr>
        <w:t>Auction specific factors</w:t>
      </w:r>
      <w:r>
        <w:t xml:space="preserve"> including the reserve price (which may depend on the results of previous auctions), the price setting mechanism, spectrum caps and competition in the auction</w:t>
      </w:r>
      <w:r w:rsidR="00EB5A98">
        <w:t>.</w:t>
      </w:r>
    </w:p>
    <w:p w14:paraId="0D6C9BE9" w14:textId="3C9C7B96" w:rsidR="006E49EC" w:rsidRDefault="006E49EC" w:rsidP="00784932">
      <w:pPr>
        <w:pStyle w:val="BodyText"/>
      </w:pPr>
      <w:r>
        <w:t xml:space="preserve">Information on the above factors may </w:t>
      </w:r>
      <w:proofErr w:type="gramStart"/>
      <w:r>
        <w:t>not</w:t>
      </w:r>
      <w:proofErr w:type="gramEnd"/>
      <w:r>
        <w:t xml:space="preserve"> available for every single data point</w:t>
      </w:r>
      <w:r w:rsidR="00784932">
        <w:t>,</w:t>
      </w:r>
      <w:r>
        <w:t xml:space="preserve"> especially operator-specific factors (which may not be publicly available) and those which are forward-looking (and may be uncertain). </w:t>
      </w:r>
      <w:proofErr w:type="gramStart"/>
      <w:r>
        <w:t>Therefore</w:t>
      </w:r>
      <w:proofErr w:type="gramEnd"/>
      <w:r>
        <w:t xml:space="preserve"> an element of judgement is often required in determining the most appropriate dataset to use for benchmarking. In </w:t>
      </w:r>
      <w:proofErr w:type="gramStart"/>
      <w:r>
        <w:t>general</w:t>
      </w:r>
      <w:proofErr w:type="gramEnd"/>
      <w:r>
        <w:t xml:space="preserve"> a narrower dataset may be more appropriate for the </w:t>
      </w:r>
      <w:r w:rsidR="00880492">
        <w:t>direct</w:t>
      </w:r>
      <w:r>
        <w:t xml:space="preserve"> and adjusted benchmarking approaches, excluding certain outliers which may distort the results. For econometrics a bigger dataset is likely to be more useful to enable the regression model to capture the effects of various factors on spectrum value. </w:t>
      </w:r>
    </w:p>
    <w:p w14:paraId="3DC6BDCC" w14:textId="77777777" w:rsidR="006E49EC" w:rsidRDefault="006E49EC" w:rsidP="00880492">
      <w:pPr>
        <w:pStyle w:val="Heading3unnumbered"/>
      </w:pPr>
      <w:r>
        <w:t>Possible metrics</w:t>
      </w:r>
    </w:p>
    <w:p w14:paraId="0C6C1FF7" w14:textId="0A1F638D" w:rsidR="006E49EC" w:rsidRDefault="006E49EC" w:rsidP="006E49EC">
      <w:pPr>
        <w:pStyle w:val="BodyText"/>
      </w:pPr>
      <w:r>
        <w:t>There are three metrics</w:t>
      </w:r>
      <w:r w:rsidR="00880492">
        <w:t xml:space="preserve"> which are commonly used</w:t>
      </w:r>
      <w:r>
        <w:t xml:space="preserve"> for comparing benchmark data points</w:t>
      </w:r>
      <w:r w:rsidR="00880492">
        <w:t>:</w:t>
      </w:r>
    </w:p>
    <w:p w14:paraId="2B130CF1" w14:textId="3D2DC795" w:rsidR="006E49EC" w:rsidRDefault="006E49EC" w:rsidP="00880492">
      <w:pPr>
        <w:pStyle w:val="BulletList1"/>
      </w:pPr>
      <w:r w:rsidRPr="00651280">
        <w:rPr>
          <w:rFonts w:asciiTheme="majorHAnsi" w:hAnsiTheme="majorHAnsi" w:cstheme="majorHAnsi"/>
        </w:rPr>
        <w:t>Value/MHz/pop</w:t>
      </w:r>
      <w:r>
        <w:t xml:space="preserve">, where value is expressed as a price in real terms per unit </w:t>
      </w:r>
      <w:proofErr w:type="gramStart"/>
      <w:r>
        <w:t>population</w:t>
      </w:r>
      <w:r w:rsidR="00880492">
        <w:t>;</w:t>
      </w:r>
      <w:proofErr w:type="gramEnd"/>
    </w:p>
    <w:p w14:paraId="14E43499" w14:textId="385CF753" w:rsidR="006E49EC" w:rsidRDefault="006E49EC" w:rsidP="00880492">
      <w:pPr>
        <w:pStyle w:val="BulletList1"/>
      </w:pPr>
      <w:r w:rsidRPr="00651280">
        <w:rPr>
          <w:rFonts w:asciiTheme="majorHAnsi" w:hAnsiTheme="majorHAnsi" w:cstheme="majorHAnsi"/>
        </w:rPr>
        <w:t>Value/MHz/pop</w:t>
      </w:r>
      <w:r>
        <w:t>, where value is expressed as a price in real terms per unit population and adjusted for purchasing power parity</w:t>
      </w:r>
      <w:r w:rsidR="00880492">
        <w:t>; and</w:t>
      </w:r>
    </w:p>
    <w:p w14:paraId="11C28A28" w14:textId="2AC3B09F" w:rsidR="006E49EC" w:rsidRDefault="006E49EC" w:rsidP="00880492">
      <w:pPr>
        <w:pStyle w:val="BulletList1"/>
      </w:pPr>
      <w:r w:rsidRPr="00651280">
        <w:rPr>
          <w:rFonts w:asciiTheme="majorHAnsi" w:hAnsiTheme="majorHAnsi" w:cstheme="majorHAnsi"/>
        </w:rPr>
        <w:t>Value/MHz/GDP</w:t>
      </w:r>
      <w:r>
        <w:t>, where value is expressed as an index per unit of GDP</w:t>
      </w:r>
      <w:r w:rsidR="00880492">
        <w:t>.</w:t>
      </w:r>
    </w:p>
    <w:p w14:paraId="6F3AD953" w14:textId="309DE9EA" w:rsidR="006E49EC" w:rsidRDefault="006E49EC" w:rsidP="006E49EC">
      <w:pPr>
        <w:pStyle w:val="BodyText"/>
      </w:pPr>
      <w:r>
        <w:lastRenderedPageBreak/>
        <w:t xml:space="preserve">The first two metrics are widely used and easily </w:t>
      </w:r>
      <w:proofErr w:type="gramStart"/>
      <w:r>
        <w:t>understood</w:t>
      </w:r>
      <w:r w:rsidR="005E4670">
        <w:t>, and</w:t>
      </w:r>
      <w:proofErr w:type="gramEnd"/>
      <w:r w:rsidR="005E4670">
        <w:t xml:space="preserve"> have similar advantaged and disadvantages</w:t>
      </w:r>
      <w:r>
        <w:t>.  However, the value/MHz/GDP index has some advantages, namely a simpler conversion process</w:t>
      </w:r>
      <w:r>
        <w:rPr>
          <w:rStyle w:val="FootnoteReference"/>
        </w:rPr>
        <w:footnoteReference w:id="6"/>
      </w:r>
      <w:r>
        <w:t xml:space="preserve"> and it takes account of per capita income in addition to population. </w:t>
      </w:r>
      <w:r w:rsidR="004961BF">
        <w:fldChar w:fldCharType="begin"/>
      </w:r>
      <w:r w:rsidR="004961BF">
        <w:instrText xml:space="preserve"> REF _Ref137232807 </w:instrText>
      </w:r>
      <w:r w:rsidR="004961BF">
        <w:fldChar w:fldCharType="separate"/>
      </w:r>
      <w:r w:rsidR="0027066B">
        <w:t>Figure</w:t>
      </w:r>
      <w:r w:rsidR="0027066B" w:rsidRPr="00C0159A">
        <w:t xml:space="preserve"> </w:t>
      </w:r>
      <w:r w:rsidR="0027066B">
        <w:rPr>
          <w:noProof/>
        </w:rPr>
        <w:t>5</w:t>
      </w:r>
      <w:r w:rsidR="0027066B">
        <w:t>.</w:t>
      </w:r>
      <w:r w:rsidR="0027066B">
        <w:rPr>
          <w:noProof/>
        </w:rPr>
        <w:t>1</w:t>
      </w:r>
      <w:r w:rsidR="004961BF">
        <w:rPr>
          <w:noProof/>
        </w:rPr>
        <w:fldChar w:fldCharType="end"/>
      </w:r>
      <w:r>
        <w:t xml:space="preserve"> compares the advantages and disadvantages of the metrics.</w:t>
      </w:r>
    </w:p>
    <w:p w14:paraId="3FB03937" w14:textId="7F61CD02" w:rsidR="006E49EC" w:rsidRDefault="00035203" w:rsidP="00035203">
      <w:pPr>
        <w:pStyle w:val="FigureCaption"/>
      </w:pPr>
      <w:bookmarkStart w:id="23" w:name="_Ref137232807"/>
      <w:bookmarkStart w:id="24" w:name="_Ref413148336"/>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5</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1</w:t>
      </w:r>
      <w:r w:rsidRPr="00C0159A">
        <w:fldChar w:fldCharType="end"/>
      </w:r>
      <w:bookmarkEnd w:id="23"/>
      <w:r w:rsidRPr="00C0159A">
        <w:t>:</w:t>
      </w:r>
      <w:bookmarkEnd w:id="24"/>
      <w:r w:rsidR="006E49EC" w:rsidRPr="00C0159A">
        <w:t xml:space="preserve"> </w:t>
      </w:r>
      <w:r w:rsidR="006E49EC">
        <w:t>Comparison of metrics</w:t>
      </w:r>
    </w:p>
    <w:tbl>
      <w:tblPr>
        <w:tblStyle w:val="PlumTable"/>
        <w:tblW w:w="9608" w:type="dxa"/>
        <w:tblLayout w:type="fixed"/>
        <w:tblLook w:val="0420" w:firstRow="1" w:lastRow="0" w:firstColumn="0" w:lastColumn="0" w:noHBand="0" w:noVBand="1"/>
      </w:tblPr>
      <w:tblGrid>
        <w:gridCol w:w="1828"/>
        <w:gridCol w:w="3890"/>
        <w:gridCol w:w="3890"/>
      </w:tblGrid>
      <w:tr w:rsidR="00287AD6" w:rsidRPr="00287AD6" w14:paraId="3D88916B" w14:textId="77777777" w:rsidTr="00287AD6">
        <w:trPr>
          <w:cnfStyle w:val="100000000000" w:firstRow="1" w:lastRow="0" w:firstColumn="0" w:lastColumn="0" w:oddVBand="0" w:evenVBand="0" w:oddHBand="0" w:evenHBand="0" w:firstRowFirstColumn="0" w:firstRowLastColumn="0" w:lastRowFirstColumn="0" w:lastRowLastColumn="0"/>
          <w:tblHeader/>
        </w:trPr>
        <w:tc>
          <w:tcPr>
            <w:tcW w:w="1828" w:type="dxa"/>
          </w:tcPr>
          <w:p w14:paraId="668FDAC1" w14:textId="77777777" w:rsidR="006E49EC" w:rsidRPr="00287AD6" w:rsidRDefault="006E49EC" w:rsidP="00287AD6">
            <w:r w:rsidRPr="00287AD6">
              <w:t>Metric</w:t>
            </w:r>
          </w:p>
        </w:tc>
        <w:tc>
          <w:tcPr>
            <w:tcW w:w="3890" w:type="dxa"/>
          </w:tcPr>
          <w:p w14:paraId="37C80DE8" w14:textId="77777777" w:rsidR="006E49EC" w:rsidRPr="00287AD6" w:rsidRDefault="006E49EC" w:rsidP="00287AD6">
            <w:r w:rsidRPr="00287AD6">
              <w:t>Value/MHz/pop</w:t>
            </w:r>
          </w:p>
        </w:tc>
        <w:tc>
          <w:tcPr>
            <w:tcW w:w="3890" w:type="dxa"/>
          </w:tcPr>
          <w:p w14:paraId="10CA576C" w14:textId="484C6816" w:rsidR="006E49EC" w:rsidRPr="00287AD6" w:rsidRDefault="006E49EC" w:rsidP="00287AD6">
            <w:r w:rsidRPr="00287AD6">
              <w:t>Value/MH</w:t>
            </w:r>
            <w:r w:rsidR="00D732D3">
              <w:t>z</w:t>
            </w:r>
            <w:r w:rsidRPr="00287AD6">
              <w:t>/GDP</w:t>
            </w:r>
          </w:p>
        </w:tc>
      </w:tr>
      <w:tr w:rsidR="00287AD6" w:rsidRPr="00287AD6" w14:paraId="2CC30D1A" w14:textId="77777777" w:rsidTr="00287AD6">
        <w:tc>
          <w:tcPr>
            <w:tcW w:w="1828" w:type="dxa"/>
          </w:tcPr>
          <w:p w14:paraId="3B3F7EC7" w14:textId="77777777" w:rsidR="006E49EC" w:rsidRPr="00287AD6" w:rsidRDefault="006E49EC" w:rsidP="00287AD6">
            <w:r w:rsidRPr="00287AD6">
              <w:t>Advantages</w:t>
            </w:r>
          </w:p>
        </w:tc>
        <w:tc>
          <w:tcPr>
            <w:tcW w:w="3890" w:type="dxa"/>
          </w:tcPr>
          <w:p w14:paraId="0DEF6805" w14:textId="77777777" w:rsidR="006E49EC" w:rsidRPr="00287AD6" w:rsidRDefault="006E49EC" w:rsidP="00287AD6">
            <w:pPr>
              <w:pStyle w:val="TableBullet"/>
            </w:pPr>
            <w:r w:rsidRPr="00287AD6">
              <w:t>Widely used measure.</w:t>
            </w:r>
          </w:p>
          <w:p w14:paraId="3476457C" w14:textId="77777777" w:rsidR="006E49EC" w:rsidRPr="00287AD6" w:rsidRDefault="006E49EC" w:rsidP="00287AD6">
            <w:pPr>
              <w:pStyle w:val="TableBullet"/>
            </w:pPr>
            <w:r w:rsidRPr="00287AD6">
              <w:t>Can be used for intra-country comparisons since disaggregated data is easily available for population.</w:t>
            </w:r>
          </w:p>
          <w:p w14:paraId="38546C55" w14:textId="77777777" w:rsidR="006E49EC" w:rsidRPr="00287AD6" w:rsidRDefault="006E49EC" w:rsidP="00287AD6">
            <w:pPr>
              <w:pStyle w:val="TableBullet"/>
            </w:pPr>
            <w:r w:rsidRPr="00287AD6">
              <w:t>Takes account of market size through population.</w:t>
            </w:r>
          </w:p>
        </w:tc>
        <w:tc>
          <w:tcPr>
            <w:tcW w:w="3890" w:type="dxa"/>
          </w:tcPr>
          <w:p w14:paraId="19CCBAE5" w14:textId="77777777" w:rsidR="006E49EC" w:rsidRPr="00287AD6" w:rsidRDefault="006E49EC" w:rsidP="00287AD6">
            <w:pPr>
              <w:pStyle w:val="TableBullet"/>
            </w:pPr>
            <w:r w:rsidRPr="00287AD6">
              <w:t>Takes account of country income, which is implicitly a function of market size (population) and income per capita.</w:t>
            </w:r>
          </w:p>
          <w:p w14:paraId="5E2A97A4" w14:textId="77777777" w:rsidR="006E49EC" w:rsidRPr="00287AD6" w:rsidRDefault="006E49EC" w:rsidP="00287AD6">
            <w:pPr>
              <w:pStyle w:val="TableBullet"/>
            </w:pPr>
            <w:r w:rsidRPr="00287AD6">
              <w:t>Automatically adjusts for changes in price levels in specific countries.</w:t>
            </w:r>
          </w:p>
          <w:p w14:paraId="23084E1D" w14:textId="77777777" w:rsidR="006E49EC" w:rsidRPr="00287AD6" w:rsidRDefault="006E49EC" w:rsidP="00287AD6">
            <w:pPr>
              <w:pStyle w:val="TableBullet"/>
            </w:pPr>
            <w:r w:rsidRPr="00287AD6">
              <w:t>Avoids need to consider exchange rate, and spot or PPP debate.</w:t>
            </w:r>
          </w:p>
          <w:p w14:paraId="10A978B8" w14:textId="77777777" w:rsidR="006E49EC" w:rsidRPr="00287AD6" w:rsidRDefault="006E49EC" w:rsidP="00287AD6">
            <w:pPr>
              <w:pStyle w:val="TableBullet"/>
            </w:pPr>
            <w:r w:rsidRPr="00287AD6">
              <w:t>Simple – one step process.</w:t>
            </w:r>
          </w:p>
          <w:p w14:paraId="5088D793" w14:textId="77777777" w:rsidR="006E49EC" w:rsidRPr="00287AD6" w:rsidRDefault="006E49EC" w:rsidP="00287AD6">
            <w:pPr>
              <w:pStyle w:val="TableBullet"/>
            </w:pPr>
            <w:r w:rsidRPr="00287AD6">
              <w:t>GDP varies less than exchange rates.</w:t>
            </w:r>
          </w:p>
        </w:tc>
      </w:tr>
      <w:tr w:rsidR="00287AD6" w:rsidRPr="00287AD6" w14:paraId="36B3AFEE" w14:textId="77777777" w:rsidTr="00287AD6">
        <w:trPr>
          <w:cnfStyle w:val="000000010000" w:firstRow="0" w:lastRow="0" w:firstColumn="0" w:lastColumn="0" w:oddVBand="0" w:evenVBand="0" w:oddHBand="0" w:evenHBand="1" w:firstRowFirstColumn="0" w:firstRowLastColumn="0" w:lastRowFirstColumn="0" w:lastRowLastColumn="0"/>
        </w:trPr>
        <w:tc>
          <w:tcPr>
            <w:tcW w:w="1828" w:type="dxa"/>
          </w:tcPr>
          <w:p w14:paraId="51DA6B19" w14:textId="77777777" w:rsidR="006E49EC" w:rsidRPr="00287AD6" w:rsidRDefault="006E49EC" w:rsidP="00287AD6">
            <w:r w:rsidRPr="00287AD6">
              <w:t>Disadvantages</w:t>
            </w:r>
          </w:p>
        </w:tc>
        <w:tc>
          <w:tcPr>
            <w:tcW w:w="3890" w:type="dxa"/>
          </w:tcPr>
          <w:p w14:paraId="434B70F4" w14:textId="77777777" w:rsidR="006E49EC" w:rsidRPr="00287AD6" w:rsidRDefault="006E49EC" w:rsidP="00287AD6">
            <w:pPr>
              <w:pStyle w:val="TableBullet"/>
            </w:pPr>
            <w:r w:rsidRPr="00287AD6">
              <w:t>Debate over spot or PPP exchange rates – the choice of exchange rates can have significant impacts on countries where spot rates do not accurately reflect the purchasing power changes.</w:t>
            </w:r>
          </w:p>
          <w:p w14:paraId="4039166F" w14:textId="77777777" w:rsidR="006E49EC" w:rsidRPr="00287AD6" w:rsidRDefault="006E49EC" w:rsidP="00287AD6">
            <w:pPr>
              <w:pStyle w:val="TableBullet"/>
            </w:pPr>
            <w:r w:rsidRPr="00287AD6">
              <w:t>Should use country-specific inflation rates which is time-consuming to collect and update.</w:t>
            </w:r>
          </w:p>
          <w:p w14:paraId="691E7956" w14:textId="77777777" w:rsidR="006E49EC" w:rsidRPr="00287AD6" w:rsidRDefault="006E49EC" w:rsidP="00287AD6">
            <w:pPr>
              <w:pStyle w:val="TableBullet"/>
            </w:pPr>
            <w:r w:rsidRPr="00287AD6">
              <w:t>Needs to be recalculated for each common currency.</w:t>
            </w:r>
          </w:p>
        </w:tc>
        <w:tc>
          <w:tcPr>
            <w:tcW w:w="3890" w:type="dxa"/>
          </w:tcPr>
          <w:p w14:paraId="5121D05A" w14:textId="28B6F7FC" w:rsidR="006E49EC" w:rsidRPr="00287AD6" w:rsidRDefault="006E49EC" w:rsidP="00287AD6">
            <w:pPr>
              <w:pStyle w:val="TableBullet"/>
            </w:pPr>
            <w:r w:rsidRPr="00287AD6">
              <w:t xml:space="preserve">Not widely used </w:t>
            </w:r>
          </w:p>
          <w:p w14:paraId="1942ED0E" w14:textId="7FF4797F" w:rsidR="006E49EC" w:rsidRPr="00287AD6" w:rsidRDefault="006E49EC" w:rsidP="00287AD6">
            <w:pPr>
              <w:pStyle w:val="TableBullet"/>
            </w:pPr>
            <w:r w:rsidRPr="00287AD6">
              <w:t>Spectrum value may reflect GDP growth expectations, whereas</w:t>
            </w:r>
            <w:r w:rsidR="00287AD6">
              <w:t xml:space="preserve"> current</w:t>
            </w:r>
            <w:r w:rsidRPr="00287AD6">
              <w:t xml:space="preserve"> GDP is used in calculating the metric</w:t>
            </w:r>
            <w:r w:rsidR="00807D28">
              <w:t xml:space="preserve">; </w:t>
            </w:r>
            <w:r w:rsidRPr="00287AD6">
              <w:t>the alternative price/MHz/pop measure allows for exchange rates which are forward looking</w:t>
            </w:r>
            <w:r w:rsidR="00807D28">
              <w:t>.</w:t>
            </w:r>
            <w:r w:rsidRPr="00287AD6">
              <w:t xml:space="preserve">  This may matter </w:t>
            </w:r>
            <w:proofErr w:type="gramStart"/>
            <w:r w:rsidRPr="00287AD6">
              <w:t>in particular for</w:t>
            </w:r>
            <w:proofErr w:type="gramEnd"/>
            <w:r w:rsidRPr="00287AD6">
              <w:t xml:space="preserve"> some developing countries.</w:t>
            </w:r>
          </w:p>
          <w:p w14:paraId="378CFC31" w14:textId="77777777" w:rsidR="006E49EC" w:rsidRPr="00287AD6" w:rsidRDefault="006E49EC" w:rsidP="00287AD6">
            <w:pPr>
              <w:pStyle w:val="TableBullet"/>
            </w:pPr>
            <w:r w:rsidRPr="00287AD6">
              <w:t xml:space="preserve">For auction involving regional licences, regional GDP data may not be available  </w:t>
            </w:r>
          </w:p>
        </w:tc>
      </w:tr>
    </w:tbl>
    <w:p w14:paraId="58FCD4A6" w14:textId="77777777" w:rsidR="006E49EC" w:rsidRDefault="006E49EC" w:rsidP="00807D28">
      <w:pPr>
        <w:pStyle w:val="Heading3unnumbered"/>
      </w:pPr>
      <w:r>
        <w:t>Data adjustments</w:t>
      </w:r>
    </w:p>
    <w:p w14:paraId="7676BAB2" w14:textId="34AD9A3F" w:rsidR="006E49EC" w:rsidRDefault="006E49EC" w:rsidP="006E49EC">
      <w:pPr>
        <w:pStyle w:val="BodyText"/>
      </w:pPr>
      <w:r>
        <w:t xml:space="preserve">After selecting which metrics to use, </w:t>
      </w:r>
      <w:proofErr w:type="gramStart"/>
      <w:r>
        <w:t>a number of</w:t>
      </w:r>
      <w:proofErr w:type="gramEnd"/>
      <w:r>
        <w:t xml:space="preserve"> treatment procedures </w:t>
      </w:r>
      <w:r w:rsidR="00807D28">
        <w:t>must be</w:t>
      </w:r>
      <w:r>
        <w:t xml:space="preserve"> followed to ensure that the benchmark </w:t>
      </w:r>
      <w:r w:rsidRPr="00BC2697">
        <w:t>data</w:t>
      </w:r>
      <w:r>
        <w:t xml:space="preserve"> points are expressed on a </w:t>
      </w:r>
      <w:r w:rsidRPr="00BC2697">
        <w:t xml:space="preserve">broadly comparable basis.  Many factors cannot be adjusted for because relevant data is simply not available, but </w:t>
      </w:r>
      <w:proofErr w:type="gramStart"/>
      <w:r>
        <w:t>a number of</w:t>
      </w:r>
      <w:proofErr w:type="gramEnd"/>
      <w:r w:rsidRPr="00BC2697">
        <w:t xml:space="preserve"> adjustments</w:t>
      </w:r>
      <w:r>
        <w:t xml:space="preserve"> to the benchmark data</w:t>
      </w:r>
      <w:r w:rsidRPr="00BC2697">
        <w:t xml:space="preserve"> </w:t>
      </w:r>
      <w:r>
        <w:t xml:space="preserve">points </w:t>
      </w:r>
      <w:r w:rsidRPr="00BC2697">
        <w:t xml:space="preserve">can </w:t>
      </w:r>
      <w:r>
        <w:t xml:space="preserve">be </w:t>
      </w:r>
      <w:r w:rsidRPr="00BC2697">
        <w:t>made</w:t>
      </w:r>
      <w:r>
        <w:t xml:space="preserve"> to take account of differences in licence duration, annual fees, time of award, exchange rate, inflation, population and GDP.</w:t>
      </w:r>
    </w:p>
    <w:p w14:paraId="43E52910" w14:textId="77777777" w:rsidR="006E49EC" w:rsidRDefault="006E49EC" w:rsidP="006E49EC">
      <w:pPr>
        <w:pStyle w:val="BodyText"/>
      </w:pPr>
      <w:r>
        <w:t>The key steps in the data treatment process are as follows.</w:t>
      </w:r>
    </w:p>
    <w:p w14:paraId="496521F4" w14:textId="77777777" w:rsidR="006E49EC" w:rsidRDefault="006E49EC" w:rsidP="00B0459E">
      <w:pPr>
        <w:pStyle w:val="NumberedList1"/>
      </w:pPr>
      <w:r>
        <w:t>Account for annual fees payable for spectrum (if any) in addition to auction fees. This is done by calculating the net present value (NPV) of total annual fees over the licence duration.</w:t>
      </w:r>
    </w:p>
    <w:p w14:paraId="47D470FF" w14:textId="553B8CC4" w:rsidR="006E49EC" w:rsidRDefault="006E49EC" w:rsidP="00B0459E">
      <w:pPr>
        <w:pStyle w:val="NumberedList1"/>
      </w:pPr>
      <w:r>
        <w:t xml:space="preserve">Normalise values for </w:t>
      </w:r>
      <w:r w:rsidRPr="00E844A4">
        <w:t>all benchmark data points to a common licence duration</w:t>
      </w:r>
      <w:r w:rsidR="00B0459E">
        <w:t>.</w:t>
      </w:r>
    </w:p>
    <w:p w14:paraId="3BFFBAEE" w14:textId="77777777" w:rsidR="006E49EC" w:rsidRDefault="006E49EC" w:rsidP="00B0459E">
      <w:pPr>
        <w:pStyle w:val="NumberedList1"/>
      </w:pPr>
      <w:r>
        <w:t>For price/MHz/pop:</w:t>
      </w:r>
    </w:p>
    <w:p w14:paraId="5CB32390" w14:textId="77777777" w:rsidR="006E49EC" w:rsidRDefault="006E49EC" w:rsidP="00B0459E">
      <w:pPr>
        <w:pStyle w:val="BulletList2"/>
      </w:pPr>
      <w:r>
        <w:t>Convert all normalised values in local currency to a common currency using spot or PPP exchange rates at time of auction,</w:t>
      </w:r>
    </w:p>
    <w:p w14:paraId="5F6822C1" w14:textId="77777777" w:rsidR="006E49EC" w:rsidRDefault="006E49EC" w:rsidP="00B0459E">
      <w:pPr>
        <w:pStyle w:val="BulletList2"/>
      </w:pPr>
      <w:r>
        <w:t>Then adjust for inflation to ensure all data points are in real prices, and</w:t>
      </w:r>
    </w:p>
    <w:p w14:paraId="390A1EFB" w14:textId="1A4863F0" w:rsidR="006E49EC" w:rsidRDefault="006E49EC" w:rsidP="00B0459E">
      <w:pPr>
        <w:pStyle w:val="BulletList2"/>
      </w:pPr>
      <w:r>
        <w:lastRenderedPageBreak/>
        <w:t>Finally express the values in price per MHz per capita by dividing by amount of spectrum sold and population covered by the licences at the time of auction</w:t>
      </w:r>
      <w:r w:rsidR="00877BEC">
        <w:t>.</w:t>
      </w:r>
    </w:p>
    <w:p w14:paraId="545346FE" w14:textId="77777777" w:rsidR="006E49EC" w:rsidRDefault="006E49EC" w:rsidP="00B0459E">
      <w:pPr>
        <w:pStyle w:val="NumberedList1"/>
      </w:pPr>
      <w:r>
        <w:t>For price/MHz/GDP:</w:t>
      </w:r>
    </w:p>
    <w:p w14:paraId="19D766E0" w14:textId="3F2035A4" w:rsidR="006E49EC" w:rsidRDefault="006E49EC" w:rsidP="00B0459E">
      <w:pPr>
        <w:pStyle w:val="BulletList2"/>
      </w:pPr>
      <w:r>
        <w:t>Divide the normalised values in local currency by GDP in local currency at time of auction</w:t>
      </w:r>
      <w:r w:rsidR="00877BEC">
        <w:t>.</w:t>
      </w:r>
    </w:p>
    <w:p w14:paraId="418264CF" w14:textId="425B1B73" w:rsidR="006E49EC" w:rsidRDefault="006E49EC" w:rsidP="006E49EC">
      <w:pPr>
        <w:pStyle w:val="AfterTable"/>
      </w:pPr>
      <w:bookmarkStart w:id="25" w:name="_Toc386456189"/>
      <w:r>
        <w:t xml:space="preserve">Some complications arising from using spot and PPP exchange rates are discussed below; these must be </w:t>
      </w:r>
      <w:proofErr w:type="gramStart"/>
      <w:r>
        <w:t>taken into account</w:t>
      </w:r>
      <w:proofErr w:type="gramEnd"/>
      <w:r>
        <w:t xml:space="preserve"> when interpreting the results of international benchmarks.</w:t>
      </w:r>
    </w:p>
    <w:p w14:paraId="42622434" w14:textId="29CEF2E0" w:rsidR="006E49EC" w:rsidRDefault="00816933" w:rsidP="006E49EC">
      <w:pPr>
        <w:pStyle w:val="FigureCaption"/>
      </w:pPr>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5</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2</w:t>
      </w:r>
      <w:r w:rsidRPr="00C0159A">
        <w:fldChar w:fldCharType="end"/>
      </w:r>
      <w:r w:rsidRPr="00C0159A">
        <w:t>:</w:t>
      </w:r>
      <w:r w:rsidR="006E49EC" w:rsidRPr="00C0159A">
        <w:t xml:space="preserve"> </w:t>
      </w:r>
      <w:r w:rsidR="006E49EC">
        <w:t>Converting to common currency (</w:t>
      </w:r>
      <w:r w:rsidR="006E49EC" w:rsidRPr="00BC2697">
        <w:t xml:space="preserve">PPP </w:t>
      </w:r>
      <w:r w:rsidR="006E49EC">
        <w:t>or</w:t>
      </w:r>
      <w:r w:rsidR="006E49EC" w:rsidRPr="00BC2697">
        <w:t xml:space="preserve"> spot exchange rates</w:t>
      </w:r>
      <w:r w:rsidR="006E49EC">
        <w:t>)</w:t>
      </w:r>
    </w:p>
    <w:tbl>
      <w:tblPr>
        <w:tblStyle w:val="PlumPanel"/>
        <w:tblW w:w="5000" w:type="pct"/>
        <w:tblLook w:val="01C0" w:firstRow="0" w:lastRow="1" w:firstColumn="1" w:lastColumn="1" w:noHBand="0" w:noVBand="0"/>
      </w:tblPr>
      <w:tblGrid>
        <w:gridCol w:w="9638"/>
      </w:tblGrid>
      <w:tr w:rsidR="000649A1" w14:paraId="186E9290" w14:textId="77777777" w:rsidTr="00F35977">
        <w:tc>
          <w:tcPr>
            <w:tcW w:w="5000" w:type="pct"/>
          </w:tcPr>
          <w:p w14:paraId="4FBA4407" w14:textId="77777777" w:rsidR="000649A1" w:rsidRPr="000649A1" w:rsidRDefault="000649A1" w:rsidP="000649A1">
            <w:r w:rsidRPr="000649A1">
              <w:t xml:space="preserve">A common currency is required for international benchmarking to enable comparison across countries. There are two choices of exchange rates – spot rates and purchasing power parity (PPP) rates. Economists typically prefer to use PPP exchanges rates because it is argued that they provide a more accurate reflection of a currency’s true value than spot exchange rates. Spot market exchange rates tend to fluctuate more in the short term due to a variety of factors such as shifts in monetary policy, the trade balance and market speculation. </w:t>
            </w:r>
          </w:p>
          <w:p w14:paraId="37D0AFBD" w14:textId="73B6EDC5" w:rsidR="000649A1" w:rsidRDefault="000649A1" w:rsidP="000649A1">
            <w:r w:rsidRPr="000649A1">
              <w:t>PPP theory postulates that national price levels for a basket of identical goods and services should be equal when expressed in a common currency. The PPP conversion factor adjusts prices so that the relative prices of the same basket of goods in two countries (measured in the same currency) are unchanged over time, because the change in the relative values of two currencies compensates exactly for differences in national inflation rates for the assumed basket of goods.</w:t>
            </w:r>
          </w:p>
          <w:p w14:paraId="44AFA742" w14:textId="2468AFE0" w:rsidR="00D32603" w:rsidRPr="000649A1" w:rsidRDefault="00D32603" w:rsidP="000649A1">
            <w:r>
              <w:t xml:space="preserve">However, where network equipment is bought on an international marketplace, there is a strong argument for using spot-rates, particularly if values are being derived </w:t>
            </w:r>
            <w:r w:rsidR="0002400F">
              <w:t xml:space="preserve">by auction bidders </w:t>
            </w:r>
            <w:r>
              <w:t>from an avoided cost approach</w:t>
            </w:r>
            <w:r w:rsidR="0002400F">
              <w:t>.  The alterative cost of network densification will be impacted by spot rates (for equipment purchases) and PPP (for installation and maintenance costs).  The true value is likely to lie somewhere between the two.</w:t>
            </w:r>
          </w:p>
          <w:p w14:paraId="068E3407" w14:textId="42CFB490" w:rsidR="000649A1" w:rsidRPr="00663562" w:rsidRDefault="000649A1" w:rsidP="000649A1">
            <w:r w:rsidRPr="000649A1">
              <w:t xml:space="preserve">The choice between spot and PPP exchange rates and the selection of benchmark countries have important implications for the benchmarking results. </w:t>
            </w:r>
            <w:r w:rsidR="00816933">
              <w:t>If the target currency</w:t>
            </w:r>
            <w:r w:rsidRPr="000649A1">
              <w:t xml:space="preserve"> is undervalued with respect to the local currency of benchmark countries, PPP-converted values will tend to be higher than spot-converted values for these countries, and vice versa. The bigger the differences in the implied valuation, the larger the differences between PPP and spot values will be.</w:t>
            </w:r>
          </w:p>
        </w:tc>
      </w:tr>
    </w:tbl>
    <w:p w14:paraId="1794596C" w14:textId="77777777" w:rsidR="006E49EC" w:rsidRDefault="006E49EC" w:rsidP="0002400F">
      <w:pPr>
        <w:pStyle w:val="Heading2"/>
      </w:pPr>
      <w:bookmarkStart w:id="26" w:name="_Toc418695667"/>
      <w:bookmarkStart w:id="27" w:name="_Toc138771601"/>
      <w:r>
        <w:t>Direct benchmarking</w:t>
      </w:r>
      <w:bookmarkEnd w:id="26"/>
      <w:bookmarkEnd w:id="27"/>
    </w:p>
    <w:p w14:paraId="313754DC" w14:textId="4222C30A" w:rsidR="006E49EC" w:rsidRDefault="006E49EC" w:rsidP="006E49EC">
      <w:pPr>
        <w:pStyle w:val="BodyText"/>
      </w:pPr>
      <w:r>
        <w:t>In the direct benchmarking approach, values for a particular frequency band in other countries are used as benchmarks for the same band. This is the most straightforward approach used by regulators. A simple average</w:t>
      </w:r>
      <w:r>
        <w:rPr>
          <w:rStyle w:val="FootnoteReference"/>
        </w:rPr>
        <w:footnoteReference w:id="7"/>
      </w:r>
      <w:r w:rsidR="00E47D2A">
        <w:t>, or a range based on the distribution of results,</w:t>
      </w:r>
      <w:r>
        <w:t xml:space="preserve"> is then used as an estimate for spectrum value.</w:t>
      </w:r>
    </w:p>
    <w:p w14:paraId="32BF407B" w14:textId="2C49B866" w:rsidR="006E49EC" w:rsidRDefault="006E49EC" w:rsidP="006E49EC">
      <w:pPr>
        <w:pStyle w:val="BodyText"/>
      </w:pPr>
      <w:r>
        <w:t>In cases where there is a lack of benchmark data for specific frequency bands, a common approach is to rely on common band groupings by frequency</w:t>
      </w:r>
      <w:r w:rsidR="00E535DB">
        <w:t>.</w:t>
      </w:r>
    </w:p>
    <w:p w14:paraId="6E19903D" w14:textId="77777777" w:rsidR="006E49EC" w:rsidRPr="00E474F7" w:rsidRDefault="006E49EC" w:rsidP="0002400F">
      <w:pPr>
        <w:pStyle w:val="BulletList1"/>
      </w:pPr>
      <w:r>
        <w:t>Sub-1 GHz bands are often considered together as they have superior propagation characteristics which make them more valuable to mobile operators in terms of coverage and in-building penetration.</w:t>
      </w:r>
    </w:p>
    <w:p w14:paraId="65BF6107" w14:textId="1656342C" w:rsidR="006E49EC" w:rsidRPr="00443D71" w:rsidRDefault="006E49EC" w:rsidP="0002400F">
      <w:pPr>
        <w:pStyle w:val="BulletList1"/>
        <w:rPr>
          <w:rFonts w:ascii="Times New Roman" w:hAnsi="Times New Roman"/>
        </w:rPr>
      </w:pPr>
      <w:r>
        <w:t>More narrowly t</w:t>
      </w:r>
      <w:r w:rsidRPr="00443D71">
        <w:t xml:space="preserve">he </w:t>
      </w:r>
      <w:r w:rsidR="0002400F">
        <w:t>Region 1 and 3</w:t>
      </w:r>
      <w:r w:rsidRPr="00443D71">
        <w:t xml:space="preserve"> 800 MHz band can be considered </w:t>
      </w:r>
      <w:proofErr w:type="gramStart"/>
      <w:r w:rsidRPr="00443D71">
        <w:t>similar to</w:t>
      </w:r>
      <w:proofErr w:type="gramEnd"/>
      <w:r w:rsidRPr="00443D71">
        <w:t xml:space="preserve"> the 700 MHz in </w:t>
      </w:r>
      <w:r w:rsidR="00C72E44">
        <w:t xml:space="preserve">ITU </w:t>
      </w:r>
      <w:r w:rsidR="0002400F">
        <w:t>Region 2</w:t>
      </w:r>
      <w:r w:rsidRPr="00443D71">
        <w:t xml:space="preserve"> in terms of propagation and technology (</w:t>
      </w:r>
      <w:r w:rsidR="0002400F">
        <w:t>LTE</w:t>
      </w:r>
      <w:r w:rsidRPr="00443D71">
        <w:t xml:space="preserve"> deployment); likewise</w:t>
      </w:r>
      <w:r w:rsidR="00C72E44">
        <w:t>,</w:t>
      </w:r>
      <w:r w:rsidRPr="00443D71">
        <w:t xml:space="preserve"> the 850 MHz band is </w:t>
      </w:r>
      <w:proofErr w:type="gramStart"/>
      <w:r w:rsidRPr="00443D71">
        <w:lastRenderedPageBreak/>
        <w:t>similar to</w:t>
      </w:r>
      <w:proofErr w:type="gramEnd"/>
      <w:r w:rsidRPr="00443D71">
        <w:t xml:space="preserve"> the 900 MHz band a</w:t>
      </w:r>
      <w:r>
        <w:t>s</w:t>
      </w:r>
      <w:r w:rsidRPr="00443D71">
        <w:t xml:space="preserve"> both </w:t>
      </w:r>
      <w:r>
        <w:t xml:space="preserve">bands </w:t>
      </w:r>
      <w:r w:rsidR="0002400F">
        <w:t xml:space="preserve">traditionally </w:t>
      </w:r>
      <w:r>
        <w:t>support</w:t>
      </w:r>
      <w:r w:rsidR="0002400F">
        <w:t>ed</w:t>
      </w:r>
      <w:r>
        <w:t xml:space="preserve"> </w:t>
      </w:r>
      <w:r w:rsidRPr="00443D71">
        <w:t>2G and 3G technologies.</w:t>
      </w:r>
      <w:r w:rsidR="0002400F">
        <w:t xml:space="preserve">  For 5G deployment, 600 MHz is </w:t>
      </w:r>
      <w:r w:rsidR="000E4342">
        <w:t>often</w:t>
      </w:r>
      <w:r w:rsidR="0002400F">
        <w:t xml:space="preserve"> used in </w:t>
      </w:r>
      <w:proofErr w:type="gramStart"/>
      <w:r w:rsidR="0002400F">
        <w:t>Region</w:t>
      </w:r>
      <w:proofErr w:type="gramEnd"/>
      <w:r w:rsidR="0002400F">
        <w:t xml:space="preserve"> 2</w:t>
      </w:r>
      <w:r w:rsidR="000E4342">
        <w:t>,</w:t>
      </w:r>
      <w:r w:rsidR="0002400F">
        <w:t xml:space="preserve"> while 700 MHz is the standard low-band </w:t>
      </w:r>
      <w:r w:rsidR="000E4342">
        <w:t xml:space="preserve">frequency in </w:t>
      </w:r>
      <w:proofErr w:type="gramStart"/>
      <w:r w:rsidR="000E4342">
        <w:t>Regions</w:t>
      </w:r>
      <w:proofErr w:type="gramEnd"/>
      <w:r w:rsidR="000E4342">
        <w:t xml:space="preserve"> 1 and 3.</w:t>
      </w:r>
    </w:p>
    <w:p w14:paraId="79FA46E5" w14:textId="41999819" w:rsidR="006E49EC" w:rsidRPr="000E094A" w:rsidRDefault="006E49EC" w:rsidP="0002400F">
      <w:pPr>
        <w:pStyle w:val="BulletList1"/>
      </w:pPr>
      <w:r w:rsidRPr="000E094A">
        <w:t xml:space="preserve">The </w:t>
      </w:r>
      <w:r w:rsidR="00D154C5" w:rsidRPr="000E094A">
        <w:t xml:space="preserve">1800 MHz </w:t>
      </w:r>
      <w:r w:rsidR="00D154C5">
        <w:t xml:space="preserve">band in Europe and Asia </w:t>
      </w:r>
      <w:r w:rsidR="00D154C5" w:rsidRPr="000E094A">
        <w:t xml:space="preserve">is </w:t>
      </w:r>
      <w:proofErr w:type="gramStart"/>
      <w:r w:rsidR="00D154C5" w:rsidRPr="000E094A">
        <w:t>similar to</w:t>
      </w:r>
      <w:proofErr w:type="gramEnd"/>
      <w:r w:rsidR="00D154C5" w:rsidRPr="000E094A">
        <w:t xml:space="preserve"> the </w:t>
      </w:r>
      <w:r w:rsidRPr="000E094A">
        <w:t xml:space="preserve">1900 MHz band which is used in the Americas, in terms of propagation characteristics and supports both 2G and </w:t>
      </w:r>
      <w:r w:rsidR="00E535DB">
        <w:t>LTE</w:t>
      </w:r>
      <w:r w:rsidRPr="000E094A">
        <w:t xml:space="preserve"> technologies</w:t>
      </w:r>
      <w:r w:rsidR="00E535DB">
        <w:t>.</w:t>
      </w:r>
    </w:p>
    <w:p w14:paraId="117EBAFA" w14:textId="154FFD7D" w:rsidR="006E49EC" w:rsidRPr="00D40477" w:rsidRDefault="006E49EC" w:rsidP="0002400F">
      <w:pPr>
        <w:pStyle w:val="BulletList1"/>
      </w:pPr>
      <w:r>
        <w:t xml:space="preserve">The AWS band used in the Americas are </w:t>
      </w:r>
      <w:proofErr w:type="gramStart"/>
      <w:r>
        <w:t>similar to</w:t>
      </w:r>
      <w:proofErr w:type="gramEnd"/>
      <w:r>
        <w:t xml:space="preserve"> the </w:t>
      </w:r>
      <w:r w:rsidR="005169DF">
        <w:t>2100 MHz</w:t>
      </w:r>
      <w:r>
        <w:t xml:space="preserve"> bands used in Europe and Asia Pacific for 3G and </w:t>
      </w:r>
      <w:r w:rsidR="00E535DB">
        <w:t>occasionally</w:t>
      </w:r>
      <w:r>
        <w:t xml:space="preserve"> </w:t>
      </w:r>
      <w:r w:rsidR="00E535DB">
        <w:t>LTE</w:t>
      </w:r>
      <w:r>
        <w:t xml:space="preserve"> services.</w:t>
      </w:r>
    </w:p>
    <w:p w14:paraId="45D7BEFE" w14:textId="274E6C7F" w:rsidR="006E49EC" w:rsidRDefault="006E49EC" w:rsidP="0002400F">
      <w:pPr>
        <w:pStyle w:val="BulletList1"/>
      </w:pPr>
      <w:r>
        <w:t xml:space="preserve">The </w:t>
      </w:r>
      <w:r w:rsidR="005169DF">
        <w:t>2500</w:t>
      </w:r>
      <w:r>
        <w:t xml:space="preserve"> </w:t>
      </w:r>
      <w:r w:rsidR="005169DF">
        <w:t>M</w:t>
      </w:r>
      <w:r>
        <w:t xml:space="preserve">Hz band is globally harmonised for mobile services and can be considered a separate group. It is typically used as a “capacity” band rather than to provide coverage given its inferior propagation properties compared to lower frequencies. The </w:t>
      </w:r>
      <w:r w:rsidR="005169DF">
        <w:t>2300 MHz</w:t>
      </w:r>
      <w:r>
        <w:t xml:space="preserve"> band has similar properties but there are very few auction data points for </w:t>
      </w:r>
      <w:r w:rsidR="005169DF">
        <w:t>this band</w:t>
      </w:r>
      <w:r>
        <w:t>.</w:t>
      </w:r>
    </w:p>
    <w:p w14:paraId="08FE08ED" w14:textId="4F38B8FC" w:rsidR="000E4342" w:rsidRDefault="000E4342" w:rsidP="0002400F">
      <w:pPr>
        <w:pStyle w:val="BulletList1"/>
      </w:pPr>
      <w:r w:rsidRPr="000E4342">
        <w:t>C-band spectrum (3300 – 4200 MHz) is also</w:t>
      </w:r>
      <w:r>
        <w:t xml:space="preserve"> </w:t>
      </w:r>
      <w:r w:rsidR="005169DF">
        <w:t xml:space="preserve">globally harmonised and </w:t>
      </w:r>
      <w:proofErr w:type="gramStart"/>
      <w:r w:rsidR="005169DF">
        <w:t>used, and</w:t>
      </w:r>
      <w:proofErr w:type="gramEnd"/>
      <w:r w:rsidR="005169DF">
        <w:t xml:space="preserve"> again is considered as a separate group.</w:t>
      </w:r>
    </w:p>
    <w:p w14:paraId="186782A3" w14:textId="76DEB78C" w:rsidR="00E535DB" w:rsidRPr="000E4342" w:rsidRDefault="00E535DB" w:rsidP="00E535DB">
      <w:pPr>
        <w:pStyle w:val="BodyText"/>
      </w:pPr>
      <w:r>
        <w:t xml:space="preserve">Direct benchmarking can be run over </w:t>
      </w:r>
      <w:proofErr w:type="gramStart"/>
      <w:r>
        <w:t>a number of</w:t>
      </w:r>
      <w:proofErr w:type="gramEnd"/>
      <w:r>
        <w:t xml:space="preserve"> cohorts within a general dataset, </w:t>
      </w:r>
      <w:r w:rsidR="00EE763E">
        <w:t xml:space="preserve">narrowing down comparators to countries with similar incomes, </w:t>
      </w:r>
      <w:r w:rsidR="00E47D2A">
        <w:t xml:space="preserve">similar levels of competition, similar mobile penetration, and so on.  By carrying out this analysis </w:t>
      </w:r>
      <w:proofErr w:type="gramStart"/>
      <w:r w:rsidR="00E47D2A">
        <w:t>a number of</w:t>
      </w:r>
      <w:proofErr w:type="gramEnd"/>
      <w:r w:rsidR="00E47D2A">
        <w:t xml:space="preserve"> values can be identified and the overall benchmark measured from a combination of these.</w:t>
      </w:r>
    </w:p>
    <w:p w14:paraId="61AC97F6" w14:textId="77777777" w:rsidR="006E49EC" w:rsidRDefault="006E49EC" w:rsidP="006E49EC">
      <w:pPr>
        <w:pStyle w:val="Heading2"/>
      </w:pPr>
      <w:bookmarkStart w:id="28" w:name="_Toc418695668"/>
      <w:bookmarkStart w:id="29" w:name="_Ref137333912"/>
      <w:bookmarkStart w:id="30" w:name="_Toc138771602"/>
      <w:r>
        <w:t>Adjusted benchmarking</w:t>
      </w:r>
      <w:bookmarkEnd w:id="28"/>
      <w:bookmarkEnd w:id="29"/>
      <w:bookmarkEnd w:id="30"/>
    </w:p>
    <w:p w14:paraId="354EA77D" w14:textId="491221EA" w:rsidR="006E49EC" w:rsidRDefault="006E49EC" w:rsidP="00E47D2A">
      <w:pPr>
        <w:pStyle w:val="BodyText"/>
        <w:rPr>
          <w:rFonts w:asciiTheme="majorHAnsi" w:hAnsiTheme="majorHAnsi"/>
        </w:rPr>
      </w:pPr>
      <w:r>
        <w:t>There are two methods for the adjusted benchmarking approach: the relative value method and distance method. These are often used in cases where there are few actual data points in a particular frequency band for direct benchmarking.</w:t>
      </w:r>
    </w:p>
    <w:p w14:paraId="257C2833" w14:textId="09F93E56" w:rsidR="006E49EC" w:rsidRDefault="006E49EC" w:rsidP="00E47D2A">
      <w:pPr>
        <w:pStyle w:val="BodyText"/>
      </w:pPr>
      <w:r>
        <w:t xml:space="preserve">In the </w:t>
      </w:r>
      <w:r w:rsidRPr="00E47D2A">
        <w:rPr>
          <w:rFonts w:asciiTheme="majorHAnsi" w:hAnsiTheme="majorHAnsi" w:cstheme="majorHAnsi"/>
          <w:bCs/>
        </w:rPr>
        <w:t>relative value method</w:t>
      </w:r>
      <w:r w:rsidR="00711DE2" w:rsidRPr="00711DE2">
        <w:rPr>
          <w:rFonts w:cstheme="minorHAnsi"/>
          <w:bCs/>
        </w:rPr>
        <w:t>,</w:t>
      </w:r>
      <w:r>
        <w:t xml:space="preserve"> </w:t>
      </w:r>
      <w:r w:rsidRPr="004E58DB">
        <w:t>value ratios for the</w:t>
      </w:r>
      <w:r>
        <w:t xml:space="preserve"> various frequency bands and band groupings are estimated from international benchmarks.</w:t>
      </w:r>
      <w:r w:rsidR="00E47D2A">
        <w:t xml:space="preserve">  These ratios are then applied to the band under consideration, </w:t>
      </w:r>
      <w:r w:rsidR="00D549CC">
        <w:t xml:space="preserve">comparing it with a past value in the target country. </w:t>
      </w:r>
      <w:r>
        <w:t xml:space="preserve"> There are many possible combinations and the value ratios that can be considered include</w:t>
      </w:r>
      <w:r w:rsidRPr="004E58DB">
        <w:t xml:space="preserve"> </w:t>
      </w:r>
      <w:r>
        <w:t>for example:</w:t>
      </w:r>
    </w:p>
    <w:p w14:paraId="271EF270" w14:textId="4F70FED1" w:rsidR="006E49EC" w:rsidRDefault="006E49EC" w:rsidP="00E47D2A">
      <w:pPr>
        <w:pStyle w:val="BulletList1"/>
      </w:pPr>
      <w:r>
        <w:t>Sub-1 GHz to 1800 MHz</w:t>
      </w:r>
    </w:p>
    <w:p w14:paraId="75DBEBC2" w14:textId="3FB213FA" w:rsidR="006E49EC" w:rsidRDefault="006E49EC" w:rsidP="00D549CC">
      <w:pPr>
        <w:pStyle w:val="BulletList1"/>
      </w:pPr>
      <w:r>
        <w:t>Sub-1 GHz to 2100 MHz</w:t>
      </w:r>
    </w:p>
    <w:p w14:paraId="10F07581" w14:textId="432115E8" w:rsidR="006E49EC" w:rsidRDefault="006E49EC" w:rsidP="00E47D2A">
      <w:pPr>
        <w:pStyle w:val="BulletList1"/>
      </w:pPr>
      <w:r>
        <w:t xml:space="preserve">1800 MHz to </w:t>
      </w:r>
      <w:r w:rsidR="00E47D2A">
        <w:t>2500</w:t>
      </w:r>
      <w:r>
        <w:t xml:space="preserve"> </w:t>
      </w:r>
      <w:r w:rsidR="00E47D2A">
        <w:t>M</w:t>
      </w:r>
      <w:r>
        <w:t>Hz</w:t>
      </w:r>
    </w:p>
    <w:p w14:paraId="73D88B6F" w14:textId="0DB3B46B" w:rsidR="006E49EC" w:rsidRDefault="006E49EC" w:rsidP="00E47D2A">
      <w:pPr>
        <w:pStyle w:val="BulletList1"/>
      </w:pPr>
      <w:r>
        <w:t xml:space="preserve">2100 MHz to </w:t>
      </w:r>
      <w:r w:rsidR="00E47D2A">
        <w:t>3500 MHz</w:t>
      </w:r>
    </w:p>
    <w:p w14:paraId="556A1CA8" w14:textId="6C2A8064" w:rsidR="006E49EC" w:rsidRDefault="006E49EC" w:rsidP="006E49EC">
      <w:pPr>
        <w:pStyle w:val="BulletList1"/>
        <w:numPr>
          <w:ilvl w:val="0"/>
          <w:numId w:val="0"/>
        </w:numPr>
      </w:pPr>
      <w:r>
        <w:t xml:space="preserve">These ratios are then applied to the appropriate </w:t>
      </w:r>
      <w:r w:rsidR="00D549CC">
        <w:t>historic</w:t>
      </w:r>
      <w:r>
        <w:t xml:space="preserve"> results to estimate the relevant values for the </w:t>
      </w:r>
      <w:r w:rsidR="00D549CC">
        <w:t>new</w:t>
      </w:r>
      <w:r>
        <w:t xml:space="preserve"> bands.</w:t>
      </w:r>
    </w:p>
    <w:p w14:paraId="62DA3245" w14:textId="678A0998" w:rsidR="006E49EC" w:rsidRDefault="006E49EC" w:rsidP="006E49EC">
      <w:pPr>
        <w:pStyle w:val="BodyText"/>
      </w:pPr>
      <w:r>
        <w:t xml:space="preserve">The </w:t>
      </w:r>
      <w:r w:rsidRPr="00D500E1">
        <w:rPr>
          <w:rFonts w:asciiTheme="majorHAnsi" w:hAnsiTheme="majorHAnsi" w:cstheme="majorHAnsi"/>
          <w:bCs/>
        </w:rPr>
        <w:t>distance method</w:t>
      </w:r>
      <w:r w:rsidRPr="004E6594">
        <w:rPr>
          <w:rStyle w:val="FootnoteReference"/>
        </w:rPr>
        <w:footnoteReference w:id="8"/>
      </w:r>
      <w:r w:rsidRPr="004E6594">
        <w:t xml:space="preserve"> </w:t>
      </w:r>
      <w:r>
        <w:t xml:space="preserve">makes use of </w:t>
      </w:r>
      <w:r w:rsidRPr="004E58DB">
        <w:t>observed distance ratios</w:t>
      </w:r>
      <w:r>
        <w:t xml:space="preserve"> of selected reference bands relative to the band to be valued as shown in</w:t>
      </w:r>
      <w:r w:rsidR="00D500E1">
        <w:t xml:space="preserve"> </w:t>
      </w:r>
      <w:r w:rsidR="004961BF">
        <w:fldChar w:fldCharType="begin"/>
      </w:r>
      <w:r w:rsidR="004961BF">
        <w:instrText xml:space="preserve"> REF _Ref137235138 </w:instrText>
      </w:r>
      <w:r w:rsidR="004961BF">
        <w:fldChar w:fldCharType="separate"/>
      </w:r>
      <w:r w:rsidR="0027066B" w:rsidRPr="000C4CAE">
        <w:t xml:space="preserve">Figure </w:t>
      </w:r>
      <w:r w:rsidR="0027066B">
        <w:rPr>
          <w:noProof/>
        </w:rPr>
        <w:t>5</w:t>
      </w:r>
      <w:r w:rsidR="0027066B" w:rsidRPr="000C4CAE">
        <w:t>.</w:t>
      </w:r>
      <w:r w:rsidR="0027066B">
        <w:rPr>
          <w:noProof/>
        </w:rPr>
        <w:t>3</w:t>
      </w:r>
      <w:r w:rsidR="004961BF">
        <w:rPr>
          <w:noProof/>
        </w:rPr>
        <w:fldChar w:fldCharType="end"/>
      </w:r>
      <w:r>
        <w:rPr>
          <w:noProof/>
        </w:rPr>
        <w:t xml:space="preserve">.  </w:t>
      </w:r>
      <w:r>
        <w:t>In the example illustrated the value of band Y is estimated for a particular country (Country 1) using the values of band X and band Z from previous auctions.</w:t>
      </w:r>
      <w:r>
        <w:rPr>
          <w:rStyle w:val="FootnoteReference"/>
        </w:rPr>
        <w:footnoteReference w:id="9"/>
      </w:r>
      <w:r>
        <w:t xml:space="preserve"> The distance ratio</w:t>
      </w:r>
      <w:r w:rsidR="00D500E1">
        <w:t xml:space="preserve"> a:b</w:t>
      </w:r>
      <w:r>
        <w:t xml:space="preserve"> is </w:t>
      </w:r>
      <w:r>
        <w:lastRenderedPageBreak/>
        <w:t>derived from appropriate benchmark countries for which the values of all three bands (X, Y, Z) are available.  This ratio is then applied to calculate the value of band Y in Country 1 using its values for band X and band Z.</w:t>
      </w:r>
    </w:p>
    <w:p w14:paraId="67C767B7" w14:textId="7CB7D635" w:rsidR="006E49EC" w:rsidRPr="00023FA3" w:rsidRDefault="00D500E1" w:rsidP="006E49EC">
      <w:pPr>
        <w:pStyle w:val="FigureCaption"/>
      </w:pPr>
      <w:bookmarkStart w:id="31" w:name="_Ref137235138"/>
      <w:bookmarkStart w:id="32" w:name="_Ref413167422"/>
      <w:r w:rsidRPr="000C4CAE">
        <w:t xml:space="preserve">Figure </w:t>
      </w:r>
      <w:r w:rsidRPr="000C4CAE">
        <w:rPr>
          <w:noProof/>
        </w:rPr>
        <w:fldChar w:fldCharType="begin"/>
      </w:r>
      <w:r w:rsidRPr="000C4CAE">
        <w:rPr>
          <w:noProof/>
        </w:rPr>
        <w:instrText xml:space="preserve"> STYLEREF 1 \s </w:instrText>
      </w:r>
      <w:r w:rsidRPr="000C4CAE">
        <w:rPr>
          <w:noProof/>
        </w:rPr>
        <w:fldChar w:fldCharType="separate"/>
      </w:r>
      <w:r w:rsidR="0027066B">
        <w:rPr>
          <w:noProof/>
        </w:rPr>
        <w:t>5</w:t>
      </w:r>
      <w:r w:rsidRPr="000C4CAE">
        <w:rPr>
          <w:noProof/>
        </w:rPr>
        <w:fldChar w:fldCharType="end"/>
      </w:r>
      <w:r w:rsidRPr="000C4CAE">
        <w:t>.</w:t>
      </w:r>
      <w:r w:rsidR="004961BF">
        <w:fldChar w:fldCharType="begin"/>
      </w:r>
      <w:r w:rsidR="004961BF">
        <w:instrText xml:space="preserve"> SEQ Figure \* ARABIC \s 1 </w:instrText>
      </w:r>
      <w:r w:rsidR="004961BF">
        <w:fldChar w:fldCharType="separate"/>
      </w:r>
      <w:r w:rsidR="0027066B">
        <w:rPr>
          <w:noProof/>
        </w:rPr>
        <w:t>3</w:t>
      </w:r>
      <w:r w:rsidR="004961BF">
        <w:rPr>
          <w:noProof/>
        </w:rPr>
        <w:fldChar w:fldCharType="end"/>
      </w:r>
      <w:bookmarkEnd w:id="31"/>
      <w:r w:rsidRPr="000C4CAE">
        <w:t xml:space="preserve">: </w:t>
      </w:r>
      <w:bookmarkEnd w:id="32"/>
      <w:r w:rsidR="006E49EC" w:rsidRPr="000C4CAE">
        <w:t>Illustration of adjusted benchmarking method</w:t>
      </w:r>
    </w:p>
    <w:p w14:paraId="67E2D1D6" w14:textId="3C4A90EF" w:rsidR="006E49EC" w:rsidRDefault="000C4CAE" w:rsidP="006E49EC">
      <w:pPr>
        <w:pStyle w:val="BodyText"/>
      </w:pPr>
      <w:r w:rsidRPr="000C4CAE">
        <w:rPr>
          <w:noProof/>
        </w:rPr>
        <w:drawing>
          <wp:inline distT="0" distB="0" distL="0" distR="0" wp14:anchorId="17951625" wp14:editId="0E439F5B">
            <wp:extent cx="3913068" cy="2362200"/>
            <wp:effectExtent l="0" t="0" r="0" b="0"/>
            <wp:docPr id="20665929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24239" cy="2368943"/>
                    </a:xfrm>
                    <a:prstGeom prst="rect">
                      <a:avLst/>
                    </a:prstGeom>
                    <a:noFill/>
                    <a:ln>
                      <a:noFill/>
                    </a:ln>
                  </pic:spPr>
                </pic:pic>
              </a:graphicData>
            </a:graphic>
          </wp:inline>
        </w:drawing>
      </w:r>
    </w:p>
    <w:p w14:paraId="0398F056" w14:textId="37EC366C" w:rsidR="006E49EC" w:rsidRDefault="006E49EC" w:rsidP="006E49EC">
      <w:pPr>
        <w:pStyle w:val="AfterTable"/>
      </w:pPr>
      <w:r>
        <w:t xml:space="preserve">The distance method works best when comparing frequency bands for which the values in relation to each other are unambiguous. For example, it </w:t>
      </w:r>
      <w:r w:rsidR="00A61D9B">
        <w:t>was</w:t>
      </w:r>
      <w:r>
        <w:t xml:space="preserve"> applied in the UK to estimate the value of 1800 MHz using 800 MHz and </w:t>
      </w:r>
      <w:r w:rsidR="00A61D9B">
        <w:t>2600 MHz</w:t>
      </w:r>
      <w:r>
        <w:t xml:space="preserve"> as reference bands. In this case, the 800 MHz values for all the selected benchmark countries are higher than the corresponding 1800 MHz values, which are in turn all higher than the </w:t>
      </w:r>
      <w:r w:rsidR="00A61D9B">
        <w:t>2600 MHz</w:t>
      </w:r>
      <w:r>
        <w:t xml:space="preserve"> values. This enables one to work out the value of the 1800 MHz using the corresponding distance ratios. </w:t>
      </w:r>
    </w:p>
    <w:p w14:paraId="0E18BA35" w14:textId="77777777" w:rsidR="006E49EC" w:rsidRDefault="006E49EC" w:rsidP="006E49EC">
      <w:pPr>
        <w:pStyle w:val="Heading2"/>
      </w:pPr>
      <w:bookmarkStart w:id="33" w:name="_Toc418695669"/>
      <w:bookmarkStart w:id="34" w:name="_Toc138771603"/>
      <w:r>
        <w:t>Econometric analysis</w:t>
      </w:r>
      <w:bookmarkEnd w:id="33"/>
      <w:bookmarkEnd w:id="34"/>
    </w:p>
    <w:p w14:paraId="65AC2EC9" w14:textId="3B3B4F3B" w:rsidR="006E49EC" w:rsidRDefault="006E49EC" w:rsidP="006E49EC">
      <w:pPr>
        <w:pStyle w:val="BodyText"/>
      </w:pPr>
      <w:r>
        <w:t xml:space="preserve">Econometric analysis is a statistical method which </w:t>
      </w:r>
      <w:r w:rsidRPr="005E7822">
        <w:t xml:space="preserve">provides an objective way of controlling for market and economic </w:t>
      </w:r>
      <w:proofErr w:type="gramStart"/>
      <w:r w:rsidRPr="005E7822">
        <w:t>factors, and</w:t>
      </w:r>
      <w:proofErr w:type="gramEnd"/>
      <w:r w:rsidRPr="005E7822">
        <w:t xml:space="preserve"> therefore offers a more promising way forward than simply taking values from other auctions. Moreover, </w:t>
      </w:r>
      <w:r>
        <w:t>there is less reliance on often imperfect comparisons between different countries. I</w:t>
      </w:r>
      <w:r w:rsidRPr="005E7822">
        <w:t>nstead, it uses the estimated relationships between observed spectrum prices and the explanatory factors (</w:t>
      </w:r>
      <w:r>
        <w:t>such as</w:t>
      </w:r>
      <w:r w:rsidRPr="005E7822">
        <w:t xml:space="preserve"> economic</w:t>
      </w:r>
      <w:r>
        <w:t xml:space="preserve"> or </w:t>
      </w:r>
      <w:r w:rsidRPr="005E7822">
        <w:t xml:space="preserve">demographic factors) to predict a value based on </w:t>
      </w:r>
      <w:r>
        <w:t>the</w:t>
      </w:r>
      <w:r w:rsidRPr="005E7822">
        <w:t xml:space="preserve"> economic and demographic circumstances</w:t>
      </w:r>
      <w:r>
        <w:t xml:space="preserve"> in the country under study</w:t>
      </w:r>
      <w:r w:rsidR="00A61D9B">
        <w:t>.</w:t>
      </w:r>
    </w:p>
    <w:p w14:paraId="198BC351" w14:textId="4C338BDB" w:rsidR="006E49EC" w:rsidRDefault="006E49EC" w:rsidP="006E49EC">
      <w:pPr>
        <w:pStyle w:val="BodyText"/>
      </w:pPr>
      <w:r>
        <w:t xml:space="preserve">The goal of the econometric analysis is to estimate the value of spectrum (dependent variable) based on the effects of various drivers of spectrum value (independent variables) using data from </w:t>
      </w:r>
      <w:proofErr w:type="gramStart"/>
      <w:r>
        <w:t>a large number of</w:t>
      </w:r>
      <w:proofErr w:type="gramEnd"/>
      <w:r>
        <w:t xml:space="preserve"> auctions. The potential drivers of value which are typically considered in econometric analyses of spectrum value is shown in </w:t>
      </w:r>
      <w:r w:rsidR="00A61D9B">
        <w:t>the figure</w:t>
      </w:r>
      <w:r>
        <w:t xml:space="preserve"> below.</w:t>
      </w:r>
    </w:p>
    <w:p w14:paraId="21D0BC4A" w14:textId="235D90CB" w:rsidR="006E49EC" w:rsidRDefault="00A61D9B" w:rsidP="00A61D9B">
      <w:pPr>
        <w:pStyle w:val="FigureCaption"/>
      </w:pPr>
      <w:bookmarkStart w:id="35" w:name="_Ref413251636"/>
      <w:bookmarkStart w:id="36" w:name="_Ref413752623"/>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5</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4</w:t>
      </w:r>
      <w:r w:rsidRPr="00C0159A">
        <w:fldChar w:fldCharType="end"/>
      </w:r>
      <w:r w:rsidRPr="00C0159A">
        <w:t>:</w:t>
      </w:r>
      <w:bookmarkEnd w:id="35"/>
      <w:bookmarkEnd w:id="36"/>
      <w:r w:rsidR="006E49EC" w:rsidRPr="00C0159A">
        <w:t xml:space="preserve"> </w:t>
      </w:r>
      <w:r w:rsidR="006E49EC">
        <w:t xml:space="preserve">Potential drivers of spectrum values and variables </w:t>
      </w:r>
    </w:p>
    <w:tbl>
      <w:tblPr>
        <w:tblStyle w:val="PlumTable"/>
        <w:tblW w:w="9608" w:type="dxa"/>
        <w:tblLayout w:type="fixed"/>
        <w:tblLook w:val="0420" w:firstRow="1" w:lastRow="0" w:firstColumn="0" w:lastColumn="0" w:noHBand="0" w:noVBand="1"/>
      </w:tblPr>
      <w:tblGrid>
        <w:gridCol w:w="4804"/>
        <w:gridCol w:w="4804"/>
      </w:tblGrid>
      <w:tr w:rsidR="006E49EC" w:rsidRPr="00A61D9B" w14:paraId="29BE400B" w14:textId="77777777" w:rsidTr="00A61D9B">
        <w:trPr>
          <w:cnfStyle w:val="100000000000" w:firstRow="1" w:lastRow="0" w:firstColumn="0" w:lastColumn="0" w:oddVBand="0" w:evenVBand="0" w:oddHBand="0" w:evenHBand="0" w:firstRowFirstColumn="0" w:firstRowLastColumn="0" w:lastRowFirstColumn="0" w:lastRowLastColumn="0"/>
          <w:tblHeader/>
        </w:trPr>
        <w:tc>
          <w:tcPr>
            <w:tcW w:w="4804" w:type="dxa"/>
          </w:tcPr>
          <w:p w14:paraId="5FD42FC2" w14:textId="77777777" w:rsidR="006E49EC" w:rsidRPr="00A61D9B" w:rsidRDefault="006E49EC" w:rsidP="00A61D9B">
            <w:r w:rsidRPr="00A61D9B">
              <w:t>Potential drivers of spectrum value</w:t>
            </w:r>
          </w:p>
        </w:tc>
        <w:tc>
          <w:tcPr>
            <w:tcW w:w="4804" w:type="dxa"/>
          </w:tcPr>
          <w:p w14:paraId="6A390D40" w14:textId="77777777" w:rsidR="006E49EC" w:rsidRPr="00A61D9B" w:rsidRDefault="006E49EC" w:rsidP="00A61D9B">
            <w:r w:rsidRPr="00A61D9B">
              <w:t>Variables that can be considered</w:t>
            </w:r>
          </w:p>
        </w:tc>
      </w:tr>
      <w:tr w:rsidR="006E49EC" w:rsidRPr="00A61D9B" w14:paraId="4312D176" w14:textId="77777777" w:rsidTr="00A61D9B">
        <w:tc>
          <w:tcPr>
            <w:tcW w:w="4804" w:type="dxa"/>
          </w:tcPr>
          <w:p w14:paraId="02ABC024" w14:textId="77777777" w:rsidR="006E49EC" w:rsidRPr="00A61D9B" w:rsidRDefault="006E49EC" w:rsidP="00A61D9B">
            <w:r w:rsidRPr="00A61D9B">
              <w:t>Spectrum characteristics</w:t>
            </w:r>
          </w:p>
        </w:tc>
        <w:tc>
          <w:tcPr>
            <w:tcW w:w="4804" w:type="dxa"/>
          </w:tcPr>
          <w:p w14:paraId="11F6C5E6" w14:textId="77777777" w:rsidR="006E49EC" w:rsidRPr="00A61D9B" w:rsidRDefault="006E49EC" w:rsidP="00A61D9B">
            <w:r w:rsidRPr="00A61D9B">
              <w:t>Frequency band or propagation, total bandwidth offered, time of auction, level of harmonisation</w:t>
            </w:r>
          </w:p>
        </w:tc>
      </w:tr>
      <w:tr w:rsidR="006E49EC" w:rsidRPr="00A61D9B" w14:paraId="10BBBE2F" w14:textId="77777777" w:rsidTr="00A61D9B">
        <w:trPr>
          <w:cnfStyle w:val="000000010000" w:firstRow="0" w:lastRow="0" w:firstColumn="0" w:lastColumn="0" w:oddVBand="0" w:evenVBand="0" w:oddHBand="0" w:evenHBand="1" w:firstRowFirstColumn="0" w:firstRowLastColumn="0" w:lastRowFirstColumn="0" w:lastRowLastColumn="0"/>
        </w:trPr>
        <w:tc>
          <w:tcPr>
            <w:tcW w:w="4804" w:type="dxa"/>
          </w:tcPr>
          <w:p w14:paraId="43FA8298" w14:textId="77777777" w:rsidR="006E49EC" w:rsidRPr="00A61D9B" w:rsidRDefault="006E49EC" w:rsidP="00A61D9B">
            <w:r w:rsidRPr="00A61D9B">
              <w:t>Licence characteristics</w:t>
            </w:r>
          </w:p>
        </w:tc>
        <w:tc>
          <w:tcPr>
            <w:tcW w:w="4804" w:type="dxa"/>
          </w:tcPr>
          <w:p w14:paraId="7C70DC2E" w14:textId="77777777" w:rsidR="006E49EC" w:rsidRPr="00A61D9B" w:rsidRDefault="006E49EC" w:rsidP="00A61D9B">
            <w:r w:rsidRPr="00A61D9B">
              <w:t>Licence duration, national or regional licences, coverage requirements</w:t>
            </w:r>
          </w:p>
        </w:tc>
      </w:tr>
      <w:tr w:rsidR="006E49EC" w:rsidRPr="00A61D9B" w14:paraId="43AD375F" w14:textId="77777777" w:rsidTr="00A61D9B">
        <w:tc>
          <w:tcPr>
            <w:tcW w:w="4804" w:type="dxa"/>
          </w:tcPr>
          <w:p w14:paraId="0D7BD317" w14:textId="77777777" w:rsidR="006E49EC" w:rsidRPr="00A61D9B" w:rsidRDefault="006E49EC" w:rsidP="00A61D9B">
            <w:r w:rsidRPr="00A61D9B">
              <w:lastRenderedPageBreak/>
              <w:t>Auction characteristics</w:t>
            </w:r>
          </w:p>
        </w:tc>
        <w:tc>
          <w:tcPr>
            <w:tcW w:w="4804" w:type="dxa"/>
          </w:tcPr>
          <w:p w14:paraId="625DCDCE" w14:textId="77777777" w:rsidR="006E49EC" w:rsidRPr="00A61D9B" w:rsidRDefault="006E49EC" w:rsidP="00A61D9B">
            <w:r w:rsidRPr="00A61D9B">
              <w:t>Ratio of bidders to winners, reserve prices, auction format, spectrum caps</w:t>
            </w:r>
          </w:p>
        </w:tc>
      </w:tr>
      <w:tr w:rsidR="006E49EC" w:rsidRPr="00A61D9B" w14:paraId="7F9D2B63" w14:textId="77777777" w:rsidTr="00A61D9B">
        <w:trPr>
          <w:cnfStyle w:val="000000010000" w:firstRow="0" w:lastRow="0" w:firstColumn="0" w:lastColumn="0" w:oddVBand="0" w:evenVBand="0" w:oddHBand="0" w:evenHBand="1" w:firstRowFirstColumn="0" w:firstRowLastColumn="0" w:lastRowFirstColumn="0" w:lastRowLastColumn="0"/>
        </w:trPr>
        <w:tc>
          <w:tcPr>
            <w:tcW w:w="4804" w:type="dxa"/>
          </w:tcPr>
          <w:p w14:paraId="673201B0" w14:textId="77777777" w:rsidR="006E49EC" w:rsidRPr="00A61D9B" w:rsidRDefault="006E49EC" w:rsidP="00A61D9B">
            <w:r w:rsidRPr="00A61D9B">
              <w:t>Economic and market characteristics</w:t>
            </w:r>
          </w:p>
        </w:tc>
        <w:tc>
          <w:tcPr>
            <w:tcW w:w="4804" w:type="dxa"/>
          </w:tcPr>
          <w:p w14:paraId="0477B666" w14:textId="77777777" w:rsidR="006E49EC" w:rsidRPr="00A61D9B" w:rsidRDefault="006E49EC" w:rsidP="00A61D9B">
            <w:r w:rsidRPr="00A61D9B">
              <w:t xml:space="preserve">GDP per capita, population density, mobile penetration, average revenue per user, fixed line penetration, number of mobile operators in market </w:t>
            </w:r>
          </w:p>
        </w:tc>
      </w:tr>
    </w:tbl>
    <w:p w14:paraId="4B9667FB" w14:textId="77777777" w:rsidR="006E49EC" w:rsidRDefault="006E49EC" w:rsidP="006E49EC">
      <w:pPr>
        <w:pStyle w:val="AfterTable"/>
      </w:pPr>
      <w:r>
        <w:t xml:space="preserve">While econometric analysis can be a more robust statistical method than the direct and adjusted benchmarking approaches, its reliability is affected by data availability and data quality. Numerous data points (ideally well over 50) are required to obtain robust parameter estimates.  Also, while it is widely recognised that operators’ strategic objectives (bidding strategy at auction and business strategy) and future expectations of the market are important drivers of spectrum values; information on these factors is not available in most cases. Furthermore, other factors such as spectrum caps, </w:t>
      </w:r>
      <w:proofErr w:type="gramStart"/>
      <w:r>
        <w:t>set-asides</w:t>
      </w:r>
      <w:proofErr w:type="gramEnd"/>
      <w:r>
        <w:t xml:space="preserve"> and coverage obligations attached to licences, are often defined differently across countries and so cannot be readily incorporated as dependent variables for the econometric analysis</w:t>
      </w:r>
      <w:r>
        <w:rPr>
          <w:rStyle w:val="FootnoteReference"/>
        </w:rPr>
        <w:footnoteReference w:id="10"/>
      </w:r>
      <w:r>
        <w:t>. Given these limitations, econometric analysis should be considered alongside other benchmarking approaches as well as other valuation methods.</w:t>
      </w:r>
    </w:p>
    <w:p w14:paraId="0BCCBAD5" w14:textId="77777777" w:rsidR="00286BFF" w:rsidRDefault="00286BFF" w:rsidP="00286BFF">
      <w:pPr>
        <w:pStyle w:val="Heading1"/>
      </w:pPr>
      <w:bookmarkStart w:id="37" w:name="_Toc418695670"/>
      <w:bookmarkStart w:id="38" w:name="_Ref137335053"/>
      <w:bookmarkStart w:id="39" w:name="_Toc138771604"/>
      <w:bookmarkEnd w:id="25"/>
      <w:r>
        <w:lastRenderedPageBreak/>
        <w:t>Avoided cost modelling</w:t>
      </w:r>
      <w:bookmarkEnd w:id="37"/>
      <w:bookmarkEnd w:id="38"/>
      <w:bookmarkEnd w:id="39"/>
    </w:p>
    <w:p w14:paraId="48282757" w14:textId="77777777" w:rsidR="00286BFF" w:rsidRDefault="00286BFF" w:rsidP="00286BFF">
      <w:pPr>
        <w:pStyle w:val="BodyText"/>
      </w:pPr>
      <w:r>
        <w:t xml:space="preserve">Another common methodology used by regulators for spectrum valuation is avoided cost modelling. This is based on the calculation of the potential cost reduction that an operator could expect if </w:t>
      </w:r>
      <w:r w:rsidRPr="00684207">
        <w:t>additional spectrum is available in its spectrum portfolio following an award process.  The cost savings arise from the possibility of using the extra spectrum as a means of enhancing capacit</w:t>
      </w:r>
      <w:r>
        <w:t>y or extending coverage without incurring additional costs of physical infrastructure roll-out.</w:t>
      </w:r>
    </w:p>
    <w:p w14:paraId="477A03A8" w14:textId="28EFB181" w:rsidR="00286BFF" w:rsidRDefault="00286BFF" w:rsidP="00286BFF">
      <w:pPr>
        <w:pStyle w:val="BodyText"/>
      </w:pPr>
      <w:r>
        <w:t xml:space="preserve">The avoided-cost value of a particular spectrum band is calculated assuming that the operator views the spectrum as a marginal bandwidth.  The operator first forms a view of the total bandwidth that it is likely to have in its portfolio in the long run, </w:t>
      </w:r>
      <w:proofErr w:type="gramStart"/>
      <w:r>
        <w:t>taking into account</w:t>
      </w:r>
      <w:proofErr w:type="gramEnd"/>
      <w:r>
        <w:t xml:space="preserve"> the opportunity to acquire new spectrum in an upcoming auction (or trade).  The total cost of deploying and operating the network given this additional amount of spectrum is then computed.  Subsequently the spectrum band that the operator plans to acquire in the auction is removed (partially or wholly) from this portfolio, and a new network cost based on this new (reduced) spectrum portfolio is calculated.  The network cost difference under the two spectrum availability scenarios represents the cost savings or the avoided costs as illustrated </w:t>
      </w:r>
      <w:r w:rsidR="001867D7">
        <w:t>below.</w:t>
      </w:r>
    </w:p>
    <w:p w14:paraId="2EEB0FB6" w14:textId="263072F6" w:rsidR="00286BFF" w:rsidRDefault="001867D7" w:rsidP="00286BFF">
      <w:pPr>
        <w:pStyle w:val="FigureCaption"/>
      </w:pPr>
      <w:bookmarkStart w:id="40" w:name="_Ref415738298"/>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6</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1</w:t>
      </w:r>
      <w:r w:rsidRPr="00C0159A">
        <w:fldChar w:fldCharType="end"/>
      </w:r>
      <w:r w:rsidRPr="00C0159A">
        <w:t>:</w:t>
      </w:r>
      <w:bookmarkEnd w:id="40"/>
      <w:r w:rsidR="00286BFF" w:rsidRPr="00C0159A">
        <w:t xml:space="preserve"> </w:t>
      </w:r>
      <w:r w:rsidR="00286BFF">
        <w:t>Illustration of the avoided-cost principle</w:t>
      </w:r>
    </w:p>
    <w:p w14:paraId="0AC67E21" w14:textId="066DB869" w:rsidR="00286BFF" w:rsidRPr="00A200D1" w:rsidRDefault="009465F7" w:rsidP="00286BFF">
      <w:pPr>
        <w:pStyle w:val="BodyText"/>
      </w:pPr>
      <w:r w:rsidRPr="009465F7">
        <w:rPr>
          <w:noProof/>
        </w:rPr>
        <w:drawing>
          <wp:inline distT="0" distB="0" distL="0" distR="0" wp14:anchorId="465B6AE1" wp14:editId="1B30C5C8">
            <wp:extent cx="2971800" cy="2277515"/>
            <wp:effectExtent l="0" t="0" r="0" b="0"/>
            <wp:docPr id="564827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78113" cy="2282353"/>
                    </a:xfrm>
                    <a:prstGeom prst="rect">
                      <a:avLst/>
                    </a:prstGeom>
                    <a:noFill/>
                    <a:ln>
                      <a:noFill/>
                    </a:ln>
                  </pic:spPr>
                </pic:pic>
              </a:graphicData>
            </a:graphic>
          </wp:inline>
        </w:drawing>
      </w:r>
    </w:p>
    <w:p w14:paraId="7BE176A0" w14:textId="77777777" w:rsidR="00286BFF" w:rsidRDefault="00286BFF" w:rsidP="00286BFF">
      <w:pPr>
        <w:pStyle w:val="BodyText"/>
      </w:pPr>
      <w:r>
        <w:t xml:space="preserve">The main network costs to be considered are those associated with the core network and the radio access network. The size of the core network is determined primarily by the total mobile data traffic that the network is expected to carry.  The cost of the core network, thus, does not change under different spectrum assumptions, </w:t>
      </w:r>
      <w:proofErr w:type="gramStart"/>
      <w:r>
        <w:t>as long as</w:t>
      </w:r>
      <w:proofErr w:type="gramEnd"/>
      <w:r>
        <w:t xml:space="preserve"> the total traffic remains the same.  Therefore, the cost difference between the two spectrum scenarios effectively becomes the difference in radio access network costs. </w:t>
      </w:r>
    </w:p>
    <w:p w14:paraId="1390D2A3" w14:textId="77777777" w:rsidR="00286BFF" w:rsidRDefault="00286BFF" w:rsidP="00286BFF">
      <w:pPr>
        <w:pStyle w:val="BodyText"/>
      </w:pPr>
      <w:r>
        <w:t>The costs of the radio access network under each spectrum scenario are calculated in three steps:</w:t>
      </w:r>
    </w:p>
    <w:p w14:paraId="35ED6A18" w14:textId="77777777" w:rsidR="00286BFF" w:rsidRDefault="00286BFF" w:rsidP="0041717C">
      <w:pPr>
        <w:pStyle w:val="BulletList1"/>
      </w:pPr>
      <w:r w:rsidRPr="0041717C">
        <w:rPr>
          <w:rFonts w:asciiTheme="majorHAnsi" w:hAnsiTheme="majorHAnsi" w:cstheme="majorHAnsi"/>
        </w:rPr>
        <w:t>Demand determination</w:t>
      </w:r>
      <w:r>
        <w:t xml:space="preserve"> – This involves estimating an operator’s mobile data traffic demand from the country’s mobile data traffic based on the operator’s market share in the different regions.  The operator’s regional traffic is in turn split across the different </w:t>
      </w:r>
      <w:proofErr w:type="spellStart"/>
      <w:r>
        <w:t>geotypes</w:t>
      </w:r>
      <w:proofErr w:type="spellEnd"/>
      <w:r>
        <w:t>, which are defined by population density.</w:t>
      </w:r>
    </w:p>
    <w:p w14:paraId="700BDB01" w14:textId="656BDA54" w:rsidR="00286BFF" w:rsidRDefault="00286BFF" w:rsidP="0041717C">
      <w:pPr>
        <w:pStyle w:val="BulletList1"/>
      </w:pPr>
      <w:r w:rsidRPr="0041717C">
        <w:rPr>
          <w:rFonts w:asciiTheme="majorHAnsi" w:hAnsiTheme="majorHAnsi" w:cstheme="majorHAnsi"/>
        </w:rPr>
        <w:t>Network dimensioning</w:t>
      </w:r>
      <w:r>
        <w:rPr>
          <w:b/>
          <w:bCs/>
        </w:rPr>
        <w:t xml:space="preserve"> </w:t>
      </w:r>
      <w:r>
        <w:t xml:space="preserve">– The traffic for each </w:t>
      </w:r>
      <w:proofErr w:type="spellStart"/>
      <w:r>
        <w:t>geotype</w:t>
      </w:r>
      <w:proofErr w:type="spellEnd"/>
      <w:r>
        <w:t xml:space="preserve"> along with the operator’s network roll-out plan and coverage obligations dictate the extent of the </w:t>
      </w:r>
      <w:r w:rsidR="006E5406">
        <w:t>5</w:t>
      </w:r>
      <w:r>
        <w:t xml:space="preserve">G and LTE physical infrastructure required in the radio access network.  The number of </w:t>
      </w:r>
      <w:r w:rsidR="006E5406">
        <w:t>5</w:t>
      </w:r>
      <w:r>
        <w:t xml:space="preserve">G and LTE base stations and the supporting backhaul connections are determined using these inputs, technical network parameters such as assumed </w:t>
      </w:r>
      <w:r>
        <w:lastRenderedPageBreak/>
        <w:t>transmission capability for each component, and the amount of spectrum available to the operator.  The outputs from this step are the volume of infrastructure for each year of the spectrum licence period.</w:t>
      </w:r>
    </w:p>
    <w:p w14:paraId="11DDAFB9" w14:textId="24EA68B0" w:rsidR="00286BFF" w:rsidRPr="00B9659A" w:rsidRDefault="00286BFF" w:rsidP="0041717C">
      <w:pPr>
        <w:pStyle w:val="BulletList1"/>
        <w:rPr>
          <w:b/>
          <w:bCs/>
        </w:rPr>
      </w:pPr>
      <w:r w:rsidRPr="0041717C">
        <w:rPr>
          <w:rFonts w:asciiTheme="majorHAnsi" w:hAnsiTheme="majorHAnsi" w:cstheme="majorHAnsi"/>
        </w:rPr>
        <w:t>Network costing</w:t>
      </w:r>
      <w:r>
        <w:rPr>
          <w:b/>
          <w:bCs/>
        </w:rPr>
        <w:t xml:space="preserve"> </w:t>
      </w:r>
      <w:r>
        <w:t>– The annualised unit cost of each component on the radio networks is then applied to the outputs from the network dimensioning step to derive the implied total cost for each year of operation during the licence period.  The total annualised costs are then discounted with an appropriate cost of capital and summed to compute the net present value of radio access network costs.</w:t>
      </w:r>
    </w:p>
    <w:p w14:paraId="00AB1784" w14:textId="4B54B563" w:rsidR="00286BFF" w:rsidRPr="00B9659A" w:rsidRDefault="00286BFF" w:rsidP="00286BFF">
      <w:pPr>
        <w:pStyle w:val="BulletList1"/>
        <w:numPr>
          <w:ilvl w:val="0"/>
          <w:numId w:val="0"/>
        </w:numPr>
      </w:pPr>
      <w:r>
        <w:t xml:space="preserve">The steps described are shown </w:t>
      </w:r>
      <w:r w:rsidR="007516EA">
        <w:t>below</w:t>
      </w:r>
      <w:r>
        <w:t xml:space="preserve">. </w:t>
      </w:r>
      <w:r w:rsidR="007516EA">
        <w:t xml:space="preserve">In </w:t>
      </w:r>
      <w:r w:rsidR="00FF4A85">
        <w:t>many</w:t>
      </w:r>
      <w:r w:rsidR="007516EA">
        <w:t xml:space="preserve"> current models, </w:t>
      </w:r>
      <w:r w:rsidR="00FF4A85">
        <w:t xml:space="preserve">5G and LTE networks are modelled simultaneously as they are interdependent on bandwidth, but </w:t>
      </w:r>
      <w:r w:rsidR="000D1598">
        <w:t>as 5G SA becomes the dominant technology it may be necessary to separate out the network models.</w:t>
      </w:r>
    </w:p>
    <w:p w14:paraId="3EB1C51F" w14:textId="057D9819" w:rsidR="00286BFF" w:rsidRDefault="007516EA" w:rsidP="00286BFF">
      <w:pPr>
        <w:pStyle w:val="FigureCaption"/>
      </w:pPr>
      <w:bookmarkStart w:id="41" w:name="_Ref415739112"/>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6</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2</w:t>
      </w:r>
      <w:r w:rsidRPr="00C0159A">
        <w:fldChar w:fldCharType="end"/>
      </w:r>
      <w:r w:rsidRPr="00C0159A">
        <w:t>:</w:t>
      </w:r>
      <w:bookmarkEnd w:id="41"/>
      <w:r w:rsidR="00286BFF">
        <w:t xml:space="preserve"> Steps for calculation of radio access network costs</w:t>
      </w:r>
      <w:r w:rsidR="00286BFF" w:rsidRPr="00C0159A">
        <w:t xml:space="preserve"> </w:t>
      </w:r>
    </w:p>
    <w:p w14:paraId="44E40982" w14:textId="7CEE52EB" w:rsidR="00286BFF" w:rsidRDefault="000B21A9" w:rsidP="00286BFF">
      <w:pPr>
        <w:pStyle w:val="BodyText"/>
      </w:pPr>
      <w:r w:rsidRPr="000B21A9">
        <w:rPr>
          <w:noProof/>
        </w:rPr>
        <w:drawing>
          <wp:inline distT="0" distB="0" distL="0" distR="0" wp14:anchorId="2F837F2F" wp14:editId="5C1537DE">
            <wp:extent cx="6120130" cy="4046220"/>
            <wp:effectExtent l="0" t="0" r="0" b="0"/>
            <wp:docPr id="893793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20130" cy="4046220"/>
                    </a:xfrm>
                    <a:prstGeom prst="rect">
                      <a:avLst/>
                    </a:prstGeom>
                    <a:noFill/>
                    <a:ln>
                      <a:noFill/>
                    </a:ln>
                  </pic:spPr>
                </pic:pic>
              </a:graphicData>
            </a:graphic>
          </wp:inline>
        </w:drawing>
      </w:r>
    </w:p>
    <w:p w14:paraId="7B4D9DF5" w14:textId="77777777" w:rsidR="00286BFF" w:rsidRDefault="00286BFF" w:rsidP="00286BFF">
      <w:pPr>
        <w:pStyle w:val="AfterTable"/>
      </w:pPr>
      <w:r>
        <w:t xml:space="preserve">There are </w:t>
      </w:r>
      <w:proofErr w:type="gramStart"/>
      <w:r>
        <w:t>a number of</w:t>
      </w:r>
      <w:proofErr w:type="gramEnd"/>
      <w:r>
        <w:t xml:space="preserve"> advantages to avoided cost modelling.  The first advantage is that country-specific market factors as well as technology usage and developments can be directly accounted for.  These factors can be set as parameters in the model and adjusted as required.  In addition, depending on the requirements for the outputs, the model may be structured to provide costs by network component.  This can be useful when sense checking for the implied expenditures against data from operators’ reported network costs. </w:t>
      </w:r>
    </w:p>
    <w:p w14:paraId="6BB1C91F" w14:textId="7CB33225" w:rsidR="00286BFF" w:rsidRDefault="006E5406" w:rsidP="00286BFF">
      <w:pPr>
        <w:pStyle w:val="BodyText"/>
      </w:pPr>
      <w:r>
        <w:t>This</w:t>
      </w:r>
      <w:r w:rsidR="00286BFF">
        <w:t xml:space="preserve"> approach requires data on country-specific inputs, such as technical parameters that represent actual network operating conditions, some of which may be collected by the regulator or reported by companies in annual financial reports.  However, the data requirements are less onerous than business modelling which requires information on revenue data and forecasts and other operating costs (such as marketing and staff wages).</w:t>
      </w:r>
    </w:p>
    <w:p w14:paraId="1E7D93B0" w14:textId="6169D00C" w:rsidR="00286BFF" w:rsidRDefault="005C0103" w:rsidP="00286BFF">
      <w:pPr>
        <w:pStyle w:val="BodyText"/>
      </w:pPr>
      <w:r>
        <w:t>The figure below</w:t>
      </w:r>
      <w:r w:rsidR="00286BFF">
        <w:t xml:space="preserve"> summarises the </w:t>
      </w:r>
      <w:r w:rsidR="002A1C28">
        <w:t>advantages and disadvantages</w:t>
      </w:r>
      <w:r w:rsidR="00286BFF">
        <w:t xml:space="preserve"> of this methodology for spectrum valuation.</w:t>
      </w:r>
    </w:p>
    <w:p w14:paraId="5297904B" w14:textId="321793AC" w:rsidR="00286BFF" w:rsidRDefault="002A1C28" w:rsidP="002A1C28">
      <w:pPr>
        <w:pStyle w:val="FigureCaption"/>
      </w:pPr>
      <w:bookmarkStart w:id="42" w:name="_Ref415739179"/>
      <w:r>
        <w:lastRenderedPageBreak/>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6</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3</w:t>
      </w:r>
      <w:r w:rsidRPr="00C0159A">
        <w:fldChar w:fldCharType="end"/>
      </w:r>
      <w:r w:rsidRPr="00C0159A">
        <w:t>:</w:t>
      </w:r>
      <w:bookmarkEnd w:id="42"/>
      <w:r w:rsidR="00286BFF">
        <w:t xml:space="preserve"> </w:t>
      </w:r>
      <w:r>
        <w:t xml:space="preserve">Advantages and disadvantages </w:t>
      </w:r>
      <w:r w:rsidR="00286BFF">
        <w:t>of avoided cost modelling</w:t>
      </w:r>
    </w:p>
    <w:p w14:paraId="1938490D" w14:textId="49DA1B8B" w:rsidR="005C0103" w:rsidRPr="005C0103" w:rsidRDefault="005C0103" w:rsidP="005C0103">
      <w:pPr>
        <w:pStyle w:val="BodyText"/>
      </w:pPr>
      <w:r>
        <w:rPr>
          <w:noProof/>
        </w:rPr>
        <w:drawing>
          <wp:inline distT="0" distB="0" distL="0" distR="0" wp14:anchorId="4F5F723F" wp14:editId="7B86F197">
            <wp:extent cx="5486400" cy="3200400"/>
            <wp:effectExtent l="19050" t="38100" r="0" b="38100"/>
            <wp:docPr id="758332546" name="Diagram 7583325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56385F7E" w14:textId="77777777" w:rsidR="00286BFF" w:rsidRDefault="00286BFF" w:rsidP="00286BFF">
      <w:pPr>
        <w:pStyle w:val="Heading2"/>
      </w:pPr>
      <w:bookmarkStart w:id="43" w:name="_Toc418206726"/>
      <w:bookmarkStart w:id="44" w:name="_Toc418695671"/>
      <w:bookmarkStart w:id="45" w:name="_Toc138771605"/>
      <w:bookmarkEnd w:id="43"/>
      <w:r>
        <w:t>Iterative cost model</w:t>
      </w:r>
      <w:bookmarkEnd w:id="44"/>
      <w:bookmarkEnd w:id="45"/>
    </w:p>
    <w:p w14:paraId="5F53E1DE" w14:textId="09FAE55D" w:rsidR="00286BFF" w:rsidRDefault="00003A48" w:rsidP="00286BFF">
      <w:pPr>
        <w:pStyle w:val="BodyText"/>
      </w:pPr>
      <w:r>
        <w:t>Some countries have adopted a</w:t>
      </w:r>
      <w:r w:rsidR="004C60C1">
        <w:t xml:space="preserve">n adaptation of the avoided cost model developed by Plum, which includes </w:t>
      </w:r>
      <w:r w:rsidR="00286BFF">
        <w:t>iterative</w:t>
      </w:r>
      <w:r w:rsidR="00286BFF" w:rsidRPr="00214C3C">
        <w:t xml:space="preserve"> approach</w:t>
      </w:r>
      <w:r w:rsidR="00286BFF">
        <w:t xml:space="preserve"> to </w:t>
      </w:r>
      <w:r w:rsidR="004C60C1">
        <w:t>set demand and network dimensioning</w:t>
      </w:r>
      <w:r w:rsidR="00286BFF" w:rsidRPr="00214C3C">
        <w:rPr>
          <w:rStyle w:val="FootnoteReference"/>
        </w:rPr>
        <w:footnoteReference w:id="11"/>
      </w:r>
      <w:r w:rsidR="004C60C1">
        <w:t>.</w:t>
      </w:r>
      <w:r w:rsidR="00286BFF" w:rsidRPr="00214C3C">
        <w:t xml:space="preserve">  </w:t>
      </w:r>
      <w:r w:rsidR="00286BFF">
        <w:t>The iterative cost model provides a</w:t>
      </w:r>
      <w:r w:rsidR="00286BFF" w:rsidRPr="00E43B79">
        <w:t xml:space="preserve">n alternative way of thinking about data and spectrum demand </w:t>
      </w:r>
      <w:r w:rsidR="00286BFF">
        <w:t xml:space="preserve">by treating </w:t>
      </w:r>
      <w:r w:rsidR="00286BFF" w:rsidRPr="00E43B79">
        <w:t xml:space="preserve">data demand as endogenous. </w:t>
      </w:r>
      <w:r w:rsidR="00286BFF">
        <w:t xml:space="preserve"> </w:t>
      </w:r>
      <w:r w:rsidR="00286BFF" w:rsidRPr="00FE2B4F">
        <w:t>In other</w:t>
      </w:r>
      <w:r w:rsidR="00286BFF">
        <w:t xml:space="preserve"> words</w:t>
      </w:r>
      <w:r w:rsidR="00286BFF" w:rsidRPr="00BF1AC2">
        <w:t>, consumers adjust their consumption of data in response to unit cost</w:t>
      </w:r>
      <w:r w:rsidR="00286BFF">
        <w:t xml:space="preserve"> and </w:t>
      </w:r>
      <w:r w:rsidR="00286BFF" w:rsidRPr="00BF1AC2">
        <w:t xml:space="preserve">price changes, rather than simply demanding the same quantity of data </w:t>
      </w:r>
      <w:r w:rsidR="00286BFF">
        <w:t xml:space="preserve">(regardless of the cost and </w:t>
      </w:r>
      <w:r w:rsidR="00286BFF" w:rsidRPr="00BF1AC2">
        <w:t>price</w:t>
      </w:r>
      <w:r w:rsidR="00286BFF">
        <w:t>)</w:t>
      </w:r>
      <w:r w:rsidR="00286BFF" w:rsidRPr="00BF1AC2">
        <w:t xml:space="preserve">. </w:t>
      </w:r>
      <w:r w:rsidR="00286BFF">
        <w:t>On the supply side, o</w:t>
      </w:r>
      <w:r w:rsidR="00286BFF" w:rsidRPr="00BF1AC2">
        <w:t xml:space="preserve">perators expand network capacity </w:t>
      </w:r>
      <w:proofErr w:type="gramStart"/>
      <w:r w:rsidR="00286BFF" w:rsidRPr="00BF1AC2">
        <w:t>as long as</w:t>
      </w:r>
      <w:proofErr w:type="gramEnd"/>
      <w:r w:rsidR="00286BFF" w:rsidRPr="00BF1AC2">
        <w:t xml:space="preserve"> there is sufficient willingness to pay for the extra capacity. </w:t>
      </w:r>
    </w:p>
    <w:p w14:paraId="300CDCC3" w14:textId="7268B199" w:rsidR="00286BFF" w:rsidRDefault="00286BFF" w:rsidP="00286BFF">
      <w:pPr>
        <w:pStyle w:val="BodyText"/>
      </w:pPr>
      <w:r>
        <w:t xml:space="preserve">One analogy of the iterative approach is road traffic planning. </w:t>
      </w:r>
      <w:r w:rsidRPr="00BF1AC2">
        <w:t xml:space="preserve"> Transport planners noticed that expanding road capacity did not solve the problem of congestion – instead, it increased the number of journeys until congestion was again a constraint. </w:t>
      </w:r>
      <w:r>
        <w:t xml:space="preserve">The </w:t>
      </w:r>
      <w:r w:rsidRPr="00BF1AC2">
        <w:t xml:space="preserve">extra </w:t>
      </w:r>
      <w:r>
        <w:t>road capacity lowers</w:t>
      </w:r>
      <w:r w:rsidRPr="00BF1AC2">
        <w:t xml:space="preserve"> the ‘cost’ (in terms of time) of a car journ</w:t>
      </w:r>
      <w:r>
        <w:t>ey, so more journeys are made.</w:t>
      </w:r>
    </w:p>
    <w:p w14:paraId="13E8332A" w14:textId="5F63EFC5" w:rsidR="00286BFF" w:rsidRDefault="00286BFF" w:rsidP="00286BFF">
      <w:pPr>
        <w:pStyle w:val="BodyText"/>
      </w:pPr>
      <w:r>
        <w:t xml:space="preserve">The iterative approach therefore incorporates a demand side assumption (consumers buy mobile data up to their willingness to pay) and a supply side investment decision rule, (only invest in capacity if willingness to pay for data exceeds the cost). The model is solved iteratively to find an equilibrium between data supply (capacity) and data demand as illustrated </w:t>
      </w:r>
      <w:r w:rsidR="00CF4A93">
        <w:t>below</w:t>
      </w:r>
      <w:r>
        <w:t>.</w:t>
      </w:r>
    </w:p>
    <w:p w14:paraId="4DFF80A3" w14:textId="14AEEBF7" w:rsidR="00286BFF" w:rsidRDefault="00CF4A93" w:rsidP="00286BFF">
      <w:pPr>
        <w:pStyle w:val="FigureCaption"/>
      </w:pPr>
      <w:bookmarkStart w:id="46" w:name="_Ref418204766"/>
      <w:r>
        <w:lastRenderedPageBreak/>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6</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4</w:t>
      </w:r>
      <w:r w:rsidRPr="00C0159A">
        <w:fldChar w:fldCharType="end"/>
      </w:r>
      <w:r w:rsidRPr="00C0159A">
        <w:t>:</w:t>
      </w:r>
      <w:bookmarkEnd w:id="46"/>
      <w:r w:rsidR="00286BFF" w:rsidRPr="00C0159A">
        <w:t xml:space="preserve"> </w:t>
      </w:r>
      <w:r w:rsidR="00286BFF">
        <w:t>Illustration of the iterative approach</w:t>
      </w:r>
    </w:p>
    <w:p w14:paraId="5DF6D7C3" w14:textId="34D7B961" w:rsidR="00286BFF" w:rsidRDefault="00286BFF" w:rsidP="00286BFF">
      <w:pPr>
        <w:pStyle w:val="BodyText"/>
      </w:pPr>
      <w:r w:rsidRPr="001E4E01">
        <w:rPr>
          <w:noProof/>
          <w:lang w:eastAsia="zh-CN"/>
        </w:rPr>
        <w:drawing>
          <wp:inline distT="0" distB="0" distL="0" distR="0" wp14:anchorId="5ACEB548" wp14:editId="470D60CD">
            <wp:extent cx="4379352" cy="2251364"/>
            <wp:effectExtent l="0" t="0" r="2540" b="0"/>
            <wp:docPr id="1940709900" name="Picture 194070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381548" cy="2252493"/>
                    </a:xfrm>
                    <a:prstGeom prst="rect">
                      <a:avLst/>
                    </a:prstGeom>
                    <a:noFill/>
                    <a:ln>
                      <a:noFill/>
                    </a:ln>
                  </pic:spPr>
                </pic:pic>
              </a:graphicData>
            </a:graphic>
          </wp:inline>
        </w:drawing>
      </w:r>
    </w:p>
    <w:p w14:paraId="26546A7C" w14:textId="096CE4DD" w:rsidR="00286BFF" w:rsidRDefault="00286BFF" w:rsidP="00CF4A93">
      <w:pPr>
        <w:pStyle w:val="AfterTable"/>
      </w:pPr>
      <w:r>
        <w:t xml:space="preserve">The core of the iterative cost model is </w:t>
      </w:r>
      <w:proofErr w:type="gramStart"/>
      <w:r>
        <w:t>similar to</w:t>
      </w:r>
      <w:proofErr w:type="gramEnd"/>
      <w:r>
        <w:t xml:space="preserve"> the avoided cost model, with a network dimensioning module calculating a network cost based on volumes and spectrum holdings.  However, the iterative cost model takes the output of this central module to work out how unit costs would change following a change in spectrum holdings, uses this to define how demand would be affected, and feeds this into the central module a second time.  This iteration is repeated </w:t>
      </w:r>
      <w:proofErr w:type="gramStart"/>
      <w:r>
        <w:t>a number of</w:t>
      </w:r>
      <w:proofErr w:type="gramEnd"/>
      <w:r>
        <w:t xml:space="preserve"> times (either a set number, or until an equilibrium is reached), and once an equilibrium is found, the impact of additional spectrum can be assessed by an avoided cost methodology (the additional spectrum reduces the cost of meeting the equilibrium level of demand).</w:t>
      </w:r>
    </w:p>
    <w:p w14:paraId="0F85EC18" w14:textId="77777777" w:rsidR="00286BFF" w:rsidRDefault="00286BFF" w:rsidP="00286BFF">
      <w:pPr>
        <w:pStyle w:val="BodyText"/>
      </w:pPr>
      <w:r>
        <w:t>There are several advantages to using an iterative approach. Firstly, it removes the need for a data forecast as an input (although an assumption on per-user expenditure is required). Secondly, the iterative approach significantly reduces the sensitivity of the results to changes in the input parameters. Finally</w:t>
      </w:r>
      <w:r w:rsidRPr="00411C83">
        <w:t xml:space="preserve">, </w:t>
      </w:r>
      <w:r>
        <w:t xml:space="preserve">the economic framework of the iterative approach means </w:t>
      </w:r>
      <w:r w:rsidRPr="00411C83">
        <w:t xml:space="preserve">some of the insights </w:t>
      </w:r>
      <w:r>
        <w:t xml:space="preserve">produced </w:t>
      </w:r>
      <w:r w:rsidRPr="00411C83">
        <w:t>are qualitatively different to those produced under conventional approaches</w:t>
      </w:r>
      <w:r>
        <w:t>.</w:t>
      </w:r>
    </w:p>
    <w:p w14:paraId="7F98CD19" w14:textId="77777777" w:rsidR="00286BFF" w:rsidRDefault="00286BFF" w:rsidP="00286BFF">
      <w:pPr>
        <w:pStyle w:val="Heading1"/>
      </w:pPr>
      <w:bookmarkStart w:id="47" w:name="_Toc418695672"/>
      <w:bookmarkStart w:id="48" w:name="_Ref137335054"/>
      <w:bookmarkStart w:id="49" w:name="_Toc138771606"/>
      <w:r>
        <w:lastRenderedPageBreak/>
        <w:t>Business modelling</w:t>
      </w:r>
      <w:bookmarkEnd w:id="47"/>
      <w:bookmarkEnd w:id="48"/>
      <w:bookmarkEnd w:id="49"/>
    </w:p>
    <w:p w14:paraId="24013B0F" w14:textId="5CAA1964" w:rsidR="00286BFF" w:rsidRDefault="00286BFF" w:rsidP="00286BFF">
      <w:pPr>
        <w:pStyle w:val="BodyText"/>
      </w:pPr>
      <w:r>
        <w:t xml:space="preserve">A business-based valuation model, also known as full enterprise valuation, assesses the value of spectrum from a commercial perspective. The objective is to understand how much profit the spectrum in question will generate for a </w:t>
      </w:r>
      <w:r w:rsidR="0055261F">
        <w:t>spectrum user</w:t>
      </w:r>
      <w:r>
        <w:t xml:space="preserve"> over the licence duration. Estimating the value of spectrum involves the analysis of the impact on profits </w:t>
      </w:r>
      <w:proofErr w:type="gramStart"/>
      <w:r>
        <w:t>as a result of</w:t>
      </w:r>
      <w:proofErr w:type="gramEnd"/>
      <w:r>
        <w:t xml:space="preserve"> changes in spectrum fees over the modelling period. To derive the full enterprise value of spectrum, it is assumed that spectrum is a free input into the business.</w:t>
      </w:r>
    </w:p>
    <w:p w14:paraId="5E437568" w14:textId="5E62DE6C" w:rsidR="00286BFF" w:rsidRDefault="00286BFF" w:rsidP="00286BFF">
      <w:pPr>
        <w:pStyle w:val="BodyText"/>
      </w:pPr>
      <w:r>
        <w:t xml:space="preserve">A discounted cash flow (DCF) model is typically </w:t>
      </w:r>
      <w:r w:rsidR="006E0C24">
        <w:t>used,</w:t>
      </w:r>
      <w:r>
        <w:t xml:space="preserve"> and it involves two components:</w:t>
      </w:r>
    </w:p>
    <w:p w14:paraId="5CFBF125" w14:textId="77777777" w:rsidR="00286BFF" w:rsidRDefault="00286BFF" w:rsidP="0055261F">
      <w:pPr>
        <w:pStyle w:val="BulletList1"/>
      </w:pPr>
      <w:r>
        <w:t>Revenue – total revenue estimated based on current and future demand (subscribers, ARPU), market circumstances (competition)</w:t>
      </w:r>
    </w:p>
    <w:p w14:paraId="485EF487" w14:textId="77777777" w:rsidR="00286BFF" w:rsidRDefault="00286BFF" w:rsidP="0055261F">
      <w:pPr>
        <w:pStyle w:val="BulletList1"/>
      </w:pPr>
      <w:r>
        <w:t>Costs – network costs (radio access network, core network), non-network expenses (selling, general, administrative expenses, tax)</w:t>
      </w:r>
    </w:p>
    <w:p w14:paraId="7DD7C1F2" w14:textId="0386D6F5" w:rsidR="00286BFF" w:rsidRDefault="0055261F" w:rsidP="00286BFF">
      <w:pPr>
        <w:pStyle w:val="BodyText"/>
      </w:pPr>
      <w:r>
        <w:t xml:space="preserve">The figure below </w:t>
      </w:r>
      <w:r w:rsidR="00286BFF">
        <w:t>provides a simple illustration of the DCF modelling approach</w:t>
      </w:r>
      <w:r>
        <w:t xml:space="preserve"> as applied to a standard </w:t>
      </w:r>
      <w:r w:rsidR="00683C4C">
        <w:t>wireless network – this can apply equally to mobile networks, broadcasting, or wireless backhaul solutions</w:t>
      </w:r>
      <w:r w:rsidR="00286BFF">
        <w:t xml:space="preserve">. </w:t>
      </w:r>
    </w:p>
    <w:p w14:paraId="59385820" w14:textId="5CAD2A51" w:rsidR="00286BFF" w:rsidRDefault="0055261F" w:rsidP="00286BFF">
      <w:pPr>
        <w:pStyle w:val="FigureCaption"/>
      </w:pPr>
      <w:bookmarkStart w:id="50" w:name="_Ref413317759"/>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7</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1</w:t>
      </w:r>
      <w:r w:rsidRPr="00C0159A">
        <w:fldChar w:fldCharType="end"/>
      </w:r>
      <w:r w:rsidRPr="00C0159A">
        <w:t>:</w:t>
      </w:r>
      <w:bookmarkEnd w:id="50"/>
      <w:r w:rsidR="00286BFF">
        <w:t xml:space="preserve"> Illustration of DCF model</w:t>
      </w:r>
    </w:p>
    <w:p w14:paraId="61999D2A" w14:textId="77777777" w:rsidR="00286BFF" w:rsidRDefault="00286BFF" w:rsidP="00286BFF">
      <w:pPr>
        <w:pStyle w:val="BodyText"/>
      </w:pPr>
      <w:r w:rsidRPr="001A1E09">
        <w:t xml:space="preserve"> </w:t>
      </w:r>
      <w:r w:rsidRPr="001A1E09">
        <w:rPr>
          <w:noProof/>
          <w:lang w:eastAsia="zh-CN"/>
        </w:rPr>
        <w:drawing>
          <wp:inline distT="0" distB="0" distL="0" distR="0" wp14:anchorId="6747638C" wp14:editId="38C2F236">
            <wp:extent cx="3754800" cy="21855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54800" cy="2185559"/>
                    </a:xfrm>
                    <a:prstGeom prst="rect">
                      <a:avLst/>
                    </a:prstGeom>
                    <a:noFill/>
                    <a:ln>
                      <a:noFill/>
                    </a:ln>
                  </pic:spPr>
                </pic:pic>
              </a:graphicData>
            </a:graphic>
          </wp:inline>
        </w:drawing>
      </w:r>
    </w:p>
    <w:p w14:paraId="5D2F306B" w14:textId="7C4739F5" w:rsidR="00286BFF" w:rsidRDefault="00286BFF" w:rsidP="00286BFF">
      <w:pPr>
        <w:pStyle w:val="AfterTable"/>
      </w:pPr>
      <w:r>
        <w:t xml:space="preserve">The net present value (NPV) of the profit stream for the </w:t>
      </w:r>
      <w:r w:rsidR="0055261F">
        <w:t>spectrum user</w:t>
      </w:r>
      <w:r>
        <w:t xml:space="preserve"> is then </w:t>
      </w:r>
      <w:proofErr w:type="gramStart"/>
      <w:r>
        <w:t>calculated</w:t>
      </w:r>
      <w:proofErr w:type="gramEnd"/>
      <w:r>
        <w:t xml:space="preserve"> and this is attributed to the operator’s spectrum portfolio.  The assumption is that all profits are derived from the use of spectrum</w:t>
      </w:r>
      <w:r w:rsidR="00683C4C">
        <w:t>,</w:t>
      </w:r>
      <w:r>
        <w:t xml:space="preserve"> a</w:t>
      </w:r>
      <w:r w:rsidRPr="004733FD">
        <w:t>lthough in practice part of th</w:t>
      </w:r>
      <w:r>
        <w:t>is</w:t>
      </w:r>
      <w:r w:rsidRPr="004733FD">
        <w:t xml:space="preserve"> value will be derived from other intangible factors (</w:t>
      </w:r>
      <w:r>
        <w:t>such as</w:t>
      </w:r>
      <w:r w:rsidRPr="004733FD">
        <w:t xml:space="preserve"> brand</w:t>
      </w:r>
      <w:r>
        <w:t xml:space="preserve"> and the</w:t>
      </w:r>
      <w:r w:rsidRPr="004733FD">
        <w:t xml:space="preserve"> company’</w:t>
      </w:r>
      <w:r>
        <w:t xml:space="preserve">s reputation to customers) which </w:t>
      </w:r>
      <w:r w:rsidRPr="004733FD">
        <w:t xml:space="preserve">cannot </w:t>
      </w:r>
      <w:r>
        <w:t>be readily quantified</w:t>
      </w:r>
      <w:r w:rsidRPr="004733FD">
        <w:t xml:space="preserve">.  </w:t>
      </w:r>
      <w:r>
        <w:t>This NPV can be considered the full enterprise value of the spectrum and an upper bound on what the operator would be prepared to pay for the spectrum. A price higher than this level would mean the operator modelled would go out of business.</w:t>
      </w:r>
    </w:p>
    <w:p w14:paraId="766162BE" w14:textId="77777777" w:rsidR="00286BFF" w:rsidRDefault="00286BFF" w:rsidP="00286BFF">
      <w:pPr>
        <w:pStyle w:val="BodyText"/>
      </w:pPr>
      <w:r>
        <w:t>There are two key disadvantages with this approach:</w:t>
      </w:r>
    </w:p>
    <w:p w14:paraId="1116061E" w14:textId="77777777" w:rsidR="00286BFF" w:rsidRDefault="00286BFF" w:rsidP="00683C4C">
      <w:pPr>
        <w:pStyle w:val="BulletList1"/>
      </w:pPr>
      <w:r>
        <w:t xml:space="preserve">Information requirements: In many cases, regulators would not have access to commercially sensitive information such as operators’ business costs, market revenues and future business plans and strategies which will involve technology and market projections over the next 15-20 years.  Assumptions will have to be made either using information from other markets or estimated based on existing sources, and views on competition, investment decisions and market and regulatory environments will need to be </w:t>
      </w:r>
      <w:r>
        <w:lastRenderedPageBreak/>
        <w:t>agreed on.  The many assumptions that need to be made based on limited data mean the results are unlikely to be reliable.</w:t>
      </w:r>
    </w:p>
    <w:p w14:paraId="14F56061" w14:textId="77777777" w:rsidR="00286BFF" w:rsidRDefault="00286BFF" w:rsidP="00683C4C">
      <w:pPr>
        <w:pStyle w:val="BulletList1"/>
      </w:pPr>
      <w:r>
        <w:t>It takes no account of the value of other intangible assets held by the operator – for example brand and customer value.  These values could be significant and so mean the values obtained are far too high.</w:t>
      </w:r>
      <w:bookmarkStart w:id="51" w:name="_Toc417567813"/>
      <w:bookmarkStart w:id="52" w:name="_Toc417567846"/>
      <w:bookmarkStart w:id="53" w:name="_Toc417567814"/>
      <w:bookmarkStart w:id="54" w:name="_Toc417567847"/>
      <w:bookmarkStart w:id="55" w:name="_Toc417567815"/>
      <w:bookmarkStart w:id="56" w:name="_Toc417567848"/>
      <w:bookmarkEnd w:id="51"/>
      <w:bookmarkEnd w:id="52"/>
      <w:bookmarkEnd w:id="53"/>
      <w:bookmarkEnd w:id="54"/>
      <w:bookmarkEnd w:id="55"/>
      <w:bookmarkEnd w:id="56"/>
    </w:p>
    <w:p w14:paraId="469280BF" w14:textId="77777777" w:rsidR="00286BFF" w:rsidRDefault="00286BFF" w:rsidP="00837E70">
      <w:pPr>
        <w:pStyle w:val="BodyText"/>
      </w:pPr>
    </w:p>
    <w:p w14:paraId="086AC50D" w14:textId="09A44FB3" w:rsidR="00286BFF" w:rsidRDefault="00F71CD6" w:rsidP="00683C4C">
      <w:pPr>
        <w:pStyle w:val="Heading1"/>
      </w:pPr>
      <w:bookmarkStart w:id="57" w:name="_Ref137335055"/>
      <w:bookmarkStart w:id="58" w:name="_Toc138771607"/>
      <w:r>
        <w:lastRenderedPageBreak/>
        <w:t>Opportunity cost modelling</w:t>
      </w:r>
      <w:bookmarkEnd w:id="57"/>
      <w:bookmarkEnd w:id="58"/>
    </w:p>
    <w:p w14:paraId="5FA1876E" w14:textId="620CB131" w:rsidR="00F71CD6" w:rsidRDefault="00F71CD6" w:rsidP="00F71CD6">
      <w:pPr>
        <w:pStyle w:val="BodyText"/>
      </w:pPr>
      <w:r>
        <w:t xml:space="preserve">The approaches used to estimate opportunity cost fees are analogous to the avoided cost and full enterprise value methods described in </w:t>
      </w:r>
      <w:r w:rsidR="00683C4C">
        <w:t>previous sections</w:t>
      </w:r>
      <w:r>
        <w:t xml:space="preserve">, suitably adapted to the situation of </w:t>
      </w:r>
      <w:r w:rsidR="00683C4C">
        <w:t>the</w:t>
      </w:r>
      <w:r>
        <w:t xml:space="preserve"> services</w:t>
      </w:r>
      <w:r w:rsidR="00683C4C">
        <w:t xml:space="preserve"> being examined</w:t>
      </w:r>
      <w:r>
        <w:t>.  For most non-mobile services there is typically little or no relevant auction data from which to derive value estimates. In this respect benchmarking is less commonly used in valuing other services.</w:t>
      </w:r>
    </w:p>
    <w:p w14:paraId="2DB1501C" w14:textId="77777777" w:rsidR="003066A8" w:rsidRDefault="00F71CD6" w:rsidP="00F71CD6">
      <w:pPr>
        <w:pStyle w:val="BodyText"/>
      </w:pPr>
      <w:r>
        <w:t>The main reason such estimates are produced is to inform the level of annual fees charged to these services in circumstances where spectrum is congested and the objective is to promote efficient spectrum. This approach to setting fees is known as Administered Incentive Pricing (AIP) and was first developed by Smith-NERA</w:t>
      </w:r>
      <w:r>
        <w:rPr>
          <w:rStyle w:val="FootnoteReference"/>
        </w:rPr>
        <w:footnoteReference w:id="12"/>
      </w:r>
      <w:r>
        <w:t>.  In the UK, AIP has been used to set spectrum fees for private mobile radio, fixed links and satellite earth stations</w:t>
      </w:r>
      <w:r>
        <w:rPr>
          <w:rStyle w:val="FootnoteReference"/>
        </w:rPr>
        <w:footnoteReference w:id="13"/>
      </w:r>
      <w:r>
        <w:t xml:space="preserve">.  </w:t>
      </w:r>
      <w:r w:rsidR="003066A8">
        <w:t xml:space="preserve">AIP was proposed for setting broadcast spectrum fees in both the UK and Australia, but the high value of fees </w:t>
      </w:r>
      <w:proofErr w:type="gramStart"/>
      <w:r w:rsidR="003066A8">
        <w:t>was considered to be</w:t>
      </w:r>
      <w:proofErr w:type="gramEnd"/>
      <w:r w:rsidR="003066A8">
        <w:t xml:space="preserve"> </w:t>
      </w:r>
      <w:proofErr w:type="gramStart"/>
      <w:r w:rsidR="003066A8">
        <w:t>unsustainable</w:t>
      </w:r>
      <w:proofErr w:type="gramEnd"/>
      <w:r w:rsidR="003066A8">
        <w:t xml:space="preserve"> and implementation has been deferred </w:t>
      </w:r>
      <w:proofErr w:type="gramStart"/>
      <w:r w:rsidR="003066A8">
        <w:t>a number of</w:t>
      </w:r>
      <w:proofErr w:type="gramEnd"/>
      <w:r w:rsidR="003066A8">
        <w:t xml:space="preserve"> times.</w:t>
      </w:r>
    </w:p>
    <w:p w14:paraId="52D57268" w14:textId="381C3886" w:rsidR="00F71CD6" w:rsidRDefault="003066A8" w:rsidP="00F71CD6">
      <w:pPr>
        <w:pStyle w:val="BodyText"/>
      </w:pPr>
      <w:r>
        <w:t xml:space="preserve">The figure below </w:t>
      </w:r>
      <w:r w:rsidR="00F71CD6">
        <w:t>provides an overview of the key steps in calculating AIP fees. The AIP principles and methodologies are outlined in detail in Ofcom’s Strategic Review of Spectrum Pricing.</w:t>
      </w:r>
      <w:r w:rsidR="00F71CD6">
        <w:rPr>
          <w:rStyle w:val="FootnoteReference"/>
        </w:rPr>
        <w:footnoteReference w:id="14"/>
      </w:r>
      <w:r w:rsidR="00F71CD6">
        <w:t xml:space="preserve">  </w:t>
      </w:r>
    </w:p>
    <w:p w14:paraId="6192EBC0" w14:textId="1DB916E9" w:rsidR="00F71CD6" w:rsidRDefault="003066A8" w:rsidP="00F71CD6">
      <w:pPr>
        <w:pStyle w:val="FigureCaption"/>
      </w:pPr>
      <w:bookmarkStart w:id="59" w:name="_Ref417567635"/>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8</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1</w:t>
      </w:r>
      <w:r w:rsidRPr="00C0159A">
        <w:fldChar w:fldCharType="end"/>
      </w:r>
      <w:r w:rsidRPr="00C0159A">
        <w:t>:</w:t>
      </w:r>
      <w:bookmarkEnd w:id="59"/>
      <w:r w:rsidR="00F71CD6" w:rsidRPr="00C0159A">
        <w:t xml:space="preserve"> </w:t>
      </w:r>
      <w:r w:rsidR="00F71CD6">
        <w:t>Stages and steps in the calculation of spectrum fees</w:t>
      </w:r>
      <w:r w:rsidR="004F5FD7">
        <w:rPr>
          <w:rStyle w:val="FootnoteReference"/>
        </w:rPr>
        <w:footnoteReference w:id="15"/>
      </w:r>
    </w:p>
    <w:p w14:paraId="5C6B1B23" w14:textId="77777777" w:rsidR="00F71CD6" w:rsidRDefault="00F71CD6" w:rsidP="00F71CD6">
      <w:pPr>
        <w:pStyle w:val="BodyText"/>
      </w:pPr>
      <w:r w:rsidRPr="005D624A">
        <w:rPr>
          <w:noProof/>
          <w:lang w:eastAsia="zh-CN"/>
        </w:rPr>
        <w:drawing>
          <wp:inline distT="0" distB="0" distL="0" distR="0" wp14:anchorId="34629D8A" wp14:editId="4642831C">
            <wp:extent cx="3319200" cy="370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19200" cy="3700800"/>
                    </a:xfrm>
                    <a:prstGeom prst="rect">
                      <a:avLst/>
                    </a:prstGeom>
                    <a:noFill/>
                    <a:ln>
                      <a:noFill/>
                    </a:ln>
                  </pic:spPr>
                </pic:pic>
              </a:graphicData>
            </a:graphic>
          </wp:inline>
        </w:drawing>
      </w:r>
    </w:p>
    <w:p w14:paraId="684084C6" w14:textId="77777777" w:rsidR="00F71CD6" w:rsidRDefault="00F71CD6" w:rsidP="00F71CD6">
      <w:pPr>
        <w:pStyle w:val="AfterTable"/>
      </w:pPr>
      <w:r>
        <w:t xml:space="preserve">In calculating the reference rate for AIP fees, the avoided cost approach, sometimes referred to as the least cost alternative (LCA) method, is commonly used. Under the LCA method, values of spectrum are calculated based on the additional cost (or cost saving) to an average or reasonably efficient user </w:t>
      </w:r>
      <w:proofErr w:type="gramStart"/>
      <w:r>
        <w:t>as a result of</w:t>
      </w:r>
      <w:proofErr w:type="gramEnd"/>
      <w:r>
        <w:t xml:space="preserve"> being denied </w:t>
      </w:r>
      <w:r>
        <w:lastRenderedPageBreak/>
        <w:t>access to a small amount of spectrum (or being given access to an additional small amount of spectrum). It is assumed</w:t>
      </w:r>
      <w:r w:rsidRPr="004E7660">
        <w:t xml:space="preserve"> that the quantity and quality of output produced by the use remains constant</w:t>
      </w:r>
      <w:r>
        <w:rPr>
          <w:rStyle w:val="FootnoteReference"/>
        </w:rPr>
        <w:footnoteReference w:id="16"/>
      </w:r>
      <w:r w:rsidRPr="004E7660">
        <w:t xml:space="preserve">.  </w:t>
      </w:r>
    </w:p>
    <w:p w14:paraId="0E3289CF" w14:textId="77777777" w:rsidR="00F71CD6" w:rsidRDefault="00F71CD6" w:rsidP="00F71CD6">
      <w:pPr>
        <w:pStyle w:val="BodyText"/>
      </w:pPr>
      <w:r>
        <w:t>The additional cost (or cost saving) depends on the application and is calculated as the estimated minimum cost of the alternative actions facing the user.  These alternatives may include:</w:t>
      </w:r>
    </w:p>
    <w:p w14:paraId="43DD7090" w14:textId="77777777" w:rsidR="00F71CD6" w:rsidRDefault="00F71CD6" w:rsidP="003066A8">
      <w:pPr>
        <w:pStyle w:val="BulletList1"/>
      </w:pPr>
      <w:r>
        <w:t xml:space="preserve">investing in </w:t>
      </w:r>
      <w:proofErr w:type="gramStart"/>
      <w:r>
        <w:t>more or less network</w:t>
      </w:r>
      <w:proofErr w:type="gramEnd"/>
      <w:r>
        <w:t xml:space="preserve"> infrastructure to achieve the same quantity and quality of output with less or more spectrum (for example, additional hops for fixed links, or more base stations or sectors for land mobile services</w:t>
      </w:r>
      <w:proofErr w:type="gramStart"/>
      <w:r>
        <w:t>);</w:t>
      </w:r>
      <w:proofErr w:type="gramEnd"/>
    </w:p>
    <w:p w14:paraId="21341E27" w14:textId="77777777" w:rsidR="00F71CD6" w:rsidRDefault="00F71CD6" w:rsidP="003066A8">
      <w:pPr>
        <w:pStyle w:val="BulletList1"/>
      </w:pPr>
      <w:r w:rsidRPr="00CF6DB7">
        <w:t xml:space="preserve">adopting </w:t>
      </w:r>
      <w:r w:rsidRPr="003C320C">
        <w:t>a more efficient technology (</w:t>
      </w:r>
      <w:r w:rsidRPr="00CF6DB7">
        <w:t>narrower bandwidth equipment</w:t>
      </w:r>
      <w:r>
        <w:t xml:space="preserve"> or a more efficient modulation scheme</w:t>
      </w:r>
      <w:proofErr w:type="gramStart"/>
      <w:r>
        <w:t>);</w:t>
      </w:r>
      <w:proofErr w:type="gramEnd"/>
    </w:p>
    <w:p w14:paraId="67758FD6" w14:textId="2C5F8E4C" w:rsidR="00F71CD6" w:rsidRDefault="00F71CD6" w:rsidP="003066A8">
      <w:pPr>
        <w:pStyle w:val="BulletList1"/>
      </w:pPr>
      <w:r>
        <w:t>switching to an alternative frequency band that is not congested;</w:t>
      </w:r>
      <w:r w:rsidR="006E0C24">
        <w:t xml:space="preserve"> or</w:t>
      </w:r>
    </w:p>
    <w:p w14:paraId="241C047F" w14:textId="77777777" w:rsidR="00F71CD6" w:rsidRDefault="00F71CD6" w:rsidP="003066A8">
      <w:pPr>
        <w:pStyle w:val="BulletList1"/>
      </w:pPr>
      <w:r>
        <w:t>switching to an alternative service or technology (wired rather than wireless technology, or digital versus analogue technology).</w:t>
      </w:r>
    </w:p>
    <w:p w14:paraId="34E1BFFE" w14:textId="7AF687C0" w:rsidR="00F71CD6" w:rsidRDefault="00F71CD6" w:rsidP="00837E70">
      <w:pPr>
        <w:pStyle w:val="BodyText"/>
      </w:pPr>
      <w:r>
        <w:t xml:space="preserve">Besides the UK, the AIP approach has </w:t>
      </w:r>
      <w:r w:rsidR="00F80601">
        <w:t xml:space="preserve">previously </w:t>
      </w:r>
      <w:r>
        <w:t>been applied to set fees for non-mobile services in Australia (land mobile)</w:t>
      </w:r>
      <w:r>
        <w:rPr>
          <w:rStyle w:val="FootnoteReference"/>
        </w:rPr>
        <w:footnoteReference w:id="17"/>
      </w:r>
      <w:r>
        <w:t xml:space="preserve"> and Hong Kong (various services)</w:t>
      </w:r>
      <w:r>
        <w:rPr>
          <w:rStyle w:val="FootnoteReference"/>
        </w:rPr>
        <w:footnoteReference w:id="18"/>
      </w:r>
      <w:r>
        <w:t>.</w:t>
      </w:r>
    </w:p>
    <w:p w14:paraId="7B4CE138" w14:textId="77777777" w:rsidR="00416730" w:rsidRDefault="00416730" w:rsidP="00416730">
      <w:pPr>
        <w:pStyle w:val="Heading1"/>
      </w:pPr>
      <w:bookmarkStart w:id="60" w:name="_Ref137333388"/>
      <w:bookmarkStart w:id="61" w:name="_Toc138771608"/>
      <w:r>
        <w:lastRenderedPageBreak/>
        <w:t>Summary of methods</w:t>
      </w:r>
      <w:bookmarkEnd w:id="60"/>
      <w:bookmarkEnd w:id="61"/>
    </w:p>
    <w:p w14:paraId="4F690ED0" w14:textId="0C4D1748" w:rsidR="00416730" w:rsidRDefault="00416730" w:rsidP="00416730">
      <w:pPr>
        <w:pStyle w:val="BodyText"/>
      </w:pPr>
      <w:r>
        <w:t>As discussed above, each methodology has its strengths and weaknesses and r</w:t>
      </w:r>
      <w:r w:rsidRPr="0006112C">
        <w:t xml:space="preserve">egulators in other countries have </w:t>
      </w:r>
      <w:r>
        <w:t>typically adopted a combination of methodologies to estimate the value of spectrum. The table below outlines the key advantages and disadvantages of each methodology.</w:t>
      </w:r>
    </w:p>
    <w:p w14:paraId="0C6A29F1" w14:textId="28CE4E56" w:rsidR="00416730" w:rsidRDefault="00416730" w:rsidP="00416730">
      <w:pPr>
        <w:pStyle w:val="FigureCaption"/>
      </w:pPr>
      <w:bookmarkStart w:id="62" w:name="_Ref413423953"/>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9</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1</w:t>
      </w:r>
      <w:r w:rsidRPr="00C0159A">
        <w:fldChar w:fldCharType="end"/>
      </w:r>
      <w:r w:rsidRPr="00C0159A">
        <w:t>:</w:t>
      </w:r>
      <w:bookmarkEnd w:id="62"/>
      <w:r w:rsidRPr="00C0159A">
        <w:t xml:space="preserve"> </w:t>
      </w:r>
      <w:r>
        <w:t>Advantages and disadvantages of various valuation methodologies</w:t>
      </w:r>
    </w:p>
    <w:tbl>
      <w:tblPr>
        <w:tblStyle w:val="PlumTable"/>
        <w:tblW w:w="9608" w:type="dxa"/>
        <w:tblLayout w:type="fixed"/>
        <w:tblLook w:val="0420" w:firstRow="1" w:lastRow="0" w:firstColumn="0" w:lastColumn="0" w:noHBand="0" w:noVBand="1"/>
      </w:tblPr>
      <w:tblGrid>
        <w:gridCol w:w="2395"/>
        <w:gridCol w:w="3606"/>
        <w:gridCol w:w="3607"/>
      </w:tblGrid>
      <w:tr w:rsidR="00416730" w:rsidRPr="00F80601" w14:paraId="423E5486" w14:textId="77777777" w:rsidTr="003415CD">
        <w:trPr>
          <w:cnfStyle w:val="100000000000" w:firstRow="1" w:lastRow="0" w:firstColumn="0" w:lastColumn="0" w:oddVBand="0" w:evenVBand="0" w:oddHBand="0" w:evenHBand="0" w:firstRowFirstColumn="0" w:firstRowLastColumn="0" w:lastRowFirstColumn="0" w:lastRowLastColumn="0"/>
          <w:tblHeader/>
        </w:trPr>
        <w:tc>
          <w:tcPr>
            <w:tcW w:w="2395" w:type="dxa"/>
          </w:tcPr>
          <w:p w14:paraId="5FD7B700" w14:textId="77777777" w:rsidR="00416730" w:rsidRPr="00F80601" w:rsidRDefault="00416730" w:rsidP="003415CD">
            <w:r w:rsidRPr="00F80601">
              <w:t>Valuation methodology</w:t>
            </w:r>
          </w:p>
        </w:tc>
        <w:tc>
          <w:tcPr>
            <w:tcW w:w="3606" w:type="dxa"/>
          </w:tcPr>
          <w:p w14:paraId="71945A88" w14:textId="77777777" w:rsidR="00416730" w:rsidRPr="00F80601" w:rsidRDefault="00416730" w:rsidP="003415CD">
            <w:r w:rsidRPr="00F80601">
              <w:t>Advantages</w:t>
            </w:r>
          </w:p>
        </w:tc>
        <w:tc>
          <w:tcPr>
            <w:tcW w:w="3607" w:type="dxa"/>
          </w:tcPr>
          <w:p w14:paraId="636203F2" w14:textId="77777777" w:rsidR="00416730" w:rsidRPr="00F80601" w:rsidRDefault="00416730" w:rsidP="003415CD">
            <w:r w:rsidRPr="00F80601">
              <w:t>Disadvantages</w:t>
            </w:r>
          </w:p>
        </w:tc>
      </w:tr>
      <w:tr w:rsidR="00416730" w:rsidRPr="00F80601" w14:paraId="1D694F01" w14:textId="77777777" w:rsidTr="003415CD">
        <w:tc>
          <w:tcPr>
            <w:tcW w:w="2395" w:type="dxa"/>
          </w:tcPr>
          <w:p w14:paraId="6C3D6AF3" w14:textId="77777777" w:rsidR="00416730" w:rsidRPr="00F80601" w:rsidRDefault="00416730" w:rsidP="003415CD">
            <w:r w:rsidRPr="00F80601">
              <w:t>Direct benchmarking</w:t>
            </w:r>
          </w:p>
        </w:tc>
        <w:tc>
          <w:tcPr>
            <w:tcW w:w="3606" w:type="dxa"/>
          </w:tcPr>
          <w:p w14:paraId="0B3CD70E" w14:textId="77777777" w:rsidR="00416730" w:rsidRPr="00F80601" w:rsidRDefault="00416730" w:rsidP="003415CD">
            <w:pPr>
              <w:pStyle w:val="TableBullet"/>
            </w:pPr>
            <w:r w:rsidRPr="00F80601">
              <w:t>Reflects actual prices paid by operators for similar spectrum bands</w:t>
            </w:r>
          </w:p>
          <w:p w14:paraId="3812E16B" w14:textId="77777777" w:rsidR="00416730" w:rsidRPr="00F80601" w:rsidRDefault="00416730" w:rsidP="003415CD">
            <w:pPr>
              <w:pStyle w:val="TableBullet"/>
            </w:pPr>
            <w:r w:rsidRPr="00F80601">
              <w:t>Transparent as it is based on published auction results and not assumptions and detailed modelling</w:t>
            </w:r>
          </w:p>
        </w:tc>
        <w:tc>
          <w:tcPr>
            <w:tcW w:w="3607" w:type="dxa"/>
          </w:tcPr>
          <w:p w14:paraId="475E9B97" w14:textId="77777777" w:rsidR="00416730" w:rsidRPr="00F80601" w:rsidRDefault="00416730" w:rsidP="003415CD">
            <w:pPr>
              <w:pStyle w:val="TableBullet"/>
            </w:pPr>
            <w:r w:rsidRPr="00F80601">
              <w:t>Large dataset needed</w:t>
            </w:r>
          </w:p>
          <w:p w14:paraId="1383C1E8" w14:textId="77777777" w:rsidR="00416730" w:rsidRPr="00F80601" w:rsidRDefault="00416730" w:rsidP="003415CD">
            <w:pPr>
              <w:pStyle w:val="TableBullet"/>
            </w:pPr>
            <w:r w:rsidRPr="00F80601">
              <w:t>There may be a lack of data points for certain bands</w:t>
            </w:r>
          </w:p>
          <w:p w14:paraId="40B290C9" w14:textId="77777777" w:rsidR="00416730" w:rsidRPr="00F80601" w:rsidRDefault="00416730" w:rsidP="003415CD">
            <w:pPr>
              <w:pStyle w:val="TableBullet"/>
            </w:pPr>
            <w:r w:rsidRPr="00F80601">
              <w:t>May be difficult to make ‘like for like’ comparisons as international benchmarks may reflect specific circumstances</w:t>
            </w:r>
          </w:p>
        </w:tc>
      </w:tr>
      <w:tr w:rsidR="00416730" w:rsidRPr="00F80601" w14:paraId="308BC299" w14:textId="77777777" w:rsidTr="003415CD">
        <w:trPr>
          <w:cnfStyle w:val="000000010000" w:firstRow="0" w:lastRow="0" w:firstColumn="0" w:lastColumn="0" w:oddVBand="0" w:evenVBand="0" w:oddHBand="0" w:evenHBand="1" w:firstRowFirstColumn="0" w:firstRowLastColumn="0" w:lastRowFirstColumn="0" w:lastRowLastColumn="0"/>
        </w:trPr>
        <w:tc>
          <w:tcPr>
            <w:tcW w:w="2395" w:type="dxa"/>
          </w:tcPr>
          <w:p w14:paraId="6C08A6FD" w14:textId="77777777" w:rsidR="00416730" w:rsidRPr="00F80601" w:rsidRDefault="00416730" w:rsidP="003415CD">
            <w:r w:rsidRPr="00F80601">
              <w:t>Adjusted benchmarking</w:t>
            </w:r>
          </w:p>
        </w:tc>
        <w:tc>
          <w:tcPr>
            <w:tcW w:w="3606" w:type="dxa"/>
          </w:tcPr>
          <w:p w14:paraId="22FB18A5" w14:textId="77777777" w:rsidR="00416730" w:rsidRPr="00F80601" w:rsidRDefault="00416730" w:rsidP="003415CD">
            <w:pPr>
              <w:pStyle w:val="TableBullet"/>
            </w:pPr>
            <w:r w:rsidRPr="00F80601">
              <w:t>Transparent as it is based on published auction results</w:t>
            </w:r>
          </w:p>
          <w:p w14:paraId="15ED389A" w14:textId="77777777" w:rsidR="00416730" w:rsidRPr="00F80601" w:rsidRDefault="00416730" w:rsidP="003415CD">
            <w:pPr>
              <w:pStyle w:val="TableBullet"/>
            </w:pPr>
            <w:r w:rsidRPr="00F80601">
              <w:t>Can be used when have relatively few data points</w:t>
            </w:r>
          </w:p>
        </w:tc>
        <w:tc>
          <w:tcPr>
            <w:tcW w:w="3607" w:type="dxa"/>
          </w:tcPr>
          <w:p w14:paraId="48A12A6F" w14:textId="77777777" w:rsidR="00416730" w:rsidRPr="00F80601" w:rsidRDefault="00416730" w:rsidP="003415CD">
            <w:pPr>
              <w:pStyle w:val="TableBullet"/>
            </w:pPr>
            <w:r w:rsidRPr="00F80601">
              <w:t>Ratios for other countries may reflect auction- or business-specific factors which may not appropriate comparators</w:t>
            </w:r>
          </w:p>
          <w:p w14:paraId="69E5D0E5" w14:textId="77777777" w:rsidR="00416730" w:rsidRPr="00F80601" w:rsidRDefault="00416730" w:rsidP="003415CD">
            <w:pPr>
              <w:pStyle w:val="TableBullet"/>
            </w:pPr>
            <w:r w:rsidRPr="00F80601">
              <w:t>There may be a lack of data points for certain bands</w:t>
            </w:r>
          </w:p>
        </w:tc>
      </w:tr>
      <w:tr w:rsidR="00416730" w:rsidRPr="00F80601" w14:paraId="6A8EE508" w14:textId="77777777" w:rsidTr="003415CD">
        <w:tc>
          <w:tcPr>
            <w:tcW w:w="2395" w:type="dxa"/>
          </w:tcPr>
          <w:p w14:paraId="7CB54683" w14:textId="77777777" w:rsidR="00416730" w:rsidRPr="00F80601" w:rsidRDefault="00416730" w:rsidP="003415CD">
            <w:r w:rsidRPr="00F80601">
              <w:t>Econometrics</w:t>
            </w:r>
          </w:p>
        </w:tc>
        <w:tc>
          <w:tcPr>
            <w:tcW w:w="3606" w:type="dxa"/>
          </w:tcPr>
          <w:p w14:paraId="515F151D" w14:textId="77777777" w:rsidR="00416730" w:rsidRPr="00F80601" w:rsidRDefault="00416730" w:rsidP="003415CD">
            <w:pPr>
              <w:pStyle w:val="TableBullet"/>
            </w:pPr>
            <w:r w:rsidRPr="00F80601">
              <w:t>Robust statistical method if suitable data exists</w:t>
            </w:r>
          </w:p>
          <w:p w14:paraId="47B9C763" w14:textId="77777777" w:rsidR="00416730" w:rsidRPr="00F80601" w:rsidRDefault="00416730" w:rsidP="003415CD">
            <w:pPr>
              <w:pStyle w:val="TableBullet"/>
            </w:pPr>
            <w:r w:rsidRPr="00F80601">
              <w:t>Relies on actual prices paid</w:t>
            </w:r>
          </w:p>
        </w:tc>
        <w:tc>
          <w:tcPr>
            <w:tcW w:w="3607" w:type="dxa"/>
          </w:tcPr>
          <w:p w14:paraId="3D22F03D" w14:textId="77777777" w:rsidR="00416730" w:rsidRPr="00F80601" w:rsidRDefault="00416730" w:rsidP="003415CD">
            <w:pPr>
              <w:pStyle w:val="TableBullet"/>
            </w:pPr>
            <w:r w:rsidRPr="00F80601">
              <w:t>Large dataset needed</w:t>
            </w:r>
          </w:p>
          <w:p w14:paraId="006734BF" w14:textId="77777777" w:rsidR="00416730" w:rsidRPr="00F80601" w:rsidRDefault="00416730" w:rsidP="003415CD">
            <w:pPr>
              <w:pStyle w:val="TableBullet"/>
            </w:pPr>
            <w:r w:rsidRPr="00F80601">
              <w:t>Quantitative information on certain drivers of value may not be available and thus cannot be captured in the analysis</w:t>
            </w:r>
          </w:p>
          <w:p w14:paraId="125F3C09" w14:textId="77777777" w:rsidR="00416730" w:rsidRPr="00F80601" w:rsidRDefault="00416730" w:rsidP="003415CD">
            <w:pPr>
              <w:pStyle w:val="TableBullet"/>
            </w:pPr>
            <w:r w:rsidRPr="00F80601">
              <w:t xml:space="preserve">Regression models may not provide stable forecast of spectrum value, especially where sample size is limited </w:t>
            </w:r>
          </w:p>
        </w:tc>
      </w:tr>
      <w:tr w:rsidR="00416730" w:rsidRPr="00F80601" w14:paraId="3BFA2BF5" w14:textId="77777777" w:rsidTr="003415CD">
        <w:trPr>
          <w:cnfStyle w:val="000000010000" w:firstRow="0" w:lastRow="0" w:firstColumn="0" w:lastColumn="0" w:oddVBand="0" w:evenVBand="0" w:oddHBand="0" w:evenHBand="1" w:firstRowFirstColumn="0" w:firstRowLastColumn="0" w:lastRowFirstColumn="0" w:lastRowLastColumn="0"/>
        </w:trPr>
        <w:tc>
          <w:tcPr>
            <w:tcW w:w="2395" w:type="dxa"/>
          </w:tcPr>
          <w:p w14:paraId="06F56238" w14:textId="77777777" w:rsidR="00416730" w:rsidRPr="00F80601" w:rsidRDefault="00416730" w:rsidP="003415CD">
            <w:r w:rsidRPr="00F80601">
              <w:t>Avoided cost modelling</w:t>
            </w:r>
          </w:p>
        </w:tc>
        <w:tc>
          <w:tcPr>
            <w:tcW w:w="3606" w:type="dxa"/>
          </w:tcPr>
          <w:p w14:paraId="0EC5C322" w14:textId="77777777" w:rsidR="00416730" w:rsidRPr="00F80601" w:rsidRDefault="00416730" w:rsidP="003415CD">
            <w:pPr>
              <w:pStyle w:val="TableBullet"/>
            </w:pPr>
            <w:r w:rsidRPr="00F80601">
              <w:t>Country-specific contexts can be directly captured in the model</w:t>
            </w:r>
          </w:p>
          <w:p w14:paraId="53DB9916" w14:textId="77777777" w:rsidR="00416730" w:rsidRPr="00F80601" w:rsidRDefault="00416730" w:rsidP="003415CD">
            <w:pPr>
              <w:pStyle w:val="TableBullet"/>
            </w:pPr>
            <w:r w:rsidRPr="00F80601">
              <w:t>Provides outputs on infrastructure requirements (such as base stations) which is not possible with benchmarking methods</w:t>
            </w:r>
          </w:p>
        </w:tc>
        <w:tc>
          <w:tcPr>
            <w:tcW w:w="3607" w:type="dxa"/>
          </w:tcPr>
          <w:p w14:paraId="2A8CC180" w14:textId="77777777" w:rsidR="00416730" w:rsidRPr="00F80601" w:rsidRDefault="00416730" w:rsidP="003415CD">
            <w:pPr>
              <w:pStyle w:val="TableBullet"/>
            </w:pPr>
            <w:r w:rsidRPr="00F80601">
              <w:t xml:space="preserve">Complex modelling </w:t>
            </w:r>
          </w:p>
          <w:p w14:paraId="74E8238A" w14:textId="585D7B1B" w:rsidR="00416730" w:rsidRPr="00F80601" w:rsidRDefault="00416730" w:rsidP="003415CD">
            <w:pPr>
              <w:pStyle w:val="TableBullet"/>
            </w:pPr>
            <w:r w:rsidRPr="00F80601">
              <w:t>Requires access to information which may not be available to the regulator – this results in uncertainty in results</w:t>
            </w:r>
          </w:p>
          <w:p w14:paraId="08A84F63" w14:textId="77777777" w:rsidR="00416730" w:rsidRPr="00F80601" w:rsidRDefault="00416730" w:rsidP="003415CD">
            <w:pPr>
              <w:pStyle w:val="TableBullet"/>
            </w:pPr>
            <w:r w:rsidRPr="00F80601">
              <w:t>Results may be highly sensitive to input and network assumptions</w:t>
            </w:r>
          </w:p>
        </w:tc>
      </w:tr>
      <w:tr w:rsidR="00416730" w:rsidRPr="00F80601" w14:paraId="4E2B2655" w14:textId="77777777" w:rsidTr="003415CD">
        <w:tc>
          <w:tcPr>
            <w:tcW w:w="2395" w:type="dxa"/>
          </w:tcPr>
          <w:p w14:paraId="0775292E" w14:textId="77777777" w:rsidR="00416730" w:rsidRPr="00F80601" w:rsidRDefault="00416730" w:rsidP="003415CD">
            <w:r w:rsidRPr="00F80601">
              <w:t>Iterated cost model</w:t>
            </w:r>
          </w:p>
        </w:tc>
        <w:tc>
          <w:tcPr>
            <w:tcW w:w="3606" w:type="dxa"/>
          </w:tcPr>
          <w:p w14:paraId="34B96EA7" w14:textId="77777777" w:rsidR="00416730" w:rsidRPr="00F80601" w:rsidRDefault="00416730" w:rsidP="003415CD">
            <w:pPr>
              <w:pStyle w:val="TableBullet"/>
            </w:pPr>
            <w:r w:rsidRPr="00F80601">
              <w:t xml:space="preserve">Less data required – </w:t>
            </w:r>
            <w:proofErr w:type="gramStart"/>
            <w:r w:rsidRPr="00F80601">
              <w:t>in particular traffic</w:t>
            </w:r>
            <w:proofErr w:type="gramEnd"/>
            <w:r w:rsidRPr="00F80601">
              <w:t xml:space="preserve"> forecasts not required</w:t>
            </w:r>
          </w:p>
          <w:p w14:paraId="48D6C533" w14:textId="77777777" w:rsidR="00416730" w:rsidRPr="00F80601" w:rsidRDefault="00416730" w:rsidP="003415CD">
            <w:pPr>
              <w:pStyle w:val="TableBullet"/>
            </w:pPr>
            <w:r w:rsidRPr="00F80601">
              <w:t xml:space="preserve">Endogenous approach – takes account of consumers’ willingness to pay for data and network costs to derive a mobile traffic forecast rather than using a mobile data traffic forecast </w:t>
            </w:r>
          </w:p>
        </w:tc>
        <w:tc>
          <w:tcPr>
            <w:tcW w:w="3607" w:type="dxa"/>
          </w:tcPr>
          <w:p w14:paraId="725808C5" w14:textId="77777777" w:rsidR="00416730" w:rsidRPr="00F80601" w:rsidRDefault="00416730" w:rsidP="003415CD">
            <w:pPr>
              <w:pStyle w:val="TableBullet"/>
            </w:pPr>
            <w:r w:rsidRPr="00F80601">
              <w:t xml:space="preserve">Complex modelling </w:t>
            </w:r>
          </w:p>
          <w:p w14:paraId="36556634" w14:textId="77777777" w:rsidR="00416730" w:rsidRPr="00F80601" w:rsidRDefault="00416730" w:rsidP="003415CD">
            <w:pPr>
              <w:pStyle w:val="TableBullet"/>
            </w:pPr>
            <w:r w:rsidRPr="00F80601">
              <w:t xml:space="preserve">Requires access to information which may not be available to the regulator – this results in uncertainty in results </w:t>
            </w:r>
          </w:p>
          <w:p w14:paraId="053E9D74" w14:textId="77777777" w:rsidR="00416730" w:rsidRPr="00F80601" w:rsidRDefault="00416730" w:rsidP="003415CD">
            <w:pPr>
              <w:pStyle w:val="TableBullet"/>
            </w:pPr>
            <w:r w:rsidRPr="00F80601">
              <w:t>Assumptions needed over price elasticity of demand and cost-volume relationships</w:t>
            </w:r>
          </w:p>
        </w:tc>
      </w:tr>
      <w:tr w:rsidR="00416730" w:rsidRPr="00F80601" w14:paraId="2C58B596" w14:textId="77777777" w:rsidTr="003415CD">
        <w:trPr>
          <w:cnfStyle w:val="000000010000" w:firstRow="0" w:lastRow="0" w:firstColumn="0" w:lastColumn="0" w:oddVBand="0" w:evenVBand="0" w:oddHBand="0" w:evenHBand="1" w:firstRowFirstColumn="0" w:firstRowLastColumn="0" w:lastRowFirstColumn="0" w:lastRowLastColumn="0"/>
        </w:trPr>
        <w:tc>
          <w:tcPr>
            <w:tcW w:w="2395" w:type="dxa"/>
          </w:tcPr>
          <w:p w14:paraId="686A77BF" w14:textId="77777777" w:rsidR="00416730" w:rsidRPr="00F80601" w:rsidRDefault="00416730" w:rsidP="003415CD">
            <w:r w:rsidRPr="00F80601">
              <w:t>Full enterprise value</w:t>
            </w:r>
            <w:r>
              <w:t xml:space="preserve"> or</w:t>
            </w:r>
            <w:r w:rsidRPr="00F80601">
              <w:t xml:space="preserve"> Business modelling (DCF)</w:t>
            </w:r>
          </w:p>
        </w:tc>
        <w:tc>
          <w:tcPr>
            <w:tcW w:w="3606" w:type="dxa"/>
          </w:tcPr>
          <w:p w14:paraId="5780D7AA" w14:textId="77777777" w:rsidR="00416730" w:rsidRPr="00F80601" w:rsidRDefault="00416730" w:rsidP="003415CD">
            <w:pPr>
              <w:pStyle w:val="TableBullet"/>
            </w:pPr>
            <w:r w:rsidRPr="00F80601">
              <w:t>Theoretically this provides an upper bound on spectrum value to an operator as it estimates profits from running a mobile network; this gives an indication of an upper limit on what regulators and governments can charge for spectrum</w:t>
            </w:r>
          </w:p>
        </w:tc>
        <w:tc>
          <w:tcPr>
            <w:tcW w:w="3607" w:type="dxa"/>
          </w:tcPr>
          <w:p w14:paraId="04DE8993" w14:textId="77777777" w:rsidR="00416730" w:rsidRPr="00F80601" w:rsidRDefault="00416730" w:rsidP="003415CD">
            <w:pPr>
              <w:pStyle w:val="TableBullet"/>
            </w:pPr>
            <w:r>
              <w:t>L</w:t>
            </w:r>
            <w:r w:rsidRPr="00F80601">
              <w:t xml:space="preserve">ikely to overestimate </w:t>
            </w:r>
            <w:r>
              <w:t>spectrum</w:t>
            </w:r>
            <w:r w:rsidRPr="00F80601">
              <w:t xml:space="preserve"> value</w:t>
            </w:r>
          </w:p>
          <w:p w14:paraId="685086B2" w14:textId="77777777" w:rsidR="00416730" w:rsidRPr="00F80601" w:rsidRDefault="00416730" w:rsidP="003415CD">
            <w:pPr>
              <w:pStyle w:val="TableBullet"/>
            </w:pPr>
            <w:r w:rsidRPr="00F80601">
              <w:t>Complex modelling requiring accurate forecasts of future costs and revenues which may not be available</w:t>
            </w:r>
          </w:p>
          <w:p w14:paraId="744C40A3" w14:textId="77777777" w:rsidR="00416730" w:rsidRPr="00F80601" w:rsidRDefault="00416730" w:rsidP="003415CD">
            <w:pPr>
              <w:pStyle w:val="TableBullet"/>
            </w:pPr>
            <w:r w:rsidRPr="00F80601">
              <w:t>Considerable uncertainty in results given information asymmetry between regulator and operators, and substantial differences in business cases among operators and potential new entrants</w:t>
            </w:r>
          </w:p>
        </w:tc>
      </w:tr>
    </w:tbl>
    <w:p w14:paraId="623B0572" w14:textId="6A847F41" w:rsidR="00416730" w:rsidRDefault="00416730" w:rsidP="00416730">
      <w:pPr>
        <w:pStyle w:val="BodyText"/>
        <w:rPr>
          <w:lang w:eastAsia="en-US"/>
        </w:rPr>
      </w:pPr>
      <w:r>
        <w:rPr>
          <w:lang w:eastAsia="en-US"/>
        </w:rPr>
        <w:lastRenderedPageBreak/>
        <w:t xml:space="preserve">It is clear from this summary, and the descriptions of each methodology above, that there is no optimum methodology for all cases. As described in </w:t>
      </w:r>
      <w:r w:rsidR="009938B0">
        <w:rPr>
          <w:lang w:eastAsia="en-US"/>
        </w:rPr>
        <w:t xml:space="preserve">Section </w:t>
      </w:r>
      <w:r w:rsidR="009938B0">
        <w:rPr>
          <w:lang w:eastAsia="en-US"/>
        </w:rPr>
        <w:fldChar w:fldCharType="begin"/>
      </w:r>
      <w:r w:rsidR="009938B0">
        <w:rPr>
          <w:lang w:eastAsia="en-US"/>
        </w:rPr>
        <w:instrText xml:space="preserve"> REF _Ref137327606 \n </w:instrText>
      </w:r>
      <w:r w:rsidR="009938B0">
        <w:rPr>
          <w:lang w:eastAsia="en-US"/>
        </w:rPr>
        <w:fldChar w:fldCharType="separate"/>
      </w:r>
      <w:r w:rsidR="0027066B">
        <w:rPr>
          <w:lang w:eastAsia="en-US"/>
        </w:rPr>
        <w:t>4</w:t>
      </w:r>
      <w:r w:rsidR="009938B0">
        <w:rPr>
          <w:lang w:eastAsia="en-US"/>
        </w:rPr>
        <w:fldChar w:fldCharType="end"/>
      </w:r>
      <w:r w:rsidR="009938B0">
        <w:rPr>
          <w:lang w:eastAsia="en-US"/>
        </w:rPr>
        <w:t xml:space="preserve">, regulators often use more than one valuation methodology so as to cross-reference the results they are obtaining, particularly since regulators typically do not have full information on the potential value of spectrum to </w:t>
      </w:r>
      <w:r w:rsidR="00616602">
        <w:rPr>
          <w:lang w:eastAsia="en-US"/>
        </w:rPr>
        <w:t>users in the market.</w:t>
      </w:r>
    </w:p>
    <w:p w14:paraId="2AF14296" w14:textId="39484695" w:rsidR="00E31BBA" w:rsidRPr="00AF6E9C" w:rsidRDefault="00E31BBA" w:rsidP="00416730">
      <w:pPr>
        <w:pStyle w:val="BodyText"/>
        <w:rPr>
          <w:lang w:eastAsia="en-US"/>
        </w:rPr>
      </w:pPr>
      <w:r>
        <w:rPr>
          <w:lang w:eastAsia="en-US"/>
        </w:rPr>
        <w:t xml:space="preserve">The next section examines </w:t>
      </w:r>
      <w:proofErr w:type="gramStart"/>
      <w:r>
        <w:rPr>
          <w:lang w:eastAsia="en-US"/>
        </w:rPr>
        <w:t>a number of</w:t>
      </w:r>
      <w:proofErr w:type="gramEnd"/>
      <w:r>
        <w:rPr>
          <w:lang w:eastAsia="en-US"/>
        </w:rPr>
        <w:t xml:space="preserve"> case studies of how regulators have used spectrum valuation in the past.</w:t>
      </w:r>
    </w:p>
    <w:p w14:paraId="11F72FAD" w14:textId="4D525658" w:rsidR="00A074ED" w:rsidRDefault="009356E9" w:rsidP="009356E9">
      <w:pPr>
        <w:pStyle w:val="Heading1"/>
      </w:pPr>
      <w:bookmarkStart w:id="63" w:name="_Ref137333346"/>
      <w:bookmarkStart w:id="64" w:name="_Toc138771609"/>
      <w:r>
        <w:lastRenderedPageBreak/>
        <w:t>Case studies of use</w:t>
      </w:r>
      <w:bookmarkEnd w:id="63"/>
      <w:bookmarkEnd w:id="64"/>
    </w:p>
    <w:p w14:paraId="3B4CD516" w14:textId="6DDE0A66" w:rsidR="009356E9" w:rsidRDefault="00236157" w:rsidP="009356E9">
      <w:pPr>
        <w:pStyle w:val="BodyText"/>
        <w:rPr>
          <w:lang w:eastAsia="en-US"/>
        </w:rPr>
      </w:pPr>
      <w:r>
        <w:rPr>
          <w:lang w:eastAsia="en-US"/>
        </w:rPr>
        <w:t>The methodol</w:t>
      </w:r>
      <w:r w:rsidR="003C4DA7">
        <w:rPr>
          <w:lang w:eastAsia="en-US"/>
        </w:rPr>
        <w:t xml:space="preserve">ogies described throughout this paper have all been used, to some extent, by regulators when looking to understand the value of spectrum.  </w:t>
      </w:r>
      <w:proofErr w:type="gramStart"/>
      <w:r w:rsidR="00851B70">
        <w:rPr>
          <w:lang w:eastAsia="en-US"/>
        </w:rPr>
        <w:t>The majority of</w:t>
      </w:r>
      <w:proofErr w:type="gramEnd"/>
      <w:r w:rsidR="00851B70">
        <w:rPr>
          <w:lang w:eastAsia="en-US"/>
        </w:rPr>
        <w:t xml:space="preserve"> work in this area that has been made public relates to spectrum used for mobile networks, as this is typically one of the most valuable uses.  </w:t>
      </w:r>
      <w:r w:rsidR="000E5E9A">
        <w:rPr>
          <w:lang w:eastAsia="en-US"/>
        </w:rPr>
        <w:t xml:space="preserve">As a result, when looking at specific case studies, these tend to focus on mobile spectrum.  </w:t>
      </w:r>
      <w:r w:rsidR="00851B70">
        <w:rPr>
          <w:lang w:eastAsia="en-US"/>
        </w:rPr>
        <w:t xml:space="preserve">However, regulators have carried out valuations for all types of spectrum use, </w:t>
      </w:r>
      <w:r w:rsidR="00376989">
        <w:rPr>
          <w:lang w:eastAsia="en-US"/>
        </w:rPr>
        <w:t>and these have been considered when setting spectrum prices.</w:t>
      </w:r>
    </w:p>
    <w:p w14:paraId="71E1CD54" w14:textId="1810E0B1" w:rsidR="00376989" w:rsidRDefault="00376989" w:rsidP="009356E9">
      <w:pPr>
        <w:pStyle w:val="BodyText"/>
        <w:rPr>
          <w:lang w:eastAsia="en-US"/>
        </w:rPr>
      </w:pPr>
      <w:r>
        <w:rPr>
          <w:lang w:eastAsia="en-US"/>
        </w:rPr>
        <w:t xml:space="preserve">In this </w:t>
      </w:r>
      <w:r w:rsidR="000E5E9A">
        <w:rPr>
          <w:lang w:eastAsia="en-US"/>
        </w:rPr>
        <w:t>section:</w:t>
      </w:r>
    </w:p>
    <w:p w14:paraId="02BF9E01" w14:textId="6A35941F" w:rsidR="000E5E9A" w:rsidRDefault="000E5E9A" w:rsidP="000E5E9A">
      <w:pPr>
        <w:pStyle w:val="BulletList1"/>
      </w:pPr>
      <w:r>
        <w:t xml:space="preserve">First, we illustrate how </w:t>
      </w:r>
      <w:r w:rsidR="00F666F1">
        <w:t xml:space="preserve">regulators have used a variety of methods when estimating the value of spectrum, using </w:t>
      </w:r>
      <w:proofErr w:type="gramStart"/>
      <w:r w:rsidR="00F666F1">
        <w:t>a number of</w:t>
      </w:r>
      <w:proofErr w:type="gramEnd"/>
      <w:r w:rsidR="00F666F1">
        <w:t xml:space="preserve"> public </w:t>
      </w:r>
      <w:r w:rsidR="00970735">
        <w:t>consultations and examples; and</w:t>
      </w:r>
    </w:p>
    <w:p w14:paraId="2B452040" w14:textId="4E8DF6F3" w:rsidR="00970735" w:rsidRDefault="00970735" w:rsidP="000E5E9A">
      <w:pPr>
        <w:pStyle w:val="BulletList1"/>
      </w:pPr>
      <w:r>
        <w:t>Second, we discuss a few case studies in more detail to explain why methodologies were chosen.</w:t>
      </w:r>
    </w:p>
    <w:p w14:paraId="1AEB1119" w14:textId="5B3FE40B" w:rsidR="00970735" w:rsidRDefault="00970735" w:rsidP="00970735">
      <w:pPr>
        <w:pStyle w:val="Heading2"/>
      </w:pPr>
      <w:bookmarkStart w:id="65" w:name="_Toc138771610"/>
      <w:r>
        <w:t>Use of multiple methodologies</w:t>
      </w:r>
      <w:bookmarkEnd w:id="65"/>
    </w:p>
    <w:p w14:paraId="519B35CC" w14:textId="2391485E" w:rsidR="00402BA2" w:rsidRDefault="004961BF" w:rsidP="00402BA2">
      <w:pPr>
        <w:pStyle w:val="BodyText"/>
      </w:pPr>
      <w:r>
        <w:fldChar w:fldCharType="begin"/>
      </w:r>
      <w:r>
        <w:instrText xml:space="preserve"> REF _Ref137250270 </w:instrText>
      </w:r>
      <w:r>
        <w:fldChar w:fldCharType="separate"/>
      </w:r>
      <w:r w:rsidR="0027066B">
        <w:t>Figure</w:t>
      </w:r>
      <w:r w:rsidR="0027066B" w:rsidRPr="00C0159A">
        <w:t xml:space="preserve"> </w:t>
      </w:r>
      <w:r w:rsidR="0027066B">
        <w:rPr>
          <w:noProof/>
        </w:rPr>
        <w:t>10</w:t>
      </w:r>
      <w:r w:rsidR="0027066B">
        <w:t>.</w:t>
      </w:r>
      <w:r w:rsidR="0027066B">
        <w:rPr>
          <w:noProof/>
        </w:rPr>
        <w:t>1</w:t>
      </w:r>
      <w:r>
        <w:rPr>
          <w:noProof/>
        </w:rPr>
        <w:fldChar w:fldCharType="end"/>
      </w:r>
      <w:r w:rsidR="00402BA2">
        <w:t xml:space="preserve"> provides e</w:t>
      </w:r>
      <w:r w:rsidR="00402BA2" w:rsidRPr="0006112C">
        <w:t xml:space="preserve">xamples of </w:t>
      </w:r>
      <w:r w:rsidR="00402BA2">
        <w:t xml:space="preserve">valuation </w:t>
      </w:r>
      <w:r w:rsidR="00402BA2" w:rsidRPr="0006112C">
        <w:t xml:space="preserve">approaches taken in </w:t>
      </w:r>
      <w:proofErr w:type="gramStart"/>
      <w:r w:rsidR="00970735">
        <w:t>a number of</w:t>
      </w:r>
      <w:proofErr w:type="gramEnd"/>
      <w:r w:rsidR="00970735">
        <w:t xml:space="preserve"> </w:t>
      </w:r>
      <w:r w:rsidR="00402BA2" w:rsidRPr="0006112C">
        <w:t xml:space="preserve">countries where details </w:t>
      </w:r>
      <w:r w:rsidR="00402BA2">
        <w:t>have been published.  The examples relate to spectrum for mobile services as this is where most valuation work has been done</w:t>
      </w:r>
      <w:r w:rsidR="00C67517">
        <w:t>.</w:t>
      </w:r>
    </w:p>
    <w:p w14:paraId="4A6BB44B" w14:textId="6AB71447" w:rsidR="00402BA2" w:rsidRDefault="00C67517" w:rsidP="00C67517">
      <w:pPr>
        <w:pStyle w:val="FigureCaption"/>
        <w:rPr>
          <w:b/>
        </w:rPr>
      </w:pPr>
      <w:bookmarkStart w:id="66" w:name="_Ref137250270"/>
      <w:bookmarkStart w:id="67" w:name="_Ref416193732"/>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10</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1</w:t>
      </w:r>
      <w:r w:rsidRPr="00C0159A">
        <w:fldChar w:fldCharType="end"/>
      </w:r>
      <w:bookmarkEnd w:id="66"/>
      <w:r w:rsidRPr="00C0159A">
        <w:t>:</w:t>
      </w:r>
      <w:bookmarkEnd w:id="67"/>
      <w:r w:rsidR="00402BA2" w:rsidRPr="00C0159A">
        <w:t xml:space="preserve"> </w:t>
      </w:r>
      <w:r w:rsidR="00402BA2">
        <w:t>Approaches used by regulators to estimate spectrum value for mobile</w:t>
      </w:r>
    </w:p>
    <w:tbl>
      <w:tblPr>
        <w:tblStyle w:val="PlumTable"/>
        <w:tblW w:w="9608" w:type="dxa"/>
        <w:tblLayout w:type="fixed"/>
        <w:tblLook w:val="0420" w:firstRow="1" w:lastRow="0" w:firstColumn="0" w:lastColumn="0" w:noHBand="0" w:noVBand="1"/>
      </w:tblPr>
      <w:tblGrid>
        <w:gridCol w:w="2067"/>
        <w:gridCol w:w="1325"/>
        <w:gridCol w:w="1553"/>
        <w:gridCol w:w="1555"/>
        <w:gridCol w:w="1553"/>
        <w:gridCol w:w="1555"/>
      </w:tblGrid>
      <w:tr w:rsidR="00455E52" w:rsidRPr="00455E52" w14:paraId="4D5D22CD" w14:textId="77777777" w:rsidTr="00E64275">
        <w:trPr>
          <w:cnfStyle w:val="100000000000" w:firstRow="1" w:lastRow="0" w:firstColumn="0" w:lastColumn="0" w:oddVBand="0" w:evenVBand="0" w:oddHBand="0" w:evenHBand="0" w:firstRowFirstColumn="0" w:firstRowLastColumn="0" w:lastRowFirstColumn="0" w:lastRowLastColumn="0"/>
          <w:tblHeader/>
        </w:trPr>
        <w:tc>
          <w:tcPr>
            <w:tcW w:w="2067" w:type="dxa"/>
          </w:tcPr>
          <w:p w14:paraId="20F06B47" w14:textId="6711F1CF" w:rsidR="00402BA2" w:rsidRPr="00455E52" w:rsidRDefault="00402BA2" w:rsidP="00455E52">
            <w:r w:rsidRPr="00455E52">
              <w:t>Country</w:t>
            </w:r>
            <w:r w:rsidR="007E615C">
              <w:br/>
            </w:r>
            <w:r w:rsidRPr="00455E52">
              <w:t>(purpose of valuation)</w:t>
            </w:r>
          </w:p>
        </w:tc>
        <w:tc>
          <w:tcPr>
            <w:tcW w:w="1325" w:type="dxa"/>
          </w:tcPr>
          <w:p w14:paraId="425047F4" w14:textId="51ACC3BF" w:rsidR="00402BA2" w:rsidRPr="00455E52" w:rsidRDefault="00402BA2" w:rsidP="00455E52">
            <w:r w:rsidRPr="00455E52">
              <w:t>Band</w:t>
            </w:r>
            <w:r w:rsidR="00970735">
              <w:t>s</w:t>
            </w:r>
            <w:r w:rsidRPr="00455E52">
              <w:t xml:space="preserve"> (MHz)</w:t>
            </w:r>
          </w:p>
        </w:tc>
        <w:tc>
          <w:tcPr>
            <w:tcW w:w="3108" w:type="dxa"/>
            <w:gridSpan w:val="2"/>
          </w:tcPr>
          <w:p w14:paraId="1CE52838" w14:textId="77777777" w:rsidR="00402BA2" w:rsidRPr="00455E52" w:rsidRDefault="00402BA2" w:rsidP="00B916E4">
            <w:pPr>
              <w:jc w:val="center"/>
            </w:pPr>
            <w:r w:rsidRPr="00455E52">
              <w:t>Benchmarking</w:t>
            </w:r>
          </w:p>
        </w:tc>
        <w:tc>
          <w:tcPr>
            <w:tcW w:w="3108" w:type="dxa"/>
            <w:gridSpan w:val="2"/>
          </w:tcPr>
          <w:p w14:paraId="1E44B840" w14:textId="77777777" w:rsidR="00402BA2" w:rsidRPr="00455E52" w:rsidRDefault="00402BA2" w:rsidP="00B916E4">
            <w:pPr>
              <w:jc w:val="center"/>
            </w:pPr>
            <w:r w:rsidRPr="00455E52">
              <w:t>Modelling</w:t>
            </w:r>
          </w:p>
        </w:tc>
      </w:tr>
      <w:tr w:rsidR="00E64275" w:rsidRPr="00455E52" w14:paraId="625DF988" w14:textId="77777777" w:rsidTr="00E64275">
        <w:trPr>
          <w:cnfStyle w:val="100000000000" w:firstRow="1" w:lastRow="0" w:firstColumn="0" w:lastColumn="0" w:oddVBand="0" w:evenVBand="0" w:oddHBand="0" w:evenHBand="0" w:firstRowFirstColumn="0" w:firstRowLastColumn="0" w:lastRowFirstColumn="0" w:lastRowLastColumn="0"/>
          <w:tblHeader/>
        </w:trPr>
        <w:tc>
          <w:tcPr>
            <w:tcW w:w="2067" w:type="dxa"/>
            <w:shd w:val="clear" w:color="auto" w:fill="EC008C" w:themeFill="accent3"/>
          </w:tcPr>
          <w:p w14:paraId="090CEB1E" w14:textId="77777777" w:rsidR="00402BA2" w:rsidRPr="00455E52" w:rsidRDefault="00402BA2" w:rsidP="00455E52"/>
        </w:tc>
        <w:tc>
          <w:tcPr>
            <w:tcW w:w="1325" w:type="dxa"/>
            <w:shd w:val="clear" w:color="auto" w:fill="EC008C" w:themeFill="accent3"/>
          </w:tcPr>
          <w:p w14:paraId="4FA48CCE" w14:textId="77777777" w:rsidR="00402BA2" w:rsidRPr="00455E52" w:rsidRDefault="00402BA2" w:rsidP="00455E52"/>
        </w:tc>
        <w:tc>
          <w:tcPr>
            <w:tcW w:w="1553" w:type="dxa"/>
            <w:shd w:val="clear" w:color="auto" w:fill="EC008C" w:themeFill="accent3"/>
          </w:tcPr>
          <w:p w14:paraId="76BA896F" w14:textId="15E16764" w:rsidR="00402BA2" w:rsidRPr="00455E52" w:rsidRDefault="00402BA2" w:rsidP="00B916E4">
            <w:pPr>
              <w:jc w:val="center"/>
            </w:pPr>
            <w:r w:rsidRPr="00455E52">
              <w:t>Direct</w:t>
            </w:r>
            <w:r w:rsidR="00455E52">
              <w:t xml:space="preserve"> or</w:t>
            </w:r>
            <w:r w:rsidRPr="00455E52">
              <w:t xml:space="preserve"> adjusted</w:t>
            </w:r>
          </w:p>
        </w:tc>
        <w:tc>
          <w:tcPr>
            <w:tcW w:w="1555" w:type="dxa"/>
            <w:shd w:val="clear" w:color="auto" w:fill="EC008C" w:themeFill="accent3"/>
          </w:tcPr>
          <w:p w14:paraId="6D3755EA" w14:textId="77777777" w:rsidR="00402BA2" w:rsidRPr="00455E52" w:rsidRDefault="00402BA2" w:rsidP="00B916E4">
            <w:pPr>
              <w:jc w:val="center"/>
            </w:pPr>
            <w:r w:rsidRPr="00455E52">
              <w:t>Econometrics</w:t>
            </w:r>
          </w:p>
        </w:tc>
        <w:tc>
          <w:tcPr>
            <w:tcW w:w="1553" w:type="dxa"/>
            <w:shd w:val="clear" w:color="auto" w:fill="EC008C" w:themeFill="accent3"/>
          </w:tcPr>
          <w:p w14:paraId="7EE7F61A" w14:textId="77777777" w:rsidR="00402BA2" w:rsidRPr="00455E52" w:rsidRDefault="00402BA2" w:rsidP="00B916E4">
            <w:pPr>
              <w:jc w:val="center"/>
            </w:pPr>
            <w:r w:rsidRPr="00455E52">
              <w:t>Avoided cost</w:t>
            </w:r>
          </w:p>
        </w:tc>
        <w:tc>
          <w:tcPr>
            <w:tcW w:w="1555" w:type="dxa"/>
            <w:shd w:val="clear" w:color="auto" w:fill="EC008C" w:themeFill="accent3"/>
          </w:tcPr>
          <w:p w14:paraId="23D94CA4" w14:textId="54E3C492" w:rsidR="00402BA2" w:rsidRPr="00455E52" w:rsidRDefault="00402BA2" w:rsidP="00B916E4">
            <w:pPr>
              <w:jc w:val="center"/>
            </w:pPr>
            <w:r w:rsidRPr="00455E52">
              <w:t>Full enterprise value</w:t>
            </w:r>
          </w:p>
        </w:tc>
      </w:tr>
      <w:tr w:rsidR="00970735" w:rsidRPr="00455E52" w14:paraId="6639BEB4" w14:textId="77777777" w:rsidTr="009E6FD1">
        <w:tc>
          <w:tcPr>
            <w:tcW w:w="2067" w:type="dxa"/>
          </w:tcPr>
          <w:p w14:paraId="55EB580E" w14:textId="716DDEEB" w:rsidR="00970735" w:rsidRPr="00455E52" w:rsidRDefault="00970735" w:rsidP="009E6FD1">
            <w:r w:rsidRPr="00455E52">
              <w:t>Australia 2012</w:t>
            </w:r>
            <w:r w:rsidR="00D204C0">
              <w:br/>
            </w:r>
            <w:r w:rsidRPr="00455E52">
              <w:t>(licence renewal)</w:t>
            </w:r>
          </w:p>
        </w:tc>
        <w:tc>
          <w:tcPr>
            <w:tcW w:w="1325" w:type="dxa"/>
          </w:tcPr>
          <w:p w14:paraId="409DE2AF" w14:textId="77777777" w:rsidR="00970735" w:rsidRPr="00455E52" w:rsidRDefault="00970735" w:rsidP="009E6FD1">
            <w:r w:rsidRPr="00455E52">
              <w:t>850, 1800, 2100</w:t>
            </w:r>
          </w:p>
        </w:tc>
        <w:tc>
          <w:tcPr>
            <w:tcW w:w="1553" w:type="dxa"/>
          </w:tcPr>
          <w:p w14:paraId="040E2600" w14:textId="77777777" w:rsidR="00970735" w:rsidRPr="00455E52" w:rsidRDefault="00970735" w:rsidP="009E6FD1">
            <w:pPr>
              <w:jc w:val="center"/>
            </w:pPr>
            <w:r w:rsidRPr="00455E52">
              <w:rPr>
                <w:rFonts w:ascii="Wingdings" w:eastAsia="Wingdings" w:hAnsi="Wingdings" w:cs="Wingdings"/>
              </w:rPr>
              <w:t>ü</w:t>
            </w:r>
          </w:p>
        </w:tc>
        <w:tc>
          <w:tcPr>
            <w:tcW w:w="1555" w:type="dxa"/>
          </w:tcPr>
          <w:p w14:paraId="2DD479FC" w14:textId="77777777" w:rsidR="00970735" w:rsidRPr="00455E52" w:rsidRDefault="00970735" w:rsidP="009E6FD1">
            <w:pPr>
              <w:jc w:val="center"/>
            </w:pPr>
            <w:r w:rsidRPr="00455E52">
              <w:rPr>
                <w:rFonts w:ascii="Wingdings" w:eastAsia="Wingdings" w:hAnsi="Wingdings" w:cs="Wingdings"/>
              </w:rPr>
              <w:t>û</w:t>
            </w:r>
          </w:p>
        </w:tc>
        <w:tc>
          <w:tcPr>
            <w:tcW w:w="1553" w:type="dxa"/>
          </w:tcPr>
          <w:p w14:paraId="4B5883ED" w14:textId="77777777" w:rsidR="00970735" w:rsidRPr="00455E52" w:rsidRDefault="00970735" w:rsidP="009E6FD1">
            <w:pPr>
              <w:jc w:val="center"/>
            </w:pPr>
            <w:r w:rsidRPr="00455E52">
              <w:rPr>
                <w:rFonts w:ascii="Wingdings" w:eastAsia="Wingdings" w:hAnsi="Wingdings" w:cs="Wingdings"/>
              </w:rPr>
              <w:t>ü</w:t>
            </w:r>
          </w:p>
        </w:tc>
        <w:tc>
          <w:tcPr>
            <w:tcW w:w="1555" w:type="dxa"/>
          </w:tcPr>
          <w:p w14:paraId="1DC9EA99" w14:textId="77777777" w:rsidR="00970735" w:rsidRPr="00455E52" w:rsidRDefault="00970735" w:rsidP="009E6FD1">
            <w:pPr>
              <w:jc w:val="center"/>
            </w:pPr>
            <w:r w:rsidRPr="00455E52">
              <w:rPr>
                <w:rFonts w:ascii="Wingdings" w:eastAsia="Wingdings" w:hAnsi="Wingdings" w:cs="Wingdings"/>
              </w:rPr>
              <w:t>ü</w:t>
            </w:r>
          </w:p>
        </w:tc>
      </w:tr>
      <w:tr w:rsidR="00DB2168" w:rsidRPr="00455E52" w14:paraId="2EBF27E7" w14:textId="77777777" w:rsidTr="00F97326">
        <w:trPr>
          <w:cnfStyle w:val="000000010000" w:firstRow="0" w:lastRow="0" w:firstColumn="0" w:lastColumn="0" w:oddVBand="0" w:evenVBand="0" w:oddHBand="0" w:evenHBand="1" w:firstRowFirstColumn="0" w:firstRowLastColumn="0" w:lastRowFirstColumn="0" w:lastRowLastColumn="0"/>
        </w:trPr>
        <w:tc>
          <w:tcPr>
            <w:tcW w:w="2067" w:type="dxa"/>
          </w:tcPr>
          <w:p w14:paraId="0B130AF7" w14:textId="1EBCC34D" w:rsidR="00DB2168" w:rsidRDefault="00DB2168" w:rsidP="00DB2168">
            <w:r>
              <w:t>UK 2022</w:t>
            </w:r>
            <w:r>
              <w:rPr>
                <w:rStyle w:val="FootnoteReference"/>
              </w:rPr>
              <w:footnoteReference w:id="19"/>
            </w:r>
            <w:r>
              <w:br/>
              <w:t>(spectrum fees)</w:t>
            </w:r>
          </w:p>
        </w:tc>
        <w:tc>
          <w:tcPr>
            <w:tcW w:w="1325" w:type="dxa"/>
          </w:tcPr>
          <w:p w14:paraId="7498498B" w14:textId="0E0E3B65" w:rsidR="00DB2168" w:rsidRDefault="00DB2168" w:rsidP="00DB2168">
            <w:r>
              <w:t>10 GHz</w:t>
            </w:r>
          </w:p>
        </w:tc>
        <w:tc>
          <w:tcPr>
            <w:tcW w:w="1553" w:type="dxa"/>
          </w:tcPr>
          <w:p w14:paraId="114A52F5" w14:textId="7852CD99" w:rsidR="00DB2168" w:rsidRPr="00455E52" w:rsidRDefault="00DB2168" w:rsidP="00DB2168">
            <w:pPr>
              <w:jc w:val="center"/>
            </w:pPr>
            <w:r w:rsidRPr="00455E52">
              <w:rPr>
                <w:rFonts w:ascii="Wingdings" w:eastAsia="Wingdings" w:hAnsi="Wingdings" w:cs="Wingdings"/>
              </w:rPr>
              <w:t>ü</w:t>
            </w:r>
          </w:p>
        </w:tc>
        <w:tc>
          <w:tcPr>
            <w:tcW w:w="1555" w:type="dxa"/>
          </w:tcPr>
          <w:p w14:paraId="6B5D4569" w14:textId="0D934AA0" w:rsidR="00DB2168" w:rsidRPr="00455E52" w:rsidRDefault="00DB2168" w:rsidP="00DB2168">
            <w:pPr>
              <w:jc w:val="center"/>
            </w:pPr>
            <w:r w:rsidRPr="00455E52">
              <w:rPr>
                <w:rFonts w:ascii="Wingdings" w:eastAsia="Wingdings" w:hAnsi="Wingdings" w:cs="Wingdings"/>
              </w:rPr>
              <w:t>û</w:t>
            </w:r>
          </w:p>
        </w:tc>
        <w:tc>
          <w:tcPr>
            <w:tcW w:w="1553" w:type="dxa"/>
          </w:tcPr>
          <w:p w14:paraId="743CC720" w14:textId="66A2A03C" w:rsidR="00DB2168" w:rsidRPr="00455E52" w:rsidRDefault="00DB2168" w:rsidP="00DB2168">
            <w:pPr>
              <w:jc w:val="center"/>
            </w:pPr>
            <w:r w:rsidRPr="00455E52">
              <w:rPr>
                <w:rFonts w:ascii="Wingdings" w:eastAsia="Wingdings" w:hAnsi="Wingdings" w:cs="Wingdings"/>
              </w:rPr>
              <w:t>û</w:t>
            </w:r>
          </w:p>
        </w:tc>
        <w:tc>
          <w:tcPr>
            <w:tcW w:w="1555" w:type="dxa"/>
          </w:tcPr>
          <w:p w14:paraId="5AB00BBD" w14:textId="32EB2D06" w:rsidR="00DB2168" w:rsidRPr="00455E52" w:rsidRDefault="00DB2168" w:rsidP="00DB2168">
            <w:pPr>
              <w:jc w:val="center"/>
            </w:pPr>
            <w:r w:rsidRPr="00455E52">
              <w:rPr>
                <w:rFonts w:ascii="Wingdings" w:eastAsia="Wingdings" w:hAnsi="Wingdings" w:cs="Wingdings"/>
              </w:rPr>
              <w:t>ü</w:t>
            </w:r>
          </w:p>
        </w:tc>
      </w:tr>
      <w:tr w:rsidR="00E64275" w:rsidRPr="00455E52" w14:paraId="5F888116" w14:textId="77777777" w:rsidTr="00F97326">
        <w:tc>
          <w:tcPr>
            <w:tcW w:w="2067" w:type="dxa"/>
          </w:tcPr>
          <w:p w14:paraId="6F5ADB92" w14:textId="1C3C71E7" w:rsidR="00E64275" w:rsidRDefault="00E64275" w:rsidP="00E64275">
            <w:r>
              <w:t>France 2021</w:t>
            </w:r>
            <w:r>
              <w:br/>
              <w:t>(spectrum fees)</w:t>
            </w:r>
          </w:p>
        </w:tc>
        <w:tc>
          <w:tcPr>
            <w:tcW w:w="1325" w:type="dxa"/>
          </w:tcPr>
          <w:p w14:paraId="0BA6677A" w14:textId="2A26637C" w:rsidR="00E64275" w:rsidRDefault="00E64275" w:rsidP="00E64275">
            <w:r>
              <w:t>26 GHz</w:t>
            </w:r>
          </w:p>
        </w:tc>
        <w:tc>
          <w:tcPr>
            <w:tcW w:w="1553" w:type="dxa"/>
          </w:tcPr>
          <w:p w14:paraId="09DC7B7B" w14:textId="6F9D30E6" w:rsidR="00E64275" w:rsidRPr="00455E52" w:rsidRDefault="00E64275" w:rsidP="00E64275">
            <w:pPr>
              <w:jc w:val="center"/>
            </w:pPr>
            <w:r w:rsidRPr="00455E52">
              <w:rPr>
                <w:rFonts w:ascii="Wingdings" w:eastAsia="Wingdings" w:hAnsi="Wingdings" w:cs="Wingdings"/>
              </w:rPr>
              <w:t>û</w:t>
            </w:r>
          </w:p>
        </w:tc>
        <w:tc>
          <w:tcPr>
            <w:tcW w:w="1555" w:type="dxa"/>
          </w:tcPr>
          <w:p w14:paraId="6A79CE16" w14:textId="7C69E6DB" w:rsidR="00E64275" w:rsidRPr="00455E52" w:rsidRDefault="00E64275" w:rsidP="00E64275">
            <w:pPr>
              <w:jc w:val="center"/>
            </w:pPr>
            <w:r w:rsidRPr="00455E52">
              <w:rPr>
                <w:rFonts w:ascii="Wingdings" w:eastAsia="Wingdings" w:hAnsi="Wingdings" w:cs="Wingdings"/>
              </w:rPr>
              <w:t>û</w:t>
            </w:r>
          </w:p>
        </w:tc>
        <w:tc>
          <w:tcPr>
            <w:tcW w:w="1553" w:type="dxa"/>
          </w:tcPr>
          <w:p w14:paraId="5DE408DE" w14:textId="7145806D" w:rsidR="00E64275" w:rsidRPr="00455E52" w:rsidRDefault="00E64275" w:rsidP="00E64275">
            <w:pPr>
              <w:jc w:val="center"/>
            </w:pPr>
            <w:r w:rsidRPr="00455E52">
              <w:rPr>
                <w:rFonts w:ascii="Wingdings" w:eastAsia="Wingdings" w:hAnsi="Wingdings" w:cs="Wingdings"/>
              </w:rPr>
              <w:t>ü</w:t>
            </w:r>
          </w:p>
        </w:tc>
        <w:tc>
          <w:tcPr>
            <w:tcW w:w="1555" w:type="dxa"/>
          </w:tcPr>
          <w:p w14:paraId="1035158D" w14:textId="2BD1B47A" w:rsidR="00E64275" w:rsidRPr="00455E52" w:rsidRDefault="00E64275" w:rsidP="00E64275">
            <w:pPr>
              <w:jc w:val="center"/>
            </w:pPr>
            <w:r w:rsidRPr="00455E52">
              <w:rPr>
                <w:rFonts w:ascii="Wingdings" w:eastAsia="Wingdings" w:hAnsi="Wingdings" w:cs="Wingdings"/>
              </w:rPr>
              <w:t>ü</w:t>
            </w:r>
          </w:p>
        </w:tc>
      </w:tr>
      <w:tr w:rsidR="00E64275" w:rsidRPr="00455E52" w14:paraId="5FAF1CE6" w14:textId="77777777" w:rsidTr="00F97326">
        <w:trPr>
          <w:cnfStyle w:val="000000010000" w:firstRow="0" w:lastRow="0" w:firstColumn="0" w:lastColumn="0" w:oddVBand="0" w:evenVBand="0" w:oddHBand="0" w:evenHBand="1" w:firstRowFirstColumn="0" w:firstRowLastColumn="0" w:lastRowFirstColumn="0" w:lastRowLastColumn="0"/>
        </w:trPr>
        <w:tc>
          <w:tcPr>
            <w:tcW w:w="2067" w:type="dxa"/>
          </w:tcPr>
          <w:p w14:paraId="6AF32A79" w14:textId="68E32D94" w:rsidR="00E64275" w:rsidRPr="00455E52" w:rsidRDefault="00E64275" w:rsidP="00E64275">
            <w:r>
              <w:t>UK 2019</w:t>
            </w:r>
            <w:r>
              <w:br/>
              <w:t>(reserve prices)</w:t>
            </w:r>
          </w:p>
        </w:tc>
        <w:tc>
          <w:tcPr>
            <w:tcW w:w="1325" w:type="dxa"/>
          </w:tcPr>
          <w:p w14:paraId="0DB15D6B" w14:textId="77777777" w:rsidR="00E64275" w:rsidRPr="00455E52" w:rsidRDefault="00E64275" w:rsidP="00E64275">
            <w:r>
              <w:t>700, 3500</w:t>
            </w:r>
          </w:p>
        </w:tc>
        <w:tc>
          <w:tcPr>
            <w:tcW w:w="1553" w:type="dxa"/>
          </w:tcPr>
          <w:p w14:paraId="68599647" w14:textId="77777777" w:rsidR="00E64275" w:rsidRPr="00455E52" w:rsidRDefault="00E64275" w:rsidP="00E64275">
            <w:pPr>
              <w:jc w:val="center"/>
            </w:pPr>
            <w:r w:rsidRPr="00455E52">
              <w:rPr>
                <w:rFonts w:ascii="Wingdings" w:eastAsia="Wingdings" w:hAnsi="Wingdings" w:cs="Wingdings"/>
              </w:rPr>
              <w:t>ü</w:t>
            </w:r>
          </w:p>
        </w:tc>
        <w:tc>
          <w:tcPr>
            <w:tcW w:w="1555" w:type="dxa"/>
          </w:tcPr>
          <w:p w14:paraId="4FE71BC7" w14:textId="77777777" w:rsidR="00E64275" w:rsidRPr="00455E52" w:rsidRDefault="00E64275" w:rsidP="00E64275">
            <w:pPr>
              <w:jc w:val="center"/>
            </w:pPr>
            <w:r w:rsidRPr="00455E52">
              <w:rPr>
                <w:rFonts w:ascii="Wingdings" w:eastAsia="Wingdings" w:hAnsi="Wingdings" w:cs="Wingdings"/>
              </w:rPr>
              <w:t>û</w:t>
            </w:r>
          </w:p>
        </w:tc>
        <w:tc>
          <w:tcPr>
            <w:tcW w:w="1553" w:type="dxa"/>
          </w:tcPr>
          <w:p w14:paraId="7021700A" w14:textId="77777777" w:rsidR="00E64275" w:rsidRPr="00455E52" w:rsidRDefault="00E64275" w:rsidP="00E64275">
            <w:pPr>
              <w:jc w:val="center"/>
            </w:pPr>
            <w:r w:rsidRPr="00455E52">
              <w:rPr>
                <w:rFonts w:ascii="Wingdings" w:eastAsia="Wingdings" w:hAnsi="Wingdings" w:cs="Wingdings"/>
              </w:rPr>
              <w:t>ü</w:t>
            </w:r>
          </w:p>
        </w:tc>
        <w:tc>
          <w:tcPr>
            <w:tcW w:w="1555" w:type="dxa"/>
          </w:tcPr>
          <w:p w14:paraId="4DD42C2A" w14:textId="77777777" w:rsidR="00E64275" w:rsidRPr="00455E52" w:rsidRDefault="00E64275" w:rsidP="00E64275">
            <w:pPr>
              <w:jc w:val="center"/>
            </w:pPr>
            <w:r w:rsidRPr="00455E52">
              <w:rPr>
                <w:rFonts w:ascii="Wingdings" w:eastAsia="Wingdings" w:hAnsi="Wingdings" w:cs="Wingdings"/>
              </w:rPr>
              <w:t>û</w:t>
            </w:r>
          </w:p>
        </w:tc>
      </w:tr>
      <w:tr w:rsidR="00E64275" w:rsidRPr="00455E52" w14:paraId="786E33F7" w14:textId="77777777" w:rsidTr="00455E52">
        <w:tc>
          <w:tcPr>
            <w:tcW w:w="2067" w:type="dxa"/>
          </w:tcPr>
          <w:p w14:paraId="675AD192" w14:textId="66338AED" w:rsidR="00E64275" w:rsidRDefault="00E64275" w:rsidP="00E64275">
            <w:r>
              <w:t>Bahrain 2020</w:t>
            </w:r>
            <w:r>
              <w:br/>
              <w:t>(reserve prices)</w:t>
            </w:r>
          </w:p>
        </w:tc>
        <w:tc>
          <w:tcPr>
            <w:tcW w:w="1325" w:type="dxa"/>
          </w:tcPr>
          <w:p w14:paraId="2226A9FB" w14:textId="49559F8A" w:rsidR="00E64275" w:rsidRDefault="00E64275" w:rsidP="00E64275">
            <w:r>
              <w:t>3500</w:t>
            </w:r>
          </w:p>
        </w:tc>
        <w:tc>
          <w:tcPr>
            <w:tcW w:w="1553" w:type="dxa"/>
          </w:tcPr>
          <w:p w14:paraId="4053C7CB" w14:textId="6FC9FE70" w:rsidR="00E64275" w:rsidRPr="00455E52" w:rsidRDefault="00E64275" w:rsidP="00E64275">
            <w:pPr>
              <w:jc w:val="center"/>
            </w:pPr>
            <w:r w:rsidRPr="00455E52">
              <w:rPr>
                <w:rFonts w:ascii="Wingdings" w:eastAsia="Wingdings" w:hAnsi="Wingdings" w:cs="Wingdings"/>
              </w:rPr>
              <w:t>ü</w:t>
            </w:r>
          </w:p>
        </w:tc>
        <w:tc>
          <w:tcPr>
            <w:tcW w:w="1555" w:type="dxa"/>
          </w:tcPr>
          <w:p w14:paraId="692486C4" w14:textId="3333012E" w:rsidR="00E64275" w:rsidRPr="00455E52" w:rsidRDefault="00E64275" w:rsidP="00E64275">
            <w:pPr>
              <w:jc w:val="center"/>
            </w:pPr>
            <w:r w:rsidRPr="00455E52">
              <w:rPr>
                <w:rFonts w:ascii="Wingdings" w:eastAsia="Wingdings" w:hAnsi="Wingdings" w:cs="Wingdings"/>
              </w:rPr>
              <w:t>ü</w:t>
            </w:r>
          </w:p>
        </w:tc>
        <w:tc>
          <w:tcPr>
            <w:tcW w:w="1553" w:type="dxa"/>
          </w:tcPr>
          <w:p w14:paraId="39530D1B" w14:textId="2DD9D336" w:rsidR="00E64275" w:rsidRPr="00455E52" w:rsidRDefault="00E64275" w:rsidP="00E64275">
            <w:pPr>
              <w:jc w:val="center"/>
            </w:pPr>
            <w:r w:rsidRPr="00455E52">
              <w:rPr>
                <w:rFonts w:ascii="Wingdings" w:eastAsia="Wingdings" w:hAnsi="Wingdings" w:cs="Wingdings"/>
              </w:rPr>
              <w:t>û</w:t>
            </w:r>
          </w:p>
        </w:tc>
        <w:tc>
          <w:tcPr>
            <w:tcW w:w="1555" w:type="dxa"/>
          </w:tcPr>
          <w:p w14:paraId="422AA0F8" w14:textId="18888FB1" w:rsidR="00E64275" w:rsidRPr="00455E52" w:rsidRDefault="00E64275" w:rsidP="00E64275">
            <w:pPr>
              <w:jc w:val="center"/>
            </w:pPr>
            <w:r w:rsidRPr="00455E52">
              <w:rPr>
                <w:rFonts w:ascii="Wingdings" w:eastAsia="Wingdings" w:hAnsi="Wingdings" w:cs="Wingdings"/>
              </w:rPr>
              <w:t>û</w:t>
            </w:r>
          </w:p>
        </w:tc>
      </w:tr>
      <w:tr w:rsidR="00E64275" w:rsidRPr="00455E52" w14:paraId="7983617A" w14:textId="77777777" w:rsidTr="00455E52">
        <w:trPr>
          <w:cnfStyle w:val="000000010000" w:firstRow="0" w:lastRow="0" w:firstColumn="0" w:lastColumn="0" w:oddVBand="0" w:evenVBand="0" w:oddHBand="0" w:evenHBand="1" w:firstRowFirstColumn="0" w:firstRowLastColumn="0" w:lastRowFirstColumn="0" w:lastRowLastColumn="0"/>
        </w:trPr>
        <w:tc>
          <w:tcPr>
            <w:tcW w:w="2067" w:type="dxa"/>
          </w:tcPr>
          <w:p w14:paraId="39BBFC89" w14:textId="743CF979" w:rsidR="00E64275" w:rsidRPr="00455E52" w:rsidRDefault="00E64275" w:rsidP="00E64275">
            <w:r>
              <w:t>New Zealand 2018 (licence renewal)</w:t>
            </w:r>
          </w:p>
        </w:tc>
        <w:tc>
          <w:tcPr>
            <w:tcW w:w="1325" w:type="dxa"/>
          </w:tcPr>
          <w:p w14:paraId="7BD3E98F" w14:textId="1E18FCAF" w:rsidR="00E64275" w:rsidRPr="00455E52" w:rsidRDefault="00E64275" w:rsidP="00E64275">
            <w:r>
              <w:t>1800, 2100</w:t>
            </w:r>
          </w:p>
        </w:tc>
        <w:tc>
          <w:tcPr>
            <w:tcW w:w="1553" w:type="dxa"/>
          </w:tcPr>
          <w:p w14:paraId="0BB41255" w14:textId="4BB88A30" w:rsidR="00E64275" w:rsidRPr="00455E52" w:rsidRDefault="00E64275" w:rsidP="00E64275">
            <w:pPr>
              <w:jc w:val="center"/>
            </w:pPr>
            <w:r w:rsidRPr="00455E52">
              <w:rPr>
                <w:rFonts w:ascii="Wingdings" w:eastAsia="Wingdings" w:hAnsi="Wingdings" w:cs="Wingdings"/>
              </w:rPr>
              <w:t>ü</w:t>
            </w:r>
          </w:p>
        </w:tc>
        <w:tc>
          <w:tcPr>
            <w:tcW w:w="1555" w:type="dxa"/>
          </w:tcPr>
          <w:p w14:paraId="162FF244" w14:textId="5435773F" w:rsidR="00E64275" w:rsidRPr="00455E52" w:rsidRDefault="00E64275" w:rsidP="00E64275">
            <w:pPr>
              <w:jc w:val="center"/>
            </w:pPr>
            <w:r w:rsidRPr="00455E52">
              <w:rPr>
                <w:rFonts w:ascii="Wingdings" w:eastAsia="Wingdings" w:hAnsi="Wingdings" w:cs="Wingdings"/>
              </w:rPr>
              <w:t>ü</w:t>
            </w:r>
          </w:p>
        </w:tc>
        <w:tc>
          <w:tcPr>
            <w:tcW w:w="1553" w:type="dxa"/>
          </w:tcPr>
          <w:p w14:paraId="486DD4B3" w14:textId="11CCB256" w:rsidR="00E64275" w:rsidRPr="00455E52" w:rsidRDefault="00E64275" w:rsidP="00E64275">
            <w:pPr>
              <w:jc w:val="center"/>
            </w:pPr>
            <w:r w:rsidRPr="00455E52">
              <w:rPr>
                <w:rFonts w:ascii="Wingdings" w:eastAsia="Wingdings" w:hAnsi="Wingdings" w:cs="Wingdings"/>
              </w:rPr>
              <w:t>ü</w:t>
            </w:r>
          </w:p>
        </w:tc>
        <w:tc>
          <w:tcPr>
            <w:tcW w:w="1555" w:type="dxa"/>
          </w:tcPr>
          <w:p w14:paraId="3885A122" w14:textId="353CBC83" w:rsidR="00E64275" w:rsidRPr="00455E52" w:rsidRDefault="00E64275" w:rsidP="00E64275">
            <w:pPr>
              <w:jc w:val="center"/>
            </w:pPr>
            <w:r w:rsidRPr="00455E52">
              <w:rPr>
                <w:rFonts w:ascii="Wingdings" w:eastAsia="Wingdings" w:hAnsi="Wingdings" w:cs="Wingdings"/>
              </w:rPr>
              <w:t>û</w:t>
            </w:r>
          </w:p>
        </w:tc>
      </w:tr>
      <w:tr w:rsidR="003B465E" w:rsidRPr="00455E52" w14:paraId="10B1E8D7" w14:textId="77777777" w:rsidTr="00455E52">
        <w:tc>
          <w:tcPr>
            <w:tcW w:w="2067" w:type="dxa"/>
          </w:tcPr>
          <w:p w14:paraId="18FDB490" w14:textId="77777777" w:rsidR="003B465E" w:rsidRDefault="003B465E" w:rsidP="003B465E">
            <w:r>
              <w:t>Kosovo 2019</w:t>
            </w:r>
          </w:p>
          <w:p w14:paraId="282F5C88" w14:textId="20451778" w:rsidR="003B465E" w:rsidRDefault="003B465E" w:rsidP="003B465E">
            <w:r>
              <w:t>(spectrum fees)</w:t>
            </w:r>
          </w:p>
        </w:tc>
        <w:tc>
          <w:tcPr>
            <w:tcW w:w="1325" w:type="dxa"/>
          </w:tcPr>
          <w:p w14:paraId="3BFD9E08" w14:textId="7891FBB9" w:rsidR="003B465E" w:rsidRDefault="003B465E" w:rsidP="003B465E">
            <w:r>
              <w:t>800, 900, 1800, 2100</w:t>
            </w:r>
          </w:p>
        </w:tc>
        <w:tc>
          <w:tcPr>
            <w:tcW w:w="1553" w:type="dxa"/>
          </w:tcPr>
          <w:p w14:paraId="0BA45D78" w14:textId="58FB5AC3" w:rsidR="003B465E" w:rsidRPr="00455E52" w:rsidRDefault="003B465E" w:rsidP="003B465E">
            <w:pPr>
              <w:jc w:val="center"/>
            </w:pPr>
            <w:r w:rsidRPr="00455E52">
              <w:rPr>
                <w:rFonts w:ascii="Wingdings" w:eastAsia="Wingdings" w:hAnsi="Wingdings" w:cs="Wingdings"/>
              </w:rPr>
              <w:t>ü</w:t>
            </w:r>
          </w:p>
        </w:tc>
        <w:tc>
          <w:tcPr>
            <w:tcW w:w="1555" w:type="dxa"/>
          </w:tcPr>
          <w:p w14:paraId="3BA27FCA" w14:textId="3DD5E0DA" w:rsidR="003B465E" w:rsidRPr="00455E52" w:rsidRDefault="003B465E" w:rsidP="003B465E">
            <w:pPr>
              <w:jc w:val="center"/>
            </w:pPr>
            <w:r w:rsidRPr="00455E52">
              <w:rPr>
                <w:rFonts w:ascii="Wingdings" w:eastAsia="Wingdings" w:hAnsi="Wingdings" w:cs="Wingdings"/>
              </w:rPr>
              <w:t>ü</w:t>
            </w:r>
          </w:p>
        </w:tc>
        <w:tc>
          <w:tcPr>
            <w:tcW w:w="1553" w:type="dxa"/>
          </w:tcPr>
          <w:p w14:paraId="640D2EE3" w14:textId="511FE841" w:rsidR="003B465E" w:rsidRPr="00455E52" w:rsidRDefault="003B465E" w:rsidP="003B465E">
            <w:pPr>
              <w:jc w:val="center"/>
            </w:pPr>
            <w:r w:rsidRPr="00455E52">
              <w:rPr>
                <w:rFonts w:ascii="Wingdings" w:eastAsia="Wingdings" w:hAnsi="Wingdings" w:cs="Wingdings"/>
              </w:rPr>
              <w:t>û</w:t>
            </w:r>
          </w:p>
        </w:tc>
        <w:tc>
          <w:tcPr>
            <w:tcW w:w="1555" w:type="dxa"/>
          </w:tcPr>
          <w:p w14:paraId="68CCB7BE" w14:textId="501DF661" w:rsidR="003B465E" w:rsidRPr="00455E52" w:rsidRDefault="003B465E" w:rsidP="003B465E">
            <w:pPr>
              <w:jc w:val="center"/>
            </w:pPr>
            <w:r w:rsidRPr="00455E52">
              <w:rPr>
                <w:rFonts w:ascii="Wingdings" w:eastAsia="Wingdings" w:hAnsi="Wingdings" w:cs="Wingdings"/>
              </w:rPr>
              <w:t>û</w:t>
            </w:r>
          </w:p>
        </w:tc>
      </w:tr>
      <w:tr w:rsidR="003B465E" w:rsidRPr="00455E52" w14:paraId="670A814F" w14:textId="77777777" w:rsidTr="00455E52">
        <w:trPr>
          <w:cnfStyle w:val="000000010000" w:firstRow="0" w:lastRow="0" w:firstColumn="0" w:lastColumn="0" w:oddVBand="0" w:evenVBand="0" w:oddHBand="0" w:evenHBand="1" w:firstRowFirstColumn="0" w:firstRowLastColumn="0" w:lastRowFirstColumn="0" w:lastRowLastColumn="0"/>
        </w:trPr>
        <w:tc>
          <w:tcPr>
            <w:tcW w:w="2067" w:type="dxa"/>
          </w:tcPr>
          <w:p w14:paraId="7A687039" w14:textId="339AABEB" w:rsidR="003B465E" w:rsidRPr="00455E52" w:rsidRDefault="003B465E" w:rsidP="003B465E">
            <w:r>
              <w:t>Mexico 2015</w:t>
            </w:r>
            <w:r>
              <w:br/>
              <w:t>(reserve prices)</w:t>
            </w:r>
          </w:p>
        </w:tc>
        <w:tc>
          <w:tcPr>
            <w:tcW w:w="1325" w:type="dxa"/>
          </w:tcPr>
          <w:p w14:paraId="13A624CF" w14:textId="66512DB0" w:rsidR="003B465E" w:rsidRPr="00455E52" w:rsidRDefault="003B465E" w:rsidP="003B465E">
            <w:r>
              <w:t>AWS, PCS, 2600</w:t>
            </w:r>
          </w:p>
        </w:tc>
        <w:tc>
          <w:tcPr>
            <w:tcW w:w="1553" w:type="dxa"/>
          </w:tcPr>
          <w:p w14:paraId="67DED477" w14:textId="70228EE0" w:rsidR="003B465E" w:rsidRPr="00455E52" w:rsidRDefault="003B465E" w:rsidP="003B465E">
            <w:pPr>
              <w:jc w:val="center"/>
            </w:pPr>
            <w:r w:rsidRPr="00455E52">
              <w:rPr>
                <w:rFonts w:ascii="Wingdings" w:eastAsia="Wingdings" w:hAnsi="Wingdings" w:cs="Wingdings"/>
              </w:rPr>
              <w:t>ü</w:t>
            </w:r>
          </w:p>
        </w:tc>
        <w:tc>
          <w:tcPr>
            <w:tcW w:w="1555" w:type="dxa"/>
          </w:tcPr>
          <w:p w14:paraId="6A89CD11" w14:textId="5C10E65B" w:rsidR="003B465E" w:rsidRPr="00455E52" w:rsidRDefault="003B465E" w:rsidP="003B465E">
            <w:pPr>
              <w:jc w:val="center"/>
            </w:pPr>
            <w:r w:rsidRPr="00455E52">
              <w:rPr>
                <w:rFonts w:ascii="Wingdings" w:eastAsia="Wingdings" w:hAnsi="Wingdings" w:cs="Wingdings"/>
              </w:rPr>
              <w:t>ü</w:t>
            </w:r>
          </w:p>
        </w:tc>
        <w:tc>
          <w:tcPr>
            <w:tcW w:w="1553" w:type="dxa"/>
          </w:tcPr>
          <w:p w14:paraId="438CFE56" w14:textId="04636631" w:rsidR="003B465E" w:rsidRPr="00455E52" w:rsidRDefault="003B465E" w:rsidP="003B465E">
            <w:pPr>
              <w:jc w:val="center"/>
            </w:pPr>
            <w:r w:rsidRPr="00455E52">
              <w:rPr>
                <w:rFonts w:ascii="Wingdings" w:eastAsia="Wingdings" w:hAnsi="Wingdings" w:cs="Wingdings"/>
              </w:rPr>
              <w:t>ü</w:t>
            </w:r>
          </w:p>
        </w:tc>
        <w:tc>
          <w:tcPr>
            <w:tcW w:w="1555" w:type="dxa"/>
          </w:tcPr>
          <w:p w14:paraId="1305F812" w14:textId="65180B14" w:rsidR="003B465E" w:rsidRPr="00455E52" w:rsidRDefault="003B465E" w:rsidP="003B465E">
            <w:pPr>
              <w:jc w:val="center"/>
            </w:pPr>
            <w:r w:rsidRPr="00455E52">
              <w:rPr>
                <w:rFonts w:ascii="Wingdings" w:eastAsia="Wingdings" w:hAnsi="Wingdings" w:cs="Wingdings"/>
              </w:rPr>
              <w:t>û</w:t>
            </w:r>
          </w:p>
        </w:tc>
      </w:tr>
      <w:tr w:rsidR="003B465E" w:rsidRPr="00455E52" w14:paraId="77569E88" w14:textId="77777777" w:rsidTr="00AD7419">
        <w:tc>
          <w:tcPr>
            <w:tcW w:w="2067" w:type="dxa"/>
          </w:tcPr>
          <w:p w14:paraId="56855FD5" w14:textId="3DFCC542" w:rsidR="003B465E" w:rsidRPr="00455E52" w:rsidRDefault="003B465E" w:rsidP="003B465E">
            <w:r w:rsidRPr="00455E52">
              <w:lastRenderedPageBreak/>
              <w:t>UK 2015</w:t>
            </w:r>
            <w:r>
              <w:br/>
            </w:r>
            <w:r w:rsidRPr="00455E52">
              <w:t>(licence fee revision)</w:t>
            </w:r>
          </w:p>
        </w:tc>
        <w:tc>
          <w:tcPr>
            <w:tcW w:w="1325" w:type="dxa"/>
          </w:tcPr>
          <w:p w14:paraId="55BA607E" w14:textId="77777777" w:rsidR="003B465E" w:rsidRPr="00455E52" w:rsidRDefault="003B465E" w:rsidP="003B465E">
            <w:r w:rsidRPr="00455E52">
              <w:t>900, 1800</w:t>
            </w:r>
          </w:p>
        </w:tc>
        <w:tc>
          <w:tcPr>
            <w:tcW w:w="1553" w:type="dxa"/>
          </w:tcPr>
          <w:p w14:paraId="6A14B41D" w14:textId="77777777" w:rsidR="003B465E" w:rsidRPr="00455E52" w:rsidRDefault="003B465E" w:rsidP="003B465E">
            <w:pPr>
              <w:jc w:val="center"/>
            </w:pPr>
            <w:r w:rsidRPr="00455E52">
              <w:rPr>
                <w:rFonts w:ascii="Wingdings" w:eastAsia="Wingdings" w:hAnsi="Wingdings" w:cs="Wingdings"/>
              </w:rPr>
              <w:t>ü</w:t>
            </w:r>
          </w:p>
        </w:tc>
        <w:tc>
          <w:tcPr>
            <w:tcW w:w="1555" w:type="dxa"/>
          </w:tcPr>
          <w:p w14:paraId="374E9D6B" w14:textId="77777777" w:rsidR="003B465E" w:rsidRPr="00455E52" w:rsidRDefault="003B465E" w:rsidP="003B465E">
            <w:pPr>
              <w:jc w:val="center"/>
            </w:pPr>
            <w:r w:rsidRPr="00455E52">
              <w:rPr>
                <w:rFonts w:ascii="Wingdings" w:eastAsia="Wingdings" w:hAnsi="Wingdings" w:cs="Wingdings"/>
              </w:rPr>
              <w:t>û</w:t>
            </w:r>
          </w:p>
        </w:tc>
        <w:tc>
          <w:tcPr>
            <w:tcW w:w="1553" w:type="dxa"/>
          </w:tcPr>
          <w:p w14:paraId="5DF9E664" w14:textId="77777777" w:rsidR="003B465E" w:rsidRPr="00455E52" w:rsidRDefault="003B465E" w:rsidP="003B465E">
            <w:pPr>
              <w:jc w:val="center"/>
            </w:pPr>
            <w:r w:rsidRPr="00455E52">
              <w:rPr>
                <w:rFonts w:ascii="Wingdings" w:eastAsia="Wingdings" w:hAnsi="Wingdings" w:cs="Wingdings"/>
              </w:rPr>
              <w:t>û</w:t>
            </w:r>
          </w:p>
        </w:tc>
        <w:tc>
          <w:tcPr>
            <w:tcW w:w="1555" w:type="dxa"/>
          </w:tcPr>
          <w:p w14:paraId="57085FF8" w14:textId="77777777" w:rsidR="003B465E" w:rsidRPr="00455E52" w:rsidRDefault="003B465E" w:rsidP="003B465E">
            <w:pPr>
              <w:jc w:val="center"/>
            </w:pPr>
            <w:r w:rsidRPr="00455E52">
              <w:rPr>
                <w:rFonts w:ascii="Wingdings" w:eastAsia="Wingdings" w:hAnsi="Wingdings" w:cs="Wingdings"/>
              </w:rPr>
              <w:t>û</w:t>
            </w:r>
          </w:p>
        </w:tc>
      </w:tr>
      <w:tr w:rsidR="003B465E" w:rsidRPr="00455E52" w14:paraId="5C6E727B" w14:textId="77777777" w:rsidTr="00455E52">
        <w:trPr>
          <w:cnfStyle w:val="000000010000" w:firstRow="0" w:lastRow="0" w:firstColumn="0" w:lastColumn="0" w:oddVBand="0" w:evenVBand="0" w:oddHBand="0" w:evenHBand="1" w:firstRowFirstColumn="0" w:firstRowLastColumn="0" w:lastRowFirstColumn="0" w:lastRowLastColumn="0"/>
        </w:trPr>
        <w:tc>
          <w:tcPr>
            <w:tcW w:w="2067" w:type="dxa"/>
          </w:tcPr>
          <w:p w14:paraId="3165AB94" w14:textId="394EF063" w:rsidR="003B465E" w:rsidRPr="00455E52" w:rsidRDefault="003B465E" w:rsidP="003B465E">
            <w:r w:rsidRPr="00455E52">
              <w:t>Hong Kong 2013</w:t>
            </w:r>
            <w:r>
              <w:br/>
            </w:r>
            <w:r w:rsidRPr="00455E52">
              <w:t>(licence renewal)</w:t>
            </w:r>
          </w:p>
        </w:tc>
        <w:tc>
          <w:tcPr>
            <w:tcW w:w="1325" w:type="dxa"/>
          </w:tcPr>
          <w:p w14:paraId="24742123" w14:textId="77777777" w:rsidR="003B465E" w:rsidRPr="00455E52" w:rsidRDefault="003B465E" w:rsidP="003B465E">
            <w:r w:rsidRPr="00455E52">
              <w:t>2100</w:t>
            </w:r>
          </w:p>
        </w:tc>
        <w:tc>
          <w:tcPr>
            <w:tcW w:w="1553" w:type="dxa"/>
          </w:tcPr>
          <w:p w14:paraId="1628036D" w14:textId="77777777" w:rsidR="003B465E" w:rsidRPr="00455E52" w:rsidRDefault="003B465E" w:rsidP="003B465E">
            <w:pPr>
              <w:jc w:val="center"/>
            </w:pPr>
            <w:r w:rsidRPr="00455E52">
              <w:rPr>
                <w:rFonts w:ascii="Wingdings" w:eastAsia="Wingdings" w:hAnsi="Wingdings" w:cs="Wingdings"/>
              </w:rPr>
              <w:t>ü</w:t>
            </w:r>
            <w:r w:rsidRPr="00455E52">
              <w:br/>
              <w:t>(Hong Kong data)</w:t>
            </w:r>
          </w:p>
        </w:tc>
        <w:tc>
          <w:tcPr>
            <w:tcW w:w="1555" w:type="dxa"/>
          </w:tcPr>
          <w:p w14:paraId="1818198F" w14:textId="77777777" w:rsidR="003B465E" w:rsidRPr="00455E52" w:rsidRDefault="003B465E" w:rsidP="003B465E">
            <w:pPr>
              <w:jc w:val="center"/>
            </w:pPr>
            <w:r w:rsidRPr="00455E52">
              <w:rPr>
                <w:rFonts w:ascii="Wingdings" w:eastAsia="Wingdings" w:hAnsi="Wingdings" w:cs="Wingdings"/>
              </w:rPr>
              <w:t>û</w:t>
            </w:r>
          </w:p>
        </w:tc>
        <w:tc>
          <w:tcPr>
            <w:tcW w:w="1553" w:type="dxa"/>
          </w:tcPr>
          <w:p w14:paraId="6F9935D3" w14:textId="77777777" w:rsidR="003B465E" w:rsidRPr="00455E52" w:rsidRDefault="003B465E" w:rsidP="003B465E">
            <w:pPr>
              <w:jc w:val="center"/>
            </w:pPr>
            <w:r w:rsidRPr="00455E52">
              <w:rPr>
                <w:rFonts w:ascii="Wingdings" w:eastAsia="Wingdings" w:hAnsi="Wingdings" w:cs="Wingdings"/>
              </w:rPr>
              <w:t>û</w:t>
            </w:r>
          </w:p>
        </w:tc>
        <w:tc>
          <w:tcPr>
            <w:tcW w:w="1555" w:type="dxa"/>
          </w:tcPr>
          <w:p w14:paraId="63B2C64D" w14:textId="77777777" w:rsidR="003B465E" w:rsidRPr="00455E52" w:rsidRDefault="003B465E" w:rsidP="003B465E">
            <w:pPr>
              <w:jc w:val="center"/>
            </w:pPr>
            <w:r w:rsidRPr="00455E52">
              <w:rPr>
                <w:rFonts w:ascii="Wingdings" w:eastAsia="Wingdings" w:hAnsi="Wingdings" w:cs="Wingdings"/>
              </w:rPr>
              <w:t>û</w:t>
            </w:r>
          </w:p>
        </w:tc>
      </w:tr>
      <w:tr w:rsidR="003B465E" w:rsidRPr="00455E52" w14:paraId="08EE95F2" w14:textId="77777777" w:rsidTr="00455E52">
        <w:tc>
          <w:tcPr>
            <w:tcW w:w="2067" w:type="dxa"/>
          </w:tcPr>
          <w:p w14:paraId="142AB1DA" w14:textId="2F8D59D9" w:rsidR="003B465E" w:rsidRPr="00455E52" w:rsidRDefault="003B465E" w:rsidP="003B465E">
            <w:r w:rsidRPr="00455E52">
              <w:t>India 2014</w:t>
            </w:r>
            <w:r>
              <w:br/>
            </w:r>
            <w:r w:rsidRPr="00455E52">
              <w:t>(reserve price)</w:t>
            </w:r>
          </w:p>
        </w:tc>
        <w:tc>
          <w:tcPr>
            <w:tcW w:w="1325" w:type="dxa"/>
          </w:tcPr>
          <w:p w14:paraId="44F5B184" w14:textId="77777777" w:rsidR="003B465E" w:rsidRPr="00455E52" w:rsidRDefault="003B465E" w:rsidP="003B465E">
            <w:r w:rsidRPr="00455E52">
              <w:t>2100</w:t>
            </w:r>
          </w:p>
        </w:tc>
        <w:tc>
          <w:tcPr>
            <w:tcW w:w="1553" w:type="dxa"/>
          </w:tcPr>
          <w:p w14:paraId="20A7ED12" w14:textId="77777777" w:rsidR="003B465E" w:rsidRPr="00455E52" w:rsidRDefault="003B465E" w:rsidP="003B465E">
            <w:pPr>
              <w:jc w:val="center"/>
            </w:pPr>
            <w:r w:rsidRPr="00455E52">
              <w:rPr>
                <w:rFonts w:ascii="Wingdings" w:eastAsia="Wingdings" w:hAnsi="Wingdings" w:cs="Wingdings"/>
              </w:rPr>
              <w:t>ü</w:t>
            </w:r>
            <w:r w:rsidRPr="00455E52">
              <w:br/>
              <w:t>(India data)</w:t>
            </w:r>
          </w:p>
        </w:tc>
        <w:tc>
          <w:tcPr>
            <w:tcW w:w="1555" w:type="dxa"/>
          </w:tcPr>
          <w:p w14:paraId="653E9664" w14:textId="77777777" w:rsidR="003B465E" w:rsidRPr="00455E52" w:rsidRDefault="003B465E" w:rsidP="003B465E">
            <w:pPr>
              <w:jc w:val="center"/>
            </w:pPr>
            <w:r w:rsidRPr="00455E52">
              <w:rPr>
                <w:rFonts w:ascii="Wingdings" w:eastAsia="Wingdings" w:hAnsi="Wingdings" w:cs="Wingdings"/>
              </w:rPr>
              <w:t>û</w:t>
            </w:r>
          </w:p>
        </w:tc>
        <w:tc>
          <w:tcPr>
            <w:tcW w:w="1553" w:type="dxa"/>
          </w:tcPr>
          <w:p w14:paraId="2D1C65C7" w14:textId="77777777" w:rsidR="003B465E" w:rsidRPr="00455E52" w:rsidRDefault="003B465E" w:rsidP="003B465E">
            <w:pPr>
              <w:jc w:val="center"/>
            </w:pPr>
            <w:r w:rsidRPr="00455E52">
              <w:rPr>
                <w:rFonts w:ascii="Wingdings" w:eastAsia="Wingdings" w:hAnsi="Wingdings" w:cs="Wingdings"/>
              </w:rPr>
              <w:t>ü</w:t>
            </w:r>
          </w:p>
        </w:tc>
        <w:tc>
          <w:tcPr>
            <w:tcW w:w="1555" w:type="dxa"/>
          </w:tcPr>
          <w:p w14:paraId="357948E7" w14:textId="77777777" w:rsidR="003B465E" w:rsidRPr="00455E52" w:rsidRDefault="003B465E" w:rsidP="003B465E">
            <w:pPr>
              <w:jc w:val="center"/>
            </w:pPr>
            <w:r w:rsidRPr="00455E52">
              <w:rPr>
                <w:rFonts w:ascii="Wingdings" w:eastAsia="Wingdings" w:hAnsi="Wingdings" w:cs="Wingdings"/>
              </w:rPr>
              <w:t>ü</w:t>
            </w:r>
          </w:p>
        </w:tc>
      </w:tr>
      <w:tr w:rsidR="003B465E" w:rsidRPr="00455E52" w14:paraId="42CAA965" w14:textId="77777777" w:rsidTr="00455E52">
        <w:trPr>
          <w:cnfStyle w:val="000000010000" w:firstRow="0" w:lastRow="0" w:firstColumn="0" w:lastColumn="0" w:oddVBand="0" w:evenVBand="0" w:oddHBand="0" w:evenHBand="1" w:firstRowFirstColumn="0" w:firstRowLastColumn="0" w:lastRowFirstColumn="0" w:lastRowLastColumn="0"/>
        </w:trPr>
        <w:tc>
          <w:tcPr>
            <w:tcW w:w="2067" w:type="dxa"/>
          </w:tcPr>
          <w:p w14:paraId="43FB1817" w14:textId="6A983F98" w:rsidR="003B465E" w:rsidRPr="00455E52" w:rsidRDefault="003B465E" w:rsidP="003B465E">
            <w:r w:rsidRPr="00455E52">
              <w:t>India 2013</w:t>
            </w:r>
            <w:r>
              <w:br/>
            </w:r>
            <w:r w:rsidRPr="00455E52">
              <w:t>(reserve price)</w:t>
            </w:r>
          </w:p>
        </w:tc>
        <w:tc>
          <w:tcPr>
            <w:tcW w:w="1325" w:type="dxa"/>
          </w:tcPr>
          <w:p w14:paraId="12D80685" w14:textId="77777777" w:rsidR="003B465E" w:rsidRPr="00455E52" w:rsidRDefault="003B465E" w:rsidP="003B465E">
            <w:r w:rsidRPr="00455E52">
              <w:t>850, 900, 1800</w:t>
            </w:r>
          </w:p>
        </w:tc>
        <w:tc>
          <w:tcPr>
            <w:tcW w:w="1553" w:type="dxa"/>
          </w:tcPr>
          <w:p w14:paraId="047EDFD5" w14:textId="77777777" w:rsidR="003B465E" w:rsidRPr="00455E52" w:rsidRDefault="003B465E" w:rsidP="003B465E">
            <w:pPr>
              <w:jc w:val="center"/>
            </w:pPr>
            <w:r w:rsidRPr="00455E52">
              <w:rPr>
                <w:rFonts w:ascii="Wingdings" w:eastAsia="Wingdings" w:hAnsi="Wingdings" w:cs="Wingdings"/>
              </w:rPr>
              <w:t>û</w:t>
            </w:r>
          </w:p>
        </w:tc>
        <w:tc>
          <w:tcPr>
            <w:tcW w:w="1555" w:type="dxa"/>
          </w:tcPr>
          <w:p w14:paraId="125D94BF" w14:textId="45A468E1" w:rsidR="003B465E" w:rsidRPr="00455E52" w:rsidRDefault="003B465E" w:rsidP="003B465E">
            <w:pPr>
              <w:jc w:val="center"/>
            </w:pPr>
            <w:r w:rsidRPr="00455E52">
              <w:rPr>
                <w:rFonts w:ascii="Wingdings" w:eastAsia="Wingdings" w:hAnsi="Wingdings" w:cs="Wingdings"/>
              </w:rPr>
              <w:t>ü</w:t>
            </w:r>
            <w:r w:rsidRPr="00455E52">
              <w:br/>
              <w:t>(India</w:t>
            </w:r>
            <w:r>
              <w:t xml:space="preserve"> region</w:t>
            </w:r>
            <w:r w:rsidRPr="00455E52">
              <w:t xml:space="preserve"> data)</w:t>
            </w:r>
          </w:p>
        </w:tc>
        <w:tc>
          <w:tcPr>
            <w:tcW w:w="1553" w:type="dxa"/>
          </w:tcPr>
          <w:p w14:paraId="2B2016DD" w14:textId="77777777" w:rsidR="003B465E" w:rsidRPr="00455E52" w:rsidRDefault="003B465E" w:rsidP="003B465E">
            <w:pPr>
              <w:jc w:val="center"/>
            </w:pPr>
            <w:r w:rsidRPr="00455E52">
              <w:rPr>
                <w:rFonts w:ascii="Wingdings" w:eastAsia="Wingdings" w:hAnsi="Wingdings" w:cs="Wingdings"/>
              </w:rPr>
              <w:t>ü</w:t>
            </w:r>
          </w:p>
        </w:tc>
        <w:tc>
          <w:tcPr>
            <w:tcW w:w="1555" w:type="dxa"/>
          </w:tcPr>
          <w:p w14:paraId="0919EDF6" w14:textId="77777777" w:rsidR="003B465E" w:rsidRPr="00455E52" w:rsidRDefault="003B465E" w:rsidP="003B465E">
            <w:pPr>
              <w:jc w:val="center"/>
            </w:pPr>
            <w:r w:rsidRPr="00455E52">
              <w:rPr>
                <w:rFonts w:ascii="Wingdings" w:eastAsia="Wingdings" w:hAnsi="Wingdings" w:cs="Wingdings"/>
              </w:rPr>
              <w:t>û</w:t>
            </w:r>
          </w:p>
        </w:tc>
      </w:tr>
      <w:tr w:rsidR="003B465E" w:rsidRPr="00455E52" w14:paraId="2AAF0641" w14:textId="77777777" w:rsidTr="00455E52">
        <w:tc>
          <w:tcPr>
            <w:tcW w:w="2067" w:type="dxa"/>
          </w:tcPr>
          <w:p w14:paraId="73D155EA" w14:textId="25035253" w:rsidR="003B465E" w:rsidRPr="00455E52" w:rsidRDefault="003B465E" w:rsidP="003B465E">
            <w:r w:rsidRPr="00455E52">
              <w:t>Ireland 2012</w:t>
            </w:r>
            <w:r>
              <w:br/>
            </w:r>
            <w:r w:rsidRPr="00455E52">
              <w:t>(reserve price)</w:t>
            </w:r>
          </w:p>
        </w:tc>
        <w:tc>
          <w:tcPr>
            <w:tcW w:w="1325" w:type="dxa"/>
          </w:tcPr>
          <w:p w14:paraId="40D9E420" w14:textId="77777777" w:rsidR="003B465E" w:rsidRPr="00455E52" w:rsidRDefault="003B465E" w:rsidP="003B465E">
            <w:r w:rsidRPr="00455E52">
              <w:t>800, 900, 1800</w:t>
            </w:r>
          </w:p>
        </w:tc>
        <w:tc>
          <w:tcPr>
            <w:tcW w:w="1553" w:type="dxa"/>
          </w:tcPr>
          <w:p w14:paraId="02116BAE" w14:textId="77777777" w:rsidR="003B465E" w:rsidRPr="00455E52" w:rsidRDefault="003B465E" w:rsidP="003B465E">
            <w:pPr>
              <w:jc w:val="center"/>
            </w:pPr>
            <w:r w:rsidRPr="00455E52">
              <w:rPr>
                <w:rFonts w:ascii="Wingdings" w:eastAsia="Wingdings" w:hAnsi="Wingdings" w:cs="Wingdings"/>
              </w:rPr>
              <w:t>ü</w:t>
            </w:r>
          </w:p>
        </w:tc>
        <w:tc>
          <w:tcPr>
            <w:tcW w:w="1555" w:type="dxa"/>
          </w:tcPr>
          <w:p w14:paraId="715CB3B2" w14:textId="77777777" w:rsidR="003B465E" w:rsidRPr="00455E52" w:rsidRDefault="003B465E" w:rsidP="003B465E">
            <w:pPr>
              <w:jc w:val="center"/>
            </w:pPr>
            <w:r w:rsidRPr="00455E52">
              <w:rPr>
                <w:rFonts w:ascii="Wingdings" w:eastAsia="Wingdings" w:hAnsi="Wingdings" w:cs="Wingdings"/>
              </w:rPr>
              <w:t>ü</w:t>
            </w:r>
          </w:p>
        </w:tc>
        <w:tc>
          <w:tcPr>
            <w:tcW w:w="1553" w:type="dxa"/>
          </w:tcPr>
          <w:p w14:paraId="0C66AA6E" w14:textId="77777777" w:rsidR="003B465E" w:rsidRPr="00455E52" w:rsidRDefault="003B465E" w:rsidP="003B465E">
            <w:pPr>
              <w:jc w:val="center"/>
            </w:pPr>
            <w:r w:rsidRPr="00455E52">
              <w:rPr>
                <w:rFonts w:ascii="Wingdings" w:eastAsia="Wingdings" w:hAnsi="Wingdings" w:cs="Wingdings"/>
              </w:rPr>
              <w:t>û</w:t>
            </w:r>
          </w:p>
        </w:tc>
        <w:tc>
          <w:tcPr>
            <w:tcW w:w="1555" w:type="dxa"/>
          </w:tcPr>
          <w:p w14:paraId="59A5049E" w14:textId="77777777" w:rsidR="003B465E" w:rsidRPr="00455E52" w:rsidRDefault="003B465E" w:rsidP="003B465E">
            <w:pPr>
              <w:jc w:val="center"/>
            </w:pPr>
            <w:r w:rsidRPr="00455E52">
              <w:rPr>
                <w:rFonts w:ascii="Wingdings" w:eastAsia="Wingdings" w:hAnsi="Wingdings" w:cs="Wingdings"/>
              </w:rPr>
              <w:t>û</w:t>
            </w:r>
          </w:p>
        </w:tc>
      </w:tr>
      <w:tr w:rsidR="003B465E" w:rsidRPr="00455E52" w14:paraId="5AA4F80C" w14:textId="77777777" w:rsidTr="00455E52">
        <w:trPr>
          <w:cnfStyle w:val="000000010000" w:firstRow="0" w:lastRow="0" w:firstColumn="0" w:lastColumn="0" w:oddVBand="0" w:evenVBand="0" w:oddHBand="0" w:evenHBand="1" w:firstRowFirstColumn="0" w:firstRowLastColumn="0" w:lastRowFirstColumn="0" w:lastRowLastColumn="0"/>
        </w:trPr>
        <w:tc>
          <w:tcPr>
            <w:tcW w:w="2067" w:type="dxa"/>
          </w:tcPr>
          <w:p w14:paraId="178FB1D3" w14:textId="3C4F2622" w:rsidR="003B465E" w:rsidRPr="00455E52" w:rsidRDefault="003B465E" w:rsidP="003B465E">
            <w:r w:rsidRPr="00455E52">
              <w:t>New Zealand 2007</w:t>
            </w:r>
            <w:r>
              <w:br/>
            </w:r>
            <w:r w:rsidRPr="00455E52">
              <w:t>(licence renewal)</w:t>
            </w:r>
          </w:p>
        </w:tc>
        <w:tc>
          <w:tcPr>
            <w:tcW w:w="1325" w:type="dxa"/>
          </w:tcPr>
          <w:p w14:paraId="7EA5A6B1" w14:textId="77777777" w:rsidR="003B465E" w:rsidRPr="00455E52" w:rsidRDefault="003B465E" w:rsidP="003B465E">
            <w:r w:rsidRPr="00455E52">
              <w:t>850, 900</w:t>
            </w:r>
          </w:p>
        </w:tc>
        <w:tc>
          <w:tcPr>
            <w:tcW w:w="1553" w:type="dxa"/>
          </w:tcPr>
          <w:p w14:paraId="33F8D999" w14:textId="77777777" w:rsidR="003B465E" w:rsidRPr="00455E52" w:rsidRDefault="003B465E" w:rsidP="003B465E">
            <w:pPr>
              <w:jc w:val="center"/>
            </w:pPr>
            <w:r w:rsidRPr="00455E52">
              <w:rPr>
                <w:rFonts w:ascii="Wingdings" w:eastAsia="Wingdings" w:hAnsi="Wingdings" w:cs="Wingdings"/>
              </w:rPr>
              <w:t>ü</w:t>
            </w:r>
          </w:p>
        </w:tc>
        <w:tc>
          <w:tcPr>
            <w:tcW w:w="1555" w:type="dxa"/>
          </w:tcPr>
          <w:p w14:paraId="6CC0A1D0" w14:textId="77777777" w:rsidR="003B465E" w:rsidRPr="00455E52" w:rsidRDefault="003B465E" w:rsidP="003B465E">
            <w:pPr>
              <w:jc w:val="center"/>
            </w:pPr>
            <w:r w:rsidRPr="00455E52">
              <w:rPr>
                <w:rFonts w:ascii="Wingdings" w:eastAsia="Wingdings" w:hAnsi="Wingdings" w:cs="Wingdings"/>
              </w:rPr>
              <w:t>ü</w:t>
            </w:r>
          </w:p>
        </w:tc>
        <w:tc>
          <w:tcPr>
            <w:tcW w:w="1553" w:type="dxa"/>
          </w:tcPr>
          <w:p w14:paraId="350CA399" w14:textId="77777777" w:rsidR="003B465E" w:rsidRPr="00455E52" w:rsidRDefault="003B465E" w:rsidP="003B465E">
            <w:pPr>
              <w:jc w:val="center"/>
            </w:pPr>
            <w:r w:rsidRPr="00455E52">
              <w:rPr>
                <w:rFonts w:ascii="Wingdings" w:eastAsia="Wingdings" w:hAnsi="Wingdings" w:cs="Wingdings"/>
              </w:rPr>
              <w:t>ü</w:t>
            </w:r>
          </w:p>
        </w:tc>
        <w:tc>
          <w:tcPr>
            <w:tcW w:w="1555" w:type="dxa"/>
          </w:tcPr>
          <w:p w14:paraId="40ECE1F3" w14:textId="77777777" w:rsidR="003B465E" w:rsidRPr="00455E52" w:rsidRDefault="003B465E" w:rsidP="003B465E">
            <w:pPr>
              <w:jc w:val="center"/>
            </w:pPr>
            <w:r w:rsidRPr="00455E52">
              <w:rPr>
                <w:rFonts w:ascii="Wingdings" w:eastAsia="Wingdings" w:hAnsi="Wingdings" w:cs="Wingdings"/>
              </w:rPr>
              <w:t>û</w:t>
            </w:r>
          </w:p>
        </w:tc>
      </w:tr>
      <w:tr w:rsidR="003B465E" w:rsidRPr="00455E52" w14:paraId="1768CB2D" w14:textId="77777777" w:rsidTr="00455E52">
        <w:tc>
          <w:tcPr>
            <w:tcW w:w="2067" w:type="dxa"/>
          </w:tcPr>
          <w:p w14:paraId="05CCDD39" w14:textId="210516C5" w:rsidR="003B465E" w:rsidRPr="00455E52" w:rsidRDefault="003B465E" w:rsidP="003B465E">
            <w:r w:rsidRPr="00455E52">
              <w:t>UK 2013</w:t>
            </w:r>
            <w:r>
              <w:br/>
            </w:r>
            <w:r w:rsidRPr="00455E52">
              <w:t>(reserve price)</w:t>
            </w:r>
          </w:p>
        </w:tc>
        <w:tc>
          <w:tcPr>
            <w:tcW w:w="1325" w:type="dxa"/>
          </w:tcPr>
          <w:p w14:paraId="1F4F86A9" w14:textId="77777777" w:rsidR="003B465E" w:rsidRPr="00455E52" w:rsidRDefault="003B465E" w:rsidP="003B465E">
            <w:r w:rsidRPr="00455E52">
              <w:t xml:space="preserve">800, 2500 </w:t>
            </w:r>
          </w:p>
        </w:tc>
        <w:tc>
          <w:tcPr>
            <w:tcW w:w="1553" w:type="dxa"/>
          </w:tcPr>
          <w:p w14:paraId="48EDC8A7" w14:textId="77777777" w:rsidR="003B465E" w:rsidRPr="00455E52" w:rsidRDefault="003B465E" w:rsidP="003B465E">
            <w:pPr>
              <w:jc w:val="center"/>
            </w:pPr>
            <w:r w:rsidRPr="00455E52">
              <w:rPr>
                <w:rFonts w:ascii="Wingdings" w:eastAsia="Wingdings" w:hAnsi="Wingdings" w:cs="Wingdings"/>
              </w:rPr>
              <w:t>ü</w:t>
            </w:r>
          </w:p>
        </w:tc>
        <w:tc>
          <w:tcPr>
            <w:tcW w:w="1555" w:type="dxa"/>
          </w:tcPr>
          <w:p w14:paraId="65377E8A" w14:textId="77777777" w:rsidR="003B465E" w:rsidRPr="00455E52" w:rsidRDefault="003B465E" w:rsidP="003B465E">
            <w:pPr>
              <w:jc w:val="center"/>
            </w:pPr>
            <w:r w:rsidRPr="00455E52">
              <w:rPr>
                <w:rFonts w:ascii="Wingdings" w:eastAsia="Wingdings" w:hAnsi="Wingdings" w:cs="Wingdings"/>
              </w:rPr>
              <w:t>û</w:t>
            </w:r>
          </w:p>
        </w:tc>
        <w:tc>
          <w:tcPr>
            <w:tcW w:w="1553" w:type="dxa"/>
          </w:tcPr>
          <w:p w14:paraId="1CFE661A" w14:textId="77777777" w:rsidR="003B465E" w:rsidRPr="00455E52" w:rsidRDefault="003B465E" w:rsidP="003B465E">
            <w:pPr>
              <w:jc w:val="center"/>
            </w:pPr>
            <w:r w:rsidRPr="00455E52">
              <w:rPr>
                <w:rFonts w:ascii="Wingdings" w:eastAsia="Wingdings" w:hAnsi="Wingdings" w:cs="Wingdings"/>
              </w:rPr>
              <w:t>ü</w:t>
            </w:r>
          </w:p>
        </w:tc>
        <w:tc>
          <w:tcPr>
            <w:tcW w:w="1555" w:type="dxa"/>
          </w:tcPr>
          <w:p w14:paraId="669FB17C" w14:textId="77777777" w:rsidR="003B465E" w:rsidRPr="00455E52" w:rsidRDefault="003B465E" w:rsidP="003B465E">
            <w:pPr>
              <w:jc w:val="center"/>
            </w:pPr>
            <w:r w:rsidRPr="00455E52">
              <w:rPr>
                <w:rFonts w:ascii="Wingdings" w:eastAsia="Wingdings" w:hAnsi="Wingdings" w:cs="Wingdings"/>
              </w:rPr>
              <w:t>ü</w:t>
            </w:r>
          </w:p>
        </w:tc>
      </w:tr>
    </w:tbl>
    <w:p w14:paraId="38D62F1D" w14:textId="07239B76" w:rsidR="008B7ECE" w:rsidRDefault="00402BA2" w:rsidP="00402BA2">
      <w:pPr>
        <w:pStyle w:val="AfterTable"/>
      </w:pPr>
      <w:r>
        <w:t xml:space="preserve">Benchmarking methodologies are </w:t>
      </w:r>
      <w:proofErr w:type="gramStart"/>
      <w:r>
        <w:t>most commonly used</w:t>
      </w:r>
      <w:proofErr w:type="gramEnd"/>
      <w:r>
        <w:t>, and often regulators use a mix of methods to provide cross checks on the values obtained.</w:t>
      </w:r>
      <w:r w:rsidR="008B7ECE">
        <w:t xml:space="preserve">  For some bands, particularly when they are new to the market or are relatively rarely used, there may not be sufficient </w:t>
      </w:r>
      <w:r w:rsidR="003708BA">
        <w:t>comparator data to allow a benchmark to be used, meaning that modelling methods are preferred.</w:t>
      </w:r>
    </w:p>
    <w:p w14:paraId="644CA222" w14:textId="6625EB59" w:rsidR="008B7ECE" w:rsidRDefault="00402BA2" w:rsidP="00402BA2">
      <w:pPr>
        <w:pStyle w:val="AfterTable"/>
      </w:pPr>
      <w:r>
        <w:t xml:space="preserve">There is inevitably a degree of uncertainty regardless of the methods used – for benchmarking this arises due to the selection of the dataset and the interpretation of the benchmark values, while for modelling this arises due to the modelling assumptions and input parameters. </w:t>
      </w:r>
      <w:proofErr w:type="gramStart"/>
      <w:r>
        <w:t>Therefore</w:t>
      </w:r>
      <w:proofErr w:type="gramEnd"/>
      <w:r w:rsidRPr="00070E90">
        <w:t xml:space="preserve"> </w:t>
      </w:r>
      <w:r>
        <w:t>for a specific frequency band a range of values, rather than a single “correct” value, is often obtained.</w:t>
      </w:r>
    </w:p>
    <w:p w14:paraId="3E6574D0" w14:textId="2399F4AF" w:rsidR="00402BA2" w:rsidRDefault="00402BA2" w:rsidP="00402BA2">
      <w:pPr>
        <w:pStyle w:val="AfterTable"/>
      </w:pPr>
      <w:r>
        <w:t xml:space="preserve">The following sections provide selected case studies to illustrate how the various methodologies described above are used in practice by regulators. </w:t>
      </w:r>
    </w:p>
    <w:p w14:paraId="415F83D5" w14:textId="41D6BC06" w:rsidR="00402BA2" w:rsidRDefault="00402BA2" w:rsidP="00B637F4">
      <w:pPr>
        <w:pStyle w:val="Heading2"/>
      </w:pPr>
      <w:bookmarkStart w:id="68" w:name="_Toc138771611"/>
      <w:r>
        <w:t>UK</w:t>
      </w:r>
      <w:r w:rsidR="00D144A7">
        <w:t>: auction</w:t>
      </w:r>
      <w:r w:rsidR="00FB5D77">
        <w:t xml:space="preserve"> reserve prices</w:t>
      </w:r>
      <w:bookmarkEnd w:id="68"/>
    </w:p>
    <w:tbl>
      <w:tblPr>
        <w:tblStyle w:val="PlumPanel"/>
        <w:tblW w:w="5000" w:type="pct"/>
        <w:tblLook w:val="01C0" w:firstRow="0" w:lastRow="1" w:firstColumn="1" w:lastColumn="1" w:noHBand="0" w:noVBand="0"/>
      </w:tblPr>
      <w:tblGrid>
        <w:gridCol w:w="9638"/>
      </w:tblGrid>
      <w:tr w:rsidR="00FB5D77" w14:paraId="6178043C" w14:textId="77777777" w:rsidTr="00F35977">
        <w:tc>
          <w:tcPr>
            <w:tcW w:w="5000" w:type="pct"/>
          </w:tcPr>
          <w:p w14:paraId="5EE5CB1F" w14:textId="77777777" w:rsidR="00FB5D77" w:rsidRDefault="00FB5D77" w:rsidP="00FB5D77">
            <w:r w:rsidRPr="00D144A7">
              <w:rPr>
                <w:rFonts w:asciiTheme="majorHAnsi" w:hAnsiTheme="majorHAnsi" w:cstheme="majorHAnsi"/>
                <w:bCs/>
              </w:rPr>
              <w:t>Bands valued</w:t>
            </w:r>
            <w:r>
              <w:t>: 800 MHz, 1800 MHz, 2.5 GHz</w:t>
            </w:r>
          </w:p>
          <w:p w14:paraId="30AE3B55" w14:textId="77777777" w:rsidR="00FB5D77" w:rsidRDefault="00FB5D77" w:rsidP="00FB5D77">
            <w:r w:rsidRPr="00D144A7">
              <w:rPr>
                <w:rFonts w:asciiTheme="majorHAnsi" w:hAnsiTheme="majorHAnsi" w:cstheme="majorHAnsi"/>
                <w:bCs/>
              </w:rPr>
              <w:t>Objective</w:t>
            </w:r>
            <w:r>
              <w:t>: To set reserve prices for auction (auction held in 2013)</w:t>
            </w:r>
          </w:p>
          <w:p w14:paraId="2609CFDC" w14:textId="2726F8E8" w:rsidR="00FB5D77" w:rsidRPr="00663562" w:rsidRDefault="00FB5D77" w:rsidP="00FB5D77">
            <w:r w:rsidRPr="00D144A7">
              <w:rPr>
                <w:rFonts w:asciiTheme="majorHAnsi" w:hAnsiTheme="majorHAnsi" w:cstheme="majorHAnsi"/>
                <w:bCs/>
              </w:rPr>
              <w:t>Methods used</w:t>
            </w:r>
            <w:r>
              <w:t>: International benchmarking, avoided cost modelling, full enterprise valuation</w:t>
            </w:r>
          </w:p>
        </w:tc>
      </w:tr>
    </w:tbl>
    <w:p w14:paraId="39E03C96" w14:textId="277B96C0" w:rsidR="00402BA2" w:rsidRDefault="00402BA2" w:rsidP="00402BA2">
      <w:pPr>
        <w:pStyle w:val="AfterTable"/>
      </w:pPr>
      <w:r w:rsidRPr="00E175C4">
        <w:t xml:space="preserve">For the UK auction of the 800 MHz and </w:t>
      </w:r>
      <w:r>
        <w:t>2.5 GHz</w:t>
      </w:r>
      <w:r w:rsidRPr="00E175C4">
        <w:t xml:space="preserve"> bands, Ofcom commissioned a study by </w:t>
      </w:r>
      <w:r>
        <w:t xml:space="preserve">consultants </w:t>
      </w:r>
      <w:proofErr w:type="spellStart"/>
      <w:r w:rsidRPr="00E175C4">
        <w:t>Dotecon</w:t>
      </w:r>
      <w:proofErr w:type="spellEnd"/>
      <w:r w:rsidRPr="00E175C4">
        <w:t xml:space="preserve"> and </w:t>
      </w:r>
      <w:proofErr w:type="spellStart"/>
      <w:r w:rsidRPr="00E175C4">
        <w:t>Aetha</w:t>
      </w:r>
      <w:proofErr w:type="spellEnd"/>
      <w:r w:rsidRPr="00E175C4">
        <w:t xml:space="preserve"> to estimate the values of the spectrum to be auctioned using a combination of benchmarking and </w:t>
      </w:r>
      <w:r w:rsidRPr="00E175C4">
        <w:lastRenderedPageBreak/>
        <w:t>bottom-up business modelling methods</w:t>
      </w:r>
      <w:r>
        <w:rPr>
          <w:rStyle w:val="FootnoteReference"/>
        </w:rPr>
        <w:footnoteReference w:id="20"/>
      </w:r>
      <w:r w:rsidR="00427A35">
        <w:t>.</w:t>
      </w:r>
      <w:r w:rsidRPr="00E175C4">
        <w:t xml:space="preserve"> </w:t>
      </w:r>
      <w:r>
        <w:t>The objective of the study was to advise Ofcom on the appropriate reserve prices for the auction of the 800 MHz, 1800 MHz and 2.5 GHz bands</w:t>
      </w:r>
      <w:r>
        <w:rPr>
          <w:rStyle w:val="FootnoteReference"/>
        </w:rPr>
        <w:footnoteReference w:id="21"/>
      </w:r>
      <w:r w:rsidR="00427A35">
        <w:t>.</w:t>
      </w:r>
    </w:p>
    <w:p w14:paraId="6A812965" w14:textId="77777777" w:rsidR="00402BA2" w:rsidRDefault="00402BA2" w:rsidP="00402BA2">
      <w:pPr>
        <w:pStyle w:val="BodyText"/>
      </w:pPr>
      <w:r>
        <w:t>Using a selection of European awards for the 800 MHz, 1800 MHz and 2.5 GHz bands, with appropriate adjustments to ensure comparability to the UK, the benchmarking results estimated the following value ranges for:</w:t>
      </w:r>
    </w:p>
    <w:p w14:paraId="781DFEE6" w14:textId="77777777" w:rsidR="00402BA2" w:rsidRDefault="00402BA2" w:rsidP="00D144A7">
      <w:pPr>
        <w:pStyle w:val="BulletList1"/>
      </w:pPr>
      <w:r>
        <w:t>800 MHz general lots: £159m – £273m per 2</w:t>
      </w:r>
      <w:r>
        <w:rPr>
          <w:rFonts w:cs="Arial"/>
        </w:rPr>
        <w:t>×</w:t>
      </w:r>
      <w:r>
        <w:t>5 MHz (based on a small bidder’s valuation)</w:t>
      </w:r>
    </w:p>
    <w:p w14:paraId="31C8BD62" w14:textId="77777777" w:rsidR="00402BA2" w:rsidRDefault="00402BA2" w:rsidP="00D144A7">
      <w:pPr>
        <w:pStyle w:val="BulletList1"/>
      </w:pPr>
      <w:r>
        <w:t>800 MHz coverage lot: £180m – £500m per 2×10 MHz (using industry estimates of costs of achieving 98% indoor coverage)</w:t>
      </w:r>
    </w:p>
    <w:p w14:paraId="7D162DF1" w14:textId="77777777" w:rsidR="00402BA2" w:rsidRDefault="00402BA2" w:rsidP="00D144A7">
      <w:pPr>
        <w:pStyle w:val="BulletList1"/>
      </w:pPr>
      <w:r>
        <w:t>1800 MHz lots: £276m – £414m per 2×15 MHz</w:t>
      </w:r>
    </w:p>
    <w:p w14:paraId="56ED727B" w14:textId="77777777" w:rsidR="00402BA2" w:rsidRDefault="00402BA2" w:rsidP="00D144A7">
      <w:pPr>
        <w:pStyle w:val="BulletList1"/>
      </w:pPr>
      <w:r>
        <w:t xml:space="preserve">2.5 GHz paired lots: £50.4m – £76.2m per 2×5 MHz </w:t>
      </w:r>
    </w:p>
    <w:p w14:paraId="6E4DC34E" w14:textId="1FBA6785" w:rsidR="00402BA2" w:rsidRDefault="00402BA2" w:rsidP="00D144A7">
      <w:pPr>
        <w:pStyle w:val="BulletList1"/>
      </w:pPr>
      <w:r>
        <w:t xml:space="preserve">2.5 GHz unpaired lots: £3.5m </w:t>
      </w:r>
      <w:r w:rsidR="00427A35">
        <w:t>–</w:t>
      </w:r>
      <w:r>
        <w:t xml:space="preserve"> £18.6m per 1</w:t>
      </w:r>
      <w:r w:rsidR="00427A35">
        <w:rPr>
          <w:rFonts w:cstheme="minorHAnsi"/>
        </w:rPr>
        <w:t>×</w:t>
      </w:r>
      <w:r>
        <w:t>5 MHz</w:t>
      </w:r>
    </w:p>
    <w:p w14:paraId="384A7362" w14:textId="77777777" w:rsidR="00402BA2" w:rsidRDefault="00402BA2" w:rsidP="00402BA2">
      <w:pPr>
        <w:pStyle w:val="BulletList1"/>
        <w:numPr>
          <w:ilvl w:val="0"/>
          <w:numId w:val="0"/>
        </w:numPr>
      </w:pPr>
      <w:r>
        <w:t xml:space="preserve">For the unpaired 2.5 GHz, the consultants noted that a significant degree of uncertainty in the benchmark values due to the limited amount of reliable information in the dataset. </w:t>
      </w:r>
    </w:p>
    <w:p w14:paraId="1B394DBF" w14:textId="0ACEBB35" w:rsidR="00402BA2" w:rsidRDefault="00402BA2" w:rsidP="00402BA2">
      <w:pPr>
        <w:pStyle w:val="BodyText"/>
      </w:pPr>
      <w:r>
        <w:t xml:space="preserve">In the business case modelling valuation, different combinations of spectrum from the perspective of potential bidders in the auction (existing national wholesalers and potential new entrants) were modelled. It was noted by the consultants that estimated there were substantial uncertainties due to the need to make assumptions about each bidder’s future commercial and technology deployment strategy which meant that the results should not be interpreted as precise valuations. For the technical value (avoided cost) modelling, three scenarios on future network traffic levels were considered and the average incremental value of 2×5 MHz for 800 MHz, 1800 MHz and 2.5 GHz were estimated as shown </w:t>
      </w:r>
      <w:r w:rsidR="00427A35">
        <w:t>below</w:t>
      </w:r>
      <w:r>
        <w:t>.</w:t>
      </w:r>
    </w:p>
    <w:p w14:paraId="00685562" w14:textId="31D00F6A" w:rsidR="00402BA2" w:rsidRDefault="00427A35" w:rsidP="00427A35">
      <w:pPr>
        <w:pStyle w:val="FigureCaption"/>
      </w:pPr>
      <w:bookmarkStart w:id="69" w:name="_Ref413689885"/>
      <w:r>
        <w:t>Figure</w:t>
      </w:r>
      <w:r w:rsidRPr="00C0159A">
        <w:t xml:space="preserve"> </w:t>
      </w:r>
      <w:r>
        <w:rPr>
          <w:noProof/>
        </w:rPr>
        <w:fldChar w:fldCharType="begin"/>
      </w:r>
      <w:r>
        <w:rPr>
          <w:noProof/>
        </w:rPr>
        <w:instrText xml:space="preserve"> STYLEREF 1 \s </w:instrText>
      </w:r>
      <w:r>
        <w:rPr>
          <w:noProof/>
        </w:rPr>
        <w:fldChar w:fldCharType="separate"/>
      </w:r>
      <w:r w:rsidR="0027066B">
        <w:rPr>
          <w:noProof/>
        </w:rPr>
        <w:t>10</w:t>
      </w:r>
      <w:r>
        <w:rPr>
          <w:noProof/>
        </w:rPr>
        <w:fldChar w:fldCharType="end"/>
      </w:r>
      <w:r>
        <w:t>.</w:t>
      </w:r>
      <w:r w:rsidRPr="00C0159A">
        <w:fldChar w:fldCharType="begin"/>
      </w:r>
      <w:r w:rsidRPr="00C0159A">
        <w:instrText xml:space="preserve"> SEQ </w:instrText>
      </w:r>
      <w:r>
        <w:instrText>Figure</w:instrText>
      </w:r>
      <w:r w:rsidRPr="00C0159A">
        <w:instrText xml:space="preserve"> \* ARABIC \s 1 </w:instrText>
      </w:r>
      <w:r w:rsidRPr="00C0159A">
        <w:fldChar w:fldCharType="separate"/>
      </w:r>
      <w:r w:rsidR="0027066B">
        <w:rPr>
          <w:noProof/>
        </w:rPr>
        <w:t>2</w:t>
      </w:r>
      <w:r w:rsidRPr="00C0159A">
        <w:fldChar w:fldCharType="end"/>
      </w:r>
      <w:r w:rsidRPr="00C0159A">
        <w:t>:</w:t>
      </w:r>
      <w:bookmarkEnd w:id="69"/>
      <w:r w:rsidR="00402BA2" w:rsidRPr="00C0159A">
        <w:t xml:space="preserve"> </w:t>
      </w:r>
      <w:r w:rsidR="00402BA2">
        <w:t>Avoided cost valuation – average incremental values for 2×5 MHz</w:t>
      </w:r>
    </w:p>
    <w:tbl>
      <w:tblPr>
        <w:tblStyle w:val="PlumTable"/>
        <w:tblW w:w="9608" w:type="dxa"/>
        <w:tblLayout w:type="fixed"/>
        <w:tblLook w:val="0420" w:firstRow="1" w:lastRow="0" w:firstColumn="0" w:lastColumn="0" w:noHBand="0" w:noVBand="1"/>
      </w:tblPr>
      <w:tblGrid>
        <w:gridCol w:w="1970"/>
        <w:gridCol w:w="1872"/>
        <w:gridCol w:w="1922"/>
        <w:gridCol w:w="1876"/>
        <w:gridCol w:w="1968"/>
      </w:tblGrid>
      <w:tr w:rsidR="00427A35" w:rsidRPr="00427A35" w14:paraId="5A12E827" w14:textId="77777777" w:rsidTr="00427A35">
        <w:trPr>
          <w:cnfStyle w:val="100000000000" w:firstRow="1" w:lastRow="0" w:firstColumn="0" w:lastColumn="0" w:oddVBand="0" w:evenVBand="0" w:oddHBand="0" w:evenHBand="0" w:firstRowFirstColumn="0" w:firstRowLastColumn="0" w:lastRowFirstColumn="0" w:lastRowLastColumn="0"/>
          <w:tblHeader/>
        </w:trPr>
        <w:tc>
          <w:tcPr>
            <w:tcW w:w="1970" w:type="dxa"/>
          </w:tcPr>
          <w:p w14:paraId="3DA03E88" w14:textId="77777777" w:rsidR="00402BA2" w:rsidRPr="00427A35" w:rsidRDefault="00402BA2" w:rsidP="00427A35">
            <w:r w:rsidRPr="00427A35">
              <w:t>Band</w:t>
            </w:r>
          </w:p>
        </w:tc>
        <w:tc>
          <w:tcPr>
            <w:tcW w:w="5670" w:type="dxa"/>
            <w:gridSpan w:val="3"/>
          </w:tcPr>
          <w:p w14:paraId="478BCE82" w14:textId="77777777" w:rsidR="00402BA2" w:rsidRPr="00427A35" w:rsidRDefault="00402BA2" w:rsidP="00427A35">
            <w:pPr>
              <w:jc w:val="center"/>
            </w:pPr>
            <w:r w:rsidRPr="00427A35">
              <w:t>Traffic scenarios</w:t>
            </w:r>
          </w:p>
        </w:tc>
        <w:tc>
          <w:tcPr>
            <w:tcW w:w="1968" w:type="dxa"/>
          </w:tcPr>
          <w:p w14:paraId="597E370E" w14:textId="77777777" w:rsidR="00402BA2" w:rsidRPr="00427A35" w:rsidRDefault="00402BA2" w:rsidP="00427A35">
            <w:pPr>
              <w:jc w:val="center"/>
            </w:pPr>
            <w:r w:rsidRPr="00427A35">
              <w:t>Overall average</w:t>
            </w:r>
          </w:p>
        </w:tc>
      </w:tr>
      <w:tr w:rsidR="00427A35" w:rsidRPr="00427A35" w14:paraId="4F5280CB" w14:textId="77777777" w:rsidTr="00427A35">
        <w:trPr>
          <w:cnfStyle w:val="100000000000" w:firstRow="1" w:lastRow="0" w:firstColumn="0" w:lastColumn="0" w:oddVBand="0" w:evenVBand="0" w:oddHBand="0" w:evenHBand="0" w:firstRowFirstColumn="0" w:firstRowLastColumn="0" w:lastRowFirstColumn="0" w:lastRowLastColumn="0"/>
          <w:tblHeader/>
        </w:trPr>
        <w:tc>
          <w:tcPr>
            <w:tcW w:w="1970" w:type="dxa"/>
            <w:shd w:val="clear" w:color="auto" w:fill="EC008C" w:themeFill="accent3"/>
          </w:tcPr>
          <w:p w14:paraId="226118BB" w14:textId="77777777" w:rsidR="00402BA2" w:rsidRPr="00427A35" w:rsidRDefault="00402BA2" w:rsidP="00427A35"/>
        </w:tc>
        <w:tc>
          <w:tcPr>
            <w:tcW w:w="1872" w:type="dxa"/>
            <w:shd w:val="clear" w:color="auto" w:fill="EC008C" w:themeFill="accent3"/>
          </w:tcPr>
          <w:p w14:paraId="01FE7B61" w14:textId="77777777" w:rsidR="00402BA2" w:rsidRPr="00427A35" w:rsidRDefault="00402BA2" w:rsidP="00427A35">
            <w:pPr>
              <w:jc w:val="center"/>
            </w:pPr>
            <w:r w:rsidRPr="00427A35">
              <w:t>Low</w:t>
            </w:r>
          </w:p>
        </w:tc>
        <w:tc>
          <w:tcPr>
            <w:tcW w:w="1922" w:type="dxa"/>
            <w:shd w:val="clear" w:color="auto" w:fill="EC008C" w:themeFill="accent3"/>
          </w:tcPr>
          <w:p w14:paraId="1ACFE99E" w14:textId="77777777" w:rsidR="00402BA2" w:rsidRPr="00427A35" w:rsidRDefault="00402BA2" w:rsidP="00427A35">
            <w:pPr>
              <w:jc w:val="center"/>
            </w:pPr>
            <w:r w:rsidRPr="00427A35">
              <w:t>Medium</w:t>
            </w:r>
          </w:p>
        </w:tc>
        <w:tc>
          <w:tcPr>
            <w:tcW w:w="1876" w:type="dxa"/>
            <w:shd w:val="clear" w:color="auto" w:fill="EC008C" w:themeFill="accent3"/>
          </w:tcPr>
          <w:p w14:paraId="354220C7" w14:textId="77777777" w:rsidR="00402BA2" w:rsidRPr="00427A35" w:rsidRDefault="00402BA2" w:rsidP="00427A35">
            <w:pPr>
              <w:jc w:val="center"/>
            </w:pPr>
            <w:r w:rsidRPr="00427A35">
              <w:t>High</w:t>
            </w:r>
          </w:p>
        </w:tc>
        <w:tc>
          <w:tcPr>
            <w:tcW w:w="1968" w:type="dxa"/>
            <w:shd w:val="clear" w:color="auto" w:fill="EC008C" w:themeFill="accent3"/>
          </w:tcPr>
          <w:p w14:paraId="44F03C9F" w14:textId="77777777" w:rsidR="00402BA2" w:rsidRPr="00427A35" w:rsidRDefault="00402BA2" w:rsidP="00427A35">
            <w:pPr>
              <w:jc w:val="center"/>
            </w:pPr>
          </w:p>
        </w:tc>
      </w:tr>
      <w:tr w:rsidR="00427A35" w:rsidRPr="00427A35" w14:paraId="7A78257F" w14:textId="77777777" w:rsidTr="00427A35">
        <w:tc>
          <w:tcPr>
            <w:tcW w:w="1970" w:type="dxa"/>
          </w:tcPr>
          <w:p w14:paraId="2B23CE34" w14:textId="77777777" w:rsidR="00402BA2" w:rsidRPr="00427A35" w:rsidRDefault="00402BA2" w:rsidP="00427A35">
            <w:r w:rsidRPr="00427A35">
              <w:t>800 MHz</w:t>
            </w:r>
          </w:p>
        </w:tc>
        <w:tc>
          <w:tcPr>
            <w:tcW w:w="1872" w:type="dxa"/>
          </w:tcPr>
          <w:p w14:paraId="17AA6E4B" w14:textId="77777777" w:rsidR="00402BA2" w:rsidRPr="00427A35" w:rsidRDefault="00402BA2" w:rsidP="00427A35">
            <w:pPr>
              <w:jc w:val="center"/>
            </w:pPr>
            <w:r w:rsidRPr="00427A35">
              <w:t>£490m</w:t>
            </w:r>
          </w:p>
        </w:tc>
        <w:tc>
          <w:tcPr>
            <w:tcW w:w="1922" w:type="dxa"/>
          </w:tcPr>
          <w:p w14:paraId="0055FF14" w14:textId="77777777" w:rsidR="00402BA2" w:rsidRPr="00427A35" w:rsidRDefault="00402BA2" w:rsidP="00427A35">
            <w:pPr>
              <w:jc w:val="center"/>
            </w:pPr>
            <w:r w:rsidRPr="00427A35">
              <w:t>£522m</w:t>
            </w:r>
          </w:p>
        </w:tc>
        <w:tc>
          <w:tcPr>
            <w:tcW w:w="1876" w:type="dxa"/>
          </w:tcPr>
          <w:p w14:paraId="7E274ED8" w14:textId="77777777" w:rsidR="00402BA2" w:rsidRPr="00427A35" w:rsidRDefault="00402BA2" w:rsidP="00427A35">
            <w:pPr>
              <w:jc w:val="center"/>
            </w:pPr>
            <w:r w:rsidRPr="00427A35">
              <w:t>£607m</w:t>
            </w:r>
          </w:p>
        </w:tc>
        <w:tc>
          <w:tcPr>
            <w:tcW w:w="1968" w:type="dxa"/>
          </w:tcPr>
          <w:p w14:paraId="4508B798" w14:textId="77777777" w:rsidR="00402BA2" w:rsidRPr="00427A35" w:rsidRDefault="00402BA2" w:rsidP="00427A35">
            <w:pPr>
              <w:jc w:val="center"/>
            </w:pPr>
            <w:r w:rsidRPr="00427A35">
              <w:t>£540m</w:t>
            </w:r>
          </w:p>
        </w:tc>
      </w:tr>
      <w:tr w:rsidR="00427A35" w:rsidRPr="00427A35" w14:paraId="57A7D960" w14:textId="77777777" w:rsidTr="00427A35">
        <w:trPr>
          <w:cnfStyle w:val="000000010000" w:firstRow="0" w:lastRow="0" w:firstColumn="0" w:lastColumn="0" w:oddVBand="0" w:evenVBand="0" w:oddHBand="0" w:evenHBand="1" w:firstRowFirstColumn="0" w:firstRowLastColumn="0" w:lastRowFirstColumn="0" w:lastRowLastColumn="0"/>
        </w:trPr>
        <w:tc>
          <w:tcPr>
            <w:tcW w:w="1970" w:type="dxa"/>
          </w:tcPr>
          <w:p w14:paraId="6E436CD3" w14:textId="77777777" w:rsidR="00402BA2" w:rsidRPr="00427A35" w:rsidRDefault="00402BA2" w:rsidP="00427A35">
            <w:r w:rsidRPr="00427A35">
              <w:t>1800 MHz</w:t>
            </w:r>
          </w:p>
        </w:tc>
        <w:tc>
          <w:tcPr>
            <w:tcW w:w="1872" w:type="dxa"/>
          </w:tcPr>
          <w:p w14:paraId="2BB2C5E0" w14:textId="77777777" w:rsidR="00402BA2" w:rsidRPr="00427A35" w:rsidRDefault="00402BA2" w:rsidP="00427A35">
            <w:pPr>
              <w:jc w:val="center"/>
            </w:pPr>
            <w:r w:rsidRPr="00427A35">
              <w:t>£277m</w:t>
            </w:r>
          </w:p>
        </w:tc>
        <w:tc>
          <w:tcPr>
            <w:tcW w:w="1922" w:type="dxa"/>
          </w:tcPr>
          <w:p w14:paraId="045DF985" w14:textId="77777777" w:rsidR="00402BA2" w:rsidRPr="00427A35" w:rsidRDefault="00402BA2" w:rsidP="00427A35">
            <w:pPr>
              <w:jc w:val="center"/>
            </w:pPr>
            <w:r w:rsidRPr="00427A35">
              <w:t>£342m</w:t>
            </w:r>
          </w:p>
        </w:tc>
        <w:tc>
          <w:tcPr>
            <w:tcW w:w="1876" w:type="dxa"/>
          </w:tcPr>
          <w:p w14:paraId="243A204F" w14:textId="77777777" w:rsidR="00402BA2" w:rsidRPr="00427A35" w:rsidRDefault="00402BA2" w:rsidP="00427A35">
            <w:pPr>
              <w:jc w:val="center"/>
            </w:pPr>
            <w:r w:rsidRPr="00427A35">
              <w:t>£492m</w:t>
            </w:r>
          </w:p>
        </w:tc>
        <w:tc>
          <w:tcPr>
            <w:tcW w:w="1968" w:type="dxa"/>
          </w:tcPr>
          <w:p w14:paraId="64F64AFE" w14:textId="77777777" w:rsidR="00402BA2" w:rsidRPr="00427A35" w:rsidRDefault="00402BA2" w:rsidP="00427A35">
            <w:pPr>
              <w:jc w:val="center"/>
            </w:pPr>
            <w:r w:rsidRPr="00427A35">
              <w:t>£370m</w:t>
            </w:r>
          </w:p>
        </w:tc>
      </w:tr>
      <w:tr w:rsidR="00427A35" w:rsidRPr="00427A35" w14:paraId="5177626A" w14:textId="77777777" w:rsidTr="00427A35">
        <w:tc>
          <w:tcPr>
            <w:tcW w:w="1970" w:type="dxa"/>
          </w:tcPr>
          <w:p w14:paraId="5D4B0F51" w14:textId="77777777" w:rsidR="00402BA2" w:rsidRPr="00427A35" w:rsidRDefault="00402BA2" w:rsidP="00427A35">
            <w:r w:rsidRPr="00427A35">
              <w:t>2.5 GHz</w:t>
            </w:r>
          </w:p>
        </w:tc>
        <w:tc>
          <w:tcPr>
            <w:tcW w:w="1872" w:type="dxa"/>
          </w:tcPr>
          <w:p w14:paraId="23976F4B" w14:textId="77777777" w:rsidR="00402BA2" w:rsidRPr="00427A35" w:rsidRDefault="00402BA2" w:rsidP="00427A35">
            <w:pPr>
              <w:jc w:val="center"/>
            </w:pPr>
            <w:r w:rsidRPr="00427A35">
              <w:t>£156m</w:t>
            </w:r>
          </w:p>
        </w:tc>
        <w:tc>
          <w:tcPr>
            <w:tcW w:w="1922" w:type="dxa"/>
          </w:tcPr>
          <w:p w14:paraId="0395540F" w14:textId="77777777" w:rsidR="00402BA2" w:rsidRPr="00427A35" w:rsidRDefault="00402BA2" w:rsidP="00427A35">
            <w:pPr>
              <w:jc w:val="center"/>
            </w:pPr>
            <w:r w:rsidRPr="00427A35">
              <w:t>£208m</w:t>
            </w:r>
          </w:p>
        </w:tc>
        <w:tc>
          <w:tcPr>
            <w:tcW w:w="1876" w:type="dxa"/>
          </w:tcPr>
          <w:p w14:paraId="12C685B0" w14:textId="77777777" w:rsidR="00402BA2" w:rsidRPr="00427A35" w:rsidRDefault="00402BA2" w:rsidP="00427A35">
            <w:pPr>
              <w:jc w:val="center"/>
            </w:pPr>
            <w:r w:rsidRPr="00427A35">
              <w:t>£343m</w:t>
            </w:r>
          </w:p>
        </w:tc>
        <w:tc>
          <w:tcPr>
            <w:tcW w:w="1968" w:type="dxa"/>
          </w:tcPr>
          <w:p w14:paraId="65037A4A" w14:textId="77777777" w:rsidR="00402BA2" w:rsidRPr="00427A35" w:rsidRDefault="00402BA2" w:rsidP="00427A35">
            <w:pPr>
              <w:jc w:val="center"/>
            </w:pPr>
            <w:r w:rsidRPr="00427A35">
              <w:t>£236m</w:t>
            </w:r>
          </w:p>
        </w:tc>
      </w:tr>
    </w:tbl>
    <w:p w14:paraId="7DDDD6D1" w14:textId="77777777" w:rsidR="00996872" w:rsidRDefault="00996872" w:rsidP="00996872">
      <w:pPr>
        <w:pStyle w:val="Heading2"/>
      </w:pPr>
      <w:bookmarkStart w:id="70" w:name="_Toc138771612"/>
      <w:r>
        <w:lastRenderedPageBreak/>
        <w:t>France: industrial use spectrum fees</w:t>
      </w:r>
      <w:bookmarkEnd w:id="70"/>
    </w:p>
    <w:tbl>
      <w:tblPr>
        <w:tblStyle w:val="PlumPanel"/>
        <w:tblW w:w="5000" w:type="pct"/>
        <w:tblLook w:val="01C0" w:firstRow="0" w:lastRow="1" w:firstColumn="1" w:lastColumn="1" w:noHBand="0" w:noVBand="0"/>
      </w:tblPr>
      <w:tblGrid>
        <w:gridCol w:w="9638"/>
      </w:tblGrid>
      <w:tr w:rsidR="00996872" w14:paraId="64DF7540" w14:textId="77777777" w:rsidTr="00444D07">
        <w:tc>
          <w:tcPr>
            <w:tcW w:w="5000" w:type="pct"/>
          </w:tcPr>
          <w:p w14:paraId="428718AC" w14:textId="77777777" w:rsidR="00996872" w:rsidRPr="00D144A7" w:rsidRDefault="00996872" w:rsidP="00444D07">
            <w:r w:rsidRPr="00D144A7">
              <w:rPr>
                <w:rFonts w:asciiTheme="majorHAnsi" w:hAnsiTheme="majorHAnsi" w:cstheme="majorHAnsi"/>
              </w:rPr>
              <w:t>Bands valued</w:t>
            </w:r>
            <w:r w:rsidRPr="00D144A7">
              <w:t xml:space="preserve">: </w:t>
            </w:r>
            <w:r>
              <w:t>26 GHz, 40 GHz</w:t>
            </w:r>
          </w:p>
          <w:p w14:paraId="53CA44FE" w14:textId="77777777" w:rsidR="00996872" w:rsidRPr="00D144A7" w:rsidRDefault="00996872" w:rsidP="00444D07">
            <w:r w:rsidRPr="00D144A7">
              <w:rPr>
                <w:rFonts w:asciiTheme="majorHAnsi" w:hAnsiTheme="majorHAnsi" w:cstheme="majorHAnsi"/>
              </w:rPr>
              <w:t>Objective</w:t>
            </w:r>
            <w:r w:rsidRPr="00D144A7">
              <w:t xml:space="preserve">: To </w:t>
            </w:r>
            <w:r>
              <w:t>determine appropriate spectrum fees for industrial private networks</w:t>
            </w:r>
          </w:p>
          <w:p w14:paraId="11C59B32" w14:textId="77777777" w:rsidR="00996872" w:rsidRPr="00663562" w:rsidRDefault="00996872" w:rsidP="00444D07">
            <w:r w:rsidRPr="00D144A7">
              <w:rPr>
                <w:rFonts w:asciiTheme="majorHAnsi" w:hAnsiTheme="majorHAnsi" w:cstheme="majorHAnsi"/>
              </w:rPr>
              <w:t>Methods used</w:t>
            </w:r>
            <w:r>
              <w:t>: Avoided cost modelling, full enterprise value, opportunity cost modelling</w:t>
            </w:r>
          </w:p>
        </w:tc>
      </w:tr>
    </w:tbl>
    <w:p w14:paraId="6BA1F8E8" w14:textId="77777777" w:rsidR="00996872" w:rsidRDefault="00996872" w:rsidP="00996872">
      <w:pPr>
        <w:pStyle w:val="BodyText"/>
        <w:rPr>
          <w:lang w:eastAsia="en-US"/>
        </w:rPr>
      </w:pPr>
      <w:r>
        <w:rPr>
          <w:lang w:eastAsia="en-US"/>
        </w:rPr>
        <w:t>ARCEP in France commissioned a study by Plum to examine how spectrum in the mmWave bands should be priced if it were to be awarded directly to industrial and other users for use in private 5G or other networks.  At the time of the study there had been very few awards of 26 GHz spectrum, and most existing allocations had been done alongside other spectrum (for example in the 3500 MHz or 700 MHz bands) making it impossible to disaggregate the value for use in benchmarking.</w:t>
      </w:r>
    </w:p>
    <w:p w14:paraId="3FD6C242" w14:textId="77777777" w:rsidR="00996872" w:rsidRDefault="00996872" w:rsidP="00996872">
      <w:pPr>
        <w:pStyle w:val="BodyText"/>
        <w:rPr>
          <w:lang w:eastAsia="en-US"/>
        </w:rPr>
      </w:pPr>
      <w:r>
        <w:rPr>
          <w:lang w:eastAsia="en-US"/>
        </w:rPr>
        <w:t xml:space="preserve">Plum therefore carried out </w:t>
      </w:r>
      <w:proofErr w:type="gramStart"/>
      <w:r>
        <w:rPr>
          <w:lang w:eastAsia="en-US"/>
        </w:rPr>
        <w:t>a number of</w:t>
      </w:r>
      <w:proofErr w:type="gramEnd"/>
      <w:r>
        <w:rPr>
          <w:lang w:eastAsia="en-US"/>
        </w:rPr>
        <w:t xml:space="preserve"> methods to estimate the value of the spectrum to users.  This was done for </w:t>
      </w:r>
      <w:proofErr w:type="gramStart"/>
      <w:r>
        <w:rPr>
          <w:lang w:eastAsia="en-US"/>
        </w:rPr>
        <w:t>a number of</w:t>
      </w:r>
      <w:proofErr w:type="gramEnd"/>
      <w:r>
        <w:rPr>
          <w:lang w:eastAsia="en-US"/>
        </w:rPr>
        <w:t xml:space="preserve"> specified use cases, such as a transport hub, port facility, entertainment arena, and manufacturing factory.</w:t>
      </w:r>
    </w:p>
    <w:p w14:paraId="2CE7400F" w14:textId="77777777" w:rsidR="00996872" w:rsidRDefault="00996872" w:rsidP="00996872">
      <w:pPr>
        <w:pStyle w:val="BulletList1"/>
      </w:pPr>
      <w:r>
        <w:t xml:space="preserve">First, an avoided cost model was constructed for number of typical use cases, considering the alternative technologies that could be used to provide connectivity if mmWave spectrum were not available.  In some cases, the costs of using alternative technologies </w:t>
      </w:r>
      <w:proofErr w:type="gramStart"/>
      <w:r>
        <w:t>was</w:t>
      </w:r>
      <w:proofErr w:type="gramEnd"/>
      <w:r>
        <w:t xml:space="preserve"> </w:t>
      </w:r>
      <w:proofErr w:type="gramStart"/>
      <w:r>
        <w:t>actually lower</w:t>
      </w:r>
      <w:proofErr w:type="gramEnd"/>
      <w:r>
        <w:t>, but there were disadvantages to these technologies in terms of a lack of bandwidth, less reliable or secure connection, or lack of mobility.  As such, the avoided cost model also needed to consider avoided benefits through a counterfactual analysis.</w:t>
      </w:r>
    </w:p>
    <w:p w14:paraId="3E91505F" w14:textId="77777777" w:rsidR="00996872" w:rsidRDefault="00996872" w:rsidP="00996872">
      <w:pPr>
        <w:pStyle w:val="BulletList1"/>
      </w:pPr>
      <w:r>
        <w:t>Second, a full enterprise value model was used for some use cases where there was no alternative technology possible.  This provided an upper bound to the value that a spectrum user would be willing to pay, ascribing the entire value of the business (or the project within a business) to the spectrum.</w:t>
      </w:r>
    </w:p>
    <w:p w14:paraId="67C52CF1" w14:textId="77777777" w:rsidR="00996872" w:rsidRDefault="00996872" w:rsidP="00996872">
      <w:pPr>
        <w:pStyle w:val="BulletList1"/>
      </w:pPr>
      <w:r>
        <w:t xml:space="preserve">Third, opportunity cost modelling was used to consider if an alternative use of the spectrum would lead to higher values – specifically, use by a public mobile network.  Technical details of spectrum characteristics were examined and the possibility of spectrum sharing investigated, alongside an interference analysis to determine if use by each use case would </w:t>
      </w:r>
      <w:proofErr w:type="gramStart"/>
      <w:r>
        <w:t>actually prevent</w:t>
      </w:r>
      <w:proofErr w:type="gramEnd"/>
      <w:r>
        <w:t xml:space="preserve"> use by another service.</w:t>
      </w:r>
    </w:p>
    <w:p w14:paraId="125A10FD" w14:textId="27156061" w:rsidR="00996872" w:rsidRDefault="00996872" w:rsidP="00996872">
      <w:pPr>
        <w:pStyle w:val="BodyText"/>
      </w:pPr>
      <w:r>
        <w:t>In each case, the value of mmWave spectrum was found to be small, due to the potential for alternative technologies and the lack of interference with other users (due to low power requirements and limited propagation).</w:t>
      </w:r>
      <w:r w:rsidR="00107981">
        <w:t xml:space="preserve">  </w:t>
      </w:r>
      <w:r w:rsidR="003F03D6">
        <w:t xml:space="preserve">A simultaneous study looking at the potential for spectrum sharing in the band, and the </w:t>
      </w:r>
      <w:r w:rsidR="00E358C5">
        <w:t xml:space="preserve">ways that spectrum leasing and trading on hyperlocal licences could be </w:t>
      </w:r>
      <w:r w:rsidR="006E4D05">
        <w:t>encouraged, further added to this valuation, where users would be unwilling to pay significant sums for the spectrum bands.</w:t>
      </w:r>
    </w:p>
    <w:p w14:paraId="0AF0A5B2" w14:textId="7FDA4C58" w:rsidR="00996872" w:rsidRDefault="00642153" w:rsidP="00996872">
      <w:pPr>
        <w:pStyle w:val="Heading2"/>
      </w:pPr>
      <w:bookmarkStart w:id="71" w:name="_Toc138771613"/>
      <w:r>
        <w:lastRenderedPageBreak/>
        <w:t>New Zealand</w:t>
      </w:r>
      <w:r w:rsidR="00996872">
        <w:t xml:space="preserve">: </w:t>
      </w:r>
      <w:r>
        <w:t>licence renewal</w:t>
      </w:r>
      <w:bookmarkEnd w:id="71"/>
    </w:p>
    <w:tbl>
      <w:tblPr>
        <w:tblStyle w:val="PlumPanel"/>
        <w:tblW w:w="5000" w:type="pct"/>
        <w:tblLook w:val="01C0" w:firstRow="0" w:lastRow="1" w:firstColumn="1" w:lastColumn="1" w:noHBand="0" w:noVBand="0"/>
      </w:tblPr>
      <w:tblGrid>
        <w:gridCol w:w="9638"/>
      </w:tblGrid>
      <w:tr w:rsidR="00996872" w14:paraId="58528738" w14:textId="77777777" w:rsidTr="00ED14B6">
        <w:tc>
          <w:tcPr>
            <w:tcW w:w="5000" w:type="pct"/>
          </w:tcPr>
          <w:p w14:paraId="4D115F27" w14:textId="385E0D25" w:rsidR="00996872" w:rsidRPr="00D144A7" w:rsidRDefault="00996872" w:rsidP="00ED14B6">
            <w:r w:rsidRPr="00D144A7">
              <w:rPr>
                <w:rFonts w:asciiTheme="majorHAnsi" w:hAnsiTheme="majorHAnsi" w:cstheme="majorHAnsi"/>
              </w:rPr>
              <w:t>Bands valued</w:t>
            </w:r>
            <w:r w:rsidRPr="00D144A7">
              <w:t xml:space="preserve">: </w:t>
            </w:r>
            <w:r w:rsidR="00642153">
              <w:t>1800 MHz, 2100 MHz</w:t>
            </w:r>
          </w:p>
          <w:p w14:paraId="2E7C2B91" w14:textId="28A099F7" w:rsidR="00996872" w:rsidRPr="00D144A7" w:rsidRDefault="00996872" w:rsidP="00ED14B6">
            <w:r w:rsidRPr="00D144A7">
              <w:rPr>
                <w:rFonts w:asciiTheme="majorHAnsi" w:hAnsiTheme="majorHAnsi" w:cstheme="majorHAnsi"/>
              </w:rPr>
              <w:t>Objective</w:t>
            </w:r>
            <w:r w:rsidRPr="00D144A7">
              <w:t xml:space="preserve">: </w:t>
            </w:r>
            <w:r w:rsidR="00642153">
              <w:t>To determine fair prices for licence renewal in 2019</w:t>
            </w:r>
          </w:p>
          <w:p w14:paraId="6CA02FB1" w14:textId="13B8A54A" w:rsidR="00996872" w:rsidRPr="00663562" w:rsidRDefault="00996872" w:rsidP="00ED14B6">
            <w:r w:rsidRPr="00D144A7">
              <w:rPr>
                <w:rFonts w:asciiTheme="majorHAnsi" w:hAnsiTheme="majorHAnsi" w:cstheme="majorHAnsi"/>
              </w:rPr>
              <w:t>Methods used</w:t>
            </w:r>
            <w:r w:rsidRPr="00D144A7">
              <w:t>: Benchmarking (direct,), econometrics</w:t>
            </w:r>
            <w:r w:rsidR="00642153">
              <w:t>, avoided cost modelling</w:t>
            </w:r>
          </w:p>
        </w:tc>
      </w:tr>
    </w:tbl>
    <w:p w14:paraId="750B0004" w14:textId="35EBE976" w:rsidR="00996872" w:rsidRDefault="00217600" w:rsidP="004704F8">
      <w:pPr>
        <w:pStyle w:val="BodyText"/>
      </w:pPr>
      <w:r>
        <w:t xml:space="preserve">Ahead of the renewal of spectrum in the 1800 and 2100 MHz bands, MBIE commissioned a study into the value of the spectrum to ensure that </w:t>
      </w:r>
      <w:r w:rsidR="00901B5E">
        <w:t>prices were set at an economically efficient level.</w:t>
      </w:r>
      <w:r w:rsidR="00C573FA">
        <w:t xml:space="preserve">  </w:t>
      </w:r>
      <w:r w:rsidR="0035602A">
        <w:t xml:space="preserve">Recognising that the licence renewals would need to define a fixed price, rather than a lower bound for a </w:t>
      </w:r>
      <w:r w:rsidR="009861B1">
        <w:t>reserve price, the paper concentrated on the avoided cost modelling approach (which, in the case of this paper, was termed “optimised deprival value”</w:t>
      </w:r>
      <w:r w:rsidR="00E37196">
        <w:t xml:space="preserve"> (ODV)</w:t>
      </w:r>
      <w:r w:rsidR="009861B1">
        <w:t xml:space="preserve"> as it considered what would happen if spectrum were removed from an existing network rather than </w:t>
      </w:r>
      <w:r w:rsidR="007C390C">
        <w:t>not awarded in the first place).</w:t>
      </w:r>
      <w:r w:rsidR="00E37196">
        <w:t xml:space="preserve">  However, benchmarking methods were used to ensure that the values obtained from the ODV model were realistic.</w:t>
      </w:r>
    </w:p>
    <w:p w14:paraId="29292FD0" w14:textId="72D47F67" w:rsidR="00E37196" w:rsidRDefault="008C3D1C" w:rsidP="004704F8">
      <w:pPr>
        <w:pStyle w:val="BodyText"/>
      </w:pPr>
      <w:proofErr w:type="gramStart"/>
      <w:r>
        <w:t>In order to</w:t>
      </w:r>
      <w:proofErr w:type="gramEnd"/>
      <w:r>
        <w:t xml:space="preserve"> produce a robust estimate of value, the modelling process considered </w:t>
      </w:r>
      <w:proofErr w:type="gramStart"/>
      <w:r>
        <w:t>a number of</w:t>
      </w:r>
      <w:proofErr w:type="gramEnd"/>
      <w:r>
        <w:t xml:space="preserve"> spectrum scenarios</w:t>
      </w:r>
      <w:r w:rsidR="00F02216">
        <w:t xml:space="preserve">, where an operator lost certain amounts of its spectrum in each band, or in both.  As this spectrum was used by LTE networks, </w:t>
      </w:r>
      <w:r w:rsidR="00321D16">
        <w:t>it was necessary to examine how differences in holdings would lead to differences in service quality and the investment needed to maintain the same capacity.</w:t>
      </w:r>
    </w:p>
    <w:p w14:paraId="65C5CC45" w14:textId="77777777" w:rsidR="00A06C28" w:rsidRDefault="00A06C28" w:rsidP="00A06C28">
      <w:pPr>
        <w:pStyle w:val="Heading2"/>
      </w:pPr>
      <w:bookmarkStart w:id="72" w:name="_Toc138771614"/>
      <w:r>
        <w:t>Ireland: spectrum usage fees</w:t>
      </w:r>
      <w:bookmarkEnd w:id="72"/>
    </w:p>
    <w:tbl>
      <w:tblPr>
        <w:tblStyle w:val="PlumPanel"/>
        <w:tblW w:w="5000" w:type="pct"/>
        <w:tblLook w:val="01C0" w:firstRow="0" w:lastRow="1" w:firstColumn="1" w:lastColumn="1" w:noHBand="0" w:noVBand="0"/>
      </w:tblPr>
      <w:tblGrid>
        <w:gridCol w:w="9638"/>
      </w:tblGrid>
      <w:tr w:rsidR="00A06C28" w14:paraId="074B3E9B" w14:textId="77777777" w:rsidTr="00B029BD">
        <w:tc>
          <w:tcPr>
            <w:tcW w:w="5000" w:type="pct"/>
          </w:tcPr>
          <w:p w14:paraId="703A59A4" w14:textId="77777777" w:rsidR="00A06C28" w:rsidRPr="00D144A7" w:rsidRDefault="00A06C28" w:rsidP="00B029BD">
            <w:r w:rsidRPr="00D144A7">
              <w:rPr>
                <w:rFonts w:asciiTheme="majorHAnsi" w:hAnsiTheme="majorHAnsi" w:cstheme="majorHAnsi"/>
              </w:rPr>
              <w:t>Bands valued</w:t>
            </w:r>
            <w:r w:rsidRPr="00D144A7">
              <w:t>: 800 MHz, 900 MHz, 1800 MHz</w:t>
            </w:r>
          </w:p>
          <w:p w14:paraId="098DDBF9" w14:textId="77777777" w:rsidR="00A06C28" w:rsidRPr="00D144A7" w:rsidRDefault="00A06C28" w:rsidP="00B029BD">
            <w:r w:rsidRPr="00D144A7">
              <w:rPr>
                <w:rFonts w:asciiTheme="majorHAnsi" w:hAnsiTheme="majorHAnsi" w:cstheme="majorHAnsi"/>
              </w:rPr>
              <w:t>Objective</w:t>
            </w:r>
            <w:r w:rsidRPr="00D144A7">
              <w:t>: To set reserve prices and spectrum usage fees (auction held in 2012)</w:t>
            </w:r>
          </w:p>
          <w:p w14:paraId="223C8872" w14:textId="77777777" w:rsidR="00A06C28" w:rsidRPr="00663562" w:rsidRDefault="00A06C28" w:rsidP="00B029BD">
            <w:r w:rsidRPr="00D144A7">
              <w:rPr>
                <w:rFonts w:asciiTheme="majorHAnsi" w:hAnsiTheme="majorHAnsi" w:cstheme="majorHAnsi"/>
              </w:rPr>
              <w:t>Methods used</w:t>
            </w:r>
            <w:r w:rsidRPr="00D144A7">
              <w:t>: Benchmarking (direct, adjusted), econometrics</w:t>
            </w:r>
          </w:p>
        </w:tc>
      </w:tr>
    </w:tbl>
    <w:p w14:paraId="6CAD74D5" w14:textId="77777777" w:rsidR="00A06C28" w:rsidRDefault="00A06C28" w:rsidP="00A06C28">
      <w:pPr>
        <w:pStyle w:val="AfterTable"/>
      </w:pPr>
      <w:r>
        <w:t xml:space="preserve">For the auction of the 800 MHz, 900 MHz and 1800 MHz band in Ireland, the regulator </w:t>
      </w:r>
      <w:proofErr w:type="spellStart"/>
      <w:r>
        <w:t>ComReg</w:t>
      </w:r>
      <w:proofErr w:type="spellEnd"/>
      <w:r>
        <w:t xml:space="preserve"> commissioned </w:t>
      </w:r>
      <w:proofErr w:type="spellStart"/>
      <w:r>
        <w:t>Dotecon</w:t>
      </w:r>
      <w:proofErr w:type="spellEnd"/>
      <w:r>
        <w:t xml:space="preserve"> to estimate the value of these bands using a combination of benchmarking and econometric analysis. </w:t>
      </w:r>
      <w:proofErr w:type="spellStart"/>
      <w:r>
        <w:t>ComReg</w:t>
      </w:r>
      <w:proofErr w:type="spellEnd"/>
      <w:r>
        <w:t xml:space="preserve"> decided against using the avoided cost and the full enterprise value modelling approaches due to information asymmetry between </w:t>
      </w:r>
      <w:proofErr w:type="spellStart"/>
      <w:r>
        <w:t>ComReg</w:t>
      </w:r>
      <w:proofErr w:type="spellEnd"/>
      <w:r>
        <w:t xml:space="preserve"> and the potential bidders and differences in business plans, which meant the modelling analysis would not be dependable in all circumstances</w:t>
      </w:r>
      <w:r>
        <w:rPr>
          <w:rStyle w:val="FootnoteReference"/>
        </w:rPr>
        <w:footnoteReference w:id="22"/>
      </w:r>
      <w:r>
        <w:t>.</w:t>
      </w:r>
    </w:p>
    <w:p w14:paraId="5567F5E1" w14:textId="77777777" w:rsidR="00A06C28" w:rsidRDefault="00A06C28" w:rsidP="00A06C28">
      <w:pPr>
        <w:pStyle w:val="BodyText"/>
      </w:pPr>
      <w:r>
        <w:t>For the benchmarking the focus was on European auctions and countries where both the 1800 MHz and sub-1 GHz bands had been auctioned. Data points where country-specific factors may have skewed the relative value of the bands were remove</w:t>
      </w:r>
      <w:r>
        <w:rPr>
          <w:rStyle w:val="FootnoteReference"/>
        </w:rPr>
        <w:footnoteReference w:id="23"/>
      </w:r>
      <w:r>
        <w:t>.  For the econometric analysis, regressions were run using three different datasets of mobile spectrum auction results from 2000-2011 – global, Europe, and sub-1 GHz and 1800 MHz licences</w:t>
      </w:r>
      <w:r>
        <w:rPr>
          <w:rStyle w:val="FootnoteReference"/>
        </w:rPr>
        <w:footnoteReference w:id="24"/>
      </w:r>
      <w:r>
        <w:t>.</w:t>
      </w:r>
    </w:p>
    <w:p w14:paraId="1050A52A" w14:textId="77777777" w:rsidR="00A06C28" w:rsidRDefault="00A06C28" w:rsidP="00A06C28">
      <w:pPr>
        <w:pStyle w:val="BodyText"/>
      </w:pPr>
      <w:r>
        <w:t>The value ranges for each 2×5 MHz lot were:</w:t>
      </w:r>
    </w:p>
    <w:p w14:paraId="00DCE95E" w14:textId="570C097C" w:rsidR="00A06C28" w:rsidRDefault="00A06C28" w:rsidP="00A06C28">
      <w:pPr>
        <w:pStyle w:val="BulletList1"/>
      </w:pPr>
      <w:r>
        <w:lastRenderedPageBreak/>
        <w:t xml:space="preserve">800 MHz and 900 MHz: </w:t>
      </w:r>
      <w:r w:rsidRPr="007C222A">
        <w:t>€15m</w:t>
      </w:r>
      <w:r>
        <w:t>-</w:t>
      </w:r>
      <w:r w:rsidRPr="007C222A">
        <w:t>26m</w:t>
      </w:r>
      <w:r w:rsidR="000526BA">
        <w:t>; and</w:t>
      </w:r>
    </w:p>
    <w:p w14:paraId="35F17BF6" w14:textId="50BF0F5B" w:rsidR="00A06C28" w:rsidRDefault="00A06C28" w:rsidP="00A06C28">
      <w:pPr>
        <w:pStyle w:val="BulletList1"/>
      </w:pPr>
      <w:r>
        <w:t>1800 MHz: €6.75m-15.6m</w:t>
      </w:r>
      <w:r w:rsidR="000526BA">
        <w:t>.</w:t>
      </w:r>
    </w:p>
    <w:p w14:paraId="0C2D6AC8" w14:textId="77777777" w:rsidR="00A06C28" w:rsidRDefault="00A06C28" w:rsidP="00A06C28">
      <w:pPr>
        <w:pStyle w:val="BodyText"/>
      </w:pPr>
      <w:r>
        <w:t>It was noted that the relative values of the sub-1 GHz and 1800 MHz ranged between 45% and 60%.</w:t>
      </w:r>
    </w:p>
    <w:p w14:paraId="7E84D28B" w14:textId="3BC727E3" w:rsidR="003B465E" w:rsidRDefault="003B465E" w:rsidP="003B465E">
      <w:pPr>
        <w:pStyle w:val="Heading2"/>
      </w:pPr>
      <w:bookmarkStart w:id="73" w:name="_Toc138771615"/>
      <w:r w:rsidRPr="003B465E">
        <w:t>Latin American operator: auction participation</w:t>
      </w:r>
      <w:bookmarkEnd w:id="73"/>
    </w:p>
    <w:tbl>
      <w:tblPr>
        <w:tblStyle w:val="PlumPanel"/>
        <w:tblW w:w="5000" w:type="pct"/>
        <w:tblLook w:val="01C0" w:firstRow="0" w:lastRow="1" w:firstColumn="1" w:lastColumn="1" w:noHBand="0" w:noVBand="0"/>
      </w:tblPr>
      <w:tblGrid>
        <w:gridCol w:w="9638"/>
      </w:tblGrid>
      <w:tr w:rsidR="003B465E" w14:paraId="22DC4AD3" w14:textId="77777777" w:rsidTr="00ED14B6">
        <w:tc>
          <w:tcPr>
            <w:tcW w:w="5000" w:type="pct"/>
          </w:tcPr>
          <w:p w14:paraId="488E1A34" w14:textId="207EDFC3" w:rsidR="003B465E" w:rsidRPr="008A593E" w:rsidRDefault="003B465E" w:rsidP="00ED14B6">
            <w:r w:rsidRPr="00D144A7">
              <w:rPr>
                <w:rFonts w:asciiTheme="majorHAnsi" w:hAnsiTheme="majorHAnsi" w:cstheme="majorHAnsi"/>
              </w:rPr>
              <w:t>Bands valued</w:t>
            </w:r>
            <w:r w:rsidRPr="00D144A7">
              <w:t xml:space="preserve">: </w:t>
            </w:r>
            <w:r w:rsidR="00735669" w:rsidRPr="008A593E">
              <w:t>AWS</w:t>
            </w:r>
            <w:r w:rsidR="00321D16" w:rsidRPr="008A593E">
              <w:t xml:space="preserve"> </w:t>
            </w:r>
          </w:p>
          <w:p w14:paraId="0E901289" w14:textId="5CE79D77" w:rsidR="003B465E" w:rsidRPr="008A593E" w:rsidRDefault="003B465E" w:rsidP="00ED14B6">
            <w:r w:rsidRPr="008A593E">
              <w:rPr>
                <w:rFonts w:asciiTheme="majorHAnsi" w:hAnsiTheme="majorHAnsi" w:cstheme="majorHAnsi"/>
              </w:rPr>
              <w:t>Objective</w:t>
            </w:r>
            <w:r w:rsidRPr="008A593E">
              <w:t xml:space="preserve">: </w:t>
            </w:r>
            <w:r w:rsidR="00735669" w:rsidRPr="008A593E">
              <w:t>To define bidding behaviour in an auction</w:t>
            </w:r>
            <w:r w:rsidR="008A593E" w:rsidRPr="008A593E">
              <w:t xml:space="preserve"> and understand maximum value</w:t>
            </w:r>
          </w:p>
          <w:p w14:paraId="4823DCD9" w14:textId="1BE521C0" w:rsidR="003B465E" w:rsidRPr="00663562" w:rsidRDefault="003B465E" w:rsidP="00ED14B6">
            <w:r w:rsidRPr="008A593E">
              <w:rPr>
                <w:rFonts w:asciiTheme="majorHAnsi" w:hAnsiTheme="majorHAnsi" w:cstheme="majorHAnsi"/>
              </w:rPr>
              <w:t>Methods used</w:t>
            </w:r>
            <w:r w:rsidRPr="008A593E">
              <w:t xml:space="preserve">: </w:t>
            </w:r>
            <w:r w:rsidR="008A593E" w:rsidRPr="008A593E">
              <w:t>A</w:t>
            </w:r>
            <w:r w:rsidRPr="008A593E">
              <w:t>voided cost modelling</w:t>
            </w:r>
            <w:r w:rsidR="008A593E" w:rsidRPr="008A593E">
              <w:t>, benchmarking</w:t>
            </w:r>
            <w:r w:rsidR="008A593E">
              <w:t xml:space="preserve"> (for competitor valuation)</w:t>
            </w:r>
          </w:p>
        </w:tc>
      </w:tr>
    </w:tbl>
    <w:p w14:paraId="69E66080" w14:textId="21D82DE1" w:rsidR="003B465E" w:rsidRDefault="008C5FC5" w:rsidP="004704F8">
      <w:pPr>
        <w:pStyle w:val="BodyText"/>
      </w:pPr>
      <w:r>
        <w:t xml:space="preserve">Spectrum valuation estimates are not only required by regulators.  </w:t>
      </w:r>
      <w:r w:rsidR="00930BFF">
        <w:t>In 2015</w:t>
      </w:r>
      <w:r w:rsidR="00EB58EE">
        <w:t>,</w:t>
      </w:r>
      <w:r w:rsidR="00930BFF">
        <w:t xml:space="preserve"> </w:t>
      </w:r>
      <w:r w:rsidR="00F0203A">
        <w:t xml:space="preserve">Plum was commissioned by an operator in Latin America to </w:t>
      </w:r>
      <w:r w:rsidR="00DC7645">
        <w:t>assist them in developing their strategy for bidding in a forthcoming spectrum award for the AWS band.  The spectrum in this band</w:t>
      </w:r>
      <w:r w:rsidR="00114705">
        <w:rPr>
          <w:rStyle w:val="FootnoteReference"/>
        </w:rPr>
        <w:footnoteReference w:id="25"/>
      </w:r>
      <w:r w:rsidR="00DC7645">
        <w:t xml:space="preserve"> was being released </w:t>
      </w:r>
      <w:r w:rsidR="00114705">
        <w:t>to enable operators to launch LTE services.</w:t>
      </w:r>
    </w:p>
    <w:p w14:paraId="7798C823" w14:textId="01249B00" w:rsidR="00EB58EE" w:rsidRDefault="00EB58EE" w:rsidP="004704F8">
      <w:pPr>
        <w:pStyle w:val="BodyText"/>
      </w:pPr>
      <w:r>
        <w:t>To understand how to bid in the auction, Plum carried out two pieces of analysis:</w:t>
      </w:r>
    </w:p>
    <w:p w14:paraId="7198CB41" w14:textId="05CD6442" w:rsidR="00EB58EE" w:rsidRDefault="00EB58EE" w:rsidP="00EB58EE">
      <w:pPr>
        <w:pStyle w:val="BulletList1"/>
      </w:pPr>
      <w:r>
        <w:t xml:space="preserve">First, benchmarking studies to understand the likely value of spectrum to competitors in the auction. </w:t>
      </w:r>
      <w:r w:rsidR="003C3378">
        <w:t xml:space="preserve">This used direct benchmarks with cohort analyses to </w:t>
      </w:r>
      <w:r w:rsidR="0000467B">
        <w:t>provide a robust estimate of valuation for a generic operator in the market.</w:t>
      </w:r>
    </w:p>
    <w:p w14:paraId="102D058F" w14:textId="67D660BC" w:rsidR="0000467B" w:rsidRDefault="0000467B" w:rsidP="00EB58EE">
      <w:pPr>
        <w:pStyle w:val="BulletList1"/>
      </w:pPr>
      <w:r>
        <w:t xml:space="preserve">Second, an avoided cost model to consider how </w:t>
      </w:r>
      <w:r w:rsidR="007848BC">
        <w:t xml:space="preserve">LTE services could be rolled out in </w:t>
      </w:r>
      <w:proofErr w:type="gramStart"/>
      <w:r w:rsidR="007848BC">
        <w:t>a number of</w:t>
      </w:r>
      <w:proofErr w:type="gramEnd"/>
      <w:r w:rsidR="007848BC">
        <w:t xml:space="preserve"> different scenarios: refarming existing spectrum, </w:t>
      </w:r>
      <w:r w:rsidR="00146AD8">
        <w:t>acquiring new AWS spectrum, or acquiring new spectrum in another band in a few years’ time.</w:t>
      </w:r>
      <w:r w:rsidR="009C722F">
        <w:t xml:space="preserve">  This model was also used to estimate values for competitors in the market (but in a less robust manner due to a lack of data availability).</w:t>
      </w:r>
    </w:p>
    <w:p w14:paraId="0EBA0CDA" w14:textId="1E835A8D" w:rsidR="009C722F" w:rsidRDefault="006E6666" w:rsidP="009C722F">
      <w:pPr>
        <w:pStyle w:val="BodyText"/>
      </w:pPr>
      <w:r>
        <w:t xml:space="preserve">The avoided cost model produced interesting results – it indicated that there was no cost difference between acquiring </w:t>
      </w:r>
      <w:r w:rsidR="004E4DF6">
        <w:t xml:space="preserve">new AWS </w:t>
      </w:r>
      <w:proofErr w:type="gramStart"/>
      <w:r w:rsidR="004E4DF6">
        <w:t>spectrum, and</w:t>
      </w:r>
      <w:proofErr w:type="gramEnd"/>
      <w:r w:rsidR="004E4DF6">
        <w:t xml:space="preserve"> acquiring spectrum a few years later in an alternative band, since demand was not expected to exceed the current network capabilities in the meantime.  Further, the value of spectrum was significantly below the reserve price that the regulator had placed on the auction.</w:t>
      </w:r>
    </w:p>
    <w:p w14:paraId="0DA836CE" w14:textId="050618E8" w:rsidR="004E4DF6" w:rsidRDefault="004E4DF6" w:rsidP="009C722F">
      <w:pPr>
        <w:pStyle w:val="BodyText"/>
      </w:pPr>
      <w:r>
        <w:t xml:space="preserve">As a result of this analysis, the operator chose not to bid in the auction.  </w:t>
      </w:r>
      <w:r w:rsidR="007637CB">
        <w:t>In fact, o</w:t>
      </w:r>
      <w:r>
        <w:t xml:space="preserve">f the four operators in the market, only two </w:t>
      </w:r>
      <w:proofErr w:type="gramStart"/>
      <w:r>
        <w:t>bid</w:t>
      </w:r>
      <w:proofErr w:type="gramEnd"/>
      <w:r>
        <w:t xml:space="preserve"> in the auction</w:t>
      </w:r>
      <w:r w:rsidR="002B784B">
        <w:t>, which resulted in unsold spectrum and licences being sold at reserve price.</w:t>
      </w:r>
    </w:p>
    <w:p w14:paraId="1144F6C0" w14:textId="1A212168" w:rsidR="00B66F74" w:rsidRDefault="00B66F74" w:rsidP="00B66F74">
      <w:pPr>
        <w:pStyle w:val="Heading1"/>
      </w:pPr>
      <w:bookmarkStart w:id="74" w:name="_Ref137335056"/>
      <w:bookmarkStart w:id="75" w:name="_Toc138771616"/>
      <w:r>
        <w:lastRenderedPageBreak/>
        <w:t>Choice of methodology</w:t>
      </w:r>
      <w:bookmarkEnd w:id="74"/>
      <w:bookmarkEnd w:id="75"/>
    </w:p>
    <w:p w14:paraId="668BEEB6" w14:textId="792C6BF6" w:rsidR="00F73B4F" w:rsidRDefault="007637CB" w:rsidP="009356E9">
      <w:pPr>
        <w:pStyle w:val="BodyText"/>
        <w:rPr>
          <w:lang w:eastAsia="en-US"/>
        </w:rPr>
      </w:pPr>
      <w:r>
        <w:rPr>
          <w:lang w:eastAsia="en-US"/>
        </w:rPr>
        <w:t xml:space="preserve">The case studies in Section </w:t>
      </w:r>
      <w:r>
        <w:rPr>
          <w:lang w:eastAsia="en-US"/>
        </w:rPr>
        <w:fldChar w:fldCharType="begin"/>
      </w:r>
      <w:r>
        <w:rPr>
          <w:lang w:eastAsia="en-US"/>
        </w:rPr>
        <w:instrText xml:space="preserve"> REF _Ref137333346 \n </w:instrText>
      </w:r>
      <w:r>
        <w:rPr>
          <w:lang w:eastAsia="en-US"/>
        </w:rPr>
        <w:fldChar w:fldCharType="separate"/>
      </w:r>
      <w:r w:rsidR="0027066B">
        <w:rPr>
          <w:lang w:eastAsia="en-US"/>
        </w:rPr>
        <w:t>10</w:t>
      </w:r>
      <w:r>
        <w:rPr>
          <w:lang w:eastAsia="en-US"/>
        </w:rPr>
        <w:fldChar w:fldCharType="end"/>
      </w:r>
      <w:r>
        <w:rPr>
          <w:lang w:eastAsia="en-US"/>
        </w:rPr>
        <w:t xml:space="preserve"> do not demonstrate a single best practice for spectrum valuation methodologies.  Indeed, the </w:t>
      </w:r>
      <w:r w:rsidR="00453FBA">
        <w:rPr>
          <w:lang w:eastAsia="en-US"/>
        </w:rPr>
        <w:t xml:space="preserve">analysis of advantages and disadvantages in Section </w:t>
      </w:r>
      <w:r w:rsidR="00453FBA">
        <w:rPr>
          <w:lang w:eastAsia="en-US"/>
        </w:rPr>
        <w:fldChar w:fldCharType="begin"/>
      </w:r>
      <w:r w:rsidR="00453FBA">
        <w:rPr>
          <w:lang w:eastAsia="en-US"/>
        </w:rPr>
        <w:instrText xml:space="preserve"> REF _Ref137333388 \n </w:instrText>
      </w:r>
      <w:r w:rsidR="00453FBA">
        <w:rPr>
          <w:lang w:eastAsia="en-US"/>
        </w:rPr>
        <w:fldChar w:fldCharType="separate"/>
      </w:r>
      <w:r w:rsidR="0027066B">
        <w:rPr>
          <w:lang w:eastAsia="en-US"/>
        </w:rPr>
        <w:t>9</w:t>
      </w:r>
      <w:r w:rsidR="00453FBA">
        <w:rPr>
          <w:lang w:eastAsia="en-US"/>
        </w:rPr>
        <w:fldChar w:fldCharType="end"/>
      </w:r>
      <w:r w:rsidR="006A6D64">
        <w:rPr>
          <w:lang w:eastAsia="en-US"/>
        </w:rPr>
        <w:t xml:space="preserve"> shows that there is no method which is suitable to every situation, and each has drawbacks in every use.</w:t>
      </w:r>
    </w:p>
    <w:p w14:paraId="3A0360FC" w14:textId="5BA84F2B" w:rsidR="006A6D64" w:rsidRDefault="006A6D64" w:rsidP="009356E9">
      <w:pPr>
        <w:pStyle w:val="BodyText"/>
        <w:rPr>
          <w:lang w:eastAsia="en-US"/>
        </w:rPr>
      </w:pPr>
      <w:r>
        <w:rPr>
          <w:lang w:eastAsia="en-US"/>
        </w:rPr>
        <w:t xml:space="preserve">It is therefore not possible for this paper to draw a clear conclusion over the choice of methodology.  Instead, this section outlines factors that should be considered when </w:t>
      </w:r>
      <w:r w:rsidR="00C25B3B">
        <w:rPr>
          <w:lang w:eastAsia="en-US"/>
        </w:rPr>
        <w:t xml:space="preserve">choosing methodologies.  As mentioned previously, many regulators use multiple methods </w:t>
      </w:r>
      <w:proofErr w:type="gramStart"/>
      <w:r w:rsidR="00C25B3B">
        <w:rPr>
          <w:lang w:eastAsia="en-US"/>
        </w:rPr>
        <w:t>in order to</w:t>
      </w:r>
      <w:proofErr w:type="gramEnd"/>
      <w:r w:rsidR="00C25B3B">
        <w:rPr>
          <w:lang w:eastAsia="en-US"/>
        </w:rPr>
        <w:t xml:space="preserve"> reach a robust estimate of value.</w:t>
      </w:r>
    </w:p>
    <w:p w14:paraId="00D18E86" w14:textId="6326E73C" w:rsidR="00C25B3B" w:rsidRDefault="00C25B3B" w:rsidP="00C25B3B">
      <w:pPr>
        <w:pStyle w:val="Heading2"/>
      </w:pPr>
      <w:bookmarkStart w:id="76" w:name="_Toc138771617"/>
      <w:r>
        <w:t>Data requirements</w:t>
      </w:r>
      <w:bookmarkEnd w:id="76"/>
    </w:p>
    <w:p w14:paraId="51398547" w14:textId="253C3845" w:rsidR="002E683E" w:rsidRDefault="00C25B3B" w:rsidP="009356E9">
      <w:pPr>
        <w:pStyle w:val="BodyText"/>
        <w:rPr>
          <w:lang w:eastAsia="en-US"/>
        </w:rPr>
      </w:pPr>
      <w:r>
        <w:rPr>
          <w:lang w:eastAsia="en-US"/>
        </w:rPr>
        <w:t>All valuation methodologies</w:t>
      </w:r>
      <w:r w:rsidR="006231F7">
        <w:rPr>
          <w:lang w:eastAsia="en-US"/>
        </w:rPr>
        <w:t xml:space="preserve"> require significant amounts of data </w:t>
      </w:r>
      <w:proofErr w:type="gramStart"/>
      <w:r w:rsidR="006231F7">
        <w:rPr>
          <w:lang w:eastAsia="en-US"/>
        </w:rPr>
        <w:t>in order to</w:t>
      </w:r>
      <w:proofErr w:type="gramEnd"/>
      <w:r w:rsidR="006231F7">
        <w:rPr>
          <w:lang w:eastAsia="en-US"/>
        </w:rPr>
        <w:t xml:space="preserve"> produce good estimates of value.  However, the main differences are:</w:t>
      </w:r>
    </w:p>
    <w:p w14:paraId="35408BA3" w14:textId="5868F078" w:rsidR="006231F7" w:rsidRDefault="006231F7" w:rsidP="006231F7">
      <w:pPr>
        <w:pStyle w:val="BulletList1"/>
      </w:pPr>
      <w:r>
        <w:t>Benchmarking methods rely on international, publicly available data, which requires time to collect (or the use of an existing dataset)</w:t>
      </w:r>
      <w:r w:rsidR="000B554A">
        <w:t xml:space="preserve"> but is otherwise accessible and reliable; and</w:t>
      </w:r>
    </w:p>
    <w:p w14:paraId="345F16B3" w14:textId="2E5DD3C2" w:rsidR="000B554A" w:rsidRDefault="000B554A" w:rsidP="006231F7">
      <w:pPr>
        <w:pStyle w:val="BulletList1"/>
      </w:pPr>
      <w:r>
        <w:t>Modelling methods require detailed operational and planning data from spectrum users, to understand the financial implications of spectrum acquisition.</w:t>
      </w:r>
    </w:p>
    <w:p w14:paraId="3C77C438" w14:textId="55A5B4B2" w:rsidR="00D515E8" w:rsidRDefault="00D515E8" w:rsidP="000B554A">
      <w:pPr>
        <w:pStyle w:val="BodyText"/>
      </w:pPr>
      <w:r>
        <w:t>This means that regulators are at a disadvantage when using modelling methods; they can request information from prospective bidders and users, but this may not give the full picture.</w:t>
      </w:r>
      <w:r w:rsidR="0022426B">
        <w:t xml:space="preserve">  In many cases, avoided cost model must use estimated technical parameters (like cell radius, data throughput, and so on) rather than country-specific (or operator-specific) </w:t>
      </w:r>
      <w:r w:rsidR="00E1370B">
        <w:t>values.  If regulators do not wish to seek data from spectrum users, this means that a modelling approach may not be possible.</w:t>
      </w:r>
    </w:p>
    <w:p w14:paraId="51E33BF0" w14:textId="05BD631C" w:rsidR="00E1370B" w:rsidRDefault="00E1370B" w:rsidP="00E1370B">
      <w:pPr>
        <w:pStyle w:val="Heading2"/>
      </w:pPr>
      <w:bookmarkStart w:id="77" w:name="_Toc138771618"/>
      <w:r>
        <w:t>Availability of benchmarks</w:t>
      </w:r>
      <w:bookmarkEnd w:id="77"/>
    </w:p>
    <w:p w14:paraId="47FA0F66" w14:textId="26EFDE95" w:rsidR="00F73B4F" w:rsidRDefault="00E1370B" w:rsidP="009356E9">
      <w:pPr>
        <w:pStyle w:val="BodyText"/>
        <w:rPr>
          <w:lang w:eastAsia="en-US"/>
        </w:rPr>
      </w:pPr>
      <w:r>
        <w:rPr>
          <w:lang w:eastAsia="en-US"/>
        </w:rPr>
        <w:t xml:space="preserve">Some spectrum bands have not been awarded in many countries around the world; others have been awarded but always in a private manner (for example, via a direct award on a limited geographical or time basis) so values are not published.  Section </w:t>
      </w:r>
      <w:r>
        <w:rPr>
          <w:lang w:eastAsia="en-US"/>
        </w:rPr>
        <w:fldChar w:fldCharType="begin"/>
      </w:r>
      <w:r>
        <w:rPr>
          <w:lang w:eastAsia="en-US"/>
        </w:rPr>
        <w:instrText xml:space="preserve"> REF _Ref137333912 \n </w:instrText>
      </w:r>
      <w:r>
        <w:rPr>
          <w:lang w:eastAsia="en-US"/>
        </w:rPr>
        <w:fldChar w:fldCharType="separate"/>
      </w:r>
      <w:r w:rsidR="0027066B">
        <w:rPr>
          <w:lang w:eastAsia="en-US"/>
        </w:rPr>
        <w:t>5.2</w:t>
      </w:r>
      <w:r>
        <w:rPr>
          <w:lang w:eastAsia="en-US"/>
        </w:rPr>
        <w:fldChar w:fldCharType="end"/>
      </w:r>
      <w:r>
        <w:rPr>
          <w:lang w:eastAsia="en-US"/>
        </w:rPr>
        <w:t xml:space="preserve"> set out a method that can be used to adapt benchmarking where there are limited comparable observations, but this still requires some relevant data.</w:t>
      </w:r>
    </w:p>
    <w:p w14:paraId="1B790266" w14:textId="2383076E" w:rsidR="00E1370B" w:rsidRDefault="00E1370B" w:rsidP="009356E9">
      <w:pPr>
        <w:pStyle w:val="BodyText"/>
        <w:rPr>
          <w:lang w:eastAsia="en-US"/>
        </w:rPr>
      </w:pPr>
      <w:r>
        <w:rPr>
          <w:lang w:eastAsia="en-US"/>
        </w:rPr>
        <w:t xml:space="preserve">Where this is the case, </w:t>
      </w:r>
      <w:r w:rsidR="002C72FD">
        <w:rPr>
          <w:lang w:eastAsia="en-US"/>
        </w:rPr>
        <w:t>a modelling approach is usually required – often requiring a full enterprise valuation since there are no alternative spectrum bands that can be used.</w:t>
      </w:r>
    </w:p>
    <w:p w14:paraId="1728BC63" w14:textId="1896A8BC" w:rsidR="002C72FD" w:rsidRDefault="00BA145D" w:rsidP="00BA145D">
      <w:pPr>
        <w:pStyle w:val="Heading2"/>
      </w:pPr>
      <w:bookmarkStart w:id="78" w:name="_Toc138771619"/>
      <w:r>
        <w:t>Technology changes</w:t>
      </w:r>
      <w:bookmarkEnd w:id="78"/>
    </w:p>
    <w:p w14:paraId="3D4BE1D7" w14:textId="5B0FD1F4" w:rsidR="00E1370B" w:rsidRDefault="00BA145D" w:rsidP="009356E9">
      <w:pPr>
        <w:pStyle w:val="BodyText"/>
        <w:rPr>
          <w:lang w:eastAsia="en-US"/>
        </w:rPr>
      </w:pPr>
      <w:r>
        <w:rPr>
          <w:lang w:eastAsia="en-US"/>
        </w:rPr>
        <w:t xml:space="preserve">Avoided cost modelling requires the availability of a counterfactual – that is, a way of a </w:t>
      </w:r>
      <w:r w:rsidR="008E58F3">
        <w:rPr>
          <w:lang w:eastAsia="en-US"/>
        </w:rPr>
        <w:t xml:space="preserve">potential </w:t>
      </w:r>
      <w:r>
        <w:rPr>
          <w:lang w:eastAsia="en-US"/>
        </w:rPr>
        <w:t>spectrum user offering the same service</w:t>
      </w:r>
      <w:r w:rsidR="008E58F3">
        <w:rPr>
          <w:lang w:eastAsia="en-US"/>
        </w:rPr>
        <w:t xml:space="preserve"> if it did not acquire the spectrum.  In the case of a mobile network, this is generally modelled by increasing the number of base stations in the network to meet capacity demands.</w:t>
      </w:r>
    </w:p>
    <w:p w14:paraId="6C7830A4" w14:textId="63FE3335" w:rsidR="008E58F3" w:rsidRDefault="008E58F3" w:rsidP="009356E9">
      <w:pPr>
        <w:pStyle w:val="BodyText"/>
        <w:rPr>
          <w:lang w:eastAsia="en-US"/>
        </w:rPr>
      </w:pPr>
      <w:r>
        <w:rPr>
          <w:lang w:eastAsia="en-US"/>
        </w:rPr>
        <w:t xml:space="preserve">However, where new spectrum is to be used to launch a new technology, </w:t>
      </w:r>
      <w:r w:rsidR="00261812">
        <w:rPr>
          <w:lang w:eastAsia="en-US"/>
        </w:rPr>
        <w:t>and refarming of older spectrum is not possible (due to older technologies still requiring it, or regulations forbidding it)</w:t>
      </w:r>
      <w:r w:rsidR="000A2DF0">
        <w:rPr>
          <w:lang w:eastAsia="en-US"/>
        </w:rPr>
        <w:t>, such a counterfactual would not be possible.  This means that other modelling methods must be used instead.</w:t>
      </w:r>
    </w:p>
    <w:p w14:paraId="4322C5D7" w14:textId="76B10064" w:rsidR="000A2DF0" w:rsidRDefault="000A2DF0" w:rsidP="009356E9">
      <w:pPr>
        <w:pStyle w:val="BodyText"/>
        <w:rPr>
          <w:lang w:eastAsia="en-US"/>
        </w:rPr>
      </w:pPr>
      <w:r>
        <w:rPr>
          <w:lang w:eastAsia="en-US"/>
        </w:rPr>
        <w:lastRenderedPageBreak/>
        <w:t xml:space="preserve">Further, new technologies can have a significant impact on the value of certain spectrum bands.  For example, the 3500 MHz band was typically used by fixed wireless access networks during the </w:t>
      </w:r>
      <w:r w:rsidR="009F0CE1">
        <w:rPr>
          <w:lang w:eastAsia="en-US"/>
        </w:rPr>
        <w:t xml:space="preserve">early </w:t>
      </w:r>
      <w:r>
        <w:rPr>
          <w:lang w:eastAsia="en-US"/>
        </w:rPr>
        <w:t>2010s.</w:t>
      </w:r>
      <w:r w:rsidR="009F0CE1">
        <w:rPr>
          <w:lang w:eastAsia="en-US"/>
        </w:rPr>
        <w:t xml:space="preserve">  Towards the end of the decade, when it was determined that this band would be one of the </w:t>
      </w:r>
      <w:proofErr w:type="gramStart"/>
      <w:r w:rsidR="009F0CE1">
        <w:rPr>
          <w:lang w:eastAsia="en-US"/>
        </w:rPr>
        <w:t>core</w:t>
      </w:r>
      <w:proofErr w:type="gramEnd"/>
      <w:r w:rsidR="009F0CE1">
        <w:rPr>
          <w:lang w:eastAsia="en-US"/>
        </w:rPr>
        <w:t xml:space="preserve"> 5G spectrum blocks, </w:t>
      </w:r>
      <w:proofErr w:type="gramStart"/>
      <w:r w:rsidR="009F0CE1">
        <w:rPr>
          <w:lang w:eastAsia="en-US"/>
        </w:rPr>
        <w:t>and also</w:t>
      </w:r>
      <w:proofErr w:type="gramEnd"/>
      <w:r w:rsidR="009F0CE1">
        <w:rPr>
          <w:lang w:eastAsia="en-US"/>
        </w:rPr>
        <w:t xml:space="preserve"> the </w:t>
      </w:r>
      <w:r w:rsidR="00A25C8E">
        <w:rPr>
          <w:lang w:eastAsia="en-US"/>
        </w:rPr>
        <w:t>capabilities of fixed wireless connections improved</w:t>
      </w:r>
      <w:r w:rsidR="009F0CE1">
        <w:rPr>
          <w:lang w:eastAsia="en-US"/>
        </w:rPr>
        <w:t>, the value increased significantly.  Any benchmarking which did not take this into account would have underestimated the value.</w:t>
      </w:r>
    </w:p>
    <w:p w14:paraId="3877CCFF" w14:textId="3ACF57DC" w:rsidR="00BA145D" w:rsidRDefault="00A25C8E" w:rsidP="00A25C8E">
      <w:pPr>
        <w:pStyle w:val="Heading2"/>
      </w:pPr>
      <w:bookmarkStart w:id="79" w:name="_Toc138771620"/>
      <w:r>
        <w:t>Proportionality of effort</w:t>
      </w:r>
      <w:bookmarkEnd w:id="79"/>
    </w:p>
    <w:p w14:paraId="28121F07" w14:textId="636D19AE" w:rsidR="00E1370B" w:rsidRDefault="00A25C8E" w:rsidP="009356E9">
      <w:pPr>
        <w:pStyle w:val="BodyText"/>
        <w:rPr>
          <w:lang w:eastAsia="en-US"/>
        </w:rPr>
      </w:pPr>
      <w:r w:rsidRPr="00A25C8E">
        <w:rPr>
          <w:lang w:eastAsia="en-US"/>
        </w:rPr>
        <w:t>Different methodologies require different levels</w:t>
      </w:r>
      <w:r>
        <w:rPr>
          <w:lang w:eastAsia="en-US"/>
        </w:rPr>
        <w:t xml:space="preserve"> of effort.  Outside of data collection, direct benchmarking is a relatively simple process (although deciding on appropriate cohorts and </w:t>
      </w:r>
      <w:r w:rsidR="00A30B19">
        <w:rPr>
          <w:lang w:eastAsia="en-US"/>
        </w:rPr>
        <w:t xml:space="preserve">removing </w:t>
      </w:r>
      <w:r>
        <w:rPr>
          <w:lang w:eastAsia="en-US"/>
        </w:rPr>
        <w:t>outliers can complicate that analysis); meanwhile a detailed avoided cost model can take several months to complete.</w:t>
      </w:r>
    </w:p>
    <w:p w14:paraId="787A86D0" w14:textId="5169AFB0" w:rsidR="00A30B19" w:rsidRDefault="00A30B19" w:rsidP="009356E9">
      <w:pPr>
        <w:pStyle w:val="BodyText"/>
        <w:rPr>
          <w:lang w:eastAsia="en-US"/>
        </w:rPr>
      </w:pPr>
      <w:r>
        <w:rPr>
          <w:lang w:eastAsia="en-US"/>
        </w:rPr>
        <w:t xml:space="preserve">For some regulators, who cover a small population </w:t>
      </w:r>
      <w:r w:rsidR="0013694C">
        <w:rPr>
          <w:lang w:eastAsia="en-US"/>
        </w:rPr>
        <w:t xml:space="preserve">or are not expecting to raise significant sums at an auction, the cost of a model </w:t>
      </w:r>
      <w:r w:rsidR="008D6027">
        <w:rPr>
          <w:lang w:eastAsia="en-US"/>
        </w:rPr>
        <w:t>would outweigh its advantages.  In general, spectrum values for small countries are set using benchmarks</w:t>
      </w:r>
      <w:r w:rsidR="00DD50C3">
        <w:rPr>
          <w:lang w:eastAsia="en-US"/>
        </w:rPr>
        <w:t xml:space="preserve"> for this reason.</w:t>
      </w:r>
    </w:p>
    <w:p w14:paraId="06786909" w14:textId="60D1DC3B" w:rsidR="00DD50C3" w:rsidRDefault="00DD50C3" w:rsidP="009356E9">
      <w:pPr>
        <w:pStyle w:val="BodyText"/>
        <w:rPr>
          <w:lang w:eastAsia="en-US"/>
        </w:rPr>
      </w:pPr>
      <w:r>
        <w:rPr>
          <w:lang w:eastAsia="en-US"/>
        </w:rPr>
        <w:t>Similarly, some use cases for spectrum have a low value</w:t>
      </w:r>
      <w:r w:rsidR="004E5897">
        <w:rPr>
          <w:lang w:eastAsia="en-US"/>
        </w:rPr>
        <w:t xml:space="preserve">, and it is not reasonable to spend a large budget on valuation exercises where this may not be covered by </w:t>
      </w:r>
      <w:r w:rsidR="002F09B2">
        <w:rPr>
          <w:lang w:eastAsia="en-US"/>
        </w:rPr>
        <w:t>the fees paid.</w:t>
      </w:r>
    </w:p>
    <w:p w14:paraId="0B6F5EEB" w14:textId="4C2E5B9A" w:rsidR="002F09B2" w:rsidRPr="00A25C8E" w:rsidRDefault="002F09B2" w:rsidP="002F09B2">
      <w:pPr>
        <w:pStyle w:val="Heading2"/>
      </w:pPr>
      <w:bookmarkStart w:id="80" w:name="_Toc138771621"/>
      <w:r>
        <w:t>Use of valuation</w:t>
      </w:r>
      <w:bookmarkEnd w:id="80"/>
    </w:p>
    <w:p w14:paraId="12B9CE4B" w14:textId="7A334AA7" w:rsidR="00313D2E" w:rsidRDefault="002F09B2" w:rsidP="00837E70">
      <w:pPr>
        <w:pStyle w:val="BodyText"/>
      </w:pPr>
      <w:r>
        <w:rPr>
          <w:lang w:eastAsia="en-US"/>
        </w:rPr>
        <w:t>Where the estimate of valuation is to be used to set fees for a licence renewal, it is important</w:t>
      </w:r>
      <w:r w:rsidR="00A746EA">
        <w:rPr>
          <w:lang w:eastAsia="en-US"/>
        </w:rPr>
        <w:t xml:space="preserve"> that a true value is reached from the analysis.  However, if the estimate is to be used when setting the reserve price of an auction, </w:t>
      </w:r>
      <w:r w:rsidR="008544D2">
        <w:rPr>
          <w:lang w:eastAsia="en-US"/>
        </w:rPr>
        <w:t>it is more important that the value is not overestimated – as this could lead to spectrum being unsold, with potential bidders not entering the auction.  Use of full enterprise valuation would likely lead to prices being set unreasonably high</w:t>
      </w:r>
      <w:r w:rsidR="00472495">
        <w:rPr>
          <w:lang w:eastAsia="en-US"/>
        </w:rPr>
        <w:t xml:space="preserve">; prices being set too low would not be an issue </w:t>
      </w:r>
      <w:proofErr w:type="gramStart"/>
      <w:r w:rsidR="00472495">
        <w:rPr>
          <w:lang w:eastAsia="en-US"/>
        </w:rPr>
        <w:t>as long as</w:t>
      </w:r>
      <w:proofErr w:type="gramEnd"/>
      <w:r w:rsidR="00472495">
        <w:rPr>
          <w:lang w:eastAsia="en-US"/>
        </w:rPr>
        <w:t xml:space="preserve"> the auction is properly designed and attracts competitive bids.</w:t>
      </w:r>
      <w:r w:rsidR="001367D6">
        <w:rPr>
          <w:lang w:eastAsia="en-US"/>
        </w:rPr>
        <w:t xml:space="preserve">  It is again important to distinguish between spectrum value and spectrum pricing here – further discussion can be seen in Section </w:t>
      </w:r>
      <w:r w:rsidR="001367D6">
        <w:rPr>
          <w:lang w:eastAsia="en-US"/>
        </w:rPr>
        <w:fldChar w:fldCharType="begin"/>
      </w:r>
      <w:r w:rsidR="001367D6">
        <w:rPr>
          <w:lang w:eastAsia="en-US"/>
        </w:rPr>
        <w:instrText xml:space="preserve"> REF _Ref137335104 \n </w:instrText>
      </w:r>
      <w:r w:rsidR="001367D6">
        <w:rPr>
          <w:lang w:eastAsia="en-US"/>
        </w:rPr>
        <w:fldChar w:fldCharType="separate"/>
      </w:r>
      <w:r w:rsidR="0027066B">
        <w:rPr>
          <w:lang w:eastAsia="en-US"/>
        </w:rPr>
        <w:t>2</w:t>
      </w:r>
      <w:r w:rsidR="001367D6">
        <w:rPr>
          <w:lang w:eastAsia="en-US"/>
        </w:rPr>
        <w:fldChar w:fldCharType="end"/>
      </w:r>
      <w:r w:rsidR="001367D6">
        <w:rPr>
          <w:lang w:eastAsia="en-US"/>
        </w:rPr>
        <w:t>.</w:t>
      </w:r>
    </w:p>
    <w:p w14:paraId="7F8DBC99" w14:textId="77777777" w:rsidR="00313D2E" w:rsidRPr="005F0F56" w:rsidRDefault="00313D2E" w:rsidP="00837E70">
      <w:pPr>
        <w:pStyle w:val="BodyText"/>
      </w:pPr>
    </w:p>
    <w:p w14:paraId="7409115E" w14:textId="77777777" w:rsidR="00932BC6" w:rsidRPr="005F0F56" w:rsidRDefault="00932BC6" w:rsidP="00C72C9C">
      <w:pPr>
        <w:pStyle w:val="BodyText"/>
        <w:sectPr w:rsidR="00932BC6" w:rsidRPr="005F0F56" w:rsidSect="00BA1AD8">
          <w:headerReference w:type="default" r:id="rId50"/>
          <w:pgSz w:w="11906" w:h="16838" w:code="9"/>
          <w:pgMar w:top="1587" w:right="1134" w:bottom="1247" w:left="1134" w:header="765" w:footer="765" w:gutter="0"/>
          <w:cols w:space="708"/>
          <w:docGrid w:linePitch="360"/>
        </w:sectPr>
      </w:pPr>
    </w:p>
    <w:tbl>
      <w:tblPr>
        <w:tblpPr w:leftFromText="181" w:rightFromText="181" w:tblpYSpec="bottom"/>
        <w:tblOverlap w:val="never"/>
        <w:tblW w:w="0" w:type="auto"/>
        <w:tblCellMar>
          <w:left w:w="0" w:type="dxa"/>
          <w:right w:w="0" w:type="dxa"/>
        </w:tblCellMar>
        <w:tblLook w:val="04A0" w:firstRow="1" w:lastRow="0" w:firstColumn="1" w:lastColumn="0" w:noHBand="0" w:noVBand="1"/>
      </w:tblPr>
      <w:tblGrid>
        <w:gridCol w:w="9628"/>
      </w:tblGrid>
      <w:tr w:rsidR="00E05369" w:rsidRPr="005F0F56" w14:paraId="5A8B6681" w14:textId="77777777" w:rsidTr="000A7EAA">
        <w:tc>
          <w:tcPr>
            <w:tcW w:w="9628" w:type="dxa"/>
          </w:tcPr>
          <w:p w14:paraId="2EACF954" w14:textId="25C341FC" w:rsidR="00E05369" w:rsidRPr="005F0F56" w:rsidRDefault="00E05369" w:rsidP="000A7EAA">
            <w:pPr>
              <w:pStyle w:val="BodyText"/>
            </w:pPr>
            <w:r w:rsidRPr="005F0F56">
              <w:rPr>
                <w:rFonts w:hint="cs"/>
              </w:rPr>
              <w:lastRenderedPageBreak/>
              <w:t>©</w:t>
            </w:r>
            <w:r w:rsidRPr="005F0F56">
              <w:t xml:space="preserve"> </w:t>
            </w:r>
            <w:r w:rsidRPr="005F0F56">
              <w:fldChar w:fldCharType="begin"/>
            </w:r>
            <w:r w:rsidRPr="005F0F56">
              <w:instrText xml:space="preserve"> CREATEDATE \@ "yyyy" \* MERGEFORMAT </w:instrText>
            </w:r>
            <w:r w:rsidRPr="005F0F56">
              <w:fldChar w:fldCharType="separate"/>
            </w:r>
            <w:r w:rsidR="00216ECF">
              <w:rPr>
                <w:noProof/>
              </w:rPr>
              <w:t>2023</w:t>
            </w:r>
            <w:r w:rsidRPr="005F0F56">
              <w:fldChar w:fldCharType="end"/>
            </w:r>
            <w:r w:rsidRPr="005F0F56">
              <w:t xml:space="preserve"> Plum Consulting London LLP, all rights reserved.</w:t>
            </w:r>
          </w:p>
          <w:p w14:paraId="3CE5E4E8" w14:textId="77777777" w:rsidR="00E05369" w:rsidRPr="005F0F56" w:rsidRDefault="00E05369" w:rsidP="000A7EAA">
            <w:pPr>
              <w:pStyle w:val="BodyText"/>
            </w:pPr>
            <w:r w:rsidRPr="005F0F56">
              <w:t>This document has been commissioned by our client and has been compiled solely for their specific requirements and based on the information they have supplied. We accept no liability whatsoever to any party other than our commissioning client; no such third party may place any reliance on the content of this document; and any use it may make of the same is entirely at its own risk.</w:t>
            </w:r>
          </w:p>
        </w:tc>
      </w:tr>
    </w:tbl>
    <w:p w14:paraId="30E854FB" w14:textId="77777777" w:rsidR="00DB4608" w:rsidRPr="005F0F56" w:rsidRDefault="00DB4608" w:rsidP="00E05369">
      <w:pPr>
        <w:pStyle w:val="BodyText"/>
      </w:pPr>
    </w:p>
    <w:sectPr w:rsidR="00DB4608" w:rsidRPr="005F0F56" w:rsidSect="00DF0FCA">
      <w:headerReference w:type="even" r:id="rId51"/>
      <w:headerReference w:type="default" r:id="rId52"/>
      <w:footerReference w:type="even" r:id="rId53"/>
      <w:footerReference w:type="default" r:id="rId54"/>
      <w:headerReference w:type="first" r:id="rId55"/>
      <w:footerReference w:type="first" r:id="rId56"/>
      <w:pgSz w:w="11906" w:h="16838" w:code="9"/>
      <w:pgMar w:top="1587" w:right="1134" w:bottom="1247" w:left="1134" w:header="765"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B3AE" w14:textId="77777777" w:rsidR="0068633C" w:rsidRPr="005F0F56" w:rsidRDefault="0068633C">
      <w:pPr>
        <w:spacing w:after="0" w:line="240" w:lineRule="auto"/>
      </w:pPr>
      <w:r w:rsidRPr="005F0F56">
        <w:separator/>
      </w:r>
    </w:p>
  </w:endnote>
  <w:endnote w:type="continuationSeparator" w:id="0">
    <w:p w14:paraId="25054C85" w14:textId="77777777" w:rsidR="0068633C" w:rsidRPr="005F0F56" w:rsidRDefault="0068633C">
      <w:pPr>
        <w:spacing w:after="0" w:line="240" w:lineRule="auto"/>
      </w:pPr>
      <w:r w:rsidRPr="005F0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k Mukta Semi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1CC6" w14:textId="0E877C6F" w:rsidR="000A2403" w:rsidRDefault="00A124D7">
    <w:pPr>
      <w:pStyle w:val="Footer"/>
    </w:pPr>
    <w:r>
      <w:rPr>
        <w:noProof/>
      </w:rPr>
      <mc:AlternateContent>
        <mc:Choice Requires="wps">
          <w:drawing>
            <wp:anchor distT="0" distB="0" distL="0" distR="0" simplePos="0" relativeHeight="251678720" behindDoc="0" locked="0" layoutInCell="1" allowOverlap="1" wp14:anchorId="7EBD7A4C" wp14:editId="63D195B9">
              <wp:simplePos x="635" y="635"/>
              <wp:positionH relativeFrom="page">
                <wp:align>center</wp:align>
              </wp:positionH>
              <wp:positionV relativeFrom="page">
                <wp:align>bottom</wp:align>
              </wp:positionV>
              <wp:extent cx="551815" cy="391160"/>
              <wp:effectExtent l="0" t="0" r="635" b="0"/>
              <wp:wrapNone/>
              <wp:docPr id="16372379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2BC9EC8" w14:textId="0924259E"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BD7A4C" id="_x0000_t202" coordsize="21600,21600" o:spt="202" path="m,l,21600r21600,l21600,xe">
              <v:stroke joinstyle="miter"/>
              <v:path gradientshapeok="t" o:connecttype="rect"/>
            </v:shapetype>
            <v:shape id="Text Box 14" o:spid="_x0000_s1028" type="#_x0000_t202" alt="OFFICIAL" style="position:absolute;margin-left:0;margin-top:0;width:43.45pt;height:30.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2BC9EC8" w14:textId="0924259E"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3DB9" w14:textId="63863970" w:rsidR="004C27FE" w:rsidRPr="00C0159A" w:rsidRDefault="00A124D7" w:rsidP="00AF5918">
    <w:pPr>
      <w:pStyle w:val="FooterA4Portrait"/>
    </w:pPr>
    <w:r>
      <w:rPr>
        <w:noProof/>
      </w:rPr>
      <mc:AlternateContent>
        <mc:Choice Requires="wps">
          <w:drawing>
            <wp:anchor distT="0" distB="0" distL="0" distR="0" simplePos="0" relativeHeight="251687936" behindDoc="0" locked="0" layoutInCell="1" allowOverlap="1" wp14:anchorId="2F567413" wp14:editId="5B780B28">
              <wp:simplePos x="635" y="635"/>
              <wp:positionH relativeFrom="page">
                <wp:align>center</wp:align>
              </wp:positionH>
              <wp:positionV relativeFrom="page">
                <wp:align>bottom</wp:align>
              </wp:positionV>
              <wp:extent cx="551815" cy="391160"/>
              <wp:effectExtent l="0" t="0" r="635" b="0"/>
              <wp:wrapNone/>
              <wp:docPr id="109829944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16C67E" w14:textId="3CC99C80"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67413" id="_x0000_t202" coordsize="21600,21600" o:spt="202" path="m,l,21600r21600,l21600,xe">
              <v:stroke joinstyle="miter"/>
              <v:path gradientshapeok="t" o:connecttype="rect"/>
            </v:shapetype>
            <v:shape id="Text Box 23" o:spid="_x0000_s1046" type="#_x0000_t202" alt="OFFICIAL" style="position:absolute;margin-left:0;margin-top:0;width:43.45pt;height:30.8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hDgIAAB0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mxtG1hfpIWyGcCPdOrlrqvRY+vAgkhmkR&#10;Um14pkMb6CsOZ4uzBvDH3/wxn4CnKGc9KabiliTNmflmiZAortHA0dgmo7jLZznF7b57ANJhQU/C&#10;yWSSF4MZTY3QvZGel7ERhYSV1K7i29F8CCfp0nuQarlMSaQjJ8LabpyMpSNeEczX4U2gOyMeiKon&#10;GOUkynfAn3LjTe+W+0DwJ1auQJ4hJw0mss7vJYr81/+UdX3Vi5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5J+4hDgIAAB0E&#10;AAAOAAAAAAAAAAAAAAAAAC4CAABkcnMvZTJvRG9jLnhtbFBLAQItABQABgAIAAAAIQDLo44Q2gAA&#10;AAMBAAAPAAAAAAAAAAAAAAAAAGgEAABkcnMvZG93bnJldi54bWxQSwUGAAAAAAQABADzAAAAbwUA&#10;AAAA&#10;" filled="f" stroked="f">
              <v:textbox style="mso-fit-shape-to-text:t" inset="0,0,0,15pt">
                <w:txbxContent>
                  <w:p w14:paraId="1816C67E" w14:textId="3CC99C80"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r w:rsidR="00342918" w:rsidRPr="00C0159A">
      <w:t xml:space="preserve">© </w:t>
    </w:r>
    <w:r w:rsidR="00342918">
      <w:fldChar w:fldCharType="begin"/>
    </w:r>
    <w:r w:rsidR="00342918">
      <w:instrText xml:space="preserve"> CREATEDATE \@ "yyyy" \* MERGEFORMAT </w:instrText>
    </w:r>
    <w:r w:rsidR="00342918">
      <w:fldChar w:fldCharType="separate"/>
    </w:r>
    <w:r w:rsidR="0027066B">
      <w:rPr>
        <w:noProof/>
      </w:rPr>
      <w:t>2023</w:t>
    </w:r>
    <w:r w:rsidR="00342918">
      <w:rPr>
        <w:noProof/>
      </w:rPr>
      <w:fldChar w:fldCharType="end"/>
    </w:r>
    <w:r w:rsidR="00C67E6E">
      <w:rPr>
        <w:noProof/>
      </w:rPr>
      <w:t xml:space="preserve"> </w:t>
    </w:r>
    <w:r w:rsidR="00342918">
      <w:rPr>
        <w:noProof/>
      </w:rPr>
      <w:t xml:space="preserve"> Plum Consulting</w:t>
    </w:r>
    <w:r w:rsidR="00342918" w:rsidRPr="00C0159A">
      <w:tab/>
    </w:r>
    <w:r w:rsidR="00342918">
      <w:rPr>
        <w:rStyle w:val="PageNumber"/>
      </w:rPr>
      <w:fldChar w:fldCharType="begin"/>
    </w:r>
    <w:r w:rsidR="00342918">
      <w:rPr>
        <w:rStyle w:val="PageNumber"/>
      </w:rPr>
      <w:instrText xml:space="preserve"> PAGE </w:instrText>
    </w:r>
    <w:r w:rsidR="00342918">
      <w:rPr>
        <w:rStyle w:val="PageNumber"/>
      </w:rPr>
      <w:fldChar w:fldCharType="separate"/>
    </w:r>
    <w:r w:rsidR="0054515F">
      <w:rPr>
        <w:rStyle w:val="PageNumber"/>
        <w:noProof/>
      </w:rPr>
      <w:t>4</w:t>
    </w:r>
    <w:r w:rsidR="00342918">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B93C" w14:textId="5FABB69B" w:rsidR="004C27FE" w:rsidRPr="005F0F56" w:rsidRDefault="00A124D7">
    <w:pPr>
      <w:pStyle w:val="Footer"/>
    </w:pPr>
    <w:r>
      <w:rPr>
        <w:noProof/>
      </w:rPr>
      <mc:AlternateContent>
        <mc:Choice Requires="wps">
          <w:drawing>
            <wp:anchor distT="0" distB="0" distL="0" distR="0" simplePos="0" relativeHeight="251685888" behindDoc="0" locked="0" layoutInCell="1" allowOverlap="1" wp14:anchorId="5989470D" wp14:editId="6376DF07">
              <wp:simplePos x="635" y="635"/>
              <wp:positionH relativeFrom="page">
                <wp:align>center</wp:align>
              </wp:positionH>
              <wp:positionV relativeFrom="page">
                <wp:align>bottom</wp:align>
              </wp:positionV>
              <wp:extent cx="551815" cy="391160"/>
              <wp:effectExtent l="0" t="0" r="635" b="0"/>
              <wp:wrapNone/>
              <wp:docPr id="34924548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A864EEA" w14:textId="0D8E58AD"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9470D" id="_x0000_t202" coordsize="21600,21600" o:spt="202" path="m,l,21600r21600,l21600,xe">
              <v:stroke joinstyle="miter"/>
              <v:path gradientshapeok="t" o:connecttype="rect"/>
            </v:shapetype>
            <v:shape id="Text Box 21" o:spid="_x0000_s1048" type="#_x0000_t202" alt="OFFICIAL" style="position:absolute;margin-left:0;margin-top:0;width:43.45pt;height:30.8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taDwIAAB0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9Ox/G3UB9pK4QT4d7JVUu918KHF4HEMC1C&#10;qg3PdGgDfcXhbHHWAP74mz/mE/AU5awnxVTckqQ5M98sERLFNRo4GttkFHf5LKe43XcPQDos6Ek4&#10;mUzyYjCjqRG6N9LzMjaikLCS2lV8O5oP4SRdeg9SLZcpiXTkRFjbjZOxdMQrgvk6vAl0Z8QDUfUE&#10;o5xE+Q74U2686d1yHwj+xErE9gTkGXLSYCLr/F6iyH/9T1nXV734CQ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Y1mLWg8CAAAd&#10;BAAADgAAAAAAAAAAAAAAAAAuAgAAZHJzL2Uyb0RvYy54bWxQSwECLQAUAAYACAAAACEAy6OOENoA&#10;AAADAQAADwAAAAAAAAAAAAAAAABpBAAAZHJzL2Rvd25yZXYueG1sUEsFBgAAAAAEAAQA8wAAAHAF&#10;AAAAAA==&#10;" filled="f" stroked="f">
              <v:textbox style="mso-fit-shape-to-text:t" inset="0,0,0,15pt">
                <w:txbxContent>
                  <w:p w14:paraId="7A864EEA" w14:textId="0D8E58AD"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D351" w14:textId="47323F3E" w:rsidR="008D6285" w:rsidRPr="008D6285" w:rsidRDefault="00A124D7" w:rsidP="008D6285">
    <w:pPr>
      <w:pStyle w:val="Base"/>
      <w:spacing w:after="120"/>
      <w:rPr>
        <w:rFonts w:ascii="Segoe UI" w:hAnsi="Segoe UI" w:cs="Segoe UI"/>
        <w:color w:val="EC008C" w:themeColor="accent3"/>
        <w:sz w:val="14"/>
        <w:szCs w:val="14"/>
      </w:rPr>
    </w:pPr>
    <w:r>
      <w:rPr>
        <w:rFonts w:ascii="Segoe UI" w:hAnsi="Segoe UI" w:cs="Segoe UI"/>
        <w:noProof/>
        <w:color w:val="EC008C" w:themeColor="accent3"/>
        <w:sz w:val="14"/>
        <w:szCs w:val="14"/>
      </w:rPr>
      <mc:AlternateContent>
        <mc:Choice Requires="wps">
          <w:drawing>
            <wp:anchor distT="0" distB="0" distL="0" distR="0" simplePos="0" relativeHeight="251679744" behindDoc="0" locked="0" layoutInCell="1" allowOverlap="1" wp14:anchorId="6DB10AF5" wp14:editId="48CF12DF">
              <wp:simplePos x="635" y="635"/>
              <wp:positionH relativeFrom="page">
                <wp:align>center</wp:align>
              </wp:positionH>
              <wp:positionV relativeFrom="page">
                <wp:align>bottom</wp:align>
              </wp:positionV>
              <wp:extent cx="551815" cy="391160"/>
              <wp:effectExtent l="0" t="0" r="635" b="0"/>
              <wp:wrapNone/>
              <wp:docPr id="13989365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5ED1E4" w14:textId="54A6F21E"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B10AF5" id="_x0000_t202" coordsize="21600,21600" o:spt="202" path="m,l,21600r21600,l21600,xe">
              <v:stroke joinstyle="miter"/>
              <v:path gradientshapeok="t" o:connecttype="rect"/>
            </v:shapetype>
            <v:shape id="Text Box 15" o:spid="_x0000_s1029" type="#_x0000_t202" alt="OFFICIAL" style="position:absolute;margin-left:0;margin-top:0;width:43.45pt;height:30.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45ED1E4" w14:textId="54A6F21E"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r w:rsidR="00342918" w:rsidRPr="008D6285">
      <w:rPr>
        <w:rFonts w:ascii="Segoe UI" w:hAnsi="Segoe UI" w:cs="Segoe UI"/>
        <w:color w:val="EC008C" w:themeColor="accent3"/>
        <w:sz w:val="14"/>
        <w:szCs w:val="14"/>
      </w:rPr>
      <w:t>Plum Consulting</w:t>
    </w:r>
    <w:r w:rsidR="00FA2FD7" w:rsidRPr="008D6285">
      <w:rPr>
        <w:rFonts w:ascii="Segoe UI" w:hAnsi="Segoe UI" w:cs="Segoe UI"/>
        <w:color w:val="EC008C" w:themeColor="accent3"/>
        <w:sz w:val="14"/>
        <w:szCs w:val="14"/>
      </w:rPr>
      <w:br/>
    </w:r>
    <w:r w:rsidR="00342918" w:rsidRPr="008D6285">
      <w:rPr>
        <w:rFonts w:ascii="Segoe UI" w:hAnsi="Segoe UI" w:cs="Segoe UI"/>
        <w:color w:val="EC008C" w:themeColor="accent3"/>
        <w:sz w:val="14"/>
        <w:szCs w:val="14"/>
      </w:rPr>
      <w:t>10 Fitzroy Square</w:t>
    </w:r>
    <w:r w:rsidR="00FA2FD7" w:rsidRPr="008D6285">
      <w:rPr>
        <w:rFonts w:ascii="Segoe UI" w:hAnsi="Segoe UI" w:cs="Segoe UI"/>
        <w:color w:val="EC008C" w:themeColor="accent3"/>
        <w:sz w:val="14"/>
        <w:szCs w:val="14"/>
      </w:rPr>
      <w:br/>
    </w:r>
    <w:r w:rsidR="00342918" w:rsidRPr="008D6285">
      <w:rPr>
        <w:rFonts w:ascii="Segoe UI" w:hAnsi="Segoe UI" w:cs="Segoe UI"/>
        <w:color w:val="EC008C" w:themeColor="accent3"/>
        <w:sz w:val="14"/>
        <w:szCs w:val="14"/>
      </w:rPr>
      <w:t>London</w:t>
    </w:r>
    <w:r w:rsidR="00FA2FD7" w:rsidRPr="008D6285">
      <w:rPr>
        <w:rFonts w:ascii="Segoe UI" w:hAnsi="Segoe UI" w:cs="Segoe UI"/>
        <w:color w:val="EC008C" w:themeColor="accent3"/>
        <w:sz w:val="14"/>
        <w:szCs w:val="14"/>
      </w:rPr>
      <w:br/>
    </w:r>
    <w:r w:rsidR="00342918" w:rsidRPr="008D6285">
      <w:rPr>
        <w:rFonts w:ascii="Segoe UI" w:hAnsi="Segoe UI" w:cs="Segoe UI"/>
        <w:color w:val="EC008C" w:themeColor="accent3"/>
        <w:sz w:val="14"/>
        <w:szCs w:val="14"/>
      </w:rPr>
      <w:t>W1T 5HP</w:t>
    </w:r>
  </w:p>
  <w:p w14:paraId="3E67CF93" w14:textId="77777777" w:rsidR="004C27FE" w:rsidRPr="00931268" w:rsidRDefault="00342918" w:rsidP="008D6285">
    <w:pPr>
      <w:pStyle w:val="Base"/>
      <w:rPr>
        <w:rFonts w:ascii="Segoe UI" w:hAnsi="Segoe UI" w:cs="Segoe UI"/>
        <w:color w:val="EC008C" w:themeColor="accent3"/>
        <w:sz w:val="14"/>
        <w:szCs w:val="14"/>
        <w:lang w:val="de-DE"/>
      </w:rPr>
    </w:pPr>
    <w:r w:rsidRPr="00931268">
      <w:rPr>
        <w:rFonts w:asciiTheme="majorHAnsi" w:hAnsiTheme="majorHAnsi" w:cstheme="majorHAnsi"/>
        <w:bCs/>
        <w:color w:val="EC008C" w:themeColor="accent3"/>
        <w:sz w:val="14"/>
        <w:szCs w:val="14"/>
        <w:lang w:val="de-DE"/>
      </w:rPr>
      <w:t>T</w:t>
    </w:r>
    <w:r w:rsidRPr="00931268">
      <w:rPr>
        <w:rFonts w:ascii="Segoe UI" w:hAnsi="Segoe UI" w:cs="Segoe UI"/>
        <w:b/>
        <w:bCs/>
        <w:color w:val="EC008C" w:themeColor="accent3"/>
        <w:sz w:val="14"/>
        <w:szCs w:val="14"/>
        <w:lang w:val="de-DE"/>
      </w:rPr>
      <w:t xml:space="preserve"> </w:t>
    </w:r>
    <w:r w:rsidR="008D6285" w:rsidRPr="00931268">
      <w:rPr>
        <w:rFonts w:ascii="Segoe UI" w:hAnsi="Segoe UI" w:cs="Segoe UI"/>
        <w:b/>
        <w:bCs/>
        <w:color w:val="EC008C" w:themeColor="accent3"/>
        <w:sz w:val="14"/>
        <w:szCs w:val="14"/>
        <w:lang w:val="de-DE"/>
      </w:rPr>
      <w:t xml:space="preserve"> </w:t>
    </w:r>
    <w:r w:rsidRPr="00931268">
      <w:rPr>
        <w:rFonts w:ascii="Segoe UI" w:hAnsi="Segoe UI" w:cs="Segoe UI"/>
        <w:color w:val="EC008C" w:themeColor="accent3"/>
        <w:sz w:val="14"/>
        <w:szCs w:val="14"/>
        <w:lang w:val="de-DE"/>
      </w:rPr>
      <w:t>+44 20 7047 1919</w:t>
    </w:r>
    <w:r w:rsidR="00FA2FD7" w:rsidRPr="00931268">
      <w:rPr>
        <w:rFonts w:ascii="Segoe UI" w:hAnsi="Segoe UI" w:cs="Segoe UI"/>
        <w:color w:val="EC008C" w:themeColor="accent3"/>
        <w:sz w:val="14"/>
        <w:szCs w:val="14"/>
        <w:lang w:val="de-DE"/>
      </w:rPr>
      <w:br/>
    </w:r>
    <w:r w:rsidRPr="00931268">
      <w:rPr>
        <w:rFonts w:asciiTheme="majorHAnsi" w:hAnsiTheme="majorHAnsi" w:cstheme="majorHAnsi"/>
        <w:bCs/>
        <w:color w:val="EC008C" w:themeColor="accent3"/>
        <w:sz w:val="14"/>
        <w:szCs w:val="14"/>
        <w:lang w:val="de-DE"/>
      </w:rPr>
      <w:t>E</w:t>
    </w:r>
    <w:r w:rsidR="008D6285" w:rsidRPr="00931268">
      <w:rPr>
        <w:rFonts w:ascii="Segoe UI" w:hAnsi="Segoe UI" w:cs="Segoe UI"/>
        <w:b/>
        <w:bCs/>
        <w:color w:val="EC008C" w:themeColor="accent3"/>
        <w:sz w:val="14"/>
        <w:szCs w:val="14"/>
        <w:lang w:val="de-DE"/>
      </w:rPr>
      <w:t xml:space="preserve">  </w:t>
    </w:r>
    <w:r w:rsidRPr="00931268">
      <w:rPr>
        <w:rFonts w:ascii="Segoe UI" w:hAnsi="Segoe UI" w:cs="Segoe UI"/>
        <w:b/>
        <w:bCs/>
        <w:color w:val="EC008C" w:themeColor="accent3"/>
        <w:sz w:val="14"/>
        <w:szCs w:val="14"/>
        <w:lang w:val="de-DE"/>
      </w:rPr>
      <w:t xml:space="preserve"> </w:t>
    </w:r>
    <w:r w:rsidRPr="00931268">
      <w:rPr>
        <w:rFonts w:ascii="Segoe UI" w:hAnsi="Segoe UI" w:cs="Segoe UI"/>
        <w:color w:val="EC008C" w:themeColor="accent3"/>
        <w:sz w:val="14"/>
        <w:szCs w:val="14"/>
        <w:lang w:val="de-DE"/>
      </w:rPr>
      <w:t>info@plumconsulting.co.uk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A479" w14:textId="141D8FA1" w:rsidR="004C27FE" w:rsidRPr="005F0F56" w:rsidRDefault="00A124D7" w:rsidP="00EB1096">
    <w:pPr>
      <w:pStyle w:val="Base"/>
      <w:rPr>
        <w:rFonts w:asciiTheme="majorHAnsi" w:hAnsiTheme="majorHAnsi" w:cstheme="majorHAnsi"/>
        <w:color w:val="EC008C" w:themeColor="accent3"/>
        <w:sz w:val="19"/>
        <w:szCs w:val="19"/>
      </w:rPr>
    </w:pPr>
    <w:r>
      <w:rPr>
        <w:rFonts w:asciiTheme="majorHAnsi" w:hAnsiTheme="majorHAnsi" w:cstheme="majorHAnsi"/>
        <w:noProof/>
        <w:color w:val="EC008C" w:themeColor="accent3"/>
        <w:sz w:val="19"/>
        <w:szCs w:val="19"/>
      </w:rPr>
      <mc:AlternateContent>
        <mc:Choice Requires="wps">
          <w:drawing>
            <wp:anchor distT="0" distB="0" distL="0" distR="0" simplePos="0" relativeHeight="251677696" behindDoc="0" locked="0" layoutInCell="1" allowOverlap="1" wp14:anchorId="4D1BCEE8" wp14:editId="63467ABB">
              <wp:simplePos x="635" y="635"/>
              <wp:positionH relativeFrom="page">
                <wp:align>center</wp:align>
              </wp:positionH>
              <wp:positionV relativeFrom="page">
                <wp:align>bottom</wp:align>
              </wp:positionV>
              <wp:extent cx="551815" cy="391160"/>
              <wp:effectExtent l="0" t="0" r="635" b="0"/>
              <wp:wrapNone/>
              <wp:docPr id="88947628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A574BEA" w14:textId="02084C78"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BCEE8" id="_x0000_t202" coordsize="21600,21600" o:spt="202" path="m,l,21600r21600,l21600,xe">
              <v:stroke joinstyle="miter"/>
              <v:path gradientshapeok="t" o:connecttype="rect"/>
            </v:shapetype>
            <v:shape id="Text Box 13" o:spid="_x0000_s1031" type="#_x0000_t202" alt="OFFICIAL" style="position:absolute;margin-left:0;margin-top:0;width:43.45pt;height:30.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7A574BEA" w14:textId="02084C78"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r w:rsidR="00453EEE" w:rsidRPr="005F0F56">
      <w:rPr>
        <w:rFonts w:asciiTheme="majorHAnsi" w:hAnsiTheme="majorHAnsi" w:cstheme="majorHAnsi"/>
        <w:color w:val="EC008C" w:themeColor="accent3"/>
        <w:sz w:val="19"/>
        <w:szCs w:val="19"/>
      </w:rPr>
      <w:t>p</w:t>
    </w:r>
    <w:r w:rsidR="00342918" w:rsidRPr="005F0F56">
      <w:rPr>
        <w:rFonts w:asciiTheme="majorHAnsi" w:hAnsiTheme="majorHAnsi" w:cstheme="majorHAnsi"/>
        <w:color w:val="EC008C" w:themeColor="accent3"/>
        <w:sz w:val="19"/>
        <w:szCs w:val="19"/>
      </w:rPr>
      <w:t>lumconsulting.co.uk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4FE0" w14:textId="1516E939" w:rsidR="00782692" w:rsidRPr="00FA3823" w:rsidRDefault="00A124D7" w:rsidP="00782692">
    <w:pPr>
      <w:pStyle w:val="FooterA4Portrait"/>
    </w:pPr>
    <w:r>
      <w:rPr>
        <w:noProof/>
      </w:rPr>
      <mc:AlternateContent>
        <mc:Choice Requires="wps">
          <w:drawing>
            <wp:anchor distT="0" distB="0" distL="0" distR="0" simplePos="0" relativeHeight="251681792" behindDoc="0" locked="0" layoutInCell="1" allowOverlap="1" wp14:anchorId="2AFDF40B" wp14:editId="0493AA59">
              <wp:simplePos x="635" y="635"/>
              <wp:positionH relativeFrom="page">
                <wp:align>center</wp:align>
              </wp:positionH>
              <wp:positionV relativeFrom="page">
                <wp:align>bottom</wp:align>
              </wp:positionV>
              <wp:extent cx="551815" cy="391160"/>
              <wp:effectExtent l="0" t="0" r="635" b="0"/>
              <wp:wrapNone/>
              <wp:docPr id="48887653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6EE14A" w14:textId="18C5BAD6"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DF40B" id="_x0000_t202" coordsize="21600,21600" o:spt="202" path="m,l,21600r21600,l21600,xe">
              <v:stroke joinstyle="miter"/>
              <v:path gradientshapeok="t" o:connecttype="rect"/>
            </v:shapetype>
            <v:shape id="Text Box 17" o:spid="_x0000_s1033" type="#_x0000_t202" alt="OFFICIAL" style="position:absolute;margin-left:0;margin-top:0;width:43.45pt;height:30.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u+DwIAABwEAAAOAAAAZHJzL2Uyb0RvYy54bWysU01v2zAMvQ/YfxB0X2x3S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q9grvg8CAAAc&#10;BAAADgAAAAAAAAAAAAAAAAAuAgAAZHJzL2Uyb0RvYy54bWxQSwECLQAUAAYACAAAACEAy6OOENoA&#10;AAADAQAADwAAAAAAAAAAAAAAAABpBAAAZHJzL2Rvd25yZXYueG1sUEsFBgAAAAAEAAQA8wAAAHAF&#10;AAAAAA==&#10;" filled="f" stroked="f">
              <v:textbox style="mso-fit-shape-to-text:t" inset="0,0,0,15pt">
                <w:txbxContent>
                  <w:p w14:paraId="606EE14A" w14:textId="18C5BAD6"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r w:rsidR="00782692" w:rsidRPr="00C0159A">
      <w:t xml:space="preserve">© </w:t>
    </w:r>
    <w:r w:rsidR="00782692">
      <w:fldChar w:fldCharType="begin"/>
    </w:r>
    <w:r w:rsidR="00782692">
      <w:instrText xml:space="preserve"> CREATEDATE \@ "yyyy" \* MERGEFORMAT </w:instrText>
    </w:r>
    <w:r w:rsidR="00782692">
      <w:fldChar w:fldCharType="separate"/>
    </w:r>
    <w:r w:rsidR="0027066B">
      <w:rPr>
        <w:noProof/>
      </w:rPr>
      <w:t>2023</w:t>
    </w:r>
    <w:r w:rsidR="00782692">
      <w:rPr>
        <w:noProof/>
      </w:rPr>
      <w:fldChar w:fldCharType="end"/>
    </w:r>
    <w:r w:rsidR="00782692">
      <w:rPr>
        <w:noProof/>
      </w:rPr>
      <w:t xml:space="preserve"> Plum Consulting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DA11" w14:textId="52916BC1" w:rsidR="004C27FE" w:rsidRPr="00FA3823" w:rsidRDefault="00A124D7" w:rsidP="00C40AA6">
    <w:pPr>
      <w:pStyle w:val="FooterA4Portrait"/>
    </w:pPr>
    <w:r>
      <w:rPr>
        <w:noProof/>
      </w:rPr>
      <mc:AlternateContent>
        <mc:Choice Requires="wps">
          <w:drawing>
            <wp:anchor distT="0" distB="0" distL="0" distR="0" simplePos="0" relativeHeight="251680768" behindDoc="0" locked="0" layoutInCell="1" allowOverlap="1" wp14:anchorId="2FDFA807" wp14:editId="6D0AD02A">
              <wp:simplePos x="635" y="635"/>
              <wp:positionH relativeFrom="page">
                <wp:align>center</wp:align>
              </wp:positionH>
              <wp:positionV relativeFrom="page">
                <wp:align>bottom</wp:align>
              </wp:positionV>
              <wp:extent cx="551815" cy="391160"/>
              <wp:effectExtent l="0" t="0" r="635" b="0"/>
              <wp:wrapNone/>
              <wp:docPr id="16618828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BEECAD" w14:textId="398AA408"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DFA807" id="_x0000_t202" coordsize="21600,21600" o:spt="202" path="m,l,21600r21600,l21600,xe">
              <v:stroke joinstyle="miter"/>
              <v:path gradientshapeok="t" o:connecttype="rect"/>
            </v:shapetype>
            <v:shape id="Text Box 16" o:spid="_x0000_s1035" type="#_x0000_t202" alt="OFFICIAL" style="position:absolute;margin-left:0;margin-top:0;width:43.45pt;height:30.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filled="f" stroked="f">
              <v:textbox style="mso-fit-shape-to-text:t" inset="0,0,0,15pt">
                <w:txbxContent>
                  <w:p w14:paraId="6ABEECAD" w14:textId="398AA408"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r w:rsidR="00342918" w:rsidRPr="00C0159A">
      <w:t xml:space="preserve">© </w:t>
    </w:r>
    <w:r w:rsidR="00342918">
      <w:fldChar w:fldCharType="begin"/>
    </w:r>
    <w:r w:rsidR="00342918">
      <w:instrText xml:space="preserve"> CREATEDATE \@ "yyyy" \* MERGEFORMAT </w:instrText>
    </w:r>
    <w:r w:rsidR="00342918">
      <w:fldChar w:fldCharType="separate"/>
    </w:r>
    <w:r w:rsidR="0027066B">
      <w:rPr>
        <w:noProof/>
      </w:rPr>
      <w:t>2023</w:t>
    </w:r>
    <w:r w:rsidR="00342918">
      <w:rPr>
        <w:noProof/>
      </w:rPr>
      <w:fldChar w:fldCharType="end"/>
    </w:r>
    <w:r w:rsidR="00342918">
      <w:rPr>
        <w:noProof/>
      </w:rPr>
      <w:t xml:space="preserve"> Plum Consulting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2BE3" w14:textId="774EF8C4" w:rsidR="00E05369" w:rsidRPr="005F0F56" w:rsidRDefault="00A124D7">
    <w:pPr>
      <w:pStyle w:val="Footer"/>
    </w:pPr>
    <w:r>
      <w:rPr>
        <w:noProof/>
      </w:rPr>
      <mc:AlternateContent>
        <mc:Choice Requires="wps">
          <w:drawing>
            <wp:anchor distT="0" distB="0" distL="0" distR="0" simplePos="0" relativeHeight="251683840" behindDoc="0" locked="0" layoutInCell="1" allowOverlap="1" wp14:anchorId="2BAA70AA" wp14:editId="50EB1742">
              <wp:simplePos x="635" y="635"/>
              <wp:positionH relativeFrom="page">
                <wp:align>center</wp:align>
              </wp:positionH>
              <wp:positionV relativeFrom="page">
                <wp:align>bottom</wp:align>
              </wp:positionV>
              <wp:extent cx="551815" cy="391160"/>
              <wp:effectExtent l="0" t="0" r="635" b="0"/>
              <wp:wrapNone/>
              <wp:docPr id="81516024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DF50845" w14:textId="6C4B3B98"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A70AA" id="_x0000_t202" coordsize="21600,21600" o:spt="202" path="m,l,21600r21600,l21600,xe">
              <v:stroke joinstyle="miter"/>
              <v:path gradientshapeok="t" o:connecttype="rect"/>
            </v:shapetype>
            <v:shape id="Text Box 19" o:spid="_x0000_s1038" type="#_x0000_t202" alt="OFFICIAL" style="position:absolute;margin-left:0;margin-top:0;width:43.45pt;height:30.8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gPDwIAAB0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NP10HH8L9ZG2QjgR7p1ctdR7LXx4EUgM0yKk&#10;2vBMhzbQVxzOFmcN4I+/+WM+AU9RznpSTMUtSZoz880SIVFco4GjsU1GcZfPcorbffcApMOCnoST&#10;ySQvBjOaGqF7Iz0vYyMKCSupXcW3o/kQTtKl9yDVcpmSSEdOhLXdOBlLR7wimK/Dm0B3RjwQVU8w&#10;ykmU74A/5cab3i33geBPrERsT0CeIScNJrLO7yWK/Nf/lHV91Yu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jajIDw8CAAAd&#10;BAAADgAAAAAAAAAAAAAAAAAuAgAAZHJzL2Uyb0RvYy54bWxQSwECLQAUAAYACAAAACEAy6OOENoA&#10;AAADAQAADwAAAAAAAAAAAAAAAABpBAAAZHJzL2Rvd25yZXYueG1sUEsFBgAAAAAEAAQA8wAAAHAF&#10;AAAAAA==&#10;" filled="f" stroked="f">
              <v:textbox style="mso-fit-shape-to-text:t" inset="0,0,0,15pt">
                <w:txbxContent>
                  <w:p w14:paraId="6DF50845" w14:textId="6C4B3B98"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D115" w14:textId="15462D81" w:rsidR="00E05369" w:rsidRPr="00C0159A" w:rsidRDefault="00A124D7" w:rsidP="00AF5918">
    <w:pPr>
      <w:pStyle w:val="FooterA4Portrait"/>
    </w:pPr>
    <w:r>
      <w:rPr>
        <w:noProof/>
      </w:rPr>
      <mc:AlternateContent>
        <mc:Choice Requires="wps">
          <w:drawing>
            <wp:anchor distT="0" distB="0" distL="0" distR="0" simplePos="0" relativeHeight="251684864" behindDoc="0" locked="0" layoutInCell="1" allowOverlap="1" wp14:anchorId="404C6C0E" wp14:editId="48A3013F">
              <wp:simplePos x="723900" y="10007600"/>
              <wp:positionH relativeFrom="page">
                <wp:align>center</wp:align>
              </wp:positionH>
              <wp:positionV relativeFrom="page">
                <wp:align>bottom</wp:align>
              </wp:positionV>
              <wp:extent cx="551815" cy="391160"/>
              <wp:effectExtent l="0" t="0" r="635" b="0"/>
              <wp:wrapNone/>
              <wp:docPr id="82634581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0CE74B" w14:textId="0C12157F"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C6C0E" id="_x0000_t202" coordsize="21600,21600" o:spt="202" path="m,l,21600r21600,l21600,xe">
              <v:stroke joinstyle="miter"/>
              <v:path gradientshapeok="t" o:connecttype="rect"/>
            </v:shapetype>
            <v:shape id="Text Box 20" o:spid="_x0000_s1039" type="#_x0000_t202" alt="OFFICIAL" style="position:absolute;margin-left:0;margin-top:0;width:43.45pt;height:30.8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4Bd6Mg8CAAAd&#10;BAAADgAAAAAAAAAAAAAAAAAuAgAAZHJzL2Uyb0RvYy54bWxQSwECLQAUAAYACAAAACEAy6OOENoA&#10;AAADAQAADwAAAAAAAAAAAAAAAABpBAAAZHJzL2Rvd25yZXYueG1sUEsFBgAAAAAEAAQA8wAAAHAF&#10;AAAAAA==&#10;" filled="f" stroked="f">
              <v:textbox style="mso-fit-shape-to-text:t" inset="0,0,0,15pt">
                <w:txbxContent>
                  <w:p w14:paraId="6A0CE74B" w14:textId="0C12157F"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r w:rsidR="00E05369" w:rsidRPr="00C0159A">
      <w:t xml:space="preserve">© </w:t>
    </w:r>
    <w:r w:rsidR="00E05369">
      <w:fldChar w:fldCharType="begin"/>
    </w:r>
    <w:r w:rsidR="00E05369">
      <w:instrText xml:space="preserve"> CREATEDATE \@ "yyyy" \* MERGEFORMAT </w:instrText>
    </w:r>
    <w:r w:rsidR="00E05369">
      <w:fldChar w:fldCharType="separate"/>
    </w:r>
    <w:r w:rsidR="0027066B">
      <w:rPr>
        <w:noProof/>
      </w:rPr>
      <w:t>2023</w:t>
    </w:r>
    <w:r w:rsidR="00E05369">
      <w:rPr>
        <w:noProof/>
      </w:rPr>
      <w:fldChar w:fldCharType="end"/>
    </w:r>
    <w:r w:rsidR="00E05369">
      <w:rPr>
        <w:noProof/>
      </w:rPr>
      <w:t xml:space="preserve"> Plum Consulting</w:t>
    </w:r>
    <w:r w:rsidR="00E05369" w:rsidRPr="00C0159A">
      <w:tab/>
    </w:r>
    <w:r w:rsidR="00E05369">
      <w:rPr>
        <w:rStyle w:val="PageNumber"/>
      </w:rPr>
      <w:fldChar w:fldCharType="begin"/>
    </w:r>
    <w:r w:rsidR="00E05369">
      <w:rPr>
        <w:rStyle w:val="PageNumber"/>
      </w:rPr>
      <w:instrText xml:space="preserve"> PAGE </w:instrText>
    </w:r>
    <w:r w:rsidR="00E05369">
      <w:rPr>
        <w:rStyle w:val="PageNumber"/>
      </w:rPr>
      <w:fldChar w:fldCharType="separate"/>
    </w:r>
    <w:r w:rsidR="0054515F">
      <w:rPr>
        <w:rStyle w:val="PageNumber"/>
        <w:noProof/>
      </w:rPr>
      <w:t>2</w:t>
    </w:r>
    <w:r w:rsidR="00E05369">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C965" w14:textId="40C34B63" w:rsidR="00E05369" w:rsidRPr="005F0F56" w:rsidRDefault="00A124D7">
    <w:pPr>
      <w:pStyle w:val="Footer"/>
    </w:pPr>
    <w:r>
      <w:rPr>
        <w:noProof/>
      </w:rPr>
      <mc:AlternateContent>
        <mc:Choice Requires="wps">
          <w:drawing>
            <wp:anchor distT="0" distB="0" distL="0" distR="0" simplePos="0" relativeHeight="251682816" behindDoc="0" locked="0" layoutInCell="1" allowOverlap="1" wp14:anchorId="1F2FE388" wp14:editId="57DD0642">
              <wp:simplePos x="635" y="635"/>
              <wp:positionH relativeFrom="page">
                <wp:align>center</wp:align>
              </wp:positionH>
              <wp:positionV relativeFrom="page">
                <wp:align>bottom</wp:align>
              </wp:positionV>
              <wp:extent cx="551815" cy="391160"/>
              <wp:effectExtent l="0" t="0" r="635" b="0"/>
              <wp:wrapNone/>
              <wp:docPr id="194773137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3DE40D" w14:textId="4C62B1F2"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FE388" id="_x0000_t202" coordsize="21600,21600" o:spt="202" path="m,l,21600r21600,l21600,xe">
              <v:stroke joinstyle="miter"/>
              <v:path gradientshapeok="t" o:connecttype="rect"/>
            </v:shapetype>
            <v:shape id="Text Box 18" o:spid="_x0000_s1041" type="#_x0000_t202" alt="OFFICIAL" style="position:absolute;margin-left:0;margin-top:0;width:43.45pt;height:30.8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W/Dw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P10HH8D9YG2QjgS7p1cttR7JXx4EUgM0yKk&#10;2vBMhzbQVxxOFmcN4M9/+WM+AU9RznpSTMUtSZoz890SIVFco4GjsUlGcZtPc4rbXfcApMOCnoST&#10;ySQvBjOaGqF7Iz0vYiMKCSupXcU3o/kQjtKl9yDVYpGSSEdOhJVdOxlLR7wimK/Dm0B3QjwQVU8w&#10;ykmU74A/5sab3i12geBPrERsj0CeICcNJrJO7yWK/Pf/lHV51f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jpTVvw8CAAAd&#10;BAAADgAAAAAAAAAAAAAAAAAuAgAAZHJzL2Uyb0RvYy54bWxQSwECLQAUAAYACAAAACEAy6OOENoA&#10;AAADAQAADwAAAAAAAAAAAAAAAABpBAAAZHJzL2Rvd25yZXYueG1sUEsFBgAAAAAEAAQA8wAAAHAF&#10;AAAAAA==&#10;" filled="f" stroked="f">
              <v:textbox style="mso-fit-shape-to-text:t" inset="0,0,0,15pt">
                <w:txbxContent>
                  <w:p w14:paraId="673DE40D" w14:textId="4C62B1F2"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4F9" w14:textId="3E046697" w:rsidR="004C27FE" w:rsidRPr="005F0F56" w:rsidRDefault="00A124D7">
    <w:pPr>
      <w:pStyle w:val="Footer"/>
    </w:pPr>
    <w:r>
      <w:rPr>
        <w:noProof/>
      </w:rPr>
      <mc:AlternateContent>
        <mc:Choice Requires="wps">
          <w:drawing>
            <wp:anchor distT="0" distB="0" distL="0" distR="0" simplePos="0" relativeHeight="251686912" behindDoc="0" locked="0" layoutInCell="1" allowOverlap="1" wp14:anchorId="49E07C08" wp14:editId="470E80CB">
              <wp:simplePos x="635" y="635"/>
              <wp:positionH relativeFrom="page">
                <wp:align>center</wp:align>
              </wp:positionH>
              <wp:positionV relativeFrom="page">
                <wp:align>bottom</wp:align>
              </wp:positionV>
              <wp:extent cx="551815" cy="391160"/>
              <wp:effectExtent l="0" t="0" r="635" b="0"/>
              <wp:wrapNone/>
              <wp:docPr id="2059947467"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7B004D0" w14:textId="06B558A9"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07C08" id="_x0000_t202" coordsize="21600,21600" o:spt="202" path="m,l,21600r21600,l21600,xe">
              <v:stroke joinstyle="miter"/>
              <v:path gradientshapeok="t" o:connecttype="rect"/>
            </v:shapetype>
            <v:shape id="Text Box 22" o:spid="_x0000_s1045" type="#_x0000_t202" alt="OFFICIAL" style="position:absolute;margin-left:0;margin-top:0;width:43.45pt;height:30.8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t/DwIAAB0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afrZOP4W6iNthXAi3Du5aqn3WvjwIpAYpkVI&#10;teGZDm2grzicLc4awB9/88d8Ap6inPWkmIpbkjRn5pslQqK4RgNHY5uMYpZPc4rbffcApMOCnoST&#10;ySQvBjOaGqF7Iz0vYyMKCSupXcW3o/kQTtKl9yDVcpmSSEdOhLXdOBlLR7wimK/Dm0B3RjwQVU8w&#10;ykmU74A/5cab3i33geBPrERsT0CeIScNJrLO7yWK/Nf/lHV91Yu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E5T7fw8CAAAd&#10;BAAADgAAAAAAAAAAAAAAAAAuAgAAZHJzL2Uyb0RvYy54bWxQSwECLQAUAAYACAAAACEAy6OOENoA&#10;AAADAQAADwAAAAAAAAAAAAAAAABpBAAAZHJzL2Rvd25yZXYueG1sUEsFBgAAAAAEAAQA8wAAAHAF&#10;AAAAAA==&#10;" filled="f" stroked="f">
              <v:textbox style="mso-fit-shape-to-text:t" inset="0,0,0,15pt">
                <w:txbxContent>
                  <w:p w14:paraId="07B004D0" w14:textId="06B558A9"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F1CD" w14:textId="77777777" w:rsidR="0068633C" w:rsidRPr="00CE6214" w:rsidRDefault="0068633C" w:rsidP="00CE6214">
      <w:pPr>
        <w:pStyle w:val="Footer"/>
        <w:rPr>
          <w:sz w:val="2"/>
        </w:rPr>
      </w:pPr>
    </w:p>
  </w:footnote>
  <w:footnote w:type="continuationSeparator" w:id="0">
    <w:p w14:paraId="4641BECC" w14:textId="77777777" w:rsidR="0068633C" w:rsidRPr="00CE6214" w:rsidRDefault="0068633C" w:rsidP="00CE6214">
      <w:pPr>
        <w:pStyle w:val="Footer"/>
        <w:rPr>
          <w:sz w:val="2"/>
        </w:rPr>
      </w:pPr>
    </w:p>
  </w:footnote>
  <w:footnote w:id="1">
    <w:p w14:paraId="3713BA6F" w14:textId="0FDD618E" w:rsidR="00B045E5" w:rsidRPr="005E4670" w:rsidRDefault="00B045E5">
      <w:pPr>
        <w:pStyle w:val="FootnoteText"/>
        <w:rPr>
          <w:lang w:val="en-US"/>
        </w:rPr>
      </w:pPr>
      <w:r>
        <w:rPr>
          <w:rStyle w:val="FootnoteReference"/>
        </w:rPr>
        <w:footnoteRef/>
      </w:r>
      <w:r>
        <w:t xml:space="preserve"> </w:t>
      </w:r>
      <w:r>
        <w:rPr>
          <w:lang w:val="en-US"/>
        </w:rPr>
        <w:t xml:space="preserve">See </w:t>
      </w:r>
      <w:hyperlink r:id="rId1" w:history="1">
        <w:r w:rsidRPr="00293256">
          <w:rPr>
            <w:rStyle w:val="Hyperlink"/>
            <w:lang w:val="en-US"/>
          </w:rPr>
          <w:t>https://www.acma.gov.au/consultations/2023-05/proposed-approach-expiring-spectrum-licences</w:t>
        </w:r>
      </w:hyperlink>
      <w:r>
        <w:rPr>
          <w:lang w:val="en-US"/>
        </w:rPr>
        <w:t xml:space="preserve"> </w:t>
      </w:r>
    </w:p>
  </w:footnote>
  <w:footnote w:id="2">
    <w:p w14:paraId="60E29B56" w14:textId="1882B695" w:rsidR="00445F39" w:rsidRPr="00445F39" w:rsidRDefault="00445F39">
      <w:pPr>
        <w:pStyle w:val="FootnoteText"/>
      </w:pPr>
      <w:r>
        <w:rPr>
          <w:rStyle w:val="FootnoteReference"/>
        </w:rPr>
        <w:footnoteRef/>
      </w:r>
      <w:r>
        <w:t xml:space="preserve"> “</w:t>
      </w:r>
      <w:r w:rsidRPr="00445F39">
        <w:t>International best practice in spectrum licence renewals</w:t>
      </w:r>
      <w:r>
        <w:t xml:space="preserve">”, </w:t>
      </w:r>
      <w:r w:rsidR="00EB4211">
        <w:t>June 2020</w:t>
      </w:r>
    </w:p>
  </w:footnote>
  <w:footnote w:id="3">
    <w:p w14:paraId="4B1A58B0" w14:textId="1878111B" w:rsidR="00540CD8" w:rsidRPr="00540CD8" w:rsidRDefault="00540CD8">
      <w:pPr>
        <w:pStyle w:val="FootnoteText"/>
      </w:pPr>
      <w:r>
        <w:rPr>
          <w:rStyle w:val="FootnoteReference"/>
        </w:rPr>
        <w:footnoteRef/>
      </w:r>
      <w:r>
        <w:t xml:space="preserve"> There are many other considerations </w:t>
      </w:r>
      <w:r w:rsidR="00C1752B">
        <w:t>i</w:t>
      </w:r>
      <w:r>
        <w:t>n choosing an appropriate spectrum assignment methodology,</w:t>
      </w:r>
      <w:r w:rsidR="00490DD5">
        <w:t xml:space="preserve"> which are not explored in depth here</w:t>
      </w:r>
      <w:r w:rsidR="00447FEA">
        <w:t>.</w:t>
      </w:r>
    </w:p>
  </w:footnote>
  <w:footnote w:id="4">
    <w:p w14:paraId="45E72A89" w14:textId="2C3F56FB" w:rsidR="004F6872" w:rsidRPr="004F6872" w:rsidRDefault="004F6872">
      <w:pPr>
        <w:pStyle w:val="FootnoteText"/>
      </w:pPr>
      <w:r>
        <w:rPr>
          <w:rStyle w:val="FootnoteReference"/>
        </w:rPr>
        <w:footnoteRef/>
      </w:r>
      <w:r>
        <w:t xml:space="preserve"> This can be termed an “auction avoidance premium”.</w:t>
      </w:r>
    </w:p>
  </w:footnote>
  <w:footnote w:id="5">
    <w:p w14:paraId="5A04B994" w14:textId="77777777" w:rsidR="00E03E55" w:rsidRDefault="00E03E55" w:rsidP="00E03E55">
      <w:pPr>
        <w:pStyle w:val="FootnoteText"/>
      </w:pPr>
      <w:r>
        <w:rPr>
          <w:rStyle w:val="FootnoteReference"/>
        </w:rPr>
        <w:footnoteRef/>
      </w:r>
      <w:r>
        <w:t xml:space="preserve"> Depending on the regulatory circumstances and the frequency band being valued, this may relate to the estimation of opportunity cost for a different user or for a different use of the spectrum. In the former, this may involve estimating opportunity cost to mobile operators with different market shares and network build-out. In the latter, this may involve estimating opportunity cost to alternative use of spectrum such as cellular mobile, broadcasting, satellite or fixed services.   </w:t>
      </w:r>
    </w:p>
  </w:footnote>
  <w:footnote w:id="6">
    <w:p w14:paraId="543DEC9F" w14:textId="77777777" w:rsidR="006E49EC" w:rsidRDefault="006E49EC" w:rsidP="006E49EC">
      <w:pPr>
        <w:pStyle w:val="FootnoteText"/>
      </w:pPr>
      <w:r>
        <w:rPr>
          <w:rStyle w:val="FootnoteReference"/>
        </w:rPr>
        <w:footnoteRef/>
      </w:r>
      <w:r>
        <w:t xml:space="preserve"> As there is no need to decide on the appropriate currency, the choice between spot and PPP exchange rates and to adjust for inflation. </w:t>
      </w:r>
    </w:p>
  </w:footnote>
  <w:footnote w:id="7">
    <w:p w14:paraId="2DA7C5DF" w14:textId="5E427C9B" w:rsidR="006E49EC" w:rsidRDefault="006E49EC" w:rsidP="006E49EC">
      <w:pPr>
        <w:pStyle w:val="FootnoteText"/>
      </w:pPr>
      <w:r>
        <w:rPr>
          <w:rStyle w:val="FootnoteReference"/>
        </w:rPr>
        <w:footnoteRef/>
      </w:r>
      <w:r>
        <w:t xml:space="preserve"> In some cases</w:t>
      </w:r>
      <w:r w:rsidR="00C72E44">
        <w:t>,</w:t>
      </w:r>
      <w:r>
        <w:t xml:space="preserve"> weightings can be used to account for outliers or auctions where values are strongly influenced by specific market or regulatory circumstances (such as a lack of competition, or spectrum caps).</w:t>
      </w:r>
    </w:p>
  </w:footnote>
  <w:footnote w:id="8">
    <w:p w14:paraId="185EB4BC" w14:textId="77777777" w:rsidR="006E49EC" w:rsidRDefault="006E49EC" w:rsidP="006E49EC">
      <w:pPr>
        <w:pStyle w:val="FootnoteText"/>
      </w:pPr>
      <w:r>
        <w:rPr>
          <w:rStyle w:val="FootnoteReference"/>
        </w:rPr>
        <w:footnoteRef/>
      </w:r>
      <w:r>
        <w:t xml:space="preserve"> This method was used by </w:t>
      </w:r>
      <w:proofErr w:type="spellStart"/>
      <w:r>
        <w:t>Aetha</w:t>
      </w:r>
      <w:proofErr w:type="spellEnd"/>
      <w:r>
        <w:t xml:space="preserve"> and Analysys Mason to estimate value of the 1800 MHz band in the UK. </w:t>
      </w:r>
      <w:r w:rsidRPr="004E6594">
        <w:t xml:space="preserve">See </w:t>
      </w:r>
      <w:proofErr w:type="spellStart"/>
      <w:r w:rsidRPr="004E6594">
        <w:t>Aetha</w:t>
      </w:r>
      <w:proofErr w:type="spellEnd"/>
      <w:r w:rsidRPr="004E6594">
        <w:t>-Analysys Mason</w:t>
      </w:r>
      <w:r>
        <w:t>.</w:t>
      </w:r>
      <w:r w:rsidRPr="003F5DF6">
        <w:t xml:space="preserve"> Review of Ofcom</w:t>
      </w:r>
      <w:r>
        <w:t>’</w:t>
      </w:r>
      <w:r w:rsidRPr="003F5DF6">
        <w:t>s benchmarking of the value of the</w:t>
      </w:r>
      <w:r>
        <w:t xml:space="preserve"> </w:t>
      </w:r>
      <w:r w:rsidRPr="003F5DF6">
        <w:t>1800</w:t>
      </w:r>
      <w:r>
        <w:t xml:space="preserve"> </w:t>
      </w:r>
      <w:r w:rsidRPr="003F5DF6">
        <w:t>MHz spectrum band to determine annual licence fees</w:t>
      </w:r>
      <w:r>
        <w:t xml:space="preserve">. Report for Three and EE, January 2014. </w:t>
      </w:r>
      <w:hyperlink r:id="rId2" w:history="1">
        <w:r w:rsidRPr="000B0B3B">
          <w:rPr>
            <w:rStyle w:val="Hyperlink"/>
          </w:rPr>
          <w:t>http://stakeholders.ofcom.org.uk/binaries/consultations/900-1800-mhz-fees/responses/EE_Annex_Analysis_Mason_Aetha_report.pdf</w:t>
        </w:r>
      </w:hyperlink>
      <w:r>
        <w:t xml:space="preserve"> </w:t>
      </w:r>
    </w:p>
  </w:footnote>
  <w:footnote w:id="9">
    <w:p w14:paraId="04485708" w14:textId="77777777" w:rsidR="006E49EC" w:rsidRDefault="006E49EC" w:rsidP="006E49EC">
      <w:pPr>
        <w:pStyle w:val="FootnoteText"/>
      </w:pPr>
      <w:r>
        <w:rPr>
          <w:rStyle w:val="FootnoteReference"/>
        </w:rPr>
        <w:footnoteRef/>
      </w:r>
      <w:r>
        <w:t xml:space="preserve"> Ideally these two bands should have different propagation characteristics and values.</w:t>
      </w:r>
    </w:p>
  </w:footnote>
  <w:footnote w:id="10">
    <w:p w14:paraId="663F935D" w14:textId="1BD2E7E3" w:rsidR="006E49EC" w:rsidRDefault="006E49EC" w:rsidP="006E49EC">
      <w:pPr>
        <w:pStyle w:val="FootnoteText"/>
      </w:pPr>
      <w:r>
        <w:rPr>
          <w:rStyle w:val="FootnoteReference"/>
        </w:rPr>
        <w:footnoteRef/>
      </w:r>
      <w:r>
        <w:t xml:space="preserve"> It can be difficult to come up with a universally applicable definition for such factors. For example, coverage requirements may be defined by population, geography, or in some cases, by coverage of community centres and schools. Spectrum caps may relate to a specific auction, certain frequency bands or total spectrum holdings.  While dummy variables may be used instead, they do not capture the full nature of these factors.</w:t>
      </w:r>
    </w:p>
  </w:footnote>
  <w:footnote w:id="11">
    <w:p w14:paraId="29D2E13A" w14:textId="7D074905" w:rsidR="00286BFF" w:rsidRDefault="00286BFF" w:rsidP="00286BFF">
      <w:pPr>
        <w:pStyle w:val="FootnoteText"/>
      </w:pPr>
      <w:r>
        <w:rPr>
          <w:rStyle w:val="FootnoteReference"/>
        </w:rPr>
        <w:footnoteRef/>
      </w:r>
      <w:r>
        <w:t xml:space="preserve"> Plum</w:t>
      </w:r>
      <w:r w:rsidR="00D50EC2">
        <w:t>,</w:t>
      </w:r>
      <w:r>
        <w:t xml:space="preserve"> June 2014</w:t>
      </w:r>
      <w:r w:rsidR="00D50EC2">
        <w:t>,</w:t>
      </w:r>
      <w:r>
        <w:t xml:space="preserve"> “Do you need a mobile data forecast to estimate spectrum demand”?  </w:t>
      </w:r>
      <w:hyperlink r:id="rId3" w:history="1">
        <w:r w:rsidRPr="00F17B09">
          <w:rPr>
            <w:rStyle w:val="Hyperlink"/>
          </w:rPr>
          <w:t>http://www.plumconsulting.co.uk/pdfs/Plum_Insight_June_2014_Do_you_need_a_mobile_data_forecast_to_estimate_spectrum_demand.pdf</w:t>
        </w:r>
      </w:hyperlink>
      <w:r>
        <w:t xml:space="preserve"> </w:t>
      </w:r>
    </w:p>
  </w:footnote>
  <w:footnote w:id="12">
    <w:p w14:paraId="7B04AF9A" w14:textId="3E60A3E5" w:rsidR="00F71CD6" w:rsidRDefault="00F71CD6" w:rsidP="00F71CD6">
      <w:pPr>
        <w:pStyle w:val="FootnoteText"/>
      </w:pPr>
      <w:r>
        <w:rPr>
          <w:rStyle w:val="FootnoteReference"/>
        </w:rPr>
        <w:footnoteRef/>
      </w:r>
      <w:r>
        <w:t xml:space="preserve"> NERA and Smith System Engineering. Study into the Use of Spectrum Pricing, Radiocommunications Agency, April</w:t>
      </w:r>
      <w:r w:rsidR="003066A8">
        <w:t xml:space="preserve"> </w:t>
      </w:r>
      <w:r>
        <w:t>1996.</w:t>
      </w:r>
    </w:p>
  </w:footnote>
  <w:footnote w:id="13">
    <w:p w14:paraId="7DD1A2F3" w14:textId="77777777" w:rsidR="00F71CD6" w:rsidRDefault="00F71CD6" w:rsidP="00F71CD6">
      <w:pPr>
        <w:pStyle w:val="FootnoteText"/>
      </w:pPr>
      <w:r>
        <w:rPr>
          <w:rStyle w:val="FootnoteReference"/>
        </w:rPr>
        <w:footnoteRef/>
      </w:r>
      <w:r>
        <w:t xml:space="preserve"> AIP was also used to set 2G mobile spectrum fees in 1998 but </w:t>
      </w:r>
      <w:proofErr w:type="gramStart"/>
      <w:r>
        <w:t>the ,</w:t>
      </w:r>
      <w:proofErr w:type="gramEnd"/>
      <w:r>
        <w:t xml:space="preserve"> the AIP approach would be </w:t>
      </w:r>
      <w:proofErr w:type="gramStart"/>
      <w:r>
        <w:t>similar to</w:t>
      </w:r>
      <w:proofErr w:type="gramEnd"/>
      <w:r>
        <w:t xml:space="preserve"> the avoided cost method described in Section 3. </w:t>
      </w:r>
    </w:p>
  </w:footnote>
  <w:footnote w:id="14">
    <w:p w14:paraId="6E654155" w14:textId="77777777" w:rsidR="00F71CD6" w:rsidRDefault="00F71CD6" w:rsidP="00F71CD6">
      <w:pPr>
        <w:pStyle w:val="FootnoteText"/>
      </w:pPr>
      <w:r>
        <w:rPr>
          <w:rStyle w:val="FootnoteReference"/>
        </w:rPr>
        <w:footnoteRef/>
      </w:r>
      <w:r>
        <w:t xml:space="preserve"> Ofcom.  SRSP: The revised Framework for Spectrum Pricing. December 2010.    </w:t>
      </w:r>
      <w:hyperlink r:id="rId4" w:history="1">
        <w:r w:rsidRPr="0001345D">
          <w:rPr>
            <w:rStyle w:val="Hyperlink"/>
          </w:rPr>
          <w:t>http://stakeholders.ofcom.org.uk/consultations/srsp/statement</w:t>
        </w:r>
      </w:hyperlink>
      <w:r>
        <w:t xml:space="preserve"> </w:t>
      </w:r>
    </w:p>
  </w:footnote>
  <w:footnote w:id="15">
    <w:p w14:paraId="3DE4425E" w14:textId="27D10981" w:rsidR="004F5FD7" w:rsidRPr="004F5FD7" w:rsidRDefault="004F5FD7">
      <w:pPr>
        <w:pStyle w:val="FootnoteText"/>
      </w:pPr>
      <w:r>
        <w:rPr>
          <w:rStyle w:val="FootnoteReference"/>
        </w:rPr>
        <w:footnoteRef/>
      </w:r>
      <w:r>
        <w:t xml:space="preserve"> Source: Ofcom</w:t>
      </w:r>
    </w:p>
  </w:footnote>
  <w:footnote w:id="16">
    <w:p w14:paraId="3D8839DD" w14:textId="77777777" w:rsidR="00F71CD6" w:rsidRDefault="00F71CD6" w:rsidP="00F71CD6">
      <w:pPr>
        <w:pStyle w:val="FootnoteText"/>
      </w:pPr>
      <w:r>
        <w:rPr>
          <w:rStyle w:val="FootnoteReference"/>
        </w:rPr>
        <w:footnoteRef/>
      </w:r>
      <w:r>
        <w:t xml:space="preserve"> In practice</w:t>
      </w:r>
      <w:r w:rsidRPr="004E7660">
        <w:t xml:space="preserve"> it is </w:t>
      </w:r>
      <w:r>
        <w:t xml:space="preserve">often </w:t>
      </w:r>
      <w:r w:rsidRPr="004E7660">
        <w:t>not p</w:t>
      </w:r>
      <w:r>
        <w:t xml:space="preserve">ossible </w:t>
      </w:r>
      <w:r w:rsidRPr="004E7660">
        <w:t xml:space="preserve">to </w:t>
      </w:r>
      <w:proofErr w:type="gramStart"/>
      <w:r w:rsidRPr="004E7660">
        <w:t>take into account</w:t>
      </w:r>
      <w:proofErr w:type="gramEnd"/>
      <w:r w:rsidRPr="004E7660">
        <w:t xml:space="preserve"> the impact of quantity or quality changes</w:t>
      </w:r>
      <w:r>
        <w:t xml:space="preserve"> because these depend on the specific (and unknown) circumstances of each user.</w:t>
      </w:r>
    </w:p>
  </w:footnote>
  <w:footnote w:id="17">
    <w:p w14:paraId="2E20A0FD" w14:textId="77777777" w:rsidR="00F71CD6" w:rsidRDefault="00F71CD6" w:rsidP="00F71CD6">
      <w:pPr>
        <w:pStyle w:val="FootnoteText"/>
      </w:pPr>
      <w:r>
        <w:rPr>
          <w:rStyle w:val="FootnoteReference"/>
        </w:rPr>
        <w:footnoteRef/>
      </w:r>
      <w:r>
        <w:t xml:space="preserve"> ACMA. New measures proposed for 400 MHz band, April 2009  </w:t>
      </w:r>
      <w:hyperlink r:id="rId5" w:history="1">
        <w:r w:rsidRPr="0001345D">
          <w:rPr>
            <w:rStyle w:val="Hyperlink"/>
          </w:rPr>
          <w:t>http://www.acma.gov.au/theACMA/new-measures-proposed-for-400-mhz-band</w:t>
        </w:r>
      </w:hyperlink>
      <w:r>
        <w:t xml:space="preserve">   </w:t>
      </w:r>
    </w:p>
  </w:footnote>
  <w:footnote w:id="18">
    <w:p w14:paraId="34CCCB40" w14:textId="77777777" w:rsidR="00F71CD6" w:rsidRDefault="00F71CD6" w:rsidP="00F71CD6">
      <w:pPr>
        <w:pStyle w:val="FootnoteText"/>
      </w:pPr>
      <w:r>
        <w:rPr>
          <w:rStyle w:val="FootnoteReference"/>
        </w:rPr>
        <w:footnoteRef/>
      </w:r>
      <w:r>
        <w:t xml:space="preserve"> Joint statement of the Secretary for Commerce and Economic Development and the Telecommunications Authority. Spectrum utilization fee for spectrum assigned administratively, 23 September 2011 </w:t>
      </w:r>
      <w:hyperlink r:id="rId6" w:history="1">
        <w:r w:rsidRPr="0001345D">
          <w:rPr>
            <w:rStyle w:val="Hyperlink"/>
          </w:rPr>
          <w:t>http://tel_archives.ofca.gov.hk/en/tas/spectrum/ta20110923.pdf</w:t>
        </w:r>
      </w:hyperlink>
      <w:r>
        <w:t xml:space="preserve"> </w:t>
      </w:r>
    </w:p>
  </w:footnote>
  <w:footnote w:id="19">
    <w:p w14:paraId="4A9D2E39" w14:textId="6EA67C9B" w:rsidR="00DB2168" w:rsidRPr="00DB2168" w:rsidRDefault="00DB2168">
      <w:pPr>
        <w:pStyle w:val="FootnoteText"/>
        <w:rPr>
          <w:lang w:val="en-US"/>
        </w:rPr>
      </w:pPr>
      <w:r>
        <w:rPr>
          <w:rStyle w:val="FootnoteReference"/>
        </w:rPr>
        <w:footnoteRef/>
      </w:r>
      <w:r>
        <w:t xml:space="preserve"> </w:t>
      </w:r>
      <w:r>
        <w:rPr>
          <w:lang w:val="en-US"/>
        </w:rPr>
        <w:t>These valuations were carried out by consultation respondents rather than the regulator.</w:t>
      </w:r>
    </w:p>
  </w:footnote>
  <w:footnote w:id="20">
    <w:p w14:paraId="741A7CE0" w14:textId="77777777" w:rsidR="00402BA2" w:rsidRDefault="00402BA2" w:rsidP="00402BA2">
      <w:pPr>
        <w:pStyle w:val="FootnoteText"/>
      </w:pPr>
      <w:r>
        <w:rPr>
          <w:rStyle w:val="FootnoteReference"/>
        </w:rPr>
        <w:footnoteRef/>
      </w:r>
      <w:r>
        <w:t xml:space="preserve"> </w:t>
      </w:r>
      <w:proofErr w:type="spellStart"/>
      <w:r>
        <w:t>Dotecon</w:t>
      </w:r>
      <w:proofErr w:type="spellEnd"/>
      <w:r>
        <w:t xml:space="preserve"> &amp; </w:t>
      </w:r>
      <w:proofErr w:type="spellStart"/>
      <w:r>
        <w:t>Aetha</w:t>
      </w:r>
      <w:proofErr w:type="spellEnd"/>
      <w:r>
        <w:t>. Spectrum value of 800 MHz, 1800 MHz and 2.6 GHz. Report for Ofcom, July 2012.</w:t>
      </w:r>
    </w:p>
  </w:footnote>
  <w:footnote w:id="21">
    <w:p w14:paraId="373596FC" w14:textId="77777777" w:rsidR="00402BA2" w:rsidRDefault="00402BA2" w:rsidP="00402BA2">
      <w:pPr>
        <w:pStyle w:val="FootnoteText"/>
      </w:pPr>
      <w:r>
        <w:rPr>
          <w:rStyle w:val="FootnoteReference"/>
        </w:rPr>
        <w:footnoteRef/>
      </w:r>
      <w:r>
        <w:t xml:space="preserve"> Note that the 1800 MHz band was also initially considered in the study as Everything Everywhere was required by the European Commission to divest 2×15 MHz of its 1800 MHz holdings (either via private sale or auction) as part of the conditions for the creation of EE through the merger of T-Mobile and Orange in the UK. EE subsequently sold the 1800 MHz spectrum to H3G for an undisclosed amount which meant the 1800 MHz spectrum was not sold in the UK auction in 2013. </w:t>
      </w:r>
    </w:p>
  </w:footnote>
  <w:footnote w:id="22">
    <w:p w14:paraId="45663480" w14:textId="77777777" w:rsidR="00A06C28" w:rsidRDefault="00A06C28" w:rsidP="00A06C28">
      <w:pPr>
        <w:pStyle w:val="FootnoteText"/>
      </w:pPr>
      <w:r>
        <w:rPr>
          <w:rStyle w:val="FootnoteReference"/>
        </w:rPr>
        <w:footnoteRef/>
      </w:r>
      <w:r>
        <w:t xml:space="preserve"> </w:t>
      </w:r>
      <w:proofErr w:type="spellStart"/>
      <w:r>
        <w:t>ComReg</w:t>
      </w:r>
      <w:proofErr w:type="spellEnd"/>
      <w:r>
        <w:t>. Liberalising the future use of the 900 MHz and 1800 MHz spectrum bands. Document No. 09/99, 21 December 2009. See pp.162-163</w:t>
      </w:r>
    </w:p>
  </w:footnote>
  <w:footnote w:id="23">
    <w:p w14:paraId="7CF8F507" w14:textId="77777777" w:rsidR="00A06C28" w:rsidRDefault="00A06C28" w:rsidP="00A06C28">
      <w:pPr>
        <w:pStyle w:val="FootnoteText"/>
      </w:pPr>
      <w:r>
        <w:rPr>
          <w:rStyle w:val="FootnoteReference"/>
        </w:rPr>
        <w:footnoteRef/>
      </w:r>
      <w:r>
        <w:t xml:space="preserve"> </w:t>
      </w:r>
      <w:proofErr w:type="spellStart"/>
      <w:r>
        <w:t>Dotecon</w:t>
      </w:r>
      <w:proofErr w:type="spellEnd"/>
      <w:r>
        <w:t>. Award of 800 MHz, 900 MHz and 1800 MHz – fifth benchmarking report. March 2012</w:t>
      </w:r>
    </w:p>
  </w:footnote>
  <w:footnote w:id="24">
    <w:p w14:paraId="75DD0846" w14:textId="77777777" w:rsidR="00A06C28" w:rsidRDefault="00A06C28" w:rsidP="00A06C28">
      <w:pPr>
        <w:pStyle w:val="FootnoteText"/>
      </w:pPr>
      <w:r>
        <w:rPr>
          <w:rStyle w:val="FootnoteReference"/>
        </w:rPr>
        <w:footnoteRef/>
      </w:r>
      <w:r>
        <w:t xml:space="preserve"> The dependable variables tested include GDP per capita, area per capita, ratio of winners to bidders in the auction, number of MNOs, national licence dummy, 2.5 GHz dummy, Africa and Middle East dummy. </w:t>
      </w:r>
    </w:p>
  </w:footnote>
  <w:footnote w:id="25">
    <w:p w14:paraId="71C48F1D" w14:textId="217CA3F3" w:rsidR="00114705" w:rsidRPr="00114705" w:rsidRDefault="00114705">
      <w:pPr>
        <w:pStyle w:val="FootnoteText"/>
        <w:rPr>
          <w:lang w:val="en-US"/>
        </w:rPr>
      </w:pPr>
      <w:r>
        <w:rPr>
          <w:rStyle w:val="FootnoteReference"/>
        </w:rPr>
        <w:footnoteRef/>
      </w:r>
      <w:r>
        <w:t xml:space="preserve"> </w:t>
      </w:r>
      <w:r>
        <w:rPr>
          <w:lang w:val="en-US"/>
        </w:rPr>
        <w:t>A significant amount of AWS spectrum had previously been awarded and was being used for 2G and 3G services; this auction was for the rest of the band.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2EAF" w14:textId="29013F5F" w:rsidR="000A2403" w:rsidRDefault="00A124D7">
    <w:pPr>
      <w:pStyle w:val="Header"/>
    </w:pPr>
    <w:r>
      <w:rPr>
        <w:noProof/>
      </w:rPr>
      <mc:AlternateContent>
        <mc:Choice Requires="wps">
          <w:drawing>
            <wp:anchor distT="0" distB="0" distL="0" distR="0" simplePos="0" relativeHeight="251666432" behindDoc="0" locked="0" layoutInCell="1" allowOverlap="1" wp14:anchorId="2FE8D6E3" wp14:editId="1B0E1014">
              <wp:simplePos x="635" y="635"/>
              <wp:positionH relativeFrom="page">
                <wp:align>center</wp:align>
              </wp:positionH>
              <wp:positionV relativeFrom="page">
                <wp:align>top</wp:align>
              </wp:positionV>
              <wp:extent cx="551815" cy="391160"/>
              <wp:effectExtent l="0" t="0" r="635" b="8890"/>
              <wp:wrapNone/>
              <wp:docPr id="676629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964D17" w14:textId="5918196F"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8D6E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8964D17" w14:textId="5918196F"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A442" w14:textId="4F78F2A4" w:rsidR="004C27FE" w:rsidRPr="005F0F56" w:rsidRDefault="00A124D7">
    <w:pPr>
      <w:pStyle w:val="Header"/>
    </w:pPr>
    <w:r>
      <w:rPr>
        <w:noProof/>
      </w:rPr>
      <mc:AlternateContent>
        <mc:Choice Requires="wps">
          <w:drawing>
            <wp:anchor distT="0" distB="0" distL="0" distR="0" simplePos="0" relativeHeight="251675648" behindDoc="0" locked="0" layoutInCell="1" allowOverlap="1" wp14:anchorId="6E016DD1" wp14:editId="35D63B05">
              <wp:simplePos x="635" y="635"/>
              <wp:positionH relativeFrom="page">
                <wp:align>center</wp:align>
              </wp:positionH>
              <wp:positionV relativeFrom="page">
                <wp:align>top</wp:align>
              </wp:positionV>
              <wp:extent cx="551815" cy="391160"/>
              <wp:effectExtent l="0" t="0" r="635" b="8890"/>
              <wp:wrapNone/>
              <wp:docPr id="178163038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D5152F" w14:textId="509AAF46"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016DD1" id="_x0000_t202" coordsize="21600,21600" o:spt="202" path="m,l,21600r21600,l21600,xe">
              <v:stroke joinstyle="miter"/>
              <v:path gradientshapeok="t" o:connecttype="rect"/>
            </v:shapetype>
            <v:shape id="Text Box 11" o:spid="_x0000_s1043" type="#_x0000_t202" alt="OFFICIAL" style="position:absolute;margin-left:0;margin-top:0;width:43.45pt;height:30.8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FwDwIAAB0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m/jONvoD7QVh6OhAcnly31XomAz8ITw7QI&#10;qRaf6NAG+orDyeKsAf/zb/6YT8BTlLOeFFNxS5LmzHy3REgUVzKK23ya082P7s1o2F13D6TDgp6E&#10;k8mMeWhGU3voXknPi9iIQsJKaldxHM17PEqX3oNUi0VKIh05gSu7djKWjnhFMF+GV+HdCXEkqh5h&#10;lJMo3wF/zI1/BrfYIcGfWInYHoE8QU4aTGSd3ksU+dt7yrq86vkv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DKLeFwDwIAAB0E&#10;AAAOAAAAAAAAAAAAAAAAAC4CAABkcnMvZTJvRG9jLnhtbFBLAQItABQABgAIAAAAIQAoUFKv2QAA&#10;AAMBAAAPAAAAAAAAAAAAAAAAAGkEAABkcnMvZG93bnJldi54bWxQSwUGAAAAAAQABADzAAAAbwUA&#10;AAAA&#10;" filled="f" stroked="f">
              <v:textbox style="mso-fit-shape-to-text:t" inset="0,15pt,0,0">
                <w:txbxContent>
                  <w:p w14:paraId="73D5152F" w14:textId="509AAF46"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DE40" w14:textId="649EC896" w:rsidR="004C27FE" w:rsidRPr="005F0F56" w:rsidRDefault="00A124D7" w:rsidP="00DF0FCA">
    <w:pPr>
      <w:pStyle w:val="HeaderA4Portrait"/>
    </w:pPr>
    <w:r>
      <w:rPr>
        <w:noProof/>
      </w:rPr>
      <mc:AlternateContent>
        <mc:Choice Requires="wps">
          <w:drawing>
            <wp:anchor distT="0" distB="0" distL="0" distR="0" simplePos="0" relativeHeight="251676672" behindDoc="0" locked="0" layoutInCell="1" allowOverlap="1" wp14:anchorId="3A82016D" wp14:editId="240A864C">
              <wp:simplePos x="635" y="635"/>
              <wp:positionH relativeFrom="page">
                <wp:align>center</wp:align>
              </wp:positionH>
              <wp:positionV relativeFrom="page">
                <wp:align>top</wp:align>
              </wp:positionV>
              <wp:extent cx="551815" cy="391160"/>
              <wp:effectExtent l="0" t="0" r="635" b="8890"/>
              <wp:wrapNone/>
              <wp:docPr id="10762030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E2DDF0C" w14:textId="20D2B830"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2016D" id="_x0000_t202" coordsize="21600,21600" o:spt="202" path="m,l,21600r21600,l21600,xe">
              <v:stroke joinstyle="miter"/>
              <v:path gradientshapeok="t" o:connecttype="rect"/>
            </v:shapetype>
            <v:shape id="Text Box 12" o:spid="_x0000_s1044" type="#_x0000_t202" alt="OFFICIAL" style="position:absolute;margin-left:0;margin-top:0;width:43.45pt;height:30.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j2DgIAAB0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DsGPYOAgAAHQQA&#10;AA4AAAAAAAAAAAAAAAAALgIAAGRycy9lMm9Eb2MueG1sUEsBAi0AFAAGAAgAAAAhAChQUq/ZAAAA&#10;AwEAAA8AAAAAAAAAAAAAAAAAaAQAAGRycy9kb3ducmV2LnhtbFBLBQYAAAAABAAEAPMAAABuBQAA&#10;AAA=&#10;" filled="f" stroked="f">
              <v:textbox style="mso-fit-shape-to-text:t" inset="0,15pt,0,0">
                <w:txbxContent>
                  <w:p w14:paraId="5E2DDF0C" w14:textId="20D2B830"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fldSimple w:instr="DOCPROPERTY &quot;Header title&quot; \* MERGEFORMAT">
      <w:r w:rsidR="0027066B">
        <w:t>International best practice in spectrum valuation</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F358" w14:textId="509B5C81" w:rsidR="004C27FE" w:rsidRPr="005F0F56" w:rsidRDefault="00A124D7" w:rsidP="0023441C">
    <w:pPr>
      <w:pStyle w:val="Header"/>
    </w:pPr>
    <w:r>
      <w:rPr>
        <w:noProof/>
      </w:rPr>
      <mc:AlternateContent>
        <mc:Choice Requires="wps">
          <w:drawing>
            <wp:anchor distT="0" distB="0" distL="0" distR="0" simplePos="0" relativeHeight="251674624" behindDoc="0" locked="0" layoutInCell="1" allowOverlap="1" wp14:anchorId="7338AD95" wp14:editId="7EF9A952">
              <wp:simplePos x="635" y="635"/>
              <wp:positionH relativeFrom="page">
                <wp:align>center</wp:align>
              </wp:positionH>
              <wp:positionV relativeFrom="page">
                <wp:align>top</wp:align>
              </wp:positionV>
              <wp:extent cx="551815" cy="391160"/>
              <wp:effectExtent l="0" t="0" r="635" b="8890"/>
              <wp:wrapNone/>
              <wp:docPr id="105536242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A593F5" w14:textId="6B29DC6B"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8AD95" id="_x0000_t202" coordsize="21600,21600" o:spt="202" path="m,l,21600r21600,l21600,xe">
              <v:stroke joinstyle="miter"/>
              <v:path gradientshapeok="t" o:connecttype="rect"/>
            </v:shapetype>
            <v:shape id="Text Box 10" o:spid="_x0000_s1047" type="#_x0000_t202" alt="OFFICIAL" style="position:absolute;margin-left:0;margin-top:0;width:43.45pt;height:30.8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EpfDagOAgAAHQQA&#10;AA4AAAAAAAAAAAAAAAAALgIAAGRycy9lMm9Eb2MueG1sUEsBAi0AFAAGAAgAAAAhAChQUq/ZAAAA&#10;AwEAAA8AAAAAAAAAAAAAAAAAaAQAAGRycy9kb3ducmV2LnhtbFBLBQYAAAAABAAEAPMAAABuBQAA&#10;AAA=&#10;" filled="f" stroked="f">
              <v:textbox style="mso-fit-shape-to-text:t" inset="0,15pt,0,0">
                <w:txbxContent>
                  <w:p w14:paraId="00A593F5" w14:textId="6B29DC6B"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CF05" w14:textId="55B312B8" w:rsidR="000A2403" w:rsidRDefault="00A124D7">
    <w:pPr>
      <w:pStyle w:val="Header"/>
    </w:pPr>
    <w:r>
      <w:rPr>
        <w:noProof/>
      </w:rPr>
      <mc:AlternateContent>
        <mc:Choice Requires="wps">
          <w:drawing>
            <wp:anchor distT="0" distB="0" distL="0" distR="0" simplePos="0" relativeHeight="251667456" behindDoc="0" locked="0" layoutInCell="1" allowOverlap="1" wp14:anchorId="51E1F8DB" wp14:editId="7132AACA">
              <wp:simplePos x="635" y="635"/>
              <wp:positionH relativeFrom="page">
                <wp:align>center</wp:align>
              </wp:positionH>
              <wp:positionV relativeFrom="page">
                <wp:align>top</wp:align>
              </wp:positionV>
              <wp:extent cx="551815" cy="391160"/>
              <wp:effectExtent l="0" t="0" r="635" b="8890"/>
              <wp:wrapNone/>
              <wp:docPr id="10694407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E31DAE6" w14:textId="39A78245"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E1F8DB"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5E31DAE6" w14:textId="39A78245"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AEF0" w14:textId="64D307B5" w:rsidR="004C27FE" w:rsidRPr="005F0F56" w:rsidRDefault="00A124D7" w:rsidP="00D664AE">
    <w:pPr>
      <w:pStyle w:val="Base"/>
      <w:spacing w:line="360" w:lineRule="auto"/>
    </w:pPr>
    <w:r>
      <w:rPr>
        <w:noProof/>
      </w:rPr>
      <mc:AlternateContent>
        <mc:Choice Requires="wps">
          <w:drawing>
            <wp:anchor distT="0" distB="0" distL="0" distR="0" simplePos="0" relativeHeight="251665408" behindDoc="0" locked="0" layoutInCell="1" allowOverlap="1" wp14:anchorId="0EDB88B8" wp14:editId="4FF7E829">
              <wp:simplePos x="635" y="635"/>
              <wp:positionH relativeFrom="page">
                <wp:align>center</wp:align>
              </wp:positionH>
              <wp:positionV relativeFrom="page">
                <wp:align>top</wp:align>
              </wp:positionV>
              <wp:extent cx="551815" cy="391160"/>
              <wp:effectExtent l="0" t="0" r="635" b="8890"/>
              <wp:wrapNone/>
              <wp:docPr id="5255813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D016FF" w14:textId="180EEB1D"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DB88B8"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26D016FF" w14:textId="180EEB1D"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r w:rsidR="00342918" w:rsidRPr="005F0F56">
      <w:rPr>
        <w:noProof/>
      </w:rPr>
      <mc:AlternateContent>
        <mc:Choice Requires="wps">
          <w:drawing>
            <wp:anchor distT="0" distB="0" distL="114300" distR="114300" simplePos="0" relativeHeight="251656192" behindDoc="1" locked="0" layoutInCell="1" allowOverlap="1" wp14:anchorId="4E393C60" wp14:editId="04CE1083">
              <wp:simplePos x="0" y="0"/>
              <wp:positionH relativeFrom="page">
                <wp:align>left</wp:align>
              </wp:positionH>
              <wp:positionV relativeFrom="page">
                <wp:posOffset>1800225</wp:posOffset>
              </wp:positionV>
              <wp:extent cx="7560000" cy="2700000"/>
              <wp:effectExtent l="0" t="0" r="3175" b="5715"/>
              <wp:wrapNone/>
              <wp:docPr id="9" name="Rectangle 9"/>
              <wp:cNvGraphicFramePr/>
              <a:graphic xmlns:a="http://schemas.openxmlformats.org/drawingml/2006/main">
                <a:graphicData uri="http://schemas.microsoft.com/office/word/2010/wordprocessingShape">
                  <wps:wsp>
                    <wps:cNvSpPr/>
                    <wps:spPr>
                      <a:xfrm>
                        <a:off x="0" y="0"/>
                        <a:ext cx="7560000" cy="2700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1E13665A">
            <v:rect id="Rectangle 9" style="position:absolute;margin-left:0;margin-top:141.75pt;width:595.3pt;height:212.6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ec008c [3206]" stroked="f" strokeweight="1pt" w14:anchorId="0D44D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">
              <w10:wrap anchorx="page" anchory="page"/>
            </v:rect>
          </w:pict>
        </mc:Fallback>
      </mc:AlternateContent>
    </w:r>
    <w:r w:rsidR="00342918" w:rsidRPr="005F0F56">
      <w:rPr>
        <w:noProof/>
      </w:rPr>
      <w:drawing>
        <wp:anchor distT="0" distB="0" distL="114300" distR="114300" simplePos="0" relativeHeight="251657216" behindDoc="0" locked="0" layoutInCell="1" allowOverlap="1" wp14:anchorId="705C18B3" wp14:editId="182C8430">
          <wp:simplePos x="0" y="0"/>
          <wp:positionH relativeFrom="margin">
            <wp:align>left</wp:align>
          </wp:positionH>
          <wp:positionV relativeFrom="page">
            <wp:posOffset>648335</wp:posOffset>
          </wp:positionV>
          <wp:extent cx="1152000" cy="47160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UM RGB.jpg"/>
                  <pic:cNvPicPr/>
                </pic:nvPicPr>
                <pic:blipFill>
                  <a:blip r:embed="rId1">
                    <a:extLst>
                      <a:ext uri="{28A0092B-C50C-407E-A947-70E740481C1C}">
                        <a14:useLocalDpi xmlns:a14="http://schemas.microsoft.com/office/drawing/2010/main" val="0"/>
                      </a:ext>
                    </a:extLst>
                  </a:blip>
                  <a:stretch>
                    <a:fillRect/>
                  </a:stretch>
                </pic:blipFill>
                <pic:spPr>
                  <a:xfrm>
                    <a:off x="0" y="0"/>
                    <a:ext cx="1152000" cy="471600"/>
                  </a:xfrm>
                  <a:prstGeom prst="rect">
                    <a:avLst/>
                  </a:prstGeom>
                </pic:spPr>
              </pic:pic>
            </a:graphicData>
          </a:graphic>
          <wp14:sizeRelH relativeFrom="page">
            <wp14:pctWidth>0</wp14:pctWidth>
          </wp14:sizeRelH>
          <wp14:sizeRelV relativeFrom="page">
            <wp14:pctHeight>0</wp14:pctHeight>
          </wp14:sizeRelV>
        </wp:anchor>
      </w:drawing>
    </w:r>
  </w:p>
  <w:p w14:paraId="7B281004" w14:textId="77777777" w:rsidR="004C27FE" w:rsidRPr="005F0F56" w:rsidRDefault="004C27FE" w:rsidP="00D664AE">
    <w:pPr>
      <w:pStyle w:val="Base"/>
      <w:spacing w:line="360" w:lineRule="auto"/>
    </w:pPr>
  </w:p>
  <w:p w14:paraId="0265A1B9" w14:textId="77777777" w:rsidR="0027066B" w:rsidRDefault="00342918" w:rsidP="00A15DB5">
    <w:pPr>
      <w:pStyle w:val="Base"/>
      <w:spacing w:line="360" w:lineRule="auto"/>
    </w:pPr>
    <w:r w:rsidRPr="005F0F56">
      <w:fldChar w:fldCharType="begin"/>
    </w:r>
    <w:r w:rsidRPr="005F0F56">
      <w:instrText xml:space="preserve"> AUTOTEXT "zz</w:instrText>
    </w:r>
    <w:fldSimple w:instr="DOCPROPERTY &quot;Cover Image&quot; \* MERGEFORMAT">
      <w:r w:rsidR="0027066B">
        <w:instrText>Image 7</w:instrText>
      </w:r>
    </w:fldSimple>
    <w:r w:rsidRPr="005F0F56">
      <w:instrText xml:space="preserve">" </w:instrText>
    </w:r>
    <w:r w:rsidRPr="005F0F56">
      <w:fldChar w:fldCharType="separate"/>
    </w:r>
    <w:r w:rsidR="0027066B">
      <w:rPr>
        <w:noProof/>
      </w:rPr>
      <w:drawing>
        <wp:anchor distT="0" distB="0" distL="114300" distR="114300" simplePos="0" relativeHeight="251664384" behindDoc="1" locked="1" layoutInCell="1" allowOverlap="1" wp14:anchorId="028F245B" wp14:editId="48725F38">
          <wp:simplePos x="0" y="0"/>
          <wp:positionH relativeFrom="page">
            <wp:align>left</wp:align>
          </wp:positionH>
          <wp:positionV relativeFrom="page">
            <wp:posOffset>4536440</wp:posOffset>
          </wp:positionV>
          <wp:extent cx="7556500" cy="5182452"/>
          <wp:effectExtent l="0" t="0" r="6350" b="0"/>
          <wp:wrapNone/>
          <wp:docPr id="1870655377" name="Picture 1870655377"/>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tretch>
                    <a:fillRect/>
                  </a:stretch>
                </pic:blipFill>
                <pic:spPr>
                  <a:xfrm>
                    <a:off x="0" y="0"/>
                    <a:ext cx="7556500" cy="5182452"/>
                  </a:xfrm>
                  <a:prstGeom prst="rect">
                    <a:avLst/>
                  </a:prstGeom>
                </pic:spPr>
              </pic:pic>
            </a:graphicData>
          </a:graphic>
          <wp14:sizeRelH relativeFrom="margin">
            <wp14:pctWidth>0</wp14:pctWidth>
          </wp14:sizeRelH>
          <wp14:sizeRelV relativeFrom="margin">
            <wp14:pctHeight>0</wp14:pctHeight>
          </wp14:sizeRelV>
        </wp:anchor>
      </w:drawing>
    </w:r>
  </w:p>
  <w:p w14:paraId="27ACDF67" w14:textId="77777777" w:rsidR="004C27FE" w:rsidRPr="005F0F56" w:rsidRDefault="00342918" w:rsidP="00D664AE">
    <w:pPr>
      <w:pStyle w:val="Base"/>
      <w:spacing w:line="360" w:lineRule="auto"/>
    </w:pPr>
    <w:r w:rsidRPr="005F0F5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2934" w14:textId="4ADB3349" w:rsidR="00782692" w:rsidRPr="005F0F56" w:rsidRDefault="00A124D7" w:rsidP="00782692">
    <w:pPr>
      <w:pStyle w:val="Header"/>
    </w:pPr>
    <w:r>
      <w:rPr>
        <w:noProof/>
      </w:rPr>
      <mc:AlternateContent>
        <mc:Choice Requires="wps">
          <w:drawing>
            <wp:anchor distT="0" distB="0" distL="0" distR="0" simplePos="0" relativeHeight="251669504" behindDoc="0" locked="0" layoutInCell="1" allowOverlap="1" wp14:anchorId="564B4EE3" wp14:editId="39174B53">
              <wp:simplePos x="635" y="635"/>
              <wp:positionH relativeFrom="page">
                <wp:align>center</wp:align>
              </wp:positionH>
              <wp:positionV relativeFrom="page">
                <wp:align>top</wp:align>
              </wp:positionV>
              <wp:extent cx="551815" cy="391160"/>
              <wp:effectExtent l="0" t="0" r="635" b="8890"/>
              <wp:wrapNone/>
              <wp:docPr id="90306205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335BB5" w14:textId="0051FBB6"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4B4EE3" id="_x0000_t202" coordsize="21600,21600" o:spt="202" path="m,l,21600r21600,l21600,xe">
              <v:stroke joinstyle="miter"/>
              <v:path gradientshapeok="t" o:connecttype="rect"/>
            </v:shapetype>
            <v:shape id="Text Box 5" o:spid="_x0000_s1032" type="#_x0000_t202" alt="OFFICIAL" style="position:absolute;margin-left:0;margin-top:0;width:43.45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4F335BB5" w14:textId="0051FBB6"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fldSimple w:instr="DOCPROPERTY &quot;Header title&quot; \* MERGEFORMAT">
      <w:r w:rsidR="0027066B">
        <w:t>International best practice in spectrum valuation</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560B" w14:textId="02F2E7CC" w:rsidR="004C27FE" w:rsidRPr="005F0F56" w:rsidRDefault="00A124D7" w:rsidP="00FA3823">
    <w:pPr>
      <w:pStyle w:val="Header"/>
    </w:pPr>
    <w:r>
      <w:rPr>
        <w:noProof/>
      </w:rPr>
      <mc:AlternateContent>
        <mc:Choice Requires="wps">
          <w:drawing>
            <wp:anchor distT="0" distB="0" distL="0" distR="0" simplePos="0" relativeHeight="251668480" behindDoc="0" locked="0" layoutInCell="1" allowOverlap="1" wp14:anchorId="3BB32D83" wp14:editId="737EED0A">
              <wp:simplePos x="635" y="635"/>
              <wp:positionH relativeFrom="page">
                <wp:align>center</wp:align>
              </wp:positionH>
              <wp:positionV relativeFrom="page">
                <wp:align>top</wp:align>
              </wp:positionV>
              <wp:extent cx="551815" cy="391160"/>
              <wp:effectExtent l="0" t="0" r="635" b="8890"/>
              <wp:wrapNone/>
              <wp:docPr id="80825709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E7DFE84" w14:textId="1299D177"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32D83" id="_x0000_t202" coordsize="21600,21600" o:spt="202" path="m,l,21600r21600,l21600,xe">
              <v:stroke joinstyle="miter"/>
              <v:path gradientshapeok="t" o:connecttype="rect"/>
            </v:shapetype>
            <v:shape id="Text Box 4" o:spid="_x0000_s1034"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textbox style="mso-fit-shape-to-text:t" inset="0,15pt,0,0">
                <w:txbxContent>
                  <w:p w14:paraId="0E7DFE84" w14:textId="1299D177"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fldSimple w:instr="DOCPROPERTY &quot;Header title&quot; \* MERGEFORMAT">
      <w:r w:rsidR="0027066B">
        <w:t>International best practice in spectrum valuation</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8933" w14:textId="249AEC2E" w:rsidR="00E05369" w:rsidRPr="005F0F56" w:rsidRDefault="00A124D7">
    <w:pPr>
      <w:pStyle w:val="Header"/>
    </w:pPr>
    <w:r>
      <w:rPr>
        <w:noProof/>
      </w:rPr>
      <mc:AlternateContent>
        <mc:Choice Requires="wps">
          <w:drawing>
            <wp:anchor distT="0" distB="0" distL="0" distR="0" simplePos="0" relativeHeight="251671552" behindDoc="0" locked="0" layoutInCell="1" allowOverlap="1" wp14:anchorId="666379E0" wp14:editId="43C4EF88">
              <wp:simplePos x="635" y="635"/>
              <wp:positionH relativeFrom="page">
                <wp:align>center</wp:align>
              </wp:positionH>
              <wp:positionV relativeFrom="page">
                <wp:align>top</wp:align>
              </wp:positionV>
              <wp:extent cx="551815" cy="391160"/>
              <wp:effectExtent l="0" t="0" r="635" b="8890"/>
              <wp:wrapNone/>
              <wp:docPr id="354525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E64F688" w14:textId="52528490"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379E0" id="_x0000_t202" coordsize="21600,21600" o:spt="202" path="m,l,21600r21600,l21600,xe">
              <v:stroke joinstyle="miter"/>
              <v:path gradientshapeok="t" o:connecttype="rect"/>
            </v:shapetype>
            <v:shape id="Text Box 7" o:spid="_x0000_s1036" type="#_x0000_t202" alt="OFFICIAL" style="position:absolute;margin-left:0;margin-top:0;width:43.45pt;height:30.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yRH8wA0CAAAdBAAA&#10;DgAAAAAAAAAAAAAAAAAuAgAAZHJzL2Uyb0RvYy54bWxQSwECLQAUAAYACAAAACEAKFBSr9kAAAAD&#10;AQAADwAAAAAAAAAAAAAAAABnBAAAZHJzL2Rvd25yZXYueG1sUEsFBgAAAAAEAAQA8wAAAG0FAAAA&#10;AA==&#10;" filled="f" stroked="f">
              <v:textbox style="mso-fit-shape-to-text:t" inset="0,15pt,0,0">
                <w:txbxContent>
                  <w:p w14:paraId="0E64F688" w14:textId="52528490"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9A4C" w14:textId="4FAFBC0D" w:rsidR="00E05369" w:rsidRPr="005F0F56" w:rsidRDefault="00A124D7" w:rsidP="00DF0FCA">
    <w:pPr>
      <w:pStyle w:val="HeaderA4Portrait"/>
    </w:pPr>
    <w:r>
      <w:rPr>
        <w:noProof/>
      </w:rPr>
      <mc:AlternateContent>
        <mc:Choice Requires="wps">
          <w:drawing>
            <wp:anchor distT="0" distB="0" distL="0" distR="0" simplePos="0" relativeHeight="251672576" behindDoc="0" locked="0" layoutInCell="1" allowOverlap="1" wp14:anchorId="23CE145E" wp14:editId="69D4763E">
              <wp:simplePos x="635" y="635"/>
              <wp:positionH relativeFrom="page">
                <wp:align>center</wp:align>
              </wp:positionH>
              <wp:positionV relativeFrom="page">
                <wp:align>top</wp:align>
              </wp:positionV>
              <wp:extent cx="551815" cy="391160"/>
              <wp:effectExtent l="0" t="0" r="635" b="8890"/>
              <wp:wrapNone/>
              <wp:docPr id="137945575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262AB0F" w14:textId="2E492F99"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CE145E" id="_x0000_t202" coordsize="21600,21600" o:spt="202" path="m,l,21600r21600,l21600,xe">
              <v:stroke joinstyle="miter"/>
              <v:path gradientshapeok="t" o:connecttype="rect"/>
            </v:shapetype>
            <v:shape id="Text Box 8" o:spid="_x0000_s1037" type="#_x0000_t202" alt="OFFICIAL" style="position:absolute;margin-left:0;margin-top:0;width:43.45pt;height:30.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79DgIAAB0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frz+BuoD7SVhyPhwcllS71XIuCL8MQwLUKq&#10;xWc6tIG+4nCyOGvA//yXP+YT8BTlrCfFVNySpDkz3y0REsWVjOI2n+Z086N7Mxp21z0A6bCgJ+Fk&#10;MmMemtHUHro30vMiNqKQsJLaVRxH8wGP0qX3INVikZJIR07gyq6djKUjXhHM1+FNeHdCHImqJxjl&#10;JMp3wB9z45/BLXZI8CdWIrZHIE+QkwYTWaf3EkX++z1lXV71/BcA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SuTv0OAgAAHQQA&#10;AA4AAAAAAAAAAAAAAAAALgIAAGRycy9lMm9Eb2MueG1sUEsBAi0AFAAGAAgAAAAhAChQUq/ZAAAA&#10;AwEAAA8AAAAAAAAAAAAAAAAAaAQAAGRycy9kb3ducmV2LnhtbFBLBQYAAAAABAAEAPMAAABuBQAA&#10;AAA=&#10;" filled="f" stroked="f">
              <v:textbox style="mso-fit-shape-to-text:t" inset="0,15pt,0,0">
                <w:txbxContent>
                  <w:p w14:paraId="5262AB0F" w14:textId="2E492F99"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fldSimple w:instr="DOCPROPERTY &quot;Header title&quot; \* MERGEFORMAT">
      <w:r w:rsidR="0027066B">
        <w:t>International best practice in spectrum valuation</w:t>
      </w:r>
    </w:fldSimple>
    <w:r w:rsidR="00E05369" w:rsidRPr="005F0F56">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E4BE" w14:textId="2F4E8508" w:rsidR="00E05369" w:rsidRPr="005F0F56" w:rsidRDefault="00A124D7" w:rsidP="0023441C">
    <w:pPr>
      <w:pStyle w:val="Header"/>
    </w:pPr>
    <w:r>
      <w:rPr>
        <w:noProof/>
      </w:rPr>
      <mc:AlternateContent>
        <mc:Choice Requires="wps">
          <w:drawing>
            <wp:anchor distT="0" distB="0" distL="0" distR="0" simplePos="0" relativeHeight="251670528" behindDoc="0" locked="0" layoutInCell="1" allowOverlap="1" wp14:anchorId="72525A25" wp14:editId="5451A14C">
              <wp:simplePos x="635" y="635"/>
              <wp:positionH relativeFrom="page">
                <wp:align>center</wp:align>
              </wp:positionH>
              <wp:positionV relativeFrom="page">
                <wp:align>top</wp:align>
              </wp:positionV>
              <wp:extent cx="551815" cy="391160"/>
              <wp:effectExtent l="0" t="0" r="635" b="8890"/>
              <wp:wrapNone/>
              <wp:docPr id="97446553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29FE58" w14:textId="370F22B4"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525A25" id="_x0000_t202" coordsize="21600,21600" o:spt="202" path="m,l,21600r21600,l21600,xe">
              <v:stroke joinstyle="miter"/>
              <v:path gradientshapeok="t" o:connecttype="rect"/>
            </v:shapetype>
            <v:shape id="Text Box 6" o:spid="_x0000_s1040" type="#_x0000_t202" alt="OFFICIAL" style="position:absolute;margin-left:0;margin-top:0;width:43.45pt;height:30.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Y2DwIAAB0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m/jONvoD7QVh6OhAcnly31XomAz8ITw7QI&#10;qRaf6NAG+orDyeKsAf/zb/6YT8BTlLOeFFNxS5LmzHy3REgUVzKK23ya082P7s1o2F13D6TDgp6E&#10;k8mMeWhGU3voXknPi9iIQsJKaldxHM17PEqX3oNUi0VKIh05gSu7djKWjnhFMF+GV+HdCXEkqh5h&#10;lJMo3wF/zI1/BrfYIcGfWInYHoE8QU4aTGSd3ksU+dt7yrq86vkv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B97DY2DwIAAB0E&#10;AAAOAAAAAAAAAAAAAAAAAC4CAABkcnMvZTJvRG9jLnhtbFBLAQItABQABgAIAAAAIQAoUFKv2QAA&#10;AAMBAAAPAAAAAAAAAAAAAAAAAGkEAABkcnMvZG93bnJldi54bWxQSwUGAAAAAAQABADzAAAAbwUA&#10;AAAA&#10;" filled="f" stroked="f">
              <v:textbox style="mso-fit-shape-to-text:t" inset="0,15pt,0,0">
                <w:txbxContent>
                  <w:p w14:paraId="0529FE58" w14:textId="370F22B4"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5606" w14:textId="652ED666" w:rsidR="009711C3" w:rsidRPr="005F0F56" w:rsidRDefault="00A124D7" w:rsidP="00DF0FCA">
    <w:pPr>
      <w:pStyle w:val="HeaderA4Portrait"/>
    </w:pPr>
    <w:r>
      <w:rPr>
        <w:noProof/>
      </w:rPr>
      <mc:AlternateContent>
        <mc:Choice Requires="wps">
          <w:drawing>
            <wp:anchor distT="0" distB="0" distL="0" distR="0" simplePos="0" relativeHeight="251673600" behindDoc="0" locked="0" layoutInCell="1" allowOverlap="1" wp14:anchorId="0F11A94B" wp14:editId="53007613">
              <wp:simplePos x="723900" y="488950"/>
              <wp:positionH relativeFrom="page">
                <wp:align>center</wp:align>
              </wp:positionH>
              <wp:positionV relativeFrom="page">
                <wp:align>top</wp:align>
              </wp:positionV>
              <wp:extent cx="551815" cy="391160"/>
              <wp:effectExtent l="0" t="0" r="635" b="8890"/>
              <wp:wrapNone/>
              <wp:docPr id="145385909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B5850A" w14:textId="75BDAC44"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1A94B" id="_x0000_t202" coordsize="21600,21600" o:spt="202" path="m,l,21600r21600,l21600,xe">
              <v:stroke joinstyle="miter"/>
              <v:path gradientshapeok="t" o:connecttype="rect"/>
            </v:shapetype>
            <v:shape id="Text Box 9" o:spid="_x0000_s1042" type="#_x0000_t202" alt="OFFICIAL" style="position:absolute;margin-left:0;margin-top:0;width:43.45pt;height:30.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NNDgIAAB0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eSU00OAgAAHQQA&#10;AA4AAAAAAAAAAAAAAAAALgIAAGRycy9lMm9Eb2MueG1sUEsBAi0AFAAGAAgAAAAhAChQUq/ZAAAA&#10;AwEAAA8AAAAAAAAAAAAAAAAAaAQAAGRycy9kb3ducmV2LnhtbFBLBQYAAAAABAAEAPMAAABuBQAA&#10;AAA=&#10;" filled="f" stroked="f">
              <v:textbox style="mso-fit-shape-to-text:t" inset="0,15pt,0,0">
                <w:txbxContent>
                  <w:p w14:paraId="53B5850A" w14:textId="75BDAC44" w:rsidR="00A124D7" w:rsidRPr="00A124D7" w:rsidRDefault="00A124D7" w:rsidP="00A124D7">
                    <w:pPr>
                      <w:spacing w:after="0"/>
                      <w:rPr>
                        <w:rFonts w:ascii="Calibri" w:eastAsia="Calibri" w:hAnsi="Calibri" w:cs="Calibri"/>
                        <w:noProof/>
                        <w:color w:val="FF0000"/>
                        <w:sz w:val="24"/>
                        <w:szCs w:val="24"/>
                      </w:rPr>
                    </w:pPr>
                    <w:r w:rsidRPr="00A124D7">
                      <w:rPr>
                        <w:rFonts w:ascii="Calibri" w:eastAsia="Calibri" w:hAnsi="Calibri" w:cs="Calibri"/>
                        <w:noProof/>
                        <w:color w:val="FF0000"/>
                        <w:sz w:val="24"/>
                        <w:szCs w:val="24"/>
                      </w:rPr>
                      <w:t>OFFICIAL</w:t>
                    </w:r>
                  </w:p>
                </w:txbxContent>
              </v:textbox>
              <w10:wrap anchorx="page" anchory="page"/>
            </v:shape>
          </w:pict>
        </mc:Fallback>
      </mc:AlternateContent>
    </w:r>
    <w:fldSimple w:instr="DOCPROPERTY &quot;Header title&quot; \* MERGEFORMAT">
      <w:r w:rsidR="0027066B">
        <w:t>International best practice in spectrum valuation</w:t>
      </w:r>
    </w:fldSimple>
    <w:r w:rsidR="009711C3" w:rsidRPr="005F0F56">
      <w:tab/>
    </w:r>
    <w:r w:rsidR="009711C3" w:rsidRPr="005F0F56">
      <w:rPr>
        <w:noProof/>
      </w:rPr>
      <w:fldChar w:fldCharType="begin"/>
    </w:r>
    <w:r w:rsidR="009711C3" w:rsidRPr="005F0F56">
      <w:rPr>
        <w:noProof/>
      </w:rPr>
      <w:instrText xml:space="preserve"> STYLEREF \n "Heading 1" </w:instrText>
    </w:r>
    <w:r w:rsidR="009711C3" w:rsidRPr="005F0F56">
      <w:rPr>
        <w:noProof/>
      </w:rPr>
      <w:fldChar w:fldCharType="separate"/>
    </w:r>
    <w:r w:rsidR="00122244">
      <w:rPr>
        <w:noProof/>
      </w:rPr>
      <w:t>1</w:t>
    </w:r>
    <w:r w:rsidR="009711C3" w:rsidRPr="005F0F56">
      <w:rPr>
        <w:noProof/>
      </w:rPr>
      <w:fldChar w:fldCharType="end"/>
    </w:r>
    <w:r w:rsidR="009711C3" w:rsidRPr="005F0F56">
      <w:t xml:space="preserve"> </w:t>
    </w:r>
    <w:r w:rsidR="009711C3" w:rsidRPr="005F0F56">
      <w:rPr>
        <w:noProof/>
      </w:rPr>
      <w:fldChar w:fldCharType="begin"/>
    </w:r>
    <w:r w:rsidR="009711C3" w:rsidRPr="005F0F56">
      <w:rPr>
        <w:noProof/>
      </w:rPr>
      <w:instrText xml:space="preserve"> STYLEREF "Heading 1" </w:instrText>
    </w:r>
    <w:r w:rsidR="009711C3" w:rsidRPr="005F0F56">
      <w:rPr>
        <w:noProof/>
      </w:rPr>
      <w:fldChar w:fldCharType="separate"/>
    </w:r>
    <w:r w:rsidR="00122244">
      <w:rPr>
        <w:noProof/>
      </w:rPr>
      <w:t>Introduction</w:t>
    </w:r>
    <w:r w:rsidR="009711C3" w:rsidRPr="005F0F5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B6E822"/>
    <w:lvl w:ilvl="0">
      <w:start w:val="1"/>
      <w:numFmt w:val="decimal"/>
      <w:pStyle w:val="ListNumber5"/>
      <w:lvlText w:val="%1."/>
      <w:lvlJc w:val="left"/>
      <w:pPr>
        <w:tabs>
          <w:tab w:val="num" w:pos="1492"/>
        </w:tabs>
        <w:ind w:left="1492" w:hanging="360"/>
      </w:pPr>
    </w:lvl>
  </w:abstractNum>
  <w:abstractNum w:abstractNumId="1" w15:restartNumberingAfterBreak="0">
    <w:nsid w:val="241A265C"/>
    <w:multiLevelType w:val="multilevel"/>
    <w:tmpl w:val="74321A70"/>
    <w:styleLink w:val="BulletList"/>
    <w:lvl w:ilvl="0">
      <w:start w:val="1"/>
      <w:numFmt w:val="bullet"/>
      <w:pStyle w:val="BulletList1"/>
      <w:lvlText w:val=""/>
      <w:lvlJc w:val="left"/>
      <w:pPr>
        <w:ind w:left="680" w:hanging="340"/>
      </w:pPr>
      <w:rPr>
        <w:rFonts w:ascii="Symbol" w:hAnsi="Symbol" w:hint="default"/>
        <w:color w:val="EC008C" w:themeColor="accent3"/>
      </w:rPr>
    </w:lvl>
    <w:lvl w:ilvl="1">
      <w:start w:val="1"/>
      <w:numFmt w:val="bullet"/>
      <w:pStyle w:val="BulletList2"/>
      <w:lvlText w:val="–"/>
      <w:lvlJc w:val="left"/>
      <w:pPr>
        <w:ind w:left="1020" w:hanging="340"/>
      </w:pPr>
      <w:rPr>
        <w:rFonts w:ascii="Times New Roman" w:hAnsi="Times New Roman" w:cs="Times New Roman" w:hint="default"/>
        <w:color w:val="EC008C" w:themeColor="accent3"/>
      </w:rPr>
    </w:lvl>
    <w:lvl w:ilvl="2">
      <w:start w:val="1"/>
      <w:numFmt w:val="bullet"/>
      <w:pStyle w:val="BulletList3"/>
      <w:lvlText w:val="–"/>
      <w:lvlJc w:val="left"/>
      <w:pPr>
        <w:ind w:left="1360" w:hanging="340"/>
      </w:pPr>
      <w:rPr>
        <w:rFonts w:ascii="Times New Roman" w:hAnsi="Times New Roman" w:cs="Times New Roman" w:hint="default"/>
        <w:color w:val="EC008C" w:themeColor="accent3"/>
      </w:rPr>
    </w:lvl>
    <w:lvl w:ilvl="3">
      <w:start w:val="1"/>
      <w:numFmt w:val="bullet"/>
      <w:pStyle w:val="BulletList4"/>
      <w:lvlText w:val="—"/>
      <w:lvlJc w:val="left"/>
      <w:pPr>
        <w:ind w:left="1700" w:hanging="340"/>
      </w:pPr>
      <w:rPr>
        <w:rFonts w:asciiTheme="minorHAnsi" w:hAnsiTheme="minorHAnsi" w:hint="default"/>
      </w:rPr>
    </w:lvl>
    <w:lvl w:ilvl="4">
      <w:start w:val="1"/>
      <w:numFmt w:val="bullet"/>
      <w:pStyle w:val="BulletList5"/>
      <w:lvlText w:val="–"/>
      <w:lvlJc w:val="left"/>
      <w:pPr>
        <w:ind w:left="2040" w:hanging="340"/>
      </w:pPr>
      <w:rPr>
        <w:rFonts w:asciiTheme="minorHAnsi" w:hAnsiTheme="minorHAnsi" w:hint="default"/>
        <w:color w:val="auto"/>
      </w:rPr>
    </w:lvl>
    <w:lvl w:ilvl="5">
      <w:start w:val="1"/>
      <w:numFmt w:val="bullet"/>
      <w:pStyle w:val="BulletList6"/>
      <w:lvlText w:val="-"/>
      <w:lvlJc w:val="left"/>
      <w:pPr>
        <w:ind w:left="2380" w:hanging="340"/>
      </w:pPr>
      <w:rPr>
        <w:rFonts w:asciiTheme="minorHAnsi" w:hAnsiTheme="minorHAnsi" w:hint="default"/>
      </w:rPr>
    </w:lvl>
    <w:lvl w:ilvl="6">
      <w:start w:val="1"/>
      <w:numFmt w:val="bullet"/>
      <w:pStyle w:val="BulletList7"/>
      <w:lvlText w:val="—"/>
      <w:lvlJc w:val="left"/>
      <w:pPr>
        <w:ind w:left="2720" w:hanging="340"/>
      </w:pPr>
      <w:rPr>
        <w:rFonts w:asciiTheme="minorHAnsi" w:hAnsiTheme="minorHAnsi" w:hint="default"/>
      </w:rPr>
    </w:lvl>
    <w:lvl w:ilvl="7">
      <w:start w:val="1"/>
      <w:numFmt w:val="bullet"/>
      <w:pStyle w:val="BulletList8"/>
      <w:lvlText w:val="–"/>
      <w:lvlJc w:val="left"/>
      <w:pPr>
        <w:ind w:left="3060" w:hanging="340"/>
      </w:pPr>
      <w:rPr>
        <w:rFonts w:asciiTheme="minorHAnsi" w:hAnsiTheme="minorHAnsi" w:hint="default"/>
        <w:color w:val="auto"/>
      </w:rPr>
    </w:lvl>
    <w:lvl w:ilvl="8">
      <w:start w:val="1"/>
      <w:numFmt w:val="bullet"/>
      <w:pStyle w:val="BulletList9"/>
      <w:lvlText w:val="-"/>
      <w:lvlJc w:val="left"/>
      <w:pPr>
        <w:ind w:left="3400" w:hanging="340"/>
      </w:pPr>
      <w:rPr>
        <w:rFonts w:asciiTheme="minorHAnsi" w:hAnsiTheme="minorHAnsi" w:hint="default"/>
      </w:rPr>
    </w:lvl>
  </w:abstractNum>
  <w:abstractNum w:abstractNumId="2" w15:restartNumberingAfterBreak="0">
    <w:nsid w:val="3B637545"/>
    <w:multiLevelType w:val="multilevel"/>
    <w:tmpl w:val="07E661A4"/>
    <w:styleLink w:val="NumberedList"/>
    <w:lvl w:ilvl="0">
      <w:start w:val="1"/>
      <w:numFmt w:val="decimal"/>
      <w:pStyle w:val="NumberedList1"/>
      <w:lvlText w:val="%1."/>
      <w:lvlJc w:val="left"/>
      <w:pPr>
        <w:ind w:left="680" w:hanging="340"/>
      </w:pPr>
      <w:rPr>
        <w:rFonts w:hint="default"/>
        <w:color w:val="414042" w:themeColor="text1"/>
      </w:rPr>
    </w:lvl>
    <w:lvl w:ilvl="1">
      <w:start w:val="1"/>
      <w:numFmt w:val="lowerLetter"/>
      <w:pStyle w:val="NumberedList2"/>
      <w:lvlText w:val="%2."/>
      <w:lvlJc w:val="left"/>
      <w:pPr>
        <w:tabs>
          <w:tab w:val="num" w:pos="340"/>
        </w:tabs>
        <w:ind w:left="1020" w:hanging="340"/>
      </w:pPr>
      <w:rPr>
        <w:rFonts w:hint="default"/>
      </w:rPr>
    </w:lvl>
    <w:lvl w:ilvl="2">
      <w:start w:val="1"/>
      <w:numFmt w:val="lowerRoman"/>
      <w:pStyle w:val="NumberedList3"/>
      <w:lvlText w:val="%3."/>
      <w:lvlJc w:val="left"/>
      <w:pPr>
        <w:tabs>
          <w:tab w:val="num" w:pos="680"/>
        </w:tabs>
        <w:ind w:left="1360" w:hanging="340"/>
      </w:pPr>
      <w:rPr>
        <w:rFonts w:hint="default"/>
      </w:rPr>
    </w:lvl>
    <w:lvl w:ilvl="3">
      <w:start w:val="1"/>
      <w:numFmt w:val="upperLetter"/>
      <w:pStyle w:val="NumberedList4"/>
      <w:lvlText w:val="%4."/>
      <w:lvlJc w:val="left"/>
      <w:pPr>
        <w:tabs>
          <w:tab w:val="num" w:pos="1020"/>
        </w:tabs>
        <w:ind w:left="1700" w:hanging="340"/>
      </w:pPr>
      <w:rPr>
        <w:rFonts w:hint="default"/>
      </w:rPr>
    </w:lvl>
    <w:lvl w:ilvl="4">
      <w:start w:val="1"/>
      <w:numFmt w:val="upperRoman"/>
      <w:pStyle w:val="NumberedList5"/>
      <w:lvlText w:val="%5."/>
      <w:lvlJc w:val="left"/>
      <w:pPr>
        <w:tabs>
          <w:tab w:val="num" w:pos="1360"/>
        </w:tabs>
        <w:ind w:left="2040" w:hanging="340"/>
      </w:pPr>
      <w:rPr>
        <w:rFonts w:hint="default"/>
      </w:rPr>
    </w:lvl>
    <w:lvl w:ilvl="5">
      <w:start w:val="1"/>
      <w:numFmt w:val="decimal"/>
      <w:pStyle w:val="NumberedList6"/>
      <w:lvlText w:val="(%6)."/>
      <w:lvlJc w:val="left"/>
      <w:pPr>
        <w:tabs>
          <w:tab w:val="num" w:pos="1700"/>
        </w:tabs>
        <w:ind w:left="2380" w:hanging="340"/>
      </w:pPr>
      <w:rPr>
        <w:rFonts w:hint="default"/>
      </w:rPr>
    </w:lvl>
    <w:lvl w:ilvl="6">
      <w:start w:val="1"/>
      <w:numFmt w:val="lowerLetter"/>
      <w:pStyle w:val="NumberedList7"/>
      <w:lvlText w:val="(%7)"/>
      <w:lvlJc w:val="left"/>
      <w:pPr>
        <w:tabs>
          <w:tab w:val="num" w:pos="2040"/>
        </w:tabs>
        <w:ind w:left="2720" w:hanging="340"/>
      </w:pPr>
      <w:rPr>
        <w:rFonts w:hint="default"/>
      </w:rPr>
    </w:lvl>
    <w:lvl w:ilvl="7">
      <w:start w:val="1"/>
      <w:numFmt w:val="lowerRoman"/>
      <w:pStyle w:val="NumberedList8"/>
      <w:lvlText w:val="(%8)"/>
      <w:lvlJc w:val="left"/>
      <w:pPr>
        <w:tabs>
          <w:tab w:val="num" w:pos="2380"/>
        </w:tabs>
        <w:ind w:left="3060" w:hanging="340"/>
      </w:pPr>
      <w:rPr>
        <w:rFonts w:hint="default"/>
      </w:rPr>
    </w:lvl>
    <w:lvl w:ilvl="8">
      <w:start w:val="1"/>
      <w:numFmt w:val="upperLetter"/>
      <w:pStyle w:val="NumberedList9"/>
      <w:lvlText w:val="(%9)"/>
      <w:lvlJc w:val="left"/>
      <w:pPr>
        <w:tabs>
          <w:tab w:val="num" w:pos="2720"/>
        </w:tabs>
        <w:ind w:left="3400" w:hanging="340"/>
      </w:pPr>
      <w:rPr>
        <w:rFonts w:hint="default"/>
      </w:rPr>
    </w:lvl>
  </w:abstractNum>
  <w:abstractNum w:abstractNumId="3" w15:restartNumberingAfterBreak="0">
    <w:nsid w:val="4ED932AD"/>
    <w:multiLevelType w:val="multilevel"/>
    <w:tmpl w:val="497A56D0"/>
    <w:styleLink w:val="Heading"/>
    <w:lvl w:ilvl="0">
      <w:start w:val="1"/>
      <w:numFmt w:val="decimal"/>
      <w:lvlRestart w:val="0"/>
      <w:pStyle w:val="Heading1"/>
      <w:lvlText w:val="%1"/>
      <w:lvlJc w:val="left"/>
      <w:pPr>
        <w:ind w:left="680" w:hanging="680"/>
      </w:pPr>
      <w:rPr>
        <w:rFonts w:cs="Times New Roman" w:hint="default"/>
      </w:rPr>
    </w:lvl>
    <w:lvl w:ilvl="1">
      <w:start w:val="1"/>
      <w:numFmt w:val="decimal"/>
      <w:pStyle w:val="Heading2"/>
      <w:lvlText w:val="%1.%2"/>
      <w:lvlJc w:val="left"/>
      <w:pPr>
        <w:tabs>
          <w:tab w:val="num" w:pos="680"/>
        </w:tabs>
        <w:ind w:left="680" w:hanging="680"/>
      </w:pPr>
      <w:rPr>
        <w:rFonts w:cs="Times New Roman" w:hint="default"/>
      </w:rPr>
    </w:lvl>
    <w:lvl w:ilvl="2">
      <w:start w:val="1"/>
      <w:numFmt w:val="decimal"/>
      <w:pStyle w:val="Heading3"/>
      <w:lvlText w:val="%1.%2.%3"/>
      <w:lvlJc w:val="left"/>
      <w:pPr>
        <w:tabs>
          <w:tab w:val="num" w:pos="680"/>
        </w:tabs>
        <w:ind w:left="680" w:hanging="680"/>
      </w:pPr>
      <w:rPr>
        <w:rFonts w:cs="Times New Roman" w:hint="default"/>
      </w:rPr>
    </w:lvl>
    <w:lvl w:ilvl="3">
      <w:start w:val="1"/>
      <w:numFmt w:val="decimal"/>
      <w:pStyle w:val="Heading4"/>
      <w:lvlText w:val="%1.%2.%3.%4"/>
      <w:lvlJc w:val="left"/>
      <w:pPr>
        <w:tabs>
          <w:tab w:val="num" w:pos="680"/>
        </w:tabs>
        <w:ind w:left="680" w:hanging="680"/>
      </w:pPr>
      <w:rPr>
        <w:rFonts w:asciiTheme="majorHAnsi" w:hAnsiTheme="majorHAnsi" w:cs="Times New Roman" w:hint="default"/>
        <w:color w:val="EC008C" w:themeColor="accent3"/>
      </w:rPr>
    </w:lvl>
    <w:lvl w:ilvl="4">
      <w:start w:val="1"/>
      <w:numFmt w:val="lowerLetter"/>
      <w:pStyle w:val="Heading5"/>
      <w:lvlText w:val="%5"/>
      <w:lvlJc w:val="left"/>
      <w:pPr>
        <w:tabs>
          <w:tab w:val="num" w:pos="1021"/>
        </w:tabs>
        <w:ind w:left="1021" w:hanging="341"/>
      </w:pPr>
      <w:rPr>
        <w:rFonts w:cs="Times New Roman" w:hint="default"/>
      </w:rPr>
    </w:lvl>
    <w:lvl w:ilvl="5">
      <w:start w:val="1"/>
      <w:numFmt w:val="upperLetter"/>
      <w:lvlRestart w:val="0"/>
      <w:pStyle w:val="Heading6"/>
      <w:lvlText w:val="Appendix %6"/>
      <w:lvlJc w:val="left"/>
      <w:pPr>
        <w:ind w:left="2552" w:hanging="2552"/>
      </w:pPr>
      <w:rPr>
        <w:rFonts w:cs="Times New Roman" w:hint="default"/>
      </w:rPr>
    </w:lvl>
    <w:lvl w:ilvl="6">
      <w:start w:val="1"/>
      <w:numFmt w:val="decimal"/>
      <w:pStyle w:val="Heading7"/>
      <w:lvlText w:val="%6.%7"/>
      <w:lvlJc w:val="left"/>
      <w:pPr>
        <w:tabs>
          <w:tab w:val="num" w:pos="680"/>
        </w:tabs>
        <w:ind w:left="680" w:hanging="680"/>
      </w:pPr>
      <w:rPr>
        <w:rFonts w:cs="Times New Roman" w:hint="default"/>
      </w:rPr>
    </w:lvl>
    <w:lvl w:ilvl="7">
      <w:start w:val="1"/>
      <w:numFmt w:val="decimal"/>
      <w:lvlRestart w:val="0"/>
      <w:pStyle w:val="Heading8"/>
      <w:lvlText w:val="%6.%7.%8"/>
      <w:lvlJc w:val="left"/>
      <w:pPr>
        <w:tabs>
          <w:tab w:val="num" w:pos="680"/>
        </w:tabs>
        <w:ind w:left="680" w:hanging="680"/>
      </w:pPr>
      <w:rPr>
        <w:rFonts w:cs="Times New Roman" w:hint="default"/>
      </w:rPr>
    </w:lvl>
    <w:lvl w:ilvl="8">
      <w:start w:val="1"/>
      <w:numFmt w:val="decimal"/>
      <w:pStyle w:val="Heading9"/>
      <w:lvlText w:val="%6.%7.%8.%9"/>
      <w:lvlJc w:val="left"/>
      <w:pPr>
        <w:tabs>
          <w:tab w:val="num" w:pos="680"/>
        </w:tabs>
        <w:ind w:left="680" w:hanging="680"/>
      </w:pPr>
      <w:rPr>
        <w:rFonts w:cs="Times New Roman" w:hint="default"/>
      </w:rPr>
    </w:lvl>
  </w:abstractNum>
  <w:abstractNum w:abstractNumId="4" w15:restartNumberingAfterBreak="0">
    <w:nsid w:val="5DC462D9"/>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71DD7632"/>
    <w:multiLevelType w:val="multilevel"/>
    <w:tmpl w:val="C5F4B03E"/>
    <w:lvl w:ilvl="0">
      <w:start w:val="1"/>
      <w:numFmt w:val="decimal"/>
      <w:lvlText w:val="●"/>
      <w:lvlJc w:val="left"/>
      <w:pPr>
        <w:tabs>
          <w:tab w:val="num" w:pos="400"/>
        </w:tabs>
        <w:ind w:left="400" w:hanging="400"/>
      </w:pPr>
      <w:rPr>
        <w:rFonts w:ascii="Arial" w:hAnsi="Arial" w:cs="Arial"/>
        <w:color w:val="4F2683"/>
      </w:rPr>
    </w:lvl>
    <w:lvl w:ilvl="1">
      <w:start w:val="1"/>
      <w:numFmt w:val="lowerLetter"/>
      <w:lvlText w:val="–"/>
      <w:lvlJc w:val="left"/>
      <w:pPr>
        <w:tabs>
          <w:tab w:val="num" w:pos="800"/>
        </w:tabs>
        <w:ind w:left="800" w:hanging="400"/>
      </w:pPr>
      <w:rPr>
        <w:rFonts w:ascii="Arial" w:hAnsi="Arial" w:cs="Arial"/>
        <w:color w:val="4F2683"/>
      </w:rPr>
    </w:lvl>
    <w:lvl w:ilvl="2">
      <w:start w:val="1"/>
      <w:numFmt w:val="lowerRoman"/>
      <w:lvlText w:val="–"/>
      <w:lvlJc w:val="left"/>
      <w:pPr>
        <w:tabs>
          <w:tab w:val="num" w:pos="1200"/>
        </w:tabs>
        <w:ind w:left="1200" w:hanging="400"/>
      </w:pPr>
      <w:rPr>
        <w:rFonts w:ascii="Arial" w:hAnsi="Arial" w:cs="Arial"/>
        <w:color w:val="4F2683"/>
      </w:rPr>
    </w:lvl>
    <w:lvl w:ilvl="3">
      <w:start w:val="1"/>
      <w:numFmt w:val="decimal"/>
      <w:lvlText w:val=""/>
      <w:lvlJc w:val="left"/>
      <w:pPr>
        <w:tabs>
          <w:tab w:val="num" w:pos="0"/>
        </w:tabs>
        <w:ind w:left="0" w:firstLine="0"/>
      </w:pPr>
      <w:rPr>
        <w:color w:val="000000"/>
      </w:rPr>
    </w:lvl>
    <w:lvl w:ilvl="4">
      <w:start w:val="1"/>
      <w:numFmt w:val="lowerLetter"/>
      <w:lvlText w:val=""/>
      <w:lvlJc w:val="left"/>
      <w:pPr>
        <w:tabs>
          <w:tab w:val="num" w:pos="0"/>
        </w:tabs>
        <w:ind w:left="0" w:firstLine="0"/>
      </w:pPr>
      <w:rPr>
        <w:color w:val="000000"/>
      </w:rPr>
    </w:lvl>
    <w:lvl w:ilvl="5">
      <w:start w:val="1"/>
      <w:numFmt w:val="lowerRoman"/>
      <w:lvlText w:val=""/>
      <w:lvlJc w:val="left"/>
      <w:pPr>
        <w:tabs>
          <w:tab w:val="num" w:pos="0"/>
        </w:tabs>
        <w:ind w:left="0" w:firstLine="0"/>
      </w:pPr>
      <w:rPr>
        <w:color w:val="000000"/>
      </w:rPr>
    </w:lvl>
    <w:lvl w:ilvl="6">
      <w:start w:val="1"/>
      <w:numFmt w:val="decimal"/>
      <w:lvlText w:val=""/>
      <w:lvlJc w:val="left"/>
      <w:pPr>
        <w:tabs>
          <w:tab w:val="num" w:pos="0"/>
        </w:tabs>
        <w:ind w:left="0" w:firstLine="0"/>
      </w:pPr>
      <w:rPr>
        <w:color w:val="000000"/>
      </w:rPr>
    </w:lvl>
    <w:lvl w:ilvl="7">
      <w:start w:val="1"/>
      <w:numFmt w:val="lowerLetter"/>
      <w:lvlText w:val=""/>
      <w:lvlJc w:val="left"/>
      <w:pPr>
        <w:tabs>
          <w:tab w:val="num" w:pos="0"/>
        </w:tabs>
        <w:ind w:left="0" w:firstLine="0"/>
      </w:pPr>
      <w:rPr>
        <w:color w:val="000000"/>
      </w:rPr>
    </w:lvl>
    <w:lvl w:ilvl="8">
      <w:start w:val="1"/>
      <w:numFmt w:val="lowerRoman"/>
      <w:lvlText w:val=""/>
      <w:lvlJc w:val="left"/>
      <w:pPr>
        <w:tabs>
          <w:tab w:val="num" w:pos="0"/>
        </w:tabs>
        <w:ind w:left="0" w:firstLine="0"/>
      </w:pPr>
      <w:rPr>
        <w:color w:val="000000"/>
      </w:rPr>
    </w:lvl>
  </w:abstractNum>
  <w:abstractNum w:abstractNumId="6" w15:restartNumberingAfterBreak="0">
    <w:nsid w:val="7CC31CFC"/>
    <w:multiLevelType w:val="hybridMultilevel"/>
    <w:tmpl w:val="0ED6888A"/>
    <w:lvl w:ilvl="0" w:tplc="FA3681E8">
      <w:start w:val="2"/>
      <w:numFmt w:val="bullet"/>
      <w:lvlText w:val="-"/>
      <w:lvlJc w:val="left"/>
      <w:pPr>
        <w:ind w:left="720" w:hanging="360"/>
      </w:pPr>
      <w:rPr>
        <w:rFonts w:ascii="Segoe UI Semilight" w:eastAsia="Times New Roman" w:hAnsi="Segoe UI Semilight" w:cs="Segoe UI Semi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172D4"/>
    <w:multiLevelType w:val="multilevel"/>
    <w:tmpl w:val="121866B2"/>
    <w:name w:val="BulletListTemplate"/>
    <w:lvl w:ilvl="0">
      <w:start w:val="1"/>
      <w:numFmt w:val="decimal"/>
      <w:lvlText w:val=""/>
      <w:lvlJc w:val="left"/>
      <w:pPr>
        <w:tabs>
          <w:tab w:val="num" w:pos="400"/>
        </w:tabs>
        <w:ind w:left="400" w:hanging="400"/>
      </w:pPr>
      <w:rPr>
        <w:rFonts w:ascii="Symbol" w:hAnsi="Symbol" w:hint="default"/>
        <w:color w:val="4F2683"/>
      </w:rPr>
    </w:lvl>
    <w:lvl w:ilvl="1">
      <w:start w:val="1"/>
      <w:numFmt w:val="lowerLetter"/>
      <w:lvlText w:val="–"/>
      <w:lvlJc w:val="left"/>
      <w:pPr>
        <w:tabs>
          <w:tab w:val="num" w:pos="800"/>
        </w:tabs>
        <w:ind w:left="800" w:hanging="400"/>
      </w:pPr>
      <w:rPr>
        <w:rFonts w:ascii="Arial" w:hAnsi="Arial" w:cs="Arial"/>
        <w:color w:val="4F2683"/>
      </w:rPr>
    </w:lvl>
    <w:lvl w:ilvl="2">
      <w:start w:val="1"/>
      <w:numFmt w:val="lowerRoman"/>
      <w:lvlText w:val="–"/>
      <w:lvlJc w:val="left"/>
      <w:pPr>
        <w:tabs>
          <w:tab w:val="num" w:pos="1200"/>
        </w:tabs>
        <w:ind w:left="1200" w:hanging="400"/>
      </w:pPr>
      <w:rPr>
        <w:rFonts w:ascii="Arial" w:hAnsi="Arial" w:cs="Arial"/>
        <w:color w:val="4F2683"/>
      </w:rPr>
    </w:lvl>
    <w:lvl w:ilvl="3">
      <w:start w:val="1"/>
      <w:numFmt w:val="decimal"/>
      <w:lvlText w:val="·"/>
      <w:lvlJc w:val="left"/>
      <w:pPr>
        <w:tabs>
          <w:tab w:val="num" w:pos="1360"/>
        </w:tabs>
        <w:ind w:left="1360" w:hanging="340"/>
      </w:pPr>
      <w:rPr>
        <w:rFonts w:ascii="Symbol" w:hAnsi="Symbol" w:hint="default"/>
      </w:rPr>
    </w:lvl>
    <w:lvl w:ilvl="4">
      <w:start w:val="1"/>
      <w:numFmt w:val="lowerLetter"/>
      <w:lvlText w:val="·"/>
      <w:lvlJc w:val="left"/>
      <w:pPr>
        <w:tabs>
          <w:tab w:val="num" w:pos="1700"/>
        </w:tabs>
        <w:ind w:left="1700" w:hanging="340"/>
      </w:pPr>
      <w:rPr>
        <w:rFonts w:ascii="Symbol" w:hAnsi="Symbol" w:hint="default"/>
      </w:rPr>
    </w:lvl>
    <w:lvl w:ilvl="5">
      <w:start w:val="1"/>
      <w:numFmt w:val="lowerRoman"/>
      <w:lvlText w:val="·"/>
      <w:lvlJc w:val="left"/>
      <w:pPr>
        <w:tabs>
          <w:tab w:val="num" w:pos="2040"/>
        </w:tabs>
        <w:ind w:left="2040" w:hanging="340"/>
      </w:pPr>
      <w:rPr>
        <w:rFonts w:ascii="Symbol" w:hAnsi="Symbol" w:hint="default"/>
      </w:rPr>
    </w:lvl>
    <w:lvl w:ilvl="6">
      <w:start w:val="1"/>
      <w:numFmt w:val="decimal"/>
      <w:lvlText w:val="·"/>
      <w:lvlJc w:val="left"/>
      <w:pPr>
        <w:tabs>
          <w:tab w:val="num" w:pos="2380"/>
        </w:tabs>
        <w:ind w:left="2380" w:hanging="340"/>
      </w:pPr>
      <w:rPr>
        <w:rFonts w:ascii="Symbol" w:hAnsi="Symbol" w:hint="default"/>
      </w:rPr>
    </w:lvl>
    <w:lvl w:ilvl="7">
      <w:start w:val="1"/>
      <w:numFmt w:val="lowerLetter"/>
      <w:lvlText w:val="·"/>
      <w:lvlJc w:val="left"/>
      <w:pPr>
        <w:tabs>
          <w:tab w:val="num" w:pos="2720"/>
        </w:tabs>
        <w:ind w:left="2720" w:hanging="340"/>
      </w:pPr>
      <w:rPr>
        <w:rFonts w:ascii="Symbol" w:hAnsi="Symbol" w:hint="default"/>
      </w:rPr>
    </w:lvl>
    <w:lvl w:ilvl="8">
      <w:start w:val="1"/>
      <w:numFmt w:val="lowerRoman"/>
      <w:lvlText w:val="·"/>
      <w:lvlJc w:val="left"/>
      <w:pPr>
        <w:tabs>
          <w:tab w:val="num" w:pos="3060"/>
        </w:tabs>
        <w:ind w:left="3060" w:hanging="340"/>
      </w:pPr>
      <w:rPr>
        <w:rFonts w:ascii="Symbol" w:hAnsi="Symbol" w:hint="default"/>
      </w:rPr>
    </w:lvl>
  </w:abstractNum>
  <w:num w:numId="1" w16cid:durableId="244265421">
    <w:abstractNumId w:val="1"/>
  </w:num>
  <w:num w:numId="2" w16cid:durableId="158815518">
    <w:abstractNumId w:val="1"/>
  </w:num>
  <w:num w:numId="3" w16cid:durableId="930889806">
    <w:abstractNumId w:val="1"/>
  </w:num>
  <w:num w:numId="4" w16cid:durableId="220599908">
    <w:abstractNumId w:val="1"/>
  </w:num>
  <w:num w:numId="5" w16cid:durableId="1961376810">
    <w:abstractNumId w:val="1"/>
  </w:num>
  <w:num w:numId="6" w16cid:durableId="1455372093">
    <w:abstractNumId w:val="1"/>
  </w:num>
  <w:num w:numId="7" w16cid:durableId="671765764">
    <w:abstractNumId w:val="1"/>
  </w:num>
  <w:num w:numId="8" w16cid:durableId="1303579568">
    <w:abstractNumId w:val="1"/>
  </w:num>
  <w:num w:numId="9" w16cid:durableId="568926350">
    <w:abstractNumId w:val="1"/>
  </w:num>
  <w:num w:numId="10" w16cid:durableId="2120757077">
    <w:abstractNumId w:val="1"/>
  </w:num>
  <w:num w:numId="11" w16cid:durableId="2095006144">
    <w:abstractNumId w:val="3"/>
  </w:num>
  <w:num w:numId="12" w16cid:durableId="2140340282">
    <w:abstractNumId w:val="3"/>
  </w:num>
  <w:num w:numId="13" w16cid:durableId="1286276395">
    <w:abstractNumId w:val="3"/>
  </w:num>
  <w:num w:numId="14" w16cid:durableId="645279876">
    <w:abstractNumId w:val="3"/>
  </w:num>
  <w:num w:numId="15" w16cid:durableId="994650562">
    <w:abstractNumId w:val="3"/>
  </w:num>
  <w:num w:numId="16" w16cid:durableId="1035428551">
    <w:abstractNumId w:val="3"/>
  </w:num>
  <w:num w:numId="17" w16cid:durableId="1500464161">
    <w:abstractNumId w:val="3"/>
  </w:num>
  <w:num w:numId="18" w16cid:durableId="1253508558">
    <w:abstractNumId w:val="3"/>
  </w:num>
  <w:num w:numId="19" w16cid:durableId="861748807">
    <w:abstractNumId w:val="3"/>
  </w:num>
  <w:num w:numId="20" w16cid:durableId="1629429721">
    <w:abstractNumId w:val="3"/>
  </w:num>
  <w:num w:numId="21" w16cid:durableId="188837929">
    <w:abstractNumId w:val="2"/>
  </w:num>
  <w:num w:numId="22" w16cid:durableId="200364994">
    <w:abstractNumId w:val="2"/>
  </w:num>
  <w:num w:numId="23" w16cid:durableId="1892035297">
    <w:abstractNumId w:val="2"/>
  </w:num>
  <w:num w:numId="24" w16cid:durableId="1942645806">
    <w:abstractNumId w:val="2"/>
  </w:num>
  <w:num w:numId="25" w16cid:durableId="1698966795">
    <w:abstractNumId w:val="2"/>
  </w:num>
  <w:num w:numId="26" w16cid:durableId="776221734">
    <w:abstractNumId w:val="2"/>
  </w:num>
  <w:num w:numId="27" w16cid:durableId="1961305402">
    <w:abstractNumId w:val="2"/>
  </w:num>
  <w:num w:numId="28" w16cid:durableId="1975986432">
    <w:abstractNumId w:val="2"/>
  </w:num>
  <w:num w:numId="29" w16cid:durableId="1644388765">
    <w:abstractNumId w:val="2"/>
  </w:num>
  <w:num w:numId="30" w16cid:durableId="1162741839">
    <w:abstractNumId w:val="2"/>
  </w:num>
  <w:num w:numId="31" w16cid:durableId="1904245818">
    <w:abstractNumId w:val="1"/>
  </w:num>
  <w:num w:numId="32" w16cid:durableId="601689798">
    <w:abstractNumId w:val="4"/>
  </w:num>
  <w:num w:numId="33" w16cid:durableId="16083280">
    <w:abstractNumId w:val="0"/>
  </w:num>
  <w:num w:numId="34" w16cid:durableId="1370255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0990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9046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2045074">
    <w:abstractNumId w:val="6"/>
  </w:num>
  <w:num w:numId="38" w16cid:durableId="808672996">
    <w:abstractNumId w:val="7"/>
  </w:num>
  <w:num w:numId="39" w16cid:durableId="402989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68"/>
    <w:rsid w:val="00000CA8"/>
    <w:rsid w:val="00003A48"/>
    <w:rsid w:val="0000467B"/>
    <w:rsid w:val="000053CE"/>
    <w:rsid w:val="0000684D"/>
    <w:rsid w:val="00010517"/>
    <w:rsid w:val="000114EE"/>
    <w:rsid w:val="00013EBC"/>
    <w:rsid w:val="0002400F"/>
    <w:rsid w:val="000303E2"/>
    <w:rsid w:val="000310D8"/>
    <w:rsid w:val="00032D5B"/>
    <w:rsid w:val="00035203"/>
    <w:rsid w:val="00037E95"/>
    <w:rsid w:val="0004266C"/>
    <w:rsid w:val="00046687"/>
    <w:rsid w:val="000526BA"/>
    <w:rsid w:val="000611A7"/>
    <w:rsid w:val="000649A1"/>
    <w:rsid w:val="00064C4F"/>
    <w:rsid w:val="0007415D"/>
    <w:rsid w:val="00076512"/>
    <w:rsid w:val="00090F86"/>
    <w:rsid w:val="00092C9A"/>
    <w:rsid w:val="000A0EB5"/>
    <w:rsid w:val="000A2403"/>
    <w:rsid w:val="000A266A"/>
    <w:rsid w:val="000A2DF0"/>
    <w:rsid w:val="000A50ED"/>
    <w:rsid w:val="000A652B"/>
    <w:rsid w:val="000B21A9"/>
    <w:rsid w:val="000B341E"/>
    <w:rsid w:val="000B554A"/>
    <w:rsid w:val="000B71EB"/>
    <w:rsid w:val="000C05AD"/>
    <w:rsid w:val="000C4CAE"/>
    <w:rsid w:val="000D1598"/>
    <w:rsid w:val="000D44B9"/>
    <w:rsid w:val="000D70E3"/>
    <w:rsid w:val="000D7BE5"/>
    <w:rsid w:val="000E4342"/>
    <w:rsid w:val="000E5E9A"/>
    <w:rsid w:val="000F4E13"/>
    <w:rsid w:val="00104E4F"/>
    <w:rsid w:val="00107981"/>
    <w:rsid w:val="00114705"/>
    <w:rsid w:val="00115A15"/>
    <w:rsid w:val="00117CE6"/>
    <w:rsid w:val="001207E3"/>
    <w:rsid w:val="00122244"/>
    <w:rsid w:val="00124CE8"/>
    <w:rsid w:val="00127E40"/>
    <w:rsid w:val="001367D6"/>
    <w:rsid w:val="0013694C"/>
    <w:rsid w:val="00136C20"/>
    <w:rsid w:val="00144A2C"/>
    <w:rsid w:val="00144F8C"/>
    <w:rsid w:val="00146AD8"/>
    <w:rsid w:val="00146FF8"/>
    <w:rsid w:val="001527C6"/>
    <w:rsid w:val="00160CC1"/>
    <w:rsid w:val="00161782"/>
    <w:rsid w:val="001646CC"/>
    <w:rsid w:val="001715B5"/>
    <w:rsid w:val="00176768"/>
    <w:rsid w:val="001867D7"/>
    <w:rsid w:val="00190457"/>
    <w:rsid w:val="00191925"/>
    <w:rsid w:val="00193DF4"/>
    <w:rsid w:val="0019431D"/>
    <w:rsid w:val="001A548E"/>
    <w:rsid w:val="001C3143"/>
    <w:rsid w:val="001C31BD"/>
    <w:rsid w:val="001C3E3A"/>
    <w:rsid w:val="001D0AA7"/>
    <w:rsid w:val="001E2728"/>
    <w:rsid w:val="001E692A"/>
    <w:rsid w:val="001E7FFC"/>
    <w:rsid w:val="001F0D91"/>
    <w:rsid w:val="001F31D3"/>
    <w:rsid w:val="001F3641"/>
    <w:rsid w:val="001F5423"/>
    <w:rsid w:val="0020165B"/>
    <w:rsid w:val="002040DB"/>
    <w:rsid w:val="00212F55"/>
    <w:rsid w:val="00216ECF"/>
    <w:rsid w:val="00217600"/>
    <w:rsid w:val="002177AB"/>
    <w:rsid w:val="0022426B"/>
    <w:rsid w:val="00227570"/>
    <w:rsid w:val="002315D3"/>
    <w:rsid w:val="00236157"/>
    <w:rsid w:val="00246239"/>
    <w:rsid w:val="00247691"/>
    <w:rsid w:val="00257561"/>
    <w:rsid w:val="00257D74"/>
    <w:rsid w:val="00261812"/>
    <w:rsid w:val="0027066B"/>
    <w:rsid w:val="00276E1D"/>
    <w:rsid w:val="00286BFF"/>
    <w:rsid w:val="00287AD6"/>
    <w:rsid w:val="002A1C28"/>
    <w:rsid w:val="002A1E74"/>
    <w:rsid w:val="002B784B"/>
    <w:rsid w:val="002C1D96"/>
    <w:rsid w:val="002C2E2C"/>
    <w:rsid w:val="002C44A9"/>
    <w:rsid w:val="002C72FD"/>
    <w:rsid w:val="002D35CE"/>
    <w:rsid w:val="002D6D50"/>
    <w:rsid w:val="002E493C"/>
    <w:rsid w:val="002E683E"/>
    <w:rsid w:val="002F09B2"/>
    <w:rsid w:val="00300145"/>
    <w:rsid w:val="003041E0"/>
    <w:rsid w:val="003066A8"/>
    <w:rsid w:val="00307FA7"/>
    <w:rsid w:val="00313D2E"/>
    <w:rsid w:val="00316E0C"/>
    <w:rsid w:val="00321D16"/>
    <w:rsid w:val="003234D2"/>
    <w:rsid w:val="00330F4F"/>
    <w:rsid w:val="00331A5F"/>
    <w:rsid w:val="00336F9D"/>
    <w:rsid w:val="00342918"/>
    <w:rsid w:val="00352879"/>
    <w:rsid w:val="0035602A"/>
    <w:rsid w:val="00363CD4"/>
    <w:rsid w:val="003707C3"/>
    <w:rsid w:val="003708BA"/>
    <w:rsid w:val="003726AE"/>
    <w:rsid w:val="00372F06"/>
    <w:rsid w:val="00375AA9"/>
    <w:rsid w:val="00376989"/>
    <w:rsid w:val="003816B3"/>
    <w:rsid w:val="00393270"/>
    <w:rsid w:val="003933D9"/>
    <w:rsid w:val="003A776E"/>
    <w:rsid w:val="003B31DA"/>
    <w:rsid w:val="003B451F"/>
    <w:rsid w:val="003B465E"/>
    <w:rsid w:val="003C3378"/>
    <w:rsid w:val="003C4DA7"/>
    <w:rsid w:val="003C5C6E"/>
    <w:rsid w:val="003D112F"/>
    <w:rsid w:val="003D27FA"/>
    <w:rsid w:val="003D786E"/>
    <w:rsid w:val="003F03D6"/>
    <w:rsid w:val="003F631A"/>
    <w:rsid w:val="00402BA2"/>
    <w:rsid w:val="00416730"/>
    <w:rsid w:val="0041717C"/>
    <w:rsid w:val="00423728"/>
    <w:rsid w:val="0042537D"/>
    <w:rsid w:val="00426EDA"/>
    <w:rsid w:val="00427A35"/>
    <w:rsid w:val="004315FC"/>
    <w:rsid w:val="0043783E"/>
    <w:rsid w:val="00443FA7"/>
    <w:rsid w:val="004451AE"/>
    <w:rsid w:val="00445F39"/>
    <w:rsid w:val="0044696A"/>
    <w:rsid w:val="00447FEA"/>
    <w:rsid w:val="00450589"/>
    <w:rsid w:val="00450E85"/>
    <w:rsid w:val="00453EEE"/>
    <w:rsid w:val="00453FBA"/>
    <w:rsid w:val="00455E52"/>
    <w:rsid w:val="00456936"/>
    <w:rsid w:val="00457E29"/>
    <w:rsid w:val="00466481"/>
    <w:rsid w:val="004675CF"/>
    <w:rsid w:val="004704F8"/>
    <w:rsid w:val="00472495"/>
    <w:rsid w:val="00490DD5"/>
    <w:rsid w:val="00495838"/>
    <w:rsid w:val="004961BF"/>
    <w:rsid w:val="004A7188"/>
    <w:rsid w:val="004B315A"/>
    <w:rsid w:val="004B3578"/>
    <w:rsid w:val="004B619E"/>
    <w:rsid w:val="004B6614"/>
    <w:rsid w:val="004C008D"/>
    <w:rsid w:val="004C0A78"/>
    <w:rsid w:val="004C1EBB"/>
    <w:rsid w:val="004C27FE"/>
    <w:rsid w:val="004C60C1"/>
    <w:rsid w:val="004D5D8C"/>
    <w:rsid w:val="004E4DF6"/>
    <w:rsid w:val="004E5897"/>
    <w:rsid w:val="004E763B"/>
    <w:rsid w:val="004F4291"/>
    <w:rsid w:val="004F5FD7"/>
    <w:rsid w:val="004F640D"/>
    <w:rsid w:val="004F6872"/>
    <w:rsid w:val="004F7538"/>
    <w:rsid w:val="00505673"/>
    <w:rsid w:val="005102A7"/>
    <w:rsid w:val="00510793"/>
    <w:rsid w:val="00513041"/>
    <w:rsid w:val="005135D5"/>
    <w:rsid w:val="005169DF"/>
    <w:rsid w:val="00520F08"/>
    <w:rsid w:val="005226B0"/>
    <w:rsid w:val="00523A5B"/>
    <w:rsid w:val="00527809"/>
    <w:rsid w:val="005310A1"/>
    <w:rsid w:val="00536151"/>
    <w:rsid w:val="00540CD8"/>
    <w:rsid w:val="005427D7"/>
    <w:rsid w:val="00543ECF"/>
    <w:rsid w:val="00544D19"/>
    <w:rsid w:val="00544D68"/>
    <w:rsid w:val="0054515F"/>
    <w:rsid w:val="005461D0"/>
    <w:rsid w:val="0055261F"/>
    <w:rsid w:val="00552857"/>
    <w:rsid w:val="00553E04"/>
    <w:rsid w:val="005659A0"/>
    <w:rsid w:val="0057196C"/>
    <w:rsid w:val="00582547"/>
    <w:rsid w:val="0058379F"/>
    <w:rsid w:val="00584523"/>
    <w:rsid w:val="0059175C"/>
    <w:rsid w:val="0059477D"/>
    <w:rsid w:val="0059524D"/>
    <w:rsid w:val="00597E76"/>
    <w:rsid w:val="005A029C"/>
    <w:rsid w:val="005B0464"/>
    <w:rsid w:val="005B284A"/>
    <w:rsid w:val="005B31F1"/>
    <w:rsid w:val="005B6C99"/>
    <w:rsid w:val="005B7306"/>
    <w:rsid w:val="005C0103"/>
    <w:rsid w:val="005C24ED"/>
    <w:rsid w:val="005D2738"/>
    <w:rsid w:val="005E081B"/>
    <w:rsid w:val="005E4057"/>
    <w:rsid w:val="005E4670"/>
    <w:rsid w:val="005F0F56"/>
    <w:rsid w:val="005F67E6"/>
    <w:rsid w:val="005F705A"/>
    <w:rsid w:val="00600A6F"/>
    <w:rsid w:val="00611F6B"/>
    <w:rsid w:val="00613A59"/>
    <w:rsid w:val="00616602"/>
    <w:rsid w:val="00620375"/>
    <w:rsid w:val="00622348"/>
    <w:rsid w:val="006231F7"/>
    <w:rsid w:val="00623BD2"/>
    <w:rsid w:val="00642153"/>
    <w:rsid w:val="006502AF"/>
    <w:rsid w:val="00650995"/>
    <w:rsid w:val="00651025"/>
    <w:rsid w:val="00651280"/>
    <w:rsid w:val="0065300A"/>
    <w:rsid w:val="006533EF"/>
    <w:rsid w:val="00661389"/>
    <w:rsid w:val="00661E8E"/>
    <w:rsid w:val="00675720"/>
    <w:rsid w:val="00677178"/>
    <w:rsid w:val="00677A62"/>
    <w:rsid w:val="00683C4C"/>
    <w:rsid w:val="0068633C"/>
    <w:rsid w:val="006919C6"/>
    <w:rsid w:val="00692F22"/>
    <w:rsid w:val="006A1746"/>
    <w:rsid w:val="006A6D64"/>
    <w:rsid w:val="006B1170"/>
    <w:rsid w:val="006B2BBD"/>
    <w:rsid w:val="006C0E5A"/>
    <w:rsid w:val="006C3C8C"/>
    <w:rsid w:val="006D0877"/>
    <w:rsid w:val="006D76A8"/>
    <w:rsid w:val="006E0C24"/>
    <w:rsid w:val="006E47F2"/>
    <w:rsid w:val="006E49EC"/>
    <w:rsid w:val="006E4D05"/>
    <w:rsid w:val="006E5406"/>
    <w:rsid w:val="006E6666"/>
    <w:rsid w:val="006F1EEA"/>
    <w:rsid w:val="006F3076"/>
    <w:rsid w:val="006F6941"/>
    <w:rsid w:val="006F77EF"/>
    <w:rsid w:val="0070495C"/>
    <w:rsid w:val="00705177"/>
    <w:rsid w:val="00711DE2"/>
    <w:rsid w:val="00715761"/>
    <w:rsid w:val="007210EF"/>
    <w:rsid w:val="00732399"/>
    <w:rsid w:val="00735669"/>
    <w:rsid w:val="0074045A"/>
    <w:rsid w:val="00742440"/>
    <w:rsid w:val="007428A3"/>
    <w:rsid w:val="00743F15"/>
    <w:rsid w:val="007516EA"/>
    <w:rsid w:val="00754994"/>
    <w:rsid w:val="007637CB"/>
    <w:rsid w:val="00782692"/>
    <w:rsid w:val="00783C2D"/>
    <w:rsid w:val="007848BC"/>
    <w:rsid w:val="00784932"/>
    <w:rsid w:val="00784F0E"/>
    <w:rsid w:val="007853F6"/>
    <w:rsid w:val="00794E61"/>
    <w:rsid w:val="00796DA6"/>
    <w:rsid w:val="00797724"/>
    <w:rsid w:val="00797841"/>
    <w:rsid w:val="007A016C"/>
    <w:rsid w:val="007A40B6"/>
    <w:rsid w:val="007B01DC"/>
    <w:rsid w:val="007B0F29"/>
    <w:rsid w:val="007B3124"/>
    <w:rsid w:val="007C390C"/>
    <w:rsid w:val="007E054A"/>
    <w:rsid w:val="007E5FC3"/>
    <w:rsid w:val="007E615C"/>
    <w:rsid w:val="007E7C87"/>
    <w:rsid w:val="007F3F15"/>
    <w:rsid w:val="007F48D8"/>
    <w:rsid w:val="00806A41"/>
    <w:rsid w:val="00806E50"/>
    <w:rsid w:val="00807D28"/>
    <w:rsid w:val="00811970"/>
    <w:rsid w:val="00816161"/>
    <w:rsid w:val="00816933"/>
    <w:rsid w:val="00837E70"/>
    <w:rsid w:val="008414DB"/>
    <w:rsid w:val="00841FBB"/>
    <w:rsid w:val="00843773"/>
    <w:rsid w:val="008443EF"/>
    <w:rsid w:val="00845763"/>
    <w:rsid w:val="0084592E"/>
    <w:rsid w:val="00851B70"/>
    <w:rsid w:val="008544D2"/>
    <w:rsid w:val="00860ABD"/>
    <w:rsid w:val="00860FB9"/>
    <w:rsid w:val="00861B74"/>
    <w:rsid w:val="00862404"/>
    <w:rsid w:val="008634FB"/>
    <w:rsid w:val="00867FB2"/>
    <w:rsid w:val="00877BEC"/>
    <w:rsid w:val="00880492"/>
    <w:rsid w:val="00883C1D"/>
    <w:rsid w:val="0088400B"/>
    <w:rsid w:val="00891AB9"/>
    <w:rsid w:val="00897193"/>
    <w:rsid w:val="008A593E"/>
    <w:rsid w:val="008A6DDC"/>
    <w:rsid w:val="008B7ECE"/>
    <w:rsid w:val="008C0B6E"/>
    <w:rsid w:val="008C3D1C"/>
    <w:rsid w:val="008C5FC5"/>
    <w:rsid w:val="008C7CAD"/>
    <w:rsid w:val="008D6027"/>
    <w:rsid w:val="008D6285"/>
    <w:rsid w:val="008E37AB"/>
    <w:rsid w:val="008E3CF4"/>
    <w:rsid w:val="008E58F3"/>
    <w:rsid w:val="008F0A47"/>
    <w:rsid w:val="008F38E7"/>
    <w:rsid w:val="008F7EFA"/>
    <w:rsid w:val="00900D5B"/>
    <w:rsid w:val="00901B5E"/>
    <w:rsid w:val="0092463E"/>
    <w:rsid w:val="00930BFF"/>
    <w:rsid w:val="00931268"/>
    <w:rsid w:val="0093237A"/>
    <w:rsid w:val="00932BC6"/>
    <w:rsid w:val="009356E9"/>
    <w:rsid w:val="0093689B"/>
    <w:rsid w:val="00936DE2"/>
    <w:rsid w:val="009400C3"/>
    <w:rsid w:val="00940BF4"/>
    <w:rsid w:val="00941C6C"/>
    <w:rsid w:val="009465F7"/>
    <w:rsid w:val="0095269D"/>
    <w:rsid w:val="009631F7"/>
    <w:rsid w:val="009667CD"/>
    <w:rsid w:val="0096747F"/>
    <w:rsid w:val="00970735"/>
    <w:rsid w:val="009711C3"/>
    <w:rsid w:val="00984614"/>
    <w:rsid w:val="009861B1"/>
    <w:rsid w:val="009938B0"/>
    <w:rsid w:val="00996872"/>
    <w:rsid w:val="009C16A3"/>
    <w:rsid w:val="009C6CF2"/>
    <w:rsid w:val="009C722F"/>
    <w:rsid w:val="009D06B9"/>
    <w:rsid w:val="009D0736"/>
    <w:rsid w:val="009F0CE1"/>
    <w:rsid w:val="009F4B4C"/>
    <w:rsid w:val="00A003E9"/>
    <w:rsid w:val="00A04D47"/>
    <w:rsid w:val="00A06C28"/>
    <w:rsid w:val="00A074ED"/>
    <w:rsid w:val="00A124D7"/>
    <w:rsid w:val="00A15DB5"/>
    <w:rsid w:val="00A2012C"/>
    <w:rsid w:val="00A22BE8"/>
    <w:rsid w:val="00A25C8E"/>
    <w:rsid w:val="00A30B19"/>
    <w:rsid w:val="00A35814"/>
    <w:rsid w:val="00A36321"/>
    <w:rsid w:val="00A3664C"/>
    <w:rsid w:val="00A37B32"/>
    <w:rsid w:val="00A503B4"/>
    <w:rsid w:val="00A523C6"/>
    <w:rsid w:val="00A54912"/>
    <w:rsid w:val="00A5701A"/>
    <w:rsid w:val="00A61D9B"/>
    <w:rsid w:val="00A62252"/>
    <w:rsid w:val="00A72B40"/>
    <w:rsid w:val="00A746EA"/>
    <w:rsid w:val="00A87FA7"/>
    <w:rsid w:val="00A93E5D"/>
    <w:rsid w:val="00A971D7"/>
    <w:rsid w:val="00AA11B2"/>
    <w:rsid w:val="00AA2D56"/>
    <w:rsid w:val="00AA4003"/>
    <w:rsid w:val="00AA6555"/>
    <w:rsid w:val="00AC3315"/>
    <w:rsid w:val="00AD60B2"/>
    <w:rsid w:val="00AD6594"/>
    <w:rsid w:val="00AD6CB8"/>
    <w:rsid w:val="00AE0264"/>
    <w:rsid w:val="00AE1BBF"/>
    <w:rsid w:val="00AE330D"/>
    <w:rsid w:val="00AF6E9C"/>
    <w:rsid w:val="00B0459E"/>
    <w:rsid w:val="00B045E5"/>
    <w:rsid w:val="00B11650"/>
    <w:rsid w:val="00B13129"/>
    <w:rsid w:val="00B17080"/>
    <w:rsid w:val="00B17B8C"/>
    <w:rsid w:val="00B47700"/>
    <w:rsid w:val="00B60F05"/>
    <w:rsid w:val="00B61F75"/>
    <w:rsid w:val="00B637F4"/>
    <w:rsid w:val="00B66F74"/>
    <w:rsid w:val="00B70B28"/>
    <w:rsid w:val="00B71EE1"/>
    <w:rsid w:val="00B73E7E"/>
    <w:rsid w:val="00B85475"/>
    <w:rsid w:val="00B8645A"/>
    <w:rsid w:val="00B916E4"/>
    <w:rsid w:val="00B930D1"/>
    <w:rsid w:val="00B958A6"/>
    <w:rsid w:val="00BA145D"/>
    <w:rsid w:val="00BA1AD8"/>
    <w:rsid w:val="00BA4584"/>
    <w:rsid w:val="00BA4E8F"/>
    <w:rsid w:val="00BB2C49"/>
    <w:rsid w:val="00BB4273"/>
    <w:rsid w:val="00BC08CA"/>
    <w:rsid w:val="00BC5AD0"/>
    <w:rsid w:val="00BC6BD8"/>
    <w:rsid w:val="00BD1C48"/>
    <w:rsid w:val="00BD3034"/>
    <w:rsid w:val="00BE59BE"/>
    <w:rsid w:val="00BE6377"/>
    <w:rsid w:val="00BE72C5"/>
    <w:rsid w:val="00BE7663"/>
    <w:rsid w:val="00BF1866"/>
    <w:rsid w:val="00C00378"/>
    <w:rsid w:val="00C01D32"/>
    <w:rsid w:val="00C02178"/>
    <w:rsid w:val="00C162CC"/>
    <w:rsid w:val="00C1752B"/>
    <w:rsid w:val="00C24BD0"/>
    <w:rsid w:val="00C25B3B"/>
    <w:rsid w:val="00C31F0A"/>
    <w:rsid w:val="00C36E19"/>
    <w:rsid w:val="00C37028"/>
    <w:rsid w:val="00C406E4"/>
    <w:rsid w:val="00C40AA6"/>
    <w:rsid w:val="00C4622F"/>
    <w:rsid w:val="00C573FA"/>
    <w:rsid w:val="00C617D1"/>
    <w:rsid w:val="00C62845"/>
    <w:rsid w:val="00C64CA0"/>
    <w:rsid w:val="00C67517"/>
    <w:rsid w:val="00C67E6E"/>
    <w:rsid w:val="00C70338"/>
    <w:rsid w:val="00C72C9C"/>
    <w:rsid w:val="00C72E44"/>
    <w:rsid w:val="00C75812"/>
    <w:rsid w:val="00C76767"/>
    <w:rsid w:val="00C77279"/>
    <w:rsid w:val="00C7773E"/>
    <w:rsid w:val="00C936CD"/>
    <w:rsid w:val="00C93A5F"/>
    <w:rsid w:val="00C95D29"/>
    <w:rsid w:val="00C96612"/>
    <w:rsid w:val="00CA6534"/>
    <w:rsid w:val="00CB396F"/>
    <w:rsid w:val="00CB4990"/>
    <w:rsid w:val="00CB5A92"/>
    <w:rsid w:val="00CC6718"/>
    <w:rsid w:val="00CC6A89"/>
    <w:rsid w:val="00CD2A07"/>
    <w:rsid w:val="00CD3086"/>
    <w:rsid w:val="00CD4E9A"/>
    <w:rsid w:val="00CD528D"/>
    <w:rsid w:val="00CE6214"/>
    <w:rsid w:val="00CF0653"/>
    <w:rsid w:val="00CF3C81"/>
    <w:rsid w:val="00CF4A93"/>
    <w:rsid w:val="00D07497"/>
    <w:rsid w:val="00D116F8"/>
    <w:rsid w:val="00D144A7"/>
    <w:rsid w:val="00D154C5"/>
    <w:rsid w:val="00D204C0"/>
    <w:rsid w:val="00D207E3"/>
    <w:rsid w:val="00D251B4"/>
    <w:rsid w:val="00D273BE"/>
    <w:rsid w:val="00D32603"/>
    <w:rsid w:val="00D33631"/>
    <w:rsid w:val="00D4051A"/>
    <w:rsid w:val="00D4572C"/>
    <w:rsid w:val="00D500E1"/>
    <w:rsid w:val="00D50EC2"/>
    <w:rsid w:val="00D515E8"/>
    <w:rsid w:val="00D5221D"/>
    <w:rsid w:val="00D5309A"/>
    <w:rsid w:val="00D534F5"/>
    <w:rsid w:val="00D549CC"/>
    <w:rsid w:val="00D64970"/>
    <w:rsid w:val="00D66C53"/>
    <w:rsid w:val="00D71359"/>
    <w:rsid w:val="00D732D3"/>
    <w:rsid w:val="00D76EF0"/>
    <w:rsid w:val="00D83F81"/>
    <w:rsid w:val="00D97DBB"/>
    <w:rsid w:val="00DA06B7"/>
    <w:rsid w:val="00DA746E"/>
    <w:rsid w:val="00DB2168"/>
    <w:rsid w:val="00DB4608"/>
    <w:rsid w:val="00DC2340"/>
    <w:rsid w:val="00DC7645"/>
    <w:rsid w:val="00DD50C3"/>
    <w:rsid w:val="00DD5548"/>
    <w:rsid w:val="00DE0463"/>
    <w:rsid w:val="00DE59A3"/>
    <w:rsid w:val="00DE5B77"/>
    <w:rsid w:val="00DE5E94"/>
    <w:rsid w:val="00DE7EFF"/>
    <w:rsid w:val="00DF0FCA"/>
    <w:rsid w:val="00DF11C4"/>
    <w:rsid w:val="00E00F9B"/>
    <w:rsid w:val="00E03E55"/>
    <w:rsid w:val="00E04B8A"/>
    <w:rsid w:val="00E05369"/>
    <w:rsid w:val="00E10266"/>
    <w:rsid w:val="00E11378"/>
    <w:rsid w:val="00E1370B"/>
    <w:rsid w:val="00E137B1"/>
    <w:rsid w:val="00E14EB1"/>
    <w:rsid w:val="00E16596"/>
    <w:rsid w:val="00E30BC4"/>
    <w:rsid w:val="00E31BBA"/>
    <w:rsid w:val="00E35173"/>
    <w:rsid w:val="00E358C5"/>
    <w:rsid w:val="00E36891"/>
    <w:rsid w:val="00E37196"/>
    <w:rsid w:val="00E45046"/>
    <w:rsid w:val="00E46791"/>
    <w:rsid w:val="00E47D2A"/>
    <w:rsid w:val="00E52DEE"/>
    <w:rsid w:val="00E535DB"/>
    <w:rsid w:val="00E63860"/>
    <w:rsid w:val="00E64275"/>
    <w:rsid w:val="00E74086"/>
    <w:rsid w:val="00E7441B"/>
    <w:rsid w:val="00E757F5"/>
    <w:rsid w:val="00E808BD"/>
    <w:rsid w:val="00E839FC"/>
    <w:rsid w:val="00E8680A"/>
    <w:rsid w:val="00E87BE1"/>
    <w:rsid w:val="00E9242A"/>
    <w:rsid w:val="00E9526D"/>
    <w:rsid w:val="00EA351F"/>
    <w:rsid w:val="00EA5346"/>
    <w:rsid w:val="00EA6ED3"/>
    <w:rsid w:val="00EB4211"/>
    <w:rsid w:val="00EB58EE"/>
    <w:rsid w:val="00EB5A98"/>
    <w:rsid w:val="00EB6573"/>
    <w:rsid w:val="00EC32F3"/>
    <w:rsid w:val="00ED5DC0"/>
    <w:rsid w:val="00ED77A1"/>
    <w:rsid w:val="00EE1F52"/>
    <w:rsid w:val="00EE763E"/>
    <w:rsid w:val="00EF0AA6"/>
    <w:rsid w:val="00EF42A2"/>
    <w:rsid w:val="00EF6576"/>
    <w:rsid w:val="00F014C5"/>
    <w:rsid w:val="00F0203A"/>
    <w:rsid w:val="00F02216"/>
    <w:rsid w:val="00F0711E"/>
    <w:rsid w:val="00F07EA0"/>
    <w:rsid w:val="00F12D64"/>
    <w:rsid w:val="00F14C81"/>
    <w:rsid w:val="00F16679"/>
    <w:rsid w:val="00F16E84"/>
    <w:rsid w:val="00F21DAC"/>
    <w:rsid w:val="00F22976"/>
    <w:rsid w:val="00F27216"/>
    <w:rsid w:val="00F46FE0"/>
    <w:rsid w:val="00F666F1"/>
    <w:rsid w:val="00F71CD6"/>
    <w:rsid w:val="00F73B4F"/>
    <w:rsid w:val="00F7407B"/>
    <w:rsid w:val="00F74E8D"/>
    <w:rsid w:val="00F7625B"/>
    <w:rsid w:val="00F80601"/>
    <w:rsid w:val="00F90E34"/>
    <w:rsid w:val="00F960C9"/>
    <w:rsid w:val="00FA0469"/>
    <w:rsid w:val="00FA18D5"/>
    <w:rsid w:val="00FA2FD7"/>
    <w:rsid w:val="00FA4F2E"/>
    <w:rsid w:val="00FA7B86"/>
    <w:rsid w:val="00FB1AAF"/>
    <w:rsid w:val="00FB4DE6"/>
    <w:rsid w:val="00FB5D77"/>
    <w:rsid w:val="00FB6DB2"/>
    <w:rsid w:val="00FE4583"/>
    <w:rsid w:val="00FE4F20"/>
    <w:rsid w:val="00FF0E85"/>
    <w:rsid w:val="00FF4A85"/>
    <w:rsid w:val="632C7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40295"/>
  <w15:chartTrackingRefBased/>
  <w15:docId w15:val="{327AA610-4C53-4C4B-B357-DAB8C4F6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6"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ase"/>
    <w:next w:val="BodyText"/>
    <w:link w:val="Heading1Char"/>
    <w:uiPriority w:val="1"/>
    <w:qFormat/>
    <w:rsid w:val="00B930D1"/>
    <w:pPr>
      <w:keepNext/>
      <w:keepLines/>
      <w:pageBreakBefore/>
      <w:numPr>
        <w:numId w:val="11"/>
      </w:numPr>
      <w:spacing w:after="440" w:line="211" w:lineRule="auto"/>
      <w:outlineLvl w:val="0"/>
    </w:pPr>
    <w:rPr>
      <w:rFonts w:ascii="Segoe UI" w:hAnsi="Segoe UI" w:cs="Arial"/>
      <w:b/>
      <w:bCs/>
      <w:color w:val="58595B"/>
      <w:kern w:val="32"/>
      <w:sz w:val="40"/>
      <w:szCs w:val="32"/>
      <w:lang w:eastAsia="en-US"/>
    </w:rPr>
  </w:style>
  <w:style w:type="paragraph" w:styleId="Heading2">
    <w:name w:val="heading 2"/>
    <w:basedOn w:val="Heading1"/>
    <w:next w:val="BodyText"/>
    <w:link w:val="Heading2Char"/>
    <w:uiPriority w:val="2"/>
    <w:qFormat/>
    <w:rsid w:val="00B930D1"/>
    <w:pPr>
      <w:pageBreakBefore w:val="0"/>
      <w:numPr>
        <w:ilvl w:val="1"/>
      </w:numPr>
      <w:spacing w:before="520" w:after="260" w:line="240" w:lineRule="auto"/>
      <w:outlineLvl w:val="1"/>
    </w:pPr>
    <w:rPr>
      <w:bCs w:val="0"/>
      <w:iCs/>
      <w:color w:val="EC008C" w:themeColor="accent3"/>
      <w:sz w:val="24"/>
      <w:szCs w:val="28"/>
    </w:rPr>
  </w:style>
  <w:style w:type="paragraph" w:styleId="Heading3">
    <w:name w:val="heading 3"/>
    <w:basedOn w:val="Heading2"/>
    <w:next w:val="BodyText"/>
    <w:link w:val="Heading3Char"/>
    <w:uiPriority w:val="3"/>
    <w:qFormat/>
    <w:rsid w:val="00B930D1"/>
    <w:pPr>
      <w:numPr>
        <w:ilvl w:val="2"/>
      </w:numPr>
      <w:outlineLvl w:val="2"/>
    </w:pPr>
    <w:rPr>
      <w:rFonts w:asciiTheme="majorHAnsi" w:hAnsiTheme="majorHAnsi"/>
      <w:b w:val="0"/>
      <w:bCs/>
      <w:sz w:val="22"/>
      <w:szCs w:val="26"/>
    </w:rPr>
  </w:style>
  <w:style w:type="paragraph" w:styleId="Heading4">
    <w:name w:val="heading 4"/>
    <w:basedOn w:val="Normal"/>
    <w:link w:val="Heading4Char"/>
    <w:uiPriority w:val="6"/>
    <w:qFormat/>
    <w:rsid w:val="00B930D1"/>
    <w:pPr>
      <w:numPr>
        <w:ilvl w:val="3"/>
        <w:numId w:val="11"/>
      </w:numPr>
      <w:spacing w:before="520" w:after="260" w:line="240" w:lineRule="auto"/>
      <w:outlineLvl w:val="3"/>
    </w:pPr>
    <w:rPr>
      <w:rFonts w:asciiTheme="majorHAnsi" w:eastAsia="Times New Roman" w:hAnsiTheme="majorHAnsi" w:cs="Times New Roman"/>
      <w:bCs/>
      <w:color w:val="EC008C" w:themeColor="accent3"/>
      <w:sz w:val="20"/>
      <w:szCs w:val="28"/>
    </w:rPr>
  </w:style>
  <w:style w:type="paragraph" w:styleId="Heading5">
    <w:name w:val="heading 5"/>
    <w:basedOn w:val="Heading4"/>
    <w:next w:val="BodyText"/>
    <w:link w:val="Heading5Char"/>
    <w:rsid w:val="00B930D1"/>
    <w:pPr>
      <w:numPr>
        <w:ilvl w:val="4"/>
      </w:numPr>
      <w:outlineLvl w:val="4"/>
    </w:pPr>
    <w:rPr>
      <w:bCs w:val="0"/>
      <w:iCs/>
      <w:szCs w:val="26"/>
    </w:rPr>
  </w:style>
  <w:style w:type="paragraph" w:styleId="Heading6">
    <w:name w:val="heading 6"/>
    <w:basedOn w:val="Heading1"/>
    <w:next w:val="BodyText"/>
    <w:link w:val="Heading6Char"/>
    <w:qFormat/>
    <w:rsid w:val="00B930D1"/>
    <w:pPr>
      <w:numPr>
        <w:ilvl w:val="5"/>
      </w:numPr>
      <w:outlineLvl w:val="5"/>
    </w:pPr>
    <w:rPr>
      <w:bCs w:val="0"/>
      <w:szCs w:val="22"/>
    </w:rPr>
  </w:style>
  <w:style w:type="paragraph" w:styleId="Heading7">
    <w:name w:val="heading 7"/>
    <w:basedOn w:val="Heading2"/>
    <w:next w:val="BodyText"/>
    <w:link w:val="Heading7Char"/>
    <w:uiPriority w:val="9"/>
    <w:qFormat/>
    <w:rsid w:val="00B930D1"/>
    <w:pPr>
      <w:keepNext w:val="0"/>
      <w:keepLines w:val="0"/>
      <w:numPr>
        <w:ilvl w:val="6"/>
      </w:numPr>
      <w:spacing w:after="360"/>
      <w:outlineLvl w:val="6"/>
    </w:pPr>
  </w:style>
  <w:style w:type="paragraph" w:styleId="Heading8">
    <w:name w:val="heading 8"/>
    <w:basedOn w:val="Heading3"/>
    <w:next w:val="BodyText"/>
    <w:link w:val="Heading8Char"/>
    <w:rsid w:val="00B930D1"/>
    <w:pPr>
      <w:numPr>
        <w:ilvl w:val="7"/>
      </w:numPr>
      <w:outlineLvl w:val="7"/>
    </w:pPr>
    <w:rPr>
      <w:iCs w:val="0"/>
    </w:rPr>
  </w:style>
  <w:style w:type="paragraph" w:styleId="Heading9">
    <w:name w:val="heading 9"/>
    <w:basedOn w:val="Heading4"/>
    <w:next w:val="BodyText"/>
    <w:link w:val="Heading9Char"/>
    <w:qFormat/>
    <w:rsid w:val="00B930D1"/>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link w:val="BaseChar"/>
    <w:rsid w:val="00E46791"/>
    <w:pPr>
      <w:spacing w:after="0" w:line="240" w:lineRule="auto"/>
    </w:pPr>
    <w:rPr>
      <w:rFonts w:eastAsia="Times New Roman" w:cs="Times New Roman"/>
      <w:sz w:val="20"/>
      <w:szCs w:val="24"/>
      <w:lang w:eastAsia="en-GB"/>
    </w:rPr>
  </w:style>
  <w:style w:type="character" w:customStyle="1" w:styleId="BaseChar">
    <w:name w:val="Base Char"/>
    <w:basedOn w:val="DefaultParagraphFont"/>
    <w:link w:val="Base"/>
    <w:rsid w:val="00E46791"/>
    <w:rPr>
      <w:rFonts w:eastAsia="Times New Roman" w:cs="Times New Roman"/>
      <w:sz w:val="20"/>
      <w:szCs w:val="24"/>
      <w:lang w:eastAsia="en-GB"/>
    </w:rPr>
  </w:style>
  <w:style w:type="paragraph" w:customStyle="1" w:styleId="AfterTable">
    <w:name w:val="After Table"/>
    <w:basedOn w:val="BodyText"/>
    <w:next w:val="BodyText"/>
    <w:qFormat/>
    <w:rsid w:val="004F640D"/>
    <w:pPr>
      <w:spacing w:before="360"/>
    </w:pPr>
  </w:style>
  <w:style w:type="paragraph" w:styleId="BodyText">
    <w:name w:val="Body Text"/>
    <w:basedOn w:val="Base"/>
    <w:link w:val="BodyTextChar"/>
    <w:qFormat/>
    <w:rsid w:val="00B930D1"/>
    <w:pPr>
      <w:spacing w:before="260" w:after="260"/>
    </w:pPr>
  </w:style>
  <w:style w:type="character" w:customStyle="1" w:styleId="BodyTextChar">
    <w:name w:val="Body Text Char"/>
    <w:basedOn w:val="BaseChar"/>
    <w:link w:val="BodyText"/>
    <w:rsid w:val="00B930D1"/>
    <w:rPr>
      <w:rFonts w:eastAsia="Times New Roman" w:cs="Times New Roman"/>
      <w:sz w:val="20"/>
      <w:szCs w:val="24"/>
      <w:lang w:eastAsia="en-GB"/>
    </w:rPr>
  </w:style>
  <w:style w:type="numbering" w:customStyle="1" w:styleId="BulletList">
    <w:name w:val="Bullet List"/>
    <w:basedOn w:val="NoList"/>
    <w:uiPriority w:val="99"/>
    <w:rsid w:val="005135D5"/>
    <w:pPr>
      <w:numPr>
        <w:numId w:val="1"/>
      </w:numPr>
    </w:pPr>
  </w:style>
  <w:style w:type="paragraph" w:customStyle="1" w:styleId="BulletList1">
    <w:name w:val="Bullet List 1"/>
    <w:basedOn w:val="Base"/>
    <w:link w:val="BulletList1Char"/>
    <w:qFormat/>
    <w:rsid w:val="00E46791"/>
    <w:pPr>
      <w:numPr>
        <w:numId w:val="1"/>
      </w:numPr>
      <w:spacing w:before="260" w:after="260"/>
    </w:pPr>
  </w:style>
  <w:style w:type="character" w:customStyle="1" w:styleId="BulletList1Char">
    <w:name w:val="Bullet List 1 Char"/>
    <w:basedOn w:val="BaseChar"/>
    <w:link w:val="BulletList1"/>
    <w:rsid w:val="00E46791"/>
    <w:rPr>
      <w:rFonts w:eastAsia="Times New Roman" w:cs="Times New Roman"/>
      <w:sz w:val="20"/>
      <w:szCs w:val="24"/>
      <w:lang w:eastAsia="en-GB"/>
    </w:rPr>
  </w:style>
  <w:style w:type="paragraph" w:customStyle="1" w:styleId="BulletList2">
    <w:name w:val="Bullet List 2"/>
    <w:basedOn w:val="BulletList1"/>
    <w:link w:val="BulletList2Char"/>
    <w:qFormat/>
    <w:rsid w:val="004F640D"/>
    <w:pPr>
      <w:numPr>
        <w:ilvl w:val="1"/>
      </w:numPr>
    </w:pPr>
  </w:style>
  <w:style w:type="character" w:customStyle="1" w:styleId="BulletList2Char">
    <w:name w:val="Bullet List 2 Char"/>
    <w:basedOn w:val="BulletList1Char"/>
    <w:link w:val="BulletList2"/>
    <w:rsid w:val="004F640D"/>
    <w:rPr>
      <w:rFonts w:eastAsia="Times New Roman" w:cs="Times New Roman"/>
      <w:color w:val="414042" w:themeColor="text1"/>
      <w:sz w:val="21"/>
      <w:szCs w:val="24"/>
      <w:lang w:eastAsia="en-GB"/>
    </w:rPr>
  </w:style>
  <w:style w:type="paragraph" w:customStyle="1" w:styleId="BulletList3">
    <w:name w:val="Bullet List 3"/>
    <w:basedOn w:val="BulletList2"/>
    <w:link w:val="BulletList3Char"/>
    <w:qFormat/>
    <w:rsid w:val="004F640D"/>
    <w:pPr>
      <w:numPr>
        <w:ilvl w:val="2"/>
      </w:numPr>
    </w:pPr>
  </w:style>
  <w:style w:type="character" w:customStyle="1" w:styleId="BulletList3Char">
    <w:name w:val="Bullet List 3 Char"/>
    <w:basedOn w:val="BulletList2Char"/>
    <w:link w:val="BulletList3"/>
    <w:rsid w:val="004F640D"/>
    <w:rPr>
      <w:rFonts w:eastAsia="Times New Roman" w:cs="Times New Roman"/>
      <w:color w:val="414042" w:themeColor="text1"/>
      <w:sz w:val="21"/>
      <w:szCs w:val="24"/>
      <w:lang w:eastAsia="en-GB"/>
    </w:rPr>
  </w:style>
  <w:style w:type="paragraph" w:customStyle="1" w:styleId="BulletList4">
    <w:name w:val="Bullet List 4"/>
    <w:basedOn w:val="BulletList3"/>
    <w:link w:val="BulletList4Char"/>
    <w:rsid w:val="004F640D"/>
    <w:pPr>
      <w:numPr>
        <w:ilvl w:val="3"/>
      </w:numPr>
    </w:pPr>
  </w:style>
  <w:style w:type="character" w:customStyle="1" w:styleId="BulletList4Char">
    <w:name w:val="Bullet List 4 Char"/>
    <w:basedOn w:val="BulletList3Char"/>
    <w:link w:val="BulletList4"/>
    <w:rsid w:val="004F640D"/>
    <w:rPr>
      <w:rFonts w:eastAsia="Times New Roman" w:cs="Times New Roman"/>
      <w:color w:val="414042" w:themeColor="text1"/>
      <w:sz w:val="21"/>
      <w:szCs w:val="24"/>
      <w:lang w:eastAsia="en-GB"/>
    </w:rPr>
  </w:style>
  <w:style w:type="paragraph" w:customStyle="1" w:styleId="BulletList5">
    <w:name w:val="Bullet List 5"/>
    <w:basedOn w:val="BulletList4"/>
    <w:link w:val="BulletList5Char"/>
    <w:rsid w:val="004F640D"/>
    <w:pPr>
      <w:numPr>
        <w:ilvl w:val="4"/>
      </w:numPr>
    </w:pPr>
  </w:style>
  <w:style w:type="character" w:customStyle="1" w:styleId="BulletList5Char">
    <w:name w:val="Bullet List 5 Char"/>
    <w:basedOn w:val="BulletList4Char"/>
    <w:link w:val="BulletList5"/>
    <w:rsid w:val="004F640D"/>
    <w:rPr>
      <w:rFonts w:eastAsia="Times New Roman" w:cs="Times New Roman"/>
      <w:color w:val="414042" w:themeColor="text1"/>
      <w:sz w:val="21"/>
      <w:szCs w:val="24"/>
      <w:lang w:eastAsia="en-GB"/>
    </w:rPr>
  </w:style>
  <w:style w:type="paragraph" w:customStyle="1" w:styleId="BulletList6">
    <w:name w:val="Bullet List 6"/>
    <w:basedOn w:val="BulletList5"/>
    <w:link w:val="BulletList6Char"/>
    <w:rsid w:val="004F640D"/>
    <w:pPr>
      <w:numPr>
        <w:ilvl w:val="5"/>
      </w:numPr>
    </w:pPr>
  </w:style>
  <w:style w:type="character" w:customStyle="1" w:styleId="BulletList6Char">
    <w:name w:val="Bullet List 6 Char"/>
    <w:basedOn w:val="BulletList5Char"/>
    <w:link w:val="BulletList6"/>
    <w:rsid w:val="004F640D"/>
    <w:rPr>
      <w:rFonts w:eastAsia="Times New Roman" w:cs="Times New Roman"/>
      <w:color w:val="414042" w:themeColor="text1"/>
      <w:sz w:val="21"/>
      <w:szCs w:val="24"/>
      <w:lang w:eastAsia="en-GB"/>
    </w:rPr>
  </w:style>
  <w:style w:type="paragraph" w:customStyle="1" w:styleId="BulletList7">
    <w:name w:val="Bullet List 7"/>
    <w:basedOn w:val="BulletList6"/>
    <w:link w:val="BulletList7Char"/>
    <w:rsid w:val="004F640D"/>
    <w:pPr>
      <w:numPr>
        <w:ilvl w:val="6"/>
      </w:numPr>
    </w:pPr>
  </w:style>
  <w:style w:type="character" w:customStyle="1" w:styleId="BulletList7Char">
    <w:name w:val="Bullet List 7 Char"/>
    <w:basedOn w:val="BulletList6Char"/>
    <w:link w:val="BulletList7"/>
    <w:rsid w:val="004F640D"/>
    <w:rPr>
      <w:rFonts w:eastAsia="Times New Roman" w:cs="Times New Roman"/>
      <w:color w:val="414042" w:themeColor="text1"/>
      <w:sz w:val="21"/>
      <w:szCs w:val="24"/>
      <w:lang w:eastAsia="en-GB"/>
    </w:rPr>
  </w:style>
  <w:style w:type="paragraph" w:customStyle="1" w:styleId="BulletList8">
    <w:name w:val="Bullet List 8"/>
    <w:basedOn w:val="BulletList7"/>
    <w:link w:val="BulletList8Char"/>
    <w:rsid w:val="004F640D"/>
    <w:pPr>
      <w:numPr>
        <w:ilvl w:val="7"/>
      </w:numPr>
    </w:pPr>
  </w:style>
  <w:style w:type="character" w:customStyle="1" w:styleId="BulletList8Char">
    <w:name w:val="Bullet List 8 Char"/>
    <w:basedOn w:val="BulletList7Char"/>
    <w:link w:val="BulletList8"/>
    <w:rsid w:val="004F640D"/>
    <w:rPr>
      <w:rFonts w:eastAsia="Times New Roman" w:cs="Times New Roman"/>
      <w:color w:val="414042" w:themeColor="text1"/>
      <w:sz w:val="21"/>
      <w:szCs w:val="24"/>
      <w:lang w:eastAsia="en-GB"/>
    </w:rPr>
  </w:style>
  <w:style w:type="paragraph" w:customStyle="1" w:styleId="BulletList9">
    <w:name w:val="Bullet List 9"/>
    <w:basedOn w:val="BulletList8"/>
    <w:link w:val="BulletList9Char"/>
    <w:rsid w:val="004F640D"/>
    <w:pPr>
      <w:numPr>
        <w:ilvl w:val="8"/>
      </w:numPr>
    </w:pPr>
  </w:style>
  <w:style w:type="character" w:customStyle="1" w:styleId="BulletList9Char">
    <w:name w:val="Bullet List 9 Char"/>
    <w:basedOn w:val="BulletList8Char"/>
    <w:link w:val="BulletList9"/>
    <w:rsid w:val="004F640D"/>
    <w:rPr>
      <w:rFonts w:eastAsia="Times New Roman" w:cs="Times New Roman"/>
      <w:color w:val="414042" w:themeColor="text1"/>
      <w:sz w:val="21"/>
      <w:szCs w:val="24"/>
      <w:lang w:eastAsia="en-GB"/>
    </w:rPr>
  </w:style>
  <w:style w:type="paragraph" w:styleId="Date">
    <w:name w:val="Date"/>
    <w:basedOn w:val="Normal"/>
    <w:next w:val="Normal"/>
    <w:link w:val="DateChar"/>
    <w:rsid w:val="004F640D"/>
    <w:pPr>
      <w:spacing w:after="0" w:line="240" w:lineRule="auto"/>
      <w:ind w:right="2268"/>
    </w:pPr>
    <w:rPr>
      <w:rFonts w:ascii="Times New Roman" w:eastAsia="Times New Roman" w:hAnsi="Times New Roman" w:cs="Times New Roman"/>
      <w:sz w:val="20"/>
      <w:szCs w:val="24"/>
      <w:lang w:eastAsia="en-GB"/>
    </w:rPr>
  </w:style>
  <w:style w:type="character" w:customStyle="1" w:styleId="DateChar">
    <w:name w:val="Date Char"/>
    <w:basedOn w:val="DefaultParagraphFont"/>
    <w:link w:val="Date"/>
    <w:rsid w:val="004F640D"/>
    <w:rPr>
      <w:rFonts w:ascii="Times New Roman" w:eastAsia="Times New Roman" w:hAnsi="Times New Roman" w:cs="Times New Roman"/>
      <w:sz w:val="20"/>
      <w:szCs w:val="24"/>
      <w:lang w:eastAsia="en-GB"/>
    </w:rPr>
  </w:style>
  <w:style w:type="paragraph" w:styleId="EndnoteText">
    <w:name w:val="endnote text"/>
    <w:basedOn w:val="Normal"/>
    <w:link w:val="EndnoteTextChar"/>
    <w:rsid w:val="004F640D"/>
    <w:pPr>
      <w:spacing w:after="0" w:line="240" w:lineRule="auto"/>
      <w:ind w:right="2268"/>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4F640D"/>
    <w:rPr>
      <w:rFonts w:ascii="Times New Roman" w:eastAsia="Times New Roman" w:hAnsi="Times New Roman" w:cs="Times New Roman"/>
      <w:sz w:val="20"/>
      <w:szCs w:val="20"/>
      <w:lang w:eastAsia="en-GB"/>
    </w:rPr>
  </w:style>
  <w:style w:type="paragraph" w:customStyle="1" w:styleId="FigureCaption">
    <w:name w:val="Figure Caption"/>
    <w:basedOn w:val="Normal"/>
    <w:next w:val="BodyText"/>
    <w:rsid w:val="00BB4273"/>
    <w:pPr>
      <w:keepNext/>
      <w:keepLines/>
      <w:spacing w:before="360" w:after="260" w:line="240" w:lineRule="auto"/>
    </w:pPr>
    <w:rPr>
      <w:rFonts w:asciiTheme="majorHAnsi" w:eastAsia="Times New Roman" w:hAnsiTheme="majorHAnsi" w:cs="Times New Roman"/>
      <w:color w:val="414042" w:themeColor="text1"/>
      <w:sz w:val="20"/>
      <w:szCs w:val="24"/>
      <w:lang w:eastAsia="en-GB"/>
    </w:rPr>
  </w:style>
  <w:style w:type="paragraph" w:styleId="Footer">
    <w:name w:val="footer"/>
    <w:basedOn w:val="Base"/>
    <w:link w:val="FooterChar"/>
    <w:rsid w:val="00BA1AD8"/>
    <w:pPr>
      <w:pBdr>
        <w:top w:val="single" w:sz="2" w:space="6" w:color="414042" w:themeColor="text1"/>
      </w:pBdr>
      <w:tabs>
        <w:tab w:val="center" w:pos="4536"/>
        <w:tab w:val="right" w:pos="9072"/>
      </w:tabs>
    </w:pPr>
    <w:rPr>
      <w:color w:val="414042" w:themeColor="text1"/>
      <w:sz w:val="14"/>
    </w:rPr>
  </w:style>
  <w:style w:type="character" w:customStyle="1" w:styleId="FooterChar">
    <w:name w:val="Footer Char"/>
    <w:basedOn w:val="DefaultParagraphFont"/>
    <w:link w:val="Footer"/>
    <w:rsid w:val="00BA1AD8"/>
    <w:rPr>
      <w:rFonts w:eastAsia="Times New Roman" w:cs="Times New Roman"/>
      <w:color w:val="414042" w:themeColor="text1"/>
      <w:sz w:val="14"/>
      <w:szCs w:val="24"/>
      <w:lang w:eastAsia="en-GB"/>
    </w:rPr>
  </w:style>
  <w:style w:type="paragraph" w:customStyle="1" w:styleId="FooterA4Portrait">
    <w:name w:val="Footer A4 Portrait"/>
    <w:basedOn w:val="Footer"/>
    <w:rsid w:val="00BA1AD8"/>
    <w:pPr>
      <w:tabs>
        <w:tab w:val="clear" w:pos="4536"/>
        <w:tab w:val="clear" w:pos="9072"/>
        <w:tab w:val="right" w:pos="9639"/>
      </w:tabs>
    </w:pPr>
    <w:rPr>
      <w:rFonts w:ascii="Segoe UI" w:hAnsi="Segoe UI"/>
    </w:rPr>
  </w:style>
  <w:style w:type="paragraph" w:customStyle="1" w:styleId="FooterA4Landscape">
    <w:name w:val="Footer A4 Landscape"/>
    <w:basedOn w:val="FooterA4Portrait"/>
    <w:rsid w:val="004F640D"/>
    <w:pPr>
      <w:tabs>
        <w:tab w:val="clear" w:pos="9639"/>
        <w:tab w:val="right" w:pos="14572"/>
      </w:tabs>
    </w:pPr>
  </w:style>
  <w:style w:type="character" w:styleId="FootnoteReference">
    <w:name w:val="footnote reference"/>
    <w:aliases w:val="de nota al pie,Ref,Appel note de bas de p,Footnote symbol,Footnote,fr,Style 6,Style 20,Style 12,(NECG) Footnote Reference,Style 13,Style 124,Style 3,FR,Footnote Reference/,Style 17,Appel note de bas de p + 11 pt,Italic,Nota,o,Char1"/>
    <w:basedOn w:val="DefaultParagraphFont"/>
    <w:rsid w:val="00393270"/>
    <w:rPr>
      <w:color w:val="414042" w:themeColor="text1"/>
      <w:vertAlign w:val="superscript"/>
    </w:rPr>
  </w:style>
  <w:style w:type="paragraph" w:styleId="FootnoteText">
    <w:name w:val="footnote text"/>
    <w:aliases w:val="fn,Footnote Text Char1 Char,Footnote Text Char Char1 Char,footnote text,ft,Footnotes,Footnote ak,fn cafc,footnote text Char,Footnotes Char,Footnote ak Char,Footnotes Char Char,Footnote Text Char Char,fn Char Char,ALTS FOOTNOTE,f"/>
    <w:basedOn w:val="Base"/>
    <w:link w:val="FootnoteTextChar"/>
    <w:rsid w:val="00393270"/>
    <w:pPr>
      <w:ind w:left="85" w:hanging="85"/>
    </w:pPr>
    <w:rPr>
      <w:sz w:val="15"/>
      <w:szCs w:val="20"/>
    </w:rPr>
  </w:style>
  <w:style w:type="character" w:customStyle="1" w:styleId="FootnoteTextChar">
    <w:name w:val="Footnote Text Char"/>
    <w:aliases w:val="fn Char,Footnote Text Char1 Char Char,Footnote Text Char Char1 Char Char,footnote text Char1,ft Char,Footnotes Char1,Footnote ak Char1,fn cafc Char,footnote text Char Char,Footnotes Char Char1,Footnote ak Char Char,fn Char Char Char"/>
    <w:basedOn w:val="DefaultParagraphFont"/>
    <w:link w:val="FootnoteText"/>
    <w:uiPriority w:val="99"/>
    <w:rsid w:val="00393270"/>
    <w:rPr>
      <w:rFonts w:eastAsia="Times New Roman" w:cs="Times New Roman"/>
      <w:sz w:val="15"/>
      <w:szCs w:val="20"/>
      <w:lang w:eastAsia="en-GB"/>
    </w:rPr>
  </w:style>
  <w:style w:type="paragraph" w:styleId="Header">
    <w:name w:val="header"/>
    <w:basedOn w:val="Normal"/>
    <w:link w:val="HeaderChar"/>
    <w:rsid w:val="000B341E"/>
    <w:pPr>
      <w:pBdr>
        <w:bottom w:val="single" w:sz="2" w:space="5" w:color="414042" w:themeColor="text1"/>
      </w:pBdr>
      <w:tabs>
        <w:tab w:val="center" w:pos="4153"/>
        <w:tab w:val="right" w:pos="8306"/>
      </w:tabs>
      <w:spacing w:after="0" w:line="185" w:lineRule="auto"/>
    </w:pPr>
    <w:rPr>
      <w:rFonts w:eastAsia="Times New Roman" w:cs="Times New Roman"/>
      <w:color w:val="414042" w:themeColor="text1"/>
      <w:sz w:val="15"/>
      <w:szCs w:val="24"/>
      <w:lang w:eastAsia="en-GB"/>
    </w:rPr>
  </w:style>
  <w:style w:type="character" w:customStyle="1" w:styleId="HeaderChar">
    <w:name w:val="Header Char"/>
    <w:basedOn w:val="DefaultParagraphFont"/>
    <w:link w:val="Header"/>
    <w:rsid w:val="000B341E"/>
    <w:rPr>
      <w:rFonts w:eastAsia="Times New Roman" w:cs="Times New Roman"/>
      <w:color w:val="414042" w:themeColor="text1"/>
      <w:sz w:val="15"/>
      <w:szCs w:val="24"/>
      <w:lang w:eastAsia="en-GB"/>
    </w:rPr>
  </w:style>
  <w:style w:type="paragraph" w:customStyle="1" w:styleId="HeaderA4Portrait">
    <w:name w:val="Header A4 Portrait"/>
    <w:basedOn w:val="Header"/>
    <w:rsid w:val="004F640D"/>
    <w:pPr>
      <w:tabs>
        <w:tab w:val="clear" w:pos="4153"/>
        <w:tab w:val="clear" w:pos="8306"/>
        <w:tab w:val="right" w:pos="9639"/>
      </w:tabs>
    </w:pPr>
  </w:style>
  <w:style w:type="paragraph" w:customStyle="1" w:styleId="HeaderA4Landscape">
    <w:name w:val="Header A4 Landscape"/>
    <w:basedOn w:val="HeaderA4Portrait"/>
    <w:rsid w:val="004F640D"/>
    <w:pPr>
      <w:tabs>
        <w:tab w:val="clear" w:pos="9639"/>
        <w:tab w:val="right" w:pos="14572"/>
      </w:tabs>
    </w:pPr>
  </w:style>
  <w:style w:type="numbering" w:customStyle="1" w:styleId="Heading">
    <w:name w:val="Heading"/>
    <w:basedOn w:val="NoList"/>
    <w:uiPriority w:val="99"/>
    <w:rsid w:val="00B930D1"/>
    <w:pPr>
      <w:numPr>
        <w:numId w:val="11"/>
      </w:numPr>
    </w:pPr>
  </w:style>
  <w:style w:type="character" w:customStyle="1" w:styleId="Heading1Char">
    <w:name w:val="Heading 1 Char"/>
    <w:basedOn w:val="DefaultParagraphFont"/>
    <w:link w:val="Heading1"/>
    <w:uiPriority w:val="1"/>
    <w:rsid w:val="00932BC6"/>
    <w:rPr>
      <w:rFonts w:ascii="Segoe UI" w:eastAsia="Times New Roman" w:hAnsi="Segoe UI" w:cs="Arial"/>
      <w:b/>
      <w:bCs/>
      <w:color w:val="58595B"/>
      <w:kern w:val="32"/>
      <w:sz w:val="40"/>
      <w:szCs w:val="32"/>
    </w:rPr>
  </w:style>
  <w:style w:type="paragraph" w:customStyle="1" w:styleId="Heading1unnumbered">
    <w:name w:val="Heading 1 unnumbered"/>
    <w:basedOn w:val="Heading1"/>
    <w:next w:val="BodyText"/>
    <w:qFormat/>
    <w:rsid w:val="00932BC6"/>
    <w:pPr>
      <w:numPr>
        <w:numId w:val="0"/>
      </w:numPr>
    </w:pPr>
  </w:style>
  <w:style w:type="character" w:customStyle="1" w:styleId="Heading2Char">
    <w:name w:val="Heading 2 Char"/>
    <w:basedOn w:val="DefaultParagraphFont"/>
    <w:link w:val="Heading2"/>
    <w:uiPriority w:val="2"/>
    <w:rsid w:val="00B930D1"/>
    <w:rPr>
      <w:rFonts w:ascii="Segoe UI" w:eastAsia="Times New Roman" w:hAnsi="Segoe UI" w:cs="Arial"/>
      <w:b/>
      <w:iCs/>
      <w:color w:val="EC008C" w:themeColor="accent3"/>
      <w:kern w:val="32"/>
      <w:sz w:val="24"/>
      <w:szCs w:val="28"/>
    </w:rPr>
  </w:style>
  <w:style w:type="paragraph" w:customStyle="1" w:styleId="Heading2unnumbered">
    <w:name w:val="Heading 2 unnumbered"/>
    <w:basedOn w:val="Heading2"/>
    <w:next w:val="BodyText"/>
    <w:qFormat/>
    <w:rsid w:val="004F640D"/>
    <w:pPr>
      <w:numPr>
        <w:ilvl w:val="0"/>
        <w:numId w:val="0"/>
      </w:numPr>
    </w:pPr>
  </w:style>
  <w:style w:type="character" w:customStyle="1" w:styleId="Heading3Char">
    <w:name w:val="Heading 3 Char"/>
    <w:basedOn w:val="DefaultParagraphFont"/>
    <w:link w:val="Heading3"/>
    <w:uiPriority w:val="3"/>
    <w:rsid w:val="00BB4273"/>
    <w:rPr>
      <w:rFonts w:asciiTheme="majorHAnsi" w:eastAsia="Times New Roman" w:hAnsiTheme="majorHAnsi" w:cs="Arial"/>
      <w:bCs/>
      <w:iCs/>
      <w:color w:val="EC008C" w:themeColor="accent3"/>
      <w:kern w:val="32"/>
      <w:szCs w:val="26"/>
    </w:rPr>
  </w:style>
  <w:style w:type="paragraph" w:customStyle="1" w:styleId="Heading3unnumbered">
    <w:name w:val="Heading 3 unnumbered"/>
    <w:basedOn w:val="Heading3"/>
    <w:next w:val="BodyText"/>
    <w:qFormat/>
    <w:rsid w:val="004F640D"/>
    <w:pPr>
      <w:numPr>
        <w:ilvl w:val="0"/>
        <w:numId w:val="0"/>
      </w:numPr>
    </w:pPr>
  </w:style>
  <w:style w:type="character" w:customStyle="1" w:styleId="Heading4Char">
    <w:name w:val="Heading 4 Char"/>
    <w:basedOn w:val="DefaultParagraphFont"/>
    <w:link w:val="Heading4"/>
    <w:uiPriority w:val="6"/>
    <w:rsid w:val="00B930D1"/>
    <w:rPr>
      <w:rFonts w:asciiTheme="majorHAnsi" w:eastAsia="Times New Roman" w:hAnsiTheme="majorHAnsi" w:cs="Times New Roman"/>
      <w:bCs/>
      <w:color w:val="EC008C" w:themeColor="accent3"/>
      <w:sz w:val="20"/>
      <w:szCs w:val="28"/>
    </w:rPr>
  </w:style>
  <w:style w:type="character" w:customStyle="1" w:styleId="Heading5Char">
    <w:name w:val="Heading 5 Char"/>
    <w:basedOn w:val="DefaultParagraphFont"/>
    <w:link w:val="Heading5"/>
    <w:rsid w:val="004F640D"/>
    <w:rPr>
      <w:rFonts w:ascii="Segoe UI Semibold" w:eastAsia="Times New Roman" w:hAnsi="Segoe UI Semibold" w:cs="Times New Roman"/>
      <w:iCs/>
      <w:color w:val="EC008C" w:themeColor="accent3"/>
      <w:sz w:val="21"/>
      <w:szCs w:val="26"/>
    </w:rPr>
  </w:style>
  <w:style w:type="character" w:customStyle="1" w:styleId="Heading6Char">
    <w:name w:val="Heading 6 Char"/>
    <w:basedOn w:val="DefaultParagraphFont"/>
    <w:link w:val="Heading6"/>
    <w:rsid w:val="00932BC6"/>
    <w:rPr>
      <w:rFonts w:ascii="Segoe UI" w:eastAsia="Times New Roman" w:hAnsi="Segoe UI" w:cs="Arial"/>
      <w:b/>
      <w:color w:val="58595B"/>
      <w:kern w:val="32"/>
      <w:sz w:val="40"/>
    </w:rPr>
  </w:style>
  <w:style w:type="character" w:customStyle="1" w:styleId="Heading7Char">
    <w:name w:val="Heading 7 Char"/>
    <w:basedOn w:val="DefaultParagraphFont"/>
    <w:link w:val="Heading7"/>
    <w:uiPriority w:val="9"/>
    <w:rsid w:val="00932BC6"/>
    <w:rPr>
      <w:rFonts w:ascii="Segoe UI" w:eastAsia="Times New Roman" w:hAnsi="Segoe UI" w:cs="Arial"/>
      <w:b/>
      <w:iCs/>
      <w:color w:val="EC008C" w:themeColor="accent3"/>
      <w:kern w:val="32"/>
      <w:sz w:val="24"/>
      <w:szCs w:val="28"/>
    </w:rPr>
  </w:style>
  <w:style w:type="character" w:customStyle="1" w:styleId="Heading8Char">
    <w:name w:val="Heading 8 Char"/>
    <w:basedOn w:val="DefaultParagraphFont"/>
    <w:link w:val="Heading8"/>
    <w:rsid w:val="004F640D"/>
    <w:rPr>
      <w:rFonts w:ascii="Segoe UI" w:eastAsia="Times New Roman" w:hAnsi="Segoe UI" w:cs="Arial"/>
      <w:bCs/>
      <w:color w:val="EC008C" w:themeColor="accent3"/>
      <w:kern w:val="32"/>
      <w:sz w:val="23"/>
      <w:szCs w:val="26"/>
    </w:rPr>
  </w:style>
  <w:style w:type="character" w:customStyle="1" w:styleId="Heading9Char">
    <w:name w:val="Heading 9 Char"/>
    <w:basedOn w:val="DefaultParagraphFont"/>
    <w:link w:val="Heading9"/>
    <w:rsid w:val="004F640D"/>
    <w:rPr>
      <w:rFonts w:ascii="Segoe UI Semibold" w:eastAsia="Times New Roman" w:hAnsi="Segoe UI Semibold" w:cs="Times New Roman"/>
      <w:bCs/>
      <w:color w:val="EC008C" w:themeColor="accent3"/>
      <w:sz w:val="21"/>
    </w:rPr>
  </w:style>
  <w:style w:type="character" w:styleId="Hyperlink">
    <w:name w:val="Hyperlink"/>
    <w:basedOn w:val="DefaultParagraphFont"/>
    <w:uiPriority w:val="99"/>
    <w:rsid w:val="00816161"/>
    <w:rPr>
      <w:color w:val="414042" w:themeColor="text1"/>
      <w:u w:val="none"/>
    </w:rPr>
  </w:style>
  <w:style w:type="paragraph" w:customStyle="1" w:styleId="IntroText">
    <w:name w:val="Intro Text"/>
    <w:basedOn w:val="IntroTitle"/>
    <w:link w:val="IntroTextChar"/>
    <w:rsid w:val="00453EEE"/>
    <w:pPr>
      <w:spacing w:before="0" w:line="228" w:lineRule="auto"/>
    </w:pPr>
    <w:rPr>
      <w:color w:val="auto"/>
    </w:rPr>
  </w:style>
  <w:style w:type="character" w:customStyle="1" w:styleId="IntroTextChar">
    <w:name w:val="Intro Text Char"/>
    <w:basedOn w:val="IntroTitleChar"/>
    <w:link w:val="IntroText"/>
    <w:rsid w:val="00453EEE"/>
    <w:rPr>
      <w:rFonts w:ascii="Times New Roman" w:eastAsia="Times New Roman" w:hAnsi="Times New Roman" w:cs="Times New Roman"/>
      <w:color w:val="EC008C" w:themeColor="accent3"/>
      <w:sz w:val="28"/>
      <w:szCs w:val="29"/>
      <w:lang w:eastAsia="en-GB"/>
    </w:rPr>
  </w:style>
  <w:style w:type="paragraph" w:customStyle="1" w:styleId="IntroTitle">
    <w:name w:val="Intro Title"/>
    <w:basedOn w:val="Base"/>
    <w:link w:val="IntroTitleChar"/>
    <w:rsid w:val="00F22976"/>
    <w:pPr>
      <w:spacing w:before="240" w:after="200"/>
      <w:ind w:right="2268"/>
    </w:pPr>
    <w:rPr>
      <w:rFonts w:asciiTheme="majorHAnsi" w:hAnsiTheme="majorHAnsi"/>
      <w:color w:val="EC008C" w:themeColor="accent3"/>
      <w:sz w:val="28"/>
      <w:szCs w:val="29"/>
    </w:rPr>
  </w:style>
  <w:style w:type="character" w:customStyle="1" w:styleId="IntroTitleChar">
    <w:name w:val="Intro Title Char"/>
    <w:basedOn w:val="BaseChar"/>
    <w:link w:val="IntroTitle"/>
    <w:rsid w:val="00F22976"/>
    <w:rPr>
      <w:rFonts w:asciiTheme="majorHAnsi" w:eastAsia="Times New Roman" w:hAnsiTheme="majorHAnsi" w:cs="Times New Roman"/>
      <w:color w:val="EC008C" w:themeColor="accent3"/>
      <w:sz w:val="28"/>
      <w:szCs w:val="29"/>
      <w:lang w:eastAsia="en-GB"/>
    </w:rPr>
  </w:style>
  <w:style w:type="numbering" w:customStyle="1" w:styleId="NumberedList">
    <w:name w:val="Numbered List"/>
    <w:basedOn w:val="NoList"/>
    <w:uiPriority w:val="99"/>
    <w:rsid w:val="005135D5"/>
    <w:pPr>
      <w:numPr>
        <w:numId w:val="21"/>
      </w:numPr>
    </w:pPr>
  </w:style>
  <w:style w:type="paragraph" w:customStyle="1" w:styleId="NumberedList1">
    <w:name w:val="Numbered List 1"/>
    <w:basedOn w:val="Base"/>
    <w:rsid w:val="00E46791"/>
    <w:pPr>
      <w:numPr>
        <w:numId w:val="21"/>
      </w:numPr>
      <w:spacing w:before="260" w:after="260"/>
    </w:pPr>
  </w:style>
  <w:style w:type="paragraph" w:customStyle="1" w:styleId="NumberedList2">
    <w:name w:val="Numbered List 2"/>
    <w:basedOn w:val="NumberedList1"/>
    <w:rsid w:val="004F640D"/>
    <w:pPr>
      <w:numPr>
        <w:ilvl w:val="1"/>
      </w:numPr>
    </w:pPr>
  </w:style>
  <w:style w:type="paragraph" w:customStyle="1" w:styleId="NumberedList3">
    <w:name w:val="Numbered List 3"/>
    <w:basedOn w:val="NumberedList2"/>
    <w:rsid w:val="004F640D"/>
    <w:pPr>
      <w:numPr>
        <w:ilvl w:val="2"/>
      </w:numPr>
    </w:pPr>
  </w:style>
  <w:style w:type="paragraph" w:customStyle="1" w:styleId="NumberedList4">
    <w:name w:val="Numbered List 4"/>
    <w:basedOn w:val="NumberedList3"/>
    <w:rsid w:val="004F640D"/>
    <w:pPr>
      <w:numPr>
        <w:ilvl w:val="3"/>
      </w:numPr>
    </w:pPr>
  </w:style>
  <w:style w:type="paragraph" w:customStyle="1" w:styleId="NumberedList5">
    <w:name w:val="Numbered List 5"/>
    <w:basedOn w:val="NumberedList4"/>
    <w:rsid w:val="004F640D"/>
    <w:pPr>
      <w:numPr>
        <w:ilvl w:val="4"/>
      </w:numPr>
    </w:pPr>
  </w:style>
  <w:style w:type="paragraph" w:customStyle="1" w:styleId="NumberedList6">
    <w:name w:val="Numbered List 6"/>
    <w:basedOn w:val="NumberedList5"/>
    <w:rsid w:val="004F640D"/>
    <w:pPr>
      <w:numPr>
        <w:ilvl w:val="5"/>
      </w:numPr>
    </w:pPr>
  </w:style>
  <w:style w:type="paragraph" w:customStyle="1" w:styleId="NumberedList7">
    <w:name w:val="Numbered List 7"/>
    <w:basedOn w:val="NumberedList6"/>
    <w:rsid w:val="004F640D"/>
    <w:pPr>
      <w:numPr>
        <w:ilvl w:val="6"/>
      </w:numPr>
    </w:pPr>
  </w:style>
  <w:style w:type="paragraph" w:customStyle="1" w:styleId="NumberedList8">
    <w:name w:val="Numbered List 8"/>
    <w:basedOn w:val="NumberedList7"/>
    <w:rsid w:val="004F640D"/>
    <w:pPr>
      <w:numPr>
        <w:ilvl w:val="7"/>
      </w:numPr>
    </w:pPr>
  </w:style>
  <w:style w:type="paragraph" w:customStyle="1" w:styleId="NumberedList9">
    <w:name w:val="Numbered List 9"/>
    <w:basedOn w:val="NumberedList8"/>
    <w:qFormat/>
    <w:rsid w:val="004F640D"/>
    <w:pPr>
      <w:numPr>
        <w:ilvl w:val="8"/>
      </w:numPr>
    </w:pPr>
  </w:style>
  <w:style w:type="paragraph" w:customStyle="1" w:styleId="PanelText">
    <w:name w:val="Panel Text"/>
    <w:basedOn w:val="Base"/>
    <w:rsid w:val="004F640D"/>
    <w:pPr>
      <w:spacing w:after="250"/>
    </w:pPr>
    <w:rPr>
      <w:sz w:val="19"/>
    </w:rPr>
  </w:style>
  <w:style w:type="character" w:styleId="PlaceholderText">
    <w:name w:val="Placeholder Text"/>
    <w:basedOn w:val="DefaultParagraphFont"/>
    <w:uiPriority w:val="99"/>
    <w:semiHidden/>
    <w:rsid w:val="004F640D"/>
    <w:rPr>
      <w:color w:val="808080"/>
    </w:rPr>
  </w:style>
  <w:style w:type="table" w:customStyle="1" w:styleId="PlumPanel">
    <w:name w:val="Plum Panel"/>
    <w:basedOn w:val="TableNormal"/>
    <w:rsid w:val="00393270"/>
    <w:pPr>
      <w:spacing w:after="260" w:line="240" w:lineRule="auto"/>
    </w:pPr>
    <w:rPr>
      <w:rFonts w:eastAsia="Times New Roman" w:cs="Times New Roman"/>
      <w:color w:val="414042" w:themeColor="text1"/>
      <w:sz w:val="18"/>
      <w:szCs w:val="20"/>
      <w:lang w:eastAsia="en-GB"/>
    </w:rPr>
    <w:tblPr>
      <w:tblStyleRowBandSize w:val="1"/>
      <w:tblBorders>
        <w:top w:val="single" w:sz="2" w:space="0" w:color="EC008C" w:themeColor="accent3"/>
      </w:tblBorders>
      <w:tblCellMar>
        <w:top w:w="170" w:type="dxa"/>
        <w:left w:w="170" w:type="dxa"/>
        <w:bottom w:w="340" w:type="dxa"/>
        <w:right w:w="170" w:type="dxa"/>
      </w:tblCellMar>
    </w:tblPr>
    <w:trPr>
      <w:cantSplit/>
    </w:trPr>
    <w:tcPr>
      <w:shd w:val="clear" w:color="auto" w:fill="E6E7E8"/>
    </w:tcPr>
    <w:tblStylePr w:type="firstRow">
      <w:rPr>
        <w:rFonts w:ascii="Ek Mukta SemiBold" w:hAnsi="Ek Mukta SemiBold"/>
        <w:color w:val="auto"/>
      </w:rPr>
      <w:tblPr/>
      <w:trPr>
        <w:cantSplit w:val="0"/>
        <w:tblHeader/>
      </w:trPr>
      <w:tcPr>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l2br w:val="nil"/>
          <w:tr2bl w:val="nil"/>
        </w:tcBorders>
        <w:shd w:val="clear" w:color="auto" w:fill="DCDDDE"/>
      </w:tcPr>
    </w:tblStylePr>
    <w:tblStylePr w:type="band2Horz">
      <w:tblPr/>
      <w:tcPr>
        <w:shd w:val="clear" w:color="auto" w:fill="E6E7E8"/>
      </w:tcPr>
    </w:tblStylePr>
  </w:style>
  <w:style w:type="table" w:customStyle="1" w:styleId="PlumTable">
    <w:name w:val="Plum Table"/>
    <w:basedOn w:val="TableNormal"/>
    <w:rsid w:val="00C72C9C"/>
    <w:pPr>
      <w:spacing w:after="0" w:line="240" w:lineRule="auto"/>
    </w:pPr>
    <w:rPr>
      <w:rFonts w:eastAsia="Times New Roman" w:cs="Times New Roman"/>
      <w:sz w:val="18"/>
      <w:szCs w:val="20"/>
      <w:lang w:eastAsia="en-GB"/>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57" w:type="dxa"/>
        <w:left w:w="57" w:type="dxa"/>
        <w:bottom w:w="57" w:type="dxa"/>
        <w:right w:w="57" w:type="dxa"/>
      </w:tblCellMar>
    </w:tblPr>
    <w:trPr>
      <w:cantSplit/>
    </w:trPr>
    <w:tcPr>
      <w:shd w:val="clear" w:color="auto" w:fill="F1F2F2"/>
    </w:tcPr>
    <w:tblStylePr w:type="firstRow">
      <w:rPr>
        <w:rFonts w:asciiTheme="majorHAnsi" w:hAnsiTheme="majorHAnsi"/>
        <w:color w:val="FFFFFF" w:themeColor="background1"/>
        <w:sz w:val="18"/>
      </w:rPr>
      <w:tblPr/>
      <w:tcPr>
        <w:shd w:val="clear" w:color="auto" w:fill="4F2683" w:themeFill="accent2"/>
      </w:tcPr>
    </w:tblStylePr>
    <w:tblStylePr w:type="band2Horz">
      <w:tblPr/>
      <w:tcPr>
        <w:shd w:val="clear" w:color="auto" w:fill="E6E7E8"/>
      </w:tcPr>
    </w:tblStylePr>
  </w:style>
  <w:style w:type="paragraph" w:styleId="Quote">
    <w:name w:val="Quote"/>
    <w:basedOn w:val="Base"/>
    <w:next w:val="BodyText"/>
    <w:link w:val="QuoteChar"/>
    <w:uiPriority w:val="29"/>
    <w:rsid w:val="00BB4273"/>
    <w:pPr>
      <w:spacing w:before="260" w:after="260"/>
      <w:ind w:left="680" w:hanging="170"/>
    </w:pPr>
    <w:rPr>
      <w:rFonts w:asciiTheme="majorHAnsi" w:hAnsiTheme="majorHAnsi"/>
      <w:iCs/>
      <w:color w:val="414042" w:themeColor="text1"/>
    </w:rPr>
  </w:style>
  <w:style w:type="character" w:customStyle="1" w:styleId="QuoteChar">
    <w:name w:val="Quote Char"/>
    <w:basedOn w:val="DefaultParagraphFont"/>
    <w:link w:val="Quote"/>
    <w:uiPriority w:val="29"/>
    <w:rsid w:val="00BB4273"/>
    <w:rPr>
      <w:rFonts w:asciiTheme="majorHAnsi" w:eastAsia="Times New Roman" w:hAnsiTheme="majorHAnsi" w:cs="Times New Roman"/>
      <w:iCs/>
      <w:color w:val="414042" w:themeColor="text1"/>
      <w:sz w:val="20"/>
      <w:szCs w:val="24"/>
      <w:lang w:eastAsia="en-GB"/>
    </w:rPr>
  </w:style>
  <w:style w:type="paragraph" w:styleId="Subtitle">
    <w:name w:val="Subtitle"/>
    <w:basedOn w:val="Title"/>
    <w:link w:val="SubtitleChar"/>
    <w:rsid w:val="005B0464"/>
    <w:pPr>
      <w:spacing w:before="360"/>
    </w:pPr>
    <w:rPr>
      <w:bCs w:val="0"/>
      <w:sz w:val="28"/>
    </w:rPr>
  </w:style>
  <w:style w:type="character" w:customStyle="1" w:styleId="SubtitleChar">
    <w:name w:val="Subtitle Char"/>
    <w:basedOn w:val="DefaultParagraphFont"/>
    <w:link w:val="Subtitle"/>
    <w:rsid w:val="005B0464"/>
    <w:rPr>
      <w:rFonts w:ascii="Times New Roman" w:eastAsia="Times New Roman" w:hAnsi="Times New Roman" w:cs="Arial"/>
      <w:color w:val="FFFFFF" w:themeColor="background1"/>
      <w:kern w:val="28"/>
      <w:sz w:val="28"/>
      <w:szCs w:val="32"/>
      <w:lang w:eastAsia="en-GB"/>
    </w:rPr>
  </w:style>
  <w:style w:type="paragraph" w:styleId="Title">
    <w:name w:val="Title"/>
    <w:basedOn w:val="Normal"/>
    <w:link w:val="TitleChar"/>
    <w:rsid w:val="005B0464"/>
    <w:pPr>
      <w:spacing w:before="640" w:after="360" w:line="240" w:lineRule="auto"/>
      <w:ind w:right="2268"/>
      <w:contextualSpacing/>
    </w:pPr>
    <w:rPr>
      <w:rFonts w:ascii="Times New Roman" w:eastAsia="Times New Roman" w:hAnsi="Times New Roman" w:cs="Arial"/>
      <w:bCs/>
      <w:color w:val="FFFFFF" w:themeColor="background1"/>
      <w:kern w:val="28"/>
      <w:sz w:val="52"/>
      <w:szCs w:val="32"/>
      <w:lang w:eastAsia="en-GB"/>
    </w:rPr>
  </w:style>
  <w:style w:type="character" w:customStyle="1" w:styleId="TitleChar">
    <w:name w:val="Title Char"/>
    <w:basedOn w:val="DefaultParagraphFont"/>
    <w:link w:val="Title"/>
    <w:rsid w:val="005B0464"/>
    <w:rPr>
      <w:rFonts w:ascii="Times New Roman" w:eastAsia="Times New Roman" w:hAnsi="Times New Roman" w:cs="Arial"/>
      <w:bCs/>
      <w:color w:val="FFFFFF" w:themeColor="background1"/>
      <w:kern w:val="28"/>
      <w:sz w:val="52"/>
      <w:szCs w:val="32"/>
      <w:lang w:eastAsia="en-GB"/>
    </w:rPr>
  </w:style>
  <w:style w:type="paragraph" w:customStyle="1" w:styleId="TableBullet">
    <w:name w:val="Table Bullet"/>
    <w:basedOn w:val="BulletList1"/>
    <w:qFormat/>
    <w:rsid w:val="008634FB"/>
    <w:pPr>
      <w:tabs>
        <w:tab w:val="left" w:pos="454"/>
      </w:tabs>
      <w:spacing w:before="0" w:after="0"/>
      <w:ind w:left="170" w:hanging="170"/>
    </w:pPr>
    <w:rPr>
      <w:sz w:val="18"/>
      <w:szCs w:val="22"/>
      <w:lang w:eastAsia="en-US"/>
    </w:rPr>
  </w:style>
  <w:style w:type="paragraph" w:customStyle="1" w:styleId="TableCaption">
    <w:name w:val="Table Caption"/>
    <w:basedOn w:val="BodyText"/>
    <w:next w:val="BodyText"/>
    <w:rsid w:val="00BB4273"/>
    <w:pPr>
      <w:keepNext/>
      <w:keepLines/>
      <w:spacing w:before="360"/>
    </w:pPr>
    <w:rPr>
      <w:rFonts w:asciiTheme="majorHAnsi" w:hAnsiTheme="majorHAnsi"/>
      <w:color w:val="414042" w:themeColor="text1"/>
    </w:rPr>
  </w:style>
  <w:style w:type="paragraph" w:customStyle="1" w:styleId="TableNote">
    <w:name w:val="Table Note"/>
    <w:basedOn w:val="BodyText"/>
    <w:next w:val="BodyText"/>
    <w:qFormat/>
    <w:rsid w:val="004F640D"/>
    <w:pPr>
      <w:spacing w:before="0"/>
    </w:pPr>
    <w:rPr>
      <w:sz w:val="18"/>
    </w:rPr>
  </w:style>
  <w:style w:type="paragraph" w:styleId="TOC1">
    <w:name w:val="toc 1"/>
    <w:basedOn w:val="Base"/>
    <w:next w:val="Normal"/>
    <w:uiPriority w:val="39"/>
    <w:rsid w:val="00CF3C81"/>
    <w:pPr>
      <w:tabs>
        <w:tab w:val="right" w:pos="9639"/>
      </w:tabs>
      <w:spacing w:before="400" w:after="260"/>
      <w:ind w:left="340" w:hanging="340"/>
    </w:pPr>
    <w:rPr>
      <w:rFonts w:asciiTheme="majorHAnsi" w:hAnsiTheme="majorHAnsi"/>
      <w:color w:val="EC008C" w:themeColor="accent3"/>
    </w:rPr>
  </w:style>
  <w:style w:type="paragraph" w:styleId="TOC2">
    <w:name w:val="toc 2"/>
    <w:basedOn w:val="TOC1"/>
    <w:next w:val="Normal"/>
    <w:uiPriority w:val="39"/>
    <w:rsid w:val="002C44A9"/>
    <w:pPr>
      <w:spacing w:before="0" w:after="0"/>
      <w:ind w:left="794" w:hanging="454"/>
    </w:pPr>
    <w:rPr>
      <w:rFonts w:asciiTheme="minorHAnsi" w:hAnsiTheme="minorHAnsi"/>
      <w:color w:val="auto"/>
    </w:rPr>
  </w:style>
  <w:style w:type="paragraph" w:styleId="TOC3">
    <w:name w:val="toc 3"/>
    <w:basedOn w:val="TOC1"/>
    <w:next w:val="Normal"/>
    <w:uiPriority w:val="39"/>
    <w:rsid w:val="00092C9A"/>
    <w:pPr>
      <w:ind w:left="0" w:firstLine="0"/>
    </w:pPr>
  </w:style>
  <w:style w:type="paragraph" w:styleId="TOC4">
    <w:name w:val="toc 4"/>
    <w:basedOn w:val="TOC2"/>
    <w:next w:val="Normal"/>
    <w:uiPriority w:val="39"/>
    <w:rsid w:val="00092C9A"/>
    <w:pPr>
      <w:ind w:left="340" w:firstLine="0"/>
    </w:pPr>
  </w:style>
  <w:style w:type="paragraph" w:styleId="TOC5">
    <w:name w:val="toc 5"/>
    <w:basedOn w:val="TOC4"/>
    <w:next w:val="Normal"/>
    <w:semiHidden/>
    <w:rsid w:val="004F640D"/>
    <w:pPr>
      <w:ind w:left="960"/>
    </w:pPr>
  </w:style>
  <w:style w:type="paragraph" w:styleId="TOC6">
    <w:name w:val="toc 6"/>
    <w:basedOn w:val="TOC1"/>
    <w:next w:val="Normal"/>
    <w:uiPriority w:val="39"/>
    <w:rsid w:val="00984614"/>
    <w:pPr>
      <w:ind w:left="1361" w:hanging="1361"/>
    </w:pPr>
  </w:style>
  <w:style w:type="paragraph" w:styleId="TOC7">
    <w:name w:val="toc 7"/>
    <w:basedOn w:val="TOC1"/>
    <w:next w:val="Normal"/>
    <w:semiHidden/>
    <w:rsid w:val="004F640D"/>
    <w:pPr>
      <w:ind w:left="1440"/>
    </w:pPr>
  </w:style>
  <w:style w:type="paragraph" w:styleId="TOC8">
    <w:name w:val="toc 8"/>
    <w:basedOn w:val="TOC2"/>
    <w:next w:val="Normal"/>
    <w:semiHidden/>
    <w:rsid w:val="004F640D"/>
    <w:pPr>
      <w:ind w:left="1680"/>
    </w:pPr>
  </w:style>
  <w:style w:type="paragraph" w:styleId="TOC9">
    <w:name w:val="toc 9"/>
    <w:basedOn w:val="TOC3"/>
    <w:next w:val="Normal"/>
    <w:semiHidden/>
    <w:rsid w:val="004F640D"/>
    <w:pPr>
      <w:ind w:left="1920"/>
    </w:pPr>
  </w:style>
  <w:style w:type="paragraph" w:styleId="TOCHeading">
    <w:name w:val="TOC Heading"/>
    <w:basedOn w:val="Heading1"/>
    <w:next w:val="Normal"/>
    <w:uiPriority w:val="39"/>
    <w:semiHidden/>
    <w:unhideWhenUsed/>
    <w:rsid w:val="004F640D"/>
    <w:pPr>
      <w:keepLines w:val="0"/>
      <w:pageBreakBefore w:val="0"/>
      <w:framePr w:wrap="around" w:hAnchor="text"/>
      <w:numPr>
        <w:numId w:val="0"/>
      </w:numPr>
      <w:spacing w:before="240" w:after="60"/>
      <w:outlineLvl w:val="9"/>
    </w:pPr>
    <w:rPr>
      <w:rFonts w:cs="Times New Roman"/>
      <w:color w:val="auto"/>
    </w:rPr>
  </w:style>
  <w:style w:type="paragraph" w:customStyle="1" w:styleId="TocTitle">
    <w:name w:val="Toc Title"/>
    <w:basedOn w:val="Heading1unnumbered"/>
    <w:rsid w:val="008D6285"/>
    <w:pPr>
      <w:outlineLvl w:val="9"/>
    </w:pPr>
    <w:rPr>
      <w:color w:val="414042" w:themeColor="text1"/>
    </w:rPr>
  </w:style>
  <w:style w:type="character" w:styleId="PageNumber">
    <w:name w:val="page number"/>
    <w:basedOn w:val="DefaultParagraphFont"/>
    <w:rsid w:val="00342918"/>
  </w:style>
  <w:style w:type="numbering" w:styleId="ArticleSection">
    <w:name w:val="Outline List 3"/>
    <w:basedOn w:val="NoList"/>
    <w:rsid w:val="00342918"/>
    <w:pPr>
      <w:numPr>
        <w:numId w:val="32"/>
      </w:numPr>
    </w:pPr>
  </w:style>
  <w:style w:type="paragraph" w:styleId="ListNumber5">
    <w:name w:val="List Number 5"/>
    <w:basedOn w:val="Normal"/>
    <w:rsid w:val="00342918"/>
    <w:pPr>
      <w:numPr>
        <w:numId w:val="33"/>
      </w:numPr>
      <w:spacing w:after="0" w:line="240" w:lineRule="auto"/>
      <w:ind w:right="2268"/>
      <w:contextualSpacing/>
    </w:pPr>
    <w:rPr>
      <w:rFonts w:ascii="Times New Roman" w:eastAsia="Times New Roman" w:hAnsi="Times New Roman" w:cs="Times New Roman"/>
      <w:sz w:val="20"/>
      <w:szCs w:val="24"/>
      <w:lang w:eastAsia="en-GB"/>
    </w:rPr>
  </w:style>
  <w:style w:type="paragraph" w:customStyle="1" w:styleId="Authors">
    <w:name w:val="Authors"/>
    <w:basedOn w:val="Subtitle"/>
    <w:rsid w:val="00342918"/>
    <w:pPr>
      <w:spacing w:before="0" w:after="0"/>
    </w:pPr>
    <w:rPr>
      <w:bCs/>
      <w:sz w:val="20"/>
    </w:rPr>
  </w:style>
  <w:style w:type="paragraph" w:customStyle="1" w:styleId="TableText">
    <w:name w:val="Table Text"/>
    <w:basedOn w:val="Base"/>
    <w:qFormat/>
    <w:rsid w:val="00BA4E8F"/>
    <w:rPr>
      <w:sz w:val="18"/>
      <w:szCs w:val="20"/>
    </w:rPr>
  </w:style>
  <w:style w:type="paragraph" w:customStyle="1" w:styleId="TableSource">
    <w:name w:val="Table Source"/>
    <w:basedOn w:val="TableNote"/>
    <w:qFormat/>
    <w:rsid w:val="00393270"/>
    <w:rPr>
      <w:color w:val="414042" w:themeColor="text1"/>
      <w:sz w:val="16"/>
    </w:rPr>
  </w:style>
  <w:style w:type="table" w:styleId="TableGrid">
    <w:name w:val="Table Grid"/>
    <w:basedOn w:val="TableNormal"/>
    <w:uiPriority w:val="39"/>
    <w:rsid w:val="00DB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BodyText"/>
    <w:next w:val="BodyText"/>
    <w:link w:val="FigureChar"/>
    <w:qFormat/>
    <w:rsid w:val="00E46791"/>
    <w:rPr>
      <w:noProof/>
    </w:rPr>
  </w:style>
  <w:style w:type="character" w:customStyle="1" w:styleId="FigureChar">
    <w:name w:val="Figure Char"/>
    <w:basedOn w:val="BodyTextChar"/>
    <w:link w:val="Figure"/>
    <w:rsid w:val="00E46791"/>
    <w:rPr>
      <w:rFonts w:eastAsia="Times New Roman" w:cs="Times New Roman"/>
      <w:noProof/>
      <w:color w:val="414042" w:themeColor="text1"/>
      <w:sz w:val="20"/>
      <w:szCs w:val="24"/>
      <w:lang w:eastAsia="en-GB"/>
    </w:rPr>
  </w:style>
  <w:style w:type="character" w:styleId="FollowedHyperlink">
    <w:name w:val="FollowedHyperlink"/>
    <w:basedOn w:val="DefaultParagraphFont"/>
    <w:uiPriority w:val="99"/>
    <w:semiHidden/>
    <w:unhideWhenUsed/>
    <w:rsid w:val="00816161"/>
    <w:rPr>
      <w:color w:val="414042" w:themeColor="text1"/>
      <w:u w:val="none"/>
    </w:rPr>
  </w:style>
  <w:style w:type="table" w:customStyle="1" w:styleId="PlumQuotePanel">
    <w:name w:val="Plum Quote Panel"/>
    <w:basedOn w:val="PlumPanel"/>
    <w:uiPriority w:val="99"/>
    <w:rsid w:val="00352879"/>
    <w:pPr>
      <w:spacing w:after="120"/>
    </w:pPr>
    <w:rPr>
      <w:rFonts w:asciiTheme="majorHAnsi" w:hAnsiTheme="majorHAnsi"/>
      <w:sz w:val="26"/>
    </w:rPr>
    <w:tblPr>
      <w:tblCellMar>
        <w:bottom w:w="170" w:type="dxa"/>
      </w:tblCellMar>
    </w:tblPr>
    <w:tblStylePr w:type="firstRow">
      <w:rPr>
        <w:rFonts w:ascii="Ek Mukta SemiBold" w:hAnsi="Ek Mukta SemiBold"/>
        <w:color w:val="auto"/>
      </w:rPr>
      <w:tblPr/>
      <w:trPr>
        <w:cantSplit w:val="0"/>
        <w:tblHeader/>
      </w:trPr>
      <w:tcPr>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l2br w:val="nil"/>
          <w:tr2bl w:val="nil"/>
        </w:tcBorders>
        <w:shd w:val="clear" w:color="auto" w:fill="DCDDDE"/>
      </w:tcPr>
    </w:tblStylePr>
    <w:tblStylePr w:type="band2Horz">
      <w:tblPr/>
      <w:tcPr>
        <w:shd w:val="clear" w:color="auto" w:fill="E6E7E8"/>
      </w:tcPr>
    </w:tblStylePr>
  </w:style>
  <w:style w:type="paragraph" w:customStyle="1" w:styleId="InsideAddress">
    <w:name w:val="Inside Address"/>
    <w:basedOn w:val="Normal"/>
    <w:rsid w:val="00C72C9C"/>
  </w:style>
  <w:style w:type="paragraph" w:styleId="Revision">
    <w:name w:val="Revision"/>
    <w:hidden/>
    <w:uiPriority w:val="99"/>
    <w:semiHidden/>
    <w:rsid w:val="00650995"/>
    <w:pPr>
      <w:spacing w:after="0" w:line="240" w:lineRule="auto"/>
    </w:pPr>
  </w:style>
  <w:style w:type="character" w:styleId="CommentReference">
    <w:name w:val="annotation reference"/>
    <w:basedOn w:val="DefaultParagraphFont"/>
    <w:uiPriority w:val="99"/>
    <w:semiHidden/>
    <w:unhideWhenUsed/>
    <w:rsid w:val="00650995"/>
    <w:rPr>
      <w:sz w:val="16"/>
      <w:szCs w:val="16"/>
    </w:rPr>
  </w:style>
  <w:style w:type="paragraph" w:styleId="CommentText">
    <w:name w:val="annotation text"/>
    <w:basedOn w:val="Normal"/>
    <w:link w:val="CommentTextChar"/>
    <w:uiPriority w:val="99"/>
    <w:semiHidden/>
    <w:unhideWhenUsed/>
    <w:rsid w:val="00650995"/>
    <w:pPr>
      <w:spacing w:line="240" w:lineRule="auto"/>
    </w:pPr>
    <w:rPr>
      <w:sz w:val="20"/>
      <w:szCs w:val="20"/>
    </w:rPr>
  </w:style>
  <w:style w:type="character" w:customStyle="1" w:styleId="CommentTextChar">
    <w:name w:val="Comment Text Char"/>
    <w:basedOn w:val="DefaultParagraphFont"/>
    <w:link w:val="CommentText"/>
    <w:uiPriority w:val="99"/>
    <w:semiHidden/>
    <w:rsid w:val="00650995"/>
    <w:rPr>
      <w:sz w:val="20"/>
      <w:szCs w:val="20"/>
    </w:rPr>
  </w:style>
  <w:style w:type="paragraph" w:styleId="CommentSubject">
    <w:name w:val="annotation subject"/>
    <w:basedOn w:val="CommentText"/>
    <w:next w:val="CommentText"/>
    <w:link w:val="CommentSubjectChar"/>
    <w:uiPriority w:val="99"/>
    <w:semiHidden/>
    <w:unhideWhenUsed/>
    <w:rsid w:val="00650995"/>
    <w:rPr>
      <w:b/>
      <w:bCs/>
    </w:rPr>
  </w:style>
  <w:style w:type="character" w:customStyle="1" w:styleId="CommentSubjectChar">
    <w:name w:val="Comment Subject Char"/>
    <w:basedOn w:val="CommentTextChar"/>
    <w:link w:val="CommentSubject"/>
    <w:uiPriority w:val="99"/>
    <w:semiHidden/>
    <w:rsid w:val="00650995"/>
    <w:rPr>
      <w:b/>
      <w:bCs/>
      <w:sz w:val="20"/>
      <w:szCs w:val="20"/>
    </w:rPr>
  </w:style>
  <w:style w:type="character" w:styleId="UnresolvedMention">
    <w:name w:val="Unresolved Mention"/>
    <w:basedOn w:val="DefaultParagraphFont"/>
    <w:uiPriority w:val="99"/>
    <w:semiHidden/>
    <w:unhideWhenUsed/>
    <w:rsid w:val="00B0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4228">
      <w:bodyDiv w:val="1"/>
      <w:marLeft w:val="0"/>
      <w:marRight w:val="0"/>
      <w:marTop w:val="0"/>
      <w:marBottom w:val="0"/>
      <w:divBdr>
        <w:top w:val="none" w:sz="0" w:space="0" w:color="auto"/>
        <w:left w:val="none" w:sz="0" w:space="0" w:color="auto"/>
        <w:bottom w:val="none" w:sz="0" w:space="0" w:color="auto"/>
        <w:right w:val="none" w:sz="0" w:space="0" w:color="auto"/>
      </w:divBdr>
    </w:div>
    <w:div w:id="3272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diagramColors" Target="diagrams/colors1.xml"/><Relationship Id="rId39" Type="http://schemas.openxmlformats.org/officeDocument/2006/relationships/image" Target="media/image7.emf"/><Relationship Id="rId21" Type="http://schemas.openxmlformats.org/officeDocument/2006/relationships/header" Target="header5.xml"/><Relationship Id="rId34" Type="http://schemas.openxmlformats.org/officeDocument/2006/relationships/diagramData" Target="diagrams/data2.xml"/><Relationship Id="rId42" Type="http://schemas.openxmlformats.org/officeDocument/2006/relationships/diagramData" Target="diagrams/data3.xml"/><Relationship Id="rId47" Type="http://schemas.openxmlformats.org/officeDocument/2006/relationships/image" Target="media/image10.emf"/><Relationship Id="rId50" Type="http://schemas.openxmlformats.org/officeDocument/2006/relationships/header" Target="header9.xml"/><Relationship Id="rId55"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image" Target="media/image1.png"/><Relationship Id="rId24" Type="http://schemas.openxmlformats.org/officeDocument/2006/relationships/diagramLayout" Target="diagrams/layout1.xml"/><Relationship Id="rId32" Type="http://schemas.openxmlformats.org/officeDocument/2006/relationships/header" Target="header8.xml"/><Relationship Id="rId37" Type="http://schemas.openxmlformats.org/officeDocument/2006/relationships/diagramColors" Target="diagrams/colors2.xml"/><Relationship Id="rId40" Type="http://schemas.openxmlformats.org/officeDocument/2006/relationships/image" Target="media/image8.emf"/><Relationship Id="rId45" Type="http://schemas.openxmlformats.org/officeDocument/2006/relationships/diagramColors" Target="diagrams/colors3.xml"/><Relationship Id="rId53" Type="http://schemas.openxmlformats.org/officeDocument/2006/relationships/footer" Target="footer9.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microsoft.com/office/2007/relationships/diagramDrawing" Target="diagrams/drawing1.xml"/><Relationship Id="rId30" Type="http://schemas.openxmlformats.org/officeDocument/2006/relationships/footer" Target="footer6.xml"/><Relationship Id="rId35" Type="http://schemas.openxmlformats.org/officeDocument/2006/relationships/diagramLayout" Target="diagrams/layout2.xml"/><Relationship Id="rId43" Type="http://schemas.openxmlformats.org/officeDocument/2006/relationships/diagramLayout" Target="diagrams/layout3.xml"/><Relationship Id="rId48" Type="http://schemas.openxmlformats.org/officeDocument/2006/relationships/image" Target="media/image11.emf"/><Relationship Id="rId56"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diagramQuickStyle" Target="diagrams/quickStyle1.xml"/><Relationship Id="rId33" Type="http://schemas.openxmlformats.org/officeDocument/2006/relationships/footer" Target="footer8.xml"/><Relationship Id="rId38" Type="http://schemas.microsoft.com/office/2007/relationships/diagramDrawing" Target="diagrams/drawing2.xml"/><Relationship Id="rId46" Type="http://schemas.microsoft.com/office/2007/relationships/diagramDrawing" Target="diagrams/drawing3.xml"/><Relationship Id="rId20" Type="http://schemas.openxmlformats.org/officeDocument/2006/relationships/footer" Target="footer4.xml"/><Relationship Id="rId41" Type="http://schemas.openxmlformats.org/officeDocument/2006/relationships/image" Target="media/image9.emf"/><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diagramData" Target="diagrams/data1.xml"/><Relationship Id="rId28" Type="http://schemas.openxmlformats.org/officeDocument/2006/relationships/header" Target="header6.xml"/><Relationship Id="rId36" Type="http://schemas.openxmlformats.org/officeDocument/2006/relationships/diagramQuickStyle" Target="diagrams/quickStyle2.xml"/><Relationship Id="rId49" Type="http://schemas.openxmlformats.org/officeDocument/2006/relationships/image" Target="media/image12.emf"/><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diagramQuickStyle" Target="diagrams/quickStyle3.xml"/><Relationship Id="rId52"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www.plumconsulting.co.uk/pdfs/Plum_Insight_June_2014_Do_you_need_a_mobile_data_forecast_to_estimate_spectrum_demand.pdf" TargetMode="External"/><Relationship Id="rId2" Type="http://schemas.openxmlformats.org/officeDocument/2006/relationships/hyperlink" Target="http://stakeholders.ofcom.org.uk/binaries/consultations/900-1800-mhz-fees/responses/EE_Annex_Analysis_Mason_Aetha_report.pdf" TargetMode="External"/><Relationship Id="rId1" Type="http://schemas.openxmlformats.org/officeDocument/2006/relationships/hyperlink" Target="https://www.acma.gov.au/consultations/2023-05/proposed-approach-expiring-spectrum-licences" TargetMode="External"/><Relationship Id="rId6" Type="http://schemas.openxmlformats.org/officeDocument/2006/relationships/hyperlink" Target="http://tel_archives.ofca.gov.hk/en/tas/spectrum/ta20110923.pdf" TargetMode="External"/><Relationship Id="rId5" Type="http://schemas.openxmlformats.org/officeDocument/2006/relationships/hyperlink" Target="http://www.acma.gov.au/theACMA/new-measures-proposed-for-400-mhz-band" TargetMode="External"/><Relationship Id="rId4" Type="http://schemas.openxmlformats.org/officeDocument/2006/relationships/hyperlink" Target="http://stakeholders.ofcom.org.uk/consultations/srsp/stateme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appdata\roaming\microsoft\templates\Plum\Report.dotx" TargetMode="External"/></Relationships>
</file>

<file path=word/diagrams/_rels/data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diagrams/_rels/drawing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1E431A-4734-4D44-A9D5-4445BAD69AC5}" type="doc">
      <dgm:prSet loTypeId="urn:microsoft.com/office/officeart/2008/layout/AlternatingPictureBlocks" loCatId="list" qsTypeId="urn:microsoft.com/office/officeart/2005/8/quickstyle/simple1" qsCatId="simple" csTypeId="urn:microsoft.com/office/officeart/2005/8/colors/colorful1" csCatId="colorful" phldr="1"/>
      <dgm:spPr/>
      <dgm:t>
        <a:bodyPr/>
        <a:lstStyle/>
        <a:p>
          <a:endParaRPr lang="en-GB"/>
        </a:p>
      </dgm:t>
    </dgm:pt>
    <dgm:pt modelId="{05618E0D-1610-4BAB-97A5-3A47CC2A13F8}">
      <dgm:prSet phldrT="[Text]"/>
      <dgm:spPr/>
      <dgm:t>
        <a:bodyPr/>
        <a:lstStyle/>
        <a:p>
          <a:r>
            <a:rPr lang="en-GB"/>
            <a:t>Benchmarking</a:t>
          </a:r>
        </a:p>
      </dgm:t>
    </dgm:pt>
    <dgm:pt modelId="{E16DCE0A-76E6-49B8-A798-9A4B689A55FF}" type="parTrans" cxnId="{BE9377FB-1490-48BC-9DE0-BAF58BB9A591}">
      <dgm:prSet/>
      <dgm:spPr/>
      <dgm:t>
        <a:bodyPr/>
        <a:lstStyle/>
        <a:p>
          <a:endParaRPr lang="en-GB"/>
        </a:p>
      </dgm:t>
    </dgm:pt>
    <dgm:pt modelId="{29B4BA7D-26DA-4789-96D6-E8D0E2FD6AFF}" type="sibTrans" cxnId="{BE9377FB-1490-48BC-9DE0-BAF58BB9A591}">
      <dgm:prSet/>
      <dgm:spPr/>
      <dgm:t>
        <a:bodyPr/>
        <a:lstStyle/>
        <a:p>
          <a:endParaRPr lang="en-GB"/>
        </a:p>
      </dgm:t>
    </dgm:pt>
    <dgm:pt modelId="{2D65BE8D-BB58-4813-97C8-DD19A91972A4}">
      <dgm:prSet phldrT="[Text]"/>
      <dgm:spPr/>
      <dgm:t>
        <a:bodyPr/>
        <a:lstStyle/>
        <a:p>
          <a:r>
            <a:rPr lang="en-GB"/>
            <a:t>Direct benchmarking</a:t>
          </a:r>
        </a:p>
      </dgm:t>
    </dgm:pt>
    <dgm:pt modelId="{AA297902-05DD-4E08-BA0F-5320BB48BF33}" type="parTrans" cxnId="{027A2523-DEB0-4057-A8D1-CF6D37DBC5F9}">
      <dgm:prSet/>
      <dgm:spPr/>
      <dgm:t>
        <a:bodyPr/>
        <a:lstStyle/>
        <a:p>
          <a:endParaRPr lang="en-GB"/>
        </a:p>
      </dgm:t>
    </dgm:pt>
    <dgm:pt modelId="{82AEA1D9-E46B-48DD-A3B7-7E76FD010988}" type="sibTrans" cxnId="{027A2523-DEB0-4057-A8D1-CF6D37DBC5F9}">
      <dgm:prSet/>
      <dgm:spPr/>
      <dgm:t>
        <a:bodyPr/>
        <a:lstStyle/>
        <a:p>
          <a:endParaRPr lang="en-GB"/>
        </a:p>
      </dgm:t>
    </dgm:pt>
    <dgm:pt modelId="{EFF3A1D4-A491-493A-A8A0-7463F52524E2}">
      <dgm:prSet phldrT="[Text]"/>
      <dgm:spPr/>
      <dgm:t>
        <a:bodyPr/>
        <a:lstStyle/>
        <a:p>
          <a:r>
            <a:rPr lang="en-GB"/>
            <a:t>Adjusted benchmarking</a:t>
          </a:r>
        </a:p>
      </dgm:t>
    </dgm:pt>
    <dgm:pt modelId="{94EA6063-2BA1-49EF-BACA-1FC4384F12AF}" type="parTrans" cxnId="{9380558D-C57E-4E0A-9B9F-7C9E92F202DC}">
      <dgm:prSet/>
      <dgm:spPr/>
      <dgm:t>
        <a:bodyPr/>
        <a:lstStyle/>
        <a:p>
          <a:endParaRPr lang="en-GB"/>
        </a:p>
      </dgm:t>
    </dgm:pt>
    <dgm:pt modelId="{619A921D-DDF9-4EA3-900B-2765405F6524}" type="sibTrans" cxnId="{9380558D-C57E-4E0A-9B9F-7C9E92F202DC}">
      <dgm:prSet/>
      <dgm:spPr/>
      <dgm:t>
        <a:bodyPr/>
        <a:lstStyle/>
        <a:p>
          <a:endParaRPr lang="en-GB"/>
        </a:p>
      </dgm:t>
    </dgm:pt>
    <dgm:pt modelId="{BADA6078-20C1-43EB-8C6F-A2BC9126675E}">
      <dgm:prSet phldrT="[Text]"/>
      <dgm:spPr/>
      <dgm:t>
        <a:bodyPr/>
        <a:lstStyle/>
        <a:p>
          <a:r>
            <a:rPr lang="en-GB"/>
            <a:t>Econometrics</a:t>
          </a:r>
        </a:p>
      </dgm:t>
    </dgm:pt>
    <dgm:pt modelId="{8F0916BB-90E1-48F8-9F02-295A4B9E5F33}" type="parTrans" cxnId="{4D8B2FE4-3839-484C-99DC-4A3317D7A49F}">
      <dgm:prSet/>
      <dgm:spPr/>
      <dgm:t>
        <a:bodyPr/>
        <a:lstStyle/>
        <a:p>
          <a:endParaRPr lang="en-GB"/>
        </a:p>
      </dgm:t>
    </dgm:pt>
    <dgm:pt modelId="{2753A1BE-94DB-472F-8D45-0C633194EE2E}" type="sibTrans" cxnId="{4D8B2FE4-3839-484C-99DC-4A3317D7A49F}">
      <dgm:prSet/>
      <dgm:spPr/>
      <dgm:t>
        <a:bodyPr/>
        <a:lstStyle/>
        <a:p>
          <a:endParaRPr lang="en-GB"/>
        </a:p>
      </dgm:t>
    </dgm:pt>
    <dgm:pt modelId="{4916768B-359F-4097-9C44-A3134295F260}">
      <dgm:prSet phldrT="[Text]"/>
      <dgm:spPr/>
      <dgm:t>
        <a:bodyPr/>
        <a:lstStyle/>
        <a:p>
          <a:r>
            <a:rPr lang="en-GB"/>
            <a:t>Modelling</a:t>
          </a:r>
        </a:p>
      </dgm:t>
    </dgm:pt>
    <dgm:pt modelId="{97211668-D83B-4A77-824A-6C6ED2963599}" type="parTrans" cxnId="{AAFB74B8-E563-4D9C-B022-AA5188021F64}">
      <dgm:prSet/>
      <dgm:spPr/>
      <dgm:t>
        <a:bodyPr/>
        <a:lstStyle/>
        <a:p>
          <a:endParaRPr lang="en-GB"/>
        </a:p>
      </dgm:t>
    </dgm:pt>
    <dgm:pt modelId="{84B50859-ADD5-4DA8-81F9-84ED4CDDAA0C}" type="sibTrans" cxnId="{AAFB74B8-E563-4D9C-B022-AA5188021F64}">
      <dgm:prSet/>
      <dgm:spPr/>
      <dgm:t>
        <a:bodyPr/>
        <a:lstStyle/>
        <a:p>
          <a:endParaRPr lang="en-GB"/>
        </a:p>
      </dgm:t>
    </dgm:pt>
    <dgm:pt modelId="{61A27265-356C-4D70-B84A-48BF8C0E1062}">
      <dgm:prSet phldrT="[Text]"/>
      <dgm:spPr/>
      <dgm:t>
        <a:bodyPr/>
        <a:lstStyle/>
        <a:p>
          <a:r>
            <a:rPr lang="en-GB"/>
            <a:t>Avoided cost modelling</a:t>
          </a:r>
        </a:p>
      </dgm:t>
    </dgm:pt>
    <dgm:pt modelId="{ED14B88F-764D-4352-AAE9-20D4701723EB}" type="parTrans" cxnId="{0DF2EF9C-9506-401C-8094-722E2F2C0C83}">
      <dgm:prSet/>
      <dgm:spPr/>
      <dgm:t>
        <a:bodyPr/>
        <a:lstStyle/>
        <a:p>
          <a:endParaRPr lang="en-GB"/>
        </a:p>
      </dgm:t>
    </dgm:pt>
    <dgm:pt modelId="{2D64D22F-ECA8-433A-99A0-0B12222713C1}" type="sibTrans" cxnId="{0DF2EF9C-9506-401C-8094-722E2F2C0C83}">
      <dgm:prSet/>
      <dgm:spPr/>
      <dgm:t>
        <a:bodyPr/>
        <a:lstStyle/>
        <a:p>
          <a:endParaRPr lang="en-GB"/>
        </a:p>
      </dgm:t>
    </dgm:pt>
    <dgm:pt modelId="{E01ABD0C-A98D-4608-A985-A7B8FE9D84FE}">
      <dgm:prSet phldrT="[Text]"/>
      <dgm:spPr/>
      <dgm:t>
        <a:bodyPr/>
        <a:lstStyle/>
        <a:p>
          <a:r>
            <a:rPr lang="en-GB"/>
            <a:t>Business modelling</a:t>
          </a:r>
        </a:p>
      </dgm:t>
    </dgm:pt>
    <dgm:pt modelId="{24D70FC2-6DF4-4855-980A-FD17759796CC}" type="parTrans" cxnId="{DCD7211A-0CBC-47C8-BFE2-E9BD93CE8D7F}">
      <dgm:prSet/>
      <dgm:spPr/>
      <dgm:t>
        <a:bodyPr/>
        <a:lstStyle/>
        <a:p>
          <a:endParaRPr lang="en-GB"/>
        </a:p>
      </dgm:t>
    </dgm:pt>
    <dgm:pt modelId="{CB73C0A4-739A-474A-91CB-F42DBB1EECF0}" type="sibTrans" cxnId="{DCD7211A-0CBC-47C8-BFE2-E9BD93CE8D7F}">
      <dgm:prSet/>
      <dgm:spPr/>
      <dgm:t>
        <a:bodyPr/>
        <a:lstStyle/>
        <a:p>
          <a:endParaRPr lang="en-GB"/>
        </a:p>
      </dgm:t>
    </dgm:pt>
    <dgm:pt modelId="{4C7DCB0E-C762-4349-95FB-E4607F67E516}">
      <dgm:prSet phldrT="[Text]"/>
      <dgm:spPr/>
      <dgm:t>
        <a:bodyPr/>
        <a:lstStyle/>
        <a:p>
          <a:r>
            <a:rPr lang="en-GB"/>
            <a:t>Opportunity cost modelling</a:t>
          </a:r>
        </a:p>
      </dgm:t>
    </dgm:pt>
    <dgm:pt modelId="{072484AD-36EB-4291-9E22-380E5121AAF9}" type="parTrans" cxnId="{90FCB20E-4F6D-4057-A658-58CA822C1FF4}">
      <dgm:prSet/>
      <dgm:spPr/>
      <dgm:t>
        <a:bodyPr/>
        <a:lstStyle/>
        <a:p>
          <a:endParaRPr lang="en-GB"/>
        </a:p>
      </dgm:t>
    </dgm:pt>
    <dgm:pt modelId="{FE3A685F-B4F0-466F-B8E5-9A9809CEF9B8}" type="sibTrans" cxnId="{90FCB20E-4F6D-4057-A658-58CA822C1FF4}">
      <dgm:prSet/>
      <dgm:spPr/>
      <dgm:t>
        <a:bodyPr/>
        <a:lstStyle/>
        <a:p>
          <a:endParaRPr lang="en-GB"/>
        </a:p>
      </dgm:t>
    </dgm:pt>
    <dgm:pt modelId="{CB115B12-F0F7-452C-AC08-3120A0C9416C}" type="pres">
      <dgm:prSet presAssocID="{C81E431A-4734-4D44-A9D5-4445BAD69AC5}" presName="linearFlow" presStyleCnt="0">
        <dgm:presLayoutVars>
          <dgm:dir/>
          <dgm:resizeHandles val="exact"/>
        </dgm:presLayoutVars>
      </dgm:prSet>
      <dgm:spPr/>
    </dgm:pt>
    <dgm:pt modelId="{FA4C0E4E-19C6-4705-8DCC-3ADE7BE4511B}" type="pres">
      <dgm:prSet presAssocID="{05618E0D-1610-4BAB-97A5-3A47CC2A13F8}" presName="comp" presStyleCnt="0"/>
      <dgm:spPr/>
    </dgm:pt>
    <dgm:pt modelId="{CD9B74F0-6798-4B08-9A4D-7CFEE438DBB9}" type="pres">
      <dgm:prSet presAssocID="{05618E0D-1610-4BAB-97A5-3A47CC2A13F8}" presName="rect2" presStyleLbl="node1" presStyleIdx="0" presStyleCnt="2">
        <dgm:presLayoutVars>
          <dgm:bulletEnabled val="1"/>
        </dgm:presLayoutVars>
      </dgm:prSet>
      <dgm:spPr/>
    </dgm:pt>
    <dgm:pt modelId="{5516F621-0E4F-49CA-A7AF-B9F2E9F8F694}" type="pres">
      <dgm:prSet presAssocID="{05618E0D-1610-4BAB-97A5-3A47CC2A13F8}" presName="rect1" presStyleLbl="lnNode1" presStyleIdx="0" presStyleCnt="2"/>
      <dgm:spPr>
        <a:blipFill>
          <a:blip xmlns:r="http://schemas.openxmlformats.org/officeDocument/2006/relationships" r:embed="rId1">
            <a:duotone>
              <a:prstClr val="black"/>
              <a:schemeClr val="accent2">
                <a:tint val="45000"/>
                <a:satMod val="400000"/>
              </a:schemeClr>
            </a:duotone>
          </a:blip>
          <a:srcRect/>
          <a:stretch>
            <a:fillRect l="-31000" r="-31000"/>
          </a:stretch>
        </a:blipFill>
      </dgm:spPr>
      <dgm:extLst>
        <a:ext uri="{E40237B7-FDA0-4F09-8148-C483321AD2D9}">
          <dgm14:cNvPr xmlns:dgm14="http://schemas.microsoft.com/office/drawing/2010/diagram" id="0" name="" descr="Graph"/>
        </a:ext>
      </dgm:extLst>
    </dgm:pt>
    <dgm:pt modelId="{B5A54EC5-A4D4-462F-B520-E856C0E3ECDD}" type="pres">
      <dgm:prSet presAssocID="{29B4BA7D-26DA-4789-96D6-E8D0E2FD6AFF}" presName="sibTrans" presStyleCnt="0"/>
      <dgm:spPr/>
    </dgm:pt>
    <dgm:pt modelId="{2C086BAF-142A-4B99-9A6F-E8A5579E9AF1}" type="pres">
      <dgm:prSet presAssocID="{4916768B-359F-4097-9C44-A3134295F260}" presName="comp" presStyleCnt="0"/>
      <dgm:spPr/>
    </dgm:pt>
    <dgm:pt modelId="{6C3A13E3-63F2-4FCB-91E5-41E699AD26BE}" type="pres">
      <dgm:prSet presAssocID="{4916768B-359F-4097-9C44-A3134295F260}" presName="rect2" presStyleLbl="node1" presStyleIdx="1" presStyleCnt="2">
        <dgm:presLayoutVars>
          <dgm:bulletEnabled val="1"/>
        </dgm:presLayoutVars>
      </dgm:prSet>
      <dgm:spPr/>
    </dgm:pt>
    <dgm:pt modelId="{1C891950-5DCB-4D71-ACF1-AE82CC2FE107}" type="pres">
      <dgm:prSet presAssocID="{4916768B-359F-4097-9C44-A3134295F260}" presName="rect1" presStyleLbl="lnNode1" presStyleIdx="1" presStyleCnt="2"/>
      <dgm:spPr>
        <a:blipFill>
          <a:blip xmlns:r="http://schemas.openxmlformats.org/officeDocument/2006/relationships" r:embed="rId2"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l="-26000" r="-26000"/>
          </a:stretch>
        </a:blipFill>
      </dgm:spPr>
      <dgm:extLst>
        <a:ext uri="{E40237B7-FDA0-4F09-8148-C483321AD2D9}">
          <dgm14:cNvPr xmlns:dgm14="http://schemas.microsoft.com/office/drawing/2010/diagram" id="0" name="" descr="Spreadsheet and calculator"/>
        </a:ext>
      </dgm:extLst>
    </dgm:pt>
  </dgm:ptLst>
  <dgm:cxnLst>
    <dgm:cxn modelId="{90FCB20E-4F6D-4057-A658-58CA822C1FF4}" srcId="{4916768B-359F-4097-9C44-A3134295F260}" destId="{4C7DCB0E-C762-4349-95FB-E4607F67E516}" srcOrd="2" destOrd="0" parTransId="{072484AD-36EB-4291-9E22-380E5121AAF9}" sibTransId="{FE3A685F-B4F0-466F-B8E5-9A9809CEF9B8}"/>
    <dgm:cxn modelId="{DCD7211A-0CBC-47C8-BFE2-E9BD93CE8D7F}" srcId="{4916768B-359F-4097-9C44-A3134295F260}" destId="{E01ABD0C-A98D-4608-A985-A7B8FE9D84FE}" srcOrd="1" destOrd="0" parTransId="{24D70FC2-6DF4-4855-980A-FD17759796CC}" sibTransId="{CB73C0A4-739A-474A-91CB-F42DBB1EECF0}"/>
    <dgm:cxn modelId="{329D1D23-6C0F-4515-B780-41C1119C4D7A}" type="presOf" srcId="{2D65BE8D-BB58-4813-97C8-DD19A91972A4}" destId="{CD9B74F0-6798-4B08-9A4D-7CFEE438DBB9}" srcOrd="0" destOrd="1" presId="urn:microsoft.com/office/officeart/2008/layout/AlternatingPictureBlocks"/>
    <dgm:cxn modelId="{027A2523-DEB0-4057-A8D1-CF6D37DBC5F9}" srcId="{05618E0D-1610-4BAB-97A5-3A47CC2A13F8}" destId="{2D65BE8D-BB58-4813-97C8-DD19A91972A4}" srcOrd="0" destOrd="0" parTransId="{AA297902-05DD-4E08-BA0F-5320BB48BF33}" sibTransId="{82AEA1D9-E46B-48DD-A3B7-7E76FD010988}"/>
    <dgm:cxn modelId="{371FDF37-8E77-4D54-A34E-7FDCC1DBC698}" type="presOf" srcId="{EFF3A1D4-A491-493A-A8A0-7463F52524E2}" destId="{CD9B74F0-6798-4B08-9A4D-7CFEE438DBB9}" srcOrd="0" destOrd="2" presId="urn:microsoft.com/office/officeart/2008/layout/AlternatingPictureBlocks"/>
    <dgm:cxn modelId="{5A6D463D-3194-4F3A-A8C4-F7243965C1CB}" type="presOf" srcId="{4C7DCB0E-C762-4349-95FB-E4607F67E516}" destId="{6C3A13E3-63F2-4FCB-91E5-41E699AD26BE}" srcOrd="0" destOrd="3" presId="urn:microsoft.com/office/officeart/2008/layout/AlternatingPictureBlocks"/>
    <dgm:cxn modelId="{A7695E41-5AD2-4018-8434-998518C7BF58}" type="presOf" srcId="{05618E0D-1610-4BAB-97A5-3A47CC2A13F8}" destId="{CD9B74F0-6798-4B08-9A4D-7CFEE438DBB9}" srcOrd="0" destOrd="0" presId="urn:microsoft.com/office/officeart/2008/layout/AlternatingPictureBlocks"/>
    <dgm:cxn modelId="{3937EC6D-F2EB-4CD7-A7D0-3D45215E1D98}" type="presOf" srcId="{E01ABD0C-A98D-4608-A985-A7B8FE9D84FE}" destId="{6C3A13E3-63F2-4FCB-91E5-41E699AD26BE}" srcOrd="0" destOrd="2" presId="urn:microsoft.com/office/officeart/2008/layout/AlternatingPictureBlocks"/>
    <dgm:cxn modelId="{163BF655-71D7-433D-8CA7-F8744849E615}" type="presOf" srcId="{C81E431A-4734-4D44-A9D5-4445BAD69AC5}" destId="{CB115B12-F0F7-452C-AC08-3120A0C9416C}" srcOrd="0" destOrd="0" presId="urn:microsoft.com/office/officeart/2008/layout/AlternatingPictureBlocks"/>
    <dgm:cxn modelId="{1C17565A-A142-43D4-8619-BE3EE7FB482D}" type="presOf" srcId="{4916768B-359F-4097-9C44-A3134295F260}" destId="{6C3A13E3-63F2-4FCB-91E5-41E699AD26BE}" srcOrd="0" destOrd="0" presId="urn:microsoft.com/office/officeart/2008/layout/AlternatingPictureBlocks"/>
    <dgm:cxn modelId="{9380558D-C57E-4E0A-9B9F-7C9E92F202DC}" srcId="{05618E0D-1610-4BAB-97A5-3A47CC2A13F8}" destId="{EFF3A1D4-A491-493A-A8A0-7463F52524E2}" srcOrd="1" destOrd="0" parTransId="{94EA6063-2BA1-49EF-BACA-1FC4384F12AF}" sibTransId="{619A921D-DDF9-4EA3-900B-2765405F6524}"/>
    <dgm:cxn modelId="{0DF2EF9C-9506-401C-8094-722E2F2C0C83}" srcId="{4916768B-359F-4097-9C44-A3134295F260}" destId="{61A27265-356C-4D70-B84A-48BF8C0E1062}" srcOrd="0" destOrd="0" parTransId="{ED14B88F-764D-4352-AAE9-20D4701723EB}" sibTransId="{2D64D22F-ECA8-433A-99A0-0B12222713C1}"/>
    <dgm:cxn modelId="{1F54D4A8-FDD9-4AB2-8477-362F39E3F691}" type="presOf" srcId="{61A27265-356C-4D70-B84A-48BF8C0E1062}" destId="{6C3A13E3-63F2-4FCB-91E5-41E699AD26BE}" srcOrd="0" destOrd="1" presId="urn:microsoft.com/office/officeart/2008/layout/AlternatingPictureBlocks"/>
    <dgm:cxn modelId="{AAFB74B8-E563-4D9C-B022-AA5188021F64}" srcId="{C81E431A-4734-4D44-A9D5-4445BAD69AC5}" destId="{4916768B-359F-4097-9C44-A3134295F260}" srcOrd="1" destOrd="0" parTransId="{97211668-D83B-4A77-824A-6C6ED2963599}" sibTransId="{84B50859-ADD5-4DA8-81F9-84ED4CDDAA0C}"/>
    <dgm:cxn modelId="{4D8B2FE4-3839-484C-99DC-4A3317D7A49F}" srcId="{05618E0D-1610-4BAB-97A5-3A47CC2A13F8}" destId="{BADA6078-20C1-43EB-8C6F-A2BC9126675E}" srcOrd="2" destOrd="0" parTransId="{8F0916BB-90E1-48F8-9F02-295A4B9E5F33}" sibTransId="{2753A1BE-94DB-472F-8D45-0C633194EE2E}"/>
    <dgm:cxn modelId="{BE9377FB-1490-48BC-9DE0-BAF58BB9A591}" srcId="{C81E431A-4734-4D44-A9D5-4445BAD69AC5}" destId="{05618E0D-1610-4BAB-97A5-3A47CC2A13F8}" srcOrd="0" destOrd="0" parTransId="{E16DCE0A-76E6-49B8-A798-9A4B689A55FF}" sibTransId="{29B4BA7D-26DA-4789-96D6-E8D0E2FD6AFF}"/>
    <dgm:cxn modelId="{73ABA1DE-F78C-43BE-B5CC-CAAF596CB13C}" type="presOf" srcId="{BADA6078-20C1-43EB-8C6F-A2BC9126675E}" destId="{CD9B74F0-6798-4B08-9A4D-7CFEE438DBB9}" srcOrd="0" destOrd="3" presId="urn:microsoft.com/office/officeart/2008/layout/AlternatingPictureBlocks"/>
    <dgm:cxn modelId="{44FB1BDE-0163-4256-863B-E930899AA583}" type="presParOf" srcId="{CB115B12-F0F7-452C-AC08-3120A0C9416C}" destId="{FA4C0E4E-19C6-4705-8DCC-3ADE7BE4511B}" srcOrd="0" destOrd="0" presId="urn:microsoft.com/office/officeart/2008/layout/AlternatingPictureBlocks"/>
    <dgm:cxn modelId="{842E2B3E-B276-4D70-B8E4-7CF498C92E1A}" type="presParOf" srcId="{FA4C0E4E-19C6-4705-8DCC-3ADE7BE4511B}" destId="{CD9B74F0-6798-4B08-9A4D-7CFEE438DBB9}" srcOrd="0" destOrd="0" presId="urn:microsoft.com/office/officeart/2008/layout/AlternatingPictureBlocks"/>
    <dgm:cxn modelId="{42941660-42F6-4433-8363-7D658825832C}" type="presParOf" srcId="{FA4C0E4E-19C6-4705-8DCC-3ADE7BE4511B}" destId="{5516F621-0E4F-49CA-A7AF-B9F2E9F8F694}" srcOrd="1" destOrd="0" presId="urn:microsoft.com/office/officeart/2008/layout/AlternatingPictureBlocks"/>
    <dgm:cxn modelId="{1A058257-B2AC-423F-9F56-D0D2FEC45482}" type="presParOf" srcId="{CB115B12-F0F7-452C-AC08-3120A0C9416C}" destId="{B5A54EC5-A4D4-462F-B520-E856C0E3ECDD}" srcOrd="1" destOrd="0" presId="urn:microsoft.com/office/officeart/2008/layout/AlternatingPictureBlocks"/>
    <dgm:cxn modelId="{20D26822-1844-4815-80BC-66777DC1828B}" type="presParOf" srcId="{CB115B12-F0F7-452C-AC08-3120A0C9416C}" destId="{2C086BAF-142A-4B99-9A6F-E8A5579E9AF1}" srcOrd="2" destOrd="0" presId="urn:microsoft.com/office/officeart/2008/layout/AlternatingPictureBlocks"/>
    <dgm:cxn modelId="{A4AC7C48-6E3D-4E78-8C0D-1C2959BCD22B}" type="presParOf" srcId="{2C086BAF-142A-4B99-9A6F-E8A5579E9AF1}" destId="{6C3A13E3-63F2-4FCB-91E5-41E699AD26BE}" srcOrd="0" destOrd="0" presId="urn:microsoft.com/office/officeart/2008/layout/AlternatingPictureBlocks"/>
    <dgm:cxn modelId="{554A3772-1909-4CD0-B27E-B5A6F7EFC4B8}" type="presParOf" srcId="{2C086BAF-142A-4B99-9A6F-E8A5579E9AF1}" destId="{1C891950-5DCB-4D71-ACF1-AE82CC2FE107}" srcOrd="1" destOrd="0" presId="urn:microsoft.com/office/officeart/2008/layout/AlternatingPictureBlock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703779-4C03-4136-AB62-551BDB74C364}" type="doc">
      <dgm:prSet loTypeId="urn:microsoft.com/office/officeart/2005/8/layout/arrow4" loCatId="relationship" qsTypeId="urn:microsoft.com/office/officeart/2005/8/quickstyle/simple1" qsCatId="simple" csTypeId="urn:microsoft.com/office/officeart/2005/8/colors/accent2_2" csCatId="accent2" phldr="1"/>
      <dgm:spPr/>
      <dgm:t>
        <a:bodyPr/>
        <a:lstStyle/>
        <a:p>
          <a:endParaRPr lang="en-GB"/>
        </a:p>
      </dgm:t>
    </dgm:pt>
    <dgm:pt modelId="{812C2826-AC7B-437C-A4EC-061837A48E54}">
      <dgm:prSet phldrT="[Text]"/>
      <dgm:spPr/>
      <dgm:t>
        <a:bodyPr/>
        <a:lstStyle/>
        <a:p>
          <a:r>
            <a:rPr lang="en-GB"/>
            <a:t>Advantages</a:t>
          </a:r>
        </a:p>
      </dgm:t>
    </dgm:pt>
    <dgm:pt modelId="{2F587BF0-FCE3-4E04-AD0D-E28F97480A5B}" type="parTrans" cxnId="{33E6BABD-C958-445E-861D-1DFB20DED3E9}">
      <dgm:prSet/>
      <dgm:spPr/>
      <dgm:t>
        <a:bodyPr/>
        <a:lstStyle/>
        <a:p>
          <a:endParaRPr lang="en-GB"/>
        </a:p>
      </dgm:t>
    </dgm:pt>
    <dgm:pt modelId="{802086D4-C76F-4E08-B495-A819E8169F5D}" type="sibTrans" cxnId="{33E6BABD-C958-445E-861D-1DFB20DED3E9}">
      <dgm:prSet/>
      <dgm:spPr/>
      <dgm:t>
        <a:bodyPr/>
        <a:lstStyle/>
        <a:p>
          <a:endParaRPr lang="en-GB"/>
        </a:p>
      </dgm:t>
    </dgm:pt>
    <dgm:pt modelId="{64CE5BEE-C849-4CAC-8A41-1197601708B7}">
      <dgm:prSet/>
      <dgm:spPr/>
      <dgm:t>
        <a:bodyPr/>
        <a:lstStyle/>
        <a:p>
          <a:r>
            <a:rPr lang="en-GB"/>
            <a:t>Simple and easy to understand</a:t>
          </a:r>
        </a:p>
      </dgm:t>
    </dgm:pt>
    <dgm:pt modelId="{C727BB0F-674F-49F5-A5A0-B1A2870ADD88}" type="parTrans" cxnId="{2AED9EDD-1F89-447E-B62D-C5739C4D6260}">
      <dgm:prSet/>
      <dgm:spPr/>
      <dgm:t>
        <a:bodyPr/>
        <a:lstStyle/>
        <a:p>
          <a:endParaRPr lang="en-GB"/>
        </a:p>
      </dgm:t>
    </dgm:pt>
    <dgm:pt modelId="{C561D546-7457-432C-AEA6-D4B747B5DC9D}" type="sibTrans" cxnId="{2AED9EDD-1F89-447E-B62D-C5739C4D6260}">
      <dgm:prSet/>
      <dgm:spPr/>
      <dgm:t>
        <a:bodyPr/>
        <a:lstStyle/>
        <a:p>
          <a:endParaRPr lang="en-GB"/>
        </a:p>
      </dgm:t>
    </dgm:pt>
    <dgm:pt modelId="{5E5373DC-1A84-4B3B-B681-32E5D2CA0EE8}">
      <dgm:prSet/>
      <dgm:spPr/>
      <dgm:t>
        <a:bodyPr/>
        <a:lstStyle/>
        <a:p>
          <a:r>
            <a:rPr lang="en-GB"/>
            <a:t>Reflect actual prices paid by operators</a:t>
          </a:r>
        </a:p>
      </dgm:t>
    </dgm:pt>
    <dgm:pt modelId="{F2B14D8F-FCD8-4D04-9453-CD9066726CF7}" type="parTrans" cxnId="{3D529D10-F33D-4D7F-90FC-E4BA35EBB809}">
      <dgm:prSet/>
      <dgm:spPr/>
      <dgm:t>
        <a:bodyPr/>
        <a:lstStyle/>
        <a:p>
          <a:endParaRPr lang="en-GB"/>
        </a:p>
      </dgm:t>
    </dgm:pt>
    <dgm:pt modelId="{95E8E183-D242-4B97-8A6A-162D39F65DF4}" type="sibTrans" cxnId="{3D529D10-F33D-4D7F-90FC-E4BA35EBB809}">
      <dgm:prSet/>
      <dgm:spPr/>
      <dgm:t>
        <a:bodyPr/>
        <a:lstStyle/>
        <a:p>
          <a:endParaRPr lang="en-GB"/>
        </a:p>
      </dgm:t>
    </dgm:pt>
    <dgm:pt modelId="{5A339C50-11FF-4D19-BBF0-A0CFCBB3AEBB}">
      <dgm:prSet/>
      <dgm:spPr/>
      <dgm:t>
        <a:bodyPr/>
        <a:lstStyle/>
        <a:p>
          <a:r>
            <a:rPr lang="en-GB"/>
            <a:t>Publicly available data from past auctions</a:t>
          </a:r>
        </a:p>
      </dgm:t>
    </dgm:pt>
    <dgm:pt modelId="{528681AD-18EF-4B03-AAB8-FCCF2E3FD6C0}" type="parTrans" cxnId="{2F5526A5-1D43-4FCD-8D7A-1DD794F43270}">
      <dgm:prSet/>
      <dgm:spPr/>
      <dgm:t>
        <a:bodyPr/>
        <a:lstStyle/>
        <a:p>
          <a:endParaRPr lang="en-GB"/>
        </a:p>
      </dgm:t>
    </dgm:pt>
    <dgm:pt modelId="{CF95BBC8-F3D7-4CAA-A30D-100228097832}" type="sibTrans" cxnId="{2F5526A5-1D43-4FCD-8D7A-1DD794F43270}">
      <dgm:prSet/>
      <dgm:spPr/>
      <dgm:t>
        <a:bodyPr/>
        <a:lstStyle/>
        <a:p>
          <a:endParaRPr lang="en-GB"/>
        </a:p>
      </dgm:t>
    </dgm:pt>
    <dgm:pt modelId="{072C76D5-F85B-45CD-8489-D99976305DF0}">
      <dgm:prSet/>
      <dgm:spPr/>
      <dgm:t>
        <a:bodyPr/>
        <a:lstStyle/>
        <a:p>
          <a:r>
            <a:rPr lang="en-GB"/>
            <a:t>Disadvantages</a:t>
          </a:r>
        </a:p>
      </dgm:t>
    </dgm:pt>
    <dgm:pt modelId="{E57D1F96-E8C7-44AB-9B87-7A2AD76834D2}" type="parTrans" cxnId="{CD03269C-4C58-4D90-B43B-8F770800BD38}">
      <dgm:prSet/>
      <dgm:spPr/>
      <dgm:t>
        <a:bodyPr/>
        <a:lstStyle/>
        <a:p>
          <a:endParaRPr lang="en-GB"/>
        </a:p>
      </dgm:t>
    </dgm:pt>
    <dgm:pt modelId="{10D1BC08-D123-422C-B474-73D23E016311}" type="sibTrans" cxnId="{CD03269C-4C58-4D90-B43B-8F770800BD38}">
      <dgm:prSet/>
      <dgm:spPr/>
      <dgm:t>
        <a:bodyPr/>
        <a:lstStyle/>
        <a:p>
          <a:endParaRPr lang="en-GB"/>
        </a:p>
      </dgm:t>
    </dgm:pt>
    <dgm:pt modelId="{197B9C69-777F-43D6-8F85-514B375C64A5}">
      <dgm:prSet/>
      <dgm:spPr/>
      <dgm:t>
        <a:bodyPr/>
        <a:lstStyle/>
        <a:p>
          <a:r>
            <a:rPr lang="en-GB"/>
            <a:t>Data points from other countries may not reflect local context and market circumstances</a:t>
          </a:r>
        </a:p>
      </dgm:t>
    </dgm:pt>
    <dgm:pt modelId="{85408C4C-D451-493D-B87B-F9AD57DC22AD}" type="parTrans" cxnId="{E780DB27-5651-4156-BB8D-FB9C26AB8EAA}">
      <dgm:prSet/>
      <dgm:spPr/>
      <dgm:t>
        <a:bodyPr/>
        <a:lstStyle/>
        <a:p>
          <a:endParaRPr lang="en-GB"/>
        </a:p>
      </dgm:t>
    </dgm:pt>
    <dgm:pt modelId="{976D81CC-2386-456E-95E7-3E5AD11A949B}" type="sibTrans" cxnId="{E780DB27-5651-4156-BB8D-FB9C26AB8EAA}">
      <dgm:prSet/>
      <dgm:spPr/>
      <dgm:t>
        <a:bodyPr/>
        <a:lstStyle/>
        <a:p>
          <a:endParaRPr lang="en-GB"/>
        </a:p>
      </dgm:t>
    </dgm:pt>
    <dgm:pt modelId="{6DBE0D94-252A-472A-AB4A-59149B99E950}">
      <dgm:prSet/>
      <dgm:spPr/>
      <dgm:t>
        <a:bodyPr/>
        <a:lstStyle/>
        <a:p>
          <a:r>
            <a:rPr lang="en-GB"/>
            <a:t>Choice of benchmark data can influence results significantly</a:t>
          </a:r>
        </a:p>
      </dgm:t>
    </dgm:pt>
    <dgm:pt modelId="{3244FDEE-E457-4619-A309-1CAEDB194130}" type="parTrans" cxnId="{6EE4685F-C979-45A0-9B54-464EB73CDACF}">
      <dgm:prSet/>
      <dgm:spPr/>
      <dgm:t>
        <a:bodyPr/>
        <a:lstStyle/>
        <a:p>
          <a:endParaRPr lang="en-GB"/>
        </a:p>
      </dgm:t>
    </dgm:pt>
    <dgm:pt modelId="{0C6D7D1F-4BBE-47F8-960F-64D1AB40B75D}" type="sibTrans" cxnId="{6EE4685F-C979-45A0-9B54-464EB73CDACF}">
      <dgm:prSet/>
      <dgm:spPr/>
      <dgm:t>
        <a:bodyPr/>
        <a:lstStyle/>
        <a:p>
          <a:endParaRPr lang="en-GB"/>
        </a:p>
      </dgm:t>
    </dgm:pt>
    <dgm:pt modelId="{0B393229-3B8B-4569-B4E5-D14FE1BA628A}">
      <dgm:prSet/>
      <dgm:spPr/>
      <dgm:t>
        <a:bodyPr/>
        <a:lstStyle/>
        <a:p>
          <a:r>
            <a:rPr lang="en-GB"/>
            <a:t>Requires large datasets to give robust estimates</a:t>
          </a:r>
        </a:p>
      </dgm:t>
    </dgm:pt>
    <dgm:pt modelId="{CD191E0E-3DBD-4200-BB78-5365562C2D40}" type="parTrans" cxnId="{A2326DBF-4408-4F41-811F-1F9D86282B23}">
      <dgm:prSet/>
      <dgm:spPr/>
    </dgm:pt>
    <dgm:pt modelId="{26D69A2E-EB47-4E4D-A758-8B3F45603F68}" type="sibTrans" cxnId="{A2326DBF-4408-4F41-811F-1F9D86282B23}">
      <dgm:prSet/>
      <dgm:spPr/>
    </dgm:pt>
    <dgm:pt modelId="{802D9A0E-E7AC-4AAD-9F2E-4D4937ED943C}" type="pres">
      <dgm:prSet presAssocID="{E4703779-4C03-4136-AB62-551BDB74C364}" presName="compositeShape" presStyleCnt="0">
        <dgm:presLayoutVars>
          <dgm:chMax val="2"/>
          <dgm:dir/>
          <dgm:resizeHandles val="exact"/>
        </dgm:presLayoutVars>
      </dgm:prSet>
      <dgm:spPr/>
    </dgm:pt>
    <dgm:pt modelId="{C842C63F-2383-45FF-BC12-2BDE09CEDA66}" type="pres">
      <dgm:prSet presAssocID="{812C2826-AC7B-437C-A4EC-061837A48E54}" presName="upArrow" presStyleLbl="node1" presStyleIdx="0" presStyleCnt="2"/>
      <dgm:spPr/>
    </dgm:pt>
    <dgm:pt modelId="{B7F4A666-2140-46E4-9E36-728D2E4D13C4}" type="pres">
      <dgm:prSet presAssocID="{812C2826-AC7B-437C-A4EC-061837A48E54}" presName="upArrowText" presStyleLbl="revTx" presStyleIdx="0" presStyleCnt="2">
        <dgm:presLayoutVars>
          <dgm:chMax val="0"/>
          <dgm:bulletEnabled val="1"/>
        </dgm:presLayoutVars>
      </dgm:prSet>
      <dgm:spPr/>
    </dgm:pt>
    <dgm:pt modelId="{29A2AE2D-DCFD-4002-9496-3A813B964640}" type="pres">
      <dgm:prSet presAssocID="{072C76D5-F85B-45CD-8489-D99976305DF0}" presName="downArrow" presStyleLbl="node1" presStyleIdx="1" presStyleCnt="2"/>
      <dgm:spPr/>
    </dgm:pt>
    <dgm:pt modelId="{3D482202-6E47-409A-A6DA-6AB998BF7574}" type="pres">
      <dgm:prSet presAssocID="{072C76D5-F85B-45CD-8489-D99976305DF0}" presName="downArrowText" presStyleLbl="revTx" presStyleIdx="1" presStyleCnt="2">
        <dgm:presLayoutVars>
          <dgm:chMax val="0"/>
          <dgm:bulletEnabled val="1"/>
        </dgm:presLayoutVars>
      </dgm:prSet>
      <dgm:spPr/>
    </dgm:pt>
  </dgm:ptLst>
  <dgm:cxnLst>
    <dgm:cxn modelId="{91914104-9BA1-437D-A517-9199E2D5B899}" type="presOf" srcId="{E4703779-4C03-4136-AB62-551BDB74C364}" destId="{802D9A0E-E7AC-4AAD-9F2E-4D4937ED943C}" srcOrd="0" destOrd="0" presId="urn:microsoft.com/office/officeart/2005/8/layout/arrow4"/>
    <dgm:cxn modelId="{0126FF07-FAC0-4996-ABE3-8707FEDDCD0D}" type="presOf" srcId="{197B9C69-777F-43D6-8F85-514B375C64A5}" destId="{3D482202-6E47-409A-A6DA-6AB998BF7574}" srcOrd="0" destOrd="1" presId="urn:microsoft.com/office/officeart/2005/8/layout/arrow4"/>
    <dgm:cxn modelId="{3D529D10-F33D-4D7F-90FC-E4BA35EBB809}" srcId="{812C2826-AC7B-437C-A4EC-061837A48E54}" destId="{5E5373DC-1A84-4B3B-B681-32E5D2CA0EE8}" srcOrd="1" destOrd="0" parTransId="{F2B14D8F-FCD8-4D04-9453-CD9066726CF7}" sibTransId="{95E8E183-D242-4B97-8A6A-162D39F65DF4}"/>
    <dgm:cxn modelId="{E780DB27-5651-4156-BB8D-FB9C26AB8EAA}" srcId="{072C76D5-F85B-45CD-8489-D99976305DF0}" destId="{197B9C69-777F-43D6-8F85-514B375C64A5}" srcOrd="0" destOrd="0" parTransId="{85408C4C-D451-493D-B87B-F9AD57DC22AD}" sibTransId="{976D81CC-2386-456E-95E7-3E5AD11A949B}"/>
    <dgm:cxn modelId="{6EE4685F-C979-45A0-9B54-464EB73CDACF}" srcId="{072C76D5-F85B-45CD-8489-D99976305DF0}" destId="{6DBE0D94-252A-472A-AB4A-59149B99E950}" srcOrd="1" destOrd="0" parTransId="{3244FDEE-E457-4619-A309-1CAEDB194130}" sibTransId="{0C6D7D1F-4BBE-47F8-960F-64D1AB40B75D}"/>
    <dgm:cxn modelId="{20AE3249-D3FD-413D-8830-7EEEB79C052F}" type="presOf" srcId="{0B393229-3B8B-4569-B4E5-D14FE1BA628A}" destId="{3D482202-6E47-409A-A6DA-6AB998BF7574}" srcOrd="0" destOrd="3" presId="urn:microsoft.com/office/officeart/2005/8/layout/arrow4"/>
    <dgm:cxn modelId="{24E9C86C-8FE4-40F0-8333-DA1897EC7B91}" type="presOf" srcId="{812C2826-AC7B-437C-A4EC-061837A48E54}" destId="{B7F4A666-2140-46E4-9E36-728D2E4D13C4}" srcOrd="0" destOrd="0" presId="urn:microsoft.com/office/officeart/2005/8/layout/arrow4"/>
    <dgm:cxn modelId="{C67EE14F-2851-4041-B192-857B261620F0}" type="presOf" srcId="{5E5373DC-1A84-4B3B-B681-32E5D2CA0EE8}" destId="{B7F4A666-2140-46E4-9E36-728D2E4D13C4}" srcOrd="0" destOrd="2" presId="urn:microsoft.com/office/officeart/2005/8/layout/arrow4"/>
    <dgm:cxn modelId="{CD03269C-4C58-4D90-B43B-8F770800BD38}" srcId="{E4703779-4C03-4136-AB62-551BDB74C364}" destId="{072C76D5-F85B-45CD-8489-D99976305DF0}" srcOrd="1" destOrd="0" parTransId="{E57D1F96-E8C7-44AB-9B87-7A2AD76834D2}" sibTransId="{10D1BC08-D123-422C-B474-73D23E016311}"/>
    <dgm:cxn modelId="{2F5526A5-1D43-4FCD-8D7A-1DD794F43270}" srcId="{812C2826-AC7B-437C-A4EC-061837A48E54}" destId="{5A339C50-11FF-4D19-BBF0-A0CFCBB3AEBB}" srcOrd="2" destOrd="0" parTransId="{528681AD-18EF-4B03-AAB8-FCCF2E3FD6C0}" sibTransId="{CF95BBC8-F3D7-4CAA-A30D-100228097832}"/>
    <dgm:cxn modelId="{33E6BABD-C958-445E-861D-1DFB20DED3E9}" srcId="{E4703779-4C03-4136-AB62-551BDB74C364}" destId="{812C2826-AC7B-437C-A4EC-061837A48E54}" srcOrd="0" destOrd="0" parTransId="{2F587BF0-FCE3-4E04-AD0D-E28F97480A5B}" sibTransId="{802086D4-C76F-4E08-B495-A819E8169F5D}"/>
    <dgm:cxn modelId="{A2326DBF-4408-4F41-811F-1F9D86282B23}" srcId="{072C76D5-F85B-45CD-8489-D99976305DF0}" destId="{0B393229-3B8B-4569-B4E5-D14FE1BA628A}" srcOrd="2" destOrd="0" parTransId="{CD191E0E-3DBD-4200-BB78-5365562C2D40}" sibTransId="{26D69A2E-EB47-4E4D-A758-8B3F45603F68}"/>
    <dgm:cxn modelId="{211DEEE3-E1C2-4873-B07C-2279E8B05121}" type="presOf" srcId="{6DBE0D94-252A-472A-AB4A-59149B99E950}" destId="{3D482202-6E47-409A-A6DA-6AB998BF7574}" srcOrd="0" destOrd="2" presId="urn:microsoft.com/office/officeart/2005/8/layout/arrow4"/>
    <dgm:cxn modelId="{02E3D1D4-3CAD-4755-B903-B1D4220A7B29}" type="presOf" srcId="{64CE5BEE-C849-4CAC-8A41-1197601708B7}" destId="{B7F4A666-2140-46E4-9E36-728D2E4D13C4}" srcOrd="0" destOrd="1" presId="urn:microsoft.com/office/officeart/2005/8/layout/arrow4"/>
    <dgm:cxn modelId="{9028DBD8-D64F-4B43-8858-6BD0E288F078}" type="presOf" srcId="{072C76D5-F85B-45CD-8489-D99976305DF0}" destId="{3D482202-6E47-409A-A6DA-6AB998BF7574}" srcOrd="0" destOrd="0" presId="urn:microsoft.com/office/officeart/2005/8/layout/arrow4"/>
    <dgm:cxn modelId="{DEC66BDC-AC8C-4736-B628-C0C7F06A17C1}" type="presOf" srcId="{5A339C50-11FF-4D19-BBF0-A0CFCBB3AEBB}" destId="{B7F4A666-2140-46E4-9E36-728D2E4D13C4}" srcOrd="0" destOrd="3" presId="urn:microsoft.com/office/officeart/2005/8/layout/arrow4"/>
    <dgm:cxn modelId="{2AED9EDD-1F89-447E-B62D-C5739C4D6260}" srcId="{812C2826-AC7B-437C-A4EC-061837A48E54}" destId="{64CE5BEE-C849-4CAC-8A41-1197601708B7}" srcOrd="0" destOrd="0" parTransId="{C727BB0F-674F-49F5-A5A0-B1A2870ADD88}" sibTransId="{C561D546-7457-432C-AEA6-D4B747B5DC9D}"/>
    <dgm:cxn modelId="{0F4A84C1-0A58-4F69-BFC9-44DB57BDB817}" type="presParOf" srcId="{802D9A0E-E7AC-4AAD-9F2E-4D4937ED943C}" destId="{C842C63F-2383-45FF-BC12-2BDE09CEDA66}" srcOrd="0" destOrd="0" presId="urn:microsoft.com/office/officeart/2005/8/layout/arrow4"/>
    <dgm:cxn modelId="{CA3C3152-C6A5-4413-A69E-099173761C4E}" type="presParOf" srcId="{802D9A0E-E7AC-4AAD-9F2E-4D4937ED943C}" destId="{B7F4A666-2140-46E4-9E36-728D2E4D13C4}" srcOrd="1" destOrd="0" presId="urn:microsoft.com/office/officeart/2005/8/layout/arrow4"/>
    <dgm:cxn modelId="{51615C15-CF31-45C3-A915-01AFA2426247}" type="presParOf" srcId="{802D9A0E-E7AC-4AAD-9F2E-4D4937ED943C}" destId="{29A2AE2D-DCFD-4002-9496-3A813B964640}" srcOrd="2" destOrd="0" presId="urn:microsoft.com/office/officeart/2005/8/layout/arrow4"/>
    <dgm:cxn modelId="{F4B4B7C3-58F2-465F-B4B2-F8E7EF0CC29E}" type="presParOf" srcId="{802D9A0E-E7AC-4AAD-9F2E-4D4937ED943C}" destId="{3D482202-6E47-409A-A6DA-6AB998BF7574}" srcOrd="3" destOrd="0" presId="urn:microsoft.com/office/officeart/2005/8/layout/arrow4"/>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4703779-4C03-4136-AB62-551BDB74C364}" type="doc">
      <dgm:prSet loTypeId="urn:microsoft.com/office/officeart/2005/8/layout/arrow4" loCatId="relationship" qsTypeId="urn:microsoft.com/office/officeart/2005/8/quickstyle/simple1" qsCatId="simple" csTypeId="urn:microsoft.com/office/officeart/2005/8/colors/accent3_2" csCatId="accent3" phldr="1"/>
      <dgm:spPr/>
      <dgm:t>
        <a:bodyPr/>
        <a:lstStyle/>
        <a:p>
          <a:endParaRPr lang="en-GB"/>
        </a:p>
      </dgm:t>
    </dgm:pt>
    <dgm:pt modelId="{812C2826-AC7B-437C-A4EC-061837A48E54}">
      <dgm:prSet phldrT="[Text]"/>
      <dgm:spPr/>
      <dgm:t>
        <a:bodyPr/>
        <a:lstStyle/>
        <a:p>
          <a:r>
            <a:rPr lang="en-GB"/>
            <a:t>Advantages</a:t>
          </a:r>
        </a:p>
      </dgm:t>
    </dgm:pt>
    <dgm:pt modelId="{2F587BF0-FCE3-4E04-AD0D-E28F97480A5B}" type="parTrans" cxnId="{33E6BABD-C958-445E-861D-1DFB20DED3E9}">
      <dgm:prSet/>
      <dgm:spPr/>
      <dgm:t>
        <a:bodyPr/>
        <a:lstStyle/>
        <a:p>
          <a:endParaRPr lang="en-GB"/>
        </a:p>
      </dgm:t>
    </dgm:pt>
    <dgm:pt modelId="{802086D4-C76F-4E08-B495-A819E8169F5D}" type="sibTrans" cxnId="{33E6BABD-C958-445E-861D-1DFB20DED3E9}">
      <dgm:prSet/>
      <dgm:spPr/>
      <dgm:t>
        <a:bodyPr/>
        <a:lstStyle/>
        <a:p>
          <a:endParaRPr lang="en-GB"/>
        </a:p>
      </dgm:t>
    </dgm:pt>
    <dgm:pt modelId="{64CE5BEE-C849-4CAC-8A41-1197601708B7}">
      <dgm:prSet/>
      <dgm:spPr/>
      <dgm:t>
        <a:bodyPr/>
        <a:lstStyle/>
        <a:p>
          <a:r>
            <a:rPr lang="en-GB"/>
            <a:t>Value can be calculated for individual operators</a:t>
          </a:r>
        </a:p>
      </dgm:t>
    </dgm:pt>
    <dgm:pt modelId="{C727BB0F-674F-49F5-A5A0-B1A2870ADD88}" type="parTrans" cxnId="{2AED9EDD-1F89-447E-B62D-C5739C4D6260}">
      <dgm:prSet/>
      <dgm:spPr/>
      <dgm:t>
        <a:bodyPr/>
        <a:lstStyle/>
        <a:p>
          <a:endParaRPr lang="en-GB"/>
        </a:p>
      </dgm:t>
    </dgm:pt>
    <dgm:pt modelId="{C561D546-7457-432C-AEA6-D4B747B5DC9D}" type="sibTrans" cxnId="{2AED9EDD-1F89-447E-B62D-C5739C4D6260}">
      <dgm:prSet/>
      <dgm:spPr/>
      <dgm:t>
        <a:bodyPr/>
        <a:lstStyle/>
        <a:p>
          <a:endParaRPr lang="en-GB"/>
        </a:p>
      </dgm:t>
    </dgm:pt>
    <dgm:pt modelId="{072C76D5-F85B-45CD-8489-D99976305DF0}">
      <dgm:prSet/>
      <dgm:spPr/>
      <dgm:t>
        <a:bodyPr/>
        <a:lstStyle/>
        <a:p>
          <a:r>
            <a:rPr lang="en-GB"/>
            <a:t>Disadvantages</a:t>
          </a:r>
        </a:p>
      </dgm:t>
    </dgm:pt>
    <dgm:pt modelId="{E57D1F96-E8C7-44AB-9B87-7A2AD76834D2}" type="parTrans" cxnId="{CD03269C-4C58-4D90-B43B-8F770800BD38}">
      <dgm:prSet/>
      <dgm:spPr/>
      <dgm:t>
        <a:bodyPr/>
        <a:lstStyle/>
        <a:p>
          <a:endParaRPr lang="en-GB"/>
        </a:p>
      </dgm:t>
    </dgm:pt>
    <dgm:pt modelId="{10D1BC08-D123-422C-B474-73D23E016311}" type="sibTrans" cxnId="{CD03269C-4C58-4D90-B43B-8F770800BD38}">
      <dgm:prSet/>
      <dgm:spPr/>
      <dgm:t>
        <a:bodyPr/>
        <a:lstStyle/>
        <a:p>
          <a:endParaRPr lang="en-GB"/>
        </a:p>
      </dgm:t>
    </dgm:pt>
    <dgm:pt modelId="{6AD3BA78-75FE-4CF0-B474-8B8F7E00F29F}">
      <dgm:prSet/>
      <dgm:spPr/>
      <dgm:t>
        <a:bodyPr/>
        <a:lstStyle/>
        <a:p>
          <a:r>
            <a:rPr lang="en-GB"/>
            <a:t>Useful as a lower bound for spectrum value to an operator</a:t>
          </a:r>
        </a:p>
      </dgm:t>
    </dgm:pt>
    <dgm:pt modelId="{0A0143D3-8424-44BF-B3DD-CE3F4FA1BBDD}" type="parTrans" cxnId="{2F49C5CA-6810-4DEF-B875-D20C1A4A9496}">
      <dgm:prSet/>
      <dgm:spPr/>
      <dgm:t>
        <a:bodyPr/>
        <a:lstStyle/>
        <a:p>
          <a:endParaRPr lang="en-GB"/>
        </a:p>
      </dgm:t>
    </dgm:pt>
    <dgm:pt modelId="{A77ACD22-F77D-4FF9-856D-8E4C8FEFE910}" type="sibTrans" cxnId="{2F49C5CA-6810-4DEF-B875-D20C1A4A9496}">
      <dgm:prSet/>
      <dgm:spPr/>
      <dgm:t>
        <a:bodyPr/>
        <a:lstStyle/>
        <a:p>
          <a:endParaRPr lang="en-GB"/>
        </a:p>
      </dgm:t>
    </dgm:pt>
    <dgm:pt modelId="{6CA8C031-6830-4A51-B3A4-9039129793BE}">
      <dgm:prSet/>
      <dgm:spPr/>
      <dgm:t>
        <a:bodyPr/>
        <a:lstStyle/>
        <a:p>
          <a:r>
            <a:rPr lang="en-GB"/>
            <a:t>Country-specific contexts can be directly captured in the model</a:t>
          </a:r>
        </a:p>
      </dgm:t>
    </dgm:pt>
    <dgm:pt modelId="{C21139E8-B62B-4256-BB9B-C49222DB5464}" type="parTrans" cxnId="{89D676E0-FC4B-44C6-83AF-7624AD7EDA76}">
      <dgm:prSet/>
      <dgm:spPr/>
      <dgm:t>
        <a:bodyPr/>
        <a:lstStyle/>
        <a:p>
          <a:endParaRPr lang="en-GB"/>
        </a:p>
      </dgm:t>
    </dgm:pt>
    <dgm:pt modelId="{788D80F3-F4EA-4049-BB9A-BD3BF26B672E}" type="sibTrans" cxnId="{89D676E0-FC4B-44C6-83AF-7624AD7EDA76}">
      <dgm:prSet/>
      <dgm:spPr/>
      <dgm:t>
        <a:bodyPr/>
        <a:lstStyle/>
        <a:p>
          <a:endParaRPr lang="en-GB"/>
        </a:p>
      </dgm:t>
    </dgm:pt>
    <dgm:pt modelId="{BE26EDE1-A5C6-4424-A491-E634F1F85FFE}">
      <dgm:prSet/>
      <dgm:spPr/>
      <dgm:t>
        <a:bodyPr/>
        <a:lstStyle/>
        <a:p>
          <a:r>
            <a:rPr lang="en-GB"/>
            <a:t>The avoided cost model can provide outputs on aspects such as infrastructure requirements which is not possible with benchmarking methods</a:t>
          </a:r>
        </a:p>
      </dgm:t>
    </dgm:pt>
    <dgm:pt modelId="{9422EA43-B631-4D33-8DE4-D02CF14F73C8}" type="parTrans" cxnId="{1E99C59F-AA65-451B-9A47-4CE9DE1AFDEC}">
      <dgm:prSet/>
      <dgm:spPr/>
      <dgm:t>
        <a:bodyPr/>
        <a:lstStyle/>
        <a:p>
          <a:endParaRPr lang="en-GB"/>
        </a:p>
      </dgm:t>
    </dgm:pt>
    <dgm:pt modelId="{92B30ACA-66B9-4744-83DE-628245FCB95A}" type="sibTrans" cxnId="{1E99C59F-AA65-451B-9A47-4CE9DE1AFDEC}">
      <dgm:prSet/>
      <dgm:spPr/>
      <dgm:t>
        <a:bodyPr/>
        <a:lstStyle/>
        <a:p>
          <a:endParaRPr lang="en-GB"/>
        </a:p>
      </dgm:t>
    </dgm:pt>
    <dgm:pt modelId="{6BACC066-7339-4777-A16E-95D9111740C3}">
      <dgm:prSet/>
      <dgm:spPr/>
      <dgm:t>
        <a:bodyPr/>
        <a:lstStyle/>
        <a:p>
          <a:r>
            <a:rPr lang="en-GB"/>
            <a:t>A complex model is required</a:t>
          </a:r>
        </a:p>
      </dgm:t>
    </dgm:pt>
    <dgm:pt modelId="{1339058D-D427-4A4A-B564-C47EC5626D28}" type="parTrans" cxnId="{E89D6114-3AEA-4A0C-A918-733065D068EA}">
      <dgm:prSet/>
      <dgm:spPr/>
      <dgm:t>
        <a:bodyPr/>
        <a:lstStyle/>
        <a:p>
          <a:endParaRPr lang="en-GB"/>
        </a:p>
      </dgm:t>
    </dgm:pt>
    <dgm:pt modelId="{6813DDF1-9139-4B86-AB05-247527219D8B}" type="sibTrans" cxnId="{E89D6114-3AEA-4A0C-A918-733065D068EA}">
      <dgm:prSet/>
      <dgm:spPr/>
      <dgm:t>
        <a:bodyPr/>
        <a:lstStyle/>
        <a:p>
          <a:endParaRPr lang="en-GB"/>
        </a:p>
      </dgm:t>
    </dgm:pt>
    <dgm:pt modelId="{BABB614B-20DC-45A2-971C-77A47085A437}">
      <dgm:prSet/>
      <dgm:spPr/>
      <dgm:t>
        <a:bodyPr/>
        <a:lstStyle/>
        <a:p>
          <a:r>
            <a:rPr lang="en-GB"/>
            <a:t>Less practical as a way of deriving value for a new entrant, given that there is historical information to guide future projections</a:t>
          </a:r>
        </a:p>
      </dgm:t>
    </dgm:pt>
    <dgm:pt modelId="{353D09E8-2302-47D4-903C-3C2DDB4BAB35}" type="parTrans" cxnId="{A24EE544-9F3B-408A-877F-8C67671AB73A}">
      <dgm:prSet/>
      <dgm:spPr/>
      <dgm:t>
        <a:bodyPr/>
        <a:lstStyle/>
        <a:p>
          <a:endParaRPr lang="en-GB"/>
        </a:p>
      </dgm:t>
    </dgm:pt>
    <dgm:pt modelId="{14AF3388-9DE4-4DC0-8AE0-A9931A767810}" type="sibTrans" cxnId="{A24EE544-9F3B-408A-877F-8C67671AB73A}">
      <dgm:prSet/>
      <dgm:spPr/>
      <dgm:t>
        <a:bodyPr/>
        <a:lstStyle/>
        <a:p>
          <a:endParaRPr lang="en-GB"/>
        </a:p>
      </dgm:t>
    </dgm:pt>
    <dgm:pt modelId="{9E96B314-793B-4826-9CC2-49B5B18A7429}">
      <dgm:prSet/>
      <dgm:spPr/>
      <dgm:t>
        <a:bodyPr/>
        <a:lstStyle/>
        <a:p>
          <a:r>
            <a:rPr lang="en-GB"/>
            <a:t>Operator specific cost data is required, though some international benchmarks may be used to supplement local data </a:t>
          </a:r>
        </a:p>
      </dgm:t>
    </dgm:pt>
    <dgm:pt modelId="{8790E769-790A-43B1-9E90-D8A7252FEDB4}" type="parTrans" cxnId="{55573F12-DB4E-48A1-8456-226EBB48D070}">
      <dgm:prSet/>
      <dgm:spPr/>
      <dgm:t>
        <a:bodyPr/>
        <a:lstStyle/>
        <a:p>
          <a:endParaRPr lang="en-GB"/>
        </a:p>
      </dgm:t>
    </dgm:pt>
    <dgm:pt modelId="{41C75C62-B9D0-4FF0-8244-31A03510C5B6}" type="sibTrans" cxnId="{55573F12-DB4E-48A1-8456-226EBB48D070}">
      <dgm:prSet/>
      <dgm:spPr/>
      <dgm:t>
        <a:bodyPr/>
        <a:lstStyle/>
        <a:p>
          <a:endParaRPr lang="en-GB"/>
        </a:p>
      </dgm:t>
    </dgm:pt>
    <dgm:pt modelId="{802D9A0E-E7AC-4AAD-9F2E-4D4937ED943C}" type="pres">
      <dgm:prSet presAssocID="{E4703779-4C03-4136-AB62-551BDB74C364}" presName="compositeShape" presStyleCnt="0">
        <dgm:presLayoutVars>
          <dgm:chMax val="2"/>
          <dgm:dir/>
          <dgm:resizeHandles val="exact"/>
        </dgm:presLayoutVars>
      </dgm:prSet>
      <dgm:spPr/>
    </dgm:pt>
    <dgm:pt modelId="{C842C63F-2383-45FF-BC12-2BDE09CEDA66}" type="pres">
      <dgm:prSet presAssocID="{812C2826-AC7B-437C-A4EC-061837A48E54}" presName="upArrow" presStyleLbl="node1" presStyleIdx="0" presStyleCnt="2"/>
      <dgm:spPr/>
    </dgm:pt>
    <dgm:pt modelId="{B7F4A666-2140-46E4-9E36-728D2E4D13C4}" type="pres">
      <dgm:prSet presAssocID="{812C2826-AC7B-437C-A4EC-061837A48E54}" presName="upArrowText" presStyleLbl="revTx" presStyleIdx="0" presStyleCnt="2">
        <dgm:presLayoutVars>
          <dgm:chMax val="0"/>
          <dgm:bulletEnabled val="1"/>
        </dgm:presLayoutVars>
      </dgm:prSet>
      <dgm:spPr/>
    </dgm:pt>
    <dgm:pt modelId="{29A2AE2D-DCFD-4002-9496-3A813B964640}" type="pres">
      <dgm:prSet presAssocID="{072C76D5-F85B-45CD-8489-D99976305DF0}" presName="downArrow" presStyleLbl="node1" presStyleIdx="1" presStyleCnt="2"/>
      <dgm:spPr/>
    </dgm:pt>
    <dgm:pt modelId="{3D482202-6E47-409A-A6DA-6AB998BF7574}" type="pres">
      <dgm:prSet presAssocID="{072C76D5-F85B-45CD-8489-D99976305DF0}" presName="downArrowText" presStyleLbl="revTx" presStyleIdx="1" presStyleCnt="2">
        <dgm:presLayoutVars>
          <dgm:chMax val="0"/>
          <dgm:bulletEnabled val="1"/>
        </dgm:presLayoutVars>
      </dgm:prSet>
      <dgm:spPr/>
    </dgm:pt>
  </dgm:ptLst>
  <dgm:cxnLst>
    <dgm:cxn modelId="{2705CF02-0EF4-4CCE-8291-69A901844558}" type="presOf" srcId="{BABB614B-20DC-45A2-971C-77A47085A437}" destId="{3D482202-6E47-409A-A6DA-6AB998BF7574}" srcOrd="0" destOrd="3" presId="urn:microsoft.com/office/officeart/2005/8/layout/arrow4"/>
    <dgm:cxn modelId="{91914104-9BA1-437D-A517-9199E2D5B899}" type="presOf" srcId="{E4703779-4C03-4136-AB62-551BDB74C364}" destId="{802D9A0E-E7AC-4AAD-9F2E-4D4937ED943C}" srcOrd="0" destOrd="0" presId="urn:microsoft.com/office/officeart/2005/8/layout/arrow4"/>
    <dgm:cxn modelId="{23C66B0A-CFC3-43F0-8D54-F52D2B6995F5}" type="presOf" srcId="{6CA8C031-6830-4A51-B3A4-9039129793BE}" destId="{B7F4A666-2140-46E4-9E36-728D2E4D13C4}" srcOrd="0" destOrd="3" presId="urn:microsoft.com/office/officeart/2005/8/layout/arrow4"/>
    <dgm:cxn modelId="{55573F12-DB4E-48A1-8456-226EBB48D070}" srcId="{072C76D5-F85B-45CD-8489-D99976305DF0}" destId="{9E96B314-793B-4826-9CC2-49B5B18A7429}" srcOrd="0" destOrd="0" parTransId="{8790E769-790A-43B1-9E90-D8A7252FEDB4}" sibTransId="{41C75C62-B9D0-4FF0-8244-31A03510C5B6}"/>
    <dgm:cxn modelId="{E89D6114-3AEA-4A0C-A918-733065D068EA}" srcId="{072C76D5-F85B-45CD-8489-D99976305DF0}" destId="{6BACC066-7339-4777-A16E-95D9111740C3}" srcOrd="1" destOrd="0" parTransId="{1339058D-D427-4A4A-B564-C47EC5626D28}" sibTransId="{6813DDF1-9139-4B86-AB05-247527219D8B}"/>
    <dgm:cxn modelId="{A24EE544-9F3B-408A-877F-8C67671AB73A}" srcId="{072C76D5-F85B-45CD-8489-D99976305DF0}" destId="{BABB614B-20DC-45A2-971C-77A47085A437}" srcOrd="2" destOrd="0" parTransId="{353D09E8-2302-47D4-903C-3C2DDB4BAB35}" sibTransId="{14AF3388-9DE4-4DC0-8AE0-A9931A767810}"/>
    <dgm:cxn modelId="{97901145-20E8-47BF-AB4D-08C3BD1CAC9E}" type="presOf" srcId="{9E96B314-793B-4826-9CC2-49B5B18A7429}" destId="{3D482202-6E47-409A-A6DA-6AB998BF7574}" srcOrd="0" destOrd="1" presId="urn:microsoft.com/office/officeart/2005/8/layout/arrow4"/>
    <dgm:cxn modelId="{24E9C86C-8FE4-40F0-8333-DA1897EC7B91}" type="presOf" srcId="{812C2826-AC7B-437C-A4EC-061837A48E54}" destId="{B7F4A666-2140-46E4-9E36-728D2E4D13C4}" srcOrd="0" destOrd="0" presId="urn:microsoft.com/office/officeart/2005/8/layout/arrow4"/>
    <dgm:cxn modelId="{B443BE71-F072-4DBD-80D8-CA6CE9857906}" type="presOf" srcId="{6AD3BA78-75FE-4CF0-B474-8B8F7E00F29F}" destId="{B7F4A666-2140-46E4-9E36-728D2E4D13C4}" srcOrd="0" destOrd="2" presId="urn:microsoft.com/office/officeart/2005/8/layout/arrow4"/>
    <dgm:cxn modelId="{DC06B791-913A-4E40-87B7-54D1E1655E16}" type="presOf" srcId="{BE26EDE1-A5C6-4424-A491-E634F1F85FFE}" destId="{B7F4A666-2140-46E4-9E36-728D2E4D13C4}" srcOrd="0" destOrd="4" presId="urn:microsoft.com/office/officeart/2005/8/layout/arrow4"/>
    <dgm:cxn modelId="{CD03269C-4C58-4D90-B43B-8F770800BD38}" srcId="{E4703779-4C03-4136-AB62-551BDB74C364}" destId="{072C76D5-F85B-45CD-8489-D99976305DF0}" srcOrd="1" destOrd="0" parTransId="{E57D1F96-E8C7-44AB-9B87-7A2AD76834D2}" sibTransId="{10D1BC08-D123-422C-B474-73D23E016311}"/>
    <dgm:cxn modelId="{33E6BABD-C958-445E-861D-1DFB20DED3E9}" srcId="{E4703779-4C03-4136-AB62-551BDB74C364}" destId="{812C2826-AC7B-437C-A4EC-061837A48E54}" srcOrd="0" destOrd="0" parTransId="{2F587BF0-FCE3-4E04-AD0D-E28F97480A5B}" sibTransId="{802086D4-C76F-4E08-B495-A819E8169F5D}"/>
    <dgm:cxn modelId="{89D676E0-FC4B-44C6-83AF-7624AD7EDA76}" srcId="{812C2826-AC7B-437C-A4EC-061837A48E54}" destId="{6CA8C031-6830-4A51-B3A4-9039129793BE}" srcOrd="2" destOrd="0" parTransId="{C21139E8-B62B-4256-BB9B-C49222DB5464}" sibTransId="{788D80F3-F4EA-4049-BB9A-BD3BF26B672E}"/>
    <dgm:cxn modelId="{2F49C5CA-6810-4DEF-B875-D20C1A4A9496}" srcId="{812C2826-AC7B-437C-A4EC-061837A48E54}" destId="{6AD3BA78-75FE-4CF0-B474-8B8F7E00F29F}" srcOrd="1" destOrd="0" parTransId="{0A0143D3-8424-44BF-B3DD-CE3F4FA1BBDD}" sibTransId="{A77ACD22-F77D-4FF9-856D-8E4C8FEFE910}"/>
    <dgm:cxn modelId="{02E3D1D4-3CAD-4755-B903-B1D4220A7B29}" type="presOf" srcId="{64CE5BEE-C849-4CAC-8A41-1197601708B7}" destId="{B7F4A666-2140-46E4-9E36-728D2E4D13C4}" srcOrd="0" destOrd="1" presId="urn:microsoft.com/office/officeart/2005/8/layout/arrow4"/>
    <dgm:cxn modelId="{9028DBD8-D64F-4B43-8858-6BD0E288F078}" type="presOf" srcId="{072C76D5-F85B-45CD-8489-D99976305DF0}" destId="{3D482202-6E47-409A-A6DA-6AB998BF7574}" srcOrd="0" destOrd="0" presId="urn:microsoft.com/office/officeart/2005/8/layout/arrow4"/>
    <dgm:cxn modelId="{AB6420FD-E072-4DCB-B78E-18C581DBCD75}" type="presOf" srcId="{6BACC066-7339-4777-A16E-95D9111740C3}" destId="{3D482202-6E47-409A-A6DA-6AB998BF7574}" srcOrd="0" destOrd="2" presId="urn:microsoft.com/office/officeart/2005/8/layout/arrow4"/>
    <dgm:cxn modelId="{2AED9EDD-1F89-447E-B62D-C5739C4D6260}" srcId="{812C2826-AC7B-437C-A4EC-061837A48E54}" destId="{64CE5BEE-C849-4CAC-8A41-1197601708B7}" srcOrd="0" destOrd="0" parTransId="{C727BB0F-674F-49F5-A5A0-B1A2870ADD88}" sibTransId="{C561D546-7457-432C-AEA6-D4B747B5DC9D}"/>
    <dgm:cxn modelId="{1E99C59F-AA65-451B-9A47-4CE9DE1AFDEC}" srcId="{812C2826-AC7B-437C-A4EC-061837A48E54}" destId="{BE26EDE1-A5C6-4424-A491-E634F1F85FFE}" srcOrd="3" destOrd="0" parTransId="{9422EA43-B631-4D33-8DE4-D02CF14F73C8}" sibTransId="{92B30ACA-66B9-4744-83DE-628245FCB95A}"/>
    <dgm:cxn modelId="{0F4A84C1-0A58-4F69-BFC9-44DB57BDB817}" type="presParOf" srcId="{802D9A0E-E7AC-4AAD-9F2E-4D4937ED943C}" destId="{C842C63F-2383-45FF-BC12-2BDE09CEDA66}" srcOrd="0" destOrd="0" presId="urn:microsoft.com/office/officeart/2005/8/layout/arrow4"/>
    <dgm:cxn modelId="{CA3C3152-C6A5-4413-A69E-099173761C4E}" type="presParOf" srcId="{802D9A0E-E7AC-4AAD-9F2E-4D4937ED943C}" destId="{B7F4A666-2140-46E4-9E36-728D2E4D13C4}" srcOrd="1" destOrd="0" presId="urn:microsoft.com/office/officeart/2005/8/layout/arrow4"/>
    <dgm:cxn modelId="{51615C15-CF31-45C3-A915-01AFA2426247}" type="presParOf" srcId="{802D9A0E-E7AC-4AAD-9F2E-4D4937ED943C}" destId="{29A2AE2D-DCFD-4002-9496-3A813B964640}" srcOrd="2" destOrd="0" presId="urn:microsoft.com/office/officeart/2005/8/layout/arrow4"/>
    <dgm:cxn modelId="{F4B4B7C3-58F2-465F-B4B2-F8E7EF0CC29E}" type="presParOf" srcId="{802D9A0E-E7AC-4AAD-9F2E-4D4937ED943C}" destId="{3D482202-6E47-409A-A6DA-6AB998BF7574}" srcOrd="3" destOrd="0" presId="urn:microsoft.com/office/officeart/2005/8/layout/arrow4"/>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9B74F0-6798-4B08-9A4D-7CFEE438DBB9}">
      <dsp:nvSpPr>
        <dsp:cNvPr id="0" name=""/>
        <dsp:cNvSpPr/>
      </dsp:nvSpPr>
      <dsp:spPr>
        <a:xfrm>
          <a:off x="1899277" y="486"/>
          <a:ext cx="2800491" cy="126661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t" anchorCtr="0">
          <a:noAutofit/>
        </a:bodyPr>
        <a:lstStyle/>
        <a:p>
          <a:pPr marL="0" lvl="0" indent="0" algn="l" defTabSz="800100">
            <a:lnSpc>
              <a:spcPct val="90000"/>
            </a:lnSpc>
            <a:spcBef>
              <a:spcPct val="0"/>
            </a:spcBef>
            <a:spcAft>
              <a:spcPct val="35000"/>
            </a:spcAft>
            <a:buNone/>
          </a:pPr>
          <a:r>
            <a:rPr lang="en-GB" sz="1800" kern="1200"/>
            <a:t>Benchmarking</a:t>
          </a:r>
        </a:p>
        <a:p>
          <a:pPr marL="114300" lvl="1" indent="-114300" algn="l" defTabSz="622300">
            <a:lnSpc>
              <a:spcPct val="90000"/>
            </a:lnSpc>
            <a:spcBef>
              <a:spcPct val="0"/>
            </a:spcBef>
            <a:spcAft>
              <a:spcPct val="15000"/>
            </a:spcAft>
            <a:buChar char="•"/>
          </a:pPr>
          <a:r>
            <a:rPr lang="en-GB" sz="1400" kern="1200"/>
            <a:t>Direct benchmarking</a:t>
          </a:r>
        </a:p>
        <a:p>
          <a:pPr marL="114300" lvl="1" indent="-114300" algn="l" defTabSz="622300">
            <a:lnSpc>
              <a:spcPct val="90000"/>
            </a:lnSpc>
            <a:spcBef>
              <a:spcPct val="0"/>
            </a:spcBef>
            <a:spcAft>
              <a:spcPct val="15000"/>
            </a:spcAft>
            <a:buChar char="•"/>
          </a:pPr>
          <a:r>
            <a:rPr lang="en-GB" sz="1400" kern="1200"/>
            <a:t>Adjusted benchmarking</a:t>
          </a:r>
        </a:p>
        <a:p>
          <a:pPr marL="114300" lvl="1" indent="-114300" algn="l" defTabSz="622300">
            <a:lnSpc>
              <a:spcPct val="90000"/>
            </a:lnSpc>
            <a:spcBef>
              <a:spcPct val="0"/>
            </a:spcBef>
            <a:spcAft>
              <a:spcPct val="15000"/>
            </a:spcAft>
            <a:buChar char="•"/>
          </a:pPr>
          <a:r>
            <a:rPr lang="en-GB" sz="1400" kern="1200"/>
            <a:t>Econometrics</a:t>
          </a:r>
        </a:p>
      </dsp:txBody>
      <dsp:txXfrm>
        <a:off x="1899277" y="486"/>
        <a:ext cx="2800491" cy="1266617"/>
      </dsp:txXfrm>
    </dsp:sp>
    <dsp:sp modelId="{5516F621-0E4F-49CA-A7AF-B9F2E9F8F694}">
      <dsp:nvSpPr>
        <dsp:cNvPr id="0" name=""/>
        <dsp:cNvSpPr/>
      </dsp:nvSpPr>
      <dsp:spPr>
        <a:xfrm>
          <a:off x="519931" y="486"/>
          <a:ext cx="1253951" cy="1266617"/>
        </a:xfrm>
        <a:prstGeom prst="rect">
          <a:avLst/>
        </a:prstGeom>
        <a:blipFill>
          <a:blip xmlns:r="http://schemas.openxmlformats.org/officeDocument/2006/relationships" r:embed="rId1">
            <a:duotone>
              <a:prstClr val="black"/>
              <a:schemeClr val="accent2">
                <a:tint val="45000"/>
                <a:satMod val="400000"/>
              </a:schemeClr>
            </a:duotone>
          </a:blip>
          <a:srcRect/>
          <a:stretch>
            <a:fillRect l="-31000" r="-3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3A13E3-63F2-4FCB-91E5-41E699AD26BE}">
      <dsp:nvSpPr>
        <dsp:cNvPr id="0" name=""/>
        <dsp:cNvSpPr/>
      </dsp:nvSpPr>
      <dsp:spPr>
        <a:xfrm>
          <a:off x="519931" y="1476095"/>
          <a:ext cx="2800491" cy="126661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t" anchorCtr="0">
          <a:noAutofit/>
        </a:bodyPr>
        <a:lstStyle/>
        <a:p>
          <a:pPr marL="0" lvl="0" indent="0" algn="l" defTabSz="800100">
            <a:lnSpc>
              <a:spcPct val="90000"/>
            </a:lnSpc>
            <a:spcBef>
              <a:spcPct val="0"/>
            </a:spcBef>
            <a:spcAft>
              <a:spcPct val="35000"/>
            </a:spcAft>
            <a:buNone/>
          </a:pPr>
          <a:r>
            <a:rPr lang="en-GB" sz="1800" kern="1200"/>
            <a:t>Modelling</a:t>
          </a:r>
        </a:p>
        <a:p>
          <a:pPr marL="114300" lvl="1" indent="-114300" algn="l" defTabSz="622300">
            <a:lnSpc>
              <a:spcPct val="90000"/>
            </a:lnSpc>
            <a:spcBef>
              <a:spcPct val="0"/>
            </a:spcBef>
            <a:spcAft>
              <a:spcPct val="15000"/>
            </a:spcAft>
            <a:buChar char="•"/>
          </a:pPr>
          <a:r>
            <a:rPr lang="en-GB" sz="1400" kern="1200"/>
            <a:t>Avoided cost modelling</a:t>
          </a:r>
        </a:p>
        <a:p>
          <a:pPr marL="114300" lvl="1" indent="-114300" algn="l" defTabSz="622300">
            <a:lnSpc>
              <a:spcPct val="90000"/>
            </a:lnSpc>
            <a:spcBef>
              <a:spcPct val="0"/>
            </a:spcBef>
            <a:spcAft>
              <a:spcPct val="15000"/>
            </a:spcAft>
            <a:buChar char="•"/>
          </a:pPr>
          <a:r>
            <a:rPr lang="en-GB" sz="1400" kern="1200"/>
            <a:t>Business modelling</a:t>
          </a:r>
        </a:p>
        <a:p>
          <a:pPr marL="114300" lvl="1" indent="-114300" algn="l" defTabSz="622300">
            <a:lnSpc>
              <a:spcPct val="90000"/>
            </a:lnSpc>
            <a:spcBef>
              <a:spcPct val="0"/>
            </a:spcBef>
            <a:spcAft>
              <a:spcPct val="15000"/>
            </a:spcAft>
            <a:buChar char="•"/>
          </a:pPr>
          <a:r>
            <a:rPr lang="en-GB" sz="1400" kern="1200"/>
            <a:t>Opportunity cost modelling</a:t>
          </a:r>
        </a:p>
      </dsp:txBody>
      <dsp:txXfrm>
        <a:off x="519931" y="1476095"/>
        <a:ext cx="2800491" cy="1266617"/>
      </dsp:txXfrm>
    </dsp:sp>
    <dsp:sp modelId="{1C891950-5DCB-4D71-ACF1-AE82CC2FE107}">
      <dsp:nvSpPr>
        <dsp:cNvPr id="0" name=""/>
        <dsp:cNvSpPr/>
      </dsp:nvSpPr>
      <dsp:spPr>
        <a:xfrm>
          <a:off x="3445817" y="1476095"/>
          <a:ext cx="1253951" cy="1266617"/>
        </a:xfrm>
        <a:prstGeom prst="rect">
          <a:avLst/>
        </a:prstGeom>
        <a:blipFill>
          <a:blip xmlns:r="http://schemas.openxmlformats.org/officeDocument/2006/relationships" r:embed="rId2"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l="-26000" r="-2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42C63F-2383-45FF-BC12-2BDE09CEDA66}">
      <dsp:nvSpPr>
        <dsp:cNvPr id="0" name=""/>
        <dsp:cNvSpPr/>
      </dsp:nvSpPr>
      <dsp:spPr>
        <a:xfrm>
          <a:off x="3017" y="0"/>
          <a:ext cx="1810512" cy="1536192"/>
        </a:xfrm>
        <a:prstGeom prst="upArrow">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F4A666-2140-46E4-9E36-728D2E4D13C4}">
      <dsp:nvSpPr>
        <dsp:cNvPr id="0" name=""/>
        <dsp:cNvSpPr/>
      </dsp:nvSpPr>
      <dsp:spPr>
        <a:xfrm>
          <a:off x="1867844" y="0"/>
          <a:ext cx="3072384" cy="1536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0" rIns="99568" bIns="99568" numCol="1" spcCol="1270" anchor="ctr" anchorCtr="0">
          <a:noAutofit/>
        </a:bodyPr>
        <a:lstStyle/>
        <a:p>
          <a:pPr marL="0" lvl="0" indent="0" algn="l" defTabSz="622300">
            <a:lnSpc>
              <a:spcPct val="90000"/>
            </a:lnSpc>
            <a:spcBef>
              <a:spcPct val="0"/>
            </a:spcBef>
            <a:spcAft>
              <a:spcPct val="35000"/>
            </a:spcAft>
            <a:buNone/>
          </a:pPr>
          <a:r>
            <a:rPr lang="en-GB" sz="1400" kern="1200"/>
            <a:t>Advantages</a:t>
          </a:r>
        </a:p>
        <a:p>
          <a:pPr marL="57150" lvl="1" indent="-57150" algn="l" defTabSz="488950">
            <a:lnSpc>
              <a:spcPct val="90000"/>
            </a:lnSpc>
            <a:spcBef>
              <a:spcPct val="0"/>
            </a:spcBef>
            <a:spcAft>
              <a:spcPct val="15000"/>
            </a:spcAft>
            <a:buChar char="•"/>
          </a:pPr>
          <a:r>
            <a:rPr lang="en-GB" sz="1100" kern="1200"/>
            <a:t>Simple and easy to understand</a:t>
          </a:r>
        </a:p>
        <a:p>
          <a:pPr marL="57150" lvl="1" indent="-57150" algn="l" defTabSz="488950">
            <a:lnSpc>
              <a:spcPct val="90000"/>
            </a:lnSpc>
            <a:spcBef>
              <a:spcPct val="0"/>
            </a:spcBef>
            <a:spcAft>
              <a:spcPct val="15000"/>
            </a:spcAft>
            <a:buChar char="•"/>
          </a:pPr>
          <a:r>
            <a:rPr lang="en-GB" sz="1100" kern="1200"/>
            <a:t>Reflect actual prices paid by operators</a:t>
          </a:r>
        </a:p>
        <a:p>
          <a:pPr marL="57150" lvl="1" indent="-57150" algn="l" defTabSz="488950">
            <a:lnSpc>
              <a:spcPct val="90000"/>
            </a:lnSpc>
            <a:spcBef>
              <a:spcPct val="0"/>
            </a:spcBef>
            <a:spcAft>
              <a:spcPct val="15000"/>
            </a:spcAft>
            <a:buChar char="•"/>
          </a:pPr>
          <a:r>
            <a:rPr lang="en-GB" sz="1100" kern="1200"/>
            <a:t>Publicly available data from past auctions</a:t>
          </a:r>
        </a:p>
      </dsp:txBody>
      <dsp:txXfrm>
        <a:off x="1867844" y="0"/>
        <a:ext cx="3072384" cy="1536192"/>
      </dsp:txXfrm>
    </dsp:sp>
    <dsp:sp modelId="{29A2AE2D-DCFD-4002-9496-3A813B964640}">
      <dsp:nvSpPr>
        <dsp:cNvPr id="0" name=""/>
        <dsp:cNvSpPr/>
      </dsp:nvSpPr>
      <dsp:spPr>
        <a:xfrm>
          <a:off x="546171" y="1664208"/>
          <a:ext cx="1810512" cy="1536192"/>
        </a:xfrm>
        <a:prstGeom prst="downArrow">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482202-6E47-409A-A6DA-6AB998BF7574}">
      <dsp:nvSpPr>
        <dsp:cNvPr id="0" name=""/>
        <dsp:cNvSpPr/>
      </dsp:nvSpPr>
      <dsp:spPr>
        <a:xfrm>
          <a:off x="2410998" y="1664208"/>
          <a:ext cx="3072384" cy="1536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0" rIns="99568" bIns="99568" numCol="1" spcCol="1270" anchor="ctr" anchorCtr="0">
          <a:noAutofit/>
        </a:bodyPr>
        <a:lstStyle/>
        <a:p>
          <a:pPr marL="0" lvl="0" indent="0" algn="l" defTabSz="622300">
            <a:lnSpc>
              <a:spcPct val="90000"/>
            </a:lnSpc>
            <a:spcBef>
              <a:spcPct val="0"/>
            </a:spcBef>
            <a:spcAft>
              <a:spcPct val="35000"/>
            </a:spcAft>
            <a:buNone/>
          </a:pPr>
          <a:r>
            <a:rPr lang="en-GB" sz="1400" kern="1200"/>
            <a:t>Disadvantages</a:t>
          </a:r>
        </a:p>
        <a:p>
          <a:pPr marL="57150" lvl="1" indent="-57150" algn="l" defTabSz="488950">
            <a:lnSpc>
              <a:spcPct val="90000"/>
            </a:lnSpc>
            <a:spcBef>
              <a:spcPct val="0"/>
            </a:spcBef>
            <a:spcAft>
              <a:spcPct val="15000"/>
            </a:spcAft>
            <a:buChar char="•"/>
          </a:pPr>
          <a:r>
            <a:rPr lang="en-GB" sz="1100" kern="1200"/>
            <a:t>Data points from other countries may not reflect local context and market circumstances</a:t>
          </a:r>
        </a:p>
        <a:p>
          <a:pPr marL="57150" lvl="1" indent="-57150" algn="l" defTabSz="488950">
            <a:lnSpc>
              <a:spcPct val="90000"/>
            </a:lnSpc>
            <a:spcBef>
              <a:spcPct val="0"/>
            </a:spcBef>
            <a:spcAft>
              <a:spcPct val="15000"/>
            </a:spcAft>
            <a:buChar char="•"/>
          </a:pPr>
          <a:r>
            <a:rPr lang="en-GB" sz="1100" kern="1200"/>
            <a:t>Choice of benchmark data can influence results significantly</a:t>
          </a:r>
        </a:p>
        <a:p>
          <a:pPr marL="57150" lvl="1" indent="-57150" algn="l" defTabSz="488950">
            <a:lnSpc>
              <a:spcPct val="90000"/>
            </a:lnSpc>
            <a:spcBef>
              <a:spcPct val="0"/>
            </a:spcBef>
            <a:spcAft>
              <a:spcPct val="15000"/>
            </a:spcAft>
            <a:buChar char="•"/>
          </a:pPr>
          <a:r>
            <a:rPr lang="en-GB" sz="1100" kern="1200"/>
            <a:t>Requires large datasets to give robust estimates</a:t>
          </a:r>
        </a:p>
      </dsp:txBody>
      <dsp:txXfrm>
        <a:off x="2410998" y="1664208"/>
        <a:ext cx="3072384" cy="15361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42C63F-2383-45FF-BC12-2BDE09CEDA66}">
      <dsp:nvSpPr>
        <dsp:cNvPr id="0" name=""/>
        <dsp:cNvSpPr/>
      </dsp:nvSpPr>
      <dsp:spPr>
        <a:xfrm>
          <a:off x="3017" y="0"/>
          <a:ext cx="1810512" cy="1536192"/>
        </a:xfrm>
        <a:prstGeom prst="upArrow">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F4A666-2140-46E4-9E36-728D2E4D13C4}">
      <dsp:nvSpPr>
        <dsp:cNvPr id="0" name=""/>
        <dsp:cNvSpPr/>
      </dsp:nvSpPr>
      <dsp:spPr>
        <a:xfrm>
          <a:off x="1867844" y="0"/>
          <a:ext cx="3072384" cy="1536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0" rIns="85344" bIns="85344" numCol="1" spcCol="1270" anchor="ctr" anchorCtr="0">
          <a:noAutofit/>
        </a:bodyPr>
        <a:lstStyle/>
        <a:p>
          <a:pPr marL="0" lvl="0" indent="0" algn="l" defTabSz="533400">
            <a:lnSpc>
              <a:spcPct val="90000"/>
            </a:lnSpc>
            <a:spcBef>
              <a:spcPct val="0"/>
            </a:spcBef>
            <a:spcAft>
              <a:spcPct val="35000"/>
            </a:spcAft>
            <a:buNone/>
          </a:pPr>
          <a:r>
            <a:rPr lang="en-GB" sz="1200" kern="1200"/>
            <a:t>Advantages</a:t>
          </a:r>
        </a:p>
        <a:p>
          <a:pPr marL="57150" lvl="1" indent="-57150" algn="l" defTabSz="400050">
            <a:lnSpc>
              <a:spcPct val="90000"/>
            </a:lnSpc>
            <a:spcBef>
              <a:spcPct val="0"/>
            </a:spcBef>
            <a:spcAft>
              <a:spcPct val="15000"/>
            </a:spcAft>
            <a:buChar char="•"/>
          </a:pPr>
          <a:r>
            <a:rPr lang="en-GB" sz="900" kern="1200"/>
            <a:t>Value can be calculated for individual operators</a:t>
          </a:r>
        </a:p>
        <a:p>
          <a:pPr marL="57150" lvl="1" indent="-57150" algn="l" defTabSz="400050">
            <a:lnSpc>
              <a:spcPct val="90000"/>
            </a:lnSpc>
            <a:spcBef>
              <a:spcPct val="0"/>
            </a:spcBef>
            <a:spcAft>
              <a:spcPct val="15000"/>
            </a:spcAft>
            <a:buChar char="•"/>
          </a:pPr>
          <a:r>
            <a:rPr lang="en-GB" sz="900" kern="1200"/>
            <a:t>Useful as a lower bound for spectrum value to an operator</a:t>
          </a:r>
        </a:p>
        <a:p>
          <a:pPr marL="57150" lvl="1" indent="-57150" algn="l" defTabSz="400050">
            <a:lnSpc>
              <a:spcPct val="90000"/>
            </a:lnSpc>
            <a:spcBef>
              <a:spcPct val="0"/>
            </a:spcBef>
            <a:spcAft>
              <a:spcPct val="15000"/>
            </a:spcAft>
            <a:buChar char="•"/>
          </a:pPr>
          <a:r>
            <a:rPr lang="en-GB" sz="900" kern="1200"/>
            <a:t>Country-specific contexts can be directly captured in the model</a:t>
          </a:r>
        </a:p>
        <a:p>
          <a:pPr marL="57150" lvl="1" indent="-57150" algn="l" defTabSz="400050">
            <a:lnSpc>
              <a:spcPct val="90000"/>
            </a:lnSpc>
            <a:spcBef>
              <a:spcPct val="0"/>
            </a:spcBef>
            <a:spcAft>
              <a:spcPct val="15000"/>
            </a:spcAft>
            <a:buChar char="•"/>
          </a:pPr>
          <a:r>
            <a:rPr lang="en-GB" sz="900" kern="1200"/>
            <a:t>The avoided cost model can provide outputs on aspects such as infrastructure requirements which is not possible with benchmarking methods</a:t>
          </a:r>
        </a:p>
      </dsp:txBody>
      <dsp:txXfrm>
        <a:off x="1867844" y="0"/>
        <a:ext cx="3072384" cy="1536192"/>
      </dsp:txXfrm>
    </dsp:sp>
    <dsp:sp modelId="{29A2AE2D-DCFD-4002-9496-3A813B964640}">
      <dsp:nvSpPr>
        <dsp:cNvPr id="0" name=""/>
        <dsp:cNvSpPr/>
      </dsp:nvSpPr>
      <dsp:spPr>
        <a:xfrm>
          <a:off x="546171" y="1664208"/>
          <a:ext cx="1810512" cy="1536192"/>
        </a:xfrm>
        <a:prstGeom prst="downArrow">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482202-6E47-409A-A6DA-6AB998BF7574}">
      <dsp:nvSpPr>
        <dsp:cNvPr id="0" name=""/>
        <dsp:cNvSpPr/>
      </dsp:nvSpPr>
      <dsp:spPr>
        <a:xfrm>
          <a:off x="2410998" y="1664208"/>
          <a:ext cx="3072384" cy="1536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0" rIns="85344" bIns="85344" numCol="1" spcCol="1270" anchor="ctr" anchorCtr="0">
          <a:noAutofit/>
        </a:bodyPr>
        <a:lstStyle/>
        <a:p>
          <a:pPr marL="0" lvl="0" indent="0" algn="l" defTabSz="533400">
            <a:lnSpc>
              <a:spcPct val="90000"/>
            </a:lnSpc>
            <a:spcBef>
              <a:spcPct val="0"/>
            </a:spcBef>
            <a:spcAft>
              <a:spcPct val="35000"/>
            </a:spcAft>
            <a:buNone/>
          </a:pPr>
          <a:r>
            <a:rPr lang="en-GB" sz="1200" kern="1200"/>
            <a:t>Disadvantages</a:t>
          </a:r>
        </a:p>
        <a:p>
          <a:pPr marL="57150" lvl="1" indent="-57150" algn="l" defTabSz="400050">
            <a:lnSpc>
              <a:spcPct val="90000"/>
            </a:lnSpc>
            <a:spcBef>
              <a:spcPct val="0"/>
            </a:spcBef>
            <a:spcAft>
              <a:spcPct val="15000"/>
            </a:spcAft>
            <a:buChar char="•"/>
          </a:pPr>
          <a:r>
            <a:rPr lang="en-GB" sz="900" kern="1200"/>
            <a:t>Operator specific cost data is required, though some international benchmarks may be used to supplement local data </a:t>
          </a:r>
        </a:p>
        <a:p>
          <a:pPr marL="57150" lvl="1" indent="-57150" algn="l" defTabSz="400050">
            <a:lnSpc>
              <a:spcPct val="90000"/>
            </a:lnSpc>
            <a:spcBef>
              <a:spcPct val="0"/>
            </a:spcBef>
            <a:spcAft>
              <a:spcPct val="15000"/>
            </a:spcAft>
            <a:buChar char="•"/>
          </a:pPr>
          <a:r>
            <a:rPr lang="en-GB" sz="900" kern="1200"/>
            <a:t>A complex model is required</a:t>
          </a:r>
        </a:p>
        <a:p>
          <a:pPr marL="57150" lvl="1" indent="-57150" algn="l" defTabSz="400050">
            <a:lnSpc>
              <a:spcPct val="90000"/>
            </a:lnSpc>
            <a:spcBef>
              <a:spcPct val="0"/>
            </a:spcBef>
            <a:spcAft>
              <a:spcPct val="15000"/>
            </a:spcAft>
            <a:buChar char="•"/>
          </a:pPr>
          <a:r>
            <a:rPr lang="en-GB" sz="900" kern="1200"/>
            <a:t>Less practical as a way of deriving value for a new entrant, given that there is historical information to guide future projections</a:t>
          </a:r>
        </a:p>
      </dsp:txBody>
      <dsp:txXfrm>
        <a:off x="2410998" y="1664208"/>
        <a:ext cx="3072384" cy="1536192"/>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PictureBlocks">
  <dgm:title val=""/>
  <dgm:desc val=""/>
  <dgm:catLst>
    <dgm:cat type="picture" pri="15000"/>
    <dgm:cat type="pictureconvert" pri="15000"/>
    <dgm:cat type="list" pri="135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primFontSz" for="des" ptType="node" op="equ" val="65"/>
      <dgm:constr type="w" for="ch" forName="comp" refType="w"/>
      <dgm:constr type="h" for="ch" forName="comp" refType="h"/>
      <dgm:constr type="h" for="ch" forName="sibTrans" refType="w" refFor="ch" refForName="comp" op="equ" fact="0.05"/>
    </dgm:constrLst>
    <dgm:ruleLst/>
    <dgm:forEach name="Name0" axis="ch" ptType="node">
      <dgm:layoutNode name="comp" styleLbl="node1">
        <dgm:alg type="composite">
          <dgm:param type="ar" val="3.30"/>
        </dgm:alg>
        <dgm:shape xmlns:r="http://schemas.openxmlformats.org/officeDocument/2006/relationships" r:blip="">
          <dgm:adjLst/>
        </dgm:shape>
        <dgm:presOf/>
        <dgm:choose name="Name1">
          <dgm:if name="Name2" func="var" arg="dir" op="equ" val="norm">
            <dgm:choose name="Name4">
              <dgm:if name="Name5" axis="desOrSelf" ptType="node" func="posOdd" op="equ" val="1">
                <dgm:constrLst>
                  <dgm:constr type="l" for="ch" forName="rect1" refType="w" fact="0"/>
                  <dgm:constr type="t" for="ch" forName="rect1" refType="h" fact="0"/>
                  <dgm:constr type="w" for="ch" forName="rect1" refType="w" fact="0.3"/>
                  <dgm:constr type="h" for="ch" forName="rect1" refType="h"/>
                  <dgm:constr type="l" for="ch" forName="rect2" refType="w" fact="0.33"/>
                  <dgm:constr type="t" for="ch" forName="rect2" refType="h" fact="0"/>
                  <dgm:constr type="w" for="ch" forName="rect2" refType="w" fact="0.67"/>
                  <dgm:constr type="h" for="ch" forName="rect2" refType="h"/>
                </dgm:constrLst>
              </dgm:if>
              <dgm:else name="Name6">
                <dgm:constrLst>
                  <dgm:constr type="l" for="ch" forName="rect1" refType="w" fact="0.7"/>
                  <dgm:constr type="t" for="ch" forName="rect1" refType="h" fact="0"/>
                  <dgm:constr type="w" for="ch" forName="rect1" refType="w" fact="0.3"/>
                  <dgm:constr type="h" for="ch" forName="rect1" refType="h"/>
                  <dgm:constr type="l" for="ch" forName="rect2" refType="w" fact="0"/>
                  <dgm:constr type="t" for="ch" forName="rect2" refType="h" fact="0"/>
                  <dgm:constr type="w" for="ch" forName="rect2" refType="w" fact="0.67"/>
                  <dgm:constr type="h" for="ch" forName="rect2" refType="h"/>
                </dgm:constrLst>
              </dgm:else>
            </dgm:choose>
          </dgm:if>
          <dgm:else name="Name3">
            <dgm:choose name="Name7">
              <dgm:if name="Name8" axis="desOrSelf" ptType="node" func="posOdd" op="equ" val="1">
                <dgm:constrLst>
                  <dgm:constr type="l" for="ch" forName="rect1" refType="w" fact="0.7"/>
                  <dgm:constr type="t" for="ch" forName="rect1" refType="h" fact="0"/>
                  <dgm:constr type="w" for="ch" forName="rect1" refType="w" fact="0.3"/>
                  <dgm:constr type="h" for="ch" forName="rect1" refType="h"/>
                  <dgm:constr type="l" for="ch" forName="rect2" refType="w" fact="0"/>
                  <dgm:constr type="t" for="ch" forName="rect2" refType="h" fact="0"/>
                  <dgm:constr type="w" for="ch" forName="rect2" refType="w" fact="0.67"/>
                  <dgm:constr type="h" for="ch" forName="rect2" refType="h"/>
                </dgm:constrLst>
              </dgm:if>
              <dgm:else name="Name9">
                <dgm:constrLst>
                  <dgm:constr type="l" for="ch" forName="rect1" refType="w" fact="0"/>
                  <dgm:constr type="t" for="ch" forName="rect1" refType="h" fact="0"/>
                  <dgm:constr type="w" for="ch" forName="rect1" refType="w" fact="0.3"/>
                  <dgm:constr type="h" for="ch" forName="rect1" refType="h"/>
                  <dgm:constr type="l" for="ch" forName="rect2" refType="w" fact="0.33"/>
                  <dgm:constr type="t" for="ch" forName="rect2" refType="h" fact="0"/>
                  <dgm:constr type="w" for="ch" forName="rect2" refType="w" fact="0.67"/>
                  <dgm:constr type="h" for="ch" forName="rect2" refType="h"/>
                </dgm:constrLst>
              </dgm:else>
            </dgm:choose>
          </dgm:else>
        </dgm:choose>
        <dgm:ruleLst/>
        <dgm:layoutNode name="rect2" styleLbl="node1">
          <dgm:varLst>
            <dgm:bulletEnabled val="1"/>
          </dgm:varLst>
          <dgm:alg type="tx"/>
          <dgm:shape xmlns:r="http://schemas.openxmlformats.org/officeDocument/2006/relationships" type="rect" r:blip="">
            <dgm:adjLst/>
          </dgm:shape>
          <dgm:presOf axis="desOrSelf" ptType="node"/>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 styleLbl="lnNod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4">
  <dgm:title val=""/>
  <dgm:desc val=""/>
  <dgm:catLst>
    <dgm:cat type="relationship" pri="8000"/>
    <dgm:cat type="process" pri="30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shape xmlns:r="http://schemas.openxmlformats.org/officeDocument/2006/relationships" r:blip="">
      <dgm:adjLst/>
    </dgm:shape>
    <dgm:presOf/>
    <dgm:choose name="Name0">
      <dgm:if name="Name1" func="var" arg="dir" op="equ" val="norm">
        <dgm:choose name="Name2">
          <dgm:if name="Name3" axis="ch" ptType="node" func="cnt" op="lte" val="1">
            <dgm:constrLst>
              <dgm:constr type="primFontSz" for="des" ptType="node" op="equ" val="65"/>
              <dgm:constr type="w" for="ch" forName="upArrow" refType="w" fact="0.33"/>
              <dgm:constr type="h" for="ch" forName="upArrow" refType="h"/>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dgm:constr type="b" for="ch" forName="upArrowText" refType="h" fact="0.48"/>
              <dgm:constr type="l" for="ch" forName="upArrowText" refType="w" refFor="ch" refForName="upArrow" fact="1.03"/>
            </dgm:constrLst>
          </dgm:if>
          <dgm:else name="Name4">
            <dgm:constrLst>
              <dgm:constr type="primFontSz" for="des" ptType="node" op="equ" val="65"/>
              <dgm:constr type="w" for="ch" forName="upArrow" refType="w" fact="0.33"/>
              <dgm:constr type="h" for="ch" forName="upArrow" refType="h" fact="0.48"/>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fact="0.48"/>
              <dgm:constr type="b" for="ch" forName="upArrowText" refType="h" fact="0.48"/>
              <dgm:constr type="l" for="ch" forName="upArrowText" refType="w" refFor="ch" refForName="upArrow" fact="1.03"/>
              <dgm:constr type="w" for="ch" forName="downArrow" refType="w" fact="0.33"/>
              <dgm:constr type="h" for="ch" forName="downArrow" refType="h" fact="0.48"/>
              <dgm:constr type="t" for="ch" forName="downArrow" refType="h" fact="0.52"/>
              <dgm:constr type="l" for="ch" forName="downArrow" refType="w" refFor="ch" refForName="downArrow" fact="0.3"/>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refType="w" refFor="ch" refForName="downArrow" fact="1.33"/>
            </dgm:constrLst>
          </dgm:else>
        </dgm:choose>
      </dgm:if>
      <dgm:else name="Name5">
        <dgm:choose name="Name6">
          <dgm:if name="Name7" axis="ch" ptType="node" func="cnt" op="lte" val="1">
            <dgm:constrLst>
              <dgm:constr type="primFontSz" for="des" ptType="node" op="equ" val="65"/>
              <dgm:constr type="w" for="ch" forName="upArrow" refType="w" fact="0.33"/>
              <dgm:constr type="h" for="ch" forName="upArrow" refType="h"/>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dgm:constr type="t" for="ch" forName="upArrowText"/>
              <dgm:constr type="l" for="ch" forName="upArrowText" refType="w" fact="0.1"/>
            </dgm:constrLst>
          </dgm:if>
          <dgm:else name="Name8">
            <dgm:constrLst>
              <dgm:constr type="primFontSz" for="des" ptType="node" op="equ" val="65"/>
              <dgm:constr type="w" for="ch" forName="upArrow" refType="w" fact="0.33"/>
              <dgm:constr type="h" for="ch" forName="upArrow" refType="h" fact="0.48"/>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fact="0.48"/>
              <dgm:constr type="t" for="ch" forName="upArrowText"/>
              <dgm:constr type="l" for="ch" forName="upArrowText" refType="w" fact="0.1"/>
              <dgm:constr type="w" for="ch" forName="downArrow" refType="w" fact="0.33"/>
              <dgm:constr type="h" for="ch" forName="downArrow" refType="h" fact="0.48"/>
              <dgm:constr type="t" for="ch" forName="downArrow" refType="h" fact="0.52"/>
              <dgm:constr type="l" for="ch" forName="downArrow" refType="w" fact="0.57"/>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dgm:constrLst>
          </dgm:else>
        </dgm:choose>
      </dgm:else>
    </dgm:choose>
    <dgm:ruleLst/>
    <dgm:forEach name="Name9" axis="ch" ptType="node" cnt="1">
      <dgm:layoutNode name="upArrow" styleLbl="node1">
        <dgm:alg type="sp"/>
        <dgm:shape xmlns:r="http://schemas.openxmlformats.org/officeDocument/2006/relationships" type="upArrow" r:blip="">
          <dgm:adjLst/>
        </dgm:shape>
        <dgm:presOf/>
        <dgm:constrLst/>
        <dgm:ruleLst/>
      </dgm:layoutNode>
      <dgm:layoutNode name="upArrowText" styleLbl="revTx">
        <dgm:varLst>
          <dgm:chMax val="0"/>
          <dgm:bulletEnabled val="1"/>
        </dgm:varLst>
        <dgm:choose name="Name10">
          <dgm:if name="Name11" axis="root des" ptType="all node" func="maxDepth" op="gt" val="1">
            <dgm:alg type="tx">
              <dgm:param type="parTxLTRAlign" val="l"/>
              <dgm:param type="parTxRTLAlign" val="r"/>
              <dgm:param type="txAnchorVertCh" val="mid"/>
            </dgm:alg>
          </dgm:if>
          <dgm:else name="Name12">
            <dgm:choose name="Name13">
              <dgm:if name="Name14" func="var" arg="dir" op="equ" val="norm">
                <dgm:alg type="tx">
                  <dgm:param type="parTxLTRAlign" val="l"/>
                  <dgm:param type="parTxRTLAlign" val="l"/>
                  <dgm:param type="txAnchorVertCh" val="mid"/>
                </dgm:alg>
              </dgm:if>
              <dgm:else name="Name15">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forEach name="Name16" axis="ch" ptType="node" st="2"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chMax val="0"/>
          <dgm:bulletEnabled val="1"/>
        </dgm:varLst>
        <dgm:choose name="Name17">
          <dgm:if name="Name18" axis="root des" ptType="all node" func="maxDepth" op="gt" val="1">
            <dgm:alg type="tx">
              <dgm:param type="parTxLTRAlign" val="l"/>
              <dgm:param type="parTxRTLAlign" val="r"/>
              <dgm:param type="txAnchorVertCh" val="mid"/>
            </dgm:alg>
          </dgm:if>
          <dgm:else name="Name19">
            <dgm:choose name="Name20">
              <dgm:if name="Name21" func="var" arg="dir" op="equ" val="norm">
                <dgm:alg type="tx">
                  <dgm:param type="parTxLTRAlign" val="l"/>
                  <dgm:param type="parTxRTLAlign" val="l"/>
                  <dgm:param type="txAnchorVertCh" val="mid"/>
                </dgm:alg>
              </dgm:if>
              <dgm:else name="Name22">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arrow4">
  <dgm:title val=""/>
  <dgm:desc val=""/>
  <dgm:catLst>
    <dgm:cat type="relationship" pri="8000"/>
    <dgm:cat type="process" pri="30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shape xmlns:r="http://schemas.openxmlformats.org/officeDocument/2006/relationships" r:blip="">
      <dgm:adjLst/>
    </dgm:shape>
    <dgm:presOf/>
    <dgm:choose name="Name0">
      <dgm:if name="Name1" func="var" arg="dir" op="equ" val="norm">
        <dgm:choose name="Name2">
          <dgm:if name="Name3" axis="ch" ptType="node" func="cnt" op="lte" val="1">
            <dgm:constrLst>
              <dgm:constr type="primFontSz" for="des" ptType="node" op="equ" val="65"/>
              <dgm:constr type="w" for="ch" forName="upArrow" refType="w" fact="0.33"/>
              <dgm:constr type="h" for="ch" forName="upArrow" refType="h"/>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dgm:constr type="b" for="ch" forName="upArrowText" refType="h" fact="0.48"/>
              <dgm:constr type="l" for="ch" forName="upArrowText" refType="w" refFor="ch" refForName="upArrow" fact="1.03"/>
            </dgm:constrLst>
          </dgm:if>
          <dgm:else name="Name4">
            <dgm:constrLst>
              <dgm:constr type="primFontSz" for="des" ptType="node" op="equ" val="65"/>
              <dgm:constr type="w" for="ch" forName="upArrow" refType="w" fact="0.33"/>
              <dgm:constr type="h" for="ch" forName="upArrow" refType="h" fact="0.48"/>
              <dgm:constr type="b" for="ch" forName="upArrow" refType="h" fact="0.48"/>
              <dgm:constr type="l" for="ch" forName="upArrow"/>
              <dgm:constr type="h" for="ch" forName="upArrow" refType="w" refFor="ch" refForName="upArrow" op="gte" fact="0.75"/>
              <dgm:constr type="w" for="ch" forName="upArrowText" refType="w" fact="0.56"/>
              <dgm:constr type="h" for="ch" forName="upArrowText" refType="h" fact="0.48"/>
              <dgm:constr type="b" for="ch" forName="upArrowText" refType="h" fact="0.48"/>
              <dgm:constr type="l" for="ch" forName="upArrowText" refType="w" refFor="ch" refForName="upArrow" fact="1.03"/>
              <dgm:constr type="w" for="ch" forName="downArrow" refType="w" fact="0.33"/>
              <dgm:constr type="h" for="ch" forName="downArrow" refType="h" fact="0.48"/>
              <dgm:constr type="t" for="ch" forName="downArrow" refType="h" fact="0.52"/>
              <dgm:constr type="l" for="ch" forName="downArrow" refType="w" refFor="ch" refForName="downArrow" fact="0.3"/>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refType="w" refFor="ch" refForName="downArrow" fact="1.33"/>
            </dgm:constrLst>
          </dgm:else>
        </dgm:choose>
      </dgm:if>
      <dgm:else name="Name5">
        <dgm:choose name="Name6">
          <dgm:if name="Name7" axis="ch" ptType="node" func="cnt" op="lte" val="1">
            <dgm:constrLst>
              <dgm:constr type="primFontSz" for="des" ptType="node" op="equ" val="65"/>
              <dgm:constr type="w" for="ch" forName="upArrow" refType="w" fact="0.33"/>
              <dgm:constr type="h" for="ch" forName="upArrow" refType="h"/>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dgm:constr type="t" for="ch" forName="upArrowText"/>
              <dgm:constr type="l" for="ch" forName="upArrowText" refType="w" fact="0.1"/>
            </dgm:constrLst>
          </dgm:if>
          <dgm:else name="Name8">
            <dgm:constrLst>
              <dgm:constr type="primFontSz" for="des" ptType="node" op="equ" val="65"/>
              <dgm:constr type="w" for="ch" forName="upArrow" refType="w" fact="0.33"/>
              <dgm:constr type="h" for="ch" forName="upArrow" refType="h" fact="0.48"/>
              <dgm:constr type="t" for="ch" forName="upArrow"/>
              <dgm:constr type="l" for="ch" forName="upArrow" refType="w" fact="0.67"/>
              <dgm:constr type="h" for="ch" forName="upArrow" refType="w" refFor="ch" refForName="upArrow" op="gte" fact="0.75"/>
              <dgm:constr type="w" for="ch" forName="upArrowText" refType="w" fact="0.56"/>
              <dgm:constr type="h" for="ch" forName="upArrowText" refType="h" fact="0.48"/>
              <dgm:constr type="t" for="ch" forName="upArrowText"/>
              <dgm:constr type="l" for="ch" forName="upArrowText" refType="w" fact="0.1"/>
              <dgm:constr type="w" for="ch" forName="downArrow" refType="w" fact="0.33"/>
              <dgm:constr type="h" for="ch" forName="downArrow" refType="h" fact="0.48"/>
              <dgm:constr type="t" for="ch" forName="downArrow" refType="h" fact="0.52"/>
              <dgm:constr type="l" for="ch" forName="downArrow" refType="w" fact="0.57"/>
              <dgm:constr type="h" for="ch" forName="downArrow" refType="w" refFor="ch" refForName="downArrow" op="gte" fact="0.75"/>
              <dgm:constr type="w" for="ch" forName="downArrowText" refType="w" fact="0.56"/>
              <dgm:constr type="h" for="ch" forName="downArrowText" refType="h" fact="0.48"/>
              <dgm:constr type="t" for="ch" forName="downArrowText" refType="h" fact="0.52"/>
              <dgm:constr type="l" for="ch" forName="downArrowText"/>
            </dgm:constrLst>
          </dgm:else>
        </dgm:choose>
      </dgm:else>
    </dgm:choose>
    <dgm:ruleLst/>
    <dgm:forEach name="Name9" axis="ch" ptType="node" cnt="1">
      <dgm:layoutNode name="upArrow" styleLbl="node1">
        <dgm:alg type="sp"/>
        <dgm:shape xmlns:r="http://schemas.openxmlformats.org/officeDocument/2006/relationships" type="upArrow" r:blip="">
          <dgm:adjLst/>
        </dgm:shape>
        <dgm:presOf/>
        <dgm:constrLst/>
        <dgm:ruleLst/>
      </dgm:layoutNode>
      <dgm:layoutNode name="upArrowText" styleLbl="revTx">
        <dgm:varLst>
          <dgm:chMax val="0"/>
          <dgm:bulletEnabled val="1"/>
        </dgm:varLst>
        <dgm:choose name="Name10">
          <dgm:if name="Name11" axis="root des" ptType="all node" func="maxDepth" op="gt" val="1">
            <dgm:alg type="tx">
              <dgm:param type="parTxLTRAlign" val="l"/>
              <dgm:param type="parTxRTLAlign" val="r"/>
              <dgm:param type="txAnchorVertCh" val="mid"/>
            </dgm:alg>
          </dgm:if>
          <dgm:else name="Name12">
            <dgm:choose name="Name13">
              <dgm:if name="Name14" func="var" arg="dir" op="equ" val="norm">
                <dgm:alg type="tx">
                  <dgm:param type="parTxLTRAlign" val="l"/>
                  <dgm:param type="parTxRTLAlign" val="l"/>
                  <dgm:param type="txAnchorVertCh" val="mid"/>
                </dgm:alg>
              </dgm:if>
              <dgm:else name="Name15">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forEach name="Name16" axis="ch" ptType="node" st="2"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chMax val="0"/>
          <dgm:bulletEnabled val="1"/>
        </dgm:varLst>
        <dgm:choose name="Name17">
          <dgm:if name="Name18" axis="root des" ptType="all node" func="maxDepth" op="gt" val="1">
            <dgm:alg type="tx">
              <dgm:param type="parTxLTRAlign" val="l"/>
              <dgm:param type="parTxRTLAlign" val="r"/>
              <dgm:param type="txAnchorVertCh" val="mid"/>
            </dgm:alg>
          </dgm:if>
          <dgm:else name="Name19">
            <dgm:choose name="Name20">
              <dgm:if name="Name21" func="var" arg="dir" op="equ" val="norm">
                <dgm:alg type="tx">
                  <dgm:param type="parTxLTRAlign" val="l"/>
                  <dgm:param type="parTxRTLAlign" val="l"/>
                  <dgm:param type="txAnchorVertCh" val="mid"/>
                </dgm:alg>
              </dgm:if>
              <dgm:else name="Name22">
                <dgm:alg type="tx">
                  <dgm:param type="parTxLTRAlign" val="r"/>
                  <dgm:param type="parTxRTLAlign" val="r"/>
                  <dgm:param type="txAnchorVertCh" val="mid"/>
                </dgm:alg>
              </dgm:else>
            </dgm:choose>
          </dgm:else>
        </dgm:choose>
        <dgm:shape xmlns:r="http://schemas.openxmlformats.org/officeDocument/2006/relationships" type="rect" r:blip="">
          <dgm:adjLst/>
        </dgm:shape>
        <dgm:presOf axis="desOrSelf" ptType="node"/>
        <dgm:constrLst>
          <dgm:constr type="tMarg"/>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lum">
      <a:dk1>
        <a:srgbClr val="414042"/>
      </a:dk1>
      <a:lt1>
        <a:sysClr val="window" lastClr="FFFFFF"/>
      </a:lt1>
      <a:dk2>
        <a:srgbClr val="4F2683"/>
      </a:dk2>
      <a:lt2>
        <a:srgbClr val="F1F2F2"/>
      </a:lt2>
      <a:accent1>
        <a:srgbClr val="8A8C8E"/>
      </a:accent1>
      <a:accent2>
        <a:srgbClr val="4F2683"/>
      </a:accent2>
      <a:accent3>
        <a:srgbClr val="EC008C"/>
      </a:accent3>
      <a:accent4>
        <a:srgbClr val="F38F1D"/>
      </a:accent4>
      <a:accent5>
        <a:srgbClr val="FDB924"/>
      </a:accent5>
      <a:accent6>
        <a:srgbClr val="BCBEC0"/>
      </a:accent6>
      <a:hlink>
        <a:srgbClr val="4F2683"/>
      </a:hlink>
      <a:folHlink>
        <a:srgbClr val="EC008C"/>
      </a:folHlink>
    </a:clrScheme>
    <a:fontScheme name="Plum 2018">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7e4107-340f-49bc-b242-932585323802">
      <Terms xmlns="http://schemas.microsoft.com/office/infopath/2007/PartnerControls"/>
    </lcf76f155ced4ddcb4097134ff3c332f>
    <TaxCatchAll xmlns="aaf5b1b8-7fa3-4132-a2ec-fb8a46b60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2A608CC66EF46A94C5406789A67A5" ma:contentTypeVersion="18" ma:contentTypeDescription="Create a new document." ma:contentTypeScope="" ma:versionID="dd990cfe0e7c736b6c1a5ae472a708ba">
  <xsd:schema xmlns:xsd="http://www.w3.org/2001/XMLSchema" xmlns:xs="http://www.w3.org/2001/XMLSchema" xmlns:p="http://schemas.microsoft.com/office/2006/metadata/properties" xmlns:ns2="dd7e4107-340f-49bc-b242-932585323802" xmlns:ns3="aaf5b1b8-7fa3-4132-a2ec-fb8a46b60ebe" targetNamespace="http://schemas.microsoft.com/office/2006/metadata/properties" ma:root="true" ma:fieldsID="f3d709465405ccf16d89293f5b43eb80" ns2:_="" ns3:_="">
    <xsd:import namespace="dd7e4107-340f-49bc-b242-932585323802"/>
    <xsd:import namespace="aaf5b1b8-7fa3-4132-a2ec-fb8a46b60e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4107-340f-49bc-b242-932585323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5b1b8-7fa3-4132-a2ec-fb8a46b60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b73f39-9b92-4bc0-bfc8-2ada248a5604}" ma:internalName="TaxCatchAll" ma:showField="CatchAllData" ma:web="aaf5b1b8-7fa3-4132-a2ec-fb8a46b60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5CA4-83BF-42F5-A3F4-BEC669A3CDFA}">
  <ds:schemaRefs>
    <ds:schemaRef ds:uri="http://schemas.microsoft.com/sharepoint/v3/contenttype/forms"/>
  </ds:schemaRefs>
</ds:datastoreItem>
</file>

<file path=customXml/itemProps2.xml><?xml version="1.0" encoding="utf-8"?>
<ds:datastoreItem xmlns:ds="http://schemas.openxmlformats.org/officeDocument/2006/customXml" ds:itemID="{FB440F4F-536B-45D6-ADE7-7577CC7C2D60}">
  <ds:schemaRefs>
    <ds:schemaRef ds:uri="http://schemas.microsoft.com/office/2006/metadata/properties"/>
    <ds:schemaRef ds:uri="http://schemas.microsoft.com/office/infopath/2007/PartnerControls"/>
    <ds:schemaRef ds:uri="dd7e4107-340f-49bc-b242-932585323802"/>
    <ds:schemaRef ds:uri="aaf5b1b8-7fa3-4132-a2ec-fb8a46b60ebe"/>
  </ds:schemaRefs>
</ds:datastoreItem>
</file>

<file path=customXml/itemProps3.xml><?xml version="1.0" encoding="utf-8"?>
<ds:datastoreItem xmlns:ds="http://schemas.openxmlformats.org/officeDocument/2006/customXml" ds:itemID="{7B5107B9-AA78-42D4-9255-F618CC90D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e4107-340f-49bc-b242-932585323802"/>
    <ds:schemaRef ds:uri="aaf5b1b8-7fa3-4132-a2ec-fb8a46b6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6C4D2-02DA-4581-98F8-38AFB655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1</TotalTime>
  <Pages>40</Pages>
  <Words>12019</Words>
  <Characters>64117</Characters>
  <Application>Microsoft Office Word</Application>
  <DocSecurity>0</DocSecurity>
  <Lines>1188</Lines>
  <Paragraphs>534</Paragraphs>
  <ScaleCrop>false</ScaleCrop>
  <Company/>
  <LinksUpToDate>false</LinksUpToDate>
  <CharactersWithSpaces>75969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best practice in spectrum valuation methodologies</dc:title>
  <dc:subject/>
  <dc:creator>Tim Miller</dc:creator>
  <cp:keywords/>
  <dc:description/>
  <cp:lastModifiedBy>David Whytcross</cp:lastModifiedBy>
  <cp:revision>6</cp:revision>
  <cp:lastPrinted>2023-06-27T14:19:00Z</cp:lastPrinted>
  <dcterms:created xsi:type="dcterms:W3CDTF">2023-07-23T23:47:00Z</dcterms:created>
  <dcterms:modified xsi:type="dcterms:W3CDTF">2026-03-27T03:34:00Z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title">
    <vt:lpwstr>International best practice in spectrum valuation</vt:lpwstr>
  </property>
  <property fmtid="{D5CDD505-2E9C-101B-9397-08002B2CF9AE}" pid="3" name="Author Names">
    <vt:lpwstr>Tim Miller</vt:lpwstr>
  </property>
  <property fmtid="{D5CDD505-2E9C-101B-9397-08002B2CF9AE}" pid="4" name="Date">
    <vt:lpwstr>June 2023</vt:lpwstr>
  </property>
  <property fmtid="{D5CDD505-2E9C-101B-9397-08002B2CF9AE}" pid="5" name="Client Name">
    <vt:lpwstr>ACMA</vt:lpwstr>
  </property>
  <property fmtid="{D5CDD505-2E9C-101B-9397-08002B2CF9AE}" pid="6" name="Cover Image">
    <vt:lpwstr>Image 7</vt:lpwstr>
  </property>
  <property fmtid="{D5CDD505-2E9C-101B-9397-08002B2CF9AE}" pid="7" name="MediaServiceImageTags">
    <vt:lpwstr/>
  </property>
  <property fmtid="{D5CDD505-2E9C-101B-9397-08002B2CF9AE}" pid="8" name="ContentTypeId">
    <vt:lpwstr>0x0101009312A608CC66EF46A94C5406789A67A5</vt:lpwstr>
  </property>
  <property fmtid="{D5CDD505-2E9C-101B-9397-08002B2CF9AE}" pid="9" name="ClassificationContentMarkingHeaderShapeIds">
    <vt:lpwstr>1f53bc08,408744b,3fbe5f04,302d0643,35d3a223,3a152a02,21cf68a,5238d306,56a82118,3ee78d79,6a3185b0,66a27ce</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350454c1,9c23a15,8569b98,9e7d4fa,1d23a9fa,741805af,30965bb1,3141095b,14d1102c,7ac84dcb,4176b838</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aeb57847-2996-43f6-9ac9-aca8e5487221_Enabled">
    <vt:lpwstr>true</vt:lpwstr>
  </property>
  <property fmtid="{D5CDD505-2E9C-101B-9397-08002B2CF9AE}" pid="16" name="MSIP_Label_aeb57847-2996-43f6-9ac9-aca8e5487221_SetDate">
    <vt:lpwstr>2025-09-15T01:28:05Z</vt:lpwstr>
  </property>
  <property fmtid="{D5CDD505-2E9C-101B-9397-08002B2CF9AE}" pid="17" name="MSIP_Label_aeb57847-2996-43f6-9ac9-aca8e5487221_Method">
    <vt:lpwstr>Privileged</vt:lpwstr>
  </property>
  <property fmtid="{D5CDD505-2E9C-101B-9397-08002B2CF9AE}" pid="18" name="MSIP_Label_aeb57847-2996-43f6-9ac9-aca8e5487221_Name">
    <vt:lpwstr>90fb82dc-5319-427a-bd3a-0b26e5d5e425</vt:lpwstr>
  </property>
  <property fmtid="{D5CDD505-2E9C-101B-9397-08002B2CF9AE}" pid="19" name="MSIP_Label_aeb57847-2996-43f6-9ac9-aca8e5487221_SiteId">
    <vt:lpwstr>0dac7f39-d20c-4e71-8af3-71ee7e268a2b</vt:lpwstr>
  </property>
  <property fmtid="{D5CDD505-2E9C-101B-9397-08002B2CF9AE}" pid="20" name="MSIP_Label_aeb57847-2996-43f6-9ac9-aca8e5487221_ActionId">
    <vt:lpwstr>d37fc167-b9d8-490b-b21c-6e66d6254034</vt:lpwstr>
  </property>
  <property fmtid="{D5CDD505-2E9C-101B-9397-08002B2CF9AE}" pid="21" name="MSIP_Label_aeb57847-2996-43f6-9ac9-aca8e5487221_ContentBits">
    <vt:lpwstr>3</vt:lpwstr>
  </property>
  <property fmtid="{D5CDD505-2E9C-101B-9397-08002B2CF9AE}" pid="22" name="MSIP_Label_aeb57847-2996-43f6-9ac9-aca8e5487221_Tag">
    <vt:lpwstr>10, 0, 1, 1</vt:lpwstr>
  </property>
  <property fmtid="{D5CDD505-2E9C-101B-9397-08002B2CF9AE}" pid="23" name="docLang">
    <vt:lpwstr>en</vt:lpwstr>
  </property>
</Properties>
</file>