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D280" w14:textId="77777777" w:rsidR="008E04B4" w:rsidRDefault="00E3262C" w:rsidP="00BF214B">
      <w:pPr>
        <w:pStyle w:val="BodyText"/>
      </w:pPr>
      <w:r>
        <w:rPr>
          <w:noProof/>
        </w:rPr>
        <w:drawing>
          <wp:anchor distT="0" distB="0" distL="114300" distR="114300" simplePos="0" relativeHeight="251658242" behindDoc="1" locked="0" layoutInCell="1" allowOverlap="1" wp14:anchorId="15F5FBF7" wp14:editId="18CFF665">
            <wp:simplePos x="0" y="0"/>
            <wp:positionH relativeFrom="margin">
              <wp:align>center</wp:align>
            </wp:positionH>
            <wp:positionV relativeFrom="paragraph">
              <wp:posOffset>1720850</wp:posOffset>
            </wp:positionV>
            <wp:extent cx="7558969" cy="4010400"/>
            <wp:effectExtent l="0" t="0" r="4445" b="952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t="9765" b="10026"/>
                    <a:stretch/>
                  </pic:blipFill>
                  <pic:spPr bwMode="auto">
                    <a:xfrm>
                      <a:off x="0" y="0"/>
                      <a:ext cx="7558969" cy="401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542">
        <w:rPr>
          <w:noProof/>
        </w:rPr>
        <w:drawing>
          <wp:anchor distT="0" distB="0" distL="114300" distR="114300" simplePos="0" relativeHeight="251658244" behindDoc="0" locked="0" layoutInCell="1" allowOverlap="1" wp14:anchorId="7D2C34FD" wp14:editId="23F9C5DF">
            <wp:simplePos x="0" y="0"/>
            <wp:positionH relativeFrom="column">
              <wp:posOffset>3860165</wp:posOffset>
            </wp:positionH>
            <wp:positionV relativeFrom="paragraph">
              <wp:posOffset>6031865</wp:posOffset>
            </wp:positionV>
            <wp:extent cx="2352675" cy="828675"/>
            <wp:effectExtent l="0" t="0" r="9525" b="9525"/>
            <wp:wrapSquare wrapText="bothSides"/>
            <wp:docPr id="1221906830" name="Graphic 12219068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06830" name="Graphic 122190683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52675" cy="828675"/>
                    </a:xfrm>
                    <a:prstGeom prst="rect">
                      <a:avLst/>
                    </a:prstGeom>
                  </pic:spPr>
                </pic:pic>
              </a:graphicData>
            </a:graphic>
            <wp14:sizeRelH relativeFrom="page">
              <wp14:pctWidth>0</wp14:pctWidth>
            </wp14:sizeRelH>
            <wp14:sizeRelV relativeFrom="page">
              <wp14:pctHeight>0</wp14:pctHeight>
            </wp14:sizeRelV>
          </wp:anchor>
        </w:drawing>
      </w:r>
      <w:r w:rsidR="008E04B4">
        <w:rPr>
          <w:noProof/>
        </w:rPr>
        <mc:AlternateContent>
          <mc:Choice Requires="wps">
            <w:drawing>
              <wp:anchor distT="0" distB="0" distL="114300" distR="114300" simplePos="0" relativeHeight="251658240" behindDoc="1" locked="0" layoutInCell="1" allowOverlap="1" wp14:anchorId="4028CE82" wp14:editId="78872A8A">
                <wp:simplePos x="0" y="0"/>
                <wp:positionH relativeFrom="page">
                  <wp:posOffset>-1905</wp:posOffset>
                </wp:positionH>
                <wp:positionV relativeFrom="paragraph">
                  <wp:posOffset>-909955</wp:posOffset>
                </wp:positionV>
                <wp:extent cx="7553960" cy="10677525"/>
                <wp:effectExtent l="0" t="0" r="8890" b="95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960" cy="10677525"/>
                        </a:xfrm>
                        <a:prstGeom prst="rect">
                          <a:avLst/>
                        </a:prstGeom>
                        <a:solidFill>
                          <a:srgbClr val="207B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000" tIns="54000" rIns="54000" bIns="5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16="http://schemas.microsoft.com/office/drawing/2014/main">
            <w:pict w14:anchorId="3FF17522">
              <v:rect id="Rectangle 9" style="position:absolute;margin-left:-.15pt;margin-top:-71.65pt;width:594.8pt;height:84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207ba1" stroked="f" strokeweight="2pt" w14:anchorId="3960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">
                <v:textbox inset="1.5mm,1.5mm,1.5mm,1.5mm"/>
                <w10:wrap anchorx="page"/>
              </v:rect>
            </w:pict>
          </mc:Fallback>
        </mc:AlternateContent>
      </w:r>
      <w:r w:rsidR="00933BDC">
        <w:rPr>
          <w:noProof/>
        </w:rPr>
        <mc:AlternateContent>
          <mc:Choice Requires="wps">
            <w:drawing>
              <wp:anchor distT="45720" distB="45720" distL="114300" distR="114300" simplePos="0" relativeHeight="251658245" behindDoc="1" locked="1" layoutInCell="1" allowOverlap="1" wp14:anchorId="7477DDC0" wp14:editId="35830510">
                <wp:simplePos x="0" y="0"/>
                <wp:positionH relativeFrom="margin">
                  <wp:align>center</wp:align>
                </wp:positionH>
                <wp:positionV relativeFrom="page">
                  <wp:posOffset>6645910</wp:posOffset>
                </wp:positionV>
                <wp:extent cx="7559040" cy="2879090"/>
                <wp:effectExtent l="0" t="0" r="3810" b="0"/>
                <wp:wrapNone/>
                <wp:docPr id="720522371" name="Text Box 720522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879090"/>
                        </a:xfrm>
                        <a:prstGeom prst="rect">
                          <a:avLst/>
                        </a:prstGeom>
                        <a:solidFill>
                          <a:srgbClr val="0B2536">
                            <a:alpha val="90980"/>
                          </a:srgbClr>
                        </a:solidFill>
                        <a:ln w="9525">
                          <a:noFill/>
                          <a:miter lim="800000"/>
                          <a:headEnd/>
                          <a:tailEnd/>
                        </a:ln>
                      </wps:spPr>
                      <wps:txbx>
                        <w:txbxContent>
                          <w:p w14:paraId="129B0960" w14:textId="77777777" w:rsidR="00933BDC" w:rsidRDefault="00933BDC" w:rsidP="00933BDC">
                            <w:pPr>
                              <w:pStyle w:val="BodyTex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16="http://schemas.microsoft.com/office/drawing/2014/main" xmlns:arto="http://schemas.microsoft.com/office/word/2006/arto">
            <w:pict w14:anchorId="3F321000">
              <v:shapetype id="_x0000_t202" coordsize="21600,21600" o:spt="202" path="m,l,21600r21600,l21600,xe" w14:anchorId="7477DDC0">
                <v:stroke joinstyle="miter"/>
                <v:path gradientshapeok="t" o:connecttype="rect"/>
              </v:shapetype>
              <v:shape id="Text Box 720522371" style="position:absolute;margin-left:0;margin-top:523.3pt;width:595.2pt;height:226.7pt;z-index:-251658235;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alt="&quot;&quot;" o:spid="_x0000_s1026" fillcolor="#0b25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">
                <v:fill opacity="59624f"/>
                <v:textbox inset="0,0,0,0">
                  <w:txbxContent>
                    <w:p w:rsidR="00933BDC" w:rsidP="00933BDC" w:rsidRDefault="00933BDC" w14:paraId="672A6659" w14:textId="77777777">
                      <w:pPr>
                        <w:pStyle w:val="BodyText"/>
                      </w:pPr>
                    </w:p>
                  </w:txbxContent>
                </v:textbox>
                <w10:wrap anchorx="margin" anchory="page"/>
                <w10:anchorlock/>
              </v:shape>
            </w:pict>
          </mc:Fallback>
        </mc:AlternateContent>
      </w:r>
    </w:p>
    <w:p w14:paraId="469F326B" w14:textId="23D44EA7" w:rsidR="008E73AE" w:rsidRDefault="00B07E60" w:rsidP="00B53908">
      <w:pPr>
        <w:pStyle w:val="Title"/>
      </w:pPr>
      <w:r>
        <w:t>Financial adjustments for benchmarking analysis</w:t>
      </w:r>
    </w:p>
    <w:p w14:paraId="645E1C5E" w14:textId="77777777" w:rsidR="00E56957" w:rsidRPr="00E56957" w:rsidRDefault="00E56957" w:rsidP="00E56957">
      <w:pPr>
        <w:pStyle w:val="BodyText"/>
      </w:pPr>
      <w:r>
        <w:rPr>
          <w:noProof/>
          <w:lang w:eastAsia="en-AU"/>
        </w:rPr>
        <w:drawing>
          <wp:inline distT="0" distB="0" distL="0" distR="0" wp14:anchorId="7E660974" wp14:editId="46FD4C60">
            <wp:extent cx="752475" cy="126237"/>
            <wp:effectExtent l="0" t="0" r="0" b="7620"/>
            <wp:docPr id="272" name="Picture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6695" cy="128623"/>
                    </a:xfrm>
                    <a:prstGeom prst="rect">
                      <a:avLst/>
                    </a:prstGeom>
                  </pic:spPr>
                </pic:pic>
              </a:graphicData>
            </a:graphic>
          </wp:inline>
        </w:drawing>
      </w:r>
    </w:p>
    <w:p w14:paraId="097338C3" w14:textId="39482D29" w:rsidR="008E04B4" w:rsidRDefault="00B07E60" w:rsidP="008E04B4">
      <w:r>
        <w:rPr>
          <w:rStyle w:val="SubtitleChar"/>
        </w:rPr>
        <w:t>Prepared for the ACMA</w:t>
      </w:r>
      <w:r w:rsidR="00E56957">
        <w:t xml:space="preserve"> </w:t>
      </w:r>
      <w:r w:rsidR="00E56957" w:rsidRPr="00657C24">
        <w:rPr>
          <w:rStyle w:val="SubtitleChar"/>
        </w:rPr>
        <w:t>|</w:t>
      </w:r>
      <w:r w:rsidR="00E56957">
        <w:t xml:space="preserve"> </w:t>
      </w:r>
      <w:bookmarkStart w:id="0" w:name="_Hlk113889633"/>
      <w:r>
        <w:rPr>
          <w:rStyle w:val="SubtitleChar"/>
        </w:rPr>
        <w:t>June 2024</w:t>
      </w:r>
      <w:r w:rsidR="00E56957">
        <w:t xml:space="preserve">  </w:t>
      </w:r>
      <w:bookmarkEnd w:id="0"/>
      <w:r w:rsidR="008E04B4" w:rsidRPr="00152A3D">
        <w:rPr>
          <w:noProof/>
        </w:rPr>
        <w:drawing>
          <wp:anchor distT="0" distB="0" distL="114300" distR="114300" simplePos="0" relativeHeight="251658243" behindDoc="1" locked="0" layoutInCell="1" allowOverlap="1" wp14:anchorId="437435A4" wp14:editId="5C3AB323">
            <wp:simplePos x="0" y="0"/>
            <wp:positionH relativeFrom="page">
              <wp:align>right</wp:align>
            </wp:positionH>
            <wp:positionV relativeFrom="paragraph">
              <wp:posOffset>1944740</wp:posOffset>
            </wp:positionV>
            <wp:extent cx="7559675" cy="4240530"/>
            <wp:effectExtent l="0" t="0" r="3175" b="7620"/>
            <wp:wrapNone/>
            <wp:docPr id="49076814" name="Picture 49076814">
              <a:extLst xmlns:a="http://schemas.openxmlformats.org/drawingml/2006/main">
                <a:ext uri="{FF2B5EF4-FFF2-40B4-BE49-F238E27FC236}">
                  <a16:creationId xmlns:a16="http://schemas.microsoft.com/office/drawing/2014/main" id="{C554BBBD-86FA-4146-BE32-0931B0316FF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6814" name="Picture 49076814">
                      <a:extLst>
                        <a:ext uri="{FF2B5EF4-FFF2-40B4-BE49-F238E27FC236}">
                          <a16:creationId xmlns:a16="http://schemas.microsoft.com/office/drawing/2014/main" id="{C554BBBD-86FA-4146-BE32-0931B0316FFD}"/>
                        </a:ext>
                        <a:ext uri="{C183D7F6-B498-43B3-948B-1728B52AA6E4}">
                          <adec:decorative xmlns:adec="http://schemas.microsoft.com/office/drawing/2017/decorative" val="1"/>
                        </a:ext>
                      </a:extLst>
                    </pic:cNvPr>
                    <pic:cNvPicPr>
                      <a:picLocks noChangeAspect="1"/>
                    </pic:cNvPicPr>
                  </pic:nvPicPr>
                  <pic:blipFill rotWithShape="1">
                    <a:blip r:embed="rId15">
                      <a:extLst>
                        <a:ext uri="{28A0092B-C50C-407E-A947-70E740481C1C}">
                          <a14:useLocalDpi xmlns:a14="http://schemas.microsoft.com/office/drawing/2010/main" val="0"/>
                        </a:ext>
                      </a:extLst>
                    </a:blip>
                    <a:srcRect t="15861"/>
                    <a:stretch/>
                  </pic:blipFill>
                  <pic:spPr bwMode="auto">
                    <a:xfrm>
                      <a:off x="0" y="0"/>
                      <a:ext cx="7559675" cy="4240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4B4">
        <w:rPr>
          <w:rFonts w:cs="Open Sans"/>
          <w:noProof/>
        </w:rPr>
        <w:drawing>
          <wp:anchor distT="0" distB="0" distL="114300" distR="114300" simplePos="0" relativeHeight="251658241" behindDoc="1" locked="0" layoutInCell="1" allowOverlap="1" wp14:anchorId="52F72865" wp14:editId="6ED58CFF">
            <wp:simplePos x="0" y="0"/>
            <wp:positionH relativeFrom="page">
              <wp:align>right</wp:align>
            </wp:positionH>
            <wp:positionV relativeFrom="paragraph">
              <wp:posOffset>1939660</wp:posOffset>
            </wp:positionV>
            <wp:extent cx="7560000" cy="4248000"/>
            <wp:effectExtent l="0" t="0" r="3175" b="635"/>
            <wp:wrapNone/>
            <wp:docPr id="1888262626" name="Picture 18882626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62626" name="Picture 188826262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4248000"/>
                    </a:xfrm>
                    <a:prstGeom prst="rect">
                      <a:avLst/>
                    </a:prstGeom>
                  </pic:spPr>
                </pic:pic>
              </a:graphicData>
            </a:graphic>
            <wp14:sizeRelH relativeFrom="page">
              <wp14:pctWidth>0</wp14:pctWidth>
            </wp14:sizeRelH>
            <wp14:sizeRelV relativeFrom="page">
              <wp14:pctHeight>0</wp14:pctHeight>
            </wp14:sizeRelV>
          </wp:anchor>
        </w:drawing>
      </w:r>
    </w:p>
    <w:p w14:paraId="245558EC" w14:textId="77777777" w:rsidR="00FC4611" w:rsidRPr="00BC1B34" w:rsidRDefault="00FC4611" w:rsidP="00E56957">
      <w:pPr>
        <w:pStyle w:val="Subtitle"/>
        <w:sectPr w:rsidR="00FC4611" w:rsidRPr="00BC1B34" w:rsidSect="0091369A">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157" w:left="1440" w:header="720" w:footer="720" w:gutter="0"/>
          <w:pgNumType w:start="0"/>
          <w:cols w:space="720"/>
          <w:titlePg/>
          <w:docGrid w:linePitch="360"/>
        </w:sectPr>
      </w:pPr>
    </w:p>
    <w:p w14:paraId="79412588" w14:textId="77777777" w:rsidR="00CD662E" w:rsidRDefault="00CD662E" w:rsidP="00CD662E">
      <w:pPr>
        <w:pStyle w:val="BodyText"/>
      </w:pPr>
    </w:p>
    <w:p w14:paraId="5349BD67" w14:textId="77777777" w:rsidR="00CD662E" w:rsidRDefault="00CD662E" w:rsidP="00CD662E">
      <w:pPr>
        <w:pStyle w:val="BodyText"/>
      </w:pPr>
    </w:p>
    <w:p w14:paraId="4EF400F1" w14:textId="77777777" w:rsidR="00CD662E" w:rsidRDefault="00CD662E" w:rsidP="00CD662E">
      <w:pPr>
        <w:pStyle w:val="BodyText"/>
      </w:pPr>
    </w:p>
    <w:p w14:paraId="01D5064E" w14:textId="77777777" w:rsidR="00CD662E" w:rsidRDefault="00CD662E" w:rsidP="00CD662E">
      <w:pPr>
        <w:pStyle w:val="BodyText"/>
      </w:pPr>
    </w:p>
    <w:p w14:paraId="645F8F43" w14:textId="77777777" w:rsidR="00CD662E" w:rsidRDefault="00CD662E" w:rsidP="00CD662E">
      <w:pPr>
        <w:pStyle w:val="BodyText"/>
      </w:pPr>
    </w:p>
    <w:p w14:paraId="4107EEA2" w14:textId="77777777" w:rsidR="00CD662E" w:rsidRDefault="00CD662E" w:rsidP="00CD662E">
      <w:pPr>
        <w:pStyle w:val="BodyText"/>
      </w:pPr>
    </w:p>
    <w:p w14:paraId="685A9FE8" w14:textId="77777777" w:rsidR="00CD662E" w:rsidRDefault="00CD662E" w:rsidP="00CD662E">
      <w:pPr>
        <w:pStyle w:val="BodyText"/>
      </w:pPr>
    </w:p>
    <w:p w14:paraId="77B56610" w14:textId="77777777" w:rsidR="00CD662E" w:rsidRDefault="00CD662E" w:rsidP="00CD662E">
      <w:pPr>
        <w:pStyle w:val="BodyText"/>
      </w:pPr>
    </w:p>
    <w:p w14:paraId="05196B67" w14:textId="77777777" w:rsidR="00CD662E" w:rsidRDefault="00CD662E" w:rsidP="00CD662E">
      <w:pPr>
        <w:pStyle w:val="BodyText"/>
      </w:pPr>
    </w:p>
    <w:p w14:paraId="3B39FE00" w14:textId="77777777" w:rsidR="00CD662E" w:rsidRDefault="00CD662E" w:rsidP="00CD662E">
      <w:pPr>
        <w:pStyle w:val="BodyText"/>
      </w:pPr>
    </w:p>
    <w:p w14:paraId="3AD20697" w14:textId="77777777" w:rsidR="00CD662E" w:rsidRDefault="00CD662E" w:rsidP="00CD662E">
      <w:pPr>
        <w:pStyle w:val="BodyText"/>
      </w:pPr>
    </w:p>
    <w:p w14:paraId="2653985D" w14:textId="77777777" w:rsidR="00CD662E" w:rsidRDefault="00CD662E" w:rsidP="00CD662E">
      <w:pPr>
        <w:pStyle w:val="BodyText"/>
      </w:pPr>
    </w:p>
    <w:p w14:paraId="7008E287" w14:textId="77777777" w:rsidR="00CD662E" w:rsidRDefault="00CD662E" w:rsidP="00CD662E">
      <w:pPr>
        <w:pStyle w:val="BodyText"/>
      </w:pPr>
    </w:p>
    <w:p w14:paraId="1FE73E78" w14:textId="77777777" w:rsidR="00CD662E" w:rsidRDefault="00CD662E" w:rsidP="00CD662E">
      <w:pPr>
        <w:pStyle w:val="BodyText"/>
      </w:pPr>
    </w:p>
    <w:p w14:paraId="05544AF4" w14:textId="77777777" w:rsidR="00CD662E" w:rsidRDefault="00CD662E" w:rsidP="00CD662E">
      <w:pPr>
        <w:pStyle w:val="BodyText"/>
      </w:pPr>
    </w:p>
    <w:p w14:paraId="0DCC1F73" w14:textId="77777777" w:rsidR="00CD662E" w:rsidRDefault="00CD662E" w:rsidP="00CD662E">
      <w:pPr>
        <w:pStyle w:val="BodyText"/>
      </w:pPr>
    </w:p>
    <w:p w14:paraId="6ADF4A14" w14:textId="77777777" w:rsidR="00CD662E" w:rsidRDefault="00CD662E" w:rsidP="00CD662E">
      <w:pPr>
        <w:pStyle w:val="BodyText"/>
      </w:pPr>
    </w:p>
    <w:p w14:paraId="1329D02A" w14:textId="77777777" w:rsidR="00CD662E" w:rsidRDefault="00CD662E" w:rsidP="00CD662E">
      <w:pPr>
        <w:pStyle w:val="BodyText"/>
      </w:pPr>
    </w:p>
    <w:p w14:paraId="46238824" w14:textId="77777777" w:rsidR="00CD662E" w:rsidRDefault="00CD662E" w:rsidP="00CD662E">
      <w:pPr>
        <w:pStyle w:val="BodyText"/>
      </w:pPr>
    </w:p>
    <w:p w14:paraId="5C2A9F59" w14:textId="77777777" w:rsidR="00CD662E" w:rsidRDefault="00CD662E" w:rsidP="00CD662E">
      <w:pPr>
        <w:pStyle w:val="BodyText"/>
      </w:pPr>
    </w:p>
    <w:p w14:paraId="6A30041A" w14:textId="77777777" w:rsidR="00CD662E" w:rsidRDefault="00CD662E" w:rsidP="00CD662E">
      <w:pPr>
        <w:pStyle w:val="BodyText"/>
      </w:pPr>
    </w:p>
    <w:p w14:paraId="4F1A536E" w14:textId="77777777" w:rsidR="00CD662E" w:rsidRDefault="00CD662E" w:rsidP="00CD662E">
      <w:pPr>
        <w:pStyle w:val="BodyText"/>
      </w:pPr>
    </w:p>
    <w:p w14:paraId="3FFF71B6" w14:textId="77777777" w:rsidR="00CE1250" w:rsidRDefault="00CE1250" w:rsidP="00CD662E">
      <w:pPr>
        <w:pStyle w:val="BodyText"/>
      </w:pPr>
    </w:p>
    <w:p w14:paraId="45BA2949" w14:textId="77777777" w:rsidR="00CD662E" w:rsidRDefault="00CD662E" w:rsidP="00CD662E">
      <w:pPr>
        <w:pStyle w:val="BodyText"/>
      </w:pPr>
    </w:p>
    <w:p w14:paraId="11CEAB04" w14:textId="77777777" w:rsidR="00CD662E" w:rsidRDefault="00CD662E" w:rsidP="00CD662E">
      <w:pPr>
        <w:pStyle w:val="BodyText"/>
      </w:pPr>
      <w:r>
        <w:t>Frontier Economics Pty Ltd is a member of the Frontier Economics network, and is headquartered in Australia with a subsidiary company, Frontier Economics Pte Ltd in Singapore. Our fellow network member, Frontier Economics Ltd, is headquartered in the United Kingdom. The companies are independently owned, and legal commitments entered into by any one company do not impose any obligations on other companies in the network. All views expressed in this document are the views of Frontier Economics Pty Ltd.</w:t>
      </w:r>
    </w:p>
    <w:p w14:paraId="40837598" w14:textId="77777777" w:rsidR="00D51F1D" w:rsidRDefault="00D51F1D" w:rsidP="00CD662E">
      <w:pPr>
        <w:pStyle w:val="BodyText"/>
      </w:pPr>
    </w:p>
    <w:p w14:paraId="0E432A74" w14:textId="77777777" w:rsidR="00CD662E" w:rsidRPr="00D51F1D" w:rsidRDefault="00CD662E" w:rsidP="00D51F1D">
      <w:pPr>
        <w:pStyle w:val="BodyText"/>
        <w:rPr>
          <w:rStyle w:val="Characterbold"/>
        </w:rPr>
      </w:pPr>
      <w:r w:rsidRPr="00D51F1D">
        <w:rPr>
          <w:rStyle w:val="Characterbold"/>
        </w:rPr>
        <w:t>Disclaimer</w:t>
      </w:r>
    </w:p>
    <w:p w14:paraId="41C05CA3" w14:textId="77777777" w:rsidR="00DD35E1" w:rsidRPr="008E73AE" w:rsidRDefault="00CD662E" w:rsidP="00B53908">
      <w:pPr>
        <w:pStyle w:val="BodyText"/>
      </w:pPr>
      <w:r>
        <w:t>None of Frontier Economics Pty Ltd (including the directors and employees) make any representation or warranty as to the accuracy or completeness of this report. Nor shall they have any liability (whether arising from negligence or otherwise) for any representations (express or implied) or information contained in, or for any omissions from, the report or any written or oral communications transmitted in the course of the project.</w:t>
      </w:r>
      <w:r w:rsidR="00DD35E1">
        <w:br w:type="page"/>
      </w:r>
    </w:p>
    <w:p w14:paraId="0BAEB169" w14:textId="77777777" w:rsidR="00452A9D" w:rsidRDefault="00452A9D" w:rsidP="00FA2DC7">
      <w:pPr>
        <w:pStyle w:val="TOCHeading"/>
        <w:tabs>
          <w:tab w:val="left" w:pos="2955"/>
        </w:tabs>
      </w:pPr>
      <w:r>
        <w:lastRenderedPageBreak/>
        <w:t>Contents</w:t>
      </w:r>
    </w:p>
    <w:p w14:paraId="2125581A" w14:textId="0112F536" w:rsidR="00290E80" w:rsidRDefault="008F7C7F">
      <w:pPr>
        <w:pStyle w:val="TOC1"/>
        <w:rPr>
          <w:rFonts w:asciiTheme="minorHAnsi" w:eastAsiaTheme="minorEastAsia" w:hAnsiTheme="minorHAnsi"/>
          <w:noProof/>
          <w:color w:val="auto"/>
          <w:kern w:val="2"/>
          <w:szCs w:val="24"/>
          <w:lang w:eastAsia="en-AU"/>
          <w14:ligatures w14:val="standardContextual"/>
        </w:rPr>
      </w:pPr>
      <w:r>
        <w:fldChar w:fldCharType="begin"/>
      </w:r>
      <w:r>
        <w:instrText xml:space="preserve"> TOC \o "2-2" \h \z \t "Heading 1,1,AppendixHead,1" </w:instrText>
      </w:r>
      <w:r>
        <w:fldChar w:fldCharType="separate"/>
      </w:r>
      <w:hyperlink w:anchor="_Toc170474021" w:history="1">
        <w:r w:rsidR="00290E80" w:rsidRPr="0098656F">
          <w:rPr>
            <w:rStyle w:val="Hyperlink"/>
            <w:noProof/>
          </w:rPr>
          <w:t>1</w:t>
        </w:r>
        <w:r w:rsidR="00290E80">
          <w:rPr>
            <w:rFonts w:asciiTheme="minorHAnsi" w:eastAsiaTheme="minorEastAsia" w:hAnsiTheme="minorHAnsi"/>
            <w:noProof/>
            <w:color w:val="auto"/>
            <w:kern w:val="2"/>
            <w:szCs w:val="24"/>
            <w:lang w:eastAsia="en-AU"/>
            <w14:ligatures w14:val="standardContextual"/>
          </w:rPr>
          <w:tab/>
        </w:r>
        <w:r w:rsidR="00290E80" w:rsidRPr="0098656F">
          <w:rPr>
            <w:rStyle w:val="Hyperlink"/>
            <w:noProof/>
          </w:rPr>
          <w:t>Summary</w:t>
        </w:r>
        <w:r w:rsidR="00290E80">
          <w:rPr>
            <w:noProof/>
            <w:webHidden/>
          </w:rPr>
          <w:tab/>
        </w:r>
        <w:r w:rsidR="00290E80">
          <w:rPr>
            <w:noProof/>
            <w:webHidden/>
          </w:rPr>
          <w:fldChar w:fldCharType="begin"/>
        </w:r>
        <w:r w:rsidR="00290E80">
          <w:rPr>
            <w:noProof/>
            <w:webHidden/>
          </w:rPr>
          <w:instrText xml:space="preserve"> PAGEREF _Toc170474021 \h </w:instrText>
        </w:r>
        <w:r w:rsidR="00290E80">
          <w:rPr>
            <w:noProof/>
            <w:webHidden/>
          </w:rPr>
        </w:r>
        <w:r w:rsidR="00290E80">
          <w:rPr>
            <w:noProof/>
            <w:webHidden/>
          </w:rPr>
          <w:fldChar w:fldCharType="separate"/>
        </w:r>
        <w:r w:rsidR="00290E80">
          <w:rPr>
            <w:noProof/>
            <w:webHidden/>
          </w:rPr>
          <w:t>5</w:t>
        </w:r>
        <w:r w:rsidR="00290E80">
          <w:rPr>
            <w:noProof/>
            <w:webHidden/>
          </w:rPr>
          <w:fldChar w:fldCharType="end"/>
        </w:r>
      </w:hyperlink>
    </w:p>
    <w:p w14:paraId="30B1A53A" w14:textId="7C6FAD67" w:rsidR="00290E80" w:rsidRDefault="00290E80">
      <w:pPr>
        <w:pStyle w:val="TOC1"/>
        <w:rPr>
          <w:rFonts w:asciiTheme="minorHAnsi" w:eastAsiaTheme="minorEastAsia" w:hAnsiTheme="minorHAnsi"/>
          <w:noProof/>
          <w:color w:val="auto"/>
          <w:kern w:val="2"/>
          <w:szCs w:val="24"/>
          <w:lang w:eastAsia="en-AU"/>
          <w14:ligatures w14:val="standardContextual"/>
        </w:rPr>
      </w:pPr>
      <w:hyperlink w:anchor="_Toc170474022" w:history="1">
        <w:r w:rsidRPr="0098656F">
          <w:rPr>
            <w:rStyle w:val="Hyperlink"/>
            <w:noProof/>
          </w:rPr>
          <w:t>2</w:t>
        </w:r>
        <w:r>
          <w:rPr>
            <w:rFonts w:asciiTheme="minorHAnsi" w:eastAsiaTheme="minorEastAsia" w:hAnsiTheme="minorHAnsi"/>
            <w:noProof/>
            <w:color w:val="auto"/>
            <w:kern w:val="2"/>
            <w:szCs w:val="24"/>
            <w:lang w:eastAsia="en-AU"/>
            <w14:ligatures w14:val="standardContextual"/>
          </w:rPr>
          <w:tab/>
        </w:r>
        <w:r w:rsidRPr="0098656F">
          <w:rPr>
            <w:rStyle w:val="Hyperlink"/>
            <w:noProof/>
          </w:rPr>
          <w:t>Introduction</w:t>
        </w:r>
        <w:r>
          <w:rPr>
            <w:noProof/>
            <w:webHidden/>
          </w:rPr>
          <w:tab/>
        </w:r>
        <w:r>
          <w:rPr>
            <w:noProof/>
            <w:webHidden/>
          </w:rPr>
          <w:fldChar w:fldCharType="begin"/>
        </w:r>
        <w:r>
          <w:rPr>
            <w:noProof/>
            <w:webHidden/>
          </w:rPr>
          <w:instrText xml:space="preserve"> PAGEREF _Toc170474022 \h </w:instrText>
        </w:r>
        <w:r>
          <w:rPr>
            <w:noProof/>
            <w:webHidden/>
          </w:rPr>
        </w:r>
        <w:r>
          <w:rPr>
            <w:noProof/>
            <w:webHidden/>
          </w:rPr>
          <w:fldChar w:fldCharType="separate"/>
        </w:r>
        <w:r>
          <w:rPr>
            <w:noProof/>
            <w:webHidden/>
          </w:rPr>
          <w:t>6</w:t>
        </w:r>
        <w:r>
          <w:rPr>
            <w:noProof/>
            <w:webHidden/>
          </w:rPr>
          <w:fldChar w:fldCharType="end"/>
        </w:r>
      </w:hyperlink>
    </w:p>
    <w:p w14:paraId="2A1C7C5C" w14:textId="3CEF4454" w:rsidR="00290E80" w:rsidRDefault="00290E80">
      <w:pPr>
        <w:pStyle w:val="TOC2"/>
        <w:rPr>
          <w:rFonts w:asciiTheme="minorHAnsi" w:eastAsiaTheme="minorEastAsia" w:hAnsiTheme="minorHAnsi"/>
          <w:noProof/>
          <w:color w:val="auto"/>
          <w:kern w:val="2"/>
          <w:szCs w:val="24"/>
          <w:lang w:eastAsia="en-AU"/>
          <w14:ligatures w14:val="standardContextual"/>
        </w:rPr>
      </w:pPr>
      <w:hyperlink w:anchor="_Toc170474023" w:history="1">
        <w:r w:rsidRPr="0098656F">
          <w:rPr>
            <w:rStyle w:val="Hyperlink"/>
            <w:noProof/>
          </w:rPr>
          <w:t>2.1</w:t>
        </w:r>
        <w:r>
          <w:rPr>
            <w:rFonts w:asciiTheme="minorHAnsi" w:eastAsiaTheme="minorEastAsia" w:hAnsiTheme="minorHAnsi"/>
            <w:noProof/>
            <w:color w:val="auto"/>
            <w:kern w:val="2"/>
            <w:szCs w:val="24"/>
            <w:lang w:eastAsia="en-AU"/>
            <w14:ligatures w14:val="standardContextual"/>
          </w:rPr>
          <w:tab/>
        </w:r>
        <w:r w:rsidRPr="0098656F">
          <w:rPr>
            <w:rStyle w:val="Hyperlink"/>
            <w:noProof/>
          </w:rPr>
          <w:t>Background and context</w:t>
        </w:r>
        <w:r>
          <w:rPr>
            <w:noProof/>
            <w:webHidden/>
          </w:rPr>
          <w:tab/>
        </w:r>
        <w:r>
          <w:rPr>
            <w:noProof/>
            <w:webHidden/>
          </w:rPr>
          <w:fldChar w:fldCharType="begin"/>
        </w:r>
        <w:r>
          <w:rPr>
            <w:noProof/>
            <w:webHidden/>
          </w:rPr>
          <w:instrText xml:space="preserve"> PAGEREF _Toc170474023 \h </w:instrText>
        </w:r>
        <w:r>
          <w:rPr>
            <w:noProof/>
            <w:webHidden/>
          </w:rPr>
        </w:r>
        <w:r>
          <w:rPr>
            <w:noProof/>
            <w:webHidden/>
          </w:rPr>
          <w:fldChar w:fldCharType="separate"/>
        </w:r>
        <w:r>
          <w:rPr>
            <w:noProof/>
            <w:webHidden/>
          </w:rPr>
          <w:t>6</w:t>
        </w:r>
        <w:r>
          <w:rPr>
            <w:noProof/>
            <w:webHidden/>
          </w:rPr>
          <w:fldChar w:fldCharType="end"/>
        </w:r>
      </w:hyperlink>
    </w:p>
    <w:p w14:paraId="21DBAA8B" w14:textId="274D290C" w:rsidR="00290E80" w:rsidRDefault="00290E80">
      <w:pPr>
        <w:pStyle w:val="TOC2"/>
        <w:rPr>
          <w:rFonts w:asciiTheme="minorHAnsi" w:eastAsiaTheme="minorEastAsia" w:hAnsiTheme="minorHAnsi"/>
          <w:noProof/>
          <w:color w:val="auto"/>
          <w:kern w:val="2"/>
          <w:szCs w:val="24"/>
          <w:lang w:eastAsia="en-AU"/>
          <w14:ligatures w14:val="standardContextual"/>
        </w:rPr>
      </w:pPr>
      <w:hyperlink w:anchor="_Toc170474024" w:history="1">
        <w:r w:rsidRPr="0098656F">
          <w:rPr>
            <w:rStyle w:val="Hyperlink"/>
            <w:noProof/>
          </w:rPr>
          <w:t>2.2</w:t>
        </w:r>
        <w:r>
          <w:rPr>
            <w:rFonts w:asciiTheme="minorHAnsi" w:eastAsiaTheme="minorEastAsia" w:hAnsiTheme="minorHAnsi"/>
            <w:noProof/>
            <w:color w:val="auto"/>
            <w:kern w:val="2"/>
            <w:szCs w:val="24"/>
            <w:lang w:eastAsia="en-AU"/>
            <w14:ligatures w14:val="standardContextual"/>
          </w:rPr>
          <w:tab/>
        </w:r>
        <w:r w:rsidRPr="0098656F">
          <w:rPr>
            <w:rStyle w:val="Hyperlink"/>
            <w:noProof/>
          </w:rPr>
          <w:t>Overview of the issue and current approach</w:t>
        </w:r>
        <w:r>
          <w:rPr>
            <w:noProof/>
            <w:webHidden/>
          </w:rPr>
          <w:tab/>
        </w:r>
        <w:r>
          <w:rPr>
            <w:noProof/>
            <w:webHidden/>
          </w:rPr>
          <w:fldChar w:fldCharType="begin"/>
        </w:r>
        <w:r>
          <w:rPr>
            <w:noProof/>
            <w:webHidden/>
          </w:rPr>
          <w:instrText xml:space="preserve"> PAGEREF _Toc170474024 \h </w:instrText>
        </w:r>
        <w:r>
          <w:rPr>
            <w:noProof/>
            <w:webHidden/>
          </w:rPr>
        </w:r>
        <w:r>
          <w:rPr>
            <w:noProof/>
            <w:webHidden/>
          </w:rPr>
          <w:fldChar w:fldCharType="separate"/>
        </w:r>
        <w:r>
          <w:rPr>
            <w:noProof/>
            <w:webHidden/>
          </w:rPr>
          <w:t>6</w:t>
        </w:r>
        <w:r>
          <w:rPr>
            <w:noProof/>
            <w:webHidden/>
          </w:rPr>
          <w:fldChar w:fldCharType="end"/>
        </w:r>
      </w:hyperlink>
    </w:p>
    <w:p w14:paraId="032A572A" w14:textId="4DB66C59" w:rsidR="00290E80" w:rsidRDefault="00290E80">
      <w:pPr>
        <w:pStyle w:val="TOC1"/>
        <w:rPr>
          <w:rFonts w:asciiTheme="minorHAnsi" w:eastAsiaTheme="minorEastAsia" w:hAnsiTheme="minorHAnsi"/>
          <w:noProof/>
          <w:color w:val="auto"/>
          <w:kern w:val="2"/>
          <w:szCs w:val="24"/>
          <w:lang w:eastAsia="en-AU"/>
          <w14:ligatures w14:val="standardContextual"/>
        </w:rPr>
      </w:pPr>
      <w:hyperlink w:anchor="_Toc170474025" w:history="1">
        <w:r w:rsidRPr="0098656F">
          <w:rPr>
            <w:rStyle w:val="Hyperlink"/>
            <w:noProof/>
          </w:rPr>
          <w:t>3</w:t>
        </w:r>
        <w:r>
          <w:rPr>
            <w:rFonts w:asciiTheme="minorHAnsi" w:eastAsiaTheme="minorEastAsia" w:hAnsiTheme="minorHAnsi"/>
            <w:noProof/>
            <w:color w:val="auto"/>
            <w:kern w:val="2"/>
            <w:szCs w:val="24"/>
            <w:lang w:eastAsia="en-AU"/>
            <w14:ligatures w14:val="standardContextual"/>
          </w:rPr>
          <w:tab/>
        </w:r>
        <w:r w:rsidRPr="0098656F">
          <w:rPr>
            <w:rStyle w:val="Hyperlink"/>
            <w:noProof/>
          </w:rPr>
          <w:t>Duration adjustments</w:t>
        </w:r>
        <w:r>
          <w:rPr>
            <w:noProof/>
            <w:webHidden/>
          </w:rPr>
          <w:tab/>
        </w:r>
        <w:r>
          <w:rPr>
            <w:noProof/>
            <w:webHidden/>
          </w:rPr>
          <w:fldChar w:fldCharType="begin"/>
        </w:r>
        <w:r>
          <w:rPr>
            <w:noProof/>
            <w:webHidden/>
          </w:rPr>
          <w:instrText xml:space="preserve"> PAGEREF _Toc170474025 \h </w:instrText>
        </w:r>
        <w:r>
          <w:rPr>
            <w:noProof/>
            <w:webHidden/>
          </w:rPr>
        </w:r>
        <w:r>
          <w:rPr>
            <w:noProof/>
            <w:webHidden/>
          </w:rPr>
          <w:fldChar w:fldCharType="separate"/>
        </w:r>
        <w:r>
          <w:rPr>
            <w:noProof/>
            <w:webHidden/>
          </w:rPr>
          <w:t>8</w:t>
        </w:r>
        <w:r>
          <w:rPr>
            <w:noProof/>
            <w:webHidden/>
          </w:rPr>
          <w:fldChar w:fldCharType="end"/>
        </w:r>
      </w:hyperlink>
    </w:p>
    <w:p w14:paraId="0A5E905F" w14:textId="7C310D8E" w:rsidR="00290E80" w:rsidRDefault="00290E80">
      <w:pPr>
        <w:pStyle w:val="TOC2"/>
        <w:rPr>
          <w:rFonts w:asciiTheme="minorHAnsi" w:eastAsiaTheme="minorEastAsia" w:hAnsiTheme="minorHAnsi"/>
          <w:noProof/>
          <w:color w:val="auto"/>
          <w:kern w:val="2"/>
          <w:szCs w:val="24"/>
          <w:lang w:eastAsia="en-AU"/>
          <w14:ligatures w14:val="standardContextual"/>
        </w:rPr>
      </w:pPr>
      <w:hyperlink w:anchor="_Toc170474026" w:history="1">
        <w:r w:rsidRPr="0098656F">
          <w:rPr>
            <w:rStyle w:val="Hyperlink"/>
            <w:noProof/>
          </w:rPr>
          <w:t>3.2</w:t>
        </w:r>
        <w:r>
          <w:rPr>
            <w:rFonts w:asciiTheme="minorHAnsi" w:eastAsiaTheme="minorEastAsia" w:hAnsiTheme="minorHAnsi"/>
            <w:noProof/>
            <w:color w:val="auto"/>
            <w:kern w:val="2"/>
            <w:szCs w:val="24"/>
            <w:lang w:eastAsia="en-AU"/>
            <w14:ligatures w14:val="standardContextual"/>
          </w:rPr>
          <w:tab/>
        </w:r>
        <w:r w:rsidRPr="0098656F">
          <w:rPr>
            <w:rStyle w:val="Hyperlink"/>
            <w:noProof/>
          </w:rPr>
          <w:t>WACC formulation and cash flow growth assumptions</w:t>
        </w:r>
        <w:r>
          <w:rPr>
            <w:noProof/>
            <w:webHidden/>
          </w:rPr>
          <w:tab/>
        </w:r>
        <w:r>
          <w:rPr>
            <w:noProof/>
            <w:webHidden/>
          </w:rPr>
          <w:fldChar w:fldCharType="begin"/>
        </w:r>
        <w:r>
          <w:rPr>
            <w:noProof/>
            <w:webHidden/>
          </w:rPr>
          <w:instrText xml:space="preserve"> PAGEREF _Toc170474026 \h </w:instrText>
        </w:r>
        <w:r>
          <w:rPr>
            <w:noProof/>
            <w:webHidden/>
          </w:rPr>
        </w:r>
        <w:r>
          <w:rPr>
            <w:noProof/>
            <w:webHidden/>
          </w:rPr>
          <w:fldChar w:fldCharType="separate"/>
        </w:r>
        <w:r>
          <w:rPr>
            <w:noProof/>
            <w:webHidden/>
          </w:rPr>
          <w:t>15</w:t>
        </w:r>
        <w:r>
          <w:rPr>
            <w:noProof/>
            <w:webHidden/>
          </w:rPr>
          <w:fldChar w:fldCharType="end"/>
        </w:r>
      </w:hyperlink>
    </w:p>
    <w:p w14:paraId="68D54322" w14:textId="201F4700" w:rsidR="00290E80" w:rsidRDefault="00290E80">
      <w:pPr>
        <w:pStyle w:val="TOC2"/>
        <w:rPr>
          <w:rFonts w:asciiTheme="minorHAnsi" w:eastAsiaTheme="minorEastAsia" w:hAnsiTheme="minorHAnsi"/>
          <w:noProof/>
          <w:color w:val="auto"/>
          <w:kern w:val="2"/>
          <w:szCs w:val="24"/>
          <w:lang w:eastAsia="en-AU"/>
          <w14:ligatures w14:val="standardContextual"/>
        </w:rPr>
      </w:pPr>
      <w:hyperlink w:anchor="_Toc170474027" w:history="1">
        <w:r w:rsidRPr="0098656F">
          <w:rPr>
            <w:rStyle w:val="Hyperlink"/>
            <w:noProof/>
          </w:rPr>
          <w:t>3.3</w:t>
        </w:r>
        <w:r>
          <w:rPr>
            <w:rFonts w:asciiTheme="minorHAnsi" w:eastAsiaTheme="minorEastAsia" w:hAnsiTheme="minorHAnsi"/>
            <w:noProof/>
            <w:color w:val="auto"/>
            <w:kern w:val="2"/>
            <w:szCs w:val="24"/>
            <w:lang w:eastAsia="en-AU"/>
            <w14:ligatures w14:val="standardContextual"/>
          </w:rPr>
          <w:tab/>
        </w:r>
        <w:r w:rsidRPr="0098656F">
          <w:rPr>
            <w:rStyle w:val="Hyperlink"/>
            <w:noProof/>
          </w:rPr>
          <w:t>Rates to use during duration adjustments</w:t>
        </w:r>
        <w:r>
          <w:rPr>
            <w:noProof/>
            <w:webHidden/>
          </w:rPr>
          <w:tab/>
        </w:r>
        <w:r>
          <w:rPr>
            <w:noProof/>
            <w:webHidden/>
          </w:rPr>
          <w:fldChar w:fldCharType="begin"/>
        </w:r>
        <w:r>
          <w:rPr>
            <w:noProof/>
            <w:webHidden/>
          </w:rPr>
          <w:instrText xml:space="preserve"> PAGEREF _Toc170474027 \h </w:instrText>
        </w:r>
        <w:r>
          <w:rPr>
            <w:noProof/>
            <w:webHidden/>
          </w:rPr>
        </w:r>
        <w:r>
          <w:rPr>
            <w:noProof/>
            <w:webHidden/>
          </w:rPr>
          <w:fldChar w:fldCharType="separate"/>
        </w:r>
        <w:r>
          <w:rPr>
            <w:noProof/>
            <w:webHidden/>
          </w:rPr>
          <w:t>25</w:t>
        </w:r>
        <w:r>
          <w:rPr>
            <w:noProof/>
            <w:webHidden/>
          </w:rPr>
          <w:fldChar w:fldCharType="end"/>
        </w:r>
      </w:hyperlink>
    </w:p>
    <w:p w14:paraId="587D7025" w14:textId="585BD311" w:rsidR="00290E80" w:rsidRDefault="00290E80">
      <w:pPr>
        <w:pStyle w:val="TOC2"/>
        <w:rPr>
          <w:rFonts w:asciiTheme="minorHAnsi" w:eastAsiaTheme="minorEastAsia" w:hAnsiTheme="minorHAnsi"/>
          <w:noProof/>
          <w:color w:val="auto"/>
          <w:kern w:val="2"/>
          <w:szCs w:val="24"/>
          <w:lang w:eastAsia="en-AU"/>
          <w14:ligatures w14:val="standardContextual"/>
        </w:rPr>
      </w:pPr>
      <w:hyperlink w:anchor="_Toc170474028" w:history="1">
        <w:r w:rsidRPr="0098656F">
          <w:rPr>
            <w:rStyle w:val="Hyperlink"/>
            <w:noProof/>
          </w:rPr>
          <w:t>3.4</w:t>
        </w:r>
        <w:r>
          <w:rPr>
            <w:rFonts w:asciiTheme="minorHAnsi" w:eastAsiaTheme="minorEastAsia" w:hAnsiTheme="minorHAnsi"/>
            <w:noProof/>
            <w:color w:val="auto"/>
            <w:kern w:val="2"/>
            <w:szCs w:val="24"/>
            <w:lang w:eastAsia="en-AU"/>
            <w14:ligatures w14:val="standardContextual"/>
          </w:rPr>
          <w:tab/>
        </w:r>
        <w:r w:rsidRPr="0098656F">
          <w:rPr>
            <w:rStyle w:val="Hyperlink"/>
            <w:noProof/>
          </w:rPr>
          <w:t>New licence commencement dates</w:t>
        </w:r>
        <w:r>
          <w:rPr>
            <w:noProof/>
            <w:webHidden/>
          </w:rPr>
          <w:tab/>
        </w:r>
        <w:r>
          <w:rPr>
            <w:noProof/>
            <w:webHidden/>
          </w:rPr>
          <w:fldChar w:fldCharType="begin"/>
        </w:r>
        <w:r>
          <w:rPr>
            <w:noProof/>
            <w:webHidden/>
          </w:rPr>
          <w:instrText xml:space="preserve"> PAGEREF _Toc170474028 \h </w:instrText>
        </w:r>
        <w:r>
          <w:rPr>
            <w:noProof/>
            <w:webHidden/>
          </w:rPr>
        </w:r>
        <w:r>
          <w:rPr>
            <w:noProof/>
            <w:webHidden/>
          </w:rPr>
          <w:fldChar w:fldCharType="separate"/>
        </w:r>
        <w:r>
          <w:rPr>
            <w:noProof/>
            <w:webHidden/>
          </w:rPr>
          <w:t>26</w:t>
        </w:r>
        <w:r>
          <w:rPr>
            <w:noProof/>
            <w:webHidden/>
          </w:rPr>
          <w:fldChar w:fldCharType="end"/>
        </w:r>
      </w:hyperlink>
    </w:p>
    <w:p w14:paraId="5F440F36" w14:textId="69CBE402" w:rsidR="00290E80" w:rsidRDefault="00290E80">
      <w:pPr>
        <w:pStyle w:val="TOC2"/>
        <w:rPr>
          <w:rFonts w:asciiTheme="minorHAnsi" w:eastAsiaTheme="minorEastAsia" w:hAnsiTheme="minorHAnsi"/>
          <w:noProof/>
          <w:color w:val="auto"/>
          <w:kern w:val="2"/>
          <w:szCs w:val="24"/>
          <w:lang w:eastAsia="en-AU"/>
          <w14:ligatures w14:val="standardContextual"/>
        </w:rPr>
      </w:pPr>
      <w:hyperlink w:anchor="_Toc170474029" w:history="1">
        <w:r w:rsidRPr="0098656F">
          <w:rPr>
            <w:rStyle w:val="Hyperlink"/>
            <w:noProof/>
          </w:rPr>
          <w:t>3.5</w:t>
        </w:r>
        <w:r>
          <w:rPr>
            <w:rFonts w:asciiTheme="minorHAnsi" w:eastAsiaTheme="minorEastAsia" w:hAnsiTheme="minorHAnsi"/>
            <w:noProof/>
            <w:color w:val="auto"/>
            <w:kern w:val="2"/>
            <w:szCs w:val="24"/>
            <w:lang w:eastAsia="en-AU"/>
            <w14:ligatures w14:val="standardContextual"/>
          </w:rPr>
          <w:tab/>
        </w:r>
        <w:r w:rsidRPr="0098656F">
          <w:rPr>
            <w:rStyle w:val="Hyperlink"/>
            <w:noProof/>
          </w:rPr>
          <w:t>Other considerations</w:t>
        </w:r>
        <w:r>
          <w:rPr>
            <w:noProof/>
            <w:webHidden/>
          </w:rPr>
          <w:tab/>
        </w:r>
        <w:r>
          <w:rPr>
            <w:noProof/>
            <w:webHidden/>
          </w:rPr>
          <w:fldChar w:fldCharType="begin"/>
        </w:r>
        <w:r>
          <w:rPr>
            <w:noProof/>
            <w:webHidden/>
          </w:rPr>
          <w:instrText xml:space="preserve"> PAGEREF _Toc170474029 \h </w:instrText>
        </w:r>
        <w:r>
          <w:rPr>
            <w:noProof/>
            <w:webHidden/>
          </w:rPr>
        </w:r>
        <w:r>
          <w:rPr>
            <w:noProof/>
            <w:webHidden/>
          </w:rPr>
          <w:fldChar w:fldCharType="separate"/>
        </w:r>
        <w:r>
          <w:rPr>
            <w:noProof/>
            <w:webHidden/>
          </w:rPr>
          <w:t>26</w:t>
        </w:r>
        <w:r>
          <w:rPr>
            <w:noProof/>
            <w:webHidden/>
          </w:rPr>
          <w:fldChar w:fldCharType="end"/>
        </w:r>
      </w:hyperlink>
    </w:p>
    <w:p w14:paraId="5108674E" w14:textId="4A527F99" w:rsidR="00290E80" w:rsidRDefault="00290E80">
      <w:pPr>
        <w:pStyle w:val="TOC1"/>
        <w:rPr>
          <w:rFonts w:asciiTheme="minorHAnsi" w:eastAsiaTheme="minorEastAsia" w:hAnsiTheme="minorHAnsi"/>
          <w:noProof/>
          <w:color w:val="auto"/>
          <w:kern w:val="2"/>
          <w:szCs w:val="24"/>
          <w:lang w:eastAsia="en-AU"/>
          <w14:ligatures w14:val="standardContextual"/>
        </w:rPr>
      </w:pPr>
      <w:hyperlink w:anchor="_Toc170474030" w:history="1">
        <w:r w:rsidRPr="0098656F">
          <w:rPr>
            <w:rStyle w:val="Hyperlink"/>
            <w:noProof/>
          </w:rPr>
          <w:t>A</w:t>
        </w:r>
        <w:r>
          <w:rPr>
            <w:rFonts w:asciiTheme="minorHAnsi" w:eastAsiaTheme="minorEastAsia" w:hAnsiTheme="minorHAnsi"/>
            <w:noProof/>
            <w:color w:val="auto"/>
            <w:kern w:val="2"/>
            <w:szCs w:val="24"/>
            <w:lang w:eastAsia="en-AU"/>
            <w14:ligatures w14:val="standardContextual"/>
          </w:rPr>
          <w:tab/>
        </w:r>
        <w:r w:rsidRPr="0098656F">
          <w:rPr>
            <w:rStyle w:val="Hyperlink"/>
            <w:noProof/>
          </w:rPr>
          <w:t>Equivalence of after-tax and vanilla WACC methods</w:t>
        </w:r>
        <w:r>
          <w:rPr>
            <w:noProof/>
            <w:webHidden/>
          </w:rPr>
          <w:tab/>
        </w:r>
        <w:r>
          <w:rPr>
            <w:noProof/>
            <w:webHidden/>
          </w:rPr>
          <w:fldChar w:fldCharType="begin"/>
        </w:r>
        <w:r>
          <w:rPr>
            <w:noProof/>
            <w:webHidden/>
          </w:rPr>
          <w:instrText xml:space="preserve"> PAGEREF _Toc170474030 \h </w:instrText>
        </w:r>
        <w:r>
          <w:rPr>
            <w:noProof/>
            <w:webHidden/>
          </w:rPr>
        </w:r>
        <w:r>
          <w:rPr>
            <w:noProof/>
            <w:webHidden/>
          </w:rPr>
          <w:fldChar w:fldCharType="separate"/>
        </w:r>
        <w:r>
          <w:rPr>
            <w:noProof/>
            <w:webHidden/>
          </w:rPr>
          <w:t>28</w:t>
        </w:r>
        <w:r>
          <w:rPr>
            <w:noProof/>
            <w:webHidden/>
          </w:rPr>
          <w:fldChar w:fldCharType="end"/>
        </w:r>
      </w:hyperlink>
    </w:p>
    <w:p w14:paraId="4A6FE943" w14:textId="60F10C00" w:rsidR="00290E80" w:rsidRDefault="00290E80">
      <w:pPr>
        <w:pStyle w:val="TOC1"/>
        <w:rPr>
          <w:rFonts w:asciiTheme="minorHAnsi" w:eastAsiaTheme="minorEastAsia" w:hAnsiTheme="minorHAnsi"/>
          <w:noProof/>
          <w:color w:val="auto"/>
          <w:kern w:val="2"/>
          <w:szCs w:val="24"/>
          <w:lang w:eastAsia="en-AU"/>
          <w14:ligatures w14:val="standardContextual"/>
        </w:rPr>
      </w:pPr>
      <w:hyperlink w:anchor="_Toc170474031" w:history="1">
        <w:r w:rsidRPr="0098656F">
          <w:rPr>
            <w:rStyle w:val="Hyperlink"/>
            <w:noProof/>
          </w:rPr>
          <w:t>B</w:t>
        </w:r>
        <w:r>
          <w:rPr>
            <w:rFonts w:asciiTheme="minorHAnsi" w:eastAsiaTheme="minorEastAsia" w:hAnsiTheme="minorHAnsi"/>
            <w:noProof/>
            <w:color w:val="auto"/>
            <w:kern w:val="2"/>
            <w:szCs w:val="24"/>
            <w:lang w:eastAsia="en-AU"/>
            <w14:ligatures w14:val="standardContextual"/>
          </w:rPr>
          <w:tab/>
        </w:r>
        <w:r w:rsidRPr="0098656F">
          <w:rPr>
            <w:rStyle w:val="Hyperlink"/>
            <w:noProof/>
          </w:rPr>
          <w:t>Derivation of the ACMA formula</w:t>
        </w:r>
        <w:r>
          <w:rPr>
            <w:noProof/>
            <w:webHidden/>
          </w:rPr>
          <w:tab/>
        </w:r>
        <w:r>
          <w:rPr>
            <w:noProof/>
            <w:webHidden/>
          </w:rPr>
          <w:fldChar w:fldCharType="begin"/>
        </w:r>
        <w:r>
          <w:rPr>
            <w:noProof/>
            <w:webHidden/>
          </w:rPr>
          <w:instrText xml:space="preserve"> PAGEREF _Toc170474031 \h </w:instrText>
        </w:r>
        <w:r>
          <w:rPr>
            <w:noProof/>
            <w:webHidden/>
          </w:rPr>
        </w:r>
        <w:r>
          <w:rPr>
            <w:noProof/>
            <w:webHidden/>
          </w:rPr>
          <w:fldChar w:fldCharType="separate"/>
        </w:r>
        <w:r>
          <w:rPr>
            <w:noProof/>
            <w:webHidden/>
          </w:rPr>
          <w:t>30</w:t>
        </w:r>
        <w:r>
          <w:rPr>
            <w:noProof/>
            <w:webHidden/>
          </w:rPr>
          <w:fldChar w:fldCharType="end"/>
        </w:r>
      </w:hyperlink>
    </w:p>
    <w:p w14:paraId="1AEC9D03" w14:textId="42548595" w:rsidR="00452A9D" w:rsidRDefault="008F7C7F" w:rsidP="00152305">
      <w:pPr>
        <w:pStyle w:val="BodyText"/>
      </w:pPr>
      <w:r>
        <w:rPr>
          <w:rFonts w:ascii="Open Sans SemiBold" w:hAnsi="Open Sans SemiBold"/>
          <w:color w:val="207BA1"/>
          <w:sz w:val="24"/>
        </w:rPr>
        <w:fldChar w:fldCharType="end"/>
      </w:r>
    </w:p>
    <w:p w14:paraId="02504107" w14:textId="77777777" w:rsidR="00AE0185" w:rsidRDefault="00AE0185" w:rsidP="00AE0185">
      <w:pPr>
        <w:pStyle w:val="TOCHeading"/>
      </w:pPr>
      <w:r>
        <w:t>Tables</w:t>
      </w:r>
    </w:p>
    <w:p w14:paraId="69A9A60A" w14:textId="5C99D779" w:rsidR="00290E80" w:rsidRDefault="000419A5">
      <w:pPr>
        <w:pStyle w:val="TableofFigures"/>
        <w:rPr>
          <w:rFonts w:asciiTheme="minorHAnsi" w:eastAsiaTheme="minorEastAsia" w:hAnsiTheme="minorHAnsi"/>
          <w:noProof/>
          <w:color w:val="auto"/>
          <w:kern w:val="2"/>
          <w:sz w:val="24"/>
          <w:szCs w:val="24"/>
          <w:lang w:eastAsia="en-AU"/>
          <w14:ligatures w14:val="standardContextual"/>
        </w:rPr>
      </w:pPr>
      <w:r w:rsidRPr="005A398D">
        <w:fldChar w:fldCharType="begin"/>
      </w:r>
      <w:r w:rsidRPr="005A398D">
        <w:instrText xml:space="preserve"> TOC \c "Table" </w:instrText>
      </w:r>
      <w:r w:rsidRPr="005A398D">
        <w:fldChar w:fldCharType="separate"/>
      </w:r>
      <w:r w:rsidR="00290E80">
        <w:rPr>
          <w:noProof/>
        </w:rPr>
        <w:t>Table</w:t>
      </w:r>
      <w:r w:rsidR="00290E80" w:rsidRPr="008C471A">
        <w:rPr>
          <w:noProof/>
        </w:rPr>
        <w:t xml:space="preserve"> </w:t>
      </w:r>
      <w:r w:rsidR="00290E80">
        <w:rPr>
          <w:noProof/>
        </w:rPr>
        <w:t>1</w:t>
      </w:r>
      <w:r w:rsidR="00290E80" w:rsidRPr="008C471A">
        <w:rPr>
          <w:noProof/>
        </w:rPr>
        <w:t>:</w:t>
      </w:r>
      <w:r w:rsidR="00290E80">
        <w:rPr>
          <w:noProof/>
        </w:rPr>
        <w:t xml:space="preserve"> Tilted annuity cash flows</w:t>
      </w:r>
      <w:r w:rsidR="00290E80">
        <w:rPr>
          <w:noProof/>
        </w:rPr>
        <w:tab/>
      </w:r>
      <w:r w:rsidR="00290E80">
        <w:rPr>
          <w:noProof/>
        </w:rPr>
        <w:fldChar w:fldCharType="begin"/>
      </w:r>
      <w:r w:rsidR="00290E80">
        <w:rPr>
          <w:noProof/>
        </w:rPr>
        <w:instrText xml:space="preserve"> PAGEREF _Toc170474032 \h </w:instrText>
      </w:r>
      <w:r w:rsidR="00290E80">
        <w:rPr>
          <w:noProof/>
        </w:rPr>
      </w:r>
      <w:r w:rsidR="00290E80">
        <w:rPr>
          <w:noProof/>
        </w:rPr>
        <w:fldChar w:fldCharType="separate"/>
      </w:r>
      <w:r w:rsidR="00290E80">
        <w:rPr>
          <w:noProof/>
        </w:rPr>
        <w:t>9</w:t>
      </w:r>
      <w:r w:rsidR="00290E80">
        <w:rPr>
          <w:noProof/>
        </w:rPr>
        <w:fldChar w:fldCharType="end"/>
      </w:r>
    </w:p>
    <w:p w14:paraId="2C53CC0A" w14:textId="57084B8C"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2</w:t>
      </w:r>
      <w:r w:rsidRPr="008C471A">
        <w:rPr>
          <w:noProof/>
        </w:rPr>
        <w:t>:</w:t>
      </w:r>
      <w:r>
        <w:rPr>
          <w:noProof/>
        </w:rPr>
        <w:t xml:space="preserve"> Example of updating benchmark for licence of same duration (indicative figures)</w:t>
      </w:r>
      <w:r>
        <w:rPr>
          <w:noProof/>
        </w:rPr>
        <w:tab/>
      </w:r>
      <w:r>
        <w:rPr>
          <w:noProof/>
        </w:rPr>
        <w:fldChar w:fldCharType="begin"/>
      </w:r>
      <w:r>
        <w:rPr>
          <w:noProof/>
        </w:rPr>
        <w:instrText xml:space="preserve"> PAGEREF _Toc170474033 \h </w:instrText>
      </w:r>
      <w:r>
        <w:rPr>
          <w:noProof/>
        </w:rPr>
      </w:r>
      <w:r>
        <w:rPr>
          <w:noProof/>
        </w:rPr>
        <w:fldChar w:fldCharType="separate"/>
      </w:r>
      <w:r>
        <w:rPr>
          <w:noProof/>
        </w:rPr>
        <w:t>13</w:t>
      </w:r>
      <w:r>
        <w:rPr>
          <w:noProof/>
        </w:rPr>
        <w:fldChar w:fldCharType="end"/>
      </w:r>
    </w:p>
    <w:p w14:paraId="25C75F85" w14:textId="741B3CF1"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3</w:t>
      </w:r>
      <w:r w:rsidRPr="008C471A">
        <w:rPr>
          <w:noProof/>
        </w:rPr>
        <w:t>:</w:t>
      </w:r>
      <w:r>
        <w:rPr>
          <w:noProof/>
        </w:rPr>
        <w:t xml:space="preserve"> Example of a duration adjustment for an international benchmark</w:t>
      </w:r>
      <w:r>
        <w:rPr>
          <w:noProof/>
        </w:rPr>
        <w:tab/>
      </w:r>
      <w:r>
        <w:rPr>
          <w:noProof/>
        </w:rPr>
        <w:fldChar w:fldCharType="begin"/>
      </w:r>
      <w:r>
        <w:rPr>
          <w:noProof/>
        </w:rPr>
        <w:instrText xml:space="preserve"> PAGEREF _Toc170474034 \h </w:instrText>
      </w:r>
      <w:r>
        <w:rPr>
          <w:noProof/>
        </w:rPr>
      </w:r>
      <w:r>
        <w:rPr>
          <w:noProof/>
        </w:rPr>
        <w:fldChar w:fldCharType="separate"/>
      </w:r>
      <w:r>
        <w:rPr>
          <w:noProof/>
        </w:rPr>
        <w:t>14</w:t>
      </w:r>
      <w:r>
        <w:rPr>
          <w:noProof/>
        </w:rPr>
        <w:fldChar w:fldCharType="end"/>
      </w:r>
    </w:p>
    <w:p w14:paraId="6CA83A85" w14:textId="799C0431"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4</w:t>
      </w:r>
      <w:r w:rsidRPr="008C471A">
        <w:rPr>
          <w:noProof/>
        </w:rPr>
        <w:t>:</w:t>
      </w:r>
      <w:r>
        <w:rPr>
          <w:noProof/>
        </w:rPr>
        <w:t xml:space="preserve"> Summary of approaches to WACC and cash flows</w:t>
      </w:r>
      <w:r>
        <w:rPr>
          <w:noProof/>
        </w:rPr>
        <w:tab/>
      </w:r>
      <w:r>
        <w:rPr>
          <w:noProof/>
        </w:rPr>
        <w:fldChar w:fldCharType="begin"/>
      </w:r>
      <w:r>
        <w:rPr>
          <w:noProof/>
        </w:rPr>
        <w:instrText xml:space="preserve"> PAGEREF _Toc170474035 \h </w:instrText>
      </w:r>
      <w:r>
        <w:rPr>
          <w:noProof/>
        </w:rPr>
      </w:r>
      <w:r>
        <w:rPr>
          <w:noProof/>
        </w:rPr>
        <w:fldChar w:fldCharType="separate"/>
      </w:r>
      <w:r>
        <w:rPr>
          <w:noProof/>
        </w:rPr>
        <w:t>17</w:t>
      </w:r>
      <w:r>
        <w:rPr>
          <w:noProof/>
        </w:rPr>
        <w:fldChar w:fldCharType="end"/>
      </w:r>
    </w:p>
    <w:p w14:paraId="0CD9EBEB" w14:textId="0FC1FBD4"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5</w:t>
      </w:r>
      <w:r w:rsidRPr="008C471A">
        <w:rPr>
          <w:noProof/>
        </w:rPr>
        <w:t>:</w:t>
      </w:r>
      <w:r>
        <w:rPr>
          <w:noProof/>
        </w:rPr>
        <w:t xml:space="preserve"> Illustrative example</w:t>
      </w:r>
      <w:r>
        <w:rPr>
          <w:noProof/>
        </w:rPr>
        <w:tab/>
      </w:r>
      <w:r>
        <w:rPr>
          <w:noProof/>
        </w:rPr>
        <w:fldChar w:fldCharType="begin"/>
      </w:r>
      <w:r>
        <w:rPr>
          <w:noProof/>
        </w:rPr>
        <w:instrText xml:space="preserve"> PAGEREF _Toc170474036 \h </w:instrText>
      </w:r>
      <w:r>
        <w:rPr>
          <w:noProof/>
        </w:rPr>
      </w:r>
      <w:r>
        <w:rPr>
          <w:noProof/>
        </w:rPr>
        <w:fldChar w:fldCharType="separate"/>
      </w:r>
      <w:r>
        <w:rPr>
          <w:noProof/>
        </w:rPr>
        <w:t>18</w:t>
      </w:r>
      <w:r>
        <w:rPr>
          <w:noProof/>
        </w:rPr>
        <w:fldChar w:fldCharType="end"/>
      </w:r>
    </w:p>
    <w:p w14:paraId="1F3C438E" w14:textId="3BADE9B4"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6</w:t>
      </w:r>
      <w:r w:rsidRPr="008C471A">
        <w:rPr>
          <w:noProof/>
        </w:rPr>
        <w:t>:</w:t>
      </w:r>
      <w:r>
        <w:rPr>
          <w:noProof/>
        </w:rPr>
        <w:t xml:space="preserve"> Vanilla WACC parameters</w:t>
      </w:r>
      <w:r>
        <w:rPr>
          <w:noProof/>
        </w:rPr>
        <w:tab/>
      </w:r>
      <w:r>
        <w:rPr>
          <w:noProof/>
        </w:rPr>
        <w:fldChar w:fldCharType="begin"/>
      </w:r>
      <w:r>
        <w:rPr>
          <w:noProof/>
        </w:rPr>
        <w:instrText xml:space="preserve"> PAGEREF _Toc170474037 \h </w:instrText>
      </w:r>
      <w:r>
        <w:rPr>
          <w:noProof/>
        </w:rPr>
      </w:r>
      <w:r>
        <w:rPr>
          <w:noProof/>
        </w:rPr>
        <w:fldChar w:fldCharType="separate"/>
      </w:r>
      <w:r>
        <w:rPr>
          <w:noProof/>
        </w:rPr>
        <w:t>20</w:t>
      </w:r>
      <w:r>
        <w:rPr>
          <w:noProof/>
        </w:rPr>
        <w:fldChar w:fldCharType="end"/>
      </w:r>
    </w:p>
    <w:p w14:paraId="65F8665E" w14:textId="102ED161"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7</w:t>
      </w:r>
      <w:r w:rsidRPr="008C471A">
        <w:rPr>
          <w:noProof/>
        </w:rPr>
        <w:t>:</w:t>
      </w:r>
      <w:r>
        <w:rPr>
          <w:noProof/>
        </w:rPr>
        <w:t xml:space="preserve"> Indicative WACC parameter estimates</w:t>
      </w:r>
      <w:r>
        <w:rPr>
          <w:noProof/>
        </w:rPr>
        <w:tab/>
      </w:r>
      <w:r>
        <w:rPr>
          <w:noProof/>
        </w:rPr>
        <w:fldChar w:fldCharType="begin"/>
      </w:r>
      <w:r>
        <w:rPr>
          <w:noProof/>
        </w:rPr>
        <w:instrText xml:space="preserve"> PAGEREF _Toc170474038 \h </w:instrText>
      </w:r>
      <w:r>
        <w:rPr>
          <w:noProof/>
        </w:rPr>
      </w:r>
      <w:r>
        <w:rPr>
          <w:noProof/>
        </w:rPr>
        <w:fldChar w:fldCharType="separate"/>
      </w:r>
      <w:r>
        <w:rPr>
          <w:noProof/>
        </w:rPr>
        <w:t>22</w:t>
      </w:r>
      <w:r>
        <w:rPr>
          <w:noProof/>
        </w:rPr>
        <w:fldChar w:fldCharType="end"/>
      </w:r>
    </w:p>
    <w:p w14:paraId="057BFE71" w14:textId="75569959"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8</w:t>
      </w:r>
      <w:r w:rsidRPr="008C471A">
        <w:rPr>
          <w:noProof/>
        </w:rPr>
        <w:t>:</w:t>
      </w:r>
      <w:r>
        <w:rPr>
          <w:noProof/>
        </w:rPr>
        <w:t xml:space="preserve"> Example of adjusting tilt factors</w:t>
      </w:r>
      <w:r>
        <w:rPr>
          <w:noProof/>
        </w:rPr>
        <w:tab/>
      </w:r>
      <w:r>
        <w:rPr>
          <w:noProof/>
        </w:rPr>
        <w:fldChar w:fldCharType="begin"/>
      </w:r>
      <w:r>
        <w:rPr>
          <w:noProof/>
        </w:rPr>
        <w:instrText xml:space="preserve"> PAGEREF _Toc170474039 \h </w:instrText>
      </w:r>
      <w:r>
        <w:rPr>
          <w:noProof/>
        </w:rPr>
      </w:r>
      <w:r>
        <w:rPr>
          <w:noProof/>
        </w:rPr>
        <w:fldChar w:fldCharType="separate"/>
      </w:r>
      <w:r>
        <w:rPr>
          <w:noProof/>
        </w:rPr>
        <w:t>24</w:t>
      </w:r>
      <w:r>
        <w:rPr>
          <w:noProof/>
        </w:rPr>
        <w:fldChar w:fldCharType="end"/>
      </w:r>
    </w:p>
    <w:p w14:paraId="00DCE3CF" w14:textId="7593DF09"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9</w:t>
      </w:r>
      <w:r w:rsidRPr="008C471A">
        <w:rPr>
          <w:noProof/>
        </w:rPr>
        <w:t>:</w:t>
      </w:r>
      <w:r>
        <w:rPr>
          <w:noProof/>
        </w:rPr>
        <w:t xml:space="preserve"> Present value calculation using classic after-tax WACC</w:t>
      </w:r>
      <w:r>
        <w:rPr>
          <w:noProof/>
        </w:rPr>
        <w:tab/>
      </w:r>
      <w:r>
        <w:rPr>
          <w:noProof/>
        </w:rPr>
        <w:fldChar w:fldCharType="begin"/>
      </w:r>
      <w:r>
        <w:rPr>
          <w:noProof/>
        </w:rPr>
        <w:instrText xml:space="preserve"> PAGEREF _Toc170474040 \h </w:instrText>
      </w:r>
      <w:r>
        <w:rPr>
          <w:noProof/>
        </w:rPr>
      </w:r>
      <w:r>
        <w:rPr>
          <w:noProof/>
        </w:rPr>
        <w:fldChar w:fldCharType="separate"/>
      </w:r>
      <w:r>
        <w:rPr>
          <w:noProof/>
        </w:rPr>
        <w:t>28</w:t>
      </w:r>
      <w:r>
        <w:rPr>
          <w:noProof/>
        </w:rPr>
        <w:fldChar w:fldCharType="end"/>
      </w:r>
    </w:p>
    <w:p w14:paraId="351C3CDD" w14:textId="5A170206"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Table</w:t>
      </w:r>
      <w:r w:rsidRPr="008C471A">
        <w:rPr>
          <w:noProof/>
        </w:rPr>
        <w:t xml:space="preserve"> </w:t>
      </w:r>
      <w:r>
        <w:rPr>
          <w:noProof/>
        </w:rPr>
        <w:t>10</w:t>
      </w:r>
      <w:r w:rsidRPr="008C471A">
        <w:rPr>
          <w:noProof/>
        </w:rPr>
        <w:t>:</w:t>
      </w:r>
      <w:r>
        <w:rPr>
          <w:noProof/>
        </w:rPr>
        <w:t xml:space="preserve"> Present value calculation using vanilla WACC</w:t>
      </w:r>
      <w:r>
        <w:rPr>
          <w:noProof/>
        </w:rPr>
        <w:tab/>
      </w:r>
      <w:r>
        <w:rPr>
          <w:noProof/>
        </w:rPr>
        <w:fldChar w:fldCharType="begin"/>
      </w:r>
      <w:r>
        <w:rPr>
          <w:noProof/>
        </w:rPr>
        <w:instrText xml:space="preserve"> PAGEREF _Toc170474041 \h </w:instrText>
      </w:r>
      <w:r>
        <w:rPr>
          <w:noProof/>
        </w:rPr>
      </w:r>
      <w:r>
        <w:rPr>
          <w:noProof/>
        </w:rPr>
        <w:fldChar w:fldCharType="separate"/>
      </w:r>
      <w:r>
        <w:rPr>
          <w:noProof/>
        </w:rPr>
        <w:t>29</w:t>
      </w:r>
      <w:r>
        <w:rPr>
          <w:noProof/>
        </w:rPr>
        <w:fldChar w:fldCharType="end"/>
      </w:r>
    </w:p>
    <w:p w14:paraId="5BDB6CB7" w14:textId="1757BAC3" w:rsidR="00AE0185" w:rsidRPr="005A398D" w:rsidRDefault="000419A5" w:rsidP="000419A5">
      <w:pPr>
        <w:pStyle w:val="BodyText"/>
      </w:pPr>
      <w:r w:rsidRPr="005A398D">
        <w:fldChar w:fldCharType="end"/>
      </w:r>
    </w:p>
    <w:p w14:paraId="0BE68F66" w14:textId="77777777" w:rsidR="00AE0185" w:rsidRDefault="00AE0185" w:rsidP="00AE0185">
      <w:pPr>
        <w:pStyle w:val="TOCHeading"/>
      </w:pPr>
      <w:r>
        <w:t>Figures</w:t>
      </w:r>
    </w:p>
    <w:p w14:paraId="5F499C16" w14:textId="4B457435" w:rsidR="00290E80" w:rsidRDefault="00226002">
      <w:pPr>
        <w:pStyle w:val="TableofFigures"/>
        <w:rPr>
          <w:rFonts w:asciiTheme="minorHAnsi" w:eastAsiaTheme="minorEastAsia" w:hAnsiTheme="minorHAnsi"/>
          <w:noProof/>
          <w:color w:val="auto"/>
          <w:kern w:val="2"/>
          <w:sz w:val="24"/>
          <w:szCs w:val="24"/>
          <w:lang w:eastAsia="en-AU"/>
          <w14:ligatures w14:val="standardContextual"/>
        </w:rPr>
      </w:pPr>
      <w:r w:rsidRPr="005A398D">
        <w:fldChar w:fldCharType="begin"/>
      </w:r>
      <w:r w:rsidRPr="005A398D">
        <w:instrText xml:space="preserve"> TOC \c "Figure" </w:instrText>
      </w:r>
      <w:r w:rsidRPr="005A398D">
        <w:fldChar w:fldCharType="separate"/>
      </w:r>
      <w:r w:rsidR="00290E80">
        <w:rPr>
          <w:noProof/>
        </w:rPr>
        <w:t>Figure 1: Tilted annuity formula</w:t>
      </w:r>
      <w:r w:rsidR="00290E80">
        <w:rPr>
          <w:noProof/>
        </w:rPr>
        <w:tab/>
      </w:r>
      <w:r w:rsidR="00290E80">
        <w:rPr>
          <w:noProof/>
        </w:rPr>
        <w:fldChar w:fldCharType="begin"/>
      </w:r>
      <w:r w:rsidR="00290E80">
        <w:rPr>
          <w:noProof/>
        </w:rPr>
        <w:instrText xml:space="preserve"> PAGEREF _Toc170474042 \h </w:instrText>
      </w:r>
      <w:r w:rsidR="00290E80">
        <w:rPr>
          <w:noProof/>
        </w:rPr>
      </w:r>
      <w:r w:rsidR="00290E80">
        <w:rPr>
          <w:noProof/>
        </w:rPr>
        <w:fldChar w:fldCharType="separate"/>
      </w:r>
      <w:r w:rsidR="00290E80">
        <w:rPr>
          <w:noProof/>
        </w:rPr>
        <w:t>7</w:t>
      </w:r>
      <w:r w:rsidR="00290E80">
        <w:rPr>
          <w:noProof/>
        </w:rPr>
        <w:fldChar w:fldCharType="end"/>
      </w:r>
    </w:p>
    <w:p w14:paraId="25F5E52A" w14:textId="7854F7BE"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lang w:eastAsia="en-AU"/>
        </w:rPr>
        <w:t>Figure 2: Additional information – 700MHz spectrum</w:t>
      </w:r>
      <w:r>
        <w:rPr>
          <w:noProof/>
        </w:rPr>
        <w:tab/>
      </w:r>
      <w:r>
        <w:rPr>
          <w:noProof/>
        </w:rPr>
        <w:fldChar w:fldCharType="begin"/>
      </w:r>
      <w:r>
        <w:rPr>
          <w:noProof/>
        </w:rPr>
        <w:instrText xml:space="preserve"> PAGEREF _Toc170474043 \h </w:instrText>
      </w:r>
      <w:r>
        <w:rPr>
          <w:noProof/>
        </w:rPr>
      </w:r>
      <w:r>
        <w:rPr>
          <w:noProof/>
        </w:rPr>
        <w:fldChar w:fldCharType="separate"/>
      </w:r>
      <w:r>
        <w:rPr>
          <w:noProof/>
        </w:rPr>
        <w:t>10</w:t>
      </w:r>
      <w:r>
        <w:rPr>
          <w:noProof/>
        </w:rPr>
        <w:fldChar w:fldCharType="end"/>
      </w:r>
    </w:p>
    <w:p w14:paraId="656548AF" w14:textId="4F03325D"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Figure 3: Allocation of present value by year</w:t>
      </w:r>
      <w:r>
        <w:rPr>
          <w:noProof/>
        </w:rPr>
        <w:tab/>
      </w:r>
      <w:r>
        <w:rPr>
          <w:noProof/>
        </w:rPr>
        <w:fldChar w:fldCharType="begin"/>
      </w:r>
      <w:r>
        <w:rPr>
          <w:noProof/>
        </w:rPr>
        <w:instrText xml:space="preserve"> PAGEREF _Toc170474044 \h </w:instrText>
      </w:r>
      <w:r>
        <w:rPr>
          <w:noProof/>
        </w:rPr>
      </w:r>
      <w:r>
        <w:rPr>
          <w:noProof/>
        </w:rPr>
        <w:fldChar w:fldCharType="separate"/>
      </w:r>
      <w:r>
        <w:rPr>
          <w:noProof/>
        </w:rPr>
        <w:t>19</w:t>
      </w:r>
      <w:r>
        <w:rPr>
          <w:noProof/>
        </w:rPr>
        <w:fldChar w:fldCharType="end"/>
      </w:r>
    </w:p>
    <w:p w14:paraId="79A245E6" w14:textId="703E824B" w:rsidR="00290E80" w:rsidRDefault="00290E80">
      <w:pPr>
        <w:pStyle w:val="TableofFigures"/>
        <w:rPr>
          <w:rFonts w:asciiTheme="minorHAnsi" w:eastAsiaTheme="minorEastAsia" w:hAnsiTheme="minorHAnsi"/>
          <w:noProof/>
          <w:color w:val="auto"/>
          <w:kern w:val="2"/>
          <w:sz w:val="24"/>
          <w:szCs w:val="24"/>
          <w:lang w:eastAsia="en-AU"/>
          <w14:ligatures w14:val="standardContextual"/>
        </w:rPr>
      </w:pPr>
      <w:r>
        <w:rPr>
          <w:noProof/>
        </w:rPr>
        <w:t>Figure 4: Back-to-back tilted annuities</w:t>
      </w:r>
      <w:r>
        <w:rPr>
          <w:noProof/>
        </w:rPr>
        <w:tab/>
      </w:r>
      <w:r>
        <w:rPr>
          <w:noProof/>
        </w:rPr>
        <w:fldChar w:fldCharType="begin"/>
      </w:r>
      <w:r>
        <w:rPr>
          <w:noProof/>
        </w:rPr>
        <w:instrText xml:space="preserve"> PAGEREF _Toc170474045 \h </w:instrText>
      </w:r>
      <w:r>
        <w:rPr>
          <w:noProof/>
        </w:rPr>
      </w:r>
      <w:r>
        <w:rPr>
          <w:noProof/>
        </w:rPr>
        <w:fldChar w:fldCharType="separate"/>
      </w:r>
      <w:r>
        <w:rPr>
          <w:noProof/>
        </w:rPr>
        <w:t>30</w:t>
      </w:r>
      <w:r>
        <w:rPr>
          <w:noProof/>
        </w:rPr>
        <w:fldChar w:fldCharType="end"/>
      </w:r>
    </w:p>
    <w:p w14:paraId="271805DC" w14:textId="61609113" w:rsidR="00226002" w:rsidRPr="005A398D" w:rsidRDefault="00226002" w:rsidP="00226002">
      <w:pPr>
        <w:rPr>
          <w:color w:val="37424A"/>
        </w:rPr>
      </w:pPr>
      <w:r w:rsidRPr="005A398D">
        <w:rPr>
          <w:color w:val="37424A"/>
        </w:rPr>
        <w:fldChar w:fldCharType="end"/>
      </w:r>
    </w:p>
    <w:p w14:paraId="5FA59F8A" w14:textId="77777777" w:rsidR="00AE0185" w:rsidRPr="00452A9D" w:rsidRDefault="00FA2DC7" w:rsidP="00AE0185">
      <w:pPr>
        <w:pStyle w:val="TOCHeading"/>
      </w:pPr>
      <w:r>
        <w:lastRenderedPageBreak/>
        <w:t>Boxes</w:t>
      </w:r>
    </w:p>
    <w:p w14:paraId="55B419AE" w14:textId="5805D72B" w:rsidR="00290E80" w:rsidRDefault="00D94EB0">
      <w:pPr>
        <w:pStyle w:val="TOC5"/>
        <w:rPr>
          <w:rFonts w:asciiTheme="minorHAnsi" w:eastAsiaTheme="minorEastAsia" w:hAnsiTheme="minorHAnsi"/>
          <w:color w:val="auto"/>
          <w:kern w:val="2"/>
          <w:sz w:val="24"/>
          <w:szCs w:val="24"/>
          <w:lang w:eastAsia="en-AU"/>
          <w14:ligatures w14:val="standardContextual"/>
        </w:rPr>
      </w:pPr>
      <w:r w:rsidRPr="005A398D">
        <w:fldChar w:fldCharType="begin"/>
      </w:r>
      <w:r w:rsidRPr="005A398D">
        <w:instrText xml:space="preserve"> TOC \t "Box Heading 1,5" </w:instrText>
      </w:r>
      <w:r w:rsidRPr="005A398D">
        <w:fldChar w:fldCharType="separate"/>
      </w:r>
      <w:r w:rsidR="00290E80">
        <w:t>Box 1</w:t>
      </w:r>
      <w:r w:rsidR="00290E80" w:rsidRPr="003E4985">
        <w:t xml:space="preserve"> : Dotecon for Ofcom</w:t>
      </w:r>
      <w:r w:rsidR="00290E80">
        <w:tab/>
      </w:r>
      <w:r w:rsidR="00290E80">
        <w:fldChar w:fldCharType="begin"/>
      </w:r>
      <w:r w:rsidR="00290E80">
        <w:instrText xml:space="preserve"> PAGEREF _Toc170474046 \h </w:instrText>
      </w:r>
      <w:r w:rsidR="00290E80">
        <w:fldChar w:fldCharType="separate"/>
      </w:r>
      <w:r w:rsidR="00290E80">
        <w:t>26</w:t>
      </w:r>
      <w:r w:rsidR="00290E80">
        <w:fldChar w:fldCharType="end"/>
      </w:r>
    </w:p>
    <w:p w14:paraId="6FE64A12" w14:textId="794A10E2" w:rsidR="00AE0185" w:rsidRPr="005A398D" w:rsidRDefault="00D94EB0" w:rsidP="005A398D">
      <w:pPr>
        <w:pStyle w:val="TOC5"/>
        <w:sectPr w:rsidR="00AE0185" w:rsidRPr="005A398D" w:rsidSect="00A7333D">
          <w:headerReference w:type="first" r:id="rId23"/>
          <w:footerReference w:type="first" r:id="rId24"/>
          <w:pgSz w:w="11907" w:h="16839" w:code="9"/>
          <w:pgMar w:top="1724" w:right="1440" w:bottom="1440" w:left="1440" w:header="720" w:footer="720" w:gutter="0"/>
          <w:pgNumType w:start="2"/>
          <w:cols w:space="720"/>
          <w:docGrid w:linePitch="360"/>
        </w:sectPr>
      </w:pPr>
      <w:r w:rsidRPr="005A398D">
        <w:fldChar w:fldCharType="end"/>
      </w:r>
    </w:p>
    <w:p w14:paraId="3319BFF7" w14:textId="3157BD84" w:rsidR="006E32CD" w:rsidRDefault="00767A02" w:rsidP="00E27CA5">
      <w:pPr>
        <w:pStyle w:val="Heading1"/>
      </w:pPr>
      <w:bookmarkStart w:id="1" w:name="_Toc135755864"/>
      <w:r>
        <w:lastRenderedPageBreak/>
        <w:t>Overview and summary</w:t>
      </w:r>
    </w:p>
    <w:p w14:paraId="58C487E5" w14:textId="44546767" w:rsidR="00986ACD" w:rsidRDefault="00B73A6A" w:rsidP="00986ACD">
      <w:pPr>
        <w:pStyle w:val="BodyText"/>
      </w:pPr>
      <w:r>
        <w:t xml:space="preserve">In considering prices </w:t>
      </w:r>
      <w:r w:rsidR="00DD44D1">
        <w:t>to set for the renewal of</w:t>
      </w:r>
      <w:r>
        <w:t xml:space="preserve"> spectrum licences, the ACMA </w:t>
      </w:r>
      <w:r w:rsidR="00BC10C9">
        <w:t xml:space="preserve">may need to adjust prices </w:t>
      </w:r>
      <w:r w:rsidR="00B11F75">
        <w:t xml:space="preserve">observed from comparable sales </w:t>
      </w:r>
      <w:r w:rsidR="00BC10C9">
        <w:t>to reflect different licence durations and commencement dates.</w:t>
      </w:r>
      <w:r w:rsidR="00004656">
        <w:t xml:space="preserve"> </w:t>
      </w:r>
      <w:r w:rsidR="00AD2481">
        <w:t>Th</w:t>
      </w:r>
      <w:r w:rsidR="00943A3F">
        <w:t>is</w:t>
      </w:r>
      <w:r w:rsidR="00AD2481">
        <w:t xml:space="preserve"> paper sets out </w:t>
      </w:r>
      <w:r w:rsidR="006543FE">
        <w:t>analysis</w:t>
      </w:r>
      <w:r w:rsidR="00B27796">
        <w:t xml:space="preserve"> and findings in relation to the financial inputs used by the ACMA to </w:t>
      </w:r>
      <w:r>
        <w:t>adjust the prices of licences</w:t>
      </w:r>
      <w:r w:rsidR="00041E38">
        <w:t xml:space="preserve"> to ensure that like-with-like comparisons can be made</w:t>
      </w:r>
      <w:r w:rsidR="00004656">
        <w:t>.</w:t>
      </w:r>
    </w:p>
    <w:p w14:paraId="0C09253A" w14:textId="1AC19891" w:rsidR="00E47BE3" w:rsidRDefault="00004656" w:rsidP="00986ACD">
      <w:pPr>
        <w:pStyle w:val="BodyText"/>
      </w:pPr>
      <w:r>
        <w:t xml:space="preserve">Licences provide spectrum users with the ability to earn </w:t>
      </w:r>
      <w:r w:rsidR="00B30D80">
        <w:t xml:space="preserve">a series of net </w:t>
      </w:r>
      <w:r>
        <w:t>cash flows.</w:t>
      </w:r>
      <w:r w:rsidR="00002214">
        <w:t xml:space="preserve"> Prices paid for licences will therefore reflect values </w:t>
      </w:r>
      <w:r w:rsidR="00D704F4">
        <w:t xml:space="preserve">up to the </w:t>
      </w:r>
      <w:r w:rsidR="00721EC2">
        <w:t xml:space="preserve">present value of the net </w:t>
      </w:r>
      <w:r w:rsidR="00D704F4">
        <w:t xml:space="preserve">cash flows that can be earned. To </w:t>
      </w:r>
      <w:r w:rsidR="00E41D07">
        <w:t xml:space="preserve">compute the present </w:t>
      </w:r>
      <w:r w:rsidR="00D704F4">
        <w:t xml:space="preserve">value </w:t>
      </w:r>
      <w:r w:rsidR="00E41D07">
        <w:t xml:space="preserve">of the net </w:t>
      </w:r>
      <w:r w:rsidR="00D704F4">
        <w:t xml:space="preserve">cash flows, spectrum licence purchasers will take into account two key financial inputs: </w:t>
      </w:r>
      <w:r>
        <w:t>the discount rate</w:t>
      </w:r>
      <w:r w:rsidR="00D704F4">
        <w:t xml:space="preserve">, which reflects </w:t>
      </w:r>
      <w:r w:rsidR="006B61C4">
        <w:t xml:space="preserve">the value of </w:t>
      </w:r>
      <w:r w:rsidR="00D704F4">
        <w:t xml:space="preserve">future cash flows </w:t>
      </w:r>
      <w:r w:rsidR="006B61C4">
        <w:t xml:space="preserve">relative to </w:t>
      </w:r>
      <w:r w:rsidR="00D704F4">
        <w:t>current cash flows, and cash flow growth</w:t>
      </w:r>
      <w:r w:rsidR="002D6077">
        <w:t xml:space="preserve">, which </w:t>
      </w:r>
      <w:r w:rsidR="006B61C4">
        <w:t>reflects</w:t>
      </w:r>
      <w:r w:rsidR="002D6077">
        <w:t xml:space="preserve"> changes in the earning potential of the licence over time.</w:t>
      </w:r>
    </w:p>
    <w:p w14:paraId="0F1945AA" w14:textId="77777777" w:rsidR="00E47BE3" w:rsidRDefault="00E47BE3" w:rsidP="00986ACD">
      <w:pPr>
        <w:pStyle w:val="BodyText"/>
      </w:pPr>
      <w:r>
        <w:t>In this paper, we step through:</w:t>
      </w:r>
    </w:p>
    <w:p w14:paraId="61DFDE2E" w14:textId="518E38CC" w:rsidR="00496BBF" w:rsidRDefault="007E190F">
      <w:pPr>
        <w:pStyle w:val="ListBullet"/>
      </w:pPr>
      <w:r>
        <w:t>The</w:t>
      </w:r>
      <w:r w:rsidR="00753CA7">
        <w:t xml:space="preserve"> basis for the</w:t>
      </w:r>
      <w:r>
        <w:t xml:space="preserve"> ACMA’s existing formula for making duration adjustments to licences</w:t>
      </w:r>
      <w:r w:rsidR="00496BBF">
        <w:t>, for shorter/longer periods and for part years</w:t>
      </w:r>
      <w:r w:rsidR="00251DC6">
        <w:t>, and h</w:t>
      </w:r>
      <w:r w:rsidR="008C4E54">
        <w:t>ow that formula should be applied or altered in specific circumstances</w:t>
      </w:r>
      <w:r w:rsidR="00251DC6">
        <w:t>.</w:t>
      </w:r>
    </w:p>
    <w:p w14:paraId="2C24BFCE" w14:textId="257BC818" w:rsidR="00A41346" w:rsidRDefault="00F27276" w:rsidP="00E47BE3">
      <w:pPr>
        <w:pStyle w:val="ListBullet"/>
      </w:pPr>
      <w:r>
        <w:t>How to adjust international benchmark spectrum prices where the licence duration is the same, and where it is different</w:t>
      </w:r>
      <w:r w:rsidR="00251DC6">
        <w:t>.</w:t>
      </w:r>
    </w:p>
    <w:p w14:paraId="47232AC2" w14:textId="1C7BC61F" w:rsidR="00AC4BDF" w:rsidRDefault="00771AA2" w:rsidP="00E47BE3">
      <w:pPr>
        <w:pStyle w:val="ListBullet"/>
      </w:pPr>
      <w:r>
        <w:t>The WACC formulation that should be used for the discount rate, where we find that</w:t>
      </w:r>
      <w:r w:rsidR="0066468E">
        <w:t xml:space="preserve"> the ACMA should</w:t>
      </w:r>
      <w:r>
        <w:t>:</w:t>
      </w:r>
    </w:p>
    <w:p w14:paraId="42514D1B" w14:textId="1006B058" w:rsidR="00771AA2" w:rsidRDefault="0066468E" w:rsidP="00771AA2">
      <w:pPr>
        <w:pStyle w:val="ListBullet2"/>
      </w:pPr>
      <w:r>
        <w:t xml:space="preserve">Adopt a nominal vanilla WACC formulation, </w:t>
      </w:r>
      <w:r w:rsidR="00EF63D6">
        <w:t xml:space="preserve">because (a) </w:t>
      </w:r>
      <w:r>
        <w:t xml:space="preserve">this </w:t>
      </w:r>
      <w:r w:rsidR="00D0616D">
        <w:t xml:space="preserve">after-tax </w:t>
      </w:r>
      <w:r w:rsidR="00AD21C6">
        <w:t xml:space="preserve">formulation </w:t>
      </w:r>
      <w:r>
        <w:t xml:space="preserve">is most consistent with </w:t>
      </w:r>
      <w:r w:rsidR="00802C45">
        <w:t>how bidders would conceive of cash flows earned</w:t>
      </w:r>
      <w:r w:rsidR="002C7E18">
        <w:t>,</w:t>
      </w:r>
      <w:r w:rsidR="00516B27">
        <w:t xml:space="preserve"> and </w:t>
      </w:r>
      <w:r w:rsidR="002C7E18">
        <w:t xml:space="preserve">(b) it </w:t>
      </w:r>
      <w:r w:rsidR="00516B27">
        <w:t xml:space="preserve">accounts for the </w:t>
      </w:r>
      <w:r w:rsidR="00FF6FBF">
        <w:t>deductibility</w:t>
      </w:r>
      <w:r w:rsidR="00516B27">
        <w:t xml:space="preserve"> of interest on debt used to fund the licence fee</w:t>
      </w:r>
      <w:r w:rsidR="002C7E18">
        <w:t>; and</w:t>
      </w:r>
    </w:p>
    <w:p w14:paraId="42A3CA1B" w14:textId="4FF91A88" w:rsidR="009D0558" w:rsidRDefault="009D0558" w:rsidP="00771AA2">
      <w:pPr>
        <w:pStyle w:val="ListBullet2"/>
      </w:pPr>
      <w:r>
        <w:t xml:space="preserve">Use a long run estimate of the WACC, consistent with </w:t>
      </w:r>
      <w:r w:rsidR="00390365">
        <w:t>the approach of the NSW regulator IPART</w:t>
      </w:r>
      <w:r w:rsidR="00A51C35">
        <w:t xml:space="preserve">, as this will produce a </w:t>
      </w:r>
      <w:r w:rsidR="00091C98">
        <w:t xml:space="preserve">more </w:t>
      </w:r>
      <w:r w:rsidR="00A51C35">
        <w:t xml:space="preserve">stable WACC that is more consistent with how we think </w:t>
      </w:r>
      <w:r w:rsidR="00091C98">
        <w:t>purchasers of</w:t>
      </w:r>
      <w:r w:rsidR="00A51C35">
        <w:t xml:space="preserve"> licences</w:t>
      </w:r>
      <w:r w:rsidR="00091C98">
        <w:t xml:space="preserve"> would allocate value of licences over time.</w:t>
      </w:r>
      <w:r w:rsidR="008178CA">
        <w:t xml:space="preserve"> The ACMA can readily adopt</w:t>
      </w:r>
      <w:r w:rsidR="008A0930">
        <w:t>, and, if necessary, adapt,</w:t>
      </w:r>
      <w:r w:rsidR="008178CA">
        <w:t xml:space="preserve"> parameters for the WACC produced by </w:t>
      </w:r>
      <w:r w:rsidR="00A820F1">
        <w:t>regulators such as the AER</w:t>
      </w:r>
      <w:r w:rsidR="008178CA">
        <w:t xml:space="preserve"> and the ACCC </w:t>
      </w:r>
      <w:r w:rsidR="00A820F1">
        <w:t>to estimate the long-term WACC.</w:t>
      </w:r>
    </w:p>
    <w:p w14:paraId="57D79ABD" w14:textId="6A79E116" w:rsidR="00926FCA" w:rsidRPr="00986ACD" w:rsidRDefault="00911778" w:rsidP="00290E80">
      <w:pPr>
        <w:pStyle w:val="ListBullet"/>
      </w:pPr>
      <w:r>
        <w:t>How the ACMA could estimate cash flow growth over historical and future periods. We recommend using public sources of data on population</w:t>
      </w:r>
      <w:r w:rsidR="00AB6E60">
        <w:t xml:space="preserve"> growth</w:t>
      </w:r>
      <w:r>
        <w:t xml:space="preserve">, average revenue per user (ARPU) </w:t>
      </w:r>
      <w:r w:rsidR="00AB6E60">
        <w:t xml:space="preserve">growth </w:t>
      </w:r>
      <w:r>
        <w:t xml:space="preserve">and </w:t>
      </w:r>
      <w:r w:rsidR="00AB6E60">
        <w:t>cost inflation</w:t>
      </w:r>
      <w:r w:rsidR="004202EC">
        <w:t xml:space="preserve">. </w:t>
      </w:r>
      <w:r w:rsidR="00AB6E60">
        <w:t>T</w:t>
      </w:r>
      <w:r w:rsidR="004202EC">
        <w:t>he ACMA should prefer longer-term</w:t>
      </w:r>
      <w:r w:rsidR="00D9674C">
        <w:t>, more stable</w:t>
      </w:r>
      <w:r w:rsidR="004202EC">
        <w:t xml:space="preserve"> estimates of cash flows</w:t>
      </w:r>
      <w:r w:rsidR="00D9674C">
        <w:t xml:space="preserve"> as we consider that is likely to be how investors in </w:t>
      </w:r>
      <w:proofErr w:type="gramStart"/>
      <w:r w:rsidR="00D9674C">
        <w:t>15-20 year</w:t>
      </w:r>
      <w:proofErr w:type="gramEnd"/>
      <w:r w:rsidR="00D9674C">
        <w:t xml:space="preserve"> licences would conceive of cash flows for valuation purposes.</w:t>
      </w:r>
    </w:p>
    <w:p w14:paraId="5FDB077E" w14:textId="77777777" w:rsidR="00987F6C" w:rsidRPr="00987F6C" w:rsidRDefault="00987F6C" w:rsidP="00987F6C">
      <w:pPr>
        <w:pStyle w:val="BodyText"/>
        <w:rPr>
          <w:lang w:eastAsia="en-AU"/>
        </w:rPr>
      </w:pPr>
    </w:p>
    <w:p w14:paraId="674DE897" w14:textId="77777777" w:rsidR="006E32CD" w:rsidRPr="006E32CD" w:rsidRDefault="006E32CD" w:rsidP="006E32CD">
      <w:pPr>
        <w:pStyle w:val="BodyText"/>
        <w:rPr>
          <w:lang w:eastAsia="en-AU"/>
        </w:rPr>
      </w:pPr>
    </w:p>
    <w:p w14:paraId="70B485AE" w14:textId="466BDD68" w:rsidR="00732448" w:rsidRDefault="00F258C6" w:rsidP="00E27CA5">
      <w:pPr>
        <w:pStyle w:val="Heading1"/>
      </w:pPr>
      <w:bookmarkStart w:id="2" w:name="_Toc170474022"/>
      <w:r>
        <w:lastRenderedPageBreak/>
        <w:t>I</w:t>
      </w:r>
      <w:bookmarkEnd w:id="1"/>
      <w:r>
        <w:t>ntroduction</w:t>
      </w:r>
      <w:bookmarkEnd w:id="2"/>
    </w:p>
    <w:p w14:paraId="587948D7" w14:textId="47C2CE25" w:rsidR="0095038E" w:rsidRPr="0095038E" w:rsidRDefault="00F258C6" w:rsidP="0095038E">
      <w:pPr>
        <w:pStyle w:val="Heading2"/>
      </w:pPr>
      <w:bookmarkStart w:id="3" w:name="_Toc170474023"/>
      <w:r>
        <w:t>Background and context</w:t>
      </w:r>
      <w:bookmarkEnd w:id="3"/>
    </w:p>
    <w:p w14:paraId="2A7E8B9F" w14:textId="4427023D" w:rsidR="007524A4" w:rsidRDefault="007524A4" w:rsidP="007524A4">
      <w:pPr>
        <w:pStyle w:val="BodyText"/>
        <w:tabs>
          <w:tab w:val="left" w:pos="2607"/>
        </w:tabs>
      </w:pPr>
      <w:r>
        <w:t>Between June 2028 and October 2032, many spectrum licences issued under the Radiocommunications Act 1992 will expire. The ACMA intends to conduct benchmarking analysis of international spectrum prices/benchmarks (from either auctions or trades) for the purposes of estimating the value of expiring spectrum licences.</w:t>
      </w:r>
    </w:p>
    <w:p w14:paraId="53BF1393" w14:textId="21FC031D" w:rsidR="007524A4" w:rsidRDefault="007524A4" w:rsidP="007524A4">
      <w:pPr>
        <w:pStyle w:val="BodyText"/>
        <w:tabs>
          <w:tab w:val="left" w:pos="2607"/>
        </w:tabs>
      </w:pPr>
      <w:r>
        <w:t>The ACMA has sought advice about the financial inputs required to appropriately adjust international spectrum prices/benchmarks. In particular, the ACMA has sought advice about:</w:t>
      </w:r>
    </w:p>
    <w:p w14:paraId="645ECCCF" w14:textId="51D45029" w:rsidR="007524A4" w:rsidRDefault="007524A4" w:rsidP="007524A4">
      <w:pPr>
        <w:pStyle w:val="ListBullet"/>
      </w:pPr>
      <w:r>
        <w:t xml:space="preserve">appropriate use of weighted average cost of capital (WACC) and cash flow growth assumptions when adjusting (standardising) licences of different durations, and </w:t>
      </w:r>
    </w:p>
    <w:p w14:paraId="3FEC37D9" w14:textId="3AEB5485" w:rsidR="007958F2" w:rsidRDefault="007524A4" w:rsidP="007524A4">
      <w:pPr>
        <w:pStyle w:val="ListBullet"/>
      </w:pPr>
      <w:r>
        <w:t>discounting or inflating values to common or contemporaneous timeframes.</w:t>
      </w:r>
    </w:p>
    <w:p w14:paraId="64274E35" w14:textId="1CF4D474" w:rsidR="0051291C" w:rsidRDefault="00033B21" w:rsidP="00033B21">
      <w:pPr>
        <w:pStyle w:val="Heading2"/>
      </w:pPr>
      <w:bookmarkStart w:id="4" w:name="_Toc170474024"/>
      <w:r>
        <w:t>Overview of the issue and current approach</w:t>
      </w:r>
      <w:bookmarkEnd w:id="4"/>
    </w:p>
    <w:p w14:paraId="3B86D21F" w14:textId="20DD9B84" w:rsidR="00070021" w:rsidRDefault="00E75B3C" w:rsidP="003D02D2">
      <w:pPr>
        <w:pStyle w:val="BodyText"/>
      </w:pPr>
      <w:r>
        <w:t xml:space="preserve">The ACMA has </w:t>
      </w:r>
      <w:r w:rsidR="008A27F4">
        <w:t>publi</w:t>
      </w:r>
      <w:r w:rsidR="00090FF5">
        <w:t xml:space="preserve">shed </w:t>
      </w:r>
      <w:r>
        <w:t xml:space="preserve">an approach for </w:t>
      </w:r>
      <w:r w:rsidR="009B1AEF">
        <w:t xml:space="preserve">adjusting for valuations of different licence durations. </w:t>
      </w:r>
      <w:r w:rsidR="00A64DD4">
        <w:t>This approach was set out in a</w:t>
      </w:r>
      <w:r w:rsidR="00451A54">
        <w:t xml:space="preserve"> series of regulatory instruments relating to the renewal of 1800 MHz licences</w:t>
      </w:r>
      <w:r w:rsidR="00C4206F">
        <w:t>.</w:t>
      </w:r>
      <w:r w:rsidR="00C4206F">
        <w:rPr>
          <w:rStyle w:val="FootnoteReference"/>
        </w:rPr>
        <w:footnoteReference w:id="2"/>
      </w:r>
      <w:r w:rsidR="00C4206F">
        <w:t xml:space="preserve"> </w:t>
      </w:r>
      <w:r w:rsidR="00A64DD4">
        <w:t xml:space="preserve"> </w:t>
      </w:r>
      <w:r w:rsidR="00070021">
        <w:t>The approach:</w:t>
      </w:r>
    </w:p>
    <w:p w14:paraId="3F584779" w14:textId="77777777" w:rsidR="00D720CE" w:rsidRDefault="00070021" w:rsidP="00070021">
      <w:pPr>
        <w:pStyle w:val="ListBullet"/>
      </w:pPr>
      <w:r>
        <w:t xml:space="preserve">begins with the </w:t>
      </w:r>
      <w:r w:rsidR="00C84C6E">
        <w:t xml:space="preserve">price paid for the spectrum licence – the full </w:t>
      </w:r>
      <w:r w:rsidR="00D720CE">
        <w:t>present</w:t>
      </w:r>
      <w:r w:rsidR="00C84C6E">
        <w:t xml:space="preserve"> value (FPV</w:t>
      </w:r>
      <w:proofErr w:type="gramStart"/>
      <w:r w:rsidR="00C84C6E">
        <w:t>)</w:t>
      </w:r>
      <w:r w:rsidR="00D720CE">
        <w:t>;</w:t>
      </w:r>
      <w:proofErr w:type="gramEnd"/>
    </w:p>
    <w:p w14:paraId="2F19D4CC" w14:textId="6FC905C2" w:rsidR="00E91FA9" w:rsidRDefault="00D720CE" w:rsidP="00070021">
      <w:pPr>
        <w:pStyle w:val="ListBullet"/>
      </w:pPr>
      <w:r>
        <w:t>converts that price to a series of annual cash flows over the life of the licence</w:t>
      </w:r>
      <w:r w:rsidR="005146CC">
        <w:t xml:space="preserve"> – based on assumptions about the WACC and the </w:t>
      </w:r>
      <w:r w:rsidR="0066144D">
        <w:t>annual rate of growth in the cash flows</w:t>
      </w:r>
      <w:r>
        <w:t>; and</w:t>
      </w:r>
    </w:p>
    <w:p w14:paraId="667FCFCD" w14:textId="271F420A" w:rsidR="00070021" w:rsidRDefault="00E91FA9" w:rsidP="00070021">
      <w:pPr>
        <w:pStyle w:val="ListBullet"/>
      </w:pPr>
      <w:r>
        <w:t xml:space="preserve">computes the </w:t>
      </w:r>
      <w:r w:rsidR="00D02BC8">
        <w:t xml:space="preserve">part-period present value (PPV) – that being the present value of the </w:t>
      </w:r>
      <w:r w:rsidR="00497EFF">
        <w:t xml:space="preserve">cash flows over the </w:t>
      </w:r>
      <w:r w:rsidR="005146CC">
        <w:t>first part</w:t>
      </w:r>
      <w:r w:rsidR="0066144D">
        <w:t xml:space="preserve"> of the licence period.</w:t>
      </w:r>
      <w:r w:rsidR="005146CC">
        <w:t xml:space="preserve"> </w:t>
      </w:r>
      <w:r w:rsidR="00D720CE">
        <w:t xml:space="preserve"> </w:t>
      </w:r>
      <w:r w:rsidR="00070021">
        <w:t xml:space="preserve">  </w:t>
      </w:r>
    </w:p>
    <w:p w14:paraId="399BA528" w14:textId="4CB56339" w:rsidR="00DE7476" w:rsidRDefault="00DE7476" w:rsidP="003D02D2">
      <w:pPr>
        <w:pStyle w:val="BodyText"/>
      </w:pPr>
      <w:r>
        <w:t xml:space="preserve">In particular, the ACMA </w:t>
      </w:r>
      <w:r w:rsidR="00107B8A">
        <w:t xml:space="preserve">published a formula that derives the present value of the cash flows over the first </w:t>
      </w:r>
      <w:r w:rsidR="00107B8A" w:rsidRPr="009010CA">
        <w:rPr>
          <w:i/>
          <w:iCs/>
        </w:rPr>
        <w:t>n</w:t>
      </w:r>
      <w:r w:rsidR="00107B8A">
        <w:t xml:space="preserve"> years of a </w:t>
      </w:r>
      <w:r w:rsidR="008A6E00">
        <w:t xml:space="preserve">licence granted for a total of </w:t>
      </w:r>
      <w:proofErr w:type="spellStart"/>
      <w:r w:rsidR="008A6E00" w:rsidRPr="009010CA">
        <w:rPr>
          <w:i/>
          <w:iCs/>
        </w:rPr>
        <w:t>n</w:t>
      </w:r>
      <w:r w:rsidR="008A6E00">
        <w:t>+</w:t>
      </w:r>
      <w:r w:rsidR="008A6E00" w:rsidRPr="009010CA">
        <w:rPr>
          <w:i/>
          <w:iCs/>
        </w:rPr>
        <w:t>m</w:t>
      </w:r>
      <w:proofErr w:type="spellEnd"/>
      <w:r w:rsidR="008A6E00">
        <w:t xml:space="preserve"> ye</w:t>
      </w:r>
      <w:r w:rsidR="00D91EE9">
        <w:t>ars.</w:t>
      </w:r>
    </w:p>
    <w:p w14:paraId="673152E6" w14:textId="4EC101C5" w:rsidR="00E75B3C" w:rsidRDefault="00090FF5" w:rsidP="003D02D2">
      <w:pPr>
        <w:pStyle w:val="BodyText"/>
      </w:pPr>
      <w:r>
        <w:t>The extract that is reproduced</w:t>
      </w:r>
      <w:r w:rsidR="00713F87">
        <w:t xml:space="preserve"> in Figure 1</w:t>
      </w:r>
      <w:r>
        <w:t xml:space="preserve"> </w:t>
      </w:r>
      <w:r w:rsidR="00D91EE9">
        <w:t xml:space="preserve">below </w:t>
      </w:r>
      <w:r>
        <w:t>shows that</w:t>
      </w:r>
      <w:r w:rsidR="00713F87">
        <w:t xml:space="preserve"> the p</w:t>
      </w:r>
      <w:r w:rsidR="00D91EE9">
        <w:t>art</w:t>
      </w:r>
      <w:r w:rsidR="00AF0C94">
        <w:t>-period</w:t>
      </w:r>
      <w:r w:rsidR="00D91EE9">
        <w:t xml:space="preserve"> p</w:t>
      </w:r>
      <w:r w:rsidR="00713F87">
        <w:t>resent value</w:t>
      </w:r>
      <w:r w:rsidR="00D612AF">
        <w:t xml:space="preserve"> (PPV)</w:t>
      </w:r>
      <w:r w:rsidR="00713F87">
        <w:t xml:space="preserve"> </w:t>
      </w:r>
      <w:r w:rsidR="00D612AF">
        <w:t>is determined with reference to the value for the full licence (FPV)</w:t>
      </w:r>
      <w:r w:rsidR="00D56FE1">
        <w:t xml:space="preserve">, the </w:t>
      </w:r>
      <w:r w:rsidR="009010CA">
        <w:t>length of the part period (</w:t>
      </w:r>
      <w:r w:rsidR="009010CA" w:rsidRPr="009010CA">
        <w:rPr>
          <w:i/>
          <w:iCs/>
        </w:rPr>
        <w:t>n</w:t>
      </w:r>
      <w:r w:rsidR="009010CA">
        <w:t>) relative to the remaining years (</w:t>
      </w:r>
      <w:r w:rsidR="00F14006" w:rsidRPr="0086556E">
        <w:rPr>
          <w:i/>
          <w:iCs/>
        </w:rPr>
        <w:t>m</w:t>
      </w:r>
      <w:r w:rsidR="00F14006">
        <w:t xml:space="preserve">), </w:t>
      </w:r>
      <w:r w:rsidR="007F1532">
        <w:t xml:space="preserve">the discount rate </w:t>
      </w:r>
      <w:r w:rsidR="0086556E">
        <w:t>(</w:t>
      </w:r>
      <w:r w:rsidR="0086556E" w:rsidRPr="0086556E">
        <w:rPr>
          <w:i/>
          <w:iCs/>
        </w:rPr>
        <w:t>r</w:t>
      </w:r>
      <w:r w:rsidR="0086556E">
        <w:t xml:space="preserve">) </w:t>
      </w:r>
      <w:r w:rsidR="007F1532">
        <w:t xml:space="preserve">and the </w:t>
      </w:r>
      <w:r w:rsidR="00397D4F">
        <w:t>growth rate in cash flows</w:t>
      </w:r>
      <w:r w:rsidR="0086556E">
        <w:t xml:space="preserve"> (</w:t>
      </w:r>
      <w:r w:rsidR="0086556E" w:rsidRPr="0086556E">
        <w:rPr>
          <w:i/>
          <w:iCs/>
        </w:rPr>
        <w:t>z</w:t>
      </w:r>
      <w:r w:rsidR="0086556E">
        <w:t>)</w:t>
      </w:r>
      <w:r w:rsidR="00397D4F">
        <w:t>.</w:t>
      </w:r>
    </w:p>
    <w:p w14:paraId="1DCC541C" w14:textId="24798432" w:rsidR="0086556E" w:rsidRDefault="0086556E" w:rsidP="003D02D2">
      <w:pPr>
        <w:pStyle w:val="BodyText"/>
      </w:pPr>
      <w:r>
        <w:t>The derivation of this</w:t>
      </w:r>
      <w:r w:rsidR="009F506E">
        <w:t xml:space="preserve"> formula is set out in Appendix </w:t>
      </w:r>
      <w:r w:rsidR="009F506E">
        <w:fldChar w:fldCharType="begin"/>
      </w:r>
      <w:r w:rsidR="009F506E">
        <w:instrText xml:space="preserve"> REF _Ref169707464 \r </w:instrText>
      </w:r>
      <w:r w:rsidR="009F506E">
        <w:fldChar w:fldCharType="separate"/>
      </w:r>
      <w:r w:rsidR="00290E80">
        <w:t>B</w:t>
      </w:r>
      <w:r w:rsidR="009F506E">
        <w:fldChar w:fldCharType="end"/>
      </w:r>
      <w:r w:rsidR="009F506E">
        <w:t xml:space="preserve"> to this report.</w:t>
      </w:r>
    </w:p>
    <w:p w14:paraId="6A39C701" w14:textId="0AA7012C" w:rsidR="00485659" w:rsidRDefault="00485659" w:rsidP="0086556E">
      <w:pPr>
        <w:pStyle w:val="Caption"/>
        <w:keepNext/>
      </w:pPr>
      <w:bookmarkStart w:id="5" w:name="_Ref169104132"/>
      <w:bookmarkStart w:id="6" w:name="_Toc170474042"/>
      <w:r w:rsidRPr="00A23B0B">
        <w:lastRenderedPageBreak/>
        <w:t xml:space="preserve">Figure </w:t>
      </w:r>
      <w:r>
        <w:fldChar w:fldCharType="begin"/>
      </w:r>
      <w:r>
        <w:instrText xml:space="preserve"> SEQ Figure \* ARABIC </w:instrText>
      </w:r>
      <w:r>
        <w:fldChar w:fldCharType="separate"/>
      </w:r>
      <w:r w:rsidR="00290E80">
        <w:rPr>
          <w:noProof/>
        </w:rPr>
        <w:t>1</w:t>
      </w:r>
      <w:r>
        <w:rPr>
          <w:noProof/>
        </w:rPr>
        <w:fldChar w:fldCharType="end"/>
      </w:r>
      <w:bookmarkEnd w:id="5"/>
      <w:r w:rsidRPr="00A23B0B">
        <w:t xml:space="preserve">: </w:t>
      </w:r>
      <w:r w:rsidR="00305E31">
        <w:t>Tilted annuity formula</w:t>
      </w:r>
      <w:bookmarkEnd w:id="6"/>
    </w:p>
    <w:p w14:paraId="45946EDE" w14:textId="46839D3D" w:rsidR="00485659" w:rsidRPr="00003335" w:rsidRDefault="00485659" w:rsidP="0086556E">
      <w:pPr>
        <w:keepNext/>
      </w:pPr>
      <w:r w:rsidRPr="00485659">
        <w:rPr>
          <w:noProof/>
        </w:rPr>
        <w:drawing>
          <wp:inline distT="0" distB="0" distL="0" distR="0" wp14:anchorId="39435804" wp14:editId="0C003CD9">
            <wp:extent cx="6267450" cy="3304897"/>
            <wp:effectExtent l="0" t="0" r="0" b="0"/>
            <wp:docPr id="806512930" name="Picture 80651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5171" cy="3308968"/>
                    </a:xfrm>
                    <a:prstGeom prst="rect">
                      <a:avLst/>
                    </a:prstGeom>
                    <a:noFill/>
                    <a:ln>
                      <a:noFill/>
                    </a:ln>
                  </pic:spPr>
                </pic:pic>
              </a:graphicData>
            </a:graphic>
          </wp:inline>
        </w:drawing>
      </w:r>
    </w:p>
    <w:p w14:paraId="6A6E1E00" w14:textId="2B450809" w:rsidR="00485659" w:rsidRPr="00003335" w:rsidRDefault="00485659" w:rsidP="0086556E">
      <w:pPr>
        <w:pStyle w:val="Source"/>
        <w:keepNext/>
      </w:pPr>
      <w:r w:rsidRPr="00003335">
        <w:t xml:space="preserve">Source: </w:t>
      </w:r>
      <w:r w:rsidR="000A5C63" w:rsidRPr="000A5C63">
        <w:t>Explanatory Statement: Radiocommunications (Spectrum Access Charges – 1800 MHz Band) Determination 2013 (No. 2)</w:t>
      </w:r>
    </w:p>
    <w:p w14:paraId="35E7FA0A" w14:textId="2095F820" w:rsidR="0086556E" w:rsidRDefault="00325E14" w:rsidP="00A50AE4">
      <w:pPr>
        <w:pStyle w:val="BodyText"/>
      </w:pPr>
      <w:r>
        <w:t xml:space="preserve">This formula is used to </w:t>
      </w:r>
      <w:r w:rsidR="00770381">
        <w:t>‘adjust’ license periods</w:t>
      </w:r>
      <w:r w:rsidR="0078226E">
        <w:t xml:space="preserve"> to enable like-with-like comparisons.  </w:t>
      </w:r>
      <w:r w:rsidR="00D142AA">
        <w:t xml:space="preserve">If, for example, the task is to estimate </w:t>
      </w:r>
      <w:r w:rsidR="00A06842">
        <w:t>the value of a certain MHz licen</w:t>
      </w:r>
      <w:r w:rsidR="00334237">
        <w:t>c</w:t>
      </w:r>
      <w:r w:rsidR="00A06842">
        <w:t xml:space="preserve">e of 10 years duration and </w:t>
      </w:r>
      <w:r w:rsidR="00334237">
        <w:t>a comparable sale</w:t>
      </w:r>
      <w:r w:rsidR="008C42A9">
        <w:t xml:space="preserve"> in another jurisdiction involved a 15-year licence,</w:t>
      </w:r>
      <w:r w:rsidR="003C72D4">
        <w:t xml:space="preserve"> the above formula can be used to estimate the value attributable to the first 10 year</w:t>
      </w:r>
      <w:r w:rsidR="00703F52">
        <w:t xml:space="preserve">s.  </w:t>
      </w:r>
      <w:r w:rsidR="004A4A45">
        <w:t xml:space="preserve">It would be standard to then divide by population </w:t>
      </w:r>
      <w:r w:rsidR="005D6649">
        <w:t>and report the price as $/Pop for the same MHz band.</w:t>
      </w:r>
      <w:r w:rsidR="009D70D5">
        <w:t xml:space="preserve">  </w:t>
      </w:r>
      <w:r w:rsidR="008C42A9">
        <w:t xml:space="preserve"> </w:t>
      </w:r>
      <w:r w:rsidR="00334237">
        <w:t xml:space="preserve"> </w:t>
      </w:r>
    </w:p>
    <w:p w14:paraId="4891BD94" w14:textId="195E6F36" w:rsidR="00A50AE4" w:rsidRPr="00A50AE4" w:rsidRDefault="00A50AE4" w:rsidP="00A50AE4">
      <w:pPr>
        <w:pStyle w:val="BodyText"/>
      </w:pPr>
      <w:r w:rsidRPr="00A50AE4">
        <w:t>Th</w:t>
      </w:r>
      <w:r w:rsidR="009D70D5">
        <w:t>is approach is known as</w:t>
      </w:r>
      <w:r w:rsidRPr="00A50AE4">
        <w:t xml:space="preserve"> $/MHz/Pop</w:t>
      </w:r>
      <w:r w:rsidR="009D70D5">
        <w:t xml:space="preserve"> and </w:t>
      </w:r>
      <w:r w:rsidRPr="00A50AE4">
        <w:t>is a standard comparison assessment method between jurisdictions</w:t>
      </w:r>
      <w:r w:rsidR="00BF027E">
        <w:t xml:space="preserve">.  It </w:t>
      </w:r>
      <w:r w:rsidRPr="00A50AE4">
        <w:t>allow</w:t>
      </w:r>
      <w:r w:rsidR="00BF027E">
        <w:t>s</w:t>
      </w:r>
      <w:r w:rsidRPr="00A50AE4">
        <w:t xml:space="preserve"> for differences in exchange rates, particular spectrum bands (as the MHz will be assessed for the same bands) and population size covered (reflecting the greater earning power of larger populations / subscribers).</w:t>
      </w:r>
    </w:p>
    <w:p w14:paraId="34D290F3" w14:textId="766A07FD" w:rsidR="00DB7EA7" w:rsidRDefault="00DB7EA7" w:rsidP="003D02D2">
      <w:pPr>
        <w:pStyle w:val="BodyText"/>
      </w:pPr>
      <w:r>
        <w:t xml:space="preserve">The </w:t>
      </w:r>
      <w:r w:rsidR="00BF027E">
        <w:t xml:space="preserve">ACMA </w:t>
      </w:r>
      <w:r>
        <w:t xml:space="preserve">formula accounts for </w:t>
      </w:r>
      <w:r w:rsidR="00397D4F">
        <w:t>three</w:t>
      </w:r>
      <w:r>
        <w:t xml:space="preserve"> factors:</w:t>
      </w:r>
    </w:p>
    <w:p w14:paraId="3CBE23B3" w14:textId="5A7F22C1" w:rsidR="00397D4F" w:rsidRDefault="00397D4F" w:rsidP="00DB7EA7">
      <w:pPr>
        <w:pStyle w:val="ListBullet"/>
      </w:pPr>
      <w:r>
        <w:t xml:space="preserve">The </w:t>
      </w:r>
      <w:r w:rsidR="00883173">
        <w:t xml:space="preserve">relative length of the licence: </w:t>
      </w:r>
      <w:r>
        <w:t xml:space="preserve">longer </w:t>
      </w:r>
      <w:r w:rsidR="000E3E85">
        <w:t xml:space="preserve">part </w:t>
      </w:r>
      <w:r>
        <w:t>periods</w:t>
      </w:r>
      <w:r w:rsidR="00250594">
        <w:t xml:space="preserve"> (</w:t>
      </w:r>
      <w:r w:rsidR="00250594" w:rsidRPr="0041480B">
        <w:rPr>
          <w:i/>
          <w:iCs/>
        </w:rPr>
        <w:t>n</w:t>
      </w:r>
      <w:r w:rsidR="00250594">
        <w:t>)</w:t>
      </w:r>
      <w:r>
        <w:t xml:space="preserve"> produce higher values.</w:t>
      </w:r>
    </w:p>
    <w:p w14:paraId="5FB234F3" w14:textId="7851E025" w:rsidR="00DB7EA7" w:rsidRDefault="00EF520D" w:rsidP="00DB7EA7">
      <w:pPr>
        <w:pStyle w:val="ListBullet"/>
      </w:pPr>
      <w:r>
        <w:t xml:space="preserve">The discount rate applied to </w:t>
      </w:r>
      <w:r w:rsidR="00A450E9">
        <w:t>the initial valuation of spectrum by the purchaser</w:t>
      </w:r>
      <w:r w:rsidR="00CE422A">
        <w:t xml:space="preserve"> </w:t>
      </w:r>
      <w:r w:rsidR="00CE3DB6">
        <w:t>(</w:t>
      </w:r>
      <w:r w:rsidR="00CE3DB6" w:rsidRPr="0041480B">
        <w:rPr>
          <w:i/>
          <w:iCs/>
        </w:rPr>
        <w:t>r</w:t>
      </w:r>
      <w:r w:rsidR="00CE3DB6">
        <w:t>)</w:t>
      </w:r>
      <w:r w:rsidR="00AE4DDC">
        <w:t>. Higher discount rates</w:t>
      </w:r>
      <w:r w:rsidR="009C5023">
        <w:t xml:space="preserve"> increase the </w:t>
      </w:r>
      <w:r w:rsidR="005D0405">
        <w:t xml:space="preserve">relative </w:t>
      </w:r>
      <w:r w:rsidR="009C5023">
        <w:t>value of part-duration licences</w:t>
      </w:r>
      <w:r w:rsidR="008D126E">
        <w:t xml:space="preserve"> as </w:t>
      </w:r>
      <w:r w:rsidR="006A6650">
        <w:t>later cash flows have relatively lower present values</w:t>
      </w:r>
      <w:r w:rsidR="009C5023">
        <w:t>.</w:t>
      </w:r>
    </w:p>
    <w:p w14:paraId="3513B1E3" w14:textId="38B4BEB2" w:rsidR="00ED0C74" w:rsidRDefault="00CE422A" w:rsidP="00C67AED">
      <w:pPr>
        <w:pStyle w:val="ListBullet"/>
      </w:pPr>
      <w:r>
        <w:t xml:space="preserve">The earning potential of the licence, noting that </w:t>
      </w:r>
      <w:r w:rsidR="00F96109">
        <w:t>earning potential would be expected to increase over time as population, prices, etc</w:t>
      </w:r>
      <w:r w:rsidR="006913BE">
        <w:t>.</w:t>
      </w:r>
      <w:r w:rsidR="00F96109">
        <w:t xml:space="preserve"> increase</w:t>
      </w:r>
      <w:r w:rsidR="00CE3DB6">
        <w:t xml:space="preserve"> (</w:t>
      </w:r>
      <w:r w:rsidR="00CE3DB6" w:rsidRPr="006913BE">
        <w:rPr>
          <w:i/>
          <w:iCs/>
        </w:rPr>
        <w:t>z</w:t>
      </w:r>
      <w:r w:rsidR="00CE3DB6">
        <w:t>)</w:t>
      </w:r>
      <w:r w:rsidR="00F96109">
        <w:t>.</w:t>
      </w:r>
      <w:r w:rsidR="00B51A5F">
        <w:t xml:space="preserve"> Higher cash</w:t>
      </w:r>
      <w:r w:rsidR="006A6650">
        <w:t xml:space="preserve"> </w:t>
      </w:r>
      <w:r w:rsidR="00B51A5F">
        <w:t>flow growth</w:t>
      </w:r>
      <w:r w:rsidR="006C2CFD">
        <w:t xml:space="preserve"> reduces the value of part-duration licences</w:t>
      </w:r>
      <w:r w:rsidR="00D2518E">
        <w:t xml:space="preserve"> as it allows for backloading of recovery of value</w:t>
      </w:r>
      <w:r w:rsidR="006C2CFD">
        <w:t>.</w:t>
      </w:r>
      <w:r w:rsidR="00ED0C74" w:rsidRPr="00ED0C74">
        <w:t xml:space="preserve"> </w:t>
      </w:r>
    </w:p>
    <w:p w14:paraId="5094481E" w14:textId="30BF1D80" w:rsidR="0003246E" w:rsidRDefault="0003246E" w:rsidP="0003246E">
      <w:pPr>
        <w:pStyle w:val="BodyText"/>
      </w:pPr>
      <w:r>
        <w:t>The ACMA has a number of questions about the application of this formula, including:</w:t>
      </w:r>
    </w:p>
    <w:p w14:paraId="115501B1" w14:textId="4646D533" w:rsidR="0003246E" w:rsidRDefault="0003246E" w:rsidP="0003246E">
      <w:pPr>
        <w:pStyle w:val="ListBullet"/>
      </w:pPr>
      <w:r>
        <w:t xml:space="preserve">Whether it is accurate for the purposes of </w:t>
      </w:r>
      <w:r w:rsidR="00BB368B">
        <w:t xml:space="preserve">licence </w:t>
      </w:r>
      <w:r>
        <w:t xml:space="preserve">duration </w:t>
      </w:r>
      <w:proofErr w:type="gramStart"/>
      <w:r>
        <w:t>adjustments</w:t>
      </w:r>
      <w:r w:rsidR="009A2439">
        <w:t>;</w:t>
      </w:r>
      <w:proofErr w:type="gramEnd"/>
    </w:p>
    <w:p w14:paraId="192FB243" w14:textId="61B89C30" w:rsidR="0023517C" w:rsidRDefault="0023517C" w:rsidP="0003246E">
      <w:pPr>
        <w:pStyle w:val="ListBullet"/>
      </w:pPr>
      <w:r>
        <w:t>Whether the inputs into the formula</w:t>
      </w:r>
      <w:r w:rsidR="00962B09">
        <w:t xml:space="preserve"> remain suitable</w:t>
      </w:r>
      <w:r w:rsidR="00990F29">
        <w:t xml:space="preserve"> or should be </w:t>
      </w:r>
      <w:proofErr w:type="gramStart"/>
      <w:r w:rsidR="00990F29">
        <w:t>updated</w:t>
      </w:r>
      <w:r w:rsidR="009A2439">
        <w:t>;</w:t>
      </w:r>
      <w:proofErr w:type="gramEnd"/>
    </w:p>
    <w:p w14:paraId="15D65241" w14:textId="756E820E" w:rsidR="00990F29" w:rsidRDefault="008108A4" w:rsidP="0003246E">
      <w:pPr>
        <w:pStyle w:val="ListBullet"/>
      </w:pPr>
      <w:r>
        <w:t xml:space="preserve">How the formula and inputs should be applied </w:t>
      </w:r>
      <w:r w:rsidR="00B228EC">
        <w:t>to historical benchmarks</w:t>
      </w:r>
      <w:r w:rsidR="009A2439">
        <w:t>; and</w:t>
      </w:r>
    </w:p>
    <w:p w14:paraId="3FF84016" w14:textId="7D232373" w:rsidR="00B228EC" w:rsidRDefault="00B228EC" w:rsidP="0003246E">
      <w:pPr>
        <w:pStyle w:val="ListBullet"/>
      </w:pPr>
      <w:r>
        <w:t>How licence values should be updated</w:t>
      </w:r>
      <w:r w:rsidR="007F2025">
        <w:t xml:space="preserve"> for different starting times (e.g.</w:t>
      </w:r>
      <w:r w:rsidR="009A2439">
        <w:t>,</w:t>
      </w:r>
      <w:r w:rsidR="007F2025">
        <w:t xml:space="preserve"> 202</w:t>
      </w:r>
      <w:r w:rsidR="00C678C5">
        <w:t>8 v</w:t>
      </w:r>
      <w:r w:rsidR="009A2439">
        <w:t>s</w:t>
      </w:r>
      <w:r w:rsidR="00C678C5">
        <w:t xml:space="preserve"> 2032).</w:t>
      </w:r>
    </w:p>
    <w:p w14:paraId="22AB8165" w14:textId="6EE141D7" w:rsidR="00CD2143" w:rsidRDefault="00891FE0" w:rsidP="00C2031D">
      <w:pPr>
        <w:pStyle w:val="Heading1"/>
      </w:pPr>
      <w:bookmarkStart w:id="7" w:name="_Toc170474025"/>
      <w:r>
        <w:lastRenderedPageBreak/>
        <w:t>Duration adjustments</w:t>
      </w:r>
      <w:bookmarkEnd w:id="7"/>
      <w:r>
        <w:t xml:space="preserve"> </w:t>
      </w:r>
    </w:p>
    <w:p w14:paraId="48EAA8BF" w14:textId="7ECF2E3F" w:rsidR="001834A3" w:rsidRDefault="009A2439" w:rsidP="005C0B08">
      <w:pPr>
        <w:pStyle w:val="BodyText"/>
      </w:pPr>
      <w:r>
        <w:t xml:space="preserve">In this section, we address the question of whether </w:t>
      </w:r>
      <w:r w:rsidR="001834A3" w:rsidRPr="005032EC">
        <w:t xml:space="preserve">the </w:t>
      </w:r>
      <w:r w:rsidR="00240F2F">
        <w:t xml:space="preserve">ACMA </w:t>
      </w:r>
      <w:r w:rsidR="001834A3" w:rsidRPr="005032EC">
        <w:t xml:space="preserve">formula </w:t>
      </w:r>
      <w:r w:rsidR="001834A3">
        <w:t>used</w:t>
      </w:r>
      <w:r w:rsidR="001834A3" w:rsidRPr="005032EC">
        <w:t xml:space="preserve"> for duration adjustments </w:t>
      </w:r>
      <w:r w:rsidR="003D6DEB">
        <w:t>remains</w:t>
      </w:r>
      <w:r w:rsidR="001834A3" w:rsidRPr="005032EC">
        <w:t xml:space="preserve"> fit for purpose</w:t>
      </w:r>
      <w:r w:rsidR="00240F2F">
        <w:t xml:space="preserve"> – or whether</w:t>
      </w:r>
      <w:r w:rsidR="001834A3" w:rsidRPr="005032EC">
        <w:t xml:space="preserve"> there </w:t>
      </w:r>
      <w:r w:rsidR="00240F2F">
        <w:t xml:space="preserve">are </w:t>
      </w:r>
      <w:r w:rsidR="001834A3" w:rsidRPr="005032EC">
        <w:t xml:space="preserve">other appropriate methods to adjust/standardise spectrum values </w:t>
      </w:r>
      <w:r w:rsidR="004E79CF">
        <w:t>or</w:t>
      </w:r>
      <w:r w:rsidR="001834A3" w:rsidRPr="005032EC">
        <w:t xml:space="preserve"> benchmarks</w:t>
      </w:r>
      <w:r w:rsidR="004E79CF">
        <w:t>.</w:t>
      </w:r>
    </w:p>
    <w:p w14:paraId="3A5EF1A4" w14:textId="665C2126" w:rsidR="00C2031D" w:rsidRDefault="00C2031D" w:rsidP="00C2031D">
      <w:pPr>
        <w:pStyle w:val="Heading3"/>
      </w:pPr>
      <w:r>
        <w:t>Tilted annuity construction</w:t>
      </w:r>
    </w:p>
    <w:p w14:paraId="555E490F" w14:textId="416E2A70" w:rsidR="006C5CCF" w:rsidRDefault="006C5CCF" w:rsidP="006C5CCF">
      <w:pPr>
        <w:pStyle w:val="BodyText"/>
      </w:pPr>
      <w:r>
        <w:t>The essence of a tilted annuity formula</w:t>
      </w:r>
      <w:r w:rsidR="00FF57E3">
        <w:t xml:space="preserve"> and timing truncations and extensions</w:t>
      </w:r>
      <w:r>
        <w:t xml:space="preserve"> can be explained by stepping through the particular</w:t>
      </w:r>
      <w:r w:rsidR="009C0FA1">
        <w:t xml:space="preserve"> calculations.</w:t>
      </w:r>
    </w:p>
    <w:p w14:paraId="3CE18310" w14:textId="5F219B76" w:rsidR="005271F9" w:rsidRDefault="009C0FA1" w:rsidP="006C5CCF">
      <w:pPr>
        <w:pStyle w:val="BodyText"/>
      </w:pPr>
      <w:r>
        <w:t xml:space="preserve">We start with a </w:t>
      </w:r>
      <w:r w:rsidR="005271F9">
        <w:t xml:space="preserve">lump sum licence value </w:t>
      </w:r>
      <w:r w:rsidR="00D56800">
        <w:t>Z</w:t>
      </w:r>
      <w:r w:rsidR="004449A0">
        <w:t xml:space="preserve">, where </w:t>
      </w:r>
      <w:r w:rsidR="00BA5208">
        <w:t>Z</w:t>
      </w:r>
      <w:r w:rsidR="005271F9">
        <w:t xml:space="preserve"> reflects the sum of </w:t>
      </w:r>
      <w:r w:rsidR="00053958">
        <w:t xml:space="preserve">the values of the </w:t>
      </w:r>
      <w:r w:rsidR="0082305E">
        <w:t xml:space="preserve">annual </w:t>
      </w:r>
      <w:r w:rsidR="005271F9">
        <w:t>cash</w:t>
      </w:r>
      <w:r w:rsidR="0022475A">
        <w:t xml:space="preserve"> </w:t>
      </w:r>
      <w:r w:rsidR="005271F9">
        <w:t xml:space="preserve">flows </w:t>
      </w:r>
      <w:r w:rsidR="004449A0">
        <w:t>(A</w:t>
      </w:r>
      <w:r w:rsidR="00D077C2" w:rsidRPr="00290E80">
        <w:rPr>
          <w:vertAlign w:val="subscript"/>
        </w:rPr>
        <w:t>1</w:t>
      </w:r>
      <w:r w:rsidR="000F3202">
        <w:t>, A</w:t>
      </w:r>
      <w:proofErr w:type="gramStart"/>
      <w:r w:rsidR="000F3202" w:rsidRPr="00290E80">
        <w:rPr>
          <w:vertAlign w:val="subscript"/>
        </w:rPr>
        <w:t>2</w:t>
      </w:r>
      <w:r w:rsidR="000F3202">
        <w:t>,...</w:t>
      </w:r>
      <w:proofErr w:type="gramEnd"/>
      <w:r w:rsidR="000F3202">
        <w:t>,A</w:t>
      </w:r>
      <w:r w:rsidR="000F3202" w:rsidRPr="00290E80">
        <w:rPr>
          <w:vertAlign w:val="subscript"/>
        </w:rPr>
        <w:t>N</w:t>
      </w:r>
      <w:r w:rsidR="004449A0">
        <w:t xml:space="preserve">) </w:t>
      </w:r>
      <w:r w:rsidR="005271F9">
        <w:t xml:space="preserve">that can be earned from the licence over the licence life </w:t>
      </w:r>
      <w:r w:rsidR="00A45264">
        <w:t xml:space="preserve">(L) </w:t>
      </w:r>
      <w:r w:rsidR="005271F9">
        <w:t>– say 15 years. In that case,</w:t>
      </w:r>
    </w:p>
    <w:p w14:paraId="024350D9" w14:textId="4843B65E" w:rsidR="005271F9" w:rsidRDefault="00D56800" w:rsidP="006C5CCF">
      <w:pPr>
        <w:pStyle w:val="BodyText"/>
        <w:rPr>
          <w:vertAlign w:val="subscript"/>
        </w:rPr>
      </w:pPr>
      <w:r>
        <w:t>Z</w:t>
      </w:r>
      <w:r w:rsidR="005271F9">
        <w:t xml:space="preserve"> = A</w:t>
      </w:r>
      <w:r w:rsidR="005271F9">
        <w:rPr>
          <w:vertAlign w:val="subscript"/>
        </w:rPr>
        <w:t xml:space="preserve">1 + </w:t>
      </w:r>
      <w:r w:rsidR="005271F9">
        <w:t>A</w:t>
      </w:r>
      <w:r w:rsidR="005271F9">
        <w:rPr>
          <w:vertAlign w:val="subscript"/>
        </w:rPr>
        <w:t>2</w:t>
      </w:r>
      <w:r w:rsidR="005271F9">
        <w:t xml:space="preserve"> + A</w:t>
      </w:r>
      <w:r w:rsidR="005271F9">
        <w:rPr>
          <w:vertAlign w:val="subscript"/>
        </w:rPr>
        <w:t>3</w:t>
      </w:r>
      <w:r w:rsidR="005271F9">
        <w:t xml:space="preserve"> … + A</w:t>
      </w:r>
      <w:r w:rsidR="005271F9">
        <w:rPr>
          <w:vertAlign w:val="subscript"/>
        </w:rPr>
        <w:t>15.</w:t>
      </w:r>
    </w:p>
    <w:p w14:paraId="4B86E4B2" w14:textId="6702F94C" w:rsidR="00B14A4A" w:rsidRDefault="00CB3908" w:rsidP="006C5CCF">
      <w:pPr>
        <w:pStyle w:val="BodyText"/>
      </w:pPr>
      <w:r>
        <w:t>If A</w:t>
      </w:r>
      <w:r w:rsidRPr="00625874">
        <w:rPr>
          <w:vertAlign w:val="subscript"/>
        </w:rPr>
        <w:t>1</w:t>
      </w:r>
      <w:r>
        <w:t xml:space="preserve"> = A</w:t>
      </w:r>
      <w:r w:rsidRPr="00625874">
        <w:rPr>
          <w:vertAlign w:val="subscript"/>
        </w:rPr>
        <w:t>2</w:t>
      </w:r>
      <w:r w:rsidR="00CD2DF9">
        <w:t>=</w:t>
      </w:r>
      <w:r>
        <w:t xml:space="preserve"> </w:t>
      </w:r>
      <w:r w:rsidR="00CA7A97">
        <w:t xml:space="preserve">… </w:t>
      </w:r>
      <w:r w:rsidR="00625874">
        <w:t>= A</w:t>
      </w:r>
      <w:r w:rsidR="00A608E2" w:rsidRPr="00A608E2">
        <w:rPr>
          <w:vertAlign w:val="subscript"/>
        </w:rPr>
        <w:t>15</w:t>
      </w:r>
      <w:r w:rsidR="00625874">
        <w:t xml:space="preserve"> </w:t>
      </w:r>
      <w:r w:rsidR="00FD1154">
        <w:t xml:space="preserve">= A </w:t>
      </w:r>
      <w:r w:rsidR="0024127E">
        <w:t xml:space="preserve">and there is no discounting, </w:t>
      </w:r>
      <w:r w:rsidR="00CA7A97">
        <w:t xml:space="preserve">then the problem of </w:t>
      </w:r>
      <w:r w:rsidR="00856BD8">
        <w:t xml:space="preserve">a truncated </w:t>
      </w:r>
      <w:r w:rsidR="00CA7A97">
        <w:t xml:space="preserve">licence duration is </w:t>
      </w:r>
      <w:r w:rsidR="003E3469">
        <w:t>straightforward</w:t>
      </w:r>
      <w:r w:rsidR="00C7185A">
        <w:t xml:space="preserve">. </w:t>
      </w:r>
      <w:r w:rsidR="005518DD">
        <w:t xml:space="preserve">If we call that </w:t>
      </w:r>
      <w:r w:rsidR="00C7185A">
        <w:t xml:space="preserve">value </w:t>
      </w:r>
      <w:r w:rsidR="005518DD">
        <w:t>Z^</w:t>
      </w:r>
      <w:r w:rsidR="00CA7A97">
        <w:t xml:space="preserve"> </w:t>
      </w:r>
      <w:r w:rsidR="00D7020C">
        <w:t xml:space="preserve">and remaining years </w:t>
      </w:r>
      <w:r w:rsidR="00B66B53">
        <w:t>[</w:t>
      </w:r>
      <w:r w:rsidR="00D7020C">
        <w:t>L^</w:t>
      </w:r>
      <w:r w:rsidR="0002043A">
        <w:t xml:space="preserve"> = L – elapsed years</w:t>
      </w:r>
      <w:r w:rsidR="00B66B53">
        <w:t>]</w:t>
      </w:r>
      <w:r w:rsidR="0002043A">
        <w:t>,</w:t>
      </w:r>
      <w:r w:rsidR="00D7020C">
        <w:t xml:space="preserve"> </w:t>
      </w:r>
      <w:r w:rsidR="005518DD">
        <w:t>the</w:t>
      </w:r>
      <w:r w:rsidR="00154FC6">
        <w:t>n</w:t>
      </w:r>
      <w:r w:rsidR="005518DD">
        <w:t xml:space="preserve"> Z^ = </w:t>
      </w:r>
      <w:r w:rsidR="00D7020C">
        <w:t>L^ x A</w:t>
      </w:r>
      <w:r w:rsidR="00042F60">
        <w:t>.</w:t>
      </w:r>
      <w:r w:rsidR="00D45344">
        <w:t xml:space="preserve"> </w:t>
      </w:r>
      <w:r w:rsidR="000C2B5F">
        <w:t xml:space="preserve"> In this case, for example, if a third of the</w:t>
      </w:r>
      <w:r w:rsidR="00261F0B">
        <w:t xml:space="preserve"> licence period would account for a third of the value</w:t>
      </w:r>
      <w:r w:rsidR="00A96C21">
        <w:t xml:space="preserve"> of the licence.</w:t>
      </w:r>
      <w:r>
        <w:t xml:space="preserve"> </w:t>
      </w:r>
    </w:p>
    <w:p w14:paraId="25C7DF7C" w14:textId="138EC0BB" w:rsidR="001A60DD" w:rsidRDefault="0024127E" w:rsidP="006C5CCF">
      <w:pPr>
        <w:pStyle w:val="BodyText"/>
      </w:pPr>
      <w:r>
        <w:t xml:space="preserve">In practice, </w:t>
      </w:r>
      <w:r w:rsidR="00C70684">
        <w:t xml:space="preserve">mobile licence purchasers would make </w:t>
      </w:r>
      <w:r>
        <w:t>t</w:t>
      </w:r>
      <w:r w:rsidR="001A60DD">
        <w:t xml:space="preserve">wo adjustments </w:t>
      </w:r>
      <w:r w:rsidR="00C761A4">
        <w:t xml:space="preserve">to </w:t>
      </w:r>
      <w:r w:rsidR="001A60DD">
        <w:t xml:space="preserve">this </w:t>
      </w:r>
      <w:r w:rsidR="00A96C21">
        <w:t xml:space="preserve">simple </w:t>
      </w:r>
      <w:r w:rsidR="001A60DD">
        <w:t>calculation</w:t>
      </w:r>
      <w:r>
        <w:t xml:space="preserve"> to reflect </w:t>
      </w:r>
      <w:r w:rsidR="007E420C">
        <w:t>the time value of money</w:t>
      </w:r>
      <w:r w:rsidR="0099394D">
        <w:t xml:space="preserve"> and risk</w:t>
      </w:r>
      <w:r w:rsidR="002F1116">
        <w:t xml:space="preserve"> (</w:t>
      </w:r>
      <w:r w:rsidR="0003173B">
        <w:t xml:space="preserve">a discount rate, </w:t>
      </w:r>
      <w:r w:rsidR="002F1116" w:rsidRPr="00290E80">
        <w:rPr>
          <w:i/>
          <w:iCs/>
        </w:rPr>
        <w:t>r</w:t>
      </w:r>
      <w:r w:rsidR="002F1116">
        <w:t>)</w:t>
      </w:r>
      <w:r w:rsidR="0099394D">
        <w:t xml:space="preserve">, and for </w:t>
      </w:r>
      <w:r w:rsidR="00AC278D">
        <w:t xml:space="preserve">the effects of </w:t>
      </w:r>
      <w:r w:rsidR="00C8350C">
        <w:t>changing</w:t>
      </w:r>
      <w:r w:rsidR="0099394D">
        <w:t xml:space="preserve"> cash</w:t>
      </w:r>
      <w:r w:rsidR="0022475A">
        <w:t xml:space="preserve"> </w:t>
      </w:r>
      <w:r w:rsidR="0099394D">
        <w:t>flows</w:t>
      </w:r>
      <w:r w:rsidR="002F1116">
        <w:t xml:space="preserve"> (</w:t>
      </w:r>
      <w:r w:rsidR="000100C9">
        <w:t>a growth rate</w:t>
      </w:r>
      <w:r w:rsidR="006B0E95">
        <w:t>,</w:t>
      </w:r>
      <w:r w:rsidR="000100C9">
        <w:t xml:space="preserve"> </w:t>
      </w:r>
      <w:r w:rsidR="002F1116">
        <w:t>z)</w:t>
      </w:r>
      <w:r w:rsidR="0099394D">
        <w:t>.</w:t>
      </w:r>
      <w:r w:rsidR="00BD1710">
        <w:t xml:space="preserve">  In this case, each cash flow</w:t>
      </w:r>
      <w:r w:rsidR="005930CB">
        <w:t xml:space="preserve"> is a fraction </w:t>
      </w:r>
      <w:r w:rsidR="005930CB" w:rsidRPr="00290E80">
        <w:rPr>
          <w:i/>
          <w:iCs/>
        </w:rPr>
        <w:t>z</w:t>
      </w:r>
      <w:r w:rsidR="005930CB">
        <w:t xml:space="preserve"> higher than the previous and each of those cash flows must be ‘discounted’ back to its present value</w:t>
      </w:r>
      <w:r w:rsidR="002F5FC2">
        <w:t>.</w:t>
      </w:r>
    </w:p>
    <w:p w14:paraId="35F89FF9" w14:textId="6F9CD8AE" w:rsidR="0099394D" w:rsidRDefault="00F707B5" w:rsidP="006C5CCF">
      <w:pPr>
        <w:pStyle w:val="BodyText"/>
      </w:pPr>
      <w:r>
        <w:t>This can be shown as</w:t>
      </w:r>
      <w:r w:rsidR="00E7639B">
        <w:t xml:space="preserve"> value </w:t>
      </w:r>
      <w:r w:rsidR="00E7639B" w:rsidRPr="00290E80">
        <w:rPr>
          <w:i/>
          <w:iCs/>
        </w:rPr>
        <w:t>Z</w:t>
      </w:r>
      <w:r w:rsidR="00E7639B">
        <w:t xml:space="preserve"> being a function of </w:t>
      </w:r>
      <w:r w:rsidR="002F5FC2">
        <w:t xml:space="preserve">the first cash flow in the series </w:t>
      </w:r>
      <w:r w:rsidR="00E7639B" w:rsidRPr="00290E80">
        <w:rPr>
          <w:i/>
          <w:iCs/>
        </w:rPr>
        <w:t>A</w:t>
      </w:r>
      <w:r w:rsidR="000E6EBC">
        <w:t xml:space="preserve">, </w:t>
      </w:r>
      <w:r w:rsidR="002F5FC2">
        <w:t xml:space="preserve">as well as </w:t>
      </w:r>
      <w:r w:rsidR="000E6EBC" w:rsidRPr="00290E80">
        <w:rPr>
          <w:i/>
          <w:iCs/>
        </w:rPr>
        <w:t>r</w:t>
      </w:r>
      <w:r w:rsidR="000E6EBC">
        <w:t xml:space="preserve">, and </w:t>
      </w:r>
      <w:r w:rsidR="000E6EBC" w:rsidRPr="00290E80">
        <w:rPr>
          <w:i/>
          <w:iCs/>
        </w:rPr>
        <w:t>z</w:t>
      </w:r>
      <w:r>
        <w:t>:</w:t>
      </w:r>
    </w:p>
    <w:p w14:paraId="1686C5A6" w14:textId="1C7C47AD" w:rsidR="00F707B5" w:rsidRPr="00D7077E" w:rsidRDefault="00D56800" w:rsidP="006C5CCF">
      <w:pPr>
        <w:pStyle w:val="BodyText"/>
        <w:rPr>
          <w:rFonts w:eastAsiaTheme="minorEastAsia"/>
        </w:rPr>
      </w:pPr>
      <m:oMathPara>
        <m:oMath>
          <m:r>
            <w:rPr>
              <w:rFonts w:ascii="Cambria Math" w:hAnsi="Cambria Math"/>
            </w:rPr>
            <m:t xml:space="preserve">Z = </m:t>
          </m:r>
          <m:f>
            <m:fPr>
              <m:ctrlPr>
                <w:rPr>
                  <w:rFonts w:ascii="Cambria Math" w:hAnsi="Cambria Math"/>
                  <w:i/>
                </w:rPr>
              </m:ctrlPr>
            </m:fPr>
            <m:num>
              <m:r>
                <w:rPr>
                  <w:rFonts w:ascii="Cambria Math" w:hAnsi="Cambria Math"/>
                </w:rPr>
                <m:t>A</m:t>
              </m:r>
            </m:num>
            <m:den>
              <m:r>
                <w:rPr>
                  <w:rFonts w:ascii="Cambria Math" w:hAnsi="Cambria Math"/>
                </w:rPr>
                <m:t>1+r</m:t>
              </m:r>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1+z</m:t>
                  </m:r>
                </m:e>
              </m:d>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1+z</m:t>
                      </m:r>
                    </m:e>
                  </m:d>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1+z</m:t>
                      </m:r>
                    </m:e>
                  </m:d>
                </m:e>
                <m:sup>
                  <m:r>
                    <w:rPr>
                      <w:rFonts w:ascii="Cambria Math" w:hAnsi="Cambria Math"/>
                    </w:rPr>
                    <m:t>14</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15</m:t>
                  </m:r>
                </m:sup>
              </m:sSup>
            </m:den>
          </m:f>
        </m:oMath>
      </m:oMathPara>
    </w:p>
    <w:p w14:paraId="6F7AEDC3" w14:textId="7C2343D8" w:rsidR="004E4B92" w:rsidRPr="009E4440" w:rsidRDefault="004E4B92" w:rsidP="004E4B92">
      <w:pPr>
        <w:pStyle w:val="BodyText"/>
        <w:rPr>
          <w:rFonts w:eastAsiaTheme="minorEastAsia"/>
        </w:rPr>
      </w:pPr>
      <m:oMathPara>
        <m:oMath>
          <m:r>
            <w:rPr>
              <w:rFonts w:ascii="Cambria Math" w:eastAsiaTheme="minorEastAsia" w:hAnsi="Cambria Math"/>
            </w:rPr>
            <m:t>Z = A</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1+r</m:t>
                  </m:r>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1+z</m:t>
                      </m:r>
                    </m:e>
                  </m:d>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1+z</m:t>
                          </m:r>
                        </m:e>
                      </m:d>
                    </m:e>
                    <m:sup>
                      <m:r>
                        <w:rPr>
                          <w:rFonts w:ascii="Cambria Math" w:eastAsiaTheme="minorEastAsia" w:hAnsi="Cambria Math"/>
                        </w:rPr>
                        <m:t>2</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1+z</m:t>
                          </m:r>
                        </m:e>
                      </m:d>
                    </m:e>
                    <m:sup>
                      <m:r>
                        <w:rPr>
                          <w:rFonts w:ascii="Cambria Math" w:eastAsiaTheme="minorEastAsia" w:hAnsi="Cambria Math"/>
                        </w:rPr>
                        <m:t>14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15</m:t>
                      </m:r>
                    </m:sup>
                  </m:sSup>
                </m:den>
              </m:f>
            </m:e>
          </m:d>
        </m:oMath>
      </m:oMathPara>
    </w:p>
    <w:p w14:paraId="07EC277E" w14:textId="66D681A6" w:rsidR="003778E1" w:rsidRDefault="003778E1" w:rsidP="004E4B92">
      <w:pPr>
        <w:pStyle w:val="BodyText"/>
        <w:rPr>
          <w:rFonts w:eastAsiaTheme="minorEastAsia"/>
        </w:rPr>
      </w:pPr>
      <w:r>
        <w:rPr>
          <w:rFonts w:eastAsiaTheme="minorEastAsia"/>
        </w:rPr>
        <w:t xml:space="preserve">The value of </w:t>
      </w:r>
      <w:r w:rsidR="00D10B8F">
        <w:rPr>
          <w:rFonts w:eastAsiaTheme="minorEastAsia"/>
        </w:rPr>
        <w:t xml:space="preserve">the first </w:t>
      </w:r>
      <w:r>
        <w:rPr>
          <w:rFonts w:eastAsiaTheme="minorEastAsia"/>
        </w:rPr>
        <w:t>cash</w:t>
      </w:r>
      <w:r w:rsidR="0022475A">
        <w:rPr>
          <w:rFonts w:eastAsiaTheme="minorEastAsia"/>
        </w:rPr>
        <w:t xml:space="preserve"> </w:t>
      </w:r>
      <w:r>
        <w:rPr>
          <w:rFonts w:eastAsiaTheme="minorEastAsia"/>
        </w:rPr>
        <w:t xml:space="preserve">flow </w:t>
      </w:r>
      <w:r w:rsidRPr="00290E80">
        <w:rPr>
          <w:rFonts w:eastAsiaTheme="minorEastAsia"/>
          <w:i/>
          <w:iCs/>
        </w:rPr>
        <w:t>A</w:t>
      </w:r>
      <w:r w:rsidR="00A36DE4">
        <w:rPr>
          <w:rFonts w:eastAsiaTheme="minorEastAsia"/>
        </w:rPr>
        <w:t xml:space="preserve"> can be de</w:t>
      </w:r>
      <w:r w:rsidR="00D10B8F">
        <w:rPr>
          <w:rFonts w:eastAsiaTheme="minorEastAsia"/>
        </w:rPr>
        <w:t>rived</w:t>
      </w:r>
      <w:r w:rsidR="00A36DE4">
        <w:rPr>
          <w:rFonts w:eastAsiaTheme="minorEastAsia"/>
        </w:rPr>
        <w:t xml:space="preserve"> as:</w:t>
      </w:r>
    </w:p>
    <w:p w14:paraId="085CC9EF" w14:textId="31398D3D" w:rsidR="009E4440" w:rsidRPr="004E4B92" w:rsidRDefault="009E4440" w:rsidP="004E4B92">
      <w:pPr>
        <w:pStyle w:val="BodyText"/>
        <w:rPr>
          <w:rFonts w:eastAsiaTheme="minorEastAsia"/>
        </w:rPr>
      </w:pPr>
      <m:oMathPara>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Z</m:t>
              </m:r>
            </m:num>
            <m:den>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1+r</m:t>
                      </m:r>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1+z</m:t>
                          </m:r>
                        </m:e>
                      </m:d>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1+z</m:t>
                              </m:r>
                            </m:e>
                          </m:d>
                        </m:e>
                        <m:sup>
                          <m:r>
                            <w:rPr>
                              <w:rFonts w:ascii="Cambria Math" w:eastAsiaTheme="minorEastAsia" w:hAnsi="Cambria Math"/>
                            </w:rPr>
                            <m:t>2</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1+z</m:t>
                              </m:r>
                            </m:e>
                          </m:d>
                        </m:e>
                        <m:sup>
                          <m:r>
                            <w:rPr>
                              <w:rFonts w:ascii="Cambria Math" w:eastAsiaTheme="minorEastAsia" w:hAnsi="Cambria Math"/>
                            </w:rPr>
                            <m:t>14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15</m:t>
                          </m:r>
                        </m:sup>
                      </m:sSup>
                    </m:den>
                  </m:f>
                </m:e>
              </m:d>
            </m:den>
          </m:f>
          <m:r>
            <w:rPr>
              <w:rFonts w:ascii="Cambria Math" w:eastAsiaTheme="minorEastAsia" w:hAnsi="Cambria Math"/>
            </w:rPr>
            <m:t xml:space="preserve"> </m:t>
          </m:r>
        </m:oMath>
      </m:oMathPara>
    </w:p>
    <w:p w14:paraId="2A25A672" w14:textId="6741AE2F" w:rsidR="00D7077E" w:rsidRPr="00D7077E" w:rsidRDefault="00D10B8F" w:rsidP="006C5CCF">
      <w:pPr>
        <w:pStyle w:val="BodyText"/>
        <w:rPr>
          <w:rFonts w:eastAsiaTheme="minorEastAsia"/>
        </w:rPr>
      </w:pPr>
      <w:r>
        <w:rPr>
          <w:rFonts w:eastAsiaTheme="minorEastAsia"/>
        </w:rPr>
        <w:t xml:space="preserve">That is, </w:t>
      </w:r>
      <w:r w:rsidR="00555636">
        <w:rPr>
          <w:rFonts w:eastAsiaTheme="minorEastAsia"/>
        </w:rPr>
        <w:t>an</w:t>
      </w:r>
      <w:r>
        <w:rPr>
          <w:rFonts w:eastAsiaTheme="minorEastAsia"/>
        </w:rPr>
        <w:t xml:space="preserve"> observed licence</w:t>
      </w:r>
      <w:r w:rsidR="00555636">
        <w:rPr>
          <w:rFonts w:eastAsiaTheme="minorEastAsia"/>
        </w:rPr>
        <w:t xml:space="preserve"> value </w:t>
      </w:r>
      <w:r w:rsidR="00CA12CC">
        <w:rPr>
          <w:rFonts w:eastAsiaTheme="minorEastAsia"/>
        </w:rPr>
        <w:t>(</w:t>
      </w:r>
      <w:r w:rsidR="00555636" w:rsidRPr="00290E80">
        <w:rPr>
          <w:rFonts w:eastAsiaTheme="minorEastAsia"/>
          <w:i/>
          <w:iCs/>
        </w:rPr>
        <w:t>Z</w:t>
      </w:r>
      <w:r w:rsidR="00CA12CC">
        <w:rPr>
          <w:rFonts w:eastAsiaTheme="minorEastAsia"/>
        </w:rPr>
        <w:t>)</w:t>
      </w:r>
      <w:r w:rsidR="00555636">
        <w:rPr>
          <w:rFonts w:eastAsiaTheme="minorEastAsia"/>
        </w:rPr>
        <w:t xml:space="preserve"> together with assumed discount and growth rates</w:t>
      </w:r>
      <w:r w:rsidR="00CA12CC">
        <w:rPr>
          <w:rFonts w:eastAsiaTheme="minorEastAsia"/>
        </w:rPr>
        <w:t xml:space="preserve"> (</w:t>
      </w:r>
      <w:r w:rsidR="00CA12CC" w:rsidRPr="00290E80">
        <w:rPr>
          <w:rFonts w:eastAsiaTheme="minorEastAsia"/>
          <w:i/>
          <w:iCs/>
        </w:rPr>
        <w:t>r</w:t>
      </w:r>
      <w:r w:rsidR="00CA12CC">
        <w:rPr>
          <w:rFonts w:eastAsiaTheme="minorEastAsia"/>
        </w:rPr>
        <w:t xml:space="preserve"> and </w:t>
      </w:r>
      <w:r w:rsidR="00CA12CC" w:rsidRPr="00290E80">
        <w:rPr>
          <w:rFonts w:eastAsiaTheme="minorEastAsia"/>
          <w:i/>
          <w:iCs/>
        </w:rPr>
        <w:t>z</w:t>
      </w:r>
      <w:r w:rsidR="00CA12CC">
        <w:rPr>
          <w:rFonts w:eastAsiaTheme="minorEastAsia"/>
        </w:rPr>
        <w:t xml:space="preserve">) produces a unique </w:t>
      </w:r>
      <w:r w:rsidR="00BD197B">
        <w:rPr>
          <w:rFonts w:eastAsiaTheme="minorEastAsia"/>
        </w:rPr>
        <w:t xml:space="preserve">series of cash flows starting with </w:t>
      </w:r>
      <w:r w:rsidR="00BD197B" w:rsidRPr="00290E80">
        <w:rPr>
          <w:rFonts w:eastAsiaTheme="minorEastAsia"/>
          <w:i/>
          <w:iCs/>
        </w:rPr>
        <w:t>A</w:t>
      </w:r>
      <w:r w:rsidR="00BD197B">
        <w:rPr>
          <w:rFonts w:eastAsiaTheme="minorEastAsia"/>
        </w:rPr>
        <w:t xml:space="preserve"> defined above.</w:t>
      </w:r>
      <w:r w:rsidR="00555636">
        <w:rPr>
          <w:rFonts w:eastAsiaTheme="minorEastAsia"/>
        </w:rPr>
        <w:t xml:space="preserve"> </w:t>
      </w:r>
    </w:p>
    <w:p w14:paraId="57A1C38D" w14:textId="76CA754F" w:rsidR="002A012F" w:rsidRDefault="00FE0D85" w:rsidP="00FD1C85">
      <w:pPr>
        <w:pStyle w:val="BodyText"/>
      </w:pPr>
      <w:r>
        <w:t>T</w:t>
      </w:r>
      <w:r w:rsidR="003E1A5A">
        <w:t xml:space="preserve">he tilted annuity values </w:t>
      </w:r>
      <w:r w:rsidR="004852BC">
        <w:t xml:space="preserve">can </w:t>
      </w:r>
      <w:r>
        <w:t xml:space="preserve">then </w:t>
      </w:r>
      <w:r w:rsidR="004852BC">
        <w:t xml:space="preserve">be recovered </w:t>
      </w:r>
      <w:r w:rsidR="003E1A5A">
        <w:t>for</w:t>
      </w:r>
      <w:r w:rsidR="008A19E2">
        <w:t xml:space="preserve"> A</w:t>
      </w:r>
      <w:r w:rsidR="003957E9">
        <w:rPr>
          <w:vertAlign w:val="subscript"/>
        </w:rPr>
        <w:t xml:space="preserve">2 </w:t>
      </w:r>
      <w:r w:rsidR="003957E9">
        <w:t xml:space="preserve">= </w:t>
      </w:r>
      <w:proofErr w:type="gramStart"/>
      <w:r w:rsidR="00723DA1">
        <w:t>A(</w:t>
      </w:r>
      <w:proofErr w:type="gramEnd"/>
      <w:r w:rsidR="00723DA1">
        <w:t>1 + z), A</w:t>
      </w:r>
      <w:r w:rsidR="00723DA1">
        <w:rPr>
          <w:vertAlign w:val="subscript"/>
        </w:rPr>
        <w:t>3</w:t>
      </w:r>
      <w:r w:rsidR="00723DA1">
        <w:t xml:space="preserve"> = A(1+z)</w:t>
      </w:r>
      <w:r w:rsidR="00723DA1">
        <w:rPr>
          <w:vertAlign w:val="superscript"/>
        </w:rPr>
        <w:t xml:space="preserve">2 </w:t>
      </w:r>
      <w:r w:rsidR="00723DA1">
        <w:t xml:space="preserve">and so on. </w:t>
      </w:r>
    </w:p>
    <w:p w14:paraId="23C614F5" w14:textId="0F58AAEB" w:rsidR="00864ED9" w:rsidRDefault="00B648F4" w:rsidP="00FD1C85">
      <w:pPr>
        <w:pStyle w:val="BodyText"/>
      </w:pPr>
      <w:r>
        <w:t>As an example, we can fully specify these values</w:t>
      </w:r>
      <w:r w:rsidR="000D16BE">
        <w:t xml:space="preserve"> as per Table 1</w:t>
      </w:r>
      <w:r w:rsidR="00864ED9">
        <w:t xml:space="preserve"> from the example in Figure 1.</w:t>
      </w:r>
      <w:r w:rsidR="00864ED9">
        <w:br w:type="page"/>
      </w:r>
    </w:p>
    <w:p w14:paraId="38BA1E15" w14:textId="1033AC2D" w:rsidR="004D5E81" w:rsidRDefault="004D5E81">
      <w:pPr>
        <w:pStyle w:val="Caption"/>
        <w:keepNext/>
      </w:pPr>
      <w:bookmarkStart w:id="8" w:name="_Ref169592065"/>
      <w:bookmarkStart w:id="9" w:name="_Toc170474032"/>
      <w:r w:rsidRPr="00004691">
        <w:lastRenderedPageBreak/>
        <w:t>Table</w:t>
      </w:r>
      <w:r w:rsidRPr="00004691">
        <w:rPr>
          <w:rStyle w:val="Bold"/>
        </w:rPr>
        <w:t xml:space="preserve"> </w:t>
      </w:r>
      <w:r>
        <w:fldChar w:fldCharType="begin"/>
      </w:r>
      <w:r>
        <w:instrText xml:space="preserve"> SEQ Table \* ARABIC </w:instrText>
      </w:r>
      <w:r>
        <w:fldChar w:fldCharType="separate"/>
      </w:r>
      <w:r w:rsidR="00290E80">
        <w:rPr>
          <w:noProof/>
        </w:rPr>
        <w:t>1</w:t>
      </w:r>
      <w:r>
        <w:rPr>
          <w:noProof/>
        </w:rPr>
        <w:fldChar w:fldCharType="end"/>
      </w:r>
      <w:bookmarkEnd w:id="8"/>
      <w:r w:rsidRPr="00004691">
        <w:rPr>
          <w:rStyle w:val="Bold"/>
        </w:rPr>
        <w:t>:</w:t>
      </w:r>
      <w:r w:rsidRPr="00004691">
        <w:t xml:space="preserve"> </w:t>
      </w:r>
      <w:r w:rsidR="004A57FB">
        <w:t>Tilted annuity cash</w:t>
      </w:r>
      <w:r w:rsidR="0022475A">
        <w:t xml:space="preserve"> </w:t>
      </w:r>
      <w:r w:rsidR="004A57FB">
        <w:t>flows</w:t>
      </w:r>
      <w:bookmarkEnd w:id="9"/>
    </w:p>
    <w:tbl>
      <w:tblPr>
        <w:tblStyle w:val="FETableStyle"/>
        <w:tblW w:w="5000" w:type="pct"/>
        <w:tblLayout w:type="fixed"/>
        <w:tblLook w:val="0420" w:firstRow="1" w:lastRow="0" w:firstColumn="0" w:lastColumn="0" w:noHBand="0" w:noVBand="1"/>
      </w:tblPr>
      <w:tblGrid>
        <w:gridCol w:w="1804"/>
        <w:gridCol w:w="1805"/>
        <w:gridCol w:w="1806"/>
        <w:gridCol w:w="1806"/>
        <w:gridCol w:w="1806"/>
      </w:tblGrid>
      <w:tr w:rsidR="0062061B" w:rsidRPr="004D5E81" w14:paraId="664241F5" w14:textId="2767B6D4">
        <w:trPr>
          <w:cnfStyle w:val="100000000000" w:firstRow="1" w:lastRow="0" w:firstColumn="0" w:lastColumn="0" w:oddVBand="0" w:evenVBand="0" w:oddHBand="0" w:evenHBand="0" w:firstRowFirstColumn="0" w:firstRowLastColumn="0" w:lastRowFirstColumn="0" w:lastRowLastColumn="0"/>
        </w:trPr>
        <w:tc>
          <w:tcPr>
            <w:tcW w:w="1804" w:type="dxa"/>
            <w:noWrap/>
            <w:hideMark/>
          </w:tcPr>
          <w:p w14:paraId="69EAE131" w14:textId="77777777" w:rsidR="0062061B" w:rsidRPr="004D5E81" w:rsidRDefault="0062061B" w:rsidP="0062061B">
            <w:pPr>
              <w:pStyle w:val="TableHeading"/>
              <w:spacing w:beforeAutospacing="1" w:afterAutospacing="1" w:line="240" w:lineRule="auto"/>
            </w:pPr>
            <w:r w:rsidRPr="004D5E81">
              <w:t>Year</w:t>
            </w:r>
          </w:p>
        </w:tc>
        <w:tc>
          <w:tcPr>
            <w:tcW w:w="1805" w:type="dxa"/>
            <w:noWrap/>
            <w:hideMark/>
          </w:tcPr>
          <w:p w14:paraId="72CE0FD5" w14:textId="7206CB59" w:rsidR="0062061B" w:rsidRPr="00864ED9" w:rsidRDefault="0062061B" w:rsidP="0062061B">
            <w:pPr>
              <w:pStyle w:val="TableHeading"/>
              <w:spacing w:beforeAutospacing="1" w:afterAutospacing="1" w:line="240" w:lineRule="auto"/>
              <w:jc w:val="center"/>
              <w:rPr>
                <w:b w:val="0"/>
              </w:rPr>
            </w:pPr>
            <w:r w:rsidRPr="0069533B">
              <w:rPr>
                <w:b w:val="0"/>
                <w:bCs/>
              </w:rPr>
              <w:t>Cash</w:t>
            </w:r>
            <w:r w:rsidR="0022475A">
              <w:rPr>
                <w:b w:val="0"/>
                <w:bCs/>
              </w:rPr>
              <w:t xml:space="preserve"> </w:t>
            </w:r>
            <w:r w:rsidRPr="0069533B">
              <w:rPr>
                <w:b w:val="0"/>
                <w:bCs/>
              </w:rPr>
              <w:t>flows</w:t>
            </w:r>
            <w:r>
              <w:rPr>
                <w:b w:val="0"/>
              </w:rPr>
              <w:br/>
              <w:t>$/MHz/Pop</w:t>
            </w:r>
          </w:p>
        </w:tc>
        <w:tc>
          <w:tcPr>
            <w:tcW w:w="1806" w:type="dxa"/>
          </w:tcPr>
          <w:p w14:paraId="55856F97" w14:textId="6027BB56" w:rsidR="0062061B" w:rsidRDefault="0062061B" w:rsidP="0062061B">
            <w:pPr>
              <w:pStyle w:val="TableHeading"/>
              <w:spacing w:beforeAutospacing="1" w:afterAutospacing="1" w:line="240" w:lineRule="auto"/>
              <w:jc w:val="center"/>
              <w:rPr>
                <w:b w:val="0"/>
              </w:rPr>
            </w:pPr>
            <w:r>
              <w:rPr>
                <w:b w:val="0"/>
              </w:rPr>
              <w:t>Discount factor</w:t>
            </w:r>
            <w:r w:rsidR="00691394">
              <w:rPr>
                <w:b w:val="0"/>
              </w:rPr>
              <w:br/>
            </w:r>
            <m:oMathPara>
              <m:oMath>
                <m:f>
                  <m:fPr>
                    <m:ctrlPr>
                      <w:rPr>
                        <w:rFonts w:ascii="Cambria Math" w:hAnsi="Cambria Math"/>
                        <w:i/>
                      </w:rPr>
                    </m:ctrlPr>
                  </m:fPr>
                  <m:num>
                    <m:r>
                      <m:rPr>
                        <m:sty m:val="bi"/>
                      </m:rPr>
                      <w:rPr>
                        <w:rFonts w:ascii="Cambria Math" w:hAnsi="Cambria Math"/>
                      </w:rPr>
                      <m:t>1</m:t>
                    </m:r>
                  </m:num>
                  <m:den>
                    <m:sSup>
                      <m:sSupPr>
                        <m:ctrlPr>
                          <w:rPr>
                            <w:rFonts w:ascii="Cambria Math" w:hAnsi="Cambria Math"/>
                            <w:i/>
                          </w:rPr>
                        </m:ctrlPr>
                      </m:sSupPr>
                      <m:e>
                        <m:r>
                          <m:rPr>
                            <m:sty m:val="bi"/>
                          </m:rPr>
                          <w:rPr>
                            <w:rFonts w:ascii="Cambria Math" w:hAnsi="Cambria Math"/>
                          </w:rPr>
                          <m:t>(1+r)</m:t>
                        </m:r>
                      </m:e>
                      <m:sup>
                        <m:r>
                          <m:rPr>
                            <m:sty m:val="bi"/>
                          </m:rPr>
                          <w:rPr>
                            <w:rFonts w:ascii="Cambria Math" w:hAnsi="Cambria Math"/>
                          </w:rPr>
                          <m:t>t</m:t>
                        </m:r>
                      </m:sup>
                    </m:sSup>
                  </m:den>
                </m:f>
              </m:oMath>
            </m:oMathPara>
          </w:p>
        </w:tc>
        <w:tc>
          <w:tcPr>
            <w:tcW w:w="1806" w:type="dxa"/>
          </w:tcPr>
          <w:p w14:paraId="6155E8C8" w14:textId="21F2E0DE" w:rsidR="0062061B" w:rsidRPr="004D5E81" w:rsidRDefault="0062061B" w:rsidP="0062061B">
            <w:pPr>
              <w:pStyle w:val="TableHeading"/>
              <w:spacing w:beforeAutospacing="1" w:afterAutospacing="1" w:line="240" w:lineRule="auto"/>
              <w:jc w:val="center"/>
              <w:rPr>
                <w:b w:val="0"/>
              </w:rPr>
            </w:pPr>
            <w:r>
              <w:rPr>
                <w:b w:val="0"/>
              </w:rPr>
              <w:t>Cash</w:t>
            </w:r>
            <w:r w:rsidR="0022475A">
              <w:rPr>
                <w:b w:val="0"/>
              </w:rPr>
              <w:t xml:space="preserve"> </w:t>
            </w:r>
            <w:r>
              <w:rPr>
                <w:b w:val="0"/>
              </w:rPr>
              <w:t>flows x discount factor</w:t>
            </w:r>
          </w:p>
        </w:tc>
        <w:tc>
          <w:tcPr>
            <w:tcW w:w="1806" w:type="dxa"/>
            <w:vAlign w:val="top"/>
          </w:tcPr>
          <w:p w14:paraId="50DDAF97" w14:textId="22363D88" w:rsidR="0062061B" w:rsidRDefault="000A4D59" w:rsidP="0062061B">
            <w:pPr>
              <w:pStyle w:val="TableHeading"/>
              <w:spacing w:beforeAutospacing="1" w:afterAutospacing="1" w:line="240" w:lineRule="auto"/>
              <w:jc w:val="center"/>
            </w:pPr>
            <w:r w:rsidRPr="0069533B">
              <w:rPr>
                <w:b w:val="0"/>
                <w:bCs/>
              </w:rPr>
              <w:t>P</w:t>
            </w:r>
            <w:r w:rsidR="00827ECB">
              <w:rPr>
                <w:b w:val="0"/>
                <w:bCs/>
              </w:rPr>
              <w:t>resent value</w:t>
            </w:r>
            <w:r>
              <w:t xml:space="preserve"> </w:t>
            </w:r>
            <w:r w:rsidRPr="0069533B">
              <w:rPr>
                <w:b w:val="0"/>
                <w:bCs/>
              </w:rPr>
              <w:t>factor</w:t>
            </w:r>
            <w:r w:rsidR="00713CBC" w:rsidRPr="00713CBC">
              <w:t xml:space="preserve"> </w:t>
            </w:r>
            <w:r w:rsidR="00F7141C" w:rsidRPr="00F7141C">
              <w:rPr>
                <w:rFonts w:ascii="Cambria Math" w:hAnsi="Cambria Math"/>
                <w:b w:val="0"/>
                <w:i/>
                <w:color w:val="auto"/>
              </w:rPr>
              <w:br/>
            </w:r>
            <m:oMathPara>
              <m:oMath>
                <m:sSup>
                  <m:sSupPr>
                    <m:ctrlPr>
                      <w:rPr>
                        <w:rFonts w:ascii="Cambria Math" w:hAnsi="Cambria Math"/>
                        <w:i/>
                      </w:rPr>
                    </m:ctrlPr>
                  </m:sSupPr>
                  <m:e>
                    <m:r>
                      <m:rPr>
                        <m:sty m:val="bi"/>
                      </m:rPr>
                      <w:rPr>
                        <w:rFonts w:ascii="Cambria Math" w:hAnsi="Cambria Math"/>
                      </w:rPr>
                      <m:t>(1+z)</m:t>
                    </m:r>
                  </m:e>
                  <m:sup>
                    <m:r>
                      <m:rPr>
                        <m:sty m:val="bi"/>
                      </m:rPr>
                      <w:rPr>
                        <w:rFonts w:ascii="Cambria Math" w:hAnsi="Cambria Math"/>
                      </w:rPr>
                      <m:t>t-1</m:t>
                    </m:r>
                  </m:sup>
                </m:sSup>
                <m:sSup>
                  <m:sSupPr>
                    <m:ctrlPr>
                      <w:rPr>
                        <w:rFonts w:ascii="Cambria Math" w:hAnsi="Cambria Math"/>
                        <w:i/>
                      </w:rPr>
                    </m:ctrlPr>
                  </m:sSupPr>
                  <m:e>
                    <m:r>
                      <m:rPr>
                        <m:sty m:val="bi"/>
                      </m:rPr>
                      <w:rPr>
                        <w:rFonts w:ascii="Cambria Math" w:hAnsi="Cambria Math"/>
                      </w:rPr>
                      <m:t>/(1+r)</m:t>
                    </m:r>
                  </m:e>
                  <m:sup>
                    <m:r>
                      <m:rPr>
                        <m:sty m:val="bi"/>
                      </m:rPr>
                      <w:rPr>
                        <w:rFonts w:ascii="Cambria Math" w:hAnsi="Cambria Math"/>
                      </w:rPr>
                      <m:t>t</m:t>
                    </m:r>
                  </m:sup>
                </m:sSup>
              </m:oMath>
            </m:oMathPara>
          </w:p>
        </w:tc>
      </w:tr>
      <w:tr w:rsidR="00A34591" w:rsidRPr="004D5E81" w14:paraId="229338F2" w14:textId="4ACA8FFD" w:rsidTr="00290E80">
        <w:tc>
          <w:tcPr>
            <w:tcW w:w="1804" w:type="dxa"/>
            <w:noWrap/>
            <w:hideMark/>
          </w:tcPr>
          <w:p w14:paraId="16E93D48" w14:textId="6804E9E8" w:rsidR="00A34591" w:rsidRPr="004D5E81" w:rsidRDefault="00A34591" w:rsidP="00A34591">
            <w:pPr>
              <w:pStyle w:val="TableText"/>
              <w:spacing w:beforeAutospacing="1" w:afterAutospacing="1" w:line="240" w:lineRule="auto"/>
            </w:pPr>
            <w:r w:rsidRPr="004D5E81">
              <w:t>1</w:t>
            </w:r>
            <w:r>
              <w:t xml:space="preserve"> / </w:t>
            </w:r>
            <w:r w:rsidRPr="001E062F">
              <w:rPr>
                <w:b/>
                <w:bCs/>
              </w:rPr>
              <w:t>A</w:t>
            </w:r>
          </w:p>
        </w:tc>
        <w:tc>
          <w:tcPr>
            <w:tcW w:w="1805" w:type="dxa"/>
            <w:noWrap/>
            <w:vAlign w:val="top"/>
            <w:hideMark/>
          </w:tcPr>
          <w:p w14:paraId="0CE0AE81" w14:textId="6C1282F2" w:rsidR="00A34591" w:rsidRPr="004D5E81" w:rsidRDefault="00A34591" w:rsidP="00A34591">
            <w:pPr>
              <w:pStyle w:val="TableText"/>
              <w:spacing w:beforeAutospacing="1" w:afterAutospacing="1" w:line="240" w:lineRule="auto"/>
              <w:jc w:val="center"/>
            </w:pPr>
            <w:r w:rsidRPr="009A4812">
              <w:t xml:space="preserve"> 0.0239 </w:t>
            </w:r>
          </w:p>
        </w:tc>
        <w:tc>
          <w:tcPr>
            <w:tcW w:w="1806" w:type="dxa"/>
            <w:vAlign w:val="top"/>
          </w:tcPr>
          <w:p w14:paraId="6BF08F4D" w14:textId="48A88CDD" w:rsidR="00A34591" w:rsidRPr="004D5E81" w:rsidRDefault="00A34591" w:rsidP="00A34591">
            <w:pPr>
              <w:pStyle w:val="TableText"/>
              <w:spacing w:beforeAutospacing="1" w:afterAutospacing="1" w:line="240" w:lineRule="auto"/>
              <w:jc w:val="center"/>
            </w:pPr>
            <w:r w:rsidRPr="003C05A6">
              <w:t>0.923</w:t>
            </w:r>
          </w:p>
        </w:tc>
        <w:tc>
          <w:tcPr>
            <w:tcW w:w="1806" w:type="dxa"/>
            <w:vAlign w:val="top"/>
          </w:tcPr>
          <w:p w14:paraId="21BDE572" w14:textId="3D4C610A" w:rsidR="00A34591" w:rsidRPr="004D5E81" w:rsidRDefault="00A34591" w:rsidP="00A34591">
            <w:pPr>
              <w:pStyle w:val="TableText"/>
              <w:spacing w:beforeAutospacing="1" w:afterAutospacing="1" w:line="240" w:lineRule="auto"/>
              <w:jc w:val="center"/>
            </w:pPr>
            <w:r w:rsidRPr="00905A4E">
              <w:t>0.022</w:t>
            </w:r>
          </w:p>
        </w:tc>
        <w:tc>
          <w:tcPr>
            <w:tcW w:w="1806" w:type="dxa"/>
            <w:vAlign w:val="top"/>
          </w:tcPr>
          <w:p w14:paraId="5802B241" w14:textId="55379AD8" w:rsidR="00A34591" w:rsidRPr="00F65E2D" w:rsidRDefault="00A34591" w:rsidP="00A34591">
            <w:pPr>
              <w:pStyle w:val="TableText"/>
              <w:spacing w:beforeAutospacing="1" w:afterAutospacing="1" w:line="240" w:lineRule="auto"/>
              <w:jc w:val="center"/>
              <w:rPr>
                <w:b/>
                <w:bCs/>
              </w:rPr>
            </w:pPr>
            <w:r w:rsidRPr="00F65E2D">
              <w:rPr>
                <w:b/>
                <w:bCs/>
              </w:rPr>
              <w:t>0.92</w:t>
            </w:r>
          </w:p>
        </w:tc>
      </w:tr>
      <w:tr w:rsidR="00A34591" w:rsidRPr="004D5E81" w14:paraId="13FFDCB4" w14:textId="075E0143"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04FC6A98" w14:textId="77777777" w:rsidR="00A34591" w:rsidRPr="004D5E81" w:rsidRDefault="00A34591" w:rsidP="00A34591">
            <w:pPr>
              <w:pStyle w:val="TableText"/>
              <w:spacing w:beforeAutospacing="1" w:afterAutospacing="1" w:line="240" w:lineRule="auto"/>
            </w:pPr>
            <w:r w:rsidRPr="004D5E81">
              <w:t>2</w:t>
            </w:r>
          </w:p>
        </w:tc>
        <w:tc>
          <w:tcPr>
            <w:tcW w:w="1805" w:type="dxa"/>
            <w:noWrap/>
            <w:vAlign w:val="top"/>
            <w:hideMark/>
          </w:tcPr>
          <w:p w14:paraId="6291F20E" w14:textId="1D367EF1" w:rsidR="00A34591" w:rsidRPr="004D5E81" w:rsidRDefault="00A34591" w:rsidP="00A34591">
            <w:pPr>
              <w:pStyle w:val="TableText"/>
              <w:spacing w:beforeAutospacing="1" w:afterAutospacing="1" w:line="240" w:lineRule="auto"/>
              <w:jc w:val="center"/>
            </w:pPr>
            <w:r w:rsidRPr="009A4812">
              <w:t xml:space="preserve"> 0.0245 </w:t>
            </w:r>
          </w:p>
        </w:tc>
        <w:tc>
          <w:tcPr>
            <w:tcW w:w="1806" w:type="dxa"/>
            <w:vAlign w:val="top"/>
          </w:tcPr>
          <w:p w14:paraId="6CFD6B0E" w14:textId="4515BEC4" w:rsidR="00A34591" w:rsidRPr="004D5E81" w:rsidRDefault="00A34591" w:rsidP="00A34591">
            <w:pPr>
              <w:pStyle w:val="TableText"/>
              <w:spacing w:beforeAutospacing="1" w:afterAutospacing="1" w:line="240" w:lineRule="auto"/>
              <w:jc w:val="center"/>
            </w:pPr>
            <w:r w:rsidRPr="003C05A6">
              <w:t>0.851</w:t>
            </w:r>
          </w:p>
        </w:tc>
        <w:tc>
          <w:tcPr>
            <w:tcW w:w="1806" w:type="dxa"/>
            <w:vAlign w:val="top"/>
          </w:tcPr>
          <w:p w14:paraId="70301319" w14:textId="49CC0AD5" w:rsidR="00A34591" w:rsidRPr="004D5E81" w:rsidRDefault="00A34591" w:rsidP="00A34591">
            <w:pPr>
              <w:pStyle w:val="TableText"/>
              <w:spacing w:beforeAutospacing="1" w:afterAutospacing="1" w:line="240" w:lineRule="auto"/>
              <w:jc w:val="center"/>
            </w:pPr>
            <w:r w:rsidRPr="00905A4E">
              <w:t>0.021</w:t>
            </w:r>
          </w:p>
        </w:tc>
        <w:tc>
          <w:tcPr>
            <w:tcW w:w="1806" w:type="dxa"/>
            <w:vAlign w:val="top"/>
          </w:tcPr>
          <w:p w14:paraId="3C63272E" w14:textId="513C438F" w:rsidR="00A34591" w:rsidRPr="00905A4E" w:rsidRDefault="00A34591" w:rsidP="00A34591">
            <w:pPr>
              <w:pStyle w:val="TableText"/>
              <w:spacing w:beforeAutospacing="1" w:afterAutospacing="1" w:line="240" w:lineRule="auto"/>
              <w:jc w:val="center"/>
            </w:pPr>
            <w:r w:rsidRPr="00833B54">
              <w:t>0.87</w:t>
            </w:r>
          </w:p>
        </w:tc>
      </w:tr>
      <w:tr w:rsidR="00A34591" w:rsidRPr="004D5E81" w14:paraId="4837C39F" w14:textId="7782BB23" w:rsidTr="00290E80">
        <w:tc>
          <w:tcPr>
            <w:tcW w:w="1804" w:type="dxa"/>
            <w:noWrap/>
            <w:hideMark/>
          </w:tcPr>
          <w:p w14:paraId="59C2A228" w14:textId="77777777" w:rsidR="00A34591" w:rsidRPr="004D5E81" w:rsidRDefault="00A34591" w:rsidP="00A34591">
            <w:pPr>
              <w:pStyle w:val="TableText"/>
              <w:spacing w:beforeAutospacing="1" w:afterAutospacing="1" w:line="240" w:lineRule="auto"/>
            </w:pPr>
            <w:r w:rsidRPr="004D5E81">
              <w:t>3</w:t>
            </w:r>
          </w:p>
        </w:tc>
        <w:tc>
          <w:tcPr>
            <w:tcW w:w="1805" w:type="dxa"/>
            <w:noWrap/>
            <w:vAlign w:val="top"/>
            <w:hideMark/>
          </w:tcPr>
          <w:p w14:paraId="1AD3BE49" w14:textId="4EB0B54C" w:rsidR="00A34591" w:rsidRPr="00F65E2D" w:rsidRDefault="00A34591" w:rsidP="00A34591">
            <w:pPr>
              <w:pStyle w:val="TableText"/>
              <w:spacing w:beforeAutospacing="1" w:afterAutospacing="1" w:line="240" w:lineRule="auto"/>
              <w:jc w:val="center"/>
              <w:rPr>
                <w:b/>
                <w:bCs/>
              </w:rPr>
            </w:pPr>
            <w:r w:rsidRPr="009A4812">
              <w:t xml:space="preserve"> </w:t>
            </w:r>
            <w:r w:rsidRPr="00290E80">
              <w:rPr>
                <w:b/>
                <w:bCs/>
              </w:rPr>
              <w:t>0.0251</w:t>
            </w:r>
            <w:r w:rsidRPr="009A4812">
              <w:t xml:space="preserve"> </w:t>
            </w:r>
          </w:p>
        </w:tc>
        <w:tc>
          <w:tcPr>
            <w:tcW w:w="1806" w:type="dxa"/>
            <w:vAlign w:val="top"/>
          </w:tcPr>
          <w:p w14:paraId="49E4892F" w14:textId="5EAE0B16" w:rsidR="00A34591" w:rsidRPr="004D5E81" w:rsidRDefault="00A34591" w:rsidP="00A34591">
            <w:pPr>
              <w:pStyle w:val="TableText"/>
              <w:spacing w:beforeAutospacing="1" w:afterAutospacing="1" w:line="240" w:lineRule="auto"/>
              <w:jc w:val="center"/>
            </w:pPr>
            <w:r w:rsidRPr="003C05A6">
              <w:t>0.785</w:t>
            </w:r>
          </w:p>
        </w:tc>
        <w:tc>
          <w:tcPr>
            <w:tcW w:w="1806" w:type="dxa"/>
            <w:vAlign w:val="top"/>
          </w:tcPr>
          <w:p w14:paraId="219F27BF" w14:textId="5F3C91D3" w:rsidR="00A34591" w:rsidRPr="004D5E81" w:rsidRDefault="00A34591" w:rsidP="00A34591">
            <w:pPr>
              <w:pStyle w:val="TableText"/>
              <w:spacing w:beforeAutospacing="1" w:afterAutospacing="1" w:line="240" w:lineRule="auto"/>
              <w:jc w:val="center"/>
            </w:pPr>
            <w:r w:rsidRPr="00905A4E">
              <w:t>0.020</w:t>
            </w:r>
          </w:p>
        </w:tc>
        <w:tc>
          <w:tcPr>
            <w:tcW w:w="1806" w:type="dxa"/>
            <w:vAlign w:val="top"/>
          </w:tcPr>
          <w:p w14:paraId="6D521A35" w14:textId="0FF89ECB" w:rsidR="00A34591" w:rsidRPr="00905A4E" w:rsidRDefault="00A34591" w:rsidP="00A34591">
            <w:pPr>
              <w:pStyle w:val="TableText"/>
              <w:spacing w:beforeAutospacing="1" w:afterAutospacing="1" w:line="240" w:lineRule="auto"/>
              <w:jc w:val="center"/>
            </w:pPr>
            <w:r w:rsidRPr="00833B54">
              <w:t>0.82</w:t>
            </w:r>
          </w:p>
        </w:tc>
      </w:tr>
      <w:tr w:rsidR="00A34591" w:rsidRPr="004D5E81" w14:paraId="3532EAED" w14:textId="25F533BD"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1E588115" w14:textId="77777777" w:rsidR="00A34591" w:rsidRPr="004D5E81" w:rsidRDefault="00A34591" w:rsidP="00A34591">
            <w:pPr>
              <w:pStyle w:val="TableText"/>
              <w:spacing w:beforeAutospacing="1" w:afterAutospacing="1" w:line="240" w:lineRule="auto"/>
            </w:pPr>
            <w:r w:rsidRPr="004D5E81">
              <w:t>4</w:t>
            </w:r>
          </w:p>
        </w:tc>
        <w:tc>
          <w:tcPr>
            <w:tcW w:w="1805" w:type="dxa"/>
            <w:noWrap/>
            <w:vAlign w:val="top"/>
            <w:hideMark/>
          </w:tcPr>
          <w:p w14:paraId="445CBFB2" w14:textId="6C2804F7" w:rsidR="00A34591" w:rsidRPr="004D5E81" w:rsidRDefault="00A34591" w:rsidP="00A34591">
            <w:pPr>
              <w:pStyle w:val="TableText"/>
              <w:spacing w:beforeAutospacing="1" w:afterAutospacing="1" w:line="240" w:lineRule="auto"/>
              <w:jc w:val="center"/>
            </w:pPr>
            <w:r w:rsidRPr="009A4812">
              <w:t xml:space="preserve"> 0.0257 </w:t>
            </w:r>
          </w:p>
        </w:tc>
        <w:tc>
          <w:tcPr>
            <w:tcW w:w="1806" w:type="dxa"/>
            <w:vAlign w:val="top"/>
          </w:tcPr>
          <w:p w14:paraId="68A7C415" w14:textId="3F66E8C2" w:rsidR="00A34591" w:rsidRPr="004D5E81" w:rsidRDefault="00A34591" w:rsidP="00A34591">
            <w:pPr>
              <w:pStyle w:val="TableText"/>
              <w:spacing w:beforeAutospacing="1" w:afterAutospacing="1" w:line="240" w:lineRule="auto"/>
              <w:jc w:val="center"/>
            </w:pPr>
            <w:r w:rsidRPr="003C05A6">
              <w:t>0.724</w:t>
            </w:r>
          </w:p>
        </w:tc>
        <w:tc>
          <w:tcPr>
            <w:tcW w:w="1806" w:type="dxa"/>
            <w:vAlign w:val="top"/>
          </w:tcPr>
          <w:p w14:paraId="74237487" w14:textId="0ACEE058" w:rsidR="00A34591" w:rsidRPr="004D5E81" w:rsidRDefault="00A34591" w:rsidP="00A34591">
            <w:pPr>
              <w:pStyle w:val="TableText"/>
              <w:spacing w:beforeAutospacing="1" w:afterAutospacing="1" w:line="240" w:lineRule="auto"/>
              <w:jc w:val="center"/>
            </w:pPr>
            <w:r w:rsidRPr="00905A4E">
              <w:t>0.019</w:t>
            </w:r>
          </w:p>
        </w:tc>
        <w:tc>
          <w:tcPr>
            <w:tcW w:w="1806" w:type="dxa"/>
            <w:vAlign w:val="top"/>
          </w:tcPr>
          <w:p w14:paraId="4ACE9767" w14:textId="4FF07D0E" w:rsidR="00A34591" w:rsidRPr="00905A4E" w:rsidRDefault="00A34591" w:rsidP="00A34591">
            <w:pPr>
              <w:pStyle w:val="TableText"/>
              <w:spacing w:beforeAutospacing="1" w:afterAutospacing="1" w:line="240" w:lineRule="auto"/>
              <w:jc w:val="center"/>
            </w:pPr>
            <w:r w:rsidRPr="00833B54">
              <w:t>0.78</w:t>
            </w:r>
          </w:p>
        </w:tc>
      </w:tr>
      <w:tr w:rsidR="00A34591" w:rsidRPr="004D5E81" w14:paraId="669586F8" w14:textId="66294136" w:rsidTr="00290E80">
        <w:tc>
          <w:tcPr>
            <w:tcW w:w="1804" w:type="dxa"/>
            <w:noWrap/>
            <w:hideMark/>
          </w:tcPr>
          <w:p w14:paraId="7D6B6913" w14:textId="77777777" w:rsidR="00A34591" w:rsidRPr="004D5E81" w:rsidRDefault="00A34591" w:rsidP="00A34591">
            <w:pPr>
              <w:pStyle w:val="TableText"/>
              <w:spacing w:beforeAutospacing="1" w:afterAutospacing="1" w:line="240" w:lineRule="auto"/>
            </w:pPr>
            <w:r w:rsidRPr="004D5E81">
              <w:t>5</w:t>
            </w:r>
          </w:p>
        </w:tc>
        <w:tc>
          <w:tcPr>
            <w:tcW w:w="1805" w:type="dxa"/>
            <w:noWrap/>
            <w:vAlign w:val="top"/>
            <w:hideMark/>
          </w:tcPr>
          <w:p w14:paraId="1CAAFC16" w14:textId="56536832" w:rsidR="00A34591" w:rsidRPr="004D5E81" w:rsidRDefault="00A34591" w:rsidP="00A34591">
            <w:pPr>
              <w:pStyle w:val="TableText"/>
              <w:spacing w:beforeAutospacing="1" w:afterAutospacing="1" w:line="240" w:lineRule="auto"/>
              <w:jc w:val="center"/>
            </w:pPr>
            <w:r w:rsidRPr="009A4812">
              <w:t xml:space="preserve"> 0.0264 </w:t>
            </w:r>
          </w:p>
        </w:tc>
        <w:tc>
          <w:tcPr>
            <w:tcW w:w="1806" w:type="dxa"/>
            <w:vAlign w:val="top"/>
          </w:tcPr>
          <w:p w14:paraId="3473A7EA" w14:textId="7BF33D3B" w:rsidR="00A34591" w:rsidRPr="004D5E81" w:rsidRDefault="00A34591" w:rsidP="00A34591">
            <w:pPr>
              <w:pStyle w:val="TableText"/>
              <w:spacing w:beforeAutospacing="1" w:afterAutospacing="1" w:line="240" w:lineRule="auto"/>
              <w:jc w:val="center"/>
            </w:pPr>
            <w:r w:rsidRPr="003C05A6">
              <w:t>0.668</w:t>
            </w:r>
          </w:p>
        </w:tc>
        <w:tc>
          <w:tcPr>
            <w:tcW w:w="1806" w:type="dxa"/>
            <w:vAlign w:val="top"/>
          </w:tcPr>
          <w:p w14:paraId="47ACB4D1" w14:textId="15DD632D" w:rsidR="00A34591" w:rsidRPr="004D5E81" w:rsidRDefault="00A34591" w:rsidP="00A34591">
            <w:pPr>
              <w:pStyle w:val="TableText"/>
              <w:spacing w:beforeAutospacing="1" w:afterAutospacing="1" w:line="240" w:lineRule="auto"/>
              <w:jc w:val="center"/>
            </w:pPr>
            <w:r w:rsidRPr="00905A4E">
              <w:t>0.018</w:t>
            </w:r>
          </w:p>
        </w:tc>
        <w:tc>
          <w:tcPr>
            <w:tcW w:w="1806" w:type="dxa"/>
            <w:vAlign w:val="top"/>
          </w:tcPr>
          <w:p w14:paraId="57B79E91" w14:textId="57FA5B79" w:rsidR="00A34591" w:rsidRPr="00905A4E" w:rsidRDefault="00A34591" w:rsidP="00A34591">
            <w:pPr>
              <w:pStyle w:val="TableText"/>
              <w:spacing w:beforeAutospacing="1" w:afterAutospacing="1" w:line="240" w:lineRule="auto"/>
              <w:jc w:val="center"/>
            </w:pPr>
            <w:r w:rsidRPr="00833B54">
              <w:t>0.74</w:t>
            </w:r>
          </w:p>
        </w:tc>
      </w:tr>
      <w:tr w:rsidR="00A34591" w:rsidRPr="004D5E81" w14:paraId="7A13E8C6" w14:textId="1F94C77B"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1167D407" w14:textId="77777777" w:rsidR="00A34591" w:rsidRPr="004D5E81" w:rsidRDefault="00A34591" w:rsidP="00A34591">
            <w:pPr>
              <w:pStyle w:val="TableText"/>
              <w:spacing w:beforeAutospacing="1" w:afterAutospacing="1" w:line="240" w:lineRule="auto"/>
            </w:pPr>
            <w:r w:rsidRPr="004D5E81">
              <w:t>6</w:t>
            </w:r>
          </w:p>
        </w:tc>
        <w:tc>
          <w:tcPr>
            <w:tcW w:w="1805" w:type="dxa"/>
            <w:noWrap/>
            <w:vAlign w:val="top"/>
            <w:hideMark/>
          </w:tcPr>
          <w:p w14:paraId="573DD4A7" w14:textId="58D138BA" w:rsidR="00A34591" w:rsidRPr="004D5E81" w:rsidRDefault="00A34591" w:rsidP="00A34591">
            <w:pPr>
              <w:pStyle w:val="TableText"/>
              <w:spacing w:beforeAutospacing="1" w:afterAutospacing="1" w:line="240" w:lineRule="auto"/>
              <w:jc w:val="center"/>
            </w:pPr>
            <w:r w:rsidRPr="009A4812">
              <w:t xml:space="preserve"> 0.0270 </w:t>
            </w:r>
          </w:p>
        </w:tc>
        <w:tc>
          <w:tcPr>
            <w:tcW w:w="1806" w:type="dxa"/>
            <w:vAlign w:val="top"/>
          </w:tcPr>
          <w:p w14:paraId="781D4505" w14:textId="32D2E979" w:rsidR="00A34591" w:rsidRPr="004D5E81" w:rsidRDefault="00A34591" w:rsidP="00A34591">
            <w:pPr>
              <w:pStyle w:val="TableText"/>
              <w:spacing w:beforeAutospacing="1" w:afterAutospacing="1" w:line="240" w:lineRule="auto"/>
              <w:jc w:val="center"/>
            </w:pPr>
            <w:r w:rsidRPr="003C05A6">
              <w:t>0.616</w:t>
            </w:r>
          </w:p>
        </w:tc>
        <w:tc>
          <w:tcPr>
            <w:tcW w:w="1806" w:type="dxa"/>
            <w:vAlign w:val="top"/>
          </w:tcPr>
          <w:p w14:paraId="718E3EB9" w14:textId="03272577" w:rsidR="00A34591" w:rsidRPr="004D5E81" w:rsidRDefault="00A34591" w:rsidP="00A34591">
            <w:pPr>
              <w:pStyle w:val="TableText"/>
              <w:spacing w:beforeAutospacing="1" w:afterAutospacing="1" w:line="240" w:lineRule="auto"/>
              <w:jc w:val="center"/>
            </w:pPr>
            <w:r w:rsidRPr="00905A4E">
              <w:t>0.017</w:t>
            </w:r>
          </w:p>
        </w:tc>
        <w:tc>
          <w:tcPr>
            <w:tcW w:w="1806" w:type="dxa"/>
            <w:vAlign w:val="top"/>
          </w:tcPr>
          <w:p w14:paraId="29B58F8E" w14:textId="3A94258C" w:rsidR="00A34591" w:rsidRPr="00905A4E" w:rsidRDefault="00A34591" w:rsidP="00A34591">
            <w:pPr>
              <w:pStyle w:val="TableText"/>
              <w:spacing w:beforeAutospacing="1" w:afterAutospacing="1" w:line="240" w:lineRule="auto"/>
              <w:jc w:val="center"/>
            </w:pPr>
            <w:r w:rsidRPr="00833B54">
              <w:t>0.70</w:t>
            </w:r>
          </w:p>
        </w:tc>
      </w:tr>
      <w:tr w:rsidR="00A34591" w:rsidRPr="004D5E81" w14:paraId="6E3CFD91" w14:textId="329F3279" w:rsidTr="00290E80">
        <w:tc>
          <w:tcPr>
            <w:tcW w:w="1804" w:type="dxa"/>
            <w:noWrap/>
            <w:hideMark/>
          </w:tcPr>
          <w:p w14:paraId="68D5F986" w14:textId="77777777" w:rsidR="00A34591" w:rsidRPr="004D5E81" w:rsidRDefault="00A34591" w:rsidP="00A34591">
            <w:pPr>
              <w:pStyle w:val="TableText"/>
              <w:spacing w:beforeAutospacing="1" w:afterAutospacing="1" w:line="240" w:lineRule="auto"/>
            </w:pPr>
            <w:r w:rsidRPr="004D5E81">
              <w:t>7</w:t>
            </w:r>
          </w:p>
        </w:tc>
        <w:tc>
          <w:tcPr>
            <w:tcW w:w="1805" w:type="dxa"/>
            <w:noWrap/>
            <w:vAlign w:val="top"/>
            <w:hideMark/>
          </w:tcPr>
          <w:p w14:paraId="73D284C9" w14:textId="6D7A2D5B" w:rsidR="00A34591" w:rsidRPr="004D5E81" w:rsidRDefault="00A34591" w:rsidP="00A34591">
            <w:pPr>
              <w:pStyle w:val="TableText"/>
              <w:spacing w:beforeAutospacing="1" w:afterAutospacing="1" w:line="240" w:lineRule="auto"/>
              <w:jc w:val="center"/>
            </w:pPr>
            <w:r w:rsidRPr="009A4812">
              <w:t xml:space="preserve"> 0.0277 </w:t>
            </w:r>
          </w:p>
        </w:tc>
        <w:tc>
          <w:tcPr>
            <w:tcW w:w="1806" w:type="dxa"/>
            <w:vAlign w:val="top"/>
          </w:tcPr>
          <w:p w14:paraId="1EFDE4FD" w14:textId="61C6B473" w:rsidR="00A34591" w:rsidRPr="004D5E81" w:rsidRDefault="00A34591" w:rsidP="00A34591">
            <w:pPr>
              <w:pStyle w:val="TableText"/>
              <w:spacing w:beforeAutospacing="1" w:afterAutospacing="1" w:line="240" w:lineRule="auto"/>
              <w:jc w:val="center"/>
            </w:pPr>
            <w:r w:rsidRPr="003C05A6">
              <w:t>0.569</w:t>
            </w:r>
          </w:p>
        </w:tc>
        <w:tc>
          <w:tcPr>
            <w:tcW w:w="1806" w:type="dxa"/>
            <w:vAlign w:val="top"/>
          </w:tcPr>
          <w:p w14:paraId="34141173" w14:textId="346A2248" w:rsidR="00A34591" w:rsidRPr="004D5E81" w:rsidRDefault="00A34591" w:rsidP="00A34591">
            <w:pPr>
              <w:pStyle w:val="TableText"/>
              <w:spacing w:beforeAutospacing="1" w:afterAutospacing="1" w:line="240" w:lineRule="auto"/>
              <w:jc w:val="center"/>
            </w:pPr>
            <w:r w:rsidRPr="00905A4E">
              <w:t>0.016</w:t>
            </w:r>
          </w:p>
        </w:tc>
        <w:tc>
          <w:tcPr>
            <w:tcW w:w="1806" w:type="dxa"/>
            <w:vAlign w:val="top"/>
          </w:tcPr>
          <w:p w14:paraId="2060129E" w14:textId="6071379C" w:rsidR="00A34591" w:rsidRPr="00905A4E" w:rsidRDefault="00A34591" w:rsidP="00A34591">
            <w:pPr>
              <w:pStyle w:val="TableText"/>
              <w:spacing w:beforeAutospacing="1" w:afterAutospacing="1" w:line="240" w:lineRule="auto"/>
              <w:jc w:val="center"/>
            </w:pPr>
            <w:r w:rsidRPr="00833B54">
              <w:t>0.66</w:t>
            </w:r>
          </w:p>
        </w:tc>
      </w:tr>
      <w:tr w:rsidR="00A34591" w:rsidRPr="004D5E81" w14:paraId="5BC74CC4" w14:textId="006924AE"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34D888E8" w14:textId="77777777" w:rsidR="00A34591" w:rsidRPr="004D5E81" w:rsidRDefault="00A34591" w:rsidP="00A34591">
            <w:pPr>
              <w:pStyle w:val="TableText"/>
              <w:spacing w:beforeAutospacing="1" w:afterAutospacing="1" w:line="240" w:lineRule="auto"/>
            </w:pPr>
            <w:r w:rsidRPr="004D5E81">
              <w:t>8</w:t>
            </w:r>
          </w:p>
        </w:tc>
        <w:tc>
          <w:tcPr>
            <w:tcW w:w="1805" w:type="dxa"/>
            <w:noWrap/>
            <w:vAlign w:val="top"/>
            <w:hideMark/>
          </w:tcPr>
          <w:p w14:paraId="7208EF0A" w14:textId="032AEA95" w:rsidR="00A34591" w:rsidRPr="004D5E81" w:rsidRDefault="00A34591" w:rsidP="00A34591">
            <w:pPr>
              <w:pStyle w:val="TableText"/>
              <w:spacing w:beforeAutospacing="1" w:afterAutospacing="1" w:line="240" w:lineRule="auto"/>
              <w:jc w:val="center"/>
            </w:pPr>
            <w:r w:rsidRPr="009A4812">
              <w:t xml:space="preserve"> 0.0284 </w:t>
            </w:r>
          </w:p>
        </w:tc>
        <w:tc>
          <w:tcPr>
            <w:tcW w:w="1806" w:type="dxa"/>
            <w:vAlign w:val="top"/>
          </w:tcPr>
          <w:p w14:paraId="0596FF34" w14:textId="43EC3342" w:rsidR="00A34591" w:rsidRPr="004D5E81" w:rsidRDefault="00A34591" w:rsidP="00A34591">
            <w:pPr>
              <w:pStyle w:val="TableText"/>
              <w:spacing w:beforeAutospacing="1" w:afterAutospacing="1" w:line="240" w:lineRule="auto"/>
              <w:jc w:val="center"/>
            </w:pPr>
            <w:r w:rsidRPr="003C05A6">
              <w:t>0.525</w:t>
            </w:r>
          </w:p>
        </w:tc>
        <w:tc>
          <w:tcPr>
            <w:tcW w:w="1806" w:type="dxa"/>
            <w:vAlign w:val="top"/>
          </w:tcPr>
          <w:p w14:paraId="00E92886" w14:textId="1580D8A3" w:rsidR="00A34591" w:rsidRPr="004D5E81" w:rsidRDefault="00A34591" w:rsidP="00A34591">
            <w:pPr>
              <w:pStyle w:val="TableText"/>
              <w:spacing w:beforeAutospacing="1" w:afterAutospacing="1" w:line="240" w:lineRule="auto"/>
              <w:jc w:val="center"/>
            </w:pPr>
            <w:r w:rsidRPr="00905A4E">
              <w:t>0.015</w:t>
            </w:r>
          </w:p>
        </w:tc>
        <w:tc>
          <w:tcPr>
            <w:tcW w:w="1806" w:type="dxa"/>
            <w:vAlign w:val="top"/>
          </w:tcPr>
          <w:p w14:paraId="5CB0DFC8" w14:textId="726F4E02" w:rsidR="00A34591" w:rsidRPr="00905A4E" w:rsidRDefault="00A34591" w:rsidP="00A34591">
            <w:pPr>
              <w:pStyle w:val="TableText"/>
              <w:spacing w:beforeAutospacing="1" w:afterAutospacing="1" w:line="240" w:lineRule="auto"/>
              <w:jc w:val="center"/>
            </w:pPr>
            <w:r w:rsidRPr="00833B54">
              <w:t>0.62</w:t>
            </w:r>
          </w:p>
        </w:tc>
      </w:tr>
      <w:tr w:rsidR="00A34591" w:rsidRPr="004D5E81" w14:paraId="79927D22" w14:textId="31F835FF" w:rsidTr="00290E80">
        <w:tc>
          <w:tcPr>
            <w:tcW w:w="1804" w:type="dxa"/>
            <w:noWrap/>
            <w:hideMark/>
          </w:tcPr>
          <w:p w14:paraId="07D8D80B" w14:textId="77777777" w:rsidR="00A34591" w:rsidRPr="004D5E81" w:rsidRDefault="00A34591" w:rsidP="00A34591">
            <w:pPr>
              <w:pStyle w:val="TableText"/>
              <w:spacing w:beforeAutospacing="1" w:afterAutospacing="1" w:line="240" w:lineRule="auto"/>
            </w:pPr>
            <w:r w:rsidRPr="004D5E81">
              <w:t>9</w:t>
            </w:r>
          </w:p>
        </w:tc>
        <w:tc>
          <w:tcPr>
            <w:tcW w:w="1805" w:type="dxa"/>
            <w:noWrap/>
            <w:vAlign w:val="top"/>
            <w:hideMark/>
          </w:tcPr>
          <w:p w14:paraId="24E4D37F" w14:textId="2076069C" w:rsidR="00A34591" w:rsidRPr="004D5E81" w:rsidRDefault="00A34591" w:rsidP="00A34591">
            <w:pPr>
              <w:pStyle w:val="TableText"/>
              <w:spacing w:beforeAutospacing="1" w:afterAutospacing="1" w:line="240" w:lineRule="auto"/>
              <w:jc w:val="center"/>
            </w:pPr>
            <w:r w:rsidRPr="009A4812">
              <w:t xml:space="preserve"> 0.0291 </w:t>
            </w:r>
          </w:p>
        </w:tc>
        <w:tc>
          <w:tcPr>
            <w:tcW w:w="1806" w:type="dxa"/>
            <w:vAlign w:val="top"/>
          </w:tcPr>
          <w:p w14:paraId="789D90C1" w14:textId="012C0F3F" w:rsidR="00A34591" w:rsidRPr="004D5E81" w:rsidRDefault="00A34591" w:rsidP="00A34591">
            <w:pPr>
              <w:pStyle w:val="TableText"/>
              <w:spacing w:beforeAutospacing="1" w:afterAutospacing="1" w:line="240" w:lineRule="auto"/>
              <w:jc w:val="center"/>
            </w:pPr>
            <w:r w:rsidRPr="003C05A6">
              <w:t>0.484</w:t>
            </w:r>
          </w:p>
        </w:tc>
        <w:tc>
          <w:tcPr>
            <w:tcW w:w="1806" w:type="dxa"/>
            <w:vAlign w:val="top"/>
          </w:tcPr>
          <w:p w14:paraId="2B0D65A8" w14:textId="5DFDA9E8" w:rsidR="00A34591" w:rsidRPr="004D5E81" w:rsidRDefault="00A34591" w:rsidP="00A34591">
            <w:pPr>
              <w:pStyle w:val="TableText"/>
              <w:spacing w:beforeAutospacing="1" w:afterAutospacing="1" w:line="240" w:lineRule="auto"/>
              <w:jc w:val="center"/>
            </w:pPr>
            <w:r w:rsidRPr="00905A4E">
              <w:t>0.014</w:t>
            </w:r>
          </w:p>
        </w:tc>
        <w:tc>
          <w:tcPr>
            <w:tcW w:w="1806" w:type="dxa"/>
            <w:vAlign w:val="top"/>
          </w:tcPr>
          <w:p w14:paraId="1A3C487D" w14:textId="3310A9F9" w:rsidR="00A34591" w:rsidRPr="00905A4E" w:rsidRDefault="00A34591" w:rsidP="00A34591">
            <w:pPr>
              <w:pStyle w:val="TableText"/>
              <w:spacing w:beforeAutospacing="1" w:afterAutospacing="1" w:line="240" w:lineRule="auto"/>
              <w:jc w:val="center"/>
            </w:pPr>
            <w:r w:rsidRPr="00833B54">
              <w:t>0.59</w:t>
            </w:r>
          </w:p>
        </w:tc>
      </w:tr>
      <w:tr w:rsidR="00A34591" w:rsidRPr="004D5E81" w14:paraId="4601B872" w14:textId="4CCA8AA7"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03D784EE" w14:textId="77777777" w:rsidR="00A34591" w:rsidRPr="004D5E81" w:rsidRDefault="00A34591" w:rsidP="00A34591">
            <w:pPr>
              <w:pStyle w:val="TableText"/>
              <w:spacing w:beforeAutospacing="1" w:afterAutospacing="1" w:line="240" w:lineRule="auto"/>
            </w:pPr>
            <w:r w:rsidRPr="004D5E81">
              <w:t>10</w:t>
            </w:r>
          </w:p>
        </w:tc>
        <w:tc>
          <w:tcPr>
            <w:tcW w:w="1805" w:type="dxa"/>
            <w:noWrap/>
            <w:vAlign w:val="top"/>
            <w:hideMark/>
          </w:tcPr>
          <w:p w14:paraId="7E13506F" w14:textId="6AE85627" w:rsidR="00A34591" w:rsidRPr="004D5E81" w:rsidRDefault="00A34591" w:rsidP="00A34591">
            <w:pPr>
              <w:pStyle w:val="TableText"/>
              <w:spacing w:beforeAutospacing="1" w:afterAutospacing="1" w:line="240" w:lineRule="auto"/>
              <w:jc w:val="center"/>
            </w:pPr>
            <w:r w:rsidRPr="009A4812">
              <w:t xml:space="preserve"> 0.0298 </w:t>
            </w:r>
          </w:p>
        </w:tc>
        <w:tc>
          <w:tcPr>
            <w:tcW w:w="1806" w:type="dxa"/>
            <w:vAlign w:val="top"/>
          </w:tcPr>
          <w:p w14:paraId="3B4841BD" w14:textId="441D7FE7" w:rsidR="00A34591" w:rsidRPr="004D5E81" w:rsidRDefault="00A34591" w:rsidP="00A34591">
            <w:pPr>
              <w:pStyle w:val="TableText"/>
              <w:spacing w:beforeAutospacing="1" w:afterAutospacing="1" w:line="240" w:lineRule="auto"/>
              <w:jc w:val="center"/>
            </w:pPr>
            <w:r w:rsidRPr="003C05A6">
              <w:t>0.446</w:t>
            </w:r>
          </w:p>
        </w:tc>
        <w:tc>
          <w:tcPr>
            <w:tcW w:w="1806" w:type="dxa"/>
            <w:vAlign w:val="top"/>
          </w:tcPr>
          <w:p w14:paraId="7BC88644" w14:textId="0A1A94DC" w:rsidR="00A34591" w:rsidRPr="004D5E81" w:rsidRDefault="00A34591" w:rsidP="00A34591">
            <w:pPr>
              <w:pStyle w:val="TableText"/>
              <w:spacing w:beforeAutospacing="1" w:afterAutospacing="1" w:line="240" w:lineRule="auto"/>
              <w:jc w:val="center"/>
            </w:pPr>
            <w:r w:rsidRPr="00905A4E">
              <w:t>0.013</w:t>
            </w:r>
          </w:p>
        </w:tc>
        <w:tc>
          <w:tcPr>
            <w:tcW w:w="1806" w:type="dxa"/>
            <w:vAlign w:val="top"/>
          </w:tcPr>
          <w:p w14:paraId="1135F506" w14:textId="21558A0E" w:rsidR="00A34591" w:rsidRPr="00905A4E" w:rsidRDefault="00A34591" w:rsidP="00A34591">
            <w:pPr>
              <w:pStyle w:val="TableText"/>
              <w:spacing w:beforeAutospacing="1" w:afterAutospacing="1" w:line="240" w:lineRule="auto"/>
              <w:jc w:val="center"/>
            </w:pPr>
            <w:r w:rsidRPr="00833B54">
              <w:t>0.56</w:t>
            </w:r>
          </w:p>
        </w:tc>
      </w:tr>
      <w:tr w:rsidR="00A34591" w:rsidRPr="004D5E81" w14:paraId="620DC409" w14:textId="35AE73A4" w:rsidTr="00290E80">
        <w:tc>
          <w:tcPr>
            <w:tcW w:w="1804" w:type="dxa"/>
            <w:noWrap/>
            <w:hideMark/>
          </w:tcPr>
          <w:p w14:paraId="4B0DCCA6" w14:textId="77777777" w:rsidR="00A34591" w:rsidRPr="004D5E81" w:rsidRDefault="00A34591" w:rsidP="00A34591">
            <w:pPr>
              <w:pStyle w:val="TableText"/>
              <w:spacing w:beforeAutospacing="1" w:afterAutospacing="1" w:line="240" w:lineRule="auto"/>
            </w:pPr>
            <w:r w:rsidRPr="004D5E81">
              <w:t>11</w:t>
            </w:r>
          </w:p>
        </w:tc>
        <w:tc>
          <w:tcPr>
            <w:tcW w:w="1805" w:type="dxa"/>
            <w:noWrap/>
            <w:vAlign w:val="top"/>
            <w:hideMark/>
          </w:tcPr>
          <w:p w14:paraId="6B70D0F9" w14:textId="6E3E11F2" w:rsidR="00A34591" w:rsidRPr="004D5E81" w:rsidRDefault="00A34591" w:rsidP="00A34591">
            <w:pPr>
              <w:pStyle w:val="TableText"/>
              <w:spacing w:beforeAutospacing="1" w:afterAutospacing="1" w:line="240" w:lineRule="auto"/>
              <w:jc w:val="center"/>
            </w:pPr>
            <w:r w:rsidRPr="009A4812">
              <w:t xml:space="preserve"> 0.0306 </w:t>
            </w:r>
          </w:p>
        </w:tc>
        <w:tc>
          <w:tcPr>
            <w:tcW w:w="1806" w:type="dxa"/>
            <w:vAlign w:val="top"/>
          </w:tcPr>
          <w:p w14:paraId="716A2DA9" w14:textId="792C4FAB" w:rsidR="00A34591" w:rsidRPr="004D5E81" w:rsidRDefault="00A34591" w:rsidP="00A34591">
            <w:pPr>
              <w:pStyle w:val="TableText"/>
              <w:spacing w:beforeAutospacing="1" w:afterAutospacing="1" w:line="240" w:lineRule="auto"/>
              <w:jc w:val="center"/>
            </w:pPr>
            <w:r w:rsidRPr="003C05A6">
              <w:t>0.412</w:t>
            </w:r>
          </w:p>
        </w:tc>
        <w:tc>
          <w:tcPr>
            <w:tcW w:w="1806" w:type="dxa"/>
            <w:vAlign w:val="top"/>
          </w:tcPr>
          <w:p w14:paraId="53F9913F" w14:textId="7D1B7E9F" w:rsidR="00A34591" w:rsidRPr="004D5E81" w:rsidRDefault="00A34591" w:rsidP="00A34591">
            <w:pPr>
              <w:pStyle w:val="TableText"/>
              <w:spacing w:beforeAutospacing="1" w:afterAutospacing="1" w:line="240" w:lineRule="auto"/>
              <w:jc w:val="center"/>
            </w:pPr>
            <w:r w:rsidRPr="00905A4E">
              <w:t>0.013</w:t>
            </w:r>
          </w:p>
        </w:tc>
        <w:tc>
          <w:tcPr>
            <w:tcW w:w="1806" w:type="dxa"/>
            <w:vAlign w:val="top"/>
          </w:tcPr>
          <w:p w14:paraId="00973A6A" w14:textId="699DF155" w:rsidR="00A34591" w:rsidRPr="00905A4E" w:rsidRDefault="00A34591" w:rsidP="00A34591">
            <w:pPr>
              <w:pStyle w:val="TableText"/>
              <w:spacing w:beforeAutospacing="1" w:afterAutospacing="1" w:line="240" w:lineRule="auto"/>
              <w:jc w:val="center"/>
            </w:pPr>
            <w:r w:rsidRPr="00833B54">
              <w:t>0.53</w:t>
            </w:r>
          </w:p>
        </w:tc>
      </w:tr>
      <w:tr w:rsidR="00A34591" w:rsidRPr="004D5E81" w14:paraId="31A86356" w14:textId="3A1EF560"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4526768B" w14:textId="77777777" w:rsidR="00A34591" w:rsidRPr="004D5E81" w:rsidRDefault="00A34591" w:rsidP="00A34591">
            <w:pPr>
              <w:pStyle w:val="TableText"/>
              <w:spacing w:beforeAutospacing="1" w:afterAutospacing="1" w:line="240" w:lineRule="auto"/>
            </w:pPr>
            <w:r w:rsidRPr="004D5E81">
              <w:t>12</w:t>
            </w:r>
          </w:p>
        </w:tc>
        <w:tc>
          <w:tcPr>
            <w:tcW w:w="1805" w:type="dxa"/>
            <w:noWrap/>
            <w:vAlign w:val="top"/>
            <w:hideMark/>
          </w:tcPr>
          <w:p w14:paraId="6F9E9433" w14:textId="5E4373D0" w:rsidR="00A34591" w:rsidRPr="004D5E81" w:rsidRDefault="00A34591" w:rsidP="00A34591">
            <w:pPr>
              <w:pStyle w:val="TableText"/>
              <w:spacing w:beforeAutospacing="1" w:afterAutospacing="1" w:line="240" w:lineRule="auto"/>
              <w:jc w:val="center"/>
            </w:pPr>
            <w:r w:rsidRPr="009A4812">
              <w:t xml:space="preserve"> 0.0313 </w:t>
            </w:r>
          </w:p>
        </w:tc>
        <w:tc>
          <w:tcPr>
            <w:tcW w:w="1806" w:type="dxa"/>
            <w:vAlign w:val="top"/>
          </w:tcPr>
          <w:p w14:paraId="26097594" w14:textId="29DACFDD" w:rsidR="00A34591" w:rsidRPr="004D5E81" w:rsidRDefault="00A34591" w:rsidP="00A34591">
            <w:pPr>
              <w:pStyle w:val="TableText"/>
              <w:spacing w:beforeAutospacing="1" w:afterAutospacing="1" w:line="240" w:lineRule="auto"/>
              <w:jc w:val="center"/>
            </w:pPr>
            <w:r w:rsidRPr="003C05A6">
              <w:t>0.380</w:t>
            </w:r>
          </w:p>
        </w:tc>
        <w:tc>
          <w:tcPr>
            <w:tcW w:w="1806" w:type="dxa"/>
            <w:vAlign w:val="top"/>
          </w:tcPr>
          <w:p w14:paraId="43CC7B5C" w14:textId="253467CF" w:rsidR="00A34591" w:rsidRPr="004D5E81" w:rsidRDefault="00A34591" w:rsidP="00A34591">
            <w:pPr>
              <w:pStyle w:val="TableText"/>
              <w:spacing w:beforeAutospacing="1" w:afterAutospacing="1" w:line="240" w:lineRule="auto"/>
              <w:jc w:val="center"/>
            </w:pPr>
            <w:r w:rsidRPr="00905A4E">
              <w:t>0.012</w:t>
            </w:r>
          </w:p>
        </w:tc>
        <w:tc>
          <w:tcPr>
            <w:tcW w:w="1806" w:type="dxa"/>
            <w:vAlign w:val="top"/>
          </w:tcPr>
          <w:p w14:paraId="50B840C9" w14:textId="6B403732" w:rsidR="00A34591" w:rsidRPr="00905A4E" w:rsidRDefault="00A34591" w:rsidP="00A34591">
            <w:pPr>
              <w:pStyle w:val="TableText"/>
              <w:spacing w:beforeAutospacing="1" w:afterAutospacing="1" w:line="240" w:lineRule="auto"/>
              <w:jc w:val="center"/>
            </w:pPr>
            <w:r w:rsidRPr="00833B54">
              <w:t>0.50</w:t>
            </w:r>
          </w:p>
        </w:tc>
      </w:tr>
      <w:tr w:rsidR="00A34591" w:rsidRPr="004D5E81" w14:paraId="773A3A8A" w14:textId="530B407D" w:rsidTr="00290E80">
        <w:tc>
          <w:tcPr>
            <w:tcW w:w="1804" w:type="dxa"/>
            <w:noWrap/>
            <w:hideMark/>
          </w:tcPr>
          <w:p w14:paraId="23F7A8FE" w14:textId="77777777" w:rsidR="00A34591" w:rsidRPr="004D5E81" w:rsidRDefault="00A34591" w:rsidP="00A34591">
            <w:pPr>
              <w:pStyle w:val="TableText"/>
              <w:spacing w:beforeAutospacing="1" w:afterAutospacing="1" w:line="240" w:lineRule="auto"/>
            </w:pPr>
            <w:r w:rsidRPr="004D5E81">
              <w:t>13</w:t>
            </w:r>
          </w:p>
        </w:tc>
        <w:tc>
          <w:tcPr>
            <w:tcW w:w="1805" w:type="dxa"/>
            <w:noWrap/>
            <w:vAlign w:val="top"/>
            <w:hideMark/>
          </w:tcPr>
          <w:p w14:paraId="6F1AEE70" w14:textId="5CBED8FD" w:rsidR="00A34591" w:rsidRPr="004D5E81" w:rsidRDefault="00A34591" w:rsidP="00A34591">
            <w:pPr>
              <w:pStyle w:val="TableText"/>
              <w:spacing w:beforeAutospacing="1" w:afterAutospacing="1" w:line="240" w:lineRule="auto"/>
              <w:jc w:val="center"/>
            </w:pPr>
            <w:r w:rsidRPr="009A4812">
              <w:t xml:space="preserve"> 0.0321 </w:t>
            </w:r>
          </w:p>
        </w:tc>
        <w:tc>
          <w:tcPr>
            <w:tcW w:w="1806" w:type="dxa"/>
            <w:vAlign w:val="top"/>
          </w:tcPr>
          <w:p w14:paraId="37E0B680" w14:textId="4CE31EF5" w:rsidR="00A34591" w:rsidRPr="004D5E81" w:rsidRDefault="00A34591" w:rsidP="00A34591">
            <w:pPr>
              <w:pStyle w:val="TableText"/>
              <w:spacing w:beforeAutospacing="1" w:afterAutospacing="1" w:line="240" w:lineRule="auto"/>
              <w:jc w:val="center"/>
            </w:pPr>
            <w:r w:rsidRPr="003C05A6">
              <w:t>0.350</w:t>
            </w:r>
          </w:p>
        </w:tc>
        <w:tc>
          <w:tcPr>
            <w:tcW w:w="1806" w:type="dxa"/>
            <w:vAlign w:val="top"/>
          </w:tcPr>
          <w:p w14:paraId="1B2D9B69" w14:textId="441878E0" w:rsidR="00A34591" w:rsidRPr="004D5E81" w:rsidRDefault="00A34591" w:rsidP="00A34591">
            <w:pPr>
              <w:pStyle w:val="TableText"/>
              <w:spacing w:beforeAutospacing="1" w:afterAutospacing="1" w:line="240" w:lineRule="auto"/>
              <w:jc w:val="center"/>
            </w:pPr>
            <w:r w:rsidRPr="00905A4E">
              <w:t>0.011</w:t>
            </w:r>
          </w:p>
        </w:tc>
        <w:tc>
          <w:tcPr>
            <w:tcW w:w="1806" w:type="dxa"/>
            <w:vAlign w:val="top"/>
          </w:tcPr>
          <w:p w14:paraId="71B5D03A" w14:textId="199279E5" w:rsidR="00A34591" w:rsidRPr="00F65E2D" w:rsidRDefault="00A34591" w:rsidP="00A34591">
            <w:pPr>
              <w:pStyle w:val="TableText"/>
              <w:spacing w:beforeAutospacing="1" w:afterAutospacing="1" w:line="240" w:lineRule="auto"/>
              <w:jc w:val="center"/>
              <w:rPr>
                <w:b/>
                <w:bCs/>
              </w:rPr>
            </w:pPr>
            <w:r w:rsidRPr="00F65E2D">
              <w:rPr>
                <w:b/>
                <w:bCs/>
              </w:rPr>
              <w:t>0.47</w:t>
            </w:r>
          </w:p>
        </w:tc>
      </w:tr>
      <w:tr w:rsidR="00A34591" w:rsidRPr="004D5E81" w14:paraId="605DB40D" w14:textId="041E4824" w:rsidTr="00290E80">
        <w:trPr>
          <w:cnfStyle w:val="000000010000" w:firstRow="0" w:lastRow="0" w:firstColumn="0" w:lastColumn="0" w:oddVBand="0" w:evenVBand="0" w:oddHBand="0" w:evenHBand="1" w:firstRowFirstColumn="0" w:firstRowLastColumn="0" w:lastRowFirstColumn="0" w:lastRowLastColumn="0"/>
        </w:trPr>
        <w:tc>
          <w:tcPr>
            <w:tcW w:w="1804" w:type="dxa"/>
            <w:noWrap/>
            <w:hideMark/>
          </w:tcPr>
          <w:p w14:paraId="0FE4CA14" w14:textId="77777777" w:rsidR="00A34591" w:rsidRPr="004D5E81" w:rsidRDefault="00A34591" w:rsidP="00A34591">
            <w:pPr>
              <w:pStyle w:val="TableText"/>
              <w:spacing w:beforeAutospacing="1" w:afterAutospacing="1" w:line="240" w:lineRule="auto"/>
            </w:pPr>
            <w:r w:rsidRPr="004D5E81">
              <w:t>14</w:t>
            </w:r>
          </w:p>
        </w:tc>
        <w:tc>
          <w:tcPr>
            <w:tcW w:w="1805" w:type="dxa"/>
            <w:noWrap/>
            <w:vAlign w:val="top"/>
            <w:hideMark/>
          </w:tcPr>
          <w:p w14:paraId="5729242D" w14:textId="2097475E" w:rsidR="00A34591" w:rsidRPr="004D5E81" w:rsidRDefault="00A34591" w:rsidP="00A34591">
            <w:pPr>
              <w:pStyle w:val="TableText"/>
              <w:spacing w:beforeAutospacing="1" w:afterAutospacing="1" w:line="240" w:lineRule="auto"/>
              <w:jc w:val="center"/>
            </w:pPr>
            <w:r w:rsidRPr="009A4812">
              <w:t xml:space="preserve"> 0.0329 </w:t>
            </w:r>
          </w:p>
        </w:tc>
        <w:tc>
          <w:tcPr>
            <w:tcW w:w="1806" w:type="dxa"/>
            <w:vAlign w:val="top"/>
          </w:tcPr>
          <w:p w14:paraId="717AD1B4" w14:textId="62D6C9AF" w:rsidR="00A34591" w:rsidRPr="004D5E81" w:rsidRDefault="00A34591" w:rsidP="00A34591">
            <w:pPr>
              <w:pStyle w:val="TableText"/>
              <w:spacing w:beforeAutospacing="1" w:afterAutospacing="1" w:line="240" w:lineRule="auto"/>
              <w:jc w:val="center"/>
            </w:pPr>
            <w:r w:rsidRPr="003C05A6">
              <w:t>0.323</w:t>
            </w:r>
          </w:p>
        </w:tc>
        <w:tc>
          <w:tcPr>
            <w:tcW w:w="1806" w:type="dxa"/>
            <w:vAlign w:val="top"/>
          </w:tcPr>
          <w:p w14:paraId="236DA7D7" w14:textId="6A573E99" w:rsidR="00A34591" w:rsidRPr="004D5E81" w:rsidRDefault="00A34591" w:rsidP="00A34591">
            <w:pPr>
              <w:pStyle w:val="TableText"/>
              <w:spacing w:beforeAutospacing="1" w:afterAutospacing="1" w:line="240" w:lineRule="auto"/>
              <w:jc w:val="center"/>
            </w:pPr>
            <w:r w:rsidRPr="00905A4E">
              <w:t>0.011</w:t>
            </w:r>
          </w:p>
        </w:tc>
        <w:tc>
          <w:tcPr>
            <w:tcW w:w="1806" w:type="dxa"/>
            <w:vAlign w:val="top"/>
          </w:tcPr>
          <w:p w14:paraId="18C2341E" w14:textId="235AFC11" w:rsidR="00A34591" w:rsidRPr="00905A4E" w:rsidRDefault="00A34591" w:rsidP="00A34591">
            <w:pPr>
              <w:pStyle w:val="TableText"/>
              <w:spacing w:beforeAutospacing="1" w:afterAutospacing="1" w:line="240" w:lineRule="auto"/>
              <w:jc w:val="center"/>
            </w:pPr>
            <w:r w:rsidRPr="00833B54">
              <w:t>0.45</w:t>
            </w:r>
          </w:p>
        </w:tc>
      </w:tr>
      <w:tr w:rsidR="00A34591" w:rsidRPr="004D5E81" w14:paraId="6C63FDD3" w14:textId="4DF56CCA" w:rsidTr="00290E80">
        <w:tc>
          <w:tcPr>
            <w:tcW w:w="1804" w:type="dxa"/>
            <w:noWrap/>
            <w:hideMark/>
          </w:tcPr>
          <w:p w14:paraId="05D15189" w14:textId="77777777" w:rsidR="00A34591" w:rsidRPr="004D5E81" w:rsidRDefault="00A34591" w:rsidP="00A34591">
            <w:pPr>
              <w:pStyle w:val="TableText"/>
              <w:spacing w:beforeAutospacing="1" w:afterAutospacing="1" w:line="240" w:lineRule="auto"/>
            </w:pPr>
            <w:r w:rsidRPr="004D5E81">
              <w:t>15</w:t>
            </w:r>
          </w:p>
        </w:tc>
        <w:tc>
          <w:tcPr>
            <w:tcW w:w="1805" w:type="dxa"/>
            <w:noWrap/>
            <w:vAlign w:val="top"/>
            <w:hideMark/>
          </w:tcPr>
          <w:p w14:paraId="4A319D15" w14:textId="66999260" w:rsidR="00A34591" w:rsidRPr="004D5E81" w:rsidRDefault="00A34591" w:rsidP="00A34591">
            <w:pPr>
              <w:pStyle w:val="TableText"/>
              <w:spacing w:beforeAutospacing="1" w:afterAutospacing="1" w:line="240" w:lineRule="auto"/>
              <w:jc w:val="center"/>
            </w:pPr>
            <w:r w:rsidRPr="009A4812">
              <w:t xml:space="preserve"> 0.0338 </w:t>
            </w:r>
          </w:p>
        </w:tc>
        <w:tc>
          <w:tcPr>
            <w:tcW w:w="1806" w:type="dxa"/>
            <w:vAlign w:val="top"/>
          </w:tcPr>
          <w:p w14:paraId="0DC8AF4F" w14:textId="1811D851" w:rsidR="00A34591" w:rsidRPr="004D5E81" w:rsidRDefault="00A34591" w:rsidP="00A34591">
            <w:pPr>
              <w:pStyle w:val="TableText"/>
              <w:spacing w:beforeAutospacing="1" w:afterAutospacing="1" w:line="240" w:lineRule="auto"/>
              <w:jc w:val="center"/>
            </w:pPr>
            <w:r w:rsidRPr="003C05A6">
              <w:t>0.298</w:t>
            </w:r>
          </w:p>
        </w:tc>
        <w:tc>
          <w:tcPr>
            <w:tcW w:w="1806" w:type="dxa"/>
            <w:vAlign w:val="top"/>
          </w:tcPr>
          <w:p w14:paraId="0C35AB4C" w14:textId="5F3CD107" w:rsidR="00A34591" w:rsidRPr="004D5E81" w:rsidRDefault="00A34591" w:rsidP="00A34591">
            <w:pPr>
              <w:pStyle w:val="TableText"/>
              <w:spacing w:beforeAutospacing="1" w:afterAutospacing="1" w:line="240" w:lineRule="auto"/>
              <w:jc w:val="center"/>
            </w:pPr>
            <w:r w:rsidRPr="00905A4E">
              <w:t>0.010</w:t>
            </w:r>
          </w:p>
        </w:tc>
        <w:tc>
          <w:tcPr>
            <w:tcW w:w="1806" w:type="dxa"/>
            <w:vAlign w:val="top"/>
          </w:tcPr>
          <w:p w14:paraId="5B5B5D3E" w14:textId="7484E2A7" w:rsidR="00A34591" w:rsidRPr="00905A4E" w:rsidRDefault="00A34591" w:rsidP="00A34591">
            <w:pPr>
              <w:pStyle w:val="TableText"/>
              <w:spacing w:beforeAutospacing="1" w:afterAutospacing="1" w:line="240" w:lineRule="auto"/>
              <w:jc w:val="center"/>
            </w:pPr>
            <w:r w:rsidRPr="00833B54">
              <w:t>0.42</w:t>
            </w:r>
          </w:p>
        </w:tc>
      </w:tr>
      <w:tr w:rsidR="0062061B" w:rsidRPr="004D5E81" w14:paraId="382DBFCD" w14:textId="33420130" w:rsidTr="0062061B">
        <w:trPr>
          <w:cnfStyle w:val="000000010000" w:firstRow="0" w:lastRow="0" w:firstColumn="0" w:lastColumn="0" w:oddVBand="0" w:evenVBand="0" w:oddHBand="0" w:evenHBand="1" w:firstRowFirstColumn="0" w:firstRowLastColumn="0" w:lastRowFirstColumn="0" w:lastRowLastColumn="0"/>
        </w:trPr>
        <w:tc>
          <w:tcPr>
            <w:tcW w:w="1804" w:type="dxa"/>
            <w:noWrap/>
          </w:tcPr>
          <w:p w14:paraId="4A74AF16" w14:textId="35B196C7" w:rsidR="0062061B" w:rsidRPr="004D5E81" w:rsidRDefault="0062061B" w:rsidP="00B24780">
            <w:pPr>
              <w:pStyle w:val="TableText"/>
              <w:spacing w:beforeAutospacing="1" w:afterAutospacing="1" w:line="240" w:lineRule="auto"/>
            </w:pPr>
            <w:r>
              <w:t>Sum</w:t>
            </w:r>
          </w:p>
        </w:tc>
        <w:tc>
          <w:tcPr>
            <w:tcW w:w="1805" w:type="dxa"/>
            <w:noWrap/>
          </w:tcPr>
          <w:p w14:paraId="796DACFD" w14:textId="77777777" w:rsidR="0062061B" w:rsidRPr="004D5E81" w:rsidRDefault="0062061B" w:rsidP="00864ED9">
            <w:pPr>
              <w:pStyle w:val="TableText"/>
              <w:spacing w:beforeAutospacing="1" w:afterAutospacing="1" w:line="240" w:lineRule="auto"/>
              <w:jc w:val="center"/>
            </w:pPr>
          </w:p>
        </w:tc>
        <w:tc>
          <w:tcPr>
            <w:tcW w:w="1806" w:type="dxa"/>
            <w:vAlign w:val="top"/>
          </w:tcPr>
          <w:p w14:paraId="7F92697B" w14:textId="77777777" w:rsidR="0062061B" w:rsidRPr="003C05A6" w:rsidRDefault="0062061B" w:rsidP="00864ED9">
            <w:pPr>
              <w:pStyle w:val="TableText"/>
              <w:spacing w:beforeAutospacing="1" w:afterAutospacing="1" w:line="240" w:lineRule="auto"/>
              <w:jc w:val="center"/>
            </w:pPr>
          </w:p>
        </w:tc>
        <w:tc>
          <w:tcPr>
            <w:tcW w:w="1806" w:type="dxa"/>
            <w:vAlign w:val="top"/>
          </w:tcPr>
          <w:p w14:paraId="2EE59264" w14:textId="741FDF7F" w:rsidR="0062061B" w:rsidRPr="00905A4E" w:rsidRDefault="0062061B" w:rsidP="00864ED9">
            <w:pPr>
              <w:pStyle w:val="TableText"/>
              <w:spacing w:beforeAutospacing="1" w:afterAutospacing="1" w:line="240" w:lineRule="auto"/>
              <w:jc w:val="center"/>
            </w:pPr>
            <w:r>
              <w:t>0.23</w:t>
            </w:r>
          </w:p>
        </w:tc>
        <w:tc>
          <w:tcPr>
            <w:tcW w:w="1806" w:type="dxa"/>
          </w:tcPr>
          <w:p w14:paraId="06346E33" w14:textId="77777777" w:rsidR="0062061B" w:rsidRDefault="0062061B" w:rsidP="00864ED9">
            <w:pPr>
              <w:pStyle w:val="TableText"/>
              <w:spacing w:beforeAutospacing="1" w:afterAutospacing="1" w:line="240" w:lineRule="auto"/>
              <w:jc w:val="center"/>
            </w:pPr>
          </w:p>
        </w:tc>
      </w:tr>
      <w:tr w:rsidR="0062061B" w:rsidRPr="004D5E81" w14:paraId="19204515" w14:textId="31BC7D02" w:rsidTr="0062061B">
        <w:tc>
          <w:tcPr>
            <w:tcW w:w="1804" w:type="dxa"/>
            <w:noWrap/>
          </w:tcPr>
          <w:p w14:paraId="29D1AEC0" w14:textId="7062FE04" w:rsidR="0062061B" w:rsidRDefault="0062061B" w:rsidP="00AF2DA7">
            <w:pPr>
              <w:pStyle w:val="TableText"/>
              <w:spacing w:beforeAutospacing="1" w:afterAutospacing="1" w:line="240" w:lineRule="auto"/>
            </w:pPr>
            <w:r>
              <w:t xml:space="preserve">Sum </w:t>
            </w:r>
            <w:r>
              <w:br/>
              <w:t>(discounted @ 8.4%)</w:t>
            </w:r>
          </w:p>
        </w:tc>
        <w:tc>
          <w:tcPr>
            <w:tcW w:w="1805" w:type="dxa"/>
            <w:noWrap/>
          </w:tcPr>
          <w:p w14:paraId="6C29D1C4" w14:textId="40412737" w:rsidR="0062061B" w:rsidRPr="004D5E81" w:rsidRDefault="0062061B" w:rsidP="00864ED9">
            <w:pPr>
              <w:pStyle w:val="TableText"/>
              <w:spacing w:beforeAutospacing="1" w:afterAutospacing="1" w:line="240" w:lineRule="auto"/>
              <w:jc w:val="center"/>
            </w:pPr>
            <w:r>
              <w:t>0.23</w:t>
            </w:r>
          </w:p>
        </w:tc>
        <w:tc>
          <w:tcPr>
            <w:tcW w:w="1806" w:type="dxa"/>
            <w:vAlign w:val="top"/>
          </w:tcPr>
          <w:p w14:paraId="1B613A20" w14:textId="77777777" w:rsidR="0062061B" w:rsidRPr="003C05A6" w:rsidRDefault="0062061B" w:rsidP="00864ED9">
            <w:pPr>
              <w:pStyle w:val="TableText"/>
              <w:spacing w:beforeAutospacing="1" w:afterAutospacing="1" w:line="240" w:lineRule="auto"/>
              <w:jc w:val="center"/>
            </w:pPr>
          </w:p>
        </w:tc>
        <w:tc>
          <w:tcPr>
            <w:tcW w:w="1806" w:type="dxa"/>
            <w:vAlign w:val="top"/>
          </w:tcPr>
          <w:p w14:paraId="7BFFA315" w14:textId="77777777" w:rsidR="0062061B" w:rsidRPr="00905A4E" w:rsidRDefault="0062061B" w:rsidP="00864ED9">
            <w:pPr>
              <w:pStyle w:val="TableText"/>
              <w:spacing w:beforeAutospacing="1" w:afterAutospacing="1" w:line="240" w:lineRule="auto"/>
              <w:jc w:val="center"/>
            </w:pPr>
          </w:p>
        </w:tc>
        <w:tc>
          <w:tcPr>
            <w:tcW w:w="1806" w:type="dxa"/>
          </w:tcPr>
          <w:p w14:paraId="271477D1" w14:textId="77777777" w:rsidR="0062061B" w:rsidRPr="00905A4E" w:rsidRDefault="0062061B" w:rsidP="00864ED9">
            <w:pPr>
              <w:pStyle w:val="TableText"/>
              <w:spacing w:beforeAutospacing="1" w:afterAutospacing="1" w:line="240" w:lineRule="auto"/>
              <w:jc w:val="center"/>
            </w:pPr>
          </w:p>
        </w:tc>
      </w:tr>
    </w:tbl>
    <w:p w14:paraId="21809BC1" w14:textId="370AA31E" w:rsidR="004D5E81" w:rsidRPr="00885B0A" w:rsidRDefault="004D5E81">
      <w:pPr>
        <w:pStyle w:val="Source"/>
      </w:pPr>
      <w:r w:rsidRPr="00885B0A">
        <w:t xml:space="preserve">Source: </w:t>
      </w:r>
      <w:r w:rsidR="004A57FB">
        <w:t>Frontier Economics calculations</w:t>
      </w:r>
      <w:r w:rsidR="00B665F3">
        <w:t>.</w:t>
      </w:r>
      <w:r w:rsidR="00B615BC">
        <w:br/>
        <w:t>Notes: Figures in bold are used in calculations in section 3.1.2.</w:t>
      </w:r>
    </w:p>
    <w:p w14:paraId="22041DE1" w14:textId="1A3D023F" w:rsidR="00DF0593" w:rsidRDefault="00FD6F26" w:rsidP="00FD6F26">
      <w:pPr>
        <w:pStyle w:val="Heading3"/>
      </w:pPr>
      <w:r>
        <w:t>Duration adjustment – truncated term</w:t>
      </w:r>
    </w:p>
    <w:p w14:paraId="051FDE3B" w14:textId="239F00C3" w:rsidR="00DA67CA" w:rsidRDefault="00746F04" w:rsidP="006C5CCF">
      <w:pPr>
        <w:pStyle w:val="BodyText"/>
      </w:pPr>
      <w:r>
        <w:t>T</w:t>
      </w:r>
      <w:r w:rsidR="00DD0E5B">
        <w:t>he</w:t>
      </w:r>
      <w:r w:rsidR="002B1F5A">
        <w:t xml:space="preserve"> market</w:t>
      </w:r>
      <w:r w:rsidR="00DD0E5B">
        <w:t xml:space="preserve"> value of a </w:t>
      </w:r>
      <w:r w:rsidR="002B1F5A">
        <w:t>term-</w:t>
      </w:r>
      <w:r w:rsidR="00DD0E5B">
        <w:t>truncated licence</w:t>
      </w:r>
      <w:r w:rsidR="00D825BF">
        <w:t xml:space="preserve"> should reflect the value that the original purchaser would have attributed to the remaining licence years</w:t>
      </w:r>
      <w:r w:rsidR="009A5A5E">
        <w:t xml:space="preserve">. For example, </w:t>
      </w:r>
      <w:r w:rsidR="00566C11">
        <w:t xml:space="preserve">the value </w:t>
      </w:r>
      <w:r w:rsidR="009A5A5E">
        <w:t>at the start of year 3</w:t>
      </w:r>
      <w:r w:rsidR="00AA37D0">
        <w:t xml:space="preserve"> </w:t>
      </w:r>
      <w:r w:rsidR="00566C11">
        <w:t>sh</w:t>
      </w:r>
      <w:r w:rsidR="00AA37D0">
        <w:t xml:space="preserve">ould </w:t>
      </w:r>
      <w:r w:rsidR="00566C11">
        <w:t>reflect the pres</w:t>
      </w:r>
      <w:r w:rsidR="00F56013">
        <w:t>ent value (at that time) of the remaining cash flows</w:t>
      </w:r>
      <w:r w:rsidR="006A52E6">
        <w:t>.</w:t>
      </w:r>
    </w:p>
    <w:p w14:paraId="2B4CE926" w14:textId="541C30D2" w:rsidR="00032057" w:rsidRDefault="00032057" w:rsidP="006C5CCF">
      <w:pPr>
        <w:pStyle w:val="BodyText"/>
      </w:pPr>
      <w:r>
        <w:rPr>
          <w:rFonts w:eastAsiaTheme="minorEastAsia"/>
        </w:rPr>
        <w:t>T</w:t>
      </w:r>
      <w:r w:rsidR="00CD2B53">
        <w:rPr>
          <w:rFonts w:eastAsiaTheme="minorEastAsia"/>
        </w:rPr>
        <w:t xml:space="preserve">he value of a licence that is </w:t>
      </w:r>
      <w:r w:rsidR="00AD0C16">
        <w:rPr>
          <w:rFonts w:eastAsiaTheme="minorEastAsia"/>
        </w:rPr>
        <w:t>purchased to begin</w:t>
      </w:r>
      <w:r w:rsidR="005142D0">
        <w:rPr>
          <w:rFonts w:eastAsiaTheme="minorEastAsia"/>
        </w:rPr>
        <w:t xml:space="preserve"> at</w:t>
      </w:r>
      <w:r w:rsidR="00A06224">
        <w:rPr>
          <w:rFonts w:eastAsiaTheme="minorEastAsia"/>
        </w:rPr>
        <w:t>,</w:t>
      </w:r>
      <w:r w:rsidR="005142D0">
        <w:rPr>
          <w:rFonts w:eastAsiaTheme="minorEastAsia"/>
        </w:rPr>
        <w:t xml:space="preserve"> say</w:t>
      </w:r>
      <w:r w:rsidR="00A06224">
        <w:rPr>
          <w:rFonts w:eastAsiaTheme="minorEastAsia"/>
        </w:rPr>
        <w:t>,</w:t>
      </w:r>
      <w:r w:rsidR="005142D0">
        <w:rPr>
          <w:rFonts w:eastAsiaTheme="minorEastAsia"/>
        </w:rPr>
        <w:t xml:space="preserve"> </w:t>
      </w:r>
      <w:r w:rsidR="007B46A9">
        <w:rPr>
          <w:rFonts w:eastAsiaTheme="minorEastAsia"/>
        </w:rPr>
        <w:t xml:space="preserve">the start of </w:t>
      </w:r>
      <w:r w:rsidR="005142D0">
        <w:rPr>
          <w:rFonts w:eastAsiaTheme="minorEastAsia"/>
        </w:rPr>
        <w:t>year 3</w:t>
      </w:r>
      <w:r w:rsidR="007B46A9">
        <w:rPr>
          <w:rFonts w:eastAsiaTheme="minorEastAsia"/>
        </w:rPr>
        <w:t xml:space="preserve"> and covering 13 years</w:t>
      </w:r>
      <w:r w:rsidR="005142D0">
        <w:rPr>
          <w:rFonts w:eastAsiaTheme="minorEastAsia"/>
        </w:rPr>
        <w:t xml:space="preserve"> would need to account for these adjustments</w:t>
      </w:r>
      <w:r w:rsidR="00E4571E">
        <w:rPr>
          <w:rFonts w:eastAsiaTheme="minorEastAsia"/>
        </w:rPr>
        <w:t xml:space="preserve">. The most straightforward way to do this is to </w:t>
      </w:r>
      <w:r w:rsidR="00AD0C16">
        <w:rPr>
          <w:rFonts w:eastAsiaTheme="minorEastAsia"/>
        </w:rPr>
        <w:t>solve for A</w:t>
      </w:r>
      <w:r w:rsidR="00BD679F">
        <w:t xml:space="preserve">, and then </w:t>
      </w:r>
      <w:r w:rsidR="00DD4E3E">
        <w:t xml:space="preserve">calculate </w:t>
      </w:r>
      <w:r w:rsidR="00BD679F">
        <w:t xml:space="preserve">the remaining value </w:t>
      </w:r>
      <w:r w:rsidR="008E7E0B">
        <w:t>Z</w:t>
      </w:r>
      <w:r w:rsidR="00DD4E3E">
        <w:t xml:space="preserve">^ </w:t>
      </w:r>
      <w:r w:rsidR="00BD679F">
        <w:t>as</w:t>
      </w:r>
      <w:r w:rsidR="00DD4E3E">
        <w:t xml:space="preserve"> follows</w:t>
      </w:r>
      <w:r w:rsidR="00A06224">
        <w:t xml:space="preserve"> (again using Figure 1 for reference)</w:t>
      </w:r>
      <w:r w:rsidR="00BD679F">
        <w:t>:</w:t>
      </w:r>
    </w:p>
    <w:p w14:paraId="6940B95E" w14:textId="24A5E4F3" w:rsidR="000D1209" w:rsidRPr="005F2C24" w:rsidRDefault="00A6125F" w:rsidP="00A6125F">
      <w:pPr>
        <w:pStyle w:val="BodyText"/>
        <w:jc w:val="center"/>
        <w:rPr>
          <w:rFonts w:eastAsiaTheme="minorEastAsia"/>
        </w:rPr>
      </w:pPr>
      <w:r>
        <w:rPr>
          <w:rFonts w:eastAsiaTheme="minorEastAsia"/>
        </w:rPr>
        <w:t>First cash</w:t>
      </w:r>
      <w:r w:rsidR="0022475A">
        <w:rPr>
          <w:rFonts w:eastAsiaTheme="minorEastAsia"/>
        </w:rPr>
        <w:t xml:space="preserve"> </w:t>
      </w:r>
      <w:r>
        <w:rPr>
          <w:rFonts w:eastAsiaTheme="minorEastAsia"/>
        </w:rPr>
        <w:t xml:space="preserve">flow is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1+t</m:t>
                </m:r>
              </m:e>
            </m:d>
          </m:e>
          <m:sup>
            <m:r>
              <w:rPr>
                <w:rFonts w:ascii="Cambria Math" w:eastAsiaTheme="minorEastAsia" w:hAnsi="Cambria Math"/>
              </w:rPr>
              <m:t>2</m:t>
            </m:r>
          </m:sup>
        </m:sSup>
      </m:oMath>
    </w:p>
    <w:p w14:paraId="5040FC9D" w14:textId="0A0EF61C" w:rsidR="00BD679F" w:rsidRPr="00263DFE" w:rsidRDefault="00724FCE" w:rsidP="006C5CCF">
      <w:pPr>
        <w:pStyle w:val="BodyText"/>
        <w:rPr>
          <w:rFonts w:eastAsiaTheme="minorEastAsia"/>
        </w:rPr>
      </w:pPr>
      <m:oMathPara>
        <m:oMath>
          <m:acc>
            <m:accPr>
              <m:ctrlPr>
                <w:rPr>
                  <w:rFonts w:ascii="Cambria Math" w:hAnsi="Cambria Math"/>
                  <w:i/>
                </w:rPr>
              </m:ctrlPr>
            </m:accPr>
            <m:e>
              <m:r>
                <w:rPr>
                  <w:rFonts w:ascii="Cambria Math" w:hAnsi="Cambria Math"/>
                </w:rPr>
                <m:t>Z</m:t>
              </m:r>
            </m:e>
          </m:ac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m:t>
                  </m:r>
                </m:sub>
              </m:sSub>
            </m:num>
            <m:den>
              <m:r>
                <w:rPr>
                  <w:rFonts w:ascii="Cambria Math" w:hAnsi="Cambria Math"/>
                </w:rPr>
                <m:t>1+r</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1+t</m:t>
                  </m:r>
                </m:e>
              </m:d>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2</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3</m:t>
                  </m:r>
                </m:sub>
              </m:sSub>
              <m:sSup>
                <m:sSupPr>
                  <m:ctrlPr>
                    <w:rPr>
                      <w:rFonts w:ascii="Cambria Math" w:hAnsi="Cambria Math"/>
                      <w:i/>
                    </w:rPr>
                  </m:ctrlPr>
                </m:sSupPr>
                <m:e>
                  <m:d>
                    <m:dPr>
                      <m:ctrlPr>
                        <w:rPr>
                          <w:rFonts w:ascii="Cambria Math" w:hAnsi="Cambria Math"/>
                          <w:i/>
                        </w:rPr>
                      </m:ctrlPr>
                    </m:dPr>
                    <m:e>
                      <m:r>
                        <w:rPr>
                          <w:rFonts w:ascii="Cambria Math" w:hAnsi="Cambria Math"/>
                        </w:rPr>
                        <m:t>1+t</m:t>
                      </m:r>
                    </m:e>
                  </m:d>
                </m:e>
                <m:sup>
                  <m:r>
                    <w:rPr>
                      <w:rFonts w:ascii="Cambria Math" w:hAnsi="Cambria Math"/>
                    </w:rPr>
                    <m:t>12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13</m:t>
                  </m:r>
                </m:sup>
              </m:sSup>
            </m:den>
          </m:f>
        </m:oMath>
      </m:oMathPara>
    </w:p>
    <w:p w14:paraId="65F6BCC0" w14:textId="6B766210" w:rsidR="00B60B69" w:rsidRPr="00ED7D3F" w:rsidRDefault="00724FCE" w:rsidP="006C5CCF">
      <w:pPr>
        <w:pStyle w:val="BodyText"/>
        <w:rPr>
          <w:rFonts w:eastAsiaTheme="minorEastAsia"/>
        </w:rPr>
      </w:pPr>
      <m:oMathPara>
        <m:oMath>
          <m:acc>
            <m:accPr>
              <m:ctrlPr>
                <w:rPr>
                  <w:rFonts w:ascii="Cambria Math" w:eastAsiaTheme="minorEastAsia" w:hAnsi="Cambria Math"/>
                  <w:i/>
                </w:rPr>
              </m:ctrlPr>
            </m:accPr>
            <m:e>
              <m:r>
                <w:rPr>
                  <w:rFonts w:ascii="Cambria Math" w:eastAsiaTheme="minorEastAsia" w:hAnsi="Cambria Math"/>
                </w:rPr>
                <m:t>Z</m:t>
              </m:r>
            </m:e>
          </m:acc>
          <m:r>
            <w:rPr>
              <w:rFonts w:ascii="Cambria Math" w:eastAsiaTheme="minorEastAsia" w:hAnsi="Cambria Math"/>
            </w:rPr>
            <m:t>=0.025</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1+8.4%</m:t>
                          </m:r>
                        </m:e>
                      </m:d>
                    </m:e>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1+2.5%</m:t>
                          </m:r>
                        </m:e>
                      </m:d>
                    </m:e>
                    <m:sup>
                      <m:r>
                        <w:rPr>
                          <w:rFonts w:ascii="Cambria Math" w:eastAsiaTheme="minorEastAsia" w:hAnsi="Cambria Math"/>
                        </w:rPr>
                        <m:t>12</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1+8.4%</m:t>
                          </m:r>
                        </m:e>
                      </m:d>
                    </m:e>
                    <m:sup>
                      <m:r>
                        <w:rPr>
                          <w:rFonts w:ascii="Cambria Math" w:eastAsiaTheme="minorEastAsia" w:hAnsi="Cambria Math"/>
                        </w:rPr>
                        <m:t>13</m:t>
                      </m:r>
                    </m:sup>
                  </m:sSup>
                </m:den>
              </m:f>
            </m:e>
          </m:d>
        </m:oMath>
      </m:oMathPara>
    </w:p>
    <w:p w14:paraId="6A9DBD5C" w14:textId="379CF96C" w:rsidR="00ED7D3F" w:rsidRPr="00ED7D3F" w:rsidRDefault="00724FCE" w:rsidP="006C5CCF">
      <w:pPr>
        <w:pStyle w:val="BodyText"/>
        <w:rPr>
          <w:rFonts w:eastAsiaTheme="minorEastAsia"/>
        </w:rPr>
      </w:pPr>
      <m:oMathPara>
        <m:oMath>
          <m:acc>
            <m:accPr>
              <m:ctrlPr>
                <w:rPr>
                  <w:rFonts w:ascii="Cambria Math" w:eastAsiaTheme="minorEastAsia" w:hAnsi="Cambria Math"/>
                  <w:i/>
                </w:rPr>
              </m:ctrlPr>
            </m:accPr>
            <m:e>
              <m:r>
                <w:rPr>
                  <w:rFonts w:ascii="Cambria Math" w:eastAsiaTheme="minorEastAsia" w:hAnsi="Cambria Math"/>
                </w:rPr>
                <m:t>Z</m:t>
              </m:r>
            </m:e>
          </m:acc>
          <m:r>
            <w:rPr>
              <w:rFonts w:ascii="Cambria Math" w:eastAsiaTheme="minorEastAsia" w:hAnsi="Cambria Math"/>
            </w:rPr>
            <m:t>=0.025</m:t>
          </m:r>
          <m:d>
            <m:dPr>
              <m:begChr m:val="["/>
              <m:endChr m:val="]"/>
              <m:ctrlPr>
                <w:rPr>
                  <w:rFonts w:ascii="Cambria Math" w:eastAsiaTheme="minorEastAsia" w:hAnsi="Cambria Math"/>
                  <w:i/>
                </w:rPr>
              </m:ctrlPr>
            </m:dPr>
            <m:e>
              <m:r>
                <w:rPr>
                  <w:rFonts w:ascii="Cambria Math" w:eastAsiaTheme="minorEastAsia" w:hAnsi="Cambria Math"/>
                </w:rPr>
                <m:t>0.92+...+0.47</m:t>
              </m:r>
            </m:e>
          </m:d>
        </m:oMath>
      </m:oMathPara>
    </w:p>
    <w:p w14:paraId="55C2D709" w14:textId="17E6FD82" w:rsidR="00ED7D3F" w:rsidRPr="00F65E2D" w:rsidRDefault="00724FCE" w:rsidP="006C5CCF">
      <w:pPr>
        <w:pStyle w:val="BodyText"/>
        <w:rPr>
          <w:rFonts w:eastAsiaTheme="minorEastAsia"/>
        </w:rPr>
      </w:pPr>
      <m:oMathPara>
        <m:oMath>
          <m:acc>
            <m:accPr>
              <m:ctrlPr>
                <w:rPr>
                  <w:rFonts w:ascii="Cambria Math" w:eastAsiaTheme="minorEastAsia" w:hAnsi="Cambria Math"/>
                  <w:i/>
                </w:rPr>
              </m:ctrlPr>
            </m:accPr>
            <m:e>
              <m:r>
                <w:rPr>
                  <w:rFonts w:ascii="Cambria Math" w:eastAsiaTheme="minorEastAsia" w:hAnsi="Cambria Math"/>
                </w:rPr>
                <m:t>Z</m:t>
              </m:r>
            </m:e>
          </m:acc>
          <m:r>
            <w:rPr>
              <w:rFonts w:ascii="Cambria Math" w:eastAsiaTheme="minorEastAsia" w:hAnsi="Cambria Math"/>
            </w:rPr>
            <m:t>=$0.2199.</m:t>
          </m:r>
        </m:oMath>
      </m:oMathPara>
    </w:p>
    <w:p w14:paraId="4AB6E7C9" w14:textId="65E3B50A" w:rsidR="00FD6F26" w:rsidRDefault="00FD6F26" w:rsidP="00DF0593">
      <w:pPr>
        <w:pStyle w:val="Heading3"/>
        <w:rPr>
          <w:rFonts w:eastAsiaTheme="minorEastAsia"/>
        </w:rPr>
      </w:pPr>
      <w:bookmarkStart w:id="10" w:name="_Ref169861899"/>
      <w:r>
        <w:rPr>
          <w:rFonts w:eastAsiaTheme="minorEastAsia"/>
        </w:rPr>
        <w:t>Duration adjustment – longer term</w:t>
      </w:r>
      <w:bookmarkEnd w:id="10"/>
    </w:p>
    <w:p w14:paraId="3CEC1A79" w14:textId="25ECF516" w:rsidR="00F500EB" w:rsidRDefault="00F500EB" w:rsidP="00F500EB">
      <w:pPr>
        <w:pStyle w:val="BodyText"/>
        <w:rPr>
          <w:lang w:eastAsia="en-AU"/>
        </w:rPr>
      </w:pPr>
      <w:r>
        <w:rPr>
          <w:lang w:eastAsia="en-AU"/>
        </w:rPr>
        <w:t>For a longer term, the adjustment works in an analogous manner to described above, where there is an additional 5 years of cash flow growth</w:t>
      </w:r>
      <w:r w:rsidR="00B97D1A">
        <w:rPr>
          <w:lang w:eastAsia="en-AU"/>
        </w:rPr>
        <w:t xml:space="preserve"> and discount rate.</w:t>
      </w:r>
      <w:r w:rsidR="00D43899">
        <w:rPr>
          <w:lang w:eastAsia="en-AU"/>
        </w:rPr>
        <w:t xml:space="preserve"> For the example </w:t>
      </w:r>
      <w:r w:rsidR="00E83B3C">
        <w:rPr>
          <w:lang w:eastAsia="en-AU"/>
        </w:rPr>
        <w:t>from Figure 1</w:t>
      </w:r>
      <w:r w:rsidR="00C36470">
        <w:rPr>
          <w:lang w:eastAsia="en-AU"/>
        </w:rPr>
        <w:t>, and assuming a licence commenced in year 1,</w:t>
      </w:r>
      <w:r w:rsidR="00D43899">
        <w:rPr>
          <w:lang w:eastAsia="en-AU"/>
        </w:rPr>
        <w:t xml:space="preserve"> </w:t>
      </w:r>
      <w:r w:rsidR="00553D65">
        <w:rPr>
          <w:lang w:eastAsia="en-AU"/>
        </w:rPr>
        <w:t>the value of a 20</w:t>
      </w:r>
      <w:r w:rsidR="004703E5">
        <w:rPr>
          <w:lang w:eastAsia="en-AU"/>
        </w:rPr>
        <w:t>-</w:t>
      </w:r>
      <w:r w:rsidR="00553D65">
        <w:rPr>
          <w:lang w:eastAsia="en-AU"/>
        </w:rPr>
        <w:t>year licence would be calculated as</w:t>
      </w:r>
      <w:r w:rsidR="00D43899">
        <w:rPr>
          <w:lang w:eastAsia="en-AU"/>
        </w:rPr>
        <w:t>:</w:t>
      </w:r>
    </w:p>
    <w:p w14:paraId="47C86B7F" w14:textId="139833BB" w:rsidR="008C6B87" w:rsidRPr="008C6B87" w:rsidRDefault="00153763" w:rsidP="008C6B87">
      <w:pPr>
        <w:pStyle w:val="BodyText"/>
        <w:rPr>
          <w:lang w:eastAsia="en-AU"/>
        </w:rPr>
      </w:pPr>
      <m:oMathPara>
        <m:oMath>
          <m:r>
            <w:rPr>
              <w:rFonts w:ascii="Cambria Math" w:hAnsi="Cambria Math"/>
              <w:lang w:eastAsia="en-AU"/>
            </w:rPr>
            <m:t>Z=0.024</m:t>
          </m:r>
          <m:d>
            <m:dPr>
              <m:begChr m:val="["/>
              <m:endChr m:val="]"/>
              <m:ctrlPr>
                <w:rPr>
                  <w:rFonts w:ascii="Cambria Math" w:hAnsi="Cambria Math"/>
                  <w:i/>
                  <w:lang w:eastAsia="en-AU"/>
                </w:rPr>
              </m:ctrlPr>
            </m:dPr>
            <m:e>
              <m:f>
                <m:fPr>
                  <m:ctrlPr>
                    <w:rPr>
                      <w:rFonts w:ascii="Cambria Math" w:hAnsi="Cambria Math"/>
                      <w:i/>
                      <w:lang w:eastAsia="en-AU"/>
                    </w:rPr>
                  </m:ctrlPr>
                </m:fPr>
                <m:num>
                  <m:r>
                    <w:rPr>
                      <w:rFonts w:ascii="Cambria Math" w:hAnsi="Cambria Math"/>
                      <w:lang w:eastAsia="en-AU"/>
                    </w:rPr>
                    <m:t>1</m:t>
                  </m:r>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1+8.4%</m:t>
                          </m:r>
                        </m:e>
                      </m:d>
                    </m:e>
                    <m:sup/>
                  </m:sSup>
                </m:den>
              </m:f>
              <m:r>
                <w:rPr>
                  <w:rFonts w:ascii="Cambria Math" w:hAnsi="Cambria Math"/>
                  <w:lang w:eastAsia="en-AU"/>
                </w:rPr>
                <m:t>+...+</m:t>
              </m:r>
              <m:f>
                <m:fPr>
                  <m:ctrlPr>
                    <w:rPr>
                      <w:rFonts w:ascii="Cambria Math" w:hAnsi="Cambria Math"/>
                      <w:i/>
                      <w:lang w:eastAsia="en-AU"/>
                    </w:rPr>
                  </m:ctrlPr>
                </m:fPr>
                <m:num>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1+2.5%</m:t>
                          </m:r>
                        </m:e>
                      </m:d>
                    </m:e>
                    <m:sup>
                      <m:r>
                        <w:rPr>
                          <w:rFonts w:ascii="Cambria Math" w:hAnsi="Cambria Math"/>
                          <w:lang w:eastAsia="en-AU"/>
                        </w:rPr>
                        <m:t>19</m:t>
                      </m:r>
                    </m:sup>
                  </m:sSup>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1+8.4%</m:t>
                          </m:r>
                        </m:e>
                      </m:d>
                    </m:e>
                    <m:sup>
                      <m:r>
                        <w:rPr>
                          <w:rFonts w:ascii="Cambria Math" w:hAnsi="Cambria Math"/>
                          <w:lang w:eastAsia="en-AU"/>
                        </w:rPr>
                        <m:t>20</m:t>
                      </m:r>
                    </m:sup>
                  </m:sSup>
                </m:den>
              </m:f>
            </m:e>
          </m:d>
          <m:r>
            <w:rPr>
              <w:rFonts w:ascii="Cambria Math" w:hAnsi="Cambria Math"/>
              <w:lang w:eastAsia="en-AU"/>
            </w:rPr>
            <m:t>=$0.2727.</m:t>
          </m:r>
        </m:oMath>
      </m:oMathPara>
    </w:p>
    <w:p w14:paraId="5D0D4B5C" w14:textId="639D666D" w:rsidR="000D1A9B" w:rsidRDefault="00FD6F26" w:rsidP="00DF0593">
      <w:pPr>
        <w:pStyle w:val="Heading3"/>
        <w:rPr>
          <w:rFonts w:eastAsiaTheme="minorEastAsia"/>
        </w:rPr>
      </w:pPr>
      <w:r>
        <w:rPr>
          <w:rFonts w:eastAsiaTheme="minorEastAsia"/>
        </w:rPr>
        <w:lastRenderedPageBreak/>
        <w:t>Duration adjustment</w:t>
      </w:r>
      <w:r w:rsidR="00190817">
        <w:rPr>
          <w:rFonts w:eastAsiaTheme="minorEastAsia"/>
        </w:rPr>
        <w:t xml:space="preserve"> </w:t>
      </w:r>
      <w:r w:rsidR="005543FE">
        <w:rPr>
          <w:rFonts w:eastAsiaTheme="minorEastAsia"/>
        </w:rPr>
        <w:t>–</w:t>
      </w:r>
      <w:r w:rsidR="000D1A9B">
        <w:rPr>
          <w:rFonts w:eastAsiaTheme="minorEastAsia"/>
        </w:rPr>
        <w:t xml:space="preserve"> </w:t>
      </w:r>
      <w:r w:rsidR="00190817">
        <w:rPr>
          <w:rFonts w:eastAsiaTheme="minorEastAsia"/>
        </w:rPr>
        <w:t xml:space="preserve">for </w:t>
      </w:r>
      <w:r w:rsidR="005543FE">
        <w:rPr>
          <w:rFonts w:eastAsiaTheme="minorEastAsia"/>
        </w:rPr>
        <w:t xml:space="preserve">part </w:t>
      </w:r>
      <w:r w:rsidR="00B31242">
        <w:rPr>
          <w:rFonts w:eastAsiaTheme="minorEastAsia"/>
        </w:rPr>
        <w:t>years</w:t>
      </w:r>
    </w:p>
    <w:p w14:paraId="15D8CD1A" w14:textId="510535B2" w:rsidR="005543FE" w:rsidRDefault="00FE2321" w:rsidP="005543FE">
      <w:pPr>
        <w:pStyle w:val="BodyText"/>
        <w:rPr>
          <w:lang w:eastAsia="en-AU"/>
        </w:rPr>
      </w:pPr>
      <w:r>
        <w:rPr>
          <w:lang w:eastAsia="en-AU"/>
        </w:rPr>
        <w:t>The</w:t>
      </w:r>
      <w:r w:rsidR="00E6293E">
        <w:rPr>
          <w:lang w:eastAsia="en-AU"/>
        </w:rPr>
        <w:t xml:space="preserve"> explanation of the</w:t>
      </w:r>
      <w:r>
        <w:rPr>
          <w:lang w:eastAsia="en-AU"/>
        </w:rPr>
        <w:t xml:space="preserve"> current form</w:t>
      </w:r>
      <w:r w:rsidR="00E208B6">
        <w:rPr>
          <w:lang w:eastAsia="en-AU"/>
        </w:rPr>
        <w:t xml:space="preserve">ula as applied in </w:t>
      </w:r>
      <w:r w:rsidR="003D1F93">
        <w:rPr>
          <w:lang w:eastAsia="en-AU"/>
        </w:rPr>
        <w:t xml:space="preserve">several 1800MHz band </w:t>
      </w:r>
      <w:r w:rsidR="00360B63">
        <w:rPr>
          <w:lang w:eastAsia="en-AU"/>
        </w:rPr>
        <w:t xml:space="preserve">pricing </w:t>
      </w:r>
      <w:r w:rsidR="00E208B6">
        <w:rPr>
          <w:lang w:eastAsia="en-AU"/>
        </w:rPr>
        <w:t>instrument</w:t>
      </w:r>
      <w:r w:rsidR="00360B63">
        <w:rPr>
          <w:lang w:eastAsia="en-AU"/>
        </w:rPr>
        <w:t>s</w:t>
      </w:r>
      <w:r w:rsidR="00E208B6">
        <w:rPr>
          <w:lang w:eastAsia="en-AU"/>
        </w:rPr>
        <w:t xml:space="preserve"> states that</w:t>
      </w:r>
      <w:r w:rsidR="00B77591">
        <w:rPr>
          <w:lang w:eastAsia="en-AU"/>
        </w:rPr>
        <w:t xml:space="preserve"> </w:t>
      </w:r>
      <w:r w:rsidR="00EA7C55">
        <w:rPr>
          <w:lang w:eastAsia="en-AU"/>
        </w:rPr>
        <w:t xml:space="preserve">the variable </w:t>
      </w:r>
      <w:proofErr w:type="spellStart"/>
      <w:r w:rsidR="00EA7C55">
        <w:rPr>
          <w:lang w:eastAsia="en-AU"/>
        </w:rPr>
        <w:t>PPVn</w:t>
      </w:r>
      <w:proofErr w:type="spellEnd"/>
      <w:r w:rsidR="00EA7C55">
        <w:rPr>
          <w:lang w:eastAsia="en-AU"/>
        </w:rPr>
        <w:t xml:space="preserve"> </w:t>
      </w:r>
      <w:r w:rsidR="00AD5407">
        <w:rPr>
          <w:lang w:eastAsia="en-AU"/>
        </w:rPr>
        <w:t>is the “nominal spectrum value of the initial part period of n years at the beginning of the initial part-period.”</w:t>
      </w:r>
    </w:p>
    <w:p w14:paraId="745DD006" w14:textId="77777777" w:rsidR="00C83AC9" w:rsidRDefault="00C83AC9" w:rsidP="00FE0943">
      <w:pPr>
        <w:pStyle w:val="BodyText"/>
        <w:rPr>
          <w:lang w:eastAsia="en-AU"/>
        </w:rPr>
      </w:pPr>
      <w:r>
        <w:rPr>
          <w:lang w:eastAsia="en-AU"/>
        </w:rPr>
        <w:t>Surrounding information</w:t>
      </w:r>
      <w:r w:rsidR="00E85EC8">
        <w:rPr>
          <w:lang w:eastAsia="en-AU"/>
        </w:rPr>
        <w:t xml:space="preserve"> in the </w:t>
      </w:r>
      <w:r>
        <w:rPr>
          <w:lang w:eastAsia="en-AU"/>
        </w:rPr>
        <w:t>2013 instrument identifies that:</w:t>
      </w:r>
    </w:p>
    <w:p w14:paraId="1431E1AF" w14:textId="11458248" w:rsidR="00C83AC9" w:rsidRDefault="00007959" w:rsidP="00007959">
      <w:pPr>
        <w:pStyle w:val="Quote"/>
        <w:rPr>
          <w:lang w:eastAsia="en-AU"/>
        </w:rPr>
      </w:pPr>
      <w:r>
        <w:rPr>
          <w:lang w:eastAsia="en-AU"/>
        </w:rPr>
        <w:t>The amount set by the Pricing Direction for licences in the 1800 MHz band is $0.23/MHz/Pop, based on a 15-year licence period. However, the licences to which this Determination relates will be reissued for a shorter duration of 13 years and 45 days, in order to align their expiry date with that of the Tranche 1 re-issued spectrum licences (17 June 2028).</w:t>
      </w:r>
    </w:p>
    <w:p w14:paraId="35E855F9" w14:textId="77777777" w:rsidR="00DD1B20" w:rsidRDefault="00740991" w:rsidP="00FE0943">
      <w:pPr>
        <w:pStyle w:val="BodyText"/>
        <w:rPr>
          <w:lang w:eastAsia="en-AU"/>
        </w:rPr>
      </w:pPr>
      <w:r>
        <w:rPr>
          <w:lang w:eastAsia="en-AU"/>
        </w:rPr>
        <w:t>This makes clear that the purpose of the formula is to calculate a shorter duration licence from a longer duration</w:t>
      </w:r>
      <w:r w:rsidR="008F3B08">
        <w:rPr>
          <w:lang w:eastAsia="en-AU"/>
        </w:rPr>
        <w:t>, but that the licences should commence immediately</w:t>
      </w:r>
      <w:r w:rsidR="003342F2">
        <w:rPr>
          <w:lang w:eastAsia="en-AU"/>
        </w:rPr>
        <w:t>.</w:t>
      </w:r>
      <w:r w:rsidR="00AF5F8A">
        <w:rPr>
          <w:lang w:eastAsia="en-AU"/>
        </w:rPr>
        <w:t xml:space="preserve"> </w:t>
      </w:r>
    </w:p>
    <w:p w14:paraId="6F817770" w14:textId="4110C8E8" w:rsidR="001E493A" w:rsidRDefault="009701DE" w:rsidP="00FE0943">
      <w:pPr>
        <w:pStyle w:val="BodyText"/>
        <w:rPr>
          <w:lang w:eastAsia="en-AU"/>
        </w:rPr>
      </w:pPr>
      <w:r>
        <w:rPr>
          <w:lang w:eastAsia="en-AU"/>
        </w:rPr>
        <w:t>For completeness, it is useful to highlight</w:t>
      </w:r>
      <w:r w:rsidR="00DD1B20">
        <w:rPr>
          <w:lang w:eastAsia="en-AU"/>
        </w:rPr>
        <w:t xml:space="preserve"> that the formula is different from that</w:t>
      </w:r>
      <w:r w:rsidR="00AF5F8A">
        <w:rPr>
          <w:lang w:eastAsia="en-AU"/>
        </w:rPr>
        <w:t xml:space="preserve"> </w:t>
      </w:r>
      <w:r w:rsidR="00272826">
        <w:rPr>
          <w:lang w:eastAsia="en-AU"/>
        </w:rPr>
        <w:t xml:space="preserve">which </w:t>
      </w:r>
      <w:r w:rsidR="00771651">
        <w:rPr>
          <w:lang w:eastAsia="en-AU"/>
        </w:rPr>
        <w:t xml:space="preserve">would be relevant to </w:t>
      </w:r>
      <w:r w:rsidR="00272826">
        <w:rPr>
          <w:lang w:eastAsia="en-AU"/>
        </w:rPr>
        <w:t>a licence purchaser</w:t>
      </w:r>
      <w:r w:rsidR="00771651">
        <w:rPr>
          <w:lang w:eastAsia="en-AU"/>
        </w:rPr>
        <w:t xml:space="preserve"> </w:t>
      </w:r>
      <w:r w:rsidR="00272826">
        <w:rPr>
          <w:lang w:eastAsia="en-AU"/>
        </w:rPr>
        <w:t>that sought to acquire a licence</w:t>
      </w:r>
      <w:r w:rsidR="00771651">
        <w:rPr>
          <w:lang w:eastAsia="en-AU"/>
        </w:rPr>
        <w:t xml:space="preserve"> </w:t>
      </w:r>
      <w:r w:rsidR="0069340F">
        <w:rPr>
          <w:lang w:eastAsia="en-AU"/>
        </w:rPr>
        <w:t xml:space="preserve">part way into the </w:t>
      </w:r>
      <w:r w:rsidR="00771651">
        <w:rPr>
          <w:lang w:eastAsia="en-AU"/>
        </w:rPr>
        <w:t>period</w:t>
      </w:r>
      <w:r w:rsidR="00A95078">
        <w:rPr>
          <w:lang w:eastAsia="en-AU"/>
        </w:rPr>
        <w:t xml:space="preserve"> – </w:t>
      </w:r>
      <w:r w:rsidR="00203E66">
        <w:rPr>
          <w:lang w:eastAsia="en-AU"/>
        </w:rPr>
        <w:t>for example</w:t>
      </w:r>
      <w:r w:rsidR="00A95078">
        <w:rPr>
          <w:lang w:eastAsia="en-AU"/>
        </w:rPr>
        <w:t>, 1.88 years into the 15</w:t>
      </w:r>
      <w:r w:rsidR="00CD561A">
        <w:rPr>
          <w:lang w:eastAsia="en-AU"/>
        </w:rPr>
        <w:t>-</w:t>
      </w:r>
      <w:r w:rsidR="00A95078">
        <w:rPr>
          <w:lang w:eastAsia="en-AU"/>
        </w:rPr>
        <w:t xml:space="preserve">year licence period. As highlighted in the calculations above, the value </w:t>
      </w:r>
      <w:r w:rsidR="00AA77F0">
        <w:rPr>
          <w:lang w:eastAsia="en-AU"/>
        </w:rPr>
        <w:t>for a full 13 years from</w:t>
      </w:r>
      <w:r w:rsidR="00C864C7">
        <w:rPr>
          <w:lang w:eastAsia="en-AU"/>
        </w:rPr>
        <w:t xml:space="preserve"> the start of year 3 would be $0.</w:t>
      </w:r>
      <w:r w:rsidR="0094769B">
        <w:rPr>
          <w:lang w:eastAsia="en-AU"/>
        </w:rPr>
        <w:t>2</w:t>
      </w:r>
      <w:r w:rsidR="008B0859">
        <w:rPr>
          <w:lang w:eastAsia="en-AU"/>
        </w:rPr>
        <w:t>199</w:t>
      </w:r>
      <w:r w:rsidR="00482BD8">
        <w:rPr>
          <w:lang w:eastAsia="en-AU"/>
        </w:rPr>
        <w:t>, and</w:t>
      </w:r>
      <w:r w:rsidR="0094769B">
        <w:rPr>
          <w:lang w:eastAsia="en-AU"/>
        </w:rPr>
        <w:t xml:space="preserve"> </w:t>
      </w:r>
      <w:r w:rsidR="00B94982">
        <w:rPr>
          <w:lang w:eastAsia="en-AU"/>
        </w:rPr>
        <w:t>the value of the additional 0.12 years would be a small increment to that</w:t>
      </w:r>
      <w:r w:rsidR="0001490E">
        <w:rPr>
          <w:lang w:eastAsia="en-AU"/>
        </w:rPr>
        <w:t>, and we obtain a total value using the same formula as outline</w:t>
      </w:r>
      <w:r w:rsidR="00E9129F">
        <w:rPr>
          <w:lang w:eastAsia="en-AU"/>
        </w:rPr>
        <w:t>d</w:t>
      </w:r>
      <w:r w:rsidR="0001490E">
        <w:rPr>
          <w:lang w:eastAsia="en-AU"/>
        </w:rPr>
        <w:t xml:space="preserve"> below of </w:t>
      </w:r>
      <w:r w:rsidR="005A1975">
        <w:rPr>
          <w:lang w:eastAsia="en-AU"/>
        </w:rPr>
        <w:t>$0.</w:t>
      </w:r>
      <w:r w:rsidR="00631C39">
        <w:rPr>
          <w:lang w:eastAsia="en-AU"/>
        </w:rPr>
        <w:t>220</w:t>
      </w:r>
      <w:r w:rsidR="00F95E71">
        <w:rPr>
          <w:lang w:eastAsia="en-AU"/>
        </w:rPr>
        <w:t>7</w:t>
      </w:r>
      <w:r w:rsidR="00B94982">
        <w:rPr>
          <w:lang w:eastAsia="en-AU"/>
        </w:rPr>
        <w:t>.</w:t>
      </w:r>
      <w:r w:rsidR="00A622C3">
        <w:rPr>
          <w:lang w:eastAsia="en-AU"/>
        </w:rPr>
        <w:t xml:space="preserve"> </w:t>
      </w:r>
      <w:r w:rsidR="00FC206E">
        <w:rPr>
          <w:lang w:eastAsia="en-AU"/>
        </w:rPr>
        <w:t xml:space="preserve">A close approximation to this </w:t>
      </w:r>
      <w:r w:rsidR="00A622C3">
        <w:rPr>
          <w:lang w:eastAsia="en-AU"/>
        </w:rPr>
        <w:t xml:space="preserve">value can also be obtained by taking the value from the </w:t>
      </w:r>
      <w:r w:rsidR="003D79BD">
        <w:rPr>
          <w:lang w:eastAsia="en-AU"/>
        </w:rPr>
        <w:t xml:space="preserve">ACMA </w:t>
      </w:r>
      <w:r w:rsidR="00A622C3">
        <w:rPr>
          <w:lang w:eastAsia="en-AU"/>
        </w:rPr>
        <w:t>formula</w:t>
      </w:r>
      <w:r w:rsidR="00072DA1">
        <w:rPr>
          <w:lang w:eastAsia="en-AU"/>
        </w:rPr>
        <w:t xml:space="preserve"> </w:t>
      </w:r>
      <w:r w:rsidR="004F4C2F">
        <w:rPr>
          <w:lang w:eastAsia="en-AU"/>
        </w:rPr>
        <w:t>($0.</w:t>
      </w:r>
      <w:r w:rsidR="001417C6">
        <w:rPr>
          <w:lang w:eastAsia="en-AU"/>
        </w:rPr>
        <w:t>2</w:t>
      </w:r>
      <w:r w:rsidR="0087733E">
        <w:rPr>
          <w:lang w:eastAsia="en-AU"/>
        </w:rPr>
        <w:t>1</w:t>
      </w:r>
      <w:r w:rsidR="001417C6">
        <w:rPr>
          <w:lang w:eastAsia="en-AU"/>
        </w:rPr>
        <w:t>06</w:t>
      </w:r>
      <w:r w:rsidR="004F4C2F">
        <w:rPr>
          <w:lang w:eastAsia="en-AU"/>
        </w:rPr>
        <w:t>)</w:t>
      </w:r>
      <w:r w:rsidR="00072DA1">
        <w:rPr>
          <w:lang w:eastAsia="en-AU"/>
        </w:rPr>
        <w:t xml:space="preserve"> and multiplying it by</w:t>
      </w:r>
      <w:r w:rsidR="00CD561A">
        <w:rPr>
          <w:lang w:eastAsia="en-AU"/>
        </w:rPr>
        <w:t xml:space="preserve"> </w:t>
      </w:r>
      <m:oMath>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1+2.5%</m:t>
                </m:r>
              </m:e>
            </m:d>
          </m:e>
          <m:sup>
            <m:r>
              <w:rPr>
                <w:rFonts w:ascii="Cambria Math" w:hAnsi="Cambria Math"/>
                <w:lang w:eastAsia="en-AU"/>
              </w:rPr>
              <m:t>1.88</m:t>
            </m:r>
          </m:sup>
        </m:sSup>
      </m:oMath>
      <w:r w:rsidR="005D01F2">
        <w:rPr>
          <w:lang w:eastAsia="en-AU"/>
        </w:rPr>
        <w:t>, which brings the value forward</w:t>
      </w:r>
      <w:r w:rsidR="00455433">
        <w:rPr>
          <w:lang w:eastAsia="en-AU"/>
        </w:rPr>
        <w:t>.</w:t>
      </w:r>
    </w:p>
    <w:p w14:paraId="2F062D5C" w14:textId="77777777" w:rsidR="00295D39" w:rsidRPr="00295D39" w:rsidRDefault="00295D39" w:rsidP="00295D39">
      <w:pPr>
        <w:pStyle w:val="Heading4"/>
        <w:rPr>
          <w:rFonts w:eastAsiaTheme="minorEastAsia"/>
        </w:rPr>
      </w:pPr>
      <w:r w:rsidRPr="00295D39">
        <w:rPr>
          <w:rFonts w:eastAsiaTheme="minorEastAsia"/>
        </w:rPr>
        <w:t>700MHz proposals – draft Ministerial direction</w:t>
      </w:r>
    </w:p>
    <w:p w14:paraId="1B06F9B7" w14:textId="09C778C4" w:rsidR="00295D39" w:rsidRPr="00295D39" w:rsidRDefault="00295D39" w:rsidP="00295D39">
      <w:pPr>
        <w:pStyle w:val="BodyText"/>
        <w:rPr>
          <w:lang w:eastAsia="en-AU"/>
        </w:rPr>
      </w:pPr>
      <w:r>
        <w:rPr>
          <w:lang w:eastAsia="en-AU"/>
        </w:rPr>
        <w:t xml:space="preserve">The ACMA has also made us aware of a </w:t>
      </w:r>
      <w:r w:rsidRPr="00295D39">
        <w:rPr>
          <w:lang w:eastAsia="en-AU"/>
        </w:rPr>
        <w:t xml:space="preserve">2016 </w:t>
      </w:r>
      <w:r w:rsidR="00314ECD">
        <w:rPr>
          <w:lang w:eastAsia="en-AU"/>
        </w:rPr>
        <w:t xml:space="preserve">document released by </w:t>
      </w:r>
      <w:r w:rsidRPr="00295D39">
        <w:rPr>
          <w:lang w:eastAsia="en-AU"/>
        </w:rPr>
        <w:t>the Department with proposed calculations for the valuation of residual 700MHz spectrum.</w:t>
      </w:r>
      <w:r w:rsidRPr="00295D39">
        <w:rPr>
          <w:vertAlign w:val="superscript"/>
          <w:lang w:eastAsia="en-AU"/>
        </w:rPr>
        <w:footnoteReference w:id="3"/>
      </w:r>
      <w:r w:rsidRPr="00295D39">
        <w:rPr>
          <w:lang w:eastAsia="en-AU"/>
        </w:rPr>
        <w:t xml:space="preserve"> </w:t>
      </w:r>
      <w:r w:rsidR="004E05D3">
        <w:rPr>
          <w:lang w:eastAsia="en-AU"/>
        </w:rPr>
        <w:t xml:space="preserve">The </w:t>
      </w:r>
      <w:r w:rsidR="00A723ED">
        <w:rPr>
          <w:lang w:eastAsia="en-AU"/>
        </w:rPr>
        <w:t>following calculations are said to be based on the 2014 ACMA model.</w:t>
      </w:r>
    </w:p>
    <w:p w14:paraId="75A6AC68" w14:textId="09BDFCC8" w:rsidR="00295D39" w:rsidRPr="00295D39" w:rsidRDefault="00295D39" w:rsidP="001C4F55">
      <w:pPr>
        <w:pStyle w:val="Caption"/>
        <w:keepNext/>
        <w:rPr>
          <w:lang w:eastAsia="en-AU"/>
        </w:rPr>
      </w:pPr>
      <w:bookmarkStart w:id="11" w:name="_Toc170474043"/>
      <w:r w:rsidRPr="00295D39">
        <w:rPr>
          <w:lang w:eastAsia="en-AU"/>
        </w:rPr>
        <w:t xml:space="preserve">Figure </w:t>
      </w:r>
      <w:r w:rsidRPr="00295D39">
        <w:rPr>
          <w:lang w:eastAsia="en-AU"/>
        </w:rPr>
        <w:fldChar w:fldCharType="begin"/>
      </w:r>
      <w:r w:rsidRPr="00295D39">
        <w:rPr>
          <w:lang w:eastAsia="en-AU"/>
        </w:rPr>
        <w:instrText xml:space="preserve"> SEQ Figure \* ARABIC </w:instrText>
      </w:r>
      <w:r w:rsidRPr="00295D39">
        <w:rPr>
          <w:lang w:eastAsia="en-AU"/>
        </w:rPr>
        <w:fldChar w:fldCharType="separate"/>
      </w:r>
      <w:r w:rsidR="00290E80">
        <w:rPr>
          <w:noProof/>
          <w:lang w:eastAsia="en-AU"/>
        </w:rPr>
        <w:t>2</w:t>
      </w:r>
      <w:r w:rsidRPr="00295D39">
        <w:rPr>
          <w:lang w:eastAsia="en-AU"/>
        </w:rPr>
        <w:fldChar w:fldCharType="end"/>
      </w:r>
      <w:r w:rsidRPr="00295D39">
        <w:rPr>
          <w:lang w:eastAsia="en-AU"/>
        </w:rPr>
        <w:t>: Additional information – 700MHz spectrum</w:t>
      </w:r>
      <w:bookmarkEnd w:id="11"/>
    </w:p>
    <w:p w14:paraId="16310433" w14:textId="77777777" w:rsidR="00295D39" w:rsidRPr="00295D39" w:rsidRDefault="00295D39" w:rsidP="00295D39">
      <w:pPr>
        <w:pStyle w:val="BodyText"/>
        <w:rPr>
          <w:lang w:eastAsia="en-AU"/>
        </w:rPr>
      </w:pPr>
      <w:r w:rsidRPr="00295D39">
        <w:rPr>
          <w:noProof/>
          <w:lang w:eastAsia="en-AU"/>
        </w:rPr>
        <w:drawing>
          <wp:inline distT="0" distB="0" distL="0" distR="0" wp14:anchorId="19D7A57C" wp14:editId="00F43FAC">
            <wp:extent cx="5095912" cy="2009790"/>
            <wp:effectExtent l="0" t="0" r="0" b="9525"/>
            <wp:docPr id="294724235" name="Picture 29472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24235" name=""/>
                    <pic:cNvPicPr/>
                  </pic:nvPicPr>
                  <pic:blipFill>
                    <a:blip r:embed="rId26"/>
                    <a:stretch>
                      <a:fillRect/>
                    </a:stretch>
                  </pic:blipFill>
                  <pic:spPr>
                    <a:xfrm>
                      <a:off x="0" y="0"/>
                      <a:ext cx="5095912" cy="2009790"/>
                    </a:xfrm>
                    <a:prstGeom prst="rect">
                      <a:avLst/>
                    </a:prstGeom>
                  </pic:spPr>
                </pic:pic>
              </a:graphicData>
            </a:graphic>
          </wp:inline>
        </w:drawing>
      </w:r>
    </w:p>
    <w:p w14:paraId="717ADA16" w14:textId="35009F30" w:rsidR="00295D39" w:rsidRPr="00295D39" w:rsidRDefault="00295D39" w:rsidP="007B7E4E">
      <w:pPr>
        <w:pStyle w:val="Source"/>
      </w:pPr>
      <w:r w:rsidRPr="00295D39">
        <w:t xml:space="preserve">Source: </w:t>
      </w:r>
      <w:r w:rsidR="00FF6A6F">
        <w:t>Department of Communications, 2016</w:t>
      </w:r>
      <w:r w:rsidR="00BD1F4D">
        <w:t>.</w:t>
      </w:r>
    </w:p>
    <w:p w14:paraId="0B70B710" w14:textId="19AC4EBB" w:rsidR="00A723ED" w:rsidRDefault="00A723ED" w:rsidP="00A723ED">
      <w:pPr>
        <w:pStyle w:val="BodyText"/>
        <w:rPr>
          <w:lang w:eastAsia="en-AU"/>
        </w:rPr>
      </w:pPr>
      <w:r>
        <w:rPr>
          <w:lang w:eastAsia="en-AU"/>
        </w:rPr>
        <w:t xml:space="preserve">Putting the relevant inputs into the ACMA model suggests that it is consistent with </w:t>
      </w:r>
      <w:r w:rsidRPr="00295D39">
        <w:rPr>
          <w:lang w:eastAsia="en-AU"/>
        </w:rPr>
        <w:t>Approach A. However,</w:t>
      </w:r>
      <w:r w:rsidR="00600677">
        <w:rPr>
          <w:lang w:eastAsia="en-AU"/>
        </w:rPr>
        <w:t xml:space="preserve"> this produces a value that is too low for the investor that seeks to purchase a licence commencing after 3.24579 years</w:t>
      </w:r>
      <w:r w:rsidR="0081540D">
        <w:rPr>
          <w:lang w:eastAsia="en-AU"/>
        </w:rPr>
        <w:t xml:space="preserve"> with a remaining life of 11.75421 years</w:t>
      </w:r>
      <w:r w:rsidR="00600677">
        <w:rPr>
          <w:lang w:eastAsia="en-AU"/>
        </w:rPr>
        <w:t>.</w:t>
      </w:r>
    </w:p>
    <w:p w14:paraId="19A2E2FE" w14:textId="55D9011D" w:rsidR="00057724" w:rsidRDefault="00363847" w:rsidP="00A723ED">
      <w:pPr>
        <w:pStyle w:val="BodyText"/>
        <w:rPr>
          <w:lang w:eastAsia="en-AU"/>
        </w:rPr>
      </w:pPr>
      <w:r>
        <w:rPr>
          <w:lang w:eastAsia="en-AU"/>
        </w:rPr>
        <w:t>We</w:t>
      </w:r>
      <w:r w:rsidR="00A408BF">
        <w:rPr>
          <w:lang w:eastAsia="en-AU"/>
        </w:rPr>
        <w:t xml:space="preserve"> can also use this example to highlight the changes to licence value to adjust for </w:t>
      </w:r>
      <w:r>
        <w:rPr>
          <w:lang w:eastAsia="en-AU"/>
        </w:rPr>
        <w:t xml:space="preserve">part years. The first </w:t>
      </w:r>
      <w:r w:rsidR="00A408BF">
        <w:rPr>
          <w:lang w:eastAsia="en-AU"/>
        </w:rPr>
        <w:t xml:space="preserve">adjustment is to the </w:t>
      </w:r>
      <w:r>
        <w:rPr>
          <w:lang w:eastAsia="en-AU"/>
        </w:rPr>
        <w:t xml:space="preserve">cash flow for the </w:t>
      </w:r>
      <w:proofErr w:type="spellStart"/>
      <w:r>
        <w:rPr>
          <w:lang w:eastAsia="en-AU"/>
        </w:rPr>
        <w:t>part</w:t>
      </w:r>
      <w:proofErr w:type="spellEnd"/>
      <w:r>
        <w:rPr>
          <w:lang w:eastAsia="en-AU"/>
        </w:rPr>
        <w:t xml:space="preserve"> year. The second is to adjust the WACC, reflecting that while a part-year cash</w:t>
      </w:r>
      <w:r w:rsidR="0022475A">
        <w:rPr>
          <w:lang w:eastAsia="en-AU"/>
        </w:rPr>
        <w:t xml:space="preserve"> </w:t>
      </w:r>
      <w:r>
        <w:rPr>
          <w:lang w:eastAsia="en-AU"/>
        </w:rPr>
        <w:t>flow is earned, it is also earned within that part year.</w:t>
      </w:r>
    </w:p>
    <w:p w14:paraId="15369485" w14:textId="78D49F98" w:rsidR="00D4546B" w:rsidRDefault="00D4546B" w:rsidP="00A723ED">
      <w:pPr>
        <w:pStyle w:val="BodyText"/>
        <w:rPr>
          <w:lang w:eastAsia="en-AU"/>
        </w:rPr>
      </w:pPr>
      <w:r>
        <w:rPr>
          <w:lang w:eastAsia="en-AU"/>
        </w:rPr>
        <w:t xml:space="preserve">To take the </w:t>
      </w:r>
      <w:r w:rsidR="00E67BE5">
        <w:rPr>
          <w:lang w:eastAsia="en-AU"/>
        </w:rPr>
        <w:t>figures for the 700 MHz as an example</w:t>
      </w:r>
      <w:r w:rsidR="00E71551">
        <w:rPr>
          <w:lang w:eastAsia="en-AU"/>
        </w:rPr>
        <w:t>, where a licence would commence in the fourth year (A</w:t>
      </w:r>
      <w:r w:rsidR="00E71551" w:rsidRPr="00E71551">
        <w:rPr>
          <w:vertAlign w:val="subscript"/>
          <w:lang w:eastAsia="en-AU"/>
        </w:rPr>
        <w:t>4</w:t>
      </w:r>
      <w:r w:rsidR="00E71551">
        <w:rPr>
          <w:lang w:eastAsia="en-AU"/>
        </w:rPr>
        <w:t>)</w:t>
      </w:r>
      <w:r w:rsidR="00C56A2C">
        <w:rPr>
          <w:lang w:eastAsia="en-AU"/>
        </w:rPr>
        <w:t>:</w:t>
      </w:r>
    </w:p>
    <w:p w14:paraId="5018B2BA" w14:textId="36E2AAEF" w:rsidR="00A74CC1" w:rsidRPr="00D50A87" w:rsidRDefault="00C56A2C" w:rsidP="00A74CC1">
      <w:pPr>
        <w:pStyle w:val="BodyText"/>
        <w:jc w:val="center"/>
        <w:rPr>
          <w:rFonts w:eastAsiaTheme="minorEastAsia"/>
          <w:lang w:eastAsia="en-AU"/>
        </w:rPr>
      </w:pPr>
      <w:r>
        <w:rPr>
          <w:lang w:eastAsia="en-AU"/>
        </w:rPr>
        <w:lastRenderedPageBreak/>
        <w:t>The f</w:t>
      </w:r>
      <w:r w:rsidR="00A74CC1" w:rsidRPr="00A74CC1">
        <w:rPr>
          <w:lang w:eastAsia="en-AU"/>
        </w:rPr>
        <w:t>irst cash</w:t>
      </w:r>
      <w:r w:rsidR="0022475A">
        <w:rPr>
          <w:lang w:eastAsia="en-AU"/>
        </w:rPr>
        <w:t xml:space="preserve"> </w:t>
      </w:r>
      <w:r w:rsidR="00A74CC1" w:rsidRPr="00A74CC1">
        <w:rPr>
          <w:lang w:eastAsia="en-AU"/>
        </w:rPr>
        <w:t xml:space="preserve">flow is </w:t>
      </w:r>
      <m:oMath>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4</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0.754 × A</m:t>
            </m:r>
          </m:e>
          <m:sub>
            <m:r>
              <w:rPr>
                <w:rFonts w:ascii="Cambria Math" w:hAnsi="Cambria Math"/>
                <w:lang w:eastAsia="en-AU"/>
              </w:rPr>
              <m:t>1</m:t>
            </m:r>
          </m:sub>
        </m:sSub>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1+t</m:t>
                </m:r>
              </m:e>
            </m:d>
          </m:e>
          <m:sup>
            <m:r>
              <w:rPr>
                <w:rFonts w:ascii="Cambria Math" w:hAnsi="Cambria Math"/>
                <w:lang w:eastAsia="en-AU"/>
              </w:rPr>
              <m:t>3</m:t>
            </m:r>
          </m:sup>
        </m:sSup>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then A</m:t>
            </m:r>
          </m:e>
          <m:sub>
            <m:r>
              <w:rPr>
                <w:rFonts w:ascii="Cambria Math" w:hAnsi="Cambria Math"/>
                <w:lang w:eastAsia="en-AU"/>
              </w:rPr>
              <m:t>5</m:t>
            </m:r>
          </m:sub>
        </m:sSub>
        <m:r>
          <w:rPr>
            <w:rFonts w:ascii="Cambria Math" w:eastAsiaTheme="minorEastAsia" w:hAnsi="Cambria Math"/>
            <w:lang w:eastAsia="en-AU"/>
          </w:rPr>
          <m:t>=</m:t>
        </m:r>
        <m:sSub>
          <m:sSubPr>
            <m:ctrlPr>
              <w:rPr>
                <w:rFonts w:ascii="Cambria Math" w:eastAsiaTheme="minorEastAsia" w:hAnsi="Cambria Math"/>
                <w:i/>
                <w:lang w:eastAsia="en-AU"/>
              </w:rPr>
            </m:ctrlPr>
          </m:sSubPr>
          <m:e>
            <m:r>
              <w:rPr>
                <w:rFonts w:ascii="Cambria Math" w:eastAsiaTheme="minorEastAsia" w:hAnsi="Cambria Math"/>
                <w:lang w:eastAsia="en-AU"/>
              </w:rPr>
              <m:t>A</m:t>
            </m:r>
          </m:e>
          <m:sub>
            <m:r>
              <w:rPr>
                <w:rFonts w:ascii="Cambria Math" w:eastAsiaTheme="minorEastAsia" w:hAnsi="Cambria Math"/>
                <w:lang w:eastAsia="en-AU"/>
              </w:rPr>
              <m:t>1</m:t>
            </m:r>
          </m:sub>
        </m:sSub>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
                  <w:rPr>
                    <w:rFonts w:ascii="Cambria Math" w:eastAsiaTheme="minorEastAsia" w:hAnsi="Cambria Math"/>
                    <w:lang w:eastAsia="en-AU"/>
                  </w:rPr>
                  <m:t>1+t</m:t>
                </m:r>
              </m:e>
            </m:d>
          </m:e>
          <m:sup>
            <m:r>
              <w:rPr>
                <w:rFonts w:ascii="Cambria Math" w:eastAsiaTheme="minorEastAsia" w:hAnsi="Cambria Math"/>
                <w:lang w:eastAsia="en-AU"/>
              </w:rPr>
              <m:t>4</m:t>
            </m:r>
          </m:sup>
        </m:sSup>
      </m:oMath>
    </w:p>
    <w:p w14:paraId="5E8D7AA3" w14:textId="493D441F" w:rsidR="00A74CC1" w:rsidRPr="00A74CC1" w:rsidRDefault="00724FCE" w:rsidP="00A74CC1">
      <w:pPr>
        <w:pStyle w:val="BodyText"/>
        <w:rPr>
          <w:lang w:eastAsia="en-AU"/>
        </w:rPr>
      </w:pPr>
      <m:oMathPara>
        <m:oMath>
          <m:acc>
            <m:accPr>
              <m:ctrlPr>
                <w:rPr>
                  <w:rFonts w:ascii="Cambria Math" w:hAnsi="Cambria Math"/>
                  <w:i/>
                  <w:lang w:eastAsia="en-AU"/>
                </w:rPr>
              </m:ctrlPr>
            </m:accPr>
            <m:e>
              <m:r>
                <w:rPr>
                  <w:rFonts w:ascii="Cambria Math" w:hAnsi="Cambria Math"/>
                  <w:lang w:eastAsia="en-AU"/>
                </w:rPr>
                <m:t>Z</m:t>
              </m:r>
            </m:e>
          </m:acc>
          <m:r>
            <w:rPr>
              <w:rFonts w:ascii="Cambria Math" w:hAnsi="Cambria Math"/>
              <w:lang w:eastAsia="en-AU"/>
            </w:rPr>
            <m:t>=</m:t>
          </m:r>
          <m:f>
            <m:fPr>
              <m:ctrlPr>
                <w:rPr>
                  <w:rFonts w:ascii="Cambria Math" w:hAnsi="Cambria Math"/>
                  <w:i/>
                  <w:lang w:eastAsia="en-AU"/>
                </w:rPr>
              </m:ctrlPr>
            </m:fPr>
            <m:num>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4</m:t>
                  </m:r>
                </m:sub>
              </m:sSub>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1+r</m:t>
                      </m:r>
                    </m:e>
                  </m:d>
                </m:e>
                <m:sup>
                  <m:r>
                    <w:rPr>
                      <w:rFonts w:ascii="Cambria Math" w:hAnsi="Cambria Math"/>
                      <w:lang w:eastAsia="en-AU"/>
                    </w:rPr>
                    <m:t>0.754</m:t>
                  </m:r>
                </m:sup>
              </m:sSup>
            </m:den>
          </m:f>
          <m:r>
            <w:rPr>
              <w:rFonts w:ascii="Cambria Math" w:hAnsi="Cambria Math"/>
              <w:lang w:eastAsia="en-AU"/>
            </w:rPr>
            <m:t>+</m:t>
          </m:r>
          <m:f>
            <m:fPr>
              <m:ctrlPr>
                <w:rPr>
                  <w:rFonts w:ascii="Cambria Math" w:hAnsi="Cambria Math"/>
                  <w:i/>
                  <w:lang w:eastAsia="en-AU"/>
                </w:rPr>
              </m:ctrlPr>
            </m:fPr>
            <m:num>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5</m:t>
                  </m:r>
                </m:sub>
              </m:sSub>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1+r</m:t>
                      </m:r>
                    </m:e>
                  </m:d>
                </m:e>
                <m:sup>
                  <m:r>
                    <w:rPr>
                      <w:rFonts w:ascii="Cambria Math" w:hAnsi="Cambria Math"/>
                      <w:lang w:eastAsia="en-AU"/>
                    </w:rPr>
                    <m:t>1.754</m:t>
                  </m:r>
                </m:sup>
              </m:sSup>
            </m:den>
          </m:f>
          <m:r>
            <w:rPr>
              <w:rFonts w:ascii="Cambria Math" w:hAnsi="Cambria Math"/>
              <w:lang w:eastAsia="en-AU"/>
            </w:rPr>
            <m:t>+…+</m:t>
          </m:r>
          <m:f>
            <m:fPr>
              <m:ctrlPr>
                <w:rPr>
                  <w:rFonts w:ascii="Cambria Math" w:hAnsi="Cambria Math"/>
                  <w:i/>
                  <w:lang w:eastAsia="en-AU"/>
                </w:rPr>
              </m:ctrlPr>
            </m:fPr>
            <m:num>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5</m:t>
                  </m:r>
                </m:sub>
              </m:sSub>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1+t</m:t>
                      </m:r>
                    </m:e>
                  </m:d>
                </m:e>
                <m:sup>
                  <m:r>
                    <w:rPr>
                      <w:rFonts w:ascii="Cambria Math" w:hAnsi="Cambria Math"/>
                      <w:lang w:eastAsia="en-AU"/>
                    </w:rPr>
                    <m:t>10</m:t>
                  </m:r>
                </m:sup>
              </m:sSup>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1+r</m:t>
                      </m:r>
                    </m:e>
                  </m:d>
                </m:e>
                <m:sup>
                  <m:r>
                    <w:rPr>
                      <w:rFonts w:ascii="Cambria Math" w:hAnsi="Cambria Math"/>
                      <w:lang w:eastAsia="en-AU"/>
                    </w:rPr>
                    <m:t>11.754</m:t>
                  </m:r>
                </m:sup>
              </m:sSup>
            </m:den>
          </m:f>
        </m:oMath>
      </m:oMathPara>
    </w:p>
    <w:p w14:paraId="74A69CB9" w14:textId="00D96687" w:rsidR="00A74CC1" w:rsidRPr="00A74CC1" w:rsidRDefault="00724FCE" w:rsidP="00A74CC1">
      <w:pPr>
        <w:pStyle w:val="BodyText"/>
        <w:rPr>
          <w:lang w:eastAsia="en-AU"/>
        </w:rPr>
      </w:pPr>
      <m:oMathPara>
        <m:oMath>
          <m:acc>
            <m:accPr>
              <m:ctrlPr>
                <w:rPr>
                  <w:rFonts w:ascii="Cambria Math" w:hAnsi="Cambria Math"/>
                  <w:i/>
                  <w:lang w:eastAsia="en-AU"/>
                </w:rPr>
              </m:ctrlPr>
            </m:accPr>
            <m:e>
              <m:r>
                <w:rPr>
                  <w:rFonts w:ascii="Cambria Math" w:hAnsi="Cambria Math"/>
                  <w:lang w:eastAsia="en-AU"/>
                </w:rPr>
                <m:t>Z</m:t>
              </m:r>
            </m:e>
          </m:acc>
          <m:r>
            <w:rPr>
              <w:rFonts w:ascii="Cambria Math" w:hAnsi="Cambria Math"/>
              <w:lang w:eastAsia="en-AU"/>
            </w:rPr>
            <m:t>=</m:t>
          </m:r>
          <m:f>
            <m:fPr>
              <m:ctrlPr>
                <w:rPr>
                  <w:rFonts w:ascii="Cambria Math" w:hAnsi="Cambria Math"/>
                  <w:i/>
                  <w:lang w:eastAsia="en-AU"/>
                </w:rPr>
              </m:ctrlPr>
            </m:fPr>
            <m:num>
              <m:r>
                <w:rPr>
                  <w:rFonts w:ascii="Cambria Math" w:hAnsi="Cambria Math"/>
                  <w:lang w:eastAsia="en-AU"/>
                </w:rPr>
                <m:t>0.754 x 0.152</m:t>
              </m:r>
            </m:num>
            <m:den>
              <m:r>
                <w:rPr>
                  <w:rFonts w:ascii="Cambria Math" w:hAnsi="Cambria Math"/>
                  <w:lang w:eastAsia="en-AU"/>
                </w:rPr>
                <m:t>1.063</m:t>
              </m:r>
            </m:den>
          </m:f>
          <m:r>
            <w:rPr>
              <w:rFonts w:ascii="Cambria Math" w:hAnsi="Cambria Math"/>
              <w:lang w:eastAsia="en-AU"/>
            </w:rPr>
            <m:t>+0.156</m:t>
          </m:r>
          <m:d>
            <m:dPr>
              <m:begChr m:val="["/>
              <m:endChr m:val="]"/>
              <m:ctrlPr>
                <w:rPr>
                  <w:rFonts w:ascii="Cambria Math" w:hAnsi="Cambria Math"/>
                  <w:i/>
                  <w:lang w:eastAsia="en-AU"/>
                </w:rPr>
              </m:ctrlPr>
            </m:dPr>
            <m:e>
              <m:f>
                <m:fPr>
                  <m:ctrlPr>
                    <w:rPr>
                      <w:rFonts w:ascii="Cambria Math" w:hAnsi="Cambria Math"/>
                      <w:i/>
                      <w:lang w:eastAsia="en-AU"/>
                    </w:rPr>
                  </m:ctrlPr>
                </m:fPr>
                <m:num>
                  <m:r>
                    <w:rPr>
                      <w:rFonts w:ascii="Cambria Math" w:hAnsi="Cambria Math"/>
                      <w:lang w:eastAsia="en-AU"/>
                    </w:rPr>
                    <m:t>1</m:t>
                  </m:r>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1+8.4%</m:t>
                          </m:r>
                        </m:e>
                      </m:d>
                    </m:e>
                    <m:sup>
                      <m:r>
                        <w:rPr>
                          <w:rFonts w:ascii="Cambria Math" w:hAnsi="Cambria Math"/>
                          <w:lang w:eastAsia="en-AU"/>
                        </w:rPr>
                        <m:t>1.754</m:t>
                      </m:r>
                    </m:sup>
                  </m:sSup>
                </m:den>
              </m:f>
              <m:r>
                <w:rPr>
                  <w:rFonts w:ascii="Cambria Math" w:hAnsi="Cambria Math"/>
                  <w:lang w:eastAsia="en-AU"/>
                </w:rPr>
                <m:t>+...+</m:t>
              </m:r>
              <m:f>
                <m:fPr>
                  <m:ctrlPr>
                    <w:rPr>
                      <w:rFonts w:ascii="Cambria Math" w:hAnsi="Cambria Math"/>
                      <w:i/>
                      <w:lang w:eastAsia="en-AU"/>
                    </w:rPr>
                  </m:ctrlPr>
                </m:fPr>
                <m:num>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1+2.5%</m:t>
                          </m:r>
                        </m:e>
                      </m:d>
                    </m:e>
                    <m:sup>
                      <m:r>
                        <w:rPr>
                          <w:rFonts w:ascii="Cambria Math" w:hAnsi="Cambria Math"/>
                          <w:lang w:eastAsia="en-AU"/>
                        </w:rPr>
                        <m:t>10</m:t>
                      </m:r>
                    </m:sup>
                  </m:sSup>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1+8.4%</m:t>
                          </m:r>
                        </m:e>
                      </m:d>
                    </m:e>
                    <m:sup>
                      <m:r>
                        <w:rPr>
                          <w:rFonts w:ascii="Cambria Math" w:hAnsi="Cambria Math"/>
                          <w:lang w:eastAsia="en-AU"/>
                        </w:rPr>
                        <m:t>11.754</m:t>
                      </m:r>
                    </m:sup>
                  </m:sSup>
                </m:den>
              </m:f>
            </m:e>
          </m:d>
        </m:oMath>
      </m:oMathPara>
    </w:p>
    <w:p w14:paraId="36D7596C" w14:textId="2F3EFB65" w:rsidR="00A74CC1" w:rsidRPr="00A74CC1" w:rsidRDefault="00724FCE" w:rsidP="00A74CC1">
      <w:pPr>
        <w:pStyle w:val="BodyText"/>
        <w:rPr>
          <w:lang w:eastAsia="en-AU"/>
        </w:rPr>
      </w:pPr>
      <m:oMathPara>
        <m:oMath>
          <m:acc>
            <m:accPr>
              <m:ctrlPr>
                <w:rPr>
                  <w:rFonts w:ascii="Cambria Math" w:hAnsi="Cambria Math"/>
                  <w:i/>
                  <w:lang w:eastAsia="en-AU"/>
                </w:rPr>
              </m:ctrlPr>
            </m:accPr>
            <m:e>
              <m:r>
                <w:rPr>
                  <w:rFonts w:ascii="Cambria Math" w:hAnsi="Cambria Math"/>
                  <w:lang w:eastAsia="en-AU"/>
                </w:rPr>
                <m:t>Z</m:t>
              </m:r>
            </m:e>
          </m:acc>
          <m:r>
            <w:rPr>
              <w:rFonts w:ascii="Cambria Math" w:hAnsi="Cambria Math"/>
              <w:lang w:eastAsia="en-AU"/>
            </w:rPr>
            <m:t>=0.108+1.143</m:t>
          </m:r>
        </m:oMath>
      </m:oMathPara>
    </w:p>
    <w:p w14:paraId="7E8E5394" w14:textId="1145DA14" w:rsidR="00A74CC1" w:rsidRDefault="00724FCE" w:rsidP="00290B7E">
      <w:pPr>
        <w:pStyle w:val="BodyText"/>
        <w:jc w:val="center"/>
        <w:rPr>
          <w:rFonts w:eastAsiaTheme="minorEastAsia"/>
          <w:lang w:eastAsia="en-AU"/>
        </w:rPr>
      </w:pPr>
      <m:oMathPara>
        <m:oMath>
          <m:acc>
            <m:accPr>
              <m:ctrlPr>
                <w:rPr>
                  <w:rFonts w:ascii="Cambria Math" w:hAnsi="Cambria Math"/>
                  <w:i/>
                  <w:lang w:eastAsia="en-AU"/>
                </w:rPr>
              </m:ctrlPr>
            </m:accPr>
            <m:e>
              <m:r>
                <w:rPr>
                  <w:rFonts w:ascii="Cambria Math" w:hAnsi="Cambria Math"/>
                  <w:lang w:eastAsia="en-AU"/>
                </w:rPr>
                <m:t>Z</m:t>
              </m:r>
            </m:e>
          </m:acc>
          <m:r>
            <w:rPr>
              <w:rFonts w:ascii="Cambria Math" w:hAnsi="Cambria Math"/>
              <w:lang w:eastAsia="en-AU"/>
            </w:rPr>
            <m:t>=1.25</m:t>
          </m:r>
        </m:oMath>
      </m:oMathPara>
    </w:p>
    <w:p w14:paraId="39921B13" w14:textId="6E68E991" w:rsidR="000E2144" w:rsidRDefault="000E2144" w:rsidP="003610CC">
      <w:pPr>
        <w:pStyle w:val="BodyText"/>
        <w:rPr>
          <w:rFonts w:eastAsiaTheme="minorEastAsia"/>
          <w:lang w:eastAsia="en-AU"/>
        </w:rPr>
      </w:pPr>
      <w:r>
        <w:rPr>
          <w:rFonts w:eastAsiaTheme="minorEastAsia"/>
          <w:lang w:eastAsia="en-AU"/>
        </w:rPr>
        <w:t>The implicit assumption here is that cash flows occur</w:t>
      </w:r>
      <w:r w:rsidR="00C37F34">
        <w:rPr>
          <w:rFonts w:eastAsiaTheme="minorEastAsia"/>
          <w:lang w:eastAsia="en-AU"/>
        </w:rPr>
        <w:t xml:space="preserve"> at the end of each year after the licence is awarded</w:t>
      </w:r>
      <w:r w:rsidR="00BF0604">
        <w:rPr>
          <w:rFonts w:eastAsiaTheme="minorEastAsia"/>
          <w:lang w:eastAsia="en-AU"/>
        </w:rPr>
        <w:t xml:space="preserve">.  In the above example, we seek to value </w:t>
      </w:r>
      <w:r w:rsidR="00C95E88">
        <w:rPr>
          <w:rFonts w:eastAsiaTheme="minorEastAsia"/>
          <w:lang w:eastAsia="en-AU"/>
        </w:rPr>
        <w:t xml:space="preserve">the licence in the case where 0.754 of the fourth </w:t>
      </w:r>
      <w:proofErr w:type="gramStart"/>
      <w:r w:rsidR="00C95E88">
        <w:rPr>
          <w:rFonts w:eastAsiaTheme="minorEastAsia"/>
          <w:lang w:eastAsia="en-AU"/>
        </w:rPr>
        <w:t>year</w:t>
      </w:r>
      <w:proofErr w:type="gramEnd"/>
      <w:r w:rsidR="00C95E88">
        <w:rPr>
          <w:rFonts w:eastAsiaTheme="minorEastAsia"/>
          <w:lang w:eastAsia="en-AU"/>
        </w:rPr>
        <w:t xml:space="preserve"> remains.  The</w:t>
      </w:r>
      <w:r w:rsidR="00691D4F">
        <w:rPr>
          <w:rFonts w:eastAsiaTheme="minorEastAsia"/>
          <w:lang w:eastAsia="en-AU"/>
        </w:rPr>
        <w:t xml:space="preserve"> new licence holder is assumed to be entitled to 0.754 of the Year 4 cash flow, </w:t>
      </w:r>
      <w:r w:rsidR="00104BC4">
        <w:rPr>
          <w:rFonts w:eastAsiaTheme="minorEastAsia"/>
          <w:lang w:eastAsia="en-AU"/>
        </w:rPr>
        <w:t>which amount will be received at the end of that year.  The new holder will then receive the full cash flow for Year 5 at the end of that year, and so on.</w:t>
      </w:r>
      <w:r w:rsidR="00C95E88">
        <w:rPr>
          <w:rFonts w:eastAsiaTheme="minorEastAsia"/>
          <w:lang w:eastAsia="en-AU"/>
        </w:rPr>
        <w:t xml:space="preserve"> </w:t>
      </w:r>
    </w:p>
    <w:p w14:paraId="6E71E629" w14:textId="3FCBE378" w:rsidR="00CD511E" w:rsidRDefault="00444872" w:rsidP="003610CC">
      <w:pPr>
        <w:pStyle w:val="BodyText"/>
        <w:rPr>
          <w:rFonts w:eastAsiaTheme="minorEastAsia"/>
          <w:vertAlign w:val="subscript"/>
          <w:lang w:eastAsia="en-AU"/>
        </w:rPr>
      </w:pPr>
      <w:r w:rsidRPr="00444872">
        <w:rPr>
          <w:rFonts w:eastAsiaTheme="minorEastAsia"/>
          <w:lang w:eastAsia="en-AU"/>
        </w:rPr>
        <w:t xml:space="preserve">Note </w:t>
      </w:r>
      <w:r w:rsidR="00110E22">
        <w:rPr>
          <w:rFonts w:eastAsiaTheme="minorEastAsia"/>
          <w:lang w:eastAsia="en-AU"/>
        </w:rPr>
        <w:t>that $1.25</w:t>
      </w:r>
      <w:r w:rsidRPr="00444872">
        <w:rPr>
          <w:rFonts w:eastAsiaTheme="minorEastAsia"/>
          <w:lang w:eastAsia="en-AU"/>
        </w:rPr>
        <w:t xml:space="preserve"> can also be obtained by rolling forward the $1.15 value </w:t>
      </w:r>
      <w:r w:rsidR="004A1C20">
        <w:rPr>
          <w:rFonts w:eastAsiaTheme="minorEastAsia"/>
          <w:lang w:eastAsia="en-AU"/>
        </w:rPr>
        <w:t>obtained from the ACMA’s formula</w:t>
      </w:r>
      <w:r w:rsidRPr="00444872">
        <w:rPr>
          <w:rFonts w:eastAsiaTheme="minorEastAsia"/>
          <w:lang w:eastAsia="en-AU"/>
        </w:rPr>
        <w:t xml:space="preserve"> by (1+2.5%)</w:t>
      </w:r>
      <w:r w:rsidRPr="00444872">
        <w:rPr>
          <w:rFonts w:eastAsiaTheme="minorEastAsia"/>
          <w:vertAlign w:val="superscript"/>
          <w:lang w:eastAsia="en-AU"/>
        </w:rPr>
        <w:t>3.2</w:t>
      </w:r>
      <w:r w:rsidR="00C5464F">
        <w:rPr>
          <w:rFonts w:eastAsiaTheme="minorEastAsia"/>
          <w:vertAlign w:val="superscript"/>
          <w:lang w:eastAsia="en-AU"/>
        </w:rPr>
        <w:t>46</w:t>
      </w:r>
      <w:r w:rsidRPr="00444872">
        <w:t>.</w:t>
      </w:r>
      <w:r>
        <w:rPr>
          <w:rFonts w:eastAsiaTheme="minorEastAsia"/>
          <w:vertAlign w:val="subscript"/>
          <w:lang w:eastAsia="en-AU"/>
        </w:rPr>
        <w:t xml:space="preserve"> </w:t>
      </w:r>
    </w:p>
    <w:p w14:paraId="3078A606" w14:textId="754B9B0F" w:rsidR="00E50464" w:rsidRDefault="00E50464" w:rsidP="00E50464">
      <w:pPr>
        <w:pStyle w:val="BodyText"/>
        <w:rPr>
          <w:rFonts w:eastAsiaTheme="minorEastAsia"/>
        </w:rPr>
      </w:pPr>
      <w:r>
        <w:rPr>
          <w:lang w:eastAsia="en-AU"/>
        </w:rPr>
        <w:t>So</w:t>
      </w:r>
      <w:r w:rsidR="00A82A65">
        <w:rPr>
          <w:lang w:eastAsia="en-AU"/>
        </w:rPr>
        <w:t>,</w:t>
      </w:r>
      <w:r>
        <w:rPr>
          <w:lang w:eastAsia="en-AU"/>
        </w:rPr>
        <w:t xml:space="preserve"> we conclude that the $1.25 value (approach B) is correct for the relevant valuation question (i.e. the value of a licence commencing part way through year 4 to year 15), and we note that this is the approach adopted in the</w:t>
      </w:r>
      <w:r w:rsidRPr="00295D39">
        <w:rPr>
          <w:lang w:eastAsia="en-AU"/>
        </w:rPr>
        <w:t xml:space="preserve"> later exposure draft</w:t>
      </w:r>
      <w:r>
        <w:rPr>
          <w:lang w:eastAsia="en-AU"/>
        </w:rPr>
        <w:t>.</w:t>
      </w:r>
      <w:r w:rsidRPr="00295D39">
        <w:rPr>
          <w:vertAlign w:val="superscript"/>
          <w:lang w:eastAsia="en-AU"/>
        </w:rPr>
        <w:footnoteReference w:id="4"/>
      </w:r>
    </w:p>
    <w:p w14:paraId="26D0F1D8" w14:textId="490DC1C9" w:rsidR="00B17171" w:rsidRDefault="00067C1E" w:rsidP="00552722">
      <w:pPr>
        <w:pStyle w:val="BodyText"/>
        <w:rPr>
          <w:rFonts w:eastAsiaTheme="minorEastAsia"/>
        </w:rPr>
      </w:pPr>
      <w:r>
        <w:rPr>
          <w:rFonts w:eastAsiaTheme="minorEastAsia"/>
          <w:lang w:eastAsia="en-AU"/>
        </w:rPr>
        <w:t xml:space="preserve">More generally we can say if we have days </w:t>
      </w:r>
      <w:r w:rsidRPr="00290E80">
        <w:rPr>
          <w:rFonts w:eastAsiaTheme="minorEastAsia"/>
          <w:i/>
          <w:iCs/>
          <w:lang w:eastAsia="en-AU"/>
        </w:rPr>
        <w:t>y</w:t>
      </w:r>
      <w:r w:rsidR="003535CF">
        <w:rPr>
          <w:rFonts w:eastAsiaTheme="minorEastAsia"/>
          <w:lang w:eastAsia="en-AU"/>
        </w:rPr>
        <w:t xml:space="preserve"> remaining </w:t>
      </w:r>
      <w:r w:rsidR="00214E26">
        <w:rPr>
          <w:rFonts w:eastAsiaTheme="minorEastAsia"/>
          <w:lang w:eastAsia="en-AU"/>
        </w:rPr>
        <w:t>until the first cash flow</w:t>
      </w:r>
      <w:r>
        <w:rPr>
          <w:rFonts w:eastAsiaTheme="minorEastAsia"/>
          <w:lang w:eastAsia="en-AU"/>
        </w:rPr>
        <w:t xml:space="preserve"> then</w:t>
      </w:r>
      <w:r w:rsidR="00552722">
        <w:rPr>
          <w:rFonts w:eastAsiaTheme="minorEastAsia"/>
          <w:lang w:eastAsia="en-AU"/>
        </w:rPr>
        <w:t xml:space="preserve"> </w:t>
      </w:r>
      <w:r>
        <w:rPr>
          <w:rFonts w:eastAsiaTheme="minorEastAsia"/>
        </w:rPr>
        <w:t>the discounting</w:t>
      </w:r>
      <w:r w:rsidR="003610CC">
        <w:t xml:space="preserve"> and cash flow calculations </w:t>
      </w:r>
      <w:r w:rsidR="003402D8">
        <w:t xml:space="preserve">for a period of </w:t>
      </w:r>
      <w:r w:rsidR="006D4DC2">
        <w:t>annual</w:t>
      </w:r>
      <w:r w:rsidR="001971EA">
        <w:t xml:space="preserve"> </w:t>
      </w:r>
      <w:r w:rsidR="003402D8">
        <w:t xml:space="preserve">cash flows from </w:t>
      </w:r>
      <w:r w:rsidR="00093CE9">
        <w:t xml:space="preserve">years </w:t>
      </w:r>
      <w:r w:rsidR="003402D8">
        <w:t>1</w:t>
      </w:r>
      <w:r w:rsidR="00093CE9">
        <w:t>.</w:t>
      </w:r>
      <w:r w:rsidR="003402D8">
        <w:t xml:space="preserve">..n </w:t>
      </w:r>
      <w:r w:rsidR="003610CC">
        <w:t>would be:</w:t>
      </w:r>
    </w:p>
    <w:p w14:paraId="3185F88A" w14:textId="049841A2" w:rsidR="008C1ABF" w:rsidRPr="00290E80" w:rsidRDefault="00724FCE" w:rsidP="00552722">
      <w:pPr>
        <w:pStyle w:val="BodyText"/>
        <w:jc w:val="center"/>
        <w:rPr>
          <w:rFonts w:eastAsiaTheme="minorEastAsia"/>
          <w:lang w:eastAsia="en-AU"/>
        </w:rPr>
      </w:pPr>
      <m:oMathPara>
        <m:oMath>
          <m:acc>
            <m:accPr>
              <m:ctrlPr>
                <w:rPr>
                  <w:rFonts w:ascii="Cambria Math" w:hAnsi="Cambria Math"/>
                  <w:i/>
                  <w:lang w:eastAsia="en-AU"/>
                </w:rPr>
              </m:ctrlPr>
            </m:accPr>
            <m:e>
              <m:r>
                <w:rPr>
                  <w:rFonts w:ascii="Cambria Math" w:hAnsi="Cambria Math"/>
                  <w:lang w:eastAsia="en-AU"/>
                </w:rPr>
                <m:t>Z</m:t>
              </m:r>
            </m:e>
          </m:acc>
          <m:r>
            <w:rPr>
              <w:rFonts w:ascii="Cambria Math" w:hAnsi="Cambria Math"/>
              <w:lang w:eastAsia="en-AU"/>
            </w:rPr>
            <m:t>=</m:t>
          </m:r>
          <m:f>
            <m:fPr>
              <m:ctrlPr>
                <w:rPr>
                  <w:rFonts w:ascii="Cambria Math" w:hAnsi="Cambria Math"/>
                  <w:i/>
                  <w:lang w:eastAsia="en-AU"/>
                </w:rPr>
              </m:ctrlPr>
            </m:fPr>
            <m:num>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1</m:t>
                  </m:r>
                </m:sub>
              </m:sSub>
              <m:r>
                <w:rPr>
                  <w:rFonts w:ascii="Cambria Math" w:hAnsi="Cambria Math"/>
                  <w:lang w:eastAsia="en-AU"/>
                </w:rPr>
                <m:t xml:space="preserve"> x </m:t>
              </m:r>
              <m:f>
                <m:fPr>
                  <m:ctrlPr>
                    <w:rPr>
                      <w:rFonts w:ascii="Cambria Math" w:hAnsi="Cambria Math"/>
                      <w:i/>
                      <w:lang w:eastAsia="en-AU"/>
                    </w:rPr>
                  </m:ctrlPr>
                </m:fPr>
                <m:num>
                  <m:r>
                    <w:rPr>
                      <w:rFonts w:ascii="Cambria Math" w:hAnsi="Cambria Math"/>
                      <w:lang w:eastAsia="en-AU"/>
                    </w:rPr>
                    <m:t>y</m:t>
                  </m:r>
                </m:num>
                <m:den>
                  <m:r>
                    <w:rPr>
                      <w:rFonts w:ascii="Cambria Math" w:hAnsi="Cambria Math"/>
                      <w:lang w:eastAsia="en-AU"/>
                    </w:rPr>
                    <m:t>365</m:t>
                  </m:r>
                </m:den>
              </m:f>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1+r</m:t>
                      </m:r>
                    </m:e>
                  </m:d>
                </m:e>
                <m:sup>
                  <m:r>
                    <w:rPr>
                      <w:rFonts w:ascii="Cambria Math" w:hAnsi="Cambria Math"/>
                      <w:lang w:eastAsia="en-AU"/>
                    </w:rPr>
                    <m:t>y/365</m:t>
                  </m:r>
                </m:sup>
              </m:sSup>
            </m:den>
          </m:f>
          <m:r>
            <w:rPr>
              <w:rFonts w:ascii="Cambria Math" w:hAnsi="Cambria Math"/>
              <w:lang w:eastAsia="en-AU"/>
            </w:rPr>
            <m:t>+</m:t>
          </m:r>
          <m:f>
            <m:fPr>
              <m:ctrlPr>
                <w:rPr>
                  <w:rFonts w:ascii="Cambria Math" w:hAnsi="Cambria Math"/>
                  <w:i/>
                  <w:lang w:eastAsia="en-AU"/>
                </w:rPr>
              </m:ctrlPr>
            </m:fPr>
            <m:num>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1</m:t>
                  </m:r>
                </m:sub>
              </m:sSub>
              <m:r>
                <w:rPr>
                  <w:rFonts w:ascii="Cambria Math" w:hAnsi="Cambria Math"/>
                  <w:lang w:eastAsia="en-AU"/>
                </w:rPr>
                <m:t>(1+t)</m:t>
              </m:r>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1+r</m:t>
                      </m:r>
                    </m:e>
                  </m:d>
                </m:e>
                <m:sup>
                  <m:r>
                    <w:rPr>
                      <w:rFonts w:ascii="Cambria Math" w:hAnsi="Cambria Math"/>
                      <w:lang w:eastAsia="en-AU"/>
                    </w:rPr>
                    <m:t>(1+y/365)</m:t>
                  </m:r>
                </m:sup>
              </m:sSup>
            </m:den>
          </m:f>
          <m:r>
            <w:rPr>
              <w:rFonts w:ascii="Cambria Math" w:hAnsi="Cambria Math"/>
              <w:lang w:eastAsia="en-AU"/>
            </w:rPr>
            <m:t>+…+</m:t>
          </m:r>
          <m:f>
            <m:fPr>
              <m:ctrlPr>
                <w:rPr>
                  <w:rFonts w:ascii="Cambria Math" w:hAnsi="Cambria Math"/>
                  <w:i/>
                  <w:lang w:eastAsia="en-AU"/>
                </w:rPr>
              </m:ctrlPr>
            </m:fPr>
            <m:num>
              <m:sSub>
                <m:sSubPr>
                  <m:ctrlPr>
                    <w:rPr>
                      <w:rFonts w:ascii="Cambria Math" w:hAnsi="Cambria Math"/>
                      <w:i/>
                      <w:lang w:eastAsia="en-AU"/>
                    </w:rPr>
                  </m:ctrlPr>
                </m:sSubPr>
                <m:e>
                  <m:r>
                    <w:rPr>
                      <w:rFonts w:ascii="Cambria Math" w:hAnsi="Cambria Math"/>
                      <w:lang w:eastAsia="en-AU"/>
                    </w:rPr>
                    <m:t>A</m:t>
                  </m:r>
                </m:e>
                <m:sub>
                  <m:r>
                    <w:rPr>
                      <w:rFonts w:ascii="Cambria Math" w:hAnsi="Cambria Math"/>
                      <w:lang w:eastAsia="en-AU"/>
                    </w:rPr>
                    <m:t>1</m:t>
                  </m:r>
                </m:sub>
              </m:sSub>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1+t</m:t>
                      </m:r>
                    </m:e>
                  </m:d>
                </m:e>
                <m:sup>
                  <m:r>
                    <w:rPr>
                      <w:rFonts w:ascii="Cambria Math" w:hAnsi="Cambria Math"/>
                      <w:lang w:eastAsia="en-AU"/>
                    </w:rPr>
                    <m:t>n-1</m:t>
                  </m:r>
                </m:sup>
              </m:sSup>
            </m:num>
            <m:den>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1+r</m:t>
                      </m:r>
                    </m:e>
                  </m:d>
                </m:e>
                <m:sup>
                  <m:r>
                    <w:rPr>
                      <w:rFonts w:ascii="Cambria Math" w:hAnsi="Cambria Math"/>
                      <w:lang w:eastAsia="en-AU"/>
                    </w:rPr>
                    <m:t>(1+n+y/365)</m:t>
                  </m:r>
                </m:sup>
              </m:sSup>
            </m:den>
          </m:f>
        </m:oMath>
      </m:oMathPara>
    </w:p>
    <w:p w14:paraId="78E96BC4" w14:textId="3B264F79" w:rsidR="005E5A74" w:rsidRDefault="00552722" w:rsidP="005E5A74">
      <w:pPr>
        <w:pStyle w:val="BodyText"/>
        <w:rPr>
          <w:rFonts w:eastAsiaTheme="minorEastAsia"/>
          <w:lang w:eastAsia="en-AU"/>
        </w:rPr>
      </w:pPr>
      <w:r>
        <w:rPr>
          <w:rFonts w:eastAsiaTheme="minorEastAsia"/>
          <w:lang w:eastAsia="en-AU"/>
        </w:rPr>
        <w:t xml:space="preserve">Appendix </w:t>
      </w:r>
      <w:r>
        <w:rPr>
          <w:rFonts w:eastAsiaTheme="minorEastAsia"/>
          <w:lang w:eastAsia="en-AU"/>
        </w:rPr>
        <w:fldChar w:fldCharType="begin"/>
      </w:r>
      <w:r>
        <w:rPr>
          <w:rFonts w:eastAsiaTheme="minorEastAsia"/>
          <w:lang w:eastAsia="en-AU"/>
        </w:rPr>
        <w:instrText xml:space="preserve"> REF _Ref169707449 \r </w:instrText>
      </w:r>
      <w:r>
        <w:rPr>
          <w:rFonts w:eastAsiaTheme="minorEastAsia"/>
          <w:lang w:eastAsia="en-AU"/>
        </w:rPr>
        <w:fldChar w:fldCharType="separate"/>
      </w:r>
      <w:r w:rsidR="00290E80">
        <w:rPr>
          <w:rFonts w:eastAsiaTheme="minorEastAsia"/>
          <w:lang w:eastAsia="en-AU"/>
        </w:rPr>
        <w:t>B</w:t>
      </w:r>
      <w:r>
        <w:rPr>
          <w:rFonts w:eastAsiaTheme="minorEastAsia"/>
          <w:lang w:eastAsia="en-AU"/>
        </w:rPr>
        <w:fldChar w:fldCharType="end"/>
      </w:r>
      <w:r>
        <w:rPr>
          <w:rFonts w:eastAsiaTheme="minorEastAsia"/>
          <w:lang w:eastAsia="en-AU"/>
        </w:rPr>
        <w:t xml:space="preserve"> to this report explains how </w:t>
      </w:r>
      <w:r w:rsidR="00CE1CDF">
        <w:rPr>
          <w:rFonts w:eastAsiaTheme="minorEastAsia"/>
          <w:lang w:eastAsia="en-AU"/>
        </w:rPr>
        <w:t>the formula can be adjusted to account for monthly or even daily cash flows</w:t>
      </w:r>
      <w:r w:rsidR="004B5935">
        <w:rPr>
          <w:rFonts w:eastAsiaTheme="minorEastAsia"/>
          <w:lang w:eastAsia="en-AU"/>
        </w:rPr>
        <w:t xml:space="preserve">, which obviates the need </w:t>
      </w:r>
      <w:r w:rsidR="00DF2B9B">
        <w:rPr>
          <w:rFonts w:eastAsiaTheme="minorEastAsia"/>
          <w:lang w:eastAsia="en-AU"/>
        </w:rPr>
        <w:t>for special adjustments to account for part-periods.</w:t>
      </w:r>
    </w:p>
    <w:p w14:paraId="0F80F81F" w14:textId="688382EE" w:rsidR="00612ABB" w:rsidRDefault="00426BBE" w:rsidP="00426BBE">
      <w:pPr>
        <w:pStyle w:val="Heading4"/>
        <w:rPr>
          <w:rFonts w:eastAsiaTheme="minorEastAsia"/>
        </w:rPr>
      </w:pPr>
      <w:r>
        <w:rPr>
          <w:rFonts w:eastAsiaTheme="minorEastAsia"/>
        </w:rPr>
        <w:t>Cash</w:t>
      </w:r>
      <w:r w:rsidR="0022475A">
        <w:rPr>
          <w:rFonts w:eastAsiaTheme="minorEastAsia"/>
        </w:rPr>
        <w:t xml:space="preserve"> </w:t>
      </w:r>
      <w:r>
        <w:rPr>
          <w:rFonts w:eastAsiaTheme="minorEastAsia"/>
        </w:rPr>
        <w:t>flow</w:t>
      </w:r>
      <w:r w:rsidR="002D0022">
        <w:rPr>
          <w:rFonts w:eastAsiaTheme="minorEastAsia"/>
        </w:rPr>
        <w:t xml:space="preserve"> timing</w:t>
      </w:r>
      <w:r>
        <w:rPr>
          <w:rFonts w:eastAsiaTheme="minorEastAsia"/>
        </w:rPr>
        <w:t xml:space="preserve"> assumptions</w:t>
      </w:r>
    </w:p>
    <w:p w14:paraId="0EBD2EF6" w14:textId="0FE5FB74" w:rsidR="00FE1FE1" w:rsidRDefault="00880D46" w:rsidP="00426BBE">
      <w:pPr>
        <w:pStyle w:val="BodyText"/>
        <w:rPr>
          <w:lang w:eastAsia="en-AU"/>
        </w:rPr>
      </w:pPr>
      <w:r>
        <w:rPr>
          <w:lang w:eastAsia="en-AU"/>
        </w:rPr>
        <w:t>With respect to the modelling of cash</w:t>
      </w:r>
      <w:r w:rsidR="0022475A">
        <w:rPr>
          <w:lang w:eastAsia="en-AU"/>
        </w:rPr>
        <w:t xml:space="preserve"> </w:t>
      </w:r>
      <w:r>
        <w:rPr>
          <w:lang w:eastAsia="en-AU"/>
        </w:rPr>
        <w:t xml:space="preserve">flows, </w:t>
      </w:r>
      <w:r w:rsidR="00314B85">
        <w:rPr>
          <w:lang w:eastAsia="en-AU"/>
        </w:rPr>
        <w:t xml:space="preserve">the </w:t>
      </w:r>
      <w:r w:rsidR="00024C0A">
        <w:rPr>
          <w:lang w:eastAsia="en-AU"/>
        </w:rPr>
        <w:t xml:space="preserve">discounting </w:t>
      </w:r>
      <w:r w:rsidR="00314B85">
        <w:rPr>
          <w:lang w:eastAsia="en-AU"/>
        </w:rPr>
        <w:t>assumptions shown so far</w:t>
      </w:r>
      <w:r w:rsidR="00443C0C">
        <w:rPr>
          <w:lang w:eastAsia="en-AU"/>
        </w:rPr>
        <w:t xml:space="preserve"> presume that cash</w:t>
      </w:r>
      <w:r w:rsidR="0022475A">
        <w:rPr>
          <w:lang w:eastAsia="en-AU"/>
        </w:rPr>
        <w:t xml:space="preserve"> </w:t>
      </w:r>
      <w:r w:rsidR="00443C0C">
        <w:rPr>
          <w:lang w:eastAsia="en-AU"/>
        </w:rPr>
        <w:t xml:space="preserve">flows are earned at the end of </w:t>
      </w:r>
      <w:r w:rsidR="00DF2B9B">
        <w:rPr>
          <w:lang w:eastAsia="en-AU"/>
        </w:rPr>
        <w:t xml:space="preserve">each </w:t>
      </w:r>
      <w:r w:rsidR="00443C0C">
        <w:rPr>
          <w:lang w:eastAsia="en-AU"/>
        </w:rPr>
        <w:t>year</w:t>
      </w:r>
      <w:r w:rsidR="00BB4F5D">
        <w:rPr>
          <w:lang w:eastAsia="en-AU"/>
        </w:rPr>
        <w:t xml:space="preserve"> (</w:t>
      </w:r>
      <w:r w:rsidR="009B136E">
        <w:rPr>
          <w:lang w:eastAsia="en-AU"/>
        </w:rPr>
        <w:t xml:space="preserve">and </w:t>
      </w:r>
      <w:r w:rsidR="00BB4F5D">
        <w:rPr>
          <w:lang w:eastAsia="en-AU"/>
        </w:rPr>
        <w:t xml:space="preserve">this is </w:t>
      </w:r>
      <w:r w:rsidR="009B136E">
        <w:rPr>
          <w:lang w:eastAsia="en-AU"/>
        </w:rPr>
        <w:t xml:space="preserve">also </w:t>
      </w:r>
      <w:r w:rsidR="00BB4F5D">
        <w:rPr>
          <w:lang w:eastAsia="en-AU"/>
        </w:rPr>
        <w:t xml:space="preserve">consistent with the standard </w:t>
      </w:r>
      <w:r w:rsidR="001E6016">
        <w:rPr>
          <w:lang w:eastAsia="en-AU"/>
        </w:rPr>
        <w:t xml:space="preserve">NPV </w:t>
      </w:r>
      <w:r w:rsidR="00BB4F5D">
        <w:rPr>
          <w:lang w:eastAsia="en-AU"/>
        </w:rPr>
        <w:t>settings</w:t>
      </w:r>
      <w:r w:rsidR="001E6016">
        <w:rPr>
          <w:lang w:eastAsia="en-AU"/>
        </w:rPr>
        <w:t xml:space="preserve"> </w:t>
      </w:r>
      <w:r w:rsidR="00BB4F5D">
        <w:rPr>
          <w:lang w:eastAsia="en-AU"/>
        </w:rPr>
        <w:t>in Microsoft Excel).</w:t>
      </w:r>
      <w:r w:rsidR="00314B85">
        <w:rPr>
          <w:lang w:eastAsia="en-AU"/>
        </w:rPr>
        <w:t xml:space="preserve"> </w:t>
      </w:r>
      <w:r w:rsidR="00D65D53">
        <w:rPr>
          <w:lang w:eastAsia="en-AU"/>
        </w:rPr>
        <w:t xml:space="preserve">There is a case that this assumption is not realistic, as mobile operators earn cash </w:t>
      </w:r>
      <w:r w:rsidR="00A802FB">
        <w:rPr>
          <w:lang w:eastAsia="en-AU"/>
        </w:rPr>
        <w:t xml:space="preserve">flows </w:t>
      </w:r>
      <w:r w:rsidR="00D65D53">
        <w:rPr>
          <w:lang w:eastAsia="en-AU"/>
        </w:rPr>
        <w:t>through the year</w:t>
      </w:r>
      <w:r w:rsidR="00A802FB">
        <w:rPr>
          <w:lang w:eastAsia="en-AU"/>
        </w:rPr>
        <w:t xml:space="preserve">.  Thus, the year-end cash flow assumption </w:t>
      </w:r>
      <w:r w:rsidR="00DD4256">
        <w:rPr>
          <w:lang w:eastAsia="en-AU"/>
        </w:rPr>
        <w:t xml:space="preserve">will tend to understate the </w:t>
      </w:r>
      <w:r w:rsidR="00E17174">
        <w:rPr>
          <w:lang w:eastAsia="en-AU"/>
        </w:rPr>
        <w:t xml:space="preserve">present </w:t>
      </w:r>
      <w:r w:rsidR="00DD4256">
        <w:rPr>
          <w:lang w:eastAsia="en-AU"/>
        </w:rPr>
        <w:t xml:space="preserve">value of </w:t>
      </w:r>
      <w:r w:rsidR="00D3650A">
        <w:rPr>
          <w:lang w:eastAsia="en-AU"/>
        </w:rPr>
        <w:t>cash</w:t>
      </w:r>
      <w:r w:rsidR="0022475A">
        <w:rPr>
          <w:lang w:eastAsia="en-AU"/>
        </w:rPr>
        <w:t xml:space="preserve"> </w:t>
      </w:r>
      <w:r w:rsidR="00D3650A">
        <w:rPr>
          <w:lang w:eastAsia="en-AU"/>
        </w:rPr>
        <w:t>flow</w:t>
      </w:r>
      <w:r w:rsidR="00E17174">
        <w:rPr>
          <w:lang w:eastAsia="en-AU"/>
        </w:rPr>
        <w:t>s</w:t>
      </w:r>
      <w:r w:rsidR="00D3650A">
        <w:rPr>
          <w:lang w:eastAsia="en-AU"/>
        </w:rPr>
        <w:t xml:space="preserve"> and therefore the licence</w:t>
      </w:r>
      <w:r w:rsidR="002872EE">
        <w:rPr>
          <w:lang w:eastAsia="en-AU"/>
        </w:rPr>
        <w:t xml:space="preserve">. </w:t>
      </w:r>
    </w:p>
    <w:p w14:paraId="3FD90FB1" w14:textId="3A014F2D" w:rsidR="00A73C76" w:rsidRPr="00426BBE" w:rsidRDefault="00FE1FE1" w:rsidP="00A73C76">
      <w:pPr>
        <w:pStyle w:val="BodyText"/>
      </w:pPr>
      <w:r>
        <w:rPr>
          <w:lang w:eastAsia="en-AU"/>
        </w:rPr>
        <w:t xml:space="preserve">This issue could be addressed </w:t>
      </w:r>
      <w:r w:rsidR="0096105C">
        <w:rPr>
          <w:lang w:eastAsia="en-AU"/>
        </w:rPr>
        <w:t xml:space="preserve">by </w:t>
      </w:r>
      <w:r>
        <w:t>increas</w:t>
      </w:r>
      <w:r w:rsidR="0096105C">
        <w:t>ing</w:t>
      </w:r>
      <w:r>
        <w:t xml:space="preserve"> the frequency of </w:t>
      </w:r>
      <w:r w:rsidR="00946F25">
        <w:t xml:space="preserve">cash </w:t>
      </w:r>
      <w:r w:rsidR="001E3D39">
        <w:t xml:space="preserve">flow </w:t>
      </w:r>
      <w:r>
        <w:t xml:space="preserve">modelling, say by using months </w:t>
      </w:r>
      <w:r w:rsidR="00851D6D">
        <w:t>and a monthly discount rate</w:t>
      </w:r>
      <w:r w:rsidR="007A7C75">
        <w:t>,</w:t>
      </w:r>
      <w:r w:rsidR="00BA79F1">
        <w:t xml:space="preserve"> or daily </w:t>
      </w:r>
      <w:r w:rsidR="007A7C75">
        <w:t>cash</w:t>
      </w:r>
      <w:r w:rsidR="0022475A">
        <w:t xml:space="preserve"> </w:t>
      </w:r>
      <w:r w:rsidR="007A7C75">
        <w:t xml:space="preserve">flows and </w:t>
      </w:r>
      <w:r w:rsidR="0003108C">
        <w:t xml:space="preserve">discount </w:t>
      </w:r>
      <w:r w:rsidR="007A7C75">
        <w:t>rates</w:t>
      </w:r>
      <w:r w:rsidR="00E17174">
        <w:t>, as set out in</w:t>
      </w:r>
      <w:r w:rsidR="00F55996">
        <w:t xml:space="preserve"> </w:t>
      </w:r>
      <w:r w:rsidR="00E17174">
        <w:rPr>
          <w:rFonts w:eastAsiaTheme="minorEastAsia"/>
          <w:lang w:eastAsia="en-AU"/>
        </w:rPr>
        <w:t xml:space="preserve">Appendix </w:t>
      </w:r>
      <w:r w:rsidR="00E17174">
        <w:rPr>
          <w:rFonts w:eastAsiaTheme="minorEastAsia"/>
          <w:lang w:eastAsia="en-AU"/>
        </w:rPr>
        <w:fldChar w:fldCharType="begin"/>
      </w:r>
      <w:r w:rsidR="00E17174">
        <w:rPr>
          <w:rFonts w:eastAsiaTheme="minorEastAsia"/>
          <w:lang w:eastAsia="en-AU"/>
        </w:rPr>
        <w:instrText xml:space="preserve"> REF _Ref169707449 \r </w:instrText>
      </w:r>
      <w:r w:rsidR="00E17174">
        <w:rPr>
          <w:rFonts w:eastAsiaTheme="minorEastAsia"/>
          <w:lang w:eastAsia="en-AU"/>
        </w:rPr>
        <w:fldChar w:fldCharType="separate"/>
      </w:r>
      <w:r w:rsidR="00290E80">
        <w:rPr>
          <w:rFonts w:eastAsiaTheme="minorEastAsia"/>
          <w:lang w:eastAsia="en-AU"/>
        </w:rPr>
        <w:t>B</w:t>
      </w:r>
      <w:r w:rsidR="00E17174">
        <w:rPr>
          <w:rFonts w:eastAsiaTheme="minorEastAsia"/>
          <w:lang w:eastAsia="en-AU"/>
        </w:rPr>
        <w:fldChar w:fldCharType="end"/>
      </w:r>
      <w:r w:rsidR="00946F25">
        <w:t>.</w:t>
      </w:r>
      <w:r w:rsidR="00B04C03">
        <w:t xml:space="preserve"> Although this approach will not change results (to any material degree), it </w:t>
      </w:r>
      <w:r w:rsidR="00931295">
        <w:t xml:space="preserve">is more </w:t>
      </w:r>
      <w:r w:rsidR="00B43FA2">
        <w:t>mechanical</w:t>
      </w:r>
      <w:r w:rsidR="00931295">
        <w:t xml:space="preserve"> and allows for easier duration adjustments that </w:t>
      </w:r>
      <w:r w:rsidR="00F55996">
        <w:t xml:space="preserve">the </w:t>
      </w:r>
      <w:r w:rsidR="00931295">
        <w:t>us</w:t>
      </w:r>
      <w:r w:rsidR="00B754EB">
        <w:t>e</w:t>
      </w:r>
      <w:r w:rsidR="00931295">
        <w:t xml:space="preserve"> </w:t>
      </w:r>
      <w:r w:rsidR="0033612E">
        <w:t xml:space="preserve">of </w:t>
      </w:r>
      <w:r w:rsidR="00931295">
        <w:t>part-period cash flows and WACCs.</w:t>
      </w:r>
    </w:p>
    <w:p w14:paraId="598AD959" w14:textId="5F355958" w:rsidR="007879F3" w:rsidRDefault="004E30EE" w:rsidP="0008460E">
      <w:pPr>
        <w:pStyle w:val="Heading3"/>
      </w:pPr>
      <w:r>
        <w:t>Adjustment of</w:t>
      </w:r>
      <w:r w:rsidR="0008460E">
        <w:t xml:space="preserve"> international</w:t>
      </w:r>
      <w:r>
        <w:t xml:space="preserve"> benchmarks</w:t>
      </w:r>
      <w:r w:rsidR="0008460E">
        <w:t xml:space="preserve"> for spectrum values</w:t>
      </w:r>
    </w:p>
    <w:p w14:paraId="4A7B1C93" w14:textId="45D44548" w:rsidR="009055BC" w:rsidRDefault="009055BC" w:rsidP="009055BC">
      <w:pPr>
        <w:pStyle w:val="Heading4"/>
      </w:pPr>
      <w:r>
        <w:t>Benchmarking, duration and timing adjustments</w:t>
      </w:r>
    </w:p>
    <w:p w14:paraId="66D50370" w14:textId="0259CF87" w:rsidR="00ED0C74" w:rsidRDefault="00ED0C74" w:rsidP="00EB63BA">
      <w:pPr>
        <w:pStyle w:val="BodyText"/>
      </w:pPr>
      <w:r>
        <w:t xml:space="preserve">The Government’s overall </w:t>
      </w:r>
      <w:r w:rsidRPr="00EB63BA">
        <w:t>objective</w:t>
      </w:r>
      <w:r>
        <w:t xml:space="preserve"> with spectrum is to allocate the spectrum efficiently. In the present context, this means allocating licences to those that value them the most. For a </w:t>
      </w:r>
      <w:r w:rsidRPr="00900D25">
        <w:t>renewal</w:t>
      </w:r>
      <w:r>
        <w:t xml:space="preserve"> of a licence, this poses an </w:t>
      </w:r>
      <w:r w:rsidRPr="00EB63BA">
        <w:t>obvious</w:t>
      </w:r>
      <w:r>
        <w:t xml:space="preserve"> challenge because there is no direct market testing of value, as there would be if the spectrum was re-auctioned.</w:t>
      </w:r>
    </w:p>
    <w:p w14:paraId="27C9CA57" w14:textId="7ED0B3CF" w:rsidR="00A421A3" w:rsidRDefault="00ED0C74" w:rsidP="00A421A3">
      <w:pPr>
        <w:pStyle w:val="BodyText"/>
      </w:pPr>
      <w:r>
        <w:t xml:space="preserve">Benchmarking of </w:t>
      </w:r>
      <w:r w:rsidR="006D2F48">
        <w:t>spectrum prices</w:t>
      </w:r>
      <w:r>
        <w:t xml:space="preserve"> in other markets can help to resolve the </w:t>
      </w:r>
      <w:r w:rsidR="006D2F48">
        <w:t xml:space="preserve">market </w:t>
      </w:r>
      <w:r>
        <w:t xml:space="preserve">value problem, if the </w:t>
      </w:r>
      <w:r w:rsidR="006D2F48">
        <w:t>prices</w:t>
      </w:r>
      <w:r>
        <w:t xml:space="preserve"> </w:t>
      </w:r>
      <w:r w:rsidR="00737246">
        <w:t>are derived from market</w:t>
      </w:r>
      <w:r w:rsidR="00B62D5D">
        <w:t>s and market structures</w:t>
      </w:r>
      <w:r w:rsidR="00737246">
        <w:t xml:space="preserve"> that are broadly similar to those in </w:t>
      </w:r>
      <w:r>
        <w:t>Australia.</w:t>
      </w:r>
      <w:r w:rsidR="00140C24">
        <w:t xml:space="preserve"> </w:t>
      </w:r>
      <w:r w:rsidR="006F5DE1">
        <w:t xml:space="preserve">For example, a price </w:t>
      </w:r>
      <w:r w:rsidR="002B02C2">
        <w:t>achieved</w:t>
      </w:r>
      <w:r w:rsidR="006F5DE1">
        <w:t xml:space="preserve"> f</w:t>
      </w:r>
      <w:r w:rsidR="002B02C2">
        <w:t>or</w:t>
      </w:r>
      <w:r w:rsidR="006F5DE1">
        <w:t xml:space="preserve"> a similar band in the UK</w:t>
      </w:r>
      <w:r>
        <w:t xml:space="preserve"> </w:t>
      </w:r>
      <w:r w:rsidR="0063486A">
        <w:t>may</w:t>
      </w:r>
      <w:r w:rsidR="001D2783">
        <w:t xml:space="preserve"> be </w:t>
      </w:r>
      <w:r w:rsidR="00124943">
        <w:t xml:space="preserve">used as a benchmark, so long as it is adjusted for </w:t>
      </w:r>
      <w:r w:rsidR="00124943">
        <w:lastRenderedPageBreak/>
        <w:t>population, MHz</w:t>
      </w:r>
      <w:r w:rsidR="007559BF">
        <w:t xml:space="preserve"> block</w:t>
      </w:r>
      <w:r w:rsidR="00F72F46">
        <w:t>, exchange rates</w:t>
      </w:r>
      <w:r w:rsidR="00A421A3">
        <w:t xml:space="preserve"> and any other key </w:t>
      </w:r>
      <w:r>
        <w:t>differences in licence terms</w:t>
      </w:r>
      <w:r w:rsidR="00383C3B">
        <w:t>,</w:t>
      </w:r>
      <w:r>
        <w:t xml:space="preserve"> and </w:t>
      </w:r>
      <w:r w:rsidR="000661F2">
        <w:t xml:space="preserve">any differences in </w:t>
      </w:r>
      <w:r>
        <w:t>conditions</w:t>
      </w:r>
      <w:r w:rsidR="00790F93">
        <w:t xml:space="preserve"> are not </w:t>
      </w:r>
      <w:r w:rsidR="002F18BA">
        <w:t xml:space="preserve">so material as to invalidate the price (e.g. </w:t>
      </w:r>
      <w:r w:rsidR="000454BF">
        <w:t>due to service or coverage obligations)</w:t>
      </w:r>
      <w:r w:rsidR="00DA725E">
        <w:t xml:space="preserve">. </w:t>
      </w:r>
    </w:p>
    <w:p w14:paraId="14F1DB3F" w14:textId="7D3A4519" w:rsidR="00ED0C74" w:rsidRDefault="00DA725E" w:rsidP="00A421A3">
      <w:pPr>
        <w:pStyle w:val="BodyText"/>
      </w:pPr>
      <w:r>
        <w:t xml:space="preserve">Duration is one key difference: </w:t>
      </w:r>
      <w:r w:rsidR="00ED0C74">
        <w:t>a shorter</w:t>
      </w:r>
      <w:r w:rsidR="00537701">
        <w:t xml:space="preserve"> (longer)</w:t>
      </w:r>
      <w:r w:rsidR="00ED0C74">
        <w:t xml:space="preserve"> licence term would reduce the value of a licence because of </w:t>
      </w:r>
      <w:r w:rsidR="00537701">
        <w:t>reduced</w:t>
      </w:r>
      <w:r w:rsidR="00ED0C74">
        <w:t xml:space="preserve"> </w:t>
      </w:r>
      <w:r w:rsidR="00537701">
        <w:t xml:space="preserve">(increased) </w:t>
      </w:r>
      <w:r w:rsidR="00ED0C74">
        <w:t xml:space="preserve">earning power. </w:t>
      </w:r>
      <w:r w:rsidR="00CF19B9">
        <w:t>T</w:t>
      </w:r>
      <w:r w:rsidR="00ED0C74">
        <w:t>he extent to which the shorter</w:t>
      </w:r>
      <w:r w:rsidR="00142F17">
        <w:t xml:space="preserve"> (longer)</w:t>
      </w:r>
      <w:r w:rsidR="00ED0C74">
        <w:t xml:space="preserve"> time period reduces the earning capacity of the licence </w:t>
      </w:r>
      <w:r w:rsidR="00191183">
        <w:t>would also depend on</w:t>
      </w:r>
      <w:r w:rsidR="00ED0C74">
        <w:t>:</w:t>
      </w:r>
    </w:p>
    <w:p w14:paraId="1D74C785" w14:textId="76257DAC" w:rsidR="00ED0C74" w:rsidRDefault="00ED0C74" w:rsidP="00ED0C74">
      <w:pPr>
        <w:pStyle w:val="ListBullet"/>
      </w:pPr>
      <w:r>
        <w:t xml:space="preserve">how entities in the benchmark assessment discounted the value of future earnings </w:t>
      </w:r>
      <w:r w:rsidR="00FE5EC4">
        <w:t>from</w:t>
      </w:r>
      <w:r>
        <w:t xml:space="preserve"> the licence (e.g. using their WACC)</w:t>
      </w:r>
      <w:r w:rsidR="00FE5EC4">
        <w:t>; and</w:t>
      </w:r>
    </w:p>
    <w:p w14:paraId="241705AC" w14:textId="0E3A44CB" w:rsidR="00ED0C74" w:rsidRDefault="00ED0C74" w:rsidP="00ED0C74">
      <w:pPr>
        <w:pStyle w:val="ListBullet"/>
      </w:pPr>
      <w:r>
        <w:t>whether that discount implicitly took account of changes in earning capacity over time (i.e. accounting for cash</w:t>
      </w:r>
      <w:r w:rsidR="0022475A">
        <w:t xml:space="preserve"> </w:t>
      </w:r>
      <w:r>
        <w:t>flow growth).</w:t>
      </w:r>
    </w:p>
    <w:p w14:paraId="2313F9C0" w14:textId="3AC995FD" w:rsidR="00DC17BB" w:rsidRDefault="00DC17BB" w:rsidP="00ED0C74">
      <w:pPr>
        <w:pStyle w:val="BodyText"/>
      </w:pPr>
      <w:r>
        <w:t>A further key difference is timing – for example, if the UK price was derived from 2015, but the licence in Australia is renewed from 2028, it would be necessary to consider how the price m</w:t>
      </w:r>
      <w:r w:rsidR="005D109C">
        <w:t xml:space="preserve">ay have changed from 2015 to </w:t>
      </w:r>
      <w:r w:rsidR="000F3252">
        <w:t>2028.</w:t>
      </w:r>
    </w:p>
    <w:p w14:paraId="1B3A6DF8" w14:textId="05386F9F" w:rsidR="001F0064" w:rsidRDefault="001F0064" w:rsidP="001F0064">
      <w:pPr>
        <w:pStyle w:val="Heading4"/>
      </w:pPr>
      <w:r>
        <w:t>Adjustments where the licence duration is the same</w:t>
      </w:r>
    </w:p>
    <w:p w14:paraId="4DE71424" w14:textId="080E5461" w:rsidR="003149BD" w:rsidRDefault="00461414" w:rsidP="003149BD">
      <w:pPr>
        <w:pStyle w:val="BodyText"/>
        <w:rPr>
          <w:lang w:eastAsia="en-AU"/>
        </w:rPr>
      </w:pPr>
      <w:r>
        <w:rPr>
          <w:lang w:eastAsia="en-AU"/>
        </w:rPr>
        <w:t xml:space="preserve">In principle, the use of benchmarks for licences of the same duration is </w:t>
      </w:r>
      <w:r w:rsidR="00E44C99">
        <w:rPr>
          <w:lang w:eastAsia="en-AU"/>
        </w:rPr>
        <w:t>straightforward</w:t>
      </w:r>
      <w:r>
        <w:rPr>
          <w:lang w:eastAsia="en-AU"/>
        </w:rPr>
        <w:t>.</w:t>
      </w:r>
      <w:r w:rsidR="002433F4">
        <w:rPr>
          <w:lang w:eastAsia="en-AU"/>
        </w:rPr>
        <w:t xml:space="preserve"> </w:t>
      </w:r>
      <w:r w:rsidR="007423BD">
        <w:rPr>
          <w:lang w:eastAsia="en-AU"/>
        </w:rPr>
        <w:t xml:space="preserve">There is no issue about the timing of cash flows, as we are effectively comparing </w:t>
      </w:r>
      <w:r w:rsidR="00924816">
        <w:rPr>
          <w:lang w:eastAsia="en-AU"/>
        </w:rPr>
        <w:t xml:space="preserve">two lump sum figures </w:t>
      </w:r>
      <w:r w:rsidR="00950AF6">
        <w:rPr>
          <w:lang w:eastAsia="en-AU"/>
        </w:rPr>
        <w:t>(discounted</w:t>
      </w:r>
      <w:r w:rsidR="00924816">
        <w:rPr>
          <w:lang w:eastAsia="en-AU"/>
        </w:rPr>
        <w:t xml:space="preserve"> cash flows</w:t>
      </w:r>
      <w:r w:rsidR="00950AF6">
        <w:rPr>
          <w:lang w:eastAsia="en-AU"/>
        </w:rPr>
        <w:t>)</w:t>
      </w:r>
      <w:r w:rsidR="00924816">
        <w:rPr>
          <w:lang w:eastAsia="en-AU"/>
        </w:rPr>
        <w:t>.</w:t>
      </w:r>
      <w:r w:rsidR="001343E5">
        <w:rPr>
          <w:lang w:eastAsia="en-AU"/>
        </w:rPr>
        <w:t xml:space="preserve"> </w:t>
      </w:r>
      <w:r w:rsidR="002D1B1E">
        <w:rPr>
          <w:lang w:eastAsia="en-AU"/>
        </w:rPr>
        <w:t>Assuming one is comfortable with the other dimensions of comparability (e.g. licence terms)</w:t>
      </w:r>
      <w:r w:rsidR="00E35AFC">
        <w:rPr>
          <w:lang w:eastAsia="en-AU"/>
        </w:rPr>
        <w:t xml:space="preserve">, the main task is to consider how </w:t>
      </w:r>
      <w:r w:rsidR="006A1177">
        <w:rPr>
          <w:lang w:eastAsia="en-AU"/>
        </w:rPr>
        <w:t xml:space="preserve">the price </w:t>
      </w:r>
      <w:r w:rsidR="00316CE8">
        <w:rPr>
          <w:lang w:eastAsia="en-AU"/>
        </w:rPr>
        <w:t>paid</w:t>
      </w:r>
      <w:r w:rsidR="00551EED">
        <w:rPr>
          <w:lang w:eastAsia="en-AU"/>
        </w:rPr>
        <w:t xml:space="preserve"> at the time of transaction would evolve to contemporary Australian conditions. That is, the steps would be:</w:t>
      </w:r>
    </w:p>
    <w:p w14:paraId="12988675" w14:textId="74C93537" w:rsidR="00551EED" w:rsidRDefault="000024F9" w:rsidP="00551EED">
      <w:pPr>
        <w:pStyle w:val="ListNumber"/>
      </w:pPr>
      <w:r>
        <w:t>Identify</w:t>
      </w:r>
      <w:r w:rsidR="00551EED">
        <w:t xml:space="preserve"> the benchmark price in </w:t>
      </w:r>
      <w:r w:rsidR="00F819F5">
        <w:t>Local currency</w:t>
      </w:r>
      <w:r w:rsidR="00551EED">
        <w:t xml:space="preserve"> / MHz / Pop</w:t>
      </w:r>
      <w:r w:rsidR="00445FFE">
        <w:t>.</w:t>
      </w:r>
    </w:p>
    <w:p w14:paraId="4D84B833" w14:textId="69B39CD4" w:rsidR="000024F9" w:rsidRDefault="000024F9" w:rsidP="00551EED">
      <w:pPr>
        <w:pStyle w:val="ListNumber"/>
      </w:pPr>
      <w:r>
        <w:t xml:space="preserve">Convert the benchmark to </w:t>
      </w:r>
      <w:r w:rsidR="00F819F5">
        <w:t>$AUD / MHz / Pop (using PPP exchange rates</w:t>
      </w:r>
      <w:r w:rsidR="0086111F">
        <w:rPr>
          <w:rStyle w:val="FootnoteReference"/>
        </w:rPr>
        <w:footnoteReference w:id="5"/>
      </w:r>
      <w:r w:rsidR="00F819F5">
        <w:t xml:space="preserve"> for the relevant year)</w:t>
      </w:r>
      <w:r w:rsidR="00917AF1">
        <w:t>.</w:t>
      </w:r>
    </w:p>
    <w:p w14:paraId="5C0289F0" w14:textId="01E0FE6A" w:rsidR="00152276" w:rsidRDefault="00152276" w:rsidP="00551EED">
      <w:pPr>
        <w:pStyle w:val="ListNumber"/>
      </w:pPr>
      <w:r>
        <w:t>Convert the benchmark to $AUD / MHz</w:t>
      </w:r>
      <w:r w:rsidR="009F6EF0">
        <w:t xml:space="preserve"> by multiplying by </w:t>
      </w:r>
      <w:r w:rsidR="00917AF1">
        <w:t xml:space="preserve">the </w:t>
      </w:r>
      <w:r w:rsidR="009F6EF0">
        <w:t>relevant Australian population at the time of the benchmark price</w:t>
      </w:r>
      <w:r w:rsidR="00917AF1">
        <w:t>.</w:t>
      </w:r>
    </w:p>
    <w:p w14:paraId="237AD499" w14:textId="14531F97" w:rsidR="00F4742B" w:rsidRDefault="007013C5" w:rsidP="00551EED">
      <w:pPr>
        <w:pStyle w:val="ListNumber"/>
      </w:pPr>
      <w:r>
        <w:t xml:space="preserve">Update the </w:t>
      </w:r>
      <w:r w:rsidR="002964F9">
        <w:t>benchmark</w:t>
      </w:r>
      <w:r w:rsidR="00162C7C">
        <w:t xml:space="preserve"> </w:t>
      </w:r>
      <w:r w:rsidR="00F365A2">
        <w:t>for the actual and expected growth in cash</w:t>
      </w:r>
      <w:r w:rsidR="0022475A">
        <w:t xml:space="preserve"> </w:t>
      </w:r>
      <w:r w:rsidR="00F365A2">
        <w:t>flow</w:t>
      </w:r>
      <w:r w:rsidR="00D86250">
        <w:t>s in Australia between the benchmark year and the renewal year</w:t>
      </w:r>
      <w:r w:rsidR="00590CD0">
        <w:t>.</w:t>
      </w:r>
    </w:p>
    <w:p w14:paraId="53CA213F" w14:textId="207D9661" w:rsidR="00602FF5" w:rsidRDefault="008036B4" w:rsidP="00551EED">
      <w:pPr>
        <w:pStyle w:val="ListNumber"/>
      </w:pPr>
      <w:r>
        <w:t>Convert the b</w:t>
      </w:r>
      <w:r w:rsidR="00602FF5">
        <w:t>enchmark for</w:t>
      </w:r>
      <w:r w:rsidR="00C74310">
        <w:t xml:space="preserve"> actual and/or forecast</w:t>
      </w:r>
      <w:r w:rsidR="00602FF5">
        <w:t xml:space="preserve"> Australian population growth.</w:t>
      </w:r>
    </w:p>
    <w:p w14:paraId="55D10504" w14:textId="12F0F6F2" w:rsidR="007423BD" w:rsidRDefault="00A27769" w:rsidP="003149BD">
      <w:pPr>
        <w:pStyle w:val="BodyText"/>
        <w:rPr>
          <w:lang w:eastAsia="en-AU"/>
        </w:rPr>
      </w:pPr>
      <w:r>
        <w:rPr>
          <w:lang w:eastAsia="en-AU"/>
        </w:rPr>
        <w:t>That is, t</w:t>
      </w:r>
      <w:r w:rsidR="007423BD" w:rsidRPr="007423BD">
        <w:rPr>
          <w:lang w:eastAsia="en-AU"/>
        </w:rPr>
        <w:t xml:space="preserve">he approach should be to update the assumption regarding base year cash flows, by multiplying that by the estimated growth in cash flows since that time. So, for example, if a benchmark licence was sold in </w:t>
      </w:r>
      <w:r w:rsidR="000C5A35">
        <w:rPr>
          <w:lang w:eastAsia="en-AU"/>
        </w:rPr>
        <w:t>year 1</w:t>
      </w:r>
      <w:r w:rsidR="007423BD" w:rsidRPr="007423BD">
        <w:rPr>
          <w:lang w:eastAsia="en-AU"/>
        </w:rPr>
        <w:t>, and the Australian licence is sold</w:t>
      </w:r>
      <w:r w:rsidR="00EA2F75">
        <w:rPr>
          <w:lang w:eastAsia="en-AU"/>
        </w:rPr>
        <w:t>/renewed</w:t>
      </w:r>
      <w:r w:rsidR="007423BD" w:rsidRPr="007423BD">
        <w:rPr>
          <w:lang w:eastAsia="en-AU"/>
        </w:rPr>
        <w:t xml:space="preserve"> in </w:t>
      </w:r>
      <w:r w:rsidR="000C5A35">
        <w:rPr>
          <w:lang w:eastAsia="en-AU"/>
        </w:rPr>
        <w:t>year 10</w:t>
      </w:r>
      <w:r w:rsidR="007423BD" w:rsidRPr="007423BD">
        <w:rPr>
          <w:lang w:eastAsia="en-AU"/>
        </w:rPr>
        <w:t>, the</w:t>
      </w:r>
      <w:r w:rsidR="00EA2F75">
        <w:rPr>
          <w:lang w:eastAsia="en-AU"/>
        </w:rPr>
        <w:t xml:space="preserve"> price would be directly inflated by </w:t>
      </w:r>
      <w:r w:rsidR="007423BD" w:rsidRPr="007423BD">
        <w:rPr>
          <w:lang w:eastAsia="en-AU"/>
        </w:rPr>
        <w:t>(1+</w:t>
      </w:r>
      <w:r w:rsidR="00E029E7">
        <w:rPr>
          <w:lang w:eastAsia="en-AU"/>
        </w:rPr>
        <w:t>z</w:t>
      </w:r>
      <w:r w:rsidR="007423BD" w:rsidRPr="007423BD">
        <w:rPr>
          <w:lang w:eastAsia="en-AU"/>
        </w:rPr>
        <w:t>)</w:t>
      </w:r>
      <w:r w:rsidR="000C5A35" w:rsidRPr="00290E80">
        <w:rPr>
          <w:vertAlign w:val="superscript"/>
          <w:lang w:eastAsia="en-AU"/>
        </w:rPr>
        <w:t>9</w:t>
      </w:r>
      <w:r w:rsidR="007423BD" w:rsidRPr="007423BD">
        <w:rPr>
          <w:lang w:eastAsia="en-AU"/>
        </w:rPr>
        <w:t>.</w:t>
      </w:r>
      <w:r w:rsidR="00C942CC">
        <w:rPr>
          <w:lang w:eastAsia="en-AU"/>
        </w:rPr>
        <w:t xml:space="preserve"> Population growth could either be accounted for by estimating cash flow growth per capita, or by adjusting directly for population as per </w:t>
      </w:r>
      <w:r w:rsidR="00A15292">
        <w:rPr>
          <w:lang w:eastAsia="en-AU"/>
        </w:rPr>
        <w:fldChar w:fldCharType="begin"/>
      </w:r>
      <w:r w:rsidR="00A15292">
        <w:rPr>
          <w:lang w:eastAsia="en-AU"/>
        </w:rPr>
        <w:instrText xml:space="preserve"> REF _Ref169255250 \h </w:instrText>
      </w:r>
      <w:r w:rsidR="00A15292">
        <w:rPr>
          <w:lang w:eastAsia="en-AU"/>
        </w:rPr>
      </w:r>
      <w:r w:rsidR="00A15292">
        <w:rPr>
          <w:lang w:eastAsia="en-AU"/>
        </w:rPr>
        <w:fldChar w:fldCharType="separate"/>
      </w:r>
      <w:r w:rsidR="00290E80" w:rsidRPr="00004691">
        <w:t>Table</w:t>
      </w:r>
      <w:r w:rsidR="00290E80" w:rsidRPr="00004691">
        <w:rPr>
          <w:rStyle w:val="Bold"/>
        </w:rPr>
        <w:t xml:space="preserve"> </w:t>
      </w:r>
      <w:r w:rsidR="00290E80">
        <w:rPr>
          <w:noProof/>
        </w:rPr>
        <w:t>2</w:t>
      </w:r>
      <w:r w:rsidR="00A15292">
        <w:rPr>
          <w:lang w:eastAsia="en-AU"/>
        </w:rPr>
        <w:fldChar w:fldCharType="end"/>
      </w:r>
      <w:r w:rsidR="001C295D">
        <w:rPr>
          <w:lang w:eastAsia="en-AU"/>
        </w:rPr>
        <w:t>.</w:t>
      </w:r>
    </w:p>
    <w:p w14:paraId="74603CFD" w14:textId="4D4C0631" w:rsidR="00C942CC" w:rsidRDefault="00C942CC">
      <w:pPr>
        <w:pStyle w:val="Caption"/>
        <w:keepNext/>
      </w:pPr>
      <w:bookmarkStart w:id="12" w:name="_Ref169255250"/>
      <w:bookmarkStart w:id="13" w:name="_Toc170474033"/>
      <w:r w:rsidRPr="00004691">
        <w:t>Table</w:t>
      </w:r>
      <w:r w:rsidRPr="00004691">
        <w:rPr>
          <w:rStyle w:val="Bold"/>
        </w:rPr>
        <w:t xml:space="preserve"> </w:t>
      </w:r>
      <w:r>
        <w:fldChar w:fldCharType="begin"/>
      </w:r>
      <w:r>
        <w:instrText xml:space="preserve"> SEQ Table \* ARABIC </w:instrText>
      </w:r>
      <w:r>
        <w:fldChar w:fldCharType="separate"/>
      </w:r>
      <w:r w:rsidR="00290E80">
        <w:rPr>
          <w:noProof/>
        </w:rPr>
        <w:t>2</w:t>
      </w:r>
      <w:r>
        <w:rPr>
          <w:noProof/>
        </w:rPr>
        <w:fldChar w:fldCharType="end"/>
      </w:r>
      <w:bookmarkEnd w:id="12"/>
      <w:r w:rsidRPr="00004691">
        <w:rPr>
          <w:rStyle w:val="Bold"/>
        </w:rPr>
        <w:t>:</w:t>
      </w:r>
      <w:r w:rsidRPr="00004691">
        <w:t xml:space="preserve"> </w:t>
      </w:r>
      <w:r w:rsidR="00A3238B">
        <w:t>Example of updating benchmark for licence of same duration</w:t>
      </w:r>
      <w:r w:rsidR="00AA68D1">
        <w:t xml:space="preserve"> (indicative figures)</w:t>
      </w:r>
      <w:bookmarkEnd w:id="13"/>
    </w:p>
    <w:tbl>
      <w:tblPr>
        <w:tblStyle w:val="FETableStyle"/>
        <w:tblW w:w="5000" w:type="pct"/>
        <w:tblLook w:val="0420" w:firstRow="1" w:lastRow="0" w:firstColumn="0" w:lastColumn="0" w:noHBand="0" w:noVBand="1"/>
      </w:tblPr>
      <w:tblGrid>
        <w:gridCol w:w="5091"/>
        <w:gridCol w:w="2156"/>
        <w:gridCol w:w="1780"/>
      </w:tblGrid>
      <w:tr w:rsidR="002F7412" w:rsidRPr="002F7412" w14:paraId="380C8B3F" w14:textId="77777777" w:rsidTr="002F7412">
        <w:trPr>
          <w:cnfStyle w:val="100000000000" w:firstRow="1" w:lastRow="0" w:firstColumn="0" w:lastColumn="0" w:oddVBand="0" w:evenVBand="0" w:oddHBand="0" w:evenHBand="0" w:firstRowFirstColumn="0" w:firstRowLastColumn="0" w:lastRowFirstColumn="0" w:lastRowLastColumn="0"/>
        </w:trPr>
        <w:tc>
          <w:tcPr>
            <w:tcW w:w="2820" w:type="pct"/>
            <w:noWrap/>
          </w:tcPr>
          <w:p w14:paraId="039C7CC9" w14:textId="46F41889" w:rsidR="002F7412" w:rsidRPr="002F7412" w:rsidRDefault="002F7412" w:rsidP="00C24162">
            <w:pPr>
              <w:pStyle w:val="TableHeading"/>
              <w:spacing w:before="20" w:after="20"/>
              <w:rPr>
                <w:sz w:val="18"/>
                <w:szCs w:val="18"/>
              </w:rPr>
            </w:pPr>
            <w:r w:rsidRPr="002F7412">
              <w:rPr>
                <w:sz w:val="18"/>
                <w:szCs w:val="18"/>
              </w:rPr>
              <w:t>Input</w:t>
            </w:r>
          </w:p>
        </w:tc>
        <w:tc>
          <w:tcPr>
            <w:tcW w:w="1194" w:type="pct"/>
          </w:tcPr>
          <w:p w14:paraId="6A2363A0" w14:textId="478148A6" w:rsidR="002F7412" w:rsidRPr="002F7412" w:rsidRDefault="00E812C5" w:rsidP="00D46C4E">
            <w:pPr>
              <w:pStyle w:val="TableHeading"/>
              <w:spacing w:before="20" w:after="20"/>
              <w:jc w:val="center"/>
              <w:rPr>
                <w:sz w:val="18"/>
                <w:szCs w:val="18"/>
              </w:rPr>
            </w:pPr>
            <w:r>
              <w:rPr>
                <w:sz w:val="18"/>
                <w:szCs w:val="18"/>
              </w:rPr>
              <w:t>Calculation</w:t>
            </w:r>
          </w:p>
        </w:tc>
        <w:tc>
          <w:tcPr>
            <w:tcW w:w="986" w:type="pct"/>
            <w:noWrap/>
          </w:tcPr>
          <w:p w14:paraId="256BEA69" w14:textId="54D77EAC" w:rsidR="002F7412" w:rsidRPr="002F7412" w:rsidRDefault="002F7412" w:rsidP="00D46C4E">
            <w:pPr>
              <w:pStyle w:val="TableHeading"/>
              <w:spacing w:before="20" w:after="20"/>
              <w:jc w:val="center"/>
              <w:rPr>
                <w:sz w:val="18"/>
                <w:szCs w:val="18"/>
              </w:rPr>
            </w:pPr>
            <w:r w:rsidRPr="002F7412">
              <w:rPr>
                <w:sz w:val="18"/>
                <w:szCs w:val="18"/>
              </w:rPr>
              <w:t>Value</w:t>
            </w:r>
          </w:p>
        </w:tc>
      </w:tr>
      <w:tr w:rsidR="002F7412" w:rsidRPr="002F7412" w14:paraId="3940B9B4" w14:textId="77777777" w:rsidTr="002F7412">
        <w:tc>
          <w:tcPr>
            <w:tcW w:w="2820" w:type="pct"/>
            <w:noWrap/>
            <w:vAlign w:val="top"/>
            <w:hideMark/>
          </w:tcPr>
          <w:p w14:paraId="02B64BBD" w14:textId="29209526" w:rsidR="002F7412" w:rsidRPr="002F7412" w:rsidRDefault="002F7412" w:rsidP="002F7412">
            <w:pPr>
              <w:pStyle w:val="TableText"/>
              <w:spacing w:before="20" w:after="20"/>
              <w:rPr>
                <w:sz w:val="18"/>
                <w:szCs w:val="18"/>
              </w:rPr>
            </w:pPr>
            <w:r w:rsidRPr="002F7412">
              <w:rPr>
                <w:sz w:val="18"/>
                <w:szCs w:val="18"/>
              </w:rPr>
              <w:t>Benchmark price ($USD) / yr 1</w:t>
            </w:r>
          </w:p>
        </w:tc>
        <w:tc>
          <w:tcPr>
            <w:tcW w:w="1194" w:type="pct"/>
            <w:vAlign w:val="top"/>
          </w:tcPr>
          <w:p w14:paraId="52A7F42D" w14:textId="34313217" w:rsidR="002F7412" w:rsidRPr="002F7412" w:rsidRDefault="002F7412" w:rsidP="002F7412">
            <w:pPr>
              <w:pStyle w:val="TableText"/>
              <w:spacing w:before="20" w:after="20"/>
              <w:jc w:val="center"/>
              <w:rPr>
                <w:sz w:val="18"/>
                <w:szCs w:val="18"/>
              </w:rPr>
            </w:pPr>
            <w:r w:rsidRPr="002F7412">
              <w:rPr>
                <w:sz w:val="18"/>
                <w:szCs w:val="18"/>
              </w:rPr>
              <w:t>1</w:t>
            </w:r>
          </w:p>
        </w:tc>
        <w:tc>
          <w:tcPr>
            <w:tcW w:w="986" w:type="pct"/>
            <w:noWrap/>
            <w:vAlign w:val="top"/>
            <w:hideMark/>
          </w:tcPr>
          <w:p w14:paraId="2684370D" w14:textId="74092265" w:rsidR="002F7412" w:rsidRPr="002F7412" w:rsidRDefault="002F7412" w:rsidP="002F7412">
            <w:pPr>
              <w:pStyle w:val="TableText"/>
              <w:spacing w:before="20" w:after="20"/>
              <w:jc w:val="center"/>
              <w:rPr>
                <w:sz w:val="18"/>
                <w:szCs w:val="18"/>
              </w:rPr>
            </w:pPr>
            <w:r w:rsidRPr="002F7412">
              <w:rPr>
                <w:sz w:val="18"/>
                <w:szCs w:val="18"/>
              </w:rPr>
              <w:t xml:space="preserve"> 7,000,000 </w:t>
            </w:r>
          </w:p>
        </w:tc>
      </w:tr>
      <w:tr w:rsidR="002F7412" w:rsidRPr="002F7412" w14:paraId="722FE171" w14:textId="77777777" w:rsidTr="002F7412">
        <w:trPr>
          <w:cnfStyle w:val="000000010000" w:firstRow="0" w:lastRow="0" w:firstColumn="0" w:lastColumn="0" w:oddVBand="0" w:evenVBand="0" w:oddHBand="0" w:evenHBand="1" w:firstRowFirstColumn="0" w:firstRowLastColumn="0" w:lastRowFirstColumn="0" w:lastRowLastColumn="0"/>
        </w:trPr>
        <w:tc>
          <w:tcPr>
            <w:tcW w:w="2820" w:type="pct"/>
            <w:noWrap/>
            <w:vAlign w:val="top"/>
            <w:hideMark/>
          </w:tcPr>
          <w:p w14:paraId="52CACD3F" w14:textId="591DCA7C" w:rsidR="002F7412" w:rsidRPr="002F7412" w:rsidRDefault="002F7412" w:rsidP="002F7412">
            <w:pPr>
              <w:pStyle w:val="TableText"/>
              <w:spacing w:before="20" w:after="20"/>
              <w:rPr>
                <w:sz w:val="18"/>
                <w:szCs w:val="18"/>
              </w:rPr>
            </w:pPr>
            <w:r w:rsidRPr="002F7412">
              <w:rPr>
                <w:sz w:val="18"/>
                <w:szCs w:val="18"/>
              </w:rPr>
              <w:t>MHz</w:t>
            </w:r>
          </w:p>
        </w:tc>
        <w:tc>
          <w:tcPr>
            <w:tcW w:w="1194" w:type="pct"/>
            <w:vAlign w:val="top"/>
          </w:tcPr>
          <w:p w14:paraId="3F6ED5E7" w14:textId="4FDA5EF3" w:rsidR="002F7412" w:rsidRPr="002F7412" w:rsidRDefault="002F7412" w:rsidP="002F7412">
            <w:pPr>
              <w:pStyle w:val="TableText"/>
              <w:spacing w:before="20" w:after="20"/>
              <w:jc w:val="center"/>
              <w:rPr>
                <w:sz w:val="18"/>
                <w:szCs w:val="18"/>
              </w:rPr>
            </w:pPr>
            <w:r w:rsidRPr="002F7412">
              <w:rPr>
                <w:sz w:val="18"/>
                <w:szCs w:val="18"/>
              </w:rPr>
              <w:t>2</w:t>
            </w:r>
          </w:p>
        </w:tc>
        <w:tc>
          <w:tcPr>
            <w:tcW w:w="986" w:type="pct"/>
            <w:noWrap/>
            <w:vAlign w:val="top"/>
            <w:hideMark/>
          </w:tcPr>
          <w:p w14:paraId="4930DA34" w14:textId="5A6F9578" w:rsidR="002F7412" w:rsidRPr="002F7412" w:rsidRDefault="002F7412" w:rsidP="002F7412">
            <w:pPr>
              <w:pStyle w:val="TableText"/>
              <w:spacing w:before="20" w:after="20"/>
              <w:jc w:val="center"/>
              <w:rPr>
                <w:sz w:val="18"/>
                <w:szCs w:val="18"/>
              </w:rPr>
            </w:pPr>
            <w:r w:rsidRPr="002F7412">
              <w:rPr>
                <w:sz w:val="18"/>
                <w:szCs w:val="18"/>
              </w:rPr>
              <w:t>10</w:t>
            </w:r>
          </w:p>
        </w:tc>
      </w:tr>
      <w:tr w:rsidR="002F7412" w:rsidRPr="002F7412" w14:paraId="08A3321F" w14:textId="77777777" w:rsidTr="002F7412">
        <w:tc>
          <w:tcPr>
            <w:tcW w:w="2820" w:type="pct"/>
            <w:noWrap/>
            <w:vAlign w:val="top"/>
            <w:hideMark/>
          </w:tcPr>
          <w:p w14:paraId="31E8A31D" w14:textId="1B403BD0" w:rsidR="002F7412" w:rsidRPr="002F7412" w:rsidRDefault="002F7412" w:rsidP="002F7412">
            <w:pPr>
              <w:pStyle w:val="TableText"/>
              <w:spacing w:before="20" w:after="20"/>
              <w:rPr>
                <w:sz w:val="18"/>
                <w:szCs w:val="18"/>
              </w:rPr>
            </w:pPr>
            <w:r w:rsidRPr="002F7412">
              <w:rPr>
                <w:sz w:val="18"/>
                <w:szCs w:val="18"/>
              </w:rPr>
              <w:t>Population</w:t>
            </w:r>
          </w:p>
        </w:tc>
        <w:tc>
          <w:tcPr>
            <w:tcW w:w="1194" w:type="pct"/>
            <w:vAlign w:val="top"/>
          </w:tcPr>
          <w:p w14:paraId="1C372558" w14:textId="52F608BA" w:rsidR="002F7412" w:rsidRPr="002F7412" w:rsidRDefault="002F7412" w:rsidP="002F7412">
            <w:pPr>
              <w:pStyle w:val="TableText"/>
              <w:spacing w:before="20" w:after="20"/>
              <w:jc w:val="center"/>
              <w:rPr>
                <w:sz w:val="18"/>
                <w:szCs w:val="18"/>
              </w:rPr>
            </w:pPr>
            <w:r w:rsidRPr="002F7412">
              <w:rPr>
                <w:sz w:val="18"/>
                <w:szCs w:val="18"/>
              </w:rPr>
              <w:t>3</w:t>
            </w:r>
          </w:p>
        </w:tc>
        <w:tc>
          <w:tcPr>
            <w:tcW w:w="986" w:type="pct"/>
            <w:noWrap/>
            <w:vAlign w:val="top"/>
            <w:hideMark/>
          </w:tcPr>
          <w:p w14:paraId="44C65B23" w14:textId="446C1F91" w:rsidR="002F7412" w:rsidRPr="002F7412" w:rsidRDefault="002F7412" w:rsidP="002F7412">
            <w:pPr>
              <w:pStyle w:val="TableText"/>
              <w:spacing w:before="20" w:after="20"/>
              <w:jc w:val="center"/>
              <w:rPr>
                <w:sz w:val="18"/>
                <w:szCs w:val="18"/>
              </w:rPr>
            </w:pPr>
            <w:r w:rsidRPr="002F7412">
              <w:rPr>
                <w:sz w:val="18"/>
                <w:szCs w:val="18"/>
              </w:rPr>
              <w:t>5,000,000</w:t>
            </w:r>
          </w:p>
        </w:tc>
      </w:tr>
      <w:tr w:rsidR="002F7412" w:rsidRPr="002F7412" w14:paraId="0B561E1E" w14:textId="77777777" w:rsidTr="002F7412">
        <w:trPr>
          <w:cnfStyle w:val="000000010000" w:firstRow="0" w:lastRow="0" w:firstColumn="0" w:lastColumn="0" w:oddVBand="0" w:evenVBand="0" w:oddHBand="0" w:evenHBand="1" w:firstRowFirstColumn="0" w:firstRowLastColumn="0" w:lastRowFirstColumn="0" w:lastRowLastColumn="0"/>
        </w:trPr>
        <w:tc>
          <w:tcPr>
            <w:tcW w:w="2820" w:type="pct"/>
            <w:noWrap/>
            <w:vAlign w:val="top"/>
            <w:hideMark/>
          </w:tcPr>
          <w:p w14:paraId="77C69205" w14:textId="4361AC4B" w:rsidR="002F7412" w:rsidRPr="002F7412" w:rsidRDefault="002F7412" w:rsidP="002F7412">
            <w:pPr>
              <w:pStyle w:val="TableText"/>
              <w:spacing w:before="20" w:after="20"/>
              <w:rPr>
                <w:sz w:val="18"/>
                <w:szCs w:val="18"/>
              </w:rPr>
            </w:pPr>
            <w:r w:rsidRPr="002F7412">
              <w:rPr>
                <w:sz w:val="18"/>
                <w:szCs w:val="18"/>
              </w:rPr>
              <w:t>Benchmark price / MHz / Pop ($USD)</w:t>
            </w:r>
          </w:p>
        </w:tc>
        <w:tc>
          <w:tcPr>
            <w:tcW w:w="1194" w:type="pct"/>
            <w:vAlign w:val="top"/>
          </w:tcPr>
          <w:p w14:paraId="0AC2B52B" w14:textId="5BDE5313" w:rsidR="002F7412" w:rsidRPr="002F7412" w:rsidRDefault="002F7412" w:rsidP="002F7412">
            <w:pPr>
              <w:pStyle w:val="TableText"/>
              <w:spacing w:before="20" w:after="20"/>
              <w:jc w:val="center"/>
              <w:rPr>
                <w:sz w:val="18"/>
                <w:szCs w:val="18"/>
              </w:rPr>
            </w:pPr>
            <w:r w:rsidRPr="002F7412">
              <w:rPr>
                <w:sz w:val="18"/>
                <w:szCs w:val="18"/>
              </w:rPr>
              <w:t>4=1/2/3</w:t>
            </w:r>
          </w:p>
        </w:tc>
        <w:tc>
          <w:tcPr>
            <w:tcW w:w="986" w:type="pct"/>
            <w:noWrap/>
            <w:vAlign w:val="top"/>
            <w:hideMark/>
          </w:tcPr>
          <w:p w14:paraId="17DCC3F4" w14:textId="773E92C2" w:rsidR="002F7412" w:rsidRPr="002F7412" w:rsidRDefault="002F7412" w:rsidP="002F7412">
            <w:pPr>
              <w:pStyle w:val="TableText"/>
              <w:spacing w:before="20" w:after="20"/>
              <w:jc w:val="center"/>
              <w:rPr>
                <w:sz w:val="18"/>
                <w:szCs w:val="18"/>
              </w:rPr>
            </w:pPr>
            <w:r w:rsidRPr="002F7412">
              <w:rPr>
                <w:sz w:val="18"/>
                <w:szCs w:val="18"/>
              </w:rPr>
              <w:t xml:space="preserve"> 0.14 </w:t>
            </w:r>
          </w:p>
        </w:tc>
      </w:tr>
      <w:tr w:rsidR="002F7412" w:rsidRPr="002F7412" w14:paraId="19B1BB4D" w14:textId="77777777" w:rsidTr="002F7412">
        <w:tc>
          <w:tcPr>
            <w:tcW w:w="2820" w:type="pct"/>
            <w:noWrap/>
            <w:vAlign w:val="top"/>
            <w:hideMark/>
          </w:tcPr>
          <w:p w14:paraId="01CE1A67" w14:textId="79760067" w:rsidR="002F7412" w:rsidRPr="002F7412" w:rsidRDefault="002F7412" w:rsidP="002F7412">
            <w:pPr>
              <w:pStyle w:val="TableText"/>
              <w:spacing w:before="20" w:after="20"/>
              <w:rPr>
                <w:sz w:val="18"/>
                <w:szCs w:val="18"/>
              </w:rPr>
            </w:pPr>
            <w:r w:rsidRPr="002F7412">
              <w:rPr>
                <w:sz w:val="18"/>
                <w:szCs w:val="18"/>
              </w:rPr>
              <w:t>Benchmark price / MHz / Pop ($AUD)</w:t>
            </w:r>
          </w:p>
        </w:tc>
        <w:tc>
          <w:tcPr>
            <w:tcW w:w="1194" w:type="pct"/>
            <w:vAlign w:val="top"/>
          </w:tcPr>
          <w:p w14:paraId="3050E827" w14:textId="25433EFF" w:rsidR="002F7412" w:rsidRPr="002F7412" w:rsidRDefault="002F7412" w:rsidP="002F7412">
            <w:pPr>
              <w:pStyle w:val="TableText"/>
              <w:spacing w:before="20" w:after="20"/>
              <w:jc w:val="center"/>
              <w:rPr>
                <w:sz w:val="18"/>
                <w:szCs w:val="18"/>
              </w:rPr>
            </w:pPr>
            <w:r w:rsidRPr="002F7412">
              <w:rPr>
                <w:sz w:val="18"/>
                <w:szCs w:val="18"/>
              </w:rPr>
              <w:t>5 = 4 / XR</w:t>
            </w:r>
          </w:p>
        </w:tc>
        <w:tc>
          <w:tcPr>
            <w:tcW w:w="986" w:type="pct"/>
            <w:noWrap/>
            <w:vAlign w:val="top"/>
            <w:hideMark/>
          </w:tcPr>
          <w:p w14:paraId="5AD7890E" w14:textId="35566944" w:rsidR="002F7412" w:rsidRPr="002F7412" w:rsidRDefault="002F7412" w:rsidP="002F7412">
            <w:pPr>
              <w:pStyle w:val="TableText"/>
              <w:spacing w:before="20" w:after="20"/>
              <w:jc w:val="center"/>
              <w:rPr>
                <w:sz w:val="18"/>
                <w:szCs w:val="18"/>
              </w:rPr>
            </w:pPr>
            <w:r w:rsidRPr="002F7412">
              <w:rPr>
                <w:sz w:val="18"/>
                <w:szCs w:val="18"/>
              </w:rPr>
              <w:t xml:space="preserve"> 0.20 </w:t>
            </w:r>
          </w:p>
        </w:tc>
      </w:tr>
      <w:tr w:rsidR="002F7412" w:rsidRPr="002F7412" w14:paraId="358910CA" w14:textId="77777777" w:rsidTr="002F7412">
        <w:trPr>
          <w:cnfStyle w:val="000000010000" w:firstRow="0" w:lastRow="0" w:firstColumn="0" w:lastColumn="0" w:oddVBand="0" w:evenVBand="0" w:oddHBand="0" w:evenHBand="1" w:firstRowFirstColumn="0" w:firstRowLastColumn="0" w:lastRowFirstColumn="0" w:lastRowLastColumn="0"/>
        </w:trPr>
        <w:tc>
          <w:tcPr>
            <w:tcW w:w="2820" w:type="pct"/>
            <w:noWrap/>
            <w:vAlign w:val="top"/>
            <w:hideMark/>
          </w:tcPr>
          <w:p w14:paraId="526B41F4" w14:textId="60DE1EBA" w:rsidR="002F7412" w:rsidRPr="002F7412" w:rsidRDefault="002F7412" w:rsidP="002F7412">
            <w:pPr>
              <w:pStyle w:val="TableText"/>
              <w:spacing w:before="20" w:after="20"/>
              <w:rPr>
                <w:sz w:val="18"/>
                <w:szCs w:val="18"/>
              </w:rPr>
            </w:pPr>
            <w:r w:rsidRPr="002F7412">
              <w:rPr>
                <w:sz w:val="18"/>
                <w:szCs w:val="18"/>
              </w:rPr>
              <w:t>Australia population yr 1</w:t>
            </w:r>
          </w:p>
        </w:tc>
        <w:tc>
          <w:tcPr>
            <w:tcW w:w="1194" w:type="pct"/>
            <w:vAlign w:val="top"/>
          </w:tcPr>
          <w:p w14:paraId="24A0AB3A" w14:textId="74674898" w:rsidR="002F7412" w:rsidRPr="002F7412" w:rsidRDefault="002F7412" w:rsidP="002F7412">
            <w:pPr>
              <w:pStyle w:val="TableText"/>
              <w:spacing w:before="20" w:after="20"/>
              <w:jc w:val="center"/>
              <w:rPr>
                <w:sz w:val="18"/>
                <w:szCs w:val="18"/>
              </w:rPr>
            </w:pPr>
            <w:r w:rsidRPr="002F7412">
              <w:rPr>
                <w:sz w:val="18"/>
                <w:szCs w:val="18"/>
              </w:rPr>
              <w:t>6</w:t>
            </w:r>
          </w:p>
        </w:tc>
        <w:tc>
          <w:tcPr>
            <w:tcW w:w="986" w:type="pct"/>
            <w:noWrap/>
            <w:vAlign w:val="top"/>
            <w:hideMark/>
          </w:tcPr>
          <w:p w14:paraId="77CE0454" w14:textId="217BCFB7" w:rsidR="002F7412" w:rsidRPr="002F7412" w:rsidRDefault="002F7412" w:rsidP="002F7412">
            <w:pPr>
              <w:pStyle w:val="TableText"/>
              <w:spacing w:before="20" w:after="20"/>
              <w:jc w:val="center"/>
              <w:rPr>
                <w:sz w:val="18"/>
                <w:szCs w:val="18"/>
              </w:rPr>
            </w:pPr>
            <w:r w:rsidRPr="002F7412">
              <w:rPr>
                <w:sz w:val="18"/>
                <w:szCs w:val="18"/>
              </w:rPr>
              <w:t xml:space="preserve"> 25,000,000 </w:t>
            </w:r>
          </w:p>
        </w:tc>
      </w:tr>
      <w:tr w:rsidR="002F7412" w:rsidRPr="002F7412" w14:paraId="7307919D" w14:textId="77777777" w:rsidTr="002F7412">
        <w:tc>
          <w:tcPr>
            <w:tcW w:w="2820" w:type="pct"/>
            <w:noWrap/>
            <w:vAlign w:val="top"/>
            <w:hideMark/>
          </w:tcPr>
          <w:p w14:paraId="6655DC0A" w14:textId="10E2ED1E" w:rsidR="002F7412" w:rsidRPr="002F7412" w:rsidRDefault="002F7412" w:rsidP="002F7412">
            <w:pPr>
              <w:pStyle w:val="TableText"/>
              <w:spacing w:before="20" w:after="20"/>
              <w:rPr>
                <w:sz w:val="18"/>
                <w:szCs w:val="18"/>
              </w:rPr>
            </w:pPr>
            <w:r w:rsidRPr="002F7412">
              <w:rPr>
                <w:sz w:val="18"/>
                <w:szCs w:val="18"/>
              </w:rPr>
              <w:t>Benchmark price ($AUD) / MHz</w:t>
            </w:r>
          </w:p>
        </w:tc>
        <w:tc>
          <w:tcPr>
            <w:tcW w:w="1194" w:type="pct"/>
            <w:vAlign w:val="top"/>
          </w:tcPr>
          <w:p w14:paraId="216FDF9F" w14:textId="1E0ABB1B" w:rsidR="002F7412" w:rsidRPr="002F7412" w:rsidRDefault="002F7412" w:rsidP="002F7412">
            <w:pPr>
              <w:pStyle w:val="TableText"/>
              <w:spacing w:before="20" w:after="20"/>
              <w:jc w:val="center"/>
              <w:rPr>
                <w:sz w:val="18"/>
                <w:szCs w:val="18"/>
              </w:rPr>
            </w:pPr>
            <w:r w:rsidRPr="002F7412">
              <w:rPr>
                <w:sz w:val="18"/>
                <w:szCs w:val="18"/>
              </w:rPr>
              <w:t>7 = 5 x 6</w:t>
            </w:r>
          </w:p>
        </w:tc>
        <w:tc>
          <w:tcPr>
            <w:tcW w:w="986" w:type="pct"/>
            <w:noWrap/>
            <w:vAlign w:val="top"/>
            <w:hideMark/>
          </w:tcPr>
          <w:p w14:paraId="06E7507D" w14:textId="77F6CAAA" w:rsidR="002F7412" w:rsidRPr="002F7412" w:rsidRDefault="002F7412" w:rsidP="002F7412">
            <w:pPr>
              <w:pStyle w:val="TableText"/>
              <w:spacing w:before="20" w:after="20"/>
              <w:jc w:val="center"/>
              <w:rPr>
                <w:sz w:val="18"/>
                <w:szCs w:val="18"/>
              </w:rPr>
            </w:pPr>
            <w:r w:rsidRPr="002F7412">
              <w:rPr>
                <w:sz w:val="18"/>
                <w:szCs w:val="18"/>
              </w:rPr>
              <w:t xml:space="preserve"> 5,000,000 </w:t>
            </w:r>
          </w:p>
        </w:tc>
      </w:tr>
      <w:tr w:rsidR="002F7412" w:rsidRPr="002F7412" w14:paraId="621360B9" w14:textId="77777777" w:rsidTr="002F7412">
        <w:trPr>
          <w:cnfStyle w:val="000000010000" w:firstRow="0" w:lastRow="0" w:firstColumn="0" w:lastColumn="0" w:oddVBand="0" w:evenVBand="0" w:oddHBand="0" w:evenHBand="1" w:firstRowFirstColumn="0" w:firstRowLastColumn="0" w:lastRowFirstColumn="0" w:lastRowLastColumn="0"/>
        </w:trPr>
        <w:tc>
          <w:tcPr>
            <w:tcW w:w="2820" w:type="pct"/>
            <w:noWrap/>
            <w:vAlign w:val="top"/>
            <w:hideMark/>
          </w:tcPr>
          <w:p w14:paraId="046A3BCF" w14:textId="78085C49" w:rsidR="002F7412" w:rsidRPr="002F7412" w:rsidRDefault="00212C4B" w:rsidP="002F7412">
            <w:pPr>
              <w:pStyle w:val="TableText"/>
              <w:spacing w:before="20" w:after="20"/>
              <w:rPr>
                <w:sz w:val="18"/>
                <w:szCs w:val="18"/>
              </w:rPr>
            </w:pPr>
            <w:r>
              <w:rPr>
                <w:sz w:val="18"/>
                <w:szCs w:val="18"/>
              </w:rPr>
              <w:t>Estimate of c</w:t>
            </w:r>
            <w:r w:rsidR="002F7412" w:rsidRPr="002F7412">
              <w:rPr>
                <w:sz w:val="18"/>
                <w:szCs w:val="18"/>
              </w:rPr>
              <w:t>ash flow growth</w:t>
            </w:r>
            <w:r>
              <w:rPr>
                <w:sz w:val="18"/>
                <w:szCs w:val="18"/>
              </w:rPr>
              <w:t xml:space="preserve"> yr 1 – yr 10</w:t>
            </w:r>
          </w:p>
        </w:tc>
        <w:tc>
          <w:tcPr>
            <w:tcW w:w="1194" w:type="pct"/>
            <w:vAlign w:val="top"/>
          </w:tcPr>
          <w:p w14:paraId="223BB0D2" w14:textId="0DD3538C" w:rsidR="002F7412" w:rsidRPr="002F7412" w:rsidRDefault="002F7412" w:rsidP="002F7412">
            <w:pPr>
              <w:pStyle w:val="TableText"/>
              <w:spacing w:before="20" w:after="20"/>
              <w:jc w:val="center"/>
              <w:rPr>
                <w:sz w:val="18"/>
                <w:szCs w:val="18"/>
              </w:rPr>
            </w:pPr>
            <w:r w:rsidRPr="002F7412">
              <w:rPr>
                <w:sz w:val="18"/>
                <w:szCs w:val="18"/>
              </w:rPr>
              <w:t>8</w:t>
            </w:r>
          </w:p>
        </w:tc>
        <w:tc>
          <w:tcPr>
            <w:tcW w:w="986" w:type="pct"/>
            <w:noWrap/>
            <w:vAlign w:val="top"/>
            <w:hideMark/>
          </w:tcPr>
          <w:p w14:paraId="7A852CC4" w14:textId="448D9CB2" w:rsidR="002F7412" w:rsidRPr="002F7412" w:rsidRDefault="002F7412" w:rsidP="002F7412">
            <w:pPr>
              <w:pStyle w:val="TableText"/>
              <w:spacing w:before="20" w:after="20"/>
              <w:jc w:val="center"/>
              <w:rPr>
                <w:sz w:val="18"/>
                <w:szCs w:val="18"/>
              </w:rPr>
            </w:pPr>
            <w:r w:rsidRPr="002F7412">
              <w:rPr>
                <w:sz w:val="18"/>
                <w:szCs w:val="18"/>
              </w:rPr>
              <w:t>2.50%</w:t>
            </w:r>
          </w:p>
        </w:tc>
      </w:tr>
      <w:tr w:rsidR="002F7412" w:rsidRPr="002F7412" w14:paraId="5D6656CF" w14:textId="77777777" w:rsidTr="002F7412">
        <w:tc>
          <w:tcPr>
            <w:tcW w:w="2820" w:type="pct"/>
            <w:noWrap/>
            <w:vAlign w:val="top"/>
            <w:hideMark/>
          </w:tcPr>
          <w:p w14:paraId="1C728D6C" w14:textId="19FA8DB1" w:rsidR="002F7412" w:rsidRPr="002F7412" w:rsidRDefault="002F7412" w:rsidP="002F7412">
            <w:pPr>
              <w:pStyle w:val="TableText"/>
              <w:spacing w:before="20" w:after="20"/>
              <w:rPr>
                <w:sz w:val="18"/>
                <w:szCs w:val="18"/>
              </w:rPr>
            </w:pPr>
            <w:r w:rsidRPr="002F7412">
              <w:rPr>
                <w:sz w:val="18"/>
                <w:szCs w:val="18"/>
              </w:rPr>
              <w:t>Benchmark prices ($AUD) / MHz yr 10</w:t>
            </w:r>
          </w:p>
        </w:tc>
        <w:tc>
          <w:tcPr>
            <w:tcW w:w="1194" w:type="pct"/>
            <w:vAlign w:val="top"/>
          </w:tcPr>
          <w:p w14:paraId="5EDE4144" w14:textId="5DFF6983" w:rsidR="002F7412" w:rsidRPr="002F7412" w:rsidRDefault="002F7412" w:rsidP="002F7412">
            <w:pPr>
              <w:pStyle w:val="TableText"/>
              <w:spacing w:before="20" w:after="20"/>
              <w:jc w:val="center"/>
              <w:rPr>
                <w:sz w:val="18"/>
                <w:szCs w:val="18"/>
              </w:rPr>
            </w:pPr>
            <w:r w:rsidRPr="002F7412">
              <w:rPr>
                <w:sz w:val="18"/>
                <w:szCs w:val="18"/>
              </w:rPr>
              <w:t>9 = 7 x (1+8)</w:t>
            </w:r>
            <w:r w:rsidRPr="00290E80">
              <w:rPr>
                <w:sz w:val="18"/>
                <w:szCs w:val="18"/>
                <w:vertAlign w:val="superscript"/>
              </w:rPr>
              <w:t>9</w:t>
            </w:r>
          </w:p>
        </w:tc>
        <w:tc>
          <w:tcPr>
            <w:tcW w:w="986" w:type="pct"/>
            <w:noWrap/>
            <w:vAlign w:val="top"/>
            <w:hideMark/>
          </w:tcPr>
          <w:p w14:paraId="71A83781" w14:textId="39C6325F" w:rsidR="002F7412" w:rsidRPr="002F7412" w:rsidRDefault="002F7412" w:rsidP="002F7412">
            <w:pPr>
              <w:pStyle w:val="TableText"/>
              <w:spacing w:before="20" w:after="20"/>
              <w:jc w:val="center"/>
              <w:rPr>
                <w:sz w:val="18"/>
                <w:szCs w:val="18"/>
              </w:rPr>
            </w:pPr>
            <w:r w:rsidRPr="002F7412">
              <w:rPr>
                <w:sz w:val="18"/>
                <w:szCs w:val="18"/>
              </w:rPr>
              <w:t xml:space="preserve"> 6,244,315 </w:t>
            </w:r>
          </w:p>
        </w:tc>
      </w:tr>
      <w:tr w:rsidR="002F7412" w:rsidRPr="002F7412" w14:paraId="15250634" w14:textId="77777777" w:rsidTr="002F7412">
        <w:trPr>
          <w:cnfStyle w:val="000000010000" w:firstRow="0" w:lastRow="0" w:firstColumn="0" w:lastColumn="0" w:oddVBand="0" w:evenVBand="0" w:oddHBand="0" w:evenHBand="1" w:firstRowFirstColumn="0" w:firstRowLastColumn="0" w:lastRowFirstColumn="0" w:lastRowLastColumn="0"/>
        </w:trPr>
        <w:tc>
          <w:tcPr>
            <w:tcW w:w="2820" w:type="pct"/>
            <w:noWrap/>
            <w:vAlign w:val="top"/>
          </w:tcPr>
          <w:p w14:paraId="286B0D23" w14:textId="7837FD4B" w:rsidR="002F7412" w:rsidRPr="002F7412" w:rsidRDefault="002F7412" w:rsidP="002F7412">
            <w:pPr>
              <w:pStyle w:val="TableText"/>
              <w:spacing w:before="20" w:after="20"/>
              <w:rPr>
                <w:sz w:val="18"/>
                <w:szCs w:val="18"/>
              </w:rPr>
            </w:pPr>
            <w:r w:rsidRPr="002F7412">
              <w:rPr>
                <w:sz w:val="18"/>
                <w:szCs w:val="18"/>
              </w:rPr>
              <w:t>Australia population yr 10</w:t>
            </w:r>
          </w:p>
        </w:tc>
        <w:tc>
          <w:tcPr>
            <w:tcW w:w="1194" w:type="pct"/>
            <w:vAlign w:val="top"/>
          </w:tcPr>
          <w:p w14:paraId="6B898E1B" w14:textId="079F2834" w:rsidR="002F7412" w:rsidRPr="002F7412" w:rsidRDefault="002F7412" w:rsidP="002F7412">
            <w:pPr>
              <w:pStyle w:val="TableText"/>
              <w:spacing w:before="20" w:after="20"/>
              <w:jc w:val="center"/>
              <w:rPr>
                <w:sz w:val="18"/>
                <w:szCs w:val="18"/>
              </w:rPr>
            </w:pPr>
            <w:r w:rsidRPr="002F7412">
              <w:rPr>
                <w:sz w:val="18"/>
                <w:szCs w:val="18"/>
              </w:rPr>
              <w:t>10</w:t>
            </w:r>
          </w:p>
        </w:tc>
        <w:tc>
          <w:tcPr>
            <w:tcW w:w="986" w:type="pct"/>
            <w:noWrap/>
            <w:vAlign w:val="top"/>
          </w:tcPr>
          <w:p w14:paraId="2DE3BF0C" w14:textId="4F0189DD" w:rsidR="002F7412" w:rsidRPr="002F7412" w:rsidRDefault="002F7412" w:rsidP="002F7412">
            <w:pPr>
              <w:pStyle w:val="TableText"/>
              <w:spacing w:before="20" w:after="20"/>
              <w:jc w:val="center"/>
              <w:rPr>
                <w:sz w:val="18"/>
                <w:szCs w:val="18"/>
              </w:rPr>
            </w:pPr>
            <w:r w:rsidRPr="002F7412">
              <w:rPr>
                <w:sz w:val="18"/>
                <w:szCs w:val="18"/>
              </w:rPr>
              <w:t xml:space="preserve"> 26,000,000 </w:t>
            </w:r>
          </w:p>
        </w:tc>
      </w:tr>
      <w:tr w:rsidR="002F7412" w:rsidRPr="002F7412" w14:paraId="1468A823" w14:textId="77777777" w:rsidTr="002F7412">
        <w:tc>
          <w:tcPr>
            <w:tcW w:w="2820" w:type="pct"/>
            <w:noWrap/>
            <w:vAlign w:val="top"/>
          </w:tcPr>
          <w:p w14:paraId="26FD8FBB" w14:textId="5C3656C2" w:rsidR="002F7412" w:rsidRPr="002F7412" w:rsidRDefault="002F7412" w:rsidP="002F7412">
            <w:pPr>
              <w:pStyle w:val="TableText"/>
              <w:spacing w:before="20" w:after="20"/>
              <w:rPr>
                <w:sz w:val="18"/>
                <w:szCs w:val="18"/>
              </w:rPr>
            </w:pPr>
            <w:r w:rsidRPr="002F7412">
              <w:rPr>
                <w:sz w:val="18"/>
                <w:szCs w:val="18"/>
              </w:rPr>
              <w:lastRenderedPageBreak/>
              <w:t>Price / MHz / Pop</w:t>
            </w:r>
            <w:r w:rsidR="002B5A21">
              <w:rPr>
                <w:sz w:val="18"/>
                <w:szCs w:val="18"/>
              </w:rPr>
              <w:t xml:space="preserve"> yr 10</w:t>
            </w:r>
          </w:p>
        </w:tc>
        <w:tc>
          <w:tcPr>
            <w:tcW w:w="1194" w:type="pct"/>
            <w:vAlign w:val="top"/>
          </w:tcPr>
          <w:p w14:paraId="687FB77F" w14:textId="329D1BE1" w:rsidR="002F7412" w:rsidRPr="002F7412" w:rsidRDefault="002F7412" w:rsidP="002F7412">
            <w:pPr>
              <w:pStyle w:val="TableText"/>
              <w:spacing w:before="20" w:after="20"/>
              <w:jc w:val="center"/>
              <w:rPr>
                <w:sz w:val="18"/>
                <w:szCs w:val="18"/>
              </w:rPr>
            </w:pPr>
            <w:r w:rsidRPr="002F7412">
              <w:rPr>
                <w:sz w:val="18"/>
                <w:szCs w:val="18"/>
              </w:rPr>
              <w:t>9/10</w:t>
            </w:r>
          </w:p>
        </w:tc>
        <w:tc>
          <w:tcPr>
            <w:tcW w:w="986" w:type="pct"/>
            <w:noWrap/>
            <w:vAlign w:val="top"/>
          </w:tcPr>
          <w:p w14:paraId="06AF76AE" w14:textId="50435723" w:rsidR="002F7412" w:rsidRPr="002F7412" w:rsidRDefault="002F7412" w:rsidP="002F7412">
            <w:pPr>
              <w:pStyle w:val="TableText"/>
              <w:spacing w:before="20" w:after="20"/>
              <w:jc w:val="center"/>
              <w:rPr>
                <w:sz w:val="18"/>
                <w:szCs w:val="18"/>
              </w:rPr>
            </w:pPr>
            <w:r w:rsidRPr="002F7412">
              <w:rPr>
                <w:sz w:val="18"/>
                <w:szCs w:val="18"/>
              </w:rPr>
              <w:t xml:space="preserve"> 0.24 </w:t>
            </w:r>
          </w:p>
        </w:tc>
      </w:tr>
    </w:tbl>
    <w:p w14:paraId="38476964" w14:textId="6C48C98C" w:rsidR="00C942CC" w:rsidRPr="00885B0A" w:rsidRDefault="00C942CC">
      <w:pPr>
        <w:pStyle w:val="Source"/>
      </w:pPr>
      <w:r w:rsidRPr="00885B0A">
        <w:t xml:space="preserve">Source: </w:t>
      </w:r>
      <w:r w:rsidR="00A15292">
        <w:t>Frontier Economics</w:t>
      </w:r>
      <w:r w:rsidR="00C74FCF">
        <w:t>.</w:t>
      </w:r>
    </w:p>
    <w:p w14:paraId="20302B67" w14:textId="34F63844" w:rsidR="003149BD" w:rsidRDefault="003149BD" w:rsidP="003149BD">
      <w:pPr>
        <w:pStyle w:val="Heading4"/>
      </w:pPr>
      <w:r>
        <w:t>Adjustments where licence duration is not the same</w:t>
      </w:r>
    </w:p>
    <w:p w14:paraId="76E3A5E8" w14:textId="79C5AA59" w:rsidR="007A249C" w:rsidRDefault="00AD452C" w:rsidP="00ED0C74">
      <w:pPr>
        <w:pStyle w:val="BodyText"/>
      </w:pPr>
      <w:r>
        <w:t xml:space="preserve">Using benchmarks from licences of different durations </w:t>
      </w:r>
      <w:r w:rsidR="00837069">
        <w:t xml:space="preserve">requires further calculations to ensure that the </w:t>
      </w:r>
      <w:r w:rsidR="00926C4D">
        <w:t>benchmarks are comparable</w:t>
      </w:r>
      <w:r w:rsidR="00D83815">
        <w:t xml:space="preserve"> to </w:t>
      </w:r>
      <w:r w:rsidR="002F5630">
        <w:t>market values in Australia</w:t>
      </w:r>
      <w:r>
        <w:t>.</w:t>
      </w:r>
      <w:r w:rsidR="00ED170A">
        <w:t xml:space="preserve"> </w:t>
      </w:r>
    </w:p>
    <w:p w14:paraId="4F00403D" w14:textId="762B6BB2" w:rsidR="00E4169B" w:rsidRDefault="00ED0C74" w:rsidP="00ED0C74">
      <w:pPr>
        <w:pStyle w:val="BodyText"/>
      </w:pPr>
      <w:r>
        <w:t xml:space="preserve">The ACMA’s </w:t>
      </w:r>
      <w:r w:rsidR="00BB5229">
        <w:t xml:space="preserve">current </w:t>
      </w:r>
      <w:r>
        <w:t xml:space="preserve">model </w:t>
      </w:r>
      <w:r w:rsidR="00BB5229">
        <w:t>allows for duration adjustments</w:t>
      </w:r>
      <w:r>
        <w:t xml:space="preserve"> us</w:t>
      </w:r>
      <w:r w:rsidR="00BB5229">
        <w:t>ing</w:t>
      </w:r>
      <w:r>
        <w:t xml:space="preserve"> </w:t>
      </w:r>
      <w:r w:rsidR="00BB5229">
        <w:t xml:space="preserve">a </w:t>
      </w:r>
      <w:r>
        <w:t>discount rate (</w:t>
      </w:r>
      <w:r w:rsidRPr="00290E80">
        <w:rPr>
          <w:i/>
          <w:iCs/>
        </w:rPr>
        <w:t>r</w:t>
      </w:r>
      <w:r>
        <w:t>) equivalent to an estimate of the domestic WACC for mobile operators, as set by the ACCC periodically for regulatory purposes</w:t>
      </w:r>
      <w:r w:rsidR="001C4967">
        <w:t>, and a cash</w:t>
      </w:r>
      <w:r w:rsidR="0022475A">
        <w:t xml:space="preserve"> </w:t>
      </w:r>
      <w:r w:rsidR="001C4967">
        <w:t xml:space="preserve">flow adjustment </w:t>
      </w:r>
      <w:r w:rsidR="002529C8">
        <w:t>reflecting</w:t>
      </w:r>
      <w:r w:rsidR="001C4967">
        <w:t xml:space="preserve"> growth in cash flows over time</w:t>
      </w:r>
      <w:r>
        <w:t xml:space="preserve">. </w:t>
      </w:r>
    </w:p>
    <w:p w14:paraId="2E94F641" w14:textId="0B643EF6" w:rsidR="00B33600" w:rsidRDefault="004374FE" w:rsidP="00ED0C74">
      <w:pPr>
        <w:pStyle w:val="BodyText"/>
      </w:pPr>
      <w:r>
        <w:t>T</w:t>
      </w:r>
      <w:r w:rsidR="0066557C" w:rsidRPr="0066557C">
        <w:t>he ACMA’s model provide</w:t>
      </w:r>
      <w:r>
        <w:t>s</w:t>
      </w:r>
      <w:r w:rsidR="0066557C" w:rsidRPr="0066557C">
        <w:t xml:space="preserve"> a reasonable basis for duration adjustments for domestic licences where</w:t>
      </w:r>
      <w:r w:rsidR="0083458C">
        <w:t>:</w:t>
      </w:r>
      <w:r w:rsidR="0066557C" w:rsidRPr="0066557C">
        <w:t xml:space="preserve"> </w:t>
      </w:r>
    </w:p>
    <w:p w14:paraId="27746670" w14:textId="77777777" w:rsidR="00B33600" w:rsidRDefault="0066557C" w:rsidP="00B33600">
      <w:pPr>
        <w:pStyle w:val="BodyText"/>
        <w:numPr>
          <w:ilvl w:val="0"/>
          <w:numId w:val="24"/>
        </w:numPr>
      </w:pPr>
      <w:r w:rsidRPr="0066557C">
        <w:t>it is applied to domestic price benchmarks (e.g. as for the 700MHz band)</w:t>
      </w:r>
      <w:r w:rsidR="001F4C01">
        <w:t xml:space="preserve"> and</w:t>
      </w:r>
    </w:p>
    <w:p w14:paraId="29DFF570" w14:textId="4293496B" w:rsidR="00D14580" w:rsidRDefault="001F4C01" w:rsidP="00B33600">
      <w:pPr>
        <w:pStyle w:val="BodyText"/>
        <w:numPr>
          <w:ilvl w:val="0"/>
          <w:numId w:val="24"/>
        </w:numPr>
      </w:pPr>
      <w:r>
        <w:t xml:space="preserve">the WACC estimated by the ACCC is </w:t>
      </w:r>
      <w:r w:rsidR="00C811CD">
        <w:t xml:space="preserve">a </w:t>
      </w:r>
      <w:r>
        <w:t xml:space="preserve">reasonable </w:t>
      </w:r>
      <w:r w:rsidR="00C811CD">
        <w:t xml:space="preserve">estimate </w:t>
      </w:r>
      <w:r>
        <w:t xml:space="preserve">for </w:t>
      </w:r>
      <w:r w:rsidR="00C811CD">
        <w:t xml:space="preserve">the actual WACC for </w:t>
      </w:r>
      <w:r>
        <w:t>mobile operators</w:t>
      </w:r>
      <w:r w:rsidR="00C811CD">
        <w:t xml:space="preserve"> at the time of bidding</w:t>
      </w:r>
      <w:r w:rsidR="0066557C" w:rsidRPr="0066557C">
        <w:t xml:space="preserve">. </w:t>
      </w:r>
    </w:p>
    <w:p w14:paraId="290AA26E" w14:textId="16D29A1C" w:rsidR="002F71AB" w:rsidRDefault="005A508E" w:rsidP="00082879">
      <w:pPr>
        <w:pStyle w:val="BodyText"/>
      </w:pPr>
      <w:r>
        <w:t>Direct transposition of an i</w:t>
      </w:r>
      <w:r w:rsidR="00D109BD">
        <w:t>nternational benchmark</w:t>
      </w:r>
      <w:r>
        <w:t xml:space="preserve"> would effectively assume that the </w:t>
      </w:r>
      <w:r w:rsidR="002E2A31">
        <w:t xml:space="preserve">price paid by the mobile operator internationally </w:t>
      </w:r>
      <w:r w:rsidR="00532509">
        <w:t xml:space="preserve">used similar </w:t>
      </w:r>
      <w:r w:rsidR="00940DC2">
        <w:t>cash</w:t>
      </w:r>
      <w:r w:rsidR="0022475A">
        <w:t xml:space="preserve"> </w:t>
      </w:r>
      <w:r w:rsidR="00940DC2">
        <w:t xml:space="preserve">flow and discount rate assumptions </w:t>
      </w:r>
      <w:r w:rsidR="008A69BF">
        <w:t xml:space="preserve">as </w:t>
      </w:r>
      <w:r w:rsidR="00940DC2">
        <w:t xml:space="preserve">would be relevant to Australia. </w:t>
      </w:r>
      <w:r w:rsidR="003B0A46">
        <w:t>Whether that assumption is reasonable is something that can only be judged with respect to</w:t>
      </w:r>
      <w:r w:rsidR="00082879">
        <w:t xml:space="preserve"> </w:t>
      </w:r>
      <w:r w:rsidR="003B0A46">
        <w:t xml:space="preserve">the particular circumstances of the </w:t>
      </w:r>
      <w:r w:rsidR="00530D36">
        <w:t xml:space="preserve">comparable </w:t>
      </w:r>
      <w:r w:rsidR="00105A5A">
        <w:t>transaction</w:t>
      </w:r>
      <w:r w:rsidR="00AF3D62">
        <w:t>.</w:t>
      </w:r>
    </w:p>
    <w:p w14:paraId="1007713F" w14:textId="3D6A6BA9" w:rsidR="009D77B2" w:rsidRDefault="005C12BA" w:rsidP="00ED0C74">
      <w:pPr>
        <w:pStyle w:val="BodyText"/>
      </w:pPr>
      <w:r>
        <w:t>If a</w:t>
      </w:r>
      <w:r w:rsidR="002B6FCA">
        <w:t>n otherwise</w:t>
      </w:r>
      <w:r>
        <w:t xml:space="preserve"> </w:t>
      </w:r>
      <w:r w:rsidR="006D4BC3">
        <w:t>comparable transaction</w:t>
      </w:r>
      <w:r w:rsidR="003B1EF1">
        <w:t xml:space="preserve"> </w:t>
      </w:r>
      <w:r w:rsidR="002B6FCA">
        <w:t>has</w:t>
      </w:r>
      <w:r w:rsidR="003B1EF1">
        <w:t xml:space="preserve"> been identified but there are concerns about the </w:t>
      </w:r>
      <w:r w:rsidR="002B6FCA">
        <w:t xml:space="preserve">implicit </w:t>
      </w:r>
      <w:r w:rsidR="003B1EF1">
        <w:t>WACC or cash</w:t>
      </w:r>
      <w:r w:rsidR="0022475A">
        <w:t xml:space="preserve"> </w:t>
      </w:r>
      <w:r w:rsidR="003B1EF1">
        <w:t>flow assumptions</w:t>
      </w:r>
      <w:r w:rsidR="00CF5A78">
        <w:t xml:space="preserve">, </w:t>
      </w:r>
      <w:r w:rsidR="00147C36">
        <w:t>either</w:t>
      </w:r>
      <w:r w:rsidR="009D77B2">
        <w:t>:</w:t>
      </w:r>
      <w:r w:rsidR="00147C36">
        <w:t xml:space="preserve"> </w:t>
      </w:r>
    </w:p>
    <w:p w14:paraId="0B50C6C6" w14:textId="0EF0E9E5" w:rsidR="009D77B2" w:rsidRDefault="002B6FCA" w:rsidP="00D9259D">
      <w:pPr>
        <w:pStyle w:val="ListNumber"/>
        <w:numPr>
          <w:ilvl w:val="0"/>
          <w:numId w:val="25"/>
        </w:numPr>
      </w:pPr>
      <w:r>
        <w:t>the comparator could be dropped</w:t>
      </w:r>
      <w:r w:rsidR="00C74FCF">
        <w:t>;</w:t>
      </w:r>
      <w:r>
        <w:t xml:space="preserve"> </w:t>
      </w:r>
      <w:r w:rsidR="00147C36">
        <w:t xml:space="preserve">or </w:t>
      </w:r>
    </w:p>
    <w:p w14:paraId="64425A7B" w14:textId="37834DBE" w:rsidR="001C145E" w:rsidRDefault="00147C36" w:rsidP="00D9259D">
      <w:pPr>
        <w:pStyle w:val="ListNumber"/>
        <w:numPr>
          <w:ilvl w:val="0"/>
          <w:numId w:val="25"/>
        </w:numPr>
      </w:pPr>
      <w:r>
        <w:t xml:space="preserve">the benchmark </w:t>
      </w:r>
      <w:r w:rsidR="002B6FCA">
        <w:t xml:space="preserve">could be adjusted </w:t>
      </w:r>
      <w:r>
        <w:t>to make it more comparable with contemporary Australian conditions.</w:t>
      </w:r>
      <w:r w:rsidR="005A0247">
        <w:t xml:space="preserve"> </w:t>
      </w:r>
    </w:p>
    <w:p w14:paraId="0EEDC76C" w14:textId="23578124" w:rsidR="00221ABE" w:rsidRDefault="005A0247" w:rsidP="00ED0C74">
      <w:pPr>
        <w:pStyle w:val="BodyText"/>
      </w:pPr>
      <w:r>
        <w:t>Th</w:t>
      </w:r>
      <w:r w:rsidR="001C145E">
        <w:t>e</w:t>
      </w:r>
      <w:r>
        <w:t xml:space="preserve"> judgement </w:t>
      </w:r>
      <w:r w:rsidR="001C145E">
        <w:t xml:space="preserve">regarding </w:t>
      </w:r>
      <w:r w:rsidR="00224DDE">
        <w:t>dropping the comparator</w:t>
      </w:r>
      <w:r w:rsidR="001C145E">
        <w:t xml:space="preserve"> </w:t>
      </w:r>
      <w:r>
        <w:t xml:space="preserve">should be informed by </w:t>
      </w:r>
      <w:r w:rsidR="00D46965">
        <w:t xml:space="preserve">matters including </w:t>
      </w:r>
      <w:r>
        <w:t xml:space="preserve">the amount </w:t>
      </w:r>
      <w:r w:rsidR="00224DDE">
        <w:t xml:space="preserve">and quality </w:t>
      </w:r>
      <w:r>
        <w:t xml:space="preserve">of other comparable </w:t>
      </w:r>
      <w:r w:rsidR="00D46965">
        <w:t>prices/values</w:t>
      </w:r>
      <w:r>
        <w:t>.</w:t>
      </w:r>
    </w:p>
    <w:p w14:paraId="3E6CAAF6" w14:textId="435AABA7" w:rsidR="00ED0C74" w:rsidRDefault="00147C36" w:rsidP="00ED0C74">
      <w:pPr>
        <w:pStyle w:val="BodyText"/>
      </w:pPr>
      <w:r>
        <w:t xml:space="preserve">With respect to </w:t>
      </w:r>
      <w:r w:rsidR="00224DDE">
        <w:t>adjustments</w:t>
      </w:r>
      <w:r>
        <w:t xml:space="preserve">, </w:t>
      </w:r>
      <w:r w:rsidR="007E1A7A">
        <w:t>we have already discussed the process of duration adjustments. For adjustments to cash</w:t>
      </w:r>
      <w:r w:rsidR="0022475A">
        <w:t xml:space="preserve"> </w:t>
      </w:r>
      <w:r w:rsidR="007E1A7A">
        <w:t xml:space="preserve">flow growth or discount rate differences, </w:t>
      </w:r>
      <w:r w:rsidR="00423CDF">
        <w:t xml:space="preserve">the best approach would be </w:t>
      </w:r>
      <w:r w:rsidR="00ED0C74">
        <w:t xml:space="preserve">to </w:t>
      </w:r>
      <w:r w:rsidR="004025B9">
        <w:t>derive</w:t>
      </w:r>
      <w:r w:rsidR="00ED0C74">
        <w:t xml:space="preserve"> </w:t>
      </w:r>
      <w:r w:rsidR="00423CDF">
        <w:t>an</w:t>
      </w:r>
      <w:r w:rsidR="00ED0C74">
        <w:t xml:space="preserve"> annual value of </w:t>
      </w:r>
      <w:r w:rsidR="00423CDF">
        <w:t xml:space="preserve">the </w:t>
      </w:r>
      <w:r w:rsidR="00ED0C74">
        <w:t xml:space="preserve">licences using </w:t>
      </w:r>
      <w:r w:rsidR="00996E9B">
        <w:t>estimated</w:t>
      </w:r>
      <w:r w:rsidR="00ED0C74">
        <w:t xml:space="preserve"> WACC and cash</w:t>
      </w:r>
      <w:r w:rsidR="0022475A">
        <w:t xml:space="preserve"> </w:t>
      </w:r>
      <w:r w:rsidR="00ED0C74">
        <w:t>flow adjustment for that domestic jurisdiction</w:t>
      </w:r>
      <w:r w:rsidR="0066557C">
        <w:t xml:space="preserve"> – that is, to find ‘A’ in the formulas above</w:t>
      </w:r>
      <w:r w:rsidR="00ED0C74">
        <w:t xml:space="preserve">. </w:t>
      </w:r>
      <w:r w:rsidR="00ED6F46">
        <w:t>(W</w:t>
      </w:r>
      <w:r w:rsidR="00BA2D9C" w:rsidRPr="00BA2D9C">
        <w:t>e would accept that WACCs and cash flow assumptions for internation</w:t>
      </w:r>
      <w:r w:rsidR="00BA2D9C">
        <w:t>al</w:t>
      </w:r>
      <w:r w:rsidR="00BA2D9C" w:rsidRPr="00BA2D9C">
        <w:t xml:space="preserve"> benchmarks are not likely to be easily accessible</w:t>
      </w:r>
      <w:r w:rsidR="00ED6F46">
        <w:t>)</w:t>
      </w:r>
      <w:r w:rsidR="00BA2D9C" w:rsidRPr="00BA2D9C">
        <w:t>.</w:t>
      </w:r>
      <w:r w:rsidR="00BA2D9C">
        <w:t xml:space="preserve"> </w:t>
      </w:r>
      <w:r w:rsidR="00ED0C74">
        <w:t xml:space="preserve">The annual values could </w:t>
      </w:r>
      <w:r w:rsidR="00ED6F46">
        <w:t xml:space="preserve">then </w:t>
      </w:r>
      <w:r w:rsidR="00ED0C74">
        <w:t xml:space="preserve">be converted to Australian </w:t>
      </w:r>
      <w:r w:rsidR="004A46B3">
        <w:t xml:space="preserve">dollar </w:t>
      </w:r>
      <w:r w:rsidR="00ED0C74">
        <w:t>equivalents and then multiplied by the number of years using appropriate</w:t>
      </w:r>
      <w:r w:rsidR="00ED6F46">
        <w:t>, contemporary</w:t>
      </w:r>
      <w:r w:rsidR="00ED0C74">
        <w:t xml:space="preserve"> Australian values for discount rates and cash</w:t>
      </w:r>
      <w:r w:rsidR="0022475A">
        <w:t xml:space="preserve"> </w:t>
      </w:r>
      <w:r w:rsidR="00ED0C74">
        <w:t xml:space="preserve">flow growth. </w:t>
      </w:r>
    </w:p>
    <w:p w14:paraId="5C89A844" w14:textId="1BCEBE13" w:rsidR="009F4EC6" w:rsidRDefault="00F82FEA" w:rsidP="00903727">
      <w:pPr>
        <w:pStyle w:val="BodyText"/>
      </w:pPr>
      <w:r>
        <w:t>To provide an example of how adjustments might work</w:t>
      </w:r>
      <w:r w:rsidR="00730584">
        <w:t xml:space="preserve">, we </w:t>
      </w:r>
      <w:r w:rsidR="00C27710">
        <w:t>outline</w:t>
      </w:r>
      <w:r w:rsidR="00730584">
        <w:t xml:space="preserve"> the steps</w:t>
      </w:r>
      <w:r w:rsidR="00131C27">
        <w:t xml:space="preserve"> in </w:t>
      </w:r>
      <w:r w:rsidR="00131C27">
        <w:fldChar w:fldCharType="begin"/>
      </w:r>
      <w:r w:rsidR="00131C27">
        <w:instrText xml:space="preserve"> REF _Ref169269596 \h </w:instrText>
      </w:r>
      <w:r w:rsidR="00131C27">
        <w:fldChar w:fldCharType="separate"/>
      </w:r>
      <w:r w:rsidR="00290E80" w:rsidRPr="00004691">
        <w:t>Table</w:t>
      </w:r>
      <w:r w:rsidR="00290E80" w:rsidRPr="00004691">
        <w:rPr>
          <w:rStyle w:val="Bold"/>
        </w:rPr>
        <w:t xml:space="preserve"> </w:t>
      </w:r>
      <w:r w:rsidR="00290E80">
        <w:rPr>
          <w:noProof/>
        </w:rPr>
        <w:t>3</w:t>
      </w:r>
      <w:r w:rsidR="00131C27">
        <w:fldChar w:fldCharType="end"/>
      </w:r>
      <w:r w:rsidR="00C27710">
        <w:t>.</w:t>
      </w:r>
    </w:p>
    <w:p w14:paraId="69E03A74" w14:textId="6AE0F667" w:rsidR="00FE45B4" w:rsidRDefault="00FE45B4" w:rsidP="004845C9">
      <w:pPr>
        <w:pStyle w:val="Caption"/>
        <w:keepNext/>
      </w:pPr>
      <w:bookmarkStart w:id="14" w:name="_Ref169269596"/>
      <w:bookmarkStart w:id="15" w:name="_Toc170474034"/>
      <w:r w:rsidRPr="00004691">
        <w:t>Table</w:t>
      </w:r>
      <w:r w:rsidRPr="00004691">
        <w:rPr>
          <w:rStyle w:val="Bold"/>
        </w:rPr>
        <w:t xml:space="preserve"> </w:t>
      </w:r>
      <w:r>
        <w:fldChar w:fldCharType="begin"/>
      </w:r>
      <w:r>
        <w:instrText xml:space="preserve"> SEQ Table \* ARABIC </w:instrText>
      </w:r>
      <w:r>
        <w:fldChar w:fldCharType="separate"/>
      </w:r>
      <w:r w:rsidR="00290E80">
        <w:rPr>
          <w:noProof/>
        </w:rPr>
        <w:t>3</w:t>
      </w:r>
      <w:r>
        <w:rPr>
          <w:noProof/>
        </w:rPr>
        <w:fldChar w:fldCharType="end"/>
      </w:r>
      <w:bookmarkEnd w:id="14"/>
      <w:r w:rsidRPr="00004691">
        <w:rPr>
          <w:rStyle w:val="Bold"/>
        </w:rPr>
        <w:t>:</w:t>
      </w:r>
      <w:r w:rsidRPr="00004691">
        <w:t xml:space="preserve"> </w:t>
      </w:r>
      <w:r>
        <w:t>Example of a duration adjustment</w:t>
      </w:r>
      <w:r w:rsidR="00131C27">
        <w:t xml:space="preserve"> for an international benchmark</w:t>
      </w:r>
      <w:bookmarkEnd w:id="15"/>
    </w:p>
    <w:tbl>
      <w:tblPr>
        <w:tblStyle w:val="FETableStyle"/>
        <w:tblW w:w="5000" w:type="pct"/>
        <w:tblLook w:val="0420" w:firstRow="1" w:lastRow="0" w:firstColumn="0" w:lastColumn="0" w:noHBand="0" w:noVBand="1"/>
      </w:tblPr>
      <w:tblGrid>
        <w:gridCol w:w="1668"/>
        <w:gridCol w:w="2416"/>
        <w:gridCol w:w="2173"/>
        <w:gridCol w:w="2770"/>
      </w:tblGrid>
      <w:tr w:rsidR="00831E06" w:rsidRPr="00FE45B4" w14:paraId="5A41756D" w14:textId="77777777" w:rsidTr="00831E06">
        <w:trPr>
          <w:cnfStyle w:val="100000000000" w:firstRow="1" w:lastRow="0" w:firstColumn="0" w:lastColumn="0" w:oddVBand="0" w:evenVBand="0" w:oddHBand="0" w:evenHBand="0" w:firstRowFirstColumn="0" w:firstRowLastColumn="0" w:lastRowFirstColumn="0" w:lastRowLastColumn="0"/>
        </w:trPr>
        <w:tc>
          <w:tcPr>
            <w:tcW w:w="1668" w:type="dxa"/>
            <w:hideMark/>
          </w:tcPr>
          <w:p w14:paraId="164367DD" w14:textId="77777777" w:rsidR="00831E06" w:rsidRPr="00FE45B4" w:rsidRDefault="00831E06" w:rsidP="00FE45B4">
            <w:pPr>
              <w:pStyle w:val="TableHeading"/>
              <w:spacing w:before="20" w:after="20"/>
              <w:rPr>
                <w:sz w:val="18"/>
                <w:szCs w:val="18"/>
              </w:rPr>
            </w:pPr>
            <w:r w:rsidRPr="00FE45B4">
              <w:rPr>
                <w:sz w:val="18"/>
                <w:szCs w:val="18"/>
              </w:rPr>
              <w:t>Step</w:t>
            </w:r>
          </w:p>
        </w:tc>
        <w:tc>
          <w:tcPr>
            <w:tcW w:w="2416" w:type="dxa"/>
            <w:hideMark/>
          </w:tcPr>
          <w:p w14:paraId="32F44FA5" w14:textId="77777777" w:rsidR="00831E06" w:rsidRPr="00FE45B4" w:rsidRDefault="00831E06" w:rsidP="00FE45B4">
            <w:pPr>
              <w:pStyle w:val="TableHeading"/>
              <w:spacing w:before="20" w:after="20"/>
              <w:rPr>
                <w:sz w:val="18"/>
                <w:szCs w:val="18"/>
              </w:rPr>
            </w:pPr>
            <w:r w:rsidRPr="00FE45B4">
              <w:rPr>
                <w:sz w:val="18"/>
                <w:szCs w:val="18"/>
              </w:rPr>
              <w:t>Example</w:t>
            </w:r>
          </w:p>
        </w:tc>
        <w:tc>
          <w:tcPr>
            <w:tcW w:w="2173" w:type="dxa"/>
          </w:tcPr>
          <w:p w14:paraId="081B5F1A" w14:textId="34A80ED5" w:rsidR="00831E06" w:rsidRPr="00FE45B4" w:rsidRDefault="002B7684" w:rsidP="00FE45B4">
            <w:pPr>
              <w:pStyle w:val="TableHeading"/>
              <w:spacing w:before="20" w:after="20"/>
              <w:rPr>
                <w:b w:val="0"/>
                <w:sz w:val="18"/>
                <w:szCs w:val="18"/>
              </w:rPr>
            </w:pPr>
            <w:r>
              <w:rPr>
                <w:b w:val="0"/>
                <w:sz w:val="18"/>
                <w:szCs w:val="18"/>
              </w:rPr>
              <w:t>Example value</w:t>
            </w:r>
          </w:p>
        </w:tc>
        <w:tc>
          <w:tcPr>
            <w:tcW w:w="2770" w:type="dxa"/>
            <w:hideMark/>
          </w:tcPr>
          <w:p w14:paraId="61A035EB" w14:textId="4F4AEAB7" w:rsidR="00831E06" w:rsidRPr="00FE45B4" w:rsidRDefault="00831E06" w:rsidP="00FE45B4">
            <w:pPr>
              <w:pStyle w:val="TableHeading"/>
              <w:spacing w:before="20" w:after="20"/>
              <w:rPr>
                <w:sz w:val="18"/>
                <w:szCs w:val="18"/>
              </w:rPr>
            </w:pPr>
            <w:r w:rsidRPr="00FE45B4">
              <w:rPr>
                <w:sz w:val="18"/>
                <w:szCs w:val="18"/>
              </w:rPr>
              <w:t>Notes</w:t>
            </w:r>
          </w:p>
        </w:tc>
      </w:tr>
      <w:tr w:rsidR="00831E06" w:rsidRPr="00FE45B4" w14:paraId="67B87995" w14:textId="77777777" w:rsidTr="00831E06">
        <w:tc>
          <w:tcPr>
            <w:tcW w:w="1668" w:type="dxa"/>
            <w:hideMark/>
          </w:tcPr>
          <w:p w14:paraId="1C42B682" w14:textId="77777777" w:rsidR="00831E06" w:rsidRPr="00FE45B4" w:rsidRDefault="00831E06" w:rsidP="00FE45B4">
            <w:pPr>
              <w:pStyle w:val="TableText"/>
              <w:spacing w:before="20" w:after="20"/>
              <w:rPr>
                <w:sz w:val="18"/>
                <w:szCs w:val="18"/>
              </w:rPr>
            </w:pPr>
            <w:r w:rsidRPr="00FE45B4">
              <w:rPr>
                <w:sz w:val="18"/>
                <w:szCs w:val="18"/>
              </w:rPr>
              <w:t>From total paid, calculated per MHz figure (divide by Pop &amp; MHz)</w:t>
            </w:r>
          </w:p>
        </w:tc>
        <w:tc>
          <w:tcPr>
            <w:tcW w:w="2416" w:type="dxa"/>
            <w:hideMark/>
          </w:tcPr>
          <w:p w14:paraId="46605FE2" w14:textId="2A63DC3E" w:rsidR="00831E06" w:rsidRPr="00FE45B4" w:rsidRDefault="00831E06" w:rsidP="00FE45B4">
            <w:pPr>
              <w:pStyle w:val="TableText"/>
              <w:spacing w:before="20" w:after="20"/>
              <w:rPr>
                <w:sz w:val="18"/>
                <w:szCs w:val="18"/>
              </w:rPr>
            </w:pPr>
            <w:r w:rsidRPr="00FE45B4">
              <w:rPr>
                <w:sz w:val="18"/>
                <w:szCs w:val="18"/>
              </w:rPr>
              <w:t>Value</w:t>
            </w:r>
            <w:r>
              <w:rPr>
                <w:sz w:val="18"/>
                <w:szCs w:val="18"/>
              </w:rPr>
              <w:t xml:space="preserve"> (converted to AUD)</w:t>
            </w:r>
            <w:r w:rsidRPr="00FE45B4">
              <w:rPr>
                <w:sz w:val="18"/>
                <w:szCs w:val="18"/>
              </w:rPr>
              <w:tab/>
              <w:t xml:space="preserve"> </w:t>
            </w:r>
          </w:p>
          <w:p w14:paraId="7A4B45F4" w14:textId="3BD9A57B" w:rsidR="00831E06" w:rsidRPr="00FE45B4" w:rsidRDefault="00831E06" w:rsidP="00FE45B4">
            <w:pPr>
              <w:pStyle w:val="TableText"/>
              <w:spacing w:before="20" w:after="20"/>
              <w:rPr>
                <w:sz w:val="18"/>
                <w:szCs w:val="18"/>
              </w:rPr>
            </w:pPr>
            <w:r w:rsidRPr="00FE45B4">
              <w:rPr>
                <w:sz w:val="18"/>
                <w:szCs w:val="18"/>
              </w:rPr>
              <w:t>pop</w:t>
            </w:r>
            <w:r w:rsidRPr="00FE45B4">
              <w:rPr>
                <w:sz w:val="18"/>
                <w:szCs w:val="18"/>
              </w:rPr>
              <w:tab/>
              <w:t xml:space="preserve"> </w:t>
            </w:r>
            <w:r w:rsidRPr="00FE45B4">
              <w:rPr>
                <w:sz w:val="18"/>
                <w:szCs w:val="18"/>
              </w:rPr>
              <w:tab/>
              <w:t xml:space="preserve"> </w:t>
            </w:r>
          </w:p>
          <w:p w14:paraId="34C78E36" w14:textId="53C2CD0D" w:rsidR="00831E06" w:rsidRPr="00FE45B4" w:rsidRDefault="00831E06" w:rsidP="00FE45B4">
            <w:pPr>
              <w:pStyle w:val="TableText"/>
              <w:spacing w:before="20" w:after="20"/>
              <w:rPr>
                <w:sz w:val="18"/>
                <w:szCs w:val="18"/>
              </w:rPr>
            </w:pPr>
            <w:proofErr w:type="spellStart"/>
            <w:r w:rsidRPr="00FE45B4">
              <w:rPr>
                <w:sz w:val="18"/>
                <w:szCs w:val="18"/>
              </w:rPr>
              <w:t>mhz</w:t>
            </w:r>
            <w:proofErr w:type="spellEnd"/>
            <w:r w:rsidRPr="00FE45B4">
              <w:rPr>
                <w:sz w:val="18"/>
                <w:szCs w:val="18"/>
              </w:rPr>
              <w:tab/>
            </w:r>
            <w:r w:rsidRPr="00FE45B4">
              <w:rPr>
                <w:sz w:val="18"/>
                <w:szCs w:val="18"/>
              </w:rPr>
              <w:tab/>
            </w:r>
          </w:p>
          <w:p w14:paraId="66A78F19" w14:textId="5DBF64FB" w:rsidR="00831E06" w:rsidRPr="00FE45B4" w:rsidRDefault="00831E06" w:rsidP="00FE45B4">
            <w:pPr>
              <w:pStyle w:val="TableText"/>
              <w:spacing w:before="20" w:after="20"/>
              <w:rPr>
                <w:sz w:val="18"/>
                <w:szCs w:val="18"/>
              </w:rPr>
            </w:pPr>
            <w:r w:rsidRPr="00FE45B4">
              <w:rPr>
                <w:sz w:val="18"/>
                <w:szCs w:val="18"/>
              </w:rPr>
              <w:t>$</w:t>
            </w:r>
            <w:proofErr w:type="spellStart"/>
            <w:r w:rsidRPr="00FE45B4">
              <w:rPr>
                <w:sz w:val="18"/>
                <w:szCs w:val="18"/>
              </w:rPr>
              <w:t>mhz</w:t>
            </w:r>
            <w:proofErr w:type="spellEnd"/>
            <w:r w:rsidRPr="00FE45B4">
              <w:rPr>
                <w:sz w:val="18"/>
                <w:szCs w:val="18"/>
              </w:rPr>
              <w:t>/pop</w:t>
            </w:r>
            <w:r w:rsidRPr="00FE45B4">
              <w:rPr>
                <w:sz w:val="18"/>
                <w:szCs w:val="18"/>
              </w:rPr>
              <w:tab/>
            </w:r>
          </w:p>
        </w:tc>
        <w:tc>
          <w:tcPr>
            <w:tcW w:w="2173" w:type="dxa"/>
          </w:tcPr>
          <w:p w14:paraId="5DBF66B3" w14:textId="77777777" w:rsidR="00831E06" w:rsidRDefault="00831E06" w:rsidP="00FE45B4">
            <w:pPr>
              <w:pStyle w:val="TableText"/>
              <w:spacing w:before="20" w:after="20"/>
              <w:rPr>
                <w:sz w:val="18"/>
                <w:szCs w:val="18"/>
              </w:rPr>
            </w:pPr>
            <w:r w:rsidRPr="00FE45B4">
              <w:rPr>
                <w:sz w:val="18"/>
                <w:szCs w:val="18"/>
              </w:rPr>
              <w:t>$10,000,000</w:t>
            </w:r>
          </w:p>
          <w:p w14:paraId="4E14AADE" w14:textId="77777777" w:rsidR="00831E06" w:rsidRDefault="00831E06" w:rsidP="00FE45B4">
            <w:pPr>
              <w:pStyle w:val="TableText"/>
              <w:spacing w:before="20" w:after="20"/>
              <w:rPr>
                <w:sz w:val="18"/>
                <w:szCs w:val="18"/>
              </w:rPr>
            </w:pPr>
            <w:r w:rsidRPr="00FE45B4">
              <w:rPr>
                <w:sz w:val="18"/>
                <w:szCs w:val="18"/>
              </w:rPr>
              <w:t>3,000,000</w:t>
            </w:r>
          </w:p>
          <w:p w14:paraId="08D6E9A8" w14:textId="77777777" w:rsidR="00831E06" w:rsidRDefault="00831E06" w:rsidP="00FE45B4">
            <w:pPr>
              <w:pStyle w:val="TableText"/>
              <w:spacing w:before="20" w:after="20"/>
              <w:rPr>
                <w:sz w:val="18"/>
                <w:szCs w:val="18"/>
              </w:rPr>
            </w:pPr>
            <w:r w:rsidRPr="00FE45B4">
              <w:rPr>
                <w:sz w:val="18"/>
                <w:szCs w:val="18"/>
              </w:rPr>
              <w:t>20</w:t>
            </w:r>
          </w:p>
          <w:p w14:paraId="7AF317D1" w14:textId="7DE65850" w:rsidR="00831E06" w:rsidRPr="00FE45B4" w:rsidRDefault="00831E06" w:rsidP="00FE45B4">
            <w:pPr>
              <w:pStyle w:val="TableText"/>
              <w:spacing w:before="20" w:after="20"/>
              <w:rPr>
                <w:sz w:val="18"/>
                <w:szCs w:val="18"/>
              </w:rPr>
            </w:pPr>
            <w:r w:rsidRPr="00FE45B4">
              <w:rPr>
                <w:sz w:val="18"/>
                <w:szCs w:val="18"/>
              </w:rPr>
              <w:t>$0.167</w:t>
            </w:r>
          </w:p>
        </w:tc>
        <w:tc>
          <w:tcPr>
            <w:tcW w:w="2770" w:type="dxa"/>
            <w:hideMark/>
          </w:tcPr>
          <w:p w14:paraId="452997FC" w14:textId="2D6AF2D8" w:rsidR="00831E06" w:rsidRPr="00FE45B4" w:rsidRDefault="00831E06" w:rsidP="00FE45B4">
            <w:pPr>
              <w:pStyle w:val="TableText"/>
              <w:spacing w:before="20" w:after="20"/>
              <w:rPr>
                <w:sz w:val="18"/>
                <w:szCs w:val="18"/>
              </w:rPr>
            </w:pPr>
            <w:r w:rsidRPr="00FE45B4">
              <w:rPr>
                <w:sz w:val="18"/>
                <w:szCs w:val="18"/>
              </w:rPr>
              <w:t>We assume the benchmark has these characteristics</w:t>
            </w:r>
          </w:p>
        </w:tc>
      </w:tr>
      <w:tr w:rsidR="00831E06" w:rsidRPr="00FE45B4" w14:paraId="06B9290B" w14:textId="77777777" w:rsidTr="00831E06">
        <w:trPr>
          <w:cnfStyle w:val="000000010000" w:firstRow="0" w:lastRow="0" w:firstColumn="0" w:lastColumn="0" w:oddVBand="0" w:evenVBand="0" w:oddHBand="0" w:evenHBand="1" w:firstRowFirstColumn="0" w:firstRowLastColumn="0" w:lastRowFirstColumn="0" w:lastRowLastColumn="0"/>
        </w:trPr>
        <w:tc>
          <w:tcPr>
            <w:tcW w:w="1668" w:type="dxa"/>
            <w:hideMark/>
          </w:tcPr>
          <w:p w14:paraId="2B1D3D92" w14:textId="77777777" w:rsidR="00831E06" w:rsidRPr="00FE45B4" w:rsidRDefault="00831E06" w:rsidP="00FE45B4">
            <w:pPr>
              <w:pStyle w:val="TableText"/>
              <w:spacing w:before="20" w:after="20"/>
              <w:rPr>
                <w:sz w:val="18"/>
                <w:szCs w:val="18"/>
              </w:rPr>
            </w:pPr>
            <w:r w:rsidRPr="00FE45B4">
              <w:rPr>
                <w:sz w:val="18"/>
                <w:szCs w:val="18"/>
              </w:rPr>
              <w:t>Calculate A, using benchmark market values for WACC and tilt</w:t>
            </w:r>
          </w:p>
        </w:tc>
        <w:tc>
          <w:tcPr>
            <w:tcW w:w="2416" w:type="dxa"/>
            <w:hideMark/>
          </w:tcPr>
          <w:p w14:paraId="1BCFC7DC" w14:textId="637C4390" w:rsidR="00831E06" w:rsidRPr="00FE45B4" w:rsidRDefault="00831E06" w:rsidP="00FE45B4">
            <w:pPr>
              <w:pStyle w:val="TableText"/>
              <w:spacing w:before="20" w:after="20"/>
              <w:rPr>
                <w:sz w:val="18"/>
                <w:szCs w:val="18"/>
              </w:rPr>
            </w:pPr>
            <w:r w:rsidRPr="00FE45B4">
              <w:rPr>
                <w:sz w:val="18"/>
                <w:szCs w:val="18"/>
              </w:rPr>
              <w:t>licence period</w:t>
            </w:r>
            <w:r w:rsidRPr="00FE45B4">
              <w:rPr>
                <w:sz w:val="18"/>
                <w:szCs w:val="18"/>
              </w:rPr>
              <w:tab/>
            </w:r>
          </w:p>
          <w:p w14:paraId="0D32F0C8" w14:textId="4CD5518C" w:rsidR="00831E06" w:rsidRPr="00FE45B4" w:rsidRDefault="00CD561A" w:rsidP="00FE45B4">
            <w:pPr>
              <w:pStyle w:val="TableText"/>
              <w:spacing w:before="20" w:after="20"/>
              <w:rPr>
                <w:sz w:val="18"/>
                <w:szCs w:val="18"/>
              </w:rPr>
            </w:pPr>
            <w:r>
              <w:rPr>
                <w:sz w:val="18"/>
                <w:szCs w:val="18"/>
              </w:rPr>
              <w:t>WACC</w:t>
            </w:r>
            <w:r w:rsidR="00831E06" w:rsidRPr="00FE45B4">
              <w:rPr>
                <w:sz w:val="18"/>
                <w:szCs w:val="18"/>
              </w:rPr>
              <w:tab/>
            </w:r>
            <w:r w:rsidR="00831E06" w:rsidRPr="00FE45B4">
              <w:rPr>
                <w:sz w:val="18"/>
                <w:szCs w:val="18"/>
              </w:rPr>
              <w:tab/>
            </w:r>
          </w:p>
          <w:p w14:paraId="764BE26C" w14:textId="09A8662D" w:rsidR="00831E06" w:rsidRPr="00FE45B4" w:rsidRDefault="00831E06" w:rsidP="00FE45B4">
            <w:pPr>
              <w:pStyle w:val="TableText"/>
              <w:spacing w:before="20" w:after="20"/>
              <w:rPr>
                <w:sz w:val="18"/>
                <w:szCs w:val="18"/>
              </w:rPr>
            </w:pPr>
            <w:r w:rsidRPr="00FE45B4">
              <w:rPr>
                <w:sz w:val="18"/>
                <w:szCs w:val="18"/>
              </w:rPr>
              <w:t xml:space="preserve">tilt </w:t>
            </w:r>
            <w:r w:rsidRPr="00FE45B4">
              <w:rPr>
                <w:sz w:val="18"/>
                <w:szCs w:val="18"/>
              </w:rPr>
              <w:tab/>
            </w:r>
            <w:r w:rsidRPr="00FE45B4">
              <w:rPr>
                <w:sz w:val="18"/>
                <w:szCs w:val="18"/>
              </w:rPr>
              <w:tab/>
            </w:r>
          </w:p>
          <w:p w14:paraId="583A4B29" w14:textId="4CBFFE12" w:rsidR="00831E06" w:rsidRPr="00FE45B4" w:rsidRDefault="00831E06" w:rsidP="00FE45B4">
            <w:pPr>
              <w:pStyle w:val="TableText"/>
              <w:spacing w:before="20" w:after="20"/>
              <w:rPr>
                <w:sz w:val="18"/>
                <w:szCs w:val="18"/>
              </w:rPr>
            </w:pPr>
            <w:r w:rsidRPr="00FE45B4">
              <w:rPr>
                <w:sz w:val="18"/>
                <w:szCs w:val="18"/>
              </w:rPr>
              <w:t>A</w:t>
            </w:r>
            <w:r w:rsidRPr="00FE45B4">
              <w:rPr>
                <w:sz w:val="18"/>
                <w:szCs w:val="18"/>
              </w:rPr>
              <w:tab/>
            </w:r>
            <w:r w:rsidRPr="00FE45B4">
              <w:rPr>
                <w:sz w:val="18"/>
                <w:szCs w:val="18"/>
              </w:rPr>
              <w:tab/>
            </w:r>
          </w:p>
        </w:tc>
        <w:tc>
          <w:tcPr>
            <w:tcW w:w="2173" w:type="dxa"/>
          </w:tcPr>
          <w:p w14:paraId="0659A228" w14:textId="77777777" w:rsidR="00232F1D" w:rsidRDefault="00232F1D" w:rsidP="00FE45B4">
            <w:pPr>
              <w:pStyle w:val="TableText"/>
              <w:spacing w:before="20" w:after="20"/>
              <w:rPr>
                <w:sz w:val="18"/>
                <w:szCs w:val="18"/>
              </w:rPr>
            </w:pPr>
            <w:r w:rsidRPr="00FE45B4">
              <w:rPr>
                <w:sz w:val="18"/>
                <w:szCs w:val="18"/>
              </w:rPr>
              <w:t>15</w:t>
            </w:r>
            <w:r>
              <w:rPr>
                <w:sz w:val="18"/>
                <w:szCs w:val="18"/>
              </w:rPr>
              <w:br/>
            </w:r>
            <w:r w:rsidRPr="00FE45B4">
              <w:rPr>
                <w:sz w:val="18"/>
                <w:szCs w:val="18"/>
              </w:rPr>
              <w:t>12.0%</w:t>
            </w:r>
          </w:p>
          <w:p w14:paraId="094A97E0" w14:textId="77777777" w:rsidR="00232F1D" w:rsidRDefault="00232F1D" w:rsidP="00FE45B4">
            <w:pPr>
              <w:pStyle w:val="TableText"/>
              <w:spacing w:before="20" w:after="20"/>
              <w:rPr>
                <w:sz w:val="18"/>
                <w:szCs w:val="18"/>
              </w:rPr>
            </w:pPr>
            <w:r w:rsidRPr="00FE45B4">
              <w:rPr>
                <w:sz w:val="18"/>
                <w:szCs w:val="18"/>
              </w:rPr>
              <w:t>5.0%</w:t>
            </w:r>
          </w:p>
          <w:p w14:paraId="69982650" w14:textId="07600273" w:rsidR="00831E06" w:rsidRPr="00FE45B4" w:rsidRDefault="00232F1D" w:rsidP="00FE45B4">
            <w:pPr>
              <w:pStyle w:val="TableText"/>
              <w:spacing w:before="20" w:after="20"/>
              <w:rPr>
                <w:sz w:val="18"/>
                <w:szCs w:val="18"/>
              </w:rPr>
            </w:pPr>
            <w:r w:rsidRPr="00FE45B4">
              <w:rPr>
                <w:sz w:val="18"/>
                <w:szCs w:val="18"/>
              </w:rPr>
              <w:t>$1,128,691</w:t>
            </w:r>
          </w:p>
        </w:tc>
        <w:tc>
          <w:tcPr>
            <w:tcW w:w="2770" w:type="dxa"/>
            <w:hideMark/>
          </w:tcPr>
          <w:p w14:paraId="4F623C89" w14:textId="103ABBC6" w:rsidR="00831E06" w:rsidRPr="00FE45B4" w:rsidRDefault="00831E06" w:rsidP="00FE45B4">
            <w:pPr>
              <w:pStyle w:val="TableText"/>
              <w:spacing w:before="20" w:after="20"/>
              <w:rPr>
                <w:sz w:val="18"/>
                <w:szCs w:val="18"/>
              </w:rPr>
            </w:pPr>
            <w:r w:rsidRPr="00FE45B4">
              <w:rPr>
                <w:sz w:val="18"/>
                <w:szCs w:val="18"/>
              </w:rPr>
              <w:t>We work out the value of ‘A’ – the value of cash</w:t>
            </w:r>
            <w:r w:rsidR="0022475A">
              <w:rPr>
                <w:sz w:val="18"/>
                <w:szCs w:val="18"/>
              </w:rPr>
              <w:t xml:space="preserve"> </w:t>
            </w:r>
            <w:r w:rsidRPr="00FE45B4">
              <w:rPr>
                <w:sz w:val="18"/>
                <w:szCs w:val="18"/>
              </w:rPr>
              <w:t>flows in the first year which provides for NPV of the licence value with growing annuity cash</w:t>
            </w:r>
            <w:r w:rsidR="0022475A">
              <w:rPr>
                <w:sz w:val="18"/>
                <w:szCs w:val="18"/>
              </w:rPr>
              <w:t xml:space="preserve"> </w:t>
            </w:r>
            <w:r w:rsidRPr="00FE45B4">
              <w:rPr>
                <w:sz w:val="18"/>
                <w:szCs w:val="18"/>
              </w:rPr>
              <w:t>flows. This uses the discount (WACC) assumptions.</w:t>
            </w:r>
            <w:r w:rsidR="00447146">
              <w:rPr>
                <w:sz w:val="18"/>
                <w:szCs w:val="18"/>
              </w:rPr>
              <w:t xml:space="preserve"> </w:t>
            </w:r>
            <w:r w:rsidR="000227EC">
              <w:rPr>
                <w:sz w:val="18"/>
                <w:szCs w:val="18"/>
              </w:rPr>
              <w:t>(</w:t>
            </w:r>
            <w:r w:rsidR="00447146">
              <w:rPr>
                <w:sz w:val="18"/>
                <w:szCs w:val="18"/>
              </w:rPr>
              <w:t>A can be converted to $AUD</w:t>
            </w:r>
            <w:r w:rsidR="000227EC">
              <w:rPr>
                <w:sz w:val="18"/>
                <w:szCs w:val="18"/>
              </w:rPr>
              <w:t xml:space="preserve"> and rolled forward to the relevant time period at this point)</w:t>
            </w:r>
            <w:r w:rsidR="00447146">
              <w:rPr>
                <w:sz w:val="18"/>
                <w:szCs w:val="18"/>
              </w:rPr>
              <w:t>.</w:t>
            </w:r>
          </w:p>
        </w:tc>
      </w:tr>
      <w:tr w:rsidR="00831E06" w:rsidRPr="00FE45B4" w14:paraId="7711730E" w14:textId="77777777" w:rsidTr="00831E06">
        <w:tc>
          <w:tcPr>
            <w:tcW w:w="1668" w:type="dxa"/>
            <w:hideMark/>
          </w:tcPr>
          <w:p w14:paraId="0868333C" w14:textId="77777777" w:rsidR="00831E06" w:rsidRPr="00FE45B4" w:rsidRDefault="00831E06" w:rsidP="00FE45B4">
            <w:pPr>
              <w:pStyle w:val="TableText"/>
              <w:spacing w:before="20" w:after="20"/>
              <w:rPr>
                <w:sz w:val="18"/>
                <w:szCs w:val="18"/>
              </w:rPr>
            </w:pPr>
            <w:r w:rsidRPr="00FE45B4">
              <w:rPr>
                <w:sz w:val="18"/>
                <w:szCs w:val="18"/>
              </w:rPr>
              <w:lastRenderedPageBreak/>
              <w:t>Change WACC, tilt and/or life assumptions</w:t>
            </w:r>
          </w:p>
        </w:tc>
        <w:tc>
          <w:tcPr>
            <w:tcW w:w="2416" w:type="dxa"/>
            <w:hideMark/>
          </w:tcPr>
          <w:p w14:paraId="20824D08" w14:textId="2EA64200" w:rsidR="00831E06" w:rsidRPr="00FE45B4" w:rsidRDefault="00CD561A" w:rsidP="00FE45B4">
            <w:pPr>
              <w:pStyle w:val="TableText"/>
              <w:spacing w:before="20" w:after="20"/>
              <w:rPr>
                <w:sz w:val="18"/>
                <w:szCs w:val="18"/>
              </w:rPr>
            </w:pPr>
            <w:r>
              <w:rPr>
                <w:sz w:val="18"/>
                <w:szCs w:val="18"/>
              </w:rPr>
              <w:t>WACC</w:t>
            </w:r>
            <w:r w:rsidR="00831E06" w:rsidRPr="00FE45B4">
              <w:rPr>
                <w:sz w:val="18"/>
                <w:szCs w:val="18"/>
              </w:rPr>
              <w:tab/>
            </w:r>
            <w:r w:rsidR="00831E06" w:rsidRPr="00FE45B4">
              <w:rPr>
                <w:sz w:val="18"/>
                <w:szCs w:val="18"/>
              </w:rPr>
              <w:tab/>
            </w:r>
          </w:p>
          <w:p w14:paraId="41D1E347" w14:textId="4864913F" w:rsidR="00831E06" w:rsidRPr="00FE45B4" w:rsidRDefault="00831E06" w:rsidP="00FE45B4">
            <w:pPr>
              <w:pStyle w:val="TableText"/>
              <w:spacing w:before="20" w:after="20"/>
              <w:rPr>
                <w:sz w:val="18"/>
                <w:szCs w:val="18"/>
              </w:rPr>
            </w:pPr>
            <w:r w:rsidRPr="00FE45B4">
              <w:rPr>
                <w:sz w:val="18"/>
                <w:szCs w:val="18"/>
              </w:rPr>
              <w:t xml:space="preserve">tilt </w:t>
            </w:r>
            <w:r w:rsidRPr="00FE45B4">
              <w:rPr>
                <w:sz w:val="18"/>
                <w:szCs w:val="18"/>
              </w:rPr>
              <w:tab/>
            </w:r>
            <w:r w:rsidRPr="00FE45B4">
              <w:rPr>
                <w:sz w:val="18"/>
                <w:szCs w:val="18"/>
              </w:rPr>
              <w:tab/>
            </w:r>
          </w:p>
          <w:p w14:paraId="2C08FD8D" w14:textId="3A4EAF32" w:rsidR="00831E06" w:rsidRPr="00FE45B4" w:rsidRDefault="00831E06" w:rsidP="00FE45B4">
            <w:pPr>
              <w:pStyle w:val="TableText"/>
              <w:spacing w:before="20" w:after="20"/>
              <w:rPr>
                <w:sz w:val="18"/>
                <w:szCs w:val="18"/>
              </w:rPr>
            </w:pPr>
            <w:r w:rsidRPr="00FE45B4">
              <w:rPr>
                <w:sz w:val="18"/>
                <w:szCs w:val="18"/>
              </w:rPr>
              <w:t>licence period</w:t>
            </w:r>
            <w:r w:rsidRPr="00FE45B4">
              <w:rPr>
                <w:sz w:val="18"/>
                <w:szCs w:val="18"/>
              </w:rPr>
              <w:tab/>
            </w:r>
          </w:p>
        </w:tc>
        <w:tc>
          <w:tcPr>
            <w:tcW w:w="2173" w:type="dxa"/>
          </w:tcPr>
          <w:p w14:paraId="09F05FD9" w14:textId="77777777" w:rsidR="002B7684" w:rsidRDefault="002B7684" w:rsidP="00FE45B4">
            <w:pPr>
              <w:pStyle w:val="TableText"/>
              <w:spacing w:before="20" w:after="20"/>
              <w:rPr>
                <w:sz w:val="18"/>
                <w:szCs w:val="18"/>
              </w:rPr>
            </w:pPr>
            <w:r w:rsidRPr="00FE45B4">
              <w:rPr>
                <w:sz w:val="18"/>
                <w:szCs w:val="18"/>
              </w:rPr>
              <w:t>8.4%</w:t>
            </w:r>
          </w:p>
          <w:p w14:paraId="57D8BC85" w14:textId="77777777" w:rsidR="002B7684" w:rsidRDefault="002B7684" w:rsidP="00FE45B4">
            <w:pPr>
              <w:pStyle w:val="TableText"/>
              <w:spacing w:before="20" w:after="20"/>
              <w:rPr>
                <w:sz w:val="18"/>
                <w:szCs w:val="18"/>
              </w:rPr>
            </w:pPr>
            <w:r w:rsidRPr="00FE45B4">
              <w:rPr>
                <w:sz w:val="18"/>
                <w:szCs w:val="18"/>
              </w:rPr>
              <w:t>2.5%</w:t>
            </w:r>
          </w:p>
          <w:p w14:paraId="07B8D4B9" w14:textId="3C6CE606" w:rsidR="00831E06" w:rsidRPr="00FE45B4" w:rsidRDefault="002B7684" w:rsidP="00FE45B4">
            <w:pPr>
              <w:pStyle w:val="TableText"/>
              <w:spacing w:before="20" w:after="20"/>
              <w:rPr>
                <w:sz w:val="18"/>
                <w:szCs w:val="18"/>
              </w:rPr>
            </w:pPr>
            <w:r w:rsidRPr="00FE45B4">
              <w:rPr>
                <w:sz w:val="18"/>
                <w:szCs w:val="18"/>
              </w:rPr>
              <w:t>20</w:t>
            </w:r>
          </w:p>
        </w:tc>
        <w:tc>
          <w:tcPr>
            <w:tcW w:w="2770" w:type="dxa"/>
            <w:hideMark/>
          </w:tcPr>
          <w:p w14:paraId="6FF3CD22" w14:textId="4DBA3A13" w:rsidR="00831E06" w:rsidRPr="00FE45B4" w:rsidRDefault="00831E06" w:rsidP="00FE45B4">
            <w:pPr>
              <w:pStyle w:val="TableText"/>
              <w:spacing w:before="20" w:after="20"/>
              <w:rPr>
                <w:sz w:val="18"/>
                <w:szCs w:val="18"/>
              </w:rPr>
            </w:pPr>
            <w:r w:rsidRPr="00FE45B4">
              <w:rPr>
                <w:sz w:val="18"/>
                <w:szCs w:val="18"/>
              </w:rPr>
              <w:t xml:space="preserve">To convert the value to a contemporary Australian value, we can apply the WACC and </w:t>
            </w:r>
            <w:r w:rsidR="000227EC" w:rsidRPr="00FE45B4">
              <w:rPr>
                <w:sz w:val="18"/>
                <w:szCs w:val="18"/>
              </w:rPr>
              <w:t xml:space="preserve">tilt </w:t>
            </w:r>
            <w:r w:rsidRPr="00FE45B4">
              <w:rPr>
                <w:sz w:val="18"/>
                <w:szCs w:val="18"/>
              </w:rPr>
              <w:t>assumptions</w:t>
            </w:r>
            <w:r w:rsidR="00022F5D">
              <w:rPr>
                <w:sz w:val="18"/>
                <w:szCs w:val="18"/>
              </w:rPr>
              <w:t xml:space="preserve"> to apply from the commencement of the licence</w:t>
            </w:r>
            <w:r w:rsidRPr="00FE45B4">
              <w:rPr>
                <w:sz w:val="18"/>
                <w:szCs w:val="18"/>
              </w:rPr>
              <w:t>, as well as adjust the licence duration (to 20 years).</w:t>
            </w:r>
          </w:p>
        </w:tc>
      </w:tr>
      <w:tr w:rsidR="00831E06" w:rsidRPr="00FE45B4" w14:paraId="358347D2" w14:textId="77777777" w:rsidTr="00831E06">
        <w:trPr>
          <w:cnfStyle w:val="000000010000" w:firstRow="0" w:lastRow="0" w:firstColumn="0" w:lastColumn="0" w:oddVBand="0" w:evenVBand="0" w:oddHBand="0" w:evenHBand="1" w:firstRowFirstColumn="0" w:firstRowLastColumn="0" w:lastRowFirstColumn="0" w:lastRowLastColumn="0"/>
        </w:trPr>
        <w:tc>
          <w:tcPr>
            <w:tcW w:w="1668" w:type="dxa"/>
            <w:hideMark/>
          </w:tcPr>
          <w:p w14:paraId="7377DAE4" w14:textId="02FD9E6C" w:rsidR="00831E06" w:rsidRPr="00FE45B4" w:rsidRDefault="000227EC" w:rsidP="00FE45B4">
            <w:pPr>
              <w:pStyle w:val="TableText"/>
              <w:spacing w:before="20" w:after="20"/>
              <w:rPr>
                <w:sz w:val="18"/>
                <w:szCs w:val="18"/>
              </w:rPr>
            </w:pPr>
            <w:r>
              <w:rPr>
                <w:sz w:val="18"/>
                <w:szCs w:val="18"/>
              </w:rPr>
              <w:t>Re-estimate value for different duration licence</w:t>
            </w:r>
          </w:p>
        </w:tc>
        <w:tc>
          <w:tcPr>
            <w:tcW w:w="2416" w:type="dxa"/>
            <w:hideMark/>
          </w:tcPr>
          <w:p w14:paraId="44F560CB" w14:textId="6EDEF901" w:rsidR="00831E06" w:rsidRPr="00FE45B4" w:rsidRDefault="00831E06" w:rsidP="00FE45B4">
            <w:pPr>
              <w:pStyle w:val="TableText"/>
              <w:spacing w:before="20" w:after="20"/>
              <w:rPr>
                <w:sz w:val="18"/>
                <w:szCs w:val="18"/>
              </w:rPr>
            </w:pPr>
            <w:r w:rsidRPr="00FE45B4">
              <w:rPr>
                <w:sz w:val="18"/>
                <w:szCs w:val="18"/>
              </w:rPr>
              <w:t>20 yr</w:t>
            </w:r>
            <w:r w:rsidRPr="00FE45B4">
              <w:rPr>
                <w:sz w:val="18"/>
                <w:szCs w:val="18"/>
              </w:rPr>
              <w:tab/>
            </w:r>
            <w:r w:rsidRPr="00FE45B4">
              <w:rPr>
                <w:sz w:val="18"/>
                <w:szCs w:val="18"/>
              </w:rPr>
              <w:tab/>
            </w:r>
          </w:p>
        </w:tc>
        <w:tc>
          <w:tcPr>
            <w:tcW w:w="2173" w:type="dxa"/>
          </w:tcPr>
          <w:p w14:paraId="504D2CC0" w14:textId="7A3A0E08" w:rsidR="00831E06" w:rsidRPr="00FE45B4" w:rsidRDefault="002B7684" w:rsidP="00FE45B4">
            <w:pPr>
              <w:pStyle w:val="TableText"/>
              <w:spacing w:before="20" w:after="20"/>
              <w:rPr>
                <w:sz w:val="18"/>
                <w:szCs w:val="18"/>
              </w:rPr>
            </w:pPr>
            <w:r w:rsidRPr="00FE45B4">
              <w:rPr>
                <w:sz w:val="18"/>
                <w:szCs w:val="18"/>
              </w:rPr>
              <w:t>$12,884,170</w:t>
            </w:r>
          </w:p>
        </w:tc>
        <w:tc>
          <w:tcPr>
            <w:tcW w:w="2770" w:type="dxa"/>
            <w:hideMark/>
          </w:tcPr>
          <w:p w14:paraId="148F2836" w14:textId="613DFF27" w:rsidR="00831E06" w:rsidRPr="00FE45B4" w:rsidRDefault="00831E06" w:rsidP="00FE45B4">
            <w:pPr>
              <w:pStyle w:val="TableText"/>
              <w:spacing w:before="20" w:after="20"/>
              <w:rPr>
                <w:sz w:val="18"/>
                <w:szCs w:val="18"/>
              </w:rPr>
            </w:pPr>
            <w:r w:rsidRPr="00FE45B4">
              <w:rPr>
                <w:sz w:val="18"/>
                <w:szCs w:val="18"/>
              </w:rPr>
              <w:t>The totals use the cash</w:t>
            </w:r>
            <w:r w:rsidR="0022475A">
              <w:rPr>
                <w:sz w:val="18"/>
                <w:szCs w:val="18"/>
              </w:rPr>
              <w:t xml:space="preserve"> </w:t>
            </w:r>
            <w:r w:rsidRPr="00FE45B4">
              <w:rPr>
                <w:sz w:val="18"/>
                <w:szCs w:val="18"/>
              </w:rPr>
              <w:t xml:space="preserve">flow in the first year (A) and increase this value in line with the tilt </w:t>
            </w:r>
            <w:proofErr w:type="gramStart"/>
            <w:r w:rsidRPr="00FE45B4">
              <w:rPr>
                <w:sz w:val="18"/>
                <w:szCs w:val="18"/>
              </w:rPr>
              <w:t>assumptions, and</w:t>
            </w:r>
            <w:proofErr w:type="gramEnd"/>
            <w:r w:rsidRPr="00FE45B4">
              <w:rPr>
                <w:sz w:val="18"/>
                <w:szCs w:val="18"/>
              </w:rPr>
              <w:t xml:space="preserve"> then discount back with the different WACC.</w:t>
            </w:r>
          </w:p>
          <w:p w14:paraId="530658A3" w14:textId="1E224CDB" w:rsidR="00831E06" w:rsidRPr="00FE45B4" w:rsidRDefault="00831E06" w:rsidP="00FE45B4">
            <w:pPr>
              <w:pStyle w:val="TableText"/>
              <w:spacing w:before="20" w:after="20"/>
              <w:rPr>
                <w:sz w:val="18"/>
                <w:szCs w:val="18"/>
              </w:rPr>
            </w:pPr>
            <w:r w:rsidRPr="00FE45B4">
              <w:rPr>
                <w:sz w:val="18"/>
                <w:szCs w:val="18"/>
              </w:rPr>
              <w:t>The duration adjustment for a shorter licence period calculates values using cash</w:t>
            </w:r>
            <w:r w:rsidR="0022475A">
              <w:rPr>
                <w:sz w:val="18"/>
                <w:szCs w:val="18"/>
              </w:rPr>
              <w:t xml:space="preserve"> </w:t>
            </w:r>
            <w:r w:rsidRPr="00FE45B4">
              <w:rPr>
                <w:sz w:val="18"/>
                <w:szCs w:val="18"/>
              </w:rPr>
              <w:t>flows for years 1 – 10.</w:t>
            </w:r>
          </w:p>
        </w:tc>
      </w:tr>
      <w:tr w:rsidR="00831E06" w:rsidRPr="00FE45B4" w14:paraId="4A6F10E4" w14:textId="77777777" w:rsidTr="00831E06">
        <w:tc>
          <w:tcPr>
            <w:tcW w:w="1668" w:type="dxa"/>
            <w:hideMark/>
          </w:tcPr>
          <w:p w14:paraId="08671EA1" w14:textId="77777777" w:rsidR="00831E06" w:rsidRPr="00FE45B4" w:rsidRDefault="00831E06" w:rsidP="00FE45B4">
            <w:pPr>
              <w:pStyle w:val="TableText"/>
              <w:spacing w:before="20" w:after="20"/>
              <w:rPr>
                <w:sz w:val="18"/>
                <w:szCs w:val="18"/>
              </w:rPr>
            </w:pPr>
            <w:r w:rsidRPr="00FE45B4">
              <w:rPr>
                <w:sz w:val="18"/>
                <w:szCs w:val="18"/>
              </w:rPr>
              <w:t xml:space="preserve">Recalculate per MHz figure (/ Pop / </w:t>
            </w:r>
            <w:proofErr w:type="spellStart"/>
            <w:r w:rsidRPr="00FE45B4">
              <w:rPr>
                <w:sz w:val="18"/>
                <w:szCs w:val="18"/>
              </w:rPr>
              <w:t>Mhz</w:t>
            </w:r>
            <w:proofErr w:type="spellEnd"/>
            <w:r w:rsidRPr="00FE45B4">
              <w:rPr>
                <w:sz w:val="18"/>
                <w:szCs w:val="18"/>
              </w:rPr>
              <w:t>)</w:t>
            </w:r>
          </w:p>
        </w:tc>
        <w:tc>
          <w:tcPr>
            <w:tcW w:w="2416" w:type="dxa"/>
            <w:hideMark/>
          </w:tcPr>
          <w:p w14:paraId="0D6B0E9A" w14:textId="7A0C8910" w:rsidR="00831E06" w:rsidRPr="00FE45B4" w:rsidRDefault="00831E06" w:rsidP="00FE45B4">
            <w:pPr>
              <w:pStyle w:val="TableText"/>
              <w:spacing w:before="20" w:after="20"/>
              <w:rPr>
                <w:sz w:val="18"/>
                <w:szCs w:val="18"/>
              </w:rPr>
            </w:pPr>
            <w:r w:rsidRPr="00FE45B4">
              <w:rPr>
                <w:sz w:val="18"/>
                <w:szCs w:val="18"/>
              </w:rPr>
              <w:t>20 yr</w:t>
            </w:r>
            <w:r w:rsidRPr="00FE45B4">
              <w:rPr>
                <w:sz w:val="18"/>
                <w:szCs w:val="18"/>
              </w:rPr>
              <w:tab/>
            </w:r>
            <w:r w:rsidRPr="00FE45B4">
              <w:rPr>
                <w:sz w:val="18"/>
                <w:szCs w:val="18"/>
              </w:rPr>
              <w:tab/>
            </w:r>
          </w:p>
        </w:tc>
        <w:tc>
          <w:tcPr>
            <w:tcW w:w="2173" w:type="dxa"/>
          </w:tcPr>
          <w:p w14:paraId="24EEBD97" w14:textId="4DF32F83" w:rsidR="00831E06" w:rsidRPr="00FE45B4" w:rsidRDefault="008B6741" w:rsidP="008B6741">
            <w:pPr>
              <w:pStyle w:val="TableText"/>
              <w:spacing w:before="20" w:after="20"/>
              <w:rPr>
                <w:sz w:val="18"/>
                <w:szCs w:val="18"/>
              </w:rPr>
            </w:pPr>
            <w:r w:rsidRPr="00FE45B4">
              <w:rPr>
                <w:sz w:val="18"/>
                <w:szCs w:val="18"/>
              </w:rPr>
              <w:t>$0.215</w:t>
            </w:r>
          </w:p>
        </w:tc>
        <w:tc>
          <w:tcPr>
            <w:tcW w:w="2770" w:type="dxa"/>
            <w:hideMark/>
          </w:tcPr>
          <w:p w14:paraId="5F1BD960" w14:textId="7185F0FA" w:rsidR="00831E06" w:rsidRPr="00FE45B4" w:rsidRDefault="00831E06" w:rsidP="00FE45B4">
            <w:pPr>
              <w:pStyle w:val="TableText"/>
              <w:spacing w:before="20" w:after="20"/>
              <w:rPr>
                <w:sz w:val="18"/>
                <w:szCs w:val="18"/>
              </w:rPr>
            </w:pPr>
            <w:r w:rsidRPr="00FE45B4">
              <w:rPr>
                <w:sz w:val="18"/>
                <w:szCs w:val="18"/>
              </w:rPr>
              <w:t>The 20</w:t>
            </w:r>
            <w:r w:rsidR="0022475A">
              <w:rPr>
                <w:sz w:val="18"/>
                <w:szCs w:val="18"/>
              </w:rPr>
              <w:t>-</w:t>
            </w:r>
            <w:r w:rsidRPr="00FE45B4">
              <w:rPr>
                <w:sz w:val="18"/>
                <w:szCs w:val="18"/>
              </w:rPr>
              <w:t>year version assumes that the expected cash</w:t>
            </w:r>
            <w:r w:rsidR="0022475A">
              <w:rPr>
                <w:sz w:val="18"/>
                <w:szCs w:val="18"/>
              </w:rPr>
              <w:t xml:space="preserve"> </w:t>
            </w:r>
            <w:r w:rsidRPr="00FE45B4">
              <w:rPr>
                <w:sz w:val="18"/>
                <w:szCs w:val="18"/>
              </w:rPr>
              <w:t>flows continue for another 5 years and are discounted accordingly.</w:t>
            </w:r>
          </w:p>
        </w:tc>
      </w:tr>
    </w:tbl>
    <w:p w14:paraId="64C0DCFD" w14:textId="456E422D" w:rsidR="00FE45B4" w:rsidRPr="00885B0A" w:rsidRDefault="00FE45B4" w:rsidP="004845C9">
      <w:pPr>
        <w:pStyle w:val="Source"/>
      </w:pPr>
      <w:r w:rsidRPr="00885B0A">
        <w:t xml:space="preserve">Source: </w:t>
      </w:r>
      <w:r w:rsidR="00EE4C91">
        <w:t>Frontier Economics</w:t>
      </w:r>
      <w:r w:rsidR="00C74FCF">
        <w:t>.</w:t>
      </w:r>
    </w:p>
    <w:p w14:paraId="049E92B6" w14:textId="69D8156F" w:rsidR="00F233EF" w:rsidRDefault="00F233EF" w:rsidP="00F233EF">
      <w:pPr>
        <w:pStyle w:val="Heading4"/>
      </w:pPr>
      <w:r>
        <w:t>Updating cash flow assumptions</w:t>
      </w:r>
    </w:p>
    <w:p w14:paraId="2B603A67" w14:textId="3388E76E" w:rsidR="00F233EF" w:rsidRPr="00F233EF" w:rsidRDefault="006E7A30" w:rsidP="00F233EF">
      <w:pPr>
        <w:pStyle w:val="BodyText"/>
        <w:rPr>
          <w:lang w:eastAsia="en-AU"/>
        </w:rPr>
      </w:pPr>
      <w:r>
        <w:rPr>
          <w:lang w:eastAsia="en-AU"/>
        </w:rPr>
        <w:t xml:space="preserve">The discussion in the preceding section has not </w:t>
      </w:r>
      <w:r w:rsidR="00EC3829">
        <w:rPr>
          <w:lang w:eastAsia="en-AU"/>
        </w:rPr>
        <w:t xml:space="preserve">specifically </w:t>
      </w:r>
      <w:r>
        <w:rPr>
          <w:lang w:eastAsia="en-AU"/>
        </w:rPr>
        <w:t xml:space="preserve">addressed the question of the different timing of the licence awards </w:t>
      </w:r>
      <w:r w:rsidR="00F824F4">
        <w:rPr>
          <w:lang w:eastAsia="en-AU"/>
        </w:rPr>
        <w:t xml:space="preserve">and the Australian renewal. Suppose, for example, that we were able to convert </w:t>
      </w:r>
      <w:r w:rsidR="00F33CED">
        <w:rPr>
          <w:lang w:eastAsia="en-AU"/>
        </w:rPr>
        <w:t xml:space="preserve">a benchmark from country </w:t>
      </w:r>
      <w:r w:rsidR="00ED72A6">
        <w:rPr>
          <w:lang w:eastAsia="en-AU"/>
        </w:rPr>
        <w:t xml:space="preserve">Y to </w:t>
      </w:r>
      <w:r w:rsidR="00DB55F0">
        <w:rPr>
          <w:lang w:eastAsia="en-AU"/>
        </w:rPr>
        <w:t>Australia</w:t>
      </w:r>
      <w:r w:rsidR="003D6B54">
        <w:rPr>
          <w:lang w:eastAsia="en-AU"/>
        </w:rPr>
        <w:t xml:space="preserve"> by changing assumptions on WACC, tilt factors and licence duration. </w:t>
      </w:r>
      <w:r w:rsidR="003352EA">
        <w:rPr>
          <w:lang w:eastAsia="en-AU"/>
        </w:rPr>
        <w:t>W</w:t>
      </w:r>
      <w:r w:rsidR="003D6B54">
        <w:rPr>
          <w:lang w:eastAsia="en-AU"/>
        </w:rPr>
        <w:t xml:space="preserve">hat this would reflect is the value of the licence if that licence sold at the same time </w:t>
      </w:r>
      <w:r w:rsidR="009946FF">
        <w:rPr>
          <w:lang w:eastAsia="en-AU"/>
        </w:rPr>
        <w:t>as in Australia.</w:t>
      </w:r>
    </w:p>
    <w:p w14:paraId="4158CE2E" w14:textId="3A7A9CE8" w:rsidR="00F233EF" w:rsidRDefault="00DE70C6" w:rsidP="00F233EF">
      <w:pPr>
        <w:pStyle w:val="BodyText"/>
      </w:pPr>
      <w:r>
        <w:t xml:space="preserve">The approach should be to update the assumption regarding </w:t>
      </w:r>
      <w:r w:rsidR="00F027B6">
        <w:t>base year cash flows, by multiplying that by the estimated growth in cash flows since that time. So, for example, if a benchmark licence was sold in 2014, and the Australian licence is sold in 2028</w:t>
      </w:r>
      <w:r w:rsidR="002624CC">
        <w:t xml:space="preserve">, there would be an additional step (at Step 3) to increase A by </w:t>
      </w:r>
      <w:r w:rsidR="003406D4">
        <w:t>(1+</w:t>
      </w:r>
      <w:r w:rsidR="003406D4" w:rsidRPr="00290E80">
        <w:rPr>
          <w:i/>
          <w:iCs/>
        </w:rPr>
        <w:t>t</w:t>
      </w:r>
      <w:r w:rsidR="003406D4">
        <w:t>)</w:t>
      </w:r>
      <w:r w:rsidR="003406D4" w:rsidRPr="00290E80">
        <w:rPr>
          <w:vertAlign w:val="superscript"/>
        </w:rPr>
        <w:t>1</w:t>
      </w:r>
      <w:r w:rsidR="00EE4C91" w:rsidRPr="00290E80">
        <w:rPr>
          <w:vertAlign w:val="superscript"/>
        </w:rPr>
        <w:t>3</w:t>
      </w:r>
      <w:r w:rsidR="00186EFD">
        <w:t xml:space="preserve">, and then </w:t>
      </w:r>
      <w:r w:rsidR="000830ED">
        <w:t>calculations performed as before from steps 4 and 5</w:t>
      </w:r>
      <w:r w:rsidR="001D3FC2">
        <w:t>.</w:t>
      </w:r>
    </w:p>
    <w:p w14:paraId="0CAF1591" w14:textId="29D288BC" w:rsidR="00B15742" w:rsidRDefault="00DD2DC3" w:rsidP="00DD2DC3">
      <w:pPr>
        <w:pStyle w:val="Heading2"/>
      </w:pPr>
      <w:bookmarkStart w:id="16" w:name="_Toc170474026"/>
      <w:r>
        <w:t>WACC formulation and cash</w:t>
      </w:r>
      <w:r w:rsidR="00253F45">
        <w:t xml:space="preserve"> </w:t>
      </w:r>
      <w:r>
        <w:t>flow growth assumptions</w:t>
      </w:r>
      <w:bookmarkEnd w:id="16"/>
    </w:p>
    <w:p w14:paraId="4CA65A2D" w14:textId="77777777" w:rsidR="00680CE2" w:rsidRDefault="00E225AC" w:rsidP="00A60EA5">
      <w:pPr>
        <w:pStyle w:val="BodyText"/>
        <w:rPr>
          <w:lang w:eastAsia="en-AU"/>
        </w:rPr>
      </w:pPr>
      <w:r>
        <w:rPr>
          <w:lang w:eastAsia="en-AU"/>
        </w:rPr>
        <w:t xml:space="preserve">In this section, we address the </w:t>
      </w:r>
      <w:r w:rsidR="00680CE2">
        <w:rPr>
          <w:lang w:eastAsia="en-AU"/>
        </w:rPr>
        <w:t xml:space="preserve">following </w:t>
      </w:r>
      <w:r w:rsidR="00E83631">
        <w:rPr>
          <w:lang w:eastAsia="en-AU"/>
        </w:rPr>
        <w:t>question</w:t>
      </w:r>
      <w:r w:rsidR="00680CE2">
        <w:rPr>
          <w:lang w:eastAsia="en-AU"/>
        </w:rPr>
        <w:t>s posed by the ACMA:</w:t>
      </w:r>
    </w:p>
    <w:p w14:paraId="05CBBECD" w14:textId="7F6584A4" w:rsidR="00FD0111" w:rsidRDefault="00A60EA5" w:rsidP="00680CE2">
      <w:pPr>
        <w:pStyle w:val="Quote"/>
        <w:rPr>
          <w:lang w:eastAsia="en-AU"/>
        </w:rPr>
      </w:pPr>
      <w:r>
        <w:rPr>
          <w:lang w:eastAsia="en-AU"/>
        </w:rPr>
        <w:t>What type of WACC (e.g., pre-tax, post-tax, vanilla WACC) and what rate of WACC and projected cash</w:t>
      </w:r>
      <w:r w:rsidR="0022475A">
        <w:rPr>
          <w:lang w:eastAsia="en-AU"/>
        </w:rPr>
        <w:t xml:space="preserve"> </w:t>
      </w:r>
      <w:r>
        <w:rPr>
          <w:lang w:eastAsia="en-AU"/>
        </w:rPr>
        <w:t xml:space="preserve">flow growth should we be using for duration adjustments and why? </w:t>
      </w:r>
    </w:p>
    <w:p w14:paraId="17A672E5" w14:textId="7EF329E6" w:rsidR="00A60EA5" w:rsidRDefault="00A60EA5" w:rsidP="00680CE2">
      <w:pPr>
        <w:pStyle w:val="Quote"/>
        <w:rPr>
          <w:lang w:eastAsia="en-AU"/>
        </w:rPr>
      </w:pPr>
      <w:r>
        <w:rPr>
          <w:lang w:eastAsia="en-AU"/>
        </w:rPr>
        <w:t>We note that we have most recently used a 5.5% post-tax WACC and 2.5% cash</w:t>
      </w:r>
      <w:r w:rsidR="0022475A">
        <w:rPr>
          <w:lang w:eastAsia="en-AU"/>
        </w:rPr>
        <w:t xml:space="preserve"> </w:t>
      </w:r>
      <w:r>
        <w:rPr>
          <w:lang w:eastAsia="en-AU"/>
        </w:rPr>
        <w:t>flow growth those inputs have not been updated for several years.</w:t>
      </w:r>
    </w:p>
    <w:p w14:paraId="2B8EA6E0" w14:textId="6741D22D" w:rsidR="00A60EA5" w:rsidRDefault="00A60EA5" w:rsidP="00A60EA5">
      <w:pPr>
        <w:pStyle w:val="BodyText"/>
        <w:rPr>
          <w:lang w:eastAsia="en-AU"/>
        </w:rPr>
      </w:pPr>
      <w:r>
        <w:rPr>
          <w:lang w:eastAsia="en-AU"/>
        </w:rPr>
        <w:t>The choice of appropriate WACC and cash</w:t>
      </w:r>
      <w:r w:rsidR="00FD0111">
        <w:rPr>
          <w:lang w:eastAsia="en-AU"/>
        </w:rPr>
        <w:t xml:space="preserve"> </w:t>
      </w:r>
      <w:r>
        <w:rPr>
          <w:lang w:eastAsia="en-AU"/>
        </w:rPr>
        <w:t>flow growth estimate</w:t>
      </w:r>
      <w:r w:rsidR="00B6678D">
        <w:rPr>
          <w:lang w:eastAsia="en-AU"/>
        </w:rPr>
        <w:t>s</w:t>
      </w:r>
      <w:r>
        <w:rPr>
          <w:lang w:eastAsia="en-AU"/>
        </w:rPr>
        <w:t xml:space="preserve"> has two key elements:</w:t>
      </w:r>
    </w:p>
    <w:p w14:paraId="1AA49ADF" w14:textId="2BCFB3EA" w:rsidR="00A60EA5" w:rsidRDefault="00A60EA5" w:rsidP="00A60EA5">
      <w:pPr>
        <w:pStyle w:val="ListBullet"/>
      </w:pPr>
      <w:r>
        <w:t xml:space="preserve">The particular </w:t>
      </w:r>
      <w:r w:rsidR="007763B5">
        <w:t>specification</w:t>
      </w:r>
      <w:r>
        <w:t xml:space="preserve"> of the WACC; and</w:t>
      </w:r>
    </w:p>
    <w:p w14:paraId="37D61908" w14:textId="356A9375" w:rsidR="00A60EA5" w:rsidRDefault="00A60EA5" w:rsidP="00A60EA5">
      <w:pPr>
        <w:pStyle w:val="ListBullet"/>
      </w:pPr>
      <w:r>
        <w:t xml:space="preserve">How </w:t>
      </w:r>
      <w:r w:rsidR="00312862">
        <w:t>WACC parameters</w:t>
      </w:r>
      <w:r>
        <w:t xml:space="preserve"> should be </w:t>
      </w:r>
      <w:r w:rsidR="00312862">
        <w:t xml:space="preserve">estimated and </w:t>
      </w:r>
      <w:r>
        <w:t>updated.</w:t>
      </w:r>
    </w:p>
    <w:p w14:paraId="6BA2A8BA" w14:textId="23DF978F" w:rsidR="00DD2DC3" w:rsidRDefault="00C34F8E" w:rsidP="00C34F8E">
      <w:pPr>
        <w:pStyle w:val="Heading3"/>
      </w:pPr>
      <w:r>
        <w:t xml:space="preserve">WACC </w:t>
      </w:r>
      <w:r w:rsidR="00FA4F1B">
        <w:t>specification</w:t>
      </w:r>
    </w:p>
    <w:p w14:paraId="175D2D1B" w14:textId="0D69DB8B" w:rsidR="007A2324" w:rsidRDefault="007A2324" w:rsidP="007A2324">
      <w:pPr>
        <w:pStyle w:val="Heading4"/>
      </w:pPr>
      <w:r>
        <w:t xml:space="preserve">Current ACMA approach </w:t>
      </w:r>
    </w:p>
    <w:p w14:paraId="6463786A" w14:textId="6114FE21" w:rsidR="00312862" w:rsidRDefault="00A60EA5" w:rsidP="00A60EA5">
      <w:pPr>
        <w:pStyle w:val="BodyText"/>
        <w:rPr>
          <w:lang w:eastAsia="en-AU"/>
        </w:rPr>
      </w:pPr>
      <w:r>
        <w:rPr>
          <w:lang w:eastAsia="en-AU"/>
        </w:rPr>
        <w:t>W</w:t>
      </w:r>
      <w:r w:rsidR="00312862">
        <w:rPr>
          <w:lang w:eastAsia="en-AU"/>
        </w:rPr>
        <w:t xml:space="preserve">e have found relatively little information about </w:t>
      </w:r>
      <w:r w:rsidR="00A57400">
        <w:rPr>
          <w:lang w:eastAsia="en-AU"/>
        </w:rPr>
        <w:t xml:space="preserve">whether ACMA currently has a preferred </w:t>
      </w:r>
      <w:r w:rsidR="00944F49">
        <w:rPr>
          <w:lang w:eastAsia="en-AU"/>
        </w:rPr>
        <w:t>specification of the WACC</w:t>
      </w:r>
      <w:r w:rsidR="005201F1">
        <w:rPr>
          <w:lang w:eastAsia="en-AU"/>
        </w:rPr>
        <w:t xml:space="preserve"> and about the rationale for </w:t>
      </w:r>
      <w:r w:rsidR="00FD53D4">
        <w:rPr>
          <w:lang w:eastAsia="en-AU"/>
        </w:rPr>
        <w:t>that specification.</w:t>
      </w:r>
    </w:p>
    <w:p w14:paraId="772CAD20" w14:textId="77777777" w:rsidR="00DE4ED0" w:rsidRDefault="00B86157" w:rsidP="00940620">
      <w:pPr>
        <w:pStyle w:val="BodyText"/>
        <w:rPr>
          <w:lang w:eastAsia="en-AU"/>
        </w:rPr>
      </w:pPr>
      <w:r>
        <w:rPr>
          <w:lang w:eastAsia="en-AU"/>
        </w:rPr>
        <w:lastRenderedPageBreak/>
        <w:t xml:space="preserve">There was some discussion on this issue in relation </w:t>
      </w:r>
      <w:r w:rsidR="0031247F">
        <w:rPr>
          <w:lang w:eastAsia="en-AU"/>
        </w:rPr>
        <w:t>to Vodafone Hutchison Australia’s (VHA) offer to the government for some of the unsold spectrum from the Digital Dividend auction. The VHA offer used instalments rather than upfront payment</w:t>
      </w:r>
      <w:r w:rsidR="009D64A3">
        <w:rPr>
          <w:lang w:eastAsia="en-AU"/>
        </w:rPr>
        <w:t xml:space="preserve">.  </w:t>
      </w:r>
    </w:p>
    <w:p w14:paraId="77AF766D" w14:textId="647379CE" w:rsidR="00A60EA5" w:rsidRPr="00A60EA5" w:rsidRDefault="00C775A5" w:rsidP="00290E80">
      <w:pPr>
        <w:pStyle w:val="BodyText"/>
        <w:rPr>
          <w:lang w:eastAsia="en-AU"/>
        </w:rPr>
      </w:pPr>
      <w:r>
        <w:rPr>
          <w:lang w:eastAsia="en-AU"/>
        </w:rPr>
        <w:t>ACMA staff</w:t>
      </w:r>
      <w:r w:rsidR="00676234">
        <w:rPr>
          <w:lang w:eastAsia="en-AU"/>
        </w:rPr>
        <w:t xml:space="preserve"> have</w:t>
      </w:r>
      <w:r w:rsidR="00476046">
        <w:rPr>
          <w:lang w:eastAsia="en-AU"/>
        </w:rPr>
        <w:t xml:space="preserve"> noted that </w:t>
      </w:r>
      <w:r w:rsidR="0031247F">
        <w:rPr>
          <w:lang w:eastAsia="en-AU"/>
        </w:rPr>
        <w:t xml:space="preserve">regarding tax treatment for calculating instalment payments </w:t>
      </w:r>
      <w:r w:rsidR="00DE4ED0">
        <w:rPr>
          <w:lang w:eastAsia="en-AU"/>
        </w:rPr>
        <w:t>in this instance</w:t>
      </w:r>
      <w:r w:rsidR="009B26D4">
        <w:rPr>
          <w:lang w:eastAsia="en-AU"/>
        </w:rPr>
        <w:t>, internal discussion</w:t>
      </w:r>
      <w:r w:rsidR="00DE4ED0">
        <w:rPr>
          <w:lang w:eastAsia="en-AU"/>
        </w:rPr>
        <w:t xml:space="preserve"> </w:t>
      </w:r>
      <w:r w:rsidR="0031247F">
        <w:rPr>
          <w:lang w:eastAsia="en-AU"/>
        </w:rPr>
        <w:t xml:space="preserve">included </w:t>
      </w:r>
      <w:r w:rsidR="00915DF1">
        <w:rPr>
          <w:lang w:eastAsia="en-AU"/>
        </w:rPr>
        <w:t xml:space="preserve">that </w:t>
      </w:r>
      <w:r w:rsidR="00940620">
        <w:rPr>
          <w:lang w:eastAsia="en-AU"/>
        </w:rPr>
        <w:t xml:space="preserve">VHA’s proposal </w:t>
      </w:r>
      <w:r w:rsidR="0031247F">
        <w:rPr>
          <w:lang w:eastAsia="en-AU"/>
        </w:rPr>
        <w:t xml:space="preserve">could </w:t>
      </w:r>
      <w:r w:rsidR="00940620">
        <w:rPr>
          <w:lang w:eastAsia="en-AU"/>
        </w:rPr>
        <w:t xml:space="preserve">have resulted in annual payments </w:t>
      </w:r>
      <w:r w:rsidR="0031247F">
        <w:rPr>
          <w:lang w:eastAsia="en-AU"/>
        </w:rPr>
        <w:t>be</w:t>
      </w:r>
      <w:r w:rsidR="00940620">
        <w:rPr>
          <w:lang w:eastAsia="en-AU"/>
        </w:rPr>
        <w:t>ing</w:t>
      </w:r>
      <w:r w:rsidR="0031247F">
        <w:rPr>
          <w:lang w:eastAsia="en-AU"/>
        </w:rPr>
        <w:t xml:space="preserve"> considered deductible for corporate tax purposes</w:t>
      </w:r>
      <w:r w:rsidR="00BD6EF4">
        <w:rPr>
          <w:lang w:eastAsia="en-AU"/>
        </w:rPr>
        <w:t xml:space="preserve">, which would mean that </w:t>
      </w:r>
      <w:r w:rsidR="0031247F">
        <w:rPr>
          <w:lang w:eastAsia="en-AU"/>
        </w:rPr>
        <w:t>the tax status of the cash</w:t>
      </w:r>
      <w:r w:rsidR="00384477">
        <w:rPr>
          <w:lang w:eastAsia="en-AU"/>
        </w:rPr>
        <w:t xml:space="preserve"> </w:t>
      </w:r>
      <w:r w:rsidR="0031247F">
        <w:rPr>
          <w:lang w:eastAsia="en-AU"/>
        </w:rPr>
        <w:t xml:space="preserve">flows to be discounted </w:t>
      </w:r>
      <w:r w:rsidR="00E82C18">
        <w:rPr>
          <w:lang w:eastAsia="en-AU"/>
        </w:rPr>
        <w:t xml:space="preserve">would need </w:t>
      </w:r>
      <w:r w:rsidR="0031247F">
        <w:rPr>
          <w:lang w:eastAsia="en-AU"/>
        </w:rPr>
        <w:t>to be considered</w:t>
      </w:r>
      <w:r w:rsidR="00E82C18" w:rsidRPr="00E82C18">
        <w:rPr>
          <w:lang w:eastAsia="en-AU"/>
        </w:rPr>
        <w:t xml:space="preserve"> </w:t>
      </w:r>
      <w:r w:rsidR="00E82C18">
        <w:rPr>
          <w:lang w:eastAsia="en-AU"/>
        </w:rPr>
        <w:t>in applying NPV equivalence</w:t>
      </w:r>
      <w:r w:rsidR="00DE4ED0">
        <w:rPr>
          <w:lang w:eastAsia="en-AU"/>
        </w:rPr>
        <w:t xml:space="preserve">. </w:t>
      </w:r>
      <w:r w:rsidR="00C27F17">
        <w:rPr>
          <w:lang w:eastAsia="en-AU"/>
        </w:rPr>
        <w:t>T</w:t>
      </w:r>
      <w:r w:rsidR="00DE4ED0">
        <w:rPr>
          <w:lang w:eastAsia="en-AU"/>
        </w:rPr>
        <w:t xml:space="preserve">he ACMA </w:t>
      </w:r>
      <w:r w:rsidR="007732C0">
        <w:rPr>
          <w:lang w:eastAsia="en-AU"/>
        </w:rPr>
        <w:t>outlined that in similar cases</w:t>
      </w:r>
      <w:r w:rsidR="00A00F47">
        <w:rPr>
          <w:lang w:eastAsia="en-AU"/>
        </w:rPr>
        <w:t xml:space="preserve"> prior to this proposal</w:t>
      </w:r>
      <w:r w:rsidR="007732C0">
        <w:rPr>
          <w:lang w:eastAsia="en-AU"/>
        </w:rPr>
        <w:t xml:space="preserve">, such as </w:t>
      </w:r>
      <w:r w:rsidR="0031247F">
        <w:rPr>
          <w:lang w:eastAsia="en-AU"/>
        </w:rPr>
        <w:t>convert</w:t>
      </w:r>
      <w:r w:rsidR="007732C0">
        <w:rPr>
          <w:lang w:eastAsia="en-AU"/>
        </w:rPr>
        <w:t>ing</w:t>
      </w:r>
      <w:r w:rsidR="0031247F">
        <w:rPr>
          <w:lang w:eastAsia="en-AU"/>
        </w:rPr>
        <w:t xml:space="preserve"> </w:t>
      </w:r>
      <w:r w:rsidR="00C27F27">
        <w:rPr>
          <w:lang w:eastAsia="en-AU"/>
        </w:rPr>
        <w:t xml:space="preserve">longer-term </w:t>
      </w:r>
      <w:r w:rsidR="0031247F">
        <w:rPr>
          <w:lang w:eastAsia="en-AU"/>
        </w:rPr>
        <w:t xml:space="preserve">spectrum access charges to </w:t>
      </w:r>
      <w:r w:rsidR="00C27F27">
        <w:rPr>
          <w:lang w:eastAsia="en-AU"/>
        </w:rPr>
        <w:t xml:space="preserve">annual </w:t>
      </w:r>
      <w:r w:rsidR="0031247F">
        <w:rPr>
          <w:lang w:eastAsia="en-AU"/>
        </w:rPr>
        <w:t xml:space="preserve">apparatus licences taxes, </w:t>
      </w:r>
      <w:r w:rsidR="00C27F27">
        <w:rPr>
          <w:lang w:eastAsia="en-AU"/>
        </w:rPr>
        <w:t xml:space="preserve">its </w:t>
      </w:r>
      <w:r w:rsidR="00A00F47">
        <w:rPr>
          <w:lang w:eastAsia="en-AU"/>
        </w:rPr>
        <w:t xml:space="preserve">position </w:t>
      </w:r>
      <w:r w:rsidR="0031247F">
        <w:rPr>
          <w:lang w:eastAsia="en-AU"/>
        </w:rPr>
        <w:t>ha</w:t>
      </w:r>
      <w:r w:rsidR="00A00F47">
        <w:rPr>
          <w:lang w:eastAsia="en-AU"/>
        </w:rPr>
        <w:t>d</w:t>
      </w:r>
      <w:r w:rsidR="0031247F">
        <w:rPr>
          <w:lang w:eastAsia="en-AU"/>
        </w:rPr>
        <w:t xml:space="preserve"> been to apply a post</w:t>
      </w:r>
      <w:r w:rsidR="00A00F47">
        <w:rPr>
          <w:lang w:eastAsia="en-AU"/>
        </w:rPr>
        <w:t>-</w:t>
      </w:r>
      <w:r w:rsidR="0031247F">
        <w:rPr>
          <w:lang w:eastAsia="en-AU"/>
        </w:rPr>
        <w:t>tax WACC with post</w:t>
      </w:r>
      <w:r w:rsidR="00A30F5E">
        <w:rPr>
          <w:lang w:eastAsia="en-AU"/>
        </w:rPr>
        <w:t>-</w:t>
      </w:r>
      <w:r w:rsidR="0031247F">
        <w:rPr>
          <w:lang w:eastAsia="en-AU"/>
        </w:rPr>
        <w:t>tax cash flows to a</w:t>
      </w:r>
      <w:r w:rsidR="00963E0E">
        <w:rPr>
          <w:lang w:eastAsia="en-AU"/>
        </w:rPr>
        <w:softHyphen/>
      </w:r>
      <w:r w:rsidR="00963E0E">
        <w:rPr>
          <w:lang w:eastAsia="en-AU"/>
        </w:rPr>
        <w:softHyphen/>
      </w:r>
      <w:r w:rsidR="00963E0E">
        <w:rPr>
          <w:lang w:eastAsia="en-AU"/>
        </w:rPr>
        <w:softHyphen/>
      </w:r>
      <w:r w:rsidR="0031247F">
        <w:rPr>
          <w:lang w:eastAsia="en-AU"/>
        </w:rPr>
        <w:t xml:space="preserve">chieve NPV equivalence. </w:t>
      </w:r>
    </w:p>
    <w:p w14:paraId="46CCB750" w14:textId="7A7D5D0D" w:rsidR="00085DE5" w:rsidRDefault="005A384D" w:rsidP="00085DE5">
      <w:pPr>
        <w:pStyle w:val="BodyText"/>
        <w:rPr>
          <w:lang w:eastAsia="en-AU"/>
        </w:rPr>
      </w:pPr>
      <w:r>
        <w:rPr>
          <w:lang w:eastAsia="en-AU"/>
        </w:rPr>
        <w:t xml:space="preserve">The principle of adopting </w:t>
      </w:r>
      <w:r w:rsidR="00994934">
        <w:rPr>
          <w:lang w:eastAsia="en-AU"/>
        </w:rPr>
        <w:t>the</w:t>
      </w:r>
      <w:r>
        <w:rPr>
          <w:lang w:eastAsia="en-AU"/>
        </w:rPr>
        <w:t xml:space="preserve"> WACC specification that best corresponds to the cash flows that </w:t>
      </w:r>
      <w:r w:rsidR="00770162">
        <w:rPr>
          <w:lang w:eastAsia="en-AU"/>
        </w:rPr>
        <w:t xml:space="preserve">would </w:t>
      </w:r>
      <w:r w:rsidR="00994934">
        <w:rPr>
          <w:lang w:eastAsia="en-AU"/>
        </w:rPr>
        <w:t xml:space="preserve">actually </w:t>
      </w:r>
      <w:r w:rsidR="00770162">
        <w:rPr>
          <w:lang w:eastAsia="en-AU"/>
        </w:rPr>
        <w:t xml:space="preserve">be available to the licence holder is consistent with </w:t>
      </w:r>
      <w:r w:rsidR="009A7C74">
        <w:rPr>
          <w:lang w:eastAsia="en-AU"/>
        </w:rPr>
        <w:t>our analysis below.</w:t>
      </w:r>
    </w:p>
    <w:p w14:paraId="51153348" w14:textId="2F031433" w:rsidR="003465A1" w:rsidRDefault="004E5E63" w:rsidP="003465A1">
      <w:pPr>
        <w:pStyle w:val="Heading4"/>
      </w:pPr>
      <w:r>
        <w:t xml:space="preserve">Pre-tax vs. post-tax specifications of </w:t>
      </w:r>
      <w:r w:rsidR="003465A1">
        <w:t xml:space="preserve">cash flows and WACC </w:t>
      </w:r>
    </w:p>
    <w:p w14:paraId="355D3124" w14:textId="3B8E1920" w:rsidR="003465A1" w:rsidRDefault="00B74A97" w:rsidP="003465A1">
      <w:pPr>
        <w:pStyle w:val="BodyText"/>
        <w:rPr>
          <w:lang w:eastAsia="en-AU"/>
        </w:rPr>
      </w:pPr>
      <w:r>
        <w:rPr>
          <w:lang w:eastAsia="en-AU"/>
        </w:rPr>
        <w:t xml:space="preserve">The first </w:t>
      </w:r>
      <w:r w:rsidR="002E0974">
        <w:rPr>
          <w:lang w:eastAsia="en-AU"/>
        </w:rPr>
        <w:t>issue to consider is whether a pre-tax or post-tax specifications of the</w:t>
      </w:r>
      <w:r w:rsidR="00AD4B13">
        <w:rPr>
          <w:lang w:eastAsia="en-AU"/>
        </w:rPr>
        <w:t xml:space="preserve"> cash flows and WACC should be used.</w:t>
      </w:r>
    </w:p>
    <w:p w14:paraId="4DD426F1" w14:textId="0C29C0BD" w:rsidR="00AD4B13" w:rsidRDefault="00880BAC" w:rsidP="003465A1">
      <w:pPr>
        <w:pStyle w:val="BodyText"/>
        <w:rPr>
          <w:lang w:eastAsia="en-AU"/>
        </w:rPr>
      </w:pPr>
      <w:r>
        <w:rPr>
          <w:lang w:eastAsia="en-AU"/>
        </w:rPr>
        <w:t xml:space="preserve">In our view, this question is determined by the </w:t>
      </w:r>
      <w:r w:rsidR="00C82CD8">
        <w:rPr>
          <w:lang w:eastAsia="en-AU"/>
        </w:rPr>
        <w:t>role of the WACC within the</w:t>
      </w:r>
      <w:r w:rsidR="00A71EF1">
        <w:rPr>
          <w:lang w:eastAsia="en-AU"/>
        </w:rPr>
        <w:t xml:space="preserve"> ACMA framework.</w:t>
      </w:r>
      <w:r w:rsidR="00FB1DF4">
        <w:rPr>
          <w:lang w:eastAsia="en-AU"/>
        </w:rPr>
        <w:t xml:space="preserve">  Specifically, the WACC is used </w:t>
      </w:r>
      <w:r w:rsidR="00B73150">
        <w:rPr>
          <w:lang w:eastAsia="en-AU"/>
        </w:rPr>
        <w:t>to</w:t>
      </w:r>
      <w:r w:rsidR="00FB1DF4">
        <w:rPr>
          <w:lang w:eastAsia="en-AU"/>
        </w:rPr>
        <w:t xml:space="preserve"> deriv</w:t>
      </w:r>
      <w:r w:rsidR="00B73150">
        <w:rPr>
          <w:lang w:eastAsia="en-AU"/>
        </w:rPr>
        <w:t>e</w:t>
      </w:r>
      <w:r w:rsidR="00FB1DF4">
        <w:rPr>
          <w:lang w:eastAsia="en-AU"/>
        </w:rPr>
        <w:t xml:space="preserve"> a set of annual cash flows</w:t>
      </w:r>
      <w:r w:rsidR="000D22FE">
        <w:rPr>
          <w:lang w:eastAsia="en-AU"/>
        </w:rPr>
        <w:t xml:space="preserve"> that have a present value equal to the amount paid for a particular spectrum licence</w:t>
      </w:r>
      <w:r w:rsidR="00B73150">
        <w:rPr>
          <w:lang w:eastAsia="en-AU"/>
        </w:rPr>
        <w:t>.</w:t>
      </w:r>
      <w:r w:rsidR="0029741B">
        <w:rPr>
          <w:lang w:eastAsia="en-AU"/>
        </w:rPr>
        <w:t xml:space="preserve">  Those cash flows are then used to attribute the price paid for the licence as between different </w:t>
      </w:r>
      <w:r w:rsidR="00C87531">
        <w:rPr>
          <w:lang w:eastAsia="en-AU"/>
        </w:rPr>
        <w:t>periods covered by the licence.</w:t>
      </w:r>
    </w:p>
    <w:p w14:paraId="504956EE" w14:textId="182C73E3" w:rsidR="006B4961" w:rsidRDefault="006B4961" w:rsidP="003465A1">
      <w:pPr>
        <w:pStyle w:val="BodyText"/>
        <w:rPr>
          <w:lang w:eastAsia="en-AU"/>
        </w:rPr>
      </w:pPr>
      <w:r>
        <w:rPr>
          <w:lang w:eastAsia="en-AU"/>
        </w:rPr>
        <w:t>Thus:</w:t>
      </w:r>
    </w:p>
    <w:p w14:paraId="5E839450" w14:textId="77777777" w:rsidR="002F36CC" w:rsidRDefault="002F36CC" w:rsidP="002F36CC">
      <w:pPr>
        <w:pStyle w:val="ListBullet"/>
      </w:pPr>
      <w:r>
        <w:t>If a pre-tax WACC is used, what will be derived is a set of pre-tax cash flows that has a present value equal to the price paid for the licence; and</w:t>
      </w:r>
    </w:p>
    <w:p w14:paraId="7DDE25EC" w14:textId="35F7C0A1" w:rsidR="002F36CC" w:rsidRDefault="002F36CC" w:rsidP="002F36CC">
      <w:pPr>
        <w:pStyle w:val="ListBullet"/>
      </w:pPr>
      <w:r>
        <w:t>If a post-tax WACC is used, what will be derived is a set of post-tax cash flows that has a present value equal to the price paid for the licenc</w:t>
      </w:r>
      <w:r w:rsidR="000052AC">
        <w:t>e.</w:t>
      </w:r>
    </w:p>
    <w:p w14:paraId="29CB141A" w14:textId="26CB6491" w:rsidR="000052AC" w:rsidRDefault="000052AC" w:rsidP="000052AC">
      <w:pPr>
        <w:pStyle w:val="BodyText"/>
        <w:rPr>
          <w:lang w:eastAsia="en-AU"/>
        </w:rPr>
      </w:pPr>
      <w:r>
        <w:rPr>
          <w:lang w:eastAsia="en-AU"/>
        </w:rPr>
        <w:t xml:space="preserve">To see which of these might be preferred, consider the </w:t>
      </w:r>
      <w:r w:rsidR="00921179">
        <w:rPr>
          <w:lang w:eastAsia="en-AU"/>
        </w:rPr>
        <w:t xml:space="preserve">case where spectrum licences </w:t>
      </w:r>
      <w:r w:rsidR="00DB318D">
        <w:rPr>
          <w:lang w:eastAsia="en-AU"/>
        </w:rPr>
        <w:t xml:space="preserve">are being auctioned at the same point in time in </w:t>
      </w:r>
      <w:r w:rsidR="00712392">
        <w:rPr>
          <w:lang w:eastAsia="en-AU"/>
        </w:rPr>
        <w:t>two different jurisdictions.  Suppose that the licences are identical in all respects (same frequency band</w:t>
      </w:r>
      <w:r w:rsidR="00AD1AF1">
        <w:rPr>
          <w:lang w:eastAsia="en-AU"/>
        </w:rPr>
        <w:t xml:space="preserve">, same term, same population etc.).  Also suppose that </w:t>
      </w:r>
      <w:r w:rsidR="001A21C7">
        <w:rPr>
          <w:lang w:eastAsia="en-AU"/>
        </w:rPr>
        <w:t xml:space="preserve">the licences are expected to produce identical </w:t>
      </w:r>
      <w:r w:rsidR="004D0960">
        <w:rPr>
          <w:lang w:eastAsia="en-AU"/>
        </w:rPr>
        <w:t xml:space="preserve">revenue streams </w:t>
      </w:r>
      <w:r w:rsidR="003B32EC">
        <w:rPr>
          <w:lang w:eastAsia="en-AU"/>
        </w:rPr>
        <w:t>for the licence owner</w:t>
      </w:r>
      <w:r w:rsidR="00D0200E">
        <w:rPr>
          <w:lang w:eastAsia="en-AU"/>
        </w:rPr>
        <w:t>s</w:t>
      </w:r>
      <w:r w:rsidR="001A21C7">
        <w:rPr>
          <w:lang w:eastAsia="en-AU"/>
        </w:rPr>
        <w:t xml:space="preserve"> </w:t>
      </w:r>
      <w:r w:rsidR="009E658C">
        <w:rPr>
          <w:lang w:eastAsia="en-AU"/>
        </w:rPr>
        <w:t xml:space="preserve">(adjusted to a common currency).  But suppose that one jurisdiction </w:t>
      </w:r>
      <w:r w:rsidR="00C34E4A">
        <w:rPr>
          <w:lang w:eastAsia="en-AU"/>
        </w:rPr>
        <w:t>applies a materially higher tax rate</w:t>
      </w:r>
      <w:r w:rsidR="00DC3940">
        <w:rPr>
          <w:lang w:eastAsia="en-AU"/>
        </w:rPr>
        <w:t>.</w:t>
      </w:r>
    </w:p>
    <w:p w14:paraId="05A8AAF8" w14:textId="7A9D9CB5" w:rsidR="00DC3940" w:rsidRPr="001A4E9D" w:rsidRDefault="00DC3940" w:rsidP="000052AC">
      <w:pPr>
        <w:pStyle w:val="BodyText"/>
        <w:rPr>
          <w:lang w:eastAsia="en-AU"/>
        </w:rPr>
      </w:pPr>
      <w:r w:rsidRPr="001A4E9D">
        <w:rPr>
          <w:lang w:eastAsia="en-AU"/>
        </w:rPr>
        <w:t>In this scenario</w:t>
      </w:r>
      <w:r w:rsidR="00926ECD" w:rsidRPr="001A4E9D">
        <w:rPr>
          <w:lang w:eastAsia="en-AU"/>
        </w:rPr>
        <w:t xml:space="preserve">, </w:t>
      </w:r>
      <w:r w:rsidR="00C4758B" w:rsidRPr="001A4E9D">
        <w:rPr>
          <w:lang w:eastAsia="en-AU"/>
        </w:rPr>
        <w:t>we would ex</w:t>
      </w:r>
      <w:r w:rsidR="00555744" w:rsidRPr="001A4E9D">
        <w:rPr>
          <w:lang w:eastAsia="en-AU"/>
        </w:rPr>
        <w:t>p</w:t>
      </w:r>
      <w:r w:rsidR="00C4758B" w:rsidRPr="001A4E9D">
        <w:rPr>
          <w:lang w:eastAsia="en-AU"/>
        </w:rPr>
        <w:t xml:space="preserve">ect to see a </w:t>
      </w:r>
      <w:r w:rsidR="003A00A3" w:rsidRPr="001A4E9D">
        <w:rPr>
          <w:lang w:eastAsia="en-AU"/>
        </w:rPr>
        <w:t xml:space="preserve">lower price </w:t>
      </w:r>
      <w:r w:rsidR="00412EB1" w:rsidRPr="001A4E9D">
        <w:rPr>
          <w:lang w:eastAsia="en-AU"/>
        </w:rPr>
        <w:t>paid for the licence in the high-tax jurisdiction</w:t>
      </w:r>
      <w:r w:rsidR="00C4758B" w:rsidRPr="001A4E9D">
        <w:rPr>
          <w:lang w:eastAsia="en-AU"/>
        </w:rPr>
        <w:t>.</w:t>
      </w:r>
      <w:r w:rsidR="00555744" w:rsidRPr="001A4E9D">
        <w:rPr>
          <w:lang w:eastAsia="en-AU"/>
        </w:rPr>
        <w:t xml:space="preserve">  This is because</w:t>
      </w:r>
      <w:r w:rsidR="00900A2F" w:rsidRPr="001A4E9D">
        <w:rPr>
          <w:lang w:eastAsia="en-AU"/>
        </w:rPr>
        <w:t xml:space="preserve"> </w:t>
      </w:r>
      <w:r w:rsidR="00425C1C" w:rsidRPr="001A4E9D">
        <w:rPr>
          <w:lang w:eastAsia="en-AU"/>
        </w:rPr>
        <w:t xml:space="preserve">it is the </w:t>
      </w:r>
      <w:r w:rsidR="00900A2F" w:rsidRPr="001A4E9D">
        <w:rPr>
          <w:lang w:eastAsia="en-AU"/>
        </w:rPr>
        <w:t>net after-tax cash flows</w:t>
      </w:r>
      <w:r w:rsidR="00195337" w:rsidRPr="001A4E9D">
        <w:rPr>
          <w:lang w:eastAsia="en-AU"/>
        </w:rPr>
        <w:t xml:space="preserve"> that will determine the </w:t>
      </w:r>
      <w:r w:rsidR="00100AC4" w:rsidRPr="001A4E9D">
        <w:rPr>
          <w:lang w:eastAsia="en-AU"/>
        </w:rPr>
        <w:t>value of the licence</w:t>
      </w:r>
      <w:r w:rsidR="001B76F7" w:rsidRPr="001A4E9D">
        <w:rPr>
          <w:lang w:eastAsia="en-AU"/>
        </w:rPr>
        <w:t xml:space="preserve">.  The licence will have value to the holder to the extent that it is able to generate cash flows </w:t>
      </w:r>
      <w:r w:rsidR="001B76F7" w:rsidRPr="001A4E9D">
        <w:rPr>
          <w:i/>
          <w:iCs/>
          <w:lang w:eastAsia="en-AU"/>
        </w:rPr>
        <w:t>to the holder</w:t>
      </w:r>
      <w:r w:rsidR="001B76F7" w:rsidRPr="001A4E9D">
        <w:rPr>
          <w:lang w:eastAsia="en-AU"/>
        </w:rPr>
        <w:t>.</w:t>
      </w:r>
      <w:r w:rsidR="00926ECD" w:rsidRPr="001A4E9D">
        <w:rPr>
          <w:lang w:eastAsia="en-AU"/>
        </w:rPr>
        <w:t xml:space="preserve"> </w:t>
      </w:r>
    </w:p>
    <w:p w14:paraId="166EFE99" w14:textId="6C6B6898" w:rsidR="001144AE" w:rsidRPr="001A4E9D" w:rsidRDefault="007D6ED3" w:rsidP="000052AC">
      <w:pPr>
        <w:pStyle w:val="BodyText"/>
        <w:rPr>
          <w:lang w:eastAsia="en-AU"/>
        </w:rPr>
      </w:pPr>
      <w:r w:rsidRPr="001A4E9D">
        <w:rPr>
          <w:lang w:eastAsia="en-AU"/>
        </w:rPr>
        <w:t>T</w:t>
      </w:r>
      <w:r w:rsidR="00B67886" w:rsidRPr="001A4E9D">
        <w:rPr>
          <w:lang w:eastAsia="en-AU"/>
        </w:rPr>
        <w:t>he goal of the exercise</w:t>
      </w:r>
      <w:r w:rsidRPr="001A4E9D">
        <w:rPr>
          <w:lang w:eastAsia="en-AU"/>
        </w:rPr>
        <w:t xml:space="preserve"> </w:t>
      </w:r>
      <w:r w:rsidR="00B67886" w:rsidRPr="001A4E9D">
        <w:rPr>
          <w:lang w:eastAsia="en-AU"/>
        </w:rPr>
        <w:t>is to</w:t>
      </w:r>
      <w:r w:rsidR="005E361C" w:rsidRPr="001A4E9D">
        <w:rPr>
          <w:lang w:eastAsia="en-AU"/>
        </w:rPr>
        <w:t xml:space="preserve"> take the observed licence fee and to </w:t>
      </w:r>
      <w:r w:rsidR="00795A4E" w:rsidRPr="001A4E9D">
        <w:rPr>
          <w:lang w:eastAsia="en-AU"/>
        </w:rPr>
        <w:t>derive a set of cash flows to ‘explain’ the quantum of that fee</w:t>
      </w:r>
      <w:r w:rsidR="00834FCD" w:rsidRPr="001A4E9D">
        <w:rPr>
          <w:lang w:eastAsia="en-AU"/>
        </w:rPr>
        <w:t>.</w:t>
      </w:r>
      <w:r w:rsidRPr="001A4E9D">
        <w:rPr>
          <w:lang w:eastAsia="en-AU"/>
        </w:rPr>
        <w:t xml:space="preserve">  </w:t>
      </w:r>
      <w:r w:rsidR="004A02C0" w:rsidRPr="001A4E9D">
        <w:rPr>
          <w:lang w:eastAsia="en-AU"/>
        </w:rPr>
        <w:t xml:space="preserve">The </w:t>
      </w:r>
      <w:r w:rsidR="00D37DA5" w:rsidRPr="001A4E9D">
        <w:rPr>
          <w:lang w:eastAsia="en-AU"/>
        </w:rPr>
        <w:t>fee depends on the</w:t>
      </w:r>
      <w:r w:rsidR="00BA0EE5" w:rsidRPr="001A4E9D">
        <w:rPr>
          <w:lang w:eastAsia="en-AU"/>
        </w:rPr>
        <w:t xml:space="preserve"> cash flows that it will generate for the holder</w:t>
      </w:r>
      <w:r w:rsidR="00FB21A2" w:rsidRPr="001A4E9D">
        <w:rPr>
          <w:lang w:eastAsia="en-AU"/>
        </w:rPr>
        <w:t xml:space="preserve"> – which are after-tax cash flows.</w:t>
      </w:r>
      <w:r w:rsidR="005C3A5D" w:rsidRPr="001A4E9D">
        <w:rPr>
          <w:lang w:eastAsia="en-AU"/>
        </w:rPr>
        <w:t xml:space="preserve">  This, in turn, requires</w:t>
      </w:r>
      <w:r w:rsidR="001144AE" w:rsidRPr="001A4E9D">
        <w:rPr>
          <w:lang w:eastAsia="en-AU"/>
        </w:rPr>
        <w:t xml:space="preserve"> the use of an after-tax WACC.</w:t>
      </w:r>
    </w:p>
    <w:p w14:paraId="16FF1F04" w14:textId="77777777" w:rsidR="00F30335" w:rsidRPr="001A4E9D" w:rsidRDefault="001144AE" w:rsidP="000052AC">
      <w:pPr>
        <w:pStyle w:val="BodyText"/>
        <w:rPr>
          <w:lang w:eastAsia="en-AU"/>
        </w:rPr>
      </w:pPr>
      <w:r w:rsidRPr="001A4E9D">
        <w:rPr>
          <w:lang w:eastAsia="en-AU"/>
        </w:rPr>
        <w:t>The alternative i</w:t>
      </w:r>
      <w:r w:rsidR="00475474" w:rsidRPr="001A4E9D">
        <w:rPr>
          <w:lang w:eastAsia="en-AU"/>
        </w:rPr>
        <w:t>s to use pre-tax cash flows and pre-tax WACCs.  In the example above,</w:t>
      </w:r>
      <w:r w:rsidR="00834FCD" w:rsidRPr="001A4E9D">
        <w:rPr>
          <w:lang w:eastAsia="en-AU"/>
        </w:rPr>
        <w:t xml:space="preserve"> this would require materially different estimates of the pre-tax WACC as between jurisdictions.</w:t>
      </w:r>
      <w:r w:rsidR="004C30A9" w:rsidRPr="001A4E9D">
        <w:rPr>
          <w:lang w:eastAsia="en-AU"/>
        </w:rPr>
        <w:t xml:space="preserve">  Specifically, the high-tax jurisdiction would require a materially higher pre-tax WACC</w:t>
      </w:r>
      <w:r w:rsidR="00242C15" w:rsidRPr="001A4E9D">
        <w:rPr>
          <w:lang w:eastAsia="en-AU"/>
        </w:rPr>
        <w:t xml:space="preserve"> – reflecting the fact that pre-tax cash flows are less valuable in that jurisdiction.  </w:t>
      </w:r>
    </w:p>
    <w:p w14:paraId="4A228DE3" w14:textId="77777777" w:rsidR="001307FF" w:rsidRPr="001A4E9D" w:rsidRDefault="00F30335" w:rsidP="000052AC">
      <w:pPr>
        <w:pStyle w:val="BodyText"/>
        <w:rPr>
          <w:lang w:eastAsia="en-AU"/>
        </w:rPr>
      </w:pPr>
      <w:r w:rsidRPr="001A4E9D">
        <w:rPr>
          <w:lang w:eastAsia="en-AU"/>
        </w:rPr>
        <w:t xml:space="preserve">Such a pre-tax approach would </w:t>
      </w:r>
      <w:r w:rsidR="000E414B" w:rsidRPr="001A4E9D">
        <w:rPr>
          <w:lang w:eastAsia="en-AU"/>
        </w:rPr>
        <w:t xml:space="preserve">tend to allocate a materially higher proportion of value to the </w:t>
      </w:r>
      <w:r w:rsidR="00EA5719" w:rsidRPr="001A4E9D">
        <w:rPr>
          <w:lang w:eastAsia="en-AU"/>
        </w:rPr>
        <w:t>early years of the licence period in high-tax jurisdiction</w:t>
      </w:r>
      <w:r w:rsidR="0096085A" w:rsidRPr="001A4E9D">
        <w:rPr>
          <w:lang w:eastAsia="en-AU"/>
        </w:rPr>
        <w:t xml:space="preserve">s in the ACMA framework.  This is because </w:t>
      </w:r>
      <w:r w:rsidR="00EF10F0" w:rsidRPr="001A4E9D">
        <w:rPr>
          <w:lang w:eastAsia="en-AU"/>
        </w:rPr>
        <w:t xml:space="preserve">higher discount rates would be used in </w:t>
      </w:r>
      <w:r w:rsidR="0096085A" w:rsidRPr="001A4E9D">
        <w:rPr>
          <w:lang w:eastAsia="en-AU"/>
        </w:rPr>
        <w:t>high</w:t>
      </w:r>
      <w:r w:rsidR="00EF10F0" w:rsidRPr="001A4E9D">
        <w:rPr>
          <w:lang w:eastAsia="en-AU"/>
        </w:rPr>
        <w:t>er</w:t>
      </w:r>
      <w:r w:rsidR="0096085A" w:rsidRPr="001A4E9D">
        <w:rPr>
          <w:lang w:eastAsia="en-AU"/>
        </w:rPr>
        <w:t>-tax jurisdictions</w:t>
      </w:r>
      <w:r w:rsidR="00EF10F0" w:rsidRPr="001A4E9D">
        <w:rPr>
          <w:lang w:eastAsia="en-AU"/>
        </w:rPr>
        <w:t xml:space="preserve">.  Consequently, the allocation of value </w:t>
      </w:r>
      <w:r w:rsidR="00A668E9" w:rsidRPr="001A4E9D">
        <w:rPr>
          <w:lang w:eastAsia="en-AU"/>
        </w:rPr>
        <w:t xml:space="preserve">to each year of the licence period would depend upon the tax rates applied in </w:t>
      </w:r>
      <w:r w:rsidR="001307FF" w:rsidRPr="001A4E9D">
        <w:rPr>
          <w:lang w:eastAsia="en-AU"/>
        </w:rPr>
        <w:t>the jurisdictions from which comparator sales are drawn.</w:t>
      </w:r>
    </w:p>
    <w:p w14:paraId="2311D88E" w14:textId="2D8DFA67" w:rsidR="00B67886" w:rsidRDefault="001307FF" w:rsidP="000052AC">
      <w:pPr>
        <w:pStyle w:val="BodyText"/>
        <w:rPr>
          <w:lang w:eastAsia="en-AU"/>
        </w:rPr>
      </w:pPr>
      <w:r w:rsidRPr="001A4E9D">
        <w:rPr>
          <w:lang w:eastAsia="en-AU"/>
        </w:rPr>
        <w:t>For the reasons set out above, we prefer t</w:t>
      </w:r>
      <w:r w:rsidR="00251653" w:rsidRPr="001A4E9D">
        <w:rPr>
          <w:lang w:eastAsia="en-AU"/>
        </w:rPr>
        <w:t>he use of an after-tax discount rate to generate a set of after-tax cash flows.</w:t>
      </w:r>
      <w:r w:rsidR="00475474">
        <w:rPr>
          <w:lang w:eastAsia="en-AU"/>
        </w:rPr>
        <w:t xml:space="preserve"> </w:t>
      </w:r>
      <w:r w:rsidR="00931A59">
        <w:rPr>
          <w:lang w:eastAsia="en-AU"/>
        </w:rPr>
        <w:t xml:space="preserve">  </w:t>
      </w:r>
      <w:r w:rsidR="00D37DA5">
        <w:rPr>
          <w:lang w:eastAsia="en-AU"/>
        </w:rPr>
        <w:t xml:space="preserve"> </w:t>
      </w:r>
    </w:p>
    <w:p w14:paraId="17DA1B69" w14:textId="469C1DAD" w:rsidR="00A877B2" w:rsidRDefault="0082164B" w:rsidP="00A877B2">
      <w:pPr>
        <w:pStyle w:val="Heading4"/>
      </w:pPr>
      <w:r>
        <w:lastRenderedPageBreak/>
        <w:t>Two</w:t>
      </w:r>
      <w:r w:rsidR="00DC78C6">
        <w:t xml:space="preserve"> post-tax approach</w:t>
      </w:r>
      <w:r>
        <w:t>es available</w:t>
      </w:r>
    </w:p>
    <w:p w14:paraId="255A460A" w14:textId="52CA6EB6" w:rsidR="00A877B2" w:rsidRDefault="00A877B2" w:rsidP="00A877B2">
      <w:pPr>
        <w:pStyle w:val="BodyText"/>
        <w:rPr>
          <w:lang w:eastAsia="en-AU"/>
        </w:rPr>
      </w:pPr>
      <w:r>
        <w:rPr>
          <w:lang w:eastAsia="en-AU"/>
        </w:rPr>
        <w:t>The</w:t>
      </w:r>
      <w:r w:rsidR="00255EB0">
        <w:rPr>
          <w:lang w:eastAsia="en-AU"/>
        </w:rPr>
        <w:t xml:space="preserve">re are two </w:t>
      </w:r>
      <w:r w:rsidR="00310CDA">
        <w:rPr>
          <w:lang w:eastAsia="en-AU"/>
        </w:rPr>
        <w:t>variations of the after-tax approach that are applied in practice</w:t>
      </w:r>
      <w:r w:rsidR="000E2D7E">
        <w:rPr>
          <w:lang w:eastAsia="en-AU"/>
        </w:rPr>
        <w:t xml:space="preserve">.  Both of these approaches </w:t>
      </w:r>
      <w:r w:rsidR="001D40E6">
        <w:rPr>
          <w:lang w:eastAsia="en-AU"/>
        </w:rPr>
        <w:t xml:space="preserve">involve cash flows after corporate taxes have been deducted.  They differ only in terms of whether the </w:t>
      </w:r>
      <w:r w:rsidR="009F2DA0">
        <w:rPr>
          <w:lang w:eastAsia="en-AU"/>
        </w:rPr>
        <w:t xml:space="preserve">tax benefit from the deductibility of interest expense </w:t>
      </w:r>
      <w:r w:rsidR="008F45F2">
        <w:rPr>
          <w:lang w:eastAsia="en-AU"/>
        </w:rPr>
        <w:t>is accounted for in the cash flows or in the WACC.</w:t>
      </w:r>
      <w:r w:rsidR="001D40E6">
        <w:rPr>
          <w:lang w:eastAsia="en-AU"/>
        </w:rPr>
        <w:t xml:space="preserve"> </w:t>
      </w:r>
    </w:p>
    <w:p w14:paraId="044904AD" w14:textId="641D3C3E" w:rsidR="00E05A3E" w:rsidRDefault="00A20690" w:rsidP="00EF07F4">
      <w:pPr>
        <w:pStyle w:val="BodyText"/>
        <w:rPr>
          <w:lang w:eastAsia="en-AU"/>
        </w:rPr>
      </w:pPr>
      <w:r>
        <w:rPr>
          <w:lang w:eastAsia="en-AU"/>
        </w:rPr>
        <w:t xml:space="preserve">The </w:t>
      </w:r>
      <w:r w:rsidR="00682038" w:rsidRPr="00682038">
        <w:rPr>
          <w:b/>
          <w:bCs/>
          <w:lang w:eastAsia="en-AU"/>
        </w:rPr>
        <w:t xml:space="preserve">classic </w:t>
      </w:r>
      <w:r w:rsidRPr="00473CC5">
        <w:rPr>
          <w:b/>
          <w:lang w:eastAsia="en-AU"/>
        </w:rPr>
        <w:t>after-tax WACC</w:t>
      </w:r>
      <w:r w:rsidR="00E05A3E">
        <w:rPr>
          <w:lang w:eastAsia="en-AU"/>
        </w:rPr>
        <w:t>, which is defined as:</w:t>
      </w:r>
    </w:p>
    <w:p w14:paraId="00452124" w14:textId="50D7971D" w:rsidR="00E05A3E" w:rsidRDefault="00CC5E0E" w:rsidP="00E05A3E">
      <w:pPr>
        <w:pStyle w:val="BodyText"/>
        <w:rPr>
          <w:lang w:eastAsia="en-AU"/>
        </w:rPr>
      </w:pPr>
      <m:oMathPara>
        <m:oMath>
          <m:r>
            <w:rPr>
              <w:rFonts w:ascii="Cambria Math" w:hAnsi="Cambria Math"/>
              <w:lang w:eastAsia="en-AU"/>
            </w:rPr>
            <m:t>WAC</m:t>
          </m:r>
          <m:sSub>
            <m:sSubPr>
              <m:ctrlPr>
                <w:rPr>
                  <w:rFonts w:ascii="Cambria Math" w:hAnsi="Cambria Math"/>
                  <w:i/>
                  <w:lang w:eastAsia="en-AU"/>
                </w:rPr>
              </m:ctrlPr>
            </m:sSubPr>
            <m:e>
              <m:r>
                <w:rPr>
                  <w:rFonts w:ascii="Cambria Math" w:hAnsi="Cambria Math"/>
                  <w:lang w:eastAsia="en-AU"/>
                </w:rPr>
                <m:t>C</m:t>
              </m:r>
            </m:e>
            <m:sub>
              <m:r>
                <w:rPr>
                  <w:rFonts w:ascii="Cambria Math" w:hAnsi="Cambria Math"/>
                  <w:lang w:eastAsia="en-AU"/>
                </w:rPr>
                <m:t>classic</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e</m:t>
              </m:r>
            </m:sub>
          </m:sSub>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d>
            <m:dPr>
              <m:ctrlPr>
                <w:rPr>
                  <w:rFonts w:ascii="Cambria Math" w:hAnsi="Cambria Math"/>
                  <w:i/>
                  <w:lang w:eastAsia="en-AU"/>
                </w:rPr>
              </m:ctrlPr>
            </m:dPr>
            <m:e>
              <m:r>
                <w:rPr>
                  <w:rFonts w:ascii="Cambria Math" w:hAnsi="Cambria Math"/>
                  <w:lang w:eastAsia="en-AU"/>
                </w:rPr>
                <m:t>1-T</m:t>
              </m:r>
            </m:e>
          </m:d>
          <m:f>
            <m:fPr>
              <m:ctrlPr>
                <w:rPr>
                  <w:rFonts w:ascii="Cambria Math" w:hAnsi="Cambria Math"/>
                  <w:i/>
                  <w:lang w:eastAsia="en-AU"/>
                </w:rPr>
              </m:ctrlPr>
            </m:fPr>
            <m:num>
              <m:r>
                <w:rPr>
                  <w:rFonts w:ascii="Cambria Math" w:hAnsi="Cambria Math"/>
                  <w:lang w:eastAsia="en-AU"/>
                </w:rPr>
                <m:t>D</m:t>
              </m:r>
            </m:num>
            <m:den>
              <m:r>
                <w:rPr>
                  <w:rFonts w:ascii="Cambria Math" w:hAnsi="Cambria Math"/>
                  <w:lang w:eastAsia="en-AU"/>
                </w:rPr>
                <m:t>V</m:t>
              </m:r>
            </m:den>
          </m:f>
          <m:r>
            <w:rPr>
              <w:rFonts w:ascii="Cambria Math" w:hAnsi="Cambria Math"/>
              <w:lang w:eastAsia="en-AU"/>
            </w:rPr>
            <m:t xml:space="preserve"> </m:t>
          </m:r>
        </m:oMath>
      </m:oMathPara>
    </w:p>
    <w:p w14:paraId="77150FB5" w14:textId="285B14AF" w:rsidR="00824B91" w:rsidRDefault="00E05A3E" w:rsidP="00E05A3E">
      <w:pPr>
        <w:pStyle w:val="BodyText"/>
        <w:rPr>
          <w:rFonts w:eastAsiaTheme="minorEastAsia"/>
          <w:lang w:eastAsia="en-AU"/>
        </w:rPr>
      </w:pPr>
      <w:r>
        <w:rPr>
          <w:lang w:eastAsia="en-AU"/>
        </w:rPr>
        <w:t xml:space="preserve">adjusts the required return on debt to reflect the deductibility of interest.  </w:t>
      </w:r>
      <w:r w:rsidR="00654D20">
        <w:rPr>
          <w:lang w:eastAsia="en-AU"/>
        </w:rPr>
        <w:t>If debt investors</w:t>
      </w:r>
      <w:r w:rsidR="001A2FC1">
        <w:rPr>
          <w:lang w:eastAsia="en-AU"/>
        </w:rPr>
        <w:t xml:space="preserve">, require a return of </w:t>
      </w:r>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oMath>
      <w:r w:rsidR="00A23447">
        <w:rPr>
          <w:rFonts w:eastAsiaTheme="minorEastAsia"/>
          <w:lang w:eastAsia="en-AU"/>
        </w:rPr>
        <w:t>, but that payment</w:t>
      </w:r>
      <w:r w:rsidR="00973D42">
        <w:rPr>
          <w:rFonts w:eastAsiaTheme="minorEastAsia"/>
          <w:lang w:eastAsia="en-AU"/>
        </w:rPr>
        <w:t xml:space="preserve"> </w:t>
      </w:r>
      <w:r w:rsidR="00CD4805">
        <w:rPr>
          <w:rFonts w:eastAsiaTheme="minorEastAsia"/>
          <w:lang w:eastAsia="en-AU"/>
        </w:rPr>
        <w:t xml:space="preserve">reduces </w:t>
      </w:r>
      <w:r w:rsidR="00D01EDC">
        <w:rPr>
          <w:rFonts w:eastAsiaTheme="minorEastAsia"/>
          <w:lang w:eastAsia="en-AU"/>
        </w:rPr>
        <w:t xml:space="preserve">the firm’s corporate tax bill by </w:t>
      </w:r>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r>
          <w:rPr>
            <w:rFonts w:ascii="Cambria Math" w:hAnsi="Cambria Math"/>
            <w:lang w:eastAsia="en-AU"/>
          </w:rPr>
          <m:t>T</m:t>
        </m:r>
      </m:oMath>
      <w:r w:rsidR="00BD2B61">
        <w:rPr>
          <w:rFonts w:eastAsiaTheme="minorEastAsia"/>
          <w:lang w:eastAsia="en-AU"/>
        </w:rPr>
        <w:t xml:space="preserve"> (where </w:t>
      </w:r>
      <m:oMath>
        <m:r>
          <w:rPr>
            <w:rFonts w:ascii="Cambria Math" w:hAnsi="Cambria Math"/>
            <w:lang w:eastAsia="en-AU"/>
          </w:rPr>
          <m:t>T</m:t>
        </m:r>
      </m:oMath>
      <w:r w:rsidR="00BD2B61">
        <w:rPr>
          <w:rFonts w:eastAsiaTheme="minorEastAsia"/>
          <w:lang w:eastAsia="en-AU"/>
        </w:rPr>
        <w:t xml:space="preserve"> is the corporate tax rate)</w:t>
      </w:r>
      <w:r w:rsidR="00275A11">
        <w:rPr>
          <w:rFonts w:eastAsiaTheme="minorEastAsia"/>
          <w:lang w:eastAsia="en-AU"/>
        </w:rPr>
        <w:t xml:space="preserve"> the </w:t>
      </w:r>
      <w:r w:rsidR="00FD3DF8">
        <w:rPr>
          <w:rFonts w:eastAsiaTheme="minorEastAsia"/>
          <w:lang w:eastAsia="en-AU"/>
        </w:rPr>
        <w:t xml:space="preserve">net cost to the firm </w:t>
      </w:r>
      <w:r w:rsidR="00F85641">
        <w:rPr>
          <w:rFonts w:eastAsiaTheme="minorEastAsia"/>
          <w:lang w:eastAsia="en-AU"/>
        </w:rPr>
        <w:t xml:space="preserve">of servicing the debt is </w:t>
      </w:r>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d>
          <m:dPr>
            <m:ctrlPr>
              <w:rPr>
                <w:rFonts w:ascii="Cambria Math" w:hAnsi="Cambria Math"/>
                <w:i/>
                <w:lang w:eastAsia="en-AU"/>
              </w:rPr>
            </m:ctrlPr>
          </m:dPr>
          <m:e>
            <m:r>
              <w:rPr>
                <w:rFonts w:ascii="Cambria Math" w:hAnsi="Cambria Math"/>
                <w:lang w:eastAsia="en-AU"/>
              </w:rPr>
              <m:t>1-T</m:t>
            </m:r>
          </m:e>
        </m:d>
      </m:oMath>
      <w:r w:rsidR="00624429">
        <w:rPr>
          <w:rFonts w:eastAsiaTheme="minorEastAsia"/>
          <w:lang w:eastAsia="en-AU"/>
        </w:rPr>
        <w:t>.</w:t>
      </w:r>
    </w:p>
    <w:p w14:paraId="7E088458" w14:textId="63D9ED10" w:rsidR="00473CC5" w:rsidRDefault="00473CC5" w:rsidP="00473CC5">
      <w:pPr>
        <w:pStyle w:val="BodyText"/>
        <w:rPr>
          <w:lang w:eastAsia="en-AU"/>
        </w:rPr>
      </w:pPr>
      <w:r>
        <w:rPr>
          <w:rFonts w:eastAsiaTheme="minorEastAsia"/>
          <w:lang w:eastAsia="en-AU"/>
        </w:rPr>
        <w:t xml:space="preserve">Because the </w:t>
      </w:r>
      <w:r w:rsidR="004E7472">
        <w:rPr>
          <w:rFonts w:eastAsiaTheme="minorEastAsia"/>
          <w:lang w:eastAsia="en-AU"/>
        </w:rPr>
        <w:t>classic</w:t>
      </w:r>
      <w:r>
        <w:rPr>
          <w:rFonts w:eastAsiaTheme="minorEastAsia"/>
          <w:lang w:eastAsia="en-AU"/>
        </w:rPr>
        <w:t xml:space="preserve"> WACC accounts for the benefit of the deductibility of interest, it is important that this benefit is not also accounted for in the definition of cash flows – because that would amount to double counting.  Consequently, the </w:t>
      </w:r>
      <w:r w:rsidR="004E7472">
        <w:rPr>
          <w:rFonts w:eastAsiaTheme="minorEastAsia"/>
          <w:lang w:eastAsia="en-AU"/>
        </w:rPr>
        <w:t>classic</w:t>
      </w:r>
      <w:r>
        <w:rPr>
          <w:rFonts w:eastAsiaTheme="minorEastAsia"/>
          <w:lang w:eastAsia="en-AU"/>
        </w:rPr>
        <w:t xml:space="preserve"> WACC is applied to cash flows defined as the ‘free cash flow,’ which does not reflect the deductibility of interest.  </w:t>
      </w:r>
    </w:p>
    <w:p w14:paraId="7F449820" w14:textId="7EF23D01" w:rsidR="00473CC5" w:rsidRDefault="00473CC5" w:rsidP="00473CC5">
      <w:pPr>
        <w:pStyle w:val="BodyText"/>
        <w:rPr>
          <w:lang w:eastAsia="en-AU"/>
        </w:rPr>
      </w:pPr>
      <w:r>
        <w:rPr>
          <w:lang w:eastAsia="en-AU"/>
        </w:rPr>
        <w:t xml:space="preserve">By contrast, </w:t>
      </w:r>
      <w:r w:rsidRPr="001A4E9D">
        <w:rPr>
          <w:lang w:eastAsia="en-AU"/>
        </w:rPr>
        <w:t xml:space="preserve">the </w:t>
      </w:r>
      <w:r w:rsidRPr="001A4E9D">
        <w:rPr>
          <w:b/>
          <w:bCs/>
          <w:lang w:eastAsia="en-AU"/>
        </w:rPr>
        <w:t>vanilla WACC</w:t>
      </w:r>
      <w:r w:rsidRPr="001A4E9D">
        <w:rPr>
          <w:lang w:eastAsia="en-AU"/>
        </w:rPr>
        <w:t>, which is defined</w:t>
      </w:r>
      <w:r>
        <w:rPr>
          <w:lang w:eastAsia="en-AU"/>
        </w:rPr>
        <w:t xml:space="preserve"> as:</w:t>
      </w:r>
    </w:p>
    <w:p w14:paraId="058CF0CD" w14:textId="58F38AF0" w:rsidR="00473CC5" w:rsidRDefault="00014201" w:rsidP="00473CC5">
      <w:pPr>
        <w:pStyle w:val="BodyText"/>
        <w:rPr>
          <w:lang w:eastAsia="en-AU"/>
        </w:rPr>
      </w:pPr>
      <m:oMathPara>
        <m:oMath>
          <m:r>
            <w:rPr>
              <w:rFonts w:ascii="Cambria Math" w:hAnsi="Cambria Math"/>
              <w:lang w:eastAsia="en-AU"/>
            </w:rPr>
            <m:t>WAC</m:t>
          </m:r>
          <m:sSub>
            <m:sSubPr>
              <m:ctrlPr>
                <w:rPr>
                  <w:rFonts w:ascii="Cambria Math" w:hAnsi="Cambria Math"/>
                  <w:i/>
                  <w:lang w:eastAsia="en-AU"/>
                </w:rPr>
              </m:ctrlPr>
            </m:sSubPr>
            <m:e>
              <m:r>
                <w:rPr>
                  <w:rFonts w:ascii="Cambria Math" w:hAnsi="Cambria Math"/>
                  <w:lang w:eastAsia="en-AU"/>
                </w:rPr>
                <m:t>C</m:t>
              </m:r>
            </m:e>
            <m:sub>
              <m:r>
                <w:rPr>
                  <w:rFonts w:ascii="Cambria Math" w:hAnsi="Cambria Math"/>
                  <w:lang w:eastAsia="en-AU"/>
                </w:rPr>
                <m:t>vanilla</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e</m:t>
              </m:r>
            </m:sub>
          </m:sSub>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f>
            <m:fPr>
              <m:ctrlPr>
                <w:rPr>
                  <w:rFonts w:ascii="Cambria Math" w:hAnsi="Cambria Math"/>
                  <w:i/>
                  <w:lang w:eastAsia="en-AU"/>
                </w:rPr>
              </m:ctrlPr>
            </m:fPr>
            <m:num>
              <m:r>
                <w:rPr>
                  <w:rFonts w:ascii="Cambria Math" w:hAnsi="Cambria Math"/>
                  <w:lang w:eastAsia="en-AU"/>
                </w:rPr>
                <m:t>D</m:t>
              </m:r>
            </m:num>
            <m:den>
              <m:r>
                <w:rPr>
                  <w:rFonts w:ascii="Cambria Math" w:hAnsi="Cambria Math"/>
                  <w:lang w:eastAsia="en-AU"/>
                </w:rPr>
                <m:t>V</m:t>
              </m:r>
            </m:den>
          </m:f>
          <m:r>
            <w:rPr>
              <w:rFonts w:ascii="Cambria Math" w:hAnsi="Cambria Math"/>
              <w:lang w:eastAsia="en-AU"/>
            </w:rPr>
            <m:t xml:space="preserve"> </m:t>
          </m:r>
        </m:oMath>
      </m:oMathPara>
    </w:p>
    <w:p w14:paraId="62B1E1F8" w14:textId="15664621" w:rsidR="00473CC5" w:rsidRDefault="00783CEC" w:rsidP="00473CC5">
      <w:pPr>
        <w:pStyle w:val="BodyText"/>
        <w:rPr>
          <w:lang w:eastAsia="en-AU"/>
        </w:rPr>
      </w:pPr>
      <w:r>
        <w:rPr>
          <w:lang w:eastAsia="en-AU"/>
        </w:rPr>
        <w:t xml:space="preserve">does not </w:t>
      </w:r>
      <w:r w:rsidR="00473CC5">
        <w:rPr>
          <w:lang w:eastAsia="en-AU"/>
        </w:rPr>
        <w:t xml:space="preserve">adjust the required return on debt to reflect the deductibility of interest.  </w:t>
      </w:r>
      <w:r w:rsidR="007D3ABD">
        <w:rPr>
          <w:lang w:eastAsia="en-AU"/>
        </w:rPr>
        <w:t>Consequently, it i</w:t>
      </w:r>
      <w:r w:rsidR="00473CC5">
        <w:rPr>
          <w:rFonts w:eastAsiaTheme="minorEastAsia"/>
          <w:lang w:eastAsia="en-AU"/>
        </w:rPr>
        <w:t>s important that this benefit is accounted for in the definition of cash flows</w:t>
      </w:r>
      <w:r w:rsidR="00FD2C19">
        <w:rPr>
          <w:rFonts w:eastAsiaTheme="minorEastAsia"/>
          <w:lang w:eastAsia="en-AU"/>
        </w:rPr>
        <w:t>.</w:t>
      </w:r>
      <w:r w:rsidR="00473CC5">
        <w:rPr>
          <w:rFonts w:eastAsiaTheme="minorEastAsia"/>
          <w:lang w:eastAsia="en-AU"/>
        </w:rPr>
        <w:t xml:space="preserve"> </w:t>
      </w:r>
      <w:r w:rsidR="00471258">
        <w:rPr>
          <w:rFonts w:eastAsiaTheme="minorEastAsia"/>
          <w:lang w:eastAsia="en-AU"/>
        </w:rPr>
        <w:t xml:space="preserve">For this reason, </w:t>
      </w:r>
      <w:r w:rsidR="00473CC5">
        <w:rPr>
          <w:rFonts w:eastAsiaTheme="minorEastAsia"/>
          <w:lang w:eastAsia="en-AU"/>
        </w:rPr>
        <w:t xml:space="preserve">the </w:t>
      </w:r>
      <w:r w:rsidR="00471258">
        <w:rPr>
          <w:rFonts w:eastAsiaTheme="minorEastAsia"/>
          <w:lang w:eastAsia="en-AU"/>
        </w:rPr>
        <w:t>vanilla</w:t>
      </w:r>
      <w:r w:rsidR="00473CC5">
        <w:rPr>
          <w:rFonts w:eastAsiaTheme="minorEastAsia"/>
          <w:lang w:eastAsia="en-AU"/>
        </w:rPr>
        <w:t xml:space="preserve"> WACC is applied to cash flows defined as the ‘free cash flow</w:t>
      </w:r>
      <w:r w:rsidR="00471258">
        <w:rPr>
          <w:rFonts w:eastAsiaTheme="minorEastAsia"/>
          <w:lang w:eastAsia="en-AU"/>
        </w:rPr>
        <w:t xml:space="preserve"> plus tax benefits</w:t>
      </w:r>
      <w:r w:rsidR="00473CC5">
        <w:rPr>
          <w:rFonts w:eastAsiaTheme="minorEastAsia"/>
          <w:lang w:eastAsia="en-AU"/>
        </w:rPr>
        <w:t xml:space="preserve">,’ which does reflect the deductibility of interest.  </w:t>
      </w:r>
    </w:p>
    <w:p w14:paraId="5D36C521" w14:textId="4A66777C" w:rsidR="00473CC5" w:rsidRDefault="00D124B9" w:rsidP="00473CC5">
      <w:pPr>
        <w:pStyle w:val="BodyText"/>
        <w:rPr>
          <w:lang w:eastAsia="en-AU"/>
        </w:rPr>
      </w:pPr>
      <w:r>
        <w:rPr>
          <w:lang w:eastAsia="en-AU"/>
        </w:rPr>
        <w:t>These two approaches are summarised in</w:t>
      </w:r>
      <w:r w:rsidR="008A53F9">
        <w:rPr>
          <w:lang w:eastAsia="en-AU"/>
        </w:rPr>
        <w:t xml:space="preserve"> </w:t>
      </w:r>
      <w:r w:rsidR="008A53F9">
        <w:rPr>
          <w:lang w:eastAsia="en-AU"/>
        </w:rPr>
        <w:fldChar w:fldCharType="begin"/>
      </w:r>
      <w:r w:rsidR="008A53F9">
        <w:rPr>
          <w:lang w:eastAsia="en-AU"/>
        </w:rPr>
        <w:instrText xml:space="preserve"> REF _Ref169151761 \h </w:instrText>
      </w:r>
      <w:r w:rsidR="008A53F9">
        <w:rPr>
          <w:lang w:eastAsia="en-AU"/>
        </w:rPr>
      </w:r>
      <w:r w:rsidR="008A53F9">
        <w:rPr>
          <w:lang w:eastAsia="en-AU"/>
        </w:rPr>
        <w:fldChar w:fldCharType="separate"/>
      </w:r>
      <w:r w:rsidR="00290E80" w:rsidRPr="00004691">
        <w:t>Table</w:t>
      </w:r>
      <w:r w:rsidR="00290E80" w:rsidRPr="00004691">
        <w:rPr>
          <w:rStyle w:val="Bold"/>
        </w:rPr>
        <w:t xml:space="preserve"> </w:t>
      </w:r>
      <w:r w:rsidR="00290E80">
        <w:rPr>
          <w:noProof/>
        </w:rPr>
        <w:t>4</w:t>
      </w:r>
      <w:r w:rsidR="008A53F9">
        <w:rPr>
          <w:lang w:eastAsia="en-AU"/>
        </w:rPr>
        <w:fldChar w:fldCharType="end"/>
      </w:r>
      <w:r w:rsidR="008A53F9">
        <w:rPr>
          <w:lang w:eastAsia="en-AU"/>
        </w:rPr>
        <w:t xml:space="preserve"> below.</w:t>
      </w:r>
    </w:p>
    <w:p w14:paraId="42780658" w14:textId="01C34182" w:rsidR="008F23A8" w:rsidRDefault="008F23A8">
      <w:pPr>
        <w:pStyle w:val="Caption"/>
        <w:keepNext/>
      </w:pPr>
      <w:bookmarkStart w:id="17" w:name="_Ref169151761"/>
      <w:bookmarkStart w:id="18" w:name="_Toc170474035"/>
      <w:r w:rsidRPr="00004691">
        <w:t>Table</w:t>
      </w:r>
      <w:r w:rsidRPr="00004691">
        <w:rPr>
          <w:rStyle w:val="Bold"/>
        </w:rPr>
        <w:t xml:space="preserve"> </w:t>
      </w:r>
      <w:r>
        <w:fldChar w:fldCharType="begin"/>
      </w:r>
      <w:r>
        <w:instrText xml:space="preserve"> SEQ Table \* ARABIC </w:instrText>
      </w:r>
      <w:r>
        <w:fldChar w:fldCharType="separate"/>
      </w:r>
      <w:r w:rsidR="00290E80">
        <w:rPr>
          <w:noProof/>
        </w:rPr>
        <w:t>4</w:t>
      </w:r>
      <w:r>
        <w:rPr>
          <w:noProof/>
        </w:rPr>
        <w:fldChar w:fldCharType="end"/>
      </w:r>
      <w:bookmarkEnd w:id="17"/>
      <w:r w:rsidRPr="00004691">
        <w:rPr>
          <w:rStyle w:val="Bold"/>
        </w:rPr>
        <w:t>:</w:t>
      </w:r>
      <w:r w:rsidRPr="00004691">
        <w:t xml:space="preserve"> </w:t>
      </w:r>
      <w:r w:rsidR="00337593">
        <w:t xml:space="preserve">Summary of approaches to WACC and </w:t>
      </w:r>
      <w:r w:rsidR="00152DCA">
        <w:t>cash flows</w:t>
      </w:r>
      <w:bookmarkEnd w:id="18"/>
    </w:p>
    <w:tbl>
      <w:tblPr>
        <w:tblStyle w:val="FETableStyle"/>
        <w:tblW w:w="5000" w:type="pct"/>
        <w:tblLook w:val="0420" w:firstRow="1" w:lastRow="0" w:firstColumn="0" w:lastColumn="0" w:noHBand="0" w:noVBand="1"/>
      </w:tblPr>
      <w:tblGrid>
        <w:gridCol w:w="2386"/>
        <w:gridCol w:w="3320"/>
        <w:gridCol w:w="3321"/>
      </w:tblGrid>
      <w:tr w:rsidR="008F23A8" w:rsidRPr="008F23A8" w14:paraId="6FEF726B" w14:textId="77777777" w:rsidTr="00290E80">
        <w:trPr>
          <w:cnfStyle w:val="100000000000" w:firstRow="1" w:lastRow="0" w:firstColumn="0" w:lastColumn="0" w:oddVBand="0" w:evenVBand="0" w:oddHBand="0" w:evenHBand="0" w:firstRowFirstColumn="0" w:firstRowLastColumn="0" w:lastRowFirstColumn="0" w:lastRowLastColumn="0"/>
          <w:tblHeader/>
        </w:trPr>
        <w:tc>
          <w:tcPr>
            <w:tcW w:w="2386" w:type="dxa"/>
          </w:tcPr>
          <w:p w14:paraId="5FDE2ED0" w14:textId="77777777" w:rsidR="008F23A8" w:rsidRPr="008F23A8" w:rsidRDefault="008F23A8" w:rsidP="008F23A8">
            <w:pPr>
              <w:pStyle w:val="TableHeading"/>
            </w:pPr>
          </w:p>
        </w:tc>
        <w:tc>
          <w:tcPr>
            <w:tcW w:w="3320" w:type="dxa"/>
            <w:hideMark/>
          </w:tcPr>
          <w:p w14:paraId="69B6C06B" w14:textId="643AA313" w:rsidR="008F23A8" w:rsidRPr="008F23A8" w:rsidRDefault="0039641F" w:rsidP="008F23A8">
            <w:pPr>
              <w:pStyle w:val="TableHeading"/>
            </w:pPr>
            <w:r>
              <w:t>Classic after-tax</w:t>
            </w:r>
            <w:r w:rsidR="00D124B9">
              <w:t xml:space="preserve"> WACC</w:t>
            </w:r>
          </w:p>
        </w:tc>
        <w:tc>
          <w:tcPr>
            <w:tcW w:w="3321" w:type="dxa"/>
            <w:hideMark/>
          </w:tcPr>
          <w:p w14:paraId="2300C76D" w14:textId="69B18308" w:rsidR="008F23A8" w:rsidRPr="008F23A8" w:rsidRDefault="00D124B9" w:rsidP="008F23A8">
            <w:pPr>
              <w:pStyle w:val="TableHeading"/>
            </w:pPr>
            <w:r>
              <w:t>Vanilla WACC</w:t>
            </w:r>
          </w:p>
        </w:tc>
      </w:tr>
      <w:tr w:rsidR="008F23A8" w:rsidRPr="008F23A8" w14:paraId="0C26B9B2" w14:textId="77777777" w:rsidTr="008B1C51">
        <w:tc>
          <w:tcPr>
            <w:tcW w:w="2386" w:type="dxa"/>
            <w:hideMark/>
          </w:tcPr>
          <w:p w14:paraId="50055A32" w14:textId="77777777" w:rsidR="008F23A8" w:rsidRPr="008F23A8" w:rsidRDefault="008F23A8" w:rsidP="008F23A8">
            <w:pPr>
              <w:pStyle w:val="TableText"/>
            </w:pPr>
            <w:r w:rsidRPr="008F23A8">
              <w:t>Cash flow definition</w:t>
            </w:r>
          </w:p>
        </w:tc>
        <w:tc>
          <w:tcPr>
            <w:tcW w:w="3320" w:type="dxa"/>
            <w:hideMark/>
          </w:tcPr>
          <w:p w14:paraId="78621C95" w14:textId="00C78B9F" w:rsidR="008F23A8" w:rsidRPr="008F23A8" w:rsidRDefault="00D07E37" w:rsidP="008F23A8">
            <w:pPr>
              <w:pStyle w:val="TableText"/>
            </w:pPr>
            <w:r>
              <w:t>Free cash flow</w:t>
            </w:r>
            <w:r w:rsidR="008B1C51">
              <w:t>.</w:t>
            </w:r>
          </w:p>
        </w:tc>
        <w:tc>
          <w:tcPr>
            <w:tcW w:w="3321" w:type="dxa"/>
            <w:hideMark/>
          </w:tcPr>
          <w:p w14:paraId="66EF79F6" w14:textId="37C57DBE" w:rsidR="008F23A8" w:rsidRPr="008F23A8" w:rsidRDefault="008B1C51" w:rsidP="008F23A8">
            <w:pPr>
              <w:pStyle w:val="TableText"/>
            </w:pPr>
            <w:r>
              <w:t>Free cash flow plus tax benefits.</w:t>
            </w:r>
          </w:p>
        </w:tc>
      </w:tr>
      <w:tr w:rsidR="008B1C51" w:rsidRPr="008F23A8" w14:paraId="1E75A23B" w14:textId="77777777" w:rsidTr="008B1C51">
        <w:trPr>
          <w:cnfStyle w:val="000000010000" w:firstRow="0" w:lastRow="0" w:firstColumn="0" w:lastColumn="0" w:oddVBand="0" w:evenVBand="0" w:oddHBand="0" w:evenHBand="1" w:firstRowFirstColumn="0" w:firstRowLastColumn="0" w:lastRowFirstColumn="0" w:lastRowLastColumn="0"/>
        </w:trPr>
        <w:tc>
          <w:tcPr>
            <w:tcW w:w="2386" w:type="dxa"/>
          </w:tcPr>
          <w:p w14:paraId="403A437E" w14:textId="35749006" w:rsidR="008B1C51" w:rsidRDefault="008B1C51" w:rsidP="008B1C51">
            <w:pPr>
              <w:pStyle w:val="TableText"/>
            </w:pPr>
            <w:r w:rsidRPr="008F23A8">
              <w:t>Discount rate definition</w:t>
            </w:r>
          </w:p>
        </w:tc>
        <w:tc>
          <w:tcPr>
            <w:tcW w:w="3320" w:type="dxa"/>
          </w:tcPr>
          <w:p w14:paraId="163C1F94" w14:textId="53C5FD10" w:rsidR="008B1C51" w:rsidRPr="008B1C51" w:rsidRDefault="00724FCE" w:rsidP="008B1C51">
            <w:pPr>
              <w:pStyle w:val="TableText"/>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e</m:t>
                    </m:r>
                  </m:sub>
                </m:sSub>
                <m:f>
                  <m:fPr>
                    <m:ctrlPr>
                      <w:rPr>
                        <w:rFonts w:ascii="Cambria Math" w:hAnsi="Cambria Math"/>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d>
                  <m:dPr>
                    <m:ctrlPr>
                      <w:rPr>
                        <w:rFonts w:ascii="Cambria Math" w:hAnsi="Cambria Math"/>
                      </w:rPr>
                    </m:ctrlPr>
                  </m:dPr>
                  <m:e>
                    <m:r>
                      <w:rPr>
                        <w:rFonts w:ascii="Cambria Math" w:hAnsi="Cambria Math"/>
                      </w:rPr>
                      <m:t>1-T</m:t>
                    </m:r>
                  </m:e>
                </m:d>
                <m:f>
                  <m:fPr>
                    <m:ctrlPr>
                      <w:rPr>
                        <w:rFonts w:ascii="Cambria Math" w:hAnsi="Cambria Math"/>
                      </w:rPr>
                    </m:ctrlPr>
                  </m:fPr>
                  <m:num>
                    <m:r>
                      <w:rPr>
                        <w:rFonts w:ascii="Cambria Math" w:hAnsi="Cambria Math"/>
                      </w:rPr>
                      <m:t>D</m:t>
                    </m:r>
                  </m:num>
                  <m:den>
                    <m:r>
                      <w:rPr>
                        <w:rFonts w:ascii="Cambria Math" w:hAnsi="Cambria Math"/>
                      </w:rPr>
                      <m:t>V</m:t>
                    </m:r>
                  </m:den>
                </m:f>
              </m:oMath>
            </m:oMathPara>
          </w:p>
        </w:tc>
        <w:tc>
          <w:tcPr>
            <w:tcW w:w="3321" w:type="dxa"/>
          </w:tcPr>
          <w:p w14:paraId="1B942C56" w14:textId="6D8A2235" w:rsidR="008B1C51" w:rsidRPr="008B1C51" w:rsidRDefault="00724FCE" w:rsidP="008B1C51">
            <w:pPr>
              <w:pStyle w:val="TableText"/>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e</m:t>
                    </m:r>
                  </m:sub>
                </m:sSub>
                <m:f>
                  <m:fPr>
                    <m:ctrlPr>
                      <w:rPr>
                        <w:rFonts w:ascii="Cambria Math" w:hAnsi="Cambria Math"/>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f>
                  <m:fPr>
                    <m:ctrlPr>
                      <w:rPr>
                        <w:rFonts w:ascii="Cambria Math" w:hAnsi="Cambria Math"/>
                      </w:rPr>
                    </m:ctrlPr>
                  </m:fPr>
                  <m:num>
                    <m:r>
                      <w:rPr>
                        <w:rFonts w:ascii="Cambria Math" w:hAnsi="Cambria Math"/>
                      </w:rPr>
                      <m:t>D</m:t>
                    </m:r>
                  </m:num>
                  <m:den>
                    <m:r>
                      <w:rPr>
                        <w:rFonts w:ascii="Cambria Math" w:hAnsi="Cambria Math"/>
                      </w:rPr>
                      <m:t>V</m:t>
                    </m:r>
                  </m:den>
                </m:f>
              </m:oMath>
            </m:oMathPara>
          </w:p>
        </w:tc>
      </w:tr>
      <w:tr w:rsidR="008F23A8" w:rsidRPr="008F23A8" w14:paraId="5D67A763" w14:textId="77777777" w:rsidTr="008B1C51">
        <w:tc>
          <w:tcPr>
            <w:tcW w:w="2386" w:type="dxa"/>
            <w:hideMark/>
          </w:tcPr>
          <w:p w14:paraId="44AEA7A6" w14:textId="51A0232A" w:rsidR="008F23A8" w:rsidRPr="008F23A8" w:rsidRDefault="008B1C51" w:rsidP="00290E80">
            <w:pPr>
              <w:pStyle w:val="TableText"/>
              <w:keepNext/>
            </w:pPr>
            <w:r>
              <w:t>Treatment of tax benefit from deductibility of interest</w:t>
            </w:r>
          </w:p>
        </w:tc>
        <w:tc>
          <w:tcPr>
            <w:tcW w:w="3320" w:type="dxa"/>
            <w:hideMark/>
          </w:tcPr>
          <w:p w14:paraId="7B6257CE" w14:textId="4459E4E5" w:rsidR="008F23A8" w:rsidRPr="008F23A8" w:rsidRDefault="008B1C51" w:rsidP="00290E80">
            <w:pPr>
              <w:pStyle w:val="TableText"/>
              <w:keepNext/>
            </w:pPr>
            <w:r>
              <w:t>Incorporated in discount rate.  Cash flow a</w:t>
            </w:r>
            <w:r w:rsidRPr="008F23A8">
              <w:t>ssumes tax is paid on entire EBIT</w:t>
            </w:r>
            <w:r w:rsidR="005D5B38">
              <w:t xml:space="preserve"> – no</w:t>
            </w:r>
            <w:r w:rsidRPr="008F23A8">
              <w:t xml:space="preserve"> reflection of deductibility of interest.</w:t>
            </w:r>
          </w:p>
        </w:tc>
        <w:tc>
          <w:tcPr>
            <w:tcW w:w="3321" w:type="dxa"/>
            <w:hideMark/>
          </w:tcPr>
          <w:p w14:paraId="06CF6523" w14:textId="480DE3D9" w:rsidR="008F23A8" w:rsidRPr="008F23A8" w:rsidRDefault="005D5B38" w:rsidP="00290E80">
            <w:pPr>
              <w:pStyle w:val="TableText"/>
              <w:keepNext/>
              <w:spacing w:before="120" w:after="120" w:line="260" w:lineRule="atLeast"/>
            </w:pPr>
            <w:r>
              <w:t xml:space="preserve">Not incorporated in discount rate.  </w:t>
            </w:r>
            <w:r w:rsidR="00337593">
              <w:t xml:space="preserve">Cash flow uses </w:t>
            </w:r>
            <w:r w:rsidR="008B1C51" w:rsidRPr="008F23A8">
              <w:t>actual tax paid, including the benefit of deductibility of interest.</w:t>
            </w:r>
          </w:p>
        </w:tc>
      </w:tr>
    </w:tbl>
    <w:p w14:paraId="19008219" w14:textId="73E0599E" w:rsidR="008F23A8" w:rsidRPr="00885B0A" w:rsidRDefault="008F23A8" w:rsidP="00290E80">
      <w:pPr>
        <w:pStyle w:val="Source"/>
        <w:keepNext/>
      </w:pPr>
      <w:r w:rsidRPr="00885B0A">
        <w:t xml:space="preserve">Source: </w:t>
      </w:r>
      <w:r w:rsidR="00152DCA">
        <w:t>Frontier Economics.</w:t>
      </w:r>
    </w:p>
    <w:p w14:paraId="4A965441" w14:textId="21CEC5C3" w:rsidR="00817706" w:rsidRDefault="00817706" w:rsidP="00840DBB">
      <w:pPr>
        <w:pStyle w:val="BodyText"/>
        <w:rPr>
          <w:lang w:eastAsia="en-AU"/>
        </w:rPr>
      </w:pPr>
      <w:r>
        <w:rPr>
          <w:lang w:eastAsia="en-AU"/>
        </w:rPr>
        <w:t xml:space="preserve">It is important to note that both of these approaches </w:t>
      </w:r>
      <w:r w:rsidR="00705502">
        <w:rPr>
          <w:lang w:eastAsia="en-AU"/>
        </w:rPr>
        <w:t>involve cash flows after deducting corporate tax.  The only difference is that the Vanilla WACC approach</w:t>
      </w:r>
      <w:r w:rsidR="00E00308">
        <w:rPr>
          <w:lang w:eastAsia="en-AU"/>
        </w:rPr>
        <w:t xml:space="preserve"> accounts for the deductibility of interest in the cash flows rather than the discount rate.</w:t>
      </w:r>
    </w:p>
    <w:p w14:paraId="4380870C" w14:textId="77777777" w:rsidR="00747A82" w:rsidRDefault="00840DBB" w:rsidP="00840DBB">
      <w:pPr>
        <w:pStyle w:val="BodyText"/>
        <w:rPr>
          <w:lang w:eastAsia="en-AU"/>
        </w:rPr>
      </w:pPr>
      <w:r>
        <w:rPr>
          <w:lang w:eastAsia="en-AU"/>
        </w:rPr>
        <w:t>These two approaches</w:t>
      </w:r>
      <w:r w:rsidR="00767676">
        <w:rPr>
          <w:lang w:eastAsia="en-AU"/>
        </w:rPr>
        <w:t xml:space="preserve"> to discount rates and cash flows are</w:t>
      </w:r>
      <w:r w:rsidR="003B355A">
        <w:rPr>
          <w:lang w:eastAsia="en-AU"/>
        </w:rPr>
        <w:t xml:space="preserve"> both used in practice and</w:t>
      </w:r>
      <w:r w:rsidR="009C6E77">
        <w:rPr>
          <w:lang w:eastAsia="en-AU"/>
        </w:rPr>
        <w:t xml:space="preserve"> documented in standard textbooks.  </w:t>
      </w:r>
      <w:r w:rsidR="00987F9F">
        <w:rPr>
          <w:lang w:eastAsia="en-AU"/>
        </w:rPr>
        <w:t xml:space="preserve">For example, it is common corporate practice to </w:t>
      </w:r>
      <w:r w:rsidR="0097604F">
        <w:rPr>
          <w:lang w:eastAsia="en-AU"/>
        </w:rPr>
        <w:t xml:space="preserve">use the </w:t>
      </w:r>
      <w:r w:rsidR="0039641F">
        <w:rPr>
          <w:lang w:eastAsia="en-AU"/>
        </w:rPr>
        <w:t xml:space="preserve">classic </w:t>
      </w:r>
      <w:r w:rsidR="0097604F">
        <w:rPr>
          <w:lang w:eastAsia="en-AU"/>
        </w:rPr>
        <w:t>after-tax WACC and the corresponding definition of free cash flows</w:t>
      </w:r>
      <w:r w:rsidR="00AB1AAC">
        <w:rPr>
          <w:lang w:eastAsia="en-AU"/>
        </w:rPr>
        <w:t xml:space="preserve">, and it is common practice among Australian economic regulators to use the Vanilla WACC and the corresponding definition of cash flows.  </w:t>
      </w:r>
    </w:p>
    <w:p w14:paraId="7FBF2B6D" w14:textId="7A392FC1" w:rsidR="00840DBB" w:rsidRDefault="003B355A" w:rsidP="00840DBB">
      <w:pPr>
        <w:pStyle w:val="BodyText"/>
        <w:rPr>
          <w:lang w:eastAsia="en-AU"/>
        </w:rPr>
      </w:pPr>
      <w:r>
        <w:rPr>
          <w:lang w:eastAsia="en-AU"/>
        </w:rPr>
        <w:lastRenderedPageBreak/>
        <w:t xml:space="preserve">Appendix </w:t>
      </w:r>
      <w:r>
        <w:rPr>
          <w:lang w:eastAsia="en-AU"/>
        </w:rPr>
        <w:fldChar w:fldCharType="begin"/>
      </w:r>
      <w:r>
        <w:rPr>
          <w:lang w:eastAsia="en-AU"/>
        </w:rPr>
        <w:instrText xml:space="preserve"> REF _Ref169158097 \r \h </w:instrText>
      </w:r>
      <w:r>
        <w:rPr>
          <w:lang w:eastAsia="en-AU"/>
        </w:rPr>
      </w:r>
      <w:r>
        <w:rPr>
          <w:lang w:eastAsia="en-AU"/>
        </w:rPr>
        <w:fldChar w:fldCharType="separate"/>
      </w:r>
      <w:r w:rsidR="00290E80">
        <w:rPr>
          <w:lang w:eastAsia="en-AU"/>
        </w:rPr>
        <w:t>A</w:t>
      </w:r>
      <w:r>
        <w:rPr>
          <w:lang w:eastAsia="en-AU"/>
        </w:rPr>
        <w:fldChar w:fldCharType="end"/>
      </w:r>
      <w:r w:rsidR="009C6E77">
        <w:rPr>
          <w:lang w:eastAsia="en-AU"/>
        </w:rPr>
        <w:t xml:space="preserve"> sets out a</w:t>
      </w:r>
      <w:r w:rsidR="00D870CD">
        <w:rPr>
          <w:lang w:eastAsia="en-AU"/>
        </w:rPr>
        <w:t xml:space="preserve"> worked example from the market leading textbook of Berk and DeMarzo</w:t>
      </w:r>
      <w:r w:rsidR="00FC62FB">
        <w:rPr>
          <w:lang w:eastAsia="en-AU"/>
        </w:rPr>
        <w:t>.</w:t>
      </w:r>
      <w:r w:rsidR="00D870CD">
        <w:rPr>
          <w:rStyle w:val="FootnoteReference"/>
          <w:lang w:eastAsia="en-AU"/>
        </w:rPr>
        <w:footnoteReference w:id="6"/>
      </w:r>
      <w:r w:rsidR="00FC62FB">
        <w:rPr>
          <w:lang w:eastAsia="en-AU"/>
        </w:rPr>
        <w:t xml:space="preserve">  That example shows that </w:t>
      </w:r>
      <w:r w:rsidR="00DF5B5D">
        <w:rPr>
          <w:lang w:eastAsia="en-AU"/>
        </w:rPr>
        <w:t xml:space="preserve">the two approaches produce identical estimates of present value – so long as the </w:t>
      </w:r>
      <w:r w:rsidR="00D26F0A">
        <w:rPr>
          <w:lang w:eastAsia="en-AU"/>
        </w:rPr>
        <w:t>definitions of cash flows and WACC are paired appropriately.</w:t>
      </w:r>
    </w:p>
    <w:p w14:paraId="490EBA28" w14:textId="3CAA8105" w:rsidR="0082164B" w:rsidRDefault="000A5C6A" w:rsidP="0082164B">
      <w:pPr>
        <w:pStyle w:val="Heading4"/>
      </w:pPr>
      <w:r>
        <w:t>The most appropriate approach</w:t>
      </w:r>
    </w:p>
    <w:p w14:paraId="3027EAC0" w14:textId="68E240EB" w:rsidR="00960E4A" w:rsidRDefault="000A5C6A" w:rsidP="007D555D">
      <w:pPr>
        <w:pStyle w:val="BodyText"/>
        <w:rPr>
          <w:lang w:eastAsia="en-AU"/>
        </w:rPr>
      </w:pPr>
      <w:r>
        <w:rPr>
          <w:lang w:eastAsia="en-AU"/>
        </w:rPr>
        <w:t>When selecting between the two post-tax approaches, we return to the</w:t>
      </w:r>
      <w:r w:rsidR="00960E4A">
        <w:rPr>
          <w:lang w:eastAsia="en-AU"/>
        </w:rPr>
        <w:t xml:space="preserve"> </w:t>
      </w:r>
      <w:r w:rsidR="00C542B9">
        <w:rPr>
          <w:lang w:eastAsia="en-AU"/>
        </w:rPr>
        <w:t>role that the WACC plays in the ACMA framework.</w:t>
      </w:r>
      <w:r>
        <w:rPr>
          <w:lang w:eastAsia="en-AU"/>
        </w:rPr>
        <w:t xml:space="preserve"> </w:t>
      </w:r>
      <w:r w:rsidR="00C542B9">
        <w:rPr>
          <w:lang w:eastAsia="en-AU"/>
        </w:rPr>
        <w:t xml:space="preserve"> </w:t>
      </w:r>
      <w:r w:rsidR="007D555D">
        <w:rPr>
          <w:lang w:eastAsia="en-AU"/>
        </w:rPr>
        <w:t xml:space="preserve">We noted above that </w:t>
      </w:r>
      <w:r w:rsidR="00960E4A">
        <w:rPr>
          <w:lang w:eastAsia="en-AU"/>
        </w:rPr>
        <w:t>the WACC is used to derive a set of annual cash flows that have a present value equal to the amount paid for a particular spectrum licence.</w:t>
      </w:r>
    </w:p>
    <w:p w14:paraId="1F718693" w14:textId="77777777" w:rsidR="008B3CA9" w:rsidRDefault="008B3CA9" w:rsidP="008B3CA9">
      <w:pPr>
        <w:pStyle w:val="BodyText"/>
        <w:rPr>
          <w:lang w:eastAsia="en-AU"/>
        </w:rPr>
      </w:pPr>
      <w:r>
        <w:rPr>
          <w:lang w:eastAsia="en-AU"/>
        </w:rPr>
        <w:t>Thus:</w:t>
      </w:r>
    </w:p>
    <w:p w14:paraId="61447E4E" w14:textId="4ED4D8E5" w:rsidR="008B3CA9" w:rsidRDefault="008B3CA9" w:rsidP="008B3CA9">
      <w:pPr>
        <w:pStyle w:val="ListBullet"/>
      </w:pPr>
      <w:r>
        <w:t xml:space="preserve">If </w:t>
      </w:r>
      <w:r w:rsidR="004762AE">
        <w:t xml:space="preserve">the classic </w:t>
      </w:r>
      <w:r>
        <w:t xml:space="preserve">WACC is used, what will be derived is a set of </w:t>
      </w:r>
      <w:r w:rsidR="004762AE">
        <w:t xml:space="preserve">cash flows that </w:t>
      </w:r>
      <w:r w:rsidR="004762AE" w:rsidRPr="00E3778D">
        <w:rPr>
          <w:i/>
          <w:iCs/>
        </w:rPr>
        <w:t>do not</w:t>
      </w:r>
      <w:r w:rsidR="004762AE">
        <w:t xml:space="preserve"> </w:t>
      </w:r>
      <w:r w:rsidR="008345BF">
        <w:t xml:space="preserve">reflect </w:t>
      </w:r>
      <w:r w:rsidR="00476FC4">
        <w:t xml:space="preserve">the tax benefits from interest deductibility </w:t>
      </w:r>
      <w:r w:rsidR="00E3778D">
        <w:t xml:space="preserve">that </w:t>
      </w:r>
      <w:r>
        <w:t>has a present value equal to the price paid for the licence; and</w:t>
      </w:r>
    </w:p>
    <w:p w14:paraId="1BAE6C6D" w14:textId="049B53DE" w:rsidR="008B3CA9" w:rsidRDefault="008B3CA9" w:rsidP="008B3CA9">
      <w:pPr>
        <w:pStyle w:val="ListBullet"/>
      </w:pPr>
      <w:r>
        <w:t xml:space="preserve">If </w:t>
      </w:r>
      <w:r w:rsidR="00676363">
        <w:t>the vanilla</w:t>
      </w:r>
      <w:r>
        <w:t xml:space="preserve"> WACC is used, what will be derived is a set of cash flows that </w:t>
      </w:r>
      <w:r w:rsidR="008345BF" w:rsidRPr="00E3778D">
        <w:rPr>
          <w:i/>
          <w:iCs/>
        </w:rPr>
        <w:t>do</w:t>
      </w:r>
      <w:r w:rsidR="008345BF">
        <w:t xml:space="preserve"> reflect the tax benefits from interest deductibility</w:t>
      </w:r>
      <w:r w:rsidR="00E3778D">
        <w:t xml:space="preserve"> that </w:t>
      </w:r>
      <w:r>
        <w:t>has a present value equal to the price paid for the licence.</w:t>
      </w:r>
    </w:p>
    <w:p w14:paraId="72734F82" w14:textId="556C9B07" w:rsidR="008B3CA9" w:rsidRDefault="00F958D3" w:rsidP="00840DBB">
      <w:pPr>
        <w:pStyle w:val="BodyText"/>
        <w:rPr>
          <w:lang w:eastAsia="en-AU"/>
        </w:rPr>
      </w:pPr>
      <w:r>
        <w:rPr>
          <w:lang w:eastAsia="en-AU"/>
        </w:rPr>
        <w:t xml:space="preserve">Because the </w:t>
      </w:r>
      <w:r w:rsidR="002F5390">
        <w:rPr>
          <w:lang w:eastAsia="en-AU"/>
        </w:rPr>
        <w:t xml:space="preserve">latter better </w:t>
      </w:r>
      <w:r w:rsidR="0063376D">
        <w:rPr>
          <w:lang w:eastAsia="en-AU"/>
        </w:rPr>
        <w:t xml:space="preserve">identifies the </w:t>
      </w:r>
      <w:r w:rsidR="005942D0">
        <w:rPr>
          <w:lang w:eastAsia="en-AU"/>
        </w:rPr>
        <w:t>cash flows actually available to the licence holder</w:t>
      </w:r>
      <w:r w:rsidR="00C17995">
        <w:rPr>
          <w:lang w:eastAsia="en-AU"/>
        </w:rPr>
        <w:t>, we prefer that approach.</w:t>
      </w:r>
      <w:r w:rsidR="00050766">
        <w:rPr>
          <w:lang w:eastAsia="en-AU"/>
        </w:rPr>
        <w:t xml:space="preserve">  To the extent that </w:t>
      </w:r>
      <w:r w:rsidR="004C6745">
        <w:rPr>
          <w:lang w:eastAsia="en-AU"/>
        </w:rPr>
        <w:t xml:space="preserve">licence holders </w:t>
      </w:r>
      <w:r w:rsidR="004C6745" w:rsidRPr="00E3622B">
        <w:rPr>
          <w:i/>
          <w:iCs/>
          <w:lang w:eastAsia="en-AU"/>
        </w:rPr>
        <w:t>do</w:t>
      </w:r>
      <w:r w:rsidR="004C6745">
        <w:rPr>
          <w:lang w:eastAsia="en-AU"/>
        </w:rPr>
        <w:t xml:space="preserve"> </w:t>
      </w:r>
      <w:r w:rsidR="005B36DC">
        <w:rPr>
          <w:lang w:eastAsia="en-AU"/>
        </w:rPr>
        <w:t>benefit from the deductibility of interest on debt used to fund the licence fee</w:t>
      </w:r>
      <w:r w:rsidR="00E3622B">
        <w:rPr>
          <w:lang w:eastAsia="en-AU"/>
        </w:rPr>
        <w:t>, th</w:t>
      </w:r>
      <w:r w:rsidR="009551E5">
        <w:rPr>
          <w:lang w:eastAsia="en-AU"/>
        </w:rPr>
        <w:t>ose benefits would be</w:t>
      </w:r>
      <w:r w:rsidR="002E7DEB">
        <w:rPr>
          <w:lang w:eastAsia="en-AU"/>
        </w:rPr>
        <w:t xml:space="preserve"> factored into a</w:t>
      </w:r>
      <w:r w:rsidR="00281819">
        <w:rPr>
          <w:lang w:eastAsia="en-AU"/>
        </w:rPr>
        <w:t>ny bid for the licence.</w:t>
      </w:r>
      <w:r w:rsidR="00E3622B">
        <w:rPr>
          <w:lang w:eastAsia="en-AU"/>
        </w:rPr>
        <w:t xml:space="preserve"> </w:t>
      </w:r>
    </w:p>
    <w:p w14:paraId="5E59CC94" w14:textId="1EB6319B" w:rsidR="004472D4" w:rsidRDefault="0052749F" w:rsidP="00840DBB">
      <w:pPr>
        <w:pStyle w:val="BodyText"/>
        <w:rPr>
          <w:lang w:eastAsia="en-AU"/>
        </w:rPr>
      </w:pPr>
      <w:r w:rsidRPr="001A4E9D">
        <w:rPr>
          <w:lang w:eastAsia="en-AU"/>
        </w:rPr>
        <w:t>For these reasons, our preferred approach is to use the vanilla WACC</w:t>
      </w:r>
      <w:r w:rsidR="005A3C04" w:rsidRPr="001A4E9D">
        <w:rPr>
          <w:lang w:eastAsia="en-AU"/>
        </w:rPr>
        <w:t xml:space="preserve"> – the same specification of </w:t>
      </w:r>
      <w:r w:rsidR="00C33FDE" w:rsidRPr="001A4E9D">
        <w:rPr>
          <w:lang w:eastAsia="en-AU"/>
        </w:rPr>
        <w:t>WACC that is generally used by Australian economic regulators.</w:t>
      </w:r>
    </w:p>
    <w:p w14:paraId="07B93EF9" w14:textId="78E924BC" w:rsidR="00BA5A66" w:rsidRDefault="00BA5A66" w:rsidP="00840DBB">
      <w:pPr>
        <w:pStyle w:val="BodyText"/>
        <w:rPr>
          <w:lang w:eastAsia="en-AU"/>
        </w:rPr>
      </w:pPr>
      <w:r>
        <w:rPr>
          <w:lang w:eastAsia="en-AU"/>
        </w:rPr>
        <w:t xml:space="preserve">Having </w:t>
      </w:r>
      <w:r w:rsidR="00752DBE">
        <w:rPr>
          <w:lang w:eastAsia="en-AU"/>
        </w:rPr>
        <w:t>identified this preferred approach on conceptual grounds</w:t>
      </w:r>
      <w:r w:rsidR="00694DDC">
        <w:rPr>
          <w:lang w:eastAsia="en-AU"/>
        </w:rPr>
        <w:t xml:space="preserve">, </w:t>
      </w:r>
      <w:r w:rsidR="00F9452E">
        <w:rPr>
          <w:lang w:eastAsia="en-AU"/>
        </w:rPr>
        <w:t xml:space="preserve">we note that </w:t>
      </w:r>
      <w:r w:rsidR="00BE1576">
        <w:rPr>
          <w:lang w:eastAsia="en-AU"/>
        </w:rPr>
        <w:t>the choice between different after-tax WACC specifications</w:t>
      </w:r>
      <w:r w:rsidR="00942325">
        <w:rPr>
          <w:lang w:eastAsia="en-AU"/>
        </w:rPr>
        <w:t xml:space="preserve"> </w:t>
      </w:r>
      <w:r w:rsidR="000102C7">
        <w:rPr>
          <w:lang w:eastAsia="en-AU"/>
        </w:rPr>
        <w:t xml:space="preserve">is likely to have a limited impact on the </w:t>
      </w:r>
      <w:r w:rsidR="00D04097">
        <w:rPr>
          <w:lang w:eastAsia="en-AU"/>
        </w:rPr>
        <w:t>allocation of value over a licence period.</w:t>
      </w:r>
      <w:r w:rsidR="00D26648">
        <w:rPr>
          <w:lang w:eastAsia="en-AU"/>
        </w:rPr>
        <w:t xml:space="preserve">  To show this</w:t>
      </w:r>
      <w:r w:rsidR="007A1926">
        <w:rPr>
          <w:lang w:eastAsia="en-AU"/>
        </w:rPr>
        <w:t xml:space="preserve">, we </w:t>
      </w:r>
      <w:r w:rsidR="00852CC1">
        <w:rPr>
          <w:lang w:eastAsia="en-AU"/>
        </w:rPr>
        <w:t xml:space="preserve">consider </w:t>
      </w:r>
      <w:r w:rsidR="00C36583">
        <w:rPr>
          <w:lang w:eastAsia="en-AU"/>
        </w:rPr>
        <w:t>the example</w:t>
      </w:r>
      <w:r w:rsidR="00B544BF">
        <w:rPr>
          <w:lang w:eastAsia="en-AU"/>
        </w:rPr>
        <w:t xml:space="preserve"> that is summarised in </w:t>
      </w:r>
      <w:r w:rsidR="004F1370">
        <w:rPr>
          <w:lang w:eastAsia="en-AU"/>
        </w:rPr>
        <w:fldChar w:fldCharType="begin"/>
      </w:r>
      <w:r w:rsidR="004F1370">
        <w:rPr>
          <w:lang w:eastAsia="en-AU"/>
        </w:rPr>
        <w:instrText xml:space="preserve"> REF _Ref169786090 </w:instrText>
      </w:r>
      <w:r w:rsidR="004F1370">
        <w:rPr>
          <w:lang w:eastAsia="en-AU"/>
        </w:rPr>
        <w:fldChar w:fldCharType="separate"/>
      </w:r>
      <w:r w:rsidR="00290E80" w:rsidRPr="00004691">
        <w:t>Table</w:t>
      </w:r>
      <w:r w:rsidR="00290E80" w:rsidRPr="00004691">
        <w:rPr>
          <w:rStyle w:val="Bold"/>
        </w:rPr>
        <w:t xml:space="preserve"> </w:t>
      </w:r>
      <w:r w:rsidR="00290E80">
        <w:rPr>
          <w:noProof/>
        </w:rPr>
        <w:t>5</w:t>
      </w:r>
      <w:r w:rsidR="004F1370">
        <w:rPr>
          <w:lang w:eastAsia="en-AU"/>
        </w:rPr>
        <w:fldChar w:fldCharType="end"/>
      </w:r>
      <w:r w:rsidR="004F1370">
        <w:rPr>
          <w:lang w:eastAsia="en-AU"/>
        </w:rPr>
        <w:t xml:space="preserve"> below.</w:t>
      </w:r>
    </w:p>
    <w:p w14:paraId="7ABC77B3" w14:textId="395039C3" w:rsidR="00302E3E" w:rsidRDefault="00302E3E">
      <w:pPr>
        <w:pStyle w:val="Caption"/>
        <w:keepNext/>
      </w:pPr>
      <w:bookmarkStart w:id="19" w:name="_Ref169786090"/>
      <w:bookmarkStart w:id="20" w:name="_Toc170474036"/>
      <w:r w:rsidRPr="00004691">
        <w:t>Table</w:t>
      </w:r>
      <w:r w:rsidRPr="00004691">
        <w:rPr>
          <w:rStyle w:val="Bold"/>
        </w:rPr>
        <w:t xml:space="preserve"> </w:t>
      </w:r>
      <w:r>
        <w:fldChar w:fldCharType="begin"/>
      </w:r>
      <w:r>
        <w:instrText xml:space="preserve"> SEQ Table \* ARABIC </w:instrText>
      </w:r>
      <w:r>
        <w:fldChar w:fldCharType="separate"/>
      </w:r>
      <w:r w:rsidR="00290E80">
        <w:rPr>
          <w:noProof/>
        </w:rPr>
        <w:t>5</w:t>
      </w:r>
      <w:r>
        <w:rPr>
          <w:noProof/>
        </w:rPr>
        <w:fldChar w:fldCharType="end"/>
      </w:r>
      <w:bookmarkEnd w:id="19"/>
      <w:r w:rsidRPr="00004691">
        <w:rPr>
          <w:rStyle w:val="Bold"/>
        </w:rPr>
        <w:t>:</w:t>
      </w:r>
      <w:r w:rsidRPr="00004691">
        <w:t xml:space="preserve"> </w:t>
      </w:r>
      <w:r w:rsidR="004F1370">
        <w:t>Illustrative example</w:t>
      </w:r>
      <w:bookmarkEnd w:id="20"/>
    </w:p>
    <w:tbl>
      <w:tblPr>
        <w:tblStyle w:val="FETableStyle"/>
        <w:tblW w:w="5000" w:type="pct"/>
        <w:tblLook w:val="0420" w:firstRow="1" w:lastRow="0" w:firstColumn="0" w:lastColumn="0" w:noHBand="0" w:noVBand="1"/>
      </w:tblPr>
      <w:tblGrid>
        <w:gridCol w:w="6770"/>
        <w:gridCol w:w="2257"/>
      </w:tblGrid>
      <w:tr w:rsidR="00302E3E" w:rsidRPr="00302E3E" w14:paraId="5D20A089" w14:textId="77777777" w:rsidTr="00302E3E">
        <w:trPr>
          <w:cnfStyle w:val="100000000000" w:firstRow="1" w:lastRow="0" w:firstColumn="0" w:lastColumn="0" w:oddVBand="0" w:evenVBand="0" w:oddHBand="0" w:evenHBand="0" w:firstRowFirstColumn="0" w:firstRowLastColumn="0" w:lastRowFirstColumn="0" w:lastRowLastColumn="0"/>
        </w:trPr>
        <w:tc>
          <w:tcPr>
            <w:tcW w:w="2880" w:type="dxa"/>
            <w:noWrap/>
            <w:hideMark/>
          </w:tcPr>
          <w:p w14:paraId="0FA1251F" w14:textId="77777777" w:rsidR="00302E3E" w:rsidRPr="00302E3E" w:rsidRDefault="00302E3E" w:rsidP="00302E3E">
            <w:pPr>
              <w:pStyle w:val="TableHeading"/>
            </w:pPr>
            <w:r w:rsidRPr="00302E3E">
              <w:t>WACC parameters</w:t>
            </w:r>
          </w:p>
        </w:tc>
        <w:tc>
          <w:tcPr>
            <w:tcW w:w="960" w:type="dxa"/>
            <w:noWrap/>
            <w:hideMark/>
          </w:tcPr>
          <w:p w14:paraId="3419CED5" w14:textId="77777777" w:rsidR="00302E3E" w:rsidRPr="00302E3E" w:rsidRDefault="00302E3E" w:rsidP="00302E3E">
            <w:pPr>
              <w:pStyle w:val="TableHeading"/>
            </w:pPr>
          </w:p>
        </w:tc>
      </w:tr>
      <w:tr w:rsidR="00302E3E" w:rsidRPr="00302E3E" w14:paraId="1A664218" w14:textId="77777777" w:rsidTr="00302E3E">
        <w:tc>
          <w:tcPr>
            <w:tcW w:w="2880" w:type="dxa"/>
            <w:noWrap/>
            <w:hideMark/>
          </w:tcPr>
          <w:p w14:paraId="47BB9BD5" w14:textId="77777777" w:rsidR="00302E3E" w:rsidRPr="00302E3E" w:rsidRDefault="00302E3E" w:rsidP="00302E3E">
            <w:pPr>
              <w:pStyle w:val="TableText"/>
            </w:pPr>
            <w:r w:rsidRPr="00302E3E">
              <w:t>Risk-free rate</w:t>
            </w:r>
          </w:p>
        </w:tc>
        <w:tc>
          <w:tcPr>
            <w:tcW w:w="960" w:type="dxa"/>
            <w:noWrap/>
            <w:hideMark/>
          </w:tcPr>
          <w:p w14:paraId="03562215" w14:textId="77777777" w:rsidR="00302E3E" w:rsidRPr="00302E3E" w:rsidRDefault="00302E3E" w:rsidP="00302E3E">
            <w:pPr>
              <w:pStyle w:val="TableText"/>
            </w:pPr>
            <w:r w:rsidRPr="00302E3E">
              <w:t>4%</w:t>
            </w:r>
          </w:p>
        </w:tc>
      </w:tr>
      <w:tr w:rsidR="00302E3E" w:rsidRPr="00302E3E" w14:paraId="28F8FBAF" w14:textId="77777777" w:rsidTr="00302E3E">
        <w:trPr>
          <w:cnfStyle w:val="000000010000" w:firstRow="0" w:lastRow="0" w:firstColumn="0" w:lastColumn="0" w:oddVBand="0" w:evenVBand="0" w:oddHBand="0" w:evenHBand="1" w:firstRowFirstColumn="0" w:firstRowLastColumn="0" w:lastRowFirstColumn="0" w:lastRowLastColumn="0"/>
        </w:trPr>
        <w:tc>
          <w:tcPr>
            <w:tcW w:w="2880" w:type="dxa"/>
            <w:noWrap/>
            <w:hideMark/>
          </w:tcPr>
          <w:p w14:paraId="60024A9D" w14:textId="77777777" w:rsidR="00302E3E" w:rsidRPr="00302E3E" w:rsidRDefault="00302E3E" w:rsidP="00302E3E">
            <w:pPr>
              <w:pStyle w:val="TableText"/>
            </w:pPr>
            <w:r w:rsidRPr="00302E3E">
              <w:t>Market risk premium</w:t>
            </w:r>
          </w:p>
        </w:tc>
        <w:tc>
          <w:tcPr>
            <w:tcW w:w="960" w:type="dxa"/>
            <w:noWrap/>
            <w:hideMark/>
          </w:tcPr>
          <w:p w14:paraId="52F55634" w14:textId="77777777" w:rsidR="00302E3E" w:rsidRPr="00302E3E" w:rsidRDefault="00302E3E" w:rsidP="00302E3E">
            <w:pPr>
              <w:pStyle w:val="TableText"/>
            </w:pPr>
            <w:r w:rsidRPr="00302E3E">
              <w:t>6.50%</w:t>
            </w:r>
          </w:p>
        </w:tc>
      </w:tr>
      <w:tr w:rsidR="00302E3E" w:rsidRPr="00302E3E" w14:paraId="029114ED" w14:textId="77777777" w:rsidTr="004F1370">
        <w:tc>
          <w:tcPr>
            <w:tcW w:w="2880" w:type="dxa"/>
            <w:tcBorders>
              <w:bottom w:val="single" w:sz="4" w:space="0" w:color="207BA1" w:themeColor="accent2"/>
            </w:tcBorders>
            <w:noWrap/>
            <w:hideMark/>
          </w:tcPr>
          <w:p w14:paraId="72DC268A" w14:textId="77777777" w:rsidR="00302E3E" w:rsidRPr="00302E3E" w:rsidRDefault="00302E3E" w:rsidP="00302E3E">
            <w:pPr>
              <w:pStyle w:val="TableText"/>
            </w:pPr>
            <w:r w:rsidRPr="00302E3E">
              <w:t>Beta</w:t>
            </w:r>
          </w:p>
        </w:tc>
        <w:tc>
          <w:tcPr>
            <w:tcW w:w="960" w:type="dxa"/>
            <w:tcBorders>
              <w:bottom w:val="single" w:sz="4" w:space="0" w:color="207BA1" w:themeColor="accent2"/>
            </w:tcBorders>
            <w:noWrap/>
            <w:hideMark/>
          </w:tcPr>
          <w:p w14:paraId="02BF5E4B" w14:textId="77777777" w:rsidR="00302E3E" w:rsidRPr="00302E3E" w:rsidRDefault="00302E3E" w:rsidP="00302E3E">
            <w:pPr>
              <w:pStyle w:val="TableText"/>
            </w:pPr>
            <w:r w:rsidRPr="00302E3E">
              <w:t>0.8</w:t>
            </w:r>
          </w:p>
        </w:tc>
      </w:tr>
      <w:tr w:rsidR="00302E3E" w:rsidRPr="00302E3E" w14:paraId="5788FAA8" w14:textId="77777777" w:rsidTr="004F1370">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207BA1" w:themeColor="accent2"/>
            </w:tcBorders>
            <w:noWrap/>
            <w:hideMark/>
          </w:tcPr>
          <w:p w14:paraId="12DC8BFD" w14:textId="77777777" w:rsidR="00302E3E" w:rsidRPr="00302E3E" w:rsidRDefault="00302E3E" w:rsidP="00302E3E">
            <w:pPr>
              <w:pStyle w:val="TableText"/>
            </w:pPr>
            <w:r w:rsidRPr="00302E3E">
              <w:t>Return on equity</w:t>
            </w:r>
          </w:p>
        </w:tc>
        <w:tc>
          <w:tcPr>
            <w:tcW w:w="960" w:type="dxa"/>
            <w:tcBorders>
              <w:top w:val="single" w:sz="4" w:space="0" w:color="207BA1" w:themeColor="accent2"/>
            </w:tcBorders>
            <w:noWrap/>
            <w:hideMark/>
          </w:tcPr>
          <w:p w14:paraId="31F322C0" w14:textId="3C0AA960" w:rsidR="00302E3E" w:rsidRPr="00302E3E" w:rsidRDefault="00302E3E" w:rsidP="00302E3E">
            <w:pPr>
              <w:pStyle w:val="TableText"/>
            </w:pPr>
            <w:r w:rsidRPr="00302E3E">
              <w:t>9.20%</w:t>
            </w:r>
          </w:p>
        </w:tc>
      </w:tr>
      <w:tr w:rsidR="00302E3E" w:rsidRPr="00302E3E" w14:paraId="0DBAEFF8" w14:textId="77777777" w:rsidTr="00302E3E">
        <w:tc>
          <w:tcPr>
            <w:tcW w:w="2880" w:type="dxa"/>
            <w:noWrap/>
            <w:hideMark/>
          </w:tcPr>
          <w:p w14:paraId="3D04DDAB" w14:textId="77777777" w:rsidR="00302E3E" w:rsidRPr="00302E3E" w:rsidRDefault="00302E3E" w:rsidP="00302E3E">
            <w:pPr>
              <w:pStyle w:val="TableText"/>
            </w:pPr>
            <w:r w:rsidRPr="00302E3E">
              <w:t>Return on debt</w:t>
            </w:r>
          </w:p>
        </w:tc>
        <w:tc>
          <w:tcPr>
            <w:tcW w:w="960" w:type="dxa"/>
            <w:noWrap/>
            <w:hideMark/>
          </w:tcPr>
          <w:p w14:paraId="7EB8AC67" w14:textId="6D08C87B" w:rsidR="00302E3E" w:rsidRPr="00302E3E" w:rsidRDefault="00302E3E" w:rsidP="00302E3E">
            <w:pPr>
              <w:pStyle w:val="TableText"/>
            </w:pPr>
            <w:r w:rsidRPr="00302E3E">
              <w:t>6</w:t>
            </w:r>
            <w:r>
              <w:t>.00</w:t>
            </w:r>
            <w:r w:rsidRPr="00302E3E">
              <w:t>%</w:t>
            </w:r>
          </w:p>
        </w:tc>
      </w:tr>
      <w:tr w:rsidR="00302E3E" w:rsidRPr="00302E3E" w14:paraId="7885A35B" w14:textId="77777777" w:rsidTr="00302E3E">
        <w:trPr>
          <w:cnfStyle w:val="000000010000" w:firstRow="0" w:lastRow="0" w:firstColumn="0" w:lastColumn="0" w:oddVBand="0" w:evenVBand="0" w:oddHBand="0" w:evenHBand="1" w:firstRowFirstColumn="0" w:firstRowLastColumn="0" w:lastRowFirstColumn="0" w:lastRowLastColumn="0"/>
        </w:trPr>
        <w:tc>
          <w:tcPr>
            <w:tcW w:w="2880" w:type="dxa"/>
            <w:noWrap/>
            <w:hideMark/>
          </w:tcPr>
          <w:p w14:paraId="5794BD02" w14:textId="77777777" w:rsidR="00302E3E" w:rsidRPr="00302E3E" w:rsidRDefault="00302E3E" w:rsidP="00302E3E">
            <w:pPr>
              <w:pStyle w:val="TableText"/>
            </w:pPr>
            <w:r w:rsidRPr="00302E3E">
              <w:t>Gearing</w:t>
            </w:r>
          </w:p>
        </w:tc>
        <w:tc>
          <w:tcPr>
            <w:tcW w:w="960" w:type="dxa"/>
            <w:noWrap/>
            <w:hideMark/>
          </w:tcPr>
          <w:p w14:paraId="0023CD3F" w14:textId="77777777" w:rsidR="00302E3E" w:rsidRPr="00302E3E" w:rsidRDefault="00302E3E" w:rsidP="00302E3E">
            <w:pPr>
              <w:pStyle w:val="TableText"/>
            </w:pPr>
            <w:r w:rsidRPr="00302E3E">
              <w:t>40%</w:t>
            </w:r>
          </w:p>
        </w:tc>
      </w:tr>
      <w:tr w:rsidR="00302E3E" w:rsidRPr="00302E3E" w14:paraId="2D61EDCF" w14:textId="77777777" w:rsidTr="004F1370">
        <w:tc>
          <w:tcPr>
            <w:tcW w:w="2880" w:type="dxa"/>
            <w:tcBorders>
              <w:bottom w:val="single" w:sz="4" w:space="0" w:color="207BA1" w:themeColor="accent2"/>
            </w:tcBorders>
            <w:noWrap/>
            <w:hideMark/>
          </w:tcPr>
          <w:p w14:paraId="39D8C01D" w14:textId="77777777" w:rsidR="00302E3E" w:rsidRPr="00302E3E" w:rsidRDefault="00302E3E" w:rsidP="00302E3E">
            <w:pPr>
              <w:pStyle w:val="TableText"/>
            </w:pPr>
            <w:r w:rsidRPr="00302E3E">
              <w:t>Corporate tax rate</w:t>
            </w:r>
          </w:p>
        </w:tc>
        <w:tc>
          <w:tcPr>
            <w:tcW w:w="960" w:type="dxa"/>
            <w:tcBorders>
              <w:bottom w:val="single" w:sz="4" w:space="0" w:color="207BA1" w:themeColor="accent2"/>
            </w:tcBorders>
            <w:noWrap/>
            <w:hideMark/>
          </w:tcPr>
          <w:p w14:paraId="4B4EE988" w14:textId="77777777" w:rsidR="00302E3E" w:rsidRPr="00302E3E" w:rsidRDefault="00302E3E" w:rsidP="00302E3E">
            <w:pPr>
              <w:pStyle w:val="TableText"/>
            </w:pPr>
            <w:r w:rsidRPr="00302E3E">
              <w:t>30%</w:t>
            </w:r>
          </w:p>
        </w:tc>
      </w:tr>
      <w:tr w:rsidR="00302E3E" w:rsidRPr="00302E3E" w14:paraId="4D298988" w14:textId="77777777" w:rsidTr="004F1370">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207BA1" w:themeColor="accent2"/>
            </w:tcBorders>
            <w:noWrap/>
            <w:hideMark/>
          </w:tcPr>
          <w:p w14:paraId="20ECEB27" w14:textId="28EBE720" w:rsidR="00302E3E" w:rsidRPr="00302E3E" w:rsidRDefault="00302E3E" w:rsidP="00302E3E">
            <w:pPr>
              <w:pStyle w:val="TableText"/>
            </w:pPr>
            <w:r w:rsidRPr="00302E3E">
              <w:t xml:space="preserve">WACC </w:t>
            </w:r>
            <w:r w:rsidR="004F1370">
              <w:t>classic</w:t>
            </w:r>
          </w:p>
        </w:tc>
        <w:tc>
          <w:tcPr>
            <w:tcW w:w="960" w:type="dxa"/>
            <w:tcBorders>
              <w:top w:val="single" w:sz="4" w:space="0" w:color="207BA1" w:themeColor="accent2"/>
            </w:tcBorders>
            <w:noWrap/>
            <w:hideMark/>
          </w:tcPr>
          <w:p w14:paraId="3C05FF8D" w14:textId="7FF571BA" w:rsidR="00302E3E" w:rsidRPr="00302E3E" w:rsidRDefault="00302E3E" w:rsidP="00302E3E">
            <w:pPr>
              <w:pStyle w:val="TableText"/>
            </w:pPr>
            <w:r w:rsidRPr="00302E3E">
              <w:t>7.20%</w:t>
            </w:r>
          </w:p>
        </w:tc>
      </w:tr>
      <w:tr w:rsidR="00302E3E" w:rsidRPr="00302E3E" w14:paraId="5AFBFA5A" w14:textId="77777777" w:rsidTr="00302E3E">
        <w:tc>
          <w:tcPr>
            <w:tcW w:w="2880" w:type="dxa"/>
            <w:noWrap/>
            <w:hideMark/>
          </w:tcPr>
          <w:p w14:paraId="4D8E00EB" w14:textId="2E58D90D" w:rsidR="00302E3E" w:rsidRPr="00302E3E" w:rsidRDefault="00302E3E" w:rsidP="00302E3E">
            <w:pPr>
              <w:pStyle w:val="TableText"/>
            </w:pPr>
            <w:r w:rsidRPr="00302E3E">
              <w:t>WACC van</w:t>
            </w:r>
            <w:r w:rsidR="004F1370">
              <w:t>illa</w:t>
            </w:r>
          </w:p>
        </w:tc>
        <w:tc>
          <w:tcPr>
            <w:tcW w:w="960" w:type="dxa"/>
            <w:noWrap/>
            <w:hideMark/>
          </w:tcPr>
          <w:p w14:paraId="5BC62165" w14:textId="1AFF0D78" w:rsidR="00302E3E" w:rsidRPr="00302E3E" w:rsidRDefault="00302E3E" w:rsidP="00302E3E">
            <w:pPr>
              <w:pStyle w:val="TableText"/>
            </w:pPr>
            <w:r w:rsidRPr="00302E3E">
              <w:t>7.92%</w:t>
            </w:r>
          </w:p>
        </w:tc>
      </w:tr>
      <w:tr w:rsidR="00302E3E" w:rsidRPr="00302E3E" w14:paraId="276ACD7D" w14:textId="77777777" w:rsidTr="004F1370">
        <w:trPr>
          <w:cnfStyle w:val="000000010000" w:firstRow="0" w:lastRow="0" w:firstColumn="0" w:lastColumn="0" w:oddVBand="0" w:evenVBand="0" w:oddHBand="0" w:evenHBand="1" w:firstRowFirstColumn="0" w:firstRowLastColumn="0" w:lastRowFirstColumn="0" w:lastRowLastColumn="0"/>
        </w:trPr>
        <w:tc>
          <w:tcPr>
            <w:tcW w:w="2880" w:type="dxa"/>
            <w:shd w:val="clear" w:color="auto" w:fill="207BA1" w:themeFill="accent2"/>
            <w:noWrap/>
            <w:hideMark/>
          </w:tcPr>
          <w:p w14:paraId="0FC046A9" w14:textId="77777777" w:rsidR="00302E3E" w:rsidRPr="00A5580F" w:rsidRDefault="00302E3E" w:rsidP="00302E3E">
            <w:pPr>
              <w:pStyle w:val="TableText"/>
              <w:rPr>
                <w:b/>
                <w:bCs/>
              </w:rPr>
            </w:pPr>
            <w:r w:rsidRPr="00A5580F">
              <w:rPr>
                <w:b/>
                <w:bCs/>
                <w:color w:val="FFFFFF" w:themeColor="background1"/>
              </w:rPr>
              <w:t>Project parameters</w:t>
            </w:r>
          </w:p>
        </w:tc>
        <w:tc>
          <w:tcPr>
            <w:tcW w:w="960" w:type="dxa"/>
            <w:shd w:val="clear" w:color="auto" w:fill="207BA1" w:themeFill="accent2"/>
            <w:noWrap/>
            <w:hideMark/>
          </w:tcPr>
          <w:p w14:paraId="5E636D73" w14:textId="77777777" w:rsidR="00302E3E" w:rsidRPr="00302E3E" w:rsidRDefault="00302E3E" w:rsidP="00302E3E">
            <w:pPr>
              <w:pStyle w:val="TableText"/>
            </w:pPr>
          </w:p>
        </w:tc>
      </w:tr>
      <w:tr w:rsidR="00302E3E" w:rsidRPr="00302E3E" w14:paraId="16B9283B" w14:textId="77777777" w:rsidTr="00302E3E">
        <w:tc>
          <w:tcPr>
            <w:tcW w:w="2880" w:type="dxa"/>
            <w:noWrap/>
            <w:hideMark/>
          </w:tcPr>
          <w:p w14:paraId="4759FFCA" w14:textId="77777777" w:rsidR="00302E3E" w:rsidRPr="00302E3E" w:rsidRDefault="00302E3E" w:rsidP="00302E3E">
            <w:pPr>
              <w:pStyle w:val="TableText"/>
            </w:pPr>
            <w:r w:rsidRPr="00302E3E">
              <w:t>License fee ($)</w:t>
            </w:r>
          </w:p>
        </w:tc>
        <w:tc>
          <w:tcPr>
            <w:tcW w:w="960" w:type="dxa"/>
            <w:noWrap/>
            <w:hideMark/>
          </w:tcPr>
          <w:p w14:paraId="62B6B7E1" w14:textId="77777777" w:rsidR="00302E3E" w:rsidRPr="00302E3E" w:rsidRDefault="00302E3E" w:rsidP="00302E3E">
            <w:pPr>
              <w:pStyle w:val="TableText"/>
            </w:pPr>
            <w:r w:rsidRPr="00302E3E">
              <w:t>100</w:t>
            </w:r>
          </w:p>
        </w:tc>
      </w:tr>
      <w:tr w:rsidR="00302E3E" w:rsidRPr="00302E3E" w14:paraId="6899B54F" w14:textId="77777777" w:rsidTr="00302E3E">
        <w:trPr>
          <w:cnfStyle w:val="000000010000" w:firstRow="0" w:lastRow="0" w:firstColumn="0" w:lastColumn="0" w:oddVBand="0" w:evenVBand="0" w:oddHBand="0" w:evenHBand="1" w:firstRowFirstColumn="0" w:firstRowLastColumn="0" w:lastRowFirstColumn="0" w:lastRowLastColumn="0"/>
        </w:trPr>
        <w:tc>
          <w:tcPr>
            <w:tcW w:w="2880" w:type="dxa"/>
            <w:noWrap/>
            <w:hideMark/>
          </w:tcPr>
          <w:p w14:paraId="58490BB7" w14:textId="77777777" w:rsidR="00302E3E" w:rsidRPr="00302E3E" w:rsidRDefault="00302E3E" w:rsidP="00302E3E">
            <w:pPr>
              <w:pStyle w:val="TableText"/>
            </w:pPr>
            <w:r w:rsidRPr="00302E3E">
              <w:t>Term (years)</w:t>
            </w:r>
          </w:p>
        </w:tc>
        <w:tc>
          <w:tcPr>
            <w:tcW w:w="960" w:type="dxa"/>
            <w:noWrap/>
            <w:hideMark/>
          </w:tcPr>
          <w:p w14:paraId="055352BC" w14:textId="77777777" w:rsidR="00302E3E" w:rsidRPr="00302E3E" w:rsidRDefault="00302E3E" w:rsidP="00302E3E">
            <w:pPr>
              <w:pStyle w:val="TableText"/>
            </w:pPr>
            <w:r w:rsidRPr="00302E3E">
              <w:t>15</w:t>
            </w:r>
          </w:p>
        </w:tc>
      </w:tr>
      <w:tr w:rsidR="00302E3E" w:rsidRPr="00302E3E" w14:paraId="1FEA7BC5" w14:textId="77777777" w:rsidTr="004F1370">
        <w:tc>
          <w:tcPr>
            <w:tcW w:w="2880" w:type="dxa"/>
            <w:tcBorders>
              <w:bottom w:val="single" w:sz="4" w:space="0" w:color="207BA1" w:themeColor="accent2"/>
            </w:tcBorders>
            <w:noWrap/>
            <w:hideMark/>
          </w:tcPr>
          <w:p w14:paraId="6BCD8EAF" w14:textId="77777777" w:rsidR="00302E3E" w:rsidRPr="00302E3E" w:rsidRDefault="00302E3E" w:rsidP="00302E3E">
            <w:pPr>
              <w:pStyle w:val="TableText"/>
            </w:pPr>
            <w:r w:rsidRPr="00302E3E">
              <w:lastRenderedPageBreak/>
              <w:t xml:space="preserve">Growth (% p.a.) </w:t>
            </w:r>
          </w:p>
        </w:tc>
        <w:tc>
          <w:tcPr>
            <w:tcW w:w="960" w:type="dxa"/>
            <w:tcBorders>
              <w:bottom w:val="single" w:sz="4" w:space="0" w:color="207BA1" w:themeColor="accent2"/>
            </w:tcBorders>
            <w:noWrap/>
            <w:hideMark/>
          </w:tcPr>
          <w:p w14:paraId="47E7BA7F" w14:textId="77777777" w:rsidR="00302E3E" w:rsidRPr="00302E3E" w:rsidRDefault="00302E3E" w:rsidP="00302E3E">
            <w:pPr>
              <w:pStyle w:val="TableText"/>
            </w:pPr>
            <w:r w:rsidRPr="00302E3E">
              <w:t>2.50%</w:t>
            </w:r>
          </w:p>
        </w:tc>
      </w:tr>
    </w:tbl>
    <w:p w14:paraId="2E68AB86" w14:textId="2C4315B1" w:rsidR="00302E3E" w:rsidRPr="00885B0A" w:rsidRDefault="00302E3E">
      <w:pPr>
        <w:pStyle w:val="Source"/>
      </w:pPr>
      <w:r w:rsidRPr="00885B0A">
        <w:t xml:space="preserve">Source: </w:t>
      </w:r>
      <w:r w:rsidR="004F1370">
        <w:t>Frontier Economics.</w:t>
      </w:r>
    </w:p>
    <w:p w14:paraId="066E7F99" w14:textId="77777777" w:rsidR="00865AD4" w:rsidRDefault="00081450" w:rsidP="00081450">
      <w:pPr>
        <w:pStyle w:val="BodyText"/>
        <w:rPr>
          <w:lang w:eastAsia="en-AU"/>
        </w:rPr>
      </w:pPr>
      <w:r>
        <w:rPr>
          <w:lang w:eastAsia="en-AU"/>
        </w:rPr>
        <w:t xml:space="preserve">The ACMA framework takes the information above and derives a set of </w:t>
      </w:r>
      <w:r w:rsidR="006C7FA6">
        <w:rPr>
          <w:lang w:eastAsia="en-AU"/>
        </w:rPr>
        <w:t xml:space="preserve">15 annual cash flows that has a present value equal to the licence fee ($100 in this example).  Each of those cash flows is </w:t>
      </w:r>
      <w:r w:rsidR="00A22F65">
        <w:rPr>
          <w:lang w:eastAsia="en-AU"/>
        </w:rPr>
        <w:t>2.5% greater than the previous.</w:t>
      </w:r>
      <w:r w:rsidR="000E49EE">
        <w:rPr>
          <w:lang w:eastAsia="en-AU"/>
        </w:rPr>
        <w:t xml:space="preserve">  The </w:t>
      </w:r>
      <w:r w:rsidR="00865AD4">
        <w:rPr>
          <w:lang w:eastAsia="en-AU"/>
        </w:rPr>
        <w:t>cash flow for the first year is derived as:</w:t>
      </w:r>
    </w:p>
    <w:p w14:paraId="3A192555" w14:textId="41694C21" w:rsidR="00865AD4" w:rsidRPr="00471BC1" w:rsidRDefault="00865AD4" w:rsidP="007557A7">
      <w:pPr>
        <w:pStyle w:val="BodyText"/>
        <w:spacing w:before="240" w:after="240"/>
        <w:rPr>
          <w:rFonts w:eastAsiaTheme="minorEastAsia"/>
          <w:lang w:eastAsia="en-AU"/>
        </w:rPr>
      </w:pPr>
      <m:oMathPara>
        <m:oMath>
          <m:r>
            <w:rPr>
              <w:rFonts w:ascii="Cambria Math" w:hAnsi="Cambria Math"/>
              <w:lang w:eastAsia="en-AU"/>
            </w:rPr>
            <m:t>C</m:t>
          </m:r>
          <m:sSub>
            <m:sSubPr>
              <m:ctrlPr>
                <w:rPr>
                  <w:rFonts w:ascii="Cambria Math" w:hAnsi="Cambria Math"/>
                  <w:i/>
                  <w:lang w:eastAsia="en-AU"/>
                </w:rPr>
              </m:ctrlPr>
            </m:sSubPr>
            <m:e>
              <m:r>
                <w:rPr>
                  <w:rFonts w:ascii="Cambria Math" w:hAnsi="Cambria Math"/>
                  <w:lang w:eastAsia="en-AU"/>
                </w:rPr>
                <m:t>F</m:t>
              </m:r>
            </m:e>
            <m:sub>
              <m:r>
                <w:rPr>
                  <w:rFonts w:ascii="Cambria Math" w:hAnsi="Cambria Math"/>
                  <w:lang w:eastAsia="en-AU"/>
                </w:rPr>
                <m:t>1</m:t>
              </m:r>
            </m:sub>
          </m:sSub>
          <m:r>
            <w:rPr>
              <w:rFonts w:ascii="Cambria Math" w:hAnsi="Cambria Math"/>
              <w:lang w:eastAsia="en-AU"/>
            </w:rPr>
            <m:t>=</m:t>
          </m:r>
          <m:f>
            <m:fPr>
              <m:ctrlPr>
                <w:rPr>
                  <w:rFonts w:ascii="Cambria Math" w:hAnsi="Cambria Math"/>
                  <w:i/>
                  <w:lang w:eastAsia="en-AU"/>
                </w:rPr>
              </m:ctrlPr>
            </m:fPr>
            <m:num>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eastAsiaTheme="minorEastAsia" w:hAnsi="Cambria Math"/>
                      <w:lang w:eastAsia="en-AU"/>
                    </w:rPr>
                    <m:t>r-z</m:t>
                  </m:r>
                </m:e>
              </m:d>
            </m:num>
            <m:den>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n</m:t>
                      </m:r>
                    </m:sup>
                  </m:sSup>
                </m:e>
              </m:d>
            </m:den>
          </m:f>
        </m:oMath>
      </m:oMathPara>
    </w:p>
    <w:p w14:paraId="050CF930" w14:textId="66EE6FB5" w:rsidR="001F17B3" w:rsidRDefault="00BE7A42" w:rsidP="00865AD4">
      <w:pPr>
        <w:pStyle w:val="BodyText"/>
        <w:rPr>
          <w:lang w:eastAsia="en-AU"/>
        </w:rPr>
      </w:pPr>
      <w:r>
        <w:rPr>
          <w:lang w:eastAsia="en-AU"/>
        </w:rPr>
        <w:t>where:</w:t>
      </w:r>
    </w:p>
    <w:p w14:paraId="0E13B629" w14:textId="77777777" w:rsidR="00B91A0F" w:rsidRDefault="00B91A0F" w:rsidP="00B91A0F">
      <w:pPr>
        <w:pStyle w:val="ListBullet"/>
      </w:pPr>
      <m:oMath>
        <m:r>
          <w:rPr>
            <w:rFonts w:ascii="Cambria Math" w:eastAsiaTheme="minorEastAsia" w:hAnsi="Cambria Math"/>
            <w:lang w:eastAsia="en-AU"/>
          </w:rPr>
          <m:t>r</m:t>
        </m:r>
      </m:oMath>
      <w:r>
        <w:rPr>
          <w:lang w:eastAsia="en-AU"/>
        </w:rPr>
        <w:t xml:space="preserve"> represents the relevant </w:t>
      </w:r>
      <w:proofErr w:type="gramStart"/>
      <w:r>
        <w:rPr>
          <w:lang w:eastAsia="en-AU"/>
        </w:rPr>
        <w:t>WACC;</w:t>
      </w:r>
      <w:proofErr w:type="gramEnd"/>
    </w:p>
    <w:p w14:paraId="74A051E7" w14:textId="5F23D25F" w:rsidR="00B91A0F" w:rsidRDefault="00B91A0F" w:rsidP="00B91A0F">
      <w:pPr>
        <w:pStyle w:val="ListBullet"/>
      </w:pPr>
      <m:oMath>
        <m:r>
          <w:rPr>
            <w:rFonts w:ascii="Cambria Math" w:hAnsi="Cambria Math"/>
            <w:lang w:eastAsia="en-AU"/>
          </w:rPr>
          <m:t>z</m:t>
        </m:r>
      </m:oMath>
      <w:r>
        <w:rPr>
          <w:lang w:eastAsia="en-AU"/>
        </w:rPr>
        <w:t xml:space="preserve"> represents the growth rate (2.5% in the example above</w:t>
      </w:r>
      <w:proofErr w:type="gramStart"/>
      <w:r>
        <w:rPr>
          <w:lang w:eastAsia="en-AU"/>
        </w:rPr>
        <w:t>);</w:t>
      </w:r>
      <w:proofErr w:type="gramEnd"/>
    </w:p>
    <w:p w14:paraId="73A86E95" w14:textId="0AF9B455" w:rsidR="00B91A0F" w:rsidRDefault="00B91A0F" w:rsidP="00B91A0F">
      <w:pPr>
        <w:pStyle w:val="ListBullet"/>
      </w:pPr>
      <m:oMath>
        <m:r>
          <w:rPr>
            <w:rFonts w:ascii="Cambria Math" w:hAnsi="Cambria Math"/>
            <w:lang w:eastAsia="en-AU"/>
          </w:rPr>
          <m:t>n</m:t>
        </m:r>
      </m:oMath>
      <w:r>
        <w:rPr>
          <w:lang w:eastAsia="en-AU"/>
        </w:rPr>
        <w:t xml:space="preserve"> represents the term of the licence (15 years in the example above); and</w:t>
      </w:r>
    </w:p>
    <w:p w14:paraId="4116393B" w14:textId="521BA9DA" w:rsidR="00B91A0F" w:rsidRDefault="00B91A0F" w:rsidP="00B91A0F">
      <w:pPr>
        <w:pStyle w:val="ListBullet"/>
      </w:pPr>
      <m:oMath>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oMath>
      <w:r>
        <w:rPr>
          <w:lang w:eastAsia="en-AU"/>
        </w:rPr>
        <w:t xml:space="preserve"> represents the licence fee ($100 in the above example).</w:t>
      </w:r>
    </w:p>
    <w:p w14:paraId="673B7C1F" w14:textId="285F027E" w:rsidR="008B3CA9" w:rsidRDefault="00A138E9" w:rsidP="00840DBB">
      <w:pPr>
        <w:pStyle w:val="BodyText"/>
        <w:rPr>
          <w:lang w:eastAsia="en-AU"/>
        </w:rPr>
      </w:pPr>
      <w:r>
        <w:rPr>
          <w:lang w:eastAsia="en-AU"/>
        </w:rPr>
        <w:t>Having derived the stream of 15 cash flows</w:t>
      </w:r>
      <w:r w:rsidR="00014276">
        <w:rPr>
          <w:lang w:eastAsia="en-AU"/>
        </w:rPr>
        <w:t>, each can be discounted back to present value</w:t>
      </w:r>
      <w:r w:rsidR="00DC6891">
        <w:rPr>
          <w:lang w:eastAsia="en-AU"/>
        </w:rPr>
        <w:t xml:space="preserve"> and the sum of those present values </w:t>
      </w:r>
      <w:r w:rsidR="005C7FC2">
        <w:rPr>
          <w:lang w:eastAsia="en-AU"/>
        </w:rPr>
        <w:t xml:space="preserve">will </w:t>
      </w:r>
      <w:r w:rsidR="009C6DF6">
        <w:rPr>
          <w:lang w:eastAsia="en-AU"/>
        </w:rPr>
        <w:t xml:space="preserve">(by construction) </w:t>
      </w:r>
      <w:r w:rsidR="005C7FC2">
        <w:rPr>
          <w:lang w:eastAsia="en-AU"/>
        </w:rPr>
        <w:t>equal the</w:t>
      </w:r>
      <w:r w:rsidR="009C6DF6">
        <w:rPr>
          <w:lang w:eastAsia="en-AU"/>
        </w:rPr>
        <w:t xml:space="preserve"> $100 licence fee.  Th</w:t>
      </w:r>
      <w:r w:rsidR="002B1551">
        <w:rPr>
          <w:lang w:eastAsia="en-AU"/>
        </w:rPr>
        <w:t xml:space="preserve">is provides an indication of the </w:t>
      </w:r>
      <w:r w:rsidR="005E7478">
        <w:rPr>
          <w:lang w:eastAsia="en-AU"/>
        </w:rPr>
        <w:t xml:space="preserve">proportion of the </w:t>
      </w:r>
      <w:r w:rsidR="007E42F5">
        <w:rPr>
          <w:lang w:eastAsia="en-AU"/>
        </w:rPr>
        <w:t xml:space="preserve">total present value that is </w:t>
      </w:r>
      <w:proofErr w:type="spellStart"/>
      <w:r w:rsidR="007E42F5">
        <w:rPr>
          <w:lang w:eastAsia="en-AU"/>
        </w:rPr>
        <w:t>referable</w:t>
      </w:r>
      <w:proofErr w:type="spellEnd"/>
      <w:r w:rsidR="007E42F5">
        <w:rPr>
          <w:lang w:eastAsia="en-AU"/>
        </w:rPr>
        <w:t xml:space="preserve"> to each year of the licence period.</w:t>
      </w:r>
      <w:r w:rsidR="005C7FC2">
        <w:rPr>
          <w:lang w:eastAsia="en-AU"/>
        </w:rPr>
        <w:t xml:space="preserve"> </w:t>
      </w:r>
    </w:p>
    <w:p w14:paraId="7CA0D26E" w14:textId="3DBCF8C4" w:rsidR="008B3CA9" w:rsidRDefault="00152B76" w:rsidP="00840DBB">
      <w:pPr>
        <w:pStyle w:val="BodyText"/>
        <w:rPr>
          <w:lang w:eastAsia="en-AU"/>
        </w:rPr>
      </w:pPr>
      <w:r>
        <w:rPr>
          <w:lang w:eastAsia="en-AU"/>
        </w:rPr>
        <w:fldChar w:fldCharType="begin"/>
      </w:r>
      <w:r>
        <w:rPr>
          <w:lang w:eastAsia="en-AU"/>
        </w:rPr>
        <w:instrText xml:space="preserve"> REF _Ref169786956 </w:instrText>
      </w:r>
      <w:r>
        <w:rPr>
          <w:lang w:eastAsia="en-AU"/>
        </w:rPr>
        <w:fldChar w:fldCharType="separate"/>
      </w:r>
      <w:r w:rsidR="00290E80" w:rsidRPr="00A23B0B">
        <w:t xml:space="preserve">Figure </w:t>
      </w:r>
      <w:r w:rsidR="00290E80">
        <w:rPr>
          <w:noProof/>
        </w:rPr>
        <w:t>3</w:t>
      </w:r>
      <w:r>
        <w:rPr>
          <w:lang w:eastAsia="en-AU"/>
        </w:rPr>
        <w:fldChar w:fldCharType="end"/>
      </w:r>
      <w:r>
        <w:rPr>
          <w:lang w:eastAsia="en-AU"/>
        </w:rPr>
        <w:t xml:space="preserve"> below shows the allocation of present value using the t</w:t>
      </w:r>
      <w:r w:rsidR="00273E0A">
        <w:rPr>
          <w:lang w:eastAsia="en-AU"/>
        </w:rPr>
        <w:t xml:space="preserve">wo </w:t>
      </w:r>
      <w:r w:rsidR="00857763">
        <w:rPr>
          <w:lang w:eastAsia="en-AU"/>
        </w:rPr>
        <w:t xml:space="preserve">different specifications of </w:t>
      </w:r>
      <w:r w:rsidR="00F65116">
        <w:rPr>
          <w:lang w:eastAsia="en-AU"/>
        </w:rPr>
        <w:t>after-tax cash flows and WACC</w:t>
      </w:r>
      <w:r w:rsidR="00CB1229">
        <w:rPr>
          <w:lang w:eastAsia="en-AU"/>
        </w:rPr>
        <w:t>.</w:t>
      </w:r>
      <w:r w:rsidR="00541E72">
        <w:rPr>
          <w:lang w:eastAsia="en-AU"/>
        </w:rPr>
        <w:t xml:space="preserve">  In both cases, </w:t>
      </w:r>
      <w:r w:rsidR="00BE3ADD">
        <w:rPr>
          <w:lang w:eastAsia="en-AU"/>
        </w:rPr>
        <w:t>more distant cash flows have relatively lower present values</w:t>
      </w:r>
      <w:r w:rsidR="000D345C">
        <w:rPr>
          <w:lang w:eastAsia="en-AU"/>
        </w:rPr>
        <w:t>.</w:t>
      </w:r>
      <w:r w:rsidR="00D94C1C">
        <w:rPr>
          <w:lang w:eastAsia="en-AU"/>
        </w:rPr>
        <w:t xml:space="preserve">  This effect is </w:t>
      </w:r>
      <w:r w:rsidR="006F5723">
        <w:rPr>
          <w:lang w:eastAsia="en-AU"/>
        </w:rPr>
        <w:t xml:space="preserve">slightly more pronounced </w:t>
      </w:r>
      <w:r w:rsidR="00174160">
        <w:rPr>
          <w:lang w:eastAsia="en-AU"/>
        </w:rPr>
        <w:t xml:space="preserve">when using the </w:t>
      </w:r>
      <w:r w:rsidR="00B1101C">
        <w:rPr>
          <w:lang w:eastAsia="en-AU"/>
        </w:rPr>
        <w:t xml:space="preserve">(higher) </w:t>
      </w:r>
      <w:r w:rsidR="00174160">
        <w:rPr>
          <w:lang w:eastAsia="en-AU"/>
        </w:rPr>
        <w:t>vanilla WACC</w:t>
      </w:r>
      <w:r w:rsidR="00B1101C">
        <w:rPr>
          <w:lang w:eastAsia="en-AU"/>
        </w:rPr>
        <w:t xml:space="preserve">.  That is, </w:t>
      </w:r>
      <w:r w:rsidR="0017008A">
        <w:rPr>
          <w:lang w:eastAsia="en-AU"/>
        </w:rPr>
        <w:t xml:space="preserve">the vanilla WACC attributes slightly more value to the </w:t>
      </w:r>
      <w:r w:rsidR="00EC3A95">
        <w:rPr>
          <w:lang w:eastAsia="en-AU"/>
        </w:rPr>
        <w:t>cash flows from early in the term of the licence</w:t>
      </w:r>
      <w:r w:rsidR="007557A7">
        <w:rPr>
          <w:lang w:eastAsia="en-AU"/>
        </w:rPr>
        <w:t>.</w:t>
      </w:r>
      <w:r w:rsidR="006F5723">
        <w:rPr>
          <w:lang w:eastAsia="en-AU"/>
        </w:rPr>
        <w:t xml:space="preserve"> </w:t>
      </w:r>
      <w:r w:rsidR="00064009">
        <w:rPr>
          <w:lang w:eastAsia="en-AU"/>
        </w:rPr>
        <w:t xml:space="preserve"> </w:t>
      </w:r>
    </w:p>
    <w:p w14:paraId="379B7612" w14:textId="346F8714" w:rsidR="00152B76" w:rsidRDefault="00152B76" w:rsidP="007C7227">
      <w:pPr>
        <w:pStyle w:val="Caption"/>
        <w:keepNext/>
      </w:pPr>
      <w:bookmarkStart w:id="21" w:name="_Ref169786956"/>
      <w:bookmarkStart w:id="22" w:name="_Toc170474044"/>
      <w:r w:rsidRPr="00A23B0B">
        <w:t xml:space="preserve">Figure </w:t>
      </w:r>
      <w:r>
        <w:fldChar w:fldCharType="begin"/>
      </w:r>
      <w:r>
        <w:instrText xml:space="preserve"> SEQ Figure \* ARABIC </w:instrText>
      </w:r>
      <w:r>
        <w:fldChar w:fldCharType="separate"/>
      </w:r>
      <w:r w:rsidR="00290E80">
        <w:rPr>
          <w:noProof/>
        </w:rPr>
        <w:t>3</w:t>
      </w:r>
      <w:r>
        <w:rPr>
          <w:noProof/>
        </w:rPr>
        <w:fldChar w:fldCharType="end"/>
      </w:r>
      <w:bookmarkEnd w:id="21"/>
      <w:r w:rsidRPr="00A23B0B">
        <w:t xml:space="preserve">: </w:t>
      </w:r>
      <w:r>
        <w:t>Allocation of present value by year</w:t>
      </w:r>
      <w:bookmarkEnd w:id="22"/>
    </w:p>
    <w:p w14:paraId="620D6E1F" w14:textId="6F3299C8" w:rsidR="00152B76" w:rsidRPr="00003335" w:rsidRDefault="00152B76">
      <w:r w:rsidRPr="00152B76">
        <w:rPr>
          <w:noProof/>
        </w:rPr>
        <w:drawing>
          <wp:inline distT="0" distB="0" distL="0" distR="0" wp14:anchorId="7C297182" wp14:editId="0B4A92BD">
            <wp:extent cx="5732145" cy="2983865"/>
            <wp:effectExtent l="0" t="0" r="1905" b="6985"/>
            <wp:docPr id="1881969636" name="Picture 1881969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2145" cy="2983865"/>
                    </a:xfrm>
                    <a:prstGeom prst="rect">
                      <a:avLst/>
                    </a:prstGeom>
                    <a:noFill/>
                    <a:ln>
                      <a:noFill/>
                    </a:ln>
                  </pic:spPr>
                </pic:pic>
              </a:graphicData>
            </a:graphic>
          </wp:inline>
        </w:drawing>
      </w:r>
    </w:p>
    <w:p w14:paraId="38469672" w14:textId="1236B0FA" w:rsidR="00152B76" w:rsidRDefault="00152B76">
      <w:pPr>
        <w:pStyle w:val="Source"/>
      </w:pPr>
      <w:r w:rsidRPr="00003335">
        <w:t xml:space="preserve">Source: </w:t>
      </w:r>
      <w:r>
        <w:t>Frontier Economics.</w:t>
      </w:r>
    </w:p>
    <w:p w14:paraId="09421EA4" w14:textId="70C63A3B" w:rsidR="00AB5C43" w:rsidRDefault="00D6062A" w:rsidP="00AB5C43">
      <w:pPr>
        <w:pStyle w:val="Heading4"/>
      </w:pPr>
      <w:r>
        <w:t>Parameters to be estimated</w:t>
      </w:r>
    </w:p>
    <w:p w14:paraId="489E37FE" w14:textId="33D536E5" w:rsidR="00AB5C43" w:rsidRDefault="00AB5C43" w:rsidP="00AB5C43">
      <w:pPr>
        <w:pStyle w:val="BodyText"/>
        <w:rPr>
          <w:lang w:eastAsia="en-AU"/>
        </w:rPr>
      </w:pPr>
      <w:r>
        <w:rPr>
          <w:lang w:eastAsia="en-AU"/>
        </w:rPr>
        <w:t>W</w:t>
      </w:r>
      <w:r w:rsidR="00D6062A">
        <w:rPr>
          <w:lang w:eastAsia="en-AU"/>
        </w:rPr>
        <w:t>e note that the vanilla WACC approach requires</w:t>
      </w:r>
      <w:r w:rsidR="008C23B8">
        <w:rPr>
          <w:lang w:eastAsia="en-AU"/>
        </w:rPr>
        <w:t xml:space="preserve"> estimation of a limited set of parameters</w:t>
      </w:r>
      <w:r w:rsidR="00BB7461">
        <w:rPr>
          <w:lang w:eastAsia="en-AU"/>
        </w:rPr>
        <w:t xml:space="preserve"> where:</w:t>
      </w:r>
    </w:p>
    <w:p w14:paraId="5851B006" w14:textId="1FD775F9" w:rsidR="00BB7461" w:rsidRDefault="00BB7461" w:rsidP="009C6083">
      <w:pPr>
        <w:pStyle w:val="BodyText"/>
        <w:spacing w:before="240" w:after="240"/>
        <w:rPr>
          <w:lang w:eastAsia="en-AU"/>
        </w:rPr>
      </w:pPr>
      <m:oMathPara>
        <m:oMath>
          <m:r>
            <w:rPr>
              <w:rFonts w:ascii="Cambria Math" w:hAnsi="Cambria Math"/>
              <w:lang w:eastAsia="en-AU"/>
            </w:rPr>
            <w:lastRenderedPageBreak/>
            <m:t>WAC</m:t>
          </m:r>
          <m:sSub>
            <m:sSubPr>
              <m:ctrlPr>
                <w:rPr>
                  <w:rFonts w:ascii="Cambria Math" w:hAnsi="Cambria Math"/>
                  <w:i/>
                  <w:lang w:eastAsia="en-AU"/>
                </w:rPr>
              </m:ctrlPr>
            </m:sSubPr>
            <m:e>
              <m:r>
                <w:rPr>
                  <w:rFonts w:ascii="Cambria Math" w:hAnsi="Cambria Math"/>
                  <w:lang w:eastAsia="en-AU"/>
                </w:rPr>
                <m:t>C</m:t>
              </m:r>
            </m:e>
            <m:sub>
              <m:r>
                <w:rPr>
                  <w:rFonts w:ascii="Cambria Math" w:hAnsi="Cambria Math"/>
                  <w:lang w:eastAsia="en-AU"/>
                </w:rPr>
                <m:t>vanilla</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e</m:t>
              </m:r>
            </m:sub>
          </m:sSub>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f>
            <m:fPr>
              <m:ctrlPr>
                <w:rPr>
                  <w:rFonts w:ascii="Cambria Math" w:hAnsi="Cambria Math"/>
                  <w:i/>
                  <w:lang w:eastAsia="en-AU"/>
                </w:rPr>
              </m:ctrlPr>
            </m:fPr>
            <m:num>
              <m:r>
                <w:rPr>
                  <w:rFonts w:ascii="Cambria Math" w:hAnsi="Cambria Math"/>
                  <w:lang w:eastAsia="en-AU"/>
                </w:rPr>
                <m:t>D</m:t>
              </m:r>
            </m:num>
            <m:den>
              <m:r>
                <w:rPr>
                  <w:rFonts w:ascii="Cambria Math" w:hAnsi="Cambria Math"/>
                  <w:lang w:eastAsia="en-AU"/>
                </w:rPr>
                <m:t>V</m:t>
              </m:r>
            </m:den>
          </m:f>
          <m:r>
            <w:rPr>
              <w:rFonts w:ascii="Cambria Math" w:hAnsi="Cambria Math"/>
              <w:lang w:eastAsia="en-AU"/>
            </w:rPr>
            <m:t xml:space="preserve">, </m:t>
          </m:r>
        </m:oMath>
      </m:oMathPara>
    </w:p>
    <w:p w14:paraId="10A32CF3" w14:textId="4A14DDF3" w:rsidR="009C6083" w:rsidRDefault="009C6083" w:rsidP="00BB7461">
      <w:pPr>
        <w:pStyle w:val="BodyText"/>
        <w:rPr>
          <w:lang w:eastAsia="en-AU"/>
        </w:rPr>
      </w:pPr>
      <w:r>
        <w:rPr>
          <w:lang w:eastAsia="en-AU"/>
        </w:rPr>
        <w:t>and where:</w:t>
      </w:r>
    </w:p>
    <w:p w14:paraId="2F9539D8" w14:textId="0C464A68" w:rsidR="009C6083" w:rsidRDefault="00724FCE" w:rsidP="005667EC">
      <w:pPr>
        <w:pStyle w:val="BodyText"/>
        <w:spacing w:before="240" w:after="240"/>
        <w:rPr>
          <w:lang w:eastAsia="en-AU"/>
        </w:rPr>
      </w:pPr>
      <m:oMathPara>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e</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f</m:t>
              </m:r>
            </m:sub>
          </m:sSub>
          <m:r>
            <w:rPr>
              <w:rFonts w:ascii="Cambria Math" w:hAnsi="Cambria Math"/>
              <w:lang w:eastAsia="en-AU"/>
            </w:rPr>
            <m:t xml:space="preserve">+β×MRP. </m:t>
          </m:r>
        </m:oMath>
      </m:oMathPara>
    </w:p>
    <w:p w14:paraId="5F6B6CA0" w14:textId="42A4DAF7" w:rsidR="005667EC" w:rsidRDefault="005667EC" w:rsidP="009C6083">
      <w:pPr>
        <w:pStyle w:val="BodyText"/>
        <w:rPr>
          <w:lang w:eastAsia="en-AU"/>
        </w:rPr>
      </w:pPr>
      <w:r>
        <w:rPr>
          <w:lang w:eastAsia="en-AU"/>
        </w:rPr>
        <w:t>Thus, the set of parameters to estimate is summarised in</w:t>
      </w:r>
      <w:r w:rsidR="00040C36">
        <w:rPr>
          <w:lang w:eastAsia="en-AU"/>
        </w:rPr>
        <w:t xml:space="preserve"> </w:t>
      </w:r>
      <w:r w:rsidR="00040C36">
        <w:rPr>
          <w:lang w:eastAsia="en-AU"/>
        </w:rPr>
        <w:fldChar w:fldCharType="begin"/>
      </w:r>
      <w:r w:rsidR="00040C36">
        <w:rPr>
          <w:lang w:eastAsia="en-AU"/>
        </w:rPr>
        <w:instrText xml:space="preserve"> REF _Ref169788814 </w:instrText>
      </w:r>
      <w:r w:rsidR="00040C36">
        <w:rPr>
          <w:lang w:eastAsia="en-AU"/>
        </w:rPr>
        <w:fldChar w:fldCharType="separate"/>
      </w:r>
      <w:r w:rsidR="00290E80" w:rsidRPr="00004691">
        <w:t>Table</w:t>
      </w:r>
      <w:r w:rsidR="00290E80" w:rsidRPr="00004691">
        <w:rPr>
          <w:rStyle w:val="Bold"/>
        </w:rPr>
        <w:t xml:space="preserve"> </w:t>
      </w:r>
      <w:r w:rsidR="00290E80">
        <w:rPr>
          <w:noProof/>
        </w:rPr>
        <w:t>6</w:t>
      </w:r>
      <w:r w:rsidR="00040C36">
        <w:rPr>
          <w:lang w:eastAsia="en-AU"/>
        </w:rPr>
        <w:fldChar w:fldCharType="end"/>
      </w:r>
      <w:r w:rsidR="00040C36">
        <w:rPr>
          <w:lang w:eastAsia="en-AU"/>
        </w:rPr>
        <w:t xml:space="preserve"> below.</w:t>
      </w:r>
    </w:p>
    <w:p w14:paraId="48B6CAEA" w14:textId="199F155F" w:rsidR="00040C36" w:rsidRDefault="00040C36">
      <w:pPr>
        <w:pStyle w:val="Caption"/>
        <w:keepNext/>
      </w:pPr>
      <w:bookmarkStart w:id="23" w:name="_Ref169788814"/>
      <w:bookmarkStart w:id="24" w:name="_Toc170474037"/>
      <w:r w:rsidRPr="00004691">
        <w:t>Table</w:t>
      </w:r>
      <w:r w:rsidRPr="00004691">
        <w:rPr>
          <w:rStyle w:val="Bold"/>
        </w:rPr>
        <w:t xml:space="preserve"> </w:t>
      </w:r>
      <w:r>
        <w:fldChar w:fldCharType="begin"/>
      </w:r>
      <w:r>
        <w:instrText xml:space="preserve"> SEQ Table \* ARABIC </w:instrText>
      </w:r>
      <w:r>
        <w:fldChar w:fldCharType="separate"/>
      </w:r>
      <w:r w:rsidR="00290E80">
        <w:rPr>
          <w:noProof/>
        </w:rPr>
        <w:t>6</w:t>
      </w:r>
      <w:r>
        <w:rPr>
          <w:noProof/>
        </w:rPr>
        <w:fldChar w:fldCharType="end"/>
      </w:r>
      <w:bookmarkEnd w:id="23"/>
      <w:r w:rsidRPr="00004691">
        <w:rPr>
          <w:rStyle w:val="Bold"/>
        </w:rPr>
        <w:t>:</w:t>
      </w:r>
      <w:r w:rsidRPr="00004691">
        <w:t xml:space="preserve"> </w:t>
      </w:r>
      <w:r w:rsidR="005744DF">
        <w:t>Vanilla WACC parameters</w:t>
      </w:r>
      <w:bookmarkEnd w:id="24"/>
    </w:p>
    <w:tbl>
      <w:tblPr>
        <w:tblStyle w:val="FETableStyle"/>
        <w:tblW w:w="3527" w:type="pct"/>
        <w:tblLook w:val="0420" w:firstRow="1" w:lastRow="0" w:firstColumn="0" w:lastColumn="0" w:noHBand="0" w:noVBand="1"/>
      </w:tblPr>
      <w:tblGrid>
        <w:gridCol w:w="4111"/>
        <w:gridCol w:w="2257"/>
      </w:tblGrid>
      <w:tr w:rsidR="00040C36" w:rsidRPr="00040C36" w14:paraId="2ACB1AD5" w14:textId="77777777" w:rsidTr="005744DF">
        <w:trPr>
          <w:cnfStyle w:val="100000000000" w:firstRow="1" w:lastRow="0" w:firstColumn="0" w:lastColumn="0" w:oddVBand="0" w:evenVBand="0" w:oddHBand="0" w:evenHBand="0" w:firstRowFirstColumn="0" w:firstRowLastColumn="0" w:lastRowFirstColumn="0" w:lastRowLastColumn="0"/>
        </w:trPr>
        <w:tc>
          <w:tcPr>
            <w:tcW w:w="4111" w:type="dxa"/>
            <w:noWrap/>
            <w:hideMark/>
          </w:tcPr>
          <w:p w14:paraId="3E1E9E89" w14:textId="77777777" w:rsidR="00040C36" w:rsidRPr="00040C36" w:rsidRDefault="00040C36" w:rsidP="00040C36">
            <w:pPr>
              <w:pStyle w:val="TableHeading"/>
            </w:pPr>
            <w:r w:rsidRPr="00040C36">
              <w:t>Parameter</w:t>
            </w:r>
          </w:p>
        </w:tc>
        <w:tc>
          <w:tcPr>
            <w:tcW w:w="2257" w:type="dxa"/>
            <w:noWrap/>
            <w:hideMark/>
          </w:tcPr>
          <w:p w14:paraId="37B4B687" w14:textId="77777777" w:rsidR="00040C36" w:rsidRPr="00040C36" w:rsidRDefault="00040C36" w:rsidP="005744DF">
            <w:pPr>
              <w:pStyle w:val="TableHeading"/>
              <w:jc w:val="center"/>
            </w:pPr>
            <w:r w:rsidRPr="00040C36">
              <w:t>Symbol</w:t>
            </w:r>
          </w:p>
        </w:tc>
      </w:tr>
      <w:tr w:rsidR="00040C36" w:rsidRPr="00040C36" w14:paraId="517B38ED" w14:textId="77777777" w:rsidTr="005744DF">
        <w:tc>
          <w:tcPr>
            <w:tcW w:w="4111" w:type="dxa"/>
            <w:noWrap/>
            <w:hideMark/>
          </w:tcPr>
          <w:p w14:paraId="4CD12349" w14:textId="77777777" w:rsidR="00040C36" w:rsidRPr="00040C36" w:rsidRDefault="00040C36" w:rsidP="00040C36">
            <w:pPr>
              <w:pStyle w:val="TableText"/>
            </w:pPr>
            <w:r w:rsidRPr="00040C36">
              <w:t>Risk-free rate</w:t>
            </w:r>
          </w:p>
        </w:tc>
        <w:tc>
          <w:tcPr>
            <w:tcW w:w="2257" w:type="dxa"/>
            <w:noWrap/>
            <w:hideMark/>
          </w:tcPr>
          <w:p w14:paraId="0E43936B" w14:textId="0003F18A" w:rsidR="00040C36" w:rsidRPr="00040C36" w:rsidRDefault="00724FCE" w:rsidP="005744DF">
            <w:pPr>
              <w:pStyle w:val="TableText"/>
              <w:jc w:val="center"/>
            </w:pPr>
            <m:oMathPara>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f</m:t>
                    </m:r>
                  </m:sub>
                </m:sSub>
              </m:oMath>
            </m:oMathPara>
          </w:p>
        </w:tc>
      </w:tr>
      <w:tr w:rsidR="00040C36" w:rsidRPr="00040C36" w14:paraId="2567AED0" w14:textId="77777777" w:rsidTr="005744DF">
        <w:trPr>
          <w:cnfStyle w:val="000000010000" w:firstRow="0" w:lastRow="0" w:firstColumn="0" w:lastColumn="0" w:oddVBand="0" w:evenVBand="0" w:oddHBand="0" w:evenHBand="1" w:firstRowFirstColumn="0" w:firstRowLastColumn="0" w:lastRowFirstColumn="0" w:lastRowLastColumn="0"/>
        </w:trPr>
        <w:tc>
          <w:tcPr>
            <w:tcW w:w="4111" w:type="dxa"/>
            <w:noWrap/>
            <w:hideMark/>
          </w:tcPr>
          <w:p w14:paraId="7F43B9C1" w14:textId="77777777" w:rsidR="00040C36" w:rsidRPr="00040C36" w:rsidRDefault="00040C36" w:rsidP="00040C36">
            <w:pPr>
              <w:pStyle w:val="TableText"/>
            </w:pPr>
            <w:r w:rsidRPr="00040C36">
              <w:t>Market risk premium</w:t>
            </w:r>
          </w:p>
        </w:tc>
        <w:tc>
          <w:tcPr>
            <w:tcW w:w="2257" w:type="dxa"/>
            <w:noWrap/>
            <w:hideMark/>
          </w:tcPr>
          <w:p w14:paraId="643A2343" w14:textId="25E712B6" w:rsidR="00040C36" w:rsidRPr="00040C36" w:rsidRDefault="00040C36" w:rsidP="005744DF">
            <w:pPr>
              <w:pStyle w:val="TableText"/>
              <w:jc w:val="center"/>
            </w:pPr>
            <m:oMathPara>
              <m:oMath>
                <m:r>
                  <w:rPr>
                    <w:rFonts w:ascii="Cambria Math" w:hAnsi="Cambria Math"/>
                    <w:lang w:eastAsia="en-AU"/>
                  </w:rPr>
                  <m:t>MRP</m:t>
                </m:r>
              </m:oMath>
            </m:oMathPara>
          </w:p>
        </w:tc>
      </w:tr>
      <w:tr w:rsidR="00040C36" w:rsidRPr="00040C36" w14:paraId="7173489F" w14:textId="77777777" w:rsidTr="005744DF">
        <w:tc>
          <w:tcPr>
            <w:tcW w:w="4111" w:type="dxa"/>
            <w:noWrap/>
            <w:hideMark/>
          </w:tcPr>
          <w:p w14:paraId="15AA2381" w14:textId="77777777" w:rsidR="00040C36" w:rsidRPr="00040C36" w:rsidRDefault="00040C36" w:rsidP="00040C36">
            <w:pPr>
              <w:pStyle w:val="TableText"/>
            </w:pPr>
            <w:r w:rsidRPr="00040C36">
              <w:t>Beta</w:t>
            </w:r>
          </w:p>
        </w:tc>
        <w:tc>
          <w:tcPr>
            <w:tcW w:w="2257" w:type="dxa"/>
            <w:noWrap/>
            <w:hideMark/>
          </w:tcPr>
          <w:p w14:paraId="3B20B958" w14:textId="48463E38" w:rsidR="00040C36" w:rsidRPr="00040C36" w:rsidRDefault="00040C36" w:rsidP="005744DF">
            <w:pPr>
              <w:pStyle w:val="TableText"/>
              <w:jc w:val="center"/>
            </w:pPr>
            <m:oMathPara>
              <m:oMath>
                <m:r>
                  <w:rPr>
                    <w:rFonts w:ascii="Cambria Math" w:hAnsi="Cambria Math"/>
                    <w:lang w:eastAsia="en-AU"/>
                  </w:rPr>
                  <m:t>β</m:t>
                </m:r>
              </m:oMath>
            </m:oMathPara>
          </w:p>
        </w:tc>
      </w:tr>
      <w:tr w:rsidR="00040C36" w:rsidRPr="00040C36" w14:paraId="3F2C1827" w14:textId="77777777" w:rsidTr="005744DF">
        <w:trPr>
          <w:cnfStyle w:val="000000010000" w:firstRow="0" w:lastRow="0" w:firstColumn="0" w:lastColumn="0" w:oddVBand="0" w:evenVBand="0" w:oddHBand="0" w:evenHBand="1" w:firstRowFirstColumn="0" w:firstRowLastColumn="0" w:lastRowFirstColumn="0" w:lastRowLastColumn="0"/>
        </w:trPr>
        <w:tc>
          <w:tcPr>
            <w:tcW w:w="4111" w:type="dxa"/>
            <w:noWrap/>
            <w:hideMark/>
          </w:tcPr>
          <w:p w14:paraId="6EB5EBED" w14:textId="77777777" w:rsidR="00040C36" w:rsidRPr="00040C36" w:rsidRDefault="00040C36" w:rsidP="00040C36">
            <w:pPr>
              <w:pStyle w:val="TableText"/>
            </w:pPr>
            <w:r w:rsidRPr="00040C36">
              <w:t>Return on debt</w:t>
            </w:r>
          </w:p>
        </w:tc>
        <w:tc>
          <w:tcPr>
            <w:tcW w:w="2257" w:type="dxa"/>
            <w:noWrap/>
            <w:hideMark/>
          </w:tcPr>
          <w:p w14:paraId="5428E027" w14:textId="6551332B" w:rsidR="00040C36" w:rsidRPr="00040C36" w:rsidRDefault="00724FCE" w:rsidP="005744DF">
            <w:pPr>
              <w:pStyle w:val="TableText"/>
              <w:jc w:val="center"/>
            </w:pPr>
            <m:oMathPara>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oMath>
            </m:oMathPara>
          </w:p>
        </w:tc>
      </w:tr>
      <w:tr w:rsidR="00040C36" w:rsidRPr="00040C36" w14:paraId="7E32D643" w14:textId="77777777" w:rsidTr="005744DF">
        <w:tc>
          <w:tcPr>
            <w:tcW w:w="4111" w:type="dxa"/>
            <w:noWrap/>
            <w:hideMark/>
          </w:tcPr>
          <w:p w14:paraId="19A75DCC" w14:textId="77777777" w:rsidR="00040C36" w:rsidRPr="00040C36" w:rsidRDefault="00040C36" w:rsidP="00040C36">
            <w:pPr>
              <w:pStyle w:val="TableText"/>
            </w:pPr>
            <w:r w:rsidRPr="00040C36">
              <w:t>Gearing</w:t>
            </w:r>
          </w:p>
        </w:tc>
        <w:tc>
          <w:tcPr>
            <w:tcW w:w="2257" w:type="dxa"/>
            <w:noWrap/>
            <w:hideMark/>
          </w:tcPr>
          <w:p w14:paraId="44C6157B" w14:textId="3F96298E" w:rsidR="00040C36" w:rsidRPr="00040C36" w:rsidRDefault="00724FCE" w:rsidP="005744DF">
            <w:pPr>
              <w:pStyle w:val="TableText"/>
              <w:jc w:val="center"/>
            </w:pPr>
            <m:oMathPara>
              <m:oMath>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 xml:space="preserve">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E</m:t>
                        </m:r>
                      </m:num>
                      <m:den>
                        <m:r>
                          <w:rPr>
                            <w:rFonts w:ascii="Cambria Math" w:hAnsi="Cambria Math"/>
                          </w:rPr>
                          <m:t>V</m:t>
                        </m:r>
                      </m:den>
                    </m:f>
                  </m:e>
                </m:d>
              </m:oMath>
            </m:oMathPara>
          </w:p>
        </w:tc>
      </w:tr>
    </w:tbl>
    <w:p w14:paraId="5712285C" w14:textId="4C3D6956" w:rsidR="00040C36" w:rsidRPr="00885B0A" w:rsidRDefault="00040C36">
      <w:pPr>
        <w:pStyle w:val="Source"/>
      </w:pPr>
      <w:r w:rsidRPr="00885B0A">
        <w:t xml:space="preserve">Source: </w:t>
      </w:r>
      <w:r w:rsidR="005744DF">
        <w:t>Frontier Economics.</w:t>
      </w:r>
    </w:p>
    <w:p w14:paraId="216D620D" w14:textId="77777777" w:rsidR="00B0231D" w:rsidRDefault="005E04E6" w:rsidP="009C6083">
      <w:pPr>
        <w:pStyle w:val="BodyText"/>
        <w:rPr>
          <w:lang w:eastAsia="en-AU"/>
        </w:rPr>
      </w:pPr>
      <w:r>
        <w:rPr>
          <w:lang w:eastAsia="en-AU"/>
        </w:rPr>
        <w:t xml:space="preserve">This approach has the added benefit that it requires the estimation of relatively few parameters.  For example, it does not require a detailed assessment of the corporate tax framework in each </w:t>
      </w:r>
      <w:proofErr w:type="gramStart"/>
      <w:r>
        <w:rPr>
          <w:lang w:eastAsia="en-AU"/>
        </w:rPr>
        <w:t>jurisdiction</w:t>
      </w:r>
      <w:proofErr w:type="gramEnd"/>
      <w:r>
        <w:rPr>
          <w:lang w:eastAsia="en-AU"/>
        </w:rPr>
        <w:t xml:space="preserve"> and it does not require an estimate of other tax-related parameters such as the value of dividend imputation tax credits (gamma).</w:t>
      </w:r>
      <w:r w:rsidR="000D3F46">
        <w:rPr>
          <w:lang w:eastAsia="en-AU"/>
        </w:rPr>
        <w:t xml:space="preserve">  </w:t>
      </w:r>
    </w:p>
    <w:p w14:paraId="0AD8E272" w14:textId="75D25756" w:rsidR="009C6083" w:rsidRDefault="000D3F46" w:rsidP="009C6083">
      <w:pPr>
        <w:pStyle w:val="BodyText"/>
        <w:rPr>
          <w:lang w:eastAsia="en-AU"/>
        </w:rPr>
      </w:pPr>
      <w:r>
        <w:rPr>
          <w:lang w:eastAsia="en-AU"/>
        </w:rPr>
        <w:t xml:space="preserve">This is because the </w:t>
      </w:r>
      <w:r w:rsidR="00F73306">
        <w:rPr>
          <w:lang w:eastAsia="en-AU"/>
        </w:rPr>
        <w:t>vanilla WACC</w:t>
      </w:r>
      <w:r w:rsidR="000B6D7B">
        <w:rPr>
          <w:lang w:eastAsia="en-AU"/>
        </w:rPr>
        <w:t xml:space="preserve">, when used within the ACMA framework, will produce a set of annual cash flows that </w:t>
      </w:r>
      <w:r w:rsidR="00E46FAF">
        <w:rPr>
          <w:lang w:eastAsia="en-AU"/>
        </w:rPr>
        <w:t>can be interpreted as the final cash flows actually avail</w:t>
      </w:r>
      <w:r w:rsidR="00FA24DC">
        <w:rPr>
          <w:lang w:eastAsia="en-AU"/>
        </w:rPr>
        <w:t>able to the licence holder</w:t>
      </w:r>
      <w:r w:rsidR="003A675F">
        <w:rPr>
          <w:lang w:eastAsia="en-AU"/>
        </w:rPr>
        <w:t xml:space="preserve">, net of all tax effects </w:t>
      </w:r>
      <w:r w:rsidR="00417C70">
        <w:rPr>
          <w:lang w:eastAsia="en-AU"/>
        </w:rPr>
        <w:t>including imputation credits.</w:t>
      </w:r>
      <w:r w:rsidR="005E04E6">
        <w:rPr>
          <w:lang w:eastAsia="en-AU"/>
        </w:rPr>
        <w:t xml:space="preserve"> </w:t>
      </w:r>
      <w:r w:rsidR="009C6083">
        <w:rPr>
          <w:rFonts w:eastAsiaTheme="minorEastAsia"/>
          <w:lang w:eastAsia="en-AU"/>
        </w:rPr>
        <w:t xml:space="preserve">  </w:t>
      </w:r>
    </w:p>
    <w:p w14:paraId="3E8E1D49" w14:textId="490A76F0" w:rsidR="000E7B03" w:rsidRDefault="001D45D7" w:rsidP="000E7B03">
      <w:pPr>
        <w:pStyle w:val="Heading3"/>
      </w:pPr>
      <w:r>
        <w:t>E</w:t>
      </w:r>
      <w:r w:rsidR="000E7B03">
        <w:t>stimation</w:t>
      </w:r>
      <w:r>
        <w:t xml:space="preserve"> of WACC parameters</w:t>
      </w:r>
    </w:p>
    <w:p w14:paraId="1530C79D" w14:textId="24C831D0" w:rsidR="00B0231D" w:rsidRDefault="00B0231D" w:rsidP="00B0231D">
      <w:pPr>
        <w:pStyle w:val="Heading4"/>
      </w:pPr>
      <w:r>
        <w:t>Rate-on-the-day or long-term average parameters</w:t>
      </w:r>
    </w:p>
    <w:p w14:paraId="20EB181C" w14:textId="5160E8FA" w:rsidR="003079EC" w:rsidRDefault="003079EC" w:rsidP="00B0231D">
      <w:pPr>
        <w:pStyle w:val="BodyText"/>
        <w:rPr>
          <w:lang w:eastAsia="en-AU"/>
        </w:rPr>
      </w:pPr>
      <w:r>
        <w:rPr>
          <w:lang w:eastAsia="en-AU"/>
        </w:rPr>
        <w:t>The NSW economic regulator IPART has</w:t>
      </w:r>
      <w:r w:rsidR="00FD0FE6">
        <w:rPr>
          <w:lang w:eastAsia="en-AU"/>
        </w:rPr>
        <w:t xml:space="preserve"> </w:t>
      </w:r>
      <w:r w:rsidR="00CD7D10">
        <w:rPr>
          <w:lang w:eastAsia="en-AU"/>
        </w:rPr>
        <w:t>identified that there are two internally</w:t>
      </w:r>
      <w:r w:rsidR="002A13B9">
        <w:rPr>
          <w:lang w:eastAsia="en-AU"/>
        </w:rPr>
        <w:t xml:space="preserve"> </w:t>
      </w:r>
      <w:r w:rsidR="00CD7D10">
        <w:rPr>
          <w:lang w:eastAsia="en-AU"/>
        </w:rPr>
        <w:t xml:space="preserve">consistent approaches </w:t>
      </w:r>
      <w:r w:rsidR="00966ABC">
        <w:rPr>
          <w:lang w:eastAsia="en-AU"/>
        </w:rPr>
        <w:t xml:space="preserve">when estimating </w:t>
      </w:r>
      <w:r w:rsidR="001B675D">
        <w:rPr>
          <w:lang w:eastAsia="en-AU"/>
        </w:rPr>
        <w:t>WACC</w:t>
      </w:r>
      <w:r w:rsidR="001B37ED">
        <w:rPr>
          <w:lang w:eastAsia="en-AU"/>
        </w:rPr>
        <w:t>:</w:t>
      </w:r>
      <w:r>
        <w:rPr>
          <w:lang w:eastAsia="en-AU"/>
        </w:rPr>
        <w:t xml:space="preserve"> </w:t>
      </w:r>
    </w:p>
    <w:p w14:paraId="71F22264" w14:textId="77777777" w:rsidR="00E72112" w:rsidRDefault="00E72112" w:rsidP="00E72112">
      <w:pPr>
        <w:pStyle w:val="ListBullet"/>
      </w:pPr>
      <w:r>
        <w:rPr>
          <w:lang w:eastAsia="en-AU"/>
        </w:rPr>
        <w:t>A long-run average WACC can be computed by taking long-run average values of each parameter; and</w:t>
      </w:r>
    </w:p>
    <w:p w14:paraId="711E5601" w14:textId="77777777" w:rsidR="00E72112" w:rsidRDefault="00E72112" w:rsidP="00E72112">
      <w:pPr>
        <w:pStyle w:val="ListBullet"/>
      </w:pPr>
      <w:r>
        <w:rPr>
          <w:lang w:eastAsia="en-AU"/>
        </w:rPr>
        <w:t>A prevailing ‘rate-on-the-day’ WACC can be computed by taking prevailing rate-on-the-day estimates of each parameter.</w:t>
      </w:r>
    </w:p>
    <w:p w14:paraId="0A50903B" w14:textId="77777777" w:rsidR="00E72112" w:rsidRDefault="00E72112" w:rsidP="009D43E8">
      <w:pPr>
        <w:pStyle w:val="BodyText"/>
        <w:rPr>
          <w:lang w:eastAsia="en-AU"/>
        </w:rPr>
      </w:pPr>
      <w:r>
        <w:rPr>
          <w:lang w:eastAsia="en-AU"/>
        </w:rPr>
        <w:t>IPART concludes that infrastructure investors with long-lived assets tend to have regard to both approaches when making investment decisions.</w:t>
      </w:r>
    </w:p>
    <w:p w14:paraId="5AD1DD33" w14:textId="77777777" w:rsidR="00E72112" w:rsidRDefault="00E72112" w:rsidP="009D43E8">
      <w:pPr>
        <w:pStyle w:val="BodyText"/>
        <w:rPr>
          <w:lang w:eastAsia="en-AU"/>
        </w:rPr>
      </w:pPr>
      <w:r>
        <w:rPr>
          <w:lang w:eastAsia="en-AU"/>
        </w:rPr>
        <w:t>The differences between the two approaches pertain primarily to interest rates and the MRP.  In particular, IPART notes that:</w:t>
      </w:r>
    </w:p>
    <w:p w14:paraId="2A7BD1D2" w14:textId="77777777" w:rsidR="00E72112" w:rsidRDefault="00E72112" w:rsidP="009D43E8">
      <w:pPr>
        <w:pStyle w:val="ListBullet"/>
      </w:pPr>
      <w:r>
        <w:rPr>
          <w:lang w:eastAsia="en-AU"/>
        </w:rPr>
        <w:t>The yields on government and corporate bonds vary materially over time as financial market conditions change; and</w:t>
      </w:r>
    </w:p>
    <w:p w14:paraId="61D81659" w14:textId="0EB7AFFF" w:rsidR="009D43E8" w:rsidRDefault="00E72112" w:rsidP="009D43E8">
      <w:pPr>
        <w:pStyle w:val="ListBullet"/>
      </w:pPr>
      <w:r>
        <w:rPr>
          <w:lang w:eastAsia="en-AU"/>
        </w:rPr>
        <w:t>When interest rates are lower than average, the prevailing forward-looking MRP tends to be higher than average, and vice versa.</w:t>
      </w:r>
    </w:p>
    <w:p w14:paraId="70E7B4BD" w14:textId="04E26071" w:rsidR="00E72112" w:rsidRDefault="00E66093" w:rsidP="009D43E8">
      <w:pPr>
        <w:pStyle w:val="BodyText"/>
        <w:rPr>
          <w:lang w:eastAsia="en-AU"/>
        </w:rPr>
      </w:pPr>
      <w:r>
        <w:rPr>
          <w:lang w:eastAsia="en-AU"/>
        </w:rPr>
        <w:lastRenderedPageBreak/>
        <w:t>In this regard, IPART explains that:</w:t>
      </w:r>
    </w:p>
    <w:p w14:paraId="3268299D" w14:textId="77777777" w:rsidR="00702B9E" w:rsidRPr="00A032B9" w:rsidRDefault="00702B9E" w:rsidP="00702B9E">
      <w:pPr>
        <w:pStyle w:val="Quote"/>
      </w:pPr>
      <w:r w:rsidRPr="00A032B9">
        <w:t xml:space="preserve">…estimated risk premiums are not stable through time. Risk premiums tend to move in the opposite direction to the </w:t>
      </w:r>
      <w:proofErr w:type="gramStart"/>
      <w:r w:rsidRPr="00A032B9">
        <w:t>risk free</w:t>
      </w:r>
      <w:proofErr w:type="gramEnd"/>
      <w:r w:rsidRPr="00A032B9">
        <w:t xml:space="preserve"> rate. As investors may respond to recent losses on riskier assets by shifting to safer assets, prices of those assets are likely to fall, increasing the expected rate of return for a given flow of future dividends. In periods of </w:t>
      </w:r>
      <w:proofErr w:type="gramStart"/>
      <w:r w:rsidRPr="00A032B9">
        <w:t>high risk</w:t>
      </w:r>
      <w:proofErr w:type="gramEnd"/>
      <w:r w:rsidRPr="00A032B9">
        <w:t xml:space="preserve"> aversion there is a flight from risky assets to safe assets (such as the </w:t>
      </w:r>
      <w:proofErr w:type="gramStart"/>
      <w:r w:rsidRPr="00A032B9">
        <w:t>risk free</w:t>
      </w:r>
      <w:proofErr w:type="gramEnd"/>
      <w:r w:rsidRPr="00A032B9">
        <w:t xml:space="preserve"> rate). This tends to push up the price of safe assets, thereby pushing down their yields. Thus, in these circumstances, a falling </w:t>
      </w:r>
      <w:proofErr w:type="gramStart"/>
      <w:r w:rsidRPr="00A032B9">
        <w:t>risk free</w:t>
      </w:r>
      <w:proofErr w:type="gramEnd"/>
      <w:r w:rsidRPr="00A032B9">
        <w:t xml:space="preserve"> rate tends to be associated with rising equity risk premiums (and vice versa).</w:t>
      </w:r>
    </w:p>
    <w:p w14:paraId="611133E4" w14:textId="38488B65" w:rsidR="00702B9E" w:rsidRPr="00A032B9" w:rsidRDefault="00702B9E" w:rsidP="00702B9E">
      <w:pPr>
        <w:pStyle w:val="Quote"/>
      </w:pPr>
      <w:r w:rsidRPr="00A032B9">
        <w:t xml:space="preserve">To the extent there is a negative relationship between the </w:t>
      </w:r>
      <w:proofErr w:type="gramStart"/>
      <w:r w:rsidRPr="00A032B9">
        <w:t>risk free</w:t>
      </w:r>
      <w:proofErr w:type="gramEnd"/>
      <w:r w:rsidRPr="00A032B9">
        <w:t xml:space="preserve"> rate and the risk premiums on listed equities, the required return of the equity market (being the sum of </w:t>
      </w:r>
      <w:proofErr w:type="gramStart"/>
      <w:r w:rsidRPr="00A032B9">
        <w:t>risk free</w:t>
      </w:r>
      <w:proofErr w:type="gramEnd"/>
      <w:r w:rsidRPr="00A032B9">
        <w:t xml:space="preserve"> rate and the market risk premium) is relatively more stable than its individual components</w:t>
      </w:r>
      <w:r w:rsidR="007E1DD5">
        <w:t>.</w:t>
      </w:r>
      <w:r w:rsidR="007E1DD5" w:rsidRPr="00A032B9">
        <w:rPr>
          <w:rStyle w:val="FootnoteReference"/>
        </w:rPr>
        <w:footnoteReference w:id="7"/>
      </w:r>
    </w:p>
    <w:p w14:paraId="0D88190C" w14:textId="77777777" w:rsidR="00AD26F3" w:rsidRDefault="007E1DD5" w:rsidP="009D43E8">
      <w:pPr>
        <w:pStyle w:val="BodyText"/>
        <w:rPr>
          <w:lang w:eastAsia="en-AU"/>
        </w:rPr>
      </w:pPr>
      <w:r>
        <w:rPr>
          <w:lang w:eastAsia="en-AU"/>
        </w:rPr>
        <w:t>This leads IPART to conclude that it would be improper to pair the prevailing risk-free rate (reflecting market conditions at a point in time) with a long-run average estimate of the MRP</w:t>
      </w:r>
      <w:r w:rsidR="004603AC">
        <w:rPr>
          <w:lang w:eastAsia="en-AU"/>
        </w:rPr>
        <w:t xml:space="preserve"> (which reflects the average market conditions over some histor</w:t>
      </w:r>
      <w:r w:rsidR="00AD26F3">
        <w:rPr>
          <w:lang w:eastAsia="en-AU"/>
        </w:rPr>
        <w:t>ical period):</w:t>
      </w:r>
    </w:p>
    <w:p w14:paraId="64000036" w14:textId="7DE89743" w:rsidR="00AD26F3" w:rsidRDefault="004C69D4" w:rsidP="00F72461">
      <w:pPr>
        <w:pStyle w:val="Quote"/>
      </w:pPr>
      <w:r w:rsidRPr="008475B5">
        <w:t>We consider it would be invalid to combine a current risk-free rate with a historic MRP, because the result of that calculation would not represent the state of the equity market at any point of time</w:t>
      </w:r>
      <w:r w:rsidRPr="00A032B9">
        <w:t>. By combining a current estimate of the risk-free rate with a current MRP estimate, we can approximate the current market price of equity. Likewise, by combining a historic estimate of the risk-free rate with a historic MRP estimate, we can approximate the historic average market price of equity. Either of these benchmarks would be a valid point of reference. When we combine the risk-free rates and MRP estimates in this time-consistent way, the current cost of equity is closer to the historic average cost of equity than either of them is to the time-inconsistent sum.</w:t>
      </w:r>
      <w:r w:rsidR="00F72461" w:rsidRPr="00A032B9">
        <w:rPr>
          <w:rStyle w:val="FootnoteReference"/>
        </w:rPr>
        <w:footnoteReference w:id="8"/>
      </w:r>
    </w:p>
    <w:p w14:paraId="0C0F972A" w14:textId="471508FB" w:rsidR="00073BF7" w:rsidRDefault="00073BF7" w:rsidP="00073BF7">
      <w:pPr>
        <w:pStyle w:val="BodyText"/>
        <w:rPr>
          <w:lang w:eastAsia="en-AU"/>
        </w:rPr>
      </w:pPr>
      <w:r>
        <w:rPr>
          <w:lang w:eastAsia="en-AU"/>
        </w:rPr>
        <w:t xml:space="preserve">We agree with IPART’s analysis </w:t>
      </w:r>
      <w:r w:rsidR="0080548B">
        <w:rPr>
          <w:lang w:eastAsia="en-AU"/>
        </w:rPr>
        <w:t xml:space="preserve">and with the importance of </w:t>
      </w:r>
      <w:r w:rsidR="001D1CA0">
        <w:rPr>
          <w:lang w:eastAsia="en-AU"/>
        </w:rPr>
        <w:t>adopting a set of WACC parameters that is internally</w:t>
      </w:r>
      <w:r w:rsidR="00413154">
        <w:rPr>
          <w:lang w:eastAsia="en-AU"/>
        </w:rPr>
        <w:t xml:space="preserve"> </w:t>
      </w:r>
      <w:r w:rsidR="001D1CA0">
        <w:rPr>
          <w:lang w:eastAsia="en-AU"/>
        </w:rPr>
        <w:t>consistent</w:t>
      </w:r>
      <w:r w:rsidR="00755F1B">
        <w:rPr>
          <w:lang w:eastAsia="en-AU"/>
        </w:rPr>
        <w:t>.</w:t>
      </w:r>
    </w:p>
    <w:p w14:paraId="38A3DCA1" w14:textId="26EF061D" w:rsidR="00F5006B" w:rsidRDefault="00764AD8" w:rsidP="00073BF7">
      <w:pPr>
        <w:pStyle w:val="BodyText"/>
        <w:rPr>
          <w:lang w:eastAsia="en-AU"/>
        </w:rPr>
      </w:pPr>
      <w:r>
        <w:rPr>
          <w:lang w:eastAsia="en-AU"/>
        </w:rPr>
        <w:t>In</w:t>
      </w:r>
      <w:r w:rsidR="00413154">
        <w:rPr>
          <w:lang w:eastAsia="en-AU"/>
        </w:rPr>
        <w:t xml:space="preserve"> </w:t>
      </w:r>
      <w:r w:rsidR="004F1E27">
        <w:rPr>
          <w:lang w:eastAsia="en-AU"/>
        </w:rPr>
        <w:t>the context of</w:t>
      </w:r>
      <w:r w:rsidR="00413154">
        <w:rPr>
          <w:lang w:eastAsia="en-AU"/>
        </w:rPr>
        <w:t xml:space="preserve"> the ACMA framework</w:t>
      </w:r>
      <w:r w:rsidR="004F1E27">
        <w:rPr>
          <w:lang w:eastAsia="en-AU"/>
        </w:rPr>
        <w:t xml:space="preserve">, the </w:t>
      </w:r>
      <w:r w:rsidR="00094C99">
        <w:rPr>
          <w:lang w:eastAsia="en-AU"/>
        </w:rPr>
        <w:t xml:space="preserve">WACC effectively determines the </w:t>
      </w:r>
      <w:r w:rsidR="004334F9">
        <w:rPr>
          <w:lang w:eastAsia="en-AU"/>
        </w:rPr>
        <w:t xml:space="preserve">allocation of value as between </w:t>
      </w:r>
      <w:r w:rsidR="004F67AF">
        <w:rPr>
          <w:lang w:eastAsia="en-AU"/>
        </w:rPr>
        <w:t>each year of the licence period.</w:t>
      </w:r>
      <w:r w:rsidR="00C14D13">
        <w:rPr>
          <w:lang w:eastAsia="en-AU"/>
        </w:rPr>
        <w:t xml:space="preserve">  A higher WACC allocates relatively more value to the</w:t>
      </w:r>
      <w:r w:rsidR="0007197F">
        <w:rPr>
          <w:lang w:eastAsia="en-AU"/>
        </w:rPr>
        <w:t xml:space="preserve"> early years of the licence period, and vice versa.</w:t>
      </w:r>
      <w:r w:rsidR="00505EC2">
        <w:rPr>
          <w:lang w:eastAsia="en-AU"/>
        </w:rPr>
        <w:t xml:space="preserve">  Thus, an approach that </w:t>
      </w:r>
      <w:r w:rsidR="00450E85">
        <w:rPr>
          <w:lang w:eastAsia="en-AU"/>
        </w:rPr>
        <w:t>produces materially different WACC estimates over time</w:t>
      </w:r>
      <w:r w:rsidR="00544CAB">
        <w:rPr>
          <w:lang w:eastAsia="en-AU"/>
        </w:rPr>
        <w:t xml:space="preserve"> will result in materially different allocations of value</w:t>
      </w:r>
      <w:r w:rsidR="00EA0F79">
        <w:rPr>
          <w:lang w:eastAsia="en-AU"/>
        </w:rPr>
        <w:t xml:space="preserve"> across time</w:t>
      </w:r>
      <w:r w:rsidR="005D0EDB">
        <w:rPr>
          <w:lang w:eastAsia="en-AU"/>
        </w:rPr>
        <w:t>.  This is unlikely to be a useful</w:t>
      </w:r>
      <w:r w:rsidR="00B8343A">
        <w:rPr>
          <w:lang w:eastAsia="en-AU"/>
        </w:rPr>
        <w:t xml:space="preserve"> feature </w:t>
      </w:r>
      <w:r w:rsidR="00901CFB">
        <w:rPr>
          <w:lang w:eastAsia="en-AU"/>
        </w:rPr>
        <w:t xml:space="preserve">within </w:t>
      </w:r>
      <w:r w:rsidR="00A366E3">
        <w:rPr>
          <w:lang w:eastAsia="en-AU"/>
        </w:rPr>
        <w:t xml:space="preserve">the </w:t>
      </w:r>
      <w:r w:rsidR="00613ADB">
        <w:rPr>
          <w:lang w:eastAsia="en-AU"/>
        </w:rPr>
        <w:t>ACMA framework</w:t>
      </w:r>
      <w:r w:rsidR="00F4277D">
        <w:rPr>
          <w:lang w:eastAsia="en-AU"/>
        </w:rPr>
        <w:t>.</w:t>
      </w:r>
      <w:r w:rsidR="00F5006B">
        <w:rPr>
          <w:lang w:eastAsia="en-AU"/>
        </w:rPr>
        <w:t xml:space="preserve">  In particular:</w:t>
      </w:r>
    </w:p>
    <w:p w14:paraId="1CA6F9C0" w14:textId="6ACB4762" w:rsidR="00F5006B" w:rsidRDefault="00F5006B" w:rsidP="00F5006B">
      <w:pPr>
        <w:pStyle w:val="ListBullet"/>
      </w:pPr>
      <w:r>
        <w:rPr>
          <w:lang w:eastAsia="en-AU"/>
        </w:rPr>
        <w:t>The long-run average approach</w:t>
      </w:r>
      <w:r w:rsidR="005B3AFA">
        <w:rPr>
          <w:lang w:eastAsia="en-AU"/>
        </w:rPr>
        <w:t xml:space="preserve"> to WACC estimation produces </w:t>
      </w:r>
      <w:r w:rsidR="00950012">
        <w:rPr>
          <w:lang w:eastAsia="en-AU"/>
        </w:rPr>
        <w:t>figures that remain relatively stable over time; whereas</w:t>
      </w:r>
    </w:p>
    <w:p w14:paraId="278DBBF3" w14:textId="02C4297A" w:rsidR="00950012" w:rsidRDefault="00950012" w:rsidP="00F5006B">
      <w:pPr>
        <w:pStyle w:val="ListBullet"/>
      </w:pPr>
      <w:r>
        <w:rPr>
          <w:lang w:eastAsia="en-AU"/>
        </w:rPr>
        <w:t xml:space="preserve">The </w:t>
      </w:r>
      <w:r w:rsidR="003E2533">
        <w:rPr>
          <w:lang w:eastAsia="en-AU"/>
        </w:rPr>
        <w:t>approach of (inconsistently) pairing a rate-on-the-day risk-free rate with a long-term average MRP (</w:t>
      </w:r>
      <w:r w:rsidR="00F15BDB">
        <w:rPr>
          <w:lang w:eastAsia="en-AU"/>
        </w:rPr>
        <w:t xml:space="preserve">the current approach of the AER) </w:t>
      </w:r>
      <w:r w:rsidR="0066451C">
        <w:rPr>
          <w:lang w:eastAsia="en-AU"/>
        </w:rPr>
        <w:t xml:space="preserve">produces </w:t>
      </w:r>
      <w:r w:rsidR="00915890">
        <w:rPr>
          <w:lang w:eastAsia="en-AU"/>
        </w:rPr>
        <w:t xml:space="preserve">volatile </w:t>
      </w:r>
      <w:r w:rsidR="003D127C">
        <w:rPr>
          <w:lang w:eastAsia="en-AU"/>
        </w:rPr>
        <w:t xml:space="preserve">WACC </w:t>
      </w:r>
      <w:r w:rsidR="00915890">
        <w:rPr>
          <w:lang w:eastAsia="en-AU"/>
        </w:rPr>
        <w:t>estimates</w:t>
      </w:r>
      <w:r w:rsidR="009B0A48">
        <w:rPr>
          <w:lang w:eastAsia="en-AU"/>
        </w:rPr>
        <w:t>.</w:t>
      </w:r>
      <w:r w:rsidR="000A04A9">
        <w:rPr>
          <w:lang w:eastAsia="en-AU"/>
        </w:rPr>
        <w:t xml:space="preserve">  This approach has been referred to as a ‘risk-free rate lottery’ as</w:t>
      </w:r>
      <w:r w:rsidR="00617B8A">
        <w:rPr>
          <w:lang w:eastAsia="en-AU"/>
        </w:rPr>
        <w:t xml:space="preserve"> the resulting WACC </w:t>
      </w:r>
      <w:r w:rsidR="00450DB9">
        <w:rPr>
          <w:lang w:eastAsia="en-AU"/>
        </w:rPr>
        <w:t>varies one-for-one with changes in government bonds yields.</w:t>
      </w:r>
      <w:r w:rsidR="000A04A9">
        <w:rPr>
          <w:lang w:eastAsia="en-AU"/>
        </w:rPr>
        <w:t xml:space="preserve"> </w:t>
      </w:r>
      <w:r w:rsidR="00915890">
        <w:rPr>
          <w:lang w:eastAsia="en-AU"/>
        </w:rPr>
        <w:t xml:space="preserve"> </w:t>
      </w:r>
    </w:p>
    <w:p w14:paraId="589F29E0" w14:textId="7D68073E" w:rsidR="00545403" w:rsidRDefault="00545403" w:rsidP="00545403">
      <w:pPr>
        <w:pStyle w:val="BodyText"/>
        <w:rPr>
          <w:lang w:eastAsia="en-AU"/>
        </w:rPr>
      </w:pPr>
      <w:r>
        <w:rPr>
          <w:lang w:eastAsia="en-AU"/>
        </w:rPr>
        <w:t>For the reasons set out above, our preferred approach</w:t>
      </w:r>
      <w:r w:rsidR="00BA11FB">
        <w:rPr>
          <w:lang w:eastAsia="en-AU"/>
        </w:rPr>
        <w:t xml:space="preserve"> is to adopt a long-run average WACC in the context of the </w:t>
      </w:r>
      <w:r w:rsidR="005F26E6">
        <w:rPr>
          <w:lang w:eastAsia="en-AU"/>
        </w:rPr>
        <w:t>ACMA framework.</w:t>
      </w:r>
    </w:p>
    <w:p w14:paraId="395BEEDA" w14:textId="38B790F5" w:rsidR="00D65AF3" w:rsidRDefault="00D65AF3" w:rsidP="00D65AF3">
      <w:pPr>
        <w:pStyle w:val="Heading4"/>
      </w:pPr>
      <w:r>
        <w:t xml:space="preserve">Proposed </w:t>
      </w:r>
      <w:r w:rsidR="00705A9C">
        <w:t>estimation</w:t>
      </w:r>
    </w:p>
    <w:p w14:paraId="16E6F56B" w14:textId="45F9C3FB" w:rsidR="00D65AF3" w:rsidRDefault="0088288C" w:rsidP="00D65AF3">
      <w:pPr>
        <w:pStyle w:val="BodyText"/>
        <w:rPr>
          <w:lang w:eastAsia="en-AU"/>
        </w:rPr>
      </w:pPr>
      <w:r>
        <w:rPr>
          <w:lang w:eastAsia="en-AU"/>
        </w:rPr>
        <w:t>Indicative l</w:t>
      </w:r>
      <w:r w:rsidR="009C455C">
        <w:rPr>
          <w:lang w:eastAsia="en-AU"/>
        </w:rPr>
        <w:t xml:space="preserve">ong-run average WACC parameter estimates can be </w:t>
      </w:r>
      <w:r w:rsidR="00F548B7">
        <w:rPr>
          <w:lang w:eastAsia="en-AU"/>
        </w:rPr>
        <w:t>obtained as follows</w:t>
      </w:r>
      <w:r w:rsidR="004E692F">
        <w:rPr>
          <w:lang w:eastAsia="en-AU"/>
        </w:rPr>
        <w:t>:</w:t>
      </w:r>
    </w:p>
    <w:p w14:paraId="50417DFB" w14:textId="46DB2D7A" w:rsidR="0080572F" w:rsidRDefault="0080572F" w:rsidP="009A283F">
      <w:pPr>
        <w:pStyle w:val="ListBullet"/>
      </w:pPr>
      <w:r>
        <w:rPr>
          <w:lang w:eastAsia="en-AU"/>
        </w:rPr>
        <w:t xml:space="preserve">The risk-free rate can be estimated as the </w:t>
      </w:r>
      <w:r w:rsidR="00561552">
        <w:rPr>
          <w:lang w:eastAsia="en-AU"/>
        </w:rPr>
        <w:t>average yield on 10-year government bonds</w:t>
      </w:r>
      <w:r w:rsidR="004E1381">
        <w:rPr>
          <w:lang w:eastAsia="en-AU"/>
        </w:rPr>
        <w:t xml:space="preserve">.  The </w:t>
      </w:r>
      <w:r w:rsidR="00A35B01">
        <w:rPr>
          <w:lang w:eastAsia="en-AU"/>
        </w:rPr>
        <w:t xml:space="preserve">average since </w:t>
      </w:r>
      <w:r w:rsidR="00B30B7E">
        <w:rPr>
          <w:lang w:eastAsia="en-AU"/>
        </w:rPr>
        <w:t>the mid-1990s</w:t>
      </w:r>
      <w:r w:rsidR="001671E2">
        <w:rPr>
          <w:lang w:eastAsia="en-AU"/>
        </w:rPr>
        <w:t xml:space="preserve"> (when the RBA </w:t>
      </w:r>
      <w:r w:rsidR="000A7FE6">
        <w:rPr>
          <w:lang w:eastAsia="en-AU"/>
        </w:rPr>
        <w:t xml:space="preserve">inflation target of 2-3% was introduced) is approximately 5% </w:t>
      </w:r>
      <w:proofErr w:type="gramStart"/>
      <w:r w:rsidR="000A7FE6">
        <w:rPr>
          <w:lang w:eastAsia="en-AU"/>
        </w:rPr>
        <w:t>p.a.</w:t>
      </w:r>
      <w:r w:rsidR="00A716F9">
        <w:rPr>
          <w:lang w:eastAsia="en-AU"/>
        </w:rPr>
        <w:t>;</w:t>
      </w:r>
      <w:proofErr w:type="gramEnd"/>
    </w:p>
    <w:p w14:paraId="12197BC6" w14:textId="4B4D48C1" w:rsidR="009A283F" w:rsidRDefault="00A716F9" w:rsidP="009A283F">
      <w:pPr>
        <w:pStyle w:val="ListBullet"/>
      </w:pPr>
      <w:r>
        <w:rPr>
          <w:lang w:eastAsia="en-AU"/>
        </w:rPr>
        <w:lastRenderedPageBreak/>
        <w:t xml:space="preserve">The </w:t>
      </w:r>
      <w:r w:rsidR="00820514">
        <w:rPr>
          <w:lang w:eastAsia="en-AU"/>
        </w:rPr>
        <w:t>MRP can be estimated as</w:t>
      </w:r>
      <w:r w:rsidR="00855BB2">
        <w:rPr>
          <w:lang w:eastAsia="en-AU"/>
        </w:rPr>
        <w:t xml:space="preserve"> the average </w:t>
      </w:r>
      <w:r w:rsidR="00522137">
        <w:rPr>
          <w:lang w:eastAsia="en-AU"/>
        </w:rPr>
        <w:t>of historical excess returns.  The AER publishes such figures in its annual updates.</w:t>
      </w:r>
      <w:r w:rsidR="00255BDB">
        <w:rPr>
          <w:rStyle w:val="FootnoteReference"/>
          <w:lang w:eastAsia="en-AU"/>
        </w:rPr>
        <w:footnoteReference w:id="9"/>
      </w:r>
      <w:r w:rsidR="00522137">
        <w:rPr>
          <w:lang w:eastAsia="en-AU"/>
        </w:rPr>
        <w:t xml:space="preserve">  The</w:t>
      </w:r>
      <w:r w:rsidR="0082489A">
        <w:rPr>
          <w:lang w:eastAsia="en-AU"/>
        </w:rPr>
        <w:t xml:space="preserve"> current figure adopted by the AER is 6.2%.</w:t>
      </w:r>
    </w:p>
    <w:p w14:paraId="1AD441A8" w14:textId="2548C11C" w:rsidR="00255BDB" w:rsidRDefault="00255BDB" w:rsidP="009A283F">
      <w:pPr>
        <w:pStyle w:val="ListBullet"/>
      </w:pPr>
      <w:r>
        <w:rPr>
          <w:lang w:eastAsia="en-AU"/>
        </w:rPr>
        <w:t xml:space="preserve">Beta can be estimated via regression analysis applied to comparable businesses.  </w:t>
      </w:r>
      <w:r w:rsidR="003605F5">
        <w:rPr>
          <w:lang w:eastAsia="en-AU"/>
        </w:rPr>
        <w:t>In 2020, t</w:t>
      </w:r>
      <w:r>
        <w:rPr>
          <w:lang w:eastAsia="en-AU"/>
        </w:rPr>
        <w:t xml:space="preserve">he </w:t>
      </w:r>
      <w:proofErr w:type="gramStart"/>
      <w:r>
        <w:rPr>
          <w:lang w:eastAsia="en-AU"/>
        </w:rPr>
        <w:t>ACCC  performed</w:t>
      </w:r>
      <w:proofErr w:type="gramEnd"/>
      <w:r>
        <w:rPr>
          <w:lang w:eastAsia="en-AU"/>
        </w:rPr>
        <w:t xml:space="preserve"> this exercise and concluded that an appropriate estimate for mobile </w:t>
      </w:r>
      <w:r w:rsidR="00FC5ACB">
        <w:rPr>
          <w:lang w:eastAsia="en-AU"/>
        </w:rPr>
        <w:t>network</w:t>
      </w:r>
      <w:r>
        <w:rPr>
          <w:lang w:eastAsia="en-AU"/>
        </w:rPr>
        <w:t xml:space="preserve"> operators </w:t>
      </w:r>
      <w:r w:rsidR="003605F5">
        <w:rPr>
          <w:lang w:eastAsia="en-AU"/>
        </w:rPr>
        <w:t>wa</w:t>
      </w:r>
      <w:r>
        <w:rPr>
          <w:lang w:eastAsia="en-AU"/>
        </w:rPr>
        <w:t>s 0.8.</w:t>
      </w:r>
      <w:bookmarkStart w:id="25" w:name="_Ref170465015"/>
      <w:r w:rsidR="000B1FA8">
        <w:rPr>
          <w:rStyle w:val="FootnoteReference"/>
          <w:lang w:eastAsia="en-AU"/>
        </w:rPr>
        <w:footnoteReference w:id="10"/>
      </w:r>
      <w:bookmarkEnd w:id="25"/>
      <w:r w:rsidR="006C6901">
        <w:rPr>
          <w:lang w:eastAsia="en-AU"/>
        </w:rPr>
        <w:t xml:space="preserve"> </w:t>
      </w:r>
    </w:p>
    <w:p w14:paraId="2CBA6EF4" w14:textId="7C140511" w:rsidR="00A136EC" w:rsidRDefault="000B1FA8" w:rsidP="009A283F">
      <w:pPr>
        <w:pStyle w:val="ListBullet"/>
      </w:pPr>
      <w:r>
        <w:rPr>
          <w:lang w:eastAsia="en-AU"/>
        </w:rPr>
        <w:t>The ACCC has performed an analysis of comparator businesses and concluded that an appropriate benchmark credit rating for a mobile phone operator is A-.</w:t>
      </w:r>
      <w:bookmarkStart w:id="26" w:name="_Ref170464971"/>
      <w:r>
        <w:rPr>
          <w:rStyle w:val="FootnoteReference"/>
          <w:lang w:eastAsia="en-AU"/>
        </w:rPr>
        <w:footnoteReference w:id="11"/>
      </w:r>
      <w:bookmarkEnd w:id="26"/>
      <w:r>
        <w:rPr>
          <w:lang w:eastAsia="en-AU"/>
        </w:rPr>
        <w:t xml:space="preserve">  The average spread between the yield on 10-year A- rated Australian corporate bonds and corresponding government bonds is approximately 1%.</w:t>
      </w:r>
      <w:r w:rsidR="00712FCB">
        <w:rPr>
          <w:lang w:eastAsia="en-AU"/>
        </w:rPr>
        <w:t xml:space="preserve">  This produces an average required return on debt of 6% p.a.</w:t>
      </w:r>
      <w:r>
        <w:rPr>
          <w:lang w:eastAsia="en-AU"/>
        </w:rPr>
        <w:t xml:space="preserve"> </w:t>
      </w:r>
    </w:p>
    <w:p w14:paraId="73CC0931" w14:textId="532B7A7F" w:rsidR="0068285B" w:rsidRDefault="0068285B" w:rsidP="009A283F">
      <w:pPr>
        <w:pStyle w:val="ListBullet"/>
      </w:pPr>
      <w:r>
        <w:rPr>
          <w:lang w:eastAsia="en-AU"/>
        </w:rPr>
        <w:t xml:space="preserve">Gearing </w:t>
      </w:r>
      <w:r w:rsidR="0021640E">
        <w:rPr>
          <w:lang w:eastAsia="en-AU"/>
        </w:rPr>
        <w:t xml:space="preserve">can be estimated </w:t>
      </w:r>
      <w:r w:rsidR="008726DA">
        <w:rPr>
          <w:lang w:eastAsia="en-AU"/>
        </w:rPr>
        <w:t xml:space="preserve">as the </w:t>
      </w:r>
      <w:r w:rsidR="0043520D">
        <w:rPr>
          <w:lang w:eastAsia="en-AU"/>
        </w:rPr>
        <w:t xml:space="preserve">average gearing employed by comparator businesses.  The ACCC has performed this exercise and concluded that </w:t>
      </w:r>
      <w:r w:rsidR="00280F0A">
        <w:rPr>
          <w:lang w:eastAsia="en-AU"/>
        </w:rPr>
        <w:t xml:space="preserve">an appropriate </w:t>
      </w:r>
      <w:r w:rsidR="00374DB5">
        <w:rPr>
          <w:lang w:eastAsia="en-AU"/>
        </w:rPr>
        <w:t>estimate is</w:t>
      </w:r>
      <w:r w:rsidR="00280F0A">
        <w:rPr>
          <w:lang w:eastAsia="en-AU"/>
        </w:rPr>
        <w:t xml:space="preserve"> 37%</w:t>
      </w:r>
      <w:r w:rsidR="00374DB5">
        <w:rPr>
          <w:lang w:eastAsia="en-AU"/>
        </w:rPr>
        <w:t>.</w:t>
      </w:r>
      <w:r w:rsidR="00374DB5">
        <w:rPr>
          <w:rStyle w:val="FootnoteReference"/>
          <w:lang w:eastAsia="en-AU"/>
        </w:rPr>
        <w:footnoteReference w:id="12"/>
      </w:r>
    </w:p>
    <w:p w14:paraId="6FBCF87E" w14:textId="4914AF1D" w:rsidR="009719B0" w:rsidRDefault="00A716F9" w:rsidP="009D43E8">
      <w:pPr>
        <w:pStyle w:val="BodyText"/>
        <w:rPr>
          <w:lang w:eastAsia="en-AU"/>
        </w:rPr>
      </w:pPr>
      <w:r>
        <w:rPr>
          <w:lang w:eastAsia="en-AU"/>
        </w:rPr>
        <w:t xml:space="preserve">These </w:t>
      </w:r>
      <w:r w:rsidR="00110C73">
        <w:rPr>
          <w:lang w:eastAsia="en-AU"/>
        </w:rPr>
        <w:t xml:space="preserve">estimates and estimation approaches are summarised in </w:t>
      </w:r>
      <w:r w:rsidR="00110C73">
        <w:rPr>
          <w:lang w:eastAsia="en-AU"/>
        </w:rPr>
        <w:fldChar w:fldCharType="begin"/>
      </w:r>
      <w:r w:rsidR="00110C73">
        <w:rPr>
          <w:lang w:eastAsia="en-AU"/>
        </w:rPr>
        <w:instrText xml:space="preserve"> REF _Ref169794043 </w:instrText>
      </w:r>
      <w:r w:rsidR="00110C73">
        <w:rPr>
          <w:lang w:eastAsia="en-AU"/>
        </w:rPr>
        <w:fldChar w:fldCharType="separate"/>
      </w:r>
      <w:r w:rsidR="00290E80" w:rsidRPr="00004691">
        <w:t>Table</w:t>
      </w:r>
      <w:r w:rsidR="00290E80" w:rsidRPr="00004691">
        <w:rPr>
          <w:rStyle w:val="Bold"/>
        </w:rPr>
        <w:t xml:space="preserve"> </w:t>
      </w:r>
      <w:r w:rsidR="00290E80">
        <w:rPr>
          <w:noProof/>
        </w:rPr>
        <w:t>7</w:t>
      </w:r>
      <w:r w:rsidR="00110C73">
        <w:rPr>
          <w:lang w:eastAsia="en-AU"/>
        </w:rPr>
        <w:fldChar w:fldCharType="end"/>
      </w:r>
      <w:r w:rsidR="00110C73">
        <w:rPr>
          <w:lang w:eastAsia="en-AU"/>
        </w:rPr>
        <w:t xml:space="preserve"> below.</w:t>
      </w:r>
    </w:p>
    <w:p w14:paraId="4B572647" w14:textId="64916B46" w:rsidR="009719B0" w:rsidRDefault="009719B0">
      <w:pPr>
        <w:pStyle w:val="Caption"/>
        <w:keepNext/>
      </w:pPr>
      <w:bookmarkStart w:id="27" w:name="_Ref169794043"/>
      <w:bookmarkStart w:id="28" w:name="_Toc170474038"/>
      <w:r w:rsidRPr="00004691">
        <w:t>Table</w:t>
      </w:r>
      <w:r w:rsidRPr="00004691">
        <w:rPr>
          <w:rStyle w:val="Bold"/>
        </w:rPr>
        <w:t xml:space="preserve"> </w:t>
      </w:r>
      <w:r>
        <w:fldChar w:fldCharType="begin"/>
      </w:r>
      <w:r>
        <w:instrText xml:space="preserve"> SEQ Table \* ARABIC </w:instrText>
      </w:r>
      <w:r>
        <w:fldChar w:fldCharType="separate"/>
      </w:r>
      <w:r w:rsidR="00290E80">
        <w:rPr>
          <w:noProof/>
        </w:rPr>
        <w:t>7</w:t>
      </w:r>
      <w:r>
        <w:rPr>
          <w:noProof/>
        </w:rPr>
        <w:fldChar w:fldCharType="end"/>
      </w:r>
      <w:bookmarkEnd w:id="27"/>
      <w:r w:rsidRPr="00004691">
        <w:rPr>
          <w:rStyle w:val="Bold"/>
        </w:rPr>
        <w:t>:</w:t>
      </w:r>
      <w:r w:rsidRPr="00004691">
        <w:t xml:space="preserve"> </w:t>
      </w:r>
      <w:r>
        <w:t>Indicative WACC parameter estimates</w:t>
      </w:r>
      <w:bookmarkEnd w:id="28"/>
    </w:p>
    <w:tbl>
      <w:tblPr>
        <w:tblStyle w:val="FETableStyle"/>
        <w:tblW w:w="5000" w:type="pct"/>
        <w:tblLook w:val="0420" w:firstRow="1" w:lastRow="0" w:firstColumn="0" w:lastColumn="0" w:noHBand="0" w:noVBand="1"/>
      </w:tblPr>
      <w:tblGrid>
        <w:gridCol w:w="2072"/>
        <w:gridCol w:w="5497"/>
        <w:gridCol w:w="1458"/>
      </w:tblGrid>
      <w:tr w:rsidR="009719B0" w:rsidRPr="009719B0" w14:paraId="6730F8A9" w14:textId="77777777" w:rsidTr="009719B0">
        <w:trPr>
          <w:cnfStyle w:val="100000000000" w:firstRow="1" w:lastRow="0" w:firstColumn="0" w:lastColumn="0" w:oddVBand="0" w:evenVBand="0" w:oddHBand="0" w:evenHBand="0" w:firstRowFirstColumn="0" w:firstRowLastColumn="0" w:lastRowFirstColumn="0" w:lastRowLastColumn="0"/>
        </w:trPr>
        <w:tc>
          <w:tcPr>
            <w:tcW w:w="2880" w:type="dxa"/>
            <w:noWrap/>
            <w:hideMark/>
          </w:tcPr>
          <w:p w14:paraId="72AEF360" w14:textId="77777777" w:rsidR="009719B0" w:rsidRPr="009719B0" w:rsidRDefault="009719B0" w:rsidP="009719B0">
            <w:pPr>
              <w:pStyle w:val="TableHeading"/>
            </w:pPr>
            <w:r w:rsidRPr="009719B0">
              <w:t>Parameter</w:t>
            </w:r>
          </w:p>
        </w:tc>
        <w:tc>
          <w:tcPr>
            <w:tcW w:w="7800" w:type="dxa"/>
            <w:noWrap/>
            <w:hideMark/>
          </w:tcPr>
          <w:p w14:paraId="3CBB8E6E" w14:textId="77777777" w:rsidR="009719B0" w:rsidRPr="009719B0" w:rsidRDefault="009719B0" w:rsidP="009719B0">
            <w:pPr>
              <w:pStyle w:val="TableHeading"/>
            </w:pPr>
            <w:r w:rsidRPr="009719B0">
              <w:t>Source</w:t>
            </w:r>
          </w:p>
        </w:tc>
        <w:tc>
          <w:tcPr>
            <w:tcW w:w="2000" w:type="dxa"/>
            <w:noWrap/>
            <w:hideMark/>
          </w:tcPr>
          <w:p w14:paraId="0253E2D0" w14:textId="77777777" w:rsidR="009719B0" w:rsidRPr="009719B0" w:rsidRDefault="009719B0" w:rsidP="009719B0">
            <w:pPr>
              <w:pStyle w:val="TableHeading"/>
              <w:jc w:val="center"/>
            </w:pPr>
            <w:r w:rsidRPr="009719B0">
              <w:t>Indicative estimate</w:t>
            </w:r>
          </w:p>
        </w:tc>
      </w:tr>
      <w:tr w:rsidR="009719B0" w:rsidRPr="009719B0" w14:paraId="470F6D73" w14:textId="77777777" w:rsidTr="009719B0">
        <w:tc>
          <w:tcPr>
            <w:tcW w:w="2880" w:type="dxa"/>
            <w:noWrap/>
            <w:hideMark/>
          </w:tcPr>
          <w:p w14:paraId="5CC066F4" w14:textId="77777777" w:rsidR="009719B0" w:rsidRPr="009719B0" w:rsidRDefault="009719B0" w:rsidP="009719B0">
            <w:pPr>
              <w:pStyle w:val="TableText"/>
            </w:pPr>
            <w:r w:rsidRPr="009719B0">
              <w:t>Risk-free rate</w:t>
            </w:r>
          </w:p>
        </w:tc>
        <w:tc>
          <w:tcPr>
            <w:tcW w:w="7800" w:type="dxa"/>
            <w:noWrap/>
            <w:hideMark/>
          </w:tcPr>
          <w:p w14:paraId="5C3A7D46" w14:textId="77777777" w:rsidR="009719B0" w:rsidRPr="009719B0" w:rsidRDefault="009719B0" w:rsidP="009719B0">
            <w:pPr>
              <w:pStyle w:val="TableText"/>
            </w:pPr>
            <w:r w:rsidRPr="009719B0">
              <w:t>Long-run average 10-year government bond yield.</w:t>
            </w:r>
          </w:p>
        </w:tc>
        <w:tc>
          <w:tcPr>
            <w:tcW w:w="2000" w:type="dxa"/>
            <w:noWrap/>
            <w:hideMark/>
          </w:tcPr>
          <w:p w14:paraId="4AE4D014" w14:textId="77777777" w:rsidR="009719B0" w:rsidRPr="009719B0" w:rsidRDefault="009719B0" w:rsidP="009719B0">
            <w:pPr>
              <w:pStyle w:val="TableText"/>
              <w:jc w:val="center"/>
            </w:pPr>
            <w:r w:rsidRPr="009719B0">
              <w:t>5%</w:t>
            </w:r>
          </w:p>
        </w:tc>
      </w:tr>
      <w:tr w:rsidR="009719B0" w:rsidRPr="009719B0" w14:paraId="1083C64C" w14:textId="77777777" w:rsidTr="009719B0">
        <w:trPr>
          <w:cnfStyle w:val="000000010000" w:firstRow="0" w:lastRow="0" w:firstColumn="0" w:lastColumn="0" w:oddVBand="0" w:evenVBand="0" w:oddHBand="0" w:evenHBand="1" w:firstRowFirstColumn="0" w:firstRowLastColumn="0" w:lastRowFirstColumn="0" w:lastRowLastColumn="0"/>
        </w:trPr>
        <w:tc>
          <w:tcPr>
            <w:tcW w:w="2880" w:type="dxa"/>
            <w:noWrap/>
            <w:hideMark/>
          </w:tcPr>
          <w:p w14:paraId="35E6BAFB" w14:textId="77777777" w:rsidR="009719B0" w:rsidRPr="009719B0" w:rsidRDefault="009719B0" w:rsidP="009719B0">
            <w:pPr>
              <w:pStyle w:val="TableText"/>
            </w:pPr>
            <w:r w:rsidRPr="009719B0">
              <w:t>Market risk premium</w:t>
            </w:r>
          </w:p>
        </w:tc>
        <w:tc>
          <w:tcPr>
            <w:tcW w:w="7800" w:type="dxa"/>
            <w:noWrap/>
            <w:hideMark/>
          </w:tcPr>
          <w:p w14:paraId="6F9FFFBB" w14:textId="77777777" w:rsidR="009719B0" w:rsidRPr="009719B0" w:rsidRDefault="009719B0" w:rsidP="009719B0">
            <w:pPr>
              <w:pStyle w:val="TableText"/>
            </w:pPr>
            <w:r w:rsidRPr="009719B0">
              <w:t>Long-run average of historical excess returns.  Published annually by AER.</w:t>
            </w:r>
          </w:p>
        </w:tc>
        <w:tc>
          <w:tcPr>
            <w:tcW w:w="2000" w:type="dxa"/>
            <w:noWrap/>
            <w:hideMark/>
          </w:tcPr>
          <w:p w14:paraId="68228CE3" w14:textId="77777777" w:rsidR="009719B0" w:rsidRPr="009719B0" w:rsidRDefault="009719B0" w:rsidP="009719B0">
            <w:pPr>
              <w:pStyle w:val="TableText"/>
              <w:jc w:val="center"/>
            </w:pPr>
            <w:r w:rsidRPr="009719B0">
              <w:t>6.20%</w:t>
            </w:r>
          </w:p>
        </w:tc>
      </w:tr>
      <w:tr w:rsidR="009719B0" w:rsidRPr="009719B0" w14:paraId="011B656C" w14:textId="77777777" w:rsidTr="009719B0">
        <w:tc>
          <w:tcPr>
            <w:tcW w:w="2880" w:type="dxa"/>
            <w:noWrap/>
            <w:hideMark/>
          </w:tcPr>
          <w:p w14:paraId="2A5AFF51" w14:textId="77777777" w:rsidR="009719B0" w:rsidRPr="009719B0" w:rsidRDefault="009719B0" w:rsidP="009719B0">
            <w:pPr>
              <w:pStyle w:val="TableText"/>
            </w:pPr>
            <w:r w:rsidRPr="009719B0">
              <w:t>Beta</w:t>
            </w:r>
          </w:p>
        </w:tc>
        <w:tc>
          <w:tcPr>
            <w:tcW w:w="7800" w:type="dxa"/>
            <w:noWrap/>
            <w:hideMark/>
          </w:tcPr>
          <w:p w14:paraId="000198A0" w14:textId="77777777" w:rsidR="009719B0" w:rsidRPr="009719B0" w:rsidRDefault="009719B0" w:rsidP="009719B0">
            <w:pPr>
              <w:pStyle w:val="TableText"/>
            </w:pPr>
            <w:r w:rsidRPr="009719B0">
              <w:t>Regression estimates from comparable businesses.  Published by ACCC.</w:t>
            </w:r>
          </w:p>
        </w:tc>
        <w:tc>
          <w:tcPr>
            <w:tcW w:w="2000" w:type="dxa"/>
            <w:noWrap/>
            <w:hideMark/>
          </w:tcPr>
          <w:p w14:paraId="5848EF91" w14:textId="77777777" w:rsidR="009719B0" w:rsidRPr="009719B0" w:rsidRDefault="009719B0" w:rsidP="009719B0">
            <w:pPr>
              <w:pStyle w:val="TableText"/>
              <w:jc w:val="center"/>
            </w:pPr>
            <w:r w:rsidRPr="009719B0">
              <w:t>0.8</w:t>
            </w:r>
          </w:p>
        </w:tc>
      </w:tr>
      <w:tr w:rsidR="009719B0" w:rsidRPr="009719B0" w14:paraId="4B2190CB" w14:textId="77777777" w:rsidTr="009719B0">
        <w:trPr>
          <w:cnfStyle w:val="000000010000" w:firstRow="0" w:lastRow="0" w:firstColumn="0" w:lastColumn="0" w:oddVBand="0" w:evenVBand="0" w:oddHBand="0" w:evenHBand="1" w:firstRowFirstColumn="0" w:firstRowLastColumn="0" w:lastRowFirstColumn="0" w:lastRowLastColumn="0"/>
        </w:trPr>
        <w:tc>
          <w:tcPr>
            <w:tcW w:w="2880" w:type="dxa"/>
            <w:noWrap/>
            <w:hideMark/>
          </w:tcPr>
          <w:p w14:paraId="130E961C" w14:textId="77777777" w:rsidR="009719B0" w:rsidRPr="009719B0" w:rsidRDefault="009719B0" w:rsidP="009719B0">
            <w:pPr>
              <w:pStyle w:val="TableText"/>
            </w:pPr>
            <w:r w:rsidRPr="009719B0">
              <w:t>Return on debt</w:t>
            </w:r>
          </w:p>
        </w:tc>
        <w:tc>
          <w:tcPr>
            <w:tcW w:w="7800" w:type="dxa"/>
            <w:noWrap/>
            <w:hideMark/>
          </w:tcPr>
          <w:p w14:paraId="31A17AA7" w14:textId="77777777" w:rsidR="009719B0" w:rsidRPr="009719B0" w:rsidRDefault="009719B0" w:rsidP="009719B0">
            <w:pPr>
              <w:pStyle w:val="TableText"/>
            </w:pPr>
            <w:r w:rsidRPr="009719B0">
              <w:t>Long-run average of yield on 10-year corporate bonds with A- rating.</w:t>
            </w:r>
          </w:p>
        </w:tc>
        <w:tc>
          <w:tcPr>
            <w:tcW w:w="2000" w:type="dxa"/>
            <w:noWrap/>
            <w:hideMark/>
          </w:tcPr>
          <w:p w14:paraId="1AEB2CC7" w14:textId="77777777" w:rsidR="009719B0" w:rsidRPr="009719B0" w:rsidRDefault="009719B0" w:rsidP="009719B0">
            <w:pPr>
              <w:pStyle w:val="TableText"/>
              <w:jc w:val="center"/>
            </w:pPr>
            <w:r w:rsidRPr="009719B0">
              <w:t>6%</w:t>
            </w:r>
          </w:p>
        </w:tc>
      </w:tr>
      <w:tr w:rsidR="009719B0" w:rsidRPr="009719B0" w14:paraId="6D2165F5" w14:textId="77777777" w:rsidTr="009719B0">
        <w:tc>
          <w:tcPr>
            <w:tcW w:w="2880" w:type="dxa"/>
            <w:tcBorders>
              <w:bottom w:val="single" w:sz="4" w:space="0" w:color="207BA1" w:themeColor="accent2"/>
            </w:tcBorders>
            <w:noWrap/>
            <w:hideMark/>
          </w:tcPr>
          <w:p w14:paraId="61BC8A4F" w14:textId="77777777" w:rsidR="009719B0" w:rsidRPr="009719B0" w:rsidRDefault="009719B0" w:rsidP="009719B0">
            <w:pPr>
              <w:pStyle w:val="TableText"/>
            </w:pPr>
            <w:r w:rsidRPr="009719B0">
              <w:t>Gearing</w:t>
            </w:r>
          </w:p>
        </w:tc>
        <w:tc>
          <w:tcPr>
            <w:tcW w:w="7800" w:type="dxa"/>
            <w:tcBorders>
              <w:bottom w:val="single" w:sz="4" w:space="0" w:color="207BA1" w:themeColor="accent2"/>
            </w:tcBorders>
            <w:noWrap/>
            <w:hideMark/>
          </w:tcPr>
          <w:p w14:paraId="1912D0AB" w14:textId="77777777" w:rsidR="009719B0" w:rsidRPr="009719B0" w:rsidRDefault="009719B0" w:rsidP="009719B0">
            <w:pPr>
              <w:pStyle w:val="TableText"/>
            </w:pPr>
            <w:r w:rsidRPr="009719B0">
              <w:t xml:space="preserve">Average gearing of comparable businesses.  Published by ACCC. </w:t>
            </w:r>
          </w:p>
        </w:tc>
        <w:tc>
          <w:tcPr>
            <w:tcW w:w="2000" w:type="dxa"/>
            <w:tcBorders>
              <w:bottom w:val="single" w:sz="4" w:space="0" w:color="207BA1" w:themeColor="accent2"/>
            </w:tcBorders>
            <w:noWrap/>
            <w:hideMark/>
          </w:tcPr>
          <w:p w14:paraId="01DBED0B" w14:textId="5EC61286" w:rsidR="009719B0" w:rsidRPr="009719B0" w:rsidRDefault="00110C73" w:rsidP="009719B0">
            <w:pPr>
              <w:pStyle w:val="TableText"/>
              <w:jc w:val="center"/>
            </w:pPr>
            <w:r>
              <w:t>37</w:t>
            </w:r>
            <w:r w:rsidR="009719B0" w:rsidRPr="009719B0">
              <w:t>%</w:t>
            </w:r>
          </w:p>
        </w:tc>
      </w:tr>
      <w:tr w:rsidR="009719B0" w:rsidRPr="009719B0" w14:paraId="7CD5F04A" w14:textId="77777777" w:rsidTr="009719B0">
        <w:trPr>
          <w:cnfStyle w:val="000000010000" w:firstRow="0" w:lastRow="0" w:firstColumn="0" w:lastColumn="0" w:oddVBand="0" w:evenVBand="0" w:oddHBand="0" w:evenHBand="1" w:firstRowFirstColumn="0" w:firstRowLastColumn="0" w:lastRowFirstColumn="0" w:lastRowLastColumn="0"/>
        </w:trPr>
        <w:tc>
          <w:tcPr>
            <w:tcW w:w="2880" w:type="dxa"/>
            <w:tcBorders>
              <w:top w:val="single" w:sz="4" w:space="0" w:color="207BA1" w:themeColor="accent2"/>
              <w:bottom w:val="single" w:sz="4" w:space="0" w:color="207BA1" w:themeColor="accent2"/>
            </w:tcBorders>
            <w:noWrap/>
            <w:hideMark/>
          </w:tcPr>
          <w:p w14:paraId="3551533B" w14:textId="77777777" w:rsidR="009719B0" w:rsidRPr="009719B0" w:rsidRDefault="009719B0" w:rsidP="009719B0">
            <w:pPr>
              <w:pStyle w:val="TableText"/>
              <w:rPr>
                <w:b/>
                <w:bCs/>
              </w:rPr>
            </w:pPr>
            <w:r w:rsidRPr="009719B0">
              <w:rPr>
                <w:b/>
                <w:bCs/>
              </w:rPr>
              <w:t>Vanilla WACC</w:t>
            </w:r>
          </w:p>
        </w:tc>
        <w:tc>
          <w:tcPr>
            <w:tcW w:w="7800" w:type="dxa"/>
            <w:tcBorders>
              <w:top w:val="single" w:sz="4" w:space="0" w:color="207BA1" w:themeColor="accent2"/>
              <w:bottom w:val="single" w:sz="4" w:space="0" w:color="207BA1" w:themeColor="accent2"/>
            </w:tcBorders>
            <w:noWrap/>
            <w:hideMark/>
          </w:tcPr>
          <w:p w14:paraId="0BF2C625" w14:textId="77777777" w:rsidR="009719B0" w:rsidRPr="009719B0" w:rsidRDefault="009719B0" w:rsidP="009719B0">
            <w:pPr>
              <w:pStyle w:val="TableText"/>
              <w:rPr>
                <w:b/>
                <w:bCs/>
              </w:rPr>
            </w:pPr>
          </w:p>
        </w:tc>
        <w:tc>
          <w:tcPr>
            <w:tcW w:w="2000" w:type="dxa"/>
            <w:tcBorders>
              <w:top w:val="single" w:sz="4" w:space="0" w:color="207BA1" w:themeColor="accent2"/>
              <w:bottom w:val="single" w:sz="4" w:space="0" w:color="207BA1" w:themeColor="accent2"/>
            </w:tcBorders>
            <w:noWrap/>
            <w:hideMark/>
          </w:tcPr>
          <w:p w14:paraId="7BA82665" w14:textId="7E88B82E" w:rsidR="009719B0" w:rsidRPr="009719B0" w:rsidRDefault="009719B0" w:rsidP="009719B0">
            <w:pPr>
              <w:pStyle w:val="TableText"/>
              <w:jc w:val="center"/>
              <w:rPr>
                <w:b/>
                <w:bCs/>
              </w:rPr>
            </w:pPr>
            <w:r w:rsidRPr="009719B0">
              <w:rPr>
                <w:b/>
                <w:bCs/>
              </w:rPr>
              <w:t>8.</w:t>
            </w:r>
            <w:r w:rsidR="004D7713">
              <w:rPr>
                <w:b/>
                <w:bCs/>
              </w:rPr>
              <w:t>49</w:t>
            </w:r>
            <w:r w:rsidRPr="009719B0">
              <w:rPr>
                <w:b/>
                <w:bCs/>
              </w:rPr>
              <w:t>%</w:t>
            </w:r>
          </w:p>
        </w:tc>
      </w:tr>
    </w:tbl>
    <w:p w14:paraId="472C5DBB" w14:textId="7564A918" w:rsidR="009719B0" w:rsidRPr="00885B0A" w:rsidRDefault="009719B0">
      <w:pPr>
        <w:pStyle w:val="Source"/>
      </w:pPr>
      <w:r w:rsidRPr="00885B0A">
        <w:t xml:space="preserve">Source: </w:t>
      </w:r>
      <w:r>
        <w:t>Frontier Economics.</w:t>
      </w:r>
    </w:p>
    <w:p w14:paraId="33DB1466" w14:textId="68E3E67D" w:rsidR="00B15742" w:rsidRPr="009D43E8" w:rsidRDefault="00C34F8E" w:rsidP="004845C9">
      <w:pPr>
        <w:pStyle w:val="Heading3"/>
      </w:pPr>
      <w:r>
        <w:t>Projected cash</w:t>
      </w:r>
      <w:r w:rsidR="00AD635D">
        <w:t xml:space="preserve"> </w:t>
      </w:r>
      <w:r>
        <w:t>flow growth assumptions</w:t>
      </w:r>
    </w:p>
    <w:p w14:paraId="5595CF0F" w14:textId="479B9451" w:rsidR="00B15742" w:rsidRDefault="007307B4" w:rsidP="00B15742">
      <w:pPr>
        <w:pStyle w:val="BodyText"/>
        <w:rPr>
          <w:lang w:eastAsia="en-AU"/>
        </w:rPr>
      </w:pPr>
      <w:r>
        <w:rPr>
          <w:lang w:eastAsia="en-AU"/>
        </w:rPr>
        <w:t>In publications to date, t</w:t>
      </w:r>
      <w:r w:rsidR="00624FF8">
        <w:rPr>
          <w:lang w:eastAsia="en-AU"/>
        </w:rPr>
        <w:t xml:space="preserve">he ACMA </w:t>
      </w:r>
      <w:r>
        <w:rPr>
          <w:lang w:eastAsia="en-AU"/>
        </w:rPr>
        <w:t>has</w:t>
      </w:r>
      <w:r w:rsidR="00624FF8">
        <w:rPr>
          <w:lang w:eastAsia="en-AU"/>
        </w:rPr>
        <w:t xml:space="preserve"> used cash</w:t>
      </w:r>
      <w:r w:rsidR="0022475A">
        <w:rPr>
          <w:lang w:eastAsia="en-AU"/>
        </w:rPr>
        <w:t xml:space="preserve"> </w:t>
      </w:r>
      <w:r w:rsidR="00624FF8">
        <w:rPr>
          <w:lang w:eastAsia="en-AU"/>
        </w:rPr>
        <w:t>flow growth assumptions of 2.5%</w:t>
      </w:r>
      <w:r>
        <w:rPr>
          <w:lang w:eastAsia="en-AU"/>
        </w:rPr>
        <w:t xml:space="preserve"> to make adjustments to licence values. T</w:t>
      </w:r>
      <w:r w:rsidR="00B15742">
        <w:rPr>
          <w:lang w:eastAsia="en-AU"/>
        </w:rPr>
        <w:t xml:space="preserve">he ACMA appears to base the current 2.5% on </w:t>
      </w:r>
      <w:r w:rsidR="00126BF3">
        <w:rPr>
          <w:lang w:eastAsia="en-AU"/>
        </w:rPr>
        <w:t>“</w:t>
      </w:r>
      <w:r w:rsidR="00B15742">
        <w:rPr>
          <w:lang w:eastAsia="en-AU"/>
        </w:rPr>
        <w:t>expected long-term population growth; expected mobile penetration; expected growth in the average revenue per user (ARPU); and expected growth in mobile data applications.” (Digital dividend, 700MHz spectrum)</w:t>
      </w:r>
      <w:r w:rsidR="00876C9A">
        <w:rPr>
          <w:lang w:eastAsia="en-AU"/>
        </w:rPr>
        <w:t>.</w:t>
      </w:r>
    </w:p>
    <w:p w14:paraId="3F84C4CB" w14:textId="448CD67A" w:rsidR="0094449C" w:rsidRPr="0094449C" w:rsidRDefault="007D328A" w:rsidP="0094449C">
      <w:pPr>
        <w:pStyle w:val="BodyText"/>
        <w:rPr>
          <w:lang w:eastAsia="en-AU"/>
        </w:rPr>
      </w:pPr>
      <w:r>
        <w:rPr>
          <w:lang w:eastAsia="en-AU"/>
        </w:rPr>
        <w:lastRenderedPageBreak/>
        <w:t>In thinking about cash</w:t>
      </w:r>
      <w:r w:rsidR="002C184C">
        <w:rPr>
          <w:lang w:eastAsia="en-AU"/>
        </w:rPr>
        <w:t xml:space="preserve"> </w:t>
      </w:r>
      <w:r>
        <w:rPr>
          <w:lang w:eastAsia="en-AU"/>
        </w:rPr>
        <w:t xml:space="preserve">flow growth, it is first relevant to consider what kind of cash flow that would be relevant to a purchaser of a spectrum licence. </w:t>
      </w:r>
      <w:r w:rsidR="0094449C" w:rsidRPr="0094449C">
        <w:rPr>
          <w:lang w:eastAsia="en-AU"/>
        </w:rPr>
        <w:t xml:space="preserve">In a competitive </w:t>
      </w:r>
      <w:r w:rsidR="00AA195B">
        <w:rPr>
          <w:lang w:eastAsia="en-AU"/>
        </w:rPr>
        <w:t>setting</w:t>
      </w:r>
      <w:r w:rsidR="0094449C" w:rsidRPr="0094449C">
        <w:rPr>
          <w:lang w:eastAsia="en-AU"/>
        </w:rPr>
        <w:t>, bidders would rationally bid up to the present value of the ‘excess cash flow’ that would be generated by ownership of the licence.  To explain this concept, first note that the holder could use the licence to generate a series of revenues from customers in each year of the licence period.  Those revenues would first need to be sufficient to cover the operating costs and capital costs incurred by the license holder (not including the licence fee yet), to cover any taxes, and to provide a fair return on capital invested commensurate with the risk involved.  That is, there is a series of annual revenues that would be just sufficient to make the licen</w:t>
      </w:r>
      <w:r w:rsidR="00512B9D">
        <w:rPr>
          <w:lang w:eastAsia="en-AU"/>
        </w:rPr>
        <w:t>c</w:t>
      </w:r>
      <w:r w:rsidR="0094449C" w:rsidRPr="0094449C">
        <w:rPr>
          <w:lang w:eastAsia="en-AU"/>
        </w:rPr>
        <w:t>e holder whole – just enough to cover all costs including capital costs (</w:t>
      </w:r>
      <w:proofErr w:type="spellStart"/>
      <w:r w:rsidR="0094449C" w:rsidRPr="0094449C">
        <w:rPr>
          <w:lang w:eastAsia="en-AU"/>
        </w:rPr>
        <w:t>ex licence</w:t>
      </w:r>
      <w:proofErr w:type="spellEnd"/>
      <w:r w:rsidR="0094449C" w:rsidRPr="0094449C">
        <w:rPr>
          <w:lang w:eastAsia="en-AU"/>
        </w:rPr>
        <w:t xml:space="preserve"> fee) and a fair return on capital.  Define these to be the ‘base cash flows.’  </w:t>
      </w:r>
    </w:p>
    <w:p w14:paraId="637E6C65" w14:textId="77777777" w:rsidR="0094449C" w:rsidRPr="0094449C" w:rsidRDefault="0094449C" w:rsidP="0094449C">
      <w:pPr>
        <w:pStyle w:val="BodyText"/>
        <w:rPr>
          <w:lang w:eastAsia="en-AU"/>
        </w:rPr>
      </w:pPr>
      <w:r w:rsidRPr="0094449C">
        <w:rPr>
          <w:lang w:eastAsia="en-AU"/>
        </w:rPr>
        <w:t>Any cash flows beyond what is required to make the licence holder whole are ‘excess cash flows.’  A bidder for the spectrum licence would rationally be prepared to pay up to the present value of those ‘excess cash flows.’  In that case, the bidder would be just made whole in total in that the revenues that can be generated by the licence are just sufficient to cover all operating costs, taxes, capital costs (including the purchase of the licence) and provide a fair return on capital invested.</w:t>
      </w:r>
    </w:p>
    <w:p w14:paraId="2174720C" w14:textId="73A638AC" w:rsidR="00D16880" w:rsidRDefault="00365E77" w:rsidP="001A4D2E">
      <w:pPr>
        <w:pStyle w:val="BodyText"/>
        <w:rPr>
          <w:lang w:eastAsia="en-AU"/>
        </w:rPr>
      </w:pPr>
      <w:r>
        <w:rPr>
          <w:lang w:eastAsia="en-AU"/>
        </w:rPr>
        <w:t>It follows that t</w:t>
      </w:r>
      <w:r w:rsidR="00212562">
        <w:rPr>
          <w:lang w:eastAsia="en-AU"/>
        </w:rPr>
        <w:t xml:space="preserve">he path of </w:t>
      </w:r>
      <w:r w:rsidR="00886E3A">
        <w:rPr>
          <w:lang w:eastAsia="en-AU"/>
        </w:rPr>
        <w:t>excess cash flows</w:t>
      </w:r>
      <w:r w:rsidR="00212562">
        <w:rPr>
          <w:lang w:eastAsia="en-AU"/>
        </w:rPr>
        <w:t xml:space="preserve"> over time is therefore likely to track revenue and </w:t>
      </w:r>
      <w:r w:rsidR="000D2C7A">
        <w:rPr>
          <w:lang w:eastAsia="en-AU"/>
        </w:rPr>
        <w:t>operating</w:t>
      </w:r>
      <w:r w:rsidR="00212562">
        <w:rPr>
          <w:lang w:eastAsia="en-AU"/>
        </w:rPr>
        <w:t xml:space="preserve"> costs</w:t>
      </w:r>
      <w:r w:rsidR="000D2C7A">
        <w:rPr>
          <w:lang w:eastAsia="en-AU"/>
        </w:rPr>
        <w:t xml:space="preserve"> in the short term, and revenue and total costs in the longer term.</w:t>
      </w:r>
      <w:r w:rsidR="00EF5F9F">
        <w:rPr>
          <w:lang w:eastAsia="en-AU"/>
        </w:rPr>
        <w:t xml:space="preserve"> </w:t>
      </w:r>
    </w:p>
    <w:p w14:paraId="6CC702E1" w14:textId="4A2BF605" w:rsidR="00E66BD1" w:rsidRDefault="00A35319" w:rsidP="001A4D2E">
      <w:pPr>
        <w:pStyle w:val="BodyText"/>
        <w:rPr>
          <w:lang w:eastAsia="en-AU"/>
        </w:rPr>
      </w:pPr>
      <w:r>
        <w:rPr>
          <w:lang w:eastAsia="en-AU"/>
        </w:rPr>
        <w:t xml:space="preserve">Two proxies for </w:t>
      </w:r>
      <w:r w:rsidR="00400FF2">
        <w:rPr>
          <w:lang w:eastAsia="en-AU"/>
        </w:rPr>
        <w:t>measuring the growth in</w:t>
      </w:r>
      <w:r>
        <w:rPr>
          <w:lang w:eastAsia="en-AU"/>
        </w:rPr>
        <w:t xml:space="preserve"> excess cash flow are free cash flow and EBITDA. Both have the advantage that they are common financial metrics with </w:t>
      </w:r>
      <w:r w:rsidR="00E66BD1">
        <w:rPr>
          <w:lang w:eastAsia="en-AU"/>
        </w:rPr>
        <w:t>well understood definitions</w:t>
      </w:r>
      <w:r w:rsidR="00005208">
        <w:rPr>
          <w:lang w:eastAsia="en-AU"/>
        </w:rPr>
        <w:t>:</w:t>
      </w:r>
      <w:r w:rsidR="00692A14">
        <w:rPr>
          <w:lang w:eastAsia="en-AU"/>
        </w:rPr>
        <w:t xml:space="preserve"> </w:t>
      </w:r>
    </w:p>
    <w:p w14:paraId="22075945" w14:textId="313631E2" w:rsidR="00E66BD1" w:rsidRDefault="00E66BD1" w:rsidP="000223AA">
      <w:pPr>
        <w:pStyle w:val="ListBullet"/>
      </w:pPr>
      <w:r>
        <w:t>Free cash flows</w:t>
      </w:r>
      <w:r w:rsidR="000223AA">
        <w:t xml:space="preserve"> (ex any payments for licence fees)</w:t>
      </w:r>
      <w:r>
        <w:t xml:space="preserve"> has the advantage that it accounts for both revenues and all kinds of costs incurred by the mobile operator – capital and operating.</w:t>
      </w:r>
      <w:r w:rsidR="0093062B">
        <w:t xml:space="preserve"> The disadvantage of this measure is that </w:t>
      </w:r>
      <w:r w:rsidR="00272A1C">
        <w:t>free cash flow</w:t>
      </w:r>
      <w:r w:rsidR="00335134">
        <w:t xml:space="preserve"> </w:t>
      </w:r>
      <w:r w:rsidR="00272A1C">
        <w:t xml:space="preserve">is </w:t>
      </w:r>
      <w:r w:rsidR="00335134">
        <w:t xml:space="preserve">highly variable </w:t>
      </w:r>
      <w:r w:rsidR="00272A1C">
        <w:t>due to lumpy</w:t>
      </w:r>
      <w:r w:rsidR="00335134">
        <w:t xml:space="preserve"> capital investment</w:t>
      </w:r>
      <w:r w:rsidR="00272A1C">
        <w:t xml:space="preserve">s. As a consequence, </w:t>
      </w:r>
      <w:r w:rsidR="00335134">
        <w:t xml:space="preserve">a reasonably long series of </w:t>
      </w:r>
      <w:r w:rsidR="00272A1C">
        <w:t xml:space="preserve">free </w:t>
      </w:r>
      <w:r w:rsidR="00335134">
        <w:t xml:space="preserve">cash flows </w:t>
      </w:r>
      <w:r w:rsidR="00272A1C">
        <w:t xml:space="preserve">would be required to estimate </w:t>
      </w:r>
      <w:r w:rsidR="002439E1">
        <w:t>cash flow growth</w:t>
      </w:r>
      <w:r w:rsidR="008F7E0D">
        <w:t xml:space="preserve"> accurately</w:t>
      </w:r>
      <w:r w:rsidR="00335134">
        <w:t>.</w:t>
      </w:r>
    </w:p>
    <w:p w14:paraId="4D6A66CF" w14:textId="4A1B6B6F" w:rsidR="001A4D2E" w:rsidRDefault="000223AA" w:rsidP="000223AA">
      <w:pPr>
        <w:pStyle w:val="ListBullet"/>
      </w:pPr>
      <w:r>
        <w:t xml:space="preserve">EBITDA measures revenues </w:t>
      </w:r>
      <w:proofErr w:type="gramStart"/>
      <w:r>
        <w:t>less</w:t>
      </w:r>
      <w:proofErr w:type="gramEnd"/>
      <w:r>
        <w:t xml:space="preserve"> operating costs. </w:t>
      </w:r>
      <w:r w:rsidR="00836869">
        <w:t>As</w:t>
      </w:r>
      <w:r>
        <w:t xml:space="preserve"> </w:t>
      </w:r>
      <w:r w:rsidR="003F72E5">
        <w:t xml:space="preserve">EBITDA is measured before </w:t>
      </w:r>
      <w:r>
        <w:t xml:space="preserve">capital investments, </w:t>
      </w:r>
      <w:r w:rsidR="00836869">
        <w:t>it</w:t>
      </w:r>
      <w:r>
        <w:t xml:space="preserve"> has the advantage of being more stable and predictable.</w:t>
      </w:r>
      <w:r w:rsidR="001A4D2E" w:rsidRPr="001A4D2E">
        <w:t xml:space="preserve"> </w:t>
      </w:r>
      <w:r w:rsidR="003D1C7A">
        <w:t>A downside of EBITDA is that it is</w:t>
      </w:r>
      <w:r w:rsidR="009C57F6">
        <w:t xml:space="preserve"> not clear that EBITDA can be readily obtained and verified for Australian mobile operators over a </w:t>
      </w:r>
      <w:r w:rsidR="003D1C7A">
        <w:t xml:space="preserve">significant </w:t>
      </w:r>
      <w:r w:rsidR="009C57F6">
        <w:t>historical timeframe.</w:t>
      </w:r>
    </w:p>
    <w:p w14:paraId="196C4327" w14:textId="5C406946" w:rsidR="001A4D2E" w:rsidRDefault="003D1C7A" w:rsidP="001A4D2E">
      <w:pPr>
        <w:pStyle w:val="BodyText"/>
        <w:rPr>
          <w:lang w:eastAsia="en-AU"/>
        </w:rPr>
      </w:pPr>
      <w:r>
        <w:rPr>
          <w:lang w:eastAsia="en-AU"/>
        </w:rPr>
        <w:t>Turning back to t</w:t>
      </w:r>
      <w:r w:rsidR="001A4D2E">
        <w:rPr>
          <w:lang w:eastAsia="en-AU"/>
        </w:rPr>
        <w:t xml:space="preserve">he ACMA’s </w:t>
      </w:r>
      <w:r w:rsidR="000F46A9">
        <w:rPr>
          <w:lang w:eastAsia="en-AU"/>
        </w:rPr>
        <w:t xml:space="preserve">current </w:t>
      </w:r>
      <w:r w:rsidR="001A4D2E">
        <w:rPr>
          <w:lang w:eastAsia="en-AU"/>
        </w:rPr>
        <w:t>approach</w:t>
      </w:r>
      <w:r>
        <w:rPr>
          <w:lang w:eastAsia="en-AU"/>
        </w:rPr>
        <w:t>, we can see that it</w:t>
      </w:r>
      <w:r w:rsidR="001A4D2E">
        <w:rPr>
          <w:lang w:eastAsia="en-AU"/>
        </w:rPr>
        <w:t xml:space="preserve"> </w:t>
      </w:r>
      <w:r w:rsidR="00AA1EEF">
        <w:rPr>
          <w:lang w:eastAsia="en-AU"/>
        </w:rPr>
        <w:t xml:space="preserve">takes a slightly different approach to measurement of cash flow growth. The method is essentially </w:t>
      </w:r>
      <w:r w:rsidR="001A4D2E">
        <w:rPr>
          <w:lang w:eastAsia="en-AU"/>
        </w:rPr>
        <w:t xml:space="preserve">a </w:t>
      </w:r>
      <w:r w:rsidR="00AA1EEF">
        <w:rPr>
          <w:lang w:eastAsia="en-AU"/>
        </w:rPr>
        <w:t xml:space="preserve">more structural approach </w:t>
      </w:r>
      <w:r w:rsidR="00A92109">
        <w:rPr>
          <w:lang w:eastAsia="en-AU"/>
        </w:rPr>
        <w:t>using</w:t>
      </w:r>
      <w:r w:rsidR="001A4D2E">
        <w:rPr>
          <w:lang w:eastAsia="en-AU"/>
        </w:rPr>
        <w:t xml:space="preserve"> different features that might be expected to affect </w:t>
      </w:r>
      <w:r w:rsidR="00A92109">
        <w:rPr>
          <w:lang w:eastAsia="en-AU"/>
        </w:rPr>
        <w:t xml:space="preserve">growth in </w:t>
      </w:r>
      <w:r w:rsidR="001A4D2E">
        <w:rPr>
          <w:lang w:eastAsia="en-AU"/>
        </w:rPr>
        <w:t>cash flows.</w:t>
      </w:r>
      <w:r w:rsidR="00C04733">
        <w:rPr>
          <w:lang w:eastAsia="en-AU"/>
        </w:rPr>
        <w:t xml:space="preserve"> Importantly, most of the variables</w:t>
      </w:r>
      <w:r w:rsidR="00680324">
        <w:rPr>
          <w:lang w:eastAsia="en-AU"/>
        </w:rPr>
        <w:t xml:space="preserve"> referred to can be derived from public information.</w:t>
      </w:r>
      <w:r w:rsidR="009C57F6">
        <w:rPr>
          <w:lang w:eastAsia="en-AU"/>
        </w:rPr>
        <w:t xml:space="preserve"> </w:t>
      </w:r>
      <w:r w:rsidR="00BD5B7D">
        <w:rPr>
          <w:lang w:eastAsia="en-AU"/>
        </w:rPr>
        <w:t xml:space="preserve">While it is not clear precisely how the ACMA has developed the 2.5% assumption, we </w:t>
      </w:r>
      <w:r w:rsidR="00CC635A">
        <w:rPr>
          <w:lang w:eastAsia="en-AU"/>
        </w:rPr>
        <w:t>envisage</w:t>
      </w:r>
      <w:r w:rsidR="00BD5B7D">
        <w:rPr>
          <w:lang w:eastAsia="en-AU"/>
        </w:rPr>
        <w:t xml:space="preserve"> that a</w:t>
      </w:r>
      <w:r w:rsidR="009C57F6">
        <w:rPr>
          <w:lang w:eastAsia="en-AU"/>
        </w:rPr>
        <w:t xml:space="preserve"> model </w:t>
      </w:r>
      <w:r w:rsidR="00D06BEA">
        <w:rPr>
          <w:lang w:eastAsia="en-AU"/>
        </w:rPr>
        <w:t xml:space="preserve">of the tilt factor </w:t>
      </w:r>
      <w:r w:rsidR="009C57F6">
        <w:rPr>
          <w:lang w:eastAsia="en-AU"/>
        </w:rPr>
        <w:t>could be developed by estimating the following equation with inputs for population growth</w:t>
      </w:r>
      <w:r w:rsidR="00195751">
        <w:rPr>
          <w:lang w:eastAsia="en-AU"/>
        </w:rPr>
        <w:t>, average revenue per user, and cost inflation.</w:t>
      </w:r>
      <w:r w:rsidR="00C6676D">
        <w:rPr>
          <w:rStyle w:val="FootnoteReference"/>
          <w:lang w:eastAsia="en-AU"/>
        </w:rPr>
        <w:footnoteReference w:id="13"/>
      </w:r>
    </w:p>
    <w:p w14:paraId="2CD1A199" w14:textId="2C1FDDA8" w:rsidR="00322D1B" w:rsidRPr="00195751" w:rsidRDefault="00724FCE" w:rsidP="00B15742">
      <w:pPr>
        <w:pStyle w:val="BodyText"/>
        <w:rPr>
          <w:rFonts w:eastAsiaTheme="minorEastAsia"/>
          <w:lang w:eastAsia="en-AU"/>
        </w:rPr>
      </w:pPr>
      <m:oMathPara>
        <m:oMath>
          <m:d>
            <m:dPr>
              <m:ctrlPr>
                <w:rPr>
                  <w:rFonts w:ascii="Cambria Math" w:hAnsi="Cambria Math"/>
                  <w:lang w:eastAsia="en-AU"/>
                </w:rPr>
              </m:ctrlPr>
            </m:dPr>
            <m:e>
              <m:r>
                <w:rPr>
                  <w:rFonts w:ascii="Cambria Math" w:hAnsi="Cambria Math"/>
                  <w:lang w:eastAsia="en-AU"/>
                </w:rPr>
                <m:t>1+tilt</m:t>
              </m:r>
              <m:ctrlPr>
                <w:rPr>
                  <w:rFonts w:ascii="Cambria Math" w:hAnsi="Cambria Math"/>
                  <w:i/>
                  <w:lang w:eastAsia="en-AU"/>
                </w:rPr>
              </m:ctrlPr>
            </m:e>
          </m:d>
          <m:r>
            <w:rPr>
              <w:rFonts w:ascii="Cambria Math" w:hAnsi="Cambria Math"/>
              <w:lang w:eastAsia="en-AU"/>
            </w:rPr>
            <m:t>=</m:t>
          </m:r>
          <m:d>
            <m:dPr>
              <m:ctrlPr>
                <w:rPr>
                  <w:rFonts w:ascii="Cambria Math" w:hAnsi="Cambria Math"/>
                  <w:lang w:eastAsia="en-AU"/>
                </w:rPr>
              </m:ctrlPr>
            </m:dPr>
            <m:e>
              <m:r>
                <w:rPr>
                  <w:rFonts w:ascii="Cambria Math" w:hAnsi="Cambria Math"/>
                  <w:lang w:eastAsia="en-AU"/>
                </w:rPr>
                <m:t>1+population_growth</m:t>
              </m:r>
              <m:ctrlPr>
                <w:rPr>
                  <w:rFonts w:ascii="Cambria Math" w:hAnsi="Cambria Math"/>
                  <w:i/>
                  <w:lang w:eastAsia="en-AU"/>
                </w:rPr>
              </m:ctrlPr>
            </m:e>
          </m:d>
          <m:r>
            <w:rPr>
              <w:rFonts w:ascii="Cambria Math" w:hAnsi="Cambria Math"/>
              <w:lang w:eastAsia="en-AU"/>
            </w:rPr>
            <m:t>×</m:t>
          </m:r>
          <m:d>
            <m:dPr>
              <m:ctrlPr>
                <w:rPr>
                  <w:rFonts w:ascii="Cambria Math" w:hAnsi="Cambria Math"/>
                  <w:lang w:eastAsia="en-AU"/>
                </w:rPr>
              </m:ctrlPr>
            </m:dPr>
            <m:e>
              <m:r>
                <w:rPr>
                  <w:rFonts w:ascii="Cambria Math" w:hAnsi="Cambria Math"/>
                  <w:lang w:eastAsia="en-AU"/>
                </w:rPr>
                <m:t>1+ARPU_growth</m:t>
              </m:r>
              <m:ctrlPr>
                <w:rPr>
                  <w:rFonts w:ascii="Cambria Math" w:hAnsi="Cambria Math"/>
                  <w:i/>
                  <w:lang w:eastAsia="en-AU"/>
                </w:rPr>
              </m:ctrlPr>
            </m:e>
          </m:d>
          <m:r>
            <w:rPr>
              <w:rFonts w:ascii="Cambria Math" w:hAnsi="Cambria Math"/>
              <w:lang w:eastAsia="en-AU"/>
            </w:rPr>
            <m:t>×</m:t>
          </m:r>
          <m:d>
            <m:dPr>
              <m:ctrlPr>
                <w:rPr>
                  <w:rFonts w:ascii="Cambria Math" w:hAnsi="Cambria Math"/>
                  <w:lang w:eastAsia="en-AU"/>
                </w:rPr>
              </m:ctrlPr>
            </m:dPr>
            <m:e>
              <m:r>
                <w:rPr>
                  <w:rFonts w:ascii="Cambria Math" w:hAnsi="Cambria Math"/>
                  <w:lang w:eastAsia="en-AU"/>
                </w:rPr>
                <m:t>1-cost_inflation</m:t>
              </m:r>
              <m:ctrlPr>
                <w:rPr>
                  <w:rFonts w:ascii="Cambria Math" w:hAnsi="Cambria Math"/>
                  <w:i/>
                  <w:lang w:eastAsia="en-AU"/>
                </w:rPr>
              </m:ctrlPr>
            </m:e>
          </m:d>
        </m:oMath>
      </m:oMathPara>
    </w:p>
    <w:p w14:paraId="5FD46883" w14:textId="51F62946" w:rsidR="00195751" w:rsidRDefault="00195751" w:rsidP="00B15742">
      <w:pPr>
        <w:pStyle w:val="BodyText"/>
        <w:rPr>
          <w:rFonts w:eastAsiaTheme="minorEastAsia"/>
          <w:lang w:eastAsia="en-AU"/>
        </w:rPr>
      </w:pPr>
      <w:r>
        <w:rPr>
          <w:rFonts w:eastAsiaTheme="minorEastAsia"/>
          <w:lang w:eastAsia="en-AU"/>
        </w:rPr>
        <w:t>With respect to these inputs:</w:t>
      </w:r>
    </w:p>
    <w:p w14:paraId="464856C4" w14:textId="38D24337" w:rsidR="00195751" w:rsidRDefault="00195751" w:rsidP="00195751">
      <w:pPr>
        <w:pStyle w:val="ListBullet"/>
      </w:pPr>
      <w:r>
        <w:t>Historic and forecast population growth</w:t>
      </w:r>
      <w:r w:rsidR="000C3CAC">
        <w:t xml:space="preserve"> are </w:t>
      </w:r>
      <w:r w:rsidR="006D0F5C">
        <w:t>readily available from the ABS</w:t>
      </w:r>
    </w:p>
    <w:p w14:paraId="15ED5172" w14:textId="0FD34D5F" w:rsidR="006D0F5C" w:rsidRDefault="006D0F5C" w:rsidP="00195751">
      <w:pPr>
        <w:pStyle w:val="ListBullet"/>
      </w:pPr>
      <w:r>
        <w:t>ARPU growth is generally easier to track</w:t>
      </w:r>
      <w:r w:rsidR="00EF1220">
        <w:t xml:space="preserve"> than growth in cash flow</w:t>
      </w:r>
      <w:r>
        <w:t xml:space="preserve">, as </w:t>
      </w:r>
      <w:r w:rsidR="00EF1220">
        <w:t xml:space="preserve">it is </w:t>
      </w:r>
      <w:r>
        <w:t>a widely used reporting metric for mobile operators</w:t>
      </w:r>
      <w:r w:rsidR="0059651D">
        <w:t xml:space="preserve"> (noting there </w:t>
      </w:r>
      <w:r w:rsidR="00EF1220">
        <w:t xml:space="preserve">while </w:t>
      </w:r>
      <w:r w:rsidR="0059651D">
        <w:t>will be some differences in definitions</w:t>
      </w:r>
      <w:r w:rsidR="00EF1220">
        <w:t xml:space="preserve"> between operators,</w:t>
      </w:r>
      <w:r w:rsidR="0059651D">
        <w:t xml:space="preserve"> the key issue is consistency of </w:t>
      </w:r>
      <w:r w:rsidR="00EF1220">
        <w:t>definition</w:t>
      </w:r>
      <w:r w:rsidR="0059651D">
        <w:t xml:space="preserve"> over time)</w:t>
      </w:r>
    </w:p>
    <w:p w14:paraId="12E09BC8" w14:textId="2A4CA1B5" w:rsidR="0059651D" w:rsidRDefault="0059651D" w:rsidP="00195751">
      <w:pPr>
        <w:pStyle w:val="ListBullet"/>
      </w:pPr>
      <w:r>
        <w:t xml:space="preserve">Cost inflation could be </w:t>
      </w:r>
      <w:r w:rsidR="00840889">
        <w:t>estimated</w:t>
      </w:r>
      <w:r>
        <w:t xml:space="preserve"> through a combination </w:t>
      </w:r>
      <w:r w:rsidR="00840889">
        <w:t xml:space="preserve">of </w:t>
      </w:r>
      <w:r w:rsidR="006811E2">
        <w:t xml:space="preserve">cost </w:t>
      </w:r>
      <w:r w:rsidR="00840889">
        <w:t>input indices from ABS data (wholesale and/or retail)</w:t>
      </w:r>
      <w:r w:rsidR="006811E2">
        <w:t xml:space="preserve"> measuring changes in wages, other operating costs and capital costs</w:t>
      </w:r>
      <w:r w:rsidR="00840889">
        <w:t>.</w:t>
      </w:r>
    </w:p>
    <w:p w14:paraId="5903F097" w14:textId="77777777" w:rsidR="00705451" w:rsidRDefault="00CD5460" w:rsidP="00FC6D12">
      <w:pPr>
        <w:pStyle w:val="BodyText"/>
      </w:pPr>
      <w:r>
        <w:t xml:space="preserve">The inclusion of population growth in the above equation raises the question of whether that </w:t>
      </w:r>
      <w:r w:rsidR="00AC447C">
        <w:t xml:space="preserve">could be ‘double counting’ </w:t>
      </w:r>
      <w:r w:rsidR="00077642">
        <w:t xml:space="preserve">if </w:t>
      </w:r>
      <w:r w:rsidR="00E60D91">
        <w:t>the ACMA will already be taking into account population growth when re-setting the licence value</w:t>
      </w:r>
      <w:r w:rsidR="00AC447C">
        <w:t xml:space="preserve">. </w:t>
      </w:r>
    </w:p>
    <w:p w14:paraId="6F6BD473" w14:textId="2B2E602C" w:rsidR="00705451" w:rsidRDefault="00705451" w:rsidP="00FC6D12">
      <w:pPr>
        <w:pStyle w:val="BodyText"/>
      </w:pPr>
      <w:r>
        <w:t xml:space="preserve">This point may be illustrated using the following example. Suppose that </w:t>
      </w:r>
      <w:r w:rsidR="00143FDF">
        <w:t>we estimate the following</w:t>
      </w:r>
      <w:r w:rsidR="00A31BFE">
        <w:t xml:space="preserve"> for the </w:t>
      </w:r>
      <w:r w:rsidR="008A326D">
        <w:t>ten years between 2018 and 2028</w:t>
      </w:r>
      <w:r w:rsidR="00143FDF">
        <w:t>:</w:t>
      </w:r>
    </w:p>
    <w:p w14:paraId="72FEB75F" w14:textId="5E31499B" w:rsidR="00143FDF" w:rsidRDefault="00A31BFE" w:rsidP="00A31BFE">
      <w:pPr>
        <w:pStyle w:val="ListBullet"/>
      </w:pPr>
      <w:r>
        <w:t xml:space="preserve">Population growth </w:t>
      </w:r>
      <w:r w:rsidR="008A326D">
        <w:tab/>
      </w:r>
      <w:r w:rsidR="008A326D">
        <w:tab/>
      </w:r>
      <w:r>
        <w:t>1.</w:t>
      </w:r>
      <w:r w:rsidR="00ED3A50">
        <w:t>4</w:t>
      </w:r>
      <w:r>
        <w:t>%</w:t>
      </w:r>
    </w:p>
    <w:p w14:paraId="324167AE" w14:textId="45254E6C" w:rsidR="00A31BFE" w:rsidRDefault="00A31BFE" w:rsidP="00A31BFE">
      <w:pPr>
        <w:pStyle w:val="ListBullet"/>
      </w:pPr>
      <w:r>
        <w:lastRenderedPageBreak/>
        <w:t xml:space="preserve">ARPU growth </w:t>
      </w:r>
      <w:r w:rsidR="008A326D">
        <w:tab/>
      </w:r>
      <w:r w:rsidR="008A326D">
        <w:tab/>
      </w:r>
      <w:r w:rsidR="00ED3A50">
        <w:t>2</w:t>
      </w:r>
      <w:r>
        <w:t>.</w:t>
      </w:r>
      <w:r w:rsidR="00ED3A50">
        <w:t>5</w:t>
      </w:r>
      <w:r>
        <w:t>%</w:t>
      </w:r>
    </w:p>
    <w:p w14:paraId="241D323E" w14:textId="00343EF0" w:rsidR="008A326D" w:rsidRDefault="008A326D" w:rsidP="00290E80">
      <w:pPr>
        <w:pStyle w:val="ListBullet"/>
      </w:pPr>
      <w:r>
        <w:t>Cost inflation</w:t>
      </w:r>
      <w:r>
        <w:tab/>
      </w:r>
      <w:r>
        <w:tab/>
      </w:r>
      <w:r w:rsidR="0082744D">
        <w:t>1</w:t>
      </w:r>
      <w:r w:rsidR="00705D65">
        <w:t>.</w:t>
      </w:r>
      <w:r w:rsidR="0082744D">
        <w:t>5</w:t>
      </w:r>
      <w:r w:rsidR="00705D65">
        <w:t>%</w:t>
      </w:r>
    </w:p>
    <w:p w14:paraId="59802C20" w14:textId="55D03FAC" w:rsidR="007B50DE" w:rsidRDefault="00F7796E" w:rsidP="00FC6D12">
      <w:pPr>
        <w:pStyle w:val="BodyText"/>
      </w:pPr>
      <w:r>
        <w:t>According to the equation above, these inputs</w:t>
      </w:r>
      <w:r w:rsidR="007B50DE">
        <w:t xml:space="preserve"> would product a tilt factor of 2.0%</w:t>
      </w:r>
      <w:r w:rsidR="006A60B9">
        <w:t xml:space="preserve">, and a tilt factor excluding population growth of </w:t>
      </w:r>
      <w:r w:rsidR="00DB2428">
        <w:t>0.6%</w:t>
      </w:r>
      <w:r w:rsidR="007B50DE">
        <w:t>.</w:t>
      </w:r>
    </w:p>
    <w:p w14:paraId="1596CFDB" w14:textId="12485DEE" w:rsidR="002F762C" w:rsidRDefault="00DB2428" w:rsidP="00C20E9D">
      <w:pPr>
        <w:pStyle w:val="BodyText"/>
      </w:pPr>
      <w:r>
        <w:t>For a lump sum figure (e.g. $1,000,000</w:t>
      </w:r>
      <w:r w:rsidR="00A77857">
        <w:t xml:space="preserve"> for 40 MHz), </w:t>
      </w:r>
      <w:r w:rsidR="00C20E9D">
        <w:t>and w</w:t>
      </w:r>
      <w:r w:rsidR="00AC447C">
        <w:t xml:space="preserve">here the tilt factor </w:t>
      </w:r>
      <w:r w:rsidR="0091085C">
        <w:t xml:space="preserve">is </w:t>
      </w:r>
      <w:r w:rsidR="00AC447C">
        <w:t xml:space="preserve">used to adjust </w:t>
      </w:r>
      <w:r w:rsidR="0072070D">
        <w:t xml:space="preserve">a lump sum value </w:t>
      </w:r>
      <w:r w:rsidR="00AC447C">
        <w:t>between time periods</w:t>
      </w:r>
      <w:r w:rsidR="00E60D91">
        <w:t xml:space="preserve">, </w:t>
      </w:r>
      <w:r w:rsidR="00C20E9D">
        <w:t>we would use the tilt factor</w:t>
      </w:r>
      <w:r w:rsidR="0091085C">
        <w:t xml:space="preserve"> includ</w:t>
      </w:r>
      <w:r w:rsidR="00C20E9D">
        <w:t>ing</w:t>
      </w:r>
      <w:r w:rsidR="0091085C">
        <w:t xml:space="preserve"> population growth</w:t>
      </w:r>
      <w:r w:rsidR="00C20E9D">
        <w:t xml:space="preserve">. </w:t>
      </w:r>
      <w:r w:rsidR="00A80556">
        <w:t>While this would result in the lump sum value growing at the tilt factor (i.e. 2.0%), in $/MHz/Pop terms</w:t>
      </w:r>
      <w:r w:rsidR="00D00EAD">
        <w:t xml:space="preserve"> the growth would </w:t>
      </w:r>
      <w:r w:rsidR="005E2813">
        <w:t>only be 0.6%.</w:t>
      </w:r>
    </w:p>
    <w:p w14:paraId="55601AB0" w14:textId="4740EF9E" w:rsidR="007C70B7" w:rsidRDefault="007C70B7">
      <w:pPr>
        <w:pStyle w:val="Caption"/>
        <w:keepNext/>
      </w:pPr>
      <w:bookmarkStart w:id="29" w:name="_Toc170474039"/>
      <w:r w:rsidRPr="00004691">
        <w:t>Table</w:t>
      </w:r>
      <w:r w:rsidRPr="00004691">
        <w:rPr>
          <w:rStyle w:val="Bold"/>
        </w:rPr>
        <w:t xml:space="preserve"> </w:t>
      </w:r>
      <w:r>
        <w:fldChar w:fldCharType="begin"/>
      </w:r>
      <w:r>
        <w:instrText xml:space="preserve"> SEQ Table \* ARABIC </w:instrText>
      </w:r>
      <w:r>
        <w:fldChar w:fldCharType="separate"/>
      </w:r>
      <w:r w:rsidR="00290E80">
        <w:rPr>
          <w:noProof/>
        </w:rPr>
        <w:t>8</w:t>
      </w:r>
      <w:r>
        <w:rPr>
          <w:noProof/>
        </w:rPr>
        <w:fldChar w:fldCharType="end"/>
      </w:r>
      <w:r w:rsidRPr="00004691">
        <w:rPr>
          <w:rStyle w:val="Bold"/>
        </w:rPr>
        <w:t>:</w:t>
      </w:r>
      <w:r w:rsidRPr="00004691">
        <w:t xml:space="preserve"> </w:t>
      </w:r>
      <w:r w:rsidR="00DA58A6">
        <w:t>Example of adjusting tilt factors</w:t>
      </w:r>
      <w:bookmarkEnd w:id="29"/>
    </w:p>
    <w:tbl>
      <w:tblPr>
        <w:tblStyle w:val="FETableStyle"/>
        <w:tblW w:w="5000" w:type="pct"/>
        <w:tblLook w:val="0420" w:firstRow="1" w:lastRow="0" w:firstColumn="0" w:lastColumn="0" w:noHBand="0" w:noVBand="1"/>
      </w:tblPr>
      <w:tblGrid>
        <w:gridCol w:w="1164"/>
        <w:gridCol w:w="1615"/>
        <w:gridCol w:w="1212"/>
        <w:gridCol w:w="2518"/>
        <w:gridCol w:w="2518"/>
      </w:tblGrid>
      <w:tr w:rsidR="007C70B7" w:rsidRPr="007C70B7" w14:paraId="6DEF608B" w14:textId="77777777" w:rsidTr="00290E80">
        <w:trPr>
          <w:cnfStyle w:val="100000000000" w:firstRow="1" w:lastRow="0" w:firstColumn="0" w:lastColumn="0" w:oddVBand="0" w:evenVBand="0" w:oddHBand="0" w:evenHBand="0" w:firstRowFirstColumn="0" w:firstRowLastColumn="0" w:lastRowFirstColumn="0" w:lastRowLastColumn="0"/>
        </w:trPr>
        <w:tc>
          <w:tcPr>
            <w:tcW w:w="1164" w:type="dxa"/>
            <w:noWrap/>
            <w:hideMark/>
          </w:tcPr>
          <w:p w14:paraId="558E8766" w14:textId="77777777" w:rsidR="007C70B7" w:rsidRPr="00290E80" w:rsidRDefault="007C70B7" w:rsidP="00290E80">
            <w:pPr>
              <w:pStyle w:val="TableHeading"/>
              <w:spacing w:beforeLines="20" w:before="48" w:afterLines="20" w:after="48" w:line="240" w:lineRule="auto"/>
            </w:pPr>
            <w:r w:rsidRPr="00290E80">
              <w:t>Year</w:t>
            </w:r>
          </w:p>
        </w:tc>
        <w:tc>
          <w:tcPr>
            <w:tcW w:w="1615" w:type="dxa"/>
            <w:noWrap/>
            <w:hideMark/>
          </w:tcPr>
          <w:p w14:paraId="6DA5F70F" w14:textId="77777777" w:rsidR="007C70B7" w:rsidRDefault="007C70B7" w:rsidP="00DA58A6">
            <w:pPr>
              <w:pStyle w:val="TableHeading"/>
              <w:spacing w:beforeLines="20" w:before="48" w:afterLines="20" w:after="48" w:line="240" w:lineRule="auto"/>
              <w:rPr>
                <w:b w:val="0"/>
              </w:rPr>
            </w:pPr>
            <w:r w:rsidRPr="00290E80">
              <w:t>Population</w:t>
            </w:r>
          </w:p>
          <w:p w14:paraId="57ED41F9" w14:textId="5399E6CE" w:rsidR="00CF35FD" w:rsidRPr="00290E80" w:rsidRDefault="00CF35FD" w:rsidP="00290E80">
            <w:pPr>
              <w:pStyle w:val="TableHeading"/>
              <w:spacing w:beforeLines="20" w:before="48" w:afterLines="20" w:after="48" w:line="240" w:lineRule="auto"/>
            </w:pPr>
            <w:r>
              <w:t>(1.4% growth)</w:t>
            </w:r>
          </w:p>
        </w:tc>
        <w:tc>
          <w:tcPr>
            <w:tcW w:w="1212" w:type="dxa"/>
            <w:noWrap/>
            <w:hideMark/>
          </w:tcPr>
          <w:p w14:paraId="4408D934" w14:textId="77777777" w:rsidR="007C70B7" w:rsidRPr="00290E80" w:rsidRDefault="007C70B7" w:rsidP="00290E80">
            <w:pPr>
              <w:pStyle w:val="TableHeading"/>
              <w:spacing w:beforeLines="20" w:before="48" w:afterLines="20" w:after="48" w:line="240" w:lineRule="auto"/>
            </w:pPr>
            <w:r w:rsidRPr="00290E80">
              <w:t>MHz</w:t>
            </w:r>
          </w:p>
        </w:tc>
        <w:tc>
          <w:tcPr>
            <w:tcW w:w="2518" w:type="dxa"/>
            <w:noWrap/>
            <w:hideMark/>
          </w:tcPr>
          <w:p w14:paraId="22818160" w14:textId="1E7E685B" w:rsidR="00DA58A6" w:rsidRPr="00290E80" w:rsidRDefault="007C70B7" w:rsidP="00290E80">
            <w:pPr>
              <w:pStyle w:val="TableHeading"/>
              <w:spacing w:beforeLines="20" w:before="48" w:afterLines="20" w:after="48" w:line="240" w:lineRule="auto"/>
            </w:pPr>
            <w:r w:rsidRPr="00290E80">
              <w:t>$</w:t>
            </w:r>
            <w:r w:rsidR="00DA58A6">
              <w:t xml:space="preserve"> lump sum</w:t>
            </w:r>
          </w:p>
        </w:tc>
        <w:tc>
          <w:tcPr>
            <w:tcW w:w="2518" w:type="dxa"/>
            <w:noWrap/>
            <w:hideMark/>
          </w:tcPr>
          <w:p w14:paraId="5D4CFF6A" w14:textId="77777777" w:rsidR="007C70B7" w:rsidRPr="00290E80" w:rsidRDefault="007C70B7" w:rsidP="00290E80">
            <w:pPr>
              <w:pStyle w:val="TableHeading"/>
              <w:spacing w:beforeLines="20" w:before="48" w:afterLines="20" w:after="48" w:line="240" w:lineRule="auto"/>
            </w:pPr>
            <w:r w:rsidRPr="00290E80">
              <w:t>$/MHz/pop</w:t>
            </w:r>
          </w:p>
        </w:tc>
      </w:tr>
      <w:tr w:rsidR="007C70B7" w:rsidRPr="007C70B7" w14:paraId="19793905" w14:textId="77777777" w:rsidTr="00290E80">
        <w:tc>
          <w:tcPr>
            <w:tcW w:w="1164" w:type="dxa"/>
            <w:noWrap/>
            <w:hideMark/>
          </w:tcPr>
          <w:p w14:paraId="1357A8F0" w14:textId="77777777" w:rsidR="007C70B7" w:rsidRPr="00290E80" w:rsidRDefault="007C70B7" w:rsidP="00290E80">
            <w:pPr>
              <w:pStyle w:val="TableText"/>
              <w:spacing w:beforeLines="20" w:before="48" w:afterLines="20" w:after="48" w:line="240" w:lineRule="auto"/>
            </w:pPr>
            <w:r w:rsidRPr="00290E80">
              <w:t>2018</w:t>
            </w:r>
          </w:p>
        </w:tc>
        <w:tc>
          <w:tcPr>
            <w:tcW w:w="1615" w:type="dxa"/>
            <w:noWrap/>
            <w:hideMark/>
          </w:tcPr>
          <w:p w14:paraId="24F8BD28" w14:textId="77777777" w:rsidR="007C70B7" w:rsidRPr="00290E80" w:rsidRDefault="007C70B7" w:rsidP="00290E80">
            <w:pPr>
              <w:pStyle w:val="TableText"/>
              <w:spacing w:beforeLines="20" w:before="48" w:afterLines="20" w:after="48" w:line="240" w:lineRule="auto"/>
            </w:pPr>
            <w:r w:rsidRPr="00290E80">
              <w:t>24,500,000</w:t>
            </w:r>
          </w:p>
        </w:tc>
        <w:tc>
          <w:tcPr>
            <w:tcW w:w="1212" w:type="dxa"/>
            <w:noWrap/>
            <w:hideMark/>
          </w:tcPr>
          <w:p w14:paraId="757D6352"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66583F0B" w14:textId="77777777" w:rsidR="007C70B7" w:rsidRPr="00290E80" w:rsidRDefault="007C70B7" w:rsidP="00290E80">
            <w:pPr>
              <w:pStyle w:val="TableText"/>
              <w:spacing w:beforeLines="20" w:before="48" w:afterLines="20" w:after="48" w:line="240" w:lineRule="auto"/>
            </w:pPr>
            <w:r w:rsidRPr="00290E80">
              <w:t>$100,000,000</w:t>
            </w:r>
          </w:p>
        </w:tc>
        <w:tc>
          <w:tcPr>
            <w:tcW w:w="2518" w:type="dxa"/>
            <w:noWrap/>
            <w:hideMark/>
          </w:tcPr>
          <w:p w14:paraId="62776562" w14:textId="77777777" w:rsidR="007C70B7" w:rsidRPr="00290E80" w:rsidRDefault="007C70B7" w:rsidP="00290E80">
            <w:pPr>
              <w:pStyle w:val="TableText"/>
              <w:spacing w:beforeLines="20" w:before="48" w:afterLines="20" w:after="48" w:line="240" w:lineRule="auto"/>
            </w:pPr>
            <w:r w:rsidRPr="00290E80">
              <w:t>$0.102</w:t>
            </w:r>
          </w:p>
        </w:tc>
      </w:tr>
      <w:tr w:rsidR="007C70B7" w:rsidRPr="007C70B7" w14:paraId="5C96B43C" w14:textId="77777777" w:rsidTr="00290E80">
        <w:trPr>
          <w:cnfStyle w:val="000000010000" w:firstRow="0" w:lastRow="0" w:firstColumn="0" w:lastColumn="0" w:oddVBand="0" w:evenVBand="0" w:oddHBand="0" w:evenHBand="1" w:firstRowFirstColumn="0" w:firstRowLastColumn="0" w:lastRowFirstColumn="0" w:lastRowLastColumn="0"/>
        </w:trPr>
        <w:tc>
          <w:tcPr>
            <w:tcW w:w="1164" w:type="dxa"/>
            <w:noWrap/>
            <w:hideMark/>
          </w:tcPr>
          <w:p w14:paraId="5A8D352E" w14:textId="77777777" w:rsidR="007C70B7" w:rsidRPr="00290E80" w:rsidRDefault="007C70B7" w:rsidP="00290E80">
            <w:pPr>
              <w:pStyle w:val="TableText"/>
              <w:spacing w:beforeLines="20" w:before="48" w:afterLines="20" w:after="48" w:line="240" w:lineRule="auto"/>
            </w:pPr>
            <w:r w:rsidRPr="00290E80">
              <w:t>2019</w:t>
            </w:r>
          </w:p>
        </w:tc>
        <w:tc>
          <w:tcPr>
            <w:tcW w:w="1615" w:type="dxa"/>
            <w:noWrap/>
            <w:hideMark/>
          </w:tcPr>
          <w:p w14:paraId="763E00AC" w14:textId="77777777" w:rsidR="007C70B7" w:rsidRPr="00290E80" w:rsidRDefault="007C70B7" w:rsidP="00290E80">
            <w:pPr>
              <w:pStyle w:val="TableText"/>
              <w:spacing w:beforeLines="20" w:before="48" w:afterLines="20" w:after="48" w:line="240" w:lineRule="auto"/>
            </w:pPr>
            <w:r w:rsidRPr="00290E80">
              <w:t>24,843,000</w:t>
            </w:r>
          </w:p>
        </w:tc>
        <w:tc>
          <w:tcPr>
            <w:tcW w:w="1212" w:type="dxa"/>
            <w:noWrap/>
            <w:hideMark/>
          </w:tcPr>
          <w:p w14:paraId="43ACB3F4"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53808004" w14:textId="77777777" w:rsidR="007C70B7" w:rsidRPr="00290E80" w:rsidRDefault="007C70B7" w:rsidP="00290E80">
            <w:pPr>
              <w:pStyle w:val="TableText"/>
              <w:spacing w:beforeLines="20" w:before="48" w:afterLines="20" w:after="48" w:line="240" w:lineRule="auto"/>
            </w:pPr>
            <w:r w:rsidRPr="00290E80">
              <w:t>$102,001,809</w:t>
            </w:r>
          </w:p>
        </w:tc>
        <w:tc>
          <w:tcPr>
            <w:tcW w:w="2518" w:type="dxa"/>
            <w:noWrap/>
            <w:hideMark/>
          </w:tcPr>
          <w:p w14:paraId="03BBF445" w14:textId="77777777" w:rsidR="007C70B7" w:rsidRPr="00290E80" w:rsidRDefault="007C70B7" w:rsidP="00290E80">
            <w:pPr>
              <w:pStyle w:val="TableText"/>
              <w:spacing w:beforeLines="20" w:before="48" w:afterLines="20" w:after="48" w:line="240" w:lineRule="auto"/>
            </w:pPr>
            <w:r w:rsidRPr="00290E80">
              <w:t>$0.103</w:t>
            </w:r>
          </w:p>
        </w:tc>
      </w:tr>
      <w:tr w:rsidR="007C70B7" w:rsidRPr="007C70B7" w14:paraId="20BB0FB6" w14:textId="77777777" w:rsidTr="00290E80">
        <w:tc>
          <w:tcPr>
            <w:tcW w:w="1164" w:type="dxa"/>
            <w:noWrap/>
            <w:hideMark/>
          </w:tcPr>
          <w:p w14:paraId="1C8D5257" w14:textId="77777777" w:rsidR="007C70B7" w:rsidRPr="00290E80" w:rsidRDefault="007C70B7" w:rsidP="00290E80">
            <w:pPr>
              <w:pStyle w:val="TableText"/>
              <w:spacing w:beforeLines="20" w:before="48" w:afterLines="20" w:after="48" w:line="240" w:lineRule="auto"/>
            </w:pPr>
            <w:r w:rsidRPr="00290E80">
              <w:t>2020</w:t>
            </w:r>
          </w:p>
        </w:tc>
        <w:tc>
          <w:tcPr>
            <w:tcW w:w="1615" w:type="dxa"/>
            <w:noWrap/>
            <w:hideMark/>
          </w:tcPr>
          <w:p w14:paraId="749CA6B3" w14:textId="77777777" w:rsidR="007C70B7" w:rsidRPr="00290E80" w:rsidRDefault="007C70B7" w:rsidP="00290E80">
            <w:pPr>
              <w:pStyle w:val="TableText"/>
              <w:spacing w:beforeLines="20" w:before="48" w:afterLines="20" w:after="48" w:line="240" w:lineRule="auto"/>
            </w:pPr>
            <w:r w:rsidRPr="00290E80">
              <w:t>25,190,802</w:t>
            </w:r>
          </w:p>
        </w:tc>
        <w:tc>
          <w:tcPr>
            <w:tcW w:w="1212" w:type="dxa"/>
            <w:noWrap/>
            <w:hideMark/>
          </w:tcPr>
          <w:p w14:paraId="38B40BBA"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6E32AB38" w14:textId="77777777" w:rsidR="007C70B7" w:rsidRPr="00290E80" w:rsidRDefault="007C70B7" w:rsidP="00290E80">
            <w:pPr>
              <w:pStyle w:val="TableText"/>
              <w:spacing w:beforeLines="20" w:before="48" w:afterLines="20" w:after="48" w:line="240" w:lineRule="auto"/>
            </w:pPr>
            <w:r w:rsidRPr="00290E80">
              <w:t>$104,043,690</w:t>
            </w:r>
          </w:p>
        </w:tc>
        <w:tc>
          <w:tcPr>
            <w:tcW w:w="2518" w:type="dxa"/>
            <w:noWrap/>
            <w:hideMark/>
          </w:tcPr>
          <w:p w14:paraId="28DF7C94" w14:textId="77777777" w:rsidR="007C70B7" w:rsidRPr="00290E80" w:rsidRDefault="007C70B7" w:rsidP="00290E80">
            <w:pPr>
              <w:pStyle w:val="TableText"/>
              <w:spacing w:beforeLines="20" w:before="48" w:afterLines="20" w:after="48" w:line="240" w:lineRule="auto"/>
            </w:pPr>
            <w:r w:rsidRPr="00290E80">
              <w:t>$0.103</w:t>
            </w:r>
          </w:p>
        </w:tc>
      </w:tr>
      <w:tr w:rsidR="007C70B7" w:rsidRPr="007C70B7" w14:paraId="1155DA5B" w14:textId="77777777" w:rsidTr="00290E80">
        <w:trPr>
          <w:cnfStyle w:val="000000010000" w:firstRow="0" w:lastRow="0" w:firstColumn="0" w:lastColumn="0" w:oddVBand="0" w:evenVBand="0" w:oddHBand="0" w:evenHBand="1" w:firstRowFirstColumn="0" w:firstRowLastColumn="0" w:lastRowFirstColumn="0" w:lastRowLastColumn="0"/>
        </w:trPr>
        <w:tc>
          <w:tcPr>
            <w:tcW w:w="1164" w:type="dxa"/>
            <w:noWrap/>
            <w:hideMark/>
          </w:tcPr>
          <w:p w14:paraId="435679B5" w14:textId="77777777" w:rsidR="007C70B7" w:rsidRPr="00290E80" w:rsidRDefault="007C70B7" w:rsidP="00290E80">
            <w:pPr>
              <w:pStyle w:val="TableText"/>
              <w:spacing w:beforeLines="20" w:before="48" w:afterLines="20" w:after="48" w:line="240" w:lineRule="auto"/>
            </w:pPr>
            <w:r w:rsidRPr="00290E80">
              <w:t>2021</w:t>
            </w:r>
          </w:p>
        </w:tc>
        <w:tc>
          <w:tcPr>
            <w:tcW w:w="1615" w:type="dxa"/>
            <w:noWrap/>
            <w:hideMark/>
          </w:tcPr>
          <w:p w14:paraId="6787DE42" w14:textId="77777777" w:rsidR="007C70B7" w:rsidRPr="00290E80" w:rsidRDefault="007C70B7" w:rsidP="00290E80">
            <w:pPr>
              <w:pStyle w:val="TableText"/>
              <w:spacing w:beforeLines="20" w:before="48" w:afterLines="20" w:after="48" w:line="240" w:lineRule="auto"/>
            </w:pPr>
            <w:r w:rsidRPr="00290E80">
              <w:t>25,543,473</w:t>
            </w:r>
          </w:p>
        </w:tc>
        <w:tc>
          <w:tcPr>
            <w:tcW w:w="1212" w:type="dxa"/>
            <w:noWrap/>
            <w:hideMark/>
          </w:tcPr>
          <w:p w14:paraId="62666B15"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0E26EE0E" w14:textId="77777777" w:rsidR="007C70B7" w:rsidRPr="00290E80" w:rsidRDefault="007C70B7" w:rsidP="00290E80">
            <w:pPr>
              <w:pStyle w:val="TableText"/>
              <w:spacing w:beforeLines="20" w:before="48" w:afterLines="20" w:after="48" w:line="240" w:lineRule="auto"/>
            </w:pPr>
            <w:r w:rsidRPr="00290E80">
              <w:t>$106,126,446</w:t>
            </w:r>
          </w:p>
        </w:tc>
        <w:tc>
          <w:tcPr>
            <w:tcW w:w="2518" w:type="dxa"/>
            <w:noWrap/>
            <w:hideMark/>
          </w:tcPr>
          <w:p w14:paraId="0687585F" w14:textId="77777777" w:rsidR="007C70B7" w:rsidRPr="00290E80" w:rsidRDefault="007C70B7" w:rsidP="00290E80">
            <w:pPr>
              <w:pStyle w:val="TableText"/>
              <w:spacing w:beforeLines="20" w:before="48" w:afterLines="20" w:after="48" w:line="240" w:lineRule="auto"/>
            </w:pPr>
            <w:r w:rsidRPr="00290E80">
              <w:t>$0.104</w:t>
            </w:r>
          </w:p>
        </w:tc>
      </w:tr>
      <w:tr w:rsidR="007C70B7" w:rsidRPr="007C70B7" w14:paraId="27F177A0" w14:textId="77777777" w:rsidTr="00290E80">
        <w:tc>
          <w:tcPr>
            <w:tcW w:w="1164" w:type="dxa"/>
            <w:noWrap/>
            <w:hideMark/>
          </w:tcPr>
          <w:p w14:paraId="25A67E1F" w14:textId="77777777" w:rsidR="007C70B7" w:rsidRPr="00290E80" w:rsidRDefault="007C70B7" w:rsidP="00290E80">
            <w:pPr>
              <w:pStyle w:val="TableText"/>
              <w:spacing w:beforeLines="20" w:before="48" w:afterLines="20" w:after="48" w:line="240" w:lineRule="auto"/>
            </w:pPr>
            <w:r w:rsidRPr="00290E80">
              <w:t>2022</w:t>
            </w:r>
          </w:p>
        </w:tc>
        <w:tc>
          <w:tcPr>
            <w:tcW w:w="1615" w:type="dxa"/>
            <w:noWrap/>
            <w:hideMark/>
          </w:tcPr>
          <w:p w14:paraId="7F41336A" w14:textId="77777777" w:rsidR="007C70B7" w:rsidRPr="00290E80" w:rsidRDefault="007C70B7" w:rsidP="00290E80">
            <w:pPr>
              <w:pStyle w:val="TableText"/>
              <w:spacing w:beforeLines="20" w:before="48" w:afterLines="20" w:after="48" w:line="240" w:lineRule="auto"/>
            </w:pPr>
            <w:r w:rsidRPr="00290E80">
              <w:t>25,901,082</w:t>
            </w:r>
          </w:p>
        </w:tc>
        <w:tc>
          <w:tcPr>
            <w:tcW w:w="1212" w:type="dxa"/>
            <w:noWrap/>
            <w:hideMark/>
          </w:tcPr>
          <w:p w14:paraId="035E66A4"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5794623D" w14:textId="77777777" w:rsidR="007C70B7" w:rsidRPr="00290E80" w:rsidRDefault="007C70B7" w:rsidP="00290E80">
            <w:pPr>
              <w:pStyle w:val="TableText"/>
              <w:spacing w:beforeLines="20" w:before="48" w:afterLines="20" w:after="48" w:line="240" w:lineRule="auto"/>
            </w:pPr>
            <w:r w:rsidRPr="00290E80">
              <w:t>$108,250,895</w:t>
            </w:r>
          </w:p>
        </w:tc>
        <w:tc>
          <w:tcPr>
            <w:tcW w:w="2518" w:type="dxa"/>
            <w:noWrap/>
            <w:hideMark/>
          </w:tcPr>
          <w:p w14:paraId="7289B4FE" w14:textId="77777777" w:rsidR="007C70B7" w:rsidRPr="00290E80" w:rsidRDefault="007C70B7" w:rsidP="00290E80">
            <w:pPr>
              <w:pStyle w:val="TableText"/>
              <w:spacing w:beforeLines="20" w:before="48" w:afterLines="20" w:after="48" w:line="240" w:lineRule="auto"/>
            </w:pPr>
            <w:r w:rsidRPr="00290E80">
              <w:t>$0.104</w:t>
            </w:r>
          </w:p>
        </w:tc>
      </w:tr>
      <w:tr w:rsidR="007C70B7" w:rsidRPr="007C70B7" w14:paraId="7640114B" w14:textId="77777777" w:rsidTr="00290E80">
        <w:trPr>
          <w:cnfStyle w:val="000000010000" w:firstRow="0" w:lastRow="0" w:firstColumn="0" w:lastColumn="0" w:oddVBand="0" w:evenVBand="0" w:oddHBand="0" w:evenHBand="1" w:firstRowFirstColumn="0" w:firstRowLastColumn="0" w:lastRowFirstColumn="0" w:lastRowLastColumn="0"/>
        </w:trPr>
        <w:tc>
          <w:tcPr>
            <w:tcW w:w="1164" w:type="dxa"/>
            <w:noWrap/>
            <w:hideMark/>
          </w:tcPr>
          <w:p w14:paraId="7586F8A2" w14:textId="77777777" w:rsidR="007C70B7" w:rsidRPr="00290E80" w:rsidRDefault="007C70B7" w:rsidP="00290E80">
            <w:pPr>
              <w:pStyle w:val="TableText"/>
              <w:spacing w:beforeLines="20" w:before="48" w:afterLines="20" w:after="48" w:line="240" w:lineRule="auto"/>
            </w:pPr>
            <w:r w:rsidRPr="00290E80">
              <w:t>2023</w:t>
            </w:r>
          </w:p>
        </w:tc>
        <w:tc>
          <w:tcPr>
            <w:tcW w:w="1615" w:type="dxa"/>
            <w:noWrap/>
            <w:hideMark/>
          </w:tcPr>
          <w:p w14:paraId="55FD51F1" w14:textId="77777777" w:rsidR="007C70B7" w:rsidRPr="00290E80" w:rsidRDefault="007C70B7" w:rsidP="00290E80">
            <w:pPr>
              <w:pStyle w:val="TableText"/>
              <w:spacing w:beforeLines="20" w:before="48" w:afterLines="20" w:after="48" w:line="240" w:lineRule="auto"/>
            </w:pPr>
            <w:r w:rsidRPr="00290E80">
              <w:t>26,263,697</w:t>
            </w:r>
          </w:p>
        </w:tc>
        <w:tc>
          <w:tcPr>
            <w:tcW w:w="1212" w:type="dxa"/>
            <w:noWrap/>
            <w:hideMark/>
          </w:tcPr>
          <w:p w14:paraId="723D6463"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38412200" w14:textId="77777777" w:rsidR="007C70B7" w:rsidRPr="00290E80" w:rsidRDefault="007C70B7" w:rsidP="00290E80">
            <w:pPr>
              <w:pStyle w:val="TableText"/>
              <w:spacing w:beforeLines="20" w:before="48" w:afterLines="20" w:after="48" w:line="240" w:lineRule="auto"/>
            </w:pPr>
            <w:r w:rsidRPr="00290E80">
              <w:t>$110,417,871</w:t>
            </w:r>
          </w:p>
        </w:tc>
        <w:tc>
          <w:tcPr>
            <w:tcW w:w="2518" w:type="dxa"/>
            <w:noWrap/>
            <w:hideMark/>
          </w:tcPr>
          <w:p w14:paraId="35C2338A" w14:textId="77777777" w:rsidR="007C70B7" w:rsidRPr="00290E80" w:rsidRDefault="007C70B7" w:rsidP="00290E80">
            <w:pPr>
              <w:pStyle w:val="TableText"/>
              <w:spacing w:beforeLines="20" w:before="48" w:afterLines="20" w:after="48" w:line="240" w:lineRule="auto"/>
            </w:pPr>
            <w:r w:rsidRPr="00290E80">
              <w:t>$0.105</w:t>
            </w:r>
          </w:p>
        </w:tc>
      </w:tr>
      <w:tr w:rsidR="007C70B7" w:rsidRPr="007C70B7" w14:paraId="65BFEAB8" w14:textId="77777777" w:rsidTr="00290E80">
        <w:tc>
          <w:tcPr>
            <w:tcW w:w="1164" w:type="dxa"/>
            <w:noWrap/>
            <w:hideMark/>
          </w:tcPr>
          <w:p w14:paraId="12E4541F" w14:textId="77777777" w:rsidR="007C70B7" w:rsidRPr="00290E80" w:rsidRDefault="007C70B7" w:rsidP="00290E80">
            <w:pPr>
              <w:pStyle w:val="TableText"/>
              <w:spacing w:beforeLines="20" w:before="48" w:afterLines="20" w:after="48" w:line="240" w:lineRule="auto"/>
            </w:pPr>
            <w:r w:rsidRPr="00290E80">
              <w:t>2024</w:t>
            </w:r>
          </w:p>
        </w:tc>
        <w:tc>
          <w:tcPr>
            <w:tcW w:w="1615" w:type="dxa"/>
            <w:noWrap/>
            <w:hideMark/>
          </w:tcPr>
          <w:p w14:paraId="5C7BF610" w14:textId="77777777" w:rsidR="007C70B7" w:rsidRPr="00290E80" w:rsidRDefault="007C70B7" w:rsidP="00290E80">
            <w:pPr>
              <w:pStyle w:val="TableText"/>
              <w:spacing w:beforeLines="20" w:before="48" w:afterLines="20" w:after="48" w:line="240" w:lineRule="auto"/>
            </w:pPr>
            <w:r w:rsidRPr="00290E80">
              <w:t>26,631,389</w:t>
            </w:r>
          </w:p>
        </w:tc>
        <w:tc>
          <w:tcPr>
            <w:tcW w:w="1212" w:type="dxa"/>
            <w:noWrap/>
            <w:hideMark/>
          </w:tcPr>
          <w:p w14:paraId="1A9BA49F"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60073550" w14:textId="77777777" w:rsidR="007C70B7" w:rsidRPr="00290E80" w:rsidRDefault="007C70B7" w:rsidP="00290E80">
            <w:pPr>
              <w:pStyle w:val="TableText"/>
              <w:spacing w:beforeLines="20" w:before="48" w:afterLines="20" w:after="48" w:line="240" w:lineRule="auto"/>
            </w:pPr>
            <w:r w:rsidRPr="00290E80">
              <w:t>$112,628,226</w:t>
            </w:r>
          </w:p>
        </w:tc>
        <w:tc>
          <w:tcPr>
            <w:tcW w:w="2518" w:type="dxa"/>
            <w:noWrap/>
            <w:hideMark/>
          </w:tcPr>
          <w:p w14:paraId="0F9517D4" w14:textId="77777777" w:rsidR="007C70B7" w:rsidRPr="00290E80" w:rsidRDefault="007C70B7" w:rsidP="00290E80">
            <w:pPr>
              <w:pStyle w:val="TableText"/>
              <w:spacing w:beforeLines="20" w:before="48" w:afterLines="20" w:after="48" w:line="240" w:lineRule="auto"/>
            </w:pPr>
            <w:r w:rsidRPr="00290E80">
              <w:t>$0.106</w:t>
            </w:r>
          </w:p>
        </w:tc>
      </w:tr>
      <w:tr w:rsidR="007C70B7" w:rsidRPr="007C70B7" w14:paraId="4AFBBF6E" w14:textId="77777777" w:rsidTr="00290E80">
        <w:trPr>
          <w:cnfStyle w:val="000000010000" w:firstRow="0" w:lastRow="0" w:firstColumn="0" w:lastColumn="0" w:oddVBand="0" w:evenVBand="0" w:oddHBand="0" w:evenHBand="1" w:firstRowFirstColumn="0" w:firstRowLastColumn="0" w:lastRowFirstColumn="0" w:lastRowLastColumn="0"/>
        </w:trPr>
        <w:tc>
          <w:tcPr>
            <w:tcW w:w="1164" w:type="dxa"/>
            <w:noWrap/>
            <w:hideMark/>
          </w:tcPr>
          <w:p w14:paraId="0E9C725C" w14:textId="77777777" w:rsidR="007C70B7" w:rsidRPr="00290E80" w:rsidRDefault="007C70B7" w:rsidP="00290E80">
            <w:pPr>
              <w:pStyle w:val="TableText"/>
              <w:spacing w:beforeLines="20" w:before="48" w:afterLines="20" w:after="48" w:line="240" w:lineRule="auto"/>
            </w:pPr>
            <w:r w:rsidRPr="00290E80">
              <w:t>2025</w:t>
            </w:r>
          </w:p>
        </w:tc>
        <w:tc>
          <w:tcPr>
            <w:tcW w:w="1615" w:type="dxa"/>
            <w:noWrap/>
            <w:hideMark/>
          </w:tcPr>
          <w:p w14:paraId="22DBDAE9" w14:textId="77777777" w:rsidR="007C70B7" w:rsidRPr="00290E80" w:rsidRDefault="007C70B7" w:rsidP="00290E80">
            <w:pPr>
              <w:pStyle w:val="TableText"/>
              <w:spacing w:beforeLines="20" w:before="48" w:afterLines="20" w:after="48" w:line="240" w:lineRule="auto"/>
            </w:pPr>
            <w:r w:rsidRPr="00290E80">
              <w:t>27,004,228</w:t>
            </w:r>
          </w:p>
        </w:tc>
        <w:tc>
          <w:tcPr>
            <w:tcW w:w="1212" w:type="dxa"/>
            <w:noWrap/>
            <w:hideMark/>
          </w:tcPr>
          <w:p w14:paraId="6769EBEB"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658C76F4" w14:textId="77777777" w:rsidR="007C70B7" w:rsidRPr="00290E80" w:rsidRDefault="007C70B7" w:rsidP="00290E80">
            <w:pPr>
              <w:pStyle w:val="TableText"/>
              <w:spacing w:beforeLines="20" w:before="48" w:afterLines="20" w:after="48" w:line="240" w:lineRule="auto"/>
            </w:pPr>
            <w:r w:rsidRPr="00290E80">
              <w:t>$114,882,828</w:t>
            </w:r>
          </w:p>
        </w:tc>
        <w:tc>
          <w:tcPr>
            <w:tcW w:w="2518" w:type="dxa"/>
            <w:noWrap/>
            <w:hideMark/>
          </w:tcPr>
          <w:p w14:paraId="58BC4DA6" w14:textId="77777777" w:rsidR="007C70B7" w:rsidRPr="00290E80" w:rsidRDefault="007C70B7" w:rsidP="00290E80">
            <w:pPr>
              <w:pStyle w:val="TableText"/>
              <w:spacing w:beforeLines="20" w:before="48" w:afterLines="20" w:after="48" w:line="240" w:lineRule="auto"/>
            </w:pPr>
            <w:r w:rsidRPr="00290E80">
              <w:t>$0.106</w:t>
            </w:r>
          </w:p>
        </w:tc>
      </w:tr>
      <w:tr w:rsidR="007C70B7" w:rsidRPr="007C70B7" w14:paraId="677C900F" w14:textId="77777777" w:rsidTr="00290E80">
        <w:tc>
          <w:tcPr>
            <w:tcW w:w="1164" w:type="dxa"/>
            <w:noWrap/>
            <w:hideMark/>
          </w:tcPr>
          <w:p w14:paraId="36EBCEE8" w14:textId="77777777" w:rsidR="007C70B7" w:rsidRPr="00290E80" w:rsidRDefault="007C70B7" w:rsidP="00290E80">
            <w:pPr>
              <w:pStyle w:val="TableText"/>
              <w:spacing w:beforeLines="20" w:before="48" w:afterLines="20" w:after="48" w:line="240" w:lineRule="auto"/>
            </w:pPr>
            <w:r w:rsidRPr="00290E80">
              <w:t>2026</w:t>
            </w:r>
          </w:p>
        </w:tc>
        <w:tc>
          <w:tcPr>
            <w:tcW w:w="1615" w:type="dxa"/>
            <w:noWrap/>
            <w:hideMark/>
          </w:tcPr>
          <w:p w14:paraId="0F6D5BFF" w14:textId="77777777" w:rsidR="007C70B7" w:rsidRPr="00290E80" w:rsidRDefault="007C70B7" w:rsidP="00290E80">
            <w:pPr>
              <w:pStyle w:val="TableText"/>
              <w:spacing w:beforeLines="20" w:before="48" w:afterLines="20" w:after="48" w:line="240" w:lineRule="auto"/>
            </w:pPr>
            <w:r w:rsidRPr="00290E80">
              <w:t>27,382,287</w:t>
            </w:r>
          </w:p>
        </w:tc>
        <w:tc>
          <w:tcPr>
            <w:tcW w:w="1212" w:type="dxa"/>
            <w:noWrap/>
            <w:hideMark/>
          </w:tcPr>
          <w:p w14:paraId="716F0493"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4B0F6B6B" w14:textId="77777777" w:rsidR="007C70B7" w:rsidRPr="00290E80" w:rsidRDefault="007C70B7" w:rsidP="00290E80">
            <w:pPr>
              <w:pStyle w:val="TableText"/>
              <w:spacing w:beforeLines="20" w:before="48" w:afterLines="20" w:after="48" w:line="240" w:lineRule="auto"/>
            </w:pPr>
            <w:r w:rsidRPr="00290E80">
              <w:t>$117,182,563</w:t>
            </w:r>
          </w:p>
        </w:tc>
        <w:tc>
          <w:tcPr>
            <w:tcW w:w="2518" w:type="dxa"/>
            <w:noWrap/>
            <w:hideMark/>
          </w:tcPr>
          <w:p w14:paraId="2998D6FE" w14:textId="77777777" w:rsidR="007C70B7" w:rsidRPr="00290E80" w:rsidRDefault="007C70B7" w:rsidP="00290E80">
            <w:pPr>
              <w:pStyle w:val="TableText"/>
              <w:spacing w:beforeLines="20" w:before="48" w:afterLines="20" w:after="48" w:line="240" w:lineRule="auto"/>
            </w:pPr>
            <w:r w:rsidRPr="00290E80">
              <w:t>$0.107</w:t>
            </w:r>
          </w:p>
        </w:tc>
      </w:tr>
      <w:tr w:rsidR="007C70B7" w:rsidRPr="007C70B7" w14:paraId="2DA31180" w14:textId="77777777" w:rsidTr="00290E80">
        <w:trPr>
          <w:cnfStyle w:val="000000010000" w:firstRow="0" w:lastRow="0" w:firstColumn="0" w:lastColumn="0" w:oddVBand="0" w:evenVBand="0" w:oddHBand="0" w:evenHBand="1" w:firstRowFirstColumn="0" w:firstRowLastColumn="0" w:lastRowFirstColumn="0" w:lastRowLastColumn="0"/>
        </w:trPr>
        <w:tc>
          <w:tcPr>
            <w:tcW w:w="1164" w:type="dxa"/>
            <w:noWrap/>
            <w:hideMark/>
          </w:tcPr>
          <w:p w14:paraId="30AF7BB9" w14:textId="77777777" w:rsidR="007C70B7" w:rsidRPr="00290E80" w:rsidRDefault="007C70B7" w:rsidP="00290E80">
            <w:pPr>
              <w:pStyle w:val="TableText"/>
              <w:spacing w:beforeLines="20" w:before="48" w:afterLines="20" w:after="48" w:line="240" w:lineRule="auto"/>
            </w:pPr>
            <w:r w:rsidRPr="00290E80">
              <w:t>2027</w:t>
            </w:r>
          </w:p>
        </w:tc>
        <w:tc>
          <w:tcPr>
            <w:tcW w:w="1615" w:type="dxa"/>
            <w:noWrap/>
            <w:hideMark/>
          </w:tcPr>
          <w:p w14:paraId="572A2DBD" w14:textId="77777777" w:rsidR="007C70B7" w:rsidRPr="00290E80" w:rsidRDefault="007C70B7" w:rsidP="00290E80">
            <w:pPr>
              <w:pStyle w:val="TableText"/>
              <w:spacing w:beforeLines="20" w:before="48" w:afterLines="20" w:after="48" w:line="240" w:lineRule="auto"/>
            </w:pPr>
            <w:r w:rsidRPr="00290E80">
              <w:t>27,765,639</w:t>
            </w:r>
          </w:p>
        </w:tc>
        <w:tc>
          <w:tcPr>
            <w:tcW w:w="1212" w:type="dxa"/>
            <w:noWrap/>
            <w:hideMark/>
          </w:tcPr>
          <w:p w14:paraId="08299B15"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3F2F2BED" w14:textId="77777777" w:rsidR="007C70B7" w:rsidRPr="00290E80" w:rsidRDefault="007C70B7" w:rsidP="00290E80">
            <w:pPr>
              <w:pStyle w:val="TableText"/>
              <w:spacing w:beforeLines="20" w:before="48" w:afterLines="20" w:after="48" w:line="240" w:lineRule="auto"/>
            </w:pPr>
            <w:r w:rsidRPr="00290E80">
              <w:t>$119,528,334</w:t>
            </w:r>
          </w:p>
        </w:tc>
        <w:tc>
          <w:tcPr>
            <w:tcW w:w="2518" w:type="dxa"/>
            <w:noWrap/>
            <w:hideMark/>
          </w:tcPr>
          <w:p w14:paraId="0FB4FEE3" w14:textId="77777777" w:rsidR="007C70B7" w:rsidRPr="00290E80" w:rsidRDefault="007C70B7" w:rsidP="00290E80">
            <w:pPr>
              <w:pStyle w:val="TableText"/>
              <w:spacing w:beforeLines="20" w:before="48" w:afterLines="20" w:after="48" w:line="240" w:lineRule="auto"/>
            </w:pPr>
            <w:r w:rsidRPr="00290E80">
              <w:t>$0.108</w:t>
            </w:r>
          </w:p>
        </w:tc>
      </w:tr>
      <w:tr w:rsidR="007C70B7" w:rsidRPr="007C70B7" w14:paraId="056E8D19" w14:textId="77777777" w:rsidTr="00290E80">
        <w:tc>
          <w:tcPr>
            <w:tcW w:w="1164" w:type="dxa"/>
            <w:noWrap/>
            <w:hideMark/>
          </w:tcPr>
          <w:p w14:paraId="63E31677" w14:textId="77777777" w:rsidR="007C70B7" w:rsidRPr="00290E80" w:rsidRDefault="007C70B7" w:rsidP="00290E80">
            <w:pPr>
              <w:pStyle w:val="TableText"/>
              <w:spacing w:beforeLines="20" w:before="48" w:afterLines="20" w:after="48" w:line="240" w:lineRule="auto"/>
            </w:pPr>
            <w:r w:rsidRPr="00290E80">
              <w:t>2028</w:t>
            </w:r>
          </w:p>
        </w:tc>
        <w:tc>
          <w:tcPr>
            <w:tcW w:w="1615" w:type="dxa"/>
            <w:noWrap/>
            <w:hideMark/>
          </w:tcPr>
          <w:p w14:paraId="19E1D190" w14:textId="77777777" w:rsidR="007C70B7" w:rsidRPr="00290E80" w:rsidRDefault="007C70B7" w:rsidP="00290E80">
            <w:pPr>
              <w:pStyle w:val="TableText"/>
              <w:spacing w:beforeLines="20" w:before="48" w:afterLines="20" w:after="48" w:line="240" w:lineRule="auto"/>
            </w:pPr>
            <w:r w:rsidRPr="00290E80">
              <w:t>28,154,358</w:t>
            </w:r>
          </w:p>
        </w:tc>
        <w:tc>
          <w:tcPr>
            <w:tcW w:w="1212" w:type="dxa"/>
            <w:noWrap/>
            <w:hideMark/>
          </w:tcPr>
          <w:p w14:paraId="07313E3C" w14:textId="77777777" w:rsidR="007C70B7" w:rsidRPr="00290E80" w:rsidRDefault="007C70B7" w:rsidP="00290E80">
            <w:pPr>
              <w:pStyle w:val="TableText"/>
              <w:spacing w:beforeLines="20" w:before="48" w:afterLines="20" w:after="48" w:line="240" w:lineRule="auto"/>
            </w:pPr>
            <w:r w:rsidRPr="00290E80">
              <w:t>40</w:t>
            </w:r>
          </w:p>
        </w:tc>
        <w:tc>
          <w:tcPr>
            <w:tcW w:w="2518" w:type="dxa"/>
            <w:noWrap/>
            <w:hideMark/>
          </w:tcPr>
          <w:p w14:paraId="072D2AC3" w14:textId="77777777" w:rsidR="007C70B7" w:rsidRPr="00290E80" w:rsidRDefault="007C70B7" w:rsidP="00290E80">
            <w:pPr>
              <w:pStyle w:val="TableText"/>
              <w:spacing w:beforeLines="20" w:before="48" w:afterLines="20" w:after="48" w:line="240" w:lineRule="auto"/>
            </w:pPr>
            <w:r w:rsidRPr="00290E80">
              <w:t>$121,921,063</w:t>
            </w:r>
          </w:p>
        </w:tc>
        <w:tc>
          <w:tcPr>
            <w:tcW w:w="2518" w:type="dxa"/>
            <w:noWrap/>
            <w:hideMark/>
          </w:tcPr>
          <w:p w14:paraId="6ACE3FB2" w14:textId="77777777" w:rsidR="007C70B7" w:rsidRPr="00290E80" w:rsidRDefault="007C70B7" w:rsidP="00290E80">
            <w:pPr>
              <w:pStyle w:val="TableText"/>
              <w:spacing w:beforeLines="20" w:before="48" w:afterLines="20" w:after="48" w:line="240" w:lineRule="auto"/>
            </w:pPr>
            <w:r w:rsidRPr="00290E80">
              <w:t>$0.108</w:t>
            </w:r>
          </w:p>
        </w:tc>
      </w:tr>
      <w:tr w:rsidR="00A67C2B" w:rsidRPr="007C70B7" w14:paraId="102857B9" w14:textId="77777777" w:rsidTr="00A67C2B">
        <w:trPr>
          <w:cnfStyle w:val="000000010000" w:firstRow="0" w:lastRow="0" w:firstColumn="0" w:lastColumn="0" w:oddVBand="0" w:evenVBand="0" w:oddHBand="0" w:evenHBand="1" w:firstRowFirstColumn="0" w:firstRowLastColumn="0" w:lastRowFirstColumn="0" w:lastRowLastColumn="0"/>
        </w:trPr>
        <w:tc>
          <w:tcPr>
            <w:tcW w:w="3991" w:type="dxa"/>
            <w:gridSpan w:val="3"/>
            <w:noWrap/>
          </w:tcPr>
          <w:p w14:paraId="04B3A345" w14:textId="3E4677AE" w:rsidR="00A67C2B" w:rsidRPr="00290E80" w:rsidRDefault="00A67C2B" w:rsidP="00DA58A6">
            <w:pPr>
              <w:pStyle w:val="TableText"/>
              <w:spacing w:beforeLines="20" w:before="48" w:afterLines="20" w:after="48" w:line="240" w:lineRule="auto"/>
              <w:rPr>
                <w:b/>
                <w:bCs/>
              </w:rPr>
            </w:pPr>
            <w:r w:rsidRPr="00290E80">
              <w:rPr>
                <w:b/>
                <w:bCs/>
              </w:rPr>
              <w:t>CAGR</w:t>
            </w:r>
          </w:p>
        </w:tc>
        <w:tc>
          <w:tcPr>
            <w:tcW w:w="2518" w:type="dxa"/>
            <w:noWrap/>
          </w:tcPr>
          <w:p w14:paraId="7A8B383F" w14:textId="5B03550B" w:rsidR="00A67C2B" w:rsidRPr="00290E80" w:rsidRDefault="00A67C2B" w:rsidP="00DA58A6">
            <w:pPr>
              <w:pStyle w:val="TableText"/>
              <w:spacing w:beforeLines="20" w:before="48" w:afterLines="20" w:after="48" w:line="240" w:lineRule="auto"/>
              <w:rPr>
                <w:b/>
                <w:bCs/>
              </w:rPr>
            </w:pPr>
            <w:r w:rsidRPr="00290E80">
              <w:rPr>
                <w:b/>
                <w:bCs/>
              </w:rPr>
              <w:t>2.0%</w:t>
            </w:r>
          </w:p>
        </w:tc>
        <w:tc>
          <w:tcPr>
            <w:tcW w:w="2518" w:type="dxa"/>
            <w:noWrap/>
          </w:tcPr>
          <w:p w14:paraId="49F9D334" w14:textId="244421D4" w:rsidR="00A67C2B" w:rsidRPr="00290E80" w:rsidRDefault="00A67C2B" w:rsidP="00DA58A6">
            <w:pPr>
              <w:pStyle w:val="TableText"/>
              <w:spacing w:beforeLines="20" w:before="48" w:afterLines="20" w:after="48" w:line="240" w:lineRule="auto"/>
              <w:rPr>
                <w:b/>
                <w:bCs/>
              </w:rPr>
            </w:pPr>
            <w:r w:rsidRPr="00290E80">
              <w:rPr>
                <w:b/>
                <w:bCs/>
              </w:rPr>
              <w:t>0.6%</w:t>
            </w:r>
          </w:p>
        </w:tc>
      </w:tr>
    </w:tbl>
    <w:p w14:paraId="2C86D9F8" w14:textId="3A87DC3D" w:rsidR="007C70B7" w:rsidRPr="00885B0A" w:rsidRDefault="007C70B7">
      <w:pPr>
        <w:pStyle w:val="Source"/>
      </w:pPr>
      <w:r w:rsidRPr="00885B0A">
        <w:t xml:space="preserve">Source: </w:t>
      </w:r>
      <w:r w:rsidR="00DA58A6">
        <w:t>Frontier Economics</w:t>
      </w:r>
    </w:p>
    <w:p w14:paraId="7B076BD5" w14:textId="0EB996E6" w:rsidR="00CF1A86" w:rsidRDefault="00537D94" w:rsidP="00290E80">
      <w:pPr>
        <w:pStyle w:val="BodyText"/>
      </w:pPr>
      <w:r>
        <w:t>It follows that w</w:t>
      </w:r>
      <w:r w:rsidR="00CF1A86">
        <w:t xml:space="preserve">here a $/MHz/Pop value is updated, then </w:t>
      </w:r>
      <w:r w:rsidR="00315654">
        <w:t xml:space="preserve">the rolled forward value should </w:t>
      </w:r>
      <w:r w:rsidR="00A66615">
        <w:t>exclude population growth</w:t>
      </w:r>
      <w:r w:rsidR="009155A7">
        <w:t xml:space="preserve"> so long as </w:t>
      </w:r>
      <w:r w:rsidR="00E17552">
        <w:t xml:space="preserve">an estimate of population growth </w:t>
      </w:r>
      <w:proofErr w:type="gramStart"/>
      <w:r w:rsidR="00E17552">
        <w:t>at</w:t>
      </w:r>
      <w:proofErr w:type="gramEnd"/>
      <w:r w:rsidR="00E17552">
        <w:t xml:space="preserve"> 2028 is used</w:t>
      </w:r>
      <w:r>
        <w:t>, as when the figure is converted into a lump sum</w:t>
      </w:r>
      <w:r w:rsidR="00E17552">
        <w:t xml:space="preserve"> that</w:t>
      </w:r>
      <w:r>
        <w:t xml:space="preserve"> population growth </w:t>
      </w:r>
      <w:r w:rsidR="00310612">
        <w:t xml:space="preserve">will be accounted for, i.e. $0.108 x 40 x </w:t>
      </w:r>
      <w:r w:rsidR="009155A7">
        <w:t>28,154,358 = $121,921,063</w:t>
      </w:r>
      <w:r w:rsidR="005D1F30">
        <w:t>.</w:t>
      </w:r>
    </w:p>
    <w:p w14:paraId="2C79290A" w14:textId="1578FD35" w:rsidR="00FC6D12" w:rsidRDefault="00CF1A86" w:rsidP="00FC6D12">
      <w:pPr>
        <w:pStyle w:val="BodyText"/>
      </w:pPr>
      <w:r>
        <w:t xml:space="preserve">In addition, </w:t>
      </w:r>
      <w:r w:rsidR="0015534D">
        <w:t xml:space="preserve">for making a licence duration adjustment, the tilt factor is used to distribute cash flows </w:t>
      </w:r>
      <w:r w:rsidR="00F338C8">
        <w:t>across the relevant licence period. As licence purchasers will consider all sources of</w:t>
      </w:r>
      <w:r w:rsidR="0007266B">
        <w:t xml:space="preserve"> growth in</w:t>
      </w:r>
      <w:r w:rsidR="00F338C8">
        <w:t xml:space="preserve"> cash flows, we think that the </w:t>
      </w:r>
      <w:r w:rsidR="0007266B">
        <w:t xml:space="preserve">cash flow growth used in the tilt formula should include all cash flow (i.e. not discounted to remove population growth). </w:t>
      </w:r>
    </w:p>
    <w:p w14:paraId="0149D501" w14:textId="552653C5" w:rsidR="00FE3019" w:rsidRDefault="00115B2E" w:rsidP="00FE3019">
      <w:pPr>
        <w:pStyle w:val="Heading2"/>
      </w:pPr>
      <w:bookmarkStart w:id="30" w:name="_Toc170474027"/>
      <w:r>
        <w:t>Rates to use during duration adjustments</w:t>
      </w:r>
      <w:bookmarkEnd w:id="30"/>
    </w:p>
    <w:p w14:paraId="2CB3FFC6" w14:textId="24FA636F" w:rsidR="00DD2DC3" w:rsidRDefault="001E3927" w:rsidP="001E3927">
      <w:pPr>
        <w:pStyle w:val="BodyText"/>
      </w:pPr>
      <w:r>
        <w:t>The ACMA</w:t>
      </w:r>
      <w:r w:rsidR="00035C0C">
        <w:t xml:space="preserve"> further asks</w:t>
      </w:r>
      <w:r w:rsidR="00FC680F">
        <w:t xml:space="preserve"> what its approach should be w</w:t>
      </w:r>
      <w:r w:rsidR="00DD2DC3">
        <w:t>hen analysing prices for older licences used as benchmarks</w:t>
      </w:r>
      <w:r w:rsidR="00FC680F">
        <w:t>; in particular</w:t>
      </w:r>
      <w:r w:rsidR="00DD2DC3">
        <w:t xml:space="preserve">, should </w:t>
      </w:r>
      <w:r w:rsidR="00FC680F">
        <w:t>it</w:t>
      </w:r>
      <w:r w:rsidR="00DD2DC3">
        <w:t xml:space="preserve"> be using historic or current WACC and cash</w:t>
      </w:r>
      <w:r w:rsidR="0022475A">
        <w:t xml:space="preserve"> </w:t>
      </w:r>
      <w:r w:rsidR="00DD2DC3">
        <w:t xml:space="preserve">flow growth inputs for duration adjustments? </w:t>
      </w:r>
    </w:p>
    <w:p w14:paraId="03B56250" w14:textId="0E776E42" w:rsidR="00D95FEE" w:rsidRDefault="001E70C0" w:rsidP="00165BDE">
      <w:pPr>
        <w:pStyle w:val="BodyText"/>
      </w:pPr>
      <w:r>
        <w:rPr>
          <w:lang w:eastAsia="en-AU"/>
        </w:rPr>
        <w:t>With respect to the WACC, w</w:t>
      </w:r>
      <w:r w:rsidR="00DD2DC3">
        <w:rPr>
          <w:lang w:eastAsia="en-AU"/>
        </w:rPr>
        <w:t xml:space="preserve">e </w:t>
      </w:r>
      <w:r>
        <w:rPr>
          <w:lang w:eastAsia="en-AU"/>
        </w:rPr>
        <w:t xml:space="preserve">have </w:t>
      </w:r>
      <w:r w:rsidR="00265D16">
        <w:rPr>
          <w:lang w:eastAsia="en-AU"/>
        </w:rPr>
        <w:t>suggest</w:t>
      </w:r>
      <w:r>
        <w:rPr>
          <w:lang w:eastAsia="en-AU"/>
        </w:rPr>
        <w:t>ed</w:t>
      </w:r>
      <w:r w:rsidR="00DD2DC3">
        <w:rPr>
          <w:lang w:eastAsia="en-AU"/>
        </w:rPr>
        <w:t xml:space="preserve"> that</w:t>
      </w:r>
      <w:r>
        <w:rPr>
          <w:lang w:eastAsia="en-AU"/>
        </w:rPr>
        <w:t xml:space="preserve"> the ACMA use a long-term WACC.</w:t>
      </w:r>
      <w:r w:rsidR="00165BDE">
        <w:rPr>
          <w:lang w:eastAsia="en-AU"/>
        </w:rPr>
        <w:t xml:space="preserve"> </w:t>
      </w:r>
      <w:r>
        <w:t>The approach we sug</w:t>
      </w:r>
      <w:r w:rsidR="00D95247">
        <w:t>gest is not subject to significant movements over time. Therefore, we believe this value could be applied consistently to past and future</w:t>
      </w:r>
      <w:r w:rsidR="00165BDE">
        <w:t xml:space="preserve"> cash</w:t>
      </w:r>
      <w:r w:rsidR="0022475A">
        <w:t xml:space="preserve"> </w:t>
      </w:r>
      <w:r w:rsidR="00165BDE">
        <w:t>flows for Australian mobile operators.</w:t>
      </w:r>
      <w:r w:rsidR="00F328DA">
        <w:rPr>
          <w:rStyle w:val="FootnoteReference"/>
        </w:rPr>
        <w:footnoteReference w:id="14"/>
      </w:r>
      <w:r w:rsidR="00165BDE">
        <w:t xml:space="preserve"> A possible caveat might be to reflect whether licences purchased at a particular point in time were subject to unusual financial conditions </w:t>
      </w:r>
      <w:r w:rsidR="00165BDE" w:rsidRPr="00165BDE">
        <w:lastRenderedPageBreak/>
        <w:t xml:space="preserve">(e.g., GFC or Covid caused significant disruption in financial markets and </w:t>
      </w:r>
      <w:r w:rsidR="001A3954">
        <w:t>some adjustment may be required to long term values to reflect that short term disruption</w:t>
      </w:r>
      <w:r w:rsidR="00165BDE" w:rsidRPr="00165BDE">
        <w:t>.</w:t>
      </w:r>
    </w:p>
    <w:p w14:paraId="18498FD3" w14:textId="77777777" w:rsidR="000537AD" w:rsidRDefault="00CE1D6B" w:rsidP="00165BDE">
      <w:pPr>
        <w:pStyle w:val="BodyText"/>
      </w:pPr>
      <w:r>
        <w:t xml:space="preserve">With respect to cash flows, we suggest that the ACMA construct a series of historic cash flows that could </w:t>
      </w:r>
      <w:proofErr w:type="spellStart"/>
      <w:r>
        <w:t>used</w:t>
      </w:r>
      <w:proofErr w:type="spellEnd"/>
      <w:r>
        <w:t xml:space="preserve"> to (a) provide a baseline for long term growth in cash flows and (b) to make </w:t>
      </w:r>
      <w:r w:rsidR="00BF5176">
        <w:t xml:space="preserve">duration adjustments </w:t>
      </w:r>
      <w:r w:rsidR="00B52D0F">
        <w:t>that would have been more consistent with assumptions at the time when licences were purchased.</w:t>
      </w:r>
      <w:r w:rsidR="006C12DF">
        <w:t xml:space="preserve"> </w:t>
      </w:r>
    </w:p>
    <w:p w14:paraId="6937A458" w14:textId="18439748" w:rsidR="000537AD" w:rsidRDefault="000537AD" w:rsidP="00165BDE">
      <w:pPr>
        <w:pStyle w:val="BodyText"/>
      </w:pPr>
      <w:r>
        <w:t xml:space="preserve">To take an example similar to that already </w:t>
      </w:r>
      <w:r w:rsidR="006C12DF">
        <w:t xml:space="preserve">discussed in section </w:t>
      </w:r>
      <w:r>
        <w:fldChar w:fldCharType="begin"/>
      </w:r>
      <w:r>
        <w:instrText xml:space="preserve"> REF _Ref169861899 \r \h </w:instrText>
      </w:r>
      <w:r>
        <w:fldChar w:fldCharType="separate"/>
      </w:r>
      <w:r w:rsidR="00290E80">
        <w:t>3.1.3</w:t>
      </w:r>
      <w:r>
        <w:fldChar w:fldCharType="end"/>
      </w:r>
      <w:r>
        <w:t>, s</w:t>
      </w:r>
      <w:r w:rsidR="00EC7EE3">
        <w:t xml:space="preserve">uppose </w:t>
      </w:r>
      <w:r>
        <w:t xml:space="preserve">we </w:t>
      </w:r>
      <w:r w:rsidR="00AE2330">
        <w:t xml:space="preserve">have a </w:t>
      </w:r>
      <w:r>
        <w:t xml:space="preserve">value for a </w:t>
      </w:r>
      <w:r w:rsidR="00AE2330">
        <w:t>1</w:t>
      </w:r>
      <w:r w:rsidR="002C184C">
        <w:t>-</w:t>
      </w:r>
      <w:r w:rsidR="00AE2330">
        <w:t xml:space="preserve"> year licence </w:t>
      </w:r>
      <w:r>
        <w:t>purchased</w:t>
      </w:r>
      <w:r w:rsidR="00AE2330">
        <w:t xml:space="preserve"> </w:t>
      </w:r>
      <w:r w:rsidR="00916764">
        <w:t xml:space="preserve">in </w:t>
      </w:r>
      <w:r w:rsidR="00AE2330">
        <w:t xml:space="preserve">2015 </w:t>
      </w:r>
      <w:r>
        <w:t xml:space="preserve">and wish to </w:t>
      </w:r>
      <w:r w:rsidR="00AE2330">
        <w:t xml:space="preserve">convert </w:t>
      </w:r>
      <w:r>
        <w:t xml:space="preserve">this to a </w:t>
      </w:r>
      <w:proofErr w:type="gramStart"/>
      <w:r w:rsidR="00AE2330">
        <w:t>20 year</w:t>
      </w:r>
      <w:proofErr w:type="gramEnd"/>
      <w:r w:rsidR="00AE2330">
        <w:t xml:space="preserve"> licence </w:t>
      </w:r>
      <w:r>
        <w:t xml:space="preserve">commencing </w:t>
      </w:r>
      <w:r w:rsidR="00AE2330">
        <w:t>in 2028.</w:t>
      </w:r>
      <w:r w:rsidR="00EB5DDF">
        <w:t xml:space="preserve"> </w:t>
      </w:r>
      <w:r>
        <w:t>The process would be to:</w:t>
      </w:r>
    </w:p>
    <w:p w14:paraId="3CDC2D83" w14:textId="07FB440A" w:rsidR="001C1594" w:rsidRDefault="001C1594" w:rsidP="000537AD">
      <w:pPr>
        <w:pStyle w:val="ListBullet"/>
      </w:pPr>
      <w:r>
        <w:t xml:space="preserve">Derive </w:t>
      </w:r>
      <w:r w:rsidR="005556F4">
        <w:t>the cash</w:t>
      </w:r>
      <w:r w:rsidR="0022475A">
        <w:t xml:space="preserve"> </w:t>
      </w:r>
      <w:r w:rsidR="005556F4">
        <w:t>flow values</w:t>
      </w:r>
      <w:r>
        <w:t xml:space="preserve"> </w:t>
      </w:r>
      <w:r w:rsidR="004F129F">
        <w:t xml:space="preserve">for the 2015 sale </w:t>
      </w:r>
      <w:r>
        <w:t>using WACC and cash</w:t>
      </w:r>
      <w:r w:rsidR="0022475A">
        <w:t xml:space="preserve"> </w:t>
      </w:r>
      <w:r>
        <w:t>flow growth assumptions</w:t>
      </w:r>
      <w:r w:rsidR="00736906">
        <w:t>.</w:t>
      </w:r>
    </w:p>
    <w:p w14:paraId="257BFB61" w14:textId="0E417D2F" w:rsidR="00CA0491" w:rsidRDefault="001C1594" w:rsidP="000537AD">
      <w:pPr>
        <w:pStyle w:val="ListBullet"/>
      </w:pPr>
      <w:r>
        <w:t>E</w:t>
      </w:r>
      <w:r w:rsidR="005556F4">
        <w:t xml:space="preserve">xtend </w:t>
      </w:r>
      <w:r>
        <w:t xml:space="preserve">the licence duration by calculating another </w:t>
      </w:r>
      <w:r w:rsidR="005556F4">
        <w:t>5 years</w:t>
      </w:r>
      <w:r>
        <w:t xml:space="preserve"> of cash</w:t>
      </w:r>
      <w:r w:rsidR="0022475A">
        <w:t xml:space="preserve"> </w:t>
      </w:r>
      <w:r>
        <w:t xml:space="preserve">flow </w:t>
      </w:r>
      <w:proofErr w:type="gramStart"/>
      <w:r>
        <w:t>growth, and</w:t>
      </w:r>
      <w:proofErr w:type="gramEnd"/>
      <w:r>
        <w:t xml:space="preserve"> then discounting</w:t>
      </w:r>
      <w:r w:rsidR="00A848F6">
        <w:t xml:space="preserve"> to derive a licence value</w:t>
      </w:r>
      <w:r w:rsidR="005556F4">
        <w:t xml:space="preserve">. </w:t>
      </w:r>
    </w:p>
    <w:p w14:paraId="4213154F" w14:textId="7AFC0F76" w:rsidR="00EC7EE3" w:rsidRDefault="00A848F6" w:rsidP="000537AD">
      <w:pPr>
        <w:pStyle w:val="ListBullet"/>
      </w:pPr>
      <w:r>
        <w:t xml:space="preserve">Estimate the </w:t>
      </w:r>
      <w:r w:rsidR="001F0081">
        <w:t xml:space="preserve">updated </w:t>
      </w:r>
      <w:r>
        <w:t xml:space="preserve">licence value by </w:t>
      </w:r>
      <w:r w:rsidR="005556F4">
        <w:t>roll</w:t>
      </w:r>
      <w:r>
        <w:t>ing</w:t>
      </w:r>
      <w:r w:rsidR="005556F4">
        <w:t xml:space="preserve"> forward </w:t>
      </w:r>
      <w:r>
        <w:t xml:space="preserve">using estimated </w:t>
      </w:r>
      <w:r w:rsidR="005556F4">
        <w:t xml:space="preserve">cash flows </w:t>
      </w:r>
      <w:r w:rsidR="006C12DF">
        <w:t>from 201</w:t>
      </w:r>
      <w:r w:rsidR="00736906">
        <w:t>5</w:t>
      </w:r>
      <w:r w:rsidR="006C12DF">
        <w:t xml:space="preserve"> to 2028</w:t>
      </w:r>
      <w:r w:rsidR="006A0E49">
        <w:t xml:space="preserve"> (note: this estimate should ensure the appropriate assumption is made regarding population growth in cash flows)</w:t>
      </w:r>
      <w:r w:rsidR="006C12DF">
        <w:t>.</w:t>
      </w:r>
    </w:p>
    <w:p w14:paraId="56A4FF7C" w14:textId="15801D87" w:rsidR="00DD2DC3" w:rsidRDefault="004C0247" w:rsidP="004C0247">
      <w:pPr>
        <w:pStyle w:val="BodyText"/>
        <w:rPr>
          <w:lang w:eastAsia="en-AU"/>
        </w:rPr>
      </w:pPr>
      <w:r>
        <w:rPr>
          <w:lang w:eastAsia="en-AU"/>
        </w:rPr>
        <w:t xml:space="preserve">This process would require (a) a reasonable estimate of cash flow growth that would have been expected in 2015 and </w:t>
      </w:r>
      <w:r w:rsidR="006B4058">
        <w:rPr>
          <w:lang w:eastAsia="en-AU"/>
        </w:rPr>
        <w:t>(b) a reasonable estimate of cash flow growth that has been experienced since 2015 to 2024 and is likely to arise between 2024 and 2028.</w:t>
      </w:r>
    </w:p>
    <w:p w14:paraId="4C6C13ED" w14:textId="6EF993C4" w:rsidR="00E30E1C" w:rsidRDefault="00E30E1C" w:rsidP="004C0247">
      <w:pPr>
        <w:pStyle w:val="BodyText"/>
        <w:rPr>
          <w:lang w:eastAsia="en-AU"/>
        </w:rPr>
      </w:pPr>
      <w:r>
        <w:rPr>
          <w:lang w:eastAsia="en-AU"/>
        </w:rPr>
        <w:t xml:space="preserve">In our view, it would be beneficial for the ACMA to construct some estimates of cash flow growth extending back for </w:t>
      </w:r>
      <w:r w:rsidR="00CD6306">
        <w:rPr>
          <w:lang w:eastAsia="en-AU"/>
        </w:rPr>
        <w:t>10-20 years</w:t>
      </w:r>
      <w:r w:rsidR="004C7BF0">
        <w:rPr>
          <w:lang w:eastAsia="en-AU"/>
        </w:rPr>
        <w:t>,</w:t>
      </w:r>
      <w:r w:rsidR="00CD6306">
        <w:rPr>
          <w:lang w:eastAsia="en-AU"/>
        </w:rPr>
        <w:t xml:space="preserve"> and then to apply a simple and transparent forecasting methodology to </w:t>
      </w:r>
      <w:r w:rsidR="001F5EFD">
        <w:rPr>
          <w:lang w:eastAsia="en-AU"/>
        </w:rPr>
        <w:t xml:space="preserve">consistently estimate how mobile operators might have foreseen cash flow growth. For example, a 10-year moving average </w:t>
      </w:r>
      <w:r w:rsidR="00A939D9">
        <w:rPr>
          <w:lang w:eastAsia="en-AU"/>
        </w:rPr>
        <w:t>or similar would enable the ACMA to apply different growth rates for different periods of time and provide for stability in estimation.</w:t>
      </w:r>
    </w:p>
    <w:p w14:paraId="63C6E0B2" w14:textId="052E6353" w:rsidR="00115B2E" w:rsidRDefault="00115B2E" w:rsidP="00115B2E">
      <w:pPr>
        <w:pStyle w:val="Heading2"/>
      </w:pPr>
      <w:bookmarkStart w:id="31" w:name="_Toc170474028"/>
      <w:r>
        <w:t>New licence commencement dates</w:t>
      </w:r>
      <w:bookmarkEnd w:id="31"/>
      <w:r w:rsidR="00DD2DC3">
        <w:tab/>
      </w:r>
    </w:p>
    <w:p w14:paraId="12EA2C1E" w14:textId="78E52F44" w:rsidR="00DD2DC3" w:rsidRDefault="000412C4" w:rsidP="00DD2DC3">
      <w:pPr>
        <w:pStyle w:val="BodyText"/>
        <w:rPr>
          <w:lang w:eastAsia="en-AU"/>
        </w:rPr>
      </w:pPr>
      <w:r>
        <w:rPr>
          <w:lang w:eastAsia="en-AU"/>
        </w:rPr>
        <w:t xml:space="preserve">The ACMA’s question is: </w:t>
      </w:r>
      <w:r w:rsidR="00DD2DC3">
        <w:rPr>
          <w:lang w:eastAsia="en-AU"/>
        </w:rPr>
        <w:t>What options should we consider in determining prices for ESLs that reflect the timing of the new licence commencement dates? For example, how do we set a nominal price for a new licence starting in 2028 versus 2032?</w:t>
      </w:r>
    </w:p>
    <w:p w14:paraId="35989070" w14:textId="2333A9A8" w:rsidR="00DD2DC3" w:rsidRDefault="00DD2DC3" w:rsidP="00DD2DC3">
      <w:pPr>
        <w:pStyle w:val="BodyText"/>
        <w:rPr>
          <w:lang w:eastAsia="en-AU"/>
        </w:rPr>
      </w:pPr>
      <w:r>
        <w:rPr>
          <w:lang w:eastAsia="en-AU"/>
        </w:rPr>
        <w:t xml:space="preserve">We understand that this question is about, assuming all licences have the same length, whether there should be differences in licence prices depending on the starting period. Our initial view is that one should look for the best contemporary evidence to inform the value of the licence. That would mean reflecting differences in nominal prices if: </w:t>
      </w:r>
    </w:p>
    <w:p w14:paraId="38E9DF6C" w14:textId="37C19C13" w:rsidR="00DD2DC3" w:rsidRDefault="00B57E30" w:rsidP="00B57E30">
      <w:pPr>
        <w:pStyle w:val="ListBullet"/>
      </w:pPr>
      <w:r>
        <w:t>E</w:t>
      </w:r>
      <w:r w:rsidR="00DD2DC3">
        <w:t>arnings in the future become more or less valuable due to risk and the time value of money; and</w:t>
      </w:r>
    </w:p>
    <w:p w14:paraId="7F2CF7B0" w14:textId="4200B5CC" w:rsidR="00DD2DC3" w:rsidRDefault="00DD2DC3" w:rsidP="00B57E30">
      <w:pPr>
        <w:pStyle w:val="ListBullet"/>
      </w:pPr>
      <w:r>
        <w:t>Earnings in the future increase or decrease through changes in inflation, larger markets, higher WTP etc.</w:t>
      </w:r>
    </w:p>
    <w:p w14:paraId="6FF84B3A" w14:textId="69B4AEEB" w:rsidR="000438F1" w:rsidRDefault="000438F1" w:rsidP="00DD2DC3">
      <w:pPr>
        <w:pStyle w:val="BodyText"/>
        <w:rPr>
          <w:lang w:eastAsia="en-AU"/>
        </w:rPr>
      </w:pPr>
      <w:r>
        <w:rPr>
          <w:lang w:eastAsia="en-AU"/>
        </w:rPr>
        <w:t>It follows from our previous analysis that:</w:t>
      </w:r>
    </w:p>
    <w:p w14:paraId="240830BE" w14:textId="7BFA3304" w:rsidR="000438F1" w:rsidRDefault="000438F1" w:rsidP="000438F1">
      <w:pPr>
        <w:pStyle w:val="ListBullet"/>
      </w:pPr>
      <w:r>
        <w:t>The WACC used by</w:t>
      </w:r>
      <w:r w:rsidR="006C3269">
        <w:t xml:space="preserve"> mobile</w:t>
      </w:r>
      <w:r>
        <w:t xml:space="preserve"> operators </w:t>
      </w:r>
      <w:r w:rsidR="00A14E6E">
        <w:t xml:space="preserve">for the purposes of valuing licences </w:t>
      </w:r>
      <w:r>
        <w:t xml:space="preserve">is likely to be </w:t>
      </w:r>
      <w:r w:rsidR="006C3269">
        <w:t xml:space="preserve">relatively </w:t>
      </w:r>
      <w:r>
        <w:t xml:space="preserve">stable and reflected in the long-term WACC estimate which we recommend the ACMA uses. </w:t>
      </w:r>
      <w:r w:rsidR="00417603">
        <w:t xml:space="preserve">We therefore </w:t>
      </w:r>
      <w:r w:rsidR="00AE49DF">
        <w:t>recommend that</w:t>
      </w:r>
      <w:r w:rsidR="00417603">
        <w:t xml:space="preserve"> a </w:t>
      </w:r>
      <w:r w:rsidR="00AE49DF">
        <w:t>the same</w:t>
      </w:r>
      <w:r w:rsidR="00417603">
        <w:t xml:space="preserve"> WACC </w:t>
      </w:r>
      <w:r w:rsidR="00AE49DF">
        <w:t xml:space="preserve">estimate </w:t>
      </w:r>
      <w:r w:rsidR="00417603">
        <w:t>should be used</w:t>
      </w:r>
      <w:r w:rsidR="00AE49DF">
        <w:t xml:space="preserve"> historically and for future periods. </w:t>
      </w:r>
    </w:p>
    <w:p w14:paraId="10D081F2" w14:textId="163BE937" w:rsidR="000438F1" w:rsidRDefault="00B0760C" w:rsidP="000438F1">
      <w:pPr>
        <w:pStyle w:val="ListBullet"/>
      </w:pPr>
      <w:r>
        <w:t>Other things equal, the value of licences will differ over time periods by the expected cash flows that can be earned from the licence. Therefore, the difference in values between 2028 and 2032 or other intermediate periods should reflect the ACMA’s best available estimate of cash flow growth in these periods.</w:t>
      </w:r>
    </w:p>
    <w:p w14:paraId="61612F46" w14:textId="08F2D995" w:rsidR="00A60EA5" w:rsidRDefault="00A60EA5" w:rsidP="00A60EA5">
      <w:pPr>
        <w:pStyle w:val="Heading2"/>
      </w:pPr>
      <w:bookmarkStart w:id="32" w:name="_Toc170474029"/>
      <w:r>
        <w:t>Other considerations</w:t>
      </w:r>
      <w:bookmarkEnd w:id="32"/>
      <w:r w:rsidR="00DD2DC3">
        <w:tab/>
      </w:r>
    </w:p>
    <w:p w14:paraId="3981AE7F" w14:textId="57D6AABE" w:rsidR="00DD2DC3" w:rsidRDefault="00DD2DC3" w:rsidP="00DD2DC3">
      <w:pPr>
        <w:pStyle w:val="BodyText"/>
        <w:rPr>
          <w:lang w:eastAsia="en-AU"/>
        </w:rPr>
      </w:pPr>
      <w:r>
        <w:rPr>
          <w:lang w:eastAsia="en-AU"/>
        </w:rPr>
        <w:t>Are there other considerations that we should be mindful of when adjusting and comparing international benchmarks for estimating the value of particular spectrum licences/bands?</w:t>
      </w:r>
    </w:p>
    <w:p w14:paraId="57C65902" w14:textId="0D26C0C0" w:rsidR="00D34796" w:rsidRDefault="008F522D" w:rsidP="00DD2DC3">
      <w:pPr>
        <w:pStyle w:val="BodyText"/>
        <w:rPr>
          <w:lang w:eastAsia="en-AU"/>
        </w:rPr>
      </w:pPr>
      <w:r w:rsidRPr="008F522D">
        <w:rPr>
          <w:lang w:eastAsia="en-AU"/>
        </w:rPr>
        <w:lastRenderedPageBreak/>
        <w:t>In developing our analysis and recommendations, we have given further consideration to literature on approaches to benchmarking and standardisation of benchmarks</w:t>
      </w:r>
      <w:r w:rsidR="00364A81">
        <w:rPr>
          <w:lang w:eastAsia="en-AU"/>
        </w:rPr>
        <w:t xml:space="preserve">. </w:t>
      </w:r>
      <w:r w:rsidR="00EA22F1">
        <w:rPr>
          <w:lang w:eastAsia="en-AU"/>
        </w:rPr>
        <w:t xml:space="preserve">There is relatively little literature that bears on the ACMA’s decisions, and our </w:t>
      </w:r>
      <w:r w:rsidR="00364A81">
        <w:rPr>
          <w:lang w:eastAsia="en-AU"/>
        </w:rPr>
        <w:t>review highlighted that jurisdictions have developed many different approaches to matters such as licence duration extensions and adjustments</w:t>
      </w:r>
      <w:r w:rsidR="00EA22F1">
        <w:rPr>
          <w:lang w:eastAsia="en-AU"/>
        </w:rPr>
        <w:t xml:space="preserve">. The most apposite study </w:t>
      </w:r>
      <w:r w:rsidR="00364A81">
        <w:rPr>
          <w:lang w:eastAsia="en-AU"/>
        </w:rPr>
        <w:t>is highlighted in</w:t>
      </w:r>
      <w:r w:rsidRPr="008F522D">
        <w:rPr>
          <w:lang w:eastAsia="en-AU"/>
        </w:rPr>
        <w:t xml:space="preserve"> </w:t>
      </w:r>
      <w:r>
        <w:rPr>
          <w:lang w:eastAsia="en-AU"/>
        </w:rPr>
        <w:fldChar w:fldCharType="begin"/>
      </w:r>
      <w:r>
        <w:rPr>
          <w:lang w:eastAsia="en-AU"/>
        </w:rPr>
        <w:instrText xml:space="preserve"> REF _Ref48547613 \r \h </w:instrText>
      </w:r>
      <w:r>
        <w:rPr>
          <w:lang w:eastAsia="en-AU"/>
        </w:rPr>
      </w:r>
      <w:r>
        <w:rPr>
          <w:lang w:eastAsia="en-AU"/>
        </w:rPr>
        <w:fldChar w:fldCharType="separate"/>
      </w:r>
      <w:r w:rsidR="00290E80">
        <w:rPr>
          <w:lang w:eastAsia="en-AU"/>
        </w:rPr>
        <w:t>Box 1</w:t>
      </w:r>
      <w:r>
        <w:rPr>
          <w:lang w:eastAsia="en-AU"/>
        </w:rPr>
        <w:fldChar w:fldCharType="end"/>
      </w:r>
      <w:r w:rsidR="00B0760C">
        <w:rPr>
          <w:lang w:eastAsia="en-AU"/>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284" w:type="dxa"/>
          <w:right w:w="284" w:type="dxa"/>
        </w:tblCellMar>
        <w:tblLook w:val="04A0" w:firstRow="1" w:lastRow="0" w:firstColumn="1" w:lastColumn="0" w:noHBand="0" w:noVBand="1"/>
      </w:tblPr>
      <w:tblGrid>
        <w:gridCol w:w="9027"/>
      </w:tblGrid>
      <w:tr w:rsidR="00B965B1" w14:paraId="6A3272E0" w14:textId="77777777">
        <w:trPr>
          <w:cnfStyle w:val="100000000000" w:firstRow="1" w:lastRow="0" w:firstColumn="0" w:lastColumn="0" w:oddVBand="0" w:evenVBand="0" w:oddHBand="0" w:evenHBand="0" w:firstRowFirstColumn="0" w:firstRowLastColumn="0" w:lastRowFirstColumn="0" w:lastRowLastColumn="0"/>
          <w:trHeight w:hRule="exact" w:val="284"/>
          <w:jc w:val="center"/>
        </w:trPr>
        <w:tc>
          <w:tcPr>
            <w:tcW w:w="9350" w:type="dxa"/>
            <w:vAlign w:val="bottom"/>
          </w:tcPr>
          <w:p w14:paraId="159AAED9" w14:textId="77777777" w:rsidR="00B965B1" w:rsidRDefault="00B965B1">
            <w:pPr>
              <w:pStyle w:val="CalloutBoxcaption"/>
              <w:keepNext/>
              <w:numPr>
                <w:ilvl w:val="0"/>
                <w:numId w:val="0"/>
              </w:numPr>
            </w:pPr>
          </w:p>
        </w:tc>
      </w:tr>
      <w:tr w:rsidR="00B965B1" w14:paraId="0B9577B5" w14:textId="77777777">
        <w:trPr>
          <w:jc w:val="center"/>
        </w:trPr>
        <w:tc>
          <w:tcPr>
            <w:tcW w:w="9350" w:type="dxa"/>
            <w:shd w:val="clear" w:color="auto" w:fill="F2F2F2" w:themeFill="background1" w:themeFillShade="F2"/>
            <w:vAlign w:val="bottom"/>
          </w:tcPr>
          <w:p w14:paraId="2C6DF67C" w14:textId="7884C0D2" w:rsidR="00B965B1" w:rsidRDefault="00B965B1" w:rsidP="00B965B1">
            <w:pPr>
              <w:pStyle w:val="BoxHeading1"/>
            </w:pPr>
            <w:bookmarkStart w:id="33" w:name="_Ref48547613"/>
            <w:bookmarkStart w:id="34" w:name="_Toc170474046"/>
            <w:r>
              <w:rPr>
                <w:rStyle w:val="BodyTextChar"/>
              </w:rPr>
              <w:t xml:space="preserve">: </w:t>
            </w:r>
            <w:bookmarkEnd w:id="33"/>
            <w:proofErr w:type="spellStart"/>
            <w:r w:rsidR="008E64F7">
              <w:rPr>
                <w:rStyle w:val="BodyTextChar"/>
              </w:rPr>
              <w:t>Dotecon</w:t>
            </w:r>
            <w:proofErr w:type="spellEnd"/>
            <w:r w:rsidR="008E64F7">
              <w:rPr>
                <w:rStyle w:val="BodyTextChar"/>
              </w:rPr>
              <w:t xml:space="preserve"> for Ofcom</w:t>
            </w:r>
            <w:bookmarkEnd w:id="34"/>
          </w:p>
          <w:p w14:paraId="2C2ADD09" w14:textId="77A6AA3B" w:rsidR="008F522D" w:rsidRDefault="008E64F7" w:rsidP="008F522D">
            <w:pPr>
              <w:pStyle w:val="BodyText"/>
            </w:pPr>
            <w:r>
              <w:t>C</w:t>
            </w:r>
            <w:r w:rsidR="00B0760C">
              <w:t xml:space="preserve">onsultants </w:t>
            </w:r>
            <w:proofErr w:type="spellStart"/>
            <w:r w:rsidR="008F522D">
              <w:t>Dotecon</w:t>
            </w:r>
            <w:proofErr w:type="spellEnd"/>
            <w:r w:rsidR="00B0760C">
              <w:t xml:space="preserve"> were</w:t>
            </w:r>
            <w:r w:rsidR="008F522D">
              <w:t xml:space="preserve"> engaged by Ofcom to collect evidence to assist Ofcom to establish the market value of 900 MHz and 1800 MHz spectrum in the UK. This included review of spectrum awards in different frequency bands and jurisdictions. Of most relevance, </w:t>
            </w:r>
            <w:proofErr w:type="spellStart"/>
            <w:r w:rsidR="008F522D">
              <w:t>Dotecon</w:t>
            </w:r>
            <w:proofErr w:type="spellEnd"/>
            <w:r w:rsidR="008F522D">
              <w:t xml:space="preserve"> sets out a methodology for adjusting for differences in licence duration so that all prices are for a common 20</w:t>
            </w:r>
            <w:r w:rsidR="002C184C">
              <w:t>-</w:t>
            </w:r>
            <w:r w:rsidR="008F522D">
              <w:t xml:space="preserve">year basis, expressed in base year 2013 prices. </w:t>
            </w:r>
            <w:proofErr w:type="spellStart"/>
            <w:r w:rsidR="008F522D">
              <w:t>Dotecon</w:t>
            </w:r>
            <w:proofErr w:type="spellEnd"/>
            <w:r w:rsidR="008F522D">
              <w:t xml:space="preserve"> indicates that the following steps were undertaken:</w:t>
            </w:r>
          </w:p>
          <w:p w14:paraId="036E6A6E" w14:textId="220A714A" w:rsidR="008F522D" w:rsidRDefault="008F522D" w:rsidP="008E64F7">
            <w:pPr>
              <w:pStyle w:val="ListBullet"/>
            </w:pPr>
            <w:r>
              <w:t>Adjust for duration based on an equal monthly profit stream (note, this means that the effective assumption is a flat annuity, not a tilted annuity) using a nominal, pre-tax WACC as used by Ofcom in the modelling of call termination.</w:t>
            </w:r>
            <w:r w:rsidR="00973E4B">
              <w:t xml:space="preserve"> Results are also reported using a post-tax WACC</w:t>
            </w:r>
            <w:r w:rsidR="00530D7C">
              <w:t>, perhaps indicating some uncertainty as to the appropriate approach</w:t>
            </w:r>
            <w:r w:rsidR="00973E4B">
              <w:t>.</w:t>
            </w:r>
            <w:r w:rsidR="00590CE8">
              <w:t xml:space="preserve"> As we have argued in this paper, we think a post-tax WACC should have been </w:t>
            </w:r>
            <w:r w:rsidR="00973E4B">
              <w:t>preferred</w:t>
            </w:r>
            <w:r w:rsidR="00590CE8">
              <w:t>.</w:t>
            </w:r>
          </w:p>
          <w:p w14:paraId="3DF5AE5D" w14:textId="77777777" w:rsidR="008F522D" w:rsidRDefault="008F522D" w:rsidP="008E64F7">
            <w:pPr>
              <w:pStyle w:val="ListBullet"/>
            </w:pPr>
            <w:r>
              <w:t>Conversions from foreign currency use PPP, involving a USD conversion, and then prices in nominal US dollar were adjusted to US inflation using CPI to convert to 2013 terms</w:t>
            </w:r>
          </w:p>
          <w:p w14:paraId="152F0CAA" w14:textId="77777777" w:rsidR="008F522D" w:rsidRDefault="008F522D" w:rsidP="008E64F7">
            <w:pPr>
              <w:pStyle w:val="ListBullet"/>
            </w:pPr>
            <w:r>
              <w:t>Prices were then converted to GBP using a PPP rate for 2013 extrapolated from historical rates.</w:t>
            </w:r>
          </w:p>
          <w:p w14:paraId="11EA7C35" w14:textId="4905984B" w:rsidR="008F522D" w:rsidRDefault="008F522D" w:rsidP="008E64F7">
            <w:pPr>
              <w:pStyle w:val="BodyText"/>
            </w:pPr>
            <w:proofErr w:type="spellStart"/>
            <w:r>
              <w:t>Dotecon</w:t>
            </w:r>
            <w:proofErr w:type="spellEnd"/>
            <w:r>
              <w:t xml:space="preserve"> also notes that it would be preferable to use the operator-specific and country-specific WACC in order to calculate the discounted stream of annual fees, but that such information may not be generally available.</w:t>
            </w:r>
          </w:p>
          <w:p w14:paraId="37A33783" w14:textId="30938A22" w:rsidR="00B965B1" w:rsidRPr="003506EA" w:rsidRDefault="00B965B1" w:rsidP="00A508DA">
            <w:pPr>
              <w:pStyle w:val="Source"/>
            </w:pPr>
            <w:r w:rsidRPr="00465E13">
              <w:t>Source</w:t>
            </w:r>
            <w:r w:rsidR="00A508DA">
              <w:t xml:space="preserve"> </w:t>
            </w:r>
            <w:proofErr w:type="spellStart"/>
            <w:r w:rsidR="008F522D" w:rsidRPr="008F522D">
              <w:t>Dotecon</w:t>
            </w:r>
            <w:proofErr w:type="spellEnd"/>
            <w:r w:rsidR="008F522D" w:rsidRPr="008F522D">
              <w:t>, International benchmarking of 900MHz and 1800MHz spectrum value - September 2013</w:t>
            </w:r>
          </w:p>
        </w:tc>
      </w:tr>
      <w:tr w:rsidR="00B965B1" w14:paraId="1B5CC763" w14:textId="77777777">
        <w:trPr>
          <w:trHeight w:hRule="exact" w:val="284"/>
          <w:jc w:val="center"/>
        </w:trPr>
        <w:tc>
          <w:tcPr>
            <w:tcW w:w="9350" w:type="dxa"/>
            <w:shd w:val="clear" w:color="auto" w:fill="F2F2F2" w:themeFill="background1" w:themeFillShade="F2"/>
            <w:vAlign w:val="bottom"/>
          </w:tcPr>
          <w:p w14:paraId="001E0970" w14:textId="77777777" w:rsidR="00B965B1" w:rsidRDefault="00B965B1">
            <w:pPr>
              <w:pStyle w:val="CalloutBoxcaption"/>
              <w:numPr>
                <w:ilvl w:val="0"/>
                <w:numId w:val="0"/>
              </w:numPr>
            </w:pPr>
          </w:p>
        </w:tc>
      </w:tr>
    </w:tbl>
    <w:p w14:paraId="6B24BB70" w14:textId="77777777" w:rsidR="00B965B1" w:rsidRDefault="00B965B1" w:rsidP="00DD2DC3">
      <w:pPr>
        <w:pStyle w:val="BodyText"/>
        <w:rPr>
          <w:lang w:eastAsia="en-AU"/>
        </w:rPr>
      </w:pPr>
    </w:p>
    <w:p w14:paraId="47DC8194" w14:textId="77777777" w:rsidR="00AD64DC" w:rsidRPr="00033B21" w:rsidRDefault="00AD64DC" w:rsidP="00DD2DC3">
      <w:pPr>
        <w:pStyle w:val="BodyText"/>
        <w:rPr>
          <w:lang w:eastAsia="en-AU"/>
        </w:rPr>
      </w:pPr>
    </w:p>
    <w:p w14:paraId="73227F08" w14:textId="77777777" w:rsidR="00562841" w:rsidRDefault="00B25AC7" w:rsidP="00297A3A">
      <w:pPr>
        <w:pStyle w:val="AppendixHead"/>
      </w:pPr>
      <w:bookmarkStart w:id="35" w:name="_Ref169158097"/>
      <w:bookmarkStart w:id="36" w:name="_Toc170474030"/>
      <w:r>
        <w:lastRenderedPageBreak/>
        <w:t>Equivalence of after-tax</w:t>
      </w:r>
      <w:r w:rsidR="008F7C7F">
        <w:t xml:space="preserve"> </w:t>
      </w:r>
      <w:r w:rsidR="000A1333">
        <w:t>and vanilla WACC methods</w:t>
      </w:r>
      <w:bookmarkEnd w:id="35"/>
      <w:bookmarkEnd w:id="36"/>
    </w:p>
    <w:p w14:paraId="7B9CF02B" w14:textId="37B5EDA2" w:rsidR="00995258" w:rsidRDefault="00FB6972" w:rsidP="00562841">
      <w:pPr>
        <w:pStyle w:val="BodyText"/>
        <w:rPr>
          <w:lang w:eastAsia="en-AU"/>
        </w:rPr>
      </w:pPr>
      <w:r>
        <w:rPr>
          <w:lang w:eastAsia="en-AU"/>
        </w:rPr>
        <w:t xml:space="preserve">To demonstrate the equivalence of the </w:t>
      </w:r>
      <w:r w:rsidR="00CC7EB0">
        <w:rPr>
          <w:lang w:eastAsia="en-AU"/>
        </w:rPr>
        <w:t xml:space="preserve">after-tax and vanilla WACC methods, we </w:t>
      </w:r>
      <w:r w:rsidR="00347092">
        <w:rPr>
          <w:lang w:eastAsia="en-AU"/>
        </w:rPr>
        <w:t xml:space="preserve">use the simple worked example set out in the </w:t>
      </w:r>
      <w:r w:rsidR="003A4089">
        <w:rPr>
          <w:lang w:eastAsia="en-AU"/>
        </w:rPr>
        <w:t>market-leading textbook by Berk and DeMarzo.</w:t>
      </w:r>
      <w:r w:rsidR="003A4089">
        <w:rPr>
          <w:rStyle w:val="FootnoteReference"/>
          <w:lang w:eastAsia="en-AU"/>
        </w:rPr>
        <w:footnoteReference w:id="15"/>
      </w:r>
      <w:r w:rsidR="0011683F">
        <w:rPr>
          <w:lang w:eastAsia="en-AU"/>
        </w:rPr>
        <w:t xml:space="preserve">  </w:t>
      </w:r>
    </w:p>
    <w:p w14:paraId="16FEF1F8" w14:textId="5F36998E" w:rsidR="00562841" w:rsidRPr="00562841" w:rsidRDefault="0011683F" w:rsidP="00562841">
      <w:pPr>
        <w:pStyle w:val="BodyText"/>
        <w:rPr>
          <w:lang w:eastAsia="en-AU"/>
        </w:rPr>
      </w:pPr>
      <w:r>
        <w:rPr>
          <w:lang w:eastAsia="en-AU"/>
        </w:rPr>
        <w:t>That example</w:t>
      </w:r>
      <w:r w:rsidR="00AE293F">
        <w:rPr>
          <w:lang w:eastAsia="en-AU"/>
        </w:rPr>
        <w:t xml:space="preserve"> considers the case where the </w:t>
      </w:r>
      <w:r w:rsidR="00CD1204">
        <w:rPr>
          <w:lang w:eastAsia="en-AU"/>
        </w:rPr>
        <w:t xml:space="preserve">classic </w:t>
      </w:r>
      <w:r w:rsidR="00AE293F">
        <w:rPr>
          <w:lang w:eastAsia="en-AU"/>
        </w:rPr>
        <w:t>after-tax WACC is:</w:t>
      </w:r>
    </w:p>
    <w:p w14:paraId="75A4E09A" w14:textId="0DA6DAEB" w:rsidR="00AE293F" w:rsidRDefault="00825DA0" w:rsidP="00562841">
      <w:pPr>
        <w:pStyle w:val="BodyText"/>
        <w:rPr>
          <w:lang w:eastAsia="en-AU"/>
        </w:rPr>
      </w:pPr>
      <m:oMathPara>
        <m:oMath>
          <m:r>
            <w:rPr>
              <w:rFonts w:ascii="Cambria Math" w:hAnsi="Cambria Math"/>
              <w:lang w:eastAsia="en-AU"/>
            </w:rPr>
            <m:t>WAC</m:t>
          </m:r>
          <m:sSub>
            <m:sSubPr>
              <m:ctrlPr>
                <w:rPr>
                  <w:rFonts w:ascii="Cambria Math" w:hAnsi="Cambria Math"/>
                  <w:i/>
                  <w:lang w:eastAsia="en-AU"/>
                </w:rPr>
              </m:ctrlPr>
            </m:sSubPr>
            <m:e>
              <m:r>
                <w:rPr>
                  <w:rFonts w:ascii="Cambria Math" w:hAnsi="Cambria Math"/>
                  <w:lang w:eastAsia="en-AU"/>
                </w:rPr>
                <m:t>C</m:t>
              </m:r>
            </m:e>
            <m:sub>
              <m:r>
                <w:rPr>
                  <w:rFonts w:ascii="Cambria Math" w:hAnsi="Cambria Math"/>
                  <w:lang w:eastAsia="en-AU"/>
                </w:rPr>
                <m:t>classic</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e</m:t>
              </m:r>
            </m:sub>
          </m:sSub>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d>
            <m:dPr>
              <m:ctrlPr>
                <w:rPr>
                  <w:rFonts w:ascii="Cambria Math" w:hAnsi="Cambria Math"/>
                  <w:i/>
                  <w:lang w:eastAsia="en-AU"/>
                </w:rPr>
              </m:ctrlPr>
            </m:dPr>
            <m:e>
              <m:r>
                <w:rPr>
                  <w:rFonts w:ascii="Cambria Math" w:hAnsi="Cambria Math"/>
                  <w:lang w:eastAsia="en-AU"/>
                </w:rPr>
                <m:t>1-T</m:t>
              </m:r>
            </m:e>
          </m:d>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=10%×0.5+6%</m:t>
          </m:r>
          <m:d>
            <m:dPr>
              <m:ctrlPr>
                <w:rPr>
                  <w:rFonts w:ascii="Cambria Math" w:hAnsi="Cambria Math"/>
                  <w:i/>
                  <w:lang w:eastAsia="en-AU"/>
                </w:rPr>
              </m:ctrlPr>
            </m:dPr>
            <m:e>
              <m:r>
                <w:rPr>
                  <w:rFonts w:ascii="Cambria Math" w:hAnsi="Cambria Math"/>
                  <w:lang w:eastAsia="en-AU"/>
                </w:rPr>
                <m:t>1-25%</m:t>
              </m:r>
            </m:e>
          </m:d>
          <m:r>
            <w:rPr>
              <w:rFonts w:ascii="Cambria Math" w:hAnsi="Cambria Math"/>
              <w:lang w:eastAsia="en-AU"/>
            </w:rPr>
            <m:t xml:space="preserve">×0.5=7.25%, </m:t>
          </m:r>
        </m:oMath>
      </m:oMathPara>
    </w:p>
    <w:p w14:paraId="51496DC7" w14:textId="77777777" w:rsidR="004B030D" w:rsidRDefault="004B030D" w:rsidP="004B030D">
      <w:pPr>
        <w:pStyle w:val="BodyText"/>
        <w:rPr>
          <w:lang w:eastAsia="en-AU"/>
        </w:rPr>
      </w:pPr>
      <w:r>
        <w:rPr>
          <w:lang w:eastAsia="en-AU"/>
        </w:rPr>
        <w:t>and where the vanilla WACC is:</w:t>
      </w:r>
    </w:p>
    <w:p w14:paraId="61D5B3DB" w14:textId="7D2E976F" w:rsidR="004B030D" w:rsidRDefault="003F3B55" w:rsidP="004B030D">
      <w:pPr>
        <w:pStyle w:val="BodyText"/>
        <w:rPr>
          <w:lang w:eastAsia="en-AU"/>
        </w:rPr>
      </w:pPr>
      <m:oMathPara>
        <m:oMath>
          <m:r>
            <w:rPr>
              <w:rFonts w:ascii="Cambria Math" w:hAnsi="Cambria Math"/>
              <w:lang w:eastAsia="en-AU"/>
            </w:rPr>
            <m:t>WAC</m:t>
          </m:r>
          <m:sSub>
            <m:sSubPr>
              <m:ctrlPr>
                <w:rPr>
                  <w:rFonts w:ascii="Cambria Math" w:hAnsi="Cambria Math"/>
                  <w:i/>
                  <w:lang w:eastAsia="en-AU"/>
                </w:rPr>
              </m:ctrlPr>
            </m:sSubPr>
            <m:e>
              <m:r>
                <w:rPr>
                  <w:rFonts w:ascii="Cambria Math" w:hAnsi="Cambria Math"/>
                  <w:lang w:eastAsia="en-AU"/>
                </w:rPr>
                <m:t>C</m:t>
              </m:r>
            </m:e>
            <m:sub>
              <m:r>
                <w:rPr>
                  <w:rFonts w:ascii="Cambria Math" w:hAnsi="Cambria Math"/>
                  <w:lang w:eastAsia="en-AU"/>
                </w:rPr>
                <m:t>vanilla</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e</m:t>
              </m:r>
            </m:sub>
          </m:sSub>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m:t>
              </m:r>
            </m:sub>
          </m:sSub>
          <m:f>
            <m:fPr>
              <m:ctrlPr>
                <w:rPr>
                  <w:rFonts w:ascii="Cambria Math" w:hAnsi="Cambria Math"/>
                  <w:i/>
                  <w:lang w:eastAsia="en-AU"/>
                </w:rPr>
              </m:ctrlPr>
            </m:fPr>
            <m:num>
              <m:r>
                <w:rPr>
                  <w:rFonts w:ascii="Cambria Math" w:hAnsi="Cambria Math"/>
                  <w:lang w:eastAsia="en-AU"/>
                </w:rPr>
                <m:t>E</m:t>
              </m:r>
            </m:num>
            <m:den>
              <m:r>
                <w:rPr>
                  <w:rFonts w:ascii="Cambria Math" w:hAnsi="Cambria Math"/>
                  <w:lang w:eastAsia="en-AU"/>
                </w:rPr>
                <m:t>V</m:t>
              </m:r>
            </m:den>
          </m:f>
          <m:r>
            <w:rPr>
              <w:rFonts w:ascii="Cambria Math" w:hAnsi="Cambria Math"/>
              <w:lang w:eastAsia="en-AU"/>
            </w:rPr>
            <m:t xml:space="preserve">=10%×0.5+6%×0.5=8.00%. </m:t>
          </m:r>
        </m:oMath>
      </m:oMathPara>
    </w:p>
    <w:p w14:paraId="5E61C700" w14:textId="6898A0D7" w:rsidR="004B030D" w:rsidRDefault="003759D8" w:rsidP="004B030D">
      <w:pPr>
        <w:pStyle w:val="BodyText"/>
        <w:rPr>
          <w:lang w:eastAsia="en-AU"/>
        </w:rPr>
      </w:pPr>
      <w:r>
        <w:rPr>
          <w:lang w:eastAsia="en-AU"/>
        </w:rPr>
        <w:t xml:space="preserve">The </w:t>
      </w:r>
      <w:r w:rsidR="00CD1204">
        <w:rPr>
          <w:lang w:eastAsia="en-AU"/>
        </w:rPr>
        <w:t xml:space="preserve">classic </w:t>
      </w:r>
      <w:r>
        <w:rPr>
          <w:lang w:eastAsia="en-AU"/>
        </w:rPr>
        <w:t>after-tax WACC is used to discount the free cash flows</w:t>
      </w:r>
      <w:r w:rsidR="004258E9">
        <w:rPr>
          <w:lang w:eastAsia="en-AU"/>
        </w:rPr>
        <w:t>, as set out in</w:t>
      </w:r>
      <w:r w:rsidR="00740DB0">
        <w:rPr>
          <w:lang w:eastAsia="en-AU"/>
        </w:rPr>
        <w:t xml:space="preserve"> </w:t>
      </w:r>
      <w:r w:rsidR="00657DD0">
        <w:rPr>
          <w:lang w:eastAsia="en-AU"/>
        </w:rPr>
        <w:fldChar w:fldCharType="begin"/>
      </w:r>
      <w:r w:rsidR="00657DD0">
        <w:rPr>
          <w:lang w:eastAsia="en-AU"/>
        </w:rPr>
        <w:instrText xml:space="preserve"> REF _Ref169103689 </w:instrText>
      </w:r>
      <w:r w:rsidR="00657DD0">
        <w:rPr>
          <w:lang w:eastAsia="en-AU"/>
        </w:rPr>
        <w:fldChar w:fldCharType="separate"/>
      </w:r>
      <w:r w:rsidR="00290E80" w:rsidRPr="00004691">
        <w:t>Table</w:t>
      </w:r>
      <w:r w:rsidR="00290E80" w:rsidRPr="00004691">
        <w:rPr>
          <w:rStyle w:val="Bold"/>
        </w:rPr>
        <w:t xml:space="preserve"> </w:t>
      </w:r>
      <w:r w:rsidR="00290E80">
        <w:rPr>
          <w:noProof/>
        </w:rPr>
        <w:t>9</w:t>
      </w:r>
      <w:r w:rsidR="00657DD0">
        <w:rPr>
          <w:lang w:eastAsia="en-AU"/>
        </w:rPr>
        <w:fldChar w:fldCharType="end"/>
      </w:r>
      <w:r w:rsidR="00740DB0">
        <w:rPr>
          <w:lang w:eastAsia="en-AU"/>
        </w:rPr>
        <w:t xml:space="preserve"> below.</w:t>
      </w:r>
    </w:p>
    <w:p w14:paraId="10E73591" w14:textId="757FDD90" w:rsidR="00740DB0" w:rsidRDefault="00740DB0">
      <w:pPr>
        <w:pStyle w:val="Caption"/>
        <w:keepNext/>
      </w:pPr>
      <w:bookmarkStart w:id="37" w:name="_Ref169103689"/>
      <w:bookmarkStart w:id="38" w:name="_Toc170474040"/>
      <w:r w:rsidRPr="00004691">
        <w:t>Table</w:t>
      </w:r>
      <w:r w:rsidRPr="00004691">
        <w:rPr>
          <w:rStyle w:val="Bold"/>
        </w:rPr>
        <w:t xml:space="preserve"> </w:t>
      </w:r>
      <w:r>
        <w:fldChar w:fldCharType="begin"/>
      </w:r>
      <w:r>
        <w:instrText xml:space="preserve"> SEQ Table \* ARABIC </w:instrText>
      </w:r>
      <w:r>
        <w:fldChar w:fldCharType="separate"/>
      </w:r>
      <w:r w:rsidR="00290E80">
        <w:rPr>
          <w:noProof/>
        </w:rPr>
        <w:t>9</w:t>
      </w:r>
      <w:r>
        <w:rPr>
          <w:noProof/>
        </w:rPr>
        <w:fldChar w:fldCharType="end"/>
      </w:r>
      <w:bookmarkEnd w:id="37"/>
      <w:r w:rsidRPr="00004691">
        <w:rPr>
          <w:rStyle w:val="Bold"/>
        </w:rPr>
        <w:t>:</w:t>
      </w:r>
      <w:r w:rsidRPr="00004691">
        <w:t xml:space="preserve"> </w:t>
      </w:r>
      <w:r>
        <w:t xml:space="preserve">Present value </w:t>
      </w:r>
      <w:r w:rsidR="00E43EC7">
        <w:t xml:space="preserve">calculation </w:t>
      </w:r>
      <w:r>
        <w:t>using</w:t>
      </w:r>
      <w:r w:rsidR="00CD1204">
        <w:t xml:space="preserve"> classic</w:t>
      </w:r>
      <w:r>
        <w:t xml:space="preserve"> after-tax WACC</w:t>
      </w:r>
      <w:bookmarkEnd w:id="38"/>
    </w:p>
    <w:tbl>
      <w:tblPr>
        <w:tblStyle w:val="FETableStyle"/>
        <w:tblW w:w="5040" w:type="pct"/>
        <w:tblLayout w:type="fixed"/>
        <w:tblLook w:val="0420" w:firstRow="1" w:lastRow="0" w:firstColumn="0" w:lastColumn="0" w:noHBand="0" w:noVBand="1"/>
      </w:tblPr>
      <w:tblGrid>
        <w:gridCol w:w="4111"/>
        <w:gridCol w:w="975"/>
        <w:gridCol w:w="976"/>
        <w:gridCol w:w="976"/>
        <w:gridCol w:w="976"/>
        <w:gridCol w:w="976"/>
        <w:gridCol w:w="109"/>
      </w:tblGrid>
      <w:tr w:rsidR="00740DB0" w:rsidRPr="00740DB0" w14:paraId="5A71C60F" w14:textId="77777777" w:rsidTr="00717241">
        <w:trPr>
          <w:cnfStyle w:val="100000000000" w:firstRow="1" w:lastRow="0" w:firstColumn="0" w:lastColumn="0" w:oddVBand="0" w:evenVBand="0" w:oddHBand="0" w:evenHBand="0" w:firstRowFirstColumn="0" w:firstRowLastColumn="0" w:lastRowFirstColumn="0" w:lastRowLastColumn="0"/>
        </w:trPr>
        <w:tc>
          <w:tcPr>
            <w:tcW w:w="4111" w:type="dxa"/>
            <w:noWrap/>
            <w:hideMark/>
          </w:tcPr>
          <w:p w14:paraId="754D16A6" w14:textId="77777777" w:rsidR="00740DB0" w:rsidRPr="00740DB0" w:rsidRDefault="00740DB0" w:rsidP="00740DB0">
            <w:pPr>
              <w:pStyle w:val="TableHeading"/>
            </w:pPr>
            <w:r w:rsidRPr="00740DB0">
              <w:t>Year</w:t>
            </w:r>
          </w:p>
        </w:tc>
        <w:tc>
          <w:tcPr>
            <w:tcW w:w="975" w:type="dxa"/>
            <w:noWrap/>
            <w:hideMark/>
          </w:tcPr>
          <w:p w14:paraId="296AC209" w14:textId="77777777" w:rsidR="00740DB0" w:rsidRPr="00740DB0" w:rsidRDefault="00740DB0" w:rsidP="00C24732">
            <w:pPr>
              <w:pStyle w:val="TableHeading"/>
              <w:jc w:val="center"/>
            </w:pPr>
            <w:r w:rsidRPr="00740DB0">
              <w:t>0</w:t>
            </w:r>
          </w:p>
        </w:tc>
        <w:tc>
          <w:tcPr>
            <w:tcW w:w="976" w:type="dxa"/>
            <w:noWrap/>
            <w:hideMark/>
          </w:tcPr>
          <w:p w14:paraId="7FA2A41D" w14:textId="77777777" w:rsidR="00740DB0" w:rsidRPr="00740DB0" w:rsidRDefault="00740DB0" w:rsidP="00C24732">
            <w:pPr>
              <w:pStyle w:val="TableHeading"/>
              <w:jc w:val="center"/>
            </w:pPr>
            <w:r w:rsidRPr="00740DB0">
              <w:t>1</w:t>
            </w:r>
          </w:p>
        </w:tc>
        <w:tc>
          <w:tcPr>
            <w:tcW w:w="976" w:type="dxa"/>
            <w:noWrap/>
            <w:hideMark/>
          </w:tcPr>
          <w:p w14:paraId="1D7EEC5E" w14:textId="77777777" w:rsidR="00740DB0" w:rsidRPr="00740DB0" w:rsidRDefault="00740DB0" w:rsidP="00C24732">
            <w:pPr>
              <w:pStyle w:val="TableHeading"/>
              <w:jc w:val="center"/>
            </w:pPr>
            <w:r w:rsidRPr="00740DB0">
              <w:t>2</w:t>
            </w:r>
          </w:p>
        </w:tc>
        <w:tc>
          <w:tcPr>
            <w:tcW w:w="976" w:type="dxa"/>
            <w:noWrap/>
            <w:hideMark/>
          </w:tcPr>
          <w:p w14:paraId="293E8121" w14:textId="77777777" w:rsidR="00740DB0" w:rsidRPr="00740DB0" w:rsidRDefault="00740DB0" w:rsidP="00C24732">
            <w:pPr>
              <w:pStyle w:val="TableHeading"/>
              <w:jc w:val="center"/>
            </w:pPr>
            <w:r w:rsidRPr="00740DB0">
              <w:t>3</w:t>
            </w:r>
          </w:p>
        </w:tc>
        <w:tc>
          <w:tcPr>
            <w:tcW w:w="1085" w:type="dxa"/>
            <w:gridSpan w:val="2"/>
            <w:noWrap/>
            <w:hideMark/>
          </w:tcPr>
          <w:p w14:paraId="5DECA48E" w14:textId="77777777" w:rsidR="00740DB0" w:rsidRPr="00740DB0" w:rsidRDefault="00740DB0" w:rsidP="00C24732">
            <w:pPr>
              <w:pStyle w:val="TableHeading"/>
              <w:jc w:val="center"/>
            </w:pPr>
            <w:r w:rsidRPr="00740DB0">
              <w:t>4</w:t>
            </w:r>
          </w:p>
        </w:tc>
      </w:tr>
      <w:tr w:rsidR="00740DB0" w:rsidRPr="00740DB0" w14:paraId="0D9F112C" w14:textId="77777777" w:rsidTr="00717241">
        <w:trPr>
          <w:gridAfter w:val="1"/>
          <w:wAfter w:w="109" w:type="dxa"/>
        </w:trPr>
        <w:tc>
          <w:tcPr>
            <w:tcW w:w="4111" w:type="dxa"/>
            <w:noWrap/>
            <w:hideMark/>
          </w:tcPr>
          <w:p w14:paraId="59C80B8F" w14:textId="77777777" w:rsidR="00740DB0" w:rsidRPr="00740DB0" w:rsidRDefault="00740DB0" w:rsidP="00740DB0">
            <w:pPr>
              <w:pStyle w:val="TableText"/>
            </w:pPr>
            <w:r w:rsidRPr="00740DB0">
              <w:t>Sales</w:t>
            </w:r>
          </w:p>
        </w:tc>
        <w:tc>
          <w:tcPr>
            <w:tcW w:w="975" w:type="dxa"/>
            <w:noWrap/>
            <w:hideMark/>
          </w:tcPr>
          <w:p w14:paraId="6A704C2E" w14:textId="77777777" w:rsidR="00740DB0" w:rsidRPr="00740DB0" w:rsidRDefault="00740DB0" w:rsidP="00C24732">
            <w:pPr>
              <w:pStyle w:val="TableText"/>
              <w:jc w:val="center"/>
            </w:pPr>
          </w:p>
        </w:tc>
        <w:tc>
          <w:tcPr>
            <w:tcW w:w="976" w:type="dxa"/>
            <w:noWrap/>
            <w:hideMark/>
          </w:tcPr>
          <w:p w14:paraId="71277BBE" w14:textId="77777777" w:rsidR="00740DB0" w:rsidRPr="00740DB0" w:rsidRDefault="00740DB0" w:rsidP="00C24732">
            <w:pPr>
              <w:pStyle w:val="TableText"/>
              <w:jc w:val="center"/>
            </w:pPr>
            <w:r w:rsidRPr="00740DB0">
              <w:t>60.00</w:t>
            </w:r>
          </w:p>
        </w:tc>
        <w:tc>
          <w:tcPr>
            <w:tcW w:w="976" w:type="dxa"/>
            <w:noWrap/>
            <w:hideMark/>
          </w:tcPr>
          <w:p w14:paraId="12C30B9B" w14:textId="77777777" w:rsidR="00740DB0" w:rsidRPr="00740DB0" w:rsidRDefault="00740DB0" w:rsidP="00C24732">
            <w:pPr>
              <w:pStyle w:val="TableText"/>
              <w:jc w:val="center"/>
            </w:pPr>
            <w:r w:rsidRPr="00740DB0">
              <w:t>60.00</w:t>
            </w:r>
          </w:p>
        </w:tc>
        <w:tc>
          <w:tcPr>
            <w:tcW w:w="976" w:type="dxa"/>
            <w:noWrap/>
            <w:hideMark/>
          </w:tcPr>
          <w:p w14:paraId="5FA0FC38" w14:textId="77777777" w:rsidR="00740DB0" w:rsidRPr="00740DB0" w:rsidRDefault="00740DB0" w:rsidP="00C24732">
            <w:pPr>
              <w:pStyle w:val="TableText"/>
              <w:jc w:val="center"/>
            </w:pPr>
            <w:r w:rsidRPr="00740DB0">
              <w:t>60.00</w:t>
            </w:r>
          </w:p>
        </w:tc>
        <w:tc>
          <w:tcPr>
            <w:tcW w:w="976" w:type="dxa"/>
            <w:noWrap/>
            <w:hideMark/>
          </w:tcPr>
          <w:p w14:paraId="3DF8D20D" w14:textId="77777777" w:rsidR="00740DB0" w:rsidRPr="00740DB0" w:rsidRDefault="00740DB0" w:rsidP="00C24732">
            <w:pPr>
              <w:pStyle w:val="TableText"/>
              <w:jc w:val="center"/>
            </w:pPr>
            <w:r w:rsidRPr="00740DB0">
              <w:t>60.00</w:t>
            </w:r>
          </w:p>
        </w:tc>
      </w:tr>
      <w:tr w:rsidR="00740DB0" w:rsidRPr="00740DB0" w14:paraId="4B90947F" w14:textId="77777777" w:rsidTr="00717241">
        <w:trPr>
          <w:cnfStyle w:val="000000010000" w:firstRow="0" w:lastRow="0" w:firstColumn="0" w:lastColumn="0" w:oddVBand="0" w:evenVBand="0" w:oddHBand="0" w:evenHBand="1" w:firstRowFirstColumn="0" w:firstRowLastColumn="0" w:lastRowFirstColumn="0" w:lastRowLastColumn="0"/>
        </w:trPr>
        <w:tc>
          <w:tcPr>
            <w:tcW w:w="4111" w:type="dxa"/>
            <w:tcBorders>
              <w:bottom w:val="single" w:sz="4" w:space="0" w:color="207BA1" w:themeColor="accent2"/>
            </w:tcBorders>
            <w:noWrap/>
            <w:hideMark/>
          </w:tcPr>
          <w:p w14:paraId="2A626D4C" w14:textId="77777777" w:rsidR="00740DB0" w:rsidRPr="00740DB0" w:rsidRDefault="00740DB0" w:rsidP="00740DB0">
            <w:pPr>
              <w:pStyle w:val="TableText"/>
            </w:pPr>
            <w:r w:rsidRPr="00740DB0">
              <w:t>Less Cost of goods sold</w:t>
            </w:r>
          </w:p>
        </w:tc>
        <w:tc>
          <w:tcPr>
            <w:tcW w:w="975" w:type="dxa"/>
            <w:tcBorders>
              <w:bottom w:val="single" w:sz="4" w:space="0" w:color="207BA1" w:themeColor="accent2"/>
            </w:tcBorders>
            <w:noWrap/>
            <w:hideMark/>
          </w:tcPr>
          <w:p w14:paraId="1D07CBD0" w14:textId="77777777" w:rsidR="00740DB0" w:rsidRPr="00740DB0" w:rsidRDefault="00740DB0" w:rsidP="00C24732">
            <w:pPr>
              <w:pStyle w:val="TableText"/>
              <w:jc w:val="center"/>
            </w:pPr>
          </w:p>
        </w:tc>
        <w:tc>
          <w:tcPr>
            <w:tcW w:w="976" w:type="dxa"/>
            <w:tcBorders>
              <w:bottom w:val="single" w:sz="4" w:space="0" w:color="207BA1" w:themeColor="accent2"/>
            </w:tcBorders>
            <w:noWrap/>
            <w:hideMark/>
          </w:tcPr>
          <w:p w14:paraId="4F229DD0" w14:textId="77777777" w:rsidR="00740DB0" w:rsidRPr="00740DB0" w:rsidRDefault="00740DB0" w:rsidP="00C24732">
            <w:pPr>
              <w:pStyle w:val="TableText"/>
              <w:jc w:val="center"/>
            </w:pPr>
            <w:r w:rsidRPr="00740DB0">
              <w:t>-25.00</w:t>
            </w:r>
          </w:p>
        </w:tc>
        <w:tc>
          <w:tcPr>
            <w:tcW w:w="976" w:type="dxa"/>
            <w:tcBorders>
              <w:bottom w:val="single" w:sz="4" w:space="0" w:color="207BA1" w:themeColor="accent2"/>
            </w:tcBorders>
            <w:noWrap/>
            <w:hideMark/>
          </w:tcPr>
          <w:p w14:paraId="7E0D17B0" w14:textId="77777777" w:rsidR="00740DB0" w:rsidRPr="00740DB0" w:rsidRDefault="00740DB0" w:rsidP="00C24732">
            <w:pPr>
              <w:pStyle w:val="TableText"/>
              <w:jc w:val="center"/>
            </w:pPr>
            <w:r w:rsidRPr="00740DB0">
              <w:t>-25.00</w:t>
            </w:r>
          </w:p>
        </w:tc>
        <w:tc>
          <w:tcPr>
            <w:tcW w:w="976" w:type="dxa"/>
            <w:tcBorders>
              <w:bottom w:val="single" w:sz="4" w:space="0" w:color="207BA1" w:themeColor="accent2"/>
            </w:tcBorders>
            <w:noWrap/>
            <w:hideMark/>
          </w:tcPr>
          <w:p w14:paraId="5752C70D" w14:textId="77777777" w:rsidR="00740DB0" w:rsidRPr="00740DB0" w:rsidRDefault="00740DB0" w:rsidP="00C24732">
            <w:pPr>
              <w:pStyle w:val="TableText"/>
              <w:jc w:val="center"/>
            </w:pPr>
            <w:r w:rsidRPr="00740DB0">
              <w:t>-25.00</w:t>
            </w:r>
          </w:p>
        </w:tc>
        <w:tc>
          <w:tcPr>
            <w:tcW w:w="1085" w:type="dxa"/>
            <w:gridSpan w:val="2"/>
            <w:tcBorders>
              <w:bottom w:val="single" w:sz="4" w:space="0" w:color="207BA1" w:themeColor="accent2"/>
            </w:tcBorders>
            <w:noWrap/>
            <w:hideMark/>
          </w:tcPr>
          <w:p w14:paraId="1DAB3157" w14:textId="77777777" w:rsidR="00740DB0" w:rsidRPr="00740DB0" w:rsidRDefault="00740DB0" w:rsidP="00C24732">
            <w:pPr>
              <w:pStyle w:val="TableText"/>
              <w:jc w:val="center"/>
            </w:pPr>
            <w:r w:rsidRPr="00740DB0">
              <w:t>-25.00</w:t>
            </w:r>
          </w:p>
        </w:tc>
      </w:tr>
      <w:tr w:rsidR="00740DB0" w:rsidRPr="00740DB0" w14:paraId="506AE070" w14:textId="77777777" w:rsidTr="00717241">
        <w:trPr>
          <w:gridAfter w:val="1"/>
          <w:wAfter w:w="109" w:type="dxa"/>
        </w:trPr>
        <w:tc>
          <w:tcPr>
            <w:tcW w:w="4111" w:type="dxa"/>
            <w:tcBorders>
              <w:top w:val="single" w:sz="4" w:space="0" w:color="207BA1" w:themeColor="accent2"/>
            </w:tcBorders>
            <w:noWrap/>
            <w:hideMark/>
          </w:tcPr>
          <w:p w14:paraId="049DA754" w14:textId="77777777" w:rsidR="00740DB0" w:rsidRPr="00C82DDB" w:rsidRDefault="00740DB0" w:rsidP="00740DB0">
            <w:pPr>
              <w:pStyle w:val="TableText"/>
              <w:rPr>
                <w:b/>
              </w:rPr>
            </w:pPr>
            <w:r w:rsidRPr="00C82DDB">
              <w:rPr>
                <w:b/>
              </w:rPr>
              <w:t>Gross profit</w:t>
            </w:r>
          </w:p>
        </w:tc>
        <w:tc>
          <w:tcPr>
            <w:tcW w:w="975" w:type="dxa"/>
            <w:tcBorders>
              <w:top w:val="single" w:sz="4" w:space="0" w:color="207BA1" w:themeColor="accent2"/>
            </w:tcBorders>
            <w:noWrap/>
            <w:hideMark/>
          </w:tcPr>
          <w:p w14:paraId="2F28F72A" w14:textId="77777777" w:rsidR="00740DB0" w:rsidRPr="00C82DDB" w:rsidRDefault="00740DB0" w:rsidP="00C24732">
            <w:pPr>
              <w:pStyle w:val="TableText"/>
              <w:jc w:val="center"/>
              <w:rPr>
                <w:b/>
              </w:rPr>
            </w:pPr>
          </w:p>
        </w:tc>
        <w:tc>
          <w:tcPr>
            <w:tcW w:w="976" w:type="dxa"/>
            <w:tcBorders>
              <w:top w:val="single" w:sz="4" w:space="0" w:color="207BA1" w:themeColor="accent2"/>
            </w:tcBorders>
            <w:noWrap/>
            <w:hideMark/>
          </w:tcPr>
          <w:p w14:paraId="519EE232" w14:textId="77777777" w:rsidR="00740DB0" w:rsidRPr="00C82DDB" w:rsidRDefault="00740DB0" w:rsidP="00C24732">
            <w:pPr>
              <w:pStyle w:val="TableText"/>
              <w:jc w:val="center"/>
              <w:rPr>
                <w:b/>
              </w:rPr>
            </w:pPr>
            <w:r w:rsidRPr="00C82DDB">
              <w:rPr>
                <w:b/>
              </w:rPr>
              <w:t>35.00</w:t>
            </w:r>
          </w:p>
        </w:tc>
        <w:tc>
          <w:tcPr>
            <w:tcW w:w="976" w:type="dxa"/>
            <w:tcBorders>
              <w:top w:val="single" w:sz="4" w:space="0" w:color="207BA1" w:themeColor="accent2"/>
            </w:tcBorders>
            <w:noWrap/>
            <w:hideMark/>
          </w:tcPr>
          <w:p w14:paraId="57586D22" w14:textId="77777777" w:rsidR="00740DB0" w:rsidRPr="00C82DDB" w:rsidRDefault="00740DB0" w:rsidP="00C24732">
            <w:pPr>
              <w:pStyle w:val="TableText"/>
              <w:jc w:val="center"/>
              <w:rPr>
                <w:b/>
              </w:rPr>
            </w:pPr>
            <w:r w:rsidRPr="00C82DDB">
              <w:rPr>
                <w:b/>
              </w:rPr>
              <w:t>35.00</w:t>
            </w:r>
          </w:p>
        </w:tc>
        <w:tc>
          <w:tcPr>
            <w:tcW w:w="976" w:type="dxa"/>
            <w:tcBorders>
              <w:top w:val="single" w:sz="4" w:space="0" w:color="207BA1" w:themeColor="accent2"/>
            </w:tcBorders>
            <w:noWrap/>
            <w:hideMark/>
          </w:tcPr>
          <w:p w14:paraId="765F8A70" w14:textId="77777777" w:rsidR="00740DB0" w:rsidRPr="00C82DDB" w:rsidRDefault="00740DB0" w:rsidP="00C24732">
            <w:pPr>
              <w:pStyle w:val="TableText"/>
              <w:jc w:val="center"/>
              <w:rPr>
                <w:b/>
              </w:rPr>
            </w:pPr>
            <w:r w:rsidRPr="00C82DDB">
              <w:rPr>
                <w:b/>
              </w:rPr>
              <w:t>35.00</w:t>
            </w:r>
          </w:p>
        </w:tc>
        <w:tc>
          <w:tcPr>
            <w:tcW w:w="976" w:type="dxa"/>
            <w:tcBorders>
              <w:top w:val="single" w:sz="4" w:space="0" w:color="207BA1" w:themeColor="accent2"/>
            </w:tcBorders>
            <w:noWrap/>
            <w:hideMark/>
          </w:tcPr>
          <w:p w14:paraId="4A4EE9C4" w14:textId="77777777" w:rsidR="00740DB0" w:rsidRPr="00C82DDB" w:rsidRDefault="00740DB0" w:rsidP="00C24732">
            <w:pPr>
              <w:pStyle w:val="TableText"/>
              <w:jc w:val="center"/>
              <w:rPr>
                <w:b/>
              </w:rPr>
            </w:pPr>
            <w:r w:rsidRPr="00C82DDB">
              <w:rPr>
                <w:b/>
              </w:rPr>
              <w:t>35.00</w:t>
            </w:r>
          </w:p>
        </w:tc>
      </w:tr>
      <w:tr w:rsidR="00740DB0" w:rsidRPr="00740DB0" w14:paraId="17AF66DA" w14:textId="77777777" w:rsidTr="00717241">
        <w:trPr>
          <w:cnfStyle w:val="000000010000" w:firstRow="0" w:lastRow="0" w:firstColumn="0" w:lastColumn="0" w:oddVBand="0" w:evenVBand="0" w:oddHBand="0" w:evenHBand="1" w:firstRowFirstColumn="0" w:firstRowLastColumn="0" w:lastRowFirstColumn="0" w:lastRowLastColumn="0"/>
        </w:trPr>
        <w:tc>
          <w:tcPr>
            <w:tcW w:w="4111" w:type="dxa"/>
            <w:noWrap/>
            <w:hideMark/>
          </w:tcPr>
          <w:p w14:paraId="2F311988" w14:textId="77777777" w:rsidR="00740DB0" w:rsidRPr="00740DB0" w:rsidRDefault="00740DB0" w:rsidP="00740DB0">
            <w:pPr>
              <w:pStyle w:val="TableText"/>
            </w:pPr>
            <w:r w:rsidRPr="00740DB0">
              <w:t>Less Operating expenses</w:t>
            </w:r>
          </w:p>
        </w:tc>
        <w:tc>
          <w:tcPr>
            <w:tcW w:w="975" w:type="dxa"/>
            <w:noWrap/>
            <w:hideMark/>
          </w:tcPr>
          <w:p w14:paraId="09AD3F04" w14:textId="77777777" w:rsidR="00740DB0" w:rsidRPr="00740DB0" w:rsidRDefault="00740DB0" w:rsidP="00C24732">
            <w:pPr>
              <w:pStyle w:val="TableText"/>
              <w:jc w:val="center"/>
            </w:pPr>
            <w:r w:rsidRPr="00740DB0">
              <w:t>-6.67</w:t>
            </w:r>
          </w:p>
        </w:tc>
        <w:tc>
          <w:tcPr>
            <w:tcW w:w="976" w:type="dxa"/>
            <w:noWrap/>
            <w:hideMark/>
          </w:tcPr>
          <w:p w14:paraId="5657304D" w14:textId="77777777" w:rsidR="00740DB0" w:rsidRPr="00740DB0" w:rsidRDefault="00740DB0" w:rsidP="00C24732">
            <w:pPr>
              <w:pStyle w:val="TableText"/>
              <w:jc w:val="center"/>
            </w:pPr>
            <w:r w:rsidRPr="00740DB0">
              <w:t>-9.00</w:t>
            </w:r>
          </w:p>
        </w:tc>
        <w:tc>
          <w:tcPr>
            <w:tcW w:w="976" w:type="dxa"/>
            <w:noWrap/>
            <w:hideMark/>
          </w:tcPr>
          <w:p w14:paraId="69E4EE7C" w14:textId="77777777" w:rsidR="00740DB0" w:rsidRPr="00740DB0" w:rsidRDefault="00740DB0" w:rsidP="00C24732">
            <w:pPr>
              <w:pStyle w:val="TableText"/>
              <w:jc w:val="center"/>
            </w:pPr>
            <w:r w:rsidRPr="00740DB0">
              <w:t>-9.00</w:t>
            </w:r>
          </w:p>
        </w:tc>
        <w:tc>
          <w:tcPr>
            <w:tcW w:w="976" w:type="dxa"/>
            <w:noWrap/>
            <w:hideMark/>
          </w:tcPr>
          <w:p w14:paraId="0E9DF633" w14:textId="77777777" w:rsidR="00740DB0" w:rsidRPr="00740DB0" w:rsidRDefault="00740DB0" w:rsidP="00C24732">
            <w:pPr>
              <w:pStyle w:val="TableText"/>
              <w:jc w:val="center"/>
            </w:pPr>
            <w:r w:rsidRPr="00740DB0">
              <w:t>-9.00</w:t>
            </w:r>
          </w:p>
        </w:tc>
        <w:tc>
          <w:tcPr>
            <w:tcW w:w="1085" w:type="dxa"/>
            <w:gridSpan w:val="2"/>
            <w:noWrap/>
            <w:hideMark/>
          </w:tcPr>
          <w:p w14:paraId="5CFAAC43" w14:textId="77777777" w:rsidR="00740DB0" w:rsidRPr="00740DB0" w:rsidRDefault="00740DB0" w:rsidP="00C24732">
            <w:pPr>
              <w:pStyle w:val="TableText"/>
              <w:jc w:val="center"/>
            </w:pPr>
            <w:r w:rsidRPr="00740DB0">
              <w:t>-9.00</w:t>
            </w:r>
          </w:p>
        </w:tc>
      </w:tr>
      <w:tr w:rsidR="00740DB0" w:rsidRPr="00740DB0" w14:paraId="77746155" w14:textId="77777777" w:rsidTr="00717241">
        <w:trPr>
          <w:gridAfter w:val="1"/>
          <w:wAfter w:w="109" w:type="dxa"/>
        </w:trPr>
        <w:tc>
          <w:tcPr>
            <w:tcW w:w="4111" w:type="dxa"/>
            <w:tcBorders>
              <w:bottom w:val="single" w:sz="4" w:space="0" w:color="207BA1" w:themeColor="accent2"/>
            </w:tcBorders>
            <w:noWrap/>
            <w:hideMark/>
          </w:tcPr>
          <w:p w14:paraId="3F096AE0" w14:textId="77777777" w:rsidR="00740DB0" w:rsidRPr="00740DB0" w:rsidRDefault="00740DB0" w:rsidP="00740DB0">
            <w:pPr>
              <w:pStyle w:val="TableText"/>
            </w:pPr>
            <w:r w:rsidRPr="00740DB0">
              <w:t>Less Depreciation</w:t>
            </w:r>
          </w:p>
        </w:tc>
        <w:tc>
          <w:tcPr>
            <w:tcW w:w="975" w:type="dxa"/>
            <w:tcBorders>
              <w:bottom w:val="single" w:sz="4" w:space="0" w:color="207BA1" w:themeColor="accent2"/>
            </w:tcBorders>
            <w:noWrap/>
            <w:hideMark/>
          </w:tcPr>
          <w:p w14:paraId="6755D742" w14:textId="77777777" w:rsidR="00740DB0" w:rsidRPr="00740DB0" w:rsidRDefault="00740DB0" w:rsidP="00C24732">
            <w:pPr>
              <w:pStyle w:val="TableText"/>
              <w:jc w:val="center"/>
            </w:pPr>
          </w:p>
        </w:tc>
        <w:tc>
          <w:tcPr>
            <w:tcW w:w="976" w:type="dxa"/>
            <w:tcBorders>
              <w:bottom w:val="single" w:sz="4" w:space="0" w:color="207BA1" w:themeColor="accent2"/>
            </w:tcBorders>
            <w:noWrap/>
            <w:hideMark/>
          </w:tcPr>
          <w:p w14:paraId="632FEE8B" w14:textId="77777777" w:rsidR="00740DB0" w:rsidRPr="00740DB0" w:rsidRDefault="00740DB0" w:rsidP="00C24732">
            <w:pPr>
              <w:pStyle w:val="TableText"/>
              <w:jc w:val="center"/>
            </w:pPr>
            <w:r w:rsidRPr="00740DB0">
              <w:t>-6.00</w:t>
            </w:r>
          </w:p>
        </w:tc>
        <w:tc>
          <w:tcPr>
            <w:tcW w:w="976" w:type="dxa"/>
            <w:tcBorders>
              <w:bottom w:val="single" w:sz="4" w:space="0" w:color="207BA1" w:themeColor="accent2"/>
            </w:tcBorders>
            <w:noWrap/>
            <w:hideMark/>
          </w:tcPr>
          <w:p w14:paraId="40DF3618" w14:textId="77777777" w:rsidR="00740DB0" w:rsidRPr="00740DB0" w:rsidRDefault="00740DB0" w:rsidP="00C24732">
            <w:pPr>
              <w:pStyle w:val="TableText"/>
              <w:jc w:val="center"/>
            </w:pPr>
            <w:r w:rsidRPr="00740DB0">
              <w:t>-6.00</w:t>
            </w:r>
          </w:p>
        </w:tc>
        <w:tc>
          <w:tcPr>
            <w:tcW w:w="976" w:type="dxa"/>
            <w:tcBorders>
              <w:bottom w:val="single" w:sz="4" w:space="0" w:color="207BA1" w:themeColor="accent2"/>
            </w:tcBorders>
            <w:noWrap/>
            <w:hideMark/>
          </w:tcPr>
          <w:p w14:paraId="4E2B0A43" w14:textId="77777777" w:rsidR="00740DB0" w:rsidRPr="00740DB0" w:rsidRDefault="00740DB0" w:rsidP="00C24732">
            <w:pPr>
              <w:pStyle w:val="TableText"/>
              <w:jc w:val="center"/>
            </w:pPr>
            <w:r w:rsidRPr="00740DB0">
              <w:t>-6.00</w:t>
            </w:r>
          </w:p>
        </w:tc>
        <w:tc>
          <w:tcPr>
            <w:tcW w:w="976" w:type="dxa"/>
            <w:tcBorders>
              <w:bottom w:val="single" w:sz="4" w:space="0" w:color="207BA1" w:themeColor="accent2"/>
            </w:tcBorders>
            <w:noWrap/>
            <w:hideMark/>
          </w:tcPr>
          <w:p w14:paraId="64359A7C" w14:textId="77777777" w:rsidR="00740DB0" w:rsidRPr="00740DB0" w:rsidRDefault="00740DB0" w:rsidP="00C24732">
            <w:pPr>
              <w:pStyle w:val="TableText"/>
              <w:jc w:val="center"/>
            </w:pPr>
            <w:r w:rsidRPr="00740DB0">
              <w:t>-6.00</w:t>
            </w:r>
          </w:p>
        </w:tc>
      </w:tr>
      <w:tr w:rsidR="00740DB0" w:rsidRPr="00740DB0" w14:paraId="1F403A91" w14:textId="77777777" w:rsidTr="00717241">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207BA1" w:themeColor="accent2"/>
            </w:tcBorders>
            <w:noWrap/>
            <w:hideMark/>
          </w:tcPr>
          <w:p w14:paraId="46C6F55C" w14:textId="77777777" w:rsidR="00740DB0" w:rsidRPr="00C82DDB" w:rsidRDefault="00740DB0" w:rsidP="00740DB0">
            <w:pPr>
              <w:pStyle w:val="TableText"/>
              <w:rPr>
                <w:b/>
              </w:rPr>
            </w:pPr>
            <w:r w:rsidRPr="00C82DDB">
              <w:rPr>
                <w:b/>
              </w:rPr>
              <w:t>Earnings before interest and tax (EBIT)</w:t>
            </w:r>
          </w:p>
        </w:tc>
        <w:tc>
          <w:tcPr>
            <w:tcW w:w="975" w:type="dxa"/>
            <w:tcBorders>
              <w:top w:val="single" w:sz="4" w:space="0" w:color="207BA1" w:themeColor="accent2"/>
            </w:tcBorders>
            <w:noWrap/>
            <w:hideMark/>
          </w:tcPr>
          <w:p w14:paraId="59BFB172" w14:textId="77777777" w:rsidR="00740DB0" w:rsidRPr="00C82DDB" w:rsidRDefault="00740DB0" w:rsidP="00C24732">
            <w:pPr>
              <w:pStyle w:val="TableText"/>
              <w:jc w:val="center"/>
              <w:rPr>
                <w:b/>
              </w:rPr>
            </w:pPr>
            <w:r w:rsidRPr="00C82DDB">
              <w:rPr>
                <w:b/>
              </w:rPr>
              <w:t>-6.67</w:t>
            </w:r>
          </w:p>
        </w:tc>
        <w:tc>
          <w:tcPr>
            <w:tcW w:w="976" w:type="dxa"/>
            <w:tcBorders>
              <w:top w:val="single" w:sz="4" w:space="0" w:color="207BA1" w:themeColor="accent2"/>
            </w:tcBorders>
            <w:noWrap/>
            <w:hideMark/>
          </w:tcPr>
          <w:p w14:paraId="2A075941" w14:textId="77777777" w:rsidR="00740DB0" w:rsidRPr="00C82DDB" w:rsidRDefault="00740DB0" w:rsidP="00C24732">
            <w:pPr>
              <w:pStyle w:val="TableText"/>
              <w:jc w:val="center"/>
              <w:rPr>
                <w:b/>
              </w:rPr>
            </w:pPr>
            <w:r w:rsidRPr="00C82DDB">
              <w:rPr>
                <w:b/>
              </w:rPr>
              <w:t>20.00</w:t>
            </w:r>
          </w:p>
        </w:tc>
        <w:tc>
          <w:tcPr>
            <w:tcW w:w="976" w:type="dxa"/>
            <w:tcBorders>
              <w:top w:val="single" w:sz="4" w:space="0" w:color="207BA1" w:themeColor="accent2"/>
            </w:tcBorders>
            <w:noWrap/>
            <w:hideMark/>
          </w:tcPr>
          <w:p w14:paraId="76F7C93C" w14:textId="77777777" w:rsidR="00740DB0" w:rsidRPr="00C82DDB" w:rsidRDefault="00740DB0" w:rsidP="00C24732">
            <w:pPr>
              <w:pStyle w:val="TableText"/>
              <w:jc w:val="center"/>
              <w:rPr>
                <w:b/>
              </w:rPr>
            </w:pPr>
            <w:r w:rsidRPr="00C82DDB">
              <w:rPr>
                <w:b/>
              </w:rPr>
              <w:t>20.00</w:t>
            </w:r>
          </w:p>
        </w:tc>
        <w:tc>
          <w:tcPr>
            <w:tcW w:w="976" w:type="dxa"/>
            <w:tcBorders>
              <w:top w:val="single" w:sz="4" w:space="0" w:color="207BA1" w:themeColor="accent2"/>
            </w:tcBorders>
            <w:noWrap/>
            <w:hideMark/>
          </w:tcPr>
          <w:p w14:paraId="1AEFEC99" w14:textId="77777777" w:rsidR="00740DB0" w:rsidRPr="00C82DDB" w:rsidRDefault="00740DB0" w:rsidP="00C24732">
            <w:pPr>
              <w:pStyle w:val="TableText"/>
              <w:jc w:val="center"/>
              <w:rPr>
                <w:b/>
              </w:rPr>
            </w:pPr>
            <w:r w:rsidRPr="00C82DDB">
              <w:rPr>
                <w:b/>
              </w:rPr>
              <w:t>20.00</w:t>
            </w:r>
          </w:p>
        </w:tc>
        <w:tc>
          <w:tcPr>
            <w:tcW w:w="1085" w:type="dxa"/>
            <w:gridSpan w:val="2"/>
            <w:tcBorders>
              <w:top w:val="single" w:sz="4" w:space="0" w:color="207BA1" w:themeColor="accent2"/>
            </w:tcBorders>
            <w:noWrap/>
            <w:hideMark/>
          </w:tcPr>
          <w:p w14:paraId="01546F58" w14:textId="77777777" w:rsidR="00740DB0" w:rsidRPr="00C82DDB" w:rsidRDefault="00740DB0" w:rsidP="00C24732">
            <w:pPr>
              <w:pStyle w:val="TableText"/>
              <w:jc w:val="center"/>
              <w:rPr>
                <w:b/>
              </w:rPr>
            </w:pPr>
            <w:r w:rsidRPr="00C82DDB">
              <w:rPr>
                <w:b/>
              </w:rPr>
              <w:t>20.00</w:t>
            </w:r>
          </w:p>
        </w:tc>
      </w:tr>
      <w:tr w:rsidR="00740DB0" w:rsidRPr="00740DB0" w14:paraId="4301835A" w14:textId="77777777" w:rsidTr="00717241">
        <w:trPr>
          <w:gridAfter w:val="1"/>
          <w:wAfter w:w="109" w:type="dxa"/>
        </w:trPr>
        <w:tc>
          <w:tcPr>
            <w:tcW w:w="4111" w:type="dxa"/>
            <w:tcBorders>
              <w:bottom w:val="single" w:sz="4" w:space="0" w:color="207BA1" w:themeColor="accent2"/>
            </w:tcBorders>
            <w:noWrap/>
            <w:hideMark/>
          </w:tcPr>
          <w:p w14:paraId="7E139DF8" w14:textId="77777777" w:rsidR="00740DB0" w:rsidRPr="00740DB0" w:rsidRDefault="00740DB0" w:rsidP="00740DB0">
            <w:pPr>
              <w:pStyle w:val="TableText"/>
            </w:pPr>
            <w:r w:rsidRPr="00740DB0">
              <w:t>Less tax (at corporate rate)</w:t>
            </w:r>
          </w:p>
        </w:tc>
        <w:tc>
          <w:tcPr>
            <w:tcW w:w="975" w:type="dxa"/>
            <w:tcBorders>
              <w:bottom w:val="single" w:sz="4" w:space="0" w:color="207BA1" w:themeColor="accent2"/>
            </w:tcBorders>
            <w:noWrap/>
            <w:hideMark/>
          </w:tcPr>
          <w:p w14:paraId="51A041DE" w14:textId="77777777" w:rsidR="00740DB0" w:rsidRPr="00740DB0" w:rsidRDefault="00740DB0" w:rsidP="00C24732">
            <w:pPr>
              <w:pStyle w:val="TableText"/>
              <w:jc w:val="center"/>
            </w:pPr>
            <w:r w:rsidRPr="00740DB0">
              <w:t>1.67</w:t>
            </w:r>
          </w:p>
        </w:tc>
        <w:tc>
          <w:tcPr>
            <w:tcW w:w="976" w:type="dxa"/>
            <w:tcBorders>
              <w:bottom w:val="single" w:sz="4" w:space="0" w:color="207BA1" w:themeColor="accent2"/>
            </w:tcBorders>
            <w:noWrap/>
            <w:hideMark/>
          </w:tcPr>
          <w:p w14:paraId="0C0BD32B" w14:textId="77777777" w:rsidR="00740DB0" w:rsidRPr="00740DB0" w:rsidRDefault="00740DB0" w:rsidP="00C24732">
            <w:pPr>
              <w:pStyle w:val="TableText"/>
              <w:jc w:val="center"/>
            </w:pPr>
            <w:r w:rsidRPr="00740DB0">
              <w:t>-5.00</w:t>
            </w:r>
          </w:p>
        </w:tc>
        <w:tc>
          <w:tcPr>
            <w:tcW w:w="976" w:type="dxa"/>
            <w:tcBorders>
              <w:bottom w:val="single" w:sz="4" w:space="0" w:color="207BA1" w:themeColor="accent2"/>
            </w:tcBorders>
            <w:noWrap/>
            <w:hideMark/>
          </w:tcPr>
          <w:p w14:paraId="3CB0D337" w14:textId="77777777" w:rsidR="00740DB0" w:rsidRPr="00740DB0" w:rsidRDefault="00740DB0" w:rsidP="00C24732">
            <w:pPr>
              <w:pStyle w:val="TableText"/>
              <w:jc w:val="center"/>
            </w:pPr>
            <w:r w:rsidRPr="00740DB0">
              <w:t>-5.00</w:t>
            </w:r>
          </w:p>
        </w:tc>
        <w:tc>
          <w:tcPr>
            <w:tcW w:w="976" w:type="dxa"/>
            <w:tcBorders>
              <w:bottom w:val="single" w:sz="4" w:space="0" w:color="207BA1" w:themeColor="accent2"/>
            </w:tcBorders>
            <w:noWrap/>
            <w:hideMark/>
          </w:tcPr>
          <w:p w14:paraId="66A3C077" w14:textId="77777777" w:rsidR="00740DB0" w:rsidRPr="00740DB0" w:rsidRDefault="00740DB0" w:rsidP="00C24732">
            <w:pPr>
              <w:pStyle w:val="TableText"/>
              <w:jc w:val="center"/>
            </w:pPr>
            <w:r w:rsidRPr="00740DB0">
              <w:t>-5.00</w:t>
            </w:r>
          </w:p>
        </w:tc>
        <w:tc>
          <w:tcPr>
            <w:tcW w:w="976" w:type="dxa"/>
            <w:tcBorders>
              <w:bottom w:val="single" w:sz="4" w:space="0" w:color="207BA1" w:themeColor="accent2"/>
            </w:tcBorders>
            <w:noWrap/>
            <w:hideMark/>
          </w:tcPr>
          <w:p w14:paraId="331B8D1E" w14:textId="77777777" w:rsidR="00740DB0" w:rsidRPr="00740DB0" w:rsidRDefault="00740DB0" w:rsidP="00C24732">
            <w:pPr>
              <w:pStyle w:val="TableText"/>
              <w:jc w:val="center"/>
            </w:pPr>
            <w:r w:rsidRPr="00740DB0">
              <w:t>-5.00</w:t>
            </w:r>
          </w:p>
        </w:tc>
      </w:tr>
      <w:tr w:rsidR="00740DB0" w:rsidRPr="00740DB0" w14:paraId="2CC8C3AD" w14:textId="77777777" w:rsidTr="00717241">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207BA1" w:themeColor="accent2"/>
            </w:tcBorders>
            <w:noWrap/>
            <w:hideMark/>
          </w:tcPr>
          <w:p w14:paraId="2C18EA2A" w14:textId="77777777" w:rsidR="00740DB0" w:rsidRPr="00C82DDB" w:rsidRDefault="00740DB0" w:rsidP="00740DB0">
            <w:pPr>
              <w:pStyle w:val="TableText"/>
              <w:rPr>
                <w:b/>
              </w:rPr>
            </w:pPr>
            <w:r w:rsidRPr="00C82DDB">
              <w:rPr>
                <w:b/>
              </w:rPr>
              <w:t>Unlevered net income</w:t>
            </w:r>
          </w:p>
        </w:tc>
        <w:tc>
          <w:tcPr>
            <w:tcW w:w="975" w:type="dxa"/>
            <w:tcBorders>
              <w:top w:val="single" w:sz="4" w:space="0" w:color="207BA1" w:themeColor="accent2"/>
            </w:tcBorders>
            <w:noWrap/>
            <w:hideMark/>
          </w:tcPr>
          <w:p w14:paraId="52DC1843" w14:textId="77777777" w:rsidR="00740DB0" w:rsidRPr="00C82DDB" w:rsidRDefault="00740DB0" w:rsidP="00C24732">
            <w:pPr>
              <w:pStyle w:val="TableText"/>
              <w:jc w:val="center"/>
              <w:rPr>
                <w:b/>
              </w:rPr>
            </w:pPr>
            <w:r w:rsidRPr="00C82DDB">
              <w:rPr>
                <w:b/>
              </w:rPr>
              <w:t>-5.00</w:t>
            </w:r>
          </w:p>
        </w:tc>
        <w:tc>
          <w:tcPr>
            <w:tcW w:w="976" w:type="dxa"/>
            <w:tcBorders>
              <w:top w:val="single" w:sz="4" w:space="0" w:color="207BA1" w:themeColor="accent2"/>
            </w:tcBorders>
            <w:noWrap/>
            <w:hideMark/>
          </w:tcPr>
          <w:p w14:paraId="609B955C" w14:textId="77777777" w:rsidR="00740DB0" w:rsidRPr="00C82DDB" w:rsidRDefault="00740DB0" w:rsidP="00C24732">
            <w:pPr>
              <w:pStyle w:val="TableText"/>
              <w:jc w:val="center"/>
              <w:rPr>
                <w:b/>
              </w:rPr>
            </w:pPr>
            <w:r w:rsidRPr="00C82DDB">
              <w:rPr>
                <w:b/>
              </w:rPr>
              <w:t>15.00</w:t>
            </w:r>
          </w:p>
        </w:tc>
        <w:tc>
          <w:tcPr>
            <w:tcW w:w="976" w:type="dxa"/>
            <w:tcBorders>
              <w:top w:val="single" w:sz="4" w:space="0" w:color="207BA1" w:themeColor="accent2"/>
            </w:tcBorders>
            <w:noWrap/>
            <w:hideMark/>
          </w:tcPr>
          <w:p w14:paraId="4BBDCE27" w14:textId="77777777" w:rsidR="00740DB0" w:rsidRPr="00C82DDB" w:rsidRDefault="00740DB0" w:rsidP="00C24732">
            <w:pPr>
              <w:pStyle w:val="TableText"/>
              <w:jc w:val="center"/>
              <w:rPr>
                <w:b/>
              </w:rPr>
            </w:pPr>
            <w:r w:rsidRPr="00C82DDB">
              <w:rPr>
                <w:b/>
              </w:rPr>
              <w:t>15.00</w:t>
            </w:r>
          </w:p>
        </w:tc>
        <w:tc>
          <w:tcPr>
            <w:tcW w:w="976" w:type="dxa"/>
            <w:tcBorders>
              <w:top w:val="single" w:sz="4" w:space="0" w:color="207BA1" w:themeColor="accent2"/>
            </w:tcBorders>
            <w:noWrap/>
            <w:hideMark/>
          </w:tcPr>
          <w:p w14:paraId="4B9A7EF1" w14:textId="77777777" w:rsidR="00740DB0" w:rsidRPr="00C82DDB" w:rsidRDefault="00740DB0" w:rsidP="00C24732">
            <w:pPr>
              <w:pStyle w:val="TableText"/>
              <w:jc w:val="center"/>
              <w:rPr>
                <w:b/>
              </w:rPr>
            </w:pPr>
            <w:r w:rsidRPr="00C82DDB">
              <w:rPr>
                <w:b/>
              </w:rPr>
              <w:t>15.00</w:t>
            </w:r>
          </w:p>
        </w:tc>
        <w:tc>
          <w:tcPr>
            <w:tcW w:w="1085" w:type="dxa"/>
            <w:gridSpan w:val="2"/>
            <w:tcBorders>
              <w:top w:val="single" w:sz="4" w:space="0" w:color="207BA1" w:themeColor="accent2"/>
            </w:tcBorders>
            <w:noWrap/>
            <w:hideMark/>
          </w:tcPr>
          <w:p w14:paraId="0104B60D" w14:textId="77777777" w:rsidR="00740DB0" w:rsidRPr="00C82DDB" w:rsidRDefault="00740DB0" w:rsidP="00C24732">
            <w:pPr>
              <w:pStyle w:val="TableText"/>
              <w:jc w:val="center"/>
              <w:rPr>
                <w:b/>
              </w:rPr>
            </w:pPr>
            <w:r w:rsidRPr="00C82DDB">
              <w:rPr>
                <w:b/>
              </w:rPr>
              <w:t>15.00</w:t>
            </w:r>
          </w:p>
        </w:tc>
      </w:tr>
      <w:tr w:rsidR="00740DB0" w:rsidRPr="00740DB0" w14:paraId="1B58D634" w14:textId="77777777" w:rsidTr="00717241">
        <w:trPr>
          <w:gridAfter w:val="1"/>
          <w:wAfter w:w="109" w:type="dxa"/>
        </w:trPr>
        <w:tc>
          <w:tcPr>
            <w:tcW w:w="4111" w:type="dxa"/>
            <w:noWrap/>
            <w:hideMark/>
          </w:tcPr>
          <w:p w14:paraId="2D078B1B" w14:textId="77777777" w:rsidR="00740DB0" w:rsidRPr="00740DB0" w:rsidRDefault="00740DB0" w:rsidP="00740DB0">
            <w:pPr>
              <w:pStyle w:val="TableText"/>
            </w:pPr>
            <w:r w:rsidRPr="00740DB0">
              <w:t>Add back Depreciation</w:t>
            </w:r>
          </w:p>
        </w:tc>
        <w:tc>
          <w:tcPr>
            <w:tcW w:w="975" w:type="dxa"/>
            <w:noWrap/>
            <w:hideMark/>
          </w:tcPr>
          <w:p w14:paraId="15706630" w14:textId="77777777" w:rsidR="00740DB0" w:rsidRPr="00740DB0" w:rsidRDefault="00740DB0" w:rsidP="00C24732">
            <w:pPr>
              <w:pStyle w:val="TableText"/>
              <w:jc w:val="center"/>
            </w:pPr>
          </w:p>
        </w:tc>
        <w:tc>
          <w:tcPr>
            <w:tcW w:w="976" w:type="dxa"/>
            <w:noWrap/>
            <w:hideMark/>
          </w:tcPr>
          <w:p w14:paraId="140CF354" w14:textId="77777777" w:rsidR="00740DB0" w:rsidRPr="00740DB0" w:rsidRDefault="00740DB0" w:rsidP="00C24732">
            <w:pPr>
              <w:pStyle w:val="TableText"/>
              <w:jc w:val="center"/>
            </w:pPr>
            <w:r w:rsidRPr="00740DB0">
              <w:t>6.00</w:t>
            </w:r>
          </w:p>
        </w:tc>
        <w:tc>
          <w:tcPr>
            <w:tcW w:w="976" w:type="dxa"/>
            <w:noWrap/>
            <w:hideMark/>
          </w:tcPr>
          <w:p w14:paraId="4FDF9BF8" w14:textId="77777777" w:rsidR="00740DB0" w:rsidRPr="00740DB0" w:rsidRDefault="00740DB0" w:rsidP="00C24732">
            <w:pPr>
              <w:pStyle w:val="TableText"/>
              <w:jc w:val="center"/>
            </w:pPr>
            <w:r w:rsidRPr="00740DB0">
              <w:t>6.00</w:t>
            </w:r>
          </w:p>
        </w:tc>
        <w:tc>
          <w:tcPr>
            <w:tcW w:w="976" w:type="dxa"/>
            <w:noWrap/>
            <w:hideMark/>
          </w:tcPr>
          <w:p w14:paraId="506F4F00" w14:textId="77777777" w:rsidR="00740DB0" w:rsidRPr="00740DB0" w:rsidRDefault="00740DB0" w:rsidP="00C24732">
            <w:pPr>
              <w:pStyle w:val="TableText"/>
              <w:jc w:val="center"/>
            </w:pPr>
            <w:r w:rsidRPr="00740DB0">
              <w:t>6.00</w:t>
            </w:r>
          </w:p>
        </w:tc>
        <w:tc>
          <w:tcPr>
            <w:tcW w:w="976" w:type="dxa"/>
            <w:noWrap/>
            <w:hideMark/>
          </w:tcPr>
          <w:p w14:paraId="59368352" w14:textId="77777777" w:rsidR="00740DB0" w:rsidRPr="00740DB0" w:rsidRDefault="00740DB0" w:rsidP="00C24732">
            <w:pPr>
              <w:pStyle w:val="TableText"/>
              <w:jc w:val="center"/>
            </w:pPr>
            <w:r w:rsidRPr="00740DB0">
              <w:t>6.00</w:t>
            </w:r>
          </w:p>
        </w:tc>
      </w:tr>
      <w:tr w:rsidR="00740DB0" w:rsidRPr="00740DB0" w14:paraId="79D7BF50" w14:textId="77777777" w:rsidTr="00717241">
        <w:trPr>
          <w:cnfStyle w:val="000000010000" w:firstRow="0" w:lastRow="0" w:firstColumn="0" w:lastColumn="0" w:oddVBand="0" w:evenVBand="0" w:oddHBand="0" w:evenHBand="1" w:firstRowFirstColumn="0" w:firstRowLastColumn="0" w:lastRowFirstColumn="0" w:lastRowLastColumn="0"/>
        </w:trPr>
        <w:tc>
          <w:tcPr>
            <w:tcW w:w="4111" w:type="dxa"/>
            <w:noWrap/>
            <w:hideMark/>
          </w:tcPr>
          <w:p w14:paraId="3A1E5492" w14:textId="77777777" w:rsidR="00740DB0" w:rsidRPr="00740DB0" w:rsidRDefault="00740DB0" w:rsidP="00740DB0">
            <w:pPr>
              <w:pStyle w:val="TableText"/>
            </w:pPr>
            <w:r w:rsidRPr="00740DB0">
              <w:t>Less Capital expenditure</w:t>
            </w:r>
          </w:p>
        </w:tc>
        <w:tc>
          <w:tcPr>
            <w:tcW w:w="975" w:type="dxa"/>
            <w:noWrap/>
            <w:hideMark/>
          </w:tcPr>
          <w:p w14:paraId="389F2A0C" w14:textId="77777777" w:rsidR="00740DB0" w:rsidRPr="00740DB0" w:rsidRDefault="00740DB0" w:rsidP="00C24732">
            <w:pPr>
              <w:pStyle w:val="TableText"/>
              <w:jc w:val="center"/>
            </w:pPr>
            <w:r w:rsidRPr="00740DB0">
              <w:t>-24.00</w:t>
            </w:r>
          </w:p>
        </w:tc>
        <w:tc>
          <w:tcPr>
            <w:tcW w:w="976" w:type="dxa"/>
            <w:noWrap/>
            <w:hideMark/>
          </w:tcPr>
          <w:p w14:paraId="4D1CF35D" w14:textId="77777777" w:rsidR="00740DB0" w:rsidRPr="00740DB0" w:rsidRDefault="00740DB0" w:rsidP="00C24732">
            <w:pPr>
              <w:pStyle w:val="TableText"/>
              <w:jc w:val="center"/>
            </w:pPr>
          </w:p>
        </w:tc>
        <w:tc>
          <w:tcPr>
            <w:tcW w:w="976" w:type="dxa"/>
            <w:noWrap/>
            <w:hideMark/>
          </w:tcPr>
          <w:p w14:paraId="6AB10AED" w14:textId="77777777" w:rsidR="00740DB0" w:rsidRPr="00740DB0" w:rsidRDefault="00740DB0" w:rsidP="00C24732">
            <w:pPr>
              <w:pStyle w:val="TableText"/>
              <w:jc w:val="center"/>
            </w:pPr>
          </w:p>
        </w:tc>
        <w:tc>
          <w:tcPr>
            <w:tcW w:w="976" w:type="dxa"/>
            <w:noWrap/>
            <w:hideMark/>
          </w:tcPr>
          <w:p w14:paraId="24FD25A1" w14:textId="77777777" w:rsidR="00740DB0" w:rsidRPr="00740DB0" w:rsidRDefault="00740DB0" w:rsidP="00C24732">
            <w:pPr>
              <w:pStyle w:val="TableText"/>
              <w:jc w:val="center"/>
            </w:pPr>
          </w:p>
        </w:tc>
        <w:tc>
          <w:tcPr>
            <w:tcW w:w="1085" w:type="dxa"/>
            <w:gridSpan w:val="2"/>
            <w:noWrap/>
            <w:hideMark/>
          </w:tcPr>
          <w:p w14:paraId="1E994AD0" w14:textId="77777777" w:rsidR="00740DB0" w:rsidRPr="00740DB0" w:rsidRDefault="00740DB0" w:rsidP="00C24732">
            <w:pPr>
              <w:pStyle w:val="TableText"/>
              <w:jc w:val="center"/>
            </w:pPr>
          </w:p>
        </w:tc>
      </w:tr>
      <w:tr w:rsidR="00740DB0" w:rsidRPr="00740DB0" w14:paraId="73EAD0CD" w14:textId="77777777" w:rsidTr="00717241">
        <w:tc>
          <w:tcPr>
            <w:tcW w:w="4111" w:type="dxa"/>
            <w:tcBorders>
              <w:top w:val="single" w:sz="4" w:space="0" w:color="207BA1" w:themeColor="accent2"/>
              <w:bottom w:val="single" w:sz="4" w:space="0" w:color="207BA1" w:themeColor="accent2"/>
            </w:tcBorders>
            <w:noWrap/>
            <w:hideMark/>
          </w:tcPr>
          <w:p w14:paraId="36D1B685" w14:textId="77777777" w:rsidR="00740DB0" w:rsidRPr="00C82DDB" w:rsidRDefault="00740DB0" w:rsidP="00740DB0">
            <w:pPr>
              <w:pStyle w:val="TableText"/>
              <w:rPr>
                <w:b/>
              </w:rPr>
            </w:pPr>
            <w:r w:rsidRPr="00C82DDB">
              <w:rPr>
                <w:b/>
              </w:rPr>
              <w:t>Free cash flow</w:t>
            </w:r>
          </w:p>
        </w:tc>
        <w:tc>
          <w:tcPr>
            <w:tcW w:w="975" w:type="dxa"/>
            <w:tcBorders>
              <w:top w:val="single" w:sz="4" w:space="0" w:color="207BA1" w:themeColor="accent2"/>
              <w:bottom w:val="single" w:sz="4" w:space="0" w:color="207BA1" w:themeColor="accent2"/>
            </w:tcBorders>
            <w:noWrap/>
            <w:hideMark/>
          </w:tcPr>
          <w:p w14:paraId="2653D48D" w14:textId="77777777" w:rsidR="00740DB0" w:rsidRPr="00C82DDB" w:rsidRDefault="00740DB0" w:rsidP="00C24732">
            <w:pPr>
              <w:pStyle w:val="TableText"/>
              <w:jc w:val="center"/>
              <w:rPr>
                <w:b/>
              </w:rPr>
            </w:pPr>
            <w:r w:rsidRPr="00C82DDB">
              <w:rPr>
                <w:b/>
              </w:rPr>
              <w:t>-29.00</w:t>
            </w:r>
          </w:p>
        </w:tc>
        <w:tc>
          <w:tcPr>
            <w:tcW w:w="976" w:type="dxa"/>
            <w:tcBorders>
              <w:top w:val="single" w:sz="4" w:space="0" w:color="207BA1" w:themeColor="accent2"/>
              <w:bottom w:val="single" w:sz="4" w:space="0" w:color="207BA1" w:themeColor="accent2"/>
            </w:tcBorders>
            <w:noWrap/>
            <w:hideMark/>
          </w:tcPr>
          <w:p w14:paraId="790DDC97" w14:textId="77777777" w:rsidR="00740DB0" w:rsidRPr="00C82DDB" w:rsidRDefault="00740DB0" w:rsidP="00C24732">
            <w:pPr>
              <w:pStyle w:val="TableText"/>
              <w:jc w:val="center"/>
              <w:rPr>
                <w:b/>
              </w:rPr>
            </w:pPr>
            <w:r w:rsidRPr="00C82DDB">
              <w:rPr>
                <w:b/>
              </w:rPr>
              <w:t>21.00</w:t>
            </w:r>
          </w:p>
        </w:tc>
        <w:tc>
          <w:tcPr>
            <w:tcW w:w="976" w:type="dxa"/>
            <w:tcBorders>
              <w:top w:val="single" w:sz="4" w:space="0" w:color="207BA1" w:themeColor="accent2"/>
              <w:bottom w:val="single" w:sz="4" w:space="0" w:color="207BA1" w:themeColor="accent2"/>
            </w:tcBorders>
            <w:noWrap/>
            <w:hideMark/>
          </w:tcPr>
          <w:p w14:paraId="23D495FA" w14:textId="77777777" w:rsidR="00740DB0" w:rsidRPr="00C82DDB" w:rsidRDefault="00740DB0" w:rsidP="00C24732">
            <w:pPr>
              <w:pStyle w:val="TableText"/>
              <w:jc w:val="center"/>
              <w:rPr>
                <w:b/>
              </w:rPr>
            </w:pPr>
            <w:r w:rsidRPr="00C82DDB">
              <w:rPr>
                <w:b/>
              </w:rPr>
              <w:t>21.00</w:t>
            </w:r>
          </w:p>
        </w:tc>
        <w:tc>
          <w:tcPr>
            <w:tcW w:w="976" w:type="dxa"/>
            <w:tcBorders>
              <w:top w:val="single" w:sz="4" w:space="0" w:color="207BA1" w:themeColor="accent2"/>
              <w:bottom w:val="single" w:sz="4" w:space="0" w:color="207BA1" w:themeColor="accent2"/>
            </w:tcBorders>
            <w:noWrap/>
            <w:hideMark/>
          </w:tcPr>
          <w:p w14:paraId="2D8A5AE2" w14:textId="77777777" w:rsidR="00740DB0" w:rsidRPr="00C82DDB" w:rsidRDefault="00740DB0" w:rsidP="00C24732">
            <w:pPr>
              <w:pStyle w:val="TableText"/>
              <w:jc w:val="center"/>
              <w:rPr>
                <w:b/>
              </w:rPr>
            </w:pPr>
            <w:r w:rsidRPr="00C82DDB">
              <w:rPr>
                <w:b/>
              </w:rPr>
              <w:t>21.00</w:t>
            </w:r>
          </w:p>
        </w:tc>
        <w:tc>
          <w:tcPr>
            <w:tcW w:w="1085" w:type="dxa"/>
            <w:gridSpan w:val="2"/>
            <w:tcBorders>
              <w:top w:val="single" w:sz="4" w:space="0" w:color="207BA1" w:themeColor="accent2"/>
              <w:bottom w:val="single" w:sz="4" w:space="0" w:color="207BA1" w:themeColor="accent2"/>
            </w:tcBorders>
            <w:noWrap/>
            <w:hideMark/>
          </w:tcPr>
          <w:p w14:paraId="2FCD5962" w14:textId="77777777" w:rsidR="00740DB0" w:rsidRPr="00C82DDB" w:rsidRDefault="00740DB0" w:rsidP="00C24732">
            <w:pPr>
              <w:pStyle w:val="TableText"/>
              <w:jc w:val="center"/>
              <w:rPr>
                <w:b/>
              </w:rPr>
            </w:pPr>
            <w:r w:rsidRPr="00C82DDB">
              <w:rPr>
                <w:b/>
              </w:rPr>
              <w:t>21.00</w:t>
            </w:r>
          </w:p>
        </w:tc>
      </w:tr>
      <w:tr w:rsidR="00740DB0" w:rsidRPr="00740DB0" w14:paraId="4B345BAC" w14:textId="77777777" w:rsidTr="00717241">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207BA1" w:themeColor="accent2"/>
            </w:tcBorders>
            <w:noWrap/>
            <w:hideMark/>
          </w:tcPr>
          <w:p w14:paraId="12593E43" w14:textId="77777777" w:rsidR="00740DB0" w:rsidRPr="00C82DDB" w:rsidRDefault="00740DB0" w:rsidP="00740DB0">
            <w:pPr>
              <w:pStyle w:val="TableText"/>
              <w:rPr>
                <w:b/>
              </w:rPr>
            </w:pPr>
            <w:r w:rsidRPr="00C82DDB">
              <w:rPr>
                <w:b/>
              </w:rPr>
              <w:t>Discount rate</w:t>
            </w:r>
          </w:p>
        </w:tc>
        <w:tc>
          <w:tcPr>
            <w:tcW w:w="975" w:type="dxa"/>
            <w:tcBorders>
              <w:top w:val="single" w:sz="4" w:space="0" w:color="207BA1" w:themeColor="accent2"/>
            </w:tcBorders>
            <w:noWrap/>
            <w:hideMark/>
          </w:tcPr>
          <w:p w14:paraId="04B65880" w14:textId="77777777" w:rsidR="00740DB0" w:rsidRPr="00C82DDB" w:rsidRDefault="00740DB0" w:rsidP="00C24732">
            <w:pPr>
              <w:pStyle w:val="TableText"/>
              <w:jc w:val="center"/>
              <w:rPr>
                <w:b/>
              </w:rPr>
            </w:pPr>
            <w:r w:rsidRPr="00C82DDB">
              <w:rPr>
                <w:b/>
              </w:rPr>
              <w:t>7.25%</w:t>
            </w:r>
          </w:p>
        </w:tc>
        <w:tc>
          <w:tcPr>
            <w:tcW w:w="976" w:type="dxa"/>
            <w:tcBorders>
              <w:top w:val="single" w:sz="4" w:space="0" w:color="207BA1" w:themeColor="accent2"/>
            </w:tcBorders>
            <w:noWrap/>
            <w:hideMark/>
          </w:tcPr>
          <w:p w14:paraId="626DD6E7" w14:textId="77777777" w:rsidR="00740DB0" w:rsidRPr="00C82DDB" w:rsidRDefault="00740DB0" w:rsidP="00C24732">
            <w:pPr>
              <w:pStyle w:val="TableText"/>
              <w:jc w:val="center"/>
              <w:rPr>
                <w:b/>
              </w:rPr>
            </w:pPr>
          </w:p>
        </w:tc>
        <w:tc>
          <w:tcPr>
            <w:tcW w:w="976" w:type="dxa"/>
            <w:tcBorders>
              <w:top w:val="single" w:sz="4" w:space="0" w:color="207BA1" w:themeColor="accent2"/>
            </w:tcBorders>
            <w:noWrap/>
            <w:hideMark/>
          </w:tcPr>
          <w:p w14:paraId="2ADA42CC" w14:textId="77777777" w:rsidR="00740DB0" w:rsidRPr="00C82DDB" w:rsidRDefault="00740DB0" w:rsidP="00C24732">
            <w:pPr>
              <w:pStyle w:val="TableText"/>
              <w:jc w:val="center"/>
              <w:rPr>
                <w:b/>
              </w:rPr>
            </w:pPr>
          </w:p>
        </w:tc>
        <w:tc>
          <w:tcPr>
            <w:tcW w:w="976" w:type="dxa"/>
            <w:tcBorders>
              <w:top w:val="single" w:sz="4" w:space="0" w:color="207BA1" w:themeColor="accent2"/>
            </w:tcBorders>
            <w:noWrap/>
            <w:hideMark/>
          </w:tcPr>
          <w:p w14:paraId="12414EA6" w14:textId="77777777" w:rsidR="00740DB0" w:rsidRPr="00C82DDB" w:rsidRDefault="00740DB0" w:rsidP="00C24732">
            <w:pPr>
              <w:pStyle w:val="TableText"/>
              <w:jc w:val="center"/>
              <w:rPr>
                <w:b/>
              </w:rPr>
            </w:pPr>
          </w:p>
        </w:tc>
        <w:tc>
          <w:tcPr>
            <w:tcW w:w="1085" w:type="dxa"/>
            <w:gridSpan w:val="2"/>
            <w:tcBorders>
              <w:top w:val="single" w:sz="4" w:space="0" w:color="207BA1" w:themeColor="accent2"/>
            </w:tcBorders>
            <w:noWrap/>
            <w:hideMark/>
          </w:tcPr>
          <w:p w14:paraId="6E72F52B" w14:textId="77777777" w:rsidR="00740DB0" w:rsidRPr="00C82DDB" w:rsidRDefault="00740DB0" w:rsidP="00C24732">
            <w:pPr>
              <w:pStyle w:val="TableText"/>
              <w:jc w:val="center"/>
              <w:rPr>
                <w:b/>
              </w:rPr>
            </w:pPr>
          </w:p>
        </w:tc>
      </w:tr>
      <w:tr w:rsidR="00740DB0" w:rsidRPr="00740DB0" w14:paraId="456A7CC9" w14:textId="77777777" w:rsidTr="00717241">
        <w:tc>
          <w:tcPr>
            <w:tcW w:w="4111" w:type="dxa"/>
            <w:tcBorders>
              <w:bottom w:val="single" w:sz="4" w:space="0" w:color="207BA1" w:themeColor="accent2"/>
            </w:tcBorders>
            <w:noWrap/>
            <w:hideMark/>
          </w:tcPr>
          <w:p w14:paraId="32ADA270" w14:textId="77777777" w:rsidR="00740DB0" w:rsidRPr="00C82DDB" w:rsidRDefault="00740DB0" w:rsidP="00740DB0">
            <w:pPr>
              <w:pStyle w:val="TableText"/>
              <w:rPr>
                <w:b/>
              </w:rPr>
            </w:pPr>
            <w:r w:rsidRPr="00C82DDB">
              <w:rPr>
                <w:b/>
              </w:rPr>
              <w:t>NPV</w:t>
            </w:r>
          </w:p>
        </w:tc>
        <w:tc>
          <w:tcPr>
            <w:tcW w:w="975" w:type="dxa"/>
            <w:tcBorders>
              <w:bottom w:val="single" w:sz="4" w:space="0" w:color="207BA1" w:themeColor="accent2"/>
            </w:tcBorders>
            <w:noWrap/>
            <w:hideMark/>
          </w:tcPr>
          <w:p w14:paraId="4A3D6B11" w14:textId="77777777" w:rsidR="00740DB0" w:rsidRPr="00C82DDB" w:rsidRDefault="00740DB0" w:rsidP="00C24732">
            <w:pPr>
              <w:pStyle w:val="TableText"/>
              <w:jc w:val="center"/>
              <w:rPr>
                <w:b/>
              </w:rPr>
            </w:pPr>
            <w:r w:rsidRPr="00C82DDB">
              <w:rPr>
                <w:b/>
              </w:rPr>
              <w:t>41.73</w:t>
            </w:r>
          </w:p>
        </w:tc>
        <w:tc>
          <w:tcPr>
            <w:tcW w:w="976" w:type="dxa"/>
            <w:tcBorders>
              <w:bottom w:val="single" w:sz="4" w:space="0" w:color="207BA1" w:themeColor="accent2"/>
            </w:tcBorders>
            <w:noWrap/>
            <w:hideMark/>
          </w:tcPr>
          <w:p w14:paraId="314156D9" w14:textId="77777777" w:rsidR="00740DB0" w:rsidRPr="00C82DDB" w:rsidRDefault="00740DB0" w:rsidP="00C24732">
            <w:pPr>
              <w:pStyle w:val="TableText"/>
              <w:jc w:val="center"/>
              <w:rPr>
                <w:b/>
              </w:rPr>
            </w:pPr>
          </w:p>
        </w:tc>
        <w:tc>
          <w:tcPr>
            <w:tcW w:w="976" w:type="dxa"/>
            <w:tcBorders>
              <w:bottom w:val="single" w:sz="4" w:space="0" w:color="207BA1" w:themeColor="accent2"/>
            </w:tcBorders>
            <w:noWrap/>
            <w:hideMark/>
          </w:tcPr>
          <w:p w14:paraId="32AD9D59" w14:textId="77777777" w:rsidR="00740DB0" w:rsidRPr="00C82DDB" w:rsidRDefault="00740DB0" w:rsidP="00C24732">
            <w:pPr>
              <w:pStyle w:val="TableText"/>
              <w:jc w:val="center"/>
              <w:rPr>
                <w:b/>
              </w:rPr>
            </w:pPr>
          </w:p>
        </w:tc>
        <w:tc>
          <w:tcPr>
            <w:tcW w:w="976" w:type="dxa"/>
            <w:tcBorders>
              <w:bottom w:val="single" w:sz="4" w:space="0" w:color="207BA1" w:themeColor="accent2"/>
            </w:tcBorders>
            <w:noWrap/>
            <w:hideMark/>
          </w:tcPr>
          <w:p w14:paraId="497A22FE" w14:textId="77777777" w:rsidR="00740DB0" w:rsidRPr="00C82DDB" w:rsidRDefault="00740DB0" w:rsidP="00C24732">
            <w:pPr>
              <w:pStyle w:val="TableText"/>
              <w:jc w:val="center"/>
              <w:rPr>
                <w:b/>
              </w:rPr>
            </w:pPr>
          </w:p>
        </w:tc>
        <w:tc>
          <w:tcPr>
            <w:tcW w:w="1085" w:type="dxa"/>
            <w:gridSpan w:val="2"/>
            <w:tcBorders>
              <w:bottom w:val="single" w:sz="4" w:space="0" w:color="207BA1" w:themeColor="accent2"/>
            </w:tcBorders>
            <w:noWrap/>
            <w:hideMark/>
          </w:tcPr>
          <w:p w14:paraId="6D9D44EF" w14:textId="77777777" w:rsidR="00740DB0" w:rsidRPr="00C82DDB" w:rsidRDefault="00740DB0" w:rsidP="00C24732">
            <w:pPr>
              <w:pStyle w:val="TableText"/>
              <w:jc w:val="center"/>
              <w:rPr>
                <w:b/>
              </w:rPr>
            </w:pPr>
          </w:p>
        </w:tc>
      </w:tr>
    </w:tbl>
    <w:p w14:paraId="15671EC8" w14:textId="181CE785" w:rsidR="00740DB0" w:rsidRPr="00885B0A" w:rsidRDefault="00740DB0">
      <w:pPr>
        <w:pStyle w:val="Source"/>
      </w:pPr>
      <w:r w:rsidRPr="00885B0A">
        <w:t xml:space="preserve">Source: </w:t>
      </w:r>
      <w:r w:rsidR="002311EE">
        <w:t>Berk and De</w:t>
      </w:r>
      <w:r w:rsidR="0040420D">
        <w:t>M</w:t>
      </w:r>
      <w:r w:rsidR="002311EE">
        <w:t>arzo</w:t>
      </w:r>
      <w:r w:rsidR="00071337">
        <w:t xml:space="preserve"> example.</w:t>
      </w:r>
    </w:p>
    <w:p w14:paraId="62412B2A" w14:textId="15D17B27" w:rsidR="00071337" w:rsidRDefault="00657DD0" w:rsidP="00071337">
      <w:pPr>
        <w:pStyle w:val="BodyText"/>
        <w:rPr>
          <w:lang w:eastAsia="en-AU"/>
        </w:rPr>
      </w:pPr>
      <w:r>
        <w:rPr>
          <w:lang w:eastAsia="en-AU"/>
        </w:rPr>
        <w:fldChar w:fldCharType="begin"/>
      </w:r>
      <w:r>
        <w:rPr>
          <w:lang w:eastAsia="en-AU"/>
        </w:rPr>
        <w:instrText xml:space="preserve"> REF _Ref169103689 </w:instrText>
      </w:r>
      <w:r>
        <w:rPr>
          <w:lang w:eastAsia="en-AU"/>
        </w:rPr>
        <w:fldChar w:fldCharType="separate"/>
      </w:r>
      <w:r w:rsidR="00290E80" w:rsidRPr="00004691">
        <w:t>Table</w:t>
      </w:r>
      <w:r w:rsidR="00290E80" w:rsidRPr="00004691">
        <w:rPr>
          <w:rStyle w:val="Bold"/>
        </w:rPr>
        <w:t xml:space="preserve"> </w:t>
      </w:r>
      <w:r w:rsidR="00290E80">
        <w:rPr>
          <w:noProof/>
        </w:rPr>
        <w:t>9</w:t>
      </w:r>
      <w:r>
        <w:rPr>
          <w:lang w:eastAsia="en-AU"/>
        </w:rPr>
        <w:fldChar w:fldCharType="end"/>
      </w:r>
      <w:r w:rsidR="00071337">
        <w:rPr>
          <w:lang w:eastAsia="en-AU"/>
        </w:rPr>
        <w:t xml:space="preserve"> shows</w:t>
      </w:r>
      <w:r w:rsidR="00955ADC">
        <w:rPr>
          <w:lang w:eastAsia="en-AU"/>
        </w:rPr>
        <w:t xml:space="preserve"> that</w:t>
      </w:r>
      <w:r w:rsidR="005B0958">
        <w:rPr>
          <w:lang w:eastAsia="en-AU"/>
        </w:rPr>
        <w:t xml:space="preserve"> free cash flow is </w:t>
      </w:r>
      <w:r w:rsidR="0035055C">
        <w:rPr>
          <w:lang w:eastAsia="en-AU"/>
        </w:rPr>
        <w:t xml:space="preserve">calculated without having regard to the </w:t>
      </w:r>
      <w:r w:rsidR="00452799">
        <w:rPr>
          <w:lang w:eastAsia="en-AU"/>
        </w:rPr>
        <w:t xml:space="preserve">tax deductibility of interest payments – it </w:t>
      </w:r>
      <w:r w:rsidR="00D83284">
        <w:rPr>
          <w:lang w:eastAsia="en-AU"/>
        </w:rPr>
        <w:t>assumes that the entire EBIT is taxed at the corporate rate</w:t>
      </w:r>
      <w:r w:rsidR="00BF47AF">
        <w:rPr>
          <w:lang w:eastAsia="en-AU"/>
        </w:rPr>
        <w:t xml:space="preserve">.  This definition of cash flows is then paired with the </w:t>
      </w:r>
      <w:r w:rsidR="00EE24AE">
        <w:rPr>
          <w:lang w:eastAsia="en-AU"/>
        </w:rPr>
        <w:t xml:space="preserve">classic </w:t>
      </w:r>
      <w:r w:rsidR="00BF47AF">
        <w:rPr>
          <w:lang w:eastAsia="en-AU"/>
        </w:rPr>
        <w:t xml:space="preserve">after-tax WACC which </w:t>
      </w:r>
      <w:r w:rsidR="00BF47AF" w:rsidRPr="00870152">
        <w:rPr>
          <w:i/>
          <w:lang w:eastAsia="en-AU"/>
        </w:rPr>
        <w:t>does</w:t>
      </w:r>
      <w:r w:rsidR="00BF47AF">
        <w:rPr>
          <w:lang w:eastAsia="en-AU"/>
        </w:rPr>
        <w:t xml:space="preserve"> account for the deductibility of interest</w:t>
      </w:r>
      <w:r w:rsidR="00CF1DB5">
        <w:rPr>
          <w:lang w:eastAsia="en-AU"/>
        </w:rPr>
        <w:t>.</w:t>
      </w:r>
      <w:r w:rsidR="00870152">
        <w:rPr>
          <w:lang w:eastAsia="en-AU"/>
        </w:rPr>
        <w:t xml:space="preserve">  Thus, the tax benefits associated with </w:t>
      </w:r>
      <w:r w:rsidR="000F754F">
        <w:rPr>
          <w:lang w:eastAsia="en-AU"/>
        </w:rPr>
        <w:t>the deductibility of interest are accounted for exactly once, as required.</w:t>
      </w:r>
    </w:p>
    <w:p w14:paraId="4AB16BE2" w14:textId="67C8D4DE" w:rsidR="000F754F" w:rsidRDefault="000F754F" w:rsidP="000F754F">
      <w:pPr>
        <w:pStyle w:val="BodyText"/>
        <w:rPr>
          <w:lang w:eastAsia="en-AU"/>
        </w:rPr>
      </w:pPr>
      <w:r>
        <w:rPr>
          <w:lang w:eastAsia="en-AU"/>
        </w:rPr>
        <w:lastRenderedPageBreak/>
        <w:t>The vanilla WACC is used to discount the free cash flows</w:t>
      </w:r>
      <w:r w:rsidR="00DB7559">
        <w:rPr>
          <w:lang w:eastAsia="en-AU"/>
        </w:rPr>
        <w:t xml:space="preserve"> including the tax benefits from the deductibility of interest</w:t>
      </w:r>
      <w:r>
        <w:rPr>
          <w:lang w:eastAsia="en-AU"/>
        </w:rPr>
        <w:t xml:space="preserve">, as set out in </w:t>
      </w:r>
      <w:r w:rsidR="006A50A1">
        <w:rPr>
          <w:lang w:eastAsia="en-AU"/>
        </w:rPr>
        <w:fldChar w:fldCharType="begin"/>
      </w:r>
      <w:r w:rsidR="006A50A1">
        <w:rPr>
          <w:lang w:eastAsia="en-AU"/>
        </w:rPr>
        <w:instrText xml:space="preserve"> REF _Ref169104244 \h </w:instrText>
      </w:r>
      <w:r w:rsidR="006A50A1">
        <w:rPr>
          <w:lang w:eastAsia="en-AU"/>
        </w:rPr>
      </w:r>
      <w:r w:rsidR="006A50A1">
        <w:rPr>
          <w:lang w:eastAsia="en-AU"/>
        </w:rPr>
        <w:fldChar w:fldCharType="separate"/>
      </w:r>
      <w:r w:rsidR="00290E80" w:rsidRPr="00004691">
        <w:t>Table</w:t>
      </w:r>
      <w:r w:rsidR="00290E80" w:rsidRPr="00004691">
        <w:rPr>
          <w:rStyle w:val="Bold"/>
        </w:rPr>
        <w:t xml:space="preserve"> </w:t>
      </w:r>
      <w:r w:rsidR="00290E80">
        <w:rPr>
          <w:noProof/>
        </w:rPr>
        <w:t>10</w:t>
      </w:r>
      <w:r w:rsidR="006A50A1">
        <w:rPr>
          <w:lang w:eastAsia="en-AU"/>
        </w:rPr>
        <w:fldChar w:fldCharType="end"/>
      </w:r>
      <w:r w:rsidR="00E43EC7">
        <w:rPr>
          <w:lang w:eastAsia="en-AU"/>
        </w:rPr>
        <w:t xml:space="preserve"> </w:t>
      </w:r>
      <w:r>
        <w:rPr>
          <w:lang w:eastAsia="en-AU"/>
        </w:rPr>
        <w:t>below.</w:t>
      </w:r>
    </w:p>
    <w:p w14:paraId="41730A63" w14:textId="01D0F636" w:rsidR="006A50A1" w:rsidRDefault="006A50A1">
      <w:pPr>
        <w:pStyle w:val="Caption"/>
        <w:keepNext/>
      </w:pPr>
      <w:bookmarkStart w:id="39" w:name="_Ref169104244"/>
      <w:bookmarkStart w:id="40" w:name="_Toc170474041"/>
      <w:r w:rsidRPr="00004691">
        <w:t>Table</w:t>
      </w:r>
      <w:r w:rsidRPr="00004691">
        <w:rPr>
          <w:rStyle w:val="Bold"/>
        </w:rPr>
        <w:t xml:space="preserve"> </w:t>
      </w:r>
      <w:r>
        <w:fldChar w:fldCharType="begin"/>
      </w:r>
      <w:r>
        <w:instrText xml:space="preserve"> SEQ Table \* ARABIC </w:instrText>
      </w:r>
      <w:r>
        <w:fldChar w:fldCharType="separate"/>
      </w:r>
      <w:r w:rsidR="00290E80">
        <w:rPr>
          <w:noProof/>
        </w:rPr>
        <w:t>10</w:t>
      </w:r>
      <w:r>
        <w:rPr>
          <w:noProof/>
        </w:rPr>
        <w:fldChar w:fldCharType="end"/>
      </w:r>
      <w:bookmarkEnd w:id="39"/>
      <w:r w:rsidRPr="00004691">
        <w:rPr>
          <w:rStyle w:val="Bold"/>
        </w:rPr>
        <w:t>:</w:t>
      </w:r>
      <w:r w:rsidRPr="00004691">
        <w:t xml:space="preserve"> </w:t>
      </w:r>
      <w:r w:rsidR="00E43EC7">
        <w:t>Present value calculation using vanilla WACC</w:t>
      </w:r>
      <w:bookmarkEnd w:id="40"/>
    </w:p>
    <w:tbl>
      <w:tblPr>
        <w:tblStyle w:val="FETableStyle"/>
        <w:tblW w:w="5000" w:type="pct"/>
        <w:tblLook w:val="0420" w:firstRow="1" w:lastRow="0" w:firstColumn="0" w:lastColumn="0" w:noHBand="0" w:noVBand="1"/>
      </w:tblPr>
      <w:tblGrid>
        <w:gridCol w:w="4012"/>
        <w:gridCol w:w="1003"/>
        <w:gridCol w:w="1003"/>
        <w:gridCol w:w="1003"/>
        <w:gridCol w:w="1003"/>
        <w:gridCol w:w="1003"/>
      </w:tblGrid>
      <w:tr w:rsidR="006A50A1" w:rsidRPr="006A50A1" w14:paraId="3F1AAF3C" w14:textId="77777777" w:rsidTr="00E43EC7">
        <w:trPr>
          <w:cnfStyle w:val="100000000000" w:firstRow="1" w:lastRow="0" w:firstColumn="0" w:lastColumn="0" w:oddVBand="0" w:evenVBand="0" w:oddHBand="0" w:evenHBand="0" w:firstRowFirstColumn="0" w:firstRowLastColumn="0" w:lastRowFirstColumn="0" w:lastRowLastColumn="0"/>
        </w:trPr>
        <w:tc>
          <w:tcPr>
            <w:tcW w:w="4012" w:type="dxa"/>
            <w:noWrap/>
            <w:hideMark/>
          </w:tcPr>
          <w:p w14:paraId="414D6FAF" w14:textId="77777777" w:rsidR="006A50A1" w:rsidRPr="006A50A1" w:rsidRDefault="006A50A1" w:rsidP="006A50A1">
            <w:pPr>
              <w:pStyle w:val="TableHeading"/>
            </w:pPr>
            <w:r w:rsidRPr="006A50A1">
              <w:t>Year</w:t>
            </w:r>
          </w:p>
        </w:tc>
        <w:tc>
          <w:tcPr>
            <w:tcW w:w="1003" w:type="dxa"/>
            <w:noWrap/>
            <w:hideMark/>
          </w:tcPr>
          <w:p w14:paraId="52C25661" w14:textId="77777777" w:rsidR="006A50A1" w:rsidRPr="006A50A1" w:rsidRDefault="006A50A1" w:rsidP="006A50A1">
            <w:pPr>
              <w:pStyle w:val="TableHeading"/>
            </w:pPr>
            <w:r w:rsidRPr="006A50A1">
              <w:t>0</w:t>
            </w:r>
          </w:p>
        </w:tc>
        <w:tc>
          <w:tcPr>
            <w:tcW w:w="1003" w:type="dxa"/>
            <w:noWrap/>
            <w:hideMark/>
          </w:tcPr>
          <w:p w14:paraId="04789DDC" w14:textId="77777777" w:rsidR="006A50A1" w:rsidRPr="006A50A1" w:rsidRDefault="006A50A1" w:rsidP="006A50A1">
            <w:pPr>
              <w:pStyle w:val="TableHeading"/>
            </w:pPr>
            <w:r w:rsidRPr="006A50A1">
              <w:t>1</w:t>
            </w:r>
          </w:p>
        </w:tc>
        <w:tc>
          <w:tcPr>
            <w:tcW w:w="1003" w:type="dxa"/>
            <w:noWrap/>
            <w:hideMark/>
          </w:tcPr>
          <w:p w14:paraId="224CB380" w14:textId="77777777" w:rsidR="006A50A1" w:rsidRPr="006A50A1" w:rsidRDefault="006A50A1" w:rsidP="006A50A1">
            <w:pPr>
              <w:pStyle w:val="TableHeading"/>
            </w:pPr>
            <w:r w:rsidRPr="006A50A1">
              <w:t>2</w:t>
            </w:r>
          </w:p>
        </w:tc>
        <w:tc>
          <w:tcPr>
            <w:tcW w:w="1003" w:type="dxa"/>
            <w:noWrap/>
            <w:hideMark/>
          </w:tcPr>
          <w:p w14:paraId="738F0047" w14:textId="77777777" w:rsidR="006A50A1" w:rsidRPr="006A50A1" w:rsidRDefault="006A50A1" w:rsidP="006A50A1">
            <w:pPr>
              <w:pStyle w:val="TableHeading"/>
            </w:pPr>
            <w:r w:rsidRPr="006A50A1">
              <w:t>3</w:t>
            </w:r>
          </w:p>
        </w:tc>
        <w:tc>
          <w:tcPr>
            <w:tcW w:w="1003" w:type="dxa"/>
            <w:noWrap/>
            <w:hideMark/>
          </w:tcPr>
          <w:p w14:paraId="500A8845" w14:textId="77777777" w:rsidR="006A50A1" w:rsidRPr="006A50A1" w:rsidRDefault="006A50A1" w:rsidP="006A50A1">
            <w:pPr>
              <w:pStyle w:val="TableHeading"/>
            </w:pPr>
            <w:r w:rsidRPr="006A50A1">
              <w:t>4</w:t>
            </w:r>
          </w:p>
        </w:tc>
      </w:tr>
      <w:tr w:rsidR="006A50A1" w:rsidRPr="006A50A1" w14:paraId="427AC318" w14:textId="77777777" w:rsidTr="00E43EC7">
        <w:tc>
          <w:tcPr>
            <w:tcW w:w="4012" w:type="dxa"/>
            <w:noWrap/>
            <w:hideMark/>
          </w:tcPr>
          <w:p w14:paraId="7DC16769" w14:textId="77777777" w:rsidR="006A50A1" w:rsidRPr="006A50A1" w:rsidRDefault="006A50A1" w:rsidP="006A50A1">
            <w:pPr>
              <w:pStyle w:val="TableText"/>
            </w:pPr>
            <w:r w:rsidRPr="006A50A1">
              <w:t>Sales</w:t>
            </w:r>
          </w:p>
        </w:tc>
        <w:tc>
          <w:tcPr>
            <w:tcW w:w="1003" w:type="dxa"/>
            <w:noWrap/>
            <w:hideMark/>
          </w:tcPr>
          <w:p w14:paraId="7FA92672" w14:textId="77777777" w:rsidR="006A50A1" w:rsidRPr="006A50A1" w:rsidRDefault="006A50A1" w:rsidP="006A50A1">
            <w:pPr>
              <w:pStyle w:val="TableText"/>
            </w:pPr>
          </w:p>
        </w:tc>
        <w:tc>
          <w:tcPr>
            <w:tcW w:w="1003" w:type="dxa"/>
            <w:noWrap/>
            <w:hideMark/>
          </w:tcPr>
          <w:p w14:paraId="1734D4A2" w14:textId="77777777" w:rsidR="006A50A1" w:rsidRPr="006A50A1" w:rsidRDefault="006A50A1" w:rsidP="006A50A1">
            <w:pPr>
              <w:pStyle w:val="TableText"/>
            </w:pPr>
            <w:r w:rsidRPr="006A50A1">
              <w:t>60.00</w:t>
            </w:r>
          </w:p>
        </w:tc>
        <w:tc>
          <w:tcPr>
            <w:tcW w:w="1003" w:type="dxa"/>
            <w:noWrap/>
            <w:hideMark/>
          </w:tcPr>
          <w:p w14:paraId="60CE1002" w14:textId="77777777" w:rsidR="006A50A1" w:rsidRPr="006A50A1" w:rsidRDefault="006A50A1" w:rsidP="006A50A1">
            <w:pPr>
              <w:pStyle w:val="TableText"/>
            </w:pPr>
            <w:r w:rsidRPr="006A50A1">
              <w:t>60.00</w:t>
            </w:r>
          </w:p>
        </w:tc>
        <w:tc>
          <w:tcPr>
            <w:tcW w:w="1003" w:type="dxa"/>
            <w:noWrap/>
            <w:hideMark/>
          </w:tcPr>
          <w:p w14:paraId="5C490FAA" w14:textId="77777777" w:rsidR="006A50A1" w:rsidRPr="006A50A1" w:rsidRDefault="006A50A1" w:rsidP="006A50A1">
            <w:pPr>
              <w:pStyle w:val="TableText"/>
            </w:pPr>
            <w:r w:rsidRPr="006A50A1">
              <w:t>60.00</w:t>
            </w:r>
          </w:p>
        </w:tc>
        <w:tc>
          <w:tcPr>
            <w:tcW w:w="1003" w:type="dxa"/>
            <w:noWrap/>
            <w:hideMark/>
          </w:tcPr>
          <w:p w14:paraId="79EADF05" w14:textId="77777777" w:rsidR="006A50A1" w:rsidRPr="006A50A1" w:rsidRDefault="006A50A1" w:rsidP="006A50A1">
            <w:pPr>
              <w:pStyle w:val="TableText"/>
            </w:pPr>
            <w:r w:rsidRPr="006A50A1">
              <w:t>60.00</w:t>
            </w:r>
          </w:p>
        </w:tc>
      </w:tr>
      <w:tr w:rsidR="006A50A1" w:rsidRPr="006A50A1" w14:paraId="5802137A"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tcBorders>
              <w:bottom w:val="single" w:sz="4" w:space="0" w:color="207BA1" w:themeColor="accent2"/>
            </w:tcBorders>
            <w:noWrap/>
            <w:hideMark/>
          </w:tcPr>
          <w:p w14:paraId="7A9B485B" w14:textId="77777777" w:rsidR="006A50A1" w:rsidRPr="006A50A1" w:rsidRDefault="006A50A1" w:rsidP="006A50A1">
            <w:pPr>
              <w:pStyle w:val="TableText"/>
            </w:pPr>
            <w:r w:rsidRPr="006A50A1">
              <w:t>Less Cost of goods sold</w:t>
            </w:r>
          </w:p>
        </w:tc>
        <w:tc>
          <w:tcPr>
            <w:tcW w:w="1003" w:type="dxa"/>
            <w:tcBorders>
              <w:bottom w:val="single" w:sz="4" w:space="0" w:color="207BA1" w:themeColor="accent2"/>
            </w:tcBorders>
            <w:noWrap/>
            <w:hideMark/>
          </w:tcPr>
          <w:p w14:paraId="3233C6B1" w14:textId="77777777" w:rsidR="006A50A1" w:rsidRPr="006A50A1" w:rsidRDefault="006A50A1" w:rsidP="006A50A1">
            <w:pPr>
              <w:pStyle w:val="TableText"/>
            </w:pPr>
          </w:p>
        </w:tc>
        <w:tc>
          <w:tcPr>
            <w:tcW w:w="1003" w:type="dxa"/>
            <w:tcBorders>
              <w:bottom w:val="single" w:sz="4" w:space="0" w:color="207BA1" w:themeColor="accent2"/>
            </w:tcBorders>
            <w:noWrap/>
            <w:hideMark/>
          </w:tcPr>
          <w:p w14:paraId="075A430E" w14:textId="77777777" w:rsidR="006A50A1" w:rsidRPr="006A50A1" w:rsidRDefault="006A50A1" w:rsidP="006A50A1">
            <w:pPr>
              <w:pStyle w:val="TableText"/>
            </w:pPr>
            <w:r w:rsidRPr="006A50A1">
              <w:t>-25.00</w:t>
            </w:r>
          </w:p>
        </w:tc>
        <w:tc>
          <w:tcPr>
            <w:tcW w:w="1003" w:type="dxa"/>
            <w:tcBorders>
              <w:bottom w:val="single" w:sz="4" w:space="0" w:color="207BA1" w:themeColor="accent2"/>
            </w:tcBorders>
            <w:noWrap/>
            <w:hideMark/>
          </w:tcPr>
          <w:p w14:paraId="2CCB1FE4" w14:textId="77777777" w:rsidR="006A50A1" w:rsidRPr="006A50A1" w:rsidRDefault="006A50A1" w:rsidP="006A50A1">
            <w:pPr>
              <w:pStyle w:val="TableText"/>
            </w:pPr>
            <w:r w:rsidRPr="006A50A1">
              <w:t>-25.00</w:t>
            </w:r>
          </w:p>
        </w:tc>
        <w:tc>
          <w:tcPr>
            <w:tcW w:w="1003" w:type="dxa"/>
            <w:tcBorders>
              <w:bottom w:val="single" w:sz="4" w:space="0" w:color="207BA1" w:themeColor="accent2"/>
            </w:tcBorders>
            <w:noWrap/>
            <w:hideMark/>
          </w:tcPr>
          <w:p w14:paraId="07934353" w14:textId="77777777" w:rsidR="006A50A1" w:rsidRPr="006A50A1" w:rsidRDefault="006A50A1" w:rsidP="006A50A1">
            <w:pPr>
              <w:pStyle w:val="TableText"/>
            </w:pPr>
            <w:r w:rsidRPr="006A50A1">
              <w:t>-25.00</w:t>
            </w:r>
          </w:p>
        </w:tc>
        <w:tc>
          <w:tcPr>
            <w:tcW w:w="1003" w:type="dxa"/>
            <w:tcBorders>
              <w:bottom w:val="single" w:sz="4" w:space="0" w:color="207BA1" w:themeColor="accent2"/>
            </w:tcBorders>
            <w:noWrap/>
            <w:hideMark/>
          </w:tcPr>
          <w:p w14:paraId="378A844B" w14:textId="77777777" w:rsidR="006A50A1" w:rsidRPr="006A50A1" w:rsidRDefault="006A50A1" w:rsidP="006A50A1">
            <w:pPr>
              <w:pStyle w:val="TableText"/>
            </w:pPr>
            <w:r w:rsidRPr="006A50A1">
              <w:t>-25.00</w:t>
            </w:r>
          </w:p>
        </w:tc>
      </w:tr>
      <w:tr w:rsidR="006A50A1" w:rsidRPr="006A50A1" w14:paraId="1B62879A" w14:textId="77777777" w:rsidTr="00E43EC7">
        <w:tc>
          <w:tcPr>
            <w:tcW w:w="4012" w:type="dxa"/>
            <w:tcBorders>
              <w:top w:val="single" w:sz="4" w:space="0" w:color="207BA1" w:themeColor="accent2"/>
            </w:tcBorders>
            <w:noWrap/>
            <w:hideMark/>
          </w:tcPr>
          <w:p w14:paraId="62B20E2E" w14:textId="77777777" w:rsidR="006A50A1" w:rsidRPr="00E43EC7" w:rsidRDefault="006A50A1" w:rsidP="006A50A1">
            <w:pPr>
              <w:pStyle w:val="TableText"/>
              <w:rPr>
                <w:b/>
              </w:rPr>
            </w:pPr>
            <w:r w:rsidRPr="00E43EC7">
              <w:rPr>
                <w:b/>
              </w:rPr>
              <w:t>Gross profit</w:t>
            </w:r>
          </w:p>
        </w:tc>
        <w:tc>
          <w:tcPr>
            <w:tcW w:w="1003" w:type="dxa"/>
            <w:tcBorders>
              <w:top w:val="single" w:sz="4" w:space="0" w:color="207BA1" w:themeColor="accent2"/>
            </w:tcBorders>
            <w:noWrap/>
            <w:hideMark/>
          </w:tcPr>
          <w:p w14:paraId="63D6D2E6" w14:textId="77777777" w:rsidR="006A50A1" w:rsidRPr="00E43EC7" w:rsidRDefault="006A50A1" w:rsidP="006A50A1">
            <w:pPr>
              <w:pStyle w:val="TableText"/>
              <w:rPr>
                <w:b/>
              </w:rPr>
            </w:pPr>
          </w:p>
        </w:tc>
        <w:tc>
          <w:tcPr>
            <w:tcW w:w="1003" w:type="dxa"/>
            <w:tcBorders>
              <w:top w:val="single" w:sz="4" w:space="0" w:color="207BA1" w:themeColor="accent2"/>
            </w:tcBorders>
            <w:noWrap/>
            <w:hideMark/>
          </w:tcPr>
          <w:p w14:paraId="4365B9BD" w14:textId="77777777" w:rsidR="006A50A1" w:rsidRPr="00E43EC7" w:rsidRDefault="006A50A1" w:rsidP="006A50A1">
            <w:pPr>
              <w:pStyle w:val="TableText"/>
              <w:rPr>
                <w:b/>
              </w:rPr>
            </w:pPr>
            <w:r w:rsidRPr="00E43EC7">
              <w:rPr>
                <w:b/>
              </w:rPr>
              <w:t>35.00</w:t>
            </w:r>
          </w:p>
        </w:tc>
        <w:tc>
          <w:tcPr>
            <w:tcW w:w="1003" w:type="dxa"/>
            <w:tcBorders>
              <w:top w:val="single" w:sz="4" w:space="0" w:color="207BA1" w:themeColor="accent2"/>
            </w:tcBorders>
            <w:noWrap/>
            <w:hideMark/>
          </w:tcPr>
          <w:p w14:paraId="30936EFD" w14:textId="77777777" w:rsidR="006A50A1" w:rsidRPr="00E43EC7" w:rsidRDefault="006A50A1" w:rsidP="006A50A1">
            <w:pPr>
              <w:pStyle w:val="TableText"/>
              <w:rPr>
                <w:b/>
              </w:rPr>
            </w:pPr>
            <w:r w:rsidRPr="00E43EC7">
              <w:rPr>
                <w:b/>
              </w:rPr>
              <w:t>35.00</w:t>
            </w:r>
          </w:p>
        </w:tc>
        <w:tc>
          <w:tcPr>
            <w:tcW w:w="1003" w:type="dxa"/>
            <w:tcBorders>
              <w:top w:val="single" w:sz="4" w:space="0" w:color="207BA1" w:themeColor="accent2"/>
            </w:tcBorders>
            <w:noWrap/>
            <w:hideMark/>
          </w:tcPr>
          <w:p w14:paraId="2315A5E5" w14:textId="77777777" w:rsidR="006A50A1" w:rsidRPr="00E43EC7" w:rsidRDefault="006A50A1" w:rsidP="006A50A1">
            <w:pPr>
              <w:pStyle w:val="TableText"/>
              <w:rPr>
                <w:b/>
              </w:rPr>
            </w:pPr>
            <w:r w:rsidRPr="00E43EC7">
              <w:rPr>
                <w:b/>
              </w:rPr>
              <w:t>35.00</w:t>
            </w:r>
          </w:p>
        </w:tc>
        <w:tc>
          <w:tcPr>
            <w:tcW w:w="1003" w:type="dxa"/>
            <w:tcBorders>
              <w:top w:val="single" w:sz="4" w:space="0" w:color="207BA1" w:themeColor="accent2"/>
            </w:tcBorders>
            <w:noWrap/>
            <w:hideMark/>
          </w:tcPr>
          <w:p w14:paraId="108A0EB2" w14:textId="77777777" w:rsidR="006A50A1" w:rsidRPr="00E43EC7" w:rsidRDefault="006A50A1" w:rsidP="006A50A1">
            <w:pPr>
              <w:pStyle w:val="TableText"/>
              <w:rPr>
                <w:b/>
              </w:rPr>
            </w:pPr>
            <w:r w:rsidRPr="00E43EC7">
              <w:rPr>
                <w:b/>
              </w:rPr>
              <w:t>35.00</w:t>
            </w:r>
          </w:p>
        </w:tc>
      </w:tr>
      <w:tr w:rsidR="006A50A1" w:rsidRPr="006A50A1" w14:paraId="22BD5D72"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noWrap/>
            <w:hideMark/>
          </w:tcPr>
          <w:p w14:paraId="2DF8D69E" w14:textId="77777777" w:rsidR="006A50A1" w:rsidRPr="006A50A1" w:rsidRDefault="006A50A1" w:rsidP="006A50A1">
            <w:pPr>
              <w:pStyle w:val="TableText"/>
            </w:pPr>
            <w:r w:rsidRPr="006A50A1">
              <w:t>Less Operating expenses</w:t>
            </w:r>
          </w:p>
        </w:tc>
        <w:tc>
          <w:tcPr>
            <w:tcW w:w="1003" w:type="dxa"/>
            <w:noWrap/>
            <w:hideMark/>
          </w:tcPr>
          <w:p w14:paraId="3E4E43AA" w14:textId="77777777" w:rsidR="006A50A1" w:rsidRPr="006A50A1" w:rsidRDefault="006A50A1" w:rsidP="006A50A1">
            <w:pPr>
              <w:pStyle w:val="TableText"/>
            </w:pPr>
            <w:r w:rsidRPr="006A50A1">
              <w:t>-6.67</w:t>
            </w:r>
          </w:p>
        </w:tc>
        <w:tc>
          <w:tcPr>
            <w:tcW w:w="1003" w:type="dxa"/>
            <w:noWrap/>
            <w:hideMark/>
          </w:tcPr>
          <w:p w14:paraId="5B86A98C" w14:textId="77777777" w:rsidR="006A50A1" w:rsidRPr="006A50A1" w:rsidRDefault="006A50A1" w:rsidP="006A50A1">
            <w:pPr>
              <w:pStyle w:val="TableText"/>
            </w:pPr>
            <w:r w:rsidRPr="006A50A1">
              <w:t>-9.00</w:t>
            </w:r>
          </w:p>
        </w:tc>
        <w:tc>
          <w:tcPr>
            <w:tcW w:w="1003" w:type="dxa"/>
            <w:noWrap/>
            <w:hideMark/>
          </w:tcPr>
          <w:p w14:paraId="58234310" w14:textId="77777777" w:rsidR="006A50A1" w:rsidRPr="006A50A1" w:rsidRDefault="006A50A1" w:rsidP="006A50A1">
            <w:pPr>
              <w:pStyle w:val="TableText"/>
            </w:pPr>
            <w:r w:rsidRPr="006A50A1">
              <w:t>-9.00</w:t>
            </w:r>
          </w:p>
        </w:tc>
        <w:tc>
          <w:tcPr>
            <w:tcW w:w="1003" w:type="dxa"/>
            <w:noWrap/>
            <w:hideMark/>
          </w:tcPr>
          <w:p w14:paraId="5BD0A988" w14:textId="77777777" w:rsidR="006A50A1" w:rsidRPr="006A50A1" w:rsidRDefault="006A50A1" w:rsidP="006A50A1">
            <w:pPr>
              <w:pStyle w:val="TableText"/>
            </w:pPr>
            <w:r w:rsidRPr="006A50A1">
              <w:t>-9.00</w:t>
            </w:r>
          </w:p>
        </w:tc>
        <w:tc>
          <w:tcPr>
            <w:tcW w:w="1003" w:type="dxa"/>
            <w:noWrap/>
            <w:hideMark/>
          </w:tcPr>
          <w:p w14:paraId="6F04B5BF" w14:textId="77777777" w:rsidR="006A50A1" w:rsidRPr="006A50A1" w:rsidRDefault="006A50A1" w:rsidP="006A50A1">
            <w:pPr>
              <w:pStyle w:val="TableText"/>
            </w:pPr>
            <w:r w:rsidRPr="006A50A1">
              <w:t>-9.00</w:t>
            </w:r>
          </w:p>
        </w:tc>
      </w:tr>
      <w:tr w:rsidR="006A50A1" w:rsidRPr="006A50A1" w14:paraId="494A142D" w14:textId="77777777" w:rsidTr="00E43EC7">
        <w:tc>
          <w:tcPr>
            <w:tcW w:w="4012" w:type="dxa"/>
            <w:noWrap/>
            <w:hideMark/>
          </w:tcPr>
          <w:p w14:paraId="55B69808" w14:textId="77777777" w:rsidR="006A50A1" w:rsidRPr="006A50A1" w:rsidRDefault="006A50A1" w:rsidP="006A50A1">
            <w:pPr>
              <w:pStyle w:val="TableText"/>
            </w:pPr>
            <w:r w:rsidRPr="006A50A1">
              <w:t>Less Depreciation</w:t>
            </w:r>
          </w:p>
        </w:tc>
        <w:tc>
          <w:tcPr>
            <w:tcW w:w="1003" w:type="dxa"/>
            <w:noWrap/>
            <w:hideMark/>
          </w:tcPr>
          <w:p w14:paraId="58F35EE5" w14:textId="77777777" w:rsidR="006A50A1" w:rsidRPr="006A50A1" w:rsidRDefault="006A50A1" w:rsidP="006A50A1">
            <w:pPr>
              <w:pStyle w:val="TableText"/>
            </w:pPr>
          </w:p>
        </w:tc>
        <w:tc>
          <w:tcPr>
            <w:tcW w:w="1003" w:type="dxa"/>
            <w:noWrap/>
            <w:hideMark/>
          </w:tcPr>
          <w:p w14:paraId="0B8C57ED" w14:textId="77777777" w:rsidR="006A50A1" w:rsidRPr="006A50A1" w:rsidRDefault="006A50A1" w:rsidP="006A50A1">
            <w:pPr>
              <w:pStyle w:val="TableText"/>
            </w:pPr>
            <w:r w:rsidRPr="006A50A1">
              <w:t>-6.00</w:t>
            </w:r>
          </w:p>
        </w:tc>
        <w:tc>
          <w:tcPr>
            <w:tcW w:w="1003" w:type="dxa"/>
            <w:noWrap/>
            <w:hideMark/>
          </w:tcPr>
          <w:p w14:paraId="2215E5AF" w14:textId="77777777" w:rsidR="006A50A1" w:rsidRPr="006A50A1" w:rsidRDefault="006A50A1" w:rsidP="006A50A1">
            <w:pPr>
              <w:pStyle w:val="TableText"/>
            </w:pPr>
            <w:r w:rsidRPr="006A50A1">
              <w:t>-6.00</w:t>
            </w:r>
          </w:p>
        </w:tc>
        <w:tc>
          <w:tcPr>
            <w:tcW w:w="1003" w:type="dxa"/>
            <w:noWrap/>
            <w:hideMark/>
          </w:tcPr>
          <w:p w14:paraId="3D192219" w14:textId="77777777" w:rsidR="006A50A1" w:rsidRPr="006A50A1" w:rsidRDefault="006A50A1" w:rsidP="006A50A1">
            <w:pPr>
              <w:pStyle w:val="TableText"/>
            </w:pPr>
            <w:r w:rsidRPr="006A50A1">
              <w:t>-6.00</w:t>
            </w:r>
          </w:p>
        </w:tc>
        <w:tc>
          <w:tcPr>
            <w:tcW w:w="1003" w:type="dxa"/>
            <w:noWrap/>
            <w:hideMark/>
          </w:tcPr>
          <w:p w14:paraId="083DE36A" w14:textId="77777777" w:rsidR="006A50A1" w:rsidRPr="006A50A1" w:rsidRDefault="006A50A1" w:rsidP="006A50A1">
            <w:pPr>
              <w:pStyle w:val="TableText"/>
            </w:pPr>
            <w:r w:rsidRPr="006A50A1">
              <w:t>-6.00</w:t>
            </w:r>
          </w:p>
        </w:tc>
      </w:tr>
      <w:tr w:rsidR="006A50A1" w:rsidRPr="006A50A1" w14:paraId="7559B6FF"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tcBorders>
              <w:bottom w:val="single" w:sz="4" w:space="0" w:color="207BA1" w:themeColor="accent2"/>
            </w:tcBorders>
            <w:noWrap/>
            <w:hideMark/>
          </w:tcPr>
          <w:p w14:paraId="39F4E4CE" w14:textId="77777777" w:rsidR="006A50A1" w:rsidRPr="006A50A1" w:rsidRDefault="006A50A1" w:rsidP="006A50A1">
            <w:pPr>
              <w:pStyle w:val="TableText"/>
            </w:pPr>
            <w:r w:rsidRPr="006A50A1">
              <w:t>Less Interest</w:t>
            </w:r>
          </w:p>
        </w:tc>
        <w:tc>
          <w:tcPr>
            <w:tcW w:w="1003" w:type="dxa"/>
            <w:tcBorders>
              <w:bottom w:val="single" w:sz="4" w:space="0" w:color="207BA1" w:themeColor="accent2"/>
            </w:tcBorders>
            <w:noWrap/>
            <w:hideMark/>
          </w:tcPr>
          <w:p w14:paraId="02FA803E" w14:textId="77777777" w:rsidR="006A50A1" w:rsidRPr="006A50A1" w:rsidRDefault="006A50A1" w:rsidP="006A50A1">
            <w:pPr>
              <w:pStyle w:val="TableText"/>
            </w:pPr>
          </w:p>
        </w:tc>
        <w:tc>
          <w:tcPr>
            <w:tcW w:w="1003" w:type="dxa"/>
            <w:tcBorders>
              <w:bottom w:val="single" w:sz="4" w:space="0" w:color="207BA1" w:themeColor="accent2"/>
            </w:tcBorders>
            <w:noWrap/>
            <w:hideMark/>
          </w:tcPr>
          <w:p w14:paraId="5F166FFC" w14:textId="77777777" w:rsidR="006A50A1" w:rsidRPr="006A50A1" w:rsidRDefault="006A50A1" w:rsidP="006A50A1">
            <w:pPr>
              <w:pStyle w:val="TableText"/>
            </w:pPr>
            <w:r w:rsidRPr="006A50A1">
              <w:t>-2.12</w:t>
            </w:r>
          </w:p>
        </w:tc>
        <w:tc>
          <w:tcPr>
            <w:tcW w:w="1003" w:type="dxa"/>
            <w:tcBorders>
              <w:bottom w:val="single" w:sz="4" w:space="0" w:color="207BA1" w:themeColor="accent2"/>
            </w:tcBorders>
            <w:noWrap/>
            <w:hideMark/>
          </w:tcPr>
          <w:p w14:paraId="7AD30FDB" w14:textId="77777777" w:rsidR="006A50A1" w:rsidRPr="006A50A1" w:rsidRDefault="006A50A1" w:rsidP="006A50A1">
            <w:pPr>
              <w:pStyle w:val="TableText"/>
            </w:pPr>
            <w:r w:rsidRPr="006A50A1">
              <w:t>-1.65</w:t>
            </w:r>
          </w:p>
        </w:tc>
        <w:tc>
          <w:tcPr>
            <w:tcW w:w="1003" w:type="dxa"/>
            <w:tcBorders>
              <w:bottom w:val="single" w:sz="4" w:space="0" w:color="207BA1" w:themeColor="accent2"/>
            </w:tcBorders>
            <w:noWrap/>
            <w:hideMark/>
          </w:tcPr>
          <w:p w14:paraId="0E143854" w14:textId="77777777" w:rsidR="006A50A1" w:rsidRPr="006A50A1" w:rsidRDefault="006A50A1" w:rsidP="006A50A1">
            <w:pPr>
              <w:pStyle w:val="TableText"/>
            </w:pPr>
            <w:r w:rsidRPr="006A50A1">
              <w:t>-1.14</w:t>
            </w:r>
          </w:p>
        </w:tc>
        <w:tc>
          <w:tcPr>
            <w:tcW w:w="1003" w:type="dxa"/>
            <w:tcBorders>
              <w:bottom w:val="single" w:sz="4" w:space="0" w:color="207BA1" w:themeColor="accent2"/>
            </w:tcBorders>
            <w:noWrap/>
            <w:hideMark/>
          </w:tcPr>
          <w:p w14:paraId="38C1940E" w14:textId="77777777" w:rsidR="006A50A1" w:rsidRPr="006A50A1" w:rsidRDefault="006A50A1" w:rsidP="006A50A1">
            <w:pPr>
              <w:pStyle w:val="TableText"/>
            </w:pPr>
            <w:r w:rsidRPr="006A50A1">
              <w:t>-0.59</w:t>
            </w:r>
          </w:p>
        </w:tc>
      </w:tr>
      <w:tr w:rsidR="006A50A1" w:rsidRPr="006A50A1" w14:paraId="28B541AE" w14:textId="77777777" w:rsidTr="00E43EC7">
        <w:tc>
          <w:tcPr>
            <w:tcW w:w="4012" w:type="dxa"/>
            <w:tcBorders>
              <w:top w:val="single" w:sz="4" w:space="0" w:color="207BA1" w:themeColor="accent2"/>
            </w:tcBorders>
            <w:noWrap/>
            <w:hideMark/>
          </w:tcPr>
          <w:p w14:paraId="0DCE53A5" w14:textId="77777777" w:rsidR="006A50A1" w:rsidRPr="00E43EC7" w:rsidRDefault="006A50A1" w:rsidP="006A50A1">
            <w:pPr>
              <w:pStyle w:val="TableText"/>
              <w:rPr>
                <w:b/>
              </w:rPr>
            </w:pPr>
            <w:r w:rsidRPr="00E43EC7">
              <w:rPr>
                <w:b/>
              </w:rPr>
              <w:t>Taxable income</w:t>
            </w:r>
          </w:p>
        </w:tc>
        <w:tc>
          <w:tcPr>
            <w:tcW w:w="1003" w:type="dxa"/>
            <w:tcBorders>
              <w:top w:val="single" w:sz="4" w:space="0" w:color="207BA1" w:themeColor="accent2"/>
            </w:tcBorders>
            <w:noWrap/>
            <w:hideMark/>
          </w:tcPr>
          <w:p w14:paraId="3F6B8FEC" w14:textId="77777777" w:rsidR="006A50A1" w:rsidRPr="00E43EC7" w:rsidRDefault="006A50A1" w:rsidP="006A50A1">
            <w:pPr>
              <w:pStyle w:val="TableText"/>
              <w:rPr>
                <w:b/>
              </w:rPr>
            </w:pPr>
            <w:r w:rsidRPr="00E43EC7">
              <w:rPr>
                <w:b/>
              </w:rPr>
              <w:t>-6.67</w:t>
            </w:r>
          </w:p>
        </w:tc>
        <w:tc>
          <w:tcPr>
            <w:tcW w:w="1003" w:type="dxa"/>
            <w:tcBorders>
              <w:top w:val="single" w:sz="4" w:space="0" w:color="207BA1" w:themeColor="accent2"/>
            </w:tcBorders>
            <w:noWrap/>
            <w:hideMark/>
          </w:tcPr>
          <w:p w14:paraId="1C7D264E" w14:textId="77777777" w:rsidR="006A50A1" w:rsidRPr="00E43EC7" w:rsidRDefault="006A50A1" w:rsidP="006A50A1">
            <w:pPr>
              <w:pStyle w:val="TableText"/>
              <w:rPr>
                <w:b/>
              </w:rPr>
            </w:pPr>
            <w:r w:rsidRPr="00E43EC7">
              <w:rPr>
                <w:b/>
              </w:rPr>
              <w:t>17.88</w:t>
            </w:r>
          </w:p>
        </w:tc>
        <w:tc>
          <w:tcPr>
            <w:tcW w:w="1003" w:type="dxa"/>
            <w:tcBorders>
              <w:top w:val="single" w:sz="4" w:space="0" w:color="207BA1" w:themeColor="accent2"/>
            </w:tcBorders>
            <w:noWrap/>
            <w:hideMark/>
          </w:tcPr>
          <w:p w14:paraId="08334273" w14:textId="77777777" w:rsidR="006A50A1" w:rsidRPr="00E43EC7" w:rsidRDefault="006A50A1" w:rsidP="006A50A1">
            <w:pPr>
              <w:pStyle w:val="TableText"/>
              <w:rPr>
                <w:b/>
              </w:rPr>
            </w:pPr>
            <w:r w:rsidRPr="00E43EC7">
              <w:rPr>
                <w:b/>
              </w:rPr>
              <w:t>18.35</w:t>
            </w:r>
          </w:p>
        </w:tc>
        <w:tc>
          <w:tcPr>
            <w:tcW w:w="1003" w:type="dxa"/>
            <w:tcBorders>
              <w:top w:val="single" w:sz="4" w:space="0" w:color="207BA1" w:themeColor="accent2"/>
            </w:tcBorders>
            <w:noWrap/>
            <w:hideMark/>
          </w:tcPr>
          <w:p w14:paraId="3188ED86" w14:textId="77777777" w:rsidR="006A50A1" w:rsidRPr="00E43EC7" w:rsidRDefault="006A50A1" w:rsidP="006A50A1">
            <w:pPr>
              <w:pStyle w:val="TableText"/>
              <w:rPr>
                <w:b/>
              </w:rPr>
            </w:pPr>
            <w:r w:rsidRPr="00E43EC7">
              <w:rPr>
                <w:b/>
              </w:rPr>
              <w:t>18.86</w:t>
            </w:r>
          </w:p>
        </w:tc>
        <w:tc>
          <w:tcPr>
            <w:tcW w:w="1003" w:type="dxa"/>
            <w:tcBorders>
              <w:top w:val="single" w:sz="4" w:space="0" w:color="207BA1" w:themeColor="accent2"/>
            </w:tcBorders>
            <w:noWrap/>
            <w:hideMark/>
          </w:tcPr>
          <w:p w14:paraId="6D0D0CE9" w14:textId="77777777" w:rsidR="006A50A1" w:rsidRPr="00E43EC7" w:rsidRDefault="006A50A1" w:rsidP="006A50A1">
            <w:pPr>
              <w:pStyle w:val="TableText"/>
              <w:rPr>
                <w:b/>
              </w:rPr>
            </w:pPr>
            <w:r w:rsidRPr="00E43EC7">
              <w:rPr>
                <w:b/>
              </w:rPr>
              <w:t>19.41</w:t>
            </w:r>
          </w:p>
        </w:tc>
      </w:tr>
      <w:tr w:rsidR="006A50A1" w:rsidRPr="006A50A1" w14:paraId="7231222A"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tcBorders>
              <w:bottom w:val="single" w:sz="4" w:space="0" w:color="207BA1" w:themeColor="accent2"/>
            </w:tcBorders>
            <w:noWrap/>
            <w:hideMark/>
          </w:tcPr>
          <w:p w14:paraId="4CA56D94" w14:textId="77777777" w:rsidR="006A50A1" w:rsidRPr="006A50A1" w:rsidRDefault="006A50A1" w:rsidP="006A50A1">
            <w:pPr>
              <w:pStyle w:val="TableText"/>
            </w:pPr>
            <w:r w:rsidRPr="006A50A1">
              <w:t>Less tax (at corporate rate)</w:t>
            </w:r>
          </w:p>
        </w:tc>
        <w:tc>
          <w:tcPr>
            <w:tcW w:w="1003" w:type="dxa"/>
            <w:tcBorders>
              <w:bottom w:val="single" w:sz="4" w:space="0" w:color="207BA1" w:themeColor="accent2"/>
            </w:tcBorders>
            <w:noWrap/>
            <w:hideMark/>
          </w:tcPr>
          <w:p w14:paraId="0169978B" w14:textId="77777777" w:rsidR="006A50A1" w:rsidRPr="006A50A1" w:rsidRDefault="006A50A1" w:rsidP="006A50A1">
            <w:pPr>
              <w:pStyle w:val="TableText"/>
            </w:pPr>
            <w:r w:rsidRPr="006A50A1">
              <w:t>1.67</w:t>
            </w:r>
          </w:p>
        </w:tc>
        <w:tc>
          <w:tcPr>
            <w:tcW w:w="1003" w:type="dxa"/>
            <w:tcBorders>
              <w:bottom w:val="single" w:sz="4" w:space="0" w:color="207BA1" w:themeColor="accent2"/>
            </w:tcBorders>
            <w:noWrap/>
            <w:hideMark/>
          </w:tcPr>
          <w:p w14:paraId="4AE75BA1" w14:textId="77777777" w:rsidR="006A50A1" w:rsidRPr="006A50A1" w:rsidRDefault="006A50A1" w:rsidP="006A50A1">
            <w:pPr>
              <w:pStyle w:val="TableText"/>
            </w:pPr>
            <w:r w:rsidRPr="006A50A1">
              <w:t>-4.47</w:t>
            </w:r>
          </w:p>
        </w:tc>
        <w:tc>
          <w:tcPr>
            <w:tcW w:w="1003" w:type="dxa"/>
            <w:tcBorders>
              <w:bottom w:val="single" w:sz="4" w:space="0" w:color="207BA1" w:themeColor="accent2"/>
            </w:tcBorders>
            <w:noWrap/>
            <w:hideMark/>
          </w:tcPr>
          <w:p w14:paraId="28B308CE" w14:textId="77777777" w:rsidR="006A50A1" w:rsidRPr="006A50A1" w:rsidRDefault="006A50A1" w:rsidP="006A50A1">
            <w:pPr>
              <w:pStyle w:val="TableText"/>
            </w:pPr>
            <w:r w:rsidRPr="006A50A1">
              <w:t>-4.59</w:t>
            </w:r>
          </w:p>
        </w:tc>
        <w:tc>
          <w:tcPr>
            <w:tcW w:w="1003" w:type="dxa"/>
            <w:tcBorders>
              <w:bottom w:val="single" w:sz="4" w:space="0" w:color="207BA1" w:themeColor="accent2"/>
            </w:tcBorders>
            <w:noWrap/>
            <w:hideMark/>
          </w:tcPr>
          <w:p w14:paraId="7765998E" w14:textId="77777777" w:rsidR="006A50A1" w:rsidRPr="006A50A1" w:rsidRDefault="006A50A1" w:rsidP="006A50A1">
            <w:pPr>
              <w:pStyle w:val="TableText"/>
            </w:pPr>
            <w:r w:rsidRPr="006A50A1">
              <w:t>-4.72</w:t>
            </w:r>
          </w:p>
        </w:tc>
        <w:tc>
          <w:tcPr>
            <w:tcW w:w="1003" w:type="dxa"/>
            <w:tcBorders>
              <w:bottom w:val="single" w:sz="4" w:space="0" w:color="207BA1" w:themeColor="accent2"/>
            </w:tcBorders>
            <w:noWrap/>
            <w:hideMark/>
          </w:tcPr>
          <w:p w14:paraId="0FC0CACF" w14:textId="77777777" w:rsidR="006A50A1" w:rsidRPr="006A50A1" w:rsidRDefault="006A50A1" w:rsidP="006A50A1">
            <w:pPr>
              <w:pStyle w:val="TableText"/>
            </w:pPr>
            <w:r w:rsidRPr="006A50A1">
              <w:t>-4.85</w:t>
            </w:r>
          </w:p>
        </w:tc>
      </w:tr>
      <w:tr w:rsidR="006A50A1" w:rsidRPr="006A50A1" w14:paraId="4D9ED2B9" w14:textId="77777777" w:rsidTr="00E43EC7">
        <w:tc>
          <w:tcPr>
            <w:tcW w:w="4012" w:type="dxa"/>
            <w:tcBorders>
              <w:top w:val="single" w:sz="4" w:space="0" w:color="207BA1" w:themeColor="accent2"/>
            </w:tcBorders>
            <w:noWrap/>
            <w:hideMark/>
          </w:tcPr>
          <w:p w14:paraId="61F8A396" w14:textId="77777777" w:rsidR="006A50A1" w:rsidRPr="00E43EC7" w:rsidRDefault="006A50A1" w:rsidP="006A50A1">
            <w:pPr>
              <w:pStyle w:val="TableText"/>
              <w:rPr>
                <w:b/>
              </w:rPr>
            </w:pPr>
            <w:r w:rsidRPr="00E43EC7">
              <w:rPr>
                <w:b/>
              </w:rPr>
              <w:t>After-tax profit</w:t>
            </w:r>
          </w:p>
        </w:tc>
        <w:tc>
          <w:tcPr>
            <w:tcW w:w="1003" w:type="dxa"/>
            <w:tcBorders>
              <w:top w:val="single" w:sz="4" w:space="0" w:color="207BA1" w:themeColor="accent2"/>
            </w:tcBorders>
            <w:noWrap/>
            <w:hideMark/>
          </w:tcPr>
          <w:p w14:paraId="1AA894ED" w14:textId="77777777" w:rsidR="006A50A1" w:rsidRPr="00E43EC7" w:rsidRDefault="006A50A1" w:rsidP="006A50A1">
            <w:pPr>
              <w:pStyle w:val="TableText"/>
              <w:rPr>
                <w:b/>
              </w:rPr>
            </w:pPr>
            <w:r w:rsidRPr="00E43EC7">
              <w:rPr>
                <w:b/>
              </w:rPr>
              <w:t>-5.00</w:t>
            </w:r>
          </w:p>
        </w:tc>
        <w:tc>
          <w:tcPr>
            <w:tcW w:w="1003" w:type="dxa"/>
            <w:tcBorders>
              <w:top w:val="single" w:sz="4" w:space="0" w:color="207BA1" w:themeColor="accent2"/>
            </w:tcBorders>
            <w:noWrap/>
            <w:hideMark/>
          </w:tcPr>
          <w:p w14:paraId="5065FCFF" w14:textId="77777777" w:rsidR="006A50A1" w:rsidRPr="00E43EC7" w:rsidRDefault="006A50A1" w:rsidP="006A50A1">
            <w:pPr>
              <w:pStyle w:val="TableText"/>
              <w:rPr>
                <w:b/>
              </w:rPr>
            </w:pPr>
            <w:r w:rsidRPr="00E43EC7">
              <w:rPr>
                <w:b/>
              </w:rPr>
              <w:t>13.41</w:t>
            </w:r>
          </w:p>
        </w:tc>
        <w:tc>
          <w:tcPr>
            <w:tcW w:w="1003" w:type="dxa"/>
            <w:tcBorders>
              <w:top w:val="single" w:sz="4" w:space="0" w:color="207BA1" w:themeColor="accent2"/>
            </w:tcBorders>
            <w:noWrap/>
            <w:hideMark/>
          </w:tcPr>
          <w:p w14:paraId="73A7A59D" w14:textId="77777777" w:rsidR="006A50A1" w:rsidRPr="00E43EC7" w:rsidRDefault="006A50A1" w:rsidP="006A50A1">
            <w:pPr>
              <w:pStyle w:val="TableText"/>
              <w:rPr>
                <w:b/>
              </w:rPr>
            </w:pPr>
            <w:r w:rsidRPr="00E43EC7">
              <w:rPr>
                <w:b/>
              </w:rPr>
              <w:t>13.76</w:t>
            </w:r>
          </w:p>
        </w:tc>
        <w:tc>
          <w:tcPr>
            <w:tcW w:w="1003" w:type="dxa"/>
            <w:tcBorders>
              <w:top w:val="single" w:sz="4" w:space="0" w:color="207BA1" w:themeColor="accent2"/>
            </w:tcBorders>
            <w:noWrap/>
            <w:hideMark/>
          </w:tcPr>
          <w:p w14:paraId="01897638" w14:textId="77777777" w:rsidR="006A50A1" w:rsidRPr="00E43EC7" w:rsidRDefault="006A50A1" w:rsidP="006A50A1">
            <w:pPr>
              <w:pStyle w:val="TableText"/>
              <w:rPr>
                <w:b/>
              </w:rPr>
            </w:pPr>
            <w:r w:rsidRPr="00E43EC7">
              <w:rPr>
                <w:b/>
              </w:rPr>
              <w:t>14.15</w:t>
            </w:r>
          </w:p>
        </w:tc>
        <w:tc>
          <w:tcPr>
            <w:tcW w:w="1003" w:type="dxa"/>
            <w:tcBorders>
              <w:top w:val="single" w:sz="4" w:space="0" w:color="207BA1" w:themeColor="accent2"/>
            </w:tcBorders>
            <w:noWrap/>
            <w:hideMark/>
          </w:tcPr>
          <w:p w14:paraId="1188F154" w14:textId="77777777" w:rsidR="006A50A1" w:rsidRPr="00E43EC7" w:rsidRDefault="006A50A1" w:rsidP="006A50A1">
            <w:pPr>
              <w:pStyle w:val="TableText"/>
              <w:rPr>
                <w:b/>
              </w:rPr>
            </w:pPr>
            <w:r w:rsidRPr="00E43EC7">
              <w:rPr>
                <w:b/>
              </w:rPr>
              <w:t>14.56</w:t>
            </w:r>
          </w:p>
        </w:tc>
      </w:tr>
      <w:tr w:rsidR="006A50A1" w:rsidRPr="006A50A1" w14:paraId="0083DE93"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noWrap/>
            <w:hideMark/>
          </w:tcPr>
          <w:p w14:paraId="6106D2D1" w14:textId="77777777" w:rsidR="006A50A1" w:rsidRPr="006A50A1" w:rsidRDefault="006A50A1" w:rsidP="006A50A1">
            <w:pPr>
              <w:pStyle w:val="TableText"/>
            </w:pPr>
            <w:r w:rsidRPr="006A50A1">
              <w:t>Add back Depreciation</w:t>
            </w:r>
          </w:p>
        </w:tc>
        <w:tc>
          <w:tcPr>
            <w:tcW w:w="1003" w:type="dxa"/>
            <w:noWrap/>
            <w:hideMark/>
          </w:tcPr>
          <w:p w14:paraId="5DD288B8" w14:textId="77777777" w:rsidR="006A50A1" w:rsidRPr="006A50A1" w:rsidRDefault="006A50A1" w:rsidP="006A50A1">
            <w:pPr>
              <w:pStyle w:val="TableText"/>
            </w:pPr>
          </w:p>
        </w:tc>
        <w:tc>
          <w:tcPr>
            <w:tcW w:w="1003" w:type="dxa"/>
            <w:noWrap/>
            <w:hideMark/>
          </w:tcPr>
          <w:p w14:paraId="70D3F127" w14:textId="77777777" w:rsidR="006A50A1" w:rsidRPr="006A50A1" w:rsidRDefault="006A50A1" w:rsidP="006A50A1">
            <w:pPr>
              <w:pStyle w:val="TableText"/>
            </w:pPr>
            <w:r w:rsidRPr="006A50A1">
              <w:t>6.00</w:t>
            </w:r>
          </w:p>
        </w:tc>
        <w:tc>
          <w:tcPr>
            <w:tcW w:w="1003" w:type="dxa"/>
            <w:noWrap/>
            <w:hideMark/>
          </w:tcPr>
          <w:p w14:paraId="0DD75E1B" w14:textId="77777777" w:rsidR="006A50A1" w:rsidRPr="006A50A1" w:rsidRDefault="006A50A1" w:rsidP="006A50A1">
            <w:pPr>
              <w:pStyle w:val="TableText"/>
            </w:pPr>
            <w:r w:rsidRPr="006A50A1">
              <w:t>6.00</w:t>
            </w:r>
          </w:p>
        </w:tc>
        <w:tc>
          <w:tcPr>
            <w:tcW w:w="1003" w:type="dxa"/>
            <w:noWrap/>
            <w:hideMark/>
          </w:tcPr>
          <w:p w14:paraId="1A41EBE1" w14:textId="77777777" w:rsidR="006A50A1" w:rsidRPr="006A50A1" w:rsidRDefault="006A50A1" w:rsidP="006A50A1">
            <w:pPr>
              <w:pStyle w:val="TableText"/>
            </w:pPr>
            <w:r w:rsidRPr="006A50A1">
              <w:t>6.00</w:t>
            </w:r>
          </w:p>
        </w:tc>
        <w:tc>
          <w:tcPr>
            <w:tcW w:w="1003" w:type="dxa"/>
            <w:noWrap/>
            <w:hideMark/>
          </w:tcPr>
          <w:p w14:paraId="6E02E7CF" w14:textId="77777777" w:rsidR="006A50A1" w:rsidRPr="006A50A1" w:rsidRDefault="006A50A1" w:rsidP="006A50A1">
            <w:pPr>
              <w:pStyle w:val="TableText"/>
            </w:pPr>
            <w:r w:rsidRPr="006A50A1">
              <w:t>6.00</w:t>
            </w:r>
          </w:p>
        </w:tc>
      </w:tr>
      <w:tr w:rsidR="006A50A1" w:rsidRPr="006A50A1" w14:paraId="2BE4CDC7" w14:textId="77777777" w:rsidTr="00E43EC7">
        <w:tc>
          <w:tcPr>
            <w:tcW w:w="4012" w:type="dxa"/>
            <w:noWrap/>
            <w:hideMark/>
          </w:tcPr>
          <w:p w14:paraId="5DFE4FF1" w14:textId="77777777" w:rsidR="006A50A1" w:rsidRPr="006A50A1" w:rsidRDefault="006A50A1" w:rsidP="006A50A1">
            <w:pPr>
              <w:pStyle w:val="TableText"/>
            </w:pPr>
            <w:r w:rsidRPr="006A50A1">
              <w:t>Add back interest</w:t>
            </w:r>
          </w:p>
        </w:tc>
        <w:tc>
          <w:tcPr>
            <w:tcW w:w="1003" w:type="dxa"/>
            <w:noWrap/>
            <w:hideMark/>
          </w:tcPr>
          <w:p w14:paraId="004DC6A5" w14:textId="77777777" w:rsidR="006A50A1" w:rsidRPr="006A50A1" w:rsidRDefault="006A50A1" w:rsidP="006A50A1">
            <w:pPr>
              <w:pStyle w:val="TableText"/>
            </w:pPr>
          </w:p>
        </w:tc>
        <w:tc>
          <w:tcPr>
            <w:tcW w:w="1003" w:type="dxa"/>
            <w:noWrap/>
            <w:hideMark/>
          </w:tcPr>
          <w:p w14:paraId="42CA4AB5" w14:textId="77777777" w:rsidR="006A50A1" w:rsidRPr="006A50A1" w:rsidRDefault="006A50A1" w:rsidP="006A50A1">
            <w:pPr>
              <w:pStyle w:val="TableText"/>
            </w:pPr>
            <w:r w:rsidRPr="006A50A1">
              <w:t>2.12</w:t>
            </w:r>
          </w:p>
        </w:tc>
        <w:tc>
          <w:tcPr>
            <w:tcW w:w="1003" w:type="dxa"/>
            <w:noWrap/>
            <w:hideMark/>
          </w:tcPr>
          <w:p w14:paraId="65A0E662" w14:textId="77777777" w:rsidR="006A50A1" w:rsidRPr="006A50A1" w:rsidRDefault="006A50A1" w:rsidP="006A50A1">
            <w:pPr>
              <w:pStyle w:val="TableText"/>
            </w:pPr>
            <w:r w:rsidRPr="006A50A1">
              <w:t>1.65</w:t>
            </w:r>
          </w:p>
        </w:tc>
        <w:tc>
          <w:tcPr>
            <w:tcW w:w="1003" w:type="dxa"/>
            <w:noWrap/>
            <w:hideMark/>
          </w:tcPr>
          <w:p w14:paraId="68B323A7" w14:textId="77777777" w:rsidR="006A50A1" w:rsidRPr="006A50A1" w:rsidRDefault="006A50A1" w:rsidP="006A50A1">
            <w:pPr>
              <w:pStyle w:val="TableText"/>
            </w:pPr>
            <w:r w:rsidRPr="006A50A1">
              <w:t>1.14</w:t>
            </w:r>
          </w:p>
        </w:tc>
        <w:tc>
          <w:tcPr>
            <w:tcW w:w="1003" w:type="dxa"/>
            <w:noWrap/>
            <w:hideMark/>
          </w:tcPr>
          <w:p w14:paraId="3B6BA6A5" w14:textId="77777777" w:rsidR="006A50A1" w:rsidRPr="006A50A1" w:rsidRDefault="006A50A1" w:rsidP="006A50A1">
            <w:pPr>
              <w:pStyle w:val="TableText"/>
            </w:pPr>
            <w:r w:rsidRPr="006A50A1">
              <w:t>0.59</w:t>
            </w:r>
          </w:p>
        </w:tc>
      </w:tr>
      <w:tr w:rsidR="006A50A1" w:rsidRPr="006A50A1" w14:paraId="380A1EBB"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tcBorders>
              <w:bottom w:val="single" w:sz="4" w:space="0" w:color="207BA1" w:themeColor="accent2"/>
            </w:tcBorders>
            <w:noWrap/>
            <w:hideMark/>
          </w:tcPr>
          <w:p w14:paraId="03B709DD" w14:textId="77777777" w:rsidR="006A50A1" w:rsidRPr="006A50A1" w:rsidRDefault="006A50A1" w:rsidP="006A50A1">
            <w:pPr>
              <w:pStyle w:val="TableText"/>
            </w:pPr>
            <w:r w:rsidRPr="006A50A1">
              <w:t>Less Capital expenditure</w:t>
            </w:r>
          </w:p>
        </w:tc>
        <w:tc>
          <w:tcPr>
            <w:tcW w:w="1003" w:type="dxa"/>
            <w:tcBorders>
              <w:bottom w:val="single" w:sz="4" w:space="0" w:color="207BA1" w:themeColor="accent2"/>
            </w:tcBorders>
            <w:noWrap/>
            <w:hideMark/>
          </w:tcPr>
          <w:p w14:paraId="20020A1A" w14:textId="77777777" w:rsidR="006A50A1" w:rsidRPr="006A50A1" w:rsidRDefault="006A50A1" w:rsidP="006A50A1">
            <w:pPr>
              <w:pStyle w:val="TableText"/>
            </w:pPr>
            <w:r w:rsidRPr="006A50A1">
              <w:t>-24.00</w:t>
            </w:r>
          </w:p>
        </w:tc>
        <w:tc>
          <w:tcPr>
            <w:tcW w:w="1003" w:type="dxa"/>
            <w:tcBorders>
              <w:bottom w:val="single" w:sz="4" w:space="0" w:color="207BA1" w:themeColor="accent2"/>
            </w:tcBorders>
            <w:noWrap/>
            <w:hideMark/>
          </w:tcPr>
          <w:p w14:paraId="094A3E5F" w14:textId="77777777" w:rsidR="006A50A1" w:rsidRPr="006A50A1" w:rsidRDefault="006A50A1" w:rsidP="006A50A1">
            <w:pPr>
              <w:pStyle w:val="TableText"/>
            </w:pPr>
          </w:p>
        </w:tc>
        <w:tc>
          <w:tcPr>
            <w:tcW w:w="1003" w:type="dxa"/>
            <w:tcBorders>
              <w:bottom w:val="single" w:sz="4" w:space="0" w:color="207BA1" w:themeColor="accent2"/>
            </w:tcBorders>
            <w:noWrap/>
            <w:hideMark/>
          </w:tcPr>
          <w:p w14:paraId="00477B76" w14:textId="77777777" w:rsidR="006A50A1" w:rsidRPr="006A50A1" w:rsidRDefault="006A50A1" w:rsidP="006A50A1">
            <w:pPr>
              <w:pStyle w:val="TableText"/>
            </w:pPr>
          </w:p>
        </w:tc>
        <w:tc>
          <w:tcPr>
            <w:tcW w:w="1003" w:type="dxa"/>
            <w:tcBorders>
              <w:bottom w:val="single" w:sz="4" w:space="0" w:color="207BA1" w:themeColor="accent2"/>
            </w:tcBorders>
            <w:noWrap/>
            <w:hideMark/>
          </w:tcPr>
          <w:p w14:paraId="51581324" w14:textId="77777777" w:rsidR="006A50A1" w:rsidRPr="006A50A1" w:rsidRDefault="006A50A1" w:rsidP="006A50A1">
            <w:pPr>
              <w:pStyle w:val="TableText"/>
            </w:pPr>
          </w:p>
        </w:tc>
        <w:tc>
          <w:tcPr>
            <w:tcW w:w="1003" w:type="dxa"/>
            <w:tcBorders>
              <w:bottom w:val="single" w:sz="4" w:space="0" w:color="207BA1" w:themeColor="accent2"/>
            </w:tcBorders>
            <w:noWrap/>
            <w:hideMark/>
          </w:tcPr>
          <w:p w14:paraId="3AE32B8A" w14:textId="77777777" w:rsidR="006A50A1" w:rsidRPr="006A50A1" w:rsidRDefault="006A50A1" w:rsidP="006A50A1">
            <w:pPr>
              <w:pStyle w:val="TableText"/>
            </w:pPr>
          </w:p>
        </w:tc>
      </w:tr>
      <w:tr w:rsidR="006A50A1" w:rsidRPr="006A50A1" w14:paraId="21EB206B" w14:textId="77777777" w:rsidTr="00E43EC7">
        <w:tc>
          <w:tcPr>
            <w:tcW w:w="4012" w:type="dxa"/>
            <w:tcBorders>
              <w:top w:val="single" w:sz="4" w:space="0" w:color="207BA1" w:themeColor="accent2"/>
              <w:bottom w:val="single" w:sz="4" w:space="0" w:color="207BA1" w:themeColor="accent2"/>
            </w:tcBorders>
            <w:noWrap/>
            <w:hideMark/>
          </w:tcPr>
          <w:p w14:paraId="415BE42B" w14:textId="77777777" w:rsidR="006A50A1" w:rsidRPr="00E43EC7" w:rsidRDefault="006A50A1" w:rsidP="006A50A1">
            <w:pPr>
              <w:pStyle w:val="TableText"/>
              <w:rPr>
                <w:b/>
              </w:rPr>
            </w:pPr>
            <w:r w:rsidRPr="00E43EC7">
              <w:rPr>
                <w:b/>
              </w:rPr>
              <w:t>Free cash flow plus tax benefits</w:t>
            </w:r>
          </w:p>
        </w:tc>
        <w:tc>
          <w:tcPr>
            <w:tcW w:w="1003" w:type="dxa"/>
            <w:tcBorders>
              <w:top w:val="single" w:sz="4" w:space="0" w:color="207BA1" w:themeColor="accent2"/>
              <w:bottom w:val="single" w:sz="4" w:space="0" w:color="207BA1" w:themeColor="accent2"/>
            </w:tcBorders>
            <w:noWrap/>
            <w:hideMark/>
          </w:tcPr>
          <w:p w14:paraId="7D4D181D" w14:textId="77777777" w:rsidR="006A50A1" w:rsidRPr="00E43EC7" w:rsidRDefault="006A50A1" w:rsidP="006A50A1">
            <w:pPr>
              <w:pStyle w:val="TableText"/>
              <w:rPr>
                <w:b/>
              </w:rPr>
            </w:pPr>
            <w:r w:rsidRPr="00E43EC7">
              <w:rPr>
                <w:b/>
              </w:rPr>
              <w:t>-29.00</w:t>
            </w:r>
          </w:p>
        </w:tc>
        <w:tc>
          <w:tcPr>
            <w:tcW w:w="1003" w:type="dxa"/>
            <w:tcBorders>
              <w:top w:val="single" w:sz="4" w:space="0" w:color="207BA1" w:themeColor="accent2"/>
              <w:bottom w:val="single" w:sz="4" w:space="0" w:color="207BA1" w:themeColor="accent2"/>
            </w:tcBorders>
            <w:noWrap/>
            <w:hideMark/>
          </w:tcPr>
          <w:p w14:paraId="11A31037" w14:textId="77777777" w:rsidR="006A50A1" w:rsidRPr="00E43EC7" w:rsidRDefault="006A50A1" w:rsidP="006A50A1">
            <w:pPr>
              <w:pStyle w:val="TableText"/>
              <w:rPr>
                <w:b/>
              </w:rPr>
            </w:pPr>
            <w:r w:rsidRPr="00E43EC7">
              <w:rPr>
                <w:b/>
              </w:rPr>
              <w:t>21.53</w:t>
            </w:r>
          </w:p>
        </w:tc>
        <w:tc>
          <w:tcPr>
            <w:tcW w:w="1003" w:type="dxa"/>
            <w:tcBorders>
              <w:top w:val="single" w:sz="4" w:space="0" w:color="207BA1" w:themeColor="accent2"/>
              <w:bottom w:val="single" w:sz="4" w:space="0" w:color="207BA1" w:themeColor="accent2"/>
            </w:tcBorders>
            <w:noWrap/>
            <w:hideMark/>
          </w:tcPr>
          <w:p w14:paraId="37B1D53D" w14:textId="77777777" w:rsidR="006A50A1" w:rsidRPr="00E43EC7" w:rsidRDefault="006A50A1" w:rsidP="006A50A1">
            <w:pPr>
              <w:pStyle w:val="TableText"/>
              <w:rPr>
                <w:b/>
              </w:rPr>
            </w:pPr>
            <w:r w:rsidRPr="00E43EC7">
              <w:rPr>
                <w:b/>
              </w:rPr>
              <w:t>21.41</w:t>
            </w:r>
          </w:p>
        </w:tc>
        <w:tc>
          <w:tcPr>
            <w:tcW w:w="1003" w:type="dxa"/>
            <w:tcBorders>
              <w:top w:val="single" w:sz="4" w:space="0" w:color="207BA1" w:themeColor="accent2"/>
              <w:bottom w:val="single" w:sz="4" w:space="0" w:color="207BA1" w:themeColor="accent2"/>
            </w:tcBorders>
            <w:noWrap/>
            <w:hideMark/>
          </w:tcPr>
          <w:p w14:paraId="3C4E5509" w14:textId="77777777" w:rsidR="006A50A1" w:rsidRPr="00E43EC7" w:rsidRDefault="006A50A1" w:rsidP="006A50A1">
            <w:pPr>
              <w:pStyle w:val="TableText"/>
              <w:rPr>
                <w:b/>
              </w:rPr>
            </w:pPr>
            <w:r w:rsidRPr="00E43EC7">
              <w:rPr>
                <w:b/>
              </w:rPr>
              <w:t>21.29</w:t>
            </w:r>
          </w:p>
        </w:tc>
        <w:tc>
          <w:tcPr>
            <w:tcW w:w="1003" w:type="dxa"/>
            <w:tcBorders>
              <w:top w:val="single" w:sz="4" w:space="0" w:color="207BA1" w:themeColor="accent2"/>
              <w:bottom w:val="single" w:sz="4" w:space="0" w:color="207BA1" w:themeColor="accent2"/>
            </w:tcBorders>
            <w:noWrap/>
            <w:hideMark/>
          </w:tcPr>
          <w:p w14:paraId="242105E0" w14:textId="77777777" w:rsidR="006A50A1" w:rsidRPr="00E43EC7" w:rsidRDefault="006A50A1" w:rsidP="006A50A1">
            <w:pPr>
              <w:pStyle w:val="TableText"/>
              <w:rPr>
                <w:b/>
              </w:rPr>
            </w:pPr>
            <w:r w:rsidRPr="00E43EC7">
              <w:rPr>
                <w:b/>
              </w:rPr>
              <w:t>21.15</w:t>
            </w:r>
          </w:p>
        </w:tc>
      </w:tr>
      <w:tr w:rsidR="006A50A1" w:rsidRPr="006A50A1" w14:paraId="5C997C98" w14:textId="77777777" w:rsidTr="00E43EC7">
        <w:trPr>
          <w:cnfStyle w:val="000000010000" w:firstRow="0" w:lastRow="0" w:firstColumn="0" w:lastColumn="0" w:oddVBand="0" w:evenVBand="0" w:oddHBand="0" w:evenHBand="1" w:firstRowFirstColumn="0" w:firstRowLastColumn="0" w:lastRowFirstColumn="0" w:lastRowLastColumn="0"/>
        </w:trPr>
        <w:tc>
          <w:tcPr>
            <w:tcW w:w="4012" w:type="dxa"/>
            <w:tcBorders>
              <w:top w:val="single" w:sz="4" w:space="0" w:color="207BA1" w:themeColor="accent2"/>
            </w:tcBorders>
            <w:noWrap/>
            <w:hideMark/>
          </w:tcPr>
          <w:p w14:paraId="54476BA2" w14:textId="77777777" w:rsidR="006A50A1" w:rsidRPr="00E43EC7" w:rsidRDefault="006A50A1" w:rsidP="006A50A1">
            <w:pPr>
              <w:pStyle w:val="TableText"/>
              <w:rPr>
                <w:b/>
              </w:rPr>
            </w:pPr>
            <w:r w:rsidRPr="00E43EC7">
              <w:rPr>
                <w:b/>
              </w:rPr>
              <w:t>Discount rate</w:t>
            </w:r>
          </w:p>
        </w:tc>
        <w:tc>
          <w:tcPr>
            <w:tcW w:w="1003" w:type="dxa"/>
            <w:tcBorders>
              <w:top w:val="single" w:sz="4" w:space="0" w:color="207BA1" w:themeColor="accent2"/>
            </w:tcBorders>
            <w:noWrap/>
            <w:hideMark/>
          </w:tcPr>
          <w:p w14:paraId="52F8F99F" w14:textId="77777777" w:rsidR="006A50A1" w:rsidRPr="00E43EC7" w:rsidRDefault="006A50A1" w:rsidP="006A50A1">
            <w:pPr>
              <w:pStyle w:val="TableText"/>
              <w:rPr>
                <w:b/>
              </w:rPr>
            </w:pPr>
            <w:r w:rsidRPr="00E43EC7">
              <w:rPr>
                <w:b/>
              </w:rPr>
              <w:t>8.00%</w:t>
            </w:r>
          </w:p>
        </w:tc>
        <w:tc>
          <w:tcPr>
            <w:tcW w:w="1003" w:type="dxa"/>
            <w:tcBorders>
              <w:top w:val="single" w:sz="4" w:space="0" w:color="207BA1" w:themeColor="accent2"/>
            </w:tcBorders>
            <w:noWrap/>
            <w:hideMark/>
          </w:tcPr>
          <w:p w14:paraId="348D2573" w14:textId="77777777" w:rsidR="006A50A1" w:rsidRPr="00E43EC7" w:rsidRDefault="006A50A1" w:rsidP="006A50A1">
            <w:pPr>
              <w:pStyle w:val="TableText"/>
              <w:rPr>
                <w:b/>
              </w:rPr>
            </w:pPr>
          </w:p>
        </w:tc>
        <w:tc>
          <w:tcPr>
            <w:tcW w:w="1003" w:type="dxa"/>
            <w:tcBorders>
              <w:top w:val="single" w:sz="4" w:space="0" w:color="207BA1" w:themeColor="accent2"/>
            </w:tcBorders>
            <w:noWrap/>
            <w:hideMark/>
          </w:tcPr>
          <w:p w14:paraId="25E27AB4" w14:textId="77777777" w:rsidR="006A50A1" w:rsidRPr="00E43EC7" w:rsidRDefault="006A50A1" w:rsidP="006A50A1">
            <w:pPr>
              <w:pStyle w:val="TableText"/>
              <w:rPr>
                <w:b/>
              </w:rPr>
            </w:pPr>
          </w:p>
        </w:tc>
        <w:tc>
          <w:tcPr>
            <w:tcW w:w="1003" w:type="dxa"/>
            <w:tcBorders>
              <w:top w:val="single" w:sz="4" w:space="0" w:color="207BA1" w:themeColor="accent2"/>
            </w:tcBorders>
            <w:noWrap/>
            <w:hideMark/>
          </w:tcPr>
          <w:p w14:paraId="7C8A21A1" w14:textId="77777777" w:rsidR="006A50A1" w:rsidRPr="00E43EC7" w:rsidRDefault="006A50A1" w:rsidP="006A50A1">
            <w:pPr>
              <w:pStyle w:val="TableText"/>
              <w:rPr>
                <w:b/>
              </w:rPr>
            </w:pPr>
          </w:p>
        </w:tc>
        <w:tc>
          <w:tcPr>
            <w:tcW w:w="1003" w:type="dxa"/>
            <w:tcBorders>
              <w:top w:val="single" w:sz="4" w:space="0" w:color="207BA1" w:themeColor="accent2"/>
            </w:tcBorders>
            <w:noWrap/>
            <w:hideMark/>
          </w:tcPr>
          <w:p w14:paraId="5A392050" w14:textId="77777777" w:rsidR="006A50A1" w:rsidRPr="00E43EC7" w:rsidRDefault="006A50A1" w:rsidP="006A50A1">
            <w:pPr>
              <w:pStyle w:val="TableText"/>
              <w:rPr>
                <w:b/>
              </w:rPr>
            </w:pPr>
          </w:p>
        </w:tc>
      </w:tr>
      <w:tr w:rsidR="006A50A1" w:rsidRPr="006A50A1" w14:paraId="095F8D84" w14:textId="77777777" w:rsidTr="00E43EC7">
        <w:tc>
          <w:tcPr>
            <w:tcW w:w="4012" w:type="dxa"/>
            <w:tcBorders>
              <w:bottom w:val="single" w:sz="4" w:space="0" w:color="207BA1" w:themeColor="accent2"/>
            </w:tcBorders>
            <w:noWrap/>
            <w:hideMark/>
          </w:tcPr>
          <w:p w14:paraId="074DC3C4" w14:textId="77777777" w:rsidR="006A50A1" w:rsidRPr="00E43EC7" w:rsidRDefault="006A50A1" w:rsidP="006A50A1">
            <w:pPr>
              <w:pStyle w:val="TableText"/>
              <w:rPr>
                <w:b/>
              </w:rPr>
            </w:pPr>
            <w:r w:rsidRPr="00E43EC7">
              <w:rPr>
                <w:b/>
              </w:rPr>
              <w:t>NPV</w:t>
            </w:r>
          </w:p>
        </w:tc>
        <w:tc>
          <w:tcPr>
            <w:tcW w:w="1003" w:type="dxa"/>
            <w:tcBorders>
              <w:bottom w:val="single" w:sz="4" w:space="0" w:color="207BA1" w:themeColor="accent2"/>
            </w:tcBorders>
            <w:noWrap/>
            <w:hideMark/>
          </w:tcPr>
          <w:p w14:paraId="4D5BE2EF" w14:textId="77777777" w:rsidR="006A50A1" w:rsidRPr="00E43EC7" w:rsidRDefault="006A50A1" w:rsidP="006A50A1">
            <w:pPr>
              <w:pStyle w:val="TableText"/>
              <w:rPr>
                <w:b/>
              </w:rPr>
            </w:pPr>
            <w:r w:rsidRPr="00E43EC7">
              <w:rPr>
                <w:b/>
              </w:rPr>
              <w:t>41.73</w:t>
            </w:r>
          </w:p>
        </w:tc>
        <w:tc>
          <w:tcPr>
            <w:tcW w:w="1003" w:type="dxa"/>
            <w:tcBorders>
              <w:bottom w:val="single" w:sz="4" w:space="0" w:color="207BA1" w:themeColor="accent2"/>
            </w:tcBorders>
            <w:noWrap/>
            <w:hideMark/>
          </w:tcPr>
          <w:p w14:paraId="591DD585" w14:textId="77777777" w:rsidR="006A50A1" w:rsidRPr="00E43EC7" w:rsidRDefault="006A50A1" w:rsidP="006A50A1">
            <w:pPr>
              <w:pStyle w:val="TableText"/>
              <w:rPr>
                <w:b/>
              </w:rPr>
            </w:pPr>
          </w:p>
        </w:tc>
        <w:tc>
          <w:tcPr>
            <w:tcW w:w="1003" w:type="dxa"/>
            <w:tcBorders>
              <w:bottom w:val="single" w:sz="4" w:space="0" w:color="207BA1" w:themeColor="accent2"/>
            </w:tcBorders>
            <w:noWrap/>
            <w:hideMark/>
          </w:tcPr>
          <w:p w14:paraId="68954254" w14:textId="77777777" w:rsidR="006A50A1" w:rsidRPr="00E43EC7" w:rsidRDefault="006A50A1" w:rsidP="006A50A1">
            <w:pPr>
              <w:pStyle w:val="TableText"/>
              <w:rPr>
                <w:b/>
              </w:rPr>
            </w:pPr>
          </w:p>
        </w:tc>
        <w:tc>
          <w:tcPr>
            <w:tcW w:w="1003" w:type="dxa"/>
            <w:tcBorders>
              <w:bottom w:val="single" w:sz="4" w:space="0" w:color="207BA1" w:themeColor="accent2"/>
            </w:tcBorders>
            <w:noWrap/>
            <w:hideMark/>
          </w:tcPr>
          <w:p w14:paraId="411E89C0" w14:textId="77777777" w:rsidR="006A50A1" w:rsidRPr="00E43EC7" w:rsidRDefault="006A50A1" w:rsidP="006A50A1">
            <w:pPr>
              <w:pStyle w:val="TableText"/>
              <w:rPr>
                <w:b/>
              </w:rPr>
            </w:pPr>
          </w:p>
        </w:tc>
        <w:tc>
          <w:tcPr>
            <w:tcW w:w="1003" w:type="dxa"/>
            <w:tcBorders>
              <w:bottom w:val="single" w:sz="4" w:space="0" w:color="207BA1" w:themeColor="accent2"/>
            </w:tcBorders>
            <w:noWrap/>
            <w:hideMark/>
          </w:tcPr>
          <w:p w14:paraId="4B97608B" w14:textId="77777777" w:rsidR="006A50A1" w:rsidRPr="00E43EC7" w:rsidRDefault="006A50A1" w:rsidP="006A50A1">
            <w:pPr>
              <w:pStyle w:val="TableText"/>
              <w:rPr>
                <w:b/>
              </w:rPr>
            </w:pPr>
          </w:p>
        </w:tc>
      </w:tr>
    </w:tbl>
    <w:p w14:paraId="57EBFD61" w14:textId="0759046F" w:rsidR="006A50A1" w:rsidRPr="00885B0A" w:rsidRDefault="006A50A1">
      <w:pPr>
        <w:pStyle w:val="Source"/>
      </w:pPr>
      <w:r w:rsidRPr="00885B0A">
        <w:t xml:space="preserve">Source: </w:t>
      </w:r>
      <w:r w:rsidR="00E43EC7">
        <w:t>Berk and DeMarzo example.</w:t>
      </w:r>
    </w:p>
    <w:p w14:paraId="32D65D67" w14:textId="0F5E829C" w:rsidR="00E43EC7" w:rsidRDefault="00E43EC7" w:rsidP="00E43EC7">
      <w:pPr>
        <w:pStyle w:val="BodyText"/>
        <w:rPr>
          <w:lang w:eastAsia="en-AU"/>
        </w:rPr>
      </w:pPr>
      <w:r>
        <w:rPr>
          <w:lang w:eastAsia="en-AU"/>
        </w:rPr>
        <w:fldChar w:fldCharType="begin"/>
      </w:r>
      <w:r>
        <w:rPr>
          <w:lang w:eastAsia="en-AU"/>
        </w:rPr>
        <w:instrText xml:space="preserve"> REF _Ref169104244 \h </w:instrText>
      </w:r>
      <w:r>
        <w:rPr>
          <w:lang w:eastAsia="en-AU"/>
        </w:rPr>
      </w:r>
      <w:r>
        <w:rPr>
          <w:lang w:eastAsia="en-AU"/>
        </w:rPr>
        <w:fldChar w:fldCharType="separate"/>
      </w:r>
      <w:r w:rsidR="00290E80" w:rsidRPr="00004691">
        <w:t>Table</w:t>
      </w:r>
      <w:r w:rsidR="00290E80" w:rsidRPr="00004691">
        <w:rPr>
          <w:rStyle w:val="Bold"/>
        </w:rPr>
        <w:t xml:space="preserve"> </w:t>
      </w:r>
      <w:r w:rsidR="00290E80">
        <w:rPr>
          <w:noProof/>
        </w:rPr>
        <w:t>10</w:t>
      </w:r>
      <w:r>
        <w:rPr>
          <w:lang w:eastAsia="en-AU"/>
        </w:rPr>
        <w:fldChar w:fldCharType="end"/>
      </w:r>
      <w:r>
        <w:rPr>
          <w:lang w:eastAsia="en-AU"/>
        </w:rPr>
        <w:t xml:space="preserve"> shows that </w:t>
      </w:r>
      <w:r w:rsidR="00773234">
        <w:rPr>
          <w:lang w:eastAsia="en-AU"/>
        </w:rPr>
        <w:t>taxable income</w:t>
      </w:r>
      <w:r>
        <w:rPr>
          <w:lang w:eastAsia="en-AU"/>
        </w:rPr>
        <w:t xml:space="preserve"> is calculated </w:t>
      </w:r>
      <w:r w:rsidR="00773234">
        <w:rPr>
          <w:lang w:eastAsia="en-AU"/>
        </w:rPr>
        <w:t>after</w:t>
      </w:r>
      <w:r>
        <w:rPr>
          <w:lang w:eastAsia="en-AU"/>
        </w:rPr>
        <w:t xml:space="preserve"> having regard to the tax deductibility of interest payments.  This definition of cash flows is then paired with the </w:t>
      </w:r>
      <w:r w:rsidR="001E07E0">
        <w:rPr>
          <w:lang w:eastAsia="en-AU"/>
        </w:rPr>
        <w:t>vanilla</w:t>
      </w:r>
      <w:r>
        <w:rPr>
          <w:lang w:eastAsia="en-AU"/>
        </w:rPr>
        <w:t xml:space="preserve"> WACC which </w:t>
      </w:r>
      <w:r w:rsidRPr="00870152">
        <w:rPr>
          <w:i/>
          <w:iCs/>
          <w:lang w:eastAsia="en-AU"/>
        </w:rPr>
        <w:t>does</w:t>
      </w:r>
      <w:r>
        <w:rPr>
          <w:i/>
          <w:lang w:eastAsia="en-AU"/>
        </w:rPr>
        <w:t xml:space="preserve"> </w:t>
      </w:r>
      <w:r w:rsidR="0060152F">
        <w:rPr>
          <w:i/>
          <w:iCs/>
          <w:lang w:eastAsia="en-AU"/>
        </w:rPr>
        <w:t>not</w:t>
      </w:r>
      <w:r>
        <w:rPr>
          <w:lang w:eastAsia="en-AU"/>
        </w:rPr>
        <w:t xml:space="preserve"> account for the deductibility of interest.  </w:t>
      </w:r>
      <w:r w:rsidR="00B47C29">
        <w:rPr>
          <w:lang w:eastAsia="en-AU"/>
        </w:rPr>
        <w:t>Again</w:t>
      </w:r>
      <w:r>
        <w:rPr>
          <w:lang w:eastAsia="en-AU"/>
        </w:rPr>
        <w:t>, the tax benefits associated with the deductibility of interest are accounted for exactly once, as required.</w:t>
      </w:r>
    </w:p>
    <w:p w14:paraId="0126C8D3" w14:textId="3452B4DC" w:rsidR="00B47C29" w:rsidRDefault="00B47C29" w:rsidP="00E43EC7">
      <w:pPr>
        <w:pStyle w:val="BodyText"/>
        <w:rPr>
          <w:lang w:eastAsia="en-AU"/>
        </w:rPr>
      </w:pPr>
      <w:r>
        <w:rPr>
          <w:lang w:eastAsia="en-AU"/>
        </w:rPr>
        <w:t>Importantly, so long as</w:t>
      </w:r>
      <w:r w:rsidR="00B47FF4">
        <w:rPr>
          <w:lang w:eastAsia="en-AU"/>
        </w:rPr>
        <w:t xml:space="preserve"> the definition of cash flows and WACC are consistently </w:t>
      </w:r>
      <w:r w:rsidR="008A1C50">
        <w:rPr>
          <w:lang w:eastAsia="en-AU"/>
        </w:rPr>
        <w:t xml:space="preserve">and appropriately </w:t>
      </w:r>
      <w:r w:rsidR="00B47FF4">
        <w:rPr>
          <w:lang w:eastAsia="en-AU"/>
        </w:rPr>
        <w:t xml:space="preserve">paired, the </w:t>
      </w:r>
      <w:r w:rsidR="00DD556D">
        <w:rPr>
          <w:lang w:eastAsia="en-AU"/>
        </w:rPr>
        <w:t>net present value of the series of cash flows is computed correctly</w:t>
      </w:r>
      <w:r w:rsidR="006C4BDB">
        <w:rPr>
          <w:lang w:eastAsia="en-AU"/>
        </w:rPr>
        <w:t>.</w:t>
      </w:r>
    </w:p>
    <w:p w14:paraId="322DEE11" w14:textId="77777777" w:rsidR="004B030D" w:rsidRPr="00562841" w:rsidRDefault="004B030D" w:rsidP="004B030D">
      <w:pPr>
        <w:pStyle w:val="BodyText"/>
        <w:rPr>
          <w:lang w:eastAsia="en-AU"/>
        </w:rPr>
      </w:pPr>
    </w:p>
    <w:p w14:paraId="4B5B9C36" w14:textId="4DB092AF" w:rsidR="00684638" w:rsidRDefault="00684638" w:rsidP="00684638">
      <w:pPr>
        <w:pStyle w:val="AppendixHead"/>
      </w:pPr>
      <w:bookmarkStart w:id="41" w:name="_Ref169707449"/>
      <w:bookmarkStart w:id="42" w:name="_Ref169707464"/>
      <w:bookmarkStart w:id="43" w:name="_Toc170474031"/>
      <w:r>
        <w:lastRenderedPageBreak/>
        <w:t xml:space="preserve">Derivation of </w:t>
      </w:r>
      <w:r w:rsidR="009F506E">
        <w:t xml:space="preserve">the </w:t>
      </w:r>
      <w:r>
        <w:t>ACMA formula</w:t>
      </w:r>
      <w:bookmarkEnd w:id="41"/>
      <w:bookmarkEnd w:id="42"/>
      <w:bookmarkEnd w:id="43"/>
      <w:r>
        <w:t xml:space="preserve"> </w:t>
      </w:r>
    </w:p>
    <w:p w14:paraId="3AEB280F" w14:textId="73A5032C" w:rsidR="00C80F14" w:rsidRDefault="00C80F14" w:rsidP="003C2D78">
      <w:pPr>
        <w:pStyle w:val="Heading4"/>
      </w:pPr>
      <w:r>
        <w:t>Derivation for annual cash flows at year end</w:t>
      </w:r>
    </w:p>
    <w:p w14:paraId="2DEFA64B" w14:textId="600BACA5" w:rsidR="00617F44" w:rsidRDefault="00684638" w:rsidP="00684638">
      <w:pPr>
        <w:pStyle w:val="BodyText"/>
        <w:rPr>
          <w:lang w:eastAsia="en-AU"/>
        </w:rPr>
      </w:pPr>
      <w:r>
        <w:rPr>
          <w:lang w:eastAsia="en-AU"/>
        </w:rPr>
        <w:t>T</w:t>
      </w:r>
      <w:r w:rsidR="006674F9">
        <w:rPr>
          <w:lang w:eastAsia="en-AU"/>
        </w:rPr>
        <w:t xml:space="preserve">he general specification of the </w:t>
      </w:r>
      <w:r w:rsidR="00617F44">
        <w:rPr>
          <w:lang w:eastAsia="en-AU"/>
        </w:rPr>
        <w:t xml:space="preserve">formula for the present value of a tilted annuity </w:t>
      </w:r>
      <w:r w:rsidR="00B76ED3">
        <w:rPr>
          <w:lang w:eastAsia="en-AU"/>
        </w:rPr>
        <w:t xml:space="preserve">of annual cash flows </w:t>
      </w:r>
      <w:r w:rsidR="00617F44">
        <w:rPr>
          <w:lang w:eastAsia="en-AU"/>
        </w:rPr>
        <w:t>is:</w:t>
      </w:r>
    </w:p>
    <w:p w14:paraId="582E395F" w14:textId="68ABA770" w:rsidR="00471BC1" w:rsidRPr="00471BC1" w:rsidRDefault="00486D08" w:rsidP="00684638">
      <w:pPr>
        <w:pStyle w:val="BodyText"/>
        <w:rPr>
          <w:rFonts w:eastAsiaTheme="minorEastAsia"/>
          <w:lang w:eastAsia="en-AU"/>
        </w:rPr>
      </w:pPr>
      <m:oMathPara>
        <m:oMath>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n</m:t>
              </m:r>
            </m:e>
          </m:d>
          <m:r>
            <w:rPr>
              <w:rFonts w:ascii="Cambria Math" w:hAnsi="Cambria Math"/>
              <w:lang w:eastAsia="en-AU"/>
            </w:rPr>
            <m:t>=</m:t>
          </m:r>
          <m:f>
            <m:fPr>
              <m:ctrlPr>
                <w:rPr>
                  <w:rFonts w:ascii="Cambria Math" w:eastAsiaTheme="minorEastAsia" w:hAnsi="Cambria Math"/>
                  <w:i/>
                  <w:lang w:eastAsia="en-AU"/>
                </w:rPr>
              </m:ctrlPr>
            </m:fPr>
            <m:num>
              <m:r>
                <w:rPr>
                  <w:rFonts w:ascii="Cambria Math" w:hAnsi="Cambria Math"/>
                  <w:lang w:eastAsia="en-AU"/>
                </w:rPr>
                <m:t>A</m:t>
              </m:r>
              <m:ctrlPr>
                <w:rPr>
                  <w:rFonts w:ascii="Cambria Math" w:hAnsi="Cambria Math"/>
                  <w:i/>
                  <w:lang w:eastAsia="en-AU"/>
                </w:rPr>
              </m:ctrlPr>
            </m:num>
            <m:den>
              <m:r>
                <w:rPr>
                  <w:rFonts w:ascii="Cambria Math" w:eastAsiaTheme="minorEastAsia" w:hAnsi="Cambria Math"/>
                  <w:lang w:eastAsia="en-AU"/>
                </w:rPr>
                <m:t>r-z</m:t>
              </m:r>
            </m:den>
          </m:f>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n</m:t>
                  </m:r>
                </m:sup>
              </m:sSup>
            </m:e>
          </m:d>
        </m:oMath>
      </m:oMathPara>
    </w:p>
    <w:p w14:paraId="35DD5ADE" w14:textId="77777777" w:rsidR="007F146A" w:rsidRDefault="006D623B" w:rsidP="007F146A">
      <w:pPr>
        <w:pStyle w:val="BodyText"/>
        <w:rPr>
          <w:lang w:eastAsia="en-AU"/>
        </w:rPr>
      </w:pPr>
      <w:r>
        <w:rPr>
          <w:lang w:eastAsia="en-AU"/>
        </w:rPr>
        <w:t>where:</w:t>
      </w:r>
    </w:p>
    <w:p w14:paraId="19BDAF44" w14:textId="24962012" w:rsidR="006D623B" w:rsidRDefault="000C5647" w:rsidP="006D623B">
      <w:pPr>
        <w:pStyle w:val="ListBullet"/>
      </w:pPr>
      <m:oMath>
        <m:r>
          <w:rPr>
            <w:rFonts w:ascii="Cambria Math" w:hAnsi="Cambria Math"/>
            <w:lang w:eastAsia="en-AU"/>
          </w:rPr>
          <m:t>A</m:t>
        </m:r>
      </m:oMath>
      <w:r w:rsidR="006D623B">
        <w:rPr>
          <w:lang w:eastAsia="en-AU"/>
        </w:rPr>
        <w:t xml:space="preserve"> represents the </w:t>
      </w:r>
      <w:r w:rsidR="00D947CC">
        <w:rPr>
          <w:lang w:eastAsia="en-AU"/>
        </w:rPr>
        <w:t xml:space="preserve">amount </w:t>
      </w:r>
      <w:r w:rsidR="000D4956">
        <w:rPr>
          <w:lang w:eastAsia="en-AU"/>
        </w:rPr>
        <w:t>of</w:t>
      </w:r>
      <w:r w:rsidR="00D947CC">
        <w:rPr>
          <w:lang w:eastAsia="en-AU"/>
        </w:rPr>
        <w:t xml:space="preserve"> the</w:t>
      </w:r>
      <w:r w:rsidR="000D4956">
        <w:rPr>
          <w:lang w:eastAsia="en-AU"/>
        </w:rPr>
        <w:t xml:space="preserve"> first cash flow in the </w:t>
      </w:r>
      <w:proofErr w:type="gramStart"/>
      <w:r w:rsidR="000D4956">
        <w:rPr>
          <w:lang w:eastAsia="en-AU"/>
        </w:rPr>
        <w:t>series</w:t>
      </w:r>
      <w:r w:rsidR="008074FF">
        <w:rPr>
          <w:lang w:eastAsia="en-AU"/>
        </w:rPr>
        <w:t>;</w:t>
      </w:r>
      <w:proofErr w:type="gramEnd"/>
    </w:p>
    <w:p w14:paraId="2A388733" w14:textId="75BE685B" w:rsidR="008074FF" w:rsidRDefault="005964FA" w:rsidP="006D623B">
      <w:pPr>
        <w:pStyle w:val="ListBullet"/>
      </w:pPr>
      <m:oMath>
        <m:r>
          <w:rPr>
            <w:rFonts w:ascii="Cambria Math" w:eastAsiaTheme="minorEastAsia" w:hAnsi="Cambria Math"/>
            <w:lang w:eastAsia="en-AU"/>
          </w:rPr>
          <m:t>z</m:t>
        </m:r>
      </m:oMath>
      <w:r w:rsidR="00C462C0">
        <w:rPr>
          <w:lang w:eastAsia="en-AU"/>
        </w:rPr>
        <w:t xml:space="preserve"> represents the growth rate – the extent to which each cash flow is larger than the previous</w:t>
      </w:r>
      <w:r w:rsidR="00B76ED3">
        <w:rPr>
          <w:lang w:eastAsia="en-AU"/>
        </w:rPr>
        <w:t xml:space="preserve"> expressed in per cent per </w:t>
      </w:r>
      <w:proofErr w:type="gramStart"/>
      <w:r w:rsidR="00B76ED3">
        <w:rPr>
          <w:lang w:eastAsia="en-AU"/>
        </w:rPr>
        <w:t>annum</w:t>
      </w:r>
      <w:r w:rsidR="003B13CD">
        <w:rPr>
          <w:lang w:eastAsia="en-AU"/>
        </w:rPr>
        <w:t>;</w:t>
      </w:r>
      <w:proofErr w:type="gramEnd"/>
    </w:p>
    <w:p w14:paraId="0006E323" w14:textId="468FCC76" w:rsidR="003B13CD" w:rsidRDefault="00194F60" w:rsidP="006D623B">
      <w:pPr>
        <w:pStyle w:val="ListBullet"/>
      </w:pPr>
      <m:oMath>
        <m:r>
          <w:rPr>
            <w:rFonts w:ascii="Cambria Math" w:eastAsiaTheme="minorEastAsia" w:hAnsi="Cambria Math"/>
            <w:lang w:eastAsia="en-AU"/>
          </w:rPr>
          <m:t>r</m:t>
        </m:r>
      </m:oMath>
      <w:r w:rsidR="003B13CD">
        <w:rPr>
          <w:lang w:eastAsia="en-AU"/>
        </w:rPr>
        <w:t xml:space="preserve"> represents the discount rate</w:t>
      </w:r>
      <w:r w:rsidR="00B76ED3">
        <w:rPr>
          <w:lang w:eastAsia="en-AU"/>
        </w:rPr>
        <w:t xml:space="preserve"> expressed in per cent per annum</w:t>
      </w:r>
      <w:r w:rsidR="001C4A71">
        <w:rPr>
          <w:lang w:eastAsia="en-AU"/>
        </w:rPr>
        <w:t>; and</w:t>
      </w:r>
    </w:p>
    <w:p w14:paraId="5CCE2F45" w14:textId="47D22235" w:rsidR="001C4A71" w:rsidRDefault="001C4A71" w:rsidP="006D623B">
      <w:pPr>
        <w:pStyle w:val="ListBullet"/>
      </w:pPr>
      <m:oMath>
        <m:r>
          <w:rPr>
            <w:rFonts w:ascii="Cambria Math" w:eastAsiaTheme="minorEastAsia" w:hAnsi="Cambria Math"/>
            <w:lang w:eastAsia="en-AU"/>
          </w:rPr>
          <m:t>n</m:t>
        </m:r>
      </m:oMath>
      <w:r>
        <w:rPr>
          <w:lang w:eastAsia="en-AU"/>
        </w:rPr>
        <w:t xml:space="preserve"> represents the number of cash flows in the series</w:t>
      </w:r>
      <w:r w:rsidR="00A75A45">
        <w:rPr>
          <w:lang w:eastAsia="en-AU"/>
        </w:rPr>
        <w:t>.</w:t>
      </w:r>
    </w:p>
    <w:p w14:paraId="1132321E" w14:textId="095DC63C" w:rsidR="008E6936" w:rsidRDefault="0091592E" w:rsidP="0091592E">
      <w:pPr>
        <w:pStyle w:val="BodyText"/>
        <w:rPr>
          <w:lang w:eastAsia="en-AU"/>
        </w:rPr>
      </w:pPr>
      <w:r>
        <w:rPr>
          <w:lang w:eastAsia="en-AU"/>
        </w:rPr>
        <w:t xml:space="preserve">We now consider the case where there are </w:t>
      </w:r>
      <w:r w:rsidR="005B1315">
        <w:rPr>
          <w:lang w:eastAsia="en-AU"/>
        </w:rPr>
        <w:t>two t</w:t>
      </w:r>
      <w:r w:rsidR="008E6936">
        <w:rPr>
          <w:lang w:eastAsia="en-AU"/>
        </w:rPr>
        <w:t>ilted annuities</w:t>
      </w:r>
      <w:r w:rsidR="00DF7B7A">
        <w:rPr>
          <w:lang w:eastAsia="en-AU"/>
        </w:rPr>
        <w:t xml:space="preserve"> as set out in </w:t>
      </w:r>
      <w:r w:rsidR="005A0632">
        <w:rPr>
          <w:lang w:eastAsia="en-AU"/>
        </w:rPr>
        <w:fldChar w:fldCharType="begin"/>
      </w:r>
      <w:r w:rsidR="005A0632">
        <w:rPr>
          <w:lang w:eastAsia="en-AU"/>
        </w:rPr>
        <w:instrText xml:space="preserve"> REF _Ref169186066 </w:instrText>
      </w:r>
      <w:r w:rsidR="005A0632">
        <w:rPr>
          <w:lang w:eastAsia="en-AU"/>
        </w:rPr>
        <w:fldChar w:fldCharType="separate"/>
      </w:r>
      <w:r w:rsidR="00290E80" w:rsidRPr="00A23B0B">
        <w:t xml:space="preserve">Figure </w:t>
      </w:r>
      <w:r w:rsidR="00290E80">
        <w:rPr>
          <w:noProof/>
        </w:rPr>
        <w:t>4</w:t>
      </w:r>
      <w:r w:rsidR="005A0632">
        <w:rPr>
          <w:lang w:eastAsia="en-AU"/>
        </w:rPr>
        <w:fldChar w:fldCharType="end"/>
      </w:r>
      <w:r w:rsidR="005A0632">
        <w:rPr>
          <w:lang w:eastAsia="en-AU"/>
        </w:rPr>
        <w:t xml:space="preserve"> below.</w:t>
      </w:r>
      <w:r w:rsidR="00DF7B7A">
        <w:rPr>
          <w:lang w:eastAsia="en-AU"/>
        </w:rPr>
        <w:t xml:space="preserve"> </w:t>
      </w:r>
    </w:p>
    <w:p w14:paraId="4EA4A0ED" w14:textId="0C968EB7" w:rsidR="005A0632" w:rsidRDefault="005A0632">
      <w:pPr>
        <w:pStyle w:val="Caption"/>
      </w:pPr>
      <w:bookmarkStart w:id="44" w:name="_Ref169186066"/>
      <w:bookmarkStart w:id="45" w:name="_Toc170474045"/>
      <w:r w:rsidRPr="00A23B0B">
        <w:t xml:space="preserve">Figure </w:t>
      </w:r>
      <w:r>
        <w:fldChar w:fldCharType="begin"/>
      </w:r>
      <w:r>
        <w:instrText xml:space="preserve"> SEQ Figure \* ARABIC </w:instrText>
      </w:r>
      <w:r>
        <w:fldChar w:fldCharType="separate"/>
      </w:r>
      <w:r w:rsidR="00290E80">
        <w:rPr>
          <w:noProof/>
        </w:rPr>
        <w:t>4</w:t>
      </w:r>
      <w:r>
        <w:rPr>
          <w:noProof/>
        </w:rPr>
        <w:fldChar w:fldCharType="end"/>
      </w:r>
      <w:bookmarkEnd w:id="44"/>
      <w:r w:rsidRPr="00A23B0B">
        <w:t xml:space="preserve">: </w:t>
      </w:r>
      <w:r w:rsidR="00AD0349">
        <w:t>Back-to-back tilted annuities</w:t>
      </w:r>
      <w:bookmarkEnd w:id="45"/>
    </w:p>
    <w:p w14:paraId="198F404F" w14:textId="07412D85" w:rsidR="005A0632" w:rsidRDefault="005A0632">
      <w:r w:rsidRPr="005A0632">
        <w:rPr>
          <w:noProof/>
        </w:rPr>
        <w:drawing>
          <wp:inline distT="0" distB="0" distL="0" distR="0" wp14:anchorId="6A7C0069" wp14:editId="2972D41B">
            <wp:extent cx="5732145" cy="1346835"/>
            <wp:effectExtent l="0" t="0" r="1905" b="5715"/>
            <wp:docPr id="220025065" name="Picture 22002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25065" name=""/>
                    <pic:cNvPicPr/>
                  </pic:nvPicPr>
                  <pic:blipFill>
                    <a:blip r:embed="rId28"/>
                    <a:stretch>
                      <a:fillRect/>
                    </a:stretch>
                  </pic:blipFill>
                  <pic:spPr>
                    <a:xfrm>
                      <a:off x="0" y="0"/>
                      <a:ext cx="5732145" cy="1346835"/>
                    </a:xfrm>
                    <a:prstGeom prst="rect">
                      <a:avLst/>
                    </a:prstGeom>
                  </pic:spPr>
                </pic:pic>
              </a:graphicData>
            </a:graphic>
          </wp:inline>
        </w:drawing>
      </w:r>
    </w:p>
    <w:p w14:paraId="511AC711" w14:textId="63E20A0F" w:rsidR="005A0632" w:rsidRPr="00003335" w:rsidRDefault="005A0632">
      <w:pPr>
        <w:pStyle w:val="Source"/>
      </w:pPr>
      <w:r w:rsidRPr="00003335">
        <w:t xml:space="preserve">Source: </w:t>
      </w:r>
      <w:r>
        <w:t>Frontier Economics.</w:t>
      </w:r>
    </w:p>
    <w:p w14:paraId="700C7F82" w14:textId="1984C50A" w:rsidR="00DF7B7A" w:rsidRDefault="0082430C" w:rsidP="0091592E">
      <w:pPr>
        <w:pStyle w:val="BodyText"/>
        <w:rPr>
          <w:lang w:eastAsia="en-AU"/>
        </w:rPr>
      </w:pPr>
      <w:r>
        <w:rPr>
          <w:lang w:eastAsia="en-AU"/>
        </w:rPr>
        <w:t xml:space="preserve">In this case, the present value of the first </w:t>
      </w:r>
      <w:r w:rsidRPr="0082430C">
        <w:rPr>
          <w:i/>
          <w:iCs/>
          <w:lang w:eastAsia="en-AU"/>
        </w:rPr>
        <w:t>n</w:t>
      </w:r>
      <w:r>
        <w:rPr>
          <w:lang w:eastAsia="en-AU"/>
        </w:rPr>
        <w:t>-period annuity is given by the formula above.</w:t>
      </w:r>
    </w:p>
    <w:p w14:paraId="49A9918D" w14:textId="3CEDB9BB" w:rsidR="0082430C" w:rsidRDefault="0082430C" w:rsidP="0091592E">
      <w:pPr>
        <w:pStyle w:val="BodyText"/>
        <w:rPr>
          <w:lang w:eastAsia="en-AU"/>
        </w:rPr>
      </w:pPr>
      <w:r>
        <w:rPr>
          <w:lang w:eastAsia="en-AU"/>
        </w:rPr>
        <w:t xml:space="preserve">The present value of the second </w:t>
      </w:r>
      <w:r w:rsidRPr="0082430C">
        <w:rPr>
          <w:i/>
          <w:iCs/>
          <w:lang w:eastAsia="en-AU"/>
        </w:rPr>
        <w:t>m</w:t>
      </w:r>
      <w:r>
        <w:rPr>
          <w:lang w:eastAsia="en-AU"/>
        </w:rPr>
        <w:t>-period annuity is given by:</w:t>
      </w:r>
    </w:p>
    <w:p w14:paraId="2F5E3DE8" w14:textId="7A47142E" w:rsidR="0082430C" w:rsidRPr="00471BC1" w:rsidRDefault="00486D08" w:rsidP="0082430C">
      <w:pPr>
        <w:pStyle w:val="BodyText"/>
        <w:rPr>
          <w:rFonts w:eastAsiaTheme="minorEastAsia"/>
          <w:lang w:eastAsia="en-AU"/>
        </w:rPr>
      </w:pPr>
      <m:oMathPara>
        <m:oMath>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m</m:t>
              </m:r>
            </m:e>
          </m:d>
          <m:r>
            <w:rPr>
              <w:rFonts w:ascii="Cambria Math" w:hAnsi="Cambria Math"/>
              <w:lang w:eastAsia="en-AU"/>
            </w:rPr>
            <m:t>=</m:t>
          </m:r>
          <m:f>
            <m:fPr>
              <m:ctrlPr>
                <w:rPr>
                  <w:rFonts w:ascii="Cambria Math" w:eastAsiaTheme="minorEastAsia" w:hAnsi="Cambria Math"/>
                  <w:i/>
                  <w:lang w:eastAsia="en-AU"/>
                </w:rPr>
              </m:ctrlPr>
            </m:fPr>
            <m:num>
              <m:r>
                <w:rPr>
                  <w:rFonts w:ascii="Cambria Math" w:hAnsi="Cambria Math"/>
                  <w:lang w:eastAsia="en-AU"/>
                </w:rPr>
                <m:t>A</m:t>
              </m:r>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1+z</m:t>
                      </m:r>
                    </m:e>
                  </m:d>
                </m:e>
                <m:sup>
                  <m:r>
                    <w:rPr>
                      <w:rFonts w:ascii="Cambria Math" w:hAnsi="Cambria Math"/>
                      <w:lang w:eastAsia="en-AU"/>
                    </w:rPr>
                    <m:t>n</m:t>
                  </m:r>
                </m:sup>
              </m:sSup>
              <m:ctrlPr>
                <w:rPr>
                  <w:rFonts w:ascii="Cambria Math" w:hAnsi="Cambria Math"/>
                  <w:i/>
                  <w:lang w:eastAsia="en-AU"/>
                </w:rPr>
              </m:ctrlPr>
            </m:num>
            <m:den>
              <m:r>
                <w:rPr>
                  <w:rFonts w:ascii="Cambria Math" w:eastAsiaTheme="minorEastAsia" w:hAnsi="Cambria Math"/>
                  <w:lang w:eastAsia="en-AU"/>
                </w:rPr>
                <m:t>r-z</m:t>
              </m:r>
            </m:den>
          </m:f>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m</m:t>
                  </m:r>
                </m:sup>
              </m:sSup>
            </m:e>
          </m:d>
          <m:f>
            <m:fPr>
              <m:ctrlPr>
                <w:rPr>
                  <w:rFonts w:ascii="Cambria Math" w:eastAsiaTheme="minorEastAsia" w:hAnsi="Cambria Math"/>
                  <w:i/>
                  <w:lang w:eastAsia="en-AU"/>
                </w:rPr>
              </m:ctrlPr>
            </m:fPr>
            <m:num>
              <m:r>
                <w:rPr>
                  <w:rFonts w:ascii="Cambria Math" w:eastAsiaTheme="minorEastAsia" w:hAnsi="Cambria Math"/>
                  <w:lang w:eastAsia="en-AU"/>
                </w:rPr>
                <m:t>1</m:t>
              </m:r>
            </m:num>
            <m:den>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
                        <w:rPr>
                          <w:rFonts w:ascii="Cambria Math" w:eastAsiaTheme="minorEastAsia" w:hAnsi="Cambria Math"/>
                          <w:lang w:eastAsia="en-AU"/>
                        </w:rPr>
                        <m:t>1+r</m:t>
                      </m:r>
                    </m:e>
                  </m:d>
                </m:e>
                <m:sup>
                  <m:r>
                    <w:rPr>
                      <w:rFonts w:ascii="Cambria Math" w:eastAsiaTheme="minorEastAsia" w:hAnsi="Cambria Math"/>
                      <w:lang w:eastAsia="en-AU"/>
                    </w:rPr>
                    <m:t>n</m:t>
                  </m:r>
                </m:sup>
              </m:sSup>
            </m:den>
          </m:f>
          <m:r>
            <w:rPr>
              <w:rFonts w:ascii="Cambria Math" w:eastAsiaTheme="minorEastAsia" w:hAnsi="Cambria Math"/>
              <w:lang w:eastAsia="en-AU"/>
            </w:rPr>
            <m:t>.</m:t>
          </m:r>
        </m:oMath>
      </m:oMathPara>
    </w:p>
    <w:p w14:paraId="4D79CBEA" w14:textId="5B979077" w:rsidR="0082430C" w:rsidRDefault="00576CEF" w:rsidP="0082430C">
      <w:pPr>
        <w:pStyle w:val="BodyText"/>
        <w:rPr>
          <w:rFonts w:eastAsiaTheme="minorEastAsia"/>
          <w:lang w:eastAsia="en-AU"/>
        </w:rPr>
      </w:pPr>
      <w:r>
        <w:rPr>
          <w:lang w:eastAsia="en-AU"/>
        </w:rPr>
        <w:t>Note that th</w:t>
      </w:r>
      <w:r w:rsidR="00DF62EA">
        <w:rPr>
          <w:lang w:eastAsia="en-AU"/>
        </w:rPr>
        <w:t xml:space="preserve">e formula begins with the first cash flow in the relevant series, which is </w:t>
      </w:r>
      <m:oMath>
        <m:r>
          <w:rPr>
            <w:rFonts w:ascii="Cambria Math" w:hAnsi="Cambria Math"/>
            <w:lang w:eastAsia="en-AU"/>
          </w:rPr>
          <m:t>A</m:t>
        </m:r>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1+z</m:t>
                </m:r>
              </m:e>
            </m:d>
          </m:e>
          <m:sup>
            <m:r>
              <w:rPr>
                <w:rFonts w:ascii="Cambria Math" w:hAnsi="Cambria Math"/>
                <w:lang w:eastAsia="en-AU"/>
              </w:rPr>
              <m:t>n</m:t>
            </m:r>
          </m:sup>
        </m:sSup>
      </m:oMath>
      <w:r w:rsidR="00DF62EA">
        <w:rPr>
          <w:rFonts w:eastAsiaTheme="minorEastAsia"/>
          <w:lang w:eastAsia="en-AU"/>
        </w:rPr>
        <w:t xml:space="preserve"> for the second annuity.</w:t>
      </w:r>
    </w:p>
    <w:p w14:paraId="6C9823C5" w14:textId="2AFFA088" w:rsidR="00DF62EA" w:rsidRDefault="00DF62EA" w:rsidP="0082430C">
      <w:pPr>
        <w:pStyle w:val="BodyText"/>
        <w:rPr>
          <w:rFonts w:eastAsiaTheme="minorEastAsia"/>
          <w:lang w:eastAsia="en-AU"/>
        </w:rPr>
      </w:pPr>
      <w:r>
        <w:rPr>
          <w:rFonts w:eastAsiaTheme="minorEastAsia"/>
          <w:lang w:eastAsia="en-AU"/>
        </w:rPr>
        <w:t xml:space="preserve">Also note that the formula </w:t>
      </w:r>
      <w:r w:rsidR="005F15A8">
        <w:rPr>
          <w:rFonts w:eastAsiaTheme="minorEastAsia"/>
          <w:lang w:eastAsia="en-AU"/>
        </w:rPr>
        <w:t xml:space="preserve">delivers the present value as at one period before the first cash flow in the stream.  For the second annuity, the first cash flow occurs at time </w:t>
      </w:r>
      <m:oMath>
        <m:r>
          <w:rPr>
            <w:rFonts w:ascii="Cambria Math" w:eastAsiaTheme="minorEastAsia" w:hAnsi="Cambria Math"/>
            <w:lang w:eastAsia="en-AU"/>
          </w:rPr>
          <m:t>n+1</m:t>
        </m:r>
      </m:oMath>
      <w:r w:rsidR="004F729A">
        <w:rPr>
          <w:rFonts w:eastAsiaTheme="minorEastAsia"/>
          <w:lang w:eastAsia="en-AU"/>
        </w:rPr>
        <w:t xml:space="preserve">, so the present value is computed as at time </w:t>
      </w:r>
      <m:oMath>
        <m:r>
          <w:rPr>
            <w:rFonts w:ascii="Cambria Math" w:eastAsiaTheme="minorEastAsia" w:hAnsi="Cambria Math"/>
            <w:lang w:eastAsia="en-AU"/>
          </w:rPr>
          <m:t>n</m:t>
        </m:r>
      </m:oMath>
      <w:r w:rsidR="004F729A">
        <w:rPr>
          <w:rFonts w:eastAsiaTheme="minorEastAsia"/>
          <w:lang w:eastAsia="en-AU"/>
        </w:rPr>
        <w:t xml:space="preserve">.  That figure must then be discounted back to time 0 – hence the </w:t>
      </w:r>
      <w:r w:rsidR="00804EA1">
        <w:rPr>
          <w:rFonts w:eastAsiaTheme="minorEastAsia"/>
          <w:lang w:eastAsia="en-AU"/>
        </w:rPr>
        <w:t>additional term at the end of the formula.</w:t>
      </w:r>
    </w:p>
    <w:p w14:paraId="0E0583FF" w14:textId="77777777" w:rsidR="003D0555" w:rsidRDefault="003D0555" w:rsidP="0082430C">
      <w:pPr>
        <w:pStyle w:val="BodyText"/>
        <w:rPr>
          <w:rFonts w:eastAsiaTheme="minorEastAsia"/>
          <w:lang w:eastAsia="en-AU"/>
        </w:rPr>
      </w:pPr>
      <w:r>
        <w:rPr>
          <w:rFonts w:eastAsiaTheme="minorEastAsia"/>
          <w:lang w:eastAsia="en-AU"/>
        </w:rPr>
        <w:t>Next note that the ratio of the present value of the second annuity to the present value of the first is given by:</w:t>
      </w:r>
    </w:p>
    <w:p w14:paraId="27F64B4F" w14:textId="11B13ED4" w:rsidR="003D0555" w:rsidRPr="0068509B" w:rsidRDefault="00724FCE" w:rsidP="004816F6">
      <w:pPr>
        <w:pStyle w:val="BodyText"/>
        <w:spacing w:line="600" w:lineRule="auto"/>
        <w:rPr>
          <w:rFonts w:eastAsiaTheme="minorEastAsia"/>
          <w:lang w:eastAsia="en-AU"/>
        </w:rPr>
      </w:pPr>
      <m:oMathPara>
        <m:oMathParaPr>
          <m:jc m:val="center"/>
        </m:oMathParaPr>
        <m:oMath>
          <m:f>
            <m:fPr>
              <m:ctrlPr>
                <w:rPr>
                  <w:rFonts w:ascii="Cambria Math" w:hAnsi="Cambria Math"/>
                  <w:i/>
                  <w:lang w:eastAsia="en-AU"/>
                </w:rPr>
              </m:ctrlPr>
            </m:fPr>
            <m:num>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m</m:t>
                  </m:r>
                </m:e>
              </m:d>
            </m:num>
            <m:den>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n</m:t>
                  </m:r>
                </m:e>
              </m:d>
            </m:den>
          </m:f>
          <m:r>
            <m:rPr>
              <m:aln/>
            </m:rPr>
            <w:rPr>
              <w:rFonts w:ascii="Cambria Math" w:hAnsi="Cambria Math"/>
              <w:lang w:eastAsia="en-AU"/>
            </w:rPr>
            <m:t>=</m:t>
          </m:r>
          <m:f>
            <m:fPr>
              <m:ctrlPr>
                <w:rPr>
                  <w:rFonts w:ascii="Cambria Math" w:hAnsi="Cambria Math"/>
                  <w:i/>
                  <w:lang w:eastAsia="en-AU"/>
                </w:rPr>
              </m:ctrlPr>
            </m:fPr>
            <m:num>
              <m:f>
                <m:fPr>
                  <m:ctrlPr>
                    <w:rPr>
                      <w:rFonts w:ascii="Cambria Math" w:eastAsiaTheme="minorEastAsia" w:hAnsi="Cambria Math"/>
                      <w:i/>
                      <w:lang w:eastAsia="en-AU"/>
                    </w:rPr>
                  </m:ctrlPr>
                </m:fPr>
                <m:num>
                  <m:r>
                    <w:rPr>
                      <w:rFonts w:ascii="Cambria Math" w:hAnsi="Cambria Math"/>
                      <w:lang w:eastAsia="en-AU"/>
                    </w:rPr>
                    <m:t>A</m:t>
                  </m:r>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1+z</m:t>
                          </m:r>
                        </m:e>
                      </m:d>
                    </m:e>
                    <m:sup>
                      <m:r>
                        <w:rPr>
                          <w:rFonts w:ascii="Cambria Math" w:hAnsi="Cambria Math"/>
                          <w:lang w:eastAsia="en-AU"/>
                        </w:rPr>
                        <m:t>n</m:t>
                      </m:r>
                    </m:sup>
                  </m:sSup>
                  <m:ctrlPr>
                    <w:rPr>
                      <w:rFonts w:ascii="Cambria Math" w:hAnsi="Cambria Math"/>
                      <w:i/>
                      <w:lang w:eastAsia="en-AU"/>
                    </w:rPr>
                  </m:ctrlPr>
                </m:num>
                <m:den>
                  <m:r>
                    <w:rPr>
                      <w:rFonts w:ascii="Cambria Math" w:eastAsiaTheme="minorEastAsia" w:hAnsi="Cambria Math"/>
                      <w:lang w:eastAsia="en-AU"/>
                    </w:rPr>
                    <m:t>r-z</m:t>
                  </m:r>
                </m:den>
              </m:f>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m</m:t>
                      </m:r>
                    </m:sup>
                  </m:sSup>
                </m:e>
              </m:d>
              <m:f>
                <m:fPr>
                  <m:ctrlPr>
                    <w:rPr>
                      <w:rFonts w:ascii="Cambria Math" w:eastAsiaTheme="minorEastAsia" w:hAnsi="Cambria Math"/>
                      <w:i/>
                      <w:lang w:eastAsia="en-AU"/>
                    </w:rPr>
                  </m:ctrlPr>
                </m:fPr>
                <m:num>
                  <m:r>
                    <w:rPr>
                      <w:rFonts w:ascii="Cambria Math" w:eastAsiaTheme="minorEastAsia" w:hAnsi="Cambria Math"/>
                      <w:lang w:eastAsia="en-AU"/>
                    </w:rPr>
                    <m:t>1</m:t>
                  </m:r>
                </m:num>
                <m:den>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
                            <w:rPr>
                              <w:rFonts w:ascii="Cambria Math" w:eastAsiaTheme="minorEastAsia" w:hAnsi="Cambria Math"/>
                              <w:lang w:eastAsia="en-AU"/>
                            </w:rPr>
                            <m:t>1+r</m:t>
                          </m:r>
                        </m:e>
                      </m:d>
                    </m:e>
                    <m:sup>
                      <m:r>
                        <w:rPr>
                          <w:rFonts w:ascii="Cambria Math" w:eastAsiaTheme="minorEastAsia" w:hAnsi="Cambria Math"/>
                          <w:lang w:eastAsia="en-AU"/>
                        </w:rPr>
                        <m:t>n</m:t>
                      </m:r>
                    </m:sup>
                  </m:sSup>
                </m:den>
              </m:f>
            </m:num>
            <m:den>
              <m:f>
                <m:fPr>
                  <m:ctrlPr>
                    <w:rPr>
                      <w:rFonts w:ascii="Cambria Math" w:eastAsiaTheme="minorEastAsia" w:hAnsi="Cambria Math"/>
                      <w:i/>
                      <w:lang w:eastAsia="en-AU"/>
                    </w:rPr>
                  </m:ctrlPr>
                </m:fPr>
                <m:num>
                  <m:r>
                    <w:rPr>
                      <w:rFonts w:ascii="Cambria Math" w:hAnsi="Cambria Math"/>
                      <w:lang w:eastAsia="en-AU"/>
                    </w:rPr>
                    <m:t>A</m:t>
                  </m:r>
                  <m:ctrlPr>
                    <w:rPr>
                      <w:rFonts w:ascii="Cambria Math" w:hAnsi="Cambria Math"/>
                      <w:i/>
                      <w:lang w:eastAsia="en-AU"/>
                    </w:rPr>
                  </m:ctrlPr>
                </m:num>
                <m:den>
                  <m:r>
                    <w:rPr>
                      <w:rFonts w:ascii="Cambria Math" w:eastAsiaTheme="minorEastAsia" w:hAnsi="Cambria Math"/>
                      <w:lang w:eastAsia="en-AU"/>
                    </w:rPr>
                    <m:t>r-z</m:t>
                  </m:r>
                </m:den>
              </m:f>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n</m:t>
                      </m:r>
                    </m:sup>
                  </m:sSup>
                </m:e>
              </m:d>
            </m:den>
          </m:f>
          <m:r>
            <m:rPr>
              <m:sty m:val="p"/>
            </m:rPr>
            <w:rPr>
              <w:rFonts w:eastAsiaTheme="minorEastAsia"/>
              <w:lang w:eastAsia="en-AU"/>
            </w:rPr>
            <w:br/>
          </m:r>
        </m:oMath>
        <m:oMath>
          <m:r>
            <w:rPr>
              <w:rFonts w:ascii="Cambria Math" w:hAnsi="Cambria Math"/>
              <w:lang w:eastAsia="en-AU"/>
            </w:rPr>
            <m:t>=</m:t>
          </m:r>
          <m:f>
            <m:fPr>
              <m:ctrlPr>
                <w:rPr>
                  <w:rFonts w:ascii="Cambria Math" w:hAnsi="Cambria Math"/>
                  <w:i/>
                  <w:lang w:eastAsia="en-AU"/>
                </w:rPr>
              </m:ctrlPr>
            </m:fPr>
            <m:num>
              <m:f>
                <m:fPr>
                  <m:ctrlPr>
                    <w:rPr>
                      <w:rFonts w:ascii="Cambria Math" w:eastAsiaTheme="minorEastAsia" w:hAnsi="Cambria Math"/>
                      <w:i/>
                      <w:lang w:eastAsia="en-AU"/>
                    </w:rPr>
                  </m:ctrlPr>
                </m:fPr>
                <m:num>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1+z</m:t>
                          </m:r>
                        </m:e>
                      </m:d>
                    </m:e>
                    <m:sup>
                      <m:r>
                        <w:rPr>
                          <w:rFonts w:ascii="Cambria Math" w:hAnsi="Cambria Math"/>
                          <w:lang w:eastAsia="en-AU"/>
                        </w:rPr>
                        <m:t>n</m:t>
                      </m:r>
                    </m:sup>
                  </m:sSup>
                  <m:ctrlPr>
                    <w:rPr>
                      <w:rFonts w:ascii="Cambria Math" w:hAnsi="Cambria Math"/>
                      <w:i/>
                      <w:lang w:eastAsia="en-AU"/>
                    </w:rPr>
                  </m:ctrlPr>
                </m:num>
                <m:den>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
                            <w:rPr>
                              <w:rFonts w:ascii="Cambria Math" w:eastAsiaTheme="minorEastAsia" w:hAnsi="Cambria Math"/>
                              <w:lang w:eastAsia="en-AU"/>
                            </w:rPr>
                            <m:t>1+r</m:t>
                          </m:r>
                        </m:e>
                      </m:d>
                    </m:e>
                    <m:sup>
                      <m:r>
                        <w:rPr>
                          <w:rFonts w:ascii="Cambria Math" w:eastAsiaTheme="minorEastAsia" w:hAnsi="Cambria Math"/>
                          <w:lang w:eastAsia="en-AU"/>
                        </w:rPr>
                        <m:t>n</m:t>
                      </m:r>
                    </m:sup>
                  </m:sSup>
                </m:den>
              </m:f>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m</m:t>
                      </m:r>
                    </m:sup>
                  </m:sSup>
                </m:e>
              </m:d>
            </m:num>
            <m:den>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n</m:t>
                      </m:r>
                    </m:sup>
                  </m:sSup>
                </m:e>
              </m:d>
            </m:den>
          </m:f>
          <m:r>
            <w:rPr>
              <w:rFonts w:ascii="Cambria Math" w:eastAsiaTheme="minorEastAsia" w:hAnsi="Cambria Math"/>
              <w:lang w:eastAsia="en-AU"/>
            </w:rPr>
            <m:t>.</m:t>
          </m:r>
        </m:oMath>
      </m:oMathPara>
    </w:p>
    <w:p w14:paraId="3884D165" w14:textId="1E83825E" w:rsidR="00644BAF" w:rsidRDefault="00644BAF" w:rsidP="00644BAF">
      <w:pPr>
        <w:pStyle w:val="BodyText"/>
        <w:rPr>
          <w:rFonts w:eastAsiaTheme="minorEastAsia"/>
          <w:lang w:eastAsia="en-AU"/>
        </w:rPr>
      </w:pPr>
      <w:r>
        <w:rPr>
          <w:rFonts w:eastAsiaTheme="minorEastAsia"/>
          <w:lang w:eastAsia="en-AU"/>
        </w:rPr>
        <w:lastRenderedPageBreak/>
        <w:t>Consequently, the ratio of the</w:t>
      </w:r>
      <w:r w:rsidR="00B40768">
        <w:rPr>
          <w:rFonts w:eastAsiaTheme="minorEastAsia"/>
          <w:lang w:eastAsia="en-AU"/>
        </w:rPr>
        <w:t xml:space="preserve"> present value of </w:t>
      </w:r>
      <w:r w:rsidR="007746AE">
        <w:rPr>
          <w:rFonts w:eastAsiaTheme="minorEastAsia"/>
          <w:lang w:eastAsia="en-AU"/>
        </w:rPr>
        <w:t xml:space="preserve">the first annuity to </w:t>
      </w:r>
      <w:r w:rsidR="00B51A4C">
        <w:rPr>
          <w:rFonts w:eastAsiaTheme="minorEastAsia"/>
          <w:lang w:eastAsia="en-AU"/>
        </w:rPr>
        <w:t>the total present value of both is:</w:t>
      </w:r>
    </w:p>
    <w:p w14:paraId="5AF1818F" w14:textId="55B05458" w:rsidR="00B51A4C" w:rsidRPr="00424869" w:rsidRDefault="00724FCE" w:rsidP="00B51A4C">
      <w:pPr>
        <w:pStyle w:val="BodyText"/>
        <w:spacing w:line="600" w:lineRule="auto"/>
        <w:rPr>
          <w:rFonts w:eastAsiaTheme="minorEastAsia"/>
          <w:lang w:eastAsia="en-AU"/>
        </w:rPr>
      </w:pPr>
      <m:oMathPara>
        <m:oMathParaPr>
          <m:jc m:val="center"/>
        </m:oMathParaPr>
        <m:oMath>
          <m:f>
            <m:fPr>
              <m:ctrlPr>
                <w:rPr>
                  <w:rFonts w:ascii="Cambria Math" w:hAnsi="Cambria Math"/>
                  <w:i/>
                  <w:lang w:eastAsia="en-AU"/>
                </w:rPr>
              </m:ctrlPr>
            </m:fPr>
            <m:num>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n</m:t>
                  </m:r>
                </m:e>
              </m:d>
            </m:num>
            <m:den>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m</m:t>
                  </m:r>
                </m:e>
              </m:d>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n</m:t>
                  </m:r>
                </m:e>
              </m:d>
            </m:den>
          </m:f>
          <m:r>
            <w:rPr>
              <w:rFonts w:ascii="Cambria Math" w:hAnsi="Cambria Math"/>
              <w:lang w:eastAsia="en-AU"/>
            </w:rPr>
            <m:t>=</m:t>
          </m:r>
          <m:f>
            <m:fPr>
              <m:ctrlPr>
                <w:rPr>
                  <w:rFonts w:ascii="Cambria Math" w:hAnsi="Cambria Math"/>
                  <w:i/>
                  <w:lang w:eastAsia="en-AU"/>
                </w:rPr>
              </m:ctrlPr>
            </m:fPr>
            <m:num>
              <m:r>
                <w:rPr>
                  <w:rFonts w:ascii="Cambria Math" w:hAnsi="Cambria Math"/>
                  <w:lang w:eastAsia="en-AU"/>
                </w:rPr>
                <m:t>1</m:t>
              </m:r>
            </m:num>
            <m:den>
              <m:r>
                <w:rPr>
                  <w:rFonts w:ascii="Cambria Math" w:hAnsi="Cambria Math"/>
                  <w:lang w:eastAsia="en-AU"/>
                </w:rPr>
                <m:t>1+</m:t>
              </m:r>
              <m:f>
                <m:fPr>
                  <m:ctrlPr>
                    <w:rPr>
                      <w:rFonts w:ascii="Cambria Math" w:hAnsi="Cambria Math"/>
                      <w:i/>
                      <w:lang w:eastAsia="en-AU"/>
                    </w:rPr>
                  </m:ctrlPr>
                </m:fPr>
                <m:num>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m</m:t>
                      </m:r>
                    </m:e>
                  </m:d>
                </m:num>
                <m:den>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n</m:t>
                      </m:r>
                    </m:e>
                  </m:d>
                </m:den>
              </m:f>
            </m:den>
          </m:f>
          <m:r>
            <w:rPr>
              <w:rFonts w:ascii="Cambria Math" w:hAnsi="Cambria Math"/>
              <w:lang w:eastAsia="en-AU"/>
            </w:rPr>
            <m:t>=</m:t>
          </m:r>
          <m:f>
            <m:fPr>
              <m:ctrlPr>
                <w:rPr>
                  <w:rFonts w:ascii="Cambria Math" w:hAnsi="Cambria Math"/>
                  <w:i/>
                  <w:lang w:eastAsia="en-AU"/>
                </w:rPr>
              </m:ctrlPr>
            </m:fPr>
            <m:num>
              <m:r>
                <w:rPr>
                  <w:rFonts w:ascii="Cambria Math" w:hAnsi="Cambria Math"/>
                  <w:lang w:eastAsia="en-AU"/>
                </w:rPr>
                <m:t>1</m:t>
              </m:r>
            </m:num>
            <m:den>
              <m:r>
                <w:rPr>
                  <w:rFonts w:ascii="Cambria Math" w:hAnsi="Cambria Math"/>
                  <w:lang w:eastAsia="en-AU"/>
                </w:rPr>
                <m:t>1+</m:t>
              </m:r>
              <m:f>
                <m:fPr>
                  <m:ctrlPr>
                    <w:rPr>
                      <w:rFonts w:ascii="Cambria Math" w:hAnsi="Cambria Math"/>
                      <w:i/>
                      <w:lang w:eastAsia="en-AU"/>
                    </w:rPr>
                  </m:ctrlPr>
                </m:fPr>
                <m:num>
                  <m:f>
                    <m:fPr>
                      <m:ctrlPr>
                        <w:rPr>
                          <w:rFonts w:ascii="Cambria Math" w:eastAsiaTheme="minorEastAsia" w:hAnsi="Cambria Math"/>
                          <w:i/>
                          <w:lang w:eastAsia="en-AU"/>
                        </w:rPr>
                      </m:ctrlPr>
                    </m:fPr>
                    <m:num>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1+z</m:t>
                              </m:r>
                            </m:e>
                          </m:d>
                        </m:e>
                        <m:sup>
                          <m:r>
                            <w:rPr>
                              <w:rFonts w:ascii="Cambria Math" w:hAnsi="Cambria Math"/>
                              <w:lang w:eastAsia="en-AU"/>
                            </w:rPr>
                            <m:t>n</m:t>
                          </m:r>
                        </m:sup>
                      </m:sSup>
                      <m:ctrlPr>
                        <w:rPr>
                          <w:rFonts w:ascii="Cambria Math" w:hAnsi="Cambria Math"/>
                          <w:i/>
                          <w:lang w:eastAsia="en-AU"/>
                        </w:rPr>
                      </m:ctrlPr>
                    </m:num>
                    <m:den>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
                                <w:rPr>
                                  <w:rFonts w:ascii="Cambria Math" w:eastAsiaTheme="minorEastAsia" w:hAnsi="Cambria Math"/>
                                  <w:lang w:eastAsia="en-AU"/>
                                </w:rPr>
                                <m:t>1+r</m:t>
                              </m:r>
                            </m:e>
                          </m:d>
                        </m:e>
                        <m:sup>
                          <m:r>
                            <w:rPr>
                              <w:rFonts w:ascii="Cambria Math" w:eastAsiaTheme="minorEastAsia" w:hAnsi="Cambria Math"/>
                              <w:lang w:eastAsia="en-AU"/>
                            </w:rPr>
                            <m:t>n</m:t>
                          </m:r>
                        </m:sup>
                      </m:sSup>
                    </m:den>
                  </m:f>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m</m:t>
                          </m:r>
                        </m:sup>
                      </m:sSup>
                    </m:e>
                  </m:d>
                </m:num>
                <m:den>
                  <m:d>
                    <m:dPr>
                      <m:begChr m:val="["/>
                      <m:endChr m:val="]"/>
                      <m:ctrlPr>
                        <w:rPr>
                          <w:rFonts w:ascii="Cambria Math" w:eastAsiaTheme="minorEastAsia" w:hAnsi="Cambria Math"/>
                          <w:i/>
                          <w:lang w:eastAsia="en-AU"/>
                        </w:rPr>
                      </m:ctrlPr>
                    </m:dPr>
                    <m:e>
                      <m:r>
                        <w:rPr>
                          <w:rFonts w:ascii="Cambria Math" w:eastAsiaTheme="minorEastAsia" w:hAnsi="Cambria Math"/>
                          <w:lang w:eastAsia="en-AU"/>
                        </w:rPr>
                        <m:t>1-</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f>
                                <m:fPr>
                                  <m:ctrlPr>
                                    <w:rPr>
                                      <w:rFonts w:ascii="Cambria Math" w:eastAsiaTheme="minorEastAsia" w:hAnsi="Cambria Math"/>
                                      <w:i/>
                                      <w:lang w:eastAsia="en-AU"/>
                                    </w:rPr>
                                  </m:ctrlPr>
                                </m:fPr>
                                <m:num>
                                  <m:r>
                                    <w:rPr>
                                      <w:rFonts w:ascii="Cambria Math" w:eastAsiaTheme="minorEastAsia" w:hAnsi="Cambria Math"/>
                                      <w:lang w:eastAsia="en-AU"/>
                                    </w:rPr>
                                    <m:t>1+z</m:t>
                                  </m:r>
                                </m:num>
                                <m:den>
                                  <m:r>
                                    <w:rPr>
                                      <w:rFonts w:ascii="Cambria Math" w:eastAsiaTheme="minorEastAsia" w:hAnsi="Cambria Math"/>
                                      <w:lang w:eastAsia="en-AU"/>
                                    </w:rPr>
                                    <m:t>1+r</m:t>
                                  </m:r>
                                </m:den>
                              </m:f>
                            </m:e>
                          </m:d>
                        </m:e>
                        <m:sup>
                          <m:r>
                            <w:rPr>
                              <w:rFonts w:ascii="Cambria Math" w:eastAsiaTheme="minorEastAsia" w:hAnsi="Cambria Math"/>
                              <w:lang w:eastAsia="en-AU"/>
                            </w:rPr>
                            <m:t>n</m:t>
                          </m:r>
                        </m:sup>
                      </m:sSup>
                    </m:e>
                  </m:d>
                </m:den>
              </m:f>
            </m:den>
          </m:f>
          <m:r>
            <w:rPr>
              <w:rFonts w:ascii="Cambria Math" w:eastAsiaTheme="minorEastAsia" w:hAnsi="Cambria Math"/>
              <w:lang w:eastAsia="en-AU"/>
            </w:rPr>
            <m:t>,</m:t>
          </m:r>
        </m:oMath>
      </m:oMathPara>
    </w:p>
    <w:p w14:paraId="2986E1D6" w14:textId="30517DA0" w:rsidR="00B51A4C" w:rsidRDefault="00424869" w:rsidP="00644BAF">
      <w:pPr>
        <w:pStyle w:val="BodyText"/>
        <w:rPr>
          <w:rFonts w:eastAsiaTheme="minorEastAsia"/>
          <w:lang w:eastAsia="en-AU"/>
        </w:rPr>
      </w:pPr>
      <w:r>
        <w:rPr>
          <w:rFonts w:eastAsiaTheme="minorEastAsia"/>
          <w:lang w:eastAsia="en-AU"/>
        </w:rPr>
        <w:t xml:space="preserve">which is the ACMA formula. </w:t>
      </w:r>
    </w:p>
    <w:p w14:paraId="778AEBF2" w14:textId="6F987DE6" w:rsidR="00424869" w:rsidRDefault="00424869" w:rsidP="00644BAF">
      <w:pPr>
        <w:pStyle w:val="BodyText"/>
        <w:rPr>
          <w:rFonts w:eastAsiaTheme="minorEastAsia"/>
          <w:lang w:eastAsia="en-AU"/>
        </w:rPr>
      </w:pPr>
      <w:r>
        <w:rPr>
          <w:rFonts w:eastAsiaTheme="minorEastAsia"/>
          <w:lang w:eastAsia="en-AU"/>
        </w:rPr>
        <w:t xml:space="preserve">This formula produces the proportion of the total present value of all </w:t>
      </w:r>
      <m:oMath>
        <m:r>
          <w:rPr>
            <w:rFonts w:ascii="Cambria Math" w:eastAsiaTheme="minorEastAsia" w:hAnsi="Cambria Math"/>
            <w:lang w:eastAsia="en-AU"/>
          </w:rPr>
          <m:t>n+m</m:t>
        </m:r>
      </m:oMath>
      <w:r>
        <w:rPr>
          <w:rFonts w:eastAsiaTheme="minorEastAsia"/>
          <w:lang w:eastAsia="en-AU"/>
        </w:rPr>
        <w:t xml:space="preserve"> cash flows that is due to the first </w:t>
      </w:r>
      <m:oMath>
        <m:r>
          <w:rPr>
            <w:rFonts w:ascii="Cambria Math" w:hAnsi="Cambria Math"/>
            <w:lang w:eastAsia="en-AU"/>
          </w:rPr>
          <m:t>n</m:t>
        </m:r>
      </m:oMath>
      <w:r>
        <w:rPr>
          <w:rFonts w:eastAsiaTheme="minorEastAsia"/>
          <w:lang w:eastAsia="en-AU"/>
        </w:rPr>
        <w:t xml:space="preserve"> of those cash flows.</w:t>
      </w:r>
    </w:p>
    <w:p w14:paraId="1A12667E" w14:textId="0804222A" w:rsidR="003C2D78" w:rsidRDefault="003C2D78" w:rsidP="003C2D78">
      <w:pPr>
        <w:pStyle w:val="Heading4"/>
      </w:pPr>
      <w:r>
        <w:t xml:space="preserve">Derivation for mid-year </w:t>
      </w:r>
      <w:r w:rsidR="00B76DBC">
        <w:t xml:space="preserve">annual </w:t>
      </w:r>
      <w:r>
        <w:t>cash flows</w:t>
      </w:r>
    </w:p>
    <w:p w14:paraId="3CD5D7F5" w14:textId="1813A2B4" w:rsidR="003C2D78" w:rsidRDefault="003C2D78" w:rsidP="003C2D78">
      <w:pPr>
        <w:pStyle w:val="BodyText"/>
        <w:rPr>
          <w:rFonts w:eastAsiaTheme="minorEastAsia"/>
          <w:lang w:eastAsia="en-AU"/>
        </w:rPr>
      </w:pPr>
      <w:r>
        <w:rPr>
          <w:rFonts w:eastAsiaTheme="minorEastAsia"/>
          <w:lang w:eastAsia="en-AU"/>
        </w:rPr>
        <w:t>Th</w:t>
      </w:r>
      <w:r w:rsidR="00252D6D">
        <w:rPr>
          <w:rFonts w:eastAsiaTheme="minorEastAsia"/>
          <w:lang w:eastAsia="en-AU"/>
        </w:rPr>
        <w:t>e above derivations use the standard formula for the present value of a tilted annuity</w:t>
      </w:r>
      <w:r w:rsidR="00C861D9">
        <w:rPr>
          <w:rFonts w:eastAsiaTheme="minorEastAsia"/>
          <w:lang w:eastAsia="en-AU"/>
        </w:rPr>
        <w:t>.  When applied to annual cash flows, this formula produces the present value one year before the first cash flow in the series.</w:t>
      </w:r>
      <w:r w:rsidR="000E68F9">
        <w:rPr>
          <w:rFonts w:eastAsiaTheme="minorEastAsia"/>
          <w:lang w:eastAsia="en-AU"/>
        </w:rPr>
        <w:t xml:space="preserve">  The derivations above assume that the first cash flow in the series occurs at the end of the first year (as set out in </w:t>
      </w:r>
      <w:r w:rsidR="000E68F9">
        <w:rPr>
          <w:rFonts w:eastAsiaTheme="minorEastAsia"/>
          <w:lang w:eastAsia="en-AU"/>
        </w:rPr>
        <w:fldChar w:fldCharType="begin"/>
      </w:r>
      <w:r w:rsidR="000E68F9">
        <w:rPr>
          <w:rFonts w:eastAsiaTheme="minorEastAsia"/>
          <w:lang w:eastAsia="en-AU"/>
        </w:rPr>
        <w:instrText xml:space="preserve"> REF _Ref169186066 </w:instrText>
      </w:r>
      <w:r w:rsidR="000E68F9">
        <w:rPr>
          <w:rFonts w:eastAsiaTheme="minorEastAsia"/>
          <w:lang w:eastAsia="en-AU"/>
        </w:rPr>
        <w:fldChar w:fldCharType="separate"/>
      </w:r>
      <w:r w:rsidR="00290E80" w:rsidRPr="00A23B0B">
        <w:t xml:space="preserve">Figure </w:t>
      </w:r>
      <w:r w:rsidR="00290E80">
        <w:rPr>
          <w:noProof/>
        </w:rPr>
        <w:t>4</w:t>
      </w:r>
      <w:r w:rsidR="000E68F9">
        <w:rPr>
          <w:rFonts w:eastAsiaTheme="minorEastAsia"/>
          <w:lang w:eastAsia="en-AU"/>
        </w:rPr>
        <w:fldChar w:fldCharType="end"/>
      </w:r>
      <w:r w:rsidR="000E68F9">
        <w:rPr>
          <w:rFonts w:eastAsiaTheme="minorEastAsia"/>
          <w:lang w:eastAsia="en-AU"/>
        </w:rPr>
        <w:t xml:space="preserve">) such that the present value is </w:t>
      </w:r>
      <w:r w:rsidR="004C15B0">
        <w:rPr>
          <w:rFonts w:eastAsiaTheme="minorEastAsia"/>
          <w:lang w:eastAsia="en-AU"/>
        </w:rPr>
        <w:t>as at Time 0, as required.</w:t>
      </w:r>
    </w:p>
    <w:p w14:paraId="38D5F205" w14:textId="420E09E4" w:rsidR="004C15B0" w:rsidRDefault="004C15B0" w:rsidP="003C2D78">
      <w:pPr>
        <w:pStyle w:val="BodyText"/>
        <w:rPr>
          <w:rFonts w:eastAsiaTheme="minorEastAsia"/>
          <w:lang w:eastAsia="en-AU"/>
        </w:rPr>
      </w:pPr>
      <w:r>
        <w:rPr>
          <w:rFonts w:eastAsiaTheme="minorEastAsia"/>
          <w:lang w:eastAsia="en-AU"/>
        </w:rPr>
        <w:t>In practice, it is often assumed that cash flows are not received in a single lump sum at the end of each year, but</w:t>
      </w:r>
      <w:r w:rsidR="00C11829">
        <w:rPr>
          <w:rFonts w:eastAsiaTheme="minorEastAsia"/>
          <w:lang w:eastAsia="en-AU"/>
        </w:rPr>
        <w:t xml:space="preserve"> rather uniformly throughout the year.  I</w:t>
      </w:r>
      <w:r w:rsidR="005048F4">
        <w:rPr>
          <w:rFonts w:eastAsiaTheme="minorEastAsia"/>
          <w:lang w:eastAsia="en-AU"/>
        </w:rPr>
        <w:t>n such cases it is common to treat each annual cash flow as occurring mid-way through the year</w:t>
      </w:r>
      <w:r w:rsidR="00E95933">
        <w:rPr>
          <w:rFonts w:eastAsiaTheme="minorEastAsia"/>
          <w:lang w:eastAsia="en-AU"/>
        </w:rPr>
        <w:t xml:space="preserve">.  </w:t>
      </w:r>
    </w:p>
    <w:p w14:paraId="05CEA614" w14:textId="5F44A37B" w:rsidR="002844A5" w:rsidRDefault="00E95933" w:rsidP="003C2D78">
      <w:pPr>
        <w:pStyle w:val="BodyText"/>
        <w:rPr>
          <w:rFonts w:eastAsiaTheme="minorEastAsia"/>
          <w:lang w:eastAsia="en-AU"/>
        </w:rPr>
      </w:pPr>
      <w:r>
        <w:rPr>
          <w:rFonts w:eastAsiaTheme="minorEastAsia"/>
          <w:lang w:eastAsia="en-AU"/>
        </w:rPr>
        <w:t>If that timing were applied, the first</w:t>
      </w:r>
      <w:r w:rsidR="00DD4010">
        <w:rPr>
          <w:rFonts w:eastAsiaTheme="minorEastAsia"/>
          <w:lang w:eastAsia="en-AU"/>
        </w:rPr>
        <w:t>-</w:t>
      </w:r>
      <w:r>
        <w:rPr>
          <w:rFonts w:eastAsiaTheme="minorEastAsia"/>
          <w:lang w:eastAsia="en-AU"/>
        </w:rPr>
        <w:t>year cash flow would occur at Time 0.5 (i.e., half</w:t>
      </w:r>
      <w:r w:rsidR="00783AC7">
        <w:rPr>
          <w:rFonts w:eastAsiaTheme="minorEastAsia"/>
          <w:lang w:eastAsia="en-AU"/>
        </w:rPr>
        <w:t>-</w:t>
      </w:r>
      <w:r>
        <w:rPr>
          <w:rFonts w:eastAsiaTheme="minorEastAsia"/>
          <w:lang w:eastAsia="en-AU"/>
        </w:rPr>
        <w:t>way through the first year</w:t>
      </w:r>
      <w:r w:rsidR="00FF6B3B">
        <w:rPr>
          <w:rFonts w:eastAsiaTheme="minorEastAsia"/>
          <w:lang w:eastAsia="en-AU"/>
        </w:rPr>
        <w:t>).  Thus, application of the above formulas would produce present values as at Time -0.5</w:t>
      </w:r>
      <w:r w:rsidR="002844A5">
        <w:rPr>
          <w:rFonts w:eastAsiaTheme="minorEastAsia"/>
          <w:lang w:eastAsia="en-AU"/>
        </w:rPr>
        <w:t xml:space="preserve"> (six months prior to the valuation date, that being one full year prior to the first cash flow in the series).</w:t>
      </w:r>
    </w:p>
    <w:p w14:paraId="0364E500" w14:textId="62126B72" w:rsidR="00E95933" w:rsidRDefault="002844A5" w:rsidP="003C2D78">
      <w:pPr>
        <w:pStyle w:val="BodyText"/>
        <w:rPr>
          <w:rFonts w:eastAsiaTheme="minorEastAsia"/>
          <w:lang w:eastAsia="en-AU"/>
        </w:rPr>
      </w:pPr>
      <w:r>
        <w:rPr>
          <w:rFonts w:eastAsiaTheme="minorEastAsia"/>
          <w:lang w:eastAsia="en-AU"/>
        </w:rPr>
        <w:t xml:space="preserve">This mistiming can be easily remedied by </w:t>
      </w:r>
      <w:r w:rsidR="00850E53">
        <w:rPr>
          <w:rFonts w:eastAsiaTheme="minorEastAsia"/>
          <w:lang w:eastAsia="en-AU"/>
        </w:rPr>
        <w:t xml:space="preserve">multiplying both of the present value calculations in the formula by </w:t>
      </w:r>
      <m:oMath>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
                  <w:rPr>
                    <w:rFonts w:ascii="Cambria Math" w:eastAsiaTheme="minorEastAsia" w:hAnsi="Cambria Math"/>
                    <w:lang w:eastAsia="en-AU"/>
                  </w:rPr>
                  <m:t>1+r</m:t>
                </m:r>
              </m:e>
            </m:d>
          </m:e>
          <m:sup>
            <m:r>
              <w:rPr>
                <w:rFonts w:ascii="Cambria Math" w:eastAsiaTheme="minorEastAsia" w:hAnsi="Cambria Math"/>
                <w:lang w:eastAsia="en-AU"/>
              </w:rPr>
              <m:t>0.5</m:t>
            </m:r>
          </m:sup>
        </m:sSup>
      </m:oMath>
      <w:r w:rsidR="00E95933">
        <w:rPr>
          <w:rFonts w:eastAsiaTheme="minorEastAsia"/>
          <w:lang w:eastAsia="en-AU"/>
        </w:rPr>
        <w:t xml:space="preserve"> </w:t>
      </w:r>
      <w:r w:rsidR="00850E53">
        <w:rPr>
          <w:rFonts w:eastAsiaTheme="minorEastAsia"/>
          <w:lang w:eastAsia="en-AU"/>
        </w:rPr>
        <w:t>– to mo</w:t>
      </w:r>
      <w:r w:rsidR="00DD4010">
        <w:rPr>
          <w:rFonts w:eastAsiaTheme="minorEastAsia"/>
          <w:lang w:eastAsia="en-AU"/>
        </w:rPr>
        <w:t>ve the present value calculation forward to Time 0.</w:t>
      </w:r>
    </w:p>
    <w:p w14:paraId="7F247F6C" w14:textId="162986E1" w:rsidR="00DD4010" w:rsidRDefault="00DD4010" w:rsidP="003C2D78">
      <w:pPr>
        <w:pStyle w:val="BodyText"/>
        <w:rPr>
          <w:rFonts w:eastAsiaTheme="minorEastAsia"/>
          <w:lang w:eastAsia="en-AU"/>
        </w:rPr>
      </w:pPr>
      <w:r>
        <w:rPr>
          <w:rFonts w:eastAsiaTheme="minorEastAsia"/>
          <w:lang w:eastAsia="en-AU"/>
        </w:rPr>
        <w:t xml:space="preserve">But because the same adjustment would be applied to </w:t>
      </w:r>
      <m:oMath>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n</m:t>
            </m:r>
          </m:e>
        </m:d>
      </m:oMath>
      <w:r>
        <w:rPr>
          <w:rFonts w:eastAsiaTheme="minorEastAsia"/>
          <w:lang w:eastAsia="en-AU"/>
        </w:rPr>
        <w:t xml:space="preserve"> and </w:t>
      </w:r>
      <m:oMath>
        <m:r>
          <w:rPr>
            <w:rFonts w:ascii="Cambria Math" w:hAnsi="Cambria Math"/>
            <w:lang w:eastAsia="en-AU"/>
          </w:rPr>
          <m:t>P</m:t>
        </m:r>
        <m:sSub>
          <m:sSubPr>
            <m:ctrlPr>
              <w:rPr>
                <w:rFonts w:ascii="Cambria Math" w:hAnsi="Cambria Math"/>
                <w:i/>
                <w:lang w:eastAsia="en-AU"/>
              </w:rPr>
            </m:ctrlPr>
          </m:sSubPr>
          <m:e>
            <m:r>
              <w:rPr>
                <w:rFonts w:ascii="Cambria Math" w:hAnsi="Cambria Math"/>
                <w:lang w:eastAsia="en-AU"/>
              </w:rPr>
              <m:t>V</m:t>
            </m:r>
          </m:e>
          <m:sub>
            <m:r>
              <w:rPr>
                <w:rFonts w:ascii="Cambria Math" w:hAnsi="Cambria Math"/>
                <w:lang w:eastAsia="en-AU"/>
              </w:rPr>
              <m:t>0</m:t>
            </m:r>
          </m:sub>
        </m:sSub>
        <m:d>
          <m:dPr>
            <m:ctrlPr>
              <w:rPr>
                <w:rFonts w:ascii="Cambria Math" w:hAnsi="Cambria Math"/>
                <w:i/>
                <w:lang w:eastAsia="en-AU"/>
              </w:rPr>
            </m:ctrlPr>
          </m:dPr>
          <m:e>
            <m:r>
              <w:rPr>
                <w:rFonts w:ascii="Cambria Math" w:hAnsi="Cambria Math"/>
                <w:lang w:eastAsia="en-AU"/>
              </w:rPr>
              <m:t>m</m:t>
            </m:r>
          </m:e>
        </m:d>
      </m:oMath>
      <w:r w:rsidR="00921BD9">
        <w:rPr>
          <w:rFonts w:eastAsiaTheme="minorEastAsia"/>
          <w:lang w:eastAsia="en-AU"/>
        </w:rPr>
        <w:t xml:space="preserve">, the ratio will be unchanged and no adjustment </w:t>
      </w:r>
      <w:r w:rsidR="00B76DBC">
        <w:rPr>
          <w:rFonts w:eastAsiaTheme="minorEastAsia"/>
          <w:lang w:eastAsia="en-AU"/>
        </w:rPr>
        <w:t xml:space="preserve">to the ACMA formula </w:t>
      </w:r>
      <w:r w:rsidR="00921BD9">
        <w:rPr>
          <w:rFonts w:eastAsiaTheme="minorEastAsia"/>
          <w:lang w:eastAsia="en-AU"/>
        </w:rPr>
        <w:t>would be required</w:t>
      </w:r>
      <w:r w:rsidR="00B76DBC">
        <w:rPr>
          <w:rFonts w:eastAsiaTheme="minorEastAsia"/>
          <w:lang w:eastAsia="en-AU"/>
        </w:rPr>
        <w:t>.</w:t>
      </w:r>
    </w:p>
    <w:p w14:paraId="1F365556" w14:textId="35D399CC" w:rsidR="00B76DBC" w:rsidRDefault="00E25E7E" w:rsidP="00B76DBC">
      <w:pPr>
        <w:pStyle w:val="Heading4"/>
      </w:pPr>
      <w:r>
        <w:t xml:space="preserve">Exponents in the formula </w:t>
      </w:r>
      <w:r w:rsidR="00CC4C85">
        <w:t>(</w:t>
      </w:r>
      <w:r w:rsidR="00CC4C85" w:rsidRPr="00290E80">
        <w:rPr>
          <w:i/>
          <w:iCs/>
        </w:rPr>
        <w:t>n</w:t>
      </w:r>
      <w:r w:rsidR="00CC4C85">
        <w:t xml:space="preserve"> and </w:t>
      </w:r>
      <w:r w:rsidR="00CC4C85" w:rsidRPr="00290E80">
        <w:rPr>
          <w:i/>
          <w:iCs/>
        </w:rPr>
        <w:t>m</w:t>
      </w:r>
      <w:r w:rsidR="00CC4C85">
        <w:t xml:space="preserve">) </w:t>
      </w:r>
      <w:r>
        <w:t>must be whole numbers</w:t>
      </w:r>
    </w:p>
    <w:p w14:paraId="50F37648" w14:textId="77777777" w:rsidR="005553CE" w:rsidRDefault="00B76DBC" w:rsidP="00B76DBC">
      <w:pPr>
        <w:pStyle w:val="BodyText"/>
        <w:rPr>
          <w:rFonts w:eastAsiaTheme="minorEastAsia"/>
          <w:lang w:eastAsia="en-AU"/>
        </w:rPr>
      </w:pPr>
      <w:r>
        <w:rPr>
          <w:rFonts w:eastAsiaTheme="minorEastAsia"/>
          <w:lang w:eastAsia="en-AU"/>
        </w:rPr>
        <w:t xml:space="preserve">The </w:t>
      </w:r>
      <w:r w:rsidR="00C60F4B">
        <w:rPr>
          <w:rFonts w:eastAsiaTheme="minorEastAsia"/>
          <w:lang w:eastAsia="en-AU"/>
        </w:rPr>
        <w:t>exponent in the formula for the present value of a tilted annuity</w:t>
      </w:r>
      <w:r w:rsidR="006F6E2A">
        <w:rPr>
          <w:rFonts w:eastAsiaTheme="minorEastAsia"/>
          <w:lang w:eastAsia="en-AU"/>
        </w:rPr>
        <w:t xml:space="preserve"> </w:t>
      </w:r>
      <w:r w:rsidR="001C0A09">
        <w:rPr>
          <w:rFonts w:eastAsiaTheme="minorEastAsia"/>
          <w:lang w:eastAsia="en-AU"/>
        </w:rPr>
        <w:t xml:space="preserve">identifies the number of cash flows in the series.  It does </w:t>
      </w:r>
      <w:r w:rsidR="001C0A09" w:rsidRPr="005553CE">
        <w:rPr>
          <w:rFonts w:eastAsiaTheme="minorEastAsia"/>
          <w:i/>
          <w:iCs/>
          <w:lang w:eastAsia="en-AU"/>
        </w:rPr>
        <w:t>not</w:t>
      </w:r>
      <w:r w:rsidR="001C0A09">
        <w:rPr>
          <w:rFonts w:eastAsiaTheme="minorEastAsia"/>
          <w:lang w:eastAsia="en-AU"/>
        </w:rPr>
        <w:t xml:space="preserve"> represent the time at which the last cash flow</w:t>
      </w:r>
      <w:r w:rsidR="005553CE">
        <w:rPr>
          <w:rFonts w:eastAsiaTheme="minorEastAsia"/>
          <w:lang w:eastAsia="en-AU"/>
        </w:rPr>
        <w:t xml:space="preserve"> is received.</w:t>
      </w:r>
      <w:r w:rsidR="001C0A09">
        <w:rPr>
          <w:rFonts w:eastAsiaTheme="minorEastAsia"/>
          <w:lang w:eastAsia="en-AU"/>
        </w:rPr>
        <w:t xml:space="preserve"> </w:t>
      </w:r>
    </w:p>
    <w:p w14:paraId="22141E36" w14:textId="34A24EF1" w:rsidR="00D60A3C" w:rsidRDefault="00014FCC" w:rsidP="00B76DBC">
      <w:pPr>
        <w:pStyle w:val="BodyText"/>
        <w:rPr>
          <w:rFonts w:eastAsiaTheme="minorEastAsia"/>
          <w:lang w:eastAsia="en-AU"/>
        </w:rPr>
      </w:pPr>
      <w:r>
        <w:rPr>
          <w:rFonts w:eastAsiaTheme="minorEastAsia"/>
          <w:lang w:eastAsia="en-AU"/>
        </w:rPr>
        <w:t>For this reason</w:t>
      </w:r>
      <w:r w:rsidR="00997B86">
        <w:rPr>
          <w:rFonts w:eastAsiaTheme="minorEastAsia"/>
          <w:lang w:eastAsia="en-AU"/>
        </w:rPr>
        <w:t>,</w:t>
      </w:r>
      <w:r w:rsidR="00D50C0C">
        <w:rPr>
          <w:rFonts w:eastAsiaTheme="minorEastAsia"/>
          <w:lang w:eastAsia="en-AU"/>
        </w:rPr>
        <w:t xml:space="preserve"> the exponent parameter </w:t>
      </w:r>
      <w:r w:rsidR="00953478">
        <w:rPr>
          <w:rFonts w:eastAsiaTheme="minorEastAsia"/>
          <w:lang w:eastAsia="en-AU"/>
        </w:rPr>
        <w:t>in th</w:t>
      </w:r>
      <w:r w:rsidR="003A33B2">
        <w:rPr>
          <w:rFonts w:eastAsiaTheme="minorEastAsia"/>
          <w:lang w:eastAsia="en-AU"/>
        </w:rPr>
        <w:t>e</w:t>
      </w:r>
      <w:r w:rsidR="00953478">
        <w:rPr>
          <w:rFonts w:eastAsiaTheme="minorEastAsia"/>
          <w:lang w:eastAsia="en-AU"/>
        </w:rPr>
        <w:t xml:space="preserve"> formula </w:t>
      </w:r>
      <w:r w:rsidR="00D50C0C">
        <w:rPr>
          <w:rFonts w:eastAsiaTheme="minorEastAsia"/>
          <w:lang w:eastAsia="en-AU"/>
        </w:rPr>
        <w:t>must be a whole number</w:t>
      </w:r>
      <w:r w:rsidR="00F27948">
        <w:rPr>
          <w:rFonts w:eastAsiaTheme="minorEastAsia"/>
          <w:lang w:eastAsia="en-AU"/>
        </w:rPr>
        <w:t xml:space="preserve"> – being the number of cash flows received</w:t>
      </w:r>
      <w:r w:rsidR="003205A9">
        <w:rPr>
          <w:rFonts w:eastAsiaTheme="minorEastAsia"/>
          <w:lang w:eastAsia="en-AU"/>
        </w:rPr>
        <w:t xml:space="preserve">.  </w:t>
      </w:r>
      <w:r w:rsidR="006C4287">
        <w:rPr>
          <w:rFonts w:eastAsiaTheme="minorEastAsia"/>
          <w:lang w:eastAsia="en-AU"/>
        </w:rPr>
        <w:t xml:space="preserve">Thus, </w:t>
      </w:r>
      <w:r w:rsidR="00E3280C">
        <w:rPr>
          <w:rFonts w:eastAsiaTheme="minorEastAsia"/>
          <w:lang w:eastAsia="en-AU"/>
        </w:rPr>
        <w:t>when</w:t>
      </w:r>
      <w:r w:rsidR="002B5E68">
        <w:rPr>
          <w:rFonts w:eastAsiaTheme="minorEastAsia"/>
          <w:lang w:eastAsia="en-AU"/>
        </w:rPr>
        <w:t xml:space="preserve"> cash flows, returns and growth rates are all measured in annual terms</w:t>
      </w:r>
      <w:r w:rsidR="00E3280C">
        <w:rPr>
          <w:rFonts w:eastAsiaTheme="minorEastAsia"/>
          <w:lang w:eastAsia="en-AU"/>
        </w:rPr>
        <w:t>, the exponent must refer to the number of annual cash flows</w:t>
      </w:r>
      <w:r w:rsidR="00515090">
        <w:rPr>
          <w:rFonts w:eastAsiaTheme="minorEastAsia"/>
          <w:lang w:eastAsia="en-AU"/>
        </w:rPr>
        <w:t>, all of which</w:t>
      </w:r>
      <w:r w:rsidR="00E841F0">
        <w:rPr>
          <w:rFonts w:eastAsiaTheme="minorEastAsia"/>
          <w:lang w:eastAsia="en-AU"/>
        </w:rPr>
        <w:t xml:space="preserve"> are evenly spaced a year apart.</w:t>
      </w:r>
    </w:p>
    <w:p w14:paraId="70803500" w14:textId="013E6141" w:rsidR="003D0555" w:rsidRDefault="00D60A3C" w:rsidP="0082430C">
      <w:pPr>
        <w:pStyle w:val="BodyText"/>
        <w:rPr>
          <w:rFonts w:eastAsiaTheme="minorEastAsia"/>
          <w:lang w:eastAsia="en-AU"/>
        </w:rPr>
      </w:pPr>
      <w:r>
        <w:rPr>
          <w:rFonts w:eastAsiaTheme="minorEastAsia"/>
          <w:lang w:eastAsia="en-AU"/>
        </w:rPr>
        <w:t>If a part-year payment does occur</w:t>
      </w:r>
      <w:r w:rsidR="00A85E22">
        <w:rPr>
          <w:rFonts w:eastAsiaTheme="minorEastAsia"/>
          <w:lang w:eastAsia="en-AU"/>
        </w:rPr>
        <w:t>, that payment would have to be separately discounted.</w:t>
      </w:r>
      <w:r w:rsidR="0067335B">
        <w:rPr>
          <w:rFonts w:eastAsiaTheme="minorEastAsia"/>
          <w:lang w:eastAsia="en-AU"/>
        </w:rPr>
        <w:t xml:space="preserve">  </w:t>
      </w:r>
      <w:r w:rsidR="00BE59B1">
        <w:rPr>
          <w:rFonts w:eastAsiaTheme="minorEastAsia"/>
          <w:lang w:eastAsia="en-AU"/>
        </w:rPr>
        <w:t>For example, u</w:t>
      </w:r>
      <w:r w:rsidR="0067335B">
        <w:rPr>
          <w:rFonts w:eastAsiaTheme="minorEastAsia"/>
          <w:lang w:eastAsia="en-AU"/>
        </w:rPr>
        <w:t xml:space="preserve">sing </w:t>
      </w:r>
      <w:r w:rsidR="00EF78AF">
        <w:rPr>
          <w:rFonts w:eastAsiaTheme="minorEastAsia"/>
          <w:lang w:eastAsia="en-AU"/>
        </w:rPr>
        <w:t>the standard formula with an</w:t>
      </w:r>
      <w:r w:rsidR="005C79D2">
        <w:rPr>
          <w:rFonts w:eastAsiaTheme="minorEastAsia"/>
          <w:lang w:eastAsia="en-AU"/>
        </w:rPr>
        <w:t xml:space="preserve"> exponent of say 5.25 </w:t>
      </w:r>
      <w:r w:rsidR="00223D1D">
        <w:rPr>
          <w:rFonts w:eastAsiaTheme="minorEastAsia"/>
          <w:lang w:eastAsia="en-AU"/>
        </w:rPr>
        <w:t>(</w:t>
      </w:r>
      <w:r w:rsidR="005C79D2">
        <w:rPr>
          <w:rFonts w:eastAsiaTheme="minorEastAsia"/>
          <w:lang w:eastAsia="en-AU"/>
        </w:rPr>
        <w:t>to reflect five full-year cash flows and one quarter-year cash flow</w:t>
      </w:r>
      <w:r w:rsidR="00223D1D">
        <w:rPr>
          <w:rFonts w:eastAsiaTheme="minorEastAsia"/>
          <w:lang w:eastAsia="en-AU"/>
        </w:rPr>
        <w:t xml:space="preserve">) produces </w:t>
      </w:r>
      <w:r w:rsidR="00783AC7">
        <w:rPr>
          <w:rFonts w:eastAsiaTheme="minorEastAsia"/>
          <w:lang w:eastAsia="en-AU"/>
        </w:rPr>
        <w:t xml:space="preserve">only </w:t>
      </w:r>
      <w:r w:rsidR="00223D1D">
        <w:rPr>
          <w:rFonts w:eastAsiaTheme="minorEastAsia"/>
          <w:lang w:eastAsia="en-AU"/>
        </w:rPr>
        <w:t>an approximat</w:t>
      </w:r>
      <w:r w:rsidR="00783AC7">
        <w:rPr>
          <w:rFonts w:eastAsiaTheme="minorEastAsia"/>
          <w:lang w:eastAsia="en-AU"/>
        </w:rPr>
        <w:t>ion of the true present value.</w:t>
      </w:r>
    </w:p>
    <w:p w14:paraId="501E7031" w14:textId="77777777" w:rsidR="009B517D" w:rsidRDefault="007F2B86" w:rsidP="0082430C">
      <w:pPr>
        <w:pStyle w:val="BodyText"/>
        <w:rPr>
          <w:rFonts w:eastAsiaTheme="minorEastAsia"/>
          <w:lang w:eastAsia="en-AU"/>
        </w:rPr>
      </w:pPr>
      <w:r>
        <w:rPr>
          <w:rFonts w:eastAsiaTheme="minorEastAsia"/>
          <w:lang w:eastAsia="en-AU"/>
        </w:rPr>
        <w:t xml:space="preserve">Part-year cash flows can be more precisely accommodated by using periods shorter than </w:t>
      </w:r>
      <w:r w:rsidR="001C0B15">
        <w:rPr>
          <w:rFonts w:eastAsiaTheme="minorEastAsia"/>
          <w:lang w:eastAsia="en-AU"/>
        </w:rPr>
        <w:t>a year.  For example, if it were assumed that cash flows were received monthly</w:t>
      </w:r>
      <w:r w:rsidR="00ED4623">
        <w:rPr>
          <w:rFonts w:eastAsiaTheme="minorEastAsia"/>
          <w:lang w:eastAsia="en-AU"/>
        </w:rPr>
        <w:t>, the formula would require</w:t>
      </w:r>
      <w:r w:rsidR="00202C72">
        <w:rPr>
          <w:rFonts w:eastAsiaTheme="minorEastAsia"/>
          <w:lang w:eastAsia="en-AU"/>
        </w:rPr>
        <w:t xml:space="preserve"> a monthly discoun</w:t>
      </w:r>
      <w:r w:rsidR="00653514">
        <w:rPr>
          <w:rFonts w:eastAsiaTheme="minorEastAsia"/>
          <w:lang w:eastAsia="en-AU"/>
        </w:rPr>
        <w:t xml:space="preserve">t and growth </w:t>
      </w:r>
      <w:proofErr w:type="gramStart"/>
      <w:r w:rsidR="00653514">
        <w:rPr>
          <w:rFonts w:eastAsiaTheme="minorEastAsia"/>
          <w:lang w:eastAsia="en-AU"/>
        </w:rPr>
        <w:t>rates</w:t>
      </w:r>
      <w:proofErr w:type="gramEnd"/>
      <w:r w:rsidR="00653514">
        <w:rPr>
          <w:rFonts w:eastAsiaTheme="minorEastAsia"/>
          <w:lang w:eastAsia="en-AU"/>
        </w:rPr>
        <w:t xml:space="preserve"> and</w:t>
      </w:r>
      <w:r w:rsidR="00CC4C85">
        <w:rPr>
          <w:rFonts w:eastAsiaTheme="minorEastAsia"/>
          <w:lang w:eastAsia="en-AU"/>
        </w:rPr>
        <w:t xml:space="preserve"> the exponents (</w:t>
      </w:r>
      <w:r w:rsidR="00CC4C85" w:rsidRPr="00290E80">
        <w:rPr>
          <w:rFonts w:eastAsiaTheme="minorEastAsia"/>
          <w:i/>
          <w:iCs/>
          <w:lang w:eastAsia="en-AU"/>
        </w:rPr>
        <w:t>n</w:t>
      </w:r>
      <w:r w:rsidR="00CC4C85">
        <w:rPr>
          <w:rFonts w:eastAsiaTheme="minorEastAsia"/>
          <w:lang w:eastAsia="en-AU"/>
        </w:rPr>
        <w:t xml:space="preserve"> and </w:t>
      </w:r>
      <w:r w:rsidR="00CC4C85" w:rsidRPr="00290E80">
        <w:rPr>
          <w:rFonts w:eastAsiaTheme="minorEastAsia"/>
          <w:i/>
          <w:iCs/>
          <w:lang w:eastAsia="en-AU"/>
        </w:rPr>
        <w:t>m</w:t>
      </w:r>
      <w:r w:rsidR="00CC4C85">
        <w:rPr>
          <w:rFonts w:eastAsiaTheme="minorEastAsia"/>
          <w:lang w:eastAsia="en-AU"/>
        </w:rPr>
        <w:t>) would then reflect the number of monthly</w:t>
      </w:r>
      <w:r w:rsidR="00F8777D">
        <w:rPr>
          <w:rFonts w:eastAsiaTheme="minorEastAsia"/>
          <w:lang w:eastAsia="en-AU"/>
        </w:rPr>
        <w:t xml:space="preserve"> cash flows in each period.  In this case, an annual discount rate could be converted to an equivalent monthly discount rate </w:t>
      </w:r>
      <w:r w:rsidR="009B517D">
        <w:rPr>
          <w:rFonts w:eastAsiaTheme="minorEastAsia"/>
          <w:lang w:eastAsia="en-AU"/>
        </w:rPr>
        <w:t>as:</w:t>
      </w:r>
    </w:p>
    <w:p w14:paraId="6DA59F2E" w14:textId="299A38A7" w:rsidR="009B517D" w:rsidRPr="00471BC1" w:rsidRDefault="00724FCE" w:rsidP="009B517D">
      <w:pPr>
        <w:pStyle w:val="BodyText"/>
        <w:rPr>
          <w:rFonts w:eastAsiaTheme="minorEastAsia"/>
          <w:lang w:eastAsia="en-AU"/>
        </w:rPr>
      </w:pPr>
      <m:oMathPara>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monthly</m:t>
              </m:r>
            </m:sub>
          </m:sSub>
          <m:r>
            <w:rPr>
              <w:rFonts w:ascii="Cambria Math" w:hAnsi="Cambria Math"/>
              <w:lang w:eastAsia="en-AU"/>
            </w:rPr>
            <m:t>=</m:t>
          </m:r>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annual</m:t>
                      </m:r>
                    </m:sub>
                  </m:sSub>
                </m:e>
              </m:d>
            </m:e>
            <m:sup>
              <m:f>
                <m:fPr>
                  <m:ctrlPr>
                    <w:rPr>
                      <w:rFonts w:ascii="Cambria Math" w:hAnsi="Cambria Math"/>
                      <w:i/>
                      <w:lang w:eastAsia="en-AU"/>
                    </w:rPr>
                  </m:ctrlPr>
                </m:fPr>
                <m:num>
                  <m:r>
                    <w:rPr>
                      <w:rFonts w:ascii="Cambria Math" w:hAnsi="Cambria Math"/>
                      <w:lang w:eastAsia="en-AU"/>
                    </w:rPr>
                    <m:t>1</m:t>
                  </m:r>
                </m:num>
                <m:den>
                  <m:r>
                    <w:rPr>
                      <w:rFonts w:ascii="Cambria Math" w:hAnsi="Cambria Math"/>
                      <w:lang w:eastAsia="en-AU"/>
                    </w:rPr>
                    <m:t>12</m:t>
                  </m:r>
                </m:den>
              </m:f>
            </m:sup>
          </m:sSup>
          <m:r>
            <w:rPr>
              <w:rFonts w:ascii="Cambria Math" w:hAnsi="Cambria Math"/>
              <w:lang w:eastAsia="en-AU"/>
            </w:rPr>
            <m:t>-1,</m:t>
          </m:r>
        </m:oMath>
      </m:oMathPara>
    </w:p>
    <w:p w14:paraId="48C28E27" w14:textId="6EFD3681" w:rsidR="009B517D" w:rsidRDefault="001537D3" w:rsidP="0082430C">
      <w:pPr>
        <w:pStyle w:val="BodyText"/>
        <w:rPr>
          <w:rFonts w:eastAsiaTheme="minorEastAsia"/>
          <w:lang w:eastAsia="en-AU"/>
        </w:rPr>
      </w:pPr>
      <w:r>
        <w:rPr>
          <w:rFonts w:eastAsiaTheme="minorEastAsia"/>
          <w:lang w:eastAsia="en-AU"/>
        </w:rPr>
        <w:t>and similarly for the growth rate.</w:t>
      </w:r>
      <w:r w:rsidR="009B1F1D">
        <w:rPr>
          <w:rFonts w:eastAsiaTheme="minorEastAsia"/>
          <w:lang w:eastAsia="en-AU"/>
        </w:rPr>
        <w:t xml:space="preserve">  Th</w:t>
      </w:r>
      <w:r w:rsidR="000850EC">
        <w:rPr>
          <w:rFonts w:eastAsiaTheme="minorEastAsia"/>
          <w:lang w:eastAsia="en-AU"/>
        </w:rPr>
        <w:t>e</w:t>
      </w:r>
      <w:r w:rsidR="009B1F1D">
        <w:rPr>
          <w:rFonts w:eastAsiaTheme="minorEastAsia"/>
          <w:lang w:eastAsia="en-AU"/>
        </w:rPr>
        <w:t xml:space="preserve"> </w:t>
      </w:r>
      <w:r w:rsidR="000850EC">
        <w:rPr>
          <w:rFonts w:eastAsiaTheme="minorEastAsia"/>
          <w:lang w:eastAsia="en-AU"/>
        </w:rPr>
        <w:t xml:space="preserve">resulting formula would then be appropriate for a series of </w:t>
      </w:r>
      <w:r w:rsidR="00154310">
        <w:rPr>
          <w:rFonts w:eastAsiaTheme="minorEastAsia"/>
          <w:lang w:eastAsia="en-AU"/>
        </w:rPr>
        <w:t>monthly cash flows, where each</w:t>
      </w:r>
      <w:r w:rsidR="007E5BB6">
        <w:rPr>
          <w:rFonts w:eastAsiaTheme="minorEastAsia"/>
          <w:lang w:eastAsia="en-AU"/>
        </w:rPr>
        <w:t xml:space="preserve"> cash flow is </w:t>
      </w:r>
      <w:r w:rsidR="009719FF">
        <w:rPr>
          <w:rFonts w:eastAsiaTheme="minorEastAsia"/>
          <w:lang w:eastAsia="en-AU"/>
        </w:rPr>
        <w:t>larger than the previous one.</w:t>
      </w:r>
      <w:r w:rsidR="009B1F1D">
        <w:rPr>
          <w:rFonts w:eastAsiaTheme="minorEastAsia"/>
          <w:lang w:eastAsia="en-AU"/>
        </w:rPr>
        <w:t xml:space="preserve"> </w:t>
      </w:r>
    </w:p>
    <w:p w14:paraId="2C33C734" w14:textId="77777777" w:rsidR="00D728D0" w:rsidRDefault="00DA5F50" w:rsidP="0082430C">
      <w:pPr>
        <w:pStyle w:val="BodyText"/>
        <w:rPr>
          <w:rFonts w:eastAsiaTheme="minorEastAsia"/>
          <w:lang w:eastAsia="en-AU"/>
        </w:rPr>
      </w:pPr>
      <w:r>
        <w:rPr>
          <w:rFonts w:eastAsiaTheme="minorEastAsia"/>
          <w:lang w:eastAsia="en-AU"/>
        </w:rPr>
        <w:t xml:space="preserve">The same approach could be applied to weekly or even daily cash flows.  For example, converting an annual rate into the </w:t>
      </w:r>
      <w:r w:rsidR="00D728D0">
        <w:rPr>
          <w:rFonts w:eastAsiaTheme="minorEastAsia"/>
          <w:lang w:eastAsia="en-AU"/>
        </w:rPr>
        <w:t>equivalent daily rate would require:</w:t>
      </w:r>
    </w:p>
    <w:p w14:paraId="677FA081" w14:textId="6CDE515E" w:rsidR="00D728D0" w:rsidRPr="00471BC1" w:rsidRDefault="00724FCE" w:rsidP="00D728D0">
      <w:pPr>
        <w:pStyle w:val="BodyText"/>
        <w:rPr>
          <w:rFonts w:eastAsiaTheme="minorEastAsia"/>
          <w:lang w:eastAsia="en-AU"/>
        </w:rPr>
      </w:pPr>
      <m:oMathPara>
        <m:oMath>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daily</m:t>
              </m:r>
            </m:sub>
          </m:sSub>
          <m:r>
            <w:rPr>
              <w:rFonts w:ascii="Cambria Math" w:hAnsi="Cambria Math"/>
              <w:lang w:eastAsia="en-AU"/>
            </w:rPr>
            <m:t>=</m:t>
          </m:r>
          <m:sSup>
            <m:sSupPr>
              <m:ctrlPr>
                <w:rPr>
                  <w:rFonts w:ascii="Cambria Math" w:hAnsi="Cambria Math"/>
                  <w:i/>
                  <w:lang w:eastAsia="en-AU"/>
                </w:rPr>
              </m:ctrlPr>
            </m:sSupPr>
            <m:e>
              <m:d>
                <m:dPr>
                  <m:ctrlPr>
                    <w:rPr>
                      <w:rFonts w:ascii="Cambria Math" w:hAnsi="Cambria Math"/>
                      <w:i/>
                      <w:lang w:eastAsia="en-AU"/>
                    </w:rPr>
                  </m:ctrlPr>
                </m:dPr>
                <m:e>
                  <m:r>
                    <w:rPr>
                      <w:rFonts w:ascii="Cambria Math" w:hAnsi="Cambria Math"/>
                      <w:lang w:eastAsia="en-AU"/>
                    </w:rPr>
                    <m:t>1+</m:t>
                  </m:r>
                  <m:sSub>
                    <m:sSubPr>
                      <m:ctrlPr>
                        <w:rPr>
                          <w:rFonts w:ascii="Cambria Math" w:hAnsi="Cambria Math"/>
                          <w:i/>
                          <w:lang w:eastAsia="en-AU"/>
                        </w:rPr>
                      </m:ctrlPr>
                    </m:sSubPr>
                    <m:e>
                      <m:r>
                        <w:rPr>
                          <w:rFonts w:ascii="Cambria Math" w:hAnsi="Cambria Math"/>
                          <w:lang w:eastAsia="en-AU"/>
                        </w:rPr>
                        <m:t>r</m:t>
                      </m:r>
                    </m:e>
                    <m:sub>
                      <m:r>
                        <w:rPr>
                          <w:rFonts w:ascii="Cambria Math" w:hAnsi="Cambria Math"/>
                          <w:lang w:eastAsia="en-AU"/>
                        </w:rPr>
                        <m:t>annual</m:t>
                      </m:r>
                    </m:sub>
                  </m:sSub>
                </m:e>
              </m:d>
            </m:e>
            <m:sup>
              <m:f>
                <m:fPr>
                  <m:ctrlPr>
                    <w:rPr>
                      <w:rFonts w:ascii="Cambria Math" w:hAnsi="Cambria Math"/>
                      <w:i/>
                      <w:lang w:eastAsia="en-AU"/>
                    </w:rPr>
                  </m:ctrlPr>
                </m:fPr>
                <m:num>
                  <m:r>
                    <w:rPr>
                      <w:rFonts w:ascii="Cambria Math" w:hAnsi="Cambria Math"/>
                      <w:lang w:eastAsia="en-AU"/>
                    </w:rPr>
                    <m:t>1</m:t>
                  </m:r>
                </m:num>
                <m:den>
                  <m:r>
                    <w:rPr>
                      <w:rFonts w:ascii="Cambria Math" w:hAnsi="Cambria Math"/>
                      <w:lang w:eastAsia="en-AU"/>
                    </w:rPr>
                    <m:t>365</m:t>
                  </m:r>
                </m:den>
              </m:f>
            </m:sup>
          </m:sSup>
          <m:r>
            <w:rPr>
              <w:rFonts w:ascii="Cambria Math" w:hAnsi="Cambria Math"/>
              <w:lang w:eastAsia="en-AU"/>
            </w:rPr>
            <m:t>-1.</m:t>
          </m:r>
        </m:oMath>
      </m:oMathPara>
    </w:p>
    <w:p w14:paraId="4E8F7053" w14:textId="7BD901D7" w:rsidR="00D728D0" w:rsidRDefault="00AD2B43" w:rsidP="0082430C">
      <w:pPr>
        <w:pStyle w:val="BodyText"/>
        <w:rPr>
          <w:rFonts w:eastAsiaTheme="minorEastAsia"/>
          <w:lang w:eastAsia="en-AU"/>
        </w:rPr>
      </w:pPr>
      <w:r>
        <w:rPr>
          <w:rFonts w:eastAsiaTheme="minorEastAsia"/>
          <w:lang w:eastAsia="en-AU"/>
        </w:rPr>
        <w:lastRenderedPageBreak/>
        <w:t xml:space="preserve">Using shorter periods obviates the need to </w:t>
      </w:r>
      <w:r w:rsidR="00F95473">
        <w:rPr>
          <w:rFonts w:eastAsiaTheme="minorEastAsia"/>
          <w:lang w:eastAsia="en-AU"/>
        </w:rPr>
        <w:t>either:</w:t>
      </w:r>
    </w:p>
    <w:p w14:paraId="6988C438" w14:textId="784933B8" w:rsidR="00F95473" w:rsidRDefault="00F95473" w:rsidP="00F95473">
      <w:pPr>
        <w:pStyle w:val="ListBullet"/>
      </w:pPr>
      <w:r>
        <w:rPr>
          <w:lang w:eastAsia="en-AU"/>
        </w:rPr>
        <w:t xml:space="preserve">Separately account for </w:t>
      </w:r>
      <w:r w:rsidR="0082171A">
        <w:rPr>
          <w:lang w:eastAsia="en-AU"/>
        </w:rPr>
        <w:t>part year cash flows</w:t>
      </w:r>
      <w:r>
        <w:rPr>
          <w:lang w:eastAsia="en-AU"/>
        </w:rPr>
        <w:t>;</w:t>
      </w:r>
      <w:r w:rsidR="0082171A">
        <w:rPr>
          <w:lang w:eastAsia="en-AU"/>
        </w:rPr>
        <w:t xml:space="preserve"> or</w:t>
      </w:r>
    </w:p>
    <w:p w14:paraId="3EDC7A47" w14:textId="399B7258" w:rsidR="00F95473" w:rsidRDefault="0082171A" w:rsidP="00F95473">
      <w:pPr>
        <w:pStyle w:val="ListBullet"/>
      </w:pPr>
      <w:r>
        <w:rPr>
          <w:lang w:eastAsia="en-AU"/>
        </w:rPr>
        <w:t>Use part period</w:t>
      </w:r>
      <w:r w:rsidR="00696301">
        <w:rPr>
          <w:lang w:eastAsia="en-AU"/>
        </w:rPr>
        <w:t xml:space="preserve"> inputs in a formula that </w:t>
      </w:r>
      <w:r w:rsidR="00383186">
        <w:rPr>
          <w:lang w:eastAsia="en-AU"/>
        </w:rPr>
        <w:t>does not technically accommodate anything other than whole period</w:t>
      </w:r>
      <w:r w:rsidR="0036132C">
        <w:rPr>
          <w:lang w:eastAsia="en-AU"/>
        </w:rPr>
        <w:t xml:space="preserve"> cash flows </w:t>
      </w:r>
      <w:r w:rsidR="00244215">
        <w:rPr>
          <w:lang w:eastAsia="en-AU"/>
        </w:rPr>
        <w:t xml:space="preserve">that are </w:t>
      </w:r>
      <w:r w:rsidR="0036132C">
        <w:rPr>
          <w:lang w:eastAsia="en-AU"/>
        </w:rPr>
        <w:t>evenly spaced.</w:t>
      </w:r>
    </w:p>
    <w:p w14:paraId="574DB88B" w14:textId="77777777" w:rsidR="00D728D0" w:rsidRDefault="00D728D0" w:rsidP="0082430C">
      <w:pPr>
        <w:pStyle w:val="BodyText"/>
        <w:rPr>
          <w:rFonts w:eastAsiaTheme="minorEastAsia"/>
          <w:lang w:eastAsia="en-AU"/>
        </w:rPr>
      </w:pPr>
    </w:p>
    <w:p w14:paraId="5AC1D689" w14:textId="312E465A" w:rsidR="00DA5F50" w:rsidRDefault="00DA5F50" w:rsidP="0082430C">
      <w:pPr>
        <w:pStyle w:val="BodyText"/>
        <w:rPr>
          <w:rFonts w:eastAsiaTheme="minorEastAsia"/>
          <w:lang w:eastAsia="en-AU"/>
        </w:rPr>
      </w:pPr>
      <w:r>
        <w:rPr>
          <w:rFonts w:eastAsiaTheme="minorEastAsia"/>
          <w:lang w:eastAsia="en-AU"/>
        </w:rPr>
        <w:t xml:space="preserve"> </w:t>
      </w:r>
    </w:p>
    <w:p w14:paraId="32BA3330" w14:textId="77777777" w:rsidR="009B517D" w:rsidRDefault="009B517D" w:rsidP="0082430C">
      <w:pPr>
        <w:pStyle w:val="BodyText"/>
        <w:rPr>
          <w:rFonts w:eastAsiaTheme="minorEastAsia"/>
          <w:lang w:eastAsia="en-AU"/>
        </w:rPr>
      </w:pPr>
    </w:p>
    <w:p w14:paraId="4CE0D563" w14:textId="16681A00" w:rsidR="007F442D" w:rsidRDefault="00653514" w:rsidP="0082430C">
      <w:pPr>
        <w:pStyle w:val="BodyText"/>
        <w:rPr>
          <w:lang w:eastAsia="en-AU"/>
        </w:rPr>
      </w:pPr>
      <w:r>
        <w:rPr>
          <w:rFonts w:eastAsiaTheme="minorEastAsia"/>
          <w:lang w:eastAsia="en-AU"/>
        </w:rPr>
        <w:t xml:space="preserve"> </w:t>
      </w:r>
      <w:r w:rsidR="007F2B86">
        <w:rPr>
          <w:rFonts w:eastAsiaTheme="minorEastAsia"/>
          <w:lang w:eastAsia="en-AU"/>
        </w:rPr>
        <w:t xml:space="preserve"> </w:t>
      </w:r>
    </w:p>
    <w:p w14:paraId="0DF1E350" w14:textId="09623451" w:rsidR="0091592E" w:rsidRDefault="0091592E" w:rsidP="0091592E">
      <w:pPr>
        <w:pStyle w:val="BodyText"/>
        <w:rPr>
          <w:lang w:eastAsia="en-AU"/>
        </w:rPr>
      </w:pPr>
    </w:p>
    <w:p w14:paraId="0C541C78" w14:textId="77777777" w:rsidR="006D623B" w:rsidRDefault="006D623B" w:rsidP="007F146A">
      <w:pPr>
        <w:pStyle w:val="BodyText"/>
        <w:rPr>
          <w:lang w:eastAsia="en-AU"/>
        </w:rPr>
      </w:pPr>
    </w:p>
    <w:p w14:paraId="09286CF1" w14:textId="1D8D5F99" w:rsidR="007F146A" w:rsidRPr="007F146A" w:rsidRDefault="007F146A" w:rsidP="007F146A">
      <w:pPr>
        <w:pStyle w:val="BodyText"/>
        <w:rPr>
          <w:lang w:eastAsia="en-AU"/>
        </w:rPr>
        <w:sectPr w:rsidR="007F146A" w:rsidRPr="007F146A" w:rsidSect="00B731AB">
          <w:footerReference w:type="first" r:id="rId29"/>
          <w:pgSz w:w="11907" w:h="16839" w:code="9"/>
          <w:pgMar w:top="1440" w:right="1440" w:bottom="1157" w:left="1440" w:header="720" w:footer="720" w:gutter="0"/>
          <w:cols w:space="720"/>
          <w:docGrid w:linePitch="360"/>
        </w:sectPr>
      </w:pPr>
    </w:p>
    <w:p w14:paraId="6EE800A9" w14:textId="77777777" w:rsidR="002B546E" w:rsidRPr="00297A3A" w:rsidRDefault="002B546E" w:rsidP="00297A3A">
      <w:pPr>
        <w:pStyle w:val="BodyText"/>
        <w:rPr>
          <w:color w:val="37424A" w:themeColor="text1"/>
        </w:rPr>
      </w:pPr>
    </w:p>
    <w:p w14:paraId="556E4C8D" w14:textId="77777777" w:rsidR="001D6EBC" w:rsidRDefault="001D6EBC" w:rsidP="001D6EBC">
      <w:pPr>
        <w:pStyle w:val="CompanyDetailslarge"/>
      </w:pPr>
      <w:r>
        <w:t>Frontier Economics</w:t>
      </w:r>
    </w:p>
    <w:p w14:paraId="037BB27D" w14:textId="77777777" w:rsidR="001D6EBC" w:rsidRDefault="001D6EBC" w:rsidP="001D6EBC">
      <w:pPr>
        <w:pStyle w:val="CompanyDetailssmall"/>
      </w:pPr>
      <w:r>
        <w:t xml:space="preserve">Brisbane </w:t>
      </w:r>
      <w:r w:rsidRPr="00D92497">
        <w:rPr>
          <w:rStyle w:val="CharacterFEblue"/>
        </w:rPr>
        <w:t>|</w:t>
      </w:r>
      <w:r>
        <w:t xml:space="preserve"> Melbourne </w:t>
      </w:r>
      <w:r w:rsidRPr="00D92497">
        <w:rPr>
          <w:rStyle w:val="CharacterFEblue"/>
        </w:rPr>
        <w:t>|</w:t>
      </w:r>
      <w:r>
        <w:t xml:space="preserve"> Singapore </w:t>
      </w:r>
      <w:r w:rsidRPr="00D92497">
        <w:rPr>
          <w:rStyle w:val="CharacterFEblue"/>
        </w:rPr>
        <w:t>|</w:t>
      </w:r>
      <w:r>
        <w:t xml:space="preserve"> Sydney</w:t>
      </w:r>
    </w:p>
    <w:p w14:paraId="3B7B2327" w14:textId="77777777" w:rsidR="001D6EBC" w:rsidRDefault="001D6EBC" w:rsidP="00D92497">
      <w:pPr>
        <w:pStyle w:val="CompanyDetailssmall"/>
      </w:pPr>
      <w:r>
        <w:t>Frontier Economics Pty Ltd</w:t>
      </w:r>
      <w:r w:rsidR="00D92497">
        <w:br/>
      </w:r>
      <w:r>
        <w:t>395 Collins Street Melbourne Victoria 3000</w:t>
      </w:r>
    </w:p>
    <w:p w14:paraId="7E005C6A" w14:textId="2493313D" w:rsidR="001D6EBC" w:rsidRDefault="001D6EBC" w:rsidP="00D92497">
      <w:pPr>
        <w:pStyle w:val="CompanyDetailssmall"/>
      </w:pPr>
      <w:r>
        <w:t xml:space="preserve">Tel: +61 3 9620 4488 </w:t>
      </w:r>
      <w:r w:rsidR="00D92497">
        <w:br/>
      </w:r>
      <w:hyperlink r:id="rId30" w:history="1">
        <w:r w:rsidR="002B546E" w:rsidRPr="00AD240C">
          <w:rPr>
            <w:rStyle w:val="Hyperlink"/>
          </w:rPr>
          <w:t>www.frontier-economics.com.au</w:t>
        </w:r>
      </w:hyperlink>
    </w:p>
    <w:p w14:paraId="6EE6591F" w14:textId="77777777" w:rsidR="00B23161" w:rsidRPr="001D6EBC" w:rsidRDefault="001D6EBC" w:rsidP="00D92497">
      <w:pPr>
        <w:pStyle w:val="CompanyDetailssmall"/>
      </w:pPr>
      <w:r>
        <w:t>ACN: 087 553 124 ABN: 13 087 553 124</w:t>
      </w:r>
    </w:p>
    <w:sectPr w:rsidR="00B23161" w:rsidRPr="001D6EBC" w:rsidSect="00B731AB">
      <w:headerReference w:type="default" r:id="rId31"/>
      <w:footerReference w:type="default" r:id="rId32"/>
      <w:pgSz w:w="11907" w:h="16839" w:code="9"/>
      <w:pgMar w:top="1440" w:right="1440" w:bottom="115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9A91" w14:textId="77777777" w:rsidR="00CE4926" w:rsidRDefault="00CE4926" w:rsidP="00E12845">
      <w:pPr>
        <w:spacing w:before="0" w:after="0"/>
      </w:pPr>
      <w:r>
        <w:separator/>
      </w:r>
    </w:p>
  </w:endnote>
  <w:endnote w:type="continuationSeparator" w:id="0">
    <w:p w14:paraId="3343A3B5" w14:textId="77777777" w:rsidR="00CE4926" w:rsidRDefault="00CE4926" w:rsidP="00E12845">
      <w:pPr>
        <w:spacing w:before="0" w:after="0"/>
      </w:pPr>
      <w:r>
        <w:continuationSeparator/>
      </w:r>
    </w:p>
  </w:endnote>
  <w:endnote w:type="continuationNotice" w:id="1">
    <w:p w14:paraId="347B641B" w14:textId="77777777" w:rsidR="00CE4926" w:rsidRDefault="00CE49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B68F" w14:textId="14D3C12C" w:rsidR="00810980" w:rsidRDefault="00810980">
    <w:pPr>
      <w:pStyle w:val="Footer"/>
    </w:pPr>
    <w:r>
      <w:rPr>
        <w:noProof/>
      </w:rPr>
      <mc:AlternateContent>
        <mc:Choice Requires="wps">
          <w:drawing>
            <wp:anchor distT="0" distB="0" distL="0" distR="0" simplePos="0" relativeHeight="251658248" behindDoc="0" locked="0" layoutInCell="1" allowOverlap="1" wp14:anchorId="1AA68071" wp14:editId="6D6A4EC6">
              <wp:simplePos x="635" y="635"/>
              <wp:positionH relativeFrom="page">
                <wp:align>center</wp:align>
              </wp:positionH>
              <wp:positionV relativeFrom="page">
                <wp:align>bottom</wp:align>
              </wp:positionV>
              <wp:extent cx="622300" cy="401955"/>
              <wp:effectExtent l="0" t="0" r="6350" b="0"/>
              <wp:wrapNone/>
              <wp:docPr id="15087762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1DAFB6CB" w14:textId="7904529C"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68071" id="_x0000_t202" coordsize="21600,21600" o:spt="202" path="m,l,21600r21600,l21600,xe">
              <v:stroke joinstyle="miter"/>
              <v:path gradientshapeok="t" o:connecttype="rect"/>
            </v:shapetype>
            <v:shape id="Text Box 7" o:spid="_x0000_s1029" type="#_x0000_t202" alt="OFFICIAL" style="position:absolute;margin-left:0;margin-top:0;width:49pt;height:31.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" filled="f" stroked="f">
              <v:textbox style="mso-fit-shape-to-text:t" inset="0,0,0,15pt">
                <w:txbxContent>
                  <w:p w14:paraId="1DAFB6CB" w14:textId="7904529C"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AAEA" w14:textId="6259046E" w:rsidR="001A7E36" w:rsidRPr="00E12845" w:rsidRDefault="00810980" w:rsidP="00CE49B6">
    <w:pPr>
      <w:pStyle w:val="Footer"/>
    </w:pPr>
    <w:r>
      <w:rPr>
        <w:noProof/>
      </w:rPr>
      <mc:AlternateContent>
        <mc:Choice Requires="wps">
          <w:drawing>
            <wp:anchor distT="0" distB="0" distL="0" distR="0" simplePos="0" relativeHeight="251658249" behindDoc="0" locked="0" layoutInCell="1" allowOverlap="1" wp14:anchorId="0C0BCAC7" wp14:editId="6A460BCC">
              <wp:simplePos x="914400" y="10015870"/>
              <wp:positionH relativeFrom="page">
                <wp:align>center</wp:align>
              </wp:positionH>
              <wp:positionV relativeFrom="page">
                <wp:align>bottom</wp:align>
              </wp:positionV>
              <wp:extent cx="622300" cy="401955"/>
              <wp:effectExtent l="0" t="0" r="6350" b="0"/>
              <wp:wrapNone/>
              <wp:docPr id="5849825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62E7673D" w14:textId="627079DB"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BCAC7" id="_x0000_t202" coordsize="21600,21600" o:spt="202" path="m,l,21600r21600,l21600,xe">
              <v:stroke joinstyle="miter"/>
              <v:path gradientshapeok="t" o:connecttype="rect"/>
            </v:shapetype>
            <v:shape id="Text Box 8" o:spid="_x0000_s1030" type="#_x0000_t202" alt="OFFICIAL" style="position:absolute;margin-left:0;margin-top:0;width:49pt;height:31.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R6DQIAABwEAAAOAAAAZHJzL2Uyb0RvYy54bWysU8Fu2zAMvQ/YPwi6L3bSpV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" filled="f" stroked="f">
              <v:textbox style="mso-fit-shape-to-text:t" inset="0,0,0,15pt">
                <w:txbxContent>
                  <w:p w14:paraId="62E7673D" w14:textId="627079DB"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sdt>
      <w:sdtPr>
        <w:id w:val="-152139569"/>
        <w:docPartObj>
          <w:docPartGallery w:val="Page Numbers (Bottom of Page)"/>
          <w:docPartUnique/>
        </w:docPartObj>
      </w:sdtPr>
      <w:sdtEndPr>
        <w:rPr>
          <w:noProof/>
        </w:rPr>
      </w:sdtEndPr>
      <w:sdtContent>
        <w:r w:rsidR="00B90A42">
          <w:rPr>
            <w:rFonts w:ascii="Open Sans Light" w:hAnsi="Open Sans Light" w:cs="Open Sans Light"/>
            <w:noProof/>
            <w:lang w:eastAsia="en-AU"/>
          </w:rPr>
          <mc:AlternateContent>
            <mc:Choice Requires="wps">
              <w:drawing>
                <wp:anchor distT="0" distB="0" distL="114300" distR="114300" simplePos="0" relativeHeight="251658240" behindDoc="0" locked="0" layoutInCell="1" allowOverlap="1" wp14:anchorId="58BA83CD" wp14:editId="065F2EEF">
                  <wp:simplePos x="0" y="0"/>
                  <wp:positionH relativeFrom="rightMargin">
                    <wp:posOffset>2764</wp:posOffset>
                  </wp:positionH>
                  <wp:positionV relativeFrom="paragraph">
                    <wp:posOffset>-136525</wp:posOffset>
                  </wp:positionV>
                  <wp:extent cx="5402" cy="206518"/>
                  <wp:effectExtent l="0" t="0" r="33020" b="22225"/>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402" cy="206518"/>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aclsh="http://schemas.microsoft.com/office/drawing/2020/classificationShape" xmlns:adec="http://schemas.microsoft.com/office/drawing/2017/decorative">
              <w:pict w14:anchorId="22F098B6">
                <v:line id="Straight Connector 18" style="position:absolute;flip:x;z-index:25165824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 alt="&quot;&quot;" o:spid="_x0000_s1026" strokecolor="white [3212]" strokeweight="1pt" from=".2pt,-10.75pt" to=".65pt,5.5pt" w14:anchorId="515D3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">
                  <w10:wrap anchorx="margin"/>
                </v:line>
              </w:pict>
            </mc:Fallback>
          </mc:AlternateContent>
        </w:r>
        <w:r w:rsidR="002E4C4F" w:rsidRPr="002E4C4F">
          <w:t>Frontier Economics</w:t>
        </w:r>
        <w:r w:rsidR="001A7E36">
          <w:tab/>
        </w:r>
        <w:r w:rsidR="001A7E36">
          <w:fldChar w:fldCharType="begin"/>
        </w:r>
        <w:r w:rsidR="001A7E36">
          <w:instrText xml:space="preserve"> PAGE   \* MERGEFORMAT </w:instrText>
        </w:r>
        <w:r w:rsidR="001A7E36">
          <w:fldChar w:fldCharType="separate"/>
        </w:r>
        <w:r w:rsidR="003254F1">
          <w:rPr>
            <w:noProof/>
          </w:rPr>
          <w:t>1</w:t>
        </w:r>
        <w:r w:rsidR="001A7E3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96E6" w14:textId="79BEEF4F" w:rsidR="00064E11" w:rsidRDefault="00810980" w:rsidP="00064E11">
    <w:pPr>
      <w:pStyle w:val="BodyText"/>
    </w:pPr>
    <w:r>
      <w:rPr>
        <w:rFonts w:cs="Open Sans"/>
        <w:noProof/>
      </w:rPr>
      <mc:AlternateContent>
        <mc:Choice Requires="wps">
          <w:drawing>
            <wp:anchor distT="0" distB="0" distL="0" distR="0" simplePos="0" relativeHeight="251658247" behindDoc="0" locked="0" layoutInCell="1" allowOverlap="1" wp14:anchorId="2CEFB0CC" wp14:editId="682A55D5">
              <wp:simplePos x="914400" y="9909544"/>
              <wp:positionH relativeFrom="page">
                <wp:align>center</wp:align>
              </wp:positionH>
              <wp:positionV relativeFrom="page">
                <wp:align>bottom</wp:align>
              </wp:positionV>
              <wp:extent cx="622300" cy="401955"/>
              <wp:effectExtent l="0" t="0" r="6350" b="0"/>
              <wp:wrapNone/>
              <wp:docPr id="2708358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6EB041A8" w14:textId="7AD3C270"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FB0CC" id="_x0000_t202" coordsize="21600,21600" o:spt="202" path="m,l,21600r21600,l21600,xe">
              <v:stroke joinstyle="miter"/>
              <v:path gradientshapeok="t" o:connecttype="rect"/>
            </v:shapetype>
            <v:shape id="Text Box 6" o:spid="_x0000_s1032" type="#_x0000_t202" alt="OFFICIAL" style="position:absolute;margin-left:0;margin-top:0;width:49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" filled="f" stroked="f">
              <v:textbox style="mso-fit-shape-to-text:t" inset="0,0,0,15pt">
                <w:txbxContent>
                  <w:p w14:paraId="6EB041A8" w14:textId="7AD3C270"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r w:rsidR="009C4425">
      <w:rPr>
        <w:rFonts w:cs="Open Sans"/>
        <w:noProof/>
      </w:rPr>
      <w:drawing>
        <wp:anchor distT="0" distB="0" distL="114300" distR="114300" simplePos="0" relativeHeight="251658241" behindDoc="0" locked="0" layoutInCell="1" allowOverlap="1" wp14:anchorId="0C984A0A" wp14:editId="495D127C">
          <wp:simplePos x="0" y="0"/>
          <wp:positionH relativeFrom="column">
            <wp:posOffset>3862317</wp:posOffset>
          </wp:positionH>
          <wp:positionV relativeFrom="paragraph">
            <wp:posOffset>-2964360</wp:posOffset>
          </wp:positionV>
          <wp:extent cx="2352675" cy="828675"/>
          <wp:effectExtent l="0" t="0" r="9525" b="9525"/>
          <wp:wrapSquare wrapText="bothSides"/>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52675" cy="82867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D0FB" w14:textId="4A6F217F" w:rsidR="00CB577E" w:rsidRDefault="00810980">
    <w:pPr>
      <w:pStyle w:val="Footer"/>
    </w:pPr>
    <w:r>
      <w:rPr>
        <w:noProof/>
      </w:rPr>
      <mc:AlternateContent>
        <mc:Choice Requires="wps">
          <w:drawing>
            <wp:anchor distT="0" distB="0" distL="0" distR="0" simplePos="0" relativeHeight="251658250" behindDoc="0" locked="0" layoutInCell="1" allowOverlap="1" wp14:anchorId="2464EC9D" wp14:editId="3C10C414">
              <wp:simplePos x="635" y="635"/>
              <wp:positionH relativeFrom="page">
                <wp:align>center</wp:align>
              </wp:positionH>
              <wp:positionV relativeFrom="page">
                <wp:align>bottom</wp:align>
              </wp:positionV>
              <wp:extent cx="622300" cy="401955"/>
              <wp:effectExtent l="0" t="0" r="6350" b="0"/>
              <wp:wrapNone/>
              <wp:docPr id="101455429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32A7EB63" w14:textId="6EFE0BF4"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4EC9D" id="_x0000_t202" coordsize="21600,21600" o:spt="202" path="m,l,21600r21600,l21600,xe">
              <v:stroke joinstyle="miter"/>
              <v:path gradientshapeok="t" o:connecttype="rect"/>
            </v:shapetype>
            <v:shape id="Text Box 9" o:spid="_x0000_s1034" type="#_x0000_t202" alt="OFFICIAL" style="position:absolute;margin-left:0;margin-top:0;width:49pt;height:31.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" filled="f" stroked="f">
              <v:textbox style="mso-fit-shape-to-text:t" inset="0,0,0,15pt">
                <w:txbxContent>
                  <w:p w14:paraId="32A7EB63" w14:textId="6EFE0BF4"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r w:rsidR="00CB577E">
      <w:t>Footer</w:t>
    </w:r>
    <w:r w:rsidR="00FC728C">
      <w:tab/>
    </w:r>
    <w:r w:rsidR="00FC728C" w:rsidRPr="00024595">
      <w:rPr>
        <w:rStyle w:val="PageNumber"/>
      </w:rPr>
      <w:fldChar w:fldCharType="begin"/>
    </w:r>
    <w:r w:rsidR="00FC728C" w:rsidRPr="00024595">
      <w:rPr>
        <w:rStyle w:val="PageNumber"/>
      </w:rPr>
      <w:instrText xml:space="preserve"> PAGE   \* MERGEFORMAT </w:instrText>
    </w:r>
    <w:r w:rsidR="00FC728C" w:rsidRPr="00024595">
      <w:rPr>
        <w:rStyle w:val="PageNumber"/>
      </w:rPr>
      <w:fldChar w:fldCharType="separate"/>
    </w:r>
    <w:r w:rsidR="00CC6CBC">
      <w:rPr>
        <w:rStyle w:val="PageNumber"/>
        <w:noProof/>
      </w:rPr>
      <w:t>1</w:t>
    </w:r>
    <w:r w:rsidR="00FC728C" w:rsidRPr="0002459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753" w14:textId="0DB60FB4" w:rsidR="00FC728C" w:rsidRDefault="00810980" w:rsidP="00FC728C">
    <w:pPr>
      <w:pStyle w:val="Footer"/>
    </w:pPr>
    <w:r>
      <w:rPr>
        <w:noProof/>
      </w:rPr>
      <mc:AlternateContent>
        <mc:Choice Requires="wps">
          <w:drawing>
            <wp:anchor distT="0" distB="0" distL="0" distR="0" simplePos="0" relativeHeight="251658251" behindDoc="0" locked="0" layoutInCell="1" allowOverlap="1" wp14:anchorId="1C851D65" wp14:editId="1F0ECDFA">
              <wp:simplePos x="635" y="635"/>
              <wp:positionH relativeFrom="page">
                <wp:align>center</wp:align>
              </wp:positionH>
              <wp:positionV relativeFrom="page">
                <wp:align>bottom</wp:align>
              </wp:positionV>
              <wp:extent cx="622300" cy="401955"/>
              <wp:effectExtent l="0" t="0" r="6350" b="0"/>
              <wp:wrapNone/>
              <wp:docPr id="85196397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24CFF43F" w14:textId="58D9E1C3"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51D65" id="_x0000_t202" coordsize="21600,21600" o:spt="202" path="m,l,21600r21600,l21600,xe">
              <v:stroke joinstyle="miter"/>
              <v:path gradientshapeok="t" o:connecttype="rect"/>
            </v:shapetype>
            <v:shape id="Text Box 10" o:spid="_x0000_s1035" type="#_x0000_t202" alt="OFFICIAL" style="position:absolute;margin-left:0;margin-top:0;width:49pt;height:31.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JcKDQIAABw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" filled="f" stroked="f">
              <v:textbox style="mso-fit-shape-to-text:t" inset="0,0,0,15pt">
                <w:txbxContent>
                  <w:p w14:paraId="24CFF43F" w14:textId="58D9E1C3"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r w:rsidR="00FC728C">
      <w:t>Footer</w:t>
    </w:r>
    <w:r w:rsidR="00FC728C">
      <w:tab/>
    </w:r>
    <w:r w:rsidR="00FC728C" w:rsidRPr="00024595">
      <w:rPr>
        <w:rStyle w:val="PageNumber"/>
      </w:rPr>
      <w:fldChar w:fldCharType="begin"/>
    </w:r>
    <w:r w:rsidR="00FC728C" w:rsidRPr="00024595">
      <w:rPr>
        <w:rStyle w:val="PageNumber"/>
      </w:rPr>
      <w:instrText xml:space="preserve"> PAGE   \* MERGEFORMAT </w:instrText>
    </w:r>
    <w:r w:rsidR="00FC728C" w:rsidRPr="00024595">
      <w:rPr>
        <w:rStyle w:val="PageNumber"/>
      </w:rPr>
      <w:fldChar w:fldCharType="separate"/>
    </w:r>
    <w:r w:rsidR="00CC6CBC">
      <w:rPr>
        <w:rStyle w:val="PageNumber"/>
        <w:noProof/>
      </w:rPr>
      <w:t>3</w:t>
    </w:r>
    <w:r w:rsidR="00FC728C" w:rsidRPr="000245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94F3" w14:textId="331D99EB" w:rsidR="00B23161" w:rsidRPr="00B23161" w:rsidRDefault="00810980" w:rsidP="00B23161">
    <w:pPr>
      <w:pStyle w:val="BodyText"/>
    </w:pPr>
    <w:r>
      <w:rPr>
        <w:noProof/>
      </w:rPr>
      <mc:AlternateContent>
        <mc:Choice Requires="wps">
          <w:drawing>
            <wp:anchor distT="0" distB="0" distL="0" distR="0" simplePos="0" relativeHeight="251658252" behindDoc="0" locked="0" layoutInCell="1" allowOverlap="1" wp14:anchorId="11A69C06" wp14:editId="16A6942F">
              <wp:simplePos x="635" y="635"/>
              <wp:positionH relativeFrom="page">
                <wp:align>center</wp:align>
              </wp:positionH>
              <wp:positionV relativeFrom="page">
                <wp:align>bottom</wp:align>
              </wp:positionV>
              <wp:extent cx="622300" cy="401955"/>
              <wp:effectExtent l="0" t="0" r="6350" b="0"/>
              <wp:wrapNone/>
              <wp:docPr id="18180540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26400F15" w14:textId="028F509B"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69C06" id="_x0000_t202" coordsize="21600,21600" o:spt="202" path="m,l,21600r21600,l21600,xe">
              <v:stroke joinstyle="miter"/>
              <v:path gradientshapeok="t" o:connecttype="rect"/>
            </v:shapetype>
            <v:shape id="Text Box 11" o:spid="_x0000_s1037" type="#_x0000_t202" alt="OFFICIAL" style="position:absolute;margin-left:0;margin-top:0;width:49pt;height:31.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" filled="f" stroked="f">
              <v:textbox style="mso-fit-shape-to-text:t" inset="0,0,0,15pt">
                <w:txbxContent>
                  <w:p w14:paraId="26400F15" w14:textId="028F509B"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E5A9" w14:textId="77777777" w:rsidR="00CE4926" w:rsidRPr="00E05432" w:rsidRDefault="00CE4926" w:rsidP="00E12845">
      <w:pPr>
        <w:spacing w:before="0" w:after="0"/>
        <w:rPr>
          <w:color w:val="9BA1A5"/>
        </w:rPr>
      </w:pPr>
      <w:r w:rsidRPr="00E05432">
        <w:rPr>
          <w:color w:val="9BA1A5"/>
        </w:rPr>
        <w:separator/>
      </w:r>
    </w:p>
  </w:footnote>
  <w:footnote w:type="continuationSeparator" w:id="0">
    <w:p w14:paraId="58D1D96C" w14:textId="77777777" w:rsidR="00CE4926" w:rsidRDefault="00CE4926" w:rsidP="00E12845">
      <w:pPr>
        <w:spacing w:before="0" w:after="0"/>
      </w:pPr>
      <w:r>
        <w:continuationSeparator/>
      </w:r>
    </w:p>
  </w:footnote>
  <w:footnote w:type="continuationNotice" w:id="1">
    <w:p w14:paraId="540FDA67" w14:textId="77777777" w:rsidR="00CE4926" w:rsidRDefault="00CE4926">
      <w:pPr>
        <w:spacing w:before="0" w:after="0"/>
      </w:pPr>
    </w:p>
  </w:footnote>
  <w:footnote w:id="2">
    <w:p w14:paraId="11CDEC4E" w14:textId="59826BFD" w:rsidR="00C4206F" w:rsidRPr="00290E80" w:rsidRDefault="00C4206F">
      <w:pPr>
        <w:pStyle w:val="FootnoteText"/>
        <w:rPr>
          <w:lang w:val="en-US"/>
        </w:rPr>
      </w:pPr>
      <w:r>
        <w:rPr>
          <w:rStyle w:val="FootnoteReference"/>
        </w:rPr>
        <w:footnoteRef/>
      </w:r>
      <w:r>
        <w:t xml:space="preserve"> </w:t>
      </w:r>
      <w:r>
        <w:rPr>
          <w:lang w:val="en-US"/>
        </w:rPr>
        <w:tab/>
        <w:t xml:space="preserve">For example, </w:t>
      </w:r>
      <w:hyperlink r:id="rId1" w:history="1">
        <w:r w:rsidRPr="002D2F06">
          <w:rPr>
            <w:rStyle w:val="Hyperlink"/>
            <w:lang w:val="en-US"/>
          </w:rPr>
          <w:t>Radiocommunications (Spectrum Access Charges - 1800 MHz Band) Determination 2012 (No. 2)</w:t>
        </w:r>
      </w:hyperlink>
      <w:r w:rsidRPr="00C4206F">
        <w:rPr>
          <w:lang w:val="en-US"/>
        </w:rPr>
        <w:t xml:space="preserve">. Payment due date was 8 Nov 2013 (see near end of </w:t>
      </w:r>
      <w:hyperlink r:id="rId2" w:history="1">
        <w:r w:rsidRPr="002D2F06">
          <w:rPr>
            <w:rStyle w:val="Hyperlink"/>
            <w:lang w:val="en-US"/>
          </w:rPr>
          <w:t>Explanatory Statement</w:t>
        </w:r>
      </w:hyperlink>
      <w:r w:rsidRPr="00C4206F">
        <w:rPr>
          <w:lang w:val="en-US"/>
        </w:rPr>
        <w:t>)</w:t>
      </w:r>
      <w:r w:rsidR="002D2F06">
        <w:rPr>
          <w:lang w:val="en-US"/>
        </w:rPr>
        <w:t>.</w:t>
      </w:r>
      <w:r w:rsidR="001A74EA">
        <w:rPr>
          <w:lang w:val="en-US"/>
        </w:rPr>
        <w:t xml:space="preserve"> The approach was also applied to further licence renewals</w:t>
      </w:r>
      <w:r w:rsidR="00607829">
        <w:rPr>
          <w:lang w:val="en-US"/>
        </w:rPr>
        <w:t xml:space="preserve"> with </w:t>
      </w:r>
      <w:r w:rsidR="001A74EA">
        <w:rPr>
          <w:lang w:val="en-US"/>
        </w:rPr>
        <w:t xml:space="preserve">different </w:t>
      </w:r>
      <w:r w:rsidR="00905F93">
        <w:rPr>
          <w:lang w:val="en-US"/>
        </w:rPr>
        <w:t>payment due</w:t>
      </w:r>
      <w:r w:rsidR="001A74EA">
        <w:rPr>
          <w:lang w:val="en-US"/>
        </w:rPr>
        <w:t xml:space="preserve"> dates (</w:t>
      </w:r>
      <w:r w:rsidR="00905F93">
        <w:rPr>
          <w:lang w:val="en-US"/>
        </w:rPr>
        <w:t xml:space="preserve">30 November 2013, </w:t>
      </w:r>
      <w:r w:rsidR="001A74EA">
        <w:rPr>
          <w:lang w:val="en-US"/>
        </w:rPr>
        <w:t xml:space="preserve">30 April 2014, </w:t>
      </w:r>
      <w:r w:rsidR="00905F93">
        <w:rPr>
          <w:lang w:val="en-US"/>
        </w:rPr>
        <w:t xml:space="preserve">and </w:t>
      </w:r>
      <w:r w:rsidR="001A74EA">
        <w:rPr>
          <w:lang w:val="en-US"/>
        </w:rPr>
        <w:t>30 July 2014</w:t>
      </w:r>
      <w:r w:rsidR="00905F93">
        <w:rPr>
          <w:lang w:val="en-US"/>
        </w:rPr>
        <w:t>).</w:t>
      </w:r>
      <w:r w:rsidR="001A74EA">
        <w:rPr>
          <w:lang w:val="en-US"/>
        </w:rPr>
        <w:t xml:space="preserve"> </w:t>
      </w:r>
    </w:p>
  </w:footnote>
  <w:footnote w:id="3">
    <w:p w14:paraId="353B50BF" w14:textId="77777777" w:rsidR="00295D39" w:rsidRPr="00304926" w:rsidRDefault="00295D39" w:rsidP="00295D39">
      <w:pPr>
        <w:pStyle w:val="FootnoteText"/>
        <w:rPr>
          <w:lang w:val="en-US"/>
        </w:rPr>
      </w:pPr>
      <w:r>
        <w:rPr>
          <w:rStyle w:val="FootnoteReference"/>
        </w:rPr>
        <w:footnoteRef/>
      </w:r>
      <w:r>
        <w:t xml:space="preserve"> </w:t>
      </w:r>
      <w:r>
        <w:rPr>
          <w:lang w:val="en-US"/>
        </w:rPr>
        <w:tab/>
      </w:r>
      <w:hyperlink r:id="rId3" w:history="1">
        <w:r w:rsidRPr="00F02019">
          <w:rPr>
            <w:rStyle w:val="Hyperlink"/>
            <w:lang w:val="en-US"/>
          </w:rPr>
          <w:t>https://www.infrastructure.gov.au/sites/default/files/consultation/pdf/additional-information-700mhz-spectrum.pdf</w:t>
        </w:r>
      </w:hyperlink>
      <w:r>
        <w:rPr>
          <w:lang w:val="en-US"/>
        </w:rPr>
        <w:t xml:space="preserve"> </w:t>
      </w:r>
    </w:p>
  </w:footnote>
  <w:footnote w:id="4">
    <w:p w14:paraId="7281A242" w14:textId="77777777" w:rsidR="00E50464" w:rsidRPr="00692710" w:rsidRDefault="00E50464" w:rsidP="00E50464">
      <w:pPr>
        <w:pStyle w:val="FootnoteText"/>
        <w:rPr>
          <w:lang w:val="en-US"/>
        </w:rPr>
      </w:pPr>
      <w:r>
        <w:rPr>
          <w:rStyle w:val="FootnoteReference"/>
        </w:rPr>
        <w:footnoteRef/>
      </w:r>
      <w:r>
        <w:t xml:space="preserve"> </w:t>
      </w:r>
      <w:r w:rsidRPr="00692710">
        <w:t>Radiocommunications (Spectrum Licence Allocation—Residual 700 MHz Band One) Direction 2016</w:t>
      </w:r>
    </w:p>
  </w:footnote>
  <w:footnote w:id="5">
    <w:p w14:paraId="36113291" w14:textId="3B87B2B1" w:rsidR="0086111F" w:rsidRPr="0086111F" w:rsidRDefault="0086111F">
      <w:pPr>
        <w:pStyle w:val="FootnoteText"/>
        <w:rPr>
          <w:lang w:val="en-US"/>
        </w:rPr>
      </w:pPr>
      <w:r>
        <w:rPr>
          <w:rStyle w:val="FootnoteReference"/>
        </w:rPr>
        <w:footnoteRef/>
      </w:r>
      <w:r>
        <w:t xml:space="preserve"> </w:t>
      </w:r>
      <w:r>
        <w:rPr>
          <w:lang w:val="en-US"/>
        </w:rPr>
        <w:tab/>
        <w:t>PPP exchange rates are more relevant to non-traded goods such as mobile services.</w:t>
      </w:r>
    </w:p>
  </w:footnote>
  <w:footnote w:id="6">
    <w:p w14:paraId="50673267" w14:textId="77777777" w:rsidR="00D870CD" w:rsidRPr="003A4089" w:rsidRDefault="00D870CD" w:rsidP="00D870CD">
      <w:pPr>
        <w:pStyle w:val="FootnoteText"/>
        <w:rPr>
          <w:lang w:val="en-US"/>
        </w:rPr>
      </w:pPr>
      <w:r>
        <w:rPr>
          <w:rStyle w:val="FootnoteReference"/>
        </w:rPr>
        <w:footnoteRef/>
      </w:r>
      <w:r>
        <w:t xml:space="preserve"> </w:t>
      </w:r>
      <w:r>
        <w:rPr>
          <w:rFonts w:ascii="Times New Roman" w:hAnsi="Times New Roman" w:cs="Times New Roman"/>
        </w:rPr>
        <w:t xml:space="preserve">Berk, J., and P De Marzo, 2024, </w:t>
      </w:r>
      <w:r>
        <w:rPr>
          <w:rFonts w:ascii="Times New Roman" w:hAnsi="Times New Roman" w:cs="Times New Roman"/>
          <w:i/>
          <w:iCs/>
        </w:rPr>
        <w:t>Corporate Finance: 6th Global Edition</w:t>
      </w:r>
      <w:r>
        <w:rPr>
          <w:rFonts w:ascii="Times New Roman" w:hAnsi="Times New Roman" w:cs="Times New Roman"/>
        </w:rPr>
        <w:t>, Pearson, pp. 678-689.</w:t>
      </w:r>
    </w:p>
  </w:footnote>
  <w:footnote w:id="7">
    <w:p w14:paraId="4A7C5F49" w14:textId="60581DCF" w:rsidR="007E1DD5" w:rsidRDefault="007E1DD5" w:rsidP="007E1DD5">
      <w:pPr>
        <w:pStyle w:val="FootnoteText"/>
      </w:pPr>
      <w:r>
        <w:rPr>
          <w:rStyle w:val="FootnoteReference"/>
        </w:rPr>
        <w:footnoteRef/>
      </w:r>
      <w:r>
        <w:t xml:space="preserve"> </w:t>
      </w:r>
      <w:r w:rsidR="006B35FA">
        <w:t>IPART, Review of method for determining the WACC: Dealing with uncertainty and changing market conditions, December 2012 (IPART discussion paper)</w:t>
      </w:r>
      <w:r>
        <w:t>, pp. 57-58.</w:t>
      </w:r>
    </w:p>
  </w:footnote>
  <w:footnote w:id="8">
    <w:p w14:paraId="1795A15F" w14:textId="62049E99" w:rsidR="00F72461" w:rsidRDefault="00F72461" w:rsidP="00F72461">
      <w:pPr>
        <w:pStyle w:val="FootnoteText"/>
      </w:pPr>
      <w:r>
        <w:rPr>
          <w:rStyle w:val="FootnoteReference"/>
        </w:rPr>
        <w:footnoteRef/>
      </w:r>
      <w:r>
        <w:t xml:space="preserve"> </w:t>
      </w:r>
      <w:r w:rsidR="00D3567C">
        <w:tab/>
      </w:r>
      <w:r>
        <w:t>IPART 2018 WACC methodology, pp. 51-52.</w:t>
      </w:r>
    </w:p>
  </w:footnote>
  <w:footnote w:id="9">
    <w:p w14:paraId="6BEC3C74" w14:textId="4EBDDFD5" w:rsidR="00255BDB" w:rsidRPr="00255BDB" w:rsidRDefault="00255BDB">
      <w:pPr>
        <w:pStyle w:val="FootnoteText"/>
        <w:rPr>
          <w:lang w:val="en-US"/>
        </w:rPr>
      </w:pPr>
      <w:r>
        <w:rPr>
          <w:rStyle w:val="FootnoteReference"/>
        </w:rPr>
        <w:footnoteRef/>
      </w:r>
      <w:r>
        <w:t xml:space="preserve"> </w:t>
      </w:r>
      <w:r w:rsidR="00D3567C">
        <w:tab/>
      </w:r>
      <w:hyperlink r:id="rId4" w:history="1">
        <w:r w:rsidR="00D3567C" w:rsidRPr="003E7BA5">
          <w:rPr>
            <w:rStyle w:val="Hyperlink"/>
          </w:rPr>
          <w:t>https://www.aer.gov.au/news/articles/communications/2023-rate-return-annual-data-update-released</w:t>
        </w:r>
      </w:hyperlink>
      <w:r>
        <w:t>.</w:t>
      </w:r>
      <w:r w:rsidR="00A83047">
        <w:t xml:space="preserve"> </w:t>
      </w:r>
    </w:p>
  </w:footnote>
  <w:footnote w:id="10">
    <w:p w14:paraId="37DFFFF1" w14:textId="00CB50B4" w:rsidR="000B1FA8" w:rsidRPr="007C05A7" w:rsidRDefault="000B1FA8" w:rsidP="00D3567C">
      <w:pPr>
        <w:pStyle w:val="FootnoteText"/>
        <w:rPr>
          <w:lang w:val="en-US"/>
        </w:rPr>
      </w:pPr>
      <w:r>
        <w:rPr>
          <w:rStyle w:val="FootnoteReference"/>
        </w:rPr>
        <w:footnoteRef/>
      </w:r>
      <w:r>
        <w:t xml:space="preserve"> </w:t>
      </w:r>
      <w:r w:rsidR="00D3567C">
        <w:tab/>
      </w:r>
      <w:hyperlink r:id="rId5" w:history="1">
        <w:r w:rsidR="00D3567C" w:rsidRPr="003E7BA5">
          <w:rPr>
            <w:rStyle w:val="Hyperlink"/>
          </w:rPr>
          <w:t>https://www.accc.gov.au/system/files/MTAS%20FAD%20final%20report%20-%20October%202020.pdf</w:t>
        </w:r>
      </w:hyperlink>
      <w:r>
        <w:t>.</w:t>
      </w:r>
      <w:r w:rsidR="00A83047">
        <w:t xml:space="preserve"> </w:t>
      </w:r>
      <w:r w:rsidR="00D3567C">
        <w:br/>
      </w:r>
      <w:r w:rsidR="00A83047">
        <w:t>For completeness, we note that the ACCC’s views</w:t>
      </w:r>
      <w:r w:rsidR="00FB20F6">
        <w:t xml:space="preserve"> and estimates</w:t>
      </w:r>
      <w:r w:rsidR="00A83047">
        <w:t xml:space="preserve"> o</w:t>
      </w:r>
      <w:r w:rsidR="00FB20F6">
        <w:t>f</w:t>
      </w:r>
      <w:r w:rsidR="00A83047">
        <w:t xml:space="preserve"> appropriate betas</w:t>
      </w:r>
      <w:r w:rsidR="00FB20F6">
        <w:t xml:space="preserve"> for mobile networks for regulatory purposes</w:t>
      </w:r>
      <w:r w:rsidR="00A83047">
        <w:t xml:space="preserve"> have changed over time. In the 2015 benchmarking for MTAS, the ACCC preferred an equity beta of 0.7, whereas in </w:t>
      </w:r>
      <w:r w:rsidR="008061E3">
        <w:t xml:space="preserve">in 2007 values between 1.1 – 1.32 were </w:t>
      </w:r>
      <w:r w:rsidR="008F2CD6">
        <w:t>adopted in LRIC cost modelling</w:t>
      </w:r>
      <w:r w:rsidR="008061E3">
        <w:t>.</w:t>
      </w:r>
      <w:r w:rsidR="00A83047">
        <w:t xml:space="preserve"> </w:t>
      </w:r>
      <w:r w:rsidR="00B72BE7">
        <w:t xml:space="preserve">In our view, </w:t>
      </w:r>
      <w:r w:rsidR="00B17DEE" w:rsidRPr="00B17DEE">
        <w:t>large changes in beta estimates over time are more likely to be due to statistical noise and sampling error than genuine changes in systematic risk.</w:t>
      </w:r>
      <w:r w:rsidR="00B72BE7">
        <w:t xml:space="preserve"> </w:t>
      </w:r>
      <w:r w:rsidR="0091303B">
        <w:t xml:space="preserve">While we think that the ACCC’s value of 0.8 </w:t>
      </w:r>
      <w:r w:rsidR="0068538B">
        <w:t xml:space="preserve">calculated using 5 </w:t>
      </w:r>
      <w:proofErr w:type="gramStart"/>
      <w:r w:rsidR="0068538B">
        <w:t>years’</w:t>
      </w:r>
      <w:proofErr w:type="gramEnd"/>
      <w:r w:rsidR="0068538B">
        <w:t xml:space="preserve"> of returns data </w:t>
      </w:r>
      <w:r w:rsidR="0091303B">
        <w:t>appears reasonable in light of its other estimates</w:t>
      </w:r>
      <w:r w:rsidR="0053273F">
        <w:t xml:space="preserve">, </w:t>
      </w:r>
      <w:r w:rsidR="0068538B">
        <w:t>a</w:t>
      </w:r>
      <w:r w:rsidR="005E0C00">
        <w:t xml:space="preserve"> beta</w:t>
      </w:r>
      <w:r w:rsidR="0068538B">
        <w:t xml:space="preserve"> estimate </w:t>
      </w:r>
      <w:r w:rsidR="0053273F">
        <w:t>that took into account longer time periods (e.g. 10- or 20-year)</w:t>
      </w:r>
      <w:r w:rsidR="0068538B">
        <w:t xml:space="preserve"> would likely be superior.</w:t>
      </w:r>
      <w:r w:rsidR="00C8587C">
        <w:t xml:space="preserve"> We recommend that if this became a material issue in the ACMA’s considerations, </w:t>
      </w:r>
      <w:r w:rsidR="00FB20F6">
        <w:t xml:space="preserve">it would be worth </w:t>
      </w:r>
      <w:r w:rsidR="005E0C00">
        <w:t>estimating a longer-term beta</w:t>
      </w:r>
      <w:r w:rsidR="00FB20F6">
        <w:t>.</w:t>
      </w:r>
    </w:p>
  </w:footnote>
  <w:footnote w:id="11">
    <w:p w14:paraId="261226F9" w14:textId="0C1323B9" w:rsidR="000B1FA8" w:rsidRPr="007C05A7" w:rsidRDefault="000B1FA8" w:rsidP="000B1FA8">
      <w:pPr>
        <w:pStyle w:val="FootnoteText"/>
        <w:rPr>
          <w:lang w:val="en-US"/>
        </w:rPr>
      </w:pPr>
      <w:r>
        <w:rPr>
          <w:rStyle w:val="FootnoteReference"/>
        </w:rPr>
        <w:footnoteRef/>
      </w:r>
      <w:r>
        <w:t xml:space="preserve"> </w:t>
      </w:r>
      <w:hyperlink r:id="rId6" w:history="1">
        <w:r w:rsidR="00A83047" w:rsidRPr="003E7BA5">
          <w:rPr>
            <w:rStyle w:val="Hyperlink"/>
          </w:rPr>
          <w:t>https://www.accc.gov.au/system/files/MTAS%20FAD%20final%20report%20-%20October%202020.pdf</w:t>
        </w:r>
      </w:hyperlink>
      <w:r>
        <w:t>.</w:t>
      </w:r>
      <w:r w:rsidR="00A83047">
        <w:t xml:space="preserve"> </w:t>
      </w:r>
    </w:p>
  </w:footnote>
  <w:footnote w:id="12">
    <w:p w14:paraId="7555FF59" w14:textId="3B88240E" w:rsidR="00374DB5" w:rsidRPr="007C05A7" w:rsidRDefault="00374DB5" w:rsidP="00374DB5">
      <w:pPr>
        <w:pStyle w:val="FootnoteText"/>
        <w:rPr>
          <w:lang w:val="en-US"/>
        </w:rPr>
      </w:pPr>
      <w:r>
        <w:rPr>
          <w:rStyle w:val="FootnoteReference"/>
        </w:rPr>
        <w:footnoteRef/>
      </w:r>
      <w:r>
        <w:t xml:space="preserve"> </w:t>
      </w:r>
      <w:hyperlink r:id="rId7" w:history="1">
        <w:r w:rsidR="008B5275" w:rsidRPr="003E7BA5">
          <w:rPr>
            <w:rStyle w:val="Hyperlink"/>
          </w:rPr>
          <w:t>https://www.accc.gov.au/system/files/MTAS%20FAD%20final%20report%20-%20October%202020.pdf</w:t>
        </w:r>
      </w:hyperlink>
      <w:r>
        <w:t>.</w:t>
      </w:r>
      <w:r w:rsidR="008B5275">
        <w:t xml:space="preserve"> </w:t>
      </w:r>
      <w:r w:rsidR="009915D7">
        <w:t xml:space="preserve"> </w:t>
      </w:r>
    </w:p>
  </w:footnote>
  <w:footnote w:id="13">
    <w:p w14:paraId="473BE1D9" w14:textId="073042B6" w:rsidR="00C6676D" w:rsidRPr="00290E80" w:rsidRDefault="00C6676D">
      <w:pPr>
        <w:pStyle w:val="FootnoteText"/>
        <w:rPr>
          <w:lang w:val="en-US"/>
        </w:rPr>
      </w:pPr>
      <w:r>
        <w:rPr>
          <w:rStyle w:val="FootnoteReference"/>
        </w:rPr>
        <w:footnoteRef/>
      </w:r>
      <w:r>
        <w:t xml:space="preserve"> </w:t>
      </w:r>
      <w:r>
        <w:rPr>
          <w:lang w:val="en-US"/>
        </w:rPr>
        <w:tab/>
        <w:t xml:space="preserve">This would need to exclude any costs associated with spectrum </w:t>
      </w:r>
      <w:proofErr w:type="spellStart"/>
      <w:r>
        <w:rPr>
          <w:lang w:val="en-US"/>
        </w:rPr>
        <w:t>licences</w:t>
      </w:r>
      <w:proofErr w:type="spellEnd"/>
      <w:r>
        <w:rPr>
          <w:lang w:val="en-US"/>
        </w:rPr>
        <w:t xml:space="preserve"> to avoid circularity.</w:t>
      </w:r>
    </w:p>
  </w:footnote>
  <w:footnote w:id="14">
    <w:p w14:paraId="16CD95D9" w14:textId="5A8052D6" w:rsidR="00F328DA" w:rsidRPr="00F328DA" w:rsidRDefault="00F328DA">
      <w:pPr>
        <w:pStyle w:val="FootnoteText"/>
        <w:rPr>
          <w:lang w:val="en-US"/>
        </w:rPr>
      </w:pPr>
      <w:r>
        <w:rPr>
          <w:rStyle w:val="FootnoteReference"/>
        </w:rPr>
        <w:footnoteRef/>
      </w:r>
      <w:r>
        <w:t xml:space="preserve"> </w:t>
      </w:r>
      <w:r>
        <w:rPr>
          <w:lang w:val="en-US"/>
        </w:rPr>
        <w:tab/>
        <w:t xml:space="preserve">Noting that there </w:t>
      </w:r>
      <w:proofErr w:type="gramStart"/>
      <w:r>
        <w:rPr>
          <w:lang w:val="en-US"/>
        </w:rPr>
        <w:t>has</w:t>
      </w:r>
      <w:proofErr w:type="gramEnd"/>
      <w:r>
        <w:rPr>
          <w:lang w:val="en-US"/>
        </w:rPr>
        <w:t xml:space="preserve"> </w:t>
      </w:r>
      <w:r w:rsidR="00D871AC">
        <w:rPr>
          <w:lang w:val="en-US"/>
        </w:rPr>
        <w:t xml:space="preserve">been </w:t>
      </w:r>
      <w:r>
        <w:rPr>
          <w:lang w:val="en-US"/>
        </w:rPr>
        <w:t xml:space="preserve">some differences </w:t>
      </w:r>
      <w:r w:rsidR="00006713">
        <w:rPr>
          <w:lang w:val="en-US"/>
        </w:rPr>
        <w:t xml:space="preserve">over time </w:t>
      </w:r>
      <w:r>
        <w:rPr>
          <w:lang w:val="en-US"/>
        </w:rPr>
        <w:t xml:space="preserve">in </w:t>
      </w:r>
      <w:r w:rsidR="00D871AC">
        <w:rPr>
          <w:lang w:val="en-US"/>
        </w:rPr>
        <w:t xml:space="preserve">the ACCC’s </w:t>
      </w:r>
      <w:r>
        <w:rPr>
          <w:lang w:val="en-US"/>
        </w:rPr>
        <w:t>parameter estimates for inputs such as beta</w:t>
      </w:r>
      <w:r w:rsidR="00721AE3">
        <w:rPr>
          <w:lang w:val="en-US"/>
        </w:rPr>
        <w:t xml:space="preserve">; </w:t>
      </w:r>
      <w:r w:rsidR="00006713">
        <w:rPr>
          <w:lang w:val="en-US"/>
        </w:rPr>
        <w:t>s</w:t>
      </w:r>
      <w:r w:rsidR="00721AE3">
        <w:rPr>
          <w:lang w:val="en-US"/>
        </w:rPr>
        <w:t xml:space="preserve">ee footnote </w:t>
      </w:r>
      <w:r w:rsidR="00006713">
        <w:rPr>
          <w:lang w:val="en-US"/>
        </w:rPr>
        <w:fldChar w:fldCharType="begin"/>
      </w:r>
      <w:r w:rsidR="00006713">
        <w:rPr>
          <w:lang w:val="en-US"/>
        </w:rPr>
        <w:instrText xml:space="preserve"> NOTEREF _Ref170465015 \h </w:instrText>
      </w:r>
      <w:r w:rsidR="00006713">
        <w:rPr>
          <w:lang w:val="en-US"/>
        </w:rPr>
      </w:r>
      <w:r w:rsidR="00006713">
        <w:rPr>
          <w:lang w:val="en-US"/>
        </w:rPr>
        <w:fldChar w:fldCharType="separate"/>
      </w:r>
      <w:r w:rsidR="00006713">
        <w:rPr>
          <w:lang w:val="en-US"/>
        </w:rPr>
        <w:t>9</w:t>
      </w:r>
      <w:r w:rsidR="00006713">
        <w:rPr>
          <w:lang w:val="en-US"/>
        </w:rPr>
        <w:fldChar w:fldCharType="end"/>
      </w:r>
      <w:r w:rsidR="00721AE3">
        <w:rPr>
          <w:lang w:val="en-US"/>
        </w:rPr>
        <w:t>.</w:t>
      </w:r>
    </w:p>
  </w:footnote>
  <w:footnote w:id="15">
    <w:p w14:paraId="37DF6553" w14:textId="77777777" w:rsidR="003A4089" w:rsidRPr="003A4089" w:rsidRDefault="003A4089">
      <w:pPr>
        <w:pStyle w:val="FootnoteText"/>
        <w:rPr>
          <w:lang w:val="en-US"/>
        </w:rPr>
      </w:pPr>
      <w:r>
        <w:rPr>
          <w:rStyle w:val="FootnoteReference"/>
        </w:rPr>
        <w:footnoteRef/>
      </w:r>
      <w:r>
        <w:t xml:space="preserve"> </w:t>
      </w:r>
      <w:r w:rsidR="00F827AC">
        <w:rPr>
          <w:rFonts w:ascii="Times New Roman" w:hAnsi="Times New Roman" w:cs="Times New Roman"/>
        </w:rPr>
        <w:t xml:space="preserve">Berk, J., and P De Marzo, 2024, </w:t>
      </w:r>
      <w:r w:rsidR="00F827AC">
        <w:rPr>
          <w:rFonts w:ascii="Times New Roman" w:hAnsi="Times New Roman" w:cs="Times New Roman"/>
          <w:i/>
          <w:iCs/>
        </w:rPr>
        <w:t>Corporate Finance: 6th Global Edition</w:t>
      </w:r>
      <w:r w:rsidR="00F827AC">
        <w:rPr>
          <w:rFonts w:ascii="Times New Roman" w:hAnsi="Times New Roman" w:cs="Times New Roman"/>
        </w:rPr>
        <w:t>, Pearson, pp. 678-68</w:t>
      </w:r>
      <w:r w:rsidR="0011683F">
        <w:rPr>
          <w:rFonts w:ascii="Times New Roman" w:hAnsi="Times New Roman" w:cs="Times New Roman"/>
        </w:rPr>
        <w:t>9</w:t>
      </w:r>
      <w:r w:rsidR="00F827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19DB" w14:textId="0187D3BA" w:rsidR="00810980" w:rsidRDefault="00810980">
    <w:pPr>
      <w:pStyle w:val="Header"/>
    </w:pPr>
    <w:r>
      <w:rPr>
        <w:noProof/>
      </w:rPr>
      <mc:AlternateContent>
        <mc:Choice Requires="wps">
          <w:drawing>
            <wp:anchor distT="0" distB="0" distL="0" distR="0" simplePos="0" relativeHeight="251658243" behindDoc="0" locked="0" layoutInCell="1" allowOverlap="1" wp14:anchorId="52D22DD5" wp14:editId="386BADD1">
              <wp:simplePos x="635" y="635"/>
              <wp:positionH relativeFrom="page">
                <wp:align>center</wp:align>
              </wp:positionH>
              <wp:positionV relativeFrom="page">
                <wp:align>top</wp:align>
              </wp:positionV>
              <wp:extent cx="622300" cy="401955"/>
              <wp:effectExtent l="0" t="0" r="6350" b="17145"/>
              <wp:wrapNone/>
              <wp:docPr id="4741305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01A67900" w14:textId="6A7CAE9E"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22DD5" id="_x0000_t202" coordsize="21600,21600" o:spt="202" path="m,l,21600r21600,l21600,xe">
              <v:stroke joinstyle="miter"/>
              <v:path gradientshapeok="t" o:connecttype="rect"/>
            </v:shapetype>
            <v:shape id="Text Box 2" o:spid="_x0000_s1027" type="#_x0000_t202" alt="OFFICIAL" style="position:absolute;margin-left:0;margin-top:0;width:49pt;height:3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bgCAIAABUEAAAOAAAAZHJzL2Uyb0RvYy54bWysU8Fu2zAMvQ/YPwi6L7azpVi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" filled="f" stroked="f">
              <v:textbox style="mso-fit-shape-to-text:t" inset="0,15pt,0,0">
                <w:txbxContent>
                  <w:p w14:paraId="01A67900" w14:textId="6A7CAE9E"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EE1C" w14:textId="70855AE7" w:rsidR="001A7E36" w:rsidRDefault="00810980" w:rsidP="002E4C4F">
    <w:pPr>
      <w:pStyle w:val="Header"/>
    </w:pPr>
    <w:r>
      <w:rPr>
        <w:noProof/>
      </w:rPr>
      <mc:AlternateContent>
        <mc:Choice Requires="wps">
          <w:drawing>
            <wp:anchor distT="0" distB="0" distL="0" distR="0" simplePos="0" relativeHeight="251658244" behindDoc="0" locked="0" layoutInCell="1" allowOverlap="1" wp14:anchorId="1AEC8F06" wp14:editId="1ECA6E97">
              <wp:simplePos x="914400" y="457200"/>
              <wp:positionH relativeFrom="page">
                <wp:align>center</wp:align>
              </wp:positionH>
              <wp:positionV relativeFrom="page">
                <wp:align>top</wp:align>
              </wp:positionV>
              <wp:extent cx="622300" cy="401955"/>
              <wp:effectExtent l="0" t="0" r="6350" b="17145"/>
              <wp:wrapNone/>
              <wp:docPr id="7433491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1235F0FD" w14:textId="3A6AE404"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C8F06" id="_x0000_t202" coordsize="21600,21600" o:spt="202" path="m,l,21600r21600,l21600,xe">
              <v:stroke joinstyle="miter"/>
              <v:path gradientshapeok="t" o:connecttype="rect"/>
            </v:shapetype>
            <v:shape id="Text Box 3" o:spid="_x0000_s1028" type="#_x0000_t202" alt="OFFICIAL" style="position:absolute;margin-left:0;margin-top:0;width:49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" filled="f" stroked="f">
              <v:textbox style="mso-fit-shape-to-text:t" inset="0,15pt,0,0">
                <w:txbxContent>
                  <w:p w14:paraId="1235F0FD" w14:textId="3A6AE404"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fldSimple w:instr="STYLEREF  Title  \* MERGEFORMAT">
      <w:r w:rsidR="00724FCE">
        <w:rPr>
          <w:noProof/>
        </w:rPr>
        <w:t>Financial adjustments for benchmarking analysis</w:t>
      </w:r>
    </w:fldSimple>
    <w:r w:rsidR="00883746">
      <w:tab/>
    </w:r>
    <w:sdt>
      <w:sdtPr>
        <w:id w:val="597843461"/>
        <w:placeholder>
          <w:docPart w:val="21BA9028FCCE4B838D6326A3EBFA58BC"/>
        </w:placeholder>
        <w:dropDownList>
          <w:listItem w:displayText="&lt; select status &gt;" w:value="&lt; select status &gt;"/>
          <w:listItem w:displayText="Draft" w:value="Draft"/>
          <w:listItem w:displayText="Final" w:value="Final"/>
          <w:listItem w:displayText="Draft | Confidential" w:value="Draft | Confidential"/>
          <w:listItem w:displayText="Final | Confidential" w:value="Final | Confidential"/>
          <w:listItem w:displayText="Confidential" w:value="Confidential"/>
        </w:dropDownList>
      </w:sdtPr>
      <w:sdtEndPr/>
      <w:sdtContent>
        <w:r w:rsidR="00330B69">
          <w:t>Final | Confidential</w:t>
        </w:r>
      </w:sdtContent>
    </w:sdt>
  </w:p>
  <w:p w14:paraId="7D1D8455" w14:textId="77777777" w:rsidR="002E4C4F" w:rsidRPr="00CC6CBC" w:rsidRDefault="002E4C4F" w:rsidP="002E4C4F">
    <w:pPr>
      <w:pStyle w:val="Header"/>
    </w:pPr>
    <w:r>
      <w:rPr>
        <w:b/>
        <w:noProof/>
        <w:color w:val="6A7177"/>
        <w:lang w:eastAsia="en-AU"/>
      </w:rPr>
      <w:drawing>
        <wp:inline distT="0" distB="0" distL="0" distR="0" wp14:anchorId="16D74A40" wp14:editId="5C483232">
          <wp:extent cx="615600" cy="123731"/>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5600" cy="1237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485" w14:textId="00516146" w:rsidR="00810980" w:rsidRDefault="00810980">
    <w:pPr>
      <w:pStyle w:val="Header"/>
    </w:pPr>
    <w:r>
      <w:rPr>
        <w:noProof/>
      </w:rPr>
      <mc:AlternateContent>
        <mc:Choice Requires="wps">
          <w:drawing>
            <wp:anchor distT="0" distB="0" distL="0" distR="0" simplePos="0" relativeHeight="251658242" behindDoc="0" locked="0" layoutInCell="1" allowOverlap="1" wp14:anchorId="4D0D582D" wp14:editId="0AFA1CE0">
              <wp:simplePos x="914400" y="457200"/>
              <wp:positionH relativeFrom="page">
                <wp:align>center</wp:align>
              </wp:positionH>
              <wp:positionV relativeFrom="page">
                <wp:align>top</wp:align>
              </wp:positionV>
              <wp:extent cx="622300" cy="401955"/>
              <wp:effectExtent l="0" t="0" r="6350" b="17145"/>
              <wp:wrapNone/>
              <wp:docPr id="1311882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113AAD80" w14:textId="131ED31B"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D582D" id="_x0000_t202" coordsize="21600,21600" o:spt="202" path="m,l,21600r21600,l21600,xe">
              <v:stroke joinstyle="miter"/>
              <v:path gradientshapeok="t" o:connecttype="rect"/>
            </v:shapetype>
            <v:shape id="Text Box 1" o:spid="_x0000_s1031" type="#_x0000_t202" alt="OFFICIAL" style="position:absolute;margin-left:0;margin-top:0;width:49pt;height:3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" filled="f" stroked="f">
              <v:textbox style="mso-fit-shape-to-text:t" inset="0,15pt,0,0">
                <w:txbxContent>
                  <w:p w14:paraId="113AAD80" w14:textId="131ED31B"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E71B" w14:textId="6C9256BD" w:rsidR="00DD35E1" w:rsidRDefault="00810980" w:rsidP="00DD35E1">
    <w:pPr>
      <w:pStyle w:val="Headerlandscape"/>
    </w:pPr>
    <w:r>
      <w:rPr>
        <w:noProof/>
      </w:rPr>
      <mc:AlternateContent>
        <mc:Choice Requires="wps">
          <w:drawing>
            <wp:anchor distT="0" distB="0" distL="0" distR="0" simplePos="0" relativeHeight="251658245" behindDoc="0" locked="0" layoutInCell="1" allowOverlap="1" wp14:anchorId="45168FBD" wp14:editId="38139D2D">
              <wp:simplePos x="635" y="635"/>
              <wp:positionH relativeFrom="page">
                <wp:align>center</wp:align>
              </wp:positionH>
              <wp:positionV relativeFrom="page">
                <wp:align>top</wp:align>
              </wp:positionV>
              <wp:extent cx="622300" cy="401955"/>
              <wp:effectExtent l="0" t="0" r="6350" b="17145"/>
              <wp:wrapNone/>
              <wp:docPr id="11556115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617904E0" w14:textId="7ABCDF96"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68FBD" id="_x0000_t202" coordsize="21600,21600" o:spt="202" path="m,l,21600r21600,l21600,xe">
              <v:stroke joinstyle="miter"/>
              <v:path gradientshapeok="t" o:connecttype="rect"/>
            </v:shapetype>
            <v:shape id="Text Box 4" o:spid="_x0000_s1033" type="#_x0000_t202" alt="OFFICIAL" style="position:absolute;margin-left:0;margin-top:0;width:49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" filled="f" stroked="f">
              <v:textbox style="mso-fit-shape-to-text:t" inset="0,15pt,0,0">
                <w:txbxContent>
                  <w:p w14:paraId="617904E0" w14:textId="7ABCDF96"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r w:rsidR="00DD35E1">
      <w:t>Header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C3ED" w14:textId="7D53F427" w:rsidR="00B23161" w:rsidRPr="00B23161" w:rsidRDefault="00810980" w:rsidP="00B23161">
    <w:pPr>
      <w:pStyle w:val="BodyText"/>
    </w:pPr>
    <w:r>
      <w:rPr>
        <w:noProof/>
      </w:rPr>
      <mc:AlternateContent>
        <mc:Choice Requires="wps">
          <w:drawing>
            <wp:anchor distT="0" distB="0" distL="0" distR="0" simplePos="0" relativeHeight="251658246" behindDoc="0" locked="0" layoutInCell="1" allowOverlap="1" wp14:anchorId="18CA6E83" wp14:editId="539D34D1">
              <wp:simplePos x="635" y="635"/>
              <wp:positionH relativeFrom="page">
                <wp:align>center</wp:align>
              </wp:positionH>
              <wp:positionV relativeFrom="page">
                <wp:align>top</wp:align>
              </wp:positionV>
              <wp:extent cx="622300" cy="401955"/>
              <wp:effectExtent l="0" t="0" r="6350" b="17145"/>
              <wp:wrapNone/>
              <wp:docPr id="37914224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1955"/>
                      </a:xfrm>
                      <a:prstGeom prst="rect">
                        <a:avLst/>
                      </a:prstGeom>
                      <a:noFill/>
                      <a:ln>
                        <a:noFill/>
                      </a:ln>
                    </wps:spPr>
                    <wps:txbx>
                      <w:txbxContent>
                        <w:p w14:paraId="73FFBFB9" w14:textId="356B0E66"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A6E83" id="_x0000_t202" coordsize="21600,21600" o:spt="202" path="m,l,21600r21600,l21600,xe">
              <v:stroke joinstyle="miter"/>
              <v:path gradientshapeok="t" o:connecttype="rect"/>
            </v:shapetype>
            <v:shape id="Text Box 5" o:spid="_x0000_s1036" type="#_x0000_t202" alt="OFFICIAL" style="position:absolute;margin-left:0;margin-top:0;width:49pt;height:31.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" filled="f" stroked="f">
              <v:textbox style="mso-fit-shape-to-text:t" inset="0,15pt,0,0">
                <w:txbxContent>
                  <w:p w14:paraId="73FFBFB9" w14:textId="356B0E66" w:rsidR="00810980" w:rsidRPr="00810980" w:rsidRDefault="00810980" w:rsidP="00810980">
                    <w:pPr>
                      <w:spacing w:after="0"/>
                      <w:rPr>
                        <w:rFonts w:ascii="Aptos" w:eastAsia="Aptos" w:hAnsi="Aptos" w:cs="Aptos"/>
                        <w:noProof/>
                        <w:color w:val="FF0000"/>
                        <w:sz w:val="24"/>
                        <w:szCs w:val="24"/>
                      </w:rPr>
                    </w:pPr>
                    <w:r w:rsidRPr="0081098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E2A"/>
    <w:multiLevelType w:val="multilevel"/>
    <w:tmpl w:val="F508B3E4"/>
    <w:lvl w:ilvl="0">
      <w:start w:val="1"/>
      <w:numFmt w:val="decimal"/>
      <w:pStyle w:val="CalloutBoxcaption"/>
      <w:suff w:val="space"/>
      <w:lvlText w:val="Box %1: "/>
      <w:lvlJc w:val="left"/>
      <w:pPr>
        <w:ind w:left="0" w:firstLine="0"/>
      </w:pPr>
      <w:rPr>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F167765"/>
    <w:multiLevelType w:val="multilevel"/>
    <w:tmpl w:val="B96006D0"/>
    <w:styleLink w:val="AppendixHeadingmaster"/>
    <w:lvl w:ilvl="0">
      <w:start w:val="1"/>
      <w:numFmt w:val="upperLetter"/>
      <w:pStyle w:val="AppendixHead"/>
      <w:lvlText w:val="%1"/>
      <w:lvlJc w:val="left"/>
      <w:pPr>
        <w:ind w:left="1021" w:hanging="1021"/>
      </w:pPr>
      <w:rPr>
        <w:rFonts w:ascii="Open Sans Light" w:hAnsi="Open Sans Light" w:hint="default"/>
        <w:b w:val="0"/>
        <w:i w:val="0"/>
        <w:color w:val="207BA1"/>
        <w:sz w:val="52"/>
      </w:rPr>
    </w:lvl>
    <w:lvl w:ilvl="1">
      <w:start w:val="1"/>
      <w:numFmt w:val="decimal"/>
      <w:pStyle w:val="AppendixSubHead"/>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8C63CC"/>
    <w:multiLevelType w:val="multilevel"/>
    <w:tmpl w:val="975E5E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53D77"/>
    <w:multiLevelType w:val="multilevel"/>
    <w:tmpl w:val="B80C12A4"/>
    <w:styleLink w:val="Headingsmaster"/>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740425"/>
    <w:multiLevelType w:val="multilevel"/>
    <w:tmpl w:val="FAAA03C0"/>
    <w:numStyleLink w:val="ListNumbermaster"/>
  </w:abstractNum>
  <w:abstractNum w:abstractNumId="5" w15:restartNumberingAfterBreak="0">
    <w:nsid w:val="1F082FEE"/>
    <w:multiLevelType w:val="multilevel"/>
    <w:tmpl w:val="9C2A9D9E"/>
    <w:styleLink w:val="TableListNumbermaster"/>
    <w:lvl w:ilvl="0">
      <w:start w:val="1"/>
      <w:numFmt w:val="decimal"/>
      <w:pStyle w:val="TableListNumber"/>
      <w:lvlText w:val="%1."/>
      <w:lvlJc w:val="left"/>
      <w:pPr>
        <w:ind w:left="360" w:hanging="360"/>
      </w:pPr>
      <w:rPr>
        <w:rFonts w:hint="default"/>
        <w:color w:val="37424A"/>
      </w:rPr>
    </w:lvl>
    <w:lvl w:ilvl="1">
      <w:start w:val="1"/>
      <w:numFmt w:val="lowerLetter"/>
      <w:pStyle w:val="TableListNumber2"/>
      <w:lvlText w:val="%2."/>
      <w:lvlJc w:val="left"/>
      <w:pPr>
        <w:ind w:left="720" w:hanging="360"/>
      </w:pPr>
      <w:rPr>
        <w:rFonts w:hint="default"/>
        <w:color w:val="37424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A40AEF"/>
    <w:multiLevelType w:val="multilevel"/>
    <w:tmpl w:val="B96006D0"/>
    <w:numStyleLink w:val="AppendixHeadingmaster"/>
  </w:abstractNum>
  <w:abstractNum w:abstractNumId="7" w15:restartNumberingAfterBreak="0">
    <w:nsid w:val="242839DB"/>
    <w:multiLevelType w:val="multilevel"/>
    <w:tmpl w:val="B290EB2C"/>
    <w:styleLink w:val="ListLegalmaster"/>
    <w:lvl w:ilvl="0">
      <w:start w:val="1"/>
      <w:numFmt w:val="decimal"/>
      <w:pStyle w:val="ListLegal"/>
      <w:lvlText w:val="%1."/>
      <w:lvlJc w:val="left"/>
      <w:pPr>
        <w:ind w:left="-567" w:firstLine="567"/>
      </w:pPr>
      <w:rPr>
        <w:rFonts w:ascii="Open Sans" w:hAnsi="Open Sans" w:hint="default"/>
        <w:b w:val="0"/>
        <w:i w:val="0"/>
        <w:color w:val="37424A"/>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EE5B1B"/>
    <w:multiLevelType w:val="multilevel"/>
    <w:tmpl w:val="9E827E2A"/>
    <w:numStyleLink w:val="ListBulletmaster"/>
  </w:abstractNum>
  <w:abstractNum w:abstractNumId="9" w15:restartNumberingAfterBreak="0">
    <w:nsid w:val="2C491F53"/>
    <w:multiLevelType w:val="hybridMultilevel"/>
    <w:tmpl w:val="7E38A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328E2"/>
    <w:multiLevelType w:val="multilevel"/>
    <w:tmpl w:val="FAAA03C0"/>
    <w:styleLink w:val="ListNumbermaster"/>
    <w:lvl w:ilvl="0">
      <w:start w:val="1"/>
      <w:numFmt w:val="decimal"/>
      <w:pStyle w:val="ListNumber"/>
      <w:lvlText w:val="%1."/>
      <w:lvlJc w:val="left"/>
      <w:pPr>
        <w:ind w:left="360" w:hanging="360"/>
      </w:pPr>
      <w:rPr>
        <w:rFonts w:ascii="Open Sans" w:hAnsi="Open Sans" w:hint="default"/>
        <w:color w:val="37424A"/>
        <w:sz w:val="20"/>
      </w:rPr>
    </w:lvl>
    <w:lvl w:ilvl="1">
      <w:start w:val="1"/>
      <w:numFmt w:val="lowerLetter"/>
      <w:pStyle w:val="ListNumber2"/>
      <w:lvlText w:val="%2."/>
      <w:lvlJc w:val="left"/>
      <w:pPr>
        <w:ind w:left="720" w:hanging="360"/>
      </w:pPr>
      <w:rPr>
        <w:rFonts w:ascii="Open Sans" w:hAnsi="Open Sans" w:hint="default"/>
        <w:color w:val="37424A"/>
        <w:sz w:val="20"/>
      </w:rPr>
    </w:lvl>
    <w:lvl w:ilvl="2">
      <w:start w:val="1"/>
      <w:numFmt w:val="lowerRoman"/>
      <w:pStyle w:val="ListNumber3"/>
      <w:lvlText w:val="%3."/>
      <w:lvlJc w:val="left"/>
      <w:pPr>
        <w:ind w:left="1080" w:hanging="360"/>
      </w:pPr>
      <w:rPr>
        <w:rFonts w:ascii="Open Sans" w:hAnsi="Open Sans" w:hint="default"/>
        <w:color w:val="37424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423ACA"/>
    <w:multiLevelType w:val="hybridMultilevel"/>
    <w:tmpl w:val="2C46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0F2C8C"/>
    <w:multiLevelType w:val="multilevel"/>
    <w:tmpl w:val="FB4E8B72"/>
    <w:styleLink w:val="BoxHeadingmaster"/>
    <w:lvl w:ilvl="0">
      <w:start w:val="1"/>
      <w:numFmt w:val="decimal"/>
      <w:pStyle w:val="BoxHeading1"/>
      <w:suff w:val="nothing"/>
      <w:lvlText w:val="Bo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60479F"/>
    <w:multiLevelType w:val="multilevel"/>
    <w:tmpl w:val="B80C12A4"/>
    <w:numStyleLink w:val="Headingsmaster"/>
  </w:abstractNum>
  <w:abstractNum w:abstractNumId="15" w15:restartNumberingAfterBreak="0">
    <w:nsid w:val="57A51FC2"/>
    <w:multiLevelType w:val="multilevel"/>
    <w:tmpl w:val="CC8C9248"/>
    <w:styleLink w:val="TableListBulletmaster"/>
    <w:lvl w:ilvl="0">
      <w:start w:val="1"/>
      <w:numFmt w:val="bullet"/>
      <w:pStyle w:val="TableListBullet"/>
      <w:lvlText w:val=""/>
      <w:lvlJc w:val="left"/>
      <w:pPr>
        <w:ind w:left="340" w:hanging="283"/>
      </w:pPr>
      <w:rPr>
        <w:rFonts w:ascii="Symbol" w:hAnsi="Symbol" w:hint="default"/>
        <w:color w:val="37424A"/>
      </w:rPr>
    </w:lvl>
    <w:lvl w:ilvl="1">
      <w:start w:val="1"/>
      <w:numFmt w:val="bullet"/>
      <w:pStyle w:val="TableListBullet2"/>
      <w:lvlText w:val=""/>
      <w:lvlJc w:val="left"/>
      <w:pPr>
        <w:ind w:left="567" w:hanging="227"/>
      </w:pPr>
      <w:rPr>
        <w:rFonts w:ascii="Wingdings" w:hAnsi="Wingdings" w:hint="default"/>
        <w:color w:val="37424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8E6CBA"/>
    <w:multiLevelType w:val="multilevel"/>
    <w:tmpl w:val="9E827E2A"/>
    <w:styleLink w:val="ListBulletmaster"/>
    <w:lvl w:ilvl="0">
      <w:start w:val="1"/>
      <w:numFmt w:val="bullet"/>
      <w:pStyle w:val="ListBullet"/>
      <w:lvlText w:val=""/>
      <w:lvlJc w:val="left"/>
      <w:pPr>
        <w:tabs>
          <w:tab w:val="num" w:pos="360"/>
        </w:tabs>
        <w:ind w:left="360" w:hanging="360"/>
      </w:pPr>
      <w:rPr>
        <w:rFonts w:ascii="Symbol" w:hAnsi="Symbol" w:hint="default"/>
        <w:color w:val="37424A"/>
        <w:sz w:val="24"/>
      </w:rPr>
    </w:lvl>
    <w:lvl w:ilvl="1">
      <w:start w:val="1"/>
      <w:numFmt w:val="bullet"/>
      <w:pStyle w:val="ListBullet2"/>
      <w:lvlText w:val="○"/>
      <w:lvlJc w:val="left"/>
      <w:pPr>
        <w:ind w:left="714" w:hanging="357"/>
      </w:pPr>
      <w:rPr>
        <w:rFonts w:ascii="Calibri" w:hAnsi="Calibri" w:hint="default"/>
        <w:color w:val="37424A"/>
        <w:sz w:val="24"/>
      </w:rPr>
    </w:lvl>
    <w:lvl w:ilvl="2">
      <w:start w:val="1"/>
      <w:numFmt w:val="bullet"/>
      <w:pStyle w:val="ListBullet3"/>
      <w:lvlText w:val=""/>
      <w:lvlJc w:val="left"/>
      <w:pPr>
        <w:ind w:left="1072" w:hanging="358"/>
      </w:pPr>
      <w:rPr>
        <w:rFonts w:ascii="Wingdings" w:hAnsi="Wingdings" w:hint="default"/>
        <w:color w:val="37424A"/>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1158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FF6B26"/>
    <w:multiLevelType w:val="multilevel"/>
    <w:tmpl w:val="CC8C9248"/>
    <w:numStyleLink w:val="TableListBulletmaster"/>
  </w:abstractNum>
  <w:abstractNum w:abstractNumId="20" w15:restartNumberingAfterBreak="0">
    <w:nsid w:val="6DFA5A94"/>
    <w:multiLevelType w:val="multilevel"/>
    <w:tmpl w:val="B290EB2C"/>
    <w:numStyleLink w:val="ListLegalmaster"/>
  </w:abstractNum>
  <w:abstractNum w:abstractNumId="21" w15:restartNumberingAfterBreak="0">
    <w:nsid w:val="6E14575C"/>
    <w:multiLevelType w:val="hybridMultilevel"/>
    <w:tmpl w:val="094C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D5EB6"/>
    <w:multiLevelType w:val="multilevel"/>
    <w:tmpl w:val="FB4E8B72"/>
    <w:numStyleLink w:val="BoxHeadingmaster"/>
  </w:abstractNum>
  <w:abstractNum w:abstractNumId="23" w15:restartNumberingAfterBreak="0">
    <w:nsid w:val="79377B0D"/>
    <w:multiLevelType w:val="multilevel"/>
    <w:tmpl w:val="9C2A9D9E"/>
    <w:numStyleLink w:val="TableListNumbermaster"/>
  </w:abstractNum>
  <w:num w:numId="1" w16cid:durableId="141124600">
    <w:abstractNumId w:val="1"/>
  </w:num>
  <w:num w:numId="2" w16cid:durableId="1894072900">
    <w:abstractNumId w:val="16"/>
  </w:num>
  <w:num w:numId="3" w16cid:durableId="1884706281">
    <w:abstractNumId w:val="3"/>
  </w:num>
  <w:num w:numId="4" w16cid:durableId="1954090280">
    <w:abstractNumId w:val="17"/>
  </w:num>
  <w:num w:numId="5" w16cid:durableId="1701977904">
    <w:abstractNumId w:val="10"/>
  </w:num>
  <w:num w:numId="6" w16cid:durableId="2071071119">
    <w:abstractNumId w:val="15"/>
  </w:num>
  <w:num w:numId="7" w16cid:durableId="454755443">
    <w:abstractNumId w:val="5"/>
  </w:num>
  <w:num w:numId="8" w16cid:durableId="485169991">
    <w:abstractNumId w:val="12"/>
  </w:num>
  <w:num w:numId="9" w16cid:durableId="1926722823">
    <w:abstractNumId w:val="7"/>
  </w:num>
  <w:num w:numId="10" w16cid:durableId="302976726">
    <w:abstractNumId w:val="14"/>
  </w:num>
  <w:num w:numId="11" w16cid:durableId="1749035684">
    <w:abstractNumId w:val="4"/>
  </w:num>
  <w:num w:numId="12" w16cid:durableId="1137265148">
    <w:abstractNumId w:val="6"/>
  </w:num>
  <w:num w:numId="13" w16cid:durableId="514805340">
    <w:abstractNumId w:val="19"/>
  </w:num>
  <w:num w:numId="14" w16cid:durableId="1842432654">
    <w:abstractNumId w:val="23"/>
  </w:num>
  <w:num w:numId="15" w16cid:durableId="98373932">
    <w:abstractNumId w:val="20"/>
  </w:num>
  <w:num w:numId="16" w16cid:durableId="1478524133">
    <w:abstractNumId w:val="13"/>
  </w:num>
  <w:num w:numId="17" w16cid:durableId="258222452">
    <w:abstractNumId w:val="22"/>
  </w:num>
  <w:num w:numId="18" w16cid:durableId="816914654">
    <w:abstractNumId w:val="8"/>
  </w:num>
  <w:num w:numId="19" w16cid:durableId="654067919">
    <w:abstractNumId w:val="0"/>
  </w:num>
  <w:num w:numId="20" w16cid:durableId="528106988">
    <w:abstractNumId w:val="11"/>
  </w:num>
  <w:num w:numId="21" w16cid:durableId="2141610447">
    <w:abstractNumId w:val="21"/>
  </w:num>
  <w:num w:numId="22" w16cid:durableId="1401440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9025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8597410">
    <w:abstractNumId w:val="9"/>
  </w:num>
  <w:num w:numId="25" w16cid:durableId="983849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111E6D"/>
    <w:rsid w:val="000011F7"/>
    <w:rsid w:val="00002214"/>
    <w:rsid w:val="000024F9"/>
    <w:rsid w:val="0000287A"/>
    <w:rsid w:val="000030F6"/>
    <w:rsid w:val="0000428E"/>
    <w:rsid w:val="000045DA"/>
    <w:rsid w:val="00004656"/>
    <w:rsid w:val="00005208"/>
    <w:rsid w:val="000052AC"/>
    <w:rsid w:val="000052C4"/>
    <w:rsid w:val="000058B2"/>
    <w:rsid w:val="00005CE1"/>
    <w:rsid w:val="00005ECE"/>
    <w:rsid w:val="000064D1"/>
    <w:rsid w:val="00006713"/>
    <w:rsid w:val="00006D84"/>
    <w:rsid w:val="00007838"/>
    <w:rsid w:val="00007959"/>
    <w:rsid w:val="00007D29"/>
    <w:rsid w:val="000100C9"/>
    <w:rsid w:val="000102C7"/>
    <w:rsid w:val="00011154"/>
    <w:rsid w:val="00011665"/>
    <w:rsid w:val="00011DE2"/>
    <w:rsid w:val="0001259D"/>
    <w:rsid w:val="0001365E"/>
    <w:rsid w:val="00013954"/>
    <w:rsid w:val="00013F2E"/>
    <w:rsid w:val="00013F9F"/>
    <w:rsid w:val="00014201"/>
    <w:rsid w:val="00014276"/>
    <w:rsid w:val="00014486"/>
    <w:rsid w:val="0001490E"/>
    <w:rsid w:val="00014FCC"/>
    <w:rsid w:val="0001550D"/>
    <w:rsid w:val="00015BA7"/>
    <w:rsid w:val="00015E7C"/>
    <w:rsid w:val="000160FE"/>
    <w:rsid w:val="0001617A"/>
    <w:rsid w:val="00016EEA"/>
    <w:rsid w:val="0001714A"/>
    <w:rsid w:val="00017330"/>
    <w:rsid w:val="00017490"/>
    <w:rsid w:val="00017E91"/>
    <w:rsid w:val="0002043A"/>
    <w:rsid w:val="00020CDD"/>
    <w:rsid w:val="00020D56"/>
    <w:rsid w:val="000219F8"/>
    <w:rsid w:val="000220A0"/>
    <w:rsid w:val="000223AA"/>
    <w:rsid w:val="000223D0"/>
    <w:rsid w:val="000227EC"/>
    <w:rsid w:val="00022871"/>
    <w:rsid w:val="00022F5D"/>
    <w:rsid w:val="000231DC"/>
    <w:rsid w:val="00024C0A"/>
    <w:rsid w:val="00025944"/>
    <w:rsid w:val="0002598E"/>
    <w:rsid w:val="0002724F"/>
    <w:rsid w:val="0002738A"/>
    <w:rsid w:val="00027EC5"/>
    <w:rsid w:val="00030802"/>
    <w:rsid w:val="0003108C"/>
    <w:rsid w:val="000314AA"/>
    <w:rsid w:val="0003173B"/>
    <w:rsid w:val="00031951"/>
    <w:rsid w:val="00032057"/>
    <w:rsid w:val="0003246E"/>
    <w:rsid w:val="00032C81"/>
    <w:rsid w:val="00033B21"/>
    <w:rsid w:val="00033DA8"/>
    <w:rsid w:val="00033E4A"/>
    <w:rsid w:val="00034259"/>
    <w:rsid w:val="00035066"/>
    <w:rsid w:val="00035986"/>
    <w:rsid w:val="00035C0C"/>
    <w:rsid w:val="00035E61"/>
    <w:rsid w:val="000362A7"/>
    <w:rsid w:val="00037CE9"/>
    <w:rsid w:val="000407A6"/>
    <w:rsid w:val="00040921"/>
    <w:rsid w:val="00040C36"/>
    <w:rsid w:val="00041222"/>
    <w:rsid w:val="000412C4"/>
    <w:rsid w:val="000419A5"/>
    <w:rsid w:val="000419F4"/>
    <w:rsid w:val="00041E38"/>
    <w:rsid w:val="000420E7"/>
    <w:rsid w:val="00042F60"/>
    <w:rsid w:val="000438F1"/>
    <w:rsid w:val="0004497B"/>
    <w:rsid w:val="000454BF"/>
    <w:rsid w:val="0004756E"/>
    <w:rsid w:val="00050766"/>
    <w:rsid w:val="00050B20"/>
    <w:rsid w:val="00050F92"/>
    <w:rsid w:val="0005186D"/>
    <w:rsid w:val="00051941"/>
    <w:rsid w:val="00051DE4"/>
    <w:rsid w:val="00052125"/>
    <w:rsid w:val="000525FD"/>
    <w:rsid w:val="000527A6"/>
    <w:rsid w:val="000537AD"/>
    <w:rsid w:val="00053958"/>
    <w:rsid w:val="00053D02"/>
    <w:rsid w:val="000556EA"/>
    <w:rsid w:val="00055E63"/>
    <w:rsid w:val="000565A8"/>
    <w:rsid w:val="000565E7"/>
    <w:rsid w:val="00056D2E"/>
    <w:rsid w:val="00057713"/>
    <w:rsid w:val="00057724"/>
    <w:rsid w:val="00057B45"/>
    <w:rsid w:val="00057CC7"/>
    <w:rsid w:val="00061D83"/>
    <w:rsid w:val="00062124"/>
    <w:rsid w:val="00062605"/>
    <w:rsid w:val="00062906"/>
    <w:rsid w:val="00063B52"/>
    <w:rsid w:val="00064009"/>
    <w:rsid w:val="00064E11"/>
    <w:rsid w:val="00065970"/>
    <w:rsid w:val="000661F2"/>
    <w:rsid w:val="00066B58"/>
    <w:rsid w:val="00067C1E"/>
    <w:rsid w:val="00070021"/>
    <w:rsid w:val="000703F4"/>
    <w:rsid w:val="00071337"/>
    <w:rsid w:val="0007197F"/>
    <w:rsid w:val="00072209"/>
    <w:rsid w:val="0007266B"/>
    <w:rsid w:val="00072DA1"/>
    <w:rsid w:val="00073A82"/>
    <w:rsid w:val="00073BF7"/>
    <w:rsid w:val="00073E93"/>
    <w:rsid w:val="00073EA9"/>
    <w:rsid w:val="00074B77"/>
    <w:rsid w:val="00075064"/>
    <w:rsid w:val="000758B0"/>
    <w:rsid w:val="00076341"/>
    <w:rsid w:val="00076509"/>
    <w:rsid w:val="000772FF"/>
    <w:rsid w:val="00077642"/>
    <w:rsid w:val="0007786C"/>
    <w:rsid w:val="0008023C"/>
    <w:rsid w:val="000813DF"/>
    <w:rsid w:val="00081450"/>
    <w:rsid w:val="00081686"/>
    <w:rsid w:val="00081D71"/>
    <w:rsid w:val="00081F5C"/>
    <w:rsid w:val="00082879"/>
    <w:rsid w:val="000828E6"/>
    <w:rsid w:val="000830ED"/>
    <w:rsid w:val="0008460E"/>
    <w:rsid w:val="00084D7B"/>
    <w:rsid w:val="00084FA8"/>
    <w:rsid w:val="000850EC"/>
    <w:rsid w:val="00085DE5"/>
    <w:rsid w:val="00087944"/>
    <w:rsid w:val="0008796F"/>
    <w:rsid w:val="000879E1"/>
    <w:rsid w:val="00090F84"/>
    <w:rsid w:val="00090FF5"/>
    <w:rsid w:val="000911C1"/>
    <w:rsid w:val="00091C98"/>
    <w:rsid w:val="000924A5"/>
    <w:rsid w:val="0009255C"/>
    <w:rsid w:val="00093021"/>
    <w:rsid w:val="00093415"/>
    <w:rsid w:val="00093CE9"/>
    <w:rsid w:val="000948B5"/>
    <w:rsid w:val="00094C99"/>
    <w:rsid w:val="000958E1"/>
    <w:rsid w:val="00095E7C"/>
    <w:rsid w:val="000960AC"/>
    <w:rsid w:val="000974B7"/>
    <w:rsid w:val="00097F96"/>
    <w:rsid w:val="000A02A1"/>
    <w:rsid w:val="000A04A9"/>
    <w:rsid w:val="000A069D"/>
    <w:rsid w:val="000A1333"/>
    <w:rsid w:val="000A1B97"/>
    <w:rsid w:val="000A2258"/>
    <w:rsid w:val="000A2609"/>
    <w:rsid w:val="000A2625"/>
    <w:rsid w:val="000A2BDC"/>
    <w:rsid w:val="000A32E0"/>
    <w:rsid w:val="000A43A2"/>
    <w:rsid w:val="000A4A9F"/>
    <w:rsid w:val="000A4D59"/>
    <w:rsid w:val="000A4E21"/>
    <w:rsid w:val="000A53F7"/>
    <w:rsid w:val="000A594C"/>
    <w:rsid w:val="000A5C63"/>
    <w:rsid w:val="000A5C6A"/>
    <w:rsid w:val="000A679A"/>
    <w:rsid w:val="000A6B90"/>
    <w:rsid w:val="000A7791"/>
    <w:rsid w:val="000A7FE6"/>
    <w:rsid w:val="000B0181"/>
    <w:rsid w:val="000B1FA8"/>
    <w:rsid w:val="000B3017"/>
    <w:rsid w:val="000B4274"/>
    <w:rsid w:val="000B5F88"/>
    <w:rsid w:val="000B6D7B"/>
    <w:rsid w:val="000B6E60"/>
    <w:rsid w:val="000B7007"/>
    <w:rsid w:val="000B7099"/>
    <w:rsid w:val="000B7EED"/>
    <w:rsid w:val="000C06BF"/>
    <w:rsid w:val="000C077B"/>
    <w:rsid w:val="000C1F6C"/>
    <w:rsid w:val="000C22F7"/>
    <w:rsid w:val="000C2B5F"/>
    <w:rsid w:val="000C33A3"/>
    <w:rsid w:val="000C3572"/>
    <w:rsid w:val="000C380B"/>
    <w:rsid w:val="000C3CAC"/>
    <w:rsid w:val="000C5647"/>
    <w:rsid w:val="000C5A35"/>
    <w:rsid w:val="000C7D64"/>
    <w:rsid w:val="000D004E"/>
    <w:rsid w:val="000D04E0"/>
    <w:rsid w:val="000D11A7"/>
    <w:rsid w:val="000D1209"/>
    <w:rsid w:val="000D16BE"/>
    <w:rsid w:val="000D1A9B"/>
    <w:rsid w:val="000D2286"/>
    <w:rsid w:val="000D22FE"/>
    <w:rsid w:val="000D2C7A"/>
    <w:rsid w:val="000D2E6A"/>
    <w:rsid w:val="000D345C"/>
    <w:rsid w:val="000D35C2"/>
    <w:rsid w:val="000D38E6"/>
    <w:rsid w:val="000D3F46"/>
    <w:rsid w:val="000D4589"/>
    <w:rsid w:val="000D4956"/>
    <w:rsid w:val="000D5989"/>
    <w:rsid w:val="000D5B6E"/>
    <w:rsid w:val="000D606D"/>
    <w:rsid w:val="000D62DC"/>
    <w:rsid w:val="000D65C4"/>
    <w:rsid w:val="000D6E9E"/>
    <w:rsid w:val="000D7410"/>
    <w:rsid w:val="000D7920"/>
    <w:rsid w:val="000E0090"/>
    <w:rsid w:val="000E1F44"/>
    <w:rsid w:val="000E2144"/>
    <w:rsid w:val="000E2492"/>
    <w:rsid w:val="000E2D7E"/>
    <w:rsid w:val="000E3E85"/>
    <w:rsid w:val="000E3F15"/>
    <w:rsid w:val="000E414B"/>
    <w:rsid w:val="000E49EE"/>
    <w:rsid w:val="000E4BE7"/>
    <w:rsid w:val="000E53C3"/>
    <w:rsid w:val="000E5EF0"/>
    <w:rsid w:val="000E68F9"/>
    <w:rsid w:val="000E6EBC"/>
    <w:rsid w:val="000E75D4"/>
    <w:rsid w:val="000E7B03"/>
    <w:rsid w:val="000F0176"/>
    <w:rsid w:val="000F0778"/>
    <w:rsid w:val="000F1490"/>
    <w:rsid w:val="000F1AFE"/>
    <w:rsid w:val="000F1C3C"/>
    <w:rsid w:val="000F20CF"/>
    <w:rsid w:val="000F319F"/>
    <w:rsid w:val="000F3202"/>
    <w:rsid w:val="000F3252"/>
    <w:rsid w:val="000F3B8D"/>
    <w:rsid w:val="000F40FF"/>
    <w:rsid w:val="000F46A9"/>
    <w:rsid w:val="000F4EB3"/>
    <w:rsid w:val="000F5B4F"/>
    <w:rsid w:val="000F67FE"/>
    <w:rsid w:val="000F6CC6"/>
    <w:rsid w:val="000F6EE4"/>
    <w:rsid w:val="000F74CE"/>
    <w:rsid w:val="000F754F"/>
    <w:rsid w:val="00100199"/>
    <w:rsid w:val="00100AC4"/>
    <w:rsid w:val="00101345"/>
    <w:rsid w:val="00101E76"/>
    <w:rsid w:val="001021CD"/>
    <w:rsid w:val="00104750"/>
    <w:rsid w:val="00104883"/>
    <w:rsid w:val="00104A5C"/>
    <w:rsid w:val="00104BC4"/>
    <w:rsid w:val="001056F7"/>
    <w:rsid w:val="001057A3"/>
    <w:rsid w:val="00105A5A"/>
    <w:rsid w:val="001079F5"/>
    <w:rsid w:val="00107B8A"/>
    <w:rsid w:val="00110C73"/>
    <w:rsid w:val="00110E22"/>
    <w:rsid w:val="00111C80"/>
    <w:rsid w:val="00111E6D"/>
    <w:rsid w:val="001144AE"/>
    <w:rsid w:val="0011453C"/>
    <w:rsid w:val="00115B2E"/>
    <w:rsid w:val="0011683F"/>
    <w:rsid w:val="00117863"/>
    <w:rsid w:val="001201C1"/>
    <w:rsid w:val="00120F72"/>
    <w:rsid w:val="0012142B"/>
    <w:rsid w:val="0012161F"/>
    <w:rsid w:val="00122E3E"/>
    <w:rsid w:val="00122EE3"/>
    <w:rsid w:val="001232CF"/>
    <w:rsid w:val="0012446C"/>
    <w:rsid w:val="00124943"/>
    <w:rsid w:val="00125369"/>
    <w:rsid w:val="00126958"/>
    <w:rsid w:val="00126BF3"/>
    <w:rsid w:val="00126CE9"/>
    <w:rsid w:val="001276D1"/>
    <w:rsid w:val="00127BD6"/>
    <w:rsid w:val="001307FF"/>
    <w:rsid w:val="00131C27"/>
    <w:rsid w:val="00133552"/>
    <w:rsid w:val="001343E5"/>
    <w:rsid w:val="001345AE"/>
    <w:rsid w:val="001346AE"/>
    <w:rsid w:val="00135669"/>
    <w:rsid w:val="00135D67"/>
    <w:rsid w:val="001374C4"/>
    <w:rsid w:val="00140BC0"/>
    <w:rsid w:val="00140C24"/>
    <w:rsid w:val="001417C6"/>
    <w:rsid w:val="001420D7"/>
    <w:rsid w:val="00142F17"/>
    <w:rsid w:val="00143032"/>
    <w:rsid w:val="00143FDF"/>
    <w:rsid w:val="001442D5"/>
    <w:rsid w:val="001444B2"/>
    <w:rsid w:val="001445FB"/>
    <w:rsid w:val="001448D3"/>
    <w:rsid w:val="001464B4"/>
    <w:rsid w:val="00147C36"/>
    <w:rsid w:val="00151414"/>
    <w:rsid w:val="00152276"/>
    <w:rsid w:val="00152305"/>
    <w:rsid w:val="00152B76"/>
    <w:rsid w:val="00152DCA"/>
    <w:rsid w:val="00153144"/>
    <w:rsid w:val="00153763"/>
    <w:rsid w:val="00153791"/>
    <w:rsid w:val="001537D3"/>
    <w:rsid w:val="001539CB"/>
    <w:rsid w:val="00153EA1"/>
    <w:rsid w:val="00154310"/>
    <w:rsid w:val="00154348"/>
    <w:rsid w:val="00154FC6"/>
    <w:rsid w:val="0015534D"/>
    <w:rsid w:val="001577F0"/>
    <w:rsid w:val="00157D8C"/>
    <w:rsid w:val="00160026"/>
    <w:rsid w:val="001602A7"/>
    <w:rsid w:val="00160F17"/>
    <w:rsid w:val="00161425"/>
    <w:rsid w:val="0016167C"/>
    <w:rsid w:val="0016201A"/>
    <w:rsid w:val="00162250"/>
    <w:rsid w:val="00162A48"/>
    <w:rsid w:val="00162C7C"/>
    <w:rsid w:val="00164F0F"/>
    <w:rsid w:val="00165015"/>
    <w:rsid w:val="0016576D"/>
    <w:rsid w:val="00165BDE"/>
    <w:rsid w:val="00166908"/>
    <w:rsid w:val="001671E2"/>
    <w:rsid w:val="001674E0"/>
    <w:rsid w:val="00167977"/>
    <w:rsid w:val="00167DB9"/>
    <w:rsid w:val="0017008A"/>
    <w:rsid w:val="001709C8"/>
    <w:rsid w:val="0017144D"/>
    <w:rsid w:val="00172538"/>
    <w:rsid w:val="00173633"/>
    <w:rsid w:val="00173C98"/>
    <w:rsid w:val="00173F1B"/>
    <w:rsid w:val="00174160"/>
    <w:rsid w:val="00175D13"/>
    <w:rsid w:val="00177353"/>
    <w:rsid w:val="001777D6"/>
    <w:rsid w:val="00177B61"/>
    <w:rsid w:val="00180AAC"/>
    <w:rsid w:val="001834A3"/>
    <w:rsid w:val="00183FE5"/>
    <w:rsid w:val="001841C2"/>
    <w:rsid w:val="00184375"/>
    <w:rsid w:val="00186429"/>
    <w:rsid w:val="00186EFD"/>
    <w:rsid w:val="00186F28"/>
    <w:rsid w:val="0018725A"/>
    <w:rsid w:val="00187BC3"/>
    <w:rsid w:val="00190152"/>
    <w:rsid w:val="00190817"/>
    <w:rsid w:val="00191183"/>
    <w:rsid w:val="001914B6"/>
    <w:rsid w:val="00192830"/>
    <w:rsid w:val="00194482"/>
    <w:rsid w:val="00194EA4"/>
    <w:rsid w:val="00194F60"/>
    <w:rsid w:val="00195337"/>
    <w:rsid w:val="00195738"/>
    <w:rsid w:val="00195751"/>
    <w:rsid w:val="001957AE"/>
    <w:rsid w:val="00196967"/>
    <w:rsid w:val="001971EA"/>
    <w:rsid w:val="00197A5E"/>
    <w:rsid w:val="00197C95"/>
    <w:rsid w:val="001A1752"/>
    <w:rsid w:val="001A21C7"/>
    <w:rsid w:val="001A2F83"/>
    <w:rsid w:val="001A2FC1"/>
    <w:rsid w:val="001A3954"/>
    <w:rsid w:val="001A4989"/>
    <w:rsid w:val="001A4D2E"/>
    <w:rsid w:val="001A4DD3"/>
    <w:rsid w:val="001A4E9D"/>
    <w:rsid w:val="001A4F75"/>
    <w:rsid w:val="001A5CEF"/>
    <w:rsid w:val="001A60DD"/>
    <w:rsid w:val="001A638A"/>
    <w:rsid w:val="001A6E92"/>
    <w:rsid w:val="001A7126"/>
    <w:rsid w:val="001A74EA"/>
    <w:rsid w:val="001A765C"/>
    <w:rsid w:val="001A7E36"/>
    <w:rsid w:val="001B02D6"/>
    <w:rsid w:val="001B0AB8"/>
    <w:rsid w:val="001B0D45"/>
    <w:rsid w:val="001B0ED8"/>
    <w:rsid w:val="001B1AE5"/>
    <w:rsid w:val="001B37ED"/>
    <w:rsid w:val="001B3EEF"/>
    <w:rsid w:val="001B4AFC"/>
    <w:rsid w:val="001B4B72"/>
    <w:rsid w:val="001B675D"/>
    <w:rsid w:val="001B76F7"/>
    <w:rsid w:val="001C0A09"/>
    <w:rsid w:val="001C0B15"/>
    <w:rsid w:val="001C145E"/>
    <w:rsid w:val="001C1594"/>
    <w:rsid w:val="001C16F4"/>
    <w:rsid w:val="001C1CF7"/>
    <w:rsid w:val="001C1D08"/>
    <w:rsid w:val="001C295D"/>
    <w:rsid w:val="001C38C8"/>
    <w:rsid w:val="001C3941"/>
    <w:rsid w:val="001C40D2"/>
    <w:rsid w:val="001C4183"/>
    <w:rsid w:val="001C441A"/>
    <w:rsid w:val="001C4967"/>
    <w:rsid w:val="001C4A71"/>
    <w:rsid w:val="001C4F55"/>
    <w:rsid w:val="001C61C0"/>
    <w:rsid w:val="001C6330"/>
    <w:rsid w:val="001D1CA0"/>
    <w:rsid w:val="001D1D41"/>
    <w:rsid w:val="001D2258"/>
    <w:rsid w:val="001D2299"/>
    <w:rsid w:val="001D26D7"/>
    <w:rsid w:val="001D2783"/>
    <w:rsid w:val="001D29B4"/>
    <w:rsid w:val="001D321E"/>
    <w:rsid w:val="001D3806"/>
    <w:rsid w:val="001D3FC2"/>
    <w:rsid w:val="001D40E6"/>
    <w:rsid w:val="001D450D"/>
    <w:rsid w:val="001D45D7"/>
    <w:rsid w:val="001D553C"/>
    <w:rsid w:val="001D5EA5"/>
    <w:rsid w:val="001D61AC"/>
    <w:rsid w:val="001D6641"/>
    <w:rsid w:val="001D6A44"/>
    <w:rsid w:val="001D6EBC"/>
    <w:rsid w:val="001D6EE5"/>
    <w:rsid w:val="001E062F"/>
    <w:rsid w:val="001E07E0"/>
    <w:rsid w:val="001E2729"/>
    <w:rsid w:val="001E294F"/>
    <w:rsid w:val="001E2FBA"/>
    <w:rsid w:val="001E384F"/>
    <w:rsid w:val="001E3927"/>
    <w:rsid w:val="001E3D39"/>
    <w:rsid w:val="001E493A"/>
    <w:rsid w:val="001E4C2D"/>
    <w:rsid w:val="001E5E9A"/>
    <w:rsid w:val="001E6016"/>
    <w:rsid w:val="001E6340"/>
    <w:rsid w:val="001E6912"/>
    <w:rsid w:val="001E7042"/>
    <w:rsid w:val="001E70C0"/>
    <w:rsid w:val="001F0064"/>
    <w:rsid w:val="001F0081"/>
    <w:rsid w:val="001F0679"/>
    <w:rsid w:val="001F17B3"/>
    <w:rsid w:val="001F2CA4"/>
    <w:rsid w:val="001F2E22"/>
    <w:rsid w:val="001F315E"/>
    <w:rsid w:val="001F4C01"/>
    <w:rsid w:val="001F4D88"/>
    <w:rsid w:val="001F5EFD"/>
    <w:rsid w:val="001F60C9"/>
    <w:rsid w:val="001F64C0"/>
    <w:rsid w:val="001F6A56"/>
    <w:rsid w:val="001F71F8"/>
    <w:rsid w:val="001F73C6"/>
    <w:rsid w:val="0020139C"/>
    <w:rsid w:val="00201C09"/>
    <w:rsid w:val="00202C72"/>
    <w:rsid w:val="00202E86"/>
    <w:rsid w:val="00203BC1"/>
    <w:rsid w:val="00203E66"/>
    <w:rsid w:val="00204B0E"/>
    <w:rsid w:val="00205302"/>
    <w:rsid w:val="00205B5D"/>
    <w:rsid w:val="00206FD6"/>
    <w:rsid w:val="002114FF"/>
    <w:rsid w:val="0021180C"/>
    <w:rsid w:val="002120CD"/>
    <w:rsid w:val="00212562"/>
    <w:rsid w:val="00212C4B"/>
    <w:rsid w:val="00212C65"/>
    <w:rsid w:val="002134CE"/>
    <w:rsid w:val="002148F8"/>
    <w:rsid w:val="00214E26"/>
    <w:rsid w:val="00215278"/>
    <w:rsid w:val="0021640E"/>
    <w:rsid w:val="00216B71"/>
    <w:rsid w:val="00221121"/>
    <w:rsid w:val="00221973"/>
    <w:rsid w:val="00221ABE"/>
    <w:rsid w:val="00223695"/>
    <w:rsid w:val="00223D1D"/>
    <w:rsid w:val="00223E32"/>
    <w:rsid w:val="002246E2"/>
    <w:rsid w:val="0022475A"/>
    <w:rsid w:val="00224DDE"/>
    <w:rsid w:val="00226002"/>
    <w:rsid w:val="00230C1D"/>
    <w:rsid w:val="0023119C"/>
    <w:rsid w:val="002311EE"/>
    <w:rsid w:val="00231685"/>
    <w:rsid w:val="00231949"/>
    <w:rsid w:val="00231D31"/>
    <w:rsid w:val="00232F01"/>
    <w:rsid w:val="00232F1D"/>
    <w:rsid w:val="00233380"/>
    <w:rsid w:val="00233461"/>
    <w:rsid w:val="002334BA"/>
    <w:rsid w:val="00234278"/>
    <w:rsid w:val="0023517C"/>
    <w:rsid w:val="00235486"/>
    <w:rsid w:val="00237318"/>
    <w:rsid w:val="0023754A"/>
    <w:rsid w:val="00240F2F"/>
    <w:rsid w:val="00241199"/>
    <w:rsid w:val="0024127E"/>
    <w:rsid w:val="00241524"/>
    <w:rsid w:val="00241974"/>
    <w:rsid w:val="00242017"/>
    <w:rsid w:val="0024231A"/>
    <w:rsid w:val="00242849"/>
    <w:rsid w:val="00242BC9"/>
    <w:rsid w:val="00242C15"/>
    <w:rsid w:val="002431AA"/>
    <w:rsid w:val="002433F4"/>
    <w:rsid w:val="002438C4"/>
    <w:rsid w:val="002439E1"/>
    <w:rsid w:val="00244097"/>
    <w:rsid w:val="00244215"/>
    <w:rsid w:val="002444F8"/>
    <w:rsid w:val="00244B50"/>
    <w:rsid w:val="0024657D"/>
    <w:rsid w:val="00247CF9"/>
    <w:rsid w:val="00250594"/>
    <w:rsid w:val="00250A79"/>
    <w:rsid w:val="00250F70"/>
    <w:rsid w:val="00251653"/>
    <w:rsid w:val="00251DC6"/>
    <w:rsid w:val="002529C8"/>
    <w:rsid w:val="00252D6D"/>
    <w:rsid w:val="00253A78"/>
    <w:rsid w:val="00253F45"/>
    <w:rsid w:val="00254822"/>
    <w:rsid w:val="00254B67"/>
    <w:rsid w:val="00254FEB"/>
    <w:rsid w:val="002550AB"/>
    <w:rsid w:val="00255BDB"/>
    <w:rsid w:val="00255EB0"/>
    <w:rsid w:val="00256C77"/>
    <w:rsid w:val="00260BA7"/>
    <w:rsid w:val="002612FC"/>
    <w:rsid w:val="00261F0B"/>
    <w:rsid w:val="002624CC"/>
    <w:rsid w:val="00262652"/>
    <w:rsid w:val="00262721"/>
    <w:rsid w:val="00262FA4"/>
    <w:rsid w:val="002630BD"/>
    <w:rsid w:val="00263DFE"/>
    <w:rsid w:val="00263FBA"/>
    <w:rsid w:val="00264F74"/>
    <w:rsid w:val="00265D16"/>
    <w:rsid w:val="002674A7"/>
    <w:rsid w:val="002714A2"/>
    <w:rsid w:val="00271940"/>
    <w:rsid w:val="00271D39"/>
    <w:rsid w:val="00271D96"/>
    <w:rsid w:val="00272826"/>
    <w:rsid w:val="00272A1C"/>
    <w:rsid w:val="00273E0A"/>
    <w:rsid w:val="002747C2"/>
    <w:rsid w:val="00275131"/>
    <w:rsid w:val="00275A11"/>
    <w:rsid w:val="00280B12"/>
    <w:rsid w:val="00280F0A"/>
    <w:rsid w:val="002815DF"/>
    <w:rsid w:val="00281819"/>
    <w:rsid w:val="00283278"/>
    <w:rsid w:val="0028347B"/>
    <w:rsid w:val="002838F3"/>
    <w:rsid w:val="002844A5"/>
    <w:rsid w:val="0028539D"/>
    <w:rsid w:val="002863D9"/>
    <w:rsid w:val="00286EC1"/>
    <w:rsid w:val="002872EE"/>
    <w:rsid w:val="002900AB"/>
    <w:rsid w:val="00290B7E"/>
    <w:rsid w:val="00290E80"/>
    <w:rsid w:val="00291313"/>
    <w:rsid w:val="00292576"/>
    <w:rsid w:val="002925C5"/>
    <w:rsid w:val="002931E6"/>
    <w:rsid w:val="00294525"/>
    <w:rsid w:val="00295880"/>
    <w:rsid w:val="00295D39"/>
    <w:rsid w:val="00295FF4"/>
    <w:rsid w:val="002964F9"/>
    <w:rsid w:val="002972D2"/>
    <w:rsid w:val="0029741B"/>
    <w:rsid w:val="00297A3A"/>
    <w:rsid w:val="00297B88"/>
    <w:rsid w:val="002A012F"/>
    <w:rsid w:val="002A13A9"/>
    <w:rsid w:val="002A13B9"/>
    <w:rsid w:val="002A2328"/>
    <w:rsid w:val="002A2404"/>
    <w:rsid w:val="002A254E"/>
    <w:rsid w:val="002A2EA4"/>
    <w:rsid w:val="002A36A6"/>
    <w:rsid w:val="002A3B77"/>
    <w:rsid w:val="002A3CD5"/>
    <w:rsid w:val="002A3E93"/>
    <w:rsid w:val="002A4906"/>
    <w:rsid w:val="002A4DB2"/>
    <w:rsid w:val="002A50F4"/>
    <w:rsid w:val="002A512B"/>
    <w:rsid w:val="002A51E7"/>
    <w:rsid w:val="002A5D81"/>
    <w:rsid w:val="002A5EC0"/>
    <w:rsid w:val="002A6D4D"/>
    <w:rsid w:val="002B02C2"/>
    <w:rsid w:val="002B0393"/>
    <w:rsid w:val="002B066B"/>
    <w:rsid w:val="002B0B72"/>
    <w:rsid w:val="002B0E94"/>
    <w:rsid w:val="002B10D0"/>
    <w:rsid w:val="002B1473"/>
    <w:rsid w:val="002B1551"/>
    <w:rsid w:val="002B196E"/>
    <w:rsid w:val="002B1F5A"/>
    <w:rsid w:val="002B318C"/>
    <w:rsid w:val="002B34E8"/>
    <w:rsid w:val="002B3BCD"/>
    <w:rsid w:val="002B540A"/>
    <w:rsid w:val="002B546E"/>
    <w:rsid w:val="002B5A21"/>
    <w:rsid w:val="002B5E68"/>
    <w:rsid w:val="002B6938"/>
    <w:rsid w:val="002B6BF7"/>
    <w:rsid w:val="002B6FCA"/>
    <w:rsid w:val="002B6FFF"/>
    <w:rsid w:val="002B7684"/>
    <w:rsid w:val="002C00AA"/>
    <w:rsid w:val="002C0733"/>
    <w:rsid w:val="002C1028"/>
    <w:rsid w:val="002C184C"/>
    <w:rsid w:val="002C29D3"/>
    <w:rsid w:val="002C4824"/>
    <w:rsid w:val="002C49AB"/>
    <w:rsid w:val="002C4A0E"/>
    <w:rsid w:val="002C5C9F"/>
    <w:rsid w:val="002C6107"/>
    <w:rsid w:val="002C6596"/>
    <w:rsid w:val="002C6755"/>
    <w:rsid w:val="002C6B2D"/>
    <w:rsid w:val="002C6B30"/>
    <w:rsid w:val="002C7A1D"/>
    <w:rsid w:val="002C7E18"/>
    <w:rsid w:val="002C7F94"/>
    <w:rsid w:val="002D0022"/>
    <w:rsid w:val="002D0FD9"/>
    <w:rsid w:val="002D1B1E"/>
    <w:rsid w:val="002D256A"/>
    <w:rsid w:val="002D2F06"/>
    <w:rsid w:val="002D3F99"/>
    <w:rsid w:val="002D4266"/>
    <w:rsid w:val="002D4619"/>
    <w:rsid w:val="002D4639"/>
    <w:rsid w:val="002D46D4"/>
    <w:rsid w:val="002D6077"/>
    <w:rsid w:val="002D6353"/>
    <w:rsid w:val="002D7625"/>
    <w:rsid w:val="002D7882"/>
    <w:rsid w:val="002D7EA1"/>
    <w:rsid w:val="002E0974"/>
    <w:rsid w:val="002E0A4A"/>
    <w:rsid w:val="002E0E89"/>
    <w:rsid w:val="002E0EE6"/>
    <w:rsid w:val="002E177D"/>
    <w:rsid w:val="002E17EC"/>
    <w:rsid w:val="002E1D9D"/>
    <w:rsid w:val="002E2343"/>
    <w:rsid w:val="002E251C"/>
    <w:rsid w:val="002E2A31"/>
    <w:rsid w:val="002E2ABC"/>
    <w:rsid w:val="002E2C8B"/>
    <w:rsid w:val="002E339F"/>
    <w:rsid w:val="002E397F"/>
    <w:rsid w:val="002E4997"/>
    <w:rsid w:val="002E4C4F"/>
    <w:rsid w:val="002E4E5C"/>
    <w:rsid w:val="002E5FA0"/>
    <w:rsid w:val="002E65B5"/>
    <w:rsid w:val="002E6761"/>
    <w:rsid w:val="002E794C"/>
    <w:rsid w:val="002E7D88"/>
    <w:rsid w:val="002E7D9C"/>
    <w:rsid w:val="002E7DEB"/>
    <w:rsid w:val="002F07D3"/>
    <w:rsid w:val="002F0C5A"/>
    <w:rsid w:val="002F0EC1"/>
    <w:rsid w:val="002F1116"/>
    <w:rsid w:val="002F1823"/>
    <w:rsid w:val="002F18BA"/>
    <w:rsid w:val="002F1F3E"/>
    <w:rsid w:val="002F208B"/>
    <w:rsid w:val="002F23A9"/>
    <w:rsid w:val="002F36CC"/>
    <w:rsid w:val="002F4167"/>
    <w:rsid w:val="002F4508"/>
    <w:rsid w:val="002F4ECB"/>
    <w:rsid w:val="002F5390"/>
    <w:rsid w:val="002F5630"/>
    <w:rsid w:val="002F5707"/>
    <w:rsid w:val="002F5E97"/>
    <w:rsid w:val="002F5FC2"/>
    <w:rsid w:val="002F71AB"/>
    <w:rsid w:val="002F73AF"/>
    <w:rsid w:val="002F73CC"/>
    <w:rsid w:val="002F7412"/>
    <w:rsid w:val="002F762C"/>
    <w:rsid w:val="002F7FB4"/>
    <w:rsid w:val="0030050F"/>
    <w:rsid w:val="00301368"/>
    <w:rsid w:val="00301523"/>
    <w:rsid w:val="003015F8"/>
    <w:rsid w:val="00301A77"/>
    <w:rsid w:val="003025D6"/>
    <w:rsid w:val="00302E3E"/>
    <w:rsid w:val="0030474C"/>
    <w:rsid w:val="00304926"/>
    <w:rsid w:val="00304CA9"/>
    <w:rsid w:val="00304E93"/>
    <w:rsid w:val="00305E31"/>
    <w:rsid w:val="003079EC"/>
    <w:rsid w:val="00310612"/>
    <w:rsid w:val="003107DA"/>
    <w:rsid w:val="00310CDA"/>
    <w:rsid w:val="00311347"/>
    <w:rsid w:val="0031247F"/>
    <w:rsid w:val="00312862"/>
    <w:rsid w:val="00313CED"/>
    <w:rsid w:val="0031473A"/>
    <w:rsid w:val="003149BD"/>
    <w:rsid w:val="00314B85"/>
    <w:rsid w:val="00314E03"/>
    <w:rsid w:val="00314ECD"/>
    <w:rsid w:val="00315654"/>
    <w:rsid w:val="00315C5E"/>
    <w:rsid w:val="00316CE8"/>
    <w:rsid w:val="00317138"/>
    <w:rsid w:val="003175BA"/>
    <w:rsid w:val="00317604"/>
    <w:rsid w:val="00317D30"/>
    <w:rsid w:val="003205A9"/>
    <w:rsid w:val="00322D1B"/>
    <w:rsid w:val="00323419"/>
    <w:rsid w:val="00323771"/>
    <w:rsid w:val="00323836"/>
    <w:rsid w:val="00323A19"/>
    <w:rsid w:val="00324C1C"/>
    <w:rsid w:val="003254F1"/>
    <w:rsid w:val="00325E14"/>
    <w:rsid w:val="00326595"/>
    <w:rsid w:val="00326A50"/>
    <w:rsid w:val="00330100"/>
    <w:rsid w:val="00330770"/>
    <w:rsid w:val="00330877"/>
    <w:rsid w:val="0033094E"/>
    <w:rsid w:val="00330B69"/>
    <w:rsid w:val="003311BE"/>
    <w:rsid w:val="00331A2F"/>
    <w:rsid w:val="00334237"/>
    <w:rsid w:val="003342F2"/>
    <w:rsid w:val="003348EA"/>
    <w:rsid w:val="00335134"/>
    <w:rsid w:val="003352EA"/>
    <w:rsid w:val="00335FC9"/>
    <w:rsid w:val="0033612E"/>
    <w:rsid w:val="00337251"/>
    <w:rsid w:val="00337593"/>
    <w:rsid w:val="00337FFC"/>
    <w:rsid w:val="003402D8"/>
    <w:rsid w:val="003406D4"/>
    <w:rsid w:val="003411E9"/>
    <w:rsid w:val="00341C89"/>
    <w:rsid w:val="00342EDD"/>
    <w:rsid w:val="00344CFA"/>
    <w:rsid w:val="00345BE2"/>
    <w:rsid w:val="00345E5E"/>
    <w:rsid w:val="003465A1"/>
    <w:rsid w:val="00346C83"/>
    <w:rsid w:val="00347092"/>
    <w:rsid w:val="003471A7"/>
    <w:rsid w:val="00347B54"/>
    <w:rsid w:val="0035055C"/>
    <w:rsid w:val="00350A02"/>
    <w:rsid w:val="003512A5"/>
    <w:rsid w:val="00351C98"/>
    <w:rsid w:val="003531B8"/>
    <w:rsid w:val="0035339E"/>
    <w:rsid w:val="003535CF"/>
    <w:rsid w:val="00354B38"/>
    <w:rsid w:val="00354CBC"/>
    <w:rsid w:val="0035509B"/>
    <w:rsid w:val="00355EA5"/>
    <w:rsid w:val="00355FEB"/>
    <w:rsid w:val="00356A14"/>
    <w:rsid w:val="0035716F"/>
    <w:rsid w:val="00357E32"/>
    <w:rsid w:val="00360079"/>
    <w:rsid w:val="003605F5"/>
    <w:rsid w:val="00360B63"/>
    <w:rsid w:val="003610CC"/>
    <w:rsid w:val="00361128"/>
    <w:rsid w:val="0036132C"/>
    <w:rsid w:val="003613F1"/>
    <w:rsid w:val="00361D0E"/>
    <w:rsid w:val="0036268C"/>
    <w:rsid w:val="00363847"/>
    <w:rsid w:val="003640E1"/>
    <w:rsid w:val="00364406"/>
    <w:rsid w:val="00364A81"/>
    <w:rsid w:val="00364F79"/>
    <w:rsid w:val="003652D1"/>
    <w:rsid w:val="00365E77"/>
    <w:rsid w:val="00367B18"/>
    <w:rsid w:val="0037058D"/>
    <w:rsid w:val="00371531"/>
    <w:rsid w:val="00371A38"/>
    <w:rsid w:val="00372455"/>
    <w:rsid w:val="00372BE9"/>
    <w:rsid w:val="00373991"/>
    <w:rsid w:val="003749AA"/>
    <w:rsid w:val="00374DB5"/>
    <w:rsid w:val="003759D8"/>
    <w:rsid w:val="00377155"/>
    <w:rsid w:val="003773A2"/>
    <w:rsid w:val="003778E1"/>
    <w:rsid w:val="003802C7"/>
    <w:rsid w:val="00381550"/>
    <w:rsid w:val="00381562"/>
    <w:rsid w:val="0038158F"/>
    <w:rsid w:val="00382124"/>
    <w:rsid w:val="00382A36"/>
    <w:rsid w:val="00382BC3"/>
    <w:rsid w:val="00383186"/>
    <w:rsid w:val="00383C3B"/>
    <w:rsid w:val="00384224"/>
    <w:rsid w:val="00384297"/>
    <w:rsid w:val="003843B3"/>
    <w:rsid w:val="00384477"/>
    <w:rsid w:val="0038470F"/>
    <w:rsid w:val="00387071"/>
    <w:rsid w:val="0038719F"/>
    <w:rsid w:val="003877BD"/>
    <w:rsid w:val="003879A7"/>
    <w:rsid w:val="00390179"/>
    <w:rsid w:val="00390365"/>
    <w:rsid w:val="0039163F"/>
    <w:rsid w:val="003925BA"/>
    <w:rsid w:val="00394BBB"/>
    <w:rsid w:val="0039569E"/>
    <w:rsid w:val="0039571D"/>
    <w:rsid w:val="003957E9"/>
    <w:rsid w:val="0039641F"/>
    <w:rsid w:val="00396898"/>
    <w:rsid w:val="00397D4F"/>
    <w:rsid w:val="003A00A3"/>
    <w:rsid w:val="003A106B"/>
    <w:rsid w:val="003A239C"/>
    <w:rsid w:val="003A3397"/>
    <w:rsid w:val="003A33B2"/>
    <w:rsid w:val="003A4089"/>
    <w:rsid w:val="003A4405"/>
    <w:rsid w:val="003A4F93"/>
    <w:rsid w:val="003A675F"/>
    <w:rsid w:val="003A6BDD"/>
    <w:rsid w:val="003A7775"/>
    <w:rsid w:val="003A7FC3"/>
    <w:rsid w:val="003B050C"/>
    <w:rsid w:val="003B0A46"/>
    <w:rsid w:val="003B13CD"/>
    <w:rsid w:val="003B1767"/>
    <w:rsid w:val="003B1EF1"/>
    <w:rsid w:val="003B2435"/>
    <w:rsid w:val="003B31FC"/>
    <w:rsid w:val="003B32EC"/>
    <w:rsid w:val="003B33E0"/>
    <w:rsid w:val="003B355A"/>
    <w:rsid w:val="003B398F"/>
    <w:rsid w:val="003B496A"/>
    <w:rsid w:val="003B5652"/>
    <w:rsid w:val="003B6EEF"/>
    <w:rsid w:val="003C100D"/>
    <w:rsid w:val="003C2D78"/>
    <w:rsid w:val="003C414B"/>
    <w:rsid w:val="003C51F8"/>
    <w:rsid w:val="003C6507"/>
    <w:rsid w:val="003C65E9"/>
    <w:rsid w:val="003C72D4"/>
    <w:rsid w:val="003C7985"/>
    <w:rsid w:val="003D02D2"/>
    <w:rsid w:val="003D0555"/>
    <w:rsid w:val="003D127C"/>
    <w:rsid w:val="003D153D"/>
    <w:rsid w:val="003D16A1"/>
    <w:rsid w:val="003D1A70"/>
    <w:rsid w:val="003D1C7A"/>
    <w:rsid w:val="003D1F93"/>
    <w:rsid w:val="003D217E"/>
    <w:rsid w:val="003D2B05"/>
    <w:rsid w:val="003D2B56"/>
    <w:rsid w:val="003D2C84"/>
    <w:rsid w:val="003D4D1D"/>
    <w:rsid w:val="003D64E6"/>
    <w:rsid w:val="003D66A0"/>
    <w:rsid w:val="003D6B54"/>
    <w:rsid w:val="003D6B5E"/>
    <w:rsid w:val="003D6B68"/>
    <w:rsid w:val="003D6DEB"/>
    <w:rsid w:val="003D79BD"/>
    <w:rsid w:val="003E04B6"/>
    <w:rsid w:val="003E0F5C"/>
    <w:rsid w:val="003E15B9"/>
    <w:rsid w:val="003E189C"/>
    <w:rsid w:val="003E1A5A"/>
    <w:rsid w:val="003E1E4D"/>
    <w:rsid w:val="003E2533"/>
    <w:rsid w:val="003E3469"/>
    <w:rsid w:val="003E516D"/>
    <w:rsid w:val="003F03C9"/>
    <w:rsid w:val="003F0A8C"/>
    <w:rsid w:val="003F0AD0"/>
    <w:rsid w:val="003F0B9B"/>
    <w:rsid w:val="003F0EDF"/>
    <w:rsid w:val="003F19C5"/>
    <w:rsid w:val="003F212D"/>
    <w:rsid w:val="003F22C2"/>
    <w:rsid w:val="003F2563"/>
    <w:rsid w:val="003F2627"/>
    <w:rsid w:val="003F2C4F"/>
    <w:rsid w:val="003F33F0"/>
    <w:rsid w:val="003F3443"/>
    <w:rsid w:val="003F3716"/>
    <w:rsid w:val="003F3B55"/>
    <w:rsid w:val="003F539D"/>
    <w:rsid w:val="003F5668"/>
    <w:rsid w:val="003F598D"/>
    <w:rsid w:val="003F5A20"/>
    <w:rsid w:val="003F72E5"/>
    <w:rsid w:val="004007E4"/>
    <w:rsid w:val="00400FF2"/>
    <w:rsid w:val="004014CD"/>
    <w:rsid w:val="00401B04"/>
    <w:rsid w:val="004025B9"/>
    <w:rsid w:val="00402E7E"/>
    <w:rsid w:val="0040420D"/>
    <w:rsid w:val="004043F2"/>
    <w:rsid w:val="0040504F"/>
    <w:rsid w:val="0040505A"/>
    <w:rsid w:val="00406D7F"/>
    <w:rsid w:val="00411944"/>
    <w:rsid w:val="00411C89"/>
    <w:rsid w:val="0041288B"/>
    <w:rsid w:val="00412E19"/>
    <w:rsid w:val="00412EB1"/>
    <w:rsid w:val="00413154"/>
    <w:rsid w:val="0041480B"/>
    <w:rsid w:val="004148A0"/>
    <w:rsid w:val="004157AB"/>
    <w:rsid w:val="00416DF0"/>
    <w:rsid w:val="0041755E"/>
    <w:rsid w:val="00417603"/>
    <w:rsid w:val="00417C70"/>
    <w:rsid w:val="00417E88"/>
    <w:rsid w:val="00420215"/>
    <w:rsid w:val="004202EC"/>
    <w:rsid w:val="00420816"/>
    <w:rsid w:val="0042194E"/>
    <w:rsid w:val="00421D4A"/>
    <w:rsid w:val="00421DD9"/>
    <w:rsid w:val="00422140"/>
    <w:rsid w:val="00422BE7"/>
    <w:rsid w:val="00422E64"/>
    <w:rsid w:val="00423CDF"/>
    <w:rsid w:val="004243C6"/>
    <w:rsid w:val="00424869"/>
    <w:rsid w:val="004258E9"/>
    <w:rsid w:val="00425C1C"/>
    <w:rsid w:val="00426B4C"/>
    <w:rsid w:val="00426BBE"/>
    <w:rsid w:val="00430634"/>
    <w:rsid w:val="00430810"/>
    <w:rsid w:val="00431A54"/>
    <w:rsid w:val="00432CD5"/>
    <w:rsid w:val="004334F9"/>
    <w:rsid w:val="00433DC5"/>
    <w:rsid w:val="004342F4"/>
    <w:rsid w:val="00434ACE"/>
    <w:rsid w:val="00434E04"/>
    <w:rsid w:val="0043520D"/>
    <w:rsid w:val="00436C06"/>
    <w:rsid w:val="00437210"/>
    <w:rsid w:val="004374FE"/>
    <w:rsid w:val="004378BD"/>
    <w:rsid w:val="00440BBD"/>
    <w:rsid w:val="004414CD"/>
    <w:rsid w:val="00441FDF"/>
    <w:rsid w:val="004422E8"/>
    <w:rsid w:val="0044312F"/>
    <w:rsid w:val="00443B4F"/>
    <w:rsid w:val="00443C0C"/>
    <w:rsid w:val="00444872"/>
    <w:rsid w:val="004449A0"/>
    <w:rsid w:val="00445A72"/>
    <w:rsid w:val="00445FFE"/>
    <w:rsid w:val="00447013"/>
    <w:rsid w:val="00447146"/>
    <w:rsid w:val="004472D4"/>
    <w:rsid w:val="0044761E"/>
    <w:rsid w:val="00447DBD"/>
    <w:rsid w:val="00450C0B"/>
    <w:rsid w:val="00450DB9"/>
    <w:rsid w:val="00450E85"/>
    <w:rsid w:val="00450FF5"/>
    <w:rsid w:val="0045150E"/>
    <w:rsid w:val="004518B8"/>
    <w:rsid w:val="00451A54"/>
    <w:rsid w:val="00451FC1"/>
    <w:rsid w:val="0045237A"/>
    <w:rsid w:val="00452799"/>
    <w:rsid w:val="00452A9D"/>
    <w:rsid w:val="0045465D"/>
    <w:rsid w:val="00455433"/>
    <w:rsid w:val="00456649"/>
    <w:rsid w:val="00457110"/>
    <w:rsid w:val="004603AC"/>
    <w:rsid w:val="00460DF6"/>
    <w:rsid w:val="00460FB2"/>
    <w:rsid w:val="00461414"/>
    <w:rsid w:val="00461641"/>
    <w:rsid w:val="00462692"/>
    <w:rsid w:val="00464C9A"/>
    <w:rsid w:val="004667EF"/>
    <w:rsid w:val="00466B6B"/>
    <w:rsid w:val="00467E6E"/>
    <w:rsid w:val="00470083"/>
    <w:rsid w:val="0047030D"/>
    <w:rsid w:val="004703E5"/>
    <w:rsid w:val="00471258"/>
    <w:rsid w:val="004713B9"/>
    <w:rsid w:val="004715F6"/>
    <w:rsid w:val="004717BE"/>
    <w:rsid w:val="00471BC1"/>
    <w:rsid w:val="00472445"/>
    <w:rsid w:val="0047261C"/>
    <w:rsid w:val="0047344D"/>
    <w:rsid w:val="0047366F"/>
    <w:rsid w:val="00473AEC"/>
    <w:rsid w:val="00473C58"/>
    <w:rsid w:val="00473CC5"/>
    <w:rsid w:val="00473FBD"/>
    <w:rsid w:val="00474FA1"/>
    <w:rsid w:val="00475474"/>
    <w:rsid w:val="00475689"/>
    <w:rsid w:val="00475917"/>
    <w:rsid w:val="00475FC0"/>
    <w:rsid w:val="00476046"/>
    <w:rsid w:val="004762AE"/>
    <w:rsid w:val="0047632B"/>
    <w:rsid w:val="00476B59"/>
    <w:rsid w:val="00476FC4"/>
    <w:rsid w:val="00477717"/>
    <w:rsid w:val="00477B80"/>
    <w:rsid w:val="00477F1C"/>
    <w:rsid w:val="00480442"/>
    <w:rsid w:val="004816F6"/>
    <w:rsid w:val="004819A6"/>
    <w:rsid w:val="004819B0"/>
    <w:rsid w:val="00482041"/>
    <w:rsid w:val="004822B2"/>
    <w:rsid w:val="00482BD8"/>
    <w:rsid w:val="00483EB0"/>
    <w:rsid w:val="004845C9"/>
    <w:rsid w:val="004852BC"/>
    <w:rsid w:val="00485659"/>
    <w:rsid w:val="00486277"/>
    <w:rsid w:val="00486D08"/>
    <w:rsid w:val="00486DC7"/>
    <w:rsid w:val="00487176"/>
    <w:rsid w:val="00487905"/>
    <w:rsid w:val="00487F55"/>
    <w:rsid w:val="004904E6"/>
    <w:rsid w:val="0049052A"/>
    <w:rsid w:val="0049084A"/>
    <w:rsid w:val="00490E0A"/>
    <w:rsid w:val="00491424"/>
    <w:rsid w:val="00491CAD"/>
    <w:rsid w:val="00493198"/>
    <w:rsid w:val="0049529C"/>
    <w:rsid w:val="00495347"/>
    <w:rsid w:val="004964CD"/>
    <w:rsid w:val="00496BBF"/>
    <w:rsid w:val="00497DE8"/>
    <w:rsid w:val="00497EFF"/>
    <w:rsid w:val="004A02C0"/>
    <w:rsid w:val="004A1460"/>
    <w:rsid w:val="004A192A"/>
    <w:rsid w:val="004A1C20"/>
    <w:rsid w:val="004A2084"/>
    <w:rsid w:val="004A37CA"/>
    <w:rsid w:val="004A3CA6"/>
    <w:rsid w:val="004A46B3"/>
    <w:rsid w:val="004A4A45"/>
    <w:rsid w:val="004A4C8F"/>
    <w:rsid w:val="004A57FB"/>
    <w:rsid w:val="004A5C0C"/>
    <w:rsid w:val="004A65EB"/>
    <w:rsid w:val="004A6C79"/>
    <w:rsid w:val="004A6EE9"/>
    <w:rsid w:val="004A7A3D"/>
    <w:rsid w:val="004B030D"/>
    <w:rsid w:val="004B0641"/>
    <w:rsid w:val="004B17CE"/>
    <w:rsid w:val="004B1C38"/>
    <w:rsid w:val="004B2482"/>
    <w:rsid w:val="004B4EAD"/>
    <w:rsid w:val="004B5935"/>
    <w:rsid w:val="004B5AE0"/>
    <w:rsid w:val="004B6872"/>
    <w:rsid w:val="004B7D57"/>
    <w:rsid w:val="004C00C0"/>
    <w:rsid w:val="004C0247"/>
    <w:rsid w:val="004C15B0"/>
    <w:rsid w:val="004C1982"/>
    <w:rsid w:val="004C1FB6"/>
    <w:rsid w:val="004C2D7F"/>
    <w:rsid w:val="004C30A9"/>
    <w:rsid w:val="004C39B4"/>
    <w:rsid w:val="004C3E5E"/>
    <w:rsid w:val="004C49CE"/>
    <w:rsid w:val="004C5C71"/>
    <w:rsid w:val="004C6745"/>
    <w:rsid w:val="004C6805"/>
    <w:rsid w:val="004C69D4"/>
    <w:rsid w:val="004C7276"/>
    <w:rsid w:val="004C7708"/>
    <w:rsid w:val="004C7BF0"/>
    <w:rsid w:val="004D0348"/>
    <w:rsid w:val="004D0960"/>
    <w:rsid w:val="004D30EE"/>
    <w:rsid w:val="004D34BD"/>
    <w:rsid w:val="004D3CB9"/>
    <w:rsid w:val="004D5DA0"/>
    <w:rsid w:val="004D5E81"/>
    <w:rsid w:val="004D69A6"/>
    <w:rsid w:val="004D7713"/>
    <w:rsid w:val="004E0007"/>
    <w:rsid w:val="004E05D3"/>
    <w:rsid w:val="004E0812"/>
    <w:rsid w:val="004E1381"/>
    <w:rsid w:val="004E17A7"/>
    <w:rsid w:val="004E1D0F"/>
    <w:rsid w:val="004E2204"/>
    <w:rsid w:val="004E30EE"/>
    <w:rsid w:val="004E3509"/>
    <w:rsid w:val="004E3F70"/>
    <w:rsid w:val="004E4B92"/>
    <w:rsid w:val="004E5E63"/>
    <w:rsid w:val="004E692F"/>
    <w:rsid w:val="004E7147"/>
    <w:rsid w:val="004E7472"/>
    <w:rsid w:val="004E7691"/>
    <w:rsid w:val="004E79CF"/>
    <w:rsid w:val="004F129F"/>
    <w:rsid w:val="004F1370"/>
    <w:rsid w:val="004F1E27"/>
    <w:rsid w:val="004F28AA"/>
    <w:rsid w:val="004F43D9"/>
    <w:rsid w:val="004F4C2F"/>
    <w:rsid w:val="004F4EC9"/>
    <w:rsid w:val="004F5092"/>
    <w:rsid w:val="004F52BF"/>
    <w:rsid w:val="004F563E"/>
    <w:rsid w:val="004F5914"/>
    <w:rsid w:val="004F67AF"/>
    <w:rsid w:val="004F6BEC"/>
    <w:rsid w:val="004F729A"/>
    <w:rsid w:val="004F73EF"/>
    <w:rsid w:val="0050005F"/>
    <w:rsid w:val="00500198"/>
    <w:rsid w:val="005008EA"/>
    <w:rsid w:val="00500A12"/>
    <w:rsid w:val="005012B2"/>
    <w:rsid w:val="00502182"/>
    <w:rsid w:val="00502A41"/>
    <w:rsid w:val="005048F4"/>
    <w:rsid w:val="00505023"/>
    <w:rsid w:val="00505DAA"/>
    <w:rsid w:val="00505EC2"/>
    <w:rsid w:val="00506464"/>
    <w:rsid w:val="0050744D"/>
    <w:rsid w:val="00510312"/>
    <w:rsid w:val="00510979"/>
    <w:rsid w:val="00511277"/>
    <w:rsid w:val="0051129B"/>
    <w:rsid w:val="00512100"/>
    <w:rsid w:val="0051291C"/>
    <w:rsid w:val="00512B9D"/>
    <w:rsid w:val="00513589"/>
    <w:rsid w:val="00513690"/>
    <w:rsid w:val="0051420D"/>
    <w:rsid w:val="005142D0"/>
    <w:rsid w:val="005146CC"/>
    <w:rsid w:val="00514805"/>
    <w:rsid w:val="00515090"/>
    <w:rsid w:val="005154AB"/>
    <w:rsid w:val="005155D1"/>
    <w:rsid w:val="00516560"/>
    <w:rsid w:val="00516B27"/>
    <w:rsid w:val="00517290"/>
    <w:rsid w:val="00517725"/>
    <w:rsid w:val="00517B67"/>
    <w:rsid w:val="00520032"/>
    <w:rsid w:val="005201F1"/>
    <w:rsid w:val="005203B1"/>
    <w:rsid w:val="00520AFE"/>
    <w:rsid w:val="0052107B"/>
    <w:rsid w:val="00521EEC"/>
    <w:rsid w:val="00522137"/>
    <w:rsid w:val="0052407D"/>
    <w:rsid w:val="0052441B"/>
    <w:rsid w:val="00525596"/>
    <w:rsid w:val="005255B7"/>
    <w:rsid w:val="00525BB1"/>
    <w:rsid w:val="005270D9"/>
    <w:rsid w:val="005271F9"/>
    <w:rsid w:val="0052749F"/>
    <w:rsid w:val="00527567"/>
    <w:rsid w:val="00527B4E"/>
    <w:rsid w:val="00530D36"/>
    <w:rsid w:val="00530D7C"/>
    <w:rsid w:val="00532260"/>
    <w:rsid w:val="00532509"/>
    <w:rsid w:val="0053273F"/>
    <w:rsid w:val="00532AE1"/>
    <w:rsid w:val="00532FD9"/>
    <w:rsid w:val="00533578"/>
    <w:rsid w:val="00533B79"/>
    <w:rsid w:val="00533B94"/>
    <w:rsid w:val="00533DE9"/>
    <w:rsid w:val="00533EEA"/>
    <w:rsid w:val="005347FF"/>
    <w:rsid w:val="00534BAC"/>
    <w:rsid w:val="00534DEC"/>
    <w:rsid w:val="0053535A"/>
    <w:rsid w:val="00537617"/>
    <w:rsid w:val="00537701"/>
    <w:rsid w:val="00537D94"/>
    <w:rsid w:val="005412D6"/>
    <w:rsid w:val="00541E72"/>
    <w:rsid w:val="00541F20"/>
    <w:rsid w:val="005423F7"/>
    <w:rsid w:val="005430E9"/>
    <w:rsid w:val="005435DE"/>
    <w:rsid w:val="00543B6F"/>
    <w:rsid w:val="00543E6F"/>
    <w:rsid w:val="005440F0"/>
    <w:rsid w:val="0054454E"/>
    <w:rsid w:val="005446C6"/>
    <w:rsid w:val="00544CAB"/>
    <w:rsid w:val="00544D36"/>
    <w:rsid w:val="00545403"/>
    <w:rsid w:val="00546E6C"/>
    <w:rsid w:val="00546EF3"/>
    <w:rsid w:val="00550216"/>
    <w:rsid w:val="005518DD"/>
    <w:rsid w:val="00551EB7"/>
    <w:rsid w:val="00551EED"/>
    <w:rsid w:val="00551F9F"/>
    <w:rsid w:val="00552722"/>
    <w:rsid w:val="0055359D"/>
    <w:rsid w:val="0055392A"/>
    <w:rsid w:val="00553A6A"/>
    <w:rsid w:val="00553D65"/>
    <w:rsid w:val="005543FE"/>
    <w:rsid w:val="005553CE"/>
    <w:rsid w:val="00555636"/>
    <w:rsid w:val="005556F4"/>
    <w:rsid w:val="00555744"/>
    <w:rsid w:val="0055579A"/>
    <w:rsid w:val="005575D4"/>
    <w:rsid w:val="00561238"/>
    <w:rsid w:val="00561272"/>
    <w:rsid w:val="00561552"/>
    <w:rsid w:val="00561D17"/>
    <w:rsid w:val="00562268"/>
    <w:rsid w:val="00562841"/>
    <w:rsid w:val="00562B92"/>
    <w:rsid w:val="00562C8B"/>
    <w:rsid w:val="005633AE"/>
    <w:rsid w:val="00564647"/>
    <w:rsid w:val="00564E4D"/>
    <w:rsid w:val="00565188"/>
    <w:rsid w:val="005652C3"/>
    <w:rsid w:val="00566548"/>
    <w:rsid w:val="005667EC"/>
    <w:rsid w:val="00566C11"/>
    <w:rsid w:val="00566CA3"/>
    <w:rsid w:val="005671BA"/>
    <w:rsid w:val="00567E9C"/>
    <w:rsid w:val="00570638"/>
    <w:rsid w:val="00570AEF"/>
    <w:rsid w:val="0057183F"/>
    <w:rsid w:val="00571BAF"/>
    <w:rsid w:val="00572F43"/>
    <w:rsid w:val="00573B2D"/>
    <w:rsid w:val="005744DF"/>
    <w:rsid w:val="005746BE"/>
    <w:rsid w:val="00576CEF"/>
    <w:rsid w:val="00577965"/>
    <w:rsid w:val="00577D7D"/>
    <w:rsid w:val="00580A9A"/>
    <w:rsid w:val="00580F70"/>
    <w:rsid w:val="00582383"/>
    <w:rsid w:val="0058284A"/>
    <w:rsid w:val="00582966"/>
    <w:rsid w:val="005836D2"/>
    <w:rsid w:val="0058384F"/>
    <w:rsid w:val="0058484E"/>
    <w:rsid w:val="0058531F"/>
    <w:rsid w:val="00585357"/>
    <w:rsid w:val="00585737"/>
    <w:rsid w:val="00590062"/>
    <w:rsid w:val="00590CD0"/>
    <w:rsid w:val="00590CE8"/>
    <w:rsid w:val="005921F1"/>
    <w:rsid w:val="005927CA"/>
    <w:rsid w:val="00592C0C"/>
    <w:rsid w:val="005930CB"/>
    <w:rsid w:val="00594066"/>
    <w:rsid w:val="005942D0"/>
    <w:rsid w:val="005943C6"/>
    <w:rsid w:val="00594A01"/>
    <w:rsid w:val="00595689"/>
    <w:rsid w:val="005964FA"/>
    <w:rsid w:val="0059651D"/>
    <w:rsid w:val="00597589"/>
    <w:rsid w:val="00597928"/>
    <w:rsid w:val="00597F00"/>
    <w:rsid w:val="005A0247"/>
    <w:rsid w:val="005A0632"/>
    <w:rsid w:val="005A06FE"/>
    <w:rsid w:val="005A0B89"/>
    <w:rsid w:val="005A0CCA"/>
    <w:rsid w:val="005A129E"/>
    <w:rsid w:val="005A1975"/>
    <w:rsid w:val="005A1C9A"/>
    <w:rsid w:val="005A2D2F"/>
    <w:rsid w:val="005A384D"/>
    <w:rsid w:val="005A398D"/>
    <w:rsid w:val="005A3ACD"/>
    <w:rsid w:val="005A3C04"/>
    <w:rsid w:val="005A440E"/>
    <w:rsid w:val="005A48A4"/>
    <w:rsid w:val="005A508E"/>
    <w:rsid w:val="005A55EB"/>
    <w:rsid w:val="005A6401"/>
    <w:rsid w:val="005A6EB7"/>
    <w:rsid w:val="005A6EBE"/>
    <w:rsid w:val="005A7B56"/>
    <w:rsid w:val="005B058C"/>
    <w:rsid w:val="005B0958"/>
    <w:rsid w:val="005B1315"/>
    <w:rsid w:val="005B1323"/>
    <w:rsid w:val="005B142F"/>
    <w:rsid w:val="005B15AB"/>
    <w:rsid w:val="005B1637"/>
    <w:rsid w:val="005B2B44"/>
    <w:rsid w:val="005B2CDB"/>
    <w:rsid w:val="005B31C5"/>
    <w:rsid w:val="005B328F"/>
    <w:rsid w:val="005B337B"/>
    <w:rsid w:val="005B36DC"/>
    <w:rsid w:val="005B3AFA"/>
    <w:rsid w:val="005B3FAD"/>
    <w:rsid w:val="005B4021"/>
    <w:rsid w:val="005B47CF"/>
    <w:rsid w:val="005B4C6D"/>
    <w:rsid w:val="005B54C3"/>
    <w:rsid w:val="005B6084"/>
    <w:rsid w:val="005B627D"/>
    <w:rsid w:val="005B66AA"/>
    <w:rsid w:val="005B6A04"/>
    <w:rsid w:val="005B7228"/>
    <w:rsid w:val="005B7E3C"/>
    <w:rsid w:val="005B7FD1"/>
    <w:rsid w:val="005C07D0"/>
    <w:rsid w:val="005C0B08"/>
    <w:rsid w:val="005C1240"/>
    <w:rsid w:val="005C12BA"/>
    <w:rsid w:val="005C1C62"/>
    <w:rsid w:val="005C1DBF"/>
    <w:rsid w:val="005C226D"/>
    <w:rsid w:val="005C29F4"/>
    <w:rsid w:val="005C2C0A"/>
    <w:rsid w:val="005C32E8"/>
    <w:rsid w:val="005C3723"/>
    <w:rsid w:val="005C3976"/>
    <w:rsid w:val="005C3A5D"/>
    <w:rsid w:val="005C3EF5"/>
    <w:rsid w:val="005C42F5"/>
    <w:rsid w:val="005C441B"/>
    <w:rsid w:val="005C5F68"/>
    <w:rsid w:val="005C6096"/>
    <w:rsid w:val="005C6208"/>
    <w:rsid w:val="005C707F"/>
    <w:rsid w:val="005C79D2"/>
    <w:rsid w:val="005C7A6C"/>
    <w:rsid w:val="005C7FC2"/>
    <w:rsid w:val="005D01F2"/>
    <w:rsid w:val="005D0405"/>
    <w:rsid w:val="005D06E2"/>
    <w:rsid w:val="005D0EDB"/>
    <w:rsid w:val="005D109C"/>
    <w:rsid w:val="005D1A4B"/>
    <w:rsid w:val="005D1F30"/>
    <w:rsid w:val="005D290C"/>
    <w:rsid w:val="005D38AB"/>
    <w:rsid w:val="005D38C1"/>
    <w:rsid w:val="005D55DB"/>
    <w:rsid w:val="005D5B38"/>
    <w:rsid w:val="005D6649"/>
    <w:rsid w:val="005E0022"/>
    <w:rsid w:val="005E04E6"/>
    <w:rsid w:val="005E0C00"/>
    <w:rsid w:val="005E25E3"/>
    <w:rsid w:val="005E2813"/>
    <w:rsid w:val="005E361C"/>
    <w:rsid w:val="005E4D89"/>
    <w:rsid w:val="005E5092"/>
    <w:rsid w:val="005E5A74"/>
    <w:rsid w:val="005E7478"/>
    <w:rsid w:val="005E7510"/>
    <w:rsid w:val="005E75D4"/>
    <w:rsid w:val="005F028F"/>
    <w:rsid w:val="005F032A"/>
    <w:rsid w:val="005F04CD"/>
    <w:rsid w:val="005F0994"/>
    <w:rsid w:val="005F15A8"/>
    <w:rsid w:val="005F17AD"/>
    <w:rsid w:val="005F19CF"/>
    <w:rsid w:val="005F26E6"/>
    <w:rsid w:val="005F2ABF"/>
    <w:rsid w:val="005F2B49"/>
    <w:rsid w:val="005F2C24"/>
    <w:rsid w:val="005F301A"/>
    <w:rsid w:val="005F4106"/>
    <w:rsid w:val="005F65E3"/>
    <w:rsid w:val="005F683F"/>
    <w:rsid w:val="00600004"/>
    <w:rsid w:val="006001DE"/>
    <w:rsid w:val="00600677"/>
    <w:rsid w:val="006010A9"/>
    <w:rsid w:val="0060152F"/>
    <w:rsid w:val="00601CC5"/>
    <w:rsid w:val="00602325"/>
    <w:rsid w:val="006024FD"/>
    <w:rsid w:val="00602CEB"/>
    <w:rsid w:val="00602D73"/>
    <w:rsid w:val="00602F1E"/>
    <w:rsid w:val="00602FF5"/>
    <w:rsid w:val="00603480"/>
    <w:rsid w:val="00603515"/>
    <w:rsid w:val="0060370C"/>
    <w:rsid w:val="00607435"/>
    <w:rsid w:val="00607829"/>
    <w:rsid w:val="00607E9B"/>
    <w:rsid w:val="006113E8"/>
    <w:rsid w:val="00611DB9"/>
    <w:rsid w:val="00612889"/>
    <w:rsid w:val="00612ABB"/>
    <w:rsid w:val="00613ADB"/>
    <w:rsid w:val="00613F25"/>
    <w:rsid w:val="006141A0"/>
    <w:rsid w:val="00615192"/>
    <w:rsid w:val="006170B6"/>
    <w:rsid w:val="00617B8A"/>
    <w:rsid w:val="00617F44"/>
    <w:rsid w:val="0062061B"/>
    <w:rsid w:val="00621FB3"/>
    <w:rsid w:val="006222C8"/>
    <w:rsid w:val="006223B9"/>
    <w:rsid w:val="0062247B"/>
    <w:rsid w:val="006228BE"/>
    <w:rsid w:val="00624429"/>
    <w:rsid w:val="00624437"/>
    <w:rsid w:val="00624C36"/>
    <w:rsid w:val="00624FF8"/>
    <w:rsid w:val="00625874"/>
    <w:rsid w:val="0062599F"/>
    <w:rsid w:val="00625D09"/>
    <w:rsid w:val="0062682C"/>
    <w:rsid w:val="00626C3E"/>
    <w:rsid w:val="00626DBA"/>
    <w:rsid w:val="00630AA3"/>
    <w:rsid w:val="006314EE"/>
    <w:rsid w:val="006317BA"/>
    <w:rsid w:val="00631A6E"/>
    <w:rsid w:val="00631C39"/>
    <w:rsid w:val="006328AE"/>
    <w:rsid w:val="0063376D"/>
    <w:rsid w:val="0063457D"/>
    <w:rsid w:val="00634722"/>
    <w:rsid w:val="00634761"/>
    <w:rsid w:val="0063486A"/>
    <w:rsid w:val="00635152"/>
    <w:rsid w:val="00635212"/>
    <w:rsid w:val="00635B2D"/>
    <w:rsid w:val="00637D20"/>
    <w:rsid w:val="00640246"/>
    <w:rsid w:val="006414A1"/>
    <w:rsid w:val="0064193B"/>
    <w:rsid w:val="00641D93"/>
    <w:rsid w:val="006422C5"/>
    <w:rsid w:val="0064335D"/>
    <w:rsid w:val="00643FF4"/>
    <w:rsid w:val="00644BAF"/>
    <w:rsid w:val="006457D6"/>
    <w:rsid w:val="006467BB"/>
    <w:rsid w:val="00647146"/>
    <w:rsid w:val="00647AD9"/>
    <w:rsid w:val="00647BA5"/>
    <w:rsid w:val="00650FAA"/>
    <w:rsid w:val="0065218D"/>
    <w:rsid w:val="00652349"/>
    <w:rsid w:val="00652956"/>
    <w:rsid w:val="00653031"/>
    <w:rsid w:val="00653514"/>
    <w:rsid w:val="00653ADE"/>
    <w:rsid w:val="00653E9D"/>
    <w:rsid w:val="00654223"/>
    <w:rsid w:val="006543FE"/>
    <w:rsid w:val="00654D20"/>
    <w:rsid w:val="00656ABB"/>
    <w:rsid w:val="00657C24"/>
    <w:rsid w:val="00657DD0"/>
    <w:rsid w:val="0066144D"/>
    <w:rsid w:val="00661B7D"/>
    <w:rsid w:val="00661DAA"/>
    <w:rsid w:val="00662053"/>
    <w:rsid w:val="0066451C"/>
    <w:rsid w:val="0066468E"/>
    <w:rsid w:val="0066557C"/>
    <w:rsid w:val="00666B73"/>
    <w:rsid w:val="00666CDC"/>
    <w:rsid w:val="00667377"/>
    <w:rsid w:val="006674F9"/>
    <w:rsid w:val="00667938"/>
    <w:rsid w:val="00667EBE"/>
    <w:rsid w:val="00670134"/>
    <w:rsid w:val="006701A4"/>
    <w:rsid w:val="00671E8A"/>
    <w:rsid w:val="006722C0"/>
    <w:rsid w:val="0067335B"/>
    <w:rsid w:val="00673CFC"/>
    <w:rsid w:val="0067406E"/>
    <w:rsid w:val="00674BEA"/>
    <w:rsid w:val="006755D5"/>
    <w:rsid w:val="0067619C"/>
    <w:rsid w:val="00676234"/>
    <w:rsid w:val="00676363"/>
    <w:rsid w:val="00676AB0"/>
    <w:rsid w:val="00677E99"/>
    <w:rsid w:val="00680324"/>
    <w:rsid w:val="00680CE2"/>
    <w:rsid w:val="00680CFF"/>
    <w:rsid w:val="006811E2"/>
    <w:rsid w:val="00682038"/>
    <w:rsid w:val="0068285B"/>
    <w:rsid w:val="0068341F"/>
    <w:rsid w:val="00684279"/>
    <w:rsid w:val="00684638"/>
    <w:rsid w:val="0068485E"/>
    <w:rsid w:val="00684CB9"/>
    <w:rsid w:val="0068509B"/>
    <w:rsid w:val="0068538B"/>
    <w:rsid w:val="00685554"/>
    <w:rsid w:val="00686262"/>
    <w:rsid w:val="0068678C"/>
    <w:rsid w:val="006868A0"/>
    <w:rsid w:val="00686E83"/>
    <w:rsid w:val="006872B6"/>
    <w:rsid w:val="00687C10"/>
    <w:rsid w:val="00687E85"/>
    <w:rsid w:val="0069066D"/>
    <w:rsid w:val="00690B2A"/>
    <w:rsid w:val="00691003"/>
    <w:rsid w:val="00691394"/>
    <w:rsid w:val="006913BE"/>
    <w:rsid w:val="00691D4F"/>
    <w:rsid w:val="00692710"/>
    <w:rsid w:val="00692A14"/>
    <w:rsid w:val="00692E27"/>
    <w:rsid w:val="0069340F"/>
    <w:rsid w:val="006944CF"/>
    <w:rsid w:val="00694A42"/>
    <w:rsid w:val="00694DDC"/>
    <w:rsid w:val="0069533B"/>
    <w:rsid w:val="00696301"/>
    <w:rsid w:val="0069631F"/>
    <w:rsid w:val="006979EF"/>
    <w:rsid w:val="006A0E49"/>
    <w:rsid w:val="006A1177"/>
    <w:rsid w:val="006A237A"/>
    <w:rsid w:val="006A256E"/>
    <w:rsid w:val="006A34C6"/>
    <w:rsid w:val="006A3975"/>
    <w:rsid w:val="006A39DD"/>
    <w:rsid w:val="006A43EC"/>
    <w:rsid w:val="006A4A6B"/>
    <w:rsid w:val="006A50A1"/>
    <w:rsid w:val="006A52E6"/>
    <w:rsid w:val="006A60B9"/>
    <w:rsid w:val="006A6650"/>
    <w:rsid w:val="006A794E"/>
    <w:rsid w:val="006A7E05"/>
    <w:rsid w:val="006B0079"/>
    <w:rsid w:val="006B0300"/>
    <w:rsid w:val="006B0E95"/>
    <w:rsid w:val="006B22B7"/>
    <w:rsid w:val="006B35FA"/>
    <w:rsid w:val="006B3EF0"/>
    <w:rsid w:val="006B4058"/>
    <w:rsid w:val="006B40EB"/>
    <w:rsid w:val="006B47C4"/>
    <w:rsid w:val="006B4961"/>
    <w:rsid w:val="006B505C"/>
    <w:rsid w:val="006B5E38"/>
    <w:rsid w:val="006B61C4"/>
    <w:rsid w:val="006B6ACB"/>
    <w:rsid w:val="006B7CB6"/>
    <w:rsid w:val="006C0B01"/>
    <w:rsid w:val="006C12DF"/>
    <w:rsid w:val="006C1344"/>
    <w:rsid w:val="006C184D"/>
    <w:rsid w:val="006C1939"/>
    <w:rsid w:val="006C2CFD"/>
    <w:rsid w:val="006C3269"/>
    <w:rsid w:val="006C3A50"/>
    <w:rsid w:val="006C4287"/>
    <w:rsid w:val="006C4BDB"/>
    <w:rsid w:val="006C5CCF"/>
    <w:rsid w:val="006C6395"/>
    <w:rsid w:val="006C681B"/>
    <w:rsid w:val="006C6901"/>
    <w:rsid w:val="006C69B9"/>
    <w:rsid w:val="006C6F81"/>
    <w:rsid w:val="006C7FA6"/>
    <w:rsid w:val="006D072D"/>
    <w:rsid w:val="006D0F5C"/>
    <w:rsid w:val="006D26D8"/>
    <w:rsid w:val="006D28A5"/>
    <w:rsid w:val="006D2EB5"/>
    <w:rsid w:val="006D2F48"/>
    <w:rsid w:val="006D4BC3"/>
    <w:rsid w:val="006D4DC2"/>
    <w:rsid w:val="006D5498"/>
    <w:rsid w:val="006D57A0"/>
    <w:rsid w:val="006D623B"/>
    <w:rsid w:val="006D6C7E"/>
    <w:rsid w:val="006D7414"/>
    <w:rsid w:val="006E0203"/>
    <w:rsid w:val="006E044F"/>
    <w:rsid w:val="006E0598"/>
    <w:rsid w:val="006E0817"/>
    <w:rsid w:val="006E0A50"/>
    <w:rsid w:val="006E1A15"/>
    <w:rsid w:val="006E21FC"/>
    <w:rsid w:val="006E2E11"/>
    <w:rsid w:val="006E32CD"/>
    <w:rsid w:val="006E3678"/>
    <w:rsid w:val="006E42B3"/>
    <w:rsid w:val="006E4971"/>
    <w:rsid w:val="006E4DC4"/>
    <w:rsid w:val="006E5056"/>
    <w:rsid w:val="006E52CB"/>
    <w:rsid w:val="006E55EF"/>
    <w:rsid w:val="006E69FF"/>
    <w:rsid w:val="006E7593"/>
    <w:rsid w:val="006E7A30"/>
    <w:rsid w:val="006F1297"/>
    <w:rsid w:val="006F19E5"/>
    <w:rsid w:val="006F2BE1"/>
    <w:rsid w:val="006F2DFC"/>
    <w:rsid w:val="006F2E1C"/>
    <w:rsid w:val="006F3316"/>
    <w:rsid w:val="006F5723"/>
    <w:rsid w:val="006F5BEE"/>
    <w:rsid w:val="006F5DE1"/>
    <w:rsid w:val="006F6BDA"/>
    <w:rsid w:val="006F6E2A"/>
    <w:rsid w:val="006F6E5E"/>
    <w:rsid w:val="006F7000"/>
    <w:rsid w:val="006F7078"/>
    <w:rsid w:val="006F7912"/>
    <w:rsid w:val="007009AE"/>
    <w:rsid w:val="007013A5"/>
    <w:rsid w:val="007013C5"/>
    <w:rsid w:val="00701C7E"/>
    <w:rsid w:val="00702766"/>
    <w:rsid w:val="00702B9E"/>
    <w:rsid w:val="00703858"/>
    <w:rsid w:val="00703F52"/>
    <w:rsid w:val="00705451"/>
    <w:rsid w:val="00705502"/>
    <w:rsid w:val="00705A9C"/>
    <w:rsid w:val="00705D65"/>
    <w:rsid w:val="00706D2D"/>
    <w:rsid w:val="00710E4C"/>
    <w:rsid w:val="007114CC"/>
    <w:rsid w:val="007116EC"/>
    <w:rsid w:val="00711867"/>
    <w:rsid w:val="00712392"/>
    <w:rsid w:val="007129C2"/>
    <w:rsid w:val="00712FCB"/>
    <w:rsid w:val="00713139"/>
    <w:rsid w:val="00713506"/>
    <w:rsid w:val="00713940"/>
    <w:rsid w:val="00713CBC"/>
    <w:rsid w:val="00713F87"/>
    <w:rsid w:val="007150DB"/>
    <w:rsid w:val="0071584E"/>
    <w:rsid w:val="00717241"/>
    <w:rsid w:val="007174ED"/>
    <w:rsid w:val="007201A0"/>
    <w:rsid w:val="00720673"/>
    <w:rsid w:val="0072070D"/>
    <w:rsid w:val="00721AE3"/>
    <w:rsid w:val="00721B25"/>
    <w:rsid w:val="00721DD4"/>
    <w:rsid w:val="00721EC2"/>
    <w:rsid w:val="00722161"/>
    <w:rsid w:val="007230F1"/>
    <w:rsid w:val="00723DA1"/>
    <w:rsid w:val="00723FF7"/>
    <w:rsid w:val="0072432F"/>
    <w:rsid w:val="00724C84"/>
    <w:rsid w:val="00724FCE"/>
    <w:rsid w:val="0072594B"/>
    <w:rsid w:val="007266B9"/>
    <w:rsid w:val="007273A0"/>
    <w:rsid w:val="0072744B"/>
    <w:rsid w:val="007275B0"/>
    <w:rsid w:val="00730584"/>
    <w:rsid w:val="007305C7"/>
    <w:rsid w:val="007307B4"/>
    <w:rsid w:val="00732448"/>
    <w:rsid w:val="00732984"/>
    <w:rsid w:val="00732D7A"/>
    <w:rsid w:val="007334EC"/>
    <w:rsid w:val="00733932"/>
    <w:rsid w:val="007346D5"/>
    <w:rsid w:val="007349F6"/>
    <w:rsid w:val="007349FA"/>
    <w:rsid w:val="00734CF6"/>
    <w:rsid w:val="00734D6C"/>
    <w:rsid w:val="007351C9"/>
    <w:rsid w:val="00735AF4"/>
    <w:rsid w:val="00735B41"/>
    <w:rsid w:val="00736906"/>
    <w:rsid w:val="00737246"/>
    <w:rsid w:val="00737554"/>
    <w:rsid w:val="007378AC"/>
    <w:rsid w:val="00740991"/>
    <w:rsid w:val="00740DB0"/>
    <w:rsid w:val="007410A8"/>
    <w:rsid w:val="00741504"/>
    <w:rsid w:val="00741B6D"/>
    <w:rsid w:val="00741FFC"/>
    <w:rsid w:val="007423BD"/>
    <w:rsid w:val="007433EF"/>
    <w:rsid w:val="00743B3B"/>
    <w:rsid w:val="00743B50"/>
    <w:rsid w:val="00744513"/>
    <w:rsid w:val="0074499B"/>
    <w:rsid w:val="00746C1F"/>
    <w:rsid w:val="00746F04"/>
    <w:rsid w:val="00747A82"/>
    <w:rsid w:val="00747BB9"/>
    <w:rsid w:val="00750318"/>
    <w:rsid w:val="00750BB8"/>
    <w:rsid w:val="00750F61"/>
    <w:rsid w:val="007524A4"/>
    <w:rsid w:val="00752DBE"/>
    <w:rsid w:val="007533E1"/>
    <w:rsid w:val="00753481"/>
    <w:rsid w:val="00753737"/>
    <w:rsid w:val="0075373A"/>
    <w:rsid w:val="007537A7"/>
    <w:rsid w:val="00753B84"/>
    <w:rsid w:val="00753CA7"/>
    <w:rsid w:val="00755261"/>
    <w:rsid w:val="007555DF"/>
    <w:rsid w:val="007557A7"/>
    <w:rsid w:val="007559BF"/>
    <w:rsid w:val="00755F1B"/>
    <w:rsid w:val="007603A2"/>
    <w:rsid w:val="007604CC"/>
    <w:rsid w:val="00760634"/>
    <w:rsid w:val="00761CC8"/>
    <w:rsid w:val="007635AC"/>
    <w:rsid w:val="00763D35"/>
    <w:rsid w:val="00764AD8"/>
    <w:rsid w:val="00765CE9"/>
    <w:rsid w:val="007669D6"/>
    <w:rsid w:val="007674CD"/>
    <w:rsid w:val="00767676"/>
    <w:rsid w:val="00767A02"/>
    <w:rsid w:val="00770162"/>
    <w:rsid w:val="00770381"/>
    <w:rsid w:val="00770F88"/>
    <w:rsid w:val="00771651"/>
    <w:rsid w:val="0077198E"/>
    <w:rsid w:val="00771AA2"/>
    <w:rsid w:val="00773234"/>
    <w:rsid w:val="007732C0"/>
    <w:rsid w:val="00774277"/>
    <w:rsid w:val="0077438C"/>
    <w:rsid w:val="00774493"/>
    <w:rsid w:val="007746AE"/>
    <w:rsid w:val="007763B5"/>
    <w:rsid w:val="007765DF"/>
    <w:rsid w:val="00776B25"/>
    <w:rsid w:val="00777890"/>
    <w:rsid w:val="00777B65"/>
    <w:rsid w:val="00777D31"/>
    <w:rsid w:val="00777FFD"/>
    <w:rsid w:val="00780406"/>
    <w:rsid w:val="00780803"/>
    <w:rsid w:val="00782070"/>
    <w:rsid w:val="007820C4"/>
    <w:rsid w:val="0078226E"/>
    <w:rsid w:val="00782F5E"/>
    <w:rsid w:val="00783AC7"/>
    <w:rsid w:val="00783CEC"/>
    <w:rsid w:val="00784096"/>
    <w:rsid w:val="00784C38"/>
    <w:rsid w:val="00785AB3"/>
    <w:rsid w:val="00785DD0"/>
    <w:rsid w:val="00785FC6"/>
    <w:rsid w:val="007860EA"/>
    <w:rsid w:val="0078635E"/>
    <w:rsid w:val="007873FF"/>
    <w:rsid w:val="007879F3"/>
    <w:rsid w:val="00790A9A"/>
    <w:rsid w:val="00790F93"/>
    <w:rsid w:val="0079126F"/>
    <w:rsid w:val="007921B4"/>
    <w:rsid w:val="0079233B"/>
    <w:rsid w:val="00792AE2"/>
    <w:rsid w:val="00793111"/>
    <w:rsid w:val="00793AD3"/>
    <w:rsid w:val="00794DD1"/>
    <w:rsid w:val="0079547F"/>
    <w:rsid w:val="007958F2"/>
    <w:rsid w:val="00795A4E"/>
    <w:rsid w:val="007964C4"/>
    <w:rsid w:val="00797918"/>
    <w:rsid w:val="007A00F7"/>
    <w:rsid w:val="007A0233"/>
    <w:rsid w:val="007A0270"/>
    <w:rsid w:val="007A1926"/>
    <w:rsid w:val="007A2324"/>
    <w:rsid w:val="007A2430"/>
    <w:rsid w:val="007A249C"/>
    <w:rsid w:val="007A30FB"/>
    <w:rsid w:val="007A3555"/>
    <w:rsid w:val="007A4405"/>
    <w:rsid w:val="007A6909"/>
    <w:rsid w:val="007A6A41"/>
    <w:rsid w:val="007A7257"/>
    <w:rsid w:val="007A72F0"/>
    <w:rsid w:val="007A7C75"/>
    <w:rsid w:val="007B0B32"/>
    <w:rsid w:val="007B0FB1"/>
    <w:rsid w:val="007B46A9"/>
    <w:rsid w:val="007B4B26"/>
    <w:rsid w:val="007B50DE"/>
    <w:rsid w:val="007B512A"/>
    <w:rsid w:val="007B5540"/>
    <w:rsid w:val="007B597F"/>
    <w:rsid w:val="007B6BE2"/>
    <w:rsid w:val="007B7E4E"/>
    <w:rsid w:val="007C05A7"/>
    <w:rsid w:val="007C09DA"/>
    <w:rsid w:val="007C1020"/>
    <w:rsid w:val="007C16D0"/>
    <w:rsid w:val="007C1A44"/>
    <w:rsid w:val="007C2807"/>
    <w:rsid w:val="007C3089"/>
    <w:rsid w:val="007C3C6A"/>
    <w:rsid w:val="007C4261"/>
    <w:rsid w:val="007C4B4B"/>
    <w:rsid w:val="007C5205"/>
    <w:rsid w:val="007C58CB"/>
    <w:rsid w:val="007C6745"/>
    <w:rsid w:val="007C7033"/>
    <w:rsid w:val="007C70B7"/>
    <w:rsid w:val="007C7227"/>
    <w:rsid w:val="007C7814"/>
    <w:rsid w:val="007D03AA"/>
    <w:rsid w:val="007D0FA2"/>
    <w:rsid w:val="007D203F"/>
    <w:rsid w:val="007D328A"/>
    <w:rsid w:val="007D33F3"/>
    <w:rsid w:val="007D3ABD"/>
    <w:rsid w:val="007D555D"/>
    <w:rsid w:val="007D558B"/>
    <w:rsid w:val="007D5D26"/>
    <w:rsid w:val="007D6170"/>
    <w:rsid w:val="007D6DE5"/>
    <w:rsid w:val="007D6ED3"/>
    <w:rsid w:val="007E005F"/>
    <w:rsid w:val="007E0A22"/>
    <w:rsid w:val="007E1687"/>
    <w:rsid w:val="007E18E5"/>
    <w:rsid w:val="007E190F"/>
    <w:rsid w:val="007E1A7A"/>
    <w:rsid w:val="007E1DD5"/>
    <w:rsid w:val="007E246F"/>
    <w:rsid w:val="007E420C"/>
    <w:rsid w:val="007E42F5"/>
    <w:rsid w:val="007E4B82"/>
    <w:rsid w:val="007E59DD"/>
    <w:rsid w:val="007E5BB6"/>
    <w:rsid w:val="007E5EE8"/>
    <w:rsid w:val="007E6624"/>
    <w:rsid w:val="007E6CAD"/>
    <w:rsid w:val="007E7799"/>
    <w:rsid w:val="007F11A8"/>
    <w:rsid w:val="007F146A"/>
    <w:rsid w:val="007F1532"/>
    <w:rsid w:val="007F2025"/>
    <w:rsid w:val="007F2188"/>
    <w:rsid w:val="007F272F"/>
    <w:rsid w:val="007F2AA0"/>
    <w:rsid w:val="007F2B86"/>
    <w:rsid w:val="007F2DCB"/>
    <w:rsid w:val="007F37DA"/>
    <w:rsid w:val="007F442D"/>
    <w:rsid w:val="007F4740"/>
    <w:rsid w:val="007F56D8"/>
    <w:rsid w:val="007F62B5"/>
    <w:rsid w:val="007F6903"/>
    <w:rsid w:val="007F7924"/>
    <w:rsid w:val="007F7AE3"/>
    <w:rsid w:val="00801209"/>
    <w:rsid w:val="00801470"/>
    <w:rsid w:val="00802352"/>
    <w:rsid w:val="00802C45"/>
    <w:rsid w:val="008031AA"/>
    <w:rsid w:val="0080330D"/>
    <w:rsid w:val="008036B4"/>
    <w:rsid w:val="00804EA1"/>
    <w:rsid w:val="00804FB8"/>
    <w:rsid w:val="0080548B"/>
    <w:rsid w:val="0080572F"/>
    <w:rsid w:val="008061E3"/>
    <w:rsid w:val="00806890"/>
    <w:rsid w:val="008074FF"/>
    <w:rsid w:val="00807703"/>
    <w:rsid w:val="00807C2F"/>
    <w:rsid w:val="00807EC5"/>
    <w:rsid w:val="008108A4"/>
    <w:rsid w:val="00810980"/>
    <w:rsid w:val="00810FE5"/>
    <w:rsid w:val="00811777"/>
    <w:rsid w:val="0081204D"/>
    <w:rsid w:val="0081289B"/>
    <w:rsid w:val="008129B4"/>
    <w:rsid w:val="00813068"/>
    <w:rsid w:val="008132E8"/>
    <w:rsid w:val="00813600"/>
    <w:rsid w:val="00814026"/>
    <w:rsid w:val="0081540D"/>
    <w:rsid w:val="00815958"/>
    <w:rsid w:val="00815DCD"/>
    <w:rsid w:val="00816D1F"/>
    <w:rsid w:val="00816DC1"/>
    <w:rsid w:val="00817288"/>
    <w:rsid w:val="008176E6"/>
    <w:rsid w:val="00817706"/>
    <w:rsid w:val="008178CA"/>
    <w:rsid w:val="00817E5A"/>
    <w:rsid w:val="00820514"/>
    <w:rsid w:val="0082133F"/>
    <w:rsid w:val="0082164B"/>
    <w:rsid w:val="0082171A"/>
    <w:rsid w:val="00822139"/>
    <w:rsid w:val="00822858"/>
    <w:rsid w:val="0082305E"/>
    <w:rsid w:val="00823F11"/>
    <w:rsid w:val="0082430C"/>
    <w:rsid w:val="0082489A"/>
    <w:rsid w:val="00824B91"/>
    <w:rsid w:val="00824D7A"/>
    <w:rsid w:val="00825DA0"/>
    <w:rsid w:val="00826109"/>
    <w:rsid w:val="0082744D"/>
    <w:rsid w:val="00827ECB"/>
    <w:rsid w:val="0083023C"/>
    <w:rsid w:val="008302B4"/>
    <w:rsid w:val="0083034B"/>
    <w:rsid w:val="0083034E"/>
    <w:rsid w:val="008303D6"/>
    <w:rsid w:val="00831E06"/>
    <w:rsid w:val="00832D51"/>
    <w:rsid w:val="008331A3"/>
    <w:rsid w:val="00833521"/>
    <w:rsid w:val="00834511"/>
    <w:rsid w:val="0083458C"/>
    <w:rsid w:val="008345BF"/>
    <w:rsid w:val="00834F63"/>
    <w:rsid w:val="00834FCD"/>
    <w:rsid w:val="00834FF7"/>
    <w:rsid w:val="00835330"/>
    <w:rsid w:val="008362DA"/>
    <w:rsid w:val="008367D2"/>
    <w:rsid w:val="00836869"/>
    <w:rsid w:val="00837069"/>
    <w:rsid w:val="00840703"/>
    <w:rsid w:val="00840889"/>
    <w:rsid w:val="00840939"/>
    <w:rsid w:val="00840DBB"/>
    <w:rsid w:val="00840E7C"/>
    <w:rsid w:val="00841353"/>
    <w:rsid w:val="0084159D"/>
    <w:rsid w:val="00842206"/>
    <w:rsid w:val="008425DA"/>
    <w:rsid w:val="008427CF"/>
    <w:rsid w:val="0084300B"/>
    <w:rsid w:val="0084311B"/>
    <w:rsid w:val="008432D0"/>
    <w:rsid w:val="0084372E"/>
    <w:rsid w:val="00843C1F"/>
    <w:rsid w:val="00845394"/>
    <w:rsid w:val="0084619F"/>
    <w:rsid w:val="008465B8"/>
    <w:rsid w:val="0084662E"/>
    <w:rsid w:val="008467AF"/>
    <w:rsid w:val="008478C3"/>
    <w:rsid w:val="00850BBC"/>
    <w:rsid w:val="00850E53"/>
    <w:rsid w:val="00851D6D"/>
    <w:rsid w:val="008520B4"/>
    <w:rsid w:val="00852593"/>
    <w:rsid w:val="00852CC1"/>
    <w:rsid w:val="00852EEA"/>
    <w:rsid w:val="008544C4"/>
    <w:rsid w:val="008559C8"/>
    <w:rsid w:val="00855BB2"/>
    <w:rsid w:val="00855F41"/>
    <w:rsid w:val="0085662D"/>
    <w:rsid w:val="00856BD8"/>
    <w:rsid w:val="00856DDE"/>
    <w:rsid w:val="00856F9D"/>
    <w:rsid w:val="00857044"/>
    <w:rsid w:val="00857763"/>
    <w:rsid w:val="00857BAD"/>
    <w:rsid w:val="00857DF5"/>
    <w:rsid w:val="0086051E"/>
    <w:rsid w:val="00860FDE"/>
    <w:rsid w:val="0086111F"/>
    <w:rsid w:val="00861B4D"/>
    <w:rsid w:val="008628D4"/>
    <w:rsid w:val="00862AFA"/>
    <w:rsid w:val="00863021"/>
    <w:rsid w:val="00863892"/>
    <w:rsid w:val="008646CE"/>
    <w:rsid w:val="00864A0D"/>
    <w:rsid w:val="00864D02"/>
    <w:rsid w:val="00864ED9"/>
    <w:rsid w:val="0086556E"/>
    <w:rsid w:val="00865AD4"/>
    <w:rsid w:val="00865C44"/>
    <w:rsid w:val="008660C3"/>
    <w:rsid w:val="00866173"/>
    <w:rsid w:val="00866581"/>
    <w:rsid w:val="00867871"/>
    <w:rsid w:val="00870152"/>
    <w:rsid w:val="00870233"/>
    <w:rsid w:val="00870A53"/>
    <w:rsid w:val="00871F1A"/>
    <w:rsid w:val="00871F9E"/>
    <w:rsid w:val="008726DA"/>
    <w:rsid w:val="008745C7"/>
    <w:rsid w:val="00874EEF"/>
    <w:rsid w:val="00876C9A"/>
    <w:rsid w:val="0087733E"/>
    <w:rsid w:val="00880BAC"/>
    <w:rsid w:val="00880D46"/>
    <w:rsid w:val="00881138"/>
    <w:rsid w:val="0088288C"/>
    <w:rsid w:val="00883173"/>
    <w:rsid w:val="00883180"/>
    <w:rsid w:val="00883746"/>
    <w:rsid w:val="00883A47"/>
    <w:rsid w:val="00883EF9"/>
    <w:rsid w:val="00885562"/>
    <w:rsid w:val="00885AB3"/>
    <w:rsid w:val="00886E3A"/>
    <w:rsid w:val="00887925"/>
    <w:rsid w:val="00891326"/>
    <w:rsid w:val="008916CA"/>
    <w:rsid w:val="00891FE0"/>
    <w:rsid w:val="00892D38"/>
    <w:rsid w:val="008934E5"/>
    <w:rsid w:val="00894701"/>
    <w:rsid w:val="008949E4"/>
    <w:rsid w:val="00895B9A"/>
    <w:rsid w:val="00896BA5"/>
    <w:rsid w:val="0089783B"/>
    <w:rsid w:val="008A0930"/>
    <w:rsid w:val="008A0D53"/>
    <w:rsid w:val="008A19E2"/>
    <w:rsid w:val="008A19E4"/>
    <w:rsid w:val="008A1C50"/>
    <w:rsid w:val="008A1CB4"/>
    <w:rsid w:val="008A2614"/>
    <w:rsid w:val="008A27F4"/>
    <w:rsid w:val="008A2929"/>
    <w:rsid w:val="008A2C13"/>
    <w:rsid w:val="008A2D39"/>
    <w:rsid w:val="008A326D"/>
    <w:rsid w:val="008A3941"/>
    <w:rsid w:val="008A3A15"/>
    <w:rsid w:val="008A49CB"/>
    <w:rsid w:val="008A4B20"/>
    <w:rsid w:val="008A5083"/>
    <w:rsid w:val="008A53F9"/>
    <w:rsid w:val="008A56DB"/>
    <w:rsid w:val="008A590A"/>
    <w:rsid w:val="008A69BF"/>
    <w:rsid w:val="008A6E00"/>
    <w:rsid w:val="008A77CC"/>
    <w:rsid w:val="008A7978"/>
    <w:rsid w:val="008A7DAE"/>
    <w:rsid w:val="008B0859"/>
    <w:rsid w:val="008B093D"/>
    <w:rsid w:val="008B1323"/>
    <w:rsid w:val="008B1C51"/>
    <w:rsid w:val="008B3CA9"/>
    <w:rsid w:val="008B3D48"/>
    <w:rsid w:val="008B4177"/>
    <w:rsid w:val="008B458A"/>
    <w:rsid w:val="008B5275"/>
    <w:rsid w:val="008B601A"/>
    <w:rsid w:val="008B62BB"/>
    <w:rsid w:val="008B6741"/>
    <w:rsid w:val="008B6BB6"/>
    <w:rsid w:val="008B7AC4"/>
    <w:rsid w:val="008C0BAC"/>
    <w:rsid w:val="008C1638"/>
    <w:rsid w:val="008C19CB"/>
    <w:rsid w:val="008C1ABF"/>
    <w:rsid w:val="008C22BA"/>
    <w:rsid w:val="008C22CA"/>
    <w:rsid w:val="008C23B8"/>
    <w:rsid w:val="008C28A7"/>
    <w:rsid w:val="008C2BFF"/>
    <w:rsid w:val="008C3353"/>
    <w:rsid w:val="008C42A9"/>
    <w:rsid w:val="008C454C"/>
    <w:rsid w:val="008C4934"/>
    <w:rsid w:val="008C4E54"/>
    <w:rsid w:val="008C50F8"/>
    <w:rsid w:val="008C5920"/>
    <w:rsid w:val="008C59E3"/>
    <w:rsid w:val="008C5CEB"/>
    <w:rsid w:val="008C6B87"/>
    <w:rsid w:val="008D0F10"/>
    <w:rsid w:val="008D126E"/>
    <w:rsid w:val="008D2C8C"/>
    <w:rsid w:val="008D33CC"/>
    <w:rsid w:val="008D3C87"/>
    <w:rsid w:val="008D40EA"/>
    <w:rsid w:val="008D418F"/>
    <w:rsid w:val="008D4999"/>
    <w:rsid w:val="008D6411"/>
    <w:rsid w:val="008D6D0B"/>
    <w:rsid w:val="008E0269"/>
    <w:rsid w:val="008E04B4"/>
    <w:rsid w:val="008E138E"/>
    <w:rsid w:val="008E1512"/>
    <w:rsid w:val="008E1F1D"/>
    <w:rsid w:val="008E217B"/>
    <w:rsid w:val="008E4601"/>
    <w:rsid w:val="008E5244"/>
    <w:rsid w:val="008E5522"/>
    <w:rsid w:val="008E58BA"/>
    <w:rsid w:val="008E5B6C"/>
    <w:rsid w:val="008E6093"/>
    <w:rsid w:val="008E64F7"/>
    <w:rsid w:val="008E67C3"/>
    <w:rsid w:val="008E688E"/>
    <w:rsid w:val="008E6936"/>
    <w:rsid w:val="008E6D71"/>
    <w:rsid w:val="008E73AE"/>
    <w:rsid w:val="008E75A6"/>
    <w:rsid w:val="008E7E0B"/>
    <w:rsid w:val="008F0F28"/>
    <w:rsid w:val="008F13BE"/>
    <w:rsid w:val="008F23A8"/>
    <w:rsid w:val="008F2CD6"/>
    <w:rsid w:val="008F3B08"/>
    <w:rsid w:val="008F45F2"/>
    <w:rsid w:val="008F522D"/>
    <w:rsid w:val="008F5475"/>
    <w:rsid w:val="008F5F23"/>
    <w:rsid w:val="008F6C76"/>
    <w:rsid w:val="008F6E06"/>
    <w:rsid w:val="008F7C7F"/>
    <w:rsid w:val="008F7E0D"/>
    <w:rsid w:val="008F7E6B"/>
    <w:rsid w:val="00900A2F"/>
    <w:rsid w:val="00900C66"/>
    <w:rsid w:val="00901030"/>
    <w:rsid w:val="009010CA"/>
    <w:rsid w:val="009011C2"/>
    <w:rsid w:val="00901704"/>
    <w:rsid w:val="009017A6"/>
    <w:rsid w:val="00901CFB"/>
    <w:rsid w:val="009023BF"/>
    <w:rsid w:val="009023C3"/>
    <w:rsid w:val="00902944"/>
    <w:rsid w:val="00902CA9"/>
    <w:rsid w:val="00902D27"/>
    <w:rsid w:val="0090315C"/>
    <w:rsid w:val="0090331D"/>
    <w:rsid w:val="00903727"/>
    <w:rsid w:val="00903BD2"/>
    <w:rsid w:val="00904063"/>
    <w:rsid w:val="00905013"/>
    <w:rsid w:val="00905249"/>
    <w:rsid w:val="009055BC"/>
    <w:rsid w:val="009058DE"/>
    <w:rsid w:val="00905F93"/>
    <w:rsid w:val="00906640"/>
    <w:rsid w:val="009069CA"/>
    <w:rsid w:val="00906F94"/>
    <w:rsid w:val="009076EA"/>
    <w:rsid w:val="00907891"/>
    <w:rsid w:val="009107E2"/>
    <w:rsid w:val="0091085C"/>
    <w:rsid w:val="009108DD"/>
    <w:rsid w:val="00910951"/>
    <w:rsid w:val="00910B93"/>
    <w:rsid w:val="00911778"/>
    <w:rsid w:val="00911EF1"/>
    <w:rsid w:val="00912422"/>
    <w:rsid w:val="00912489"/>
    <w:rsid w:val="0091269B"/>
    <w:rsid w:val="00912CB2"/>
    <w:rsid w:val="0091303B"/>
    <w:rsid w:val="00913052"/>
    <w:rsid w:val="0091369A"/>
    <w:rsid w:val="00915148"/>
    <w:rsid w:val="009155A7"/>
    <w:rsid w:val="00915890"/>
    <w:rsid w:val="0091592E"/>
    <w:rsid w:val="00915DF1"/>
    <w:rsid w:val="00916764"/>
    <w:rsid w:val="009175BE"/>
    <w:rsid w:val="009176D8"/>
    <w:rsid w:val="00917AF1"/>
    <w:rsid w:val="00920604"/>
    <w:rsid w:val="00921179"/>
    <w:rsid w:val="00921378"/>
    <w:rsid w:val="00921755"/>
    <w:rsid w:val="00921BD9"/>
    <w:rsid w:val="00921C1C"/>
    <w:rsid w:val="009238A2"/>
    <w:rsid w:val="00923CA1"/>
    <w:rsid w:val="00923CD1"/>
    <w:rsid w:val="00924816"/>
    <w:rsid w:val="00924A82"/>
    <w:rsid w:val="00924B3B"/>
    <w:rsid w:val="00924BBA"/>
    <w:rsid w:val="00924C0E"/>
    <w:rsid w:val="00924E81"/>
    <w:rsid w:val="00925496"/>
    <w:rsid w:val="009261F6"/>
    <w:rsid w:val="00926A3C"/>
    <w:rsid w:val="00926C4D"/>
    <w:rsid w:val="00926E89"/>
    <w:rsid w:val="00926ECD"/>
    <w:rsid w:val="00926FCA"/>
    <w:rsid w:val="00927CD5"/>
    <w:rsid w:val="0093062B"/>
    <w:rsid w:val="00931295"/>
    <w:rsid w:val="009314CF"/>
    <w:rsid w:val="00931A59"/>
    <w:rsid w:val="00931DB2"/>
    <w:rsid w:val="0093226F"/>
    <w:rsid w:val="009329B2"/>
    <w:rsid w:val="00933166"/>
    <w:rsid w:val="00933B1D"/>
    <w:rsid w:val="00933BDC"/>
    <w:rsid w:val="009351D0"/>
    <w:rsid w:val="00935B8C"/>
    <w:rsid w:val="00936425"/>
    <w:rsid w:val="00936B3E"/>
    <w:rsid w:val="00936D46"/>
    <w:rsid w:val="0093709C"/>
    <w:rsid w:val="0093768A"/>
    <w:rsid w:val="00937A47"/>
    <w:rsid w:val="009403AD"/>
    <w:rsid w:val="00940620"/>
    <w:rsid w:val="009408D3"/>
    <w:rsid w:val="009408D7"/>
    <w:rsid w:val="00940DC2"/>
    <w:rsid w:val="009416B8"/>
    <w:rsid w:val="00941802"/>
    <w:rsid w:val="00942325"/>
    <w:rsid w:val="009432AD"/>
    <w:rsid w:val="0094355A"/>
    <w:rsid w:val="00943A3F"/>
    <w:rsid w:val="0094449C"/>
    <w:rsid w:val="00944B23"/>
    <w:rsid w:val="00944F49"/>
    <w:rsid w:val="00945C01"/>
    <w:rsid w:val="00945F90"/>
    <w:rsid w:val="00946F25"/>
    <w:rsid w:val="009471C5"/>
    <w:rsid w:val="0094749A"/>
    <w:rsid w:val="0094769B"/>
    <w:rsid w:val="00947F11"/>
    <w:rsid w:val="00950012"/>
    <w:rsid w:val="0095038E"/>
    <w:rsid w:val="009504CA"/>
    <w:rsid w:val="00950AF6"/>
    <w:rsid w:val="00951508"/>
    <w:rsid w:val="0095177E"/>
    <w:rsid w:val="009520EB"/>
    <w:rsid w:val="009523B7"/>
    <w:rsid w:val="00953478"/>
    <w:rsid w:val="00953CCB"/>
    <w:rsid w:val="0095452F"/>
    <w:rsid w:val="0095468B"/>
    <w:rsid w:val="00954A1B"/>
    <w:rsid w:val="00954AA5"/>
    <w:rsid w:val="00954E58"/>
    <w:rsid w:val="009551E5"/>
    <w:rsid w:val="00955917"/>
    <w:rsid w:val="00955ADC"/>
    <w:rsid w:val="009574A1"/>
    <w:rsid w:val="00957522"/>
    <w:rsid w:val="009575F4"/>
    <w:rsid w:val="00960107"/>
    <w:rsid w:val="0096085A"/>
    <w:rsid w:val="00960E4A"/>
    <w:rsid w:val="0096105C"/>
    <w:rsid w:val="0096198C"/>
    <w:rsid w:val="00961CDB"/>
    <w:rsid w:val="00961CF7"/>
    <w:rsid w:val="00962B09"/>
    <w:rsid w:val="00963A3D"/>
    <w:rsid w:val="00963B12"/>
    <w:rsid w:val="00963E0E"/>
    <w:rsid w:val="00965932"/>
    <w:rsid w:val="00965C93"/>
    <w:rsid w:val="00966ABC"/>
    <w:rsid w:val="00966C74"/>
    <w:rsid w:val="00967CBC"/>
    <w:rsid w:val="0097019E"/>
    <w:rsid w:val="009701DE"/>
    <w:rsid w:val="009719B0"/>
    <w:rsid w:val="009719FF"/>
    <w:rsid w:val="009722E3"/>
    <w:rsid w:val="0097254C"/>
    <w:rsid w:val="00973D42"/>
    <w:rsid w:val="00973E4B"/>
    <w:rsid w:val="00974404"/>
    <w:rsid w:val="00974D51"/>
    <w:rsid w:val="00975987"/>
    <w:rsid w:val="00975F30"/>
    <w:rsid w:val="0097604F"/>
    <w:rsid w:val="00976067"/>
    <w:rsid w:val="00976737"/>
    <w:rsid w:val="00980D2C"/>
    <w:rsid w:val="00980F29"/>
    <w:rsid w:val="00981BA5"/>
    <w:rsid w:val="009850E6"/>
    <w:rsid w:val="00985376"/>
    <w:rsid w:val="009859BD"/>
    <w:rsid w:val="00986ACD"/>
    <w:rsid w:val="00987348"/>
    <w:rsid w:val="00987F6C"/>
    <w:rsid w:val="00987F9F"/>
    <w:rsid w:val="00990F29"/>
    <w:rsid w:val="009915D7"/>
    <w:rsid w:val="00992093"/>
    <w:rsid w:val="0099327A"/>
    <w:rsid w:val="0099394D"/>
    <w:rsid w:val="00993992"/>
    <w:rsid w:val="0099429A"/>
    <w:rsid w:val="009946FF"/>
    <w:rsid w:val="00994934"/>
    <w:rsid w:val="00995258"/>
    <w:rsid w:val="00996E9B"/>
    <w:rsid w:val="00997B86"/>
    <w:rsid w:val="009A0494"/>
    <w:rsid w:val="009A06AA"/>
    <w:rsid w:val="009A2439"/>
    <w:rsid w:val="009A283F"/>
    <w:rsid w:val="009A2B51"/>
    <w:rsid w:val="009A3E49"/>
    <w:rsid w:val="009A43EF"/>
    <w:rsid w:val="009A4EE8"/>
    <w:rsid w:val="009A50A1"/>
    <w:rsid w:val="009A5537"/>
    <w:rsid w:val="009A5A5E"/>
    <w:rsid w:val="009A6860"/>
    <w:rsid w:val="009A7384"/>
    <w:rsid w:val="009A7612"/>
    <w:rsid w:val="009A7840"/>
    <w:rsid w:val="009A7C74"/>
    <w:rsid w:val="009A7E73"/>
    <w:rsid w:val="009B0A48"/>
    <w:rsid w:val="009B0B7A"/>
    <w:rsid w:val="009B0EEF"/>
    <w:rsid w:val="009B136E"/>
    <w:rsid w:val="009B1AEF"/>
    <w:rsid w:val="009B1D87"/>
    <w:rsid w:val="009B1F1D"/>
    <w:rsid w:val="009B26D4"/>
    <w:rsid w:val="009B3694"/>
    <w:rsid w:val="009B517D"/>
    <w:rsid w:val="009B6563"/>
    <w:rsid w:val="009B6C3D"/>
    <w:rsid w:val="009B799A"/>
    <w:rsid w:val="009C0389"/>
    <w:rsid w:val="009C08AD"/>
    <w:rsid w:val="009C0D42"/>
    <w:rsid w:val="009C0FA1"/>
    <w:rsid w:val="009C1B4B"/>
    <w:rsid w:val="009C278D"/>
    <w:rsid w:val="009C2AD4"/>
    <w:rsid w:val="009C3175"/>
    <w:rsid w:val="009C3475"/>
    <w:rsid w:val="009C3CE4"/>
    <w:rsid w:val="009C4425"/>
    <w:rsid w:val="009C455C"/>
    <w:rsid w:val="009C5023"/>
    <w:rsid w:val="009C57F6"/>
    <w:rsid w:val="009C5BBB"/>
    <w:rsid w:val="009C6083"/>
    <w:rsid w:val="009C6DF6"/>
    <w:rsid w:val="009C6E77"/>
    <w:rsid w:val="009D0558"/>
    <w:rsid w:val="009D15C6"/>
    <w:rsid w:val="009D2529"/>
    <w:rsid w:val="009D3A54"/>
    <w:rsid w:val="009D43E8"/>
    <w:rsid w:val="009D4A3A"/>
    <w:rsid w:val="009D5097"/>
    <w:rsid w:val="009D62FF"/>
    <w:rsid w:val="009D64A3"/>
    <w:rsid w:val="009D687C"/>
    <w:rsid w:val="009D6B18"/>
    <w:rsid w:val="009D70D5"/>
    <w:rsid w:val="009D74FF"/>
    <w:rsid w:val="009D77B2"/>
    <w:rsid w:val="009E04E7"/>
    <w:rsid w:val="009E07D3"/>
    <w:rsid w:val="009E0D18"/>
    <w:rsid w:val="009E0D83"/>
    <w:rsid w:val="009E4440"/>
    <w:rsid w:val="009E481F"/>
    <w:rsid w:val="009E56B3"/>
    <w:rsid w:val="009E61A1"/>
    <w:rsid w:val="009E6496"/>
    <w:rsid w:val="009E658C"/>
    <w:rsid w:val="009E6662"/>
    <w:rsid w:val="009F192D"/>
    <w:rsid w:val="009F2661"/>
    <w:rsid w:val="009F2B5D"/>
    <w:rsid w:val="009F2DA0"/>
    <w:rsid w:val="009F3A50"/>
    <w:rsid w:val="009F48F1"/>
    <w:rsid w:val="009F4EC6"/>
    <w:rsid w:val="009F506E"/>
    <w:rsid w:val="009F53CE"/>
    <w:rsid w:val="009F6BB7"/>
    <w:rsid w:val="009F6EF0"/>
    <w:rsid w:val="009F78A8"/>
    <w:rsid w:val="00A00F47"/>
    <w:rsid w:val="00A010E2"/>
    <w:rsid w:val="00A01297"/>
    <w:rsid w:val="00A013AD"/>
    <w:rsid w:val="00A01E1D"/>
    <w:rsid w:val="00A02962"/>
    <w:rsid w:val="00A03250"/>
    <w:rsid w:val="00A04526"/>
    <w:rsid w:val="00A047E3"/>
    <w:rsid w:val="00A04892"/>
    <w:rsid w:val="00A050E8"/>
    <w:rsid w:val="00A05607"/>
    <w:rsid w:val="00A0573B"/>
    <w:rsid w:val="00A05AEC"/>
    <w:rsid w:val="00A06224"/>
    <w:rsid w:val="00A06842"/>
    <w:rsid w:val="00A06E9D"/>
    <w:rsid w:val="00A10B90"/>
    <w:rsid w:val="00A10FB3"/>
    <w:rsid w:val="00A1144F"/>
    <w:rsid w:val="00A12207"/>
    <w:rsid w:val="00A1249A"/>
    <w:rsid w:val="00A12ED0"/>
    <w:rsid w:val="00A136EC"/>
    <w:rsid w:val="00A138E9"/>
    <w:rsid w:val="00A13C5A"/>
    <w:rsid w:val="00A13F79"/>
    <w:rsid w:val="00A142A8"/>
    <w:rsid w:val="00A14402"/>
    <w:rsid w:val="00A14E6E"/>
    <w:rsid w:val="00A15292"/>
    <w:rsid w:val="00A1579B"/>
    <w:rsid w:val="00A1582C"/>
    <w:rsid w:val="00A15840"/>
    <w:rsid w:val="00A15E26"/>
    <w:rsid w:val="00A16833"/>
    <w:rsid w:val="00A172A2"/>
    <w:rsid w:val="00A17BA0"/>
    <w:rsid w:val="00A20690"/>
    <w:rsid w:val="00A209FB"/>
    <w:rsid w:val="00A22F65"/>
    <w:rsid w:val="00A23447"/>
    <w:rsid w:val="00A23581"/>
    <w:rsid w:val="00A2383F"/>
    <w:rsid w:val="00A23E8D"/>
    <w:rsid w:val="00A27769"/>
    <w:rsid w:val="00A300C3"/>
    <w:rsid w:val="00A307BD"/>
    <w:rsid w:val="00A308EE"/>
    <w:rsid w:val="00A30A94"/>
    <w:rsid w:val="00A30F5E"/>
    <w:rsid w:val="00A31920"/>
    <w:rsid w:val="00A31BFE"/>
    <w:rsid w:val="00A3238B"/>
    <w:rsid w:val="00A32BCD"/>
    <w:rsid w:val="00A34562"/>
    <w:rsid w:val="00A34591"/>
    <w:rsid w:val="00A35319"/>
    <w:rsid w:val="00A35B01"/>
    <w:rsid w:val="00A35C16"/>
    <w:rsid w:val="00A361D8"/>
    <w:rsid w:val="00A362C8"/>
    <w:rsid w:val="00A366E3"/>
    <w:rsid w:val="00A36DE4"/>
    <w:rsid w:val="00A400E9"/>
    <w:rsid w:val="00A40503"/>
    <w:rsid w:val="00A408BF"/>
    <w:rsid w:val="00A41346"/>
    <w:rsid w:val="00A41FA0"/>
    <w:rsid w:val="00A421A3"/>
    <w:rsid w:val="00A432CE"/>
    <w:rsid w:val="00A433DC"/>
    <w:rsid w:val="00A43711"/>
    <w:rsid w:val="00A43781"/>
    <w:rsid w:val="00A43AB2"/>
    <w:rsid w:val="00A43DCE"/>
    <w:rsid w:val="00A44AA3"/>
    <w:rsid w:val="00A44AEB"/>
    <w:rsid w:val="00A44C64"/>
    <w:rsid w:val="00A450E9"/>
    <w:rsid w:val="00A45264"/>
    <w:rsid w:val="00A46A4F"/>
    <w:rsid w:val="00A46C4A"/>
    <w:rsid w:val="00A47933"/>
    <w:rsid w:val="00A5036B"/>
    <w:rsid w:val="00A508DA"/>
    <w:rsid w:val="00A50AE4"/>
    <w:rsid w:val="00A50DD0"/>
    <w:rsid w:val="00A511F0"/>
    <w:rsid w:val="00A51C35"/>
    <w:rsid w:val="00A52FEF"/>
    <w:rsid w:val="00A54EB3"/>
    <w:rsid w:val="00A5580F"/>
    <w:rsid w:val="00A55854"/>
    <w:rsid w:val="00A57400"/>
    <w:rsid w:val="00A57436"/>
    <w:rsid w:val="00A608E2"/>
    <w:rsid w:val="00A60B71"/>
    <w:rsid w:val="00A60EA5"/>
    <w:rsid w:val="00A6125F"/>
    <w:rsid w:val="00A622C3"/>
    <w:rsid w:val="00A633F6"/>
    <w:rsid w:val="00A64A49"/>
    <w:rsid w:val="00A64DD4"/>
    <w:rsid w:val="00A6588C"/>
    <w:rsid w:val="00A65FE5"/>
    <w:rsid w:val="00A6656D"/>
    <w:rsid w:val="00A66615"/>
    <w:rsid w:val="00A668E9"/>
    <w:rsid w:val="00A67C2B"/>
    <w:rsid w:val="00A70B32"/>
    <w:rsid w:val="00A70B41"/>
    <w:rsid w:val="00A716F9"/>
    <w:rsid w:val="00A71EF1"/>
    <w:rsid w:val="00A7227E"/>
    <w:rsid w:val="00A723ED"/>
    <w:rsid w:val="00A729B1"/>
    <w:rsid w:val="00A72DD9"/>
    <w:rsid w:val="00A72FBC"/>
    <w:rsid w:val="00A7333D"/>
    <w:rsid w:val="00A73C76"/>
    <w:rsid w:val="00A73FA4"/>
    <w:rsid w:val="00A7487C"/>
    <w:rsid w:val="00A74CC1"/>
    <w:rsid w:val="00A7540D"/>
    <w:rsid w:val="00A75A45"/>
    <w:rsid w:val="00A76159"/>
    <w:rsid w:val="00A76328"/>
    <w:rsid w:val="00A76DDC"/>
    <w:rsid w:val="00A77857"/>
    <w:rsid w:val="00A77F00"/>
    <w:rsid w:val="00A77F89"/>
    <w:rsid w:val="00A802FB"/>
    <w:rsid w:val="00A80436"/>
    <w:rsid w:val="00A80556"/>
    <w:rsid w:val="00A8056D"/>
    <w:rsid w:val="00A813A3"/>
    <w:rsid w:val="00A820F1"/>
    <w:rsid w:val="00A82296"/>
    <w:rsid w:val="00A82A65"/>
    <w:rsid w:val="00A83047"/>
    <w:rsid w:val="00A83D1C"/>
    <w:rsid w:val="00A844F5"/>
    <w:rsid w:val="00A848F6"/>
    <w:rsid w:val="00A848FF"/>
    <w:rsid w:val="00A84A49"/>
    <w:rsid w:val="00A85946"/>
    <w:rsid w:val="00A85E22"/>
    <w:rsid w:val="00A862CF"/>
    <w:rsid w:val="00A86BD8"/>
    <w:rsid w:val="00A877B2"/>
    <w:rsid w:val="00A9041B"/>
    <w:rsid w:val="00A908BB"/>
    <w:rsid w:val="00A908C3"/>
    <w:rsid w:val="00A91B92"/>
    <w:rsid w:val="00A92109"/>
    <w:rsid w:val="00A9290B"/>
    <w:rsid w:val="00A92D2A"/>
    <w:rsid w:val="00A92F6C"/>
    <w:rsid w:val="00A939D4"/>
    <w:rsid w:val="00A939D9"/>
    <w:rsid w:val="00A93EDF"/>
    <w:rsid w:val="00A94106"/>
    <w:rsid w:val="00A94703"/>
    <w:rsid w:val="00A94ABB"/>
    <w:rsid w:val="00A95078"/>
    <w:rsid w:val="00A955DF"/>
    <w:rsid w:val="00A95B46"/>
    <w:rsid w:val="00A95C53"/>
    <w:rsid w:val="00A95F45"/>
    <w:rsid w:val="00A960B4"/>
    <w:rsid w:val="00A963E4"/>
    <w:rsid w:val="00A96C21"/>
    <w:rsid w:val="00AA10E3"/>
    <w:rsid w:val="00AA195B"/>
    <w:rsid w:val="00AA1EEF"/>
    <w:rsid w:val="00AA22D4"/>
    <w:rsid w:val="00AA23DD"/>
    <w:rsid w:val="00AA2DA2"/>
    <w:rsid w:val="00AA3600"/>
    <w:rsid w:val="00AA37D0"/>
    <w:rsid w:val="00AA3FCC"/>
    <w:rsid w:val="00AA4C2A"/>
    <w:rsid w:val="00AA52B7"/>
    <w:rsid w:val="00AA53FD"/>
    <w:rsid w:val="00AA620F"/>
    <w:rsid w:val="00AA6422"/>
    <w:rsid w:val="00AA68D1"/>
    <w:rsid w:val="00AA6CDE"/>
    <w:rsid w:val="00AA703F"/>
    <w:rsid w:val="00AA77F0"/>
    <w:rsid w:val="00AB0717"/>
    <w:rsid w:val="00AB1112"/>
    <w:rsid w:val="00AB1AAC"/>
    <w:rsid w:val="00AB1D4E"/>
    <w:rsid w:val="00AB2592"/>
    <w:rsid w:val="00AB2AE4"/>
    <w:rsid w:val="00AB3340"/>
    <w:rsid w:val="00AB3729"/>
    <w:rsid w:val="00AB41C8"/>
    <w:rsid w:val="00AB48D4"/>
    <w:rsid w:val="00AB5C43"/>
    <w:rsid w:val="00AB68C2"/>
    <w:rsid w:val="00AB6E60"/>
    <w:rsid w:val="00AB7C8F"/>
    <w:rsid w:val="00AC02F3"/>
    <w:rsid w:val="00AC143B"/>
    <w:rsid w:val="00AC1A02"/>
    <w:rsid w:val="00AC1BF6"/>
    <w:rsid w:val="00AC22E4"/>
    <w:rsid w:val="00AC25C4"/>
    <w:rsid w:val="00AC278D"/>
    <w:rsid w:val="00AC3655"/>
    <w:rsid w:val="00AC438F"/>
    <w:rsid w:val="00AC447C"/>
    <w:rsid w:val="00AC4BDF"/>
    <w:rsid w:val="00AC543B"/>
    <w:rsid w:val="00AC636B"/>
    <w:rsid w:val="00AD0349"/>
    <w:rsid w:val="00AD0983"/>
    <w:rsid w:val="00AD0BA1"/>
    <w:rsid w:val="00AD0C16"/>
    <w:rsid w:val="00AD0CF9"/>
    <w:rsid w:val="00AD1AF1"/>
    <w:rsid w:val="00AD1E63"/>
    <w:rsid w:val="00AD21C6"/>
    <w:rsid w:val="00AD22DE"/>
    <w:rsid w:val="00AD2390"/>
    <w:rsid w:val="00AD2481"/>
    <w:rsid w:val="00AD26A7"/>
    <w:rsid w:val="00AD26F3"/>
    <w:rsid w:val="00AD2A7F"/>
    <w:rsid w:val="00AD2AD5"/>
    <w:rsid w:val="00AD2B43"/>
    <w:rsid w:val="00AD2F29"/>
    <w:rsid w:val="00AD4269"/>
    <w:rsid w:val="00AD452C"/>
    <w:rsid w:val="00AD4B13"/>
    <w:rsid w:val="00AD4F36"/>
    <w:rsid w:val="00AD5407"/>
    <w:rsid w:val="00AD5C27"/>
    <w:rsid w:val="00AD635D"/>
    <w:rsid w:val="00AD64DC"/>
    <w:rsid w:val="00AD78FD"/>
    <w:rsid w:val="00AD79C1"/>
    <w:rsid w:val="00AD79E9"/>
    <w:rsid w:val="00AE0185"/>
    <w:rsid w:val="00AE228A"/>
    <w:rsid w:val="00AE2330"/>
    <w:rsid w:val="00AE2803"/>
    <w:rsid w:val="00AE293F"/>
    <w:rsid w:val="00AE29B1"/>
    <w:rsid w:val="00AE3298"/>
    <w:rsid w:val="00AE3687"/>
    <w:rsid w:val="00AE375D"/>
    <w:rsid w:val="00AE39B6"/>
    <w:rsid w:val="00AE49DF"/>
    <w:rsid w:val="00AE4DDC"/>
    <w:rsid w:val="00AE658C"/>
    <w:rsid w:val="00AF0C94"/>
    <w:rsid w:val="00AF0E14"/>
    <w:rsid w:val="00AF14E5"/>
    <w:rsid w:val="00AF2DA7"/>
    <w:rsid w:val="00AF3787"/>
    <w:rsid w:val="00AF3D62"/>
    <w:rsid w:val="00AF5F8A"/>
    <w:rsid w:val="00AF6BA6"/>
    <w:rsid w:val="00AF70DE"/>
    <w:rsid w:val="00B00ED0"/>
    <w:rsid w:val="00B0231D"/>
    <w:rsid w:val="00B028FA"/>
    <w:rsid w:val="00B02EC1"/>
    <w:rsid w:val="00B03AB5"/>
    <w:rsid w:val="00B04267"/>
    <w:rsid w:val="00B043A2"/>
    <w:rsid w:val="00B04C03"/>
    <w:rsid w:val="00B04C13"/>
    <w:rsid w:val="00B06204"/>
    <w:rsid w:val="00B066C2"/>
    <w:rsid w:val="00B070F8"/>
    <w:rsid w:val="00B0760C"/>
    <w:rsid w:val="00B07E0A"/>
    <w:rsid w:val="00B07E60"/>
    <w:rsid w:val="00B1101C"/>
    <w:rsid w:val="00B116D2"/>
    <w:rsid w:val="00B118CA"/>
    <w:rsid w:val="00B11DB6"/>
    <w:rsid w:val="00B11F75"/>
    <w:rsid w:val="00B131F2"/>
    <w:rsid w:val="00B1321C"/>
    <w:rsid w:val="00B13BF3"/>
    <w:rsid w:val="00B13DDA"/>
    <w:rsid w:val="00B140A0"/>
    <w:rsid w:val="00B141B9"/>
    <w:rsid w:val="00B14A4A"/>
    <w:rsid w:val="00B150BA"/>
    <w:rsid w:val="00B15742"/>
    <w:rsid w:val="00B15A81"/>
    <w:rsid w:val="00B168A7"/>
    <w:rsid w:val="00B17171"/>
    <w:rsid w:val="00B17BD6"/>
    <w:rsid w:val="00B17DEE"/>
    <w:rsid w:val="00B2028B"/>
    <w:rsid w:val="00B20F35"/>
    <w:rsid w:val="00B214CA"/>
    <w:rsid w:val="00B22372"/>
    <w:rsid w:val="00B228E1"/>
    <w:rsid w:val="00B228EC"/>
    <w:rsid w:val="00B23161"/>
    <w:rsid w:val="00B232E5"/>
    <w:rsid w:val="00B23664"/>
    <w:rsid w:val="00B24780"/>
    <w:rsid w:val="00B25AC7"/>
    <w:rsid w:val="00B265EC"/>
    <w:rsid w:val="00B266AA"/>
    <w:rsid w:val="00B2697F"/>
    <w:rsid w:val="00B271ED"/>
    <w:rsid w:val="00B27796"/>
    <w:rsid w:val="00B279BE"/>
    <w:rsid w:val="00B27BBA"/>
    <w:rsid w:val="00B27F86"/>
    <w:rsid w:val="00B30B7E"/>
    <w:rsid w:val="00B30D80"/>
    <w:rsid w:val="00B31242"/>
    <w:rsid w:val="00B32137"/>
    <w:rsid w:val="00B32193"/>
    <w:rsid w:val="00B32E5A"/>
    <w:rsid w:val="00B33600"/>
    <w:rsid w:val="00B33675"/>
    <w:rsid w:val="00B34056"/>
    <w:rsid w:val="00B362BF"/>
    <w:rsid w:val="00B3679F"/>
    <w:rsid w:val="00B36D57"/>
    <w:rsid w:val="00B37096"/>
    <w:rsid w:val="00B3795B"/>
    <w:rsid w:val="00B37F6E"/>
    <w:rsid w:val="00B40542"/>
    <w:rsid w:val="00B40768"/>
    <w:rsid w:val="00B40B46"/>
    <w:rsid w:val="00B40CBF"/>
    <w:rsid w:val="00B414C6"/>
    <w:rsid w:val="00B41E74"/>
    <w:rsid w:val="00B42B34"/>
    <w:rsid w:val="00B42CE9"/>
    <w:rsid w:val="00B42FBE"/>
    <w:rsid w:val="00B433C8"/>
    <w:rsid w:val="00B43610"/>
    <w:rsid w:val="00B43D01"/>
    <w:rsid w:val="00B43FA2"/>
    <w:rsid w:val="00B445CF"/>
    <w:rsid w:val="00B44769"/>
    <w:rsid w:val="00B45D00"/>
    <w:rsid w:val="00B46649"/>
    <w:rsid w:val="00B47B24"/>
    <w:rsid w:val="00B47C29"/>
    <w:rsid w:val="00B47C5B"/>
    <w:rsid w:val="00B47FF4"/>
    <w:rsid w:val="00B5114E"/>
    <w:rsid w:val="00B514C0"/>
    <w:rsid w:val="00B51957"/>
    <w:rsid w:val="00B51A4C"/>
    <w:rsid w:val="00B51A5F"/>
    <w:rsid w:val="00B52126"/>
    <w:rsid w:val="00B52793"/>
    <w:rsid w:val="00B52D0F"/>
    <w:rsid w:val="00B53908"/>
    <w:rsid w:val="00B54299"/>
    <w:rsid w:val="00B544BF"/>
    <w:rsid w:val="00B554D9"/>
    <w:rsid w:val="00B55B3B"/>
    <w:rsid w:val="00B55D55"/>
    <w:rsid w:val="00B55D8E"/>
    <w:rsid w:val="00B5693D"/>
    <w:rsid w:val="00B56A2B"/>
    <w:rsid w:val="00B57DB8"/>
    <w:rsid w:val="00B57E30"/>
    <w:rsid w:val="00B60700"/>
    <w:rsid w:val="00B60B69"/>
    <w:rsid w:val="00B60E3E"/>
    <w:rsid w:val="00B6103C"/>
    <w:rsid w:val="00B61193"/>
    <w:rsid w:val="00B615BC"/>
    <w:rsid w:val="00B61638"/>
    <w:rsid w:val="00B6172B"/>
    <w:rsid w:val="00B62D5D"/>
    <w:rsid w:val="00B634F3"/>
    <w:rsid w:val="00B63783"/>
    <w:rsid w:val="00B648F4"/>
    <w:rsid w:val="00B64F3B"/>
    <w:rsid w:val="00B665F3"/>
    <w:rsid w:val="00B6678D"/>
    <w:rsid w:val="00B66B53"/>
    <w:rsid w:val="00B67658"/>
    <w:rsid w:val="00B67886"/>
    <w:rsid w:val="00B67FA4"/>
    <w:rsid w:val="00B70124"/>
    <w:rsid w:val="00B705B7"/>
    <w:rsid w:val="00B705CD"/>
    <w:rsid w:val="00B72049"/>
    <w:rsid w:val="00B72BE7"/>
    <w:rsid w:val="00B72C50"/>
    <w:rsid w:val="00B73150"/>
    <w:rsid w:val="00B731AB"/>
    <w:rsid w:val="00B73A6A"/>
    <w:rsid w:val="00B7463F"/>
    <w:rsid w:val="00B74A97"/>
    <w:rsid w:val="00B754EB"/>
    <w:rsid w:val="00B75F5C"/>
    <w:rsid w:val="00B7669B"/>
    <w:rsid w:val="00B76DBC"/>
    <w:rsid w:val="00B76ED3"/>
    <w:rsid w:val="00B77591"/>
    <w:rsid w:val="00B77681"/>
    <w:rsid w:val="00B8031F"/>
    <w:rsid w:val="00B80391"/>
    <w:rsid w:val="00B80910"/>
    <w:rsid w:val="00B80A3E"/>
    <w:rsid w:val="00B80AB4"/>
    <w:rsid w:val="00B819B9"/>
    <w:rsid w:val="00B81ADF"/>
    <w:rsid w:val="00B832E0"/>
    <w:rsid w:val="00B8343A"/>
    <w:rsid w:val="00B84883"/>
    <w:rsid w:val="00B85E05"/>
    <w:rsid w:val="00B86157"/>
    <w:rsid w:val="00B8730A"/>
    <w:rsid w:val="00B87B84"/>
    <w:rsid w:val="00B87E9E"/>
    <w:rsid w:val="00B90A42"/>
    <w:rsid w:val="00B90DA7"/>
    <w:rsid w:val="00B9138A"/>
    <w:rsid w:val="00B91A0F"/>
    <w:rsid w:val="00B91F52"/>
    <w:rsid w:val="00B923A4"/>
    <w:rsid w:val="00B92C6B"/>
    <w:rsid w:val="00B94982"/>
    <w:rsid w:val="00B95F24"/>
    <w:rsid w:val="00B96018"/>
    <w:rsid w:val="00B965B1"/>
    <w:rsid w:val="00B96BF7"/>
    <w:rsid w:val="00B97502"/>
    <w:rsid w:val="00B97D1A"/>
    <w:rsid w:val="00B97ED7"/>
    <w:rsid w:val="00BA0EE5"/>
    <w:rsid w:val="00BA11FB"/>
    <w:rsid w:val="00BA135D"/>
    <w:rsid w:val="00BA1405"/>
    <w:rsid w:val="00BA17B4"/>
    <w:rsid w:val="00BA2741"/>
    <w:rsid w:val="00BA297C"/>
    <w:rsid w:val="00BA2A30"/>
    <w:rsid w:val="00BA2D9C"/>
    <w:rsid w:val="00BA3236"/>
    <w:rsid w:val="00BA4BA1"/>
    <w:rsid w:val="00BA5208"/>
    <w:rsid w:val="00BA532A"/>
    <w:rsid w:val="00BA5A66"/>
    <w:rsid w:val="00BA79F1"/>
    <w:rsid w:val="00BB09B3"/>
    <w:rsid w:val="00BB1864"/>
    <w:rsid w:val="00BB21AF"/>
    <w:rsid w:val="00BB2B70"/>
    <w:rsid w:val="00BB368B"/>
    <w:rsid w:val="00BB4F5D"/>
    <w:rsid w:val="00BB5008"/>
    <w:rsid w:val="00BB5229"/>
    <w:rsid w:val="00BB567D"/>
    <w:rsid w:val="00BB5BB7"/>
    <w:rsid w:val="00BB6187"/>
    <w:rsid w:val="00BB7461"/>
    <w:rsid w:val="00BC0864"/>
    <w:rsid w:val="00BC0F4F"/>
    <w:rsid w:val="00BC10C9"/>
    <w:rsid w:val="00BC1110"/>
    <w:rsid w:val="00BC1330"/>
    <w:rsid w:val="00BC1B34"/>
    <w:rsid w:val="00BC356C"/>
    <w:rsid w:val="00BC5A5A"/>
    <w:rsid w:val="00BC72F2"/>
    <w:rsid w:val="00BC75D1"/>
    <w:rsid w:val="00BC7CD3"/>
    <w:rsid w:val="00BD080A"/>
    <w:rsid w:val="00BD084B"/>
    <w:rsid w:val="00BD0ED6"/>
    <w:rsid w:val="00BD1212"/>
    <w:rsid w:val="00BD1710"/>
    <w:rsid w:val="00BD197B"/>
    <w:rsid w:val="00BD1F4D"/>
    <w:rsid w:val="00BD2937"/>
    <w:rsid w:val="00BD2B61"/>
    <w:rsid w:val="00BD3240"/>
    <w:rsid w:val="00BD33C3"/>
    <w:rsid w:val="00BD509C"/>
    <w:rsid w:val="00BD50A7"/>
    <w:rsid w:val="00BD5187"/>
    <w:rsid w:val="00BD5811"/>
    <w:rsid w:val="00BD5AB8"/>
    <w:rsid w:val="00BD5B7D"/>
    <w:rsid w:val="00BD5B88"/>
    <w:rsid w:val="00BD679F"/>
    <w:rsid w:val="00BD6EAC"/>
    <w:rsid w:val="00BD6EF4"/>
    <w:rsid w:val="00BE1507"/>
    <w:rsid w:val="00BE1576"/>
    <w:rsid w:val="00BE2769"/>
    <w:rsid w:val="00BE3ADD"/>
    <w:rsid w:val="00BE51C6"/>
    <w:rsid w:val="00BE59B1"/>
    <w:rsid w:val="00BE70B9"/>
    <w:rsid w:val="00BE7106"/>
    <w:rsid w:val="00BE746C"/>
    <w:rsid w:val="00BE7A42"/>
    <w:rsid w:val="00BF027E"/>
    <w:rsid w:val="00BF04D3"/>
    <w:rsid w:val="00BF0604"/>
    <w:rsid w:val="00BF09F0"/>
    <w:rsid w:val="00BF214B"/>
    <w:rsid w:val="00BF24DE"/>
    <w:rsid w:val="00BF47AF"/>
    <w:rsid w:val="00BF5176"/>
    <w:rsid w:val="00BF59E4"/>
    <w:rsid w:val="00BF65E7"/>
    <w:rsid w:val="00BF6779"/>
    <w:rsid w:val="00BF6BC1"/>
    <w:rsid w:val="00BF78E0"/>
    <w:rsid w:val="00C00848"/>
    <w:rsid w:val="00C00B8F"/>
    <w:rsid w:val="00C01038"/>
    <w:rsid w:val="00C01157"/>
    <w:rsid w:val="00C02BC6"/>
    <w:rsid w:val="00C04227"/>
    <w:rsid w:val="00C04733"/>
    <w:rsid w:val="00C05400"/>
    <w:rsid w:val="00C057BD"/>
    <w:rsid w:val="00C07761"/>
    <w:rsid w:val="00C0785E"/>
    <w:rsid w:val="00C10933"/>
    <w:rsid w:val="00C11829"/>
    <w:rsid w:val="00C11961"/>
    <w:rsid w:val="00C12CFE"/>
    <w:rsid w:val="00C132D6"/>
    <w:rsid w:val="00C14325"/>
    <w:rsid w:val="00C1464B"/>
    <w:rsid w:val="00C14D13"/>
    <w:rsid w:val="00C14ECF"/>
    <w:rsid w:val="00C15566"/>
    <w:rsid w:val="00C15FB8"/>
    <w:rsid w:val="00C178CA"/>
    <w:rsid w:val="00C17995"/>
    <w:rsid w:val="00C2031D"/>
    <w:rsid w:val="00C20E9D"/>
    <w:rsid w:val="00C23D5E"/>
    <w:rsid w:val="00C24162"/>
    <w:rsid w:val="00C24170"/>
    <w:rsid w:val="00C24732"/>
    <w:rsid w:val="00C25227"/>
    <w:rsid w:val="00C25770"/>
    <w:rsid w:val="00C2619E"/>
    <w:rsid w:val="00C27710"/>
    <w:rsid w:val="00C27A6D"/>
    <w:rsid w:val="00C27F17"/>
    <w:rsid w:val="00C27F27"/>
    <w:rsid w:val="00C30C2E"/>
    <w:rsid w:val="00C30CF1"/>
    <w:rsid w:val="00C30E32"/>
    <w:rsid w:val="00C31874"/>
    <w:rsid w:val="00C31D04"/>
    <w:rsid w:val="00C320E6"/>
    <w:rsid w:val="00C32414"/>
    <w:rsid w:val="00C32926"/>
    <w:rsid w:val="00C33394"/>
    <w:rsid w:val="00C33A6A"/>
    <w:rsid w:val="00C33D48"/>
    <w:rsid w:val="00C33FDE"/>
    <w:rsid w:val="00C34E4A"/>
    <w:rsid w:val="00C34F8E"/>
    <w:rsid w:val="00C36353"/>
    <w:rsid w:val="00C36470"/>
    <w:rsid w:val="00C36583"/>
    <w:rsid w:val="00C3699C"/>
    <w:rsid w:val="00C37F34"/>
    <w:rsid w:val="00C40A70"/>
    <w:rsid w:val="00C412E0"/>
    <w:rsid w:val="00C4131C"/>
    <w:rsid w:val="00C41409"/>
    <w:rsid w:val="00C4206F"/>
    <w:rsid w:val="00C43227"/>
    <w:rsid w:val="00C435CE"/>
    <w:rsid w:val="00C44FD9"/>
    <w:rsid w:val="00C462C0"/>
    <w:rsid w:val="00C47150"/>
    <w:rsid w:val="00C4758B"/>
    <w:rsid w:val="00C475E4"/>
    <w:rsid w:val="00C503FA"/>
    <w:rsid w:val="00C51472"/>
    <w:rsid w:val="00C5162D"/>
    <w:rsid w:val="00C52FD2"/>
    <w:rsid w:val="00C542B9"/>
    <w:rsid w:val="00C54622"/>
    <w:rsid w:val="00C5464F"/>
    <w:rsid w:val="00C55183"/>
    <w:rsid w:val="00C55190"/>
    <w:rsid w:val="00C56A2C"/>
    <w:rsid w:val="00C57B63"/>
    <w:rsid w:val="00C57D38"/>
    <w:rsid w:val="00C60F4B"/>
    <w:rsid w:val="00C617B0"/>
    <w:rsid w:val="00C62666"/>
    <w:rsid w:val="00C64BA6"/>
    <w:rsid w:val="00C64DA2"/>
    <w:rsid w:val="00C64F8E"/>
    <w:rsid w:val="00C6532C"/>
    <w:rsid w:val="00C65788"/>
    <w:rsid w:val="00C65B9C"/>
    <w:rsid w:val="00C65C38"/>
    <w:rsid w:val="00C65CDA"/>
    <w:rsid w:val="00C6621B"/>
    <w:rsid w:val="00C6676D"/>
    <w:rsid w:val="00C678C5"/>
    <w:rsid w:val="00C67AED"/>
    <w:rsid w:val="00C67B8F"/>
    <w:rsid w:val="00C67BBF"/>
    <w:rsid w:val="00C70684"/>
    <w:rsid w:val="00C7129E"/>
    <w:rsid w:val="00C71809"/>
    <w:rsid w:val="00C7185A"/>
    <w:rsid w:val="00C72161"/>
    <w:rsid w:val="00C72960"/>
    <w:rsid w:val="00C72D54"/>
    <w:rsid w:val="00C730D3"/>
    <w:rsid w:val="00C74310"/>
    <w:rsid w:val="00C74FCF"/>
    <w:rsid w:val="00C75CF8"/>
    <w:rsid w:val="00C761A4"/>
    <w:rsid w:val="00C76581"/>
    <w:rsid w:val="00C775A5"/>
    <w:rsid w:val="00C77F56"/>
    <w:rsid w:val="00C80028"/>
    <w:rsid w:val="00C807BC"/>
    <w:rsid w:val="00C80EEF"/>
    <w:rsid w:val="00C80F14"/>
    <w:rsid w:val="00C811CD"/>
    <w:rsid w:val="00C8131B"/>
    <w:rsid w:val="00C8187C"/>
    <w:rsid w:val="00C819EF"/>
    <w:rsid w:val="00C82CD8"/>
    <w:rsid w:val="00C82DDB"/>
    <w:rsid w:val="00C8350C"/>
    <w:rsid w:val="00C8365B"/>
    <w:rsid w:val="00C83959"/>
    <w:rsid w:val="00C83AC9"/>
    <w:rsid w:val="00C84322"/>
    <w:rsid w:val="00C84C6E"/>
    <w:rsid w:val="00C85856"/>
    <w:rsid w:val="00C8587C"/>
    <w:rsid w:val="00C861D9"/>
    <w:rsid w:val="00C864C7"/>
    <w:rsid w:val="00C8688B"/>
    <w:rsid w:val="00C87531"/>
    <w:rsid w:val="00C87711"/>
    <w:rsid w:val="00C87BE8"/>
    <w:rsid w:val="00C9047F"/>
    <w:rsid w:val="00C904D4"/>
    <w:rsid w:val="00C90619"/>
    <w:rsid w:val="00C90B50"/>
    <w:rsid w:val="00C91417"/>
    <w:rsid w:val="00C91879"/>
    <w:rsid w:val="00C918C7"/>
    <w:rsid w:val="00C91DF6"/>
    <w:rsid w:val="00C922F3"/>
    <w:rsid w:val="00C924BF"/>
    <w:rsid w:val="00C93617"/>
    <w:rsid w:val="00C93B82"/>
    <w:rsid w:val="00C942CC"/>
    <w:rsid w:val="00C948E5"/>
    <w:rsid w:val="00C959A1"/>
    <w:rsid w:val="00C95E88"/>
    <w:rsid w:val="00C95EDF"/>
    <w:rsid w:val="00C97009"/>
    <w:rsid w:val="00C970BD"/>
    <w:rsid w:val="00CA0491"/>
    <w:rsid w:val="00CA06B6"/>
    <w:rsid w:val="00CA119A"/>
    <w:rsid w:val="00CA12CC"/>
    <w:rsid w:val="00CA1516"/>
    <w:rsid w:val="00CA17C9"/>
    <w:rsid w:val="00CA1EE8"/>
    <w:rsid w:val="00CA1FE7"/>
    <w:rsid w:val="00CA2384"/>
    <w:rsid w:val="00CA2EAA"/>
    <w:rsid w:val="00CA3049"/>
    <w:rsid w:val="00CA3CE2"/>
    <w:rsid w:val="00CA3D89"/>
    <w:rsid w:val="00CA417D"/>
    <w:rsid w:val="00CA4A72"/>
    <w:rsid w:val="00CA4D5B"/>
    <w:rsid w:val="00CA539A"/>
    <w:rsid w:val="00CA569B"/>
    <w:rsid w:val="00CA65C4"/>
    <w:rsid w:val="00CA6A63"/>
    <w:rsid w:val="00CA7879"/>
    <w:rsid w:val="00CA7A97"/>
    <w:rsid w:val="00CB064C"/>
    <w:rsid w:val="00CB06C2"/>
    <w:rsid w:val="00CB0CDF"/>
    <w:rsid w:val="00CB0DF1"/>
    <w:rsid w:val="00CB1229"/>
    <w:rsid w:val="00CB20A2"/>
    <w:rsid w:val="00CB2653"/>
    <w:rsid w:val="00CB32C8"/>
    <w:rsid w:val="00CB3908"/>
    <w:rsid w:val="00CB3A90"/>
    <w:rsid w:val="00CB3B61"/>
    <w:rsid w:val="00CB577E"/>
    <w:rsid w:val="00CB587D"/>
    <w:rsid w:val="00CB612C"/>
    <w:rsid w:val="00CB786B"/>
    <w:rsid w:val="00CB7FF3"/>
    <w:rsid w:val="00CC02BC"/>
    <w:rsid w:val="00CC08DC"/>
    <w:rsid w:val="00CC121F"/>
    <w:rsid w:val="00CC1ECE"/>
    <w:rsid w:val="00CC2938"/>
    <w:rsid w:val="00CC4C85"/>
    <w:rsid w:val="00CC5000"/>
    <w:rsid w:val="00CC5439"/>
    <w:rsid w:val="00CC559C"/>
    <w:rsid w:val="00CC5E0E"/>
    <w:rsid w:val="00CC6102"/>
    <w:rsid w:val="00CC635A"/>
    <w:rsid w:val="00CC6B0F"/>
    <w:rsid w:val="00CC6CBC"/>
    <w:rsid w:val="00CC6E69"/>
    <w:rsid w:val="00CC778D"/>
    <w:rsid w:val="00CC7EB0"/>
    <w:rsid w:val="00CD1204"/>
    <w:rsid w:val="00CD2143"/>
    <w:rsid w:val="00CD2770"/>
    <w:rsid w:val="00CD2B53"/>
    <w:rsid w:val="00CD2DF9"/>
    <w:rsid w:val="00CD3544"/>
    <w:rsid w:val="00CD3ACB"/>
    <w:rsid w:val="00CD4805"/>
    <w:rsid w:val="00CD511E"/>
    <w:rsid w:val="00CD5460"/>
    <w:rsid w:val="00CD561A"/>
    <w:rsid w:val="00CD613B"/>
    <w:rsid w:val="00CD6306"/>
    <w:rsid w:val="00CD662E"/>
    <w:rsid w:val="00CD67A4"/>
    <w:rsid w:val="00CD684C"/>
    <w:rsid w:val="00CD7D10"/>
    <w:rsid w:val="00CE0695"/>
    <w:rsid w:val="00CE1250"/>
    <w:rsid w:val="00CE185C"/>
    <w:rsid w:val="00CE19DB"/>
    <w:rsid w:val="00CE1CDF"/>
    <w:rsid w:val="00CE1D6B"/>
    <w:rsid w:val="00CE3155"/>
    <w:rsid w:val="00CE3461"/>
    <w:rsid w:val="00CE36C8"/>
    <w:rsid w:val="00CE38DE"/>
    <w:rsid w:val="00CE3DB6"/>
    <w:rsid w:val="00CE3DBC"/>
    <w:rsid w:val="00CE422A"/>
    <w:rsid w:val="00CE46E2"/>
    <w:rsid w:val="00CE4926"/>
    <w:rsid w:val="00CE49B6"/>
    <w:rsid w:val="00CE5306"/>
    <w:rsid w:val="00CE6080"/>
    <w:rsid w:val="00CE670A"/>
    <w:rsid w:val="00CE6F86"/>
    <w:rsid w:val="00CF10A5"/>
    <w:rsid w:val="00CF11D3"/>
    <w:rsid w:val="00CF19B9"/>
    <w:rsid w:val="00CF1A86"/>
    <w:rsid w:val="00CF1A90"/>
    <w:rsid w:val="00CF1DB5"/>
    <w:rsid w:val="00CF2C03"/>
    <w:rsid w:val="00CF35FD"/>
    <w:rsid w:val="00CF4F42"/>
    <w:rsid w:val="00CF50EB"/>
    <w:rsid w:val="00CF5183"/>
    <w:rsid w:val="00CF5900"/>
    <w:rsid w:val="00CF5A78"/>
    <w:rsid w:val="00CF7AFE"/>
    <w:rsid w:val="00D004BE"/>
    <w:rsid w:val="00D00E38"/>
    <w:rsid w:val="00D00EAD"/>
    <w:rsid w:val="00D0104B"/>
    <w:rsid w:val="00D017E8"/>
    <w:rsid w:val="00D01CC2"/>
    <w:rsid w:val="00D01D88"/>
    <w:rsid w:val="00D01EDC"/>
    <w:rsid w:val="00D0200E"/>
    <w:rsid w:val="00D02372"/>
    <w:rsid w:val="00D028C8"/>
    <w:rsid w:val="00D02BC8"/>
    <w:rsid w:val="00D038E8"/>
    <w:rsid w:val="00D04097"/>
    <w:rsid w:val="00D0485B"/>
    <w:rsid w:val="00D05525"/>
    <w:rsid w:val="00D060D1"/>
    <w:rsid w:val="00D060FF"/>
    <w:rsid w:val="00D0616D"/>
    <w:rsid w:val="00D064E2"/>
    <w:rsid w:val="00D06BEA"/>
    <w:rsid w:val="00D077C2"/>
    <w:rsid w:val="00D07DB6"/>
    <w:rsid w:val="00D07E37"/>
    <w:rsid w:val="00D109BD"/>
    <w:rsid w:val="00D10B8F"/>
    <w:rsid w:val="00D1190C"/>
    <w:rsid w:val="00D124B9"/>
    <w:rsid w:val="00D13BE7"/>
    <w:rsid w:val="00D142AA"/>
    <w:rsid w:val="00D14580"/>
    <w:rsid w:val="00D16880"/>
    <w:rsid w:val="00D16AAC"/>
    <w:rsid w:val="00D172F8"/>
    <w:rsid w:val="00D21AE7"/>
    <w:rsid w:val="00D220D1"/>
    <w:rsid w:val="00D2228F"/>
    <w:rsid w:val="00D22A8A"/>
    <w:rsid w:val="00D24343"/>
    <w:rsid w:val="00D243E7"/>
    <w:rsid w:val="00D244FD"/>
    <w:rsid w:val="00D24D74"/>
    <w:rsid w:val="00D2518E"/>
    <w:rsid w:val="00D26648"/>
    <w:rsid w:val="00D26F0A"/>
    <w:rsid w:val="00D270D7"/>
    <w:rsid w:val="00D27901"/>
    <w:rsid w:val="00D324CA"/>
    <w:rsid w:val="00D32B6D"/>
    <w:rsid w:val="00D32F3C"/>
    <w:rsid w:val="00D330DC"/>
    <w:rsid w:val="00D3329E"/>
    <w:rsid w:val="00D33BDF"/>
    <w:rsid w:val="00D34504"/>
    <w:rsid w:val="00D34796"/>
    <w:rsid w:val="00D3567C"/>
    <w:rsid w:val="00D35943"/>
    <w:rsid w:val="00D3650A"/>
    <w:rsid w:val="00D376C5"/>
    <w:rsid w:val="00D37869"/>
    <w:rsid w:val="00D37DA5"/>
    <w:rsid w:val="00D40A81"/>
    <w:rsid w:val="00D40B1B"/>
    <w:rsid w:val="00D419F6"/>
    <w:rsid w:val="00D41A21"/>
    <w:rsid w:val="00D4246B"/>
    <w:rsid w:val="00D43899"/>
    <w:rsid w:val="00D43E9E"/>
    <w:rsid w:val="00D44FF4"/>
    <w:rsid w:val="00D45344"/>
    <w:rsid w:val="00D4546B"/>
    <w:rsid w:val="00D4570D"/>
    <w:rsid w:val="00D463B4"/>
    <w:rsid w:val="00D46965"/>
    <w:rsid w:val="00D46C4E"/>
    <w:rsid w:val="00D471ED"/>
    <w:rsid w:val="00D47BB3"/>
    <w:rsid w:val="00D5024C"/>
    <w:rsid w:val="00D50A87"/>
    <w:rsid w:val="00D50C0C"/>
    <w:rsid w:val="00D50CA4"/>
    <w:rsid w:val="00D5153D"/>
    <w:rsid w:val="00D51733"/>
    <w:rsid w:val="00D51F1A"/>
    <w:rsid w:val="00D51F1D"/>
    <w:rsid w:val="00D52421"/>
    <w:rsid w:val="00D532D3"/>
    <w:rsid w:val="00D5386F"/>
    <w:rsid w:val="00D53B20"/>
    <w:rsid w:val="00D56800"/>
    <w:rsid w:val="00D56FE1"/>
    <w:rsid w:val="00D6062A"/>
    <w:rsid w:val="00D608CF"/>
    <w:rsid w:val="00D609B0"/>
    <w:rsid w:val="00D60A3C"/>
    <w:rsid w:val="00D612AF"/>
    <w:rsid w:val="00D619A6"/>
    <w:rsid w:val="00D625F3"/>
    <w:rsid w:val="00D63CA3"/>
    <w:rsid w:val="00D649A3"/>
    <w:rsid w:val="00D64DA7"/>
    <w:rsid w:val="00D65AF3"/>
    <w:rsid w:val="00D65D53"/>
    <w:rsid w:val="00D66351"/>
    <w:rsid w:val="00D66D7F"/>
    <w:rsid w:val="00D67CD3"/>
    <w:rsid w:val="00D7020C"/>
    <w:rsid w:val="00D703C3"/>
    <w:rsid w:val="00D704F4"/>
    <w:rsid w:val="00D7077E"/>
    <w:rsid w:val="00D70CDB"/>
    <w:rsid w:val="00D720CE"/>
    <w:rsid w:val="00D728D0"/>
    <w:rsid w:val="00D7317B"/>
    <w:rsid w:val="00D73FF9"/>
    <w:rsid w:val="00D74296"/>
    <w:rsid w:val="00D750B1"/>
    <w:rsid w:val="00D756BF"/>
    <w:rsid w:val="00D758BF"/>
    <w:rsid w:val="00D75D86"/>
    <w:rsid w:val="00D77FC2"/>
    <w:rsid w:val="00D8100A"/>
    <w:rsid w:val="00D819BE"/>
    <w:rsid w:val="00D81C43"/>
    <w:rsid w:val="00D825BF"/>
    <w:rsid w:val="00D82E7B"/>
    <w:rsid w:val="00D83284"/>
    <w:rsid w:val="00D83815"/>
    <w:rsid w:val="00D85378"/>
    <w:rsid w:val="00D85721"/>
    <w:rsid w:val="00D8578B"/>
    <w:rsid w:val="00D859B2"/>
    <w:rsid w:val="00D85DCB"/>
    <w:rsid w:val="00D86250"/>
    <w:rsid w:val="00D86481"/>
    <w:rsid w:val="00D870CD"/>
    <w:rsid w:val="00D871AC"/>
    <w:rsid w:val="00D9037A"/>
    <w:rsid w:val="00D90EC8"/>
    <w:rsid w:val="00D91011"/>
    <w:rsid w:val="00D916AD"/>
    <w:rsid w:val="00D91EE9"/>
    <w:rsid w:val="00D92497"/>
    <w:rsid w:val="00D9259D"/>
    <w:rsid w:val="00D930D7"/>
    <w:rsid w:val="00D93647"/>
    <w:rsid w:val="00D947CC"/>
    <w:rsid w:val="00D94C1C"/>
    <w:rsid w:val="00D94EB0"/>
    <w:rsid w:val="00D94ED4"/>
    <w:rsid w:val="00D950AD"/>
    <w:rsid w:val="00D95247"/>
    <w:rsid w:val="00D95885"/>
    <w:rsid w:val="00D95FEE"/>
    <w:rsid w:val="00D963E5"/>
    <w:rsid w:val="00D9674C"/>
    <w:rsid w:val="00D96C05"/>
    <w:rsid w:val="00D97456"/>
    <w:rsid w:val="00D9787C"/>
    <w:rsid w:val="00D97CE6"/>
    <w:rsid w:val="00DA07F6"/>
    <w:rsid w:val="00DA09E1"/>
    <w:rsid w:val="00DA0D21"/>
    <w:rsid w:val="00DA2F24"/>
    <w:rsid w:val="00DA3722"/>
    <w:rsid w:val="00DA41AA"/>
    <w:rsid w:val="00DA4A83"/>
    <w:rsid w:val="00DA4C46"/>
    <w:rsid w:val="00DA5491"/>
    <w:rsid w:val="00DA5633"/>
    <w:rsid w:val="00DA58A6"/>
    <w:rsid w:val="00DA5F50"/>
    <w:rsid w:val="00DA6726"/>
    <w:rsid w:val="00DA67CA"/>
    <w:rsid w:val="00DA6BD2"/>
    <w:rsid w:val="00DA6C7C"/>
    <w:rsid w:val="00DA725E"/>
    <w:rsid w:val="00DA7369"/>
    <w:rsid w:val="00DA7A64"/>
    <w:rsid w:val="00DB088E"/>
    <w:rsid w:val="00DB2428"/>
    <w:rsid w:val="00DB290F"/>
    <w:rsid w:val="00DB2FB5"/>
    <w:rsid w:val="00DB318D"/>
    <w:rsid w:val="00DB33A5"/>
    <w:rsid w:val="00DB33E8"/>
    <w:rsid w:val="00DB3E03"/>
    <w:rsid w:val="00DB55F0"/>
    <w:rsid w:val="00DB60B1"/>
    <w:rsid w:val="00DB753A"/>
    <w:rsid w:val="00DB7559"/>
    <w:rsid w:val="00DB7EA7"/>
    <w:rsid w:val="00DB7FD4"/>
    <w:rsid w:val="00DC0473"/>
    <w:rsid w:val="00DC0862"/>
    <w:rsid w:val="00DC0CF7"/>
    <w:rsid w:val="00DC17BB"/>
    <w:rsid w:val="00DC2CD9"/>
    <w:rsid w:val="00DC3940"/>
    <w:rsid w:val="00DC49E0"/>
    <w:rsid w:val="00DC4C7B"/>
    <w:rsid w:val="00DC53A4"/>
    <w:rsid w:val="00DC5510"/>
    <w:rsid w:val="00DC56D4"/>
    <w:rsid w:val="00DC6891"/>
    <w:rsid w:val="00DC78C6"/>
    <w:rsid w:val="00DD00CC"/>
    <w:rsid w:val="00DD0298"/>
    <w:rsid w:val="00DD0378"/>
    <w:rsid w:val="00DD0E5B"/>
    <w:rsid w:val="00DD10AE"/>
    <w:rsid w:val="00DD139E"/>
    <w:rsid w:val="00DD1B20"/>
    <w:rsid w:val="00DD2DC3"/>
    <w:rsid w:val="00DD35E1"/>
    <w:rsid w:val="00DD3D3B"/>
    <w:rsid w:val="00DD3E9D"/>
    <w:rsid w:val="00DD4010"/>
    <w:rsid w:val="00DD4256"/>
    <w:rsid w:val="00DD44D1"/>
    <w:rsid w:val="00DD4E3E"/>
    <w:rsid w:val="00DD556D"/>
    <w:rsid w:val="00DD64EF"/>
    <w:rsid w:val="00DE0D00"/>
    <w:rsid w:val="00DE1118"/>
    <w:rsid w:val="00DE1DA9"/>
    <w:rsid w:val="00DE36C8"/>
    <w:rsid w:val="00DE4321"/>
    <w:rsid w:val="00DE4CB9"/>
    <w:rsid w:val="00DE4ED0"/>
    <w:rsid w:val="00DE4F35"/>
    <w:rsid w:val="00DE52EC"/>
    <w:rsid w:val="00DE61FA"/>
    <w:rsid w:val="00DE6B51"/>
    <w:rsid w:val="00DE70C6"/>
    <w:rsid w:val="00DE7476"/>
    <w:rsid w:val="00DE7B33"/>
    <w:rsid w:val="00DF0593"/>
    <w:rsid w:val="00DF0D53"/>
    <w:rsid w:val="00DF1D8F"/>
    <w:rsid w:val="00DF1E9D"/>
    <w:rsid w:val="00DF22F5"/>
    <w:rsid w:val="00DF23B8"/>
    <w:rsid w:val="00DF2B9B"/>
    <w:rsid w:val="00DF2D26"/>
    <w:rsid w:val="00DF35F9"/>
    <w:rsid w:val="00DF3649"/>
    <w:rsid w:val="00DF465E"/>
    <w:rsid w:val="00DF4DE2"/>
    <w:rsid w:val="00DF4F86"/>
    <w:rsid w:val="00DF5B5D"/>
    <w:rsid w:val="00DF5C3A"/>
    <w:rsid w:val="00DF62EA"/>
    <w:rsid w:val="00DF787C"/>
    <w:rsid w:val="00DF7A97"/>
    <w:rsid w:val="00DF7B7A"/>
    <w:rsid w:val="00E00308"/>
    <w:rsid w:val="00E0166C"/>
    <w:rsid w:val="00E024DD"/>
    <w:rsid w:val="00E029E7"/>
    <w:rsid w:val="00E02C88"/>
    <w:rsid w:val="00E03B0F"/>
    <w:rsid w:val="00E03FA6"/>
    <w:rsid w:val="00E042A6"/>
    <w:rsid w:val="00E04B4F"/>
    <w:rsid w:val="00E04B9A"/>
    <w:rsid w:val="00E04D5C"/>
    <w:rsid w:val="00E05432"/>
    <w:rsid w:val="00E0567E"/>
    <w:rsid w:val="00E05A3E"/>
    <w:rsid w:val="00E06648"/>
    <w:rsid w:val="00E10063"/>
    <w:rsid w:val="00E10384"/>
    <w:rsid w:val="00E10CBF"/>
    <w:rsid w:val="00E10E5E"/>
    <w:rsid w:val="00E12845"/>
    <w:rsid w:val="00E15963"/>
    <w:rsid w:val="00E17174"/>
    <w:rsid w:val="00E17552"/>
    <w:rsid w:val="00E17586"/>
    <w:rsid w:val="00E208B6"/>
    <w:rsid w:val="00E2173F"/>
    <w:rsid w:val="00E21E2F"/>
    <w:rsid w:val="00E225AC"/>
    <w:rsid w:val="00E22AAB"/>
    <w:rsid w:val="00E2339E"/>
    <w:rsid w:val="00E2354C"/>
    <w:rsid w:val="00E23565"/>
    <w:rsid w:val="00E23C2C"/>
    <w:rsid w:val="00E24E66"/>
    <w:rsid w:val="00E24F55"/>
    <w:rsid w:val="00E25E7E"/>
    <w:rsid w:val="00E25F24"/>
    <w:rsid w:val="00E2606C"/>
    <w:rsid w:val="00E260B6"/>
    <w:rsid w:val="00E2679D"/>
    <w:rsid w:val="00E27636"/>
    <w:rsid w:val="00E27CA5"/>
    <w:rsid w:val="00E30496"/>
    <w:rsid w:val="00E30B75"/>
    <w:rsid w:val="00E30E1C"/>
    <w:rsid w:val="00E3125B"/>
    <w:rsid w:val="00E31FD4"/>
    <w:rsid w:val="00E32035"/>
    <w:rsid w:val="00E3262C"/>
    <w:rsid w:val="00E3280C"/>
    <w:rsid w:val="00E34AA0"/>
    <w:rsid w:val="00E35AFC"/>
    <w:rsid w:val="00E35E7F"/>
    <w:rsid w:val="00E3618F"/>
    <w:rsid w:val="00E3622B"/>
    <w:rsid w:val="00E36813"/>
    <w:rsid w:val="00E3756E"/>
    <w:rsid w:val="00E3778D"/>
    <w:rsid w:val="00E4169B"/>
    <w:rsid w:val="00E41D07"/>
    <w:rsid w:val="00E41E61"/>
    <w:rsid w:val="00E43EC7"/>
    <w:rsid w:val="00E44C99"/>
    <w:rsid w:val="00E4571E"/>
    <w:rsid w:val="00E46067"/>
    <w:rsid w:val="00E46FAF"/>
    <w:rsid w:val="00E470E5"/>
    <w:rsid w:val="00E47BE3"/>
    <w:rsid w:val="00E50464"/>
    <w:rsid w:val="00E50A18"/>
    <w:rsid w:val="00E51963"/>
    <w:rsid w:val="00E52E84"/>
    <w:rsid w:val="00E53527"/>
    <w:rsid w:val="00E55E57"/>
    <w:rsid w:val="00E562DD"/>
    <w:rsid w:val="00E5686B"/>
    <w:rsid w:val="00E56957"/>
    <w:rsid w:val="00E56B1C"/>
    <w:rsid w:val="00E57245"/>
    <w:rsid w:val="00E574F1"/>
    <w:rsid w:val="00E57878"/>
    <w:rsid w:val="00E60D91"/>
    <w:rsid w:val="00E6117F"/>
    <w:rsid w:val="00E6293E"/>
    <w:rsid w:val="00E6409A"/>
    <w:rsid w:val="00E66093"/>
    <w:rsid w:val="00E66BD1"/>
    <w:rsid w:val="00E67341"/>
    <w:rsid w:val="00E67AEB"/>
    <w:rsid w:val="00E67BE5"/>
    <w:rsid w:val="00E67F43"/>
    <w:rsid w:val="00E71141"/>
    <w:rsid w:val="00E71551"/>
    <w:rsid w:val="00E71755"/>
    <w:rsid w:val="00E71782"/>
    <w:rsid w:val="00E71E6C"/>
    <w:rsid w:val="00E72112"/>
    <w:rsid w:val="00E722C2"/>
    <w:rsid w:val="00E72874"/>
    <w:rsid w:val="00E72C68"/>
    <w:rsid w:val="00E73BEA"/>
    <w:rsid w:val="00E73D5D"/>
    <w:rsid w:val="00E75316"/>
    <w:rsid w:val="00E756B2"/>
    <w:rsid w:val="00E75B3C"/>
    <w:rsid w:val="00E7639B"/>
    <w:rsid w:val="00E770EE"/>
    <w:rsid w:val="00E80341"/>
    <w:rsid w:val="00E812C5"/>
    <w:rsid w:val="00E817AA"/>
    <w:rsid w:val="00E8181F"/>
    <w:rsid w:val="00E81832"/>
    <w:rsid w:val="00E81CE4"/>
    <w:rsid w:val="00E82544"/>
    <w:rsid w:val="00E8254A"/>
    <w:rsid w:val="00E82C18"/>
    <w:rsid w:val="00E831EA"/>
    <w:rsid w:val="00E83516"/>
    <w:rsid w:val="00E83533"/>
    <w:rsid w:val="00E83542"/>
    <w:rsid w:val="00E83631"/>
    <w:rsid w:val="00E838DA"/>
    <w:rsid w:val="00E83B3C"/>
    <w:rsid w:val="00E841F0"/>
    <w:rsid w:val="00E84363"/>
    <w:rsid w:val="00E84DD7"/>
    <w:rsid w:val="00E84F81"/>
    <w:rsid w:val="00E852F3"/>
    <w:rsid w:val="00E85CF8"/>
    <w:rsid w:val="00E85D00"/>
    <w:rsid w:val="00E85EC8"/>
    <w:rsid w:val="00E900E3"/>
    <w:rsid w:val="00E9129F"/>
    <w:rsid w:val="00E91986"/>
    <w:rsid w:val="00E91FA9"/>
    <w:rsid w:val="00E92564"/>
    <w:rsid w:val="00E925AA"/>
    <w:rsid w:val="00E92612"/>
    <w:rsid w:val="00E92C2E"/>
    <w:rsid w:val="00E940DF"/>
    <w:rsid w:val="00E9414F"/>
    <w:rsid w:val="00E9450A"/>
    <w:rsid w:val="00E9469C"/>
    <w:rsid w:val="00E9525B"/>
    <w:rsid w:val="00E95933"/>
    <w:rsid w:val="00E95BFE"/>
    <w:rsid w:val="00E97012"/>
    <w:rsid w:val="00EA0530"/>
    <w:rsid w:val="00EA0F79"/>
    <w:rsid w:val="00EA22F1"/>
    <w:rsid w:val="00EA2F75"/>
    <w:rsid w:val="00EA5517"/>
    <w:rsid w:val="00EA5719"/>
    <w:rsid w:val="00EA59E7"/>
    <w:rsid w:val="00EA675F"/>
    <w:rsid w:val="00EA692B"/>
    <w:rsid w:val="00EA7C55"/>
    <w:rsid w:val="00EB104E"/>
    <w:rsid w:val="00EB2B76"/>
    <w:rsid w:val="00EB2FCC"/>
    <w:rsid w:val="00EB304D"/>
    <w:rsid w:val="00EB4F2B"/>
    <w:rsid w:val="00EB5DDF"/>
    <w:rsid w:val="00EB6200"/>
    <w:rsid w:val="00EB63BA"/>
    <w:rsid w:val="00EB66DC"/>
    <w:rsid w:val="00EB6769"/>
    <w:rsid w:val="00EB6789"/>
    <w:rsid w:val="00EB6AB4"/>
    <w:rsid w:val="00EB752E"/>
    <w:rsid w:val="00EC08E5"/>
    <w:rsid w:val="00EC0A4C"/>
    <w:rsid w:val="00EC10D7"/>
    <w:rsid w:val="00EC11BF"/>
    <w:rsid w:val="00EC17B9"/>
    <w:rsid w:val="00EC2021"/>
    <w:rsid w:val="00EC286E"/>
    <w:rsid w:val="00EC3829"/>
    <w:rsid w:val="00EC3A95"/>
    <w:rsid w:val="00EC3F8E"/>
    <w:rsid w:val="00EC445F"/>
    <w:rsid w:val="00EC5244"/>
    <w:rsid w:val="00EC5603"/>
    <w:rsid w:val="00EC5D0A"/>
    <w:rsid w:val="00EC72A7"/>
    <w:rsid w:val="00EC7EE3"/>
    <w:rsid w:val="00ED05BE"/>
    <w:rsid w:val="00ED08B9"/>
    <w:rsid w:val="00ED0C74"/>
    <w:rsid w:val="00ED0E3A"/>
    <w:rsid w:val="00ED170A"/>
    <w:rsid w:val="00ED2019"/>
    <w:rsid w:val="00ED3A50"/>
    <w:rsid w:val="00ED3DC7"/>
    <w:rsid w:val="00ED418C"/>
    <w:rsid w:val="00ED4623"/>
    <w:rsid w:val="00ED5622"/>
    <w:rsid w:val="00ED6AC6"/>
    <w:rsid w:val="00ED6C61"/>
    <w:rsid w:val="00ED6F46"/>
    <w:rsid w:val="00ED72A6"/>
    <w:rsid w:val="00ED74C8"/>
    <w:rsid w:val="00ED7D3F"/>
    <w:rsid w:val="00EE0130"/>
    <w:rsid w:val="00EE1A28"/>
    <w:rsid w:val="00EE24AE"/>
    <w:rsid w:val="00EE30CC"/>
    <w:rsid w:val="00EE3319"/>
    <w:rsid w:val="00EE374D"/>
    <w:rsid w:val="00EE3F25"/>
    <w:rsid w:val="00EE4C91"/>
    <w:rsid w:val="00EE50F5"/>
    <w:rsid w:val="00EE7F04"/>
    <w:rsid w:val="00EF07F4"/>
    <w:rsid w:val="00EF10F0"/>
    <w:rsid w:val="00EF1220"/>
    <w:rsid w:val="00EF17F9"/>
    <w:rsid w:val="00EF19C0"/>
    <w:rsid w:val="00EF44E2"/>
    <w:rsid w:val="00EF47D0"/>
    <w:rsid w:val="00EF4EBE"/>
    <w:rsid w:val="00EF520D"/>
    <w:rsid w:val="00EF5781"/>
    <w:rsid w:val="00EF5F9F"/>
    <w:rsid w:val="00EF63D6"/>
    <w:rsid w:val="00EF78AF"/>
    <w:rsid w:val="00F0036D"/>
    <w:rsid w:val="00F006BC"/>
    <w:rsid w:val="00F01CC8"/>
    <w:rsid w:val="00F027B6"/>
    <w:rsid w:val="00F0361E"/>
    <w:rsid w:val="00F037AC"/>
    <w:rsid w:val="00F03C9E"/>
    <w:rsid w:val="00F04511"/>
    <w:rsid w:val="00F04AFC"/>
    <w:rsid w:val="00F04C19"/>
    <w:rsid w:val="00F059E2"/>
    <w:rsid w:val="00F06B92"/>
    <w:rsid w:val="00F07266"/>
    <w:rsid w:val="00F07840"/>
    <w:rsid w:val="00F112AB"/>
    <w:rsid w:val="00F1161D"/>
    <w:rsid w:val="00F117DB"/>
    <w:rsid w:val="00F12092"/>
    <w:rsid w:val="00F1315E"/>
    <w:rsid w:val="00F1352F"/>
    <w:rsid w:val="00F136CF"/>
    <w:rsid w:val="00F13D74"/>
    <w:rsid w:val="00F14006"/>
    <w:rsid w:val="00F1456B"/>
    <w:rsid w:val="00F1518B"/>
    <w:rsid w:val="00F158FE"/>
    <w:rsid w:val="00F15BDB"/>
    <w:rsid w:val="00F16614"/>
    <w:rsid w:val="00F17FB4"/>
    <w:rsid w:val="00F20D36"/>
    <w:rsid w:val="00F2175B"/>
    <w:rsid w:val="00F227AD"/>
    <w:rsid w:val="00F22E2F"/>
    <w:rsid w:val="00F23371"/>
    <w:rsid w:val="00F233EF"/>
    <w:rsid w:val="00F256A5"/>
    <w:rsid w:val="00F258C6"/>
    <w:rsid w:val="00F25A2B"/>
    <w:rsid w:val="00F26264"/>
    <w:rsid w:val="00F27276"/>
    <w:rsid w:val="00F27948"/>
    <w:rsid w:val="00F30335"/>
    <w:rsid w:val="00F30D01"/>
    <w:rsid w:val="00F30FA7"/>
    <w:rsid w:val="00F31033"/>
    <w:rsid w:val="00F31956"/>
    <w:rsid w:val="00F328DA"/>
    <w:rsid w:val="00F32CB4"/>
    <w:rsid w:val="00F32E9F"/>
    <w:rsid w:val="00F33829"/>
    <w:rsid w:val="00F338C8"/>
    <w:rsid w:val="00F33CAA"/>
    <w:rsid w:val="00F33CED"/>
    <w:rsid w:val="00F359F2"/>
    <w:rsid w:val="00F35EDB"/>
    <w:rsid w:val="00F365A2"/>
    <w:rsid w:val="00F40D23"/>
    <w:rsid w:val="00F41179"/>
    <w:rsid w:val="00F41704"/>
    <w:rsid w:val="00F4277D"/>
    <w:rsid w:val="00F427E4"/>
    <w:rsid w:val="00F42868"/>
    <w:rsid w:val="00F43898"/>
    <w:rsid w:val="00F444E5"/>
    <w:rsid w:val="00F46D6C"/>
    <w:rsid w:val="00F4742B"/>
    <w:rsid w:val="00F5006B"/>
    <w:rsid w:val="00F500EB"/>
    <w:rsid w:val="00F51436"/>
    <w:rsid w:val="00F52899"/>
    <w:rsid w:val="00F530A1"/>
    <w:rsid w:val="00F53107"/>
    <w:rsid w:val="00F548B7"/>
    <w:rsid w:val="00F557BF"/>
    <w:rsid w:val="00F55996"/>
    <w:rsid w:val="00F56013"/>
    <w:rsid w:val="00F5721D"/>
    <w:rsid w:val="00F60152"/>
    <w:rsid w:val="00F61272"/>
    <w:rsid w:val="00F61F0F"/>
    <w:rsid w:val="00F62792"/>
    <w:rsid w:val="00F63EF3"/>
    <w:rsid w:val="00F641F3"/>
    <w:rsid w:val="00F64F68"/>
    <w:rsid w:val="00F65116"/>
    <w:rsid w:val="00F6576C"/>
    <w:rsid w:val="00F65B69"/>
    <w:rsid w:val="00F65C67"/>
    <w:rsid w:val="00F65E2D"/>
    <w:rsid w:val="00F673AB"/>
    <w:rsid w:val="00F67A16"/>
    <w:rsid w:val="00F707B5"/>
    <w:rsid w:val="00F7141C"/>
    <w:rsid w:val="00F71586"/>
    <w:rsid w:val="00F71948"/>
    <w:rsid w:val="00F719B5"/>
    <w:rsid w:val="00F72461"/>
    <w:rsid w:val="00F72A50"/>
    <w:rsid w:val="00F72BF3"/>
    <w:rsid w:val="00F72F46"/>
    <w:rsid w:val="00F73306"/>
    <w:rsid w:val="00F741FE"/>
    <w:rsid w:val="00F742AD"/>
    <w:rsid w:val="00F74470"/>
    <w:rsid w:val="00F74CAF"/>
    <w:rsid w:val="00F7569E"/>
    <w:rsid w:val="00F76874"/>
    <w:rsid w:val="00F76D5E"/>
    <w:rsid w:val="00F774EE"/>
    <w:rsid w:val="00F7791A"/>
    <w:rsid w:val="00F7796E"/>
    <w:rsid w:val="00F8059A"/>
    <w:rsid w:val="00F80D86"/>
    <w:rsid w:val="00F818FC"/>
    <w:rsid w:val="00F819F5"/>
    <w:rsid w:val="00F81C2F"/>
    <w:rsid w:val="00F824F4"/>
    <w:rsid w:val="00F827AC"/>
    <w:rsid w:val="00F82D71"/>
    <w:rsid w:val="00F82FEA"/>
    <w:rsid w:val="00F83691"/>
    <w:rsid w:val="00F83752"/>
    <w:rsid w:val="00F84134"/>
    <w:rsid w:val="00F85641"/>
    <w:rsid w:val="00F86018"/>
    <w:rsid w:val="00F86A43"/>
    <w:rsid w:val="00F8710B"/>
    <w:rsid w:val="00F8777D"/>
    <w:rsid w:val="00F904B0"/>
    <w:rsid w:val="00F90E8D"/>
    <w:rsid w:val="00F92C01"/>
    <w:rsid w:val="00F92D48"/>
    <w:rsid w:val="00F9452E"/>
    <w:rsid w:val="00F94F07"/>
    <w:rsid w:val="00F95283"/>
    <w:rsid w:val="00F95473"/>
    <w:rsid w:val="00F958D3"/>
    <w:rsid w:val="00F95E71"/>
    <w:rsid w:val="00F96109"/>
    <w:rsid w:val="00F97B0B"/>
    <w:rsid w:val="00F97B0C"/>
    <w:rsid w:val="00FA0A95"/>
    <w:rsid w:val="00FA0E26"/>
    <w:rsid w:val="00FA24DC"/>
    <w:rsid w:val="00FA2510"/>
    <w:rsid w:val="00FA28A7"/>
    <w:rsid w:val="00FA2B93"/>
    <w:rsid w:val="00FA2DC7"/>
    <w:rsid w:val="00FA3357"/>
    <w:rsid w:val="00FA3EDF"/>
    <w:rsid w:val="00FA4968"/>
    <w:rsid w:val="00FA4F1B"/>
    <w:rsid w:val="00FA595E"/>
    <w:rsid w:val="00FA5DB4"/>
    <w:rsid w:val="00FA6850"/>
    <w:rsid w:val="00FA7EDE"/>
    <w:rsid w:val="00FB0AE6"/>
    <w:rsid w:val="00FB191F"/>
    <w:rsid w:val="00FB1DF4"/>
    <w:rsid w:val="00FB20E1"/>
    <w:rsid w:val="00FB20F6"/>
    <w:rsid w:val="00FB21A2"/>
    <w:rsid w:val="00FB2677"/>
    <w:rsid w:val="00FB2AC5"/>
    <w:rsid w:val="00FB3080"/>
    <w:rsid w:val="00FB4E9E"/>
    <w:rsid w:val="00FB551F"/>
    <w:rsid w:val="00FB5AED"/>
    <w:rsid w:val="00FB6136"/>
    <w:rsid w:val="00FB619B"/>
    <w:rsid w:val="00FB668C"/>
    <w:rsid w:val="00FB6972"/>
    <w:rsid w:val="00FC0373"/>
    <w:rsid w:val="00FC05FA"/>
    <w:rsid w:val="00FC06AD"/>
    <w:rsid w:val="00FC206E"/>
    <w:rsid w:val="00FC22B3"/>
    <w:rsid w:val="00FC3F8A"/>
    <w:rsid w:val="00FC4611"/>
    <w:rsid w:val="00FC5ACB"/>
    <w:rsid w:val="00FC62FB"/>
    <w:rsid w:val="00FC680F"/>
    <w:rsid w:val="00FC6D12"/>
    <w:rsid w:val="00FC728C"/>
    <w:rsid w:val="00FC75AE"/>
    <w:rsid w:val="00FD0111"/>
    <w:rsid w:val="00FD06B9"/>
    <w:rsid w:val="00FD0949"/>
    <w:rsid w:val="00FD0A7E"/>
    <w:rsid w:val="00FD0A81"/>
    <w:rsid w:val="00FD0FE6"/>
    <w:rsid w:val="00FD1154"/>
    <w:rsid w:val="00FD1C7B"/>
    <w:rsid w:val="00FD1C85"/>
    <w:rsid w:val="00FD2A9A"/>
    <w:rsid w:val="00FD2C19"/>
    <w:rsid w:val="00FD2E0E"/>
    <w:rsid w:val="00FD32FB"/>
    <w:rsid w:val="00FD3DF8"/>
    <w:rsid w:val="00FD4826"/>
    <w:rsid w:val="00FD53D4"/>
    <w:rsid w:val="00FD5C62"/>
    <w:rsid w:val="00FD67F4"/>
    <w:rsid w:val="00FD6818"/>
    <w:rsid w:val="00FD687F"/>
    <w:rsid w:val="00FD6C6D"/>
    <w:rsid w:val="00FD6F26"/>
    <w:rsid w:val="00FD70E7"/>
    <w:rsid w:val="00FD74C1"/>
    <w:rsid w:val="00FE0943"/>
    <w:rsid w:val="00FE0D85"/>
    <w:rsid w:val="00FE0E4B"/>
    <w:rsid w:val="00FE1FE1"/>
    <w:rsid w:val="00FE2321"/>
    <w:rsid w:val="00FE3019"/>
    <w:rsid w:val="00FE4425"/>
    <w:rsid w:val="00FE45B4"/>
    <w:rsid w:val="00FE4B47"/>
    <w:rsid w:val="00FE5E0C"/>
    <w:rsid w:val="00FE5EC4"/>
    <w:rsid w:val="00FE613B"/>
    <w:rsid w:val="00FE6A61"/>
    <w:rsid w:val="00FE6EA7"/>
    <w:rsid w:val="00FE7FC5"/>
    <w:rsid w:val="00FF38C2"/>
    <w:rsid w:val="00FF3F97"/>
    <w:rsid w:val="00FF57E3"/>
    <w:rsid w:val="00FF6A6F"/>
    <w:rsid w:val="00FF6B3B"/>
    <w:rsid w:val="00FF6FBF"/>
    <w:rsid w:val="00FF763B"/>
    <w:rsid w:val="00FF7D7F"/>
    <w:rsid w:val="06810BEE"/>
    <w:rsid w:val="1052F327"/>
    <w:rsid w:val="64FB4A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5EA34"/>
  <w15:docId w15:val="{2D54B179-1699-4F84-8566-02D735CE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uiPriority="0" w:qFormat="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uiPriority="0"/>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94449C"/>
    <w:pPr>
      <w:spacing w:before="40" w:after="40" w:line="240" w:lineRule="auto"/>
    </w:pPr>
    <w:rPr>
      <w:rFonts w:ascii="Open Sans" w:hAnsi="Open Sans"/>
      <w:lang w:val="en-AU"/>
    </w:rPr>
  </w:style>
  <w:style w:type="paragraph" w:styleId="Heading1">
    <w:name w:val="heading 1"/>
    <w:basedOn w:val="BodyText"/>
    <w:next w:val="BodyText"/>
    <w:link w:val="Heading1Char"/>
    <w:uiPriority w:val="9"/>
    <w:qFormat/>
    <w:rsid w:val="007D6170"/>
    <w:pPr>
      <w:keepNext/>
      <w:pageBreakBefore/>
      <w:numPr>
        <w:numId w:val="10"/>
      </w:numPr>
      <w:tabs>
        <w:tab w:val="left" w:pos="1021"/>
      </w:tabs>
      <w:spacing w:before="240" w:after="240" w:line="480" w:lineRule="atLeast"/>
      <w:contextualSpacing/>
      <w:outlineLvl w:val="0"/>
    </w:pPr>
    <w:rPr>
      <w:rFonts w:ascii="Open Sans Light" w:eastAsia="Times New Roman" w:hAnsi="Open Sans Light" w:cs="Arial"/>
      <w:bCs/>
      <w:color w:val="207BA1"/>
      <w:sz w:val="52"/>
      <w:szCs w:val="32"/>
      <w:lang w:eastAsia="en-AU"/>
    </w:rPr>
  </w:style>
  <w:style w:type="paragraph" w:styleId="Heading2">
    <w:name w:val="heading 2"/>
    <w:basedOn w:val="Heading1"/>
    <w:next w:val="BodyText"/>
    <w:link w:val="Heading2Char"/>
    <w:uiPriority w:val="9"/>
    <w:qFormat/>
    <w:rsid w:val="007D6170"/>
    <w:pPr>
      <w:pageBreakBefore w:val="0"/>
      <w:numPr>
        <w:ilvl w:val="1"/>
      </w:numPr>
      <w:tabs>
        <w:tab w:val="clear" w:pos="1021"/>
      </w:tabs>
      <w:spacing w:after="120" w:line="400" w:lineRule="atLeast"/>
      <w:outlineLvl w:val="1"/>
    </w:pPr>
    <w:rPr>
      <w:rFonts w:ascii="Open Sans SemiBold" w:hAnsi="Open Sans SemiBold"/>
      <w:bCs w:val="0"/>
      <w:iCs/>
      <w:sz w:val="28"/>
      <w:szCs w:val="28"/>
    </w:rPr>
  </w:style>
  <w:style w:type="paragraph" w:styleId="Heading3">
    <w:name w:val="heading 3"/>
    <w:basedOn w:val="Heading1"/>
    <w:next w:val="BodyText"/>
    <w:link w:val="Heading3Char"/>
    <w:uiPriority w:val="9"/>
    <w:qFormat/>
    <w:rsid w:val="007D6170"/>
    <w:pPr>
      <w:pageBreakBefore w:val="0"/>
      <w:numPr>
        <w:ilvl w:val="2"/>
      </w:numPr>
      <w:tabs>
        <w:tab w:val="clear" w:pos="1021"/>
      </w:tabs>
      <w:spacing w:after="120" w:line="400" w:lineRule="atLeast"/>
      <w:outlineLvl w:val="2"/>
    </w:pPr>
    <w:rPr>
      <w:rFonts w:ascii="Open Sans SemiBold" w:hAnsi="Open Sans SemiBold"/>
      <w:bCs w:val="0"/>
      <w:sz w:val="24"/>
      <w:szCs w:val="26"/>
    </w:rPr>
  </w:style>
  <w:style w:type="paragraph" w:styleId="Heading4">
    <w:name w:val="heading 4"/>
    <w:basedOn w:val="Heading1"/>
    <w:next w:val="BodyText"/>
    <w:link w:val="Heading4Char"/>
    <w:uiPriority w:val="9"/>
    <w:qFormat/>
    <w:rsid w:val="00C67BBF"/>
    <w:pPr>
      <w:pageBreakBefore w:val="0"/>
      <w:numPr>
        <w:numId w:val="0"/>
      </w:numPr>
      <w:spacing w:after="40" w:line="320" w:lineRule="atLeast"/>
      <w:outlineLvl w:val="3"/>
    </w:pPr>
    <w:rPr>
      <w:rFonts w:ascii="Open Sans" w:hAnsi="Open Sans"/>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aliases w:val="ListBullet1"/>
    <w:basedOn w:val="Normal"/>
    <w:uiPriority w:val="5"/>
    <w:qFormat/>
    <w:rsid w:val="00755261"/>
    <w:pPr>
      <w:numPr>
        <w:numId w:val="18"/>
      </w:numPr>
      <w:spacing w:before="120" w:after="120" w:line="260" w:lineRule="atLeast"/>
    </w:pPr>
    <w:rPr>
      <w:rFonts w:eastAsia="Times New Roman" w:cs="Times New Roman"/>
      <w:color w:val="37424A"/>
      <w:szCs w:val="24"/>
      <w:lang w:eastAsia="en-GB"/>
    </w:rPr>
  </w:style>
  <w:style w:type="numbering" w:customStyle="1" w:styleId="ListBulletmaster">
    <w:name w:val="List Bullet (master)"/>
    <w:rsid w:val="00755261"/>
    <w:pPr>
      <w:numPr>
        <w:numId w:val="4"/>
      </w:numPr>
    </w:pPr>
  </w:style>
  <w:style w:type="paragraph" w:styleId="ListBullet2">
    <w:name w:val="List Bullet 2"/>
    <w:aliases w:val="ListBullet2"/>
    <w:basedOn w:val="Normal"/>
    <w:uiPriority w:val="5"/>
    <w:qFormat/>
    <w:rsid w:val="00755261"/>
    <w:pPr>
      <w:numPr>
        <w:ilvl w:val="1"/>
        <w:numId w:val="18"/>
      </w:numPr>
      <w:spacing w:before="120" w:after="120" w:line="260" w:lineRule="atLeast"/>
    </w:pPr>
    <w:rPr>
      <w:rFonts w:eastAsia="Times New Roman" w:cs="Times New Roman"/>
      <w:color w:val="37424A"/>
      <w:szCs w:val="24"/>
      <w:lang w:eastAsia="en-GB"/>
    </w:rPr>
  </w:style>
  <w:style w:type="paragraph" w:styleId="ListBullet3">
    <w:name w:val="List Bullet 3"/>
    <w:aliases w:val="ListBullet3"/>
    <w:basedOn w:val="Normal"/>
    <w:uiPriority w:val="5"/>
    <w:qFormat/>
    <w:rsid w:val="00755261"/>
    <w:pPr>
      <w:numPr>
        <w:ilvl w:val="2"/>
        <w:numId w:val="18"/>
      </w:numPr>
      <w:spacing w:before="120" w:after="120" w:line="260" w:lineRule="atLeast"/>
    </w:pPr>
    <w:rPr>
      <w:rFonts w:eastAsia="Times New Roman" w:cs="Times New Roman"/>
      <w:color w:val="37424A"/>
      <w:szCs w:val="24"/>
      <w:lang w:eastAsia="en-GB"/>
    </w:rPr>
  </w:style>
  <w:style w:type="numbering" w:customStyle="1" w:styleId="ListNumbermaster">
    <w:name w:val="List Number (master)"/>
    <w:rsid w:val="00602325"/>
    <w:pPr>
      <w:numPr>
        <w:numId w:val="5"/>
      </w:numPr>
    </w:pPr>
  </w:style>
  <w:style w:type="paragraph" w:styleId="ListNumber2">
    <w:name w:val="List Number 2"/>
    <w:aliases w:val="ListNumber2"/>
    <w:basedOn w:val="Normal"/>
    <w:uiPriority w:val="6"/>
    <w:qFormat/>
    <w:rsid w:val="004E0812"/>
    <w:pPr>
      <w:numPr>
        <w:ilvl w:val="1"/>
        <w:numId w:val="11"/>
      </w:numPr>
      <w:spacing w:before="120" w:after="120" w:line="260" w:lineRule="atLeast"/>
    </w:pPr>
    <w:rPr>
      <w:rFonts w:eastAsia="Times New Roman" w:cs="Times New Roman"/>
      <w:color w:val="37424A"/>
      <w:szCs w:val="24"/>
      <w:lang w:eastAsia="en-GB"/>
    </w:rPr>
  </w:style>
  <w:style w:type="paragraph" w:styleId="ListNumber3">
    <w:name w:val="List Number 3"/>
    <w:aliases w:val="ListNumber3"/>
    <w:basedOn w:val="Normal"/>
    <w:uiPriority w:val="6"/>
    <w:qFormat/>
    <w:rsid w:val="004E0812"/>
    <w:pPr>
      <w:numPr>
        <w:ilvl w:val="2"/>
        <w:numId w:val="11"/>
      </w:numPr>
      <w:spacing w:before="120" w:after="120" w:line="260" w:lineRule="atLeast"/>
    </w:pPr>
    <w:rPr>
      <w:rFonts w:eastAsia="Times New Roman" w:cs="Times New Roman"/>
      <w:color w:val="37424A"/>
      <w:szCs w:val="24"/>
      <w:lang w:eastAsia="en-GB"/>
    </w:rPr>
  </w:style>
  <w:style w:type="paragraph" w:styleId="ListNumber">
    <w:name w:val="List Number"/>
    <w:aliases w:val="ListNumber1"/>
    <w:basedOn w:val="Normal"/>
    <w:uiPriority w:val="6"/>
    <w:qFormat/>
    <w:rsid w:val="004E0812"/>
    <w:pPr>
      <w:numPr>
        <w:numId w:val="11"/>
      </w:numPr>
      <w:spacing w:before="120" w:after="120" w:line="260" w:lineRule="atLeast"/>
    </w:pPr>
    <w:rPr>
      <w:rFonts w:eastAsia="Times New Roman" w:cs="Times New Roman"/>
      <w:color w:val="37424A"/>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3A6BDD"/>
    <w:pPr>
      <w:spacing w:before="120" w:after="120" w:line="260" w:lineRule="atLeast"/>
    </w:pPr>
    <w:rPr>
      <w:rFonts w:eastAsia="Times New Roman" w:cs="Times New Roman"/>
      <w:bCs/>
      <w:color w:val="FFFFFF" w:themeColor="background1"/>
      <w:szCs w:val="24"/>
      <w:lang w:eastAsia="en-GB"/>
    </w:rPr>
  </w:style>
  <w:style w:type="paragraph" w:customStyle="1" w:styleId="TableListBullet">
    <w:name w:val="Table List Bullet"/>
    <w:basedOn w:val="Normal"/>
    <w:uiPriority w:val="16"/>
    <w:semiHidden/>
    <w:qFormat/>
    <w:rsid w:val="003B33E0"/>
    <w:pPr>
      <w:numPr>
        <w:numId w:val="13"/>
      </w:numPr>
      <w:spacing w:before="120" w:after="120" w:line="260" w:lineRule="atLeast"/>
    </w:pPr>
    <w:rPr>
      <w:rFonts w:eastAsia="Times New Roman" w:cs="Times New Roman"/>
      <w:bCs/>
      <w:sz w:val="18"/>
      <w:szCs w:val="24"/>
      <w:lang w:eastAsia="en-GB"/>
    </w:rPr>
  </w:style>
  <w:style w:type="numbering" w:customStyle="1" w:styleId="TableListBulletmaster">
    <w:name w:val="Table List Bullet (master)"/>
    <w:rsid w:val="003B33E0"/>
    <w:pPr>
      <w:numPr>
        <w:numId w:val="6"/>
      </w:numPr>
    </w:pPr>
  </w:style>
  <w:style w:type="paragraph" w:customStyle="1" w:styleId="TableListBullet2">
    <w:name w:val="Table List Bullet 2"/>
    <w:basedOn w:val="TableListBullet"/>
    <w:uiPriority w:val="16"/>
    <w:semiHidden/>
    <w:qFormat/>
    <w:rsid w:val="00FF3F97"/>
    <w:pPr>
      <w:numPr>
        <w:ilvl w:val="1"/>
      </w:numPr>
    </w:pPr>
  </w:style>
  <w:style w:type="paragraph" w:customStyle="1" w:styleId="TableListNumber">
    <w:name w:val="Table List Number"/>
    <w:basedOn w:val="Normal"/>
    <w:uiPriority w:val="16"/>
    <w:semiHidden/>
    <w:qFormat/>
    <w:rsid w:val="003B33E0"/>
    <w:pPr>
      <w:numPr>
        <w:numId w:val="14"/>
      </w:numPr>
      <w:spacing w:before="120" w:after="120" w:line="260" w:lineRule="atLeast"/>
    </w:pPr>
    <w:rPr>
      <w:rFonts w:eastAsia="Times New Roman" w:cs="Times New Roman"/>
      <w:bCs/>
      <w:sz w:val="18"/>
      <w:szCs w:val="24"/>
      <w:lang w:eastAsia="en-GB"/>
    </w:rPr>
  </w:style>
  <w:style w:type="numbering" w:customStyle="1" w:styleId="TableListNumbermaster">
    <w:name w:val="Table List Number (master)"/>
    <w:rsid w:val="003B33E0"/>
    <w:pPr>
      <w:numPr>
        <w:numId w:val="7"/>
      </w:numPr>
    </w:pPr>
  </w:style>
  <w:style w:type="paragraph" w:customStyle="1" w:styleId="TableListNumber2">
    <w:name w:val="Table List Number 2"/>
    <w:basedOn w:val="TableListNumber"/>
    <w:uiPriority w:val="16"/>
    <w:semiHidden/>
    <w:qFormat/>
    <w:rsid w:val="00FF3F97"/>
    <w:pPr>
      <w:numPr>
        <w:ilvl w:val="1"/>
      </w:numPr>
      <w:ind w:left="714" w:hanging="357"/>
    </w:pPr>
  </w:style>
  <w:style w:type="paragraph" w:customStyle="1" w:styleId="TableBodyText">
    <w:name w:val="Table Body Text"/>
    <w:basedOn w:val="Normal"/>
    <w:uiPriority w:val="14"/>
    <w:semiHidden/>
    <w:qFormat/>
    <w:rsid w:val="004C1982"/>
    <w:pPr>
      <w:spacing w:before="120" w:after="120" w:line="260" w:lineRule="atLeast"/>
    </w:pPr>
    <w:rPr>
      <w:rFonts w:eastAsia="Times New Roman" w:cs="Times New Roman"/>
      <w:bCs/>
      <w:szCs w:val="24"/>
      <w:lang w:eastAsia="en-GB"/>
    </w:rPr>
  </w:style>
  <w:style w:type="paragraph" w:customStyle="1" w:styleId="TableBodyTextsmall">
    <w:name w:val="Table Body Text (small)"/>
    <w:basedOn w:val="TableBodyText"/>
    <w:uiPriority w:val="17"/>
    <w:semiHidden/>
    <w:qFormat/>
    <w:rsid w:val="000A2625"/>
    <w:pPr>
      <w:spacing w:before="40" w:after="40" w:line="100" w:lineRule="atLeast"/>
    </w:pPr>
    <w:rPr>
      <w:sz w:val="16"/>
    </w:rPr>
  </w:style>
  <w:style w:type="character" w:customStyle="1" w:styleId="Characterbold">
    <w:name w:val="Character (bold)"/>
    <w:basedOn w:val="DefaultParagraphFont"/>
    <w:uiPriority w:val="2"/>
    <w:qFormat/>
    <w:rsid w:val="00804FB8"/>
    <w:rPr>
      <w:rFonts w:ascii="Open Sans" w:hAnsi="Open Sans"/>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7D6170"/>
    <w:rPr>
      <w:rFonts w:ascii="Open Sans Light" w:eastAsia="Times New Roman" w:hAnsi="Open Sans Light" w:cs="Arial"/>
      <w:bCs/>
      <w:color w:val="207BA1"/>
      <w:sz w:val="52"/>
      <w:szCs w:val="32"/>
      <w:lang w:val="en-AU" w:eastAsia="en-AU"/>
    </w:rPr>
  </w:style>
  <w:style w:type="character" w:customStyle="1" w:styleId="Heading2Char">
    <w:name w:val="Heading 2 Char"/>
    <w:basedOn w:val="DefaultParagraphFont"/>
    <w:link w:val="Heading2"/>
    <w:uiPriority w:val="9"/>
    <w:rsid w:val="007D6170"/>
    <w:rPr>
      <w:rFonts w:ascii="Open Sans SemiBold" w:eastAsia="Times New Roman" w:hAnsi="Open Sans SemiBold" w:cs="Arial"/>
      <w:iCs/>
      <w:color w:val="207BA1"/>
      <w:sz w:val="28"/>
      <w:szCs w:val="28"/>
      <w:lang w:val="en-AU" w:eastAsia="en-AU"/>
    </w:rPr>
  </w:style>
  <w:style w:type="character" w:customStyle="1" w:styleId="Heading3Char">
    <w:name w:val="Heading 3 Char"/>
    <w:basedOn w:val="DefaultParagraphFont"/>
    <w:link w:val="Heading3"/>
    <w:uiPriority w:val="9"/>
    <w:rsid w:val="007D6170"/>
    <w:rPr>
      <w:rFonts w:ascii="Open Sans SemiBold" w:eastAsia="Times New Roman" w:hAnsi="Open Sans SemiBold" w:cs="Arial"/>
      <w:color w:val="207BA1"/>
      <w:sz w:val="24"/>
      <w:szCs w:val="26"/>
      <w:lang w:val="en-AU" w:eastAsia="en-AU"/>
    </w:rPr>
  </w:style>
  <w:style w:type="character" w:customStyle="1" w:styleId="Heading4Char">
    <w:name w:val="Heading 4 Char"/>
    <w:basedOn w:val="DefaultParagraphFont"/>
    <w:link w:val="Heading4"/>
    <w:uiPriority w:val="9"/>
    <w:rsid w:val="00C67BBF"/>
    <w:rPr>
      <w:rFonts w:ascii="Open Sans" w:eastAsia="Times New Roman" w:hAnsi="Open Sans" w:cs="Arial"/>
      <w:b/>
      <w:color w:val="207BA1"/>
      <w:szCs w:val="21"/>
      <w:lang w:val="en-AU" w:eastAsia="en-AU"/>
    </w:rPr>
  </w:style>
  <w:style w:type="character" w:customStyle="1" w:styleId="Heading5Char">
    <w:name w:val="Heading 5 Char"/>
    <w:basedOn w:val="DefaultParagraphFont"/>
    <w:link w:val="Heading5"/>
    <w:uiPriority w:val="9"/>
    <w:semiHidden/>
    <w:rsid w:val="008E67C3"/>
    <w:rPr>
      <w:rFonts w:ascii="Open Sans" w:eastAsia="Times New Roman" w:hAnsi="Open Sans" w:cs="Times New Roman"/>
      <w:b/>
      <w:bCs/>
      <w:iCs/>
      <w:color w:val="414141"/>
      <w:lang w:val="en-GB" w:eastAsia="en-AU"/>
    </w:rPr>
  </w:style>
  <w:style w:type="paragraph" w:customStyle="1" w:styleId="AppendixHead">
    <w:name w:val="AppendixHead"/>
    <w:basedOn w:val="Heading1"/>
    <w:next w:val="BodyText"/>
    <w:uiPriority w:val="11"/>
    <w:qFormat/>
    <w:rsid w:val="0047632B"/>
    <w:pPr>
      <w:keepNext w:val="0"/>
      <w:numPr>
        <w:numId w:val="12"/>
      </w:numPr>
      <w:tabs>
        <w:tab w:val="clear" w:pos="1021"/>
      </w:tabs>
      <w:suppressAutoHyphens/>
    </w:pPr>
    <w:rPr>
      <w:szCs w:val="30"/>
    </w:rPr>
  </w:style>
  <w:style w:type="numbering" w:customStyle="1" w:styleId="AppendixHeadingmaster">
    <w:name w:val="Appendix Heading (master)"/>
    <w:uiPriority w:val="99"/>
    <w:rsid w:val="0047632B"/>
    <w:pPr>
      <w:numPr>
        <w:numId w:val="1"/>
      </w:numPr>
    </w:pPr>
  </w:style>
  <w:style w:type="paragraph" w:styleId="BodyText">
    <w:name w:val="Body Text"/>
    <w:basedOn w:val="Normal"/>
    <w:link w:val="BodyTextChar"/>
    <w:qFormat/>
    <w:rsid w:val="00A7333D"/>
    <w:pPr>
      <w:spacing w:before="120" w:after="120" w:line="260" w:lineRule="atLeast"/>
    </w:pPr>
    <w:rPr>
      <w:color w:val="37424A"/>
    </w:rPr>
  </w:style>
  <w:style w:type="character" w:customStyle="1" w:styleId="BodyTextChar">
    <w:name w:val="Body Text Char"/>
    <w:basedOn w:val="DefaultParagraphFont"/>
    <w:link w:val="BodyText"/>
    <w:rsid w:val="00A7333D"/>
    <w:rPr>
      <w:rFonts w:ascii="Open Sans" w:hAnsi="Open Sans"/>
      <w:color w:val="37424A"/>
      <w:lang w:val="en-AU"/>
    </w:rPr>
  </w:style>
  <w:style w:type="paragraph" w:customStyle="1" w:styleId="AppendixSubHead">
    <w:name w:val="AppendixSubHead"/>
    <w:basedOn w:val="AppendixHead"/>
    <w:next w:val="BodyText"/>
    <w:uiPriority w:val="11"/>
    <w:qFormat/>
    <w:rsid w:val="0047632B"/>
    <w:pPr>
      <w:keepNext/>
      <w:pageBreakBefore w:val="0"/>
      <w:numPr>
        <w:ilvl w:val="1"/>
      </w:numPr>
      <w:spacing w:before="160" w:after="120"/>
    </w:pPr>
    <w:rPr>
      <w:rFonts w:ascii="Open Sans SemiBold" w:hAnsi="Open Sans SemiBold"/>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qFormat/>
    <w:rsid w:val="00066B58"/>
    <w:pPr>
      <w:numPr>
        <w:numId w:val="0"/>
      </w:numPr>
    </w:pPr>
  </w:style>
  <w:style w:type="numbering" w:customStyle="1" w:styleId="Headingsmaster">
    <w:name w:val="Headings (master)"/>
    <w:uiPriority w:val="99"/>
    <w:rsid w:val="00E27CA5"/>
    <w:pPr>
      <w:numPr>
        <w:numId w:val="3"/>
      </w:numPr>
    </w:pPr>
  </w:style>
  <w:style w:type="paragraph" w:customStyle="1" w:styleId="Image">
    <w:name w:val="Image"/>
    <w:basedOn w:val="Normal"/>
    <w:next w:val="BodyText"/>
    <w:uiPriority w:val="22"/>
    <w:qFormat/>
    <w:rsid w:val="009F6BB7"/>
    <w:pPr>
      <w:spacing w:before="120" w:after="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semiHidden/>
    <w:qFormat/>
    <w:rsid w:val="002B3BCD"/>
    <w:pPr>
      <w:spacing w:before="80" w:after="80" w:line="200" w:lineRule="atLeast"/>
    </w:pPr>
    <w:rPr>
      <w:sz w:val="17"/>
    </w:rPr>
  </w:style>
  <w:style w:type="paragraph" w:customStyle="1" w:styleId="TableBodyTextrightalign">
    <w:name w:val="Table Body Text (right align)"/>
    <w:basedOn w:val="TableBodyText"/>
    <w:uiPriority w:val="17"/>
    <w:qFormat/>
    <w:rsid w:val="00422E64"/>
    <w:pPr>
      <w:jc w:val="right"/>
    </w:pPr>
    <w:rPr>
      <w:color w:val="37424A"/>
    </w:rPr>
  </w:style>
  <w:style w:type="table" w:styleId="TableGrid">
    <w:name w:val="Table Grid"/>
    <w:basedOn w:val="TableNormal"/>
    <w:uiPriority w:val="39"/>
    <w:rsid w:val="00354B38"/>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2"/>
    <w:qFormat/>
    <w:rsid w:val="00422E64"/>
    <w:pPr>
      <w:spacing w:before="120" w:after="120" w:line="260" w:lineRule="atLeast"/>
      <w:ind w:left="714" w:right="714"/>
    </w:pPr>
    <w:rPr>
      <w:i/>
      <w:iCs/>
      <w:color w:val="37424A"/>
    </w:rPr>
  </w:style>
  <w:style w:type="character" w:customStyle="1" w:styleId="QuoteChar">
    <w:name w:val="Quote Char"/>
    <w:basedOn w:val="DefaultParagraphFont"/>
    <w:link w:val="Quote"/>
    <w:uiPriority w:val="2"/>
    <w:rsid w:val="00422E64"/>
    <w:rPr>
      <w:rFonts w:ascii="Open Sans" w:hAnsi="Open Sans"/>
      <w:i/>
      <w:iCs/>
      <w:color w:val="37424A"/>
      <w:lang w:val="en-AU"/>
    </w:rPr>
  </w:style>
  <w:style w:type="paragraph" w:styleId="Header">
    <w:name w:val="header"/>
    <w:basedOn w:val="Normal"/>
    <w:link w:val="HeaderChar"/>
    <w:uiPriority w:val="24"/>
    <w:semiHidden/>
    <w:rsid w:val="000F6CC6"/>
    <w:pPr>
      <w:tabs>
        <w:tab w:val="right" w:pos="13948"/>
      </w:tabs>
      <w:spacing w:before="0" w:after="0"/>
    </w:pPr>
    <w:rPr>
      <w:color w:val="37424A"/>
      <w:sz w:val="18"/>
    </w:rPr>
  </w:style>
  <w:style w:type="character" w:customStyle="1" w:styleId="HeaderChar">
    <w:name w:val="Header Char"/>
    <w:basedOn w:val="DefaultParagraphFont"/>
    <w:link w:val="Header"/>
    <w:uiPriority w:val="24"/>
    <w:semiHidden/>
    <w:rsid w:val="000F6CC6"/>
    <w:rPr>
      <w:rFonts w:ascii="Open Sans" w:hAnsi="Open Sans"/>
      <w:color w:val="37424A"/>
      <w:sz w:val="18"/>
      <w:lang w:val="en-AU"/>
    </w:rPr>
  </w:style>
  <w:style w:type="paragraph" w:styleId="Footer">
    <w:name w:val="footer"/>
    <w:basedOn w:val="Normal"/>
    <w:link w:val="FooterChar"/>
    <w:uiPriority w:val="24"/>
    <w:semiHidden/>
    <w:rsid w:val="000F6CC6"/>
    <w:pPr>
      <w:pBdr>
        <w:top w:val="single" w:sz="8" w:space="4" w:color="E83F35"/>
      </w:pBdr>
      <w:tabs>
        <w:tab w:val="right" w:pos="14629"/>
      </w:tabs>
      <w:spacing w:before="0" w:after="0"/>
    </w:pPr>
    <w:rPr>
      <w:color w:val="37424A"/>
      <w:sz w:val="18"/>
    </w:rPr>
  </w:style>
  <w:style w:type="character" w:customStyle="1" w:styleId="FooterChar">
    <w:name w:val="Footer Char"/>
    <w:basedOn w:val="DefaultParagraphFont"/>
    <w:link w:val="Footer"/>
    <w:uiPriority w:val="24"/>
    <w:semiHidden/>
    <w:rsid w:val="000F6CC6"/>
    <w:rPr>
      <w:rFonts w:ascii="Open Sans" w:hAnsi="Open Sans"/>
      <w:color w:val="37424A"/>
      <w:sz w:val="18"/>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293137" w:themeColor="text1" w:themeShade="BF"/>
    </w:rPr>
    <w:tblPr>
      <w:tblStyleRowBandSize w:val="1"/>
      <w:tblStyleColBandSize w:val="1"/>
      <w:tblBorders>
        <w:top w:val="single" w:sz="8" w:space="0" w:color="37424A" w:themeColor="text1"/>
        <w:bottom w:val="single" w:sz="8" w:space="0" w:color="37424A" w:themeColor="text1"/>
      </w:tblBorders>
    </w:tblPr>
    <w:tblStylePr w:type="firstRow">
      <w:pPr>
        <w:spacing w:before="0" w:after="0" w:line="240" w:lineRule="auto"/>
      </w:pPr>
      <w:rPr>
        <w:b/>
        <w:bCs/>
      </w:rPr>
      <w:tblPr/>
      <w:tcPr>
        <w:tcBorders>
          <w:top w:val="single" w:sz="8" w:space="0" w:color="37424A" w:themeColor="text1"/>
          <w:left w:val="nil"/>
          <w:bottom w:val="single" w:sz="8" w:space="0" w:color="37424A" w:themeColor="text1"/>
          <w:right w:val="nil"/>
          <w:insideH w:val="nil"/>
          <w:insideV w:val="nil"/>
        </w:tcBorders>
      </w:tcPr>
    </w:tblStylePr>
    <w:tblStylePr w:type="lastRow">
      <w:pPr>
        <w:spacing w:before="0" w:after="0" w:line="240" w:lineRule="auto"/>
      </w:pPr>
      <w:rPr>
        <w:b/>
        <w:bCs/>
      </w:rPr>
      <w:tblPr/>
      <w:tcPr>
        <w:tcBorders>
          <w:top w:val="single" w:sz="8" w:space="0" w:color="37424A" w:themeColor="text1"/>
          <w:left w:val="nil"/>
          <w:bottom w:val="single" w:sz="8" w:space="0" w:color="37424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0D6" w:themeFill="text1" w:themeFillTint="3F"/>
      </w:tcPr>
    </w:tblStylePr>
    <w:tblStylePr w:type="band1Horz">
      <w:tblPr/>
      <w:tcPr>
        <w:tcBorders>
          <w:left w:val="nil"/>
          <w:right w:val="nil"/>
          <w:insideH w:val="nil"/>
          <w:insideV w:val="nil"/>
        </w:tcBorders>
        <w:shd w:val="clear" w:color="auto" w:fill="C8D0D6" w:themeFill="text1" w:themeFillTint="3F"/>
      </w:tcPr>
    </w:tblStylePr>
  </w:style>
  <w:style w:type="table" w:styleId="LightShading-Accent1">
    <w:name w:val="Light Shading Accent 1"/>
    <w:basedOn w:val="TableNormal"/>
    <w:uiPriority w:val="60"/>
    <w:locked/>
    <w:rsid w:val="009076EA"/>
    <w:pPr>
      <w:spacing w:after="0" w:line="240" w:lineRule="auto"/>
    </w:pPr>
    <w:rPr>
      <w:color w:val="BF1F15" w:themeColor="accent1" w:themeShade="BF"/>
    </w:rPr>
    <w:tblPr>
      <w:tblStyleRowBandSize w:val="1"/>
      <w:tblStyleColBandSize w:val="1"/>
      <w:tblBorders>
        <w:top w:val="single" w:sz="8" w:space="0" w:color="E83F35" w:themeColor="accent1"/>
        <w:bottom w:val="single" w:sz="8" w:space="0" w:color="E83F35" w:themeColor="accent1"/>
      </w:tblBorders>
    </w:tblPr>
    <w:tblStylePr w:type="firstRow">
      <w:pPr>
        <w:spacing w:before="0" w:after="0" w:line="240" w:lineRule="auto"/>
      </w:pPr>
      <w:rPr>
        <w:b/>
        <w:bCs/>
      </w:rPr>
      <w:tblPr/>
      <w:tcPr>
        <w:tcBorders>
          <w:top w:val="single" w:sz="8" w:space="0" w:color="E83F35" w:themeColor="accent1"/>
          <w:left w:val="nil"/>
          <w:bottom w:val="single" w:sz="8" w:space="0" w:color="E83F35" w:themeColor="accent1"/>
          <w:right w:val="nil"/>
          <w:insideH w:val="nil"/>
          <w:insideV w:val="nil"/>
        </w:tcBorders>
      </w:tcPr>
    </w:tblStylePr>
    <w:tblStylePr w:type="lastRow">
      <w:pPr>
        <w:spacing w:before="0" w:after="0" w:line="240" w:lineRule="auto"/>
      </w:pPr>
      <w:rPr>
        <w:b/>
        <w:bCs/>
      </w:rPr>
      <w:tblPr/>
      <w:tcPr>
        <w:tcBorders>
          <w:top w:val="single" w:sz="8" w:space="0" w:color="E83F35" w:themeColor="accent1"/>
          <w:left w:val="nil"/>
          <w:bottom w:val="single" w:sz="8" w:space="0" w:color="E83F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FCD" w:themeFill="accent1" w:themeFillTint="3F"/>
      </w:tcPr>
    </w:tblStylePr>
    <w:tblStylePr w:type="band1Horz">
      <w:tblPr/>
      <w:tcPr>
        <w:tcBorders>
          <w:left w:val="nil"/>
          <w:right w:val="nil"/>
          <w:insideH w:val="nil"/>
          <w:insideV w:val="nil"/>
        </w:tcBorders>
        <w:shd w:val="clear" w:color="auto" w:fill="F9CFCD" w:themeFill="accent1" w:themeFillTint="3F"/>
      </w:tcPr>
    </w:tblStylePr>
  </w:style>
  <w:style w:type="paragraph" w:styleId="Title">
    <w:name w:val="Title"/>
    <w:basedOn w:val="Normal"/>
    <w:next w:val="BodyText"/>
    <w:link w:val="TitleChar"/>
    <w:uiPriority w:val="24"/>
    <w:rsid w:val="00960107"/>
    <w:pPr>
      <w:spacing w:before="11000" w:after="280"/>
      <w:contextualSpacing/>
      <w:outlineLvl w:val="0"/>
    </w:pPr>
    <w:rPr>
      <w:rFonts w:eastAsiaTheme="majorEastAsia" w:cs="Arial"/>
      <w:color w:val="FFFFFF" w:themeColor="background1"/>
      <w:kern w:val="28"/>
      <w:sz w:val="44"/>
      <w:szCs w:val="52"/>
    </w:rPr>
  </w:style>
  <w:style w:type="character" w:customStyle="1" w:styleId="TitleChar">
    <w:name w:val="Title Char"/>
    <w:basedOn w:val="DefaultParagraphFont"/>
    <w:link w:val="Title"/>
    <w:uiPriority w:val="24"/>
    <w:rsid w:val="00960107"/>
    <w:rPr>
      <w:rFonts w:ascii="Open Sans" w:eastAsiaTheme="majorEastAsia" w:hAnsi="Open Sans" w:cs="Arial"/>
      <w:color w:val="FFFFFF" w:themeColor="background1"/>
      <w:kern w:val="28"/>
      <w:sz w:val="44"/>
      <w:szCs w:val="52"/>
      <w:lang w:val="en-AU"/>
    </w:rPr>
  </w:style>
  <w:style w:type="paragraph" w:styleId="Subtitle">
    <w:name w:val="Subtitle"/>
    <w:basedOn w:val="Normal"/>
    <w:next w:val="BodyText"/>
    <w:link w:val="SubtitleChar"/>
    <w:uiPriority w:val="24"/>
    <w:rsid w:val="00BF214B"/>
    <w:pPr>
      <w:numPr>
        <w:ilvl w:val="1"/>
      </w:numPr>
      <w:spacing w:before="200" w:after="400"/>
      <w:contextualSpacing/>
    </w:pPr>
    <w:rPr>
      <w:rFonts w:eastAsiaTheme="majorEastAsia" w:cstheme="majorBidi"/>
      <w:iCs/>
      <w:color w:val="FFFFFF" w:themeColor="background1"/>
      <w:szCs w:val="24"/>
    </w:rPr>
  </w:style>
  <w:style w:type="character" w:customStyle="1" w:styleId="SubtitleChar">
    <w:name w:val="Subtitle Char"/>
    <w:basedOn w:val="DefaultParagraphFont"/>
    <w:link w:val="Subtitle"/>
    <w:uiPriority w:val="24"/>
    <w:rsid w:val="00BF214B"/>
    <w:rPr>
      <w:rFonts w:ascii="Open Sans" w:eastAsiaTheme="majorEastAsia" w:hAnsi="Open Sans" w:cstheme="majorBidi"/>
      <w:iCs/>
      <w:color w:val="FFFFFF" w:themeColor="background1"/>
      <w:szCs w:val="24"/>
      <w:lang w:val="en-AU"/>
    </w:rPr>
  </w:style>
  <w:style w:type="numbering" w:customStyle="1" w:styleId="ListAlphanumericmaster">
    <w:name w:val="List Alphanumeric (master)"/>
    <w:uiPriority w:val="99"/>
    <w:rsid w:val="003D2B56"/>
    <w:pPr>
      <w:numPr>
        <w:numId w:val="8"/>
      </w:numPr>
    </w:pPr>
  </w:style>
  <w:style w:type="paragraph" w:styleId="TOCHeading">
    <w:name w:val="TOC Heading"/>
    <w:basedOn w:val="Heading1"/>
    <w:next w:val="Normal"/>
    <w:uiPriority w:val="24"/>
    <w:semiHidden/>
    <w:rsid w:val="00CE1250"/>
    <w:pPr>
      <w:keepLines/>
      <w:pageBreakBefore w:val="0"/>
      <w:numPr>
        <w:numId w:val="0"/>
      </w:numPr>
      <w:outlineLvl w:val="9"/>
    </w:pPr>
    <w:rPr>
      <w:rFonts w:eastAsiaTheme="majorEastAsia" w:cstheme="majorBidi"/>
      <w:szCs w:val="28"/>
      <w:lang w:eastAsia="en-US"/>
    </w:rPr>
  </w:style>
  <w:style w:type="paragraph" w:styleId="TOC1">
    <w:name w:val="toc 1"/>
    <w:basedOn w:val="Normal"/>
    <w:next w:val="BodyText"/>
    <w:autoRedefine/>
    <w:uiPriority w:val="39"/>
    <w:rsid w:val="0093768A"/>
    <w:pPr>
      <w:tabs>
        <w:tab w:val="left" w:pos="440"/>
        <w:tab w:val="right" w:pos="9017"/>
      </w:tabs>
      <w:spacing w:after="100"/>
      <w:ind w:left="442" w:right="851" w:hanging="442"/>
    </w:pPr>
    <w:rPr>
      <w:rFonts w:ascii="Open Sans SemiBold" w:hAnsi="Open Sans SemiBold"/>
      <w:color w:val="207BA1"/>
      <w:sz w:val="24"/>
    </w:rPr>
  </w:style>
  <w:style w:type="paragraph" w:styleId="TOC2">
    <w:name w:val="toc 2"/>
    <w:basedOn w:val="Normal"/>
    <w:next w:val="BodyText"/>
    <w:autoRedefine/>
    <w:uiPriority w:val="39"/>
    <w:rsid w:val="006C1344"/>
    <w:pPr>
      <w:tabs>
        <w:tab w:val="left" w:pos="1134"/>
        <w:tab w:val="right" w:pos="9017"/>
      </w:tabs>
      <w:spacing w:after="100"/>
      <w:ind w:left="680" w:right="851" w:hanging="680"/>
    </w:pPr>
    <w:rPr>
      <w:color w:val="37424A"/>
      <w:sz w:val="24"/>
    </w:rPr>
  </w:style>
  <w:style w:type="character" w:styleId="Hyperlink">
    <w:name w:val="Hyperlink"/>
    <w:basedOn w:val="DefaultParagraphFont"/>
    <w:uiPriority w:val="99"/>
    <w:qFormat/>
    <w:rsid w:val="001D6EBC"/>
    <w:rPr>
      <w:color w:val="E83F35"/>
      <w:u w:val="single"/>
    </w:rPr>
  </w:style>
  <w:style w:type="paragraph" w:styleId="TOC3">
    <w:name w:val="toc 3"/>
    <w:basedOn w:val="Normal"/>
    <w:next w:val="BodyText"/>
    <w:autoRedefine/>
    <w:uiPriority w:val="39"/>
    <w:rsid w:val="0093768A"/>
    <w:pPr>
      <w:tabs>
        <w:tab w:val="left" w:pos="1928"/>
        <w:tab w:val="right" w:pos="9017"/>
      </w:tabs>
      <w:spacing w:after="100"/>
      <w:ind w:left="794" w:right="851" w:hanging="794"/>
    </w:pPr>
    <w:rPr>
      <w:sz w:val="24"/>
    </w:rPr>
  </w:style>
  <w:style w:type="paragraph" w:styleId="Caption">
    <w:name w:val="caption"/>
    <w:basedOn w:val="Normal"/>
    <w:next w:val="BodyText"/>
    <w:uiPriority w:val="35"/>
    <w:qFormat/>
    <w:rsid w:val="000A069D"/>
    <w:pPr>
      <w:spacing w:before="360" w:after="240"/>
    </w:pPr>
    <w:rPr>
      <w:b/>
      <w:bCs/>
      <w:color w:val="37424A"/>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right" w:pos="13608"/>
      </w:tabs>
    </w:pPr>
  </w:style>
  <w:style w:type="paragraph" w:customStyle="1" w:styleId="ListLegal">
    <w:name w:val="List Legal"/>
    <w:basedOn w:val="ListNumber"/>
    <w:uiPriority w:val="8"/>
    <w:qFormat/>
    <w:rsid w:val="00BB2B70"/>
    <w:pPr>
      <w:numPr>
        <w:numId w:val="15"/>
      </w:numPr>
      <w:ind w:left="0" w:hanging="567"/>
    </w:pPr>
  </w:style>
  <w:style w:type="numbering" w:customStyle="1" w:styleId="ListLegalmaster">
    <w:name w:val="List Legal (master)"/>
    <w:uiPriority w:val="99"/>
    <w:rsid w:val="00BB2B70"/>
    <w:pPr>
      <w:numPr>
        <w:numId w:val="9"/>
      </w:numPr>
    </w:pPr>
  </w:style>
  <w:style w:type="paragraph" w:customStyle="1" w:styleId="ListLegal2">
    <w:name w:val="List Legal 2"/>
    <w:basedOn w:val="ListNumber2"/>
    <w:uiPriority w:val="8"/>
    <w:semiHidden/>
    <w:qFormat/>
    <w:rsid w:val="00BB2B70"/>
    <w:pPr>
      <w:numPr>
        <w:numId w:val="15"/>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0F6CC6"/>
    <w:pPr>
      <w:spacing w:before="400" w:after="400"/>
    </w:pPr>
    <w:rPr>
      <w:color w:val="37424A"/>
      <w:sz w:val="28"/>
    </w:rPr>
  </w:style>
  <w:style w:type="paragraph" w:customStyle="1" w:styleId="SingleSpace">
    <w:name w:val="Single Space"/>
    <w:basedOn w:val="BodyText"/>
    <w:uiPriority w:val="21"/>
    <w:semiHidden/>
    <w:rsid w:val="0069066D"/>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E3125B"/>
    <w:pPr>
      <w:tabs>
        <w:tab w:val="left" w:pos="442"/>
        <w:tab w:val="left" w:pos="1542"/>
        <w:tab w:val="right" w:pos="9015"/>
      </w:tabs>
      <w:spacing w:after="100"/>
      <w:ind w:left="1021" w:right="851" w:hanging="1021"/>
    </w:pPr>
    <w:rPr>
      <w:color w:val="37424A"/>
    </w:rPr>
  </w:style>
  <w:style w:type="paragraph" w:customStyle="1" w:styleId="BodyTextindent">
    <w:name w:val="Body Text (indent)"/>
    <w:basedOn w:val="BodyText"/>
    <w:qFormat/>
    <w:rsid w:val="004E0812"/>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color w:val="37424A"/>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050F92"/>
    <w:pPr>
      <w:pageBreakBefore w:val="0"/>
      <w:numPr>
        <w:numId w:val="0"/>
      </w:numPr>
      <w:tabs>
        <w:tab w:val="clear" w:pos="1021"/>
      </w:tabs>
      <w:spacing w:before="120" w:after="120"/>
    </w:pPr>
    <w:rPr>
      <w:rFonts w:ascii="Open Sans" w:hAnsi="Open Sans" w:cs="Calibri"/>
      <w:noProof/>
      <w:color w:val="37424A"/>
      <w:sz w:val="20"/>
    </w:rPr>
  </w:style>
  <w:style w:type="character" w:customStyle="1" w:styleId="EndNoteBibliographyTitleChar4">
    <w:name w:val="EndNote Bibliography Title Char4"/>
    <w:basedOn w:val="BodyTextChar"/>
    <w:link w:val="EndNoteBibliographyTitle"/>
    <w:uiPriority w:val="23"/>
    <w:semiHidden/>
    <w:rsid w:val="00050F92"/>
    <w:rPr>
      <w:rFonts w:ascii="Open Sans" w:eastAsia="Times New Roman" w:hAnsi="Open Sans" w:cs="Calibri"/>
      <w:bCs/>
      <w:noProof/>
      <w:color w:val="37424A"/>
      <w:szCs w:val="32"/>
      <w:lang w:val="en-AU" w:eastAsia="en-AU"/>
    </w:rPr>
  </w:style>
  <w:style w:type="character" w:styleId="PlaceholderText">
    <w:name w:val="Placeholder Text"/>
    <w:basedOn w:val="Characteryellowhighlight"/>
    <w:uiPriority w:val="99"/>
    <w:rsid w:val="008D33CC"/>
    <w:rPr>
      <w:color w:val="37424A"/>
      <w:bdr w:val="none" w:sz="0" w:space="0" w:color="auto"/>
      <w:shd w:val="clear" w:color="auto" w:fill="FFFF00"/>
      <w:lang w:val="en-AU"/>
    </w:rPr>
  </w:style>
  <w:style w:type="paragraph" w:styleId="TOC4">
    <w:name w:val="toc 4"/>
    <w:basedOn w:val="TOC1"/>
    <w:next w:val="BodyText"/>
    <w:autoRedefine/>
    <w:uiPriority w:val="39"/>
    <w:rsid w:val="0068678C"/>
    <w:pPr>
      <w:tabs>
        <w:tab w:val="left" w:pos="1540"/>
      </w:tabs>
      <w:ind w:left="1418" w:hanging="1418"/>
    </w:pPr>
    <w:rPr>
      <w:noProof/>
    </w:rPr>
  </w:style>
  <w:style w:type="paragraph" w:customStyle="1" w:styleId="BodyTextindent4">
    <w:name w:val="Body Text (indent 4)"/>
    <w:basedOn w:val="BodyText"/>
    <w:uiPriority w:val="1"/>
    <w:qFormat/>
    <w:rsid w:val="00291313"/>
    <w:pPr>
      <w:ind w:left="1435"/>
    </w:pPr>
  </w:style>
  <w:style w:type="paragraph" w:styleId="FootnoteText">
    <w:name w:val="footnote text"/>
    <w:aliases w:val="(NECG) Footnote Text,ALTS FOOTNOTE,Footnote Text1,Footnote Text2,ALTS FOOTNOTE2,Footnote Text11,(NECG) Footnote Text1,Footnote text,AR Footnote Text,AR Footnote Text Char Char Char Char Char Char,AR Footnote Text Char Char Char Char Char,f"/>
    <w:basedOn w:val="Normal"/>
    <w:link w:val="FootnoteTextChar"/>
    <w:qFormat/>
    <w:rsid w:val="00173C98"/>
    <w:pPr>
      <w:spacing w:before="0" w:after="80"/>
      <w:ind w:left="357" w:hanging="357"/>
    </w:pPr>
    <w:rPr>
      <w:color w:val="6A7177"/>
      <w:sz w:val="16"/>
    </w:rPr>
  </w:style>
  <w:style w:type="character" w:customStyle="1" w:styleId="FootnoteTextChar">
    <w:name w:val="Footnote Text Char"/>
    <w:aliases w:val="(NECG) Footnote Text Char,ALTS FOOTNOTE Char,Footnote Text1 Char,Footnote Text2 Char,ALTS FOOTNOTE2 Char,Footnote Text11 Char,(NECG) Footnote Text1 Char,Footnote text Char,AR Footnote Text Char,f Char"/>
    <w:basedOn w:val="DefaultParagraphFont"/>
    <w:link w:val="FootnoteText"/>
    <w:uiPriority w:val="3"/>
    <w:rsid w:val="00173C98"/>
    <w:rPr>
      <w:rFonts w:ascii="Open Sans" w:hAnsi="Open Sans"/>
      <w:color w:val="6A7177"/>
      <w:sz w:val="16"/>
      <w:lang w:val="en-AU"/>
    </w:rPr>
  </w:style>
  <w:style w:type="character" w:styleId="FootnoteReference">
    <w:name w:val="footnote reference"/>
    <w:aliases w:val="SFG_Footnote_Reference,(NECG) Footnote Reference,(NECG) Footnote Reference1,(NECG) Footnote Reference2,(NECG) Footnote Reference3,(NECG) Footnote Reference4,(NECG) Footnote Reference5,(NECG) Footnote Reference6,o,Style 3,Style 12,fr"/>
    <w:basedOn w:val="DefaultParagraphFont"/>
    <w:rsid w:val="00600004"/>
    <w:rPr>
      <w:vertAlign w:val="superscript"/>
    </w:rPr>
  </w:style>
  <w:style w:type="table" w:customStyle="1" w:styleId="CustomTabledetailed">
    <w:name w:val="Custom Table (detailed)"/>
    <w:basedOn w:val="TableNormal"/>
    <w:uiPriority w:val="99"/>
    <w:rsid w:val="00CC02BC"/>
    <w:pPr>
      <w:spacing w:after="0" w:line="240" w:lineRule="auto"/>
    </w:pPr>
    <w:rPr>
      <w:rFonts w:ascii="Open Sans" w:hAnsi="Open Sans"/>
    </w:rPr>
    <w:tblPr>
      <w:tblStyleRowBandSize w:val="1"/>
      <w:tblStyleColBandSize w:val="1"/>
      <w:tblBorders>
        <w:bottom w:val="single" w:sz="4" w:space="0" w:color="F2F2F2"/>
      </w:tblBorders>
    </w:tblPr>
    <w:trPr>
      <w:cantSplit/>
    </w:trPr>
    <w:tblStylePr w:type="firstRow">
      <w:rPr>
        <w:b/>
        <w:color w:val="FFFFFF" w:themeColor="background1"/>
      </w:rPr>
      <w:tblPr/>
      <w:tcPr>
        <w:shd w:val="clear" w:color="auto" w:fill="207BA1"/>
      </w:tcPr>
    </w:tblStylePr>
    <w:tblStylePr w:type="lastRow">
      <w:tblPr/>
      <w:tcPr>
        <w:shd w:val="clear" w:color="auto" w:fill="D9D9D9" w:themeFill="background1" w:themeFillShade="D9"/>
      </w:tcPr>
    </w:tblStylePr>
    <w:tblStylePr w:type="firstCol">
      <w:rPr>
        <w:b/>
        <w:color w:val="FFFFFF" w:themeColor="background1"/>
      </w:rPr>
      <w:tblPr/>
      <w:tcPr>
        <w:shd w:val="clear" w:color="auto" w:fill="207BA1"/>
      </w:tcPr>
    </w:tblStylePr>
    <w:tblStylePr w:type="band2Vert">
      <w:tblPr/>
      <w:tcPr>
        <w:shd w:val="clear" w:color="auto" w:fill="F2F2F2"/>
      </w:tcPr>
    </w:tblStylePr>
    <w:tblStylePr w:type="band2Horz">
      <w:tblPr/>
      <w:tcPr>
        <w:shd w:val="clear" w:color="auto" w:fill="F2F2F2"/>
      </w:tcPr>
    </w:tblStylePr>
  </w:style>
  <w:style w:type="table" w:customStyle="1" w:styleId="CustomTablebasic">
    <w:name w:val="Custom Table (basic)"/>
    <w:basedOn w:val="TableNormal"/>
    <w:uiPriority w:val="99"/>
    <w:rsid w:val="0072432F"/>
    <w:pPr>
      <w:spacing w:after="0" w:line="240" w:lineRule="auto"/>
    </w:pPr>
    <w:rPr>
      <w:rFonts w:ascii="Open Sans" w:hAnsi="Open Sans"/>
    </w:rPr>
    <w:tblPr>
      <w:tblStyleRowBandSize w:val="1"/>
      <w:tblStyleColBandSize w:val="1"/>
      <w:tblBorders>
        <w:bottom w:val="single" w:sz="4" w:space="0" w:color="F2F2F2"/>
      </w:tblBorders>
    </w:tblPr>
    <w:trPr>
      <w:cantSplit/>
    </w:trPr>
    <w:tblStylePr w:type="firstRow">
      <w:rPr>
        <w:b/>
        <w:color w:val="FFFFFF" w:themeColor="background1"/>
      </w:rPr>
      <w:tblPr/>
      <w:tcPr>
        <w:shd w:val="clear" w:color="auto" w:fill="207BA1"/>
      </w:tcPr>
    </w:tblStylePr>
    <w:tblStylePr w:type="firstCol">
      <w:rPr>
        <w:b w:val="0"/>
        <w:color w:val="auto"/>
      </w:rPr>
    </w:tblStylePr>
  </w:style>
  <w:style w:type="table" w:customStyle="1" w:styleId="CustomTablestandard">
    <w:name w:val="Custom Table (standard)"/>
    <w:basedOn w:val="TableNormal"/>
    <w:uiPriority w:val="99"/>
    <w:rsid w:val="00DC56D4"/>
    <w:pPr>
      <w:spacing w:after="0" w:line="240" w:lineRule="auto"/>
    </w:pPr>
    <w:rPr>
      <w:rFonts w:ascii="Open Sans" w:hAnsi="Open Sans"/>
    </w:rPr>
    <w:tblPr>
      <w:tblStyleRowBandSize w:val="1"/>
      <w:tblBorders>
        <w:bottom w:val="single" w:sz="4" w:space="0" w:color="F2F2F2"/>
      </w:tblBorders>
    </w:tblPr>
    <w:trPr>
      <w:cantSplit/>
    </w:trPr>
    <w:tblStylePr w:type="firstRow">
      <w:rPr>
        <w:b/>
        <w:color w:val="FFFFFF" w:themeColor="background1"/>
      </w:rPr>
      <w:tblPr/>
      <w:tcPr>
        <w:shd w:val="clear" w:color="auto" w:fill="207BA1"/>
      </w:tcPr>
    </w:tblStylePr>
    <w:tblStylePr w:type="band2Horz">
      <w:tblPr/>
      <w:tcPr>
        <w:shd w:val="clear" w:color="auto" w:fill="F2F2F2"/>
      </w:tcPr>
    </w:tblStylePr>
  </w:style>
  <w:style w:type="table" w:customStyle="1" w:styleId="CustomTableplaceholder">
    <w:name w:val="Custom Table (placeholder)"/>
    <w:basedOn w:val="TableNormal"/>
    <w:uiPriority w:val="99"/>
    <w:rsid w:val="00782F5E"/>
    <w:pPr>
      <w:spacing w:after="0" w:line="240" w:lineRule="auto"/>
    </w:pPr>
    <w:rPr>
      <w:rFonts w:ascii="Open Sans" w:hAnsi="Open Sans"/>
    </w:rPr>
    <w:tblPr/>
  </w:style>
  <w:style w:type="paragraph" w:styleId="Signature">
    <w:name w:val="Signature"/>
    <w:basedOn w:val="Normal"/>
    <w:link w:val="SignatureChar"/>
    <w:uiPriority w:val="23"/>
    <w:semiHidden/>
    <w:rsid w:val="009E61A1"/>
    <w:pPr>
      <w:spacing w:before="360" w:after="360"/>
    </w:pPr>
    <w:rPr>
      <w:rFonts w:ascii="Segoe Script" w:hAnsi="Segoe Script"/>
      <w:color w:val="7C8F9C"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7C8F9C" w:themeColor="text2" w:themeTint="99"/>
      <w:sz w:val="24"/>
      <w:lang w:val="en-AU"/>
    </w:rPr>
  </w:style>
  <w:style w:type="paragraph" w:customStyle="1" w:styleId="Quotekeyfact">
    <w:name w:val="Quote (key fact)"/>
    <w:basedOn w:val="Quote"/>
    <w:next w:val="BodyText"/>
    <w:link w:val="QuotekeyfactChar"/>
    <w:uiPriority w:val="18"/>
    <w:qFormat/>
    <w:rsid w:val="00BF214B"/>
    <w:pPr>
      <w:pBdr>
        <w:top w:val="single" w:sz="12" w:space="12" w:color="207BA1"/>
        <w:left w:val="single" w:sz="12" w:space="4" w:color="207BA1"/>
        <w:bottom w:val="single" w:sz="12" w:space="12" w:color="207BA1"/>
        <w:right w:val="single" w:sz="12" w:space="4" w:color="207BA1"/>
      </w:pBdr>
      <w:shd w:val="clear" w:color="auto" w:fill="207BA1"/>
      <w:spacing w:before="360" w:after="360"/>
      <w:ind w:left="28" w:right="28"/>
    </w:pPr>
    <w:rPr>
      <w:color w:val="FFFFFF" w:themeColor="background1"/>
    </w:rPr>
  </w:style>
  <w:style w:type="paragraph" w:customStyle="1" w:styleId="Quotelong">
    <w:name w:val="Quote (long)"/>
    <w:basedOn w:val="Quotekeyfact"/>
    <w:next w:val="BodyText"/>
    <w:link w:val="QuotelongChar"/>
    <w:uiPriority w:val="18"/>
    <w:qFormat/>
    <w:rsid w:val="00BF214B"/>
    <w:pPr>
      <w:pBdr>
        <w:top w:val="single" w:sz="12" w:space="12" w:color="F2F2F2"/>
        <w:left w:val="single" w:sz="12" w:space="4" w:color="F2F2F2"/>
        <w:bottom w:val="single" w:sz="12" w:space="12" w:color="F2F2F2"/>
        <w:right w:val="single" w:sz="12" w:space="4" w:color="F2F2F2"/>
      </w:pBdr>
      <w:shd w:val="clear" w:color="auto" w:fill="F2F2F2"/>
    </w:pPr>
    <w:rPr>
      <w:color w:val="207BA1"/>
    </w:rPr>
  </w:style>
  <w:style w:type="character" w:customStyle="1" w:styleId="QuotekeyfactChar">
    <w:name w:val="Quote (key fact) Char"/>
    <w:basedOn w:val="QuoteChar"/>
    <w:link w:val="Quotekeyfact"/>
    <w:uiPriority w:val="18"/>
    <w:rsid w:val="00BF214B"/>
    <w:rPr>
      <w:rFonts w:ascii="Open Sans" w:hAnsi="Open Sans"/>
      <w:i/>
      <w:iCs/>
      <w:color w:val="FFFFFF" w:themeColor="background1"/>
      <w:shd w:val="clear" w:color="auto" w:fill="207BA1"/>
      <w:lang w:val="en-AU"/>
    </w:rPr>
  </w:style>
  <w:style w:type="paragraph" w:customStyle="1" w:styleId="Source">
    <w:name w:val="Source"/>
    <w:basedOn w:val="BodyText"/>
    <w:next w:val="BodyText"/>
    <w:uiPriority w:val="22"/>
    <w:qFormat/>
    <w:rsid w:val="00387071"/>
    <w:rPr>
      <w:i/>
      <w:color w:val="6A7177"/>
      <w:sz w:val="18"/>
      <w:lang w:eastAsia="en-AU"/>
    </w:rPr>
  </w:style>
  <w:style w:type="character" w:customStyle="1" w:styleId="QuotelongChar">
    <w:name w:val="Quote (long) Char"/>
    <w:basedOn w:val="QuotekeyfactChar"/>
    <w:link w:val="Quotelong"/>
    <w:uiPriority w:val="18"/>
    <w:rsid w:val="00BF214B"/>
    <w:rPr>
      <w:rFonts w:ascii="Open Sans" w:hAnsi="Open Sans"/>
      <w:i/>
      <w:iCs/>
      <w:color w:val="207BA1"/>
      <w:shd w:val="clear" w:color="auto" w:fill="F2F2F2"/>
      <w:lang w:val="en-AU"/>
    </w:rPr>
  </w:style>
  <w:style w:type="character" w:customStyle="1" w:styleId="CharacterFEblue">
    <w:name w:val="Character (FE blue)"/>
    <w:basedOn w:val="DefaultParagraphFont"/>
    <w:uiPriority w:val="4"/>
    <w:qFormat/>
    <w:rsid w:val="001D6EBC"/>
    <w:rPr>
      <w:color w:val="207BA1"/>
    </w:rPr>
  </w:style>
  <w:style w:type="character" w:customStyle="1" w:styleId="CharacterFEred">
    <w:name w:val="Character (FE red)"/>
    <w:basedOn w:val="CharacterFEblue"/>
    <w:uiPriority w:val="4"/>
    <w:qFormat/>
    <w:rsid w:val="001D6EBC"/>
    <w:rPr>
      <w:color w:val="E83F35"/>
    </w:rPr>
  </w:style>
  <w:style w:type="paragraph" w:customStyle="1" w:styleId="CompanyDetailslarge">
    <w:name w:val="Company Details (large)"/>
    <w:basedOn w:val="BodyText"/>
    <w:uiPriority w:val="24"/>
    <w:semiHidden/>
    <w:qFormat/>
    <w:rsid w:val="00E5686B"/>
    <w:pPr>
      <w:spacing w:before="11300"/>
      <w:jc w:val="right"/>
    </w:pPr>
    <w:rPr>
      <w:b/>
      <w:sz w:val="24"/>
    </w:rPr>
  </w:style>
  <w:style w:type="paragraph" w:customStyle="1" w:styleId="CompanyDetailssmall">
    <w:name w:val="Company Details (small)"/>
    <w:basedOn w:val="CompanyDetailslarge"/>
    <w:uiPriority w:val="24"/>
    <w:semiHidden/>
    <w:qFormat/>
    <w:rsid w:val="00E5686B"/>
    <w:pPr>
      <w:spacing w:before="120"/>
    </w:pPr>
    <w:rPr>
      <w:b w:val="0"/>
      <w:sz w:val="18"/>
    </w:rPr>
  </w:style>
  <w:style w:type="character" w:styleId="UnresolvedMention">
    <w:name w:val="Unresolved Mention"/>
    <w:basedOn w:val="DefaultParagraphFont"/>
    <w:uiPriority w:val="99"/>
    <w:semiHidden/>
    <w:rsid w:val="00D92497"/>
    <w:rPr>
      <w:color w:val="605E5C"/>
      <w:shd w:val="clear" w:color="auto" w:fill="E1DFDD"/>
    </w:rPr>
  </w:style>
  <w:style w:type="table" w:customStyle="1" w:styleId="CustomTablebox">
    <w:name w:val="Custom Table (box)"/>
    <w:basedOn w:val="TableNormal"/>
    <w:uiPriority w:val="99"/>
    <w:rsid w:val="00782F5E"/>
    <w:pPr>
      <w:spacing w:after="0" w:line="240" w:lineRule="auto"/>
    </w:pPr>
    <w:rPr>
      <w:rFonts w:ascii="Open Sans" w:hAnsi="Open Sans"/>
    </w:rPr>
    <w:tblPr>
      <w:tblCellMar>
        <w:top w:w="170" w:type="dxa"/>
        <w:left w:w="284" w:type="dxa"/>
        <w:bottom w:w="170" w:type="dxa"/>
        <w:right w:w="284" w:type="dxa"/>
      </w:tblCellMar>
    </w:tblPr>
    <w:tcPr>
      <w:shd w:val="clear" w:color="auto" w:fill="F2F2F2"/>
    </w:tcPr>
  </w:style>
  <w:style w:type="paragraph" w:customStyle="1" w:styleId="BoxHeading1">
    <w:name w:val="Box Heading 1"/>
    <w:basedOn w:val="TableBodyText"/>
    <w:next w:val="BodyText"/>
    <w:uiPriority w:val="11"/>
    <w:qFormat/>
    <w:rsid w:val="00354B38"/>
    <w:pPr>
      <w:numPr>
        <w:numId w:val="17"/>
      </w:numPr>
    </w:pPr>
    <w:rPr>
      <w:b/>
      <w:color w:val="37424A" w:themeColor="text1"/>
    </w:rPr>
  </w:style>
  <w:style w:type="paragraph" w:styleId="TOC5">
    <w:name w:val="toc 5"/>
    <w:basedOn w:val="TOC4"/>
    <w:next w:val="BodyText"/>
    <w:autoRedefine/>
    <w:uiPriority w:val="39"/>
    <w:rsid w:val="002747C2"/>
    <w:pPr>
      <w:ind w:left="0" w:firstLine="0"/>
    </w:pPr>
    <w:rPr>
      <w:rFonts w:ascii="Open Sans" w:hAnsi="Open Sans"/>
      <w:color w:val="37424A"/>
      <w:sz w:val="20"/>
    </w:rPr>
  </w:style>
  <w:style w:type="table" w:customStyle="1" w:styleId="CustomTablecurriculumvitae">
    <w:name w:val="Custom Table (curriculum vitae)"/>
    <w:basedOn w:val="TableNormal"/>
    <w:uiPriority w:val="99"/>
    <w:rsid w:val="0072432F"/>
    <w:pPr>
      <w:spacing w:after="0" w:line="240" w:lineRule="auto"/>
    </w:pPr>
    <w:rPr>
      <w:rFonts w:ascii="Open Sans" w:hAnsi="Open Sans"/>
    </w:rPr>
    <w:tblPr/>
    <w:tblStylePr w:type="firstRow">
      <w:rPr>
        <w:b/>
        <w:color w:val="FFFFFF" w:themeColor="background1"/>
      </w:rPr>
      <w:tblPr/>
      <w:trPr>
        <w:tblHeader/>
      </w:trPr>
      <w:tcPr>
        <w:shd w:val="clear" w:color="auto" w:fill="207BA1"/>
      </w:tcPr>
    </w:tblStylePr>
  </w:style>
  <w:style w:type="paragraph" w:customStyle="1" w:styleId="TableHeading2">
    <w:name w:val="Table Heading 2"/>
    <w:basedOn w:val="TableHeading1"/>
    <w:uiPriority w:val="13"/>
    <w:qFormat/>
    <w:rsid w:val="003A6BDD"/>
    <w:rPr>
      <w:b/>
      <w:color w:val="207BA1"/>
    </w:rPr>
  </w:style>
  <w:style w:type="paragraph" w:customStyle="1" w:styleId="TableHeading3">
    <w:name w:val="Table Heading 3"/>
    <w:basedOn w:val="TableHeading2"/>
    <w:uiPriority w:val="13"/>
    <w:qFormat/>
    <w:rsid w:val="00412E19"/>
    <w:rPr>
      <w:sz w:val="19"/>
    </w:rPr>
  </w:style>
  <w:style w:type="character" w:styleId="CommentReference">
    <w:name w:val="annotation reference"/>
    <w:basedOn w:val="DefaultParagraphFont"/>
    <w:uiPriority w:val="99"/>
    <w:semiHidden/>
    <w:rsid w:val="008467AF"/>
    <w:rPr>
      <w:sz w:val="16"/>
      <w:szCs w:val="16"/>
    </w:rPr>
  </w:style>
  <w:style w:type="paragraph" w:styleId="CommentText">
    <w:name w:val="annotation text"/>
    <w:basedOn w:val="Normal"/>
    <w:link w:val="CommentTextChar"/>
    <w:uiPriority w:val="99"/>
    <w:semiHidden/>
    <w:rsid w:val="008467AF"/>
  </w:style>
  <w:style w:type="character" w:customStyle="1" w:styleId="CommentTextChar">
    <w:name w:val="Comment Text Char"/>
    <w:basedOn w:val="DefaultParagraphFont"/>
    <w:link w:val="CommentText"/>
    <w:uiPriority w:val="99"/>
    <w:semiHidden/>
    <w:rsid w:val="008467AF"/>
    <w:rPr>
      <w:rFonts w:ascii="Open Sans" w:hAnsi="Open Sans"/>
      <w:color w:val="37424A"/>
      <w:lang w:val="en-AU"/>
    </w:rPr>
  </w:style>
  <w:style w:type="paragraph" w:styleId="CommentSubject">
    <w:name w:val="annotation subject"/>
    <w:basedOn w:val="CommentText"/>
    <w:next w:val="CommentText"/>
    <w:link w:val="CommentSubjectChar"/>
    <w:uiPriority w:val="99"/>
    <w:semiHidden/>
    <w:rsid w:val="008467AF"/>
    <w:rPr>
      <w:b/>
      <w:bCs/>
    </w:rPr>
  </w:style>
  <w:style w:type="character" w:customStyle="1" w:styleId="CommentSubjectChar">
    <w:name w:val="Comment Subject Char"/>
    <w:basedOn w:val="CommentTextChar"/>
    <w:link w:val="CommentSubject"/>
    <w:uiPriority w:val="99"/>
    <w:semiHidden/>
    <w:rsid w:val="008467AF"/>
    <w:rPr>
      <w:rFonts w:ascii="Open Sans" w:hAnsi="Open Sans"/>
      <w:b/>
      <w:bCs/>
      <w:color w:val="37424A"/>
      <w:lang w:val="en-AU"/>
    </w:rPr>
  </w:style>
  <w:style w:type="paragraph" w:customStyle="1" w:styleId="TableBodyTextcentrealign">
    <w:name w:val="Table Body Text (centre align)"/>
    <w:basedOn w:val="TableBodyTextrightalign"/>
    <w:uiPriority w:val="17"/>
    <w:qFormat/>
    <w:rsid w:val="00422E64"/>
    <w:pPr>
      <w:jc w:val="center"/>
    </w:pPr>
  </w:style>
  <w:style w:type="character" w:customStyle="1" w:styleId="Charactersemi-bold">
    <w:name w:val="Character (semi-bold)"/>
    <w:basedOn w:val="Characterbold"/>
    <w:uiPriority w:val="1"/>
    <w:semiHidden/>
    <w:qFormat/>
    <w:rsid w:val="003B6EEF"/>
    <w:rPr>
      <w:rFonts w:ascii="Open Sans SemiBold" w:hAnsi="Open Sans SemiBold"/>
      <w:b w:val="0"/>
      <w:lang w:val="en-AU"/>
    </w:rPr>
  </w:style>
  <w:style w:type="numbering" w:customStyle="1" w:styleId="BoxHeadingmaster">
    <w:name w:val="Box Heading (master)"/>
    <w:uiPriority w:val="99"/>
    <w:rsid w:val="00487176"/>
    <w:pPr>
      <w:numPr>
        <w:numId w:val="16"/>
      </w:numPr>
    </w:pPr>
  </w:style>
  <w:style w:type="character" w:customStyle="1" w:styleId="Bold">
    <w:name w:val="Bold"/>
    <w:uiPriority w:val="8"/>
    <w:rsid w:val="00354B38"/>
    <w:rPr>
      <w:rFonts w:ascii="Open Sans" w:hAnsi="Open Sans"/>
      <w:b/>
      <w:sz w:val="20"/>
    </w:rPr>
  </w:style>
  <w:style w:type="paragraph" w:customStyle="1" w:styleId="Image-Page1fullwidth">
    <w:name w:val="Image - Page 1 full width"/>
    <w:basedOn w:val="Normal"/>
    <w:qFormat/>
    <w:rsid w:val="00C4131C"/>
    <w:pPr>
      <w:framePr w:w="6237" w:hSpace="340" w:wrap="around" w:vAnchor="text" w:hAnchor="text" w:y="1"/>
      <w:spacing w:before="0" w:after="120" w:line="264" w:lineRule="auto"/>
    </w:pPr>
    <w:rPr>
      <w:rFonts w:asciiTheme="minorHAnsi" w:eastAsiaTheme="minorEastAsia" w:hAnsiTheme="minorHAnsi"/>
      <w:noProof/>
      <w:color w:val="37424A" w:themeColor="text1"/>
      <w:szCs w:val="22"/>
    </w:rPr>
  </w:style>
  <w:style w:type="paragraph" w:customStyle="1" w:styleId="TableHeading">
    <w:name w:val="Table Heading"/>
    <w:basedOn w:val="Normal"/>
    <w:uiPriority w:val="7"/>
    <w:qFormat/>
    <w:rsid w:val="000D606D"/>
    <w:pPr>
      <w:spacing w:before="100" w:after="100" w:line="264" w:lineRule="auto"/>
    </w:pPr>
    <w:rPr>
      <w:color w:val="FFFFFF" w:themeColor="background1"/>
    </w:rPr>
  </w:style>
  <w:style w:type="paragraph" w:customStyle="1" w:styleId="TableText">
    <w:name w:val="Table Text"/>
    <w:basedOn w:val="Normal"/>
    <w:uiPriority w:val="7"/>
    <w:qFormat/>
    <w:rsid w:val="000D606D"/>
    <w:pPr>
      <w:spacing w:before="100" w:after="100" w:line="264" w:lineRule="auto"/>
    </w:pPr>
    <w:rPr>
      <w:color w:val="37424A" w:themeColor="text1"/>
    </w:rPr>
  </w:style>
  <w:style w:type="table" w:customStyle="1" w:styleId="FETableStyle">
    <w:name w:val="FE Table Style"/>
    <w:basedOn w:val="TableNormal"/>
    <w:uiPriority w:val="99"/>
    <w:rsid w:val="009D687C"/>
    <w:pPr>
      <w:spacing w:before="120" w:after="120" w:line="240" w:lineRule="auto"/>
    </w:pPr>
    <w:rPr>
      <w:rFonts w:ascii="Open Sans" w:hAnsi="Open Sans"/>
      <w:lang w:val="en-AU"/>
    </w:rPr>
    <w:tblPr>
      <w:tblStyleRowBandSize w:val="1"/>
      <w:tblStyleColBandSize w:val="1"/>
      <w:tblBorders>
        <w:bottom w:val="single" w:sz="4" w:space="0" w:color="9BA1A5"/>
      </w:tblBorders>
    </w:tblPr>
    <w:trPr>
      <w:cantSplit/>
    </w:trPr>
    <w:tcPr>
      <w:shd w:val="clear" w:color="auto" w:fill="auto"/>
      <w:vAlign w:val="center"/>
    </w:tcPr>
    <w:tblStylePr w:type="firstRow">
      <w:pPr>
        <w:jc w:val="left"/>
      </w:pPr>
      <w:rPr>
        <w:rFonts w:asciiTheme="majorHAnsi" w:hAnsiTheme="majorHAnsi"/>
        <w:b/>
        <w:i w:val="0"/>
        <w:caps w:val="0"/>
        <w:smallCaps w:val="0"/>
        <w:strike w:val="0"/>
        <w:dstrike w:val="0"/>
        <w:vanish w:val="0"/>
        <w:color w:val="FFFFFF" w:themeColor="background1"/>
        <w:sz w:val="20"/>
        <w:vertAlign w:val="baseline"/>
      </w:rPr>
      <w:tblPr/>
      <w:tcPr>
        <w:tcBorders>
          <w:top w:val="nil"/>
          <w:left w:val="nil"/>
          <w:bottom w:val="nil"/>
          <w:right w:val="nil"/>
          <w:insideH w:val="nil"/>
          <w:insideV w:val="nil"/>
          <w:tl2br w:val="nil"/>
          <w:tr2bl w:val="nil"/>
        </w:tcBorders>
        <w:shd w:val="clear" w:color="auto" w:fill="207BA1" w:themeFill="accent2"/>
      </w:tcPr>
    </w:tblStylePr>
    <w:tblStylePr w:type="lastRow">
      <w:rPr>
        <w:rFonts w:asciiTheme="minorHAnsi" w:hAnsiTheme="minorHAnsi"/>
        <w:sz w:val="22"/>
      </w:rPr>
    </w:tblStylePr>
    <w:tblStylePr w:type="firstCol">
      <w:rPr>
        <w:rFonts w:asciiTheme="majorHAnsi" w:hAnsiTheme="majorHAnsi"/>
        <w:b/>
        <w:i w:val="0"/>
        <w:caps/>
        <w:smallCaps w:val="0"/>
        <w:color w:val="FFFFFF" w:themeColor="background1"/>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E83F35" w:themeFill="accent1"/>
      </w:tcPr>
    </w:tblStylePr>
    <w:tblStylePr w:type="band2Vert">
      <w:rPr>
        <w:color w:val="auto"/>
      </w:rPr>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Quote-long">
    <w:name w:val="Quote - long"/>
    <w:basedOn w:val="Quote"/>
    <w:next w:val="BodyText"/>
    <w:link w:val="Quote-longChar"/>
    <w:uiPriority w:val="2"/>
    <w:rsid w:val="008C5CEB"/>
    <w:pPr>
      <w:keepNext/>
      <w:pBdr>
        <w:top w:val="single" w:sz="4" w:space="18" w:color="FFFFFF" w:themeColor="background1"/>
        <w:left w:val="single" w:sz="4" w:space="14" w:color="FFFFFF" w:themeColor="background1"/>
        <w:bottom w:val="single" w:sz="4" w:space="18" w:color="FFFFFF" w:themeColor="background1"/>
        <w:right w:val="single" w:sz="4" w:space="14" w:color="FFFFFF" w:themeColor="background1"/>
      </w:pBdr>
      <w:shd w:val="clear" w:color="auto" w:fill="F2F2F2" w:themeFill="background1" w:themeFillShade="F2"/>
      <w:spacing w:before="360" w:after="360" w:line="264" w:lineRule="auto"/>
      <w:ind w:left="198" w:right="198"/>
      <w:jc w:val="both"/>
    </w:pPr>
    <w:rPr>
      <w:color w:val="37424A" w:themeColor="text1"/>
      <w:szCs w:val="28"/>
    </w:rPr>
  </w:style>
  <w:style w:type="character" w:customStyle="1" w:styleId="Quote-longChar">
    <w:name w:val="Quote - long Char"/>
    <w:basedOn w:val="QuoteChar"/>
    <w:link w:val="Quote-long"/>
    <w:uiPriority w:val="2"/>
    <w:rsid w:val="008C5CEB"/>
    <w:rPr>
      <w:rFonts w:ascii="Open Sans" w:hAnsi="Open Sans"/>
      <w:i/>
      <w:iCs/>
      <w:color w:val="37424A" w:themeColor="text1"/>
      <w:szCs w:val="28"/>
      <w:shd w:val="clear" w:color="auto" w:fill="F2F2F2" w:themeFill="background1" w:themeFillShade="F2"/>
      <w:lang w:val="en-AU"/>
    </w:rPr>
  </w:style>
  <w:style w:type="paragraph" w:customStyle="1" w:styleId="CalloutBoxcaption">
    <w:name w:val="Callout Box caption"/>
    <w:basedOn w:val="Normal"/>
    <w:uiPriority w:val="11"/>
    <w:rsid w:val="00354B38"/>
    <w:pPr>
      <w:numPr>
        <w:numId w:val="19"/>
      </w:numPr>
      <w:spacing w:before="120" w:after="120" w:line="280" w:lineRule="atLeast"/>
      <w:jc w:val="both"/>
    </w:pPr>
    <w:rPr>
      <w:b/>
      <w:color w:val="37424A" w:themeColor="text1"/>
    </w:rPr>
  </w:style>
  <w:style w:type="paragraph" w:customStyle="1" w:styleId="AppendixMinorSubHead">
    <w:name w:val="AppendixMinorSubHead"/>
    <w:basedOn w:val="AppendixHeading3"/>
    <w:next w:val="BodyText"/>
    <w:uiPriority w:val="19"/>
    <w:rsid w:val="007958F2"/>
    <w:pPr>
      <w:keepLines/>
      <w:numPr>
        <w:numId w:val="0"/>
      </w:numPr>
      <w:spacing w:after="240" w:line="264" w:lineRule="auto"/>
      <w:contextualSpacing w:val="0"/>
    </w:pPr>
    <w:rPr>
      <w:rFonts w:ascii="Open Sans" w:eastAsiaTheme="majorEastAsia" w:hAnsi="Open Sans" w:cs="Open Sans SemiBold"/>
      <w:bCs w:val="0"/>
      <w:color w:val="207BA1" w:themeColor="accent2"/>
      <w:szCs w:val="52"/>
      <w:lang w:eastAsia="en-US"/>
    </w:rPr>
  </w:style>
  <w:style w:type="paragraph" w:customStyle="1" w:styleId="BodyText1">
    <w:name w:val="Body Text1"/>
    <w:basedOn w:val="Normal"/>
    <w:link w:val="BodytextChar0"/>
    <w:qFormat/>
    <w:rsid w:val="003D02D2"/>
    <w:pPr>
      <w:autoSpaceDE w:val="0"/>
      <w:autoSpaceDN w:val="0"/>
      <w:adjustRightInd w:val="0"/>
      <w:spacing w:before="0" w:after="120"/>
    </w:pPr>
    <w:rPr>
      <w:rFonts w:ascii="Arial" w:eastAsia="Times New Roman" w:hAnsi="Arial" w:cs="Arial"/>
      <w:color w:val="000000"/>
      <w:lang w:val="en-US" w:eastAsia="en-AU"/>
    </w:rPr>
  </w:style>
  <w:style w:type="character" w:customStyle="1" w:styleId="BodytextChar0">
    <w:name w:val="Body text Char"/>
    <w:basedOn w:val="DefaultParagraphFont"/>
    <w:link w:val="BodyText1"/>
    <w:rsid w:val="003D02D2"/>
    <w:rPr>
      <w:rFonts w:ascii="Arial" w:eastAsia="Times New Roman" w:hAnsi="Arial" w:cs="Arial"/>
      <w:color w:val="000000"/>
      <w:lang w:eastAsia="en-AU"/>
    </w:rPr>
  </w:style>
  <w:style w:type="paragraph" w:styleId="Revision">
    <w:name w:val="Revision"/>
    <w:hidden/>
    <w:uiPriority w:val="99"/>
    <w:semiHidden/>
    <w:rsid w:val="00C761A4"/>
    <w:pPr>
      <w:spacing w:after="0" w:line="240" w:lineRule="auto"/>
    </w:pPr>
    <w:rPr>
      <w:rFonts w:ascii="Open Sans" w:hAnsi="Open San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587">
      <w:bodyDiv w:val="1"/>
      <w:marLeft w:val="0"/>
      <w:marRight w:val="0"/>
      <w:marTop w:val="0"/>
      <w:marBottom w:val="0"/>
      <w:divBdr>
        <w:top w:val="none" w:sz="0" w:space="0" w:color="auto"/>
        <w:left w:val="none" w:sz="0" w:space="0" w:color="auto"/>
        <w:bottom w:val="none" w:sz="0" w:space="0" w:color="auto"/>
        <w:right w:val="none" w:sz="0" w:space="0" w:color="auto"/>
      </w:divBdr>
    </w:div>
    <w:div w:id="56825269">
      <w:bodyDiv w:val="1"/>
      <w:marLeft w:val="0"/>
      <w:marRight w:val="0"/>
      <w:marTop w:val="0"/>
      <w:marBottom w:val="0"/>
      <w:divBdr>
        <w:top w:val="none" w:sz="0" w:space="0" w:color="auto"/>
        <w:left w:val="none" w:sz="0" w:space="0" w:color="auto"/>
        <w:bottom w:val="none" w:sz="0" w:space="0" w:color="auto"/>
        <w:right w:val="none" w:sz="0" w:space="0" w:color="auto"/>
      </w:divBdr>
    </w:div>
    <w:div w:id="250897789">
      <w:bodyDiv w:val="1"/>
      <w:marLeft w:val="0"/>
      <w:marRight w:val="0"/>
      <w:marTop w:val="0"/>
      <w:marBottom w:val="0"/>
      <w:divBdr>
        <w:top w:val="none" w:sz="0" w:space="0" w:color="auto"/>
        <w:left w:val="none" w:sz="0" w:space="0" w:color="auto"/>
        <w:bottom w:val="none" w:sz="0" w:space="0" w:color="auto"/>
        <w:right w:val="none" w:sz="0" w:space="0" w:color="auto"/>
      </w:divBdr>
    </w:div>
    <w:div w:id="374425493">
      <w:bodyDiv w:val="1"/>
      <w:marLeft w:val="0"/>
      <w:marRight w:val="0"/>
      <w:marTop w:val="0"/>
      <w:marBottom w:val="0"/>
      <w:divBdr>
        <w:top w:val="none" w:sz="0" w:space="0" w:color="auto"/>
        <w:left w:val="none" w:sz="0" w:space="0" w:color="auto"/>
        <w:bottom w:val="none" w:sz="0" w:space="0" w:color="auto"/>
        <w:right w:val="none" w:sz="0" w:space="0" w:color="auto"/>
      </w:divBdr>
    </w:div>
    <w:div w:id="413937427">
      <w:bodyDiv w:val="1"/>
      <w:marLeft w:val="0"/>
      <w:marRight w:val="0"/>
      <w:marTop w:val="0"/>
      <w:marBottom w:val="0"/>
      <w:divBdr>
        <w:top w:val="none" w:sz="0" w:space="0" w:color="auto"/>
        <w:left w:val="none" w:sz="0" w:space="0" w:color="auto"/>
        <w:bottom w:val="none" w:sz="0" w:space="0" w:color="auto"/>
        <w:right w:val="none" w:sz="0" w:space="0" w:color="auto"/>
      </w:divBdr>
    </w:div>
    <w:div w:id="759451057">
      <w:bodyDiv w:val="1"/>
      <w:marLeft w:val="0"/>
      <w:marRight w:val="0"/>
      <w:marTop w:val="0"/>
      <w:marBottom w:val="0"/>
      <w:divBdr>
        <w:top w:val="none" w:sz="0" w:space="0" w:color="auto"/>
        <w:left w:val="none" w:sz="0" w:space="0" w:color="auto"/>
        <w:bottom w:val="none" w:sz="0" w:space="0" w:color="auto"/>
        <w:right w:val="none" w:sz="0" w:space="0" w:color="auto"/>
      </w:divBdr>
    </w:div>
    <w:div w:id="778337719">
      <w:bodyDiv w:val="1"/>
      <w:marLeft w:val="0"/>
      <w:marRight w:val="0"/>
      <w:marTop w:val="0"/>
      <w:marBottom w:val="0"/>
      <w:divBdr>
        <w:top w:val="none" w:sz="0" w:space="0" w:color="auto"/>
        <w:left w:val="none" w:sz="0" w:space="0" w:color="auto"/>
        <w:bottom w:val="none" w:sz="0" w:space="0" w:color="auto"/>
        <w:right w:val="none" w:sz="0" w:space="0" w:color="auto"/>
      </w:divBdr>
    </w:div>
    <w:div w:id="805661777">
      <w:bodyDiv w:val="1"/>
      <w:marLeft w:val="0"/>
      <w:marRight w:val="0"/>
      <w:marTop w:val="0"/>
      <w:marBottom w:val="0"/>
      <w:divBdr>
        <w:top w:val="none" w:sz="0" w:space="0" w:color="auto"/>
        <w:left w:val="none" w:sz="0" w:space="0" w:color="auto"/>
        <w:bottom w:val="none" w:sz="0" w:space="0" w:color="auto"/>
        <w:right w:val="none" w:sz="0" w:space="0" w:color="auto"/>
      </w:divBdr>
    </w:div>
    <w:div w:id="943073271">
      <w:bodyDiv w:val="1"/>
      <w:marLeft w:val="0"/>
      <w:marRight w:val="0"/>
      <w:marTop w:val="0"/>
      <w:marBottom w:val="0"/>
      <w:divBdr>
        <w:top w:val="none" w:sz="0" w:space="0" w:color="auto"/>
        <w:left w:val="none" w:sz="0" w:space="0" w:color="auto"/>
        <w:bottom w:val="none" w:sz="0" w:space="0" w:color="auto"/>
        <w:right w:val="none" w:sz="0" w:space="0" w:color="auto"/>
      </w:divBdr>
    </w:div>
    <w:div w:id="996954669">
      <w:bodyDiv w:val="1"/>
      <w:marLeft w:val="0"/>
      <w:marRight w:val="0"/>
      <w:marTop w:val="0"/>
      <w:marBottom w:val="0"/>
      <w:divBdr>
        <w:top w:val="none" w:sz="0" w:space="0" w:color="auto"/>
        <w:left w:val="none" w:sz="0" w:space="0" w:color="auto"/>
        <w:bottom w:val="none" w:sz="0" w:space="0" w:color="auto"/>
        <w:right w:val="none" w:sz="0" w:space="0" w:color="auto"/>
      </w:divBdr>
    </w:div>
    <w:div w:id="1004556795">
      <w:bodyDiv w:val="1"/>
      <w:marLeft w:val="0"/>
      <w:marRight w:val="0"/>
      <w:marTop w:val="0"/>
      <w:marBottom w:val="0"/>
      <w:divBdr>
        <w:top w:val="none" w:sz="0" w:space="0" w:color="auto"/>
        <w:left w:val="none" w:sz="0" w:space="0" w:color="auto"/>
        <w:bottom w:val="none" w:sz="0" w:space="0" w:color="auto"/>
        <w:right w:val="none" w:sz="0" w:space="0" w:color="auto"/>
      </w:divBdr>
    </w:div>
    <w:div w:id="1020275495">
      <w:bodyDiv w:val="1"/>
      <w:marLeft w:val="0"/>
      <w:marRight w:val="0"/>
      <w:marTop w:val="0"/>
      <w:marBottom w:val="0"/>
      <w:divBdr>
        <w:top w:val="none" w:sz="0" w:space="0" w:color="auto"/>
        <w:left w:val="none" w:sz="0" w:space="0" w:color="auto"/>
        <w:bottom w:val="none" w:sz="0" w:space="0" w:color="auto"/>
        <w:right w:val="none" w:sz="0" w:space="0" w:color="auto"/>
      </w:divBdr>
    </w:div>
    <w:div w:id="1034580644">
      <w:bodyDiv w:val="1"/>
      <w:marLeft w:val="0"/>
      <w:marRight w:val="0"/>
      <w:marTop w:val="0"/>
      <w:marBottom w:val="0"/>
      <w:divBdr>
        <w:top w:val="none" w:sz="0" w:space="0" w:color="auto"/>
        <w:left w:val="none" w:sz="0" w:space="0" w:color="auto"/>
        <w:bottom w:val="none" w:sz="0" w:space="0" w:color="auto"/>
        <w:right w:val="none" w:sz="0" w:space="0" w:color="auto"/>
      </w:divBdr>
    </w:div>
    <w:div w:id="1129476943">
      <w:bodyDiv w:val="1"/>
      <w:marLeft w:val="0"/>
      <w:marRight w:val="0"/>
      <w:marTop w:val="0"/>
      <w:marBottom w:val="0"/>
      <w:divBdr>
        <w:top w:val="none" w:sz="0" w:space="0" w:color="auto"/>
        <w:left w:val="none" w:sz="0" w:space="0" w:color="auto"/>
        <w:bottom w:val="none" w:sz="0" w:space="0" w:color="auto"/>
        <w:right w:val="none" w:sz="0" w:space="0" w:color="auto"/>
      </w:divBdr>
    </w:div>
    <w:div w:id="1161694909">
      <w:bodyDiv w:val="1"/>
      <w:marLeft w:val="0"/>
      <w:marRight w:val="0"/>
      <w:marTop w:val="0"/>
      <w:marBottom w:val="0"/>
      <w:divBdr>
        <w:top w:val="none" w:sz="0" w:space="0" w:color="auto"/>
        <w:left w:val="none" w:sz="0" w:space="0" w:color="auto"/>
        <w:bottom w:val="none" w:sz="0" w:space="0" w:color="auto"/>
        <w:right w:val="none" w:sz="0" w:space="0" w:color="auto"/>
      </w:divBdr>
    </w:div>
    <w:div w:id="1240556889">
      <w:bodyDiv w:val="1"/>
      <w:marLeft w:val="0"/>
      <w:marRight w:val="0"/>
      <w:marTop w:val="0"/>
      <w:marBottom w:val="0"/>
      <w:divBdr>
        <w:top w:val="none" w:sz="0" w:space="0" w:color="auto"/>
        <w:left w:val="none" w:sz="0" w:space="0" w:color="auto"/>
        <w:bottom w:val="none" w:sz="0" w:space="0" w:color="auto"/>
        <w:right w:val="none" w:sz="0" w:space="0" w:color="auto"/>
      </w:divBdr>
    </w:div>
    <w:div w:id="1287732029">
      <w:bodyDiv w:val="1"/>
      <w:marLeft w:val="0"/>
      <w:marRight w:val="0"/>
      <w:marTop w:val="0"/>
      <w:marBottom w:val="0"/>
      <w:divBdr>
        <w:top w:val="none" w:sz="0" w:space="0" w:color="auto"/>
        <w:left w:val="none" w:sz="0" w:space="0" w:color="auto"/>
        <w:bottom w:val="none" w:sz="0" w:space="0" w:color="auto"/>
        <w:right w:val="none" w:sz="0" w:space="0" w:color="auto"/>
      </w:divBdr>
    </w:div>
    <w:div w:id="1376857616">
      <w:bodyDiv w:val="1"/>
      <w:marLeft w:val="0"/>
      <w:marRight w:val="0"/>
      <w:marTop w:val="0"/>
      <w:marBottom w:val="0"/>
      <w:divBdr>
        <w:top w:val="none" w:sz="0" w:space="0" w:color="auto"/>
        <w:left w:val="none" w:sz="0" w:space="0" w:color="auto"/>
        <w:bottom w:val="none" w:sz="0" w:space="0" w:color="auto"/>
        <w:right w:val="none" w:sz="0" w:space="0" w:color="auto"/>
      </w:divBdr>
    </w:div>
    <w:div w:id="1837769496">
      <w:bodyDiv w:val="1"/>
      <w:marLeft w:val="0"/>
      <w:marRight w:val="0"/>
      <w:marTop w:val="0"/>
      <w:marBottom w:val="0"/>
      <w:divBdr>
        <w:top w:val="none" w:sz="0" w:space="0" w:color="auto"/>
        <w:left w:val="none" w:sz="0" w:space="0" w:color="auto"/>
        <w:bottom w:val="none" w:sz="0" w:space="0" w:color="auto"/>
        <w:right w:val="none" w:sz="0" w:space="0" w:color="auto"/>
      </w:divBdr>
    </w:div>
    <w:div w:id="1958103735">
      <w:bodyDiv w:val="1"/>
      <w:marLeft w:val="0"/>
      <w:marRight w:val="0"/>
      <w:marTop w:val="0"/>
      <w:marBottom w:val="0"/>
      <w:divBdr>
        <w:top w:val="none" w:sz="0" w:space="0" w:color="auto"/>
        <w:left w:val="none" w:sz="0" w:space="0" w:color="auto"/>
        <w:bottom w:val="none" w:sz="0" w:space="0" w:color="auto"/>
        <w:right w:val="none" w:sz="0" w:space="0" w:color="auto"/>
      </w:divBdr>
    </w:div>
    <w:div w:id="211065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2.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image" Target="media/image10.emf"/><Relationship Id="rId30" Type="http://schemas.openxmlformats.org/officeDocument/2006/relationships/hyperlink" Target="http://www.frontier-economics.com.a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nfrastructure.gov.au/sites/default/files/consultation/pdf/additional-information-700mhz-spectrum.pdf" TargetMode="External"/><Relationship Id="rId7" Type="http://schemas.openxmlformats.org/officeDocument/2006/relationships/hyperlink" Target="https://www.accc.gov.au/system/files/MTAS%20FAD%20final%20report%20-%20October%202020.pdf" TargetMode="External"/><Relationship Id="rId2" Type="http://schemas.openxmlformats.org/officeDocument/2006/relationships/hyperlink" Target="https://www.legislation.gov.au/F2013L00011/asmade/text/explanatory-statement" TargetMode="External"/><Relationship Id="rId1" Type="http://schemas.openxmlformats.org/officeDocument/2006/relationships/hyperlink" Target="https://www.legislation.gov.au/F2013L00011/asmade/text" TargetMode="External"/><Relationship Id="rId6" Type="http://schemas.openxmlformats.org/officeDocument/2006/relationships/hyperlink" Target="https://www.accc.gov.au/system/files/MTAS%20FAD%20final%20report%20-%20October%202020.pdf" TargetMode="External"/><Relationship Id="rId5" Type="http://schemas.openxmlformats.org/officeDocument/2006/relationships/hyperlink" Target="https://www.accc.gov.au/system/files/MTAS%20FAD%20final%20report%20-%20October%202020.pdf" TargetMode="External"/><Relationship Id="rId4" Type="http://schemas.openxmlformats.org/officeDocument/2006/relationships/hyperlink" Target="https://www.aer.gov.au/news/articles/communications/2023-rate-return-annual-data-update-relea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wick.FTECORP\documents\custom%20office%20templates\FE-ReportTemplate-accessible_Tel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A9028FCCE4B838D6326A3EBFA58BC"/>
        <w:category>
          <w:name w:val="General"/>
          <w:gallery w:val="placeholder"/>
        </w:category>
        <w:types>
          <w:type w:val="bbPlcHdr"/>
        </w:types>
        <w:behaviors>
          <w:behavior w:val="content"/>
        </w:behaviors>
        <w:guid w:val="{06795A57-CDBF-4E42-88F8-E26861518582}"/>
      </w:docPartPr>
      <w:docPartBody>
        <w:p w:rsidR="008F6E55" w:rsidRDefault="00550216">
          <w:pPr>
            <w:pStyle w:val="21BA9028FCCE4B838D6326A3EBFA58BC"/>
          </w:pPr>
          <w:r>
            <w:rPr>
              <w:rStyle w:val="PlaceholderText"/>
            </w:rPr>
            <w:t>&lt; Enter content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A9"/>
    <w:rsid w:val="000067AB"/>
    <w:rsid w:val="000565E7"/>
    <w:rsid w:val="000E3982"/>
    <w:rsid w:val="001259F8"/>
    <w:rsid w:val="001B0737"/>
    <w:rsid w:val="00205B5D"/>
    <w:rsid w:val="00253A78"/>
    <w:rsid w:val="002C4235"/>
    <w:rsid w:val="002E397F"/>
    <w:rsid w:val="003060FF"/>
    <w:rsid w:val="00326595"/>
    <w:rsid w:val="00371827"/>
    <w:rsid w:val="00384224"/>
    <w:rsid w:val="003D7C50"/>
    <w:rsid w:val="00401874"/>
    <w:rsid w:val="004373B5"/>
    <w:rsid w:val="004455B0"/>
    <w:rsid w:val="004C21AB"/>
    <w:rsid w:val="004C3E5E"/>
    <w:rsid w:val="004D0FDF"/>
    <w:rsid w:val="00550216"/>
    <w:rsid w:val="00564830"/>
    <w:rsid w:val="005A1C9A"/>
    <w:rsid w:val="005C3EF5"/>
    <w:rsid w:val="00684279"/>
    <w:rsid w:val="00717C87"/>
    <w:rsid w:val="00722770"/>
    <w:rsid w:val="007D19BA"/>
    <w:rsid w:val="007E1687"/>
    <w:rsid w:val="007F0C5F"/>
    <w:rsid w:val="007F272F"/>
    <w:rsid w:val="00836585"/>
    <w:rsid w:val="00841722"/>
    <w:rsid w:val="008642D6"/>
    <w:rsid w:val="00870233"/>
    <w:rsid w:val="008B093D"/>
    <w:rsid w:val="008B5D0D"/>
    <w:rsid w:val="008E5B6C"/>
    <w:rsid w:val="008F6E55"/>
    <w:rsid w:val="009B1EA9"/>
    <w:rsid w:val="00AC1BF6"/>
    <w:rsid w:val="00B46649"/>
    <w:rsid w:val="00B80A3E"/>
    <w:rsid w:val="00BF04D3"/>
    <w:rsid w:val="00BF09F0"/>
    <w:rsid w:val="00C14325"/>
    <w:rsid w:val="00C23084"/>
    <w:rsid w:val="00C67D5B"/>
    <w:rsid w:val="00C9136C"/>
    <w:rsid w:val="00D2381C"/>
    <w:rsid w:val="00DA2F24"/>
    <w:rsid w:val="00DF6673"/>
    <w:rsid w:val="00E4129F"/>
    <w:rsid w:val="00E831EA"/>
    <w:rsid w:val="00EC5D0A"/>
    <w:rsid w:val="00F02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0737"/>
    <w:rPr>
      <w:color w:val="37424A"/>
      <w:bdr w:val="none" w:sz="0" w:space="0" w:color="auto"/>
      <w:shd w:val="clear" w:color="auto" w:fill="FFFF00"/>
      <w:lang w:val="en-AU"/>
    </w:rPr>
  </w:style>
  <w:style w:type="paragraph" w:customStyle="1" w:styleId="21BA9028FCCE4B838D6326A3EBFA58BC">
    <w:name w:val="21BA9028FCCE4B838D6326A3EBFA5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7424A"/>
      </a:dk1>
      <a:lt1>
        <a:srgbClr val="FFFFFF"/>
      </a:lt1>
      <a:dk2>
        <a:srgbClr val="374249"/>
      </a:dk2>
      <a:lt2>
        <a:srgbClr val="F2F2F2"/>
      </a:lt2>
      <a:accent1>
        <a:srgbClr val="E83F35"/>
      </a:accent1>
      <a:accent2>
        <a:srgbClr val="207BA1"/>
      </a:accent2>
      <a:accent3>
        <a:srgbClr val="90BDCF"/>
      </a:accent3>
      <a:accent4>
        <a:srgbClr val="9BA1A5"/>
      </a:accent4>
      <a:accent5>
        <a:srgbClr val="599CB9"/>
      </a:accent5>
      <a:accent6>
        <a:srgbClr val="CFD1D2"/>
      </a:accent6>
      <a:hlink>
        <a:srgbClr val="E83F35"/>
      </a:hlink>
      <a:folHlink>
        <a:srgbClr val="E83F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7e4107-340f-49bc-b242-932585323802">
      <Terms xmlns="http://schemas.microsoft.com/office/infopath/2007/PartnerControls"/>
    </lcf76f155ced4ddcb4097134ff3c332f>
    <TaxCatchAll xmlns="aaf5b1b8-7fa3-4132-a2ec-fb8a46b60e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2A608CC66EF46A94C5406789A67A5" ma:contentTypeVersion="18" ma:contentTypeDescription="Create a new document." ma:contentTypeScope="" ma:versionID="dd990cfe0e7c736b6c1a5ae472a708ba">
  <xsd:schema xmlns:xsd="http://www.w3.org/2001/XMLSchema" xmlns:xs="http://www.w3.org/2001/XMLSchema" xmlns:p="http://schemas.microsoft.com/office/2006/metadata/properties" xmlns:ns2="dd7e4107-340f-49bc-b242-932585323802" xmlns:ns3="aaf5b1b8-7fa3-4132-a2ec-fb8a46b60ebe" targetNamespace="http://schemas.microsoft.com/office/2006/metadata/properties" ma:root="true" ma:fieldsID="f3d709465405ccf16d89293f5b43eb80" ns2:_="" ns3:_="">
    <xsd:import namespace="dd7e4107-340f-49bc-b242-932585323802"/>
    <xsd:import namespace="aaf5b1b8-7fa3-4132-a2ec-fb8a46b60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4107-340f-49bc-b242-932585323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5b1b8-7fa3-4132-a2ec-fb8a46b60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b73f39-9b92-4bc0-bfc8-2ada248a5604}" ma:internalName="TaxCatchAll" ma:showField="CatchAllData" ma:web="aaf5b1b8-7fa3-4132-a2ec-fb8a46b60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dd7e4107-340f-49bc-b242-932585323802"/>
    <ds:schemaRef ds:uri="aaf5b1b8-7fa3-4132-a2ec-fb8a46b60ebe"/>
  </ds:schemaRefs>
</ds:datastoreItem>
</file>

<file path=customXml/itemProps2.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3.xml><?xml version="1.0" encoding="utf-8"?>
<ds:datastoreItem xmlns:ds="http://schemas.openxmlformats.org/officeDocument/2006/customXml" ds:itemID="{0213C697-78E8-4B31-8E9B-37F237A3B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4107-340f-49bc-b242-932585323802"/>
    <ds:schemaRef ds:uri="aaf5b1b8-7fa3-4132-a2ec-fb8a46b6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FE-ReportTemplate-accessible_Telco.dotx</Template>
  <TotalTime>0</TotalTime>
  <Pages>31</Pages>
  <Words>10561</Words>
  <Characters>53809</Characters>
  <Application>Microsoft Office Word</Application>
  <DocSecurity>0</DocSecurity>
  <Lines>1351</Lines>
  <Paragraphs>815</Paragraphs>
  <ScaleCrop>false</ScaleCrop>
  <Company/>
  <LinksUpToDate>false</LinksUpToDate>
  <CharactersWithSpaces>63908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 Economics</dc:creator>
  <cp:keywords/>
  <dc:description/>
  <cp:lastModifiedBy>David Whytcross</cp:lastModifiedBy>
  <cp:revision>23</cp:revision>
  <dcterms:created xsi:type="dcterms:W3CDTF">2024-06-28T22:36:00Z</dcterms:created>
  <dcterms:modified xsi:type="dcterms:W3CDTF">2026-03-05T01:59:00Z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0x0101009312A608CC66EF46A94C5406789A67A5</vt:lpwstr>
  </property>
  <property fmtid="{D5CDD505-2E9C-101B-9397-08002B2CF9AE}" pid="4" name="ClassificationContentMarkingHeaderShapeIds">
    <vt:lpwstr>7d1c5f3,1c42a87c,2c4e9b89,44e13b9f,16994063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1024a062,59ee190d,37c9cd2,3c78deb6,32c7f047,ad62158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2025-11-18T00:35:03Z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10cf5816-adb1-4006-bd70-f82e8369cb89</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y fmtid="{D5CDD505-2E9C-101B-9397-08002B2CF9AE}" pid="18" name="docLang">
    <vt:lpwstr>en</vt:lpwstr>
  </property>
</Properties>
</file>