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5E17" w14:textId="77777777" w:rsidR="00C23E32" w:rsidRDefault="00C23E32" w:rsidP="00B91593">
      <w:pPr>
        <w:pStyle w:val="ACMAReportTitle"/>
        <w:spacing w:before="120" w:after="120" w:line="240" w:lineRule="auto"/>
      </w:pPr>
      <w:bookmarkStart w:id="0" w:name="_Toc6298709"/>
    </w:p>
    <w:p w14:paraId="328A5F65" w14:textId="457522CF" w:rsidR="004A13A7" w:rsidRPr="00A51D1A" w:rsidRDefault="00781B78" w:rsidP="00B91593">
      <w:pPr>
        <w:pStyle w:val="ACMAReportTitle"/>
        <w:spacing w:before="120" w:after="120" w:line="240" w:lineRule="auto"/>
      </w:pPr>
      <w:r>
        <w:t xml:space="preserve">Registration and </w:t>
      </w:r>
      <w:r w:rsidR="001037D7">
        <w:t xml:space="preserve">technical </w:t>
      </w:r>
      <w:r>
        <w:t>requirements for Radionavigation</w:t>
      </w:r>
      <w:r w:rsidR="00402191">
        <w:t>-</w:t>
      </w:r>
      <w:r>
        <w:t xml:space="preserve">Satellite Service (RNSS) </w:t>
      </w:r>
      <w:r w:rsidR="00746F04">
        <w:t xml:space="preserve">Repeater </w:t>
      </w:r>
      <w:r>
        <w:t>Devices (RRDs)</w:t>
      </w:r>
    </w:p>
    <w:p w14:paraId="017A85C1" w14:textId="46584506" w:rsidR="004A13A7" w:rsidRDefault="004A13A7" w:rsidP="00B91593">
      <w:pPr>
        <w:pStyle w:val="ACMAReportSubTitle"/>
        <w:spacing w:before="120" w:after="120" w:line="240" w:lineRule="auto"/>
      </w:pPr>
    </w:p>
    <w:p w14:paraId="5469EB58" w14:textId="77777777" w:rsidR="004A13A7" w:rsidRPr="00063A18" w:rsidRDefault="004A13A7" w:rsidP="00B91593">
      <w:pPr>
        <w:pStyle w:val="ACMAInstructions"/>
        <w:spacing w:before="120" w:after="120" w:line="240" w:lineRule="auto"/>
      </w:pPr>
      <w:r w:rsidRPr="00063A18">
        <w:t xml:space="preserve">Radiocommunications </w:t>
      </w:r>
      <w:r>
        <w:t>A</w:t>
      </w:r>
      <w:r w:rsidRPr="00063A18">
        <w:t xml:space="preserve">ssignment and </w:t>
      </w:r>
      <w:r>
        <w:t>L</w:t>
      </w:r>
      <w:r w:rsidRPr="00063A18">
        <w:t xml:space="preserve">icensing </w:t>
      </w:r>
      <w:r>
        <w:t>I</w:t>
      </w:r>
      <w:r w:rsidRPr="00063A18">
        <w:t>nstruction</w:t>
      </w:r>
    </w:p>
    <w:p w14:paraId="7E766B94" w14:textId="6931BEDB" w:rsidR="004A13A7" w:rsidRPr="00C87159" w:rsidRDefault="32EF5E0D" w:rsidP="31EB50B1">
      <w:pPr>
        <w:pStyle w:val="ACMAReportDate"/>
        <w:spacing w:before="120"/>
        <w:rPr>
          <w:b/>
          <w:bCs/>
        </w:rPr>
      </w:pPr>
      <w:r w:rsidRPr="31EB50B1">
        <w:rPr>
          <w:b/>
          <w:bCs/>
        </w:rPr>
        <w:t xml:space="preserve">rali: MS </w:t>
      </w:r>
      <w:r w:rsidR="001677F5" w:rsidRPr="31EB50B1">
        <w:rPr>
          <w:b/>
          <w:bCs/>
        </w:rPr>
        <w:t>49</w:t>
      </w:r>
    </w:p>
    <w:p w14:paraId="200A058D" w14:textId="366454A3" w:rsidR="004A13A7" w:rsidRPr="00C87159" w:rsidRDefault="004A13A7" w:rsidP="00B91593">
      <w:pPr>
        <w:pStyle w:val="ACMAReportDate"/>
        <w:widowControl w:val="0"/>
        <w:spacing w:before="120"/>
        <w:rPr>
          <w:b/>
        </w:rPr>
      </w:pPr>
      <w:r w:rsidRPr="00C87159">
        <w:rPr>
          <w:b/>
        </w:rPr>
        <w:t xml:space="preserve">date of effect: </w:t>
      </w:r>
      <w:r w:rsidR="003C2EE6" w:rsidRPr="00F6361C">
        <w:rPr>
          <w:b/>
        </w:rPr>
        <w:t>june</w:t>
      </w:r>
      <w:r w:rsidR="00674E5A" w:rsidRPr="00F6361C">
        <w:rPr>
          <w:b/>
        </w:rPr>
        <w:t xml:space="preserve"> </w:t>
      </w:r>
      <w:r w:rsidR="00AC3E00" w:rsidRPr="00F6361C">
        <w:rPr>
          <w:b/>
        </w:rPr>
        <w:t>20</w:t>
      </w:r>
      <w:r w:rsidR="000F23E9" w:rsidRPr="00F6361C">
        <w:rPr>
          <w:b/>
        </w:rPr>
        <w:t>2</w:t>
      </w:r>
      <w:r w:rsidR="00674E5A" w:rsidRPr="00F6361C">
        <w:rPr>
          <w:b/>
        </w:rPr>
        <w:t>5</w:t>
      </w:r>
    </w:p>
    <w:p w14:paraId="5BA2251D" w14:textId="132A297C" w:rsidR="0040306E" w:rsidRDefault="008D6BD1" w:rsidP="00B91593">
      <w:pPr>
        <w:spacing w:before="120" w:after="120" w:line="240" w:lineRule="auto"/>
      </w:pPr>
      <w:r>
        <w:br w:type="page"/>
      </w:r>
    </w:p>
    <w:p w14:paraId="2121EB81" w14:textId="77777777" w:rsidR="00822B3D" w:rsidRDefault="00822B3D" w:rsidP="00B91593">
      <w:pPr>
        <w:pStyle w:val="Heading1"/>
        <w:spacing w:before="120" w:after="120" w:line="240" w:lineRule="auto"/>
        <w:rPr>
          <w:szCs w:val="44"/>
        </w:rPr>
        <w:sectPr w:rsidR="00822B3D" w:rsidSect="00A07457">
          <w:footerReference w:type="default" r:id="rId8"/>
          <w:headerReference w:type="first" r:id="rId9"/>
          <w:type w:val="oddPage"/>
          <w:pgSz w:w="11906" w:h="16838"/>
          <w:pgMar w:top="3251" w:right="1440" w:bottom="1440" w:left="1440" w:header="708" w:footer="708" w:gutter="0"/>
          <w:pgNumType w:fmt="lowerRoman" w:start="1"/>
          <w:cols w:space="708"/>
          <w:titlePg/>
          <w:docGrid w:linePitch="360"/>
        </w:sectPr>
      </w:pPr>
    </w:p>
    <w:p w14:paraId="4918E06B" w14:textId="1B9E40A0" w:rsidR="004A13A7" w:rsidRPr="00420CAF" w:rsidRDefault="004A13A7" w:rsidP="00B91593">
      <w:pPr>
        <w:spacing w:before="120" w:after="120" w:line="240" w:lineRule="auto"/>
        <w:rPr>
          <w:sz w:val="32"/>
        </w:rPr>
      </w:pPr>
      <w:r w:rsidRPr="00420CAF">
        <w:rPr>
          <w:sz w:val="32"/>
          <w:szCs w:val="32"/>
        </w:rPr>
        <w:lastRenderedPageBreak/>
        <w:t>Amendment history</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350"/>
      </w:tblGrid>
      <w:tr w:rsidR="004A13A7" w:rsidRPr="002E390A" w14:paraId="313436DD" w14:textId="77777777" w:rsidTr="00ED6017">
        <w:trPr>
          <w:cantSplit/>
          <w:tblHeader/>
        </w:trPr>
        <w:tc>
          <w:tcPr>
            <w:tcW w:w="2263" w:type="dxa"/>
            <w:shd w:val="clear" w:color="auto" w:fill="D9D9D9"/>
          </w:tcPr>
          <w:p w14:paraId="5A66385E" w14:textId="77777777" w:rsidR="004A13A7" w:rsidRPr="00AF06C8" w:rsidRDefault="004A13A7" w:rsidP="00B91593">
            <w:pPr>
              <w:pStyle w:val="TableHeading"/>
              <w:spacing w:before="120" w:after="120" w:line="240" w:lineRule="auto"/>
              <w:rPr>
                <w:rFonts w:eastAsiaTheme="minorHAnsi"/>
                <w:szCs w:val="22"/>
              </w:rPr>
            </w:pPr>
            <w:r w:rsidRPr="00AF06C8">
              <w:rPr>
                <w:rFonts w:eastAsiaTheme="minorHAnsi"/>
                <w:szCs w:val="22"/>
              </w:rPr>
              <w:t>Date</w:t>
            </w:r>
          </w:p>
        </w:tc>
        <w:tc>
          <w:tcPr>
            <w:tcW w:w="6350" w:type="dxa"/>
            <w:shd w:val="clear" w:color="auto" w:fill="D9D9D9"/>
          </w:tcPr>
          <w:p w14:paraId="1E8D63A3" w14:textId="77777777" w:rsidR="004A13A7" w:rsidRPr="00AF06C8" w:rsidRDefault="004A13A7" w:rsidP="00B91593">
            <w:pPr>
              <w:pStyle w:val="TableHeading"/>
              <w:spacing w:before="120" w:after="120" w:line="240" w:lineRule="auto"/>
              <w:rPr>
                <w:rFonts w:eastAsiaTheme="minorHAnsi"/>
                <w:szCs w:val="22"/>
              </w:rPr>
            </w:pPr>
            <w:r w:rsidRPr="00AF06C8">
              <w:rPr>
                <w:rFonts w:eastAsiaTheme="minorHAnsi"/>
                <w:szCs w:val="22"/>
              </w:rPr>
              <w:t>Comments</w:t>
            </w:r>
          </w:p>
        </w:tc>
      </w:tr>
      <w:tr w:rsidR="003F61F5" w:rsidRPr="002E390A" w14:paraId="2D994E69" w14:textId="77777777" w:rsidTr="00ED6017">
        <w:tc>
          <w:tcPr>
            <w:tcW w:w="2263" w:type="dxa"/>
          </w:tcPr>
          <w:p w14:paraId="3B297D2C" w14:textId="68281E8B" w:rsidR="003F61F5" w:rsidRPr="00AF06C8" w:rsidRDefault="009E3ECA" w:rsidP="00B91593">
            <w:pPr>
              <w:pStyle w:val="TableBody"/>
              <w:spacing w:before="120" w:after="120"/>
              <w:rPr>
                <w:rFonts w:eastAsiaTheme="minorHAnsi"/>
                <w:szCs w:val="22"/>
              </w:rPr>
            </w:pPr>
            <w:r w:rsidRPr="0064267A">
              <w:rPr>
                <w:rFonts w:eastAsiaTheme="minorHAnsi"/>
              </w:rPr>
              <w:t>June</w:t>
            </w:r>
            <w:r w:rsidR="003F61F5" w:rsidRPr="0064267A">
              <w:rPr>
                <w:rFonts w:eastAsiaTheme="minorHAnsi"/>
              </w:rPr>
              <w:t xml:space="preserve"> 20</w:t>
            </w:r>
            <w:r w:rsidR="00996625" w:rsidRPr="0064267A">
              <w:rPr>
                <w:rFonts w:eastAsiaTheme="minorHAnsi"/>
              </w:rPr>
              <w:t>2</w:t>
            </w:r>
            <w:r w:rsidR="00C97F9B" w:rsidRPr="0064267A">
              <w:rPr>
                <w:rFonts w:eastAsiaTheme="minorHAnsi"/>
              </w:rPr>
              <w:t>5</w:t>
            </w:r>
          </w:p>
        </w:tc>
        <w:tc>
          <w:tcPr>
            <w:tcW w:w="6350" w:type="dxa"/>
          </w:tcPr>
          <w:p w14:paraId="41B3E65D" w14:textId="319980DF" w:rsidR="003F61F5" w:rsidRPr="00AF06C8" w:rsidRDefault="003F61F5" w:rsidP="00B91593">
            <w:pPr>
              <w:pStyle w:val="TableBody"/>
              <w:spacing w:before="120" w:after="120"/>
              <w:rPr>
                <w:rFonts w:eastAsiaTheme="minorHAnsi"/>
                <w:szCs w:val="22"/>
              </w:rPr>
            </w:pPr>
            <w:r w:rsidRPr="002E390A">
              <w:rPr>
                <w:rFonts w:eastAsiaTheme="minorHAnsi"/>
              </w:rPr>
              <w:t xml:space="preserve">Initial </w:t>
            </w:r>
            <w:r>
              <w:rPr>
                <w:rFonts w:eastAsiaTheme="minorHAnsi"/>
              </w:rPr>
              <w:t>release</w:t>
            </w:r>
          </w:p>
        </w:tc>
      </w:tr>
      <w:tr w:rsidR="003F61F5" w:rsidRPr="002E390A" w14:paraId="29D668F0" w14:textId="77777777" w:rsidTr="00ED6017">
        <w:tc>
          <w:tcPr>
            <w:tcW w:w="2263" w:type="dxa"/>
          </w:tcPr>
          <w:p w14:paraId="6D61D6B4" w14:textId="29E26627" w:rsidR="003F61F5" w:rsidRPr="00AF06C8" w:rsidRDefault="003F61F5" w:rsidP="00B91593">
            <w:pPr>
              <w:pStyle w:val="TableBody"/>
              <w:spacing w:before="120" w:after="120"/>
              <w:rPr>
                <w:rFonts w:eastAsiaTheme="minorHAnsi"/>
                <w:szCs w:val="22"/>
              </w:rPr>
            </w:pPr>
          </w:p>
        </w:tc>
        <w:tc>
          <w:tcPr>
            <w:tcW w:w="6350" w:type="dxa"/>
          </w:tcPr>
          <w:p w14:paraId="5D7698F2" w14:textId="1DB64CE5" w:rsidR="003F61F5" w:rsidRPr="00AF06C8" w:rsidRDefault="003F61F5" w:rsidP="00B91593">
            <w:pPr>
              <w:pStyle w:val="TableBody"/>
              <w:spacing w:before="120" w:after="120"/>
              <w:rPr>
                <w:rFonts w:eastAsiaTheme="minorHAnsi"/>
                <w:szCs w:val="22"/>
              </w:rPr>
            </w:pPr>
          </w:p>
        </w:tc>
      </w:tr>
      <w:tr w:rsidR="003F61F5" w:rsidRPr="002E390A" w14:paraId="66AB4E3B" w14:textId="77777777" w:rsidTr="00ED6017">
        <w:tc>
          <w:tcPr>
            <w:tcW w:w="2263" w:type="dxa"/>
          </w:tcPr>
          <w:p w14:paraId="4CC55134" w14:textId="7D09C168" w:rsidR="003F61F5" w:rsidRDefault="003F61F5" w:rsidP="00B91593">
            <w:pPr>
              <w:pStyle w:val="TableBody"/>
              <w:spacing w:before="120" w:after="120"/>
              <w:rPr>
                <w:rFonts w:eastAsiaTheme="minorHAnsi"/>
                <w:szCs w:val="22"/>
              </w:rPr>
            </w:pPr>
          </w:p>
        </w:tc>
        <w:tc>
          <w:tcPr>
            <w:tcW w:w="6350" w:type="dxa"/>
          </w:tcPr>
          <w:p w14:paraId="48C91EB1" w14:textId="77E3E65F" w:rsidR="003F61F5" w:rsidRDefault="003F61F5" w:rsidP="00B91593">
            <w:pPr>
              <w:pStyle w:val="TableBody"/>
              <w:spacing w:before="120" w:after="120"/>
              <w:rPr>
                <w:rFonts w:eastAsiaTheme="minorHAnsi"/>
                <w:szCs w:val="22"/>
              </w:rPr>
            </w:pPr>
          </w:p>
        </w:tc>
      </w:tr>
      <w:tr w:rsidR="004A13A7" w:rsidRPr="002E390A" w14:paraId="20BEE448" w14:textId="77777777" w:rsidTr="00ED6017">
        <w:tc>
          <w:tcPr>
            <w:tcW w:w="2263" w:type="dxa"/>
          </w:tcPr>
          <w:p w14:paraId="21847DAE" w14:textId="77777777" w:rsidR="004A13A7" w:rsidRPr="00AF06C8" w:rsidRDefault="004A13A7" w:rsidP="00B91593">
            <w:pPr>
              <w:pStyle w:val="TableBody"/>
              <w:spacing w:before="120" w:after="120"/>
              <w:rPr>
                <w:rFonts w:eastAsiaTheme="minorHAnsi"/>
                <w:szCs w:val="22"/>
              </w:rPr>
            </w:pPr>
          </w:p>
        </w:tc>
        <w:tc>
          <w:tcPr>
            <w:tcW w:w="6350" w:type="dxa"/>
          </w:tcPr>
          <w:p w14:paraId="72D6426A" w14:textId="77777777" w:rsidR="004A13A7" w:rsidRPr="00AF06C8" w:rsidRDefault="004A13A7" w:rsidP="00B91593">
            <w:pPr>
              <w:pStyle w:val="TableBody"/>
              <w:spacing w:before="120" w:after="120"/>
              <w:rPr>
                <w:rFonts w:eastAsiaTheme="minorHAnsi"/>
                <w:szCs w:val="22"/>
              </w:rPr>
            </w:pPr>
          </w:p>
        </w:tc>
      </w:tr>
    </w:tbl>
    <w:p w14:paraId="564856BA" w14:textId="77777777" w:rsidR="004A13A7" w:rsidRDefault="004A13A7" w:rsidP="00B91593">
      <w:pPr>
        <w:pStyle w:val="ACMASpaceaftertable"/>
        <w:spacing w:before="120" w:after="120" w:line="240" w:lineRule="auto"/>
      </w:pPr>
    </w:p>
    <w:p w14:paraId="3033FCBB" w14:textId="1061FF00" w:rsidR="004A13A7" w:rsidRPr="00AF06C8" w:rsidRDefault="004A13A7" w:rsidP="00B91593">
      <w:pPr>
        <w:spacing w:before="120" w:after="120" w:line="240" w:lineRule="auto"/>
        <w:rPr>
          <w:szCs w:val="22"/>
        </w:rPr>
      </w:pPr>
      <w:r w:rsidRPr="00AF06C8">
        <w:rPr>
          <w:szCs w:val="22"/>
        </w:rPr>
        <w:t xml:space="preserve">Suggestions for improvements to Radiocommunications Assignment and Licensing </w:t>
      </w:r>
      <w:r w:rsidRPr="00053882">
        <w:rPr>
          <w:szCs w:val="22"/>
        </w:rPr>
        <w:t xml:space="preserve">Instruction MS </w:t>
      </w:r>
      <w:r w:rsidR="001677F5" w:rsidRPr="00E56C26">
        <w:rPr>
          <w:szCs w:val="22"/>
        </w:rPr>
        <w:t>49</w:t>
      </w:r>
      <w:r w:rsidRPr="00AF06C8">
        <w:rPr>
          <w:szCs w:val="22"/>
        </w:rPr>
        <w:t xml:space="preserve"> may be addressed to:</w:t>
      </w:r>
    </w:p>
    <w:p w14:paraId="55735FA2" w14:textId="1002CE6A" w:rsidR="004A13A7" w:rsidRPr="00AF06C8" w:rsidRDefault="004A13A7" w:rsidP="00B91593">
      <w:pPr>
        <w:spacing w:before="120" w:after="120" w:line="240" w:lineRule="auto"/>
        <w:rPr>
          <w:szCs w:val="22"/>
        </w:rPr>
      </w:pPr>
      <w:r w:rsidRPr="00AF06C8">
        <w:rPr>
          <w:szCs w:val="22"/>
        </w:rPr>
        <w:t xml:space="preserve">The Manager, Spectrum </w:t>
      </w:r>
      <w:r w:rsidR="007D5AAB">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4628B18D" w14:textId="77777777" w:rsidR="004A13A7" w:rsidRPr="00AF06C8" w:rsidRDefault="004A13A7" w:rsidP="00B91593">
      <w:pPr>
        <w:spacing w:before="120" w:after="120" w:line="240" w:lineRule="auto"/>
        <w:rPr>
          <w:rFonts w:cstheme="minorHAnsi"/>
          <w:szCs w:val="22"/>
        </w:rPr>
      </w:pPr>
      <w:r w:rsidRPr="00AF06C8">
        <w:rPr>
          <w:rFonts w:cstheme="minorHAnsi"/>
          <w:szCs w:val="22"/>
        </w:rPr>
        <w:t xml:space="preserve">or by email to: </w:t>
      </w:r>
      <w:hyperlink r:id="rId10" w:history="1">
        <w:r w:rsidRPr="00AF06C8">
          <w:rPr>
            <w:rStyle w:val="Hyperlink"/>
            <w:rFonts w:cstheme="minorHAnsi"/>
            <w:szCs w:val="22"/>
          </w:rPr>
          <w:t>freqplan@acma.gov.au</w:t>
        </w:r>
      </w:hyperlink>
      <w:r w:rsidRPr="00AF06C8">
        <w:rPr>
          <w:rFonts w:cstheme="minorHAnsi"/>
          <w:szCs w:val="22"/>
        </w:rPr>
        <w:t>.</w:t>
      </w:r>
    </w:p>
    <w:p w14:paraId="1A6BDF84" w14:textId="04648F00" w:rsidR="00B95DA7" w:rsidRPr="00AF06C8" w:rsidRDefault="32EF5E0D" w:rsidP="00B91593">
      <w:pPr>
        <w:spacing w:before="120" w:after="120" w:line="240" w:lineRule="auto"/>
      </w:pPr>
      <w:r w:rsidRPr="31EB50B1">
        <w:t xml:space="preserve">Please notify the ACMA of any inaccuracy or ambiguity found in this RALI, so that it can be </w:t>
      </w:r>
      <w:r w:rsidR="00436CBA" w:rsidRPr="31EB50B1">
        <w:t>investigated,</w:t>
      </w:r>
      <w:r w:rsidRPr="31EB50B1">
        <w:t xml:space="preserve"> and appropriate action taken.</w:t>
      </w:r>
    </w:p>
    <w:p w14:paraId="1E1537DA" w14:textId="77777777" w:rsidR="00822B3D" w:rsidRDefault="00822B3D" w:rsidP="00B91593">
      <w:pPr>
        <w:spacing w:before="120" w:after="120" w:line="240" w:lineRule="auto"/>
        <w:rPr>
          <w:b/>
          <w:sz w:val="52"/>
          <w:szCs w:val="52"/>
        </w:rPr>
        <w:sectPr w:rsidR="00822B3D" w:rsidSect="002141E9">
          <w:footerReference w:type="even" r:id="rId11"/>
          <w:type w:val="evenPage"/>
          <w:pgSz w:w="11906" w:h="16838"/>
          <w:pgMar w:top="1440" w:right="1440" w:bottom="1440" w:left="1440" w:header="708" w:footer="708" w:gutter="0"/>
          <w:pgNumType w:fmt="lowerRoman" w:start="1"/>
          <w:cols w:space="708"/>
          <w:docGrid w:linePitch="360"/>
        </w:sectPr>
      </w:pPr>
    </w:p>
    <w:sdt>
      <w:sdtPr>
        <w:rPr>
          <w:b w:val="0"/>
          <w:color w:val="auto"/>
          <w:spacing w:val="0"/>
          <w:sz w:val="24"/>
        </w:rPr>
        <w:id w:val="2122026567"/>
        <w:docPartObj>
          <w:docPartGallery w:val="Table of Contents"/>
          <w:docPartUnique/>
        </w:docPartObj>
      </w:sdtPr>
      <w:sdtEndPr>
        <w:rPr>
          <w:noProof/>
          <w:sz w:val="22"/>
          <w:szCs w:val="22"/>
        </w:rPr>
      </w:sdtEndPr>
      <w:sdtContent>
        <w:p w14:paraId="491F9999" w14:textId="00A2E1CA" w:rsidR="00097D72" w:rsidRDefault="00097D72" w:rsidP="00B91593">
          <w:pPr>
            <w:pStyle w:val="TOCHeading"/>
            <w:spacing w:before="120" w:after="120"/>
          </w:pPr>
          <w:r>
            <w:t>Contents</w:t>
          </w:r>
        </w:p>
        <w:p w14:paraId="1F8EA579" w14:textId="77DCA985" w:rsidR="00FC3B7A" w:rsidRDefault="00097D72">
          <w:pPr>
            <w:pStyle w:val="TOC1"/>
            <w:tabs>
              <w:tab w:val="left" w:pos="885"/>
            </w:tabs>
            <w:rPr>
              <w:rFonts w:asciiTheme="minorHAnsi" w:eastAsiaTheme="minorEastAsia" w:hAnsiTheme="minorHAnsi" w:cstheme="minorBidi"/>
              <w:b w:val="0"/>
              <w:spacing w:val="0"/>
              <w:kern w:val="2"/>
              <w:sz w:val="24"/>
              <w14:ligatures w14:val="standardContextual"/>
            </w:rPr>
          </w:pPr>
          <w:r>
            <w:fldChar w:fldCharType="begin"/>
          </w:r>
          <w:r>
            <w:instrText xml:space="preserve"> TOC \o "1-3" \h \z \u </w:instrText>
          </w:r>
          <w:r>
            <w:fldChar w:fldCharType="separate"/>
          </w:r>
          <w:hyperlink w:anchor="_Toc200548962" w:history="1">
            <w:r w:rsidR="00FC3B7A" w:rsidRPr="000D00F5">
              <w:rPr>
                <w:rStyle w:val="Hyperlink"/>
                <w14:scene3d>
                  <w14:camera w14:prst="orthographicFront"/>
                  <w14:lightRig w14:rig="threePt" w14:dir="t">
                    <w14:rot w14:lat="0" w14:lon="0" w14:rev="0"/>
                  </w14:lightRig>
                </w14:scene3d>
              </w:rPr>
              <w:t>1</w:t>
            </w:r>
            <w:r w:rsidR="00FC3B7A">
              <w:rPr>
                <w:rFonts w:asciiTheme="minorHAnsi" w:eastAsiaTheme="minorEastAsia" w:hAnsiTheme="minorHAnsi" w:cstheme="minorBidi"/>
                <w:b w:val="0"/>
                <w:spacing w:val="0"/>
                <w:kern w:val="2"/>
                <w:sz w:val="24"/>
                <w14:ligatures w14:val="standardContextual"/>
              </w:rPr>
              <w:tab/>
            </w:r>
            <w:r w:rsidR="00FC3B7A" w:rsidRPr="000D00F5">
              <w:rPr>
                <w:rStyle w:val="Hyperlink"/>
              </w:rPr>
              <w:t>Introduction</w:t>
            </w:r>
            <w:r w:rsidR="00FC3B7A">
              <w:rPr>
                <w:webHidden/>
              </w:rPr>
              <w:tab/>
            </w:r>
            <w:r w:rsidR="00FC3B7A">
              <w:rPr>
                <w:webHidden/>
              </w:rPr>
              <w:fldChar w:fldCharType="begin"/>
            </w:r>
            <w:r w:rsidR="00FC3B7A">
              <w:rPr>
                <w:webHidden/>
              </w:rPr>
              <w:instrText xml:space="preserve"> PAGEREF _Toc200548962 \h </w:instrText>
            </w:r>
            <w:r w:rsidR="00FC3B7A">
              <w:rPr>
                <w:webHidden/>
              </w:rPr>
            </w:r>
            <w:r w:rsidR="00FC3B7A">
              <w:rPr>
                <w:webHidden/>
              </w:rPr>
              <w:fldChar w:fldCharType="separate"/>
            </w:r>
            <w:r w:rsidR="0079570C">
              <w:rPr>
                <w:webHidden/>
              </w:rPr>
              <w:t>5</w:t>
            </w:r>
            <w:r w:rsidR="00FC3B7A">
              <w:rPr>
                <w:webHidden/>
              </w:rPr>
              <w:fldChar w:fldCharType="end"/>
            </w:r>
          </w:hyperlink>
        </w:p>
        <w:p w14:paraId="3E6EE1C8" w14:textId="6AA9B1B6"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63" w:history="1">
            <w:r w:rsidRPr="000D00F5">
              <w:rPr>
                <w:rStyle w:val="Hyperlink"/>
              </w:rPr>
              <w:t>1.1</w:t>
            </w:r>
            <w:r>
              <w:rPr>
                <w:rFonts w:asciiTheme="minorHAnsi" w:eastAsiaTheme="minorEastAsia" w:hAnsiTheme="minorHAnsi" w:cstheme="minorBidi"/>
                <w:spacing w:val="0"/>
                <w:kern w:val="2"/>
                <w:sz w:val="24"/>
                <w:szCs w:val="24"/>
                <w14:ligatures w14:val="standardContextual"/>
              </w:rPr>
              <w:tab/>
            </w:r>
            <w:r w:rsidRPr="000D00F5">
              <w:rPr>
                <w:rStyle w:val="Hyperlink"/>
              </w:rPr>
              <w:t>Purpose</w:t>
            </w:r>
            <w:r>
              <w:rPr>
                <w:webHidden/>
              </w:rPr>
              <w:tab/>
            </w:r>
            <w:r>
              <w:rPr>
                <w:webHidden/>
              </w:rPr>
              <w:fldChar w:fldCharType="begin"/>
            </w:r>
            <w:r>
              <w:rPr>
                <w:webHidden/>
              </w:rPr>
              <w:instrText xml:space="preserve"> PAGEREF _Toc200548963 \h </w:instrText>
            </w:r>
            <w:r>
              <w:rPr>
                <w:webHidden/>
              </w:rPr>
            </w:r>
            <w:r>
              <w:rPr>
                <w:webHidden/>
              </w:rPr>
              <w:fldChar w:fldCharType="separate"/>
            </w:r>
            <w:r w:rsidR="0079570C">
              <w:rPr>
                <w:webHidden/>
              </w:rPr>
              <w:t>5</w:t>
            </w:r>
            <w:r>
              <w:rPr>
                <w:webHidden/>
              </w:rPr>
              <w:fldChar w:fldCharType="end"/>
            </w:r>
          </w:hyperlink>
        </w:p>
        <w:p w14:paraId="3ED892CB" w14:textId="07D6D02C"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64" w:history="1">
            <w:r w:rsidRPr="000D00F5">
              <w:rPr>
                <w:rStyle w:val="Hyperlink"/>
              </w:rPr>
              <w:t>1.2</w:t>
            </w:r>
            <w:r>
              <w:rPr>
                <w:rFonts w:asciiTheme="minorHAnsi" w:eastAsiaTheme="minorEastAsia" w:hAnsiTheme="minorHAnsi" w:cstheme="minorBidi"/>
                <w:spacing w:val="0"/>
                <w:kern w:val="2"/>
                <w:sz w:val="24"/>
                <w:szCs w:val="24"/>
                <w14:ligatures w14:val="standardContextual"/>
              </w:rPr>
              <w:tab/>
            </w:r>
            <w:r w:rsidRPr="000D00F5">
              <w:rPr>
                <w:rStyle w:val="Hyperlink"/>
              </w:rPr>
              <w:t>Scope</w:t>
            </w:r>
            <w:r>
              <w:rPr>
                <w:webHidden/>
              </w:rPr>
              <w:tab/>
            </w:r>
            <w:r>
              <w:rPr>
                <w:webHidden/>
              </w:rPr>
              <w:fldChar w:fldCharType="begin"/>
            </w:r>
            <w:r>
              <w:rPr>
                <w:webHidden/>
              </w:rPr>
              <w:instrText xml:space="preserve"> PAGEREF _Toc200548964 \h </w:instrText>
            </w:r>
            <w:r>
              <w:rPr>
                <w:webHidden/>
              </w:rPr>
            </w:r>
            <w:r>
              <w:rPr>
                <w:webHidden/>
              </w:rPr>
              <w:fldChar w:fldCharType="separate"/>
            </w:r>
            <w:r w:rsidR="0079570C">
              <w:rPr>
                <w:webHidden/>
              </w:rPr>
              <w:t>5</w:t>
            </w:r>
            <w:r>
              <w:rPr>
                <w:webHidden/>
              </w:rPr>
              <w:fldChar w:fldCharType="end"/>
            </w:r>
          </w:hyperlink>
        </w:p>
        <w:p w14:paraId="1584471F" w14:textId="3FA3F6B5" w:rsidR="00FC3B7A" w:rsidRDefault="00FC3B7A">
          <w:pPr>
            <w:pStyle w:val="TOC1"/>
            <w:tabs>
              <w:tab w:val="left" w:pos="885"/>
            </w:tabs>
            <w:rPr>
              <w:rFonts w:asciiTheme="minorHAnsi" w:eastAsiaTheme="minorEastAsia" w:hAnsiTheme="minorHAnsi" w:cstheme="minorBidi"/>
              <w:b w:val="0"/>
              <w:spacing w:val="0"/>
              <w:kern w:val="2"/>
              <w:sz w:val="24"/>
              <w14:ligatures w14:val="standardContextual"/>
            </w:rPr>
          </w:pPr>
          <w:hyperlink w:anchor="_Toc200548965" w:history="1">
            <w:r w:rsidRPr="000D00F5">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0D00F5">
              <w:rPr>
                <w:rStyle w:val="Hyperlink"/>
              </w:rPr>
              <w:t>Service description</w:t>
            </w:r>
            <w:r>
              <w:rPr>
                <w:webHidden/>
              </w:rPr>
              <w:tab/>
            </w:r>
            <w:r>
              <w:rPr>
                <w:webHidden/>
              </w:rPr>
              <w:fldChar w:fldCharType="begin"/>
            </w:r>
            <w:r>
              <w:rPr>
                <w:webHidden/>
              </w:rPr>
              <w:instrText xml:space="preserve"> PAGEREF _Toc200548965 \h </w:instrText>
            </w:r>
            <w:r>
              <w:rPr>
                <w:webHidden/>
              </w:rPr>
            </w:r>
            <w:r>
              <w:rPr>
                <w:webHidden/>
              </w:rPr>
              <w:fldChar w:fldCharType="separate"/>
            </w:r>
            <w:r w:rsidR="0079570C">
              <w:rPr>
                <w:webHidden/>
              </w:rPr>
              <w:t>7</w:t>
            </w:r>
            <w:r>
              <w:rPr>
                <w:webHidden/>
              </w:rPr>
              <w:fldChar w:fldCharType="end"/>
            </w:r>
          </w:hyperlink>
        </w:p>
        <w:p w14:paraId="0EA92DC8" w14:textId="780FDBD5" w:rsidR="00FC3B7A" w:rsidRDefault="00FC3B7A">
          <w:pPr>
            <w:pStyle w:val="TOC1"/>
            <w:tabs>
              <w:tab w:val="left" w:pos="885"/>
            </w:tabs>
            <w:rPr>
              <w:rFonts w:asciiTheme="minorHAnsi" w:eastAsiaTheme="minorEastAsia" w:hAnsiTheme="minorHAnsi" w:cstheme="minorBidi"/>
              <w:b w:val="0"/>
              <w:spacing w:val="0"/>
              <w:kern w:val="2"/>
              <w:sz w:val="24"/>
              <w14:ligatures w14:val="standardContextual"/>
            </w:rPr>
          </w:pPr>
          <w:hyperlink w:anchor="_Toc200548966" w:history="1">
            <w:r w:rsidRPr="000D00F5">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0D00F5">
              <w:rPr>
                <w:rStyle w:val="Hyperlink"/>
              </w:rPr>
              <w:t>Licence structure</w:t>
            </w:r>
            <w:r>
              <w:rPr>
                <w:webHidden/>
              </w:rPr>
              <w:tab/>
            </w:r>
            <w:r>
              <w:rPr>
                <w:webHidden/>
              </w:rPr>
              <w:fldChar w:fldCharType="begin"/>
            </w:r>
            <w:r>
              <w:rPr>
                <w:webHidden/>
              </w:rPr>
              <w:instrText xml:space="preserve"> PAGEREF _Toc200548966 \h </w:instrText>
            </w:r>
            <w:r>
              <w:rPr>
                <w:webHidden/>
              </w:rPr>
            </w:r>
            <w:r>
              <w:rPr>
                <w:webHidden/>
              </w:rPr>
              <w:fldChar w:fldCharType="separate"/>
            </w:r>
            <w:r w:rsidR="0079570C">
              <w:rPr>
                <w:webHidden/>
              </w:rPr>
              <w:t>8</w:t>
            </w:r>
            <w:r>
              <w:rPr>
                <w:webHidden/>
              </w:rPr>
              <w:fldChar w:fldCharType="end"/>
            </w:r>
          </w:hyperlink>
        </w:p>
        <w:p w14:paraId="0B4E0A02" w14:textId="0383F75D" w:rsidR="00FC3B7A" w:rsidRDefault="00FC3B7A">
          <w:pPr>
            <w:pStyle w:val="TOC1"/>
            <w:tabs>
              <w:tab w:val="left" w:pos="885"/>
            </w:tabs>
            <w:rPr>
              <w:rFonts w:asciiTheme="minorHAnsi" w:eastAsiaTheme="minorEastAsia" w:hAnsiTheme="minorHAnsi" w:cstheme="minorBidi"/>
              <w:b w:val="0"/>
              <w:spacing w:val="0"/>
              <w:kern w:val="2"/>
              <w:sz w:val="24"/>
              <w14:ligatures w14:val="standardContextual"/>
            </w:rPr>
          </w:pPr>
          <w:hyperlink w:anchor="_Toc200548967" w:history="1">
            <w:r w:rsidRPr="000D00F5">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0D00F5">
              <w:rPr>
                <w:rStyle w:val="Hyperlink"/>
              </w:rPr>
              <w:t>Technical requirements for RNSS Repeater Devices</w:t>
            </w:r>
            <w:r>
              <w:rPr>
                <w:webHidden/>
              </w:rPr>
              <w:tab/>
            </w:r>
            <w:r>
              <w:rPr>
                <w:webHidden/>
              </w:rPr>
              <w:fldChar w:fldCharType="begin"/>
            </w:r>
            <w:r>
              <w:rPr>
                <w:webHidden/>
              </w:rPr>
              <w:instrText xml:space="preserve"> PAGEREF _Toc200548967 \h </w:instrText>
            </w:r>
            <w:r>
              <w:rPr>
                <w:webHidden/>
              </w:rPr>
            </w:r>
            <w:r>
              <w:rPr>
                <w:webHidden/>
              </w:rPr>
              <w:fldChar w:fldCharType="separate"/>
            </w:r>
            <w:r w:rsidR="0079570C">
              <w:rPr>
                <w:webHidden/>
              </w:rPr>
              <w:t>9</w:t>
            </w:r>
            <w:r>
              <w:rPr>
                <w:webHidden/>
              </w:rPr>
              <w:fldChar w:fldCharType="end"/>
            </w:r>
          </w:hyperlink>
        </w:p>
        <w:p w14:paraId="4BE2929E" w14:textId="5F6FB336"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68" w:history="1">
            <w:r w:rsidRPr="000D00F5">
              <w:rPr>
                <w:rStyle w:val="Hyperlink"/>
              </w:rPr>
              <w:t>4.1</w:t>
            </w:r>
            <w:r>
              <w:rPr>
                <w:rFonts w:asciiTheme="minorHAnsi" w:eastAsiaTheme="minorEastAsia" w:hAnsiTheme="minorHAnsi" w:cstheme="minorBidi"/>
                <w:spacing w:val="0"/>
                <w:kern w:val="2"/>
                <w:sz w:val="24"/>
                <w:szCs w:val="24"/>
                <w14:ligatures w14:val="standardContextual"/>
              </w:rPr>
              <w:tab/>
            </w:r>
            <w:r w:rsidRPr="000D00F5">
              <w:rPr>
                <w:rStyle w:val="Hyperlink"/>
              </w:rPr>
              <w:t>Deployment Conditions</w:t>
            </w:r>
            <w:r>
              <w:rPr>
                <w:webHidden/>
              </w:rPr>
              <w:tab/>
            </w:r>
            <w:r>
              <w:rPr>
                <w:webHidden/>
              </w:rPr>
              <w:fldChar w:fldCharType="begin"/>
            </w:r>
            <w:r>
              <w:rPr>
                <w:webHidden/>
              </w:rPr>
              <w:instrText xml:space="preserve"> PAGEREF _Toc200548968 \h </w:instrText>
            </w:r>
            <w:r>
              <w:rPr>
                <w:webHidden/>
              </w:rPr>
            </w:r>
            <w:r>
              <w:rPr>
                <w:webHidden/>
              </w:rPr>
              <w:fldChar w:fldCharType="separate"/>
            </w:r>
            <w:r w:rsidR="0079570C">
              <w:rPr>
                <w:webHidden/>
              </w:rPr>
              <w:t>9</w:t>
            </w:r>
            <w:r>
              <w:rPr>
                <w:webHidden/>
              </w:rPr>
              <w:fldChar w:fldCharType="end"/>
            </w:r>
          </w:hyperlink>
        </w:p>
        <w:p w14:paraId="4E1F9176" w14:textId="01F29FD1"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69" w:history="1">
            <w:r w:rsidRPr="000D00F5">
              <w:rPr>
                <w:rStyle w:val="Hyperlink"/>
              </w:rPr>
              <w:t>4.2</w:t>
            </w:r>
            <w:r>
              <w:rPr>
                <w:rFonts w:asciiTheme="minorHAnsi" w:eastAsiaTheme="minorEastAsia" w:hAnsiTheme="minorHAnsi" w:cstheme="minorBidi"/>
                <w:spacing w:val="0"/>
                <w:kern w:val="2"/>
                <w:sz w:val="24"/>
                <w:szCs w:val="24"/>
                <w14:ligatures w14:val="standardContextual"/>
              </w:rPr>
              <w:tab/>
            </w:r>
            <w:r w:rsidRPr="000D00F5">
              <w:rPr>
                <w:rStyle w:val="Hyperlink"/>
              </w:rPr>
              <w:t>Intended Service Area</w:t>
            </w:r>
            <w:r>
              <w:rPr>
                <w:webHidden/>
              </w:rPr>
              <w:tab/>
            </w:r>
            <w:r>
              <w:rPr>
                <w:webHidden/>
              </w:rPr>
              <w:fldChar w:fldCharType="begin"/>
            </w:r>
            <w:r>
              <w:rPr>
                <w:webHidden/>
              </w:rPr>
              <w:instrText xml:space="preserve"> PAGEREF _Toc200548969 \h </w:instrText>
            </w:r>
            <w:r>
              <w:rPr>
                <w:webHidden/>
              </w:rPr>
            </w:r>
            <w:r>
              <w:rPr>
                <w:webHidden/>
              </w:rPr>
              <w:fldChar w:fldCharType="separate"/>
            </w:r>
            <w:r w:rsidR="0079570C">
              <w:rPr>
                <w:webHidden/>
              </w:rPr>
              <w:t>9</w:t>
            </w:r>
            <w:r>
              <w:rPr>
                <w:webHidden/>
              </w:rPr>
              <w:fldChar w:fldCharType="end"/>
            </w:r>
          </w:hyperlink>
        </w:p>
        <w:p w14:paraId="2C1C4272" w14:textId="4932FAAE"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70" w:history="1">
            <w:r w:rsidRPr="000D00F5">
              <w:rPr>
                <w:rStyle w:val="Hyperlink"/>
              </w:rPr>
              <w:t>4.3</w:t>
            </w:r>
            <w:r>
              <w:rPr>
                <w:rFonts w:asciiTheme="minorHAnsi" w:eastAsiaTheme="minorEastAsia" w:hAnsiTheme="minorHAnsi" w:cstheme="minorBidi"/>
                <w:spacing w:val="0"/>
                <w:kern w:val="2"/>
                <w:sz w:val="24"/>
                <w:szCs w:val="24"/>
                <w14:ligatures w14:val="standardContextual"/>
              </w:rPr>
              <w:tab/>
            </w:r>
            <w:r w:rsidRPr="000D00F5">
              <w:rPr>
                <w:rStyle w:val="Hyperlink"/>
              </w:rPr>
              <w:t>Frequencies of Operation</w:t>
            </w:r>
            <w:r>
              <w:rPr>
                <w:webHidden/>
              </w:rPr>
              <w:tab/>
            </w:r>
            <w:r>
              <w:rPr>
                <w:webHidden/>
              </w:rPr>
              <w:fldChar w:fldCharType="begin"/>
            </w:r>
            <w:r>
              <w:rPr>
                <w:webHidden/>
              </w:rPr>
              <w:instrText xml:space="preserve"> PAGEREF _Toc200548970 \h </w:instrText>
            </w:r>
            <w:r>
              <w:rPr>
                <w:webHidden/>
              </w:rPr>
            </w:r>
            <w:r>
              <w:rPr>
                <w:webHidden/>
              </w:rPr>
              <w:fldChar w:fldCharType="separate"/>
            </w:r>
            <w:r w:rsidR="0079570C">
              <w:rPr>
                <w:webHidden/>
              </w:rPr>
              <w:t>9</w:t>
            </w:r>
            <w:r>
              <w:rPr>
                <w:webHidden/>
              </w:rPr>
              <w:fldChar w:fldCharType="end"/>
            </w:r>
          </w:hyperlink>
        </w:p>
        <w:p w14:paraId="532DDC71" w14:textId="621B7A55"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71" w:history="1">
            <w:r w:rsidRPr="000D00F5">
              <w:rPr>
                <w:rStyle w:val="Hyperlink"/>
              </w:rPr>
              <w:t>4.4</w:t>
            </w:r>
            <w:r>
              <w:rPr>
                <w:rFonts w:asciiTheme="minorHAnsi" w:eastAsiaTheme="minorEastAsia" w:hAnsiTheme="minorHAnsi" w:cstheme="minorBidi"/>
                <w:spacing w:val="0"/>
                <w:kern w:val="2"/>
                <w:sz w:val="24"/>
                <w:szCs w:val="24"/>
                <w14:ligatures w14:val="standardContextual"/>
              </w:rPr>
              <w:tab/>
            </w:r>
            <w:r w:rsidRPr="000D00F5">
              <w:rPr>
                <w:rStyle w:val="Hyperlink"/>
              </w:rPr>
              <w:t>Relevant Standards</w:t>
            </w:r>
            <w:r>
              <w:rPr>
                <w:webHidden/>
              </w:rPr>
              <w:tab/>
            </w:r>
            <w:r>
              <w:rPr>
                <w:webHidden/>
              </w:rPr>
              <w:fldChar w:fldCharType="begin"/>
            </w:r>
            <w:r>
              <w:rPr>
                <w:webHidden/>
              </w:rPr>
              <w:instrText xml:space="preserve"> PAGEREF _Toc200548971 \h </w:instrText>
            </w:r>
            <w:r>
              <w:rPr>
                <w:webHidden/>
              </w:rPr>
            </w:r>
            <w:r>
              <w:rPr>
                <w:webHidden/>
              </w:rPr>
              <w:fldChar w:fldCharType="separate"/>
            </w:r>
            <w:r w:rsidR="0079570C">
              <w:rPr>
                <w:webHidden/>
              </w:rPr>
              <w:t>9</w:t>
            </w:r>
            <w:r>
              <w:rPr>
                <w:webHidden/>
              </w:rPr>
              <w:fldChar w:fldCharType="end"/>
            </w:r>
          </w:hyperlink>
        </w:p>
        <w:p w14:paraId="216EAA67" w14:textId="1728C356"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72" w:history="1">
            <w:r w:rsidRPr="000D00F5">
              <w:rPr>
                <w:rStyle w:val="Hyperlink"/>
              </w:rPr>
              <w:t>4.5</w:t>
            </w:r>
            <w:r>
              <w:rPr>
                <w:rFonts w:asciiTheme="minorHAnsi" w:eastAsiaTheme="minorEastAsia" w:hAnsiTheme="minorHAnsi" w:cstheme="minorBidi"/>
                <w:spacing w:val="0"/>
                <w:kern w:val="2"/>
                <w:sz w:val="24"/>
                <w:szCs w:val="24"/>
                <w14:ligatures w14:val="standardContextual"/>
              </w:rPr>
              <w:tab/>
            </w:r>
            <w:r w:rsidRPr="000D00F5">
              <w:rPr>
                <w:rStyle w:val="Hyperlink"/>
              </w:rPr>
              <w:t>Installation Requirements</w:t>
            </w:r>
            <w:r>
              <w:rPr>
                <w:webHidden/>
              </w:rPr>
              <w:tab/>
            </w:r>
            <w:r>
              <w:rPr>
                <w:webHidden/>
              </w:rPr>
              <w:fldChar w:fldCharType="begin"/>
            </w:r>
            <w:r>
              <w:rPr>
                <w:webHidden/>
              </w:rPr>
              <w:instrText xml:space="preserve"> PAGEREF _Toc200548972 \h </w:instrText>
            </w:r>
            <w:r>
              <w:rPr>
                <w:webHidden/>
              </w:rPr>
            </w:r>
            <w:r>
              <w:rPr>
                <w:webHidden/>
              </w:rPr>
              <w:fldChar w:fldCharType="separate"/>
            </w:r>
            <w:r w:rsidR="0079570C">
              <w:rPr>
                <w:webHidden/>
              </w:rPr>
              <w:t>9</w:t>
            </w:r>
            <w:r>
              <w:rPr>
                <w:webHidden/>
              </w:rPr>
              <w:fldChar w:fldCharType="end"/>
            </w:r>
          </w:hyperlink>
        </w:p>
        <w:p w14:paraId="2D8BF29B" w14:textId="05C3C598" w:rsidR="00FC3B7A" w:rsidRDefault="00FC3B7A">
          <w:pPr>
            <w:pStyle w:val="TOC3"/>
            <w:tabs>
              <w:tab w:val="left" w:pos="885"/>
            </w:tabs>
            <w:rPr>
              <w:rFonts w:asciiTheme="minorHAnsi" w:eastAsiaTheme="minorEastAsia" w:hAnsiTheme="minorHAnsi" w:cstheme="minorBidi"/>
              <w:kern w:val="2"/>
              <w:sz w:val="24"/>
              <w:szCs w:val="24"/>
              <w14:ligatures w14:val="standardContextual"/>
            </w:rPr>
          </w:pPr>
          <w:hyperlink w:anchor="_Toc200548973" w:history="1">
            <w:r w:rsidRPr="000D00F5">
              <w:rPr>
                <w:rStyle w:val="Hyperlink"/>
              </w:rPr>
              <w:t>4.5.1</w:t>
            </w:r>
            <w:r>
              <w:rPr>
                <w:rFonts w:asciiTheme="minorHAnsi" w:eastAsiaTheme="minorEastAsia" w:hAnsiTheme="minorHAnsi" w:cstheme="minorBidi"/>
                <w:kern w:val="2"/>
                <w:sz w:val="24"/>
                <w:szCs w:val="24"/>
                <w14:ligatures w14:val="standardContextual"/>
              </w:rPr>
              <w:tab/>
            </w:r>
            <w:r w:rsidRPr="000D00F5">
              <w:rPr>
                <w:rStyle w:val="Hyperlink"/>
              </w:rPr>
              <w:t>System limits</w:t>
            </w:r>
            <w:r>
              <w:rPr>
                <w:webHidden/>
              </w:rPr>
              <w:tab/>
            </w:r>
            <w:r>
              <w:rPr>
                <w:webHidden/>
              </w:rPr>
              <w:fldChar w:fldCharType="begin"/>
            </w:r>
            <w:r>
              <w:rPr>
                <w:webHidden/>
              </w:rPr>
              <w:instrText xml:space="preserve"> PAGEREF _Toc200548973 \h </w:instrText>
            </w:r>
            <w:r>
              <w:rPr>
                <w:webHidden/>
              </w:rPr>
            </w:r>
            <w:r>
              <w:rPr>
                <w:webHidden/>
              </w:rPr>
              <w:fldChar w:fldCharType="separate"/>
            </w:r>
            <w:r w:rsidR="0079570C">
              <w:rPr>
                <w:webHidden/>
              </w:rPr>
              <w:t>9</w:t>
            </w:r>
            <w:r>
              <w:rPr>
                <w:webHidden/>
              </w:rPr>
              <w:fldChar w:fldCharType="end"/>
            </w:r>
          </w:hyperlink>
        </w:p>
        <w:p w14:paraId="6CE6FF32" w14:textId="45F715B5"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74" w:history="1">
            <w:r w:rsidRPr="000D00F5">
              <w:rPr>
                <w:rStyle w:val="Hyperlink"/>
              </w:rPr>
              <w:t>4.6</w:t>
            </w:r>
            <w:r>
              <w:rPr>
                <w:rFonts w:asciiTheme="minorHAnsi" w:eastAsiaTheme="minorEastAsia" w:hAnsiTheme="minorHAnsi" w:cstheme="minorBidi"/>
                <w:spacing w:val="0"/>
                <w:kern w:val="2"/>
                <w:sz w:val="24"/>
                <w:szCs w:val="24"/>
                <w14:ligatures w14:val="standardContextual"/>
              </w:rPr>
              <w:tab/>
            </w:r>
            <w:r w:rsidRPr="000D00F5">
              <w:rPr>
                <w:rStyle w:val="Hyperlink"/>
              </w:rPr>
              <w:t>Boundary Conditions</w:t>
            </w:r>
            <w:r>
              <w:rPr>
                <w:webHidden/>
              </w:rPr>
              <w:tab/>
            </w:r>
            <w:r>
              <w:rPr>
                <w:webHidden/>
              </w:rPr>
              <w:fldChar w:fldCharType="begin"/>
            </w:r>
            <w:r>
              <w:rPr>
                <w:webHidden/>
              </w:rPr>
              <w:instrText xml:space="preserve"> PAGEREF _Toc200548974 \h </w:instrText>
            </w:r>
            <w:r>
              <w:rPr>
                <w:webHidden/>
              </w:rPr>
            </w:r>
            <w:r>
              <w:rPr>
                <w:webHidden/>
              </w:rPr>
              <w:fldChar w:fldCharType="separate"/>
            </w:r>
            <w:r w:rsidR="0079570C">
              <w:rPr>
                <w:webHidden/>
              </w:rPr>
              <w:t>11</w:t>
            </w:r>
            <w:r>
              <w:rPr>
                <w:webHidden/>
              </w:rPr>
              <w:fldChar w:fldCharType="end"/>
            </w:r>
          </w:hyperlink>
        </w:p>
        <w:p w14:paraId="74D907AA" w14:textId="6A1D020A" w:rsidR="00FC3B7A" w:rsidRDefault="00FC3B7A">
          <w:pPr>
            <w:pStyle w:val="TOC2"/>
            <w:rPr>
              <w:rFonts w:asciiTheme="minorHAnsi" w:eastAsiaTheme="minorEastAsia" w:hAnsiTheme="minorHAnsi" w:cstheme="minorBidi"/>
              <w:spacing w:val="0"/>
              <w:kern w:val="2"/>
              <w:sz w:val="24"/>
              <w:szCs w:val="24"/>
              <w14:ligatures w14:val="standardContextual"/>
            </w:rPr>
          </w:pPr>
          <w:hyperlink w:anchor="_Toc200548975" w:history="1">
            <w:r w:rsidRPr="000D00F5">
              <w:rPr>
                <w:rStyle w:val="Hyperlink"/>
              </w:rPr>
              <w:t>4.7</w:t>
            </w:r>
            <w:r>
              <w:rPr>
                <w:rFonts w:asciiTheme="minorHAnsi" w:eastAsiaTheme="minorEastAsia" w:hAnsiTheme="minorHAnsi" w:cstheme="minorBidi"/>
                <w:spacing w:val="0"/>
                <w:kern w:val="2"/>
                <w:sz w:val="24"/>
                <w:szCs w:val="24"/>
                <w14:ligatures w14:val="standardContextual"/>
              </w:rPr>
              <w:tab/>
            </w:r>
            <w:r w:rsidRPr="000D00F5">
              <w:rPr>
                <w:rStyle w:val="Hyperlink"/>
              </w:rPr>
              <w:t>Registration</w:t>
            </w:r>
            <w:r>
              <w:rPr>
                <w:webHidden/>
              </w:rPr>
              <w:tab/>
            </w:r>
            <w:r>
              <w:rPr>
                <w:webHidden/>
              </w:rPr>
              <w:fldChar w:fldCharType="begin"/>
            </w:r>
            <w:r>
              <w:rPr>
                <w:webHidden/>
              </w:rPr>
              <w:instrText xml:space="preserve"> PAGEREF _Toc200548975 \h </w:instrText>
            </w:r>
            <w:r>
              <w:rPr>
                <w:webHidden/>
              </w:rPr>
            </w:r>
            <w:r>
              <w:rPr>
                <w:webHidden/>
              </w:rPr>
              <w:fldChar w:fldCharType="separate"/>
            </w:r>
            <w:r w:rsidR="0079570C">
              <w:rPr>
                <w:webHidden/>
              </w:rPr>
              <w:t>11</w:t>
            </w:r>
            <w:r>
              <w:rPr>
                <w:webHidden/>
              </w:rPr>
              <w:fldChar w:fldCharType="end"/>
            </w:r>
          </w:hyperlink>
        </w:p>
        <w:p w14:paraId="4507F12E" w14:textId="4B0AEC46" w:rsidR="00FC3B7A" w:rsidRDefault="00FC3B7A">
          <w:pPr>
            <w:pStyle w:val="TOC3"/>
            <w:tabs>
              <w:tab w:val="left" w:pos="885"/>
            </w:tabs>
            <w:rPr>
              <w:rFonts w:asciiTheme="minorHAnsi" w:eastAsiaTheme="minorEastAsia" w:hAnsiTheme="minorHAnsi" w:cstheme="minorBidi"/>
              <w:kern w:val="2"/>
              <w:sz w:val="24"/>
              <w:szCs w:val="24"/>
              <w14:ligatures w14:val="standardContextual"/>
            </w:rPr>
          </w:pPr>
          <w:hyperlink w:anchor="_Toc200548976" w:history="1">
            <w:r w:rsidRPr="000D00F5">
              <w:rPr>
                <w:rStyle w:val="Hyperlink"/>
              </w:rPr>
              <w:t>4.7.1</w:t>
            </w:r>
            <w:r>
              <w:rPr>
                <w:rFonts w:asciiTheme="minorHAnsi" w:eastAsiaTheme="minorEastAsia" w:hAnsiTheme="minorHAnsi" w:cstheme="minorBidi"/>
                <w:kern w:val="2"/>
                <w:sz w:val="24"/>
                <w:szCs w:val="24"/>
                <w14:ligatures w14:val="standardContextual"/>
              </w:rPr>
              <w:tab/>
            </w:r>
            <w:r w:rsidRPr="000D00F5">
              <w:rPr>
                <w:rStyle w:val="Hyperlink"/>
              </w:rPr>
              <w:t>Applicable licensing conditions</w:t>
            </w:r>
            <w:r>
              <w:rPr>
                <w:webHidden/>
              </w:rPr>
              <w:tab/>
            </w:r>
            <w:r>
              <w:rPr>
                <w:webHidden/>
              </w:rPr>
              <w:fldChar w:fldCharType="begin"/>
            </w:r>
            <w:r>
              <w:rPr>
                <w:webHidden/>
              </w:rPr>
              <w:instrText xml:space="preserve"> PAGEREF _Toc200548976 \h </w:instrText>
            </w:r>
            <w:r>
              <w:rPr>
                <w:webHidden/>
              </w:rPr>
            </w:r>
            <w:r>
              <w:rPr>
                <w:webHidden/>
              </w:rPr>
              <w:fldChar w:fldCharType="separate"/>
            </w:r>
            <w:r w:rsidR="0079570C">
              <w:rPr>
                <w:webHidden/>
              </w:rPr>
              <w:t>12</w:t>
            </w:r>
            <w:r>
              <w:rPr>
                <w:webHidden/>
              </w:rPr>
              <w:fldChar w:fldCharType="end"/>
            </w:r>
          </w:hyperlink>
        </w:p>
        <w:p w14:paraId="5CBC4541" w14:textId="79ACCB57" w:rsidR="00FC3B7A" w:rsidRDefault="00FC3B7A">
          <w:pPr>
            <w:pStyle w:val="TOC3"/>
            <w:tabs>
              <w:tab w:val="left" w:pos="885"/>
            </w:tabs>
            <w:rPr>
              <w:rFonts w:asciiTheme="minorHAnsi" w:eastAsiaTheme="minorEastAsia" w:hAnsiTheme="minorHAnsi" w:cstheme="minorBidi"/>
              <w:kern w:val="2"/>
              <w:sz w:val="24"/>
              <w:szCs w:val="24"/>
              <w14:ligatures w14:val="standardContextual"/>
            </w:rPr>
          </w:pPr>
          <w:hyperlink w:anchor="_Toc200548977" w:history="1">
            <w:r w:rsidRPr="000D00F5">
              <w:rPr>
                <w:rStyle w:val="Hyperlink"/>
              </w:rPr>
              <w:t>4.7.2</w:t>
            </w:r>
            <w:r>
              <w:rPr>
                <w:rFonts w:asciiTheme="minorHAnsi" w:eastAsiaTheme="minorEastAsia" w:hAnsiTheme="minorHAnsi" w:cstheme="minorBidi"/>
                <w:kern w:val="2"/>
                <w:sz w:val="24"/>
                <w:szCs w:val="24"/>
                <w14:ligatures w14:val="standardContextual"/>
              </w:rPr>
              <w:tab/>
            </w:r>
            <w:r w:rsidRPr="000D00F5">
              <w:rPr>
                <w:rStyle w:val="Hyperlink"/>
              </w:rPr>
              <w:t>Advisory notes</w:t>
            </w:r>
            <w:r>
              <w:rPr>
                <w:webHidden/>
              </w:rPr>
              <w:tab/>
            </w:r>
            <w:r>
              <w:rPr>
                <w:webHidden/>
              </w:rPr>
              <w:fldChar w:fldCharType="begin"/>
            </w:r>
            <w:r>
              <w:rPr>
                <w:webHidden/>
              </w:rPr>
              <w:instrText xml:space="preserve"> PAGEREF _Toc200548977 \h </w:instrText>
            </w:r>
            <w:r>
              <w:rPr>
                <w:webHidden/>
              </w:rPr>
            </w:r>
            <w:r>
              <w:rPr>
                <w:webHidden/>
              </w:rPr>
              <w:fldChar w:fldCharType="separate"/>
            </w:r>
            <w:r w:rsidR="0079570C">
              <w:rPr>
                <w:webHidden/>
              </w:rPr>
              <w:t>13</w:t>
            </w:r>
            <w:r>
              <w:rPr>
                <w:webHidden/>
              </w:rPr>
              <w:fldChar w:fldCharType="end"/>
            </w:r>
          </w:hyperlink>
        </w:p>
        <w:p w14:paraId="3DB9BCC2" w14:textId="5CB02AEA" w:rsidR="00FC3B7A" w:rsidRDefault="00FC3B7A">
          <w:pPr>
            <w:pStyle w:val="TOC1"/>
            <w:tabs>
              <w:tab w:val="left" w:pos="885"/>
            </w:tabs>
            <w:rPr>
              <w:rFonts w:asciiTheme="minorHAnsi" w:eastAsiaTheme="minorEastAsia" w:hAnsiTheme="minorHAnsi" w:cstheme="minorBidi"/>
              <w:b w:val="0"/>
              <w:spacing w:val="0"/>
              <w:kern w:val="2"/>
              <w:sz w:val="24"/>
              <w14:ligatures w14:val="standardContextual"/>
            </w:rPr>
          </w:pPr>
          <w:hyperlink w:anchor="_Toc200548978" w:history="1">
            <w:r w:rsidRPr="000D00F5">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0D00F5">
              <w:rPr>
                <w:rStyle w:val="Hyperlink"/>
              </w:rPr>
              <w:t>Additional guidance</w:t>
            </w:r>
            <w:r>
              <w:rPr>
                <w:webHidden/>
              </w:rPr>
              <w:tab/>
            </w:r>
            <w:r>
              <w:rPr>
                <w:webHidden/>
              </w:rPr>
              <w:fldChar w:fldCharType="begin"/>
            </w:r>
            <w:r>
              <w:rPr>
                <w:webHidden/>
              </w:rPr>
              <w:instrText xml:space="preserve"> PAGEREF _Toc200548978 \h </w:instrText>
            </w:r>
            <w:r>
              <w:rPr>
                <w:webHidden/>
              </w:rPr>
            </w:r>
            <w:r>
              <w:rPr>
                <w:webHidden/>
              </w:rPr>
              <w:fldChar w:fldCharType="separate"/>
            </w:r>
            <w:r w:rsidR="0079570C">
              <w:rPr>
                <w:webHidden/>
              </w:rPr>
              <w:t>14</w:t>
            </w:r>
            <w:r>
              <w:rPr>
                <w:webHidden/>
              </w:rPr>
              <w:fldChar w:fldCharType="end"/>
            </w:r>
          </w:hyperlink>
        </w:p>
        <w:p w14:paraId="198B38C5" w14:textId="47A3A477" w:rsidR="00FC3B7A" w:rsidRDefault="00FC3B7A">
          <w:pPr>
            <w:pStyle w:val="TOC1"/>
            <w:tabs>
              <w:tab w:val="left" w:pos="885"/>
            </w:tabs>
            <w:rPr>
              <w:rFonts w:asciiTheme="minorHAnsi" w:eastAsiaTheme="minorEastAsia" w:hAnsiTheme="minorHAnsi" w:cstheme="minorBidi"/>
              <w:b w:val="0"/>
              <w:spacing w:val="0"/>
              <w:kern w:val="2"/>
              <w:sz w:val="24"/>
              <w14:ligatures w14:val="standardContextual"/>
            </w:rPr>
          </w:pPr>
          <w:hyperlink w:anchor="_Toc200548979" w:history="1">
            <w:r w:rsidRPr="000D00F5">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0D00F5">
              <w:rPr>
                <w:rStyle w:val="Hyperlink"/>
              </w:rPr>
              <w:t>RALI Authorisation</w:t>
            </w:r>
            <w:r>
              <w:rPr>
                <w:webHidden/>
              </w:rPr>
              <w:tab/>
            </w:r>
            <w:r>
              <w:rPr>
                <w:webHidden/>
              </w:rPr>
              <w:fldChar w:fldCharType="begin"/>
            </w:r>
            <w:r>
              <w:rPr>
                <w:webHidden/>
              </w:rPr>
              <w:instrText xml:space="preserve"> PAGEREF _Toc200548979 \h </w:instrText>
            </w:r>
            <w:r>
              <w:rPr>
                <w:webHidden/>
              </w:rPr>
            </w:r>
            <w:r>
              <w:rPr>
                <w:webHidden/>
              </w:rPr>
              <w:fldChar w:fldCharType="separate"/>
            </w:r>
            <w:r w:rsidR="0079570C">
              <w:rPr>
                <w:webHidden/>
              </w:rPr>
              <w:t>15</w:t>
            </w:r>
            <w:r>
              <w:rPr>
                <w:webHidden/>
              </w:rPr>
              <w:fldChar w:fldCharType="end"/>
            </w:r>
          </w:hyperlink>
        </w:p>
        <w:p w14:paraId="507D6111" w14:textId="0D0D8C53" w:rsidR="001F0E76" w:rsidRPr="00420CAF" w:rsidRDefault="00097D72" w:rsidP="00B91593">
          <w:pPr>
            <w:spacing w:before="120" w:after="120" w:line="240" w:lineRule="auto"/>
            <w:sectPr w:rsidR="001F0E76" w:rsidRPr="00420CAF" w:rsidSect="00822B3D">
              <w:type w:val="oddPage"/>
              <w:pgSz w:w="11906" w:h="16838"/>
              <w:pgMar w:top="1440" w:right="1440" w:bottom="1440" w:left="1440" w:header="708" w:footer="708" w:gutter="0"/>
              <w:pgNumType w:fmt="lowerRoman" w:start="2"/>
              <w:cols w:space="708"/>
              <w:docGrid w:linePitch="360"/>
            </w:sectPr>
          </w:pPr>
          <w:r>
            <w:rPr>
              <w:b/>
              <w:bCs/>
              <w:noProof/>
            </w:rPr>
            <w:fldChar w:fldCharType="end"/>
          </w:r>
        </w:p>
      </w:sdtContent>
    </w:sdt>
    <w:bookmarkStart w:id="1" w:name="_Toc8986370" w:displacedByCustomXml="prev"/>
    <w:bookmarkStart w:id="2" w:name="_Toc8983846" w:displacedByCustomXml="prev"/>
    <w:p w14:paraId="0898CE3A" w14:textId="73EFC59F" w:rsidR="004A13A7" w:rsidRPr="00923D7A" w:rsidRDefault="004A13A7" w:rsidP="00B91593">
      <w:pPr>
        <w:pStyle w:val="Heading1"/>
        <w:spacing w:before="120" w:after="120" w:line="240" w:lineRule="auto"/>
        <w:ind w:left="709" w:hanging="709"/>
      </w:pPr>
      <w:bookmarkStart w:id="3" w:name="_Toc200548962"/>
      <w:r w:rsidRPr="000B27C0">
        <w:lastRenderedPageBreak/>
        <w:t>Introduction</w:t>
      </w:r>
      <w:bookmarkEnd w:id="0"/>
      <w:bookmarkEnd w:id="3"/>
      <w:bookmarkEnd w:id="2"/>
      <w:bookmarkEnd w:id="1"/>
    </w:p>
    <w:p w14:paraId="692C4DBA" w14:textId="1CC18612" w:rsidR="004A13A7" w:rsidRPr="00DE7566" w:rsidRDefault="004A13A7" w:rsidP="00B91593">
      <w:pPr>
        <w:pStyle w:val="Heading2"/>
        <w:spacing w:before="120" w:after="120" w:line="240" w:lineRule="auto"/>
        <w:ind w:left="709" w:hanging="709"/>
      </w:pPr>
      <w:bookmarkStart w:id="4" w:name="_Toc6298710"/>
      <w:bookmarkStart w:id="5" w:name="_Toc8983847"/>
      <w:bookmarkStart w:id="6" w:name="_Toc8986371"/>
      <w:bookmarkStart w:id="7" w:name="_Toc200548963"/>
      <w:r w:rsidRPr="00DE7566">
        <w:t>Purpose</w:t>
      </w:r>
      <w:bookmarkEnd w:id="4"/>
      <w:bookmarkEnd w:id="5"/>
      <w:bookmarkEnd w:id="6"/>
      <w:bookmarkEnd w:id="7"/>
    </w:p>
    <w:p w14:paraId="4AF93467" w14:textId="7C1153F2" w:rsidR="00130106" w:rsidRPr="00D60DFE" w:rsidRDefault="00130106" w:rsidP="00B91593">
      <w:pPr>
        <w:spacing w:before="120" w:after="120" w:line="240" w:lineRule="auto"/>
        <w:rPr>
          <w:rFonts w:cs="Arial"/>
          <w:color w:val="000000"/>
          <w:szCs w:val="22"/>
        </w:rPr>
      </w:pPr>
      <w:r w:rsidRPr="00D60DFE">
        <w:rPr>
          <w:rFonts w:cs="Arial"/>
          <w:color w:val="000000"/>
          <w:szCs w:val="22"/>
        </w:rPr>
        <w:t xml:space="preserve">The purpose of this Radiocommunications Assignment and Licensing Instruction (RALI) is to provide licensing procedures for </w:t>
      </w:r>
      <w:bookmarkStart w:id="8" w:name="_Hlk165540839"/>
      <w:r w:rsidR="00AA4586" w:rsidRPr="00AA4586">
        <w:rPr>
          <w:rFonts w:cs="Arial"/>
          <w:color w:val="000000"/>
          <w:szCs w:val="22"/>
        </w:rPr>
        <w:t>Radionavigation</w:t>
      </w:r>
      <w:r w:rsidR="002F44DD">
        <w:rPr>
          <w:rFonts w:cs="Arial"/>
          <w:color w:val="000000"/>
          <w:szCs w:val="22"/>
        </w:rPr>
        <w:t>-</w:t>
      </w:r>
      <w:r w:rsidR="00AA4586" w:rsidRPr="00AA4586">
        <w:rPr>
          <w:rFonts w:cs="Arial"/>
          <w:color w:val="000000"/>
          <w:szCs w:val="22"/>
        </w:rPr>
        <w:t xml:space="preserve">Satellite Service </w:t>
      </w:r>
      <w:r w:rsidR="00AA4586">
        <w:rPr>
          <w:rFonts w:cs="Arial"/>
          <w:color w:val="000000"/>
          <w:szCs w:val="22"/>
        </w:rPr>
        <w:t>(</w:t>
      </w:r>
      <w:r w:rsidRPr="00D60DFE">
        <w:rPr>
          <w:rFonts w:cs="Arial"/>
          <w:color w:val="000000"/>
          <w:szCs w:val="22"/>
        </w:rPr>
        <w:t>RNSS</w:t>
      </w:r>
      <w:r w:rsidR="00AA4586">
        <w:rPr>
          <w:rFonts w:cs="Arial"/>
          <w:color w:val="000000"/>
          <w:szCs w:val="22"/>
        </w:rPr>
        <w:t>)</w:t>
      </w:r>
      <w:r w:rsidRPr="00D60DFE">
        <w:rPr>
          <w:rFonts w:cs="Arial"/>
          <w:color w:val="000000"/>
          <w:szCs w:val="22"/>
        </w:rPr>
        <w:t xml:space="preserve"> Re</w:t>
      </w:r>
      <w:r w:rsidR="00606830">
        <w:rPr>
          <w:rFonts w:cs="Arial"/>
          <w:color w:val="000000"/>
          <w:szCs w:val="22"/>
        </w:rPr>
        <w:t>peater</w:t>
      </w:r>
      <w:r w:rsidRPr="00D60DFE">
        <w:rPr>
          <w:rFonts w:cs="Arial"/>
          <w:color w:val="000000"/>
          <w:szCs w:val="22"/>
        </w:rPr>
        <w:t xml:space="preserve"> Devices (RRDs</w:t>
      </w:r>
      <w:bookmarkEnd w:id="8"/>
      <w:r w:rsidRPr="00D60DFE">
        <w:rPr>
          <w:rFonts w:cs="Arial"/>
          <w:color w:val="000000"/>
          <w:szCs w:val="22"/>
        </w:rPr>
        <w:t>). For the purposes of this RALI, RRDs</w:t>
      </w:r>
      <w:r w:rsidR="006A715F">
        <w:rPr>
          <w:rFonts w:cs="Arial"/>
          <w:color w:val="000000"/>
          <w:szCs w:val="22"/>
        </w:rPr>
        <w:t>:</w:t>
      </w:r>
    </w:p>
    <w:p w14:paraId="669166ED" w14:textId="732EACF1" w:rsidR="007C2F71" w:rsidRDefault="009A4EDA" w:rsidP="000D1431">
      <w:pPr>
        <w:pStyle w:val="ListBullet"/>
      </w:pPr>
      <w:r>
        <w:t>are in the radiodetermination service;</w:t>
      </w:r>
    </w:p>
    <w:p w14:paraId="555C25FD" w14:textId="13740FDE" w:rsidR="00130106" w:rsidRPr="00D60DFE" w:rsidRDefault="00130106" w:rsidP="000D1431">
      <w:pPr>
        <w:pStyle w:val="ListBullet"/>
      </w:pPr>
      <w:r w:rsidRPr="00D60DFE">
        <w:t xml:space="preserve">are terrestrial devices that are designed to receive RNSS signals transmitted from satellites </w:t>
      </w:r>
      <w:r w:rsidR="00AA4586">
        <w:t xml:space="preserve">and </w:t>
      </w:r>
      <w:r w:rsidRPr="00D60DFE">
        <w:t>retransmit the signals locally to a specific type of enclosed service area described in this RALI;</w:t>
      </w:r>
    </w:p>
    <w:p w14:paraId="4B2A3B31" w14:textId="1FD4879E" w:rsidR="00130106" w:rsidRPr="00D60DFE" w:rsidRDefault="00130106" w:rsidP="000D1431">
      <w:pPr>
        <w:pStyle w:val="ListBullet"/>
      </w:pPr>
      <w:r w:rsidRPr="00D60DFE">
        <w:t xml:space="preserve">are devices that </w:t>
      </w:r>
      <w:r w:rsidR="00B34068">
        <w:t>are not</w:t>
      </w:r>
      <w:r w:rsidRPr="00D60DFE">
        <w:t xml:space="preserve"> </w:t>
      </w:r>
      <w:r w:rsidR="00392E17">
        <w:t>subj</w:t>
      </w:r>
      <w:r w:rsidR="002B0ABE">
        <w:t>e</w:t>
      </w:r>
      <w:r w:rsidR="00392E17">
        <w:t>ct to a perm</w:t>
      </w:r>
      <w:r w:rsidR="002B0ABE">
        <w:t>an</w:t>
      </w:r>
      <w:r w:rsidR="00392E17">
        <w:t>ent ban</w:t>
      </w:r>
      <w:r w:rsidRPr="00D60DFE">
        <w:t xml:space="preserve"> under the </w:t>
      </w:r>
      <w:hyperlink r:id="rId12" w:history="1">
        <w:r w:rsidR="00E57AD3" w:rsidRPr="005A1374">
          <w:rPr>
            <w:rStyle w:val="Hyperlink"/>
            <w:i/>
            <w:iCs/>
          </w:rPr>
          <w:t>Radiocommunications (Jamming Equipment) Permanent Ban 2023</w:t>
        </w:r>
      </w:hyperlink>
      <w:r w:rsidRPr="00D60DFE">
        <w:t>;</w:t>
      </w:r>
    </w:p>
    <w:p w14:paraId="2E2DB04D" w14:textId="77777777" w:rsidR="00130106" w:rsidRPr="00D60DFE" w:rsidRDefault="521450A4" w:rsidP="000D1431">
      <w:pPr>
        <w:pStyle w:val="ListBullet"/>
      </w:pPr>
      <w:r w:rsidRPr="31EB50B1">
        <w:t>are capable of retransmitting signals from a range of RNSS constellations within their frequencies of operation (listed below), including (but not limited to) Global Positioning System (GPS), Global Navigation Satellite System (GLONASS</w:t>
      </w:r>
      <w:r w:rsidR="00130106" w:rsidRPr="31EB50B1">
        <w:rPr>
          <w:rStyle w:val="FootnoteReference"/>
          <w:rFonts w:cs="Arial"/>
          <w:color w:val="000000"/>
        </w:rPr>
        <w:footnoteReference w:id="2"/>
      </w:r>
      <w:r w:rsidRPr="31EB50B1">
        <w:t>), Galileo and BeiDou; and</w:t>
      </w:r>
    </w:p>
    <w:p w14:paraId="29D14A39" w14:textId="22215467" w:rsidR="00130106" w:rsidRPr="00D60DFE" w:rsidRDefault="00E92590" w:rsidP="004146B3">
      <w:pPr>
        <w:pStyle w:val="ListBullet"/>
      </w:pPr>
      <w:r>
        <w:t xml:space="preserve">are devices that </w:t>
      </w:r>
      <w:r w:rsidR="521450A4" w:rsidRPr="31EB50B1">
        <w:t xml:space="preserve">comply with </w:t>
      </w:r>
      <w:r w:rsidR="7124E8F5" w:rsidRPr="31EB50B1">
        <w:t>ETSI Harmonised Standard EN 302 645</w:t>
      </w:r>
      <w:r w:rsidR="521450A4" w:rsidRPr="31EB50B1">
        <w:t>.</w:t>
      </w:r>
    </w:p>
    <w:p w14:paraId="41A5C4CE" w14:textId="5B1B2F01" w:rsidR="004A13A7" w:rsidRPr="00D60DFE" w:rsidRDefault="00130106" w:rsidP="00B91593">
      <w:pPr>
        <w:spacing w:before="120" w:after="120" w:line="240" w:lineRule="auto"/>
        <w:rPr>
          <w:szCs w:val="22"/>
        </w:rPr>
      </w:pPr>
      <w:r w:rsidRPr="00D60DFE">
        <w:rPr>
          <w:rFonts w:cs="Arial"/>
          <w:color w:val="000000"/>
          <w:szCs w:val="22"/>
        </w:rPr>
        <w:t xml:space="preserve">The information in this document reflects the Australian Communications and Media Authority's statement of current policy in relation to licensing and frequency coordination for RRDs. In making decisions, ACMA officers and accredited persons should take all relevant matters into account and decide each case on its merits. </w:t>
      </w:r>
      <w:r w:rsidR="004A13A7" w:rsidRPr="00D60DFE">
        <w:rPr>
          <w:rFonts w:cs="Calibri"/>
          <w:szCs w:val="22"/>
        </w:rPr>
        <w:t xml:space="preserve">Issues relating to this document that appear to fall outside the enunciated </w:t>
      </w:r>
      <w:r w:rsidR="004A13A7" w:rsidRPr="00D60DFE">
        <w:rPr>
          <w:rFonts w:cstheme="minorHAnsi"/>
          <w:szCs w:val="22"/>
        </w:rPr>
        <w:t xml:space="preserve">policy should be referred </w:t>
      </w:r>
      <w:r w:rsidR="004A13A7" w:rsidRPr="00D60DFE">
        <w:rPr>
          <w:szCs w:val="22"/>
        </w:rPr>
        <w:t>to:</w:t>
      </w:r>
    </w:p>
    <w:p w14:paraId="0F7BF43F" w14:textId="131B9F48" w:rsidR="004A13A7" w:rsidRPr="00D60DFE" w:rsidRDefault="004A13A7" w:rsidP="00B91593">
      <w:pPr>
        <w:spacing w:before="120" w:after="120" w:line="240" w:lineRule="auto"/>
        <w:rPr>
          <w:szCs w:val="22"/>
        </w:rPr>
      </w:pPr>
      <w:r w:rsidRPr="00D60DFE">
        <w:rPr>
          <w:szCs w:val="22"/>
        </w:rPr>
        <w:t xml:space="preserve">The Manager, Spectrum </w:t>
      </w:r>
      <w:r w:rsidR="002141E9" w:rsidRPr="00D60DFE">
        <w:rPr>
          <w:szCs w:val="22"/>
        </w:rPr>
        <w:t>Planning</w:t>
      </w:r>
      <w:r w:rsidR="00057041" w:rsidRPr="00D60DFE">
        <w:rPr>
          <w:szCs w:val="22"/>
        </w:rPr>
        <w:t xml:space="preserve"> Section</w:t>
      </w:r>
      <w:r w:rsidRPr="00D60DFE">
        <w:rPr>
          <w:szCs w:val="22"/>
        </w:rPr>
        <w:br/>
        <w:t>Australian Communications and Media Authority</w:t>
      </w:r>
      <w:r w:rsidRPr="00D60DFE">
        <w:rPr>
          <w:szCs w:val="22"/>
        </w:rPr>
        <w:br/>
        <w:t xml:space="preserve">PO Box 78 </w:t>
      </w:r>
      <w:r w:rsidRPr="00D60DFE">
        <w:rPr>
          <w:szCs w:val="22"/>
        </w:rPr>
        <w:br/>
        <w:t>Belconnen ACT 2616</w:t>
      </w:r>
    </w:p>
    <w:p w14:paraId="2155CD76" w14:textId="77777777" w:rsidR="004A13A7" w:rsidRPr="00D60DFE" w:rsidRDefault="004A13A7" w:rsidP="00B91593">
      <w:pPr>
        <w:spacing w:before="120" w:after="120" w:line="240" w:lineRule="auto"/>
        <w:rPr>
          <w:rFonts w:cstheme="minorHAnsi"/>
          <w:szCs w:val="22"/>
        </w:rPr>
      </w:pPr>
      <w:r w:rsidRPr="00D60DFE">
        <w:rPr>
          <w:rFonts w:cstheme="minorHAnsi"/>
          <w:szCs w:val="22"/>
        </w:rPr>
        <w:t xml:space="preserve">or by email to: </w:t>
      </w:r>
      <w:hyperlink r:id="rId13" w:history="1">
        <w:r w:rsidRPr="00D60DFE">
          <w:rPr>
            <w:rStyle w:val="Hyperlink"/>
            <w:rFonts w:cstheme="minorHAnsi"/>
            <w:szCs w:val="22"/>
          </w:rPr>
          <w:t>freqplan@acma.gov.au</w:t>
        </w:r>
      </w:hyperlink>
      <w:r w:rsidRPr="00D60DFE">
        <w:rPr>
          <w:rFonts w:cstheme="minorHAnsi"/>
          <w:szCs w:val="22"/>
        </w:rPr>
        <w:t>.</w:t>
      </w:r>
    </w:p>
    <w:p w14:paraId="73B7E0A9" w14:textId="77777777" w:rsidR="004A13A7" w:rsidRPr="00FD1033" w:rsidRDefault="004A13A7" w:rsidP="00B91593">
      <w:pPr>
        <w:pStyle w:val="Heading2"/>
        <w:spacing w:before="120" w:after="120" w:line="240" w:lineRule="auto"/>
        <w:ind w:left="709" w:hanging="709"/>
      </w:pPr>
      <w:bookmarkStart w:id="9" w:name="_Toc6298711"/>
      <w:bookmarkStart w:id="10" w:name="_Toc8983848"/>
      <w:bookmarkStart w:id="11" w:name="_Toc8986372"/>
      <w:bookmarkStart w:id="12" w:name="_Toc200548964"/>
      <w:r>
        <w:t>Scope</w:t>
      </w:r>
      <w:bookmarkEnd w:id="9"/>
      <w:bookmarkEnd w:id="10"/>
      <w:bookmarkEnd w:id="11"/>
      <w:bookmarkEnd w:id="12"/>
    </w:p>
    <w:p w14:paraId="5E3F25E5" w14:textId="0B0D7C8B" w:rsidR="00040EB1" w:rsidRDefault="00040EB1" w:rsidP="00B91593">
      <w:pPr>
        <w:spacing w:before="120" w:after="120" w:line="240" w:lineRule="auto"/>
      </w:pPr>
      <w:bookmarkStart w:id="13" w:name="_Toc6298713"/>
      <w:bookmarkStart w:id="14" w:name="_Toc8983850"/>
      <w:bookmarkStart w:id="15" w:name="_Toc8986374"/>
      <w:r w:rsidRPr="31EB50B1">
        <w:t xml:space="preserve">This RALI differs from many other RALIs as it does not prescribe a process for coordination between services. Rather it provides </w:t>
      </w:r>
      <w:r w:rsidR="70B613FA" w:rsidRPr="31EB50B1">
        <w:t xml:space="preserve">information </w:t>
      </w:r>
      <w:r w:rsidRPr="31EB50B1">
        <w:t xml:space="preserve">for licensees on the </w:t>
      </w:r>
      <w:r w:rsidR="00ED061B">
        <w:t>general</w:t>
      </w:r>
      <w:r w:rsidR="009C4172">
        <w:t xml:space="preserve"> </w:t>
      </w:r>
      <w:r w:rsidRPr="31EB50B1">
        <w:t>conditions under which RRDs may be licen</w:t>
      </w:r>
      <w:r w:rsidR="09F445F4" w:rsidRPr="31EB50B1">
        <w:t>s</w:t>
      </w:r>
      <w:r w:rsidRPr="31EB50B1">
        <w:t>ed and the procedure for doing so</w:t>
      </w:r>
      <w:r w:rsidR="39E2C714" w:rsidRPr="31EB50B1">
        <w:t xml:space="preserve"> (</w:t>
      </w:r>
      <w:r w:rsidR="63C239BF" w:rsidRPr="31EB50B1">
        <w:t>Chapter</w:t>
      </w:r>
      <w:r w:rsidR="39E2C714" w:rsidRPr="31EB50B1">
        <w:t xml:space="preserve"> 4</w:t>
      </w:r>
      <w:r w:rsidR="45FB8DBD" w:rsidRPr="31EB50B1">
        <w:t xml:space="preserve"> – Technical requirements for RNSS Re</w:t>
      </w:r>
      <w:r w:rsidR="63C239BF" w:rsidRPr="31EB50B1">
        <w:t>peater</w:t>
      </w:r>
      <w:r w:rsidR="45FB8DBD" w:rsidRPr="31EB50B1">
        <w:t xml:space="preserve"> Devices</w:t>
      </w:r>
      <w:r w:rsidR="39E2C714" w:rsidRPr="31EB50B1">
        <w:t>)</w:t>
      </w:r>
      <w:r w:rsidRPr="31EB50B1">
        <w:t xml:space="preserve">. Subject to the conditions </w:t>
      </w:r>
      <w:r w:rsidR="005D1CA2">
        <w:t xml:space="preserve">described </w:t>
      </w:r>
      <w:r w:rsidRPr="31EB50B1">
        <w:t>in this RALI being met</w:t>
      </w:r>
      <w:r w:rsidR="70B613FA" w:rsidRPr="31EB50B1">
        <w:t>,</w:t>
      </w:r>
      <w:r w:rsidRPr="31EB50B1">
        <w:t xml:space="preserve"> an RRD </w:t>
      </w:r>
      <w:r w:rsidR="00ED061B">
        <w:t>will generally</w:t>
      </w:r>
      <w:r w:rsidR="00ED061B" w:rsidRPr="31EB50B1">
        <w:t xml:space="preserve"> </w:t>
      </w:r>
      <w:r w:rsidRPr="31EB50B1">
        <w:t xml:space="preserve">be licensed and registered on the Register of Radiocommunications Licences (RRL). No coordination </w:t>
      </w:r>
      <w:r w:rsidR="70B613FA" w:rsidRPr="31EB50B1">
        <w:t>against other devices or services</w:t>
      </w:r>
      <w:r w:rsidRPr="31EB50B1">
        <w:t xml:space="preserve"> is required.</w:t>
      </w:r>
    </w:p>
    <w:p w14:paraId="55B80C9A" w14:textId="04E01E48" w:rsidR="00040EB1" w:rsidRDefault="00040EB1" w:rsidP="00B91593">
      <w:pPr>
        <w:spacing w:before="120" w:after="120" w:line="240" w:lineRule="auto"/>
      </w:pPr>
      <w:r w:rsidRPr="31EB50B1">
        <w:t>The additional guidance provided in this RALI</w:t>
      </w:r>
      <w:r w:rsidR="39E2C714" w:rsidRPr="31EB50B1">
        <w:t xml:space="preserve"> (</w:t>
      </w:r>
      <w:r w:rsidR="55F6C0A5" w:rsidRPr="31EB50B1">
        <w:t>Chapter</w:t>
      </w:r>
      <w:r w:rsidR="39E2C714" w:rsidRPr="31EB50B1">
        <w:t xml:space="preserve"> 5</w:t>
      </w:r>
      <w:r w:rsidR="54F4CC5D" w:rsidRPr="31EB50B1">
        <w:t xml:space="preserve"> – Additional </w:t>
      </w:r>
      <w:r w:rsidR="0108AFC1" w:rsidRPr="31EB50B1">
        <w:t>guidance</w:t>
      </w:r>
      <w:r w:rsidR="39E2C714" w:rsidRPr="31EB50B1">
        <w:t>)</w:t>
      </w:r>
      <w:r w:rsidRPr="31EB50B1">
        <w:t xml:space="preserve"> is provided to assist in meeting the conditions. It is not binding nor does following that guidance guarantee the conditions will be met and a licence </w:t>
      </w:r>
      <w:r w:rsidR="5092F8A3" w:rsidRPr="31EB50B1">
        <w:t>will</w:t>
      </w:r>
      <w:r w:rsidRPr="31EB50B1">
        <w:t xml:space="preserve"> be issued.</w:t>
      </w:r>
    </w:p>
    <w:p w14:paraId="2A150D6E" w14:textId="767AF11B" w:rsidR="00A32A77" w:rsidRDefault="00040EB1" w:rsidP="31EB50B1">
      <w:pPr>
        <w:spacing w:before="120" w:after="120" w:line="240" w:lineRule="auto"/>
        <w:rPr>
          <w:rFonts w:cs="Arial"/>
          <w:color w:val="000000"/>
        </w:rPr>
      </w:pPr>
      <w:r w:rsidRPr="31EB50B1">
        <w:lastRenderedPageBreak/>
        <w:t xml:space="preserve">This RALI only pertains to the licensing of RRDs. RNSS receiver devices, including those that might be served by an RRD, are authorised under the </w:t>
      </w:r>
      <w:hyperlink r:id="rId14">
        <w:r w:rsidR="00F4060A" w:rsidRPr="004146B3">
          <w:rPr>
            <w:rStyle w:val="Hyperlink"/>
            <w:i/>
            <w:iCs/>
          </w:rPr>
          <w:t>Radiocommunications (Radionavigation - Satellite Service) Class Licence 2015</w:t>
        </w:r>
      </w:hyperlink>
      <w:r w:rsidR="00F4060A">
        <w:t xml:space="preserve"> </w:t>
      </w:r>
      <w:r w:rsidR="00F4060A" w:rsidRPr="00F4060A">
        <w:t>(or any instrument which replaces that instrument).</w:t>
      </w:r>
      <w:r w:rsidRPr="31EB50B1">
        <w:t xml:space="preserve"> </w:t>
      </w:r>
      <w:r w:rsidR="00436CBA" w:rsidRPr="31EB50B1">
        <w:rPr>
          <w:rFonts w:cs="Arial"/>
          <w:color w:val="000000" w:themeColor="text1"/>
        </w:rPr>
        <w:t>It</w:t>
      </w:r>
      <w:r w:rsidR="00A32A77" w:rsidRPr="31EB50B1">
        <w:rPr>
          <w:rFonts w:cs="Arial"/>
          <w:color w:val="000000" w:themeColor="text1"/>
        </w:rPr>
        <w:t xml:space="preserve"> </w:t>
      </w:r>
      <w:r w:rsidR="004A6546" w:rsidRPr="31EB50B1">
        <w:rPr>
          <w:rFonts w:cs="Arial"/>
          <w:color w:val="000000" w:themeColor="text1"/>
        </w:rPr>
        <w:t>also</w:t>
      </w:r>
      <w:r w:rsidR="00A32A77" w:rsidRPr="31EB50B1">
        <w:rPr>
          <w:rFonts w:cs="Arial"/>
          <w:color w:val="000000" w:themeColor="text1"/>
        </w:rPr>
        <w:t xml:space="preserve"> does not include any information related to the licensing of </w:t>
      </w:r>
      <w:r w:rsidR="0077260D" w:rsidRPr="31EB50B1">
        <w:rPr>
          <w:rFonts w:cs="Arial"/>
        </w:rPr>
        <w:t>pseudolites</w:t>
      </w:r>
      <w:r w:rsidR="00A32A77" w:rsidRPr="31EB50B1">
        <w:rPr>
          <w:rFonts w:cs="Arial"/>
          <w:color w:val="000000" w:themeColor="text1"/>
        </w:rPr>
        <w:t xml:space="preserve">. </w:t>
      </w:r>
    </w:p>
    <w:p w14:paraId="35DB38F9" w14:textId="06B59C06" w:rsidR="00040EB1" w:rsidRDefault="5DA6396B" w:rsidP="00B91593">
      <w:pPr>
        <w:spacing w:before="120" w:after="120" w:line="240" w:lineRule="auto"/>
      </w:pPr>
      <w:r w:rsidRPr="31EB50B1">
        <w:t>The scope of this RALI is limited to radiocommunications licensing, which is</w:t>
      </w:r>
      <w:r w:rsidR="5044E84A" w:rsidRPr="31EB50B1">
        <w:t xml:space="preserve"> </w:t>
      </w:r>
      <w:r w:rsidRPr="31EB50B1">
        <w:t>n</w:t>
      </w:r>
      <w:r w:rsidR="5044E84A" w:rsidRPr="31EB50B1">
        <w:t>o</w:t>
      </w:r>
      <w:r w:rsidRPr="31EB50B1">
        <w:t xml:space="preserve">t the sole permission necessary to deploy and/or operate an RRD. One of the conditions of licensing a device </w:t>
      </w:r>
      <w:r w:rsidR="238C73B4" w:rsidRPr="31EB50B1">
        <w:t>pursuant to</w:t>
      </w:r>
      <w:r w:rsidRPr="31EB50B1">
        <w:t xml:space="preserve"> this RALI is that the entirety of the RRD’s intended service area must be confined within an area in which operation of the device is permitted by the owner/administrator(s) of that area. </w:t>
      </w:r>
    </w:p>
    <w:p w14:paraId="34C07C50" w14:textId="1F6FA7E8" w:rsidR="005C2226" w:rsidRDefault="5DA6396B" w:rsidP="0224FBB9">
      <w:pPr>
        <w:spacing w:before="120" w:after="120" w:line="240" w:lineRule="auto"/>
      </w:pPr>
      <w:r w:rsidRPr="31EB50B1">
        <w:t xml:space="preserve">Lastly, within the intended service area, there is an expectation that RRDs will be deployed in a way that augments RNSS reception without distorting or providing misleading positioning and timing information. This means that careful RRD network design and layout will be necessary in order to maintain positioning integrity within the service area. A </w:t>
      </w:r>
      <w:r w:rsidR="00EE281C">
        <w:t>radiodetermination</w:t>
      </w:r>
      <w:r w:rsidR="00EE281C" w:rsidRPr="31EB50B1">
        <w:t xml:space="preserve"> </w:t>
      </w:r>
      <w:r w:rsidRPr="31EB50B1">
        <w:t xml:space="preserve">licence does not absolve </w:t>
      </w:r>
      <w:r w:rsidR="6BD02D2F" w:rsidRPr="31EB50B1">
        <w:t>an</w:t>
      </w:r>
      <w:r w:rsidRPr="31EB50B1">
        <w:t xml:space="preserve"> operator from any legal recourse that may result from poor network design or layout or faulty equipment.  </w:t>
      </w:r>
    </w:p>
    <w:p w14:paraId="1C656661" w14:textId="3CCDC6B0" w:rsidR="004A13A7" w:rsidRDefault="00130106" w:rsidP="00B91593">
      <w:pPr>
        <w:pStyle w:val="Heading1"/>
        <w:spacing w:before="120" w:after="120" w:line="240" w:lineRule="auto"/>
        <w:ind w:left="709" w:hanging="709"/>
      </w:pPr>
      <w:bookmarkStart w:id="16" w:name="_Toc200548965"/>
      <w:bookmarkEnd w:id="13"/>
      <w:bookmarkEnd w:id="14"/>
      <w:bookmarkEnd w:id="15"/>
      <w:r>
        <w:lastRenderedPageBreak/>
        <w:t>Service description</w:t>
      </w:r>
      <w:bookmarkEnd w:id="16"/>
    </w:p>
    <w:p w14:paraId="117CA13C" w14:textId="3E65AB1C" w:rsidR="00D60DFE" w:rsidRDefault="0A49FC83" w:rsidP="31EB50B1">
      <w:pPr>
        <w:spacing w:before="120" w:after="120" w:line="240" w:lineRule="auto"/>
        <w:rPr>
          <w:rFonts w:cs="Arial"/>
        </w:rPr>
      </w:pPr>
      <w:r w:rsidRPr="31EB50B1">
        <w:rPr>
          <w:rFonts w:cs="Arial"/>
        </w:rPr>
        <w:t>An RRD is characterised as a device designed to receive RNSS signals at surface locations</w:t>
      </w:r>
      <w:r w:rsidR="00E0593A">
        <w:rPr>
          <w:rFonts w:cs="Arial"/>
        </w:rPr>
        <w:t xml:space="preserve"> on</w:t>
      </w:r>
      <w:r w:rsidRPr="31EB50B1">
        <w:rPr>
          <w:rFonts w:cs="Arial"/>
        </w:rPr>
        <w:t xml:space="preserve"> the earth, originally transmitted from satellites</w:t>
      </w:r>
      <w:r w:rsidR="00EE281C">
        <w:rPr>
          <w:rFonts w:cs="Arial"/>
        </w:rPr>
        <w:t>,</w:t>
      </w:r>
      <w:r w:rsidRPr="31EB50B1">
        <w:rPr>
          <w:rFonts w:cs="Arial"/>
        </w:rPr>
        <w:t xml:space="preserve"> and </w:t>
      </w:r>
      <w:r w:rsidR="00EE281C">
        <w:rPr>
          <w:rFonts w:cs="Arial"/>
        </w:rPr>
        <w:t xml:space="preserve">to </w:t>
      </w:r>
      <w:r w:rsidRPr="31EB50B1">
        <w:rPr>
          <w:rFonts w:cs="Arial"/>
        </w:rPr>
        <w:t>retransmit them to service areas where RNSS signal reception would otherwise be poorly received or not received at all, such as in indoor, undercover or underground environment</w:t>
      </w:r>
      <w:r w:rsidR="004A6546" w:rsidRPr="31EB50B1">
        <w:rPr>
          <w:rFonts w:cs="Arial"/>
        </w:rPr>
        <w:t>s</w:t>
      </w:r>
      <w:r w:rsidR="72DDBBD7" w:rsidRPr="31EB50B1">
        <w:rPr>
          <w:rFonts w:cs="Arial"/>
        </w:rPr>
        <w:t xml:space="preserve">. </w:t>
      </w:r>
    </w:p>
    <w:p w14:paraId="6843DE31" w14:textId="408E6E7E" w:rsidR="00C24CC3" w:rsidRPr="008344A2" w:rsidRDefault="00C24CC3" w:rsidP="00C24CC3">
      <w:pPr>
        <w:spacing w:before="120" w:after="120" w:line="240" w:lineRule="auto"/>
        <w:rPr>
          <w:rFonts w:cs="Arial"/>
        </w:rPr>
      </w:pPr>
      <w:r>
        <w:rPr>
          <w:rFonts w:cs="Arial"/>
        </w:rPr>
        <w:t xml:space="preserve">The definitions for RNSS receiver, RNSS repeater station and RNSS repeater system are included in the </w:t>
      </w:r>
      <w:hyperlink r:id="rId15" w:history="1">
        <w:r w:rsidRPr="004146B3">
          <w:rPr>
            <w:rStyle w:val="Hyperlink"/>
            <w:rFonts w:cs="Arial"/>
            <w:i/>
            <w:iCs/>
          </w:rPr>
          <w:t>Radiocommunications (Interpretation) Determination 2025</w:t>
        </w:r>
      </w:hyperlink>
      <w:r w:rsidR="008F0E90">
        <w:rPr>
          <w:rFonts w:cs="Arial"/>
        </w:rPr>
        <w:t xml:space="preserve"> (ID 2025)</w:t>
      </w:r>
      <w:r>
        <w:rPr>
          <w:rFonts w:cs="Arial"/>
        </w:rPr>
        <w:t>.</w:t>
      </w:r>
    </w:p>
    <w:p w14:paraId="79DFFAF0" w14:textId="77777777" w:rsidR="00683C24" w:rsidRDefault="00683C24" w:rsidP="00B91593">
      <w:pPr>
        <w:spacing w:before="120" w:after="120" w:line="240" w:lineRule="auto"/>
      </w:pPr>
    </w:p>
    <w:p w14:paraId="438FA982" w14:textId="683B1C1C" w:rsidR="004A13A7" w:rsidRDefault="00130106" w:rsidP="00B91593">
      <w:pPr>
        <w:pStyle w:val="Heading1"/>
        <w:spacing w:before="120" w:after="120" w:line="240" w:lineRule="auto"/>
        <w:ind w:left="709" w:hanging="709"/>
      </w:pPr>
      <w:bookmarkStart w:id="17" w:name="_Toc200548966"/>
      <w:r>
        <w:lastRenderedPageBreak/>
        <w:t>Licence</w:t>
      </w:r>
      <w:r w:rsidR="00D60DFE">
        <w:t xml:space="preserve"> structure</w:t>
      </w:r>
      <w:bookmarkEnd w:id="17"/>
    </w:p>
    <w:p w14:paraId="5B4BA103" w14:textId="5673CBBA" w:rsidR="00D60DFE" w:rsidRPr="008344A2" w:rsidRDefault="00D60DFE" w:rsidP="00B91593">
      <w:pPr>
        <w:spacing w:before="120" w:after="120" w:line="240" w:lineRule="auto"/>
        <w:rPr>
          <w:rFonts w:cs="Arial"/>
        </w:rPr>
      </w:pPr>
      <w:r w:rsidRPr="008344A2">
        <w:rPr>
          <w:rFonts w:cs="Arial"/>
        </w:rPr>
        <w:t xml:space="preserve">RRDs will be authorised under the radiodetermination licence type. </w:t>
      </w:r>
    </w:p>
    <w:p w14:paraId="7F6CD7B6" w14:textId="18F69C37" w:rsidR="00D60DFE" w:rsidRPr="008344A2" w:rsidRDefault="00D60DFE" w:rsidP="00B91593">
      <w:pPr>
        <w:spacing w:before="120" w:after="120" w:line="240" w:lineRule="auto"/>
        <w:rPr>
          <w:rFonts w:cs="Arial"/>
        </w:rPr>
      </w:pPr>
      <w:r w:rsidRPr="008344A2">
        <w:rPr>
          <w:rFonts w:cs="Arial"/>
        </w:rPr>
        <w:t>Under the</w:t>
      </w:r>
      <w:r w:rsidR="008F0E90">
        <w:rPr>
          <w:rFonts w:cs="Arial"/>
        </w:rPr>
        <w:t xml:space="preserve"> ID 2025</w:t>
      </w:r>
      <w:r w:rsidRPr="008344A2">
        <w:rPr>
          <w:rFonts w:cs="Arial"/>
        </w:rPr>
        <w:t xml:space="preserve">, a </w:t>
      </w:r>
      <w:r w:rsidR="00C35823">
        <w:rPr>
          <w:rFonts w:cs="Arial"/>
        </w:rPr>
        <w:t>r</w:t>
      </w:r>
      <w:r w:rsidRPr="008344A2">
        <w:rPr>
          <w:rFonts w:cs="Arial"/>
        </w:rPr>
        <w:t>adiodetermination device</w:t>
      </w:r>
      <w:r w:rsidR="00AA4586">
        <w:rPr>
          <w:rFonts w:cs="Arial"/>
        </w:rPr>
        <w:t>’</w:t>
      </w:r>
      <w:r w:rsidRPr="008344A2">
        <w:rPr>
          <w:rFonts w:cs="Arial"/>
        </w:rPr>
        <w:t xml:space="preserve">s purpose is primarily one of: </w:t>
      </w:r>
    </w:p>
    <w:p w14:paraId="0D9C6957" w14:textId="77777777" w:rsidR="00D60DFE" w:rsidRPr="008344A2" w:rsidRDefault="0A49FC83" w:rsidP="31EB50B1">
      <w:pPr>
        <w:spacing w:before="120" w:after="120" w:line="240" w:lineRule="auto"/>
        <w:rPr>
          <w:rFonts w:cs="Arial"/>
        </w:rPr>
      </w:pPr>
      <w:r w:rsidRPr="31EB50B1">
        <w:rPr>
          <w:rFonts w:cs="Arial"/>
        </w:rPr>
        <w:t xml:space="preserve">(a) determination, on the basis of propagation properties of radio waves, of: </w:t>
      </w:r>
    </w:p>
    <w:p w14:paraId="4481EAC6" w14:textId="77777777" w:rsidR="00D60DFE" w:rsidRPr="008344A2" w:rsidRDefault="00D60DFE" w:rsidP="31EB50B1">
      <w:pPr>
        <w:spacing w:before="120" w:after="120" w:line="240" w:lineRule="auto"/>
        <w:ind w:firstLine="720"/>
        <w:rPr>
          <w:rFonts w:cs="Arial"/>
        </w:rPr>
      </w:pPr>
      <w:r w:rsidRPr="31EB50B1">
        <w:rPr>
          <w:rFonts w:cs="Arial"/>
        </w:rPr>
        <w:t xml:space="preserve">(i) the position of an object; or </w:t>
      </w:r>
    </w:p>
    <w:p w14:paraId="4718824D" w14:textId="77777777" w:rsidR="00D60DFE" w:rsidRPr="008344A2" w:rsidRDefault="00D60DFE" w:rsidP="00B91593">
      <w:pPr>
        <w:spacing w:before="120" w:after="120" w:line="240" w:lineRule="auto"/>
        <w:ind w:firstLine="720"/>
        <w:rPr>
          <w:rFonts w:cs="Arial"/>
        </w:rPr>
      </w:pPr>
      <w:r w:rsidRPr="008344A2">
        <w:rPr>
          <w:rFonts w:cs="Arial"/>
        </w:rPr>
        <w:t xml:space="preserve">(ii) the velocity of an object; or </w:t>
      </w:r>
    </w:p>
    <w:p w14:paraId="124B8BAF" w14:textId="77777777" w:rsidR="00D60DFE" w:rsidRPr="008344A2" w:rsidRDefault="00D60DFE" w:rsidP="00B91593">
      <w:pPr>
        <w:spacing w:before="120" w:after="120" w:line="240" w:lineRule="auto"/>
        <w:ind w:firstLine="720"/>
        <w:rPr>
          <w:rFonts w:cs="Arial"/>
        </w:rPr>
      </w:pPr>
      <w:r w:rsidRPr="008344A2">
        <w:rPr>
          <w:rFonts w:cs="Arial"/>
        </w:rPr>
        <w:t xml:space="preserve">(iii) other characteristics of an object; and </w:t>
      </w:r>
    </w:p>
    <w:p w14:paraId="773A6587" w14:textId="77777777" w:rsidR="00D60DFE" w:rsidRPr="008344A2" w:rsidRDefault="00D60DFE" w:rsidP="00B91593">
      <w:pPr>
        <w:spacing w:before="120" w:after="120" w:line="240" w:lineRule="auto"/>
        <w:rPr>
          <w:rFonts w:cs="Arial"/>
        </w:rPr>
      </w:pPr>
      <w:r w:rsidRPr="008344A2">
        <w:rPr>
          <w:rFonts w:cs="Arial"/>
        </w:rPr>
        <w:t>(b) the obtaining of information about characteristics mentioned in paragraph (a).</w:t>
      </w:r>
    </w:p>
    <w:p w14:paraId="1655EBA6" w14:textId="5D62325A" w:rsidR="00D60DFE" w:rsidRPr="008344A2" w:rsidRDefault="00D60DFE" w:rsidP="00B91593">
      <w:pPr>
        <w:spacing w:before="120" w:after="120" w:line="240" w:lineRule="auto"/>
        <w:rPr>
          <w:rFonts w:cs="Arial"/>
        </w:rPr>
      </w:pPr>
      <w:r w:rsidRPr="008344A2">
        <w:rPr>
          <w:rFonts w:cs="Arial"/>
        </w:rPr>
        <w:t xml:space="preserve">The operation of </w:t>
      </w:r>
      <w:r w:rsidR="00DE3EF1">
        <w:rPr>
          <w:rFonts w:cs="Arial"/>
        </w:rPr>
        <w:t xml:space="preserve">a </w:t>
      </w:r>
      <w:r w:rsidRPr="008344A2">
        <w:rPr>
          <w:rFonts w:cs="Arial"/>
        </w:rPr>
        <w:t xml:space="preserve">radiocommunications </w:t>
      </w:r>
      <w:r w:rsidR="00DE3EF1">
        <w:rPr>
          <w:rFonts w:cs="Arial"/>
        </w:rPr>
        <w:t>device</w:t>
      </w:r>
      <w:r w:rsidR="00D657B6" w:rsidRPr="008344A2">
        <w:rPr>
          <w:rFonts w:cs="Arial"/>
        </w:rPr>
        <w:t xml:space="preserve"> </w:t>
      </w:r>
      <w:r w:rsidRPr="008344A2">
        <w:rPr>
          <w:rFonts w:cs="Arial"/>
        </w:rPr>
        <w:t xml:space="preserve">authorised by a radiodetermination licence is subject to: </w:t>
      </w:r>
    </w:p>
    <w:p w14:paraId="793DFFAA" w14:textId="77777777" w:rsidR="00D60DFE" w:rsidRPr="008344A2" w:rsidRDefault="0A49FC83" w:rsidP="000D1431">
      <w:pPr>
        <w:pStyle w:val="ListBullet"/>
      </w:pPr>
      <w:r w:rsidRPr="31EB50B1">
        <w:t xml:space="preserve">conditions specified in the </w:t>
      </w:r>
      <w:r w:rsidRPr="31EB50B1">
        <w:rPr>
          <w:i/>
          <w:iCs/>
        </w:rPr>
        <w:t>Radiocommunications Act 1992</w:t>
      </w:r>
      <w:r w:rsidRPr="31EB50B1">
        <w:t xml:space="preserve"> (the </w:t>
      </w:r>
      <w:proofErr w:type="spellStart"/>
      <w:r w:rsidRPr="31EB50B1">
        <w:t>Radcomm</w:t>
      </w:r>
      <w:proofErr w:type="spellEnd"/>
      <w:r w:rsidRPr="31EB50B1">
        <w:t xml:space="preserve"> Act), including an obligation to comply with the </w:t>
      </w:r>
      <w:proofErr w:type="spellStart"/>
      <w:r w:rsidRPr="31EB50B1">
        <w:t>Radcomm</w:t>
      </w:r>
      <w:proofErr w:type="spellEnd"/>
      <w:r w:rsidRPr="31EB50B1">
        <w:t xml:space="preserve"> Act; </w:t>
      </w:r>
    </w:p>
    <w:p w14:paraId="5A861E15" w14:textId="7502B4FB" w:rsidR="00D60DFE" w:rsidRPr="008344A2" w:rsidRDefault="00DD0F9E" w:rsidP="31EB50B1">
      <w:pPr>
        <w:pStyle w:val="ListBullet"/>
      </w:pPr>
      <w:r>
        <w:t xml:space="preserve">in particular, </w:t>
      </w:r>
      <w:r w:rsidR="2F3FD70E" w:rsidRPr="31EB50B1">
        <w:t xml:space="preserve">as </w:t>
      </w:r>
      <w:r w:rsidR="051BBFE6" w:rsidRPr="31EB50B1">
        <w:t>stated in</w:t>
      </w:r>
      <w:r w:rsidR="2F3FD70E" w:rsidRPr="31EB50B1">
        <w:t xml:space="preserve"> paragraph 107(1)(d) of the </w:t>
      </w:r>
      <w:proofErr w:type="spellStart"/>
      <w:r w:rsidR="2F3FD70E" w:rsidRPr="31EB50B1">
        <w:t>Radcomm</w:t>
      </w:r>
      <w:proofErr w:type="spellEnd"/>
      <w:r w:rsidR="2F3FD70E" w:rsidRPr="31EB50B1">
        <w:t xml:space="preserve"> Act, </w:t>
      </w:r>
      <w:r w:rsidR="0A49FC83" w:rsidRPr="31EB50B1">
        <w:t xml:space="preserve">a condition </w:t>
      </w:r>
      <w:r w:rsidR="7524E6D0" w:rsidRPr="31EB50B1">
        <w:t xml:space="preserve">that </w:t>
      </w:r>
      <w:r w:rsidR="0A49FC83" w:rsidRPr="31EB50B1">
        <w:t xml:space="preserve">any radiocommunications device operated under the licence must comply with all standards applicable to </w:t>
      </w:r>
      <w:r w:rsidR="1C472BD4" w:rsidRPr="31EB50B1">
        <w:t>it</w:t>
      </w:r>
      <w:r w:rsidR="005C746E">
        <w:t xml:space="preserve"> u</w:t>
      </w:r>
      <w:r>
        <w:t>nder the equipment rules</w:t>
      </w:r>
      <w:r w:rsidR="18708C97" w:rsidRPr="31EB50B1">
        <w:t>;</w:t>
      </w:r>
    </w:p>
    <w:p w14:paraId="663CF93F" w14:textId="20869B11" w:rsidR="00D60DFE" w:rsidRPr="008344A2" w:rsidRDefault="0A49FC83" w:rsidP="000D1431">
      <w:pPr>
        <w:pStyle w:val="ListBullet"/>
      </w:pPr>
      <w:r w:rsidRPr="31EB50B1">
        <w:t xml:space="preserve">conditions specified in any determinations made by the ACMA under </w:t>
      </w:r>
      <w:r w:rsidR="6285E54B" w:rsidRPr="31EB50B1">
        <w:t>section</w:t>
      </w:r>
      <w:r w:rsidRPr="31EB50B1">
        <w:t xml:space="preserve"> </w:t>
      </w:r>
      <w:r w:rsidR="00DD0F9E">
        <w:t>1</w:t>
      </w:r>
      <w:r w:rsidRPr="31EB50B1">
        <w:t>10</w:t>
      </w:r>
      <w:r w:rsidR="6285E54B" w:rsidRPr="31EB50B1">
        <w:t>A</w:t>
      </w:r>
      <w:r w:rsidRPr="31EB50B1">
        <w:t xml:space="preserve"> of the </w:t>
      </w:r>
      <w:proofErr w:type="spellStart"/>
      <w:r w:rsidRPr="31EB50B1">
        <w:t>Radcomm</w:t>
      </w:r>
      <w:proofErr w:type="spellEnd"/>
      <w:r w:rsidRPr="31EB50B1">
        <w:t xml:space="preserve"> Act</w:t>
      </w:r>
      <w:r w:rsidR="18708C97" w:rsidRPr="31EB50B1">
        <w:t>;</w:t>
      </w:r>
      <w:r w:rsidRPr="31EB50B1">
        <w:t xml:space="preserve"> </w:t>
      </w:r>
    </w:p>
    <w:p w14:paraId="4C32DC20" w14:textId="361B1EEB" w:rsidR="00D60DFE" w:rsidRPr="008344A2" w:rsidRDefault="00D60DFE" w:rsidP="000D1431">
      <w:pPr>
        <w:pStyle w:val="ListBullet"/>
      </w:pPr>
      <w:r w:rsidRPr="008344A2">
        <w:t>conditions specified in the licence</w:t>
      </w:r>
      <w:r w:rsidR="00DD0F9E">
        <w:t xml:space="preserve"> under paragraph 107(1)(g) of the </w:t>
      </w:r>
      <w:proofErr w:type="spellStart"/>
      <w:r w:rsidR="00DD0F9E">
        <w:t>Radcomm</w:t>
      </w:r>
      <w:proofErr w:type="spellEnd"/>
      <w:r w:rsidR="00DD0F9E">
        <w:t xml:space="preserve"> Act</w:t>
      </w:r>
      <w:r w:rsidRPr="008344A2">
        <w:t>; and</w:t>
      </w:r>
    </w:p>
    <w:p w14:paraId="5633833A" w14:textId="1B329717" w:rsidR="00D60DFE" w:rsidRPr="008344A2" w:rsidRDefault="0A49FC83" w:rsidP="004146B3">
      <w:pPr>
        <w:pStyle w:val="ListBullet"/>
      </w:pPr>
      <w:r w:rsidRPr="31EB50B1">
        <w:t xml:space="preserve">any further conditions imposed by the ACMA under section 111 of the </w:t>
      </w:r>
      <w:proofErr w:type="spellStart"/>
      <w:r w:rsidRPr="31EB50B1">
        <w:t>Radcomm</w:t>
      </w:r>
      <w:proofErr w:type="spellEnd"/>
      <w:r w:rsidRPr="31EB50B1">
        <w:t xml:space="preserve"> Act.</w:t>
      </w:r>
    </w:p>
    <w:p w14:paraId="3EB25AA1" w14:textId="77777777" w:rsidR="00D60DFE" w:rsidRPr="00D60DFE" w:rsidRDefault="00D60DFE" w:rsidP="00B91593">
      <w:pPr>
        <w:spacing w:before="120" w:after="120" w:line="240" w:lineRule="auto"/>
      </w:pPr>
    </w:p>
    <w:p w14:paraId="2C28692C" w14:textId="4714FB28" w:rsidR="00D10FB5" w:rsidRDefault="00CF3996" w:rsidP="00B91593">
      <w:pPr>
        <w:pStyle w:val="Heading1"/>
        <w:spacing w:before="120" w:after="120" w:line="240" w:lineRule="auto"/>
        <w:ind w:left="709" w:hanging="709"/>
      </w:pPr>
      <w:bookmarkStart w:id="18" w:name="_Toc200548967"/>
      <w:r>
        <w:lastRenderedPageBreak/>
        <w:t>Technical requirements</w:t>
      </w:r>
      <w:r w:rsidR="00D60DFE">
        <w:t xml:space="preserve"> for RNSS Re</w:t>
      </w:r>
      <w:r w:rsidR="0021505D">
        <w:t>peater</w:t>
      </w:r>
      <w:r w:rsidR="00D60DFE">
        <w:t xml:space="preserve"> Devices</w:t>
      </w:r>
      <w:bookmarkEnd w:id="18"/>
    </w:p>
    <w:p w14:paraId="200CABF8" w14:textId="1CEB9EA2" w:rsidR="00D60DFE" w:rsidRPr="00D60DFE" w:rsidRDefault="00D60DFE" w:rsidP="00B91593">
      <w:pPr>
        <w:pStyle w:val="Heading2"/>
        <w:spacing w:before="120" w:after="120" w:line="240" w:lineRule="auto"/>
        <w:ind w:left="709" w:hanging="709"/>
      </w:pPr>
      <w:bookmarkStart w:id="19" w:name="_Toc5710325"/>
      <w:bookmarkStart w:id="20" w:name="_Toc200548968"/>
      <w:bookmarkStart w:id="21" w:name="_Toc8983860"/>
      <w:bookmarkStart w:id="22" w:name="_Toc8986384"/>
      <w:r w:rsidRPr="00D60DFE">
        <w:t xml:space="preserve">Deployment </w:t>
      </w:r>
      <w:r w:rsidRPr="00B91593">
        <w:t>Conditions</w:t>
      </w:r>
      <w:bookmarkEnd w:id="19"/>
      <w:bookmarkEnd w:id="20"/>
    </w:p>
    <w:p w14:paraId="212DFB00" w14:textId="35621E88" w:rsidR="00D60DFE" w:rsidRPr="008344A2" w:rsidRDefault="0A49FC83" w:rsidP="31EB50B1">
      <w:pPr>
        <w:spacing w:before="120" w:after="120" w:line="240" w:lineRule="auto"/>
        <w:rPr>
          <w:rFonts w:cs="Arial"/>
          <w:color w:val="000000"/>
        </w:rPr>
      </w:pPr>
      <w:bookmarkStart w:id="23" w:name="_Toc354385613"/>
      <w:bookmarkStart w:id="24" w:name="_Toc354477079"/>
      <w:bookmarkStart w:id="25" w:name="_Toc354562743"/>
      <w:bookmarkStart w:id="26" w:name="_Toc354563320"/>
      <w:bookmarkStart w:id="27" w:name="_Toc355607507"/>
      <w:bookmarkStart w:id="28" w:name="_Toc355666607"/>
      <w:bookmarkStart w:id="29" w:name="_Toc355761020"/>
      <w:bookmarkStart w:id="30" w:name="_Toc359830596"/>
      <w:bookmarkStart w:id="31" w:name="_Toc360869995"/>
      <w:bookmarkStart w:id="32" w:name="_Toc384628927"/>
      <w:bookmarkStart w:id="33" w:name="_Toc384634152"/>
      <w:bookmarkStart w:id="34" w:name="_Toc436197738"/>
      <w:bookmarkStart w:id="35" w:name="_Toc438452686"/>
      <w:bookmarkStart w:id="36" w:name="_Toc440760967"/>
      <w:r w:rsidRPr="31EB50B1">
        <w:rPr>
          <w:rFonts w:cs="Arial"/>
          <w:color w:val="000000" w:themeColor="text1"/>
        </w:rPr>
        <w:t>RRDs will be restricted to deployments in fixed locations and in undercover</w:t>
      </w:r>
      <w:r w:rsidR="0BC6F75B" w:rsidRPr="31EB50B1">
        <w:rPr>
          <w:rFonts w:cs="Arial"/>
          <w:color w:val="000000" w:themeColor="text1"/>
        </w:rPr>
        <w:t>, underground</w:t>
      </w:r>
      <w:r w:rsidRPr="31EB50B1">
        <w:rPr>
          <w:rFonts w:cs="Arial"/>
          <w:color w:val="000000" w:themeColor="text1"/>
        </w:rPr>
        <w:t xml:space="preserve"> and/or indoor locations only. This means that the radiating antenna or element will be located undercover</w:t>
      </w:r>
      <w:r w:rsidR="0BC6F75B" w:rsidRPr="31EB50B1">
        <w:rPr>
          <w:rFonts w:cs="Arial"/>
          <w:color w:val="000000" w:themeColor="text1"/>
        </w:rPr>
        <w:t>, underground</w:t>
      </w:r>
      <w:r w:rsidRPr="31EB50B1">
        <w:rPr>
          <w:rFonts w:cs="Arial"/>
          <w:color w:val="000000" w:themeColor="text1"/>
        </w:rPr>
        <w:t xml:space="preserve"> and/or indoors. </w:t>
      </w:r>
    </w:p>
    <w:p w14:paraId="7C02E16C" w14:textId="3BA50693" w:rsidR="00D60DFE" w:rsidRPr="008344A2" w:rsidRDefault="00D60DFE" w:rsidP="00B91593">
      <w:pPr>
        <w:pStyle w:val="Heading2"/>
        <w:spacing w:before="120" w:after="120" w:line="240" w:lineRule="auto"/>
        <w:ind w:left="709" w:hanging="709"/>
        <w:rPr>
          <w:color w:val="000000"/>
        </w:rPr>
      </w:pPr>
      <w:bookmarkStart w:id="37" w:name="_Toc200548969"/>
      <w:r w:rsidRPr="00D60DFE">
        <w:t xml:space="preserve">Intended </w:t>
      </w:r>
      <w:r w:rsidR="00670AE3">
        <w:t>S</w:t>
      </w:r>
      <w:r w:rsidRPr="00D60DFE">
        <w:t>ervice Area</w:t>
      </w:r>
      <w:bookmarkEnd w:id="37"/>
    </w:p>
    <w:p w14:paraId="158EF5CE" w14:textId="103A1376" w:rsidR="00D60DFE" w:rsidRPr="008344A2" w:rsidRDefault="0A49FC83" w:rsidP="31EB50B1">
      <w:pPr>
        <w:spacing w:before="120" w:after="120" w:line="240" w:lineRule="auto"/>
        <w:rPr>
          <w:rFonts w:cs="Arial"/>
          <w:color w:val="000000"/>
        </w:rPr>
      </w:pPr>
      <w:r w:rsidRPr="31EB50B1">
        <w:rPr>
          <w:rFonts w:cs="Arial"/>
          <w:color w:val="000000" w:themeColor="text1"/>
        </w:rPr>
        <w:t xml:space="preserve">An RRD intended service area </w:t>
      </w:r>
      <w:r w:rsidR="00EA3A07">
        <w:rPr>
          <w:rFonts w:cs="Arial"/>
          <w:color w:val="000000" w:themeColor="text1"/>
        </w:rPr>
        <w:t>is to</w:t>
      </w:r>
      <w:r w:rsidR="00EA3A07" w:rsidRPr="31EB50B1">
        <w:rPr>
          <w:rFonts w:cs="Arial"/>
          <w:color w:val="000000" w:themeColor="text1"/>
        </w:rPr>
        <w:t xml:space="preserve"> </w:t>
      </w:r>
      <w:r w:rsidRPr="31EB50B1">
        <w:rPr>
          <w:rFonts w:cs="Arial"/>
          <w:color w:val="000000" w:themeColor="text1"/>
        </w:rPr>
        <w:t>satisfy all of the following criteria:</w:t>
      </w:r>
    </w:p>
    <w:p w14:paraId="2878A632" w14:textId="23BC8AE2" w:rsidR="00D60DFE" w:rsidRPr="008344A2" w:rsidRDefault="0A49FC83" w:rsidP="31EB50B1">
      <w:pPr>
        <w:pStyle w:val="ListBullet"/>
      </w:pPr>
      <w:r w:rsidRPr="31EB50B1">
        <w:rPr>
          <w:color w:val="000000" w:themeColor="text1"/>
        </w:rPr>
        <w:t xml:space="preserve">An area confined entirely </w:t>
      </w:r>
      <w:r w:rsidRPr="31EB50B1">
        <w:t>within an enclosed structure</w:t>
      </w:r>
      <w:r w:rsidR="3E13A3FA" w:rsidRPr="31EB50B1">
        <w:t xml:space="preserve"> or underground environment</w:t>
      </w:r>
      <w:r w:rsidRPr="31EB50B1">
        <w:t>, such as a building, aircraft hangar, tunnel or mine;</w:t>
      </w:r>
    </w:p>
    <w:p w14:paraId="378C9525" w14:textId="77777777" w:rsidR="00D60DFE" w:rsidRPr="008344A2" w:rsidRDefault="00D60DFE" w:rsidP="000D1431">
      <w:pPr>
        <w:pStyle w:val="ListBullet"/>
      </w:pPr>
      <w:r w:rsidRPr="008344A2">
        <w:t>An area in which an RNSS receiver would not otherwise be able to adequately receive satellite transmitted RNSS signals for the purposes of timing and positioning; and</w:t>
      </w:r>
    </w:p>
    <w:p w14:paraId="27428323" w14:textId="5E235CC1" w:rsidR="00D60DFE" w:rsidRPr="008344A2" w:rsidRDefault="0A49FC83" w:rsidP="004146B3">
      <w:pPr>
        <w:pStyle w:val="ListBullet"/>
      </w:pPr>
      <w:r w:rsidRPr="31EB50B1">
        <w:t>An area in which RRD coverage (in its entirety) has been expressly permitted by the site/facility/area owner</w:t>
      </w:r>
      <w:r w:rsidR="00B933D2">
        <w:t xml:space="preserve"> or occupant</w:t>
      </w:r>
      <w:r w:rsidRPr="31EB50B1">
        <w:t>.</w:t>
      </w:r>
    </w:p>
    <w:p w14:paraId="3DAD8F43" w14:textId="39D18E5F" w:rsidR="00D60DFE" w:rsidRPr="00D60DFE" w:rsidRDefault="00D60DFE" w:rsidP="00B91593">
      <w:pPr>
        <w:pStyle w:val="Heading2"/>
        <w:spacing w:before="120" w:after="120" w:line="240" w:lineRule="auto"/>
        <w:ind w:left="709" w:hanging="709"/>
      </w:pPr>
      <w:bookmarkStart w:id="38" w:name="_Toc5710326"/>
      <w:bookmarkStart w:id="39" w:name="_Toc200548970"/>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D60DFE">
        <w:t xml:space="preserve">Frequencies of </w:t>
      </w:r>
      <w:bookmarkEnd w:id="38"/>
      <w:r w:rsidRPr="00D60DFE">
        <w:t>Operation</w:t>
      </w:r>
      <w:bookmarkEnd w:id="39"/>
    </w:p>
    <w:p w14:paraId="465DC3FF" w14:textId="0D5C7486" w:rsidR="00D60DFE" w:rsidRPr="008344A2" w:rsidRDefault="4B97D15A" w:rsidP="31EB50B1">
      <w:pPr>
        <w:spacing w:before="120" w:after="120" w:line="240" w:lineRule="auto"/>
        <w:rPr>
          <w:rFonts w:cs="Arial"/>
          <w:color w:val="000000"/>
        </w:rPr>
      </w:pPr>
      <w:r w:rsidRPr="31EB50B1">
        <w:rPr>
          <w:rFonts w:cs="Arial"/>
          <w:color w:val="000000" w:themeColor="text1"/>
        </w:rPr>
        <w:t xml:space="preserve">Subject to this RALI, </w:t>
      </w:r>
      <w:r w:rsidR="0A49FC83" w:rsidRPr="31EB50B1">
        <w:rPr>
          <w:rFonts w:cs="Arial"/>
          <w:color w:val="000000" w:themeColor="text1"/>
        </w:rPr>
        <w:t>RRDs will transmit in all or part of the frequency bands:</w:t>
      </w:r>
    </w:p>
    <w:p w14:paraId="1634F27E" w14:textId="28EC952A" w:rsidR="00D60DFE" w:rsidRPr="008344A2" w:rsidRDefault="00D60DFE" w:rsidP="000D1431">
      <w:pPr>
        <w:pStyle w:val="ListBullet"/>
      </w:pPr>
      <w:r>
        <w:t>1164 – 1</w:t>
      </w:r>
      <w:r w:rsidR="00BA4C5C">
        <w:t>300</w:t>
      </w:r>
      <w:r>
        <w:t xml:space="preserve"> MHz</w:t>
      </w:r>
    </w:p>
    <w:p w14:paraId="3CB82B97" w14:textId="1D947682" w:rsidR="00D60DFE" w:rsidRPr="008344A2" w:rsidRDefault="0A49FC83" w:rsidP="0031284C">
      <w:pPr>
        <w:pStyle w:val="ListBulletLast"/>
      </w:pPr>
      <w:r w:rsidRPr="00DA6E5E">
        <w:t>1559</w:t>
      </w:r>
      <w:r w:rsidRPr="50C58548">
        <w:t xml:space="preserve"> – 1610 MHz</w:t>
      </w:r>
      <w:r w:rsidR="5623466B" w:rsidRPr="50C58548">
        <w:t>.</w:t>
      </w:r>
    </w:p>
    <w:p w14:paraId="006D1ECB" w14:textId="4CDF5846" w:rsidR="00D60DFE" w:rsidRPr="00D60DFE" w:rsidRDefault="00D60DFE" w:rsidP="00B91593">
      <w:pPr>
        <w:pStyle w:val="Heading2"/>
        <w:spacing w:before="120" w:after="120" w:line="240" w:lineRule="auto"/>
        <w:ind w:left="709" w:hanging="709"/>
      </w:pPr>
      <w:bookmarkStart w:id="40" w:name="_Toc5710328"/>
      <w:bookmarkStart w:id="41" w:name="_Toc200548971"/>
      <w:r w:rsidRPr="00D60DFE">
        <w:t xml:space="preserve">Relevant </w:t>
      </w:r>
      <w:bookmarkEnd w:id="40"/>
      <w:r w:rsidRPr="00D60DFE">
        <w:t>Standards</w:t>
      </w:r>
      <w:bookmarkEnd w:id="41"/>
      <w:r w:rsidRPr="00D60DFE">
        <w:t xml:space="preserve"> </w:t>
      </w:r>
    </w:p>
    <w:p w14:paraId="75430A8A" w14:textId="335B8C31" w:rsidR="00D60DFE" w:rsidRPr="008344A2" w:rsidRDefault="0A49FC83" w:rsidP="31EB50B1">
      <w:pPr>
        <w:spacing w:before="120" w:after="120" w:line="240" w:lineRule="auto"/>
        <w:rPr>
          <w:rFonts w:cs="Arial"/>
          <w:color w:val="000000"/>
        </w:rPr>
      </w:pPr>
      <w:r w:rsidRPr="31EB50B1">
        <w:rPr>
          <w:rFonts w:cs="Arial"/>
        </w:rPr>
        <w:t xml:space="preserve">The licensing regime for RRDs will require that devices are compliant </w:t>
      </w:r>
      <w:r w:rsidR="4B97D15A" w:rsidRPr="31EB50B1">
        <w:rPr>
          <w:rFonts w:cs="Arial"/>
        </w:rPr>
        <w:t>with</w:t>
      </w:r>
      <w:r w:rsidRPr="31EB50B1">
        <w:rPr>
          <w:rFonts w:cs="Arial"/>
        </w:rPr>
        <w:t xml:space="preserve"> </w:t>
      </w:r>
      <w:hyperlink r:id="rId16">
        <w:r w:rsidRPr="31EB50B1">
          <w:rPr>
            <w:rStyle w:val="Hyperlink"/>
            <w:rFonts w:cs="Arial"/>
          </w:rPr>
          <w:t>ETSI Harmonised Standard EN 302 645</w:t>
        </w:r>
      </w:hyperlink>
      <w:r w:rsidRPr="31EB50B1">
        <w:rPr>
          <w:rFonts w:cs="Arial"/>
        </w:rPr>
        <w:t xml:space="preserve">. </w:t>
      </w:r>
      <w:r w:rsidRPr="31EB50B1">
        <w:rPr>
          <w:rFonts w:cs="Arial"/>
          <w:color w:val="000000" w:themeColor="text1"/>
        </w:rPr>
        <w:t xml:space="preserve">RRD installations also should take into account the recommendations given in </w:t>
      </w:r>
      <w:hyperlink r:id="rId17">
        <w:r w:rsidRPr="31EB50B1">
          <w:rPr>
            <w:rStyle w:val="Hyperlink"/>
            <w:rFonts w:cs="Arial"/>
          </w:rPr>
          <w:t>ECC Recommendation (10)02</w:t>
        </w:r>
      </w:hyperlink>
      <w:r w:rsidRPr="31EB50B1">
        <w:rPr>
          <w:rFonts w:cs="Arial"/>
          <w:color w:val="000000" w:themeColor="text1"/>
        </w:rPr>
        <w:t>.</w:t>
      </w:r>
    </w:p>
    <w:p w14:paraId="27F84433" w14:textId="668570B8" w:rsidR="00D60DFE" w:rsidRPr="00D60DFE" w:rsidRDefault="00D60DFE" w:rsidP="00B91593">
      <w:pPr>
        <w:pStyle w:val="Heading2"/>
        <w:spacing w:before="120" w:after="120" w:line="240" w:lineRule="auto"/>
        <w:ind w:left="709" w:hanging="709"/>
      </w:pPr>
      <w:bookmarkStart w:id="42" w:name="_Toc200548972"/>
      <w:r w:rsidRPr="00D60DFE">
        <w:t>Installation Requirements</w:t>
      </w:r>
      <w:bookmarkEnd w:id="42"/>
    </w:p>
    <w:p w14:paraId="5823D53F" w14:textId="2EEF003D" w:rsidR="00D60DFE" w:rsidRPr="00D60DFE" w:rsidRDefault="0A49FC83" w:rsidP="31EB50B1">
      <w:pPr>
        <w:spacing w:before="120" w:after="120" w:line="240" w:lineRule="auto"/>
        <w:rPr>
          <w:rFonts w:cs="Arial"/>
        </w:rPr>
      </w:pPr>
      <w:r w:rsidRPr="31EB50B1">
        <w:rPr>
          <w:rFonts w:cs="Arial"/>
        </w:rPr>
        <w:t xml:space="preserve">EN 302 645 </w:t>
      </w:r>
      <w:r w:rsidR="00315837">
        <w:rPr>
          <w:rFonts w:cs="Arial"/>
        </w:rPr>
        <w:t>is to</w:t>
      </w:r>
      <w:r w:rsidR="00315837" w:rsidRPr="31EB50B1">
        <w:rPr>
          <w:rFonts w:cs="Arial"/>
        </w:rPr>
        <w:t xml:space="preserve"> </w:t>
      </w:r>
      <w:r w:rsidRPr="31EB50B1">
        <w:rPr>
          <w:rFonts w:cs="Arial"/>
        </w:rPr>
        <w:t>be complied with</w:t>
      </w:r>
      <w:r w:rsidR="0E205659" w:rsidRPr="31EB50B1">
        <w:rPr>
          <w:rFonts w:cs="Arial"/>
        </w:rPr>
        <w:t xml:space="preserve"> to its entirety</w:t>
      </w:r>
      <w:r w:rsidRPr="31EB50B1">
        <w:rPr>
          <w:rFonts w:cs="Arial"/>
        </w:rPr>
        <w:t xml:space="preserve">. </w:t>
      </w:r>
      <w:r w:rsidR="3CE0EFFE" w:rsidRPr="31EB50B1">
        <w:rPr>
          <w:rFonts w:cs="Arial"/>
        </w:rPr>
        <w:t xml:space="preserve">Some </w:t>
      </w:r>
      <w:r w:rsidR="02DF1122" w:rsidRPr="31EB50B1">
        <w:rPr>
          <w:rFonts w:cs="Arial"/>
        </w:rPr>
        <w:t>of the key</w:t>
      </w:r>
      <w:r w:rsidR="3CE0EFFE" w:rsidRPr="31EB50B1">
        <w:rPr>
          <w:rFonts w:cs="Arial"/>
        </w:rPr>
        <w:t xml:space="preserve"> installation requirements </w:t>
      </w:r>
      <w:r w:rsidR="02DF1122" w:rsidRPr="31EB50B1">
        <w:rPr>
          <w:rFonts w:cs="Arial"/>
        </w:rPr>
        <w:t xml:space="preserve">in EN 302 645 </w:t>
      </w:r>
      <w:r w:rsidR="3CE0EFFE" w:rsidRPr="31EB50B1">
        <w:rPr>
          <w:rFonts w:cs="Arial"/>
        </w:rPr>
        <w:t xml:space="preserve">are presented below: </w:t>
      </w:r>
    </w:p>
    <w:p w14:paraId="6273A810" w14:textId="6AEA559C" w:rsidR="00D60DFE" w:rsidRPr="00D60DFE" w:rsidRDefault="00D60DFE" w:rsidP="00B91593">
      <w:pPr>
        <w:pStyle w:val="Heading3"/>
        <w:spacing w:before="120" w:after="120" w:line="240" w:lineRule="auto"/>
      </w:pPr>
      <w:bookmarkStart w:id="43" w:name="_Toc165556163"/>
      <w:bookmarkStart w:id="44" w:name="_Toc168404841"/>
      <w:bookmarkStart w:id="45" w:name="_Toc200548973"/>
      <w:r w:rsidRPr="00D60DFE">
        <w:t>System limits</w:t>
      </w:r>
      <w:bookmarkEnd w:id="43"/>
      <w:bookmarkEnd w:id="44"/>
      <w:bookmarkEnd w:id="45"/>
    </w:p>
    <w:p w14:paraId="59620F11" w14:textId="21E8E98C" w:rsidR="00692C60" w:rsidRPr="006F000B" w:rsidRDefault="52CB142D" w:rsidP="31EB50B1">
      <w:pPr>
        <w:spacing w:before="120" w:after="120" w:line="240" w:lineRule="auto"/>
        <w:rPr>
          <w:rFonts w:cs="Arial"/>
        </w:rPr>
      </w:pPr>
      <w:r w:rsidRPr="31EB50B1">
        <w:rPr>
          <w:rFonts w:cs="Arial"/>
        </w:rPr>
        <w:t xml:space="preserve">A maximum retransmitted RNSS signal </w:t>
      </w:r>
      <w:r w:rsidR="1C472BD4" w:rsidRPr="31EB50B1">
        <w:rPr>
          <w:rFonts w:cs="Arial"/>
        </w:rPr>
        <w:t>Effective Isotropic Radiated Power (</w:t>
      </w:r>
      <w:proofErr w:type="spellStart"/>
      <w:r w:rsidRPr="31EB50B1">
        <w:rPr>
          <w:rFonts w:cs="Arial"/>
        </w:rPr>
        <w:t>e.i.r.p</w:t>
      </w:r>
      <w:proofErr w:type="spellEnd"/>
      <w:r w:rsidR="009A4EDA">
        <w:rPr>
          <w:rFonts w:cs="Arial"/>
        </w:rPr>
        <w:t>.</w:t>
      </w:r>
      <w:r w:rsidR="1C472BD4" w:rsidRPr="31EB50B1">
        <w:rPr>
          <w:rFonts w:cs="Arial"/>
        </w:rPr>
        <w:t>)</w:t>
      </w:r>
      <w:r w:rsidRPr="31EB50B1">
        <w:rPr>
          <w:rFonts w:cs="Arial"/>
        </w:rPr>
        <w:t xml:space="preserve"> is not prescribed, however the total R</w:t>
      </w:r>
      <w:r w:rsidR="39609D1D" w:rsidRPr="31EB50B1">
        <w:rPr>
          <w:rFonts w:cs="Arial"/>
        </w:rPr>
        <w:t>NSS</w:t>
      </w:r>
      <w:r w:rsidR="71E8D2C6" w:rsidRPr="31EB50B1">
        <w:rPr>
          <w:rFonts w:cs="Arial"/>
        </w:rPr>
        <w:t xml:space="preserve"> repeater</w:t>
      </w:r>
      <w:r w:rsidRPr="31EB50B1">
        <w:rPr>
          <w:rFonts w:cs="Arial"/>
        </w:rPr>
        <w:t xml:space="preserve"> system gain, including </w:t>
      </w:r>
      <w:r w:rsidR="004A6546" w:rsidRPr="31EB50B1">
        <w:rPr>
          <w:rFonts w:cs="Arial"/>
        </w:rPr>
        <w:t xml:space="preserve">summed </w:t>
      </w:r>
      <w:r w:rsidRPr="31EB50B1">
        <w:rPr>
          <w:rFonts w:cs="Arial"/>
        </w:rPr>
        <w:t>receive/transmit antenna gains and all radiofrequency (RF) amplifiers, is not to exceed 45 dB. That is:</w:t>
      </w:r>
    </w:p>
    <w:p w14:paraId="21E8F68A" w14:textId="77777777" w:rsidR="00692C60" w:rsidRPr="006F000B" w:rsidRDefault="52CB142D" w:rsidP="31EB50B1">
      <w:pPr>
        <w:spacing w:before="120" w:after="120" w:line="240" w:lineRule="auto"/>
        <w:jc w:val="center"/>
        <w:rPr>
          <w:rFonts w:cs="Arial"/>
        </w:rPr>
      </w:pPr>
      <w:proofErr w:type="spellStart"/>
      <w:r w:rsidRPr="31EB50B1">
        <w:rPr>
          <w:rFonts w:cs="Arial"/>
        </w:rPr>
        <w:t>G</w:t>
      </w:r>
      <w:r w:rsidRPr="31EB50B1">
        <w:rPr>
          <w:rFonts w:cs="Arial"/>
          <w:vertAlign w:val="subscript"/>
        </w:rPr>
        <w:t>total</w:t>
      </w:r>
      <w:proofErr w:type="spellEnd"/>
      <w:r w:rsidRPr="31EB50B1">
        <w:rPr>
          <w:rFonts w:cs="Arial"/>
          <w:vertAlign w:val="subscript"/>
        </w:rPr>
        <w:t xml:space="preserve"> </w:t>
      </w:r>
      <w:r w:rsidRPr="31EB50B1">
        <w:rPr>
          <w:rFonts w:cs="Arial"/>
        </w:rPr>
        <w:t>= [antenna gain(s) + amplifier gain(s) – cable losses] ≤ 45 dB</w:t>
      </w:r>
    </w:p>
    <w:p w14:paraId="0146CD2D" w14:textId="77777777" w:rsidR="00692C60" w:rsidRPr="006F000B" w:rsidRDefault="52CB142D" w:rsidP="31EB50B1">
      <w:pPr>
        <w:spacing w:before="120" w:after="120" w:line="240" w:lineRule="auto"/>
        <w:rPr>
          <w:rFonts w:cs="Arial"/>
        </w:rPr>
      </w:pPr>
      <w:r w:rsidRPr="31EB50B1">
        <w:rPr>
          <w:rFonts w:cs="Arial"/>
        </w:rPr>
        <w:t>A total cable loss of up to 3 dB can be taken into account, thus the total sum of antenna and amplifier gains must not exceed 48 dB for cabling losses ≥ 3 dB.</w:t>
      </w:r>
    </w:p>
    <w:p w14:paraId="47C5204A" w14:textId="7F545AF9" w:rsidR="004A6546" w:rsidRPr="00EA732F" w:rsidRDefault="004A6546" w:rsidP="31EB50B1">
      <w:pPr>
        <w:spacing w:before="120" w:after="120" w:line="240" w:lineRule="auto"/>
        <w:rPr>
          <w:rFonts w:cs="Arial"/>
        </w:rPr>
      </w:pPr>
      <w:r w:rsidRPr="31EB50B1">
        <w:rPr>
          <w:rFonts w:cs="Arial"/>
        </w:rPr>
        <w:t xml:space="preserve">Chaining two or more </w:t>
      </w:r>
      <w:r w:rsidR="75F794E5" w:rsidRPr="31EB50B1">
        <w:rPr>
          <w:rFonts w:cs="Arial"/>
        </w:rPr>
        <w:t>RRDs</w:t>
      </w:r>
      <w:r w:rsidRPr="31EB50B1">
        <w:rPr>
          <w:rFonts w:cs="Arial"/>
        </w:rPr>
        <w:t xml:space="preserve"> to increase overall system gain above +45 dB </w:t>
      </w:r>
      <w:r w:rsidR="00B97BA0">
        <w:rPr>
          <w:rFonts w:cs="Arial"/>
        </w:rPr>
        <w:t>would generally</w:t>
      </w:r>
      <w:r w:rsidR="00B97BA0" w:rsidRPr="31EB50B1">
        <w:rPr>
          <w:rFonts w:cs="Arial"/>
        </w:rPr>
        <w:t xml:space="preserve"> </w:t>
      </w:r>
      <w:r w:rsidRPr="31EB50B1">
        <w:rPr>
          <w:rFonts w:cs="Arial"/>
        </w:rPr>
        <w:t xml:space="preserve">not </w:t>
      </w:r>
      <w:r w:rsidR="00B97BA0">
        <w:rPr>
          <w:rFonts w:cs="Arial"/>
        </w:rPr>
        <w:t xml:space="preserve">be </w:t>
      </w:r>
      <w:r w:rsidRPr="31EB50B1">
        <w:rPr>
          <w:rFonts w:cs="Arial"/>
        </w:rPr>
        <w:t>permitted as this increases the risk of harmful inference to unacceptable levels.</w:t>
      </w:r>
    </w:p>
    <w:p w14:paraId="1439DDF0" w14:textId="77777777" w:rsidR="00692C60" w:rsidRPr="006F000B" w:rsidRDefault="00692C60" w:rsidP="00692C60">
      <w:pPr>
        <w:spacing w:before="120" w:after="120" w:line="240" w:lineRule="auto"/>
        <w:rPr>
          <w:rFonts w:cs="Arial"/>
          <w:szCs w:val="22"/>
        </w:rPr>
      </w:pPr>
      <w:r w:rsidRPr="006F000B">
        <w:rPr>
          <w:rFonts w:cs="Arial"/>
          <w:szCs w:val="22"/>
        </w:rPr>
        <w:t>The maximum output power of the RNSS repeater system, when subject to signals that are not defined as RNSS type signals, should be restricted to a limit of -20 dBm.</w:t>
      </w:r>
    </w:p>
    <w:p w14:paraId="0B040893" w14:textId="62330EB9" w:rsidR="00692C60" w:rsidRPr="006F000B" w:rsidRDefault="52CB142D" w:rsidP="31EB50B1">
      <w:r w:rsidRPr="31EB50B1">
        <w:rPr>
          <w:rFonts w:cs="Arial"/>
        </w:rPr>
        <w:lastRenderedPageBreak/>
        <w:t xml:space="preserve">This limit applies to the out-of-band emissions of non-RNSS type signals that have been </w:t>
      </w:r>
      <w:r w:rsidRPr="31EB50B1">
        <w:t xml:space="preserve">received and amplified within the RNSS repeater bands. This limit also applies to any emissions of non-RNSS type signals, that have been partly amplified, and that are adjacent to, but outside of the RNSS repeater bands. The limiting output power </w:t>
      </w:r>
      <w:r w:rsidR="00B97BA0">
        <w:t>is</w:t>
      </w:r>
      <w:r w:rsidR="00B97BA0" w:rsidRPr="31EB50B1">
        <w:t xml:space="preserve"> </w:t>
      </w:r>
      <w:r w:rsidRPr="31EB50B1">
        <w:t xml:space="preserve">not </w:t>
      </w:r>
      <w:r w:rsidR="00B97BA0">
        <w:t xml:space="preserve">to </w:t>
      </w:r>
      <w:r w:rsidRPr="31EB50B1">
        <w:t>exceed –27 dBm for a synthesised (sinusoidal) input signal below 1151 MHz.</w:t>
      </w:r>
    </w:p>
    <w:p w14:paraId="352002FF" w14:textId="78AD5682" w:rsidR="00692C60" w:rsidRDefault="00692C60" w:rsidP="00692C60">
      <w:pPr>
        <w:spacing w:before="120" w:after="120" w:line="240" w:lineRule="auto"/>
        <w:rPr>
          <w:rFonts w:cs="Arial"/>
          <w:szCs w:val="22"/>
        </w:rPr>
      </w:pPr>
      <w:r w:rsidRPr="006F000B">
        <w:rPr>
          <w:rFonts w:cs="Arial"/>
          <w:color w:val="000000"/>
          <w:szCs w:val="22"/>
        </w:rPr>
        <w:t>Spurious emission</w:t>
      </w:r>
      <w:r>
        <w:rPr>
          <w:rFonts w:cs="Arial"/>
          <w:color w:val="000000"/>
          <w:szCs w:val="22"/>
        </w:rPr>
        <w:t xml:space="preserve"> limits</w:t>
      </w:r>
      <w:r w:rsidRPr="006F000B">
        <w:rPr>
          <w:rFonts w:cs="Arial"/>
          <w:color w:val="000000"/>
          <w:szCs w:val="22"/>
        </w:rPr>
        <w:t xml:space="preserve"> are listed in Tables 2 and 3 of </w:t>
      </w:r>
      <w:r w:rsidRPr="006F000B">
        <w:rPr>
          <w:rFonts w:cs="Arial"/>
          <w:szCs w:val="22"/>
        </w:rPr>
        <w:t>EN 302 645. Table 2 of EN 302 645, reproduced below in Table 1, prescribes general out-of-band spurious transmission limits</w:t>
      </w:r>
      <w:r w:rsidR="00C52029">
        <w:rPr>
          <w:rFonts w:cs="Arial"/>
          <w:szCs w:val="22"/>
        </w:rPr>
        <w:t>.</w:t>
      </w:r>
    </w:p>
    <w:p w14:paraId="281FB4B6" w14:textId="77777777" w:rsidR="00692C60" w:rsidRDefault="00692C60" w:rsidP="00692C60">
      <w:pPr>
        <w:spacing w:before="120" w:after="120" w:line="240" w:lineRule="auto"/>
        <w:rPr>
          <w:rFonts w:cs="Arial"/>
          <w:color w:val="000000"/>
          <w:szCs w:val="22"/>
        </w:rPr>
      </w:pPr>
    </w:p>
    <w:p w14:paraId="6364718F" w14:textId="77777777" w:rsidR="00692C60" w:rsidRPr="009C2404" w:rsidRDefault="00692C60" w:rsidP="00692C60">
      <w:pPr>
        <w:pStyle w:val="ACMATableHeader"/>
        <w:keepNext/>
        <w:keepLines/>
        <w:rPr>
          <w:color w:val="auto"/>
        </w:rPr>
      </w:pPr>
      <w:r w:rsidRPr="009C2404">
        <w:rPr>
          <w:color w:val="auto"/>
        </w:rPr>
        <w:t>RRD transmitter spurious emissions outside permitted frequency ranges (ETSI Harmonised Standard EN 302 645)</w:t>
      </w:r>
    </w:p>
    <w:p w14:paraId="4B5B8DDB" w14:textId="77777777" w:rsidR="00692C60" w:rsidRPr="00D60DFE" w:rsidRDefault="00692C60" w:rsidP="00B91593">
      <w:pPr>
        <w:spacing w:before="120" w:after="120" w:line="240" w:lineRule="auto"/>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1985"/>
      </w:tblGrid>
      <w:tr w:rsidR="00D60DFE" w:rsidRPr="00D60DFE" w14:paraId="4303E0FE" w14:textId="77777777" w:rsidTr="31EB50B1">
        <w:tc>
          <w:tcPr>
            <w:tcW w:w="2122" w:type="dxa"/>
          </w:tcPr>
          <w:p w14:paraId="2083B4A7" w14:textId="77777777" w:rsidR="00D60DFE" w:rsidRPr="00D60DFE" w:rsidRDefault="00D60DFE" w:rsidP="00B91593">
            <w:pPr>
              <w:spacing w:before="120" w:after="120" w:line="240" w:lineRule="auto"/>
              <w:jc w:val="center"/>
              <w:rPr>
                <w:rFonts w:cs="Arial"/>
                <w:b/>
                <w:bCs/>
                <w:color w:val="000000"/>
                <w:szCs w:val="22"/>
              </w:rPr>
            </w:pPr>
            <w:r w:rsidRPr="00D60DFE">
              <w:rPr>
                <w:rFonts w:cs="Arial"/>
                <w:b/>
                <w:bCs/>
                <w:color w:val="000000"/>
                <w:szCs w:val="22"/>
              </w:rPr>
              <w:t>Frequency range</w:t>
            </w:r>
          </w:p>
        </w:tc>
        <w:tc>
          <w:tcPr>
            <w:tcW w:w="3118" w:type="dxa"/>
          </w:tcPr>
          <w:p w14:paraId="77B62BEE" w14:textId="77777777" w:rsidR="00D60DFE" w:rsidRPr="00D60DFE" w:rsidRDefault="0A49FC83" w:rsidP="31EB50B1">
            <w:pPr>
              <w:spacing w:before="120" w:after="120" w:line="240" w:lineRule="auto"/>
              <w:jc w:val="center"/>
              <w:rPr>
                <w:rFonts w:cs="Arial"/>
                <w:b/>
                <w:bCs/>
                <w:color w:val="000000"/>
              </w:rPr>
            </w:pPr>
            <w:r w:rsidRPr="31EB50B1">
              <w:rPr>
                <w:rFonts w:cs="Arial"/>
                <w:b/>
                <w:bCs/>
                <w:color w:val="000000" w:themeColor="text1"/>
              </w:rPr>
              <w:t xml:space="preserve">Maximum </w:t>
            </w:r>
            <w:proofErr w:type="spellStart"/>
            <w:r w:rsidRPr="31EB50B1">
              <w:rPr>
                <w:rFonts w:cs="Arial"/>
                <w:b/>
                <w:bCs/>
                <w:color w:val="000000" w:themeColor="text1"/>
              </w:rPr>
              <w:t>e.r.p.</w:t>
            </w:r>
            <w:proofErr w:type="spellEnd"/>
            <w:r w:rsidRPr="31EB50B1">
              <w:rPr>
                <w:rFonts w:cs="Arial"/>
                <w:b/>
                <w:bCs/>
                <w:color w:val="000000" w:themeColor="text1"/>
              </w:rPr>
              <w:t xml:space="preserve"> (≤ 1 GHz), </w:t>
            </w:r>
            <w:proofErr w:type="spellStart"/>
            <w:r w:rsidRPr="31EB50B1">
              <w:rPr>
                <w:rFonts w:cs="Arial"/>
                <w:b/>
                <w:bCs/>
                <w:color w:val="000000" w:themeColor="text1"/>
              </w:rPr>
              <w:t>e.i.r.p</w:t>
            </w:r>
            <w:proofErr w:type="spellEnd"/>
            <w:r w:rsidRPr="31EB50B1">
              <w:rPr>
                <w:rFonts w:cs="Arial"/>
                <w:b/>
                <w:bCs/>
                <w:color w:val="000000" w:themeColor="text1"/>
              </w:rPr>
              <w:t>. (&gt; 1 GHz) (dBm)</w:t>
            </w:r>
          </w:p>
        </w:tc>
        <w:tc>
          <w:tcPr>
            <w:tcW w:w="1985" w:type="dxa"/>
          </w:tcPr>
          <w:p w14:paraId="22C036D2" w14:textId="77777777" w:rsidR="00D60DFE" w:rsidRPr="00D60DFE" w:rsidRDefault="00D60DFE" w:rsidP="00B91593">
            <w:pPr>
              <w:spacing w:before="120" w:after="120" w:line="240" w:lineRule="auto"/>
              <w:jc w:val="center"/>
              <w:rPr>
                <w:rFonts w:cs="Arial"/>
                <w:b/>
                <w:bCs/>
                <w:color w:val="000000"/>
                <w:szCs w:val="22"/>
              </w:rPr>
            </w:pPr>
            <w:r w:rsidRPr="00D60DFE">
              <w:rPr>
                <w:rFonts w:cs="Arial"/>
                <w:b/>
                <w:bCs/>
                <w:color w:val="000000"/>
                <w:szCs w:val="22"/>
              </w:rPr>
              <w:t>Measurement bandwidth (kHz)</w:t>
            </w:r>
          </w:p>
        </w:tc>
      </w:tr>
      <w:tr w:rsidR="00D60DFE" w:rsidRPr="00D60DFE" w14:paraId="5DDEB01A" w14:textId="77777777" w:rsidTr="31EB50B1">
        <w:tc>
          <w:tcPr>
            <w:tcW w:w="2122" w:type="dxa"/>
          </w:tcPr>
          <w:p w14:paraId="06DB4DCA"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30 – 47 MHz</w:t>
            </w:r>
          </w:p>
        </w:tc>
        <w:tc>
          <w:tcPr>
            <w:tcW w:w="3118" w:type="dxa"/>
          </w:tcPr>
          <w:p w14:paraId="2643E5DF"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-36</w:t>
            </w:r>
          </w:p>
        </w:tc>
        <w:tc>
          <w:tcPr>
            <w:tcW w:w="1985" w:type="dxa"/>
          </w:tcPr>
          <w:p w14:paraId="15D66B4A"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274C4E05" w14:textId="77777777" w:rsidTr="31EB50B1">
        <w:tc>
          <w:tcPr>
            <w:tcW w:w="2122" w:type="dxa"/>
          </w:tcPr>
          <w:p w14:paraId="4316B474"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47 – 74 MHz</w:t>
            </w:r>
          </w:p>
        </w:tc>
        <w:tc>
          <w:tcPr>
            <w:tcW w:w="3118" w:type="dxa"/>
          </w:tcPr>
          <w:p w14:paraId="5915AC44"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-54</w:t>
            </w:r>
          </w:p>
        </w:tc>
        <w:tc>
          <w:tcPr>
            <w:tcW w:w="1985" w:type="dxa"/>
          </w:tcPr>
          <w:p w14:paraId="2F7E9CA6"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6B9DB116" w14:textId="77777777" w:rsidTr="31EB50B1">
        <w:tc>
          <w:tcPr>
            <w:tcW w:w="2122" w:type="dxa"/>
          </w:tcPr>
          <w:p w14:paraId="3559D4C2"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74 – 87.5 MHz</w:t>
            </w:r>
          </w:p>
        </w:tc>
        <w:tc>
          <w:tcPr>
            <w:tcW w:w="3118" w:type="dxa"/>
          </w:tcPr>
          <w:p w14:paraId="5243E021"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-36</w:t>
            </w:r>
          </w:p>
        </w:tc>
        <w:tc>
          <w:tcPr>
            <w:tcW w:w="1985" w:type="dxa"/>
          </w:tcPr>
          <w:p w14:paraId="10FA4109"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744A2ECA" w14:textId="77777777" w:rsidTr="31EB50B1">
        <w:tc>
          <w:tcPr>
            <w:tcW w:w="2122" w:type="dxa"/>
          </w:tcPr>
          <w:p w14:paraId="1B9F8963"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87.5 – 118 MHz</w:t>
            </w:r>
          </w:p>
        </w:tc>
        <w:tc>
          <w:tcPr>
            <w:tcW w:w="3118" w:type="dxa"/>
          </w:tcPr>
          <w:p w14:paraId="5266601F"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-54</w:t>
            </w:r>
          </w:p>
        </w:tc>
        <w:tc>
          <w:tcPr>
            <w:tcW w:w="1985" w:type="dxa"/>
          </w:tcPr>
          <w:p w14:paraId="3C827834"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1B62A5BC" w14:textId="77777777" w:rsidTr="31EB50B1">
        <w:tc>
          <w:tcPr>
            <w:tcW w:w="2122" w:type="dxa"/>
          </w:tcPr>
          <w:p w14:paraId="5CF1FBA9"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118 – 174 MHz</w:t>
            </w:r>
          </w:p>
        </w:tc>
        <w:tc>
          <w:tcPr>
            <w:tcW w:w="3118" w:type="dxa"/>
          </w:tcPr>
          <w:p w14:paraId="4A505B09" w14:textId="7C31FD60"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w:t>
            </w:r>
            <w:r w:rsidR="003A030B">
              <w:rPr>
                <w:rFonts w:cs="Arial"/>
                <w:color w:val="000000"/>
                <w:szCs w:val="22"/>
              </w:rPr>
              <w:t>6</w:t>
            </w:r>
          </w:p>
        </w:tc>
        <w:tc>
          <w:tcPr>
            <w:tcW w:w="1985" w:type="dxa"/>
          </w:tcPr>
          <w:p w14:paraId="07C13D8B"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427CC7C9" w14:textId="77777777" w:rsidTr="31EB50B1">
        <w:tc>
          <w:tcPr>
            <w:tcW w:w="2122" w:type="dxa"/>
          </w:tcPr>
          <w:p w14:paraId="327CE587"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174 – 230 MHz</w:t>
            </w:r>
          </w:p>
        </w:tc>
        <w:tc>
          <w:tcPr>
            <w:tcW w:w="3118" w:type="dxa"/>
          </w:tcPr>
          <w:p w14:paraId="7C7E49C6"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-54</w:t>
            </w:r>
          </w:p>
        </w:tc>
        <w:tc>
          <w:tcPr>
            <w:tcW w:w="1985" w:type="dxa"/>
          </w:tcPr>
          <w:p w14:paraId="13E13A0D"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60D23215" w14:textId="77777777" w:rsidTr="31EB50B1">
        <w:tc>
          <w:tcPr>
            <w:tcW w:w="2122" w:type="dxa"/>
          </w:tcPr>
          <w:p w14:paraId="4809334D"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230 – 470 MHz</w:t>
            </w:r>
          </w:p>
        </w:tc>
        <w:tc>
          <w:tcPr>
            <w:tcW w:w="3118" w:type="dxa"/>
          </w:tcPr>
          <w:p w14:paraId="2401DD2D"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-36</w:t>
            </w:r>
          </w:p>
        </w:tc>
        <w:tc>
          <w:tcPr>
            <w:tcW w:w="1985" w:type="dxa"/>
          </w:tcPr>
          <w:p w14:paraId="768ED6C5"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7F6D6A63" w14:textId="77777777" w:rsidTr="31EB50B1">
        <w:tc>
          <w:tcPr>
            <w:tcW w:w="2122" w:type="dxa"/>
          </w:tcPr>
          <w:p w14:paraId="7AD84CD5"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470 – 862 MHz</w:t>
            </w:r>
          </w:p>
        </w:tc>
        <w:tc>
          <w:tcPr>
            <w:tcW w:w="3118" w:type="dxa"/>
          </w:tcPr>
          <w:p w14:paraId="57087539"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-54</w:t>
            </w:r>
          </w:p>
        </w:tc>
        <w:tc>
          <w:tcPr>
            <w:tcW w:w="1985" w:type="dxa"/>
          </w:tcPr>
          <w:p w14:paraId="7A85F0A2"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010A0012" w14:textId="77777777" w:rsidTr="31EB50B1">
        <w:tc>
          <w:tcPr>
            <w:tcW w:w="2122" w:type="dxa"/>
          </w:tcPr>
          <w:p w14:paraId="23975BC4"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862 MHz – 1 GHz</w:t>
            </w:r>
          </w:p>
        </w:tc>
        <w:tc>
          <w:tcPr>
            <w:tcW w:w="3118" w:type="dxa"/>
          </w:tcPr>
          <w:p w14:paraId="00A8352A"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-36</w:t>
            </w:r>
          </w:p>
        </w:tc>
        <w:tc>
          <w:tcPr>
            <w:tcW w:w="1985" w:type="dxa"/>
          </w:tcPr>
          <w:p w14:paraId="500C4042"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w:t>
            </w:r>
          </w:p>
        </w:tc>
      </w:tr>
      <w:tr w:rsidR="00D60DFE" w:rsidRPr="00D60DFE" w14:paraId="7A6B7580" w14:textId="77777777" w:rsidTr="31EB50B1">
        <w:tc>
          <w:tcPr>
            <w:tcW w:w="2122" w:type="dxa"/>
          </w:tcPr>
          <w:p w14:paraId="77B1542E"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 – 1.164 GHz</w:t>
            </w:r>
          </w:p>
        </w:tc>
        <w:tc>
          <w:tcPr>
            <w:tcW w:w="3118" w:type="dxa"/>
          </w:tcPr>
          <w:p w14:paraId="68F757E7"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-30</w:t>
            </w:r>
          </w:p>
        </w:tc>
        <w:tc>
          <w:tcPr>
            <w:tcW w:w="1985" w:type="dxa"/>
          </w:tcPr>
          <w:p w14:paraId="73F43393"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1000</w:t>
            </w:r>
          </w:p>
        </w:tc>
      </w:tr>
      <w:tr w:rsidR="00D60DFE" w:rsidRPr="00D60DFE" w14:paraId="4330ADAB" w14:textId="77777777" w:rsidTr="31EB50B1">
        <w:tc>
          <w:tcPr>
            <w:tcW w:w="2122" w:type="dxa"/>
          </w:tcPr>
          <w:p w14:paraId="0787AD4F"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1.3 – 1.559 GHz</w:t>
            </w:r>
          </w:p>
        </w:tc>
        <w:tc>
          <w:tcPr>
            <w:tcW w:w="3118" w:type="dxa"/>
          </w:tcPr>
          <w:p w14:paraId="7B106246"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-30</w:t>
            </w:r>
          </w:p>
        </w:tc>
        <w:tc>
          <w:tcPr>
            <w:tcW w:w="1985" w:type="dxa"/>
          </w:tcPr>
          <w:p w14:paraId="3E970892"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1000</w:t>
            </w:r>
          </w:p>
        </w:tc>
      </w:tr>
      <w:tr w:rsidR="00D60DFE" w:rsidRPr="00D60DFE" w14:paraId="2BAAF487" w14:textId="77777777" w:rsidTr="31EB50B1">
        <w:tc>
          <w:tcPr>
            <w:tcW w:w="2122" w:type="dxa"/>
          </w:tcPr>
          <w:p w14:paraId="3D8350CA"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1.61 – 12.75 GHz</w:t>
            </w:r>
          </w:p>
        </w:tc>
        <w:tc>
          <w:tcPr>
            <w:tcW w:w="3118" w:type="dxa"/>
          </w:tcPr>
          <w:p w14:paraId="71BF1CC9"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-30</w:t>
            </w:r>
          </w:p>
        </w:tc>
        <w:tc>
          <w:tcPr>
            <w:tcW w:w="1985" w:type="dxa"/>
          </w:tcPr>
          <w:p w14:paraId="4BC04F31" w14:textId="77777777" w:rsidR="00D60DFE" w:rsidRPr="00D60DFE" w:rsidRDefault="00D60DFE" w:rsidP="00B91593">
            <w:pPr>
              <w:spacing w:before="120" w:after="120" w:line="240" w:lineRule="auto"/>
              <w:jc w:val="center"/>
              <w:rPr>
                <w:rFonts w:cs="Arial"/>
                <w:color w:val="000000"/>
                <w:szCs w:val="22"/>
              </w:rPr>
            </w:pPr>
            <w:r w:rsidRPr="00D60DFE">
              <w:rPr>
                <w:rFonts w:cs="Arial"/>
                <w:color w:val="000000"/>
                <w:szCs w:val="22"/>
              </w:rPr>
              <w:t>1000</w:t>
            </w:r>
          </w:p>
        </w:tc>
      </w:tr>
    </w:tbl>
    <w:p w14:paraId="221E0437" w14:textId="77777777" w:rsidR="00ED1404" w:rsidRDefault="00ED1404" w:rsidP="00ED1404">
      <w:pPr>
        <w:rPr>
          <w:rFonts w:cs="Arial"/>
          <w:szCs w:val="22"/>
        </w:rPr>
      </w:pPr>
    </w:p>
    <w:p w14:paraId="3B51E4EE" w14:textId="47A954DE" w:rsidR="00ED1404" w:rsidRDefault="3B545ED0" w:rsidP="31EB50B1">
      <w:pPr>
        <w:rPr>
          <w:rFonts w:cs="Arial"/>
          <w:color w:val="000000"/>
        </w:rPr>
      </w:pPr>
      <w:r w:rsidRPr="31EB50B1">
        <w:rPr>
          <w:rFonts w:cs="Arial"/>
        </w:rPr>
        <w:t>Table 3 of EN 302 645 contains more stringent limits in specific frequency bands where certain technologies are operating within the service area. Th</w:t>
      </w:r>
      <w:r w:rsidR="08F326CD" w:rsidRPr="31EB50B1">
        <w:rPr>
          <w:rFonts w:cs="Arial"/>
        </w:rPr>
        <w:t>at</w:t>
      </w:r>
      <w:r w:rsidRPr="31EB50B1">
        <w:rPr>
          <w:rFonts w:cs="Arial"/>
        </w:rPr>
        <w:t xml:space="preserve"> table is reproduced in table 2 below with</w:t>
      </w:r>
      <w:r w:rsidR="57917554" w:rsidRPr="31EB50B1">
        <w:rPr>
          <w:rFonts w:cs="Arial"/>
        </w:rPr>
        <w:t xml:space="preserve"> the exception of </w:t>
      </w:r>
      <w:r w:rsidR="706AC182" w:rsidRPr="31EB50B1">
        <w:rPr>
          <w:rFonts w:cs="Arial"/>
        </w:rPr>
        <w:t xml:space="preserve">frequency bands that are not relevant to </w:t>
      </w:r>
      <w:r w:rsidRPr="31EB50B1">
        <w:rPr>
          <w:rFonts w:cs="Arial"/>
        </w:rPr>
        <w:t>Australian spectrum allocation</w:t>
      </w:r>
      <w:r w:rsidR="57917554" w:rsidRPr="31EB50B1">
        <w:rPr>
          <w:rFonts w:cs="Arial"/>
        </w:rPr>
        <w:t>s</w:t>
      </w:r>
      <w:r w:rsidRPr="31EB50B1">
        <w:rPr>
          <w:rFonts w:cs="Arial"/>
        </w:rPr>
        <w:t xml:space="preserve">. Please note that some frequency bands in table 2 are overlapping with frequency bands in table 1. In all cases, table 2 will </w:t>
      </w:r>
      <w:r w:rsidR="43D34DAC" w:rsidRPr="31EB50B1">
        <w:rPr>
          <w:rFonts w:cs="Arial"/>
        </w:rPr>
        <w:t>have</w:t>
      </w:r>
      <w:r w:rsidRPr="31EB50B1">
        <w:rPr>
          <w:rFonts w:cs="Arial"/>
        </w:rPr>
        <w:t xml:space="preserve"> precedence over table 1. </w:t>
      </w:r>
    </w:p>
    <w:p w14:paraId="4FC851B5" w14:textId="483BA2B8" w:rsidR="00ED1404" w:rsidRPr="009C2404" w:rsidRDefault="3B545ED0" w:rsidP="31EB50B1">
      <w:pPr>
        <w:pStyle w:val="ACMATableHeader"/>
        <w:keepNext/>
        <w:keepLines/>
        <w:rPr>
          <w:color w:val="auto"/>
        </w:rPr>
      </w:pPr>
      <w:r w:rsidRPr="31EB50B1">
        <w:rPr>
          <w:color w:val="auto"/>
        </w:rPr>
        <w:lastRenderedPageBreak/>
        <w:t>Specific spurious emissions limits for protecting systems operating in certain frequency bands (</w:t>
      </w:r>
      <w:r w:rsidR="5B2268B7" w:rsidRPr="31EB50B1">
        <w:rPr>
          <w:color w:val="auto"/>
        </w:rPr>
        <w:t xml:space="preserve">based on </w:t>
      </w:r>
      <w:r w:rsidRPr="31EB50B1">
        <w:rPr>
          <w:color w:val="auto"/>
        </w:rPr>
        <w:t xml:space="preserve">ETSI Harmonised Standard EN 302 645 </w:t>
      </w:r>
      <w:r w:rsidR="57917554" w:rsidRPr="31EB50B1">
        <w:rPr>
          <w:color w:val="auto"/>
        </w:rPr>
        <w:t xml:space="preserve">excluding bands that do not </w:t>
      </w:r>
      <w:r w:rsidRPr="31EB50B1">
        <w:rPr>
          <w:color w:val="auto"/>
        </w:rPr>
        <w:t xml:space="preserve">reflect the Australian </w:t>
      </w:r>
      <w:r w:rsidR="6031EFFE" w:rsidRPr="31EB50B1">
        <w:rPr>
          <w:color w:val="auto"/>
        </w:rPr>
        <w:t>use of the spectrum</w:t>
      </w:r>
      <w:r w:rsidRPr="31EB50B1">
        <w:rPr>
          <w:color w:val="auto"/>
        </w:rPr>
        <w:t>)</w:t>
      </w:r>
    </w:p>
    <w:p w14:paraId="1F923950" w14:textId="77777777" w:rsidR="00ED1404" w:rsidRDefault="00ED1404" w:rsidP="00ED14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1985"/>
      </w:tblGrid>
      <w:tr w:rsidR="00365153" w:rsidRPr="00D60DFE" w14:paraId="113A035E" w14:textId="77777777" w:rsidTr="31EB50B1">
        <w:tc>
          <w:tcPr>
            <w:tcW w:w="2122" w:type="dxa"/>
          </w:tcPr>
          <w:p w14:paraId="18BE527F" w14:textId="77777777" w:rsidR="00365153" w:rsidRPr="00D60DFE" w:rsidRDefault="00365153">
            <w:pPr>
              <w:spacing w:before="120" w:after="120" w:line="240" w:lineRule="auto"/>
              <w:jc w:val="center"/>
              <w:rPr>
                <w:rFonts w:cs="Arial"/>
                <w:b/>
                <w:bCs/>
                <w:color w:val="000000"/>
                <w:szCs w:val="22"/>
              </w:rPr>
            </w:pPr>
            <w:r>
              <w:rPr>
                <w:rFonts w:cs="Arial"/>
                <w:b/>
                <w:bCs/>
                <w:color w:val="000000"/>
                <w:szCs w:val="22"/>
              </w:rPr>
              <w:t>Band for co-existence requirement</w:t>
            </w:r>
          </w:p>
        </w:tc>
        <w:tc>
          <w:tcPr>
            <w:tcW w:w="3118" w:type="dxa"/>
          </w:tcPr>
          <w:p w14:paraId="586F8A42" w14:textId="77777777" w:rsidR="00365153" w:rsidRPr="00D60DFE" w:rsidRDefault="633DC603" w:rsidP="31EB50B1">
            <w:pPr>
              <w:spacing w:before="120" w:after="120" w:line="240" w:lineRule="auto"/>
              <w:jc w:val="center"/>
              <w:rPr>
                <w:rFonts w:cs="Arial"/>
                <w:b/>
                <w:bCs/>
                <w:color w:val="000000"/>
              </w:rPr>
            </w:pPr>
            <w:r w:rsidRPr="31EB50B1">
              <w:rPr>
                <w:rFonts w:cs="Arial"/>
                <w:b/>
                <w:bCs/>
                <w:color w:val="000000" w:themeColor="text1"/>
              </w:rPr>
              <w:t xml:space="preserve">Maximum </w:t>
            </w:r>
            <w:proofErr w:type="spellStart"/>
            <w:r w:rsidRPr="31EB50B1">
              <w:rPr>
                <w:rFonts w:cs="Arial"/>
                <w:b/>
                <w:bCs/>
                <w:color w:val="000000" w:themeColor="text1"/>
              </w:rPr>
              <w:t>e.r.p.</w:t>
            </w:r>
            <w:proofErr w:type="spellEnd"/>
            <w:r w:rsidRPr="31EB50B1">
              <w:rPr>
                <w:rFonts w:cs="Arial"/>
                <w:b/>
                <w:bCs/>
                <w:color w:val="000000" w:themeColor="text1"/>
              </w:rPr>
              <w:t xml:space="preserve"> (≤ 1 GHz), </w:t>
            </w:r>
            <w:proofErr w:type="spellStart"/>
            <w:r w:rsidRPr="31EB50B1">
              <w:rPr>
                <w:rFonts w:cs="Arial"/>
                <w:b/>
                <w:bCs/>
                <w:color w:val="000000" w:themeColor="text1"/>
              </w:rPr>
              <w:t>e.i.r.p</w:t>
            </w:r>
            <w:proofErr w:type="spellEnd"/>
            <w:r w:rsidRPr="31EB50B1">
              <w:rPr>
                <w:rFonts w:cs="Arial"/>
                <w:b/>
                <w:bCs/>
                <w:color w:val="000000" w:themeColor="text1"/>
              </w:rPr>
              <w:t>. (&gt; 1 GHz) (dBm)</w:t>
            </w:r>
          </w:p>
        </w:tc>
        <w:tc>
          <w:tcPr>
            <w:tcW w:w="1985" w:type="dxa"/>
          </w:tcPr>
          <w:p w14:paraId="4A17E1B0" w14:textId="77777777" w:rsidR="00365153" w:rsidRPr="00D60DFE" w:rsidRDefault="00365153">
            <w:pPr>
              <w:spacing w:before="120" w:after="120" w:line="240" w:lineRule="auto"/>
              <w:jc w:val="center"/>
              <w:rPr>
                <w:rFonts w:cs="Arial"/>
                <w:b/>
                <w:bCs/>
                <w:color w:val="000000"/>
                <w:szCs w:val="22"/>
              </w:rPr>
            </w:pPr>
            <w:r w:rsidRPr="00D60DFE">
              <w:rPr>
                <w:rFonts w:cs="Arial"/>
                <w:b/>
                <w:bCs/>
                <w:color w:val="000000"/>
                <w:szCs w:val="22"/>
              </w:rPr>
              <w:t>Measurement bandwidth (kHz)</w:t>
            </w:r>
          </w:p>
        </w:tc>
      </w:tr>
      <w:tr w:rsidR="00365153" w:rsidRPr="00D60DFE" w14:paraId="40E10E06" w14:textId="77777777" w:rsidTr="31EB50B1">
        <w:tc>
          <w:tcPr>
            <w:tcW w:w="2122" w:type="dxa"/>
          </w:tcPr>
          <w:p w14:paraId="799FEC3C" w14:textId="77777777" w:rsidR="00365153" w:rsidRPr="00D60DFE" w:rsidRDefault="00365153">
            <w:pPr>
              <w:spacing w:before="120" w:after="120" w:line="240" w:lineRule="auto"/>
              <w:jc w:val="center"/>
              <w:rPr>
                <w:rFonts w:cs="Arial"/>
                <w:color w:val="000000"/>
                <w:szCs w:val="22"/>
              </w:rPr>
            </w:pPr>
            <w:r>
              <w:rPr>
                <w:rFonts w:cs="Arial"/>
                <w:color w:val="000000"/>
                <w:szCs w:val="22"/>
              </w:rPr>
              <w:t>960</w:t>
            </w:r>
            <w:r w:rsidRPr="00D60DFE">
              <w:rPr>
                <w:rFonts w:cs="Arial"/>
                <w:color w:val="000000"/>
                <w:szCs w:val="22"/>
              </w:rPr>
              <w:t xml:space="preserve"> – </w:t>
            </w:r>
            <w:r>
              <w:rPr>
                <w:rFonts w:cs="Arial"/>
                <w:color w:val="000000"/>
                <w:szCs w:val="22"/>
              </w:rPr>
              <w:t>1.151</w:t>
            </w:r>
            <w:r w:rsidRPr="00D60DFE">
              <w:rPr>
                <w:rFonts w:cs="Arial"/>
                <w:color w:val="000000"/>
                <w:szCs w:val="22"/>
              </w:rPr>
              <w:t xml:space="preserve"> </w:t>
            </w:r>
            <w:r>
              <w:rPr>
                <w:rFonts w:cs="Arial"/>
                <w:color w:val="000000"/>
                <w:szCs w:val="22"/>
              </w:rPr>
              <w:t>G</w:t>
            </w:r>
            <w:r w:rsidRPr="00D60DFE">
              <w:rPr>
                <w:rFonts w:cs="Arial"/>
                <w:color w:val="000000"/>
                <w:szCs w:val="22"/>
              </w:rPr>
              <w:t>Hz</w:t>
            </w:r>
          </w:p>
        </w:tc>
        <w:tc>
          <w:tcPr>
            <w:tcW w:w="3118" w:type="dxa"/>
          </w:tcPr>
          <w:p w14:paraId="0736B7C1"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w:t>
            </w:r>
            <w:r>
              <w:rPr>
                <w:rFonts w:cs="Arial"/>
                <w:color w:val="000000"/>
                <w:szCs w:val="22"/>
              </w:rPr>
              <w:t>52</w:t>
            </w:r>
          </w:p>
        </w:tc>
        <w:tc>
          <w:tcPr>
            <w:tcW w:w="1985" w:type="dxa"/>
          </w:tcPr>
          <w:p w14:paraId="593427A0"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100</w:t>
            </w:r>
            <w:r>
              <w:rPr>
                <w:rFonts w:cs="Arial"/>
                <w:color w:val="000000"/>
                <w:szCs w:val="22"/>
              </w:rPr>
              <w:t>0</w:t>
            </w:r>
          </w:p>
        </w:tc>
      </w:tr>
      <w:tr w:rsidR="00365153" w:rsidRPr="00D60DFE" w14:paraId="5542F084" w14:textId="77777777" w:rsidTr="31EB50B1">
        <w:tc>
          <w:tcPr>
            <w:tcW w:w="2122" w:type="dxa"/>
          </w:tcPr>
          <w:p w14:paraId="14E3E169" w14:textId="77777777" w:rsidR="00365153" w:rsidRPr="00D60DFE" w:rsidRDefault="00365153">
            <w:pPr>
              <w:spacing w:before="120" w:after="120" w:line="240" w:lineRule="auto"/>
              <w:jc w:val="center"/>
              <w:rPr>
                <w:rFonts w:cs="Arial"/>
                <w:color w:val="000000"/>
                <w:szCs w:val="22"/>
              </w:rPr>
            </w:pPr>
            <w:r>
              <w:rPr>
                <w:rFonts w:cs="Arial"/>
                <w:color w:val="000000"/>
                <w:szCs w:val="22"/>
              </w:rPr>
              <w:t>1.805</w:t>
            </w:r>
            <w:r w:rsidRPr="00D60DFE">
              <w:rPr>
                <w:rFonts w:cs="Arial"/>
                <w:color w:val="000000"/>
                <w:szCs w:val="22"/>
              </w:rPr>
              <w:t xml:space="preserve"> – </w:t>
            </w:r>
            <w:r>
              <w:rPr>
                <w:rFonts w:cs="Arial"/>
                <w:color w:val="000000"/>
                <w:szCs w:val="22"/>
              </w:rPr>
              <w:t>1.88</w:t>
            </w:r>
            <w:r w:rsidRPr="00D60DFE">
              <w:rPr>
                <w:rFonts w:cs="Arial"/>
                <w:color w:val="000000"/>
                <w:szCs w:val="22"/>
              </w:rPr>
              <w:t xml:space="preserve"> </w:t>
            </w:r>
            <w:r>
              <w:rPr>
                <w:rFonts w:cs="Arial"/>
                <w:color w:val="000000"/>
                <w:szCs w:val="22"/>
              </w:rPr>
              <w:t>G</w:t>
            </w:r>
            <w:r w:rsidRPr="00D60DFE">
              <w:rPr>
                <w:rFonts w:cs="Arial"/>
                <w:color w:val="000000"/>
                <w:szCs w:val="22"/>
              </w:rPr>
              <w:t>Hz</w:t>
            </w:r>
          </w:p>
        </w:tc>
        <w:tc>
          <w:tcPr>
            <w:tcW w:w="3118" w:type="dxa"/>
          </w:tcPr>
          <w:p w14:paraId="054B3BD6"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w:t>
            </w:r>
            <w:r>
              <w:rPr>
                <w:rFonts w:cs="Arial"/>
                <w:color w:val="000000"/>
                <w:szCs w:val="22"/>
              </w:rPr>
              <w:t>47</w:t>
            </w:r>
          </w:p>
        </w:tc>
        <w:tc>
          <w:tcPr>
            <w:tcW w:w="1985" w:type="dxa"/>
          </w:tcPr>
          <w:p w14:paraId="3243272E"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100</w:t>
            </w:r>
          </w:p>
        </w:tc>
      </w:tr>
      <w:tr w:rsidR="00365153" w:rsidRPr="00D60DFE" w14:paraId="407AF321" w14:textId="77777777" w:rsidTr="31EB50B1">
        <w:tc>
          <w:tcPr>
            <w:tcW w:w="2122" w:type="dxa"/>
          </w:tcPr>
          <w:p w14:paraId="0411EBDF" w14:textId="77777777" w:rsidR="00365153" w:rsidRPr="00D60DFE" w:rsidRDefault="00365153">
            <w:pPr>
              <w:spacing w:before="120" w:after="120" w:line="240" w:lineRule="auto"/>
              <w:jc w:val="center"/>
              <w:rPr>
                <w:rFonts w:cs="Arial"/>
                <w:color w:val="000000"/>
                <w:szCs w:val="22"/>
              </w:rPr>
            </w:pPr>
            <w:r>
              <w:rPr>
                <w:rFonts w:cs="Arial"/>
                <w:color w:val="000000"/>
                <w:szCs w:val="22"/>
              </w:rPr>
              <w:t>1.71</w:t>
            </w:r>
            <w:r w:rsidRPr="00D60DFE">
              <w:rPr>
                <w:rFonts w:cs="Arial"/>
                <w:color w:val="000000"/>
                <w:szCs w:val="22"/>
              </w:rPr>
              <w:t xml:space="preserve"> – </w:t>
            </w:r>
            <w:r>
              <w:rPr>
                <w:rFonts w:cs="Arial"/>
                <w:color w:val="000000"/>
                <w:szCs w:val="22"/>
              </w:rPr>
              <w:t>1.785</w:t>
            </w:r>
            <w:r w:rsidRPr="00D60DFE">
              <w:rPr>
                <w:rFonts w:cs="Arial"/>
                <w:color w:val="000000"/>
                <w:szCs w:val="22"/>
              </w:rPr>
              <w:t xml:space="preserve"> </w:t>
            </w:r>
            <w:r>
              <w:rPr>
                <w:rFonts w:cs="Arial"/>
                <w:color w:val="000000"/>
                <w:szCs w:val="22"/>
              </w:rPr>
              <w:t>G</w:t>
            </w:r>
            <w:r w:rsidRPr="00D60DFE">
              <w:rPr>
                <w:rFonts w:cs="Arial"/>
                <w:color w:val="000000"/>
                <w:szCs w:val="22"/>
              </w:rPr>
              <w:t>Hz</w:t>
            </w:r>
          </w:p>
        </w:tc>
        <w:tc>
          <w:tcPr>
            <w:tcW w:w="3118" w:type="dxa"/>
          </w:tcPr>
          <w:p w14:paraId="3E927D6A"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w:t>
            </w:r>
            <w:r>
              <w:rPr>
                <w:rFonts w:cs="Arial"/>
                <w:color w:val="000000"/>
                <w:szCs w:val="22"/>
              </w:rPr>
              <w:t>61</w:t>
            </w:r>
          </w:p>
        </w:tc>
        <w:tc>
          <w:tcPr>
            <w:tcW w:w="1985" w:type="dxa"/>
          </w:tcPr>
          <w:p w14:paraId="14E21637"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100</w:t>
            </w:r>
          </w:p>
        </w:tc>
      </w:tr>
      <w:tr w:rsidR="00365153" w:rsidRPr="00D60DFE" w14:paraId="4F6EF4F8" w14:textId="77777777" w:rsidTr="31EB50B1">
        <w:tc>
          <w:tcPr>
            <w:tcW w:w="2122" w:type="dxa"/>
          </w:tcPr>
          <w:p w14:paraId="742BDC19"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1</w:t>
            </w:r>
            <w:r>
              <w:rPr>
                <w:rFonts w:cs="Arial"/>
                <w:color w:val="000000"/>
                <w:szCs w:val="22"/>
              </w:rPr>
              <w:t>.9</w:t>
            </w:r>
            <w:r w:rsidRPr="00D60DFE">
              <w:rPr>
                <w:rFonts w:cs="Arial"/>
                <w:color w:val="000000"/>
                <w:szCs w:val="22"/>
              </w:rPr>
              <w:t xml:space="preserve"> – </w:t>
            </w:r>
            <w:r>
              <w:rPr>
                <w:rFonts w:cs="Arial"/>
                <w:color w:val="000000"/>
                <w:szCs w:val="22"/>
              </w:rPr>
              <w:t>1.92</w:t>
            </w:r>
            <w:r w:rsidRPr="00D60DFE">
              <w:rPr>
                <w:rFonts w:cs="Arial"/>
                <w:color w:val="000000"/>
                <w:szCs w:val="22"/>
              </w:rPr>
              <w:t xml:space="preserve"> </w:t>
            </w:r>
            <w:r>
              <w:rPr>
                <w:rFonts w:cs="Arial"/>
                <w:color w:val="000000"/>
                <w:szCs w:val="22"/>
              </w:rPr>
              <w:t>G</w:t>
            </w:r>
            <w:r w:rsidRPr="00D60DFE">
              <w:rPr>
                <w:rFonts w:cs="Arial"/>
                <w:color w:val="000000"/>
                <w:szCs w:val="22"/>
              </w:rPr>
              <w:t>Hz</w:t>
            </w:r>
          </w:p>
        </w:tc>
        <w:tc>
          <w:tcPr>
            <w:tcW w:w="3118" w:type="dxa"/>
          </w:tcPr>
          <w:p w14:paraId="51A79A20"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-5</w:t>
            </w:r>
            <w:r>
              <w:rPr>
                <w:rFonts w:cs="Arial"/>
                <w:color w:val="000000"/>
                <w:szCs w:val="22"/>
              </w:rPr>
              <w:t>2</w:t>
            </w:r>
          </w:p>
        </w:tc>
        <w:tc>
          <w:tcPr>
            <w:tcW w:w="1985" w:type="dxa"/>
          </w:tcPr>
          <w:p w14:paraId="25D09EF5" w14:textId="77777777" w:rsidR="00365153" w:rsidRPr="00D60DFE" w:rsidRDefault="00365153">
            <w:pPr>
              <w:spacing w:before="120" w:after="120" w:line="240" w:lineRule="auto"/>
              <w:jc w:val="center"/>
              <w:rPr>
                <w:rFonts w:cs="Arial"/>
                <w:color w:val="000000"/>
                <w:szCs w:val="22"/>
              </w:rPr>
            </w:pPr>
            <w:r w:rsidRPr="00D60DFE">
              <w:rPr>
                <w:rFonts w:cs="Arial"/>
                <w:color w:val="000000"/>
                <w:szCs w:val="22"/>
              </w:rPr>
              <w:t>100</w:t>
            </w:r>
            <w:r>
              <w:rPr>
                <w:rFonts w:cs="Arial"/>
                <w:color w:val="000000"/>
                <w:szCs w:val="22"/>
              </w:rPr>
              <w:t>0</w:t>
            </w:r>
          </w:p>
        </w:tc>
      </w:tr>
    </w:tbl>
    <w:p w14:paraId="2CCB9275" w14:textId="77777777" w:rsidR="00365153" w:rsidRPr="00365153" w:rsidRDefault="00365153" w:rsidP="00ED1404"/>
    <w:p w14:paraId="2CA121BF" w14:textId="4B89C18C" w:rsidR="00ED1404" w:rsidRPr="00ED1404" w:rsidRDefault="3B545ED0" w:rsidP="00E87C4C">
      <w:r w:rsidRPr="31EB50B1">
        <w:rPr>
          <w:rFonts w:cs="Arial"/>
        </w:rPr>
        <w:t>All of these limits stated in this sub-</w:t>
      </w:r>
      <w:r w:rsidR="55F6C0A5" w:rsidRPr="31EB50B1">
        <w:rPr>
          <w:rFonts w:cs="Arial"/>
        </w:rPr>
        <w:t>chapter</w:t>
      </w:r>
      <w:r w:rsidRPr="31EB50B1">
        <w:rPr>
          <w:rFonts w:cs="Arial"/>
        </w:rPr>
        <w:t xml:space="preserve"> must be complied with. A special condition is stated in </w:t>
      </w:r>
      <w:r w:rsidR="27D0C9A7" w:rsidRPr="31EB50B1">
        <w:rPr>
          <w:rFonts w:cs="Arial"/>
        </w:rPr>
        <w:t>Chapter</w:t>
      </w:r>
      <w:r w:rsidRPr="31EB50B1">
        <w:rPr>
          <w:rFonts w:cs="Arial"/>
        </w:rPr>
        <w:t xml:space="preserve"> 4.7.1.3 </w:t>
      </w:r>
      <w:r w:rsidR="004A60D1">
        <w:rPr>
          <w:rFonts w:cs="Arial"/>
        </w:rPr>
        <w:t>and will generally be included on licences</w:t>
      </w:r>
      <w:r w:rsidRPr="31EB50B1">
        <w:rPr>
          <w:rFonts w:cs="Arial"/>
        </w:rPr>
        <w:t>.</w:t>
      </w:r>
    </w:p>
    <w:p w14:paraId="667AD675" w14:textId="6B7139CC" w:rsidR="00D60DFE" w:rsidRPr="008344A2" w:rsidRDefault="00D60DFE" w:rsidP="001D295A">
      <w:pPr>
        <w:pStyle w:val="Heading2"/>
        <w:spacing w:before="120" w:after="120" w:line="240" w:lineRule="auto"/>
        <w:ind w:left="709" w:hanging="709"/>
      </w:pPr>
      <w:bookmarkStart w:id="46" w:name="_Toc200548974"/>
      <w:r w:rsidRPr="008344A2">
        <w:t xml:space="preserve">Boundary </w:t>
      </w:r>
      <w:r w:rsidR="00643434">
        <w:t>C</w:t>
      </w:r>
      <w:r w:rsidRPr="008344A2">
        <w:t>onditions</w:t>
      </w:r>
      <w:bookmarkEnd w:id="46"/>
    </w:p>
    <w:p w14:paraId="44A8FBBB" w14:textId="7ED2EC13" w:rsidR="00745C5E" w:rsidRDefault="62746E82" w:rsidP="31EB50B1">
      <w:pPr>
        <w:spacing w:before="120" w:after="0" w:line="240" w:lineRule="auto"/>
        <w:rPr>
          <w:rFonts w:cs="Arial"/>
          <w:color w:val="000000"/>
        </w:rPr>
      </w:pPr>
      <w:r w:rsidRPr="31EB50B1">
        <w:rPr>
          <w:rFonts w:cs="Arial"/>
          <w:color w:val="000000" w:themeColor="text1"/>
        </w:rPr>
        <w:t xml:space="preserve">Operators of RRDs </w:t>
      </w:r>
      <w:r w:rsidR="00655C0D">
        <w:rPr>
          <w:rFonts w:cs="Arial"/>
          <w:color w:val="000000" w:themeColor="text1"/>
        </w:rPr>
        <w:t>are</w:t>
      </w:r>
      <w:r w:rsidRPr="31EB50B1">
        <w:rPr>
          <w:rFonts w:cs="Arial"/>
          <w:color w:val="000000" w:themeColor="text1"/>
        </w:rPr>
        <w:t xml:space="preserve"> to ensure that device positioning and EIRP levels are such that the calculated emissions on any permitted frequency will not exceed a level of -140 dBm/24 MHz, as received by an isotropic antenna at a distance of 30 metres from any edge of the service area.</w:t>
      </w:r>
      <w:r w:rsidR="4776202F" w:rsidRPr="31EB50B1">
        <w:rPr>
          <w:rFonts w:cs="Arial"/>
          <w:color w:val="000000" w:themeColor="text1"/>
        </w:rPr>
        <w:t xml:space="preserve"> In this context, “edge” includes any openings from the indoor/undercover space such as tunnel entry/exit points or hangar doors. </w:t>
      </w:r>
      <w:r w:rsidR="6F2A972D" w:rsidRPr="31EB50B1">
        <w:rPr>
          <w:rFonts w:cs="Arial"/>
          <w:color w:val="000000" w:themeColor="text1"/>
        </w:rPr>
        <w:t>Calculations are to be based on free space propagation with no allowance for additional attenuation (e.g., building attenuation, clutter loss etc).</w:t>
      </w:r>
      <w:r w:rsidR="4776202F" w:rsidRPr="31EB50B1">
        <w:rPr>
          <w:rFonts w:cs="Arial"/>
          <w:color w:val="000000" w:themeColor="text1"/>
        </w:rPr>
        <w:t xml:space="preserve"> This boundary condition is adopted from the National Telecommunications and Information Administration (NTIA) Manual of Regulations and Procedures for Federal Radio Frequency Management </w:t>
      </w:r>
      <w:hyperlink r:id="rId18">
        <w:r w:rsidR="4776202F" w:rsidRPr="31EB50B1">
          <w:rPr>
            <w:rStyle w:val="Hyperlink"/>
            <w:rFonts w:cs="Arial"/>
          </w:rPr>
          <w:t>section 8.3.28</w:t>
        </w:r>
      </w:hyperlink>
      <w:r w:rsidR="4776202F" w:rsidRPr="31EB50B1">
        <w:rPr>
          <w:rFonts w:cs="Arial"/>
          <w:color w:val="000000" w:themeColor="text1"/>
        </w:rPr>
        <w:t>.</w:t>
      </w:r>
    </w:p>
    <w:p w14:paraId="5192B891" w14:textId="77777777" w:rsidR="00070718" w:rsidRDefault="00070718" w:rsidP="00745C5E">
      <w:pPr>
        <w:spacing w:before="120" w:after="120" w:line="240" w:lineRule="auto"/>
        <w:rPr>
          <w:rFonts w:cs="Arial"/>
          <w:color w:val="000000"/>
          <w:szCs w:val="22"/>
        </w:rPr>
      </w:pPr>
    </w:p>
    <w:p w14:paraId="4C894ED1" w14:textId="1C023557" w:rsidR="00D60DFE" w:rsidRPr="008344A2" w:rsidRDefault="00D60DFE" w:rsidP="00B91593">
      <w:pPr>
        <w:pStyle w:val="Heading2"/>
        <w:spacing w:before="120" w:after="120" w:line="240" w:lineRule="auto"/>
        <w:ind w:left="709" w:hanging="709"/>
      </w:pPr>
      <w:bookmarkStart w:id="47" w:name="_Toc165556165"/>
      <w:bookmarkStart w:id="48" w:name="_Toc200548975"/>
      <w:r w:rsidRPr="008344A2">
        <w:t>Registration</w:t>
      </w:r>
      <w:bookmarkEnd w:id="47"/>
      <w:bookmarkEnd w:id="48"/>
      <w:r w:rsidR="00235254">
        <w:rPr>
          <w:rStyle w:val="FootnoteReference"/>
        </w:rPr>
        <w:footnoteReference w:id="3"/>
      </w:r>
      <w:r w:rsidRPr="008344A2">
        <w:t xml:space="preserve"> </w:t>
      </w:r>
    </w:p>
    <w:p w14:paraId="4AA178FF" w14:textId="291C7958" w:rsidR="00D60DFE" w:rsidRDefault="0031746A" w:rsidP="00B91593">
      <w:pPr>
        <w:spacing w:before="120" w:after="120" w:line="240" w:lineRule="auto"/>
        <w:rPr>
          <w:rFonts w:cs="Arial"/>
          <w:color w:val="000000"/>
          <w:szCs w:val="22"/>
        </w:rPr>
      </w:pPr>
      <w:r>
        <w:rPr>
          <w:rFonts w:cs="Arial"/>
          <w:color w:val="000000"/>
          <w:szCs w:val="22"/>
        </w:rPr>
        <w:t>Details of the RRD, including</w:t>
      </w:r>
      <w:r w:rsidR="00D60DFE" w:rsidRPr="00D60DFE">
        <w:rPr>
          <w:rFonts w:cs="Arial"/>
          <w:color w:val="000000"/>
          <w:szCs w:val="22"/>
        </w:rPr>
        <w:t xml:space="preserve"> its location</w:t>
      </w:r>
      <w:r>
        <w:rPr>
          <w:rFonts w:cs="Arial"/>
          <w:color w:val="000000"/>
          <w:szCs w:val="22"/>
        </w:rPr>
        <w:t xml:space="preserve"> </w:t>
      </w:r>
      <w:r w:rsidR="00726269">
        <w:rPr>
          <w:rFonts w:cs="Arial"/>
          <w:color w:val="000000"/>
          <w:szCs w:val="22"/>
        </w:rPr>
        <w:t>and relevant operating characteristics</w:t>
      </w:r>
      <w:r w:rsidR="00387CDB">
        <w:rPr>
          <w:rFonts w:cs="Arial"/>
          <w:color w:val="000000"/>
          <w:szCs w:val="22"/>
        </w:rPr>
        <w:t>,</w:t>
      </w:r>
      <w:r>
        <w:rPr>
          <w:rFonts w:cs="Arial"/>
          <w:color w:val="000000"/>
          <w:szCs w:val="22"/>
        </w:rPr>
        <w:t xml:space="preserve"> are to be registered</w:t>
      </w:r>
      <w:r w:rsidR="00F37F4C">
        <w:rPr>
          <w:rFonts w:cs="Arial"/>
          <w:color w:val="000000"/>
          <w:szCs w:val="22"/>
        </w:rPr>
        <w:t xml:space="preserve"> (through the process of apparatus licensing)</w:t>
      </w:r>
      <w:r>
        <w:rPr>
          <w:rFonts w:cs="Arial"/>
          <w:color w:val="000000"/>
          <w:szCs w:val="22"/>
        </w:rPr>
        <w:t xml:space="preserve"> in the RRL prior to operation. In addition</w:t>
      </w:r>
      <w:r w:rsidR="00D60DFE" w:rsidRPr="00D60DFE">
        <w:rPr>
          <w:rFonts w:cs="Arial"/>
          <w:color w:val="000000"/>
          <w:szCs w:val="22"/>
        </w:rPr>
        <w:t xml:space="preserve">, the licensee </w:t>
      </w:r>
      <w:r w:rsidR="00EB775A">
        <w:rPr>
          <w:rFonts w:cs="Arial"/>
          <w:color w:val="000000"/>
          <w:szCs w:val="22"/>
        </w:rPr>
        <w:t xml:space="preserve">is to </w:t>
      </w:r>
      <w:r>
        <w:rPr>
          <w:rFonts w:cs="Arial"/>
          <w:color w:val="000000"/>
          <w:szCs w:val="22"/>
        </w:rPr>
        <w:t>provide a point of contact</w:t>
      </w:r>
      <w:r w:rsidR="00F15235">
        <w:rPr>
          <w:rFonts w:cs="Arial"/>
          <w:color w:val="000000"/>
          <w:szCs w:val="22"/>
        </w:rPr>
        <w:t xml:space="preserve"> (see </w:t>
      </w:r>
      <w:r w:rsidR="00F164D3">
        <w:rPr>
          <w:rFonts w:cs="Arial"/>
          <w:color w:val="000000"/>
          <w:szCs w:val="22"/>
        </w:rPr>
        <w:t>Chapter</w:t>
      </w:r>
      <w:r w:rsidR="00F15235">
        <w:rPr>
          <w:rFonts w:cs="Arial"/>
          <w:color w:val="000000"/>
          <w:szCs w:val="22"/>
        </w:rPr>
        <w:t xml:space="preserve"> 4.7.2</w:t>
      </w:r>
      <w:r w:rsidR="00F72936">
        <w:rPr>
          <w:rFonts w:cs="Arial"/>
          <w:color w:val="000000"/>
          <w:szCs w:val="22"/>
        </w:rPr>
        <w:t xml:space="preserve"> – Advisory notes</w:t>
      </w:r>
      <w:r w:rsidR="00F15235">
        <w:rPr>
          <w:rFonts w:cs="Arial"/>
          <w:color w:val="000000"/>
          <w:szCs w:val="22"/>
        </w:rPr>
        <w:t>)</w:t>
      </w:r>
      <w:r>
        <w:rPr>
          <w:rFonts w:cs="Arial"/>
          <w:color w:val="000000"/>
          <w:szCs w:val="22"/>
        </w:rPr>
        <w:t xml:space="preserve"> and</w:t>
      </w:r>
      <w:r w:rsidR="00D60DFE" w:rsidRPr="00D60DFE">
        <w:rPr>
          <w:rFonts w:cs="Arial"/>
          <w:color w:val="000000"/>
          <w:szCs w:val="22"/>
        </w:rPr>
        <w:t xml:space="preserve"> ensure that the point of contact can be contacted directly for immediate correction in case of equipment malfunction or misalignment resulting in interference to RNSS reception outside the intended service area. </w:t>
      </w:r>
    </w:p>
    <w:p w14:paraId="4EFB3B60" w14:textId="74ADFE1B" w:rsidR="00EB6D90" w:rsidRPr="00EB6D90" w:rsidRDefault="00EB6D90" w:rsidP="001D295A">
      <w:pPr>
        <w:pStyle w:val="Heading3"/>
        <w:rPr>
          <w:szCs w:val="22"/>
        </w:rPr>
      </w:pPr>
      <w:bookmarkStart w:id="49" w:name="_Toc101350545"/>
      <w:bookmarkStart w:id="50" w:name="_Toc165556166"/>
      <w:bookmarkStart w:id="51" w:name="_Toc168404844"/>
      <w:bookmarkStart w:id="52" w:name="_Toc200548976"/>
      <w:r w:rsidRPr="00EB6D90">
        <w:rPr>
          <w:szCs w:val="22"/>
        </w:rPr>
        <w:lastRenderedPageBreak/>
        <w:t>Applicable licensing conditions</w:t>
      </w:r>
      <w:bookmarkEnd w:id="49"/>
      <w:bookmarkEnd w:id="50"/>
      <w:bookmarkEnd w:id="51"/>
      <w:bookmarkEnd w:id="52"/>
    </w:p>
    <w:p w14:paraId="2D19FBD1" w14:textId="2AD173B2" w:rsidR="002644C4" w:rsidRPr="001F7891" w:rsidRDefault="43333B51" w:rsidP="31EB50B1">
      <w:pPr>
        <w:pStyle w:val="Paragraph"/>
        <w:spacing w:before="240"/>
        <w:rPr>
          <w:sz w:val="22"/>
          <w:szCs w:val="22"/>
        </w:rPr>
      </w:pPr>
      <w:r w:rsidRPr="31EB50B1">
        <w:rPr>
          <w:sz w:val="22"/>
          <w:szCs w:val="22"/>
        </w:rPr>
        <w:t>The licensee must</w:t>
      </w:r>
      <w:r w:rsidR="1D7CFBC9" w:rsidRPr="31EB50B1">
        <w:rPr>
          <w:sz w:val="22"/>
          <w:szCs w:val="22"/>
        </w:rPr>
        <w:t xml:space="preserve"> </w:t>
      </w:r>
      <w:r w:rsidR="00190666">
        <w:rPr>
          <w:sz w:val="22"/>
          <w:szCs w:val="22"/>
        </w:rPr>
        <w:t>comply with</w:t>
      </w:r>
      <w:r w:rsidR="00190666" w:rsidRPr="31EB50B1">
        <w:rPr>
          <w:sz w:val="22"/>
          <w:szCs w:val="22"/>
        </w:rPr>
        <w:t xml:space="preserve"> </w:t>
      </w:r>
      <w:r w:rsidR="1D7CFBC9" w:rsidRPr="31EB50B1">
        <w:rPr>
          <w:sz w:val="22"/>
          <w:szCs w:val="22"/>
        </w:rPr>
        <w:t xml:space="preserve">the conditions set out in the </w:t>
      </w:r>
      <w:hyperlink r:id="rId19" w:history="1">
        <w:r w:rsidR="00C17B57" w:rsidRPr="004146B3">
          <w:rPr>
            <w:rStyle w:val="Hyperlink"/>
            <w:i/>
            <w:iCs/>
            <w:sz w:val="22"/>
            <w:szCs w:val="22"/>
          </w:rPr>
          <w:t>Radiocommunications Licence Conditions (Transmitter Licence) Determination 2025</w:t>
        </w:r>
      </w:hyperlink>
      <w:r w:rsidR="00C17B57">
        <w:rPr>
          <w:sz w:val="22"/>
          <w:szCs w:val="22"/>
        </w:rPr>
        <w:t xml:space="preserve"> </w:t>
      </w:r>
      <w:r w:rsidR="6BD7F0EB" w:rsidRPr="31EB50B1">
        <w:rPr>
          <w:sz w:val="22"/>
          <w:szCs w:val="22"/>
        </w:rPr>
        <w:t>(</w:t>
      </w:r>
      <w:r w:rsidR="1D7CFBC9" w:rsidRPr="31EB50B1">
        <w:rPr>
          <w:sz w:val="22"/>
          <w:szCs w:val="22"/>
        </w:rPr>
        <w:t>or any instrument which replaces that instrument</w:t>
      </w:r>
      <w:r w:rsidR="6BD7F0EB" w:rsidRPr="31EB50B1">
        <w:rPr>
          <w:sz w:val="22"/>
          <w:szCs w:val="22"/>
        </w:rPr>
        <w:t>)</w:t>
      </w:r>
      <w:r w:rsidR="1D7CFBC9" w:rsidRPr="31EB50B1">
        <w:rPr>
          <w:sz w:val="22"/>
          <w:szCs w:val="22"/>
        </w:rPr>
        <w:t xml:space="preserve"> and in individual licence</w:t>
      </w:r>
      <w:r w:rsidR="6BD7F0EB" w:rsidRPr="31EB50B1">
        <w:rPr>
          <w:sz w:val="22"/>
          <w:szCs w:val="22"/>
        </w:rPr>
        <w:t>(</w:t>
      </w:r>
      <w:r w:rsidR="1D7CFBC9" w:rsidRPr="31EB50B1">
        <w:rPr>
          <w:sz w:val="22"/>
          <w:szCs w:val="22"/>
        </w:rPr>
        <w:t>s</w:t>
      </w:r>
      <w:r w:rsidR="6BD7F0EB" w:rsidRPr="31EB50B1">
        <w:rPr>
          <w:sz w:val="22"/>
          <w:szCs w:val="22"/>
        </w:rPr>
        <w:t>)</w:t>
      </w:r>
      <w:r w:rsidR="1D7CFBC9" w:rsidRPr="31EB50B1">
        <w:rPr>
          <w:sz w:val="22"/>
          <w:szCs w:val="22"/>
        </w:rPr>
        <w:t xml:space="preserve">. </w:t>
      </w:r>
    </w:p>
    <w:p w14:paraId="1721B934" w14:textId="5ED4D7EB" w:rsidR="00EB6D90" w:rsidRDefault="29FC2288" w:rsidP="00EB6D90">
      <w:r w:rsidRPr="31EB50B1">
        <w:t xml:space="preserve">Conditions of operation which apply to an individual licence are to be printed on the licence </w:t>
      </w:r>
      <w:r w:rsidR="5D61A224" w:rsidRPr="31EB50B1">
        <w:t>instrument</w:t>
      </w:r>
      <w:r w:rsidRPr="31EB50B1">
        <w:t>. The application of special conditions by the ACMA will be considered on a case-by-case basis as required.</w:t>
      </w:r>
      <w:r w:rsidR="00AB6FB4">
        <w:t xml:space="preserve"> However, the ACMA generally intends to impose the following conditions.</w:t>
      </w:r>
    </w:p>
    <w:p w14:paraId="5C16155E" w14:textId="6BFD6DF3" w:rsidR="00AA67CB" w:rsidRDefault="00AA67CB" w:rsidP="001D295A">
      <w:pPr>
        <w:pStyle w:val="Heading4"/>
      </w:pPr>
      <w:r>
        <w:t>No interference to other stations</w:t>
      </w:r>
    </w:p>
    <w:p w14:paraId="563EA225" w14:textId="266C4BD5" w:rsidR="00AA67CB" w:rsidRDefault="00694CEC" w:rsidP="00AA67CB">
      <w:pPr>
        <w:rPr>
          <w:szCs w:val="22"/>
        </w:rPr>
      </w:pPr>
      <w:r>
        <w:rPr>
          <w:szCs w:val="22"/>
        </w:rPr>
        <w:t>For</w:t>
      </w:r>
      <w:r w:rsidR="00AA67CB">
        <w:rPr>
          <w:szCs w:val="22"/>
        </w:rPr>
        <w:t xml:space="preserve"> all licences authorising the operation of RRDs:</w:t>
      </w:r>
    </w:p>
    <w:p w14:paraId="3BDF4DF8" w14:textId="09049DC8" w:rsidR="00AA67CB" w:rsidRDefault="5148F810" w:rsidP="31EB50B1">
      <w:pPr>
        <w:ind w:left="284"/>
        <w:rPr>
          <w:i/>
          <w:iCs/>
        </w:rPr>
      </w:pPr>
      <w:r w:rsidRPr="31EB50B1">
        <w:rPr>
          <w:i/>
          <w:iCs/>
        </w:rPr>
        <w:t>No interference shall be caused to stations of other services operating in accordance with the Australian Radiofrequency Spectrum Plan.</w:t>
      </w:r>
    </w:p>
    <w:p w14:paraId="03CAC5E1" w14:textId="0F621325" w:rsidR="00EB6D90" w:rsidRDefault="00EB6D90" w:rsidP="001D295A">
      <w:pPr>
        <w:pStyle w:val="Heading4"/>
      </w:pPr>
      <w:r>
        <w:t>Boundary condition</w:t>
      </w:r>
    </w:p>
    <w:p w14:paraId="1515EEE1" w14:textId="23A5EEB7" w:rsidR="00EB6D90" w:rsidRDefault="002A4ACC" w:rsidP="00EB6D90">
      <w:pPr>
        <w:rPr>
          <w:szCs w:val="22"/>
        </w:rPr>
      </w:pPr>
      <w:r>
        <w:rPr>
          <w:szCs w:val="22"/>
        </w:rPr>
        <w:t>For</w:t>
      </w:r>
      <w:r w:rsidR="00EB6D90">
        <w:rPr>
          <w:szCs w:val="22"/>
        </w:rPr>
        <w:t xml:space="preserve"> all licences authorising the operation </w:t>
      </w:r>
      <w:r w:rsidR="00AA67CB">
        <w:rPr>
          <w:szCs w:val="22"/>
        </w:rPr>
        <w:t xml:space="preserve">of </w:t>
      </w:r>
      <w:r w:rsidR="00EB6D90">
        <w:rPr>
          <w:szCs w:val="22"/>
        </w:rPr>
        <w:t>RRDs:</w:t>
      </w:r>
    </w:p>
    <w:p w14:paraId="077A503F" w14:textId="6104C1A5" w:rsidR="00EB6D90" w:rsidRDefault="29FC2288" w:rsidP="31EB50B1">
      <w:pPr>
        <w:ind w:left="284"/>
        <w:rPr>
          <w:i/>
          <w:iCs/>
        </w:rPr>
      </w:pPr>
      <w:r w:rsidRPr="31EB50B1">
        <w:rPr>
          <w:i/>
          <w:iCs/>
        </w:rPr>
        <w:t>Radionavigation Satellite Service (RNSS) Re</w:t>
      </w:r>
      <w:r w:rsidR="5D08E388" w:rsidRPr="31EB50B1">
        <w:rPr>
          <w:i/>
          <w:iCs/>
        </w:rPr>
        <w:t>peater</w:t>
      </w:r>
      <w:r w:rsidRPr="31EB50B1">
        <w:rPr>
          <w:i/>
          <w:iCs/>
        </w:rPr>
        <w:t xml:space="preserve"> Devices (RRDs) are limited to a maximum Effective Radiated Power (ERP) value that will result in power levels not exceed</w:t>
      </w:r>
      <w:r w:rsidR="002A4ACC">
        <w:rPr>
          <w:i/>
          <w:iCs/>
        </w:rPr>
        <w:t>ing</w:t>
      </w:r>
      <w:r w:rsidRPr="31EB50B1">
        <w:rPr>
          <w:i/>
          <w:iCs/>
        </w:rPr>
        <w:t xml:space="preserve"> a power spectral density of -140 dBm/24 MHz</w:t>
      </w:r>
      <w:r w:rsidR="11C16445" w:rsidRPr="31EB50B1">
        <w:rPr>
          <w:i/>
          <w:iCs/>
        </w:rPr>
        <w:t>,</w:t>
      </w:r>
      <w:r w:rsidRPr="31EB50B1">
        <w:rPr>
          <w:i/>
          <w:iCs/>
        </w:rPr>
        <w:t xml:space="preserve"> </w:t>
      </w:r>
      <w:r w:rsidR="60978E88" w:rsidRPr="31EB50B1">
        <w:rPr>
          <w:i/>
          <w:iCs/>
        </w:rPr>
        <w:t xml:space="preserve">as received by an isotropic antenna </w:t>
      </w:r>
      <w:r w:rsidRPr="31EB50B1">
        <w:rPr>
          <w:i/>
          <w:iCs/>
        </w:rPr>
        <w:t>at a distance of 30 metr</w:t>
      </w:r>
      <w:r w:rsidR="3F62EE24" w:rsidRPr="31EB50B1">
        <w:rPr>
          <w:i/>
          <w:iCs/>
        </w:rPr>
        <w:t>e</w:t>
      </w:r>
      <w:r w:rsidRPr="31EB50B1">
        <w:rPr>
          <w:i/>
          <w:iCs/>
        </w:rPr>
        <w:t>s</w:t>
      </w:r>
      <w:r w:rsidR="00992376">
        <w:rPr>
          <w:i/>
          <w:iCs/>
        </w:rPr>
        <w:t xml:space="preserve"> from the </w:t>
      </w:r>
      <w:r w:rsidR="001E606A">
        <w:rPr>
          <w:i/>
          <w:iCs/>
        </w:rPr>
        <w:t>boundary of [</w:t>
      </w:r>
      <w:r w:rsidR="00CA590C">
        <w:rPr>
          <w:i/>
          <w:iCs/>
        </w:rPr>
        <w:t xml:space="preserve">name of the </w:t>
      </w:r>
      <w:r w:rsidR="00F64876">
        <w:rPr>
          <w:i/>
          <w:iCs/>
        </w:rPr>
        <w:t xml:space="preserve">enclosed </w:t>
      </w:r>
      <w:r w:rsidR="001E606A">
        <w:rPr>
          <w:i/>
          <w:iCs/>
        </w:rPr>
        <w:t>operational area to be added here].</w:t>
      </w:r>
      <w:r w:rsidR="57917554" w:rsidRPr="31EB50B1">
        <w:rPr>
          <w:i/>
          <w:iCs/>
        </w:rPr>
        <w:t xml:space="preserve"> </w:t>
      </w:r>
    </w:p>
    <w:p w14:paraId="38C2E699" w14:textId="0E85BF18" w:rsidR="00A13E1A" w:rsidRDefault="52773685" w:rsidP="31EB50B1">
      <w:pPr>
        <w:ind w:left="284"/>
        <w:rPr>
          <w:rFonts w:cs="Arial"/>
          <w:i/>
          <w:iCs/>
          <w:color w:val="000000" w:themeColor="text1"/>
        </w:rPr>
      </w:pPr>
      <w:r w:rsidRPr="31EB50B1">
        <w:rPr>
          <w:i/>
          <w:iCs/>
        </w:rPr>
        <w:t xml:space="preserve">Compliance with the above requirement can be verified via calculation </w:t>
      </w:r>
      <w:r w:rsidR="66F44E70" w:rsidRPr="31EB50B1">
        <w:rPr>
          <w:i/>
          <w:iCs/>
        </w:rPr>
        <w:t>that</w:t>
      </w:r>
      <w:r w:rsidRPr="31EB50B1">
        <w:rPr>
          <w:i/>
          <w:iCs/>
        </w:rPr>
        <w:t xml:space="preserve"> is</w:t>
      </w:r>
      <w:r w:rsidRPr="31EB50B1">
        <w:rPr>
          <w:rFonts w:cs="Arial"/>
          <w:i/>
          <w:iCs/>
          <w:color w:val="000000" w:themeColor="text1"/>
        </w:rPr>
        <w:t xml:space="preserve"> based on free space propagation with no allowance for additional attenuation (e.g., building attenuation, clutter loss etc).</w:t>
      </w:r>
    </w:p>
    <w:p w14:paraId="01683D35" w14:textId="3C00C1A1" w:rsidR="00A2090D" w:rsidRDefault="52773685" w:rsidP="31EB50B1">
      <w:pPr>
        <w:ind w:left="284"/>
        <w:rPr>
          <w:i/>
          <w:iCs/>
        </w:rPr>
      </w:pPr>
      <w:r w:rsidRPr="31EB50B1">
        <w:rPr>
          <w:rFonts w:cs="Arial"/>
          <w:i/>
          <w:iCs/>
          <w:color w:val="000000" w:themeColor="text1"/>
        </w:rPr>
        <w:t>On request</w:t>
      </w:r>
      <w:r w:rsidR="00A13E1A">
        <w:rPr>
          <w:rFonts w:cs="Arial"/>
          <w:i/>
          <w:iCs/>
          <w:color w:val="000000" w:themeColor="text1"/>
        </w:rPr>
        <w:t xml:space="preserve"> from an officer of the ACMA</w:t>
      </w:r>
      <w:r w:rsidRPr="31EB50B1">
        <w:rPr>
          <w:rFonts w:cs="Arial"/>
          <w:i/>
          <w:iCs/>
          <w:color w:val="000000" w:themeColor="text1"/>
        </w:rPr>
        <w:t>, t</w:t>
      </w:r>
      <w:r w:rsidRPr="31EB50B1">
        <w:rPr>
          <w:i/>
          <w:iCs/>
        </w:rPr>
        <w:t xml:space="preserve">he licensee must provide the ACMA copies of these calculations within </w:t>
      </w:r>
      <w:r w:rsidR="29823394" w:rsidRPr="31EB50B1">
        <w:rPr>
          <w:i/>
          <w:iCs/>
        </w:rPr>
        <w:t>20</w:t>
      </w:r>
      <w:r w:rsidRPr="31EB50B1">
        <w:rPr>
          <w:i/>
          <w:iCs/>
        </w:rPr>
        <w:t xml:space="preserve"> working days.</w:t>
      </w:r>
    </w:p>
    <w:p w14:paraId="185246CB" w14:textId="2B7AEC63" w:rsidR="00E43F3A" w:rsidRDefault="7D796C43" w:rsidP="00A430EA">
      <w:pPr>
        <w:pStyle w:val="Heading4"/>
      </w:pPr>
      <w:r w:rsidRPr="31EB50B1">
        <w:t xml:space="preserve">System, </w:t>
      </w:r>
      <w:r w:rsidR="305157D9" w:rsidRPr="31EB50B1">
        <w:t>u</w:t>
      </w:r>
      <w:r w:rsidRPr="31EB50B1">
        <w:t xml:space="preserve">nwanted emission and </w:t>
      </w:r>
      <w:r w:rsidR="305157D9" w:rsidRPr="31EB50B1">
        <w:t>s</w:t>
      </w:r>
      <w:r w:rsidRPr="31EB50B1">
        <w:t>purious emission limits</w:t>
      </w:r>
    </w:p>
    <w:p w14:paraId="27728847" w14:textId="04110307" w:rsidR="00E43F3A" w:rsidRDefault="002C4EDF" w:rsidP="00E43F3A">
      <w:pPr>
        <w:rPr>
          <w:szCs w:val="22"/>
        </w:rPr>
      </w:pPr>
      <w:r>
        <w:rPr>
          <w:szCs w:val="22"/>
        </w:rPr>
        <w:t>For</w:t>
      </w:r>
      <w:r w:rsidR="00E43F3A">
        <w:rPr>
          <w:szCs w:val="22"/>
        </w:rPr>
        <w:t xml:space="preserve"> all licences authorising the operation of RRDs:</w:t>
      </w:r>
    </w:p>
    <w:p w14:paraId="6EED8A89" w14:textId="067AE305" w:rsidR="0017490E" w:rsidRDefault="178DE38B" w:rsidP="31EB50B1">
      <w:pPr>
        <w:ind w:left="720"/>
        <w:rPr>
          <w:i/>
          <w:iCs/>
        </w:rPr>
      </w:pPr>
      <w:r w:rsidRPr="31EB50B1">
        <w:rPr>
          <w:i/>
          <w:iCs/>
        </w:rPr>
        <w:t>Radionavigation</w:t>
      </w:r>
      <w:r w:rsidR="587F4457" w:rsidRPr="31EB50B1">
        <w:rPr>
          <w:i/>
          <w:iCs/>
        </w:rPr>
        <w:t>-</w:t>
      </w:r>
      <w:r w:rsidRPr="31EB50B1">
        <w:rPr>
          <w:i/>
          <w:iCs/>
        </w:rPr>
        <w:t>Satellite Service (RNSS) Re</w:t>
      </w:r>
      <w:r w:rsidR="5D08E388" w:rsidRPr="31EB50B1">
        <w:rPr>
          <w:i/>
          <w:iCs/>
        </w:rPr>
        <w:t>peater</w:t>
      </w:r>
      <w:r w:rsidRPr="31EB50B1">
        <w:rPr>
          <w:i/>
          <w:iCs/>
        </w:rPr>
        <w:t xml:space="preserve"> Devices (RRDs) </w:t>
      </w:r>
      <w:r w:rsidR="6676EBC5" w:rsidRPr="31EB50B1">
        <w:rPr>
          <w:i/>
          <w:iCs/>
        </w:rPr>
        <w:t xml:space="preserve">must comply with </w:t>
      </w:r>
      <w:r w:rsidRPr="31EB50B1">
        <w:rPr>
          <w:i/>
          <w:iCs/>
        </w:rPr>
        <w:t>the following technical limits:</w:t>
      </w:r>
    </w:p>
    <w:p w14:paraId="29E89931" w14:textId="21A27789" w:rsidR="0017490E" w:rsidRPr="001E349F" w:rsidRDefault="178DE38B" w:rsidP="31EB50B1">
      <w:pPr>
        <w:pStyle w:val="ListParagraph"/>
        <w:numPr>
          <w:ilvl w:val="0"/>
          <w:numId w:val="33"/>
        </w:numPr>
        <w:rPr>
          <w:i/>
          <w:iCs/>
        </w:rPr>
      </w:pPr>
      <w:r w:rsidRPr="31EB50B1">
        <w:rPr>
          <w:rFonts w:cs="Arial"/>
          <w:i/>
          <w:iCs/>
        </w:rPr>
        <w:t>The total R</w:t>
      </w:r>
      <w:r w:rsidR="334EEBCD" w:rsidRPr="31EB50B1">
        <w:rPr>
          <w:rFonts w:cs="Arial"/>
          <w:i/>
          <w:iCs/>
        </w:rPr>
        <w:t>NSS repeater</w:t>
      </w:r>
      <w:r w:rsidRPr="31EB50B1">
        <w:rPr>
          <w:rFonts w:cs="Arial"/>
          <w:i/>
          <w:iCs/>
        </w:rPr>
        <w:t xml:space="preserve"> system gain must not exceed 48 dB for cabling losses ≥ 3 dB.</w:t>
      </w:r>
    </w:p>
    <w:p w14:paraId="5B49A42C" w14:textId="1BADC63D" w:rsidR="0017490E" w:rsidRPr="001E349F" w:rsidRDefault="0017490E" w:rsidP="0017490E">
      <w:pPr>
        <w:pStyle w:val="ListParagraph"/>
        <w:numPr>
          <w:ilvl w:val="0"/>
          <w:numId w:val="33"/>
        </w:numPr>
        <w:spacing w:before="120" w:after="120" w:line="240" w:lineRule="auto"/>
        <w:rPr>
          <w:rFonts w:cs="Arial"/>
          <w:i/>
          <w:iCs/>
          <w:szCs w:val="22"/>
        </w:rPr>
      </w:pPr>
      <w:r w:rsidRPr="001E349F">
        <w:rPr>
          <w:rFonts w:cs="Arial"/>
          <w:i/>
          <w:iCs/>
          <w:szCs w:val="22"/>
        </w:rPr>
        <w:t>The maximum output power of the R</w:t>
      </w:r>
      <w:r w:rsidR="0064013E">
        <w:rPr>
          <w:rFonts w:cs="Arial"/>
          <w:i/>
          <w:iCs/>
          <w:szCs w:val="22"/>
        </w:rPr>
        <w:t>NSS repeater</w:t>
      </w:r>
      <w:r w:rsidRPr="001E349F">
        <w:rPr>
          <w:rFonts w:cs="Arial"/>
          <w:i/>
          <w:iCs/>
          <w:szCs w:val="22"/>
        </w:rPr>
        <w:t xml:space="preserve"> system, when subject to </w:t>
      </w:r>
      <w:r>
        <w:rPr>
          <w:rFonts w:cs="Arial"/>
          <w:i/>
          <w:iCs/>
          <w:szCs w:val="22"/>
        </w:rPr>
        <w:t>non-</w:t>
      </w:r>
      <w:r w:rsidRPr="001E349F">
        <w:rPr>
          <w:rFonts w:cs="Arial"/>
          <w:i/>
          <w:iCs/>
          <w:szCs w:val="22"/>
        </w:rPr>
        <w:t xml:space="preserve">RNSS type signals, </w:t>
      </w:r>
      <w:r w:rsidR="002C4EDF">
        <w:rPr>
          <w:rFonts w:cs="Arial"/>
          <w:i/>
          <w:iCs/>
          <w:szCs w:val="22"/>
        </w:rPr>
        <w:t>must</w:t>
      </w:r>
      <w:r w:rsidR="002C4EDF" w:rsidRPr="001E349F">
        <w:rPr>
          <w:rFonts w:cs="Arial"/>
          <w:i/>
          <w:iCs/>
          <w:szCs w:val="22"/>
        </w:rPr>
        <w:t xml:space="preserve"> </w:t>
      </w:r>
      <w:r w:rsidRPr="001E349F">
        <w:rPr>
          <w:rFonts w:cs="Arial"/>
          <w:i/>
          <w:iCs/>
          <w:szCs w:val="22"/>
        </w:rPr>
        <w:t>be restricted to a limit of -20 dBm.</w:t>
      </w:r>
    </w:p>
    <w:p w14:paraId="332C0EBE" w14:textId="749AC974" w:rsidR="0017490E" w:rsidRPr="00B96E32" w:rsidRDefault="0017490E" w:rsidP="0017490E">
      <w:pPr>
        <w:pStyle w:val="ListParagraph"/>
        <w:numPr>
          <w:ilvl w:val="0"/>
          <w:numId w:val="33"/>
        </w:numPr>
        <w:rPr>
          <w:i/>
          <w:iCs/>
        </w:rPr>
      </w:pPr>
      <w:r w:rsidRPr="001E349F">
        <w:rPr>
          <w:rFonts w:cs="Arial"/>
          <w:i/>
          <w:iCs/>
          <w:color w:val="000000"/>
          <w:szCs w:val="22"/>
        </w:rPr>
        <w:t>Spurious emission from the R</w:t>
      </w:r>
      <w:r w:rsidR="0064013E">
        <w:rPr>
          <w:rFonts w:cs="Arial"/>
          <w:i/>
          <w:iCs/>
          <w:color w:val="000000"/>
          <w:szCs w:val="22"/>
        </w:rPr>
        <w:t>NSS repeater</w:t>
      </w:r>
      <w:r w:rsidRPr="001E349F">
        <w:rPr>
          <w:rFonts w:cs="Arial"/>
          <w:i/>
          <w:iCs/>
          <w:color w:val="000000"/>
          <w:szCs w:val="22"/>
        </w:rPr>
        <w:t xml:space="preserve"> system </w:t>
      </w:r>
      <w:r w:rsidR="002C4EDF">
        <w:rPr>
          <w:rFonts w:cs="Arial"/>
          <w:i/>
          <w:iCs/>
          <w:color w:val="000000"/>
          <w:szCs w:val="22"/>
        </w:rPr>
        <w:t>must</w:t>
      </w:r>
      <w:r w:rsidR="002C4EDF" w:rsidRPr="001E349F">
        <w:rPr>
          <w:rFonts w:cs="Arial"/>
          <w:i/>
          <w:iCs/>
          <w:color w:val="000000"/>
          <w:szCs w:val="22"/>
        </w:rPr>
        <w:t xml:space="preserve"> </w:t>
      </w:r>
      <w:r w:rsidRPr="001E349F">
        <w:rPr>
          <w:rFonts w:cs="Arial"/>
          <w:i/>
          <w:iCs/>
          <w:color w:val="000000"/>
          <w:szCs w:val="22"/>
        </w:rPr>
        <w:t xml:space="preserve">be limited as per Tables </w:t>
      </w:r>
      <w:r>
        <w:rPr>
          <w:rFonts w:cs="Arial"/>
          <w:i/>
          <w:iCs/>
          <w:color w:val="000000"/>
          <w:szCs w:val="22"/>
        </w:rPr>
        <w:t>1</w:t>
      </w:r>
      <w:r w:rsidRPr="001E349F">
        <w:rPr>
          <w:rFonts w:cs="Arial"/>
          <w:i/>
          <w:iCs/>
          <w:color w:val="000000"/>
          <w:szCs w:val="22"/>
        </w:rPr>
        <w:t xml:space="preserve"> and </w:t>
      </w:r>
      <w:r>
        <w:rPr>
          <w:rFonts w:cs="Arial"/>
          <w:i/>
          <w:iCs/>
          <w:color w:val="000000"/>
          <w:szCs w:val="22"/>
        </w:rPr>
        <w:t>2</w:t>
      </w:r>
      <w:r w:rsidRPr="001E349F">
        <w:rPr>
          <w:rFonts w:cs="Arial"/>
          <w:i/>
          <w:iCs/>
          <w:color w:val="000000"/>
          <w:szCs w:val="22"/>
        </w:rPr>
        <w:t xml:space="preserve"> of </w:t>
      </w:r>
      <w:r>
        <w:rPr>
          <w:rFonts w:cs="Arial"/>
          <w:i/>
          <w:iCs/>
          <w:color w:val="000000"/>
          <w:szCs w:val="22"/>
        </w:rPr>
        <w:t>RALI MS</w:t>
      </w:r>
      <w:r w:rsidR="00535D88">
        <w:rPr>
          <w:rFonts w:cs="Arial"/>
          <w:i/>
          <w:iCs/>
          <w:color w:val="000000"/>
          <w:szCs w:val="22"/>
        </w:rPr>
        <w:t>49</w:t>
      </w:r>
      <w:r w:rsidRPr="001E349F">
        <w:rPr>
          <w:rFonts w:cs="Arial"/>
          <w:i/>
          <w:iCs/>
          <w:szCs w:val="22"/>
        </w:rPr>
        <w:t>.</w:t>
      </w:r>
    </w:p>
    <w:p w14:paraId="16B0E4BF" w14:textId="77777777" w:rsidR="00AF64D2" w:rsidRDefault="00AF64D2" w:rsidP="00AF64D2">
      <w:pPr>
        <w:pStyle w:val="Heading4"/>
      </w:pPr>
      <w:bookmarkStart w:id="53" w:name="_Toc165556167"/>
      <w:bookmarkStart w:id="54" w:name="_Toc101350550"/>
      <w:bookmarkStart w:id="55" w:name="_Toc165556168"/>
      <w:bookmarkStart w:id="56" w:name="_Toc168404845"/>
      <w:bookmarkEnd w:id="53"/>
      <w:r>
        <w:t>Notification to the affected users</w:t>
      </w:r>
    </w:p>
    <w:p w14:paraId="1B441F13" w14:textId="712F694A" w:rsidR="00AF64D2" w:rsidRDefault="002C4EDF" w:rsidP="00AF64D2">
      <w:pPr>
        <w:rPr>
          <w:szCs w:val="22"/>
        </w:rPr>
      </w:pPr>
      <w:r>
        <w:rPr>
          <w:szCs w:val="22"/>
        </w:rPr>
        <w:t>For</w:t>
      </w:r>
      <w:r w:rsidR="00AF64D2">
        <w:rPr>
          <w:szCs w:val="22"/>
        </w:rPr>
        <w:t xml:space="preserve"> all licences authorising the operation of RRDs:</w:t>
      </w:r>
    </w:p>
    <w:p w14:paraId="1F68CB69" w14:textId="42E7295A" w:rsidR="00AF64D2" w:rsidRDefault="00AF64D2" w:rsidP="00AF64D2">
      <w:pPr>
        <w:ind w:left="284"/>
        <w:rPr>
          <w:i/>
          <w:iCs/>
          <w:szCs w:val="22"/>
        </w:rPr>
      </w:pPr>
      <w:r w:rsidRPr="00C6528D">
        <w:rPr>
          <w:i/>
          <w:iCs/>
          <w:szCs w:val="22"/>
        </w:rPr>
        <w:t xml:space="preserve">The licensee </w:t>
      </w:r>
      <w:r w:rsidR="002C4EDF">
        <w:rPr>
          <w:i/>
          <w:iCs/>
          <w:szCs w:val="22"/>
        </w:rPr>
        <w:t>must</w:t>
      </w:r>
      <w:r>
        <w:rPr>
          <w:i/>
          <w:iCs/>
          <w:szCs w:val="22"/>
        </w:rPr>
        <w:t xml:space="preserve"> take all </w:t>
      </w:r>
      <w:r w:rsidRPr="00C6528D">
        <w:rPr>
          <w:i/>
          <w:iCs/>
          <w:szCs w:val="22"/>
        </w:rPr>
        <w:t xml:space="preserve">practical measures to </w:t>
      </w:r>
      <w:r>
        <w:rPr>
          <w:i/>
          <w:iCs/>
          <w:szCs w:val="22"/>
        </w:rPr>
        <w:t>notify Airservices Australia and other major use</w:t>
      </w:r>
      <w:r w:rsidR="005056CF">
        <w:rPr>
          <w:i/>
          <w:iCs/>
          <w:szCs w:val="22"/>
        </w:rPr>
        <w:t>r</w:t>
      </w:r>
      <w:r>
        <w:rPr>
          <w:i/>
          <w:iCs/>
          <w:szCs w:val="22"/>
        </w:rPr>
        <w:t xml:space="preserve">s of RNSS devices for positioning and timing </w:t>
      </w:r>
      <w:r>
        <w:rPr>
          <w:i/>
          <w:iCs/>
          <w:szCs w:val="22"/>
        </w:rPr>
        <w:lastRenderedPageBreak/>
        <w:t>information, using the contact details provided in RALI MS49, before devices authorised by this licence are first operated.</w:t>
      </w:r>
    </w:p>
    <w:p w14:paraId="125034C4" w14:textId="7F1C1B60" w:rsidR="00AF64D2" w:rsidRPr="00C6528D" w:rsidRDefault="7F15E1F1" w:rsidP="31EB50B1">
      <w:pPr>
        <w:ind w:left="284"/>
        <w:rPr>
          <w:i/>
          <w:iCs/>
        </w:rPr>
      </w:pPr>
      <w:r w:rsidRPr="31EB50B1">
        <w:t xml:space="preserve">Contact details applicable to the above special condition are listed </w:t>
      </w:r>
      <w:r w:rsidR="00BA7358">
        <w:t>on the ACMA website</w:t>
      </w:r>
      <w:r w:rsidR="001A7830">
        <w:t xml:space="preserve">: RALI </w:t>
      </w:r>
      <w:r w:rsidR="00466C68">
        <w:t>MS49</w:t>
      </w:r>
      <w:r w:rsidR="466EE05E" w:rsidRPr="31EB50B1">
        <w:t>. N</w:t>
      </w:r>
      <w:r w:rsidRPr="31EB50B1">
        <w:t>otification is to include the relevant licence number, contact point for the licensee</w:t>
      </w:r>
      <w:r w:rsidR="63A6FD46" w:rsidRPr="31EB50B1">
        <w:t xml:space="preserve"> </w:t>
      </w:r>
      <w:r w:rsidRPr="31EB50B1">
        <w:t>and the date when operation will commence.</w:t>
      </w:r>
    </w:p>
    <w:p w14:paraId="35F07DF5" w14:textId="77777777" w:rsidR="00CC64DC" w:rsidRPr="00CC64DC" w:rsidRDefault="00CC64DC" w:rsidP="001D295A">
      <w:pPr>
        <w:pStyle w:val="Heading3"/>
        <w:rPr>
          <w:szCs w:val="22"/>
        </w:rPr>
      </w:pPr>
      <w:bookmarkStart w:id="57" w:name="_Toc200548977"/>
      <w:r w:rsidRPr="00CC64DC">
        <w:rPr>
          <w:szCs w:val="22"/>
        </w:rPr>
        <w:t>Advisory notes</w:t>
      </w:r>
      <w:bookmarkEnd w:id="54"/>
      <w:bookmarkEnd w:id="55"/>
      <w:bookmarkEnd w:id="56"/>
      <w:bookmarkEnd w:id="57"/>
    </w:p>
    <w:p w14:paraId="661CFFC3" w14:textId="5E1C5623" w:rsidR="00CC64DC" w:rsidRDefault="00CC64DC" w:rsidP="00CC64DC">
      <w:r>
        <w:t>The following advisory notes are to be added to all licences authorising the operation of RRDs:</w:t>
      </w:r>
    </w:p>
    <w:p w14:paraId="018CBAEE" w14:textId="114D3247" w:rsidR="00CC64DC" w:rsidRDefault="00CC64DC" w:rsidP="001D295A">
      <w:pPr>
        <w:pStyle w:val="Heading4"/>
      </w:pPr>
      <w:r>
        <w:t>Point of contact</w:t>
      </w:r>
    </w:p>
    <w:p w14:paraId="09839CD8" w14:textId="22C1D9EE" w:rsidR="00CC64DC" w:rsidRDefault="61C08628" w:rsidP="00CC64DC">
      <w:pPr>
        <w:ind w:left="284"/>
      </w:pPr>
      <w:r w:rsidRPr="31EB50B1">
        <w:rPr>
          <w:i/>
          <w:iCs/>
        </w:rPr>
        <w:t xml:space="preserve">The designated point-of-contact </w:t>
      </w:r>
      <w:r w:rsidR="00D16416">
        <w:rPr>
          <w:i/>
          <w:iCs/>
        </w:rPr>
        <w:t xml:space="preserve">for </w:t>
      </w:r>
      <w:r w:rsidR="00210B53">
        <w:rPr>
          <w:i/>
          <w:iCs/>
        </w:rPr>
        <w:t>the</w:t>
      </w:r>
      <w:r w:rsidR="00D16416">
        <w:rPr>
          <w:i/>
          <w:iCs/>
        </w:rPr>
        <w:t xml:space="preserve"> resolution of</w:t>
      </w:r>
      <w:r w:rsidRPr="31EB50B1">
        <w:rPr>
          <w:i/>
          <w:iCs/>
        </w:rPr>
        <w:t xml:space="preserve"> </w:t>
      </w:r>
      <w:r w:rsidR="5F44DC80" w:rsidRPr="31EB50B1">
        <w:rPr>
          <w:i/>
          <w:iCs/>
        </w:rPr>
        <w:t xml:space="preserve">harmful </w:t>
      </w:r>
      <w:r w:rsidRPr="31EB50B1">
        <w:rPr>
          <w:i/>
          <w:iCs/>
        </w:rPr>
        <w:t>interference</w:t>
      </w:r>
      <w:r w:rsidR="00D16416">
        <w:rPr>
          <w:i/>
          <w:iCs/>
        </w:rPr>
        <w:t xml:space="preserve"> caused by a </w:t>
      </w:r>
      <w:r w:rsidR="001B6470">
        <w:rPr>
          <w:i/>
          <w:iCs/>
        </w:rPr>
        <w:t>radiocommunications transmitter</w:t>
      </w:r>
      <w:r w:rsidR="00D16416">
        <w:rPr>
          <w:i/>
          <w:iCs/>
        </w:rPr>
        <w:t xml:space="preserve"> authorised by this licence</w:t>
      </w:r>
      <w:r w:rsidRPr="31EB50B1">
        <w:rPr>
          <w:i/>
          <w:iCs/>
        </w:rPr>
        <w:t xml:space="preserve"> is XXXX</w:t>
      </w:r>
      <w:r w:rsidR="1BC9BF46" w:rsidRPr="31EB50B1">
        <w:rPr>
          <w:i/>
          <w:iCs/>
        </w:rPr>
        <w:t xml:space="preserve"> </w:t>
      </w:r>
      <w:r w:rsidRPr="31EB50B1">
        <w:rPr>
          <w:i/>
          <w:iCs/>
        </w:rPr>
        <w:t>(name) at XXXX</w:t>
      </w:r>
      <w:r w:rsidR="1BC9BF46" w:rsidRPr="31EB50B1">
        <w:rPr>
          <w:i/>
          <w:iCs/>
        </w:rPr>
        <w:t xml:space="preserve"> </w:t>
      </w:r>
      <w:r w:rsidRPr="31EB50B1">
        <w:rPr>
          <w:i/>
          <w:iCs/>
        </w:rPr>
        <w:t>(phone no).</w:t>
      </w:r>
      <w:r w:rsidRPr="31EB50B1">
        <w:t xml:space="preserve"> </w:t>
      </w:r>
    </w:p>
    <w:p w14:paraId="1924B1B2" w14:textId="603EB8C0" w:rsidR="00CC64DC" w:rsidRDefault="00CC64DC" w:rsidP="001D295A">
      <w:pPr>
        <w:pStyle w:val="Heading4"/>
      </w:pPr>
      <w:r>
        <w:t>System definition</w:t>
      </w:r>
    </w:p>
    <w:p w14:paraId="377EB8C2" w14:textId="0FE0AFF2" w:rsidR="00CC64DC" w:rsidRDefault="61C08628" w:rsidP="31EB50B1">
      <w:pPr>
        <w:ind w:left="284"/>
        <w:rPr>
          <w:i/>
          <w:iCs/>
          <w:lang w:eastAsia="en-US"/>
        </w:rPr>
      </w:pPr>
      <w:r w:rsidRPr="31EB50B1">
        <w:rPr>
          <w:i/>
          <w:iCs/>
          <w:lang w:eastAsia="en-US"/>
        </w:rPr>
        <w:t xml:space="preserve">This licence authorises XX </w:t>
      </w:r>
      <w:r w:rsidRPr="31EB50B1">
        <w:rPr>
          <w:i/>
          <w:iCs/>
        </w:rPr>
        <w:t>numbers</w:t>
      </w:r>
      <w:r w:rsidRPr="31EB50B1">
        <w:rPr>
          <w:i/>
          <w:iCs/>
          <w:lang w:eastAsia="en-US"/>
        </w:rPr>
        <w:t xml:space="preserve"> of RRDs to be operated at XX</w:t>
      </w:r>
      <w:r w:rsidR="1BC9BF46" w:rsidRPr="31EB50B1">
        <w:rPr>
          <w:i/>
          <w:iCs/>
          <w:lang w:eastAsia="en-US"/>
        </w:rPr>
        <w:t xml:space="preserve"> </w:t>
      </w:r>
      <w:r w:rsidRPr="31EB50B1">
        <w:rPr>
          <w:i/>
          <w:iCs/>
          <w:lang w:eastAsia="en-US"/>
        </w:rPr>
        <w:t>(location).</w:t>
      </w:r>
    </w:p>
    <w:p w14:paraId="40D049F9" w14:textId="069DBE66" w:rsidR="002234CC" w:rsidRDefault="00E3161C" w:rsidP="002234CC">
      <w:pPr>
        <w:pStyle w:val="Heading4"/>
      </w:pPr>
      <w:r>
        <w:t xml:space="preserve">Non-compliance of the </w:t>
      </w:r>
      <w:r w:rsidR="002E1DD8">
        <w:t>b</w:t>
      </w:r>
      <w:r>
        <w:t>oundary condition</w:t>
      </w:r>
    </w:p>
    <w:p w14:paraId="11B2AE8D" w14:textId="1B0C1FAE" w:rsidR="002234CC" w:rsidRDefault="1A18A53B" w:rsidP="31EB50B1">
      <w:pPr>
        <w:ind w:left="284"/>
        <w:rPr>
          <w:i/>
          <w:iCs/>
          <w:lang w:eastAsia="en-US"/>
        </w:rPr>
      </w:pPr>
      <w:r w:rsidRPr="31EB50B1">
        <w:rPr>
          <w:i/>
          <w:iCs/>
        </w:rPr>
        <w:t xml:space="preserve">Any malfunction, misalignment, or tampering of the equipment or </w:t>
      </w:r>
      <w:r w:rsidR="1F400C2C" w:rsidRPr="31EB50B1">
        <w:rPr>
          <w:i/>
          <w:iCs/>
        </w:rPr>
        <w:t xml:space="preserve">misalignment of </w:t>
      </w:r>
      <w:r w:rsidRPr="31EB50B1">
        <w:rPr>
          <w:i/>
          <w:iCs/>
        </w:rPr>
        <w:t xml:space="preserve">its location which results in an increased power spectral density </w:t>
      </w:r>
      <w:r w:rsidR="0BD4FF2F" w:rsidRPr="31EB50B1">
        <w:rPr>
          <w:i/>
          <w:iCs/>
        </w:rPr>
        <w:t xml:space="preserve">(as stated in the boundary condition) </w:t>
      </w:r>
      <w:r w:rsidRPr="31EB50B1">
        <w:rPr>
          <w:i/>
          <w:iCs/>
        </w:rPr>
        <w:t xml:space="preserve">outside the </w:t>
      </w:r>
      <w:r w:rsidR="1B813114" w:rsidRPr="31EB50B1">
        <w:rPr>
          <w:i/>
          <w:iCs/>
        </w:rPr>
        <w:t>intended service area</w:t>
      </w:r>
      <w:r w:rsidRPr="31EB50B1">
        <w:rPr>
          <w:i/>
          <w:iCs/>
        </w:rPr>
        <w:t xml:space="preserve"> could cause harmful radio frequency interference to RNSS receivers, including those in aircraft and/or ground based facilities</w:t>
      </w:r>
      <w:r w:rsidR="4AEC2F24" w:rsidRPr="31EB50B1">
        <w:rPr>
          <w:i/>
          <w:iCs/>
          <w:lang w:eastAsia="en-US"/>
        </w:rPr>
        <w:t>.</w:t>
      </w:r>
    </w:p>
    <w:p w14:paraId="691E578C" w14:textId="77777777" w:rsidR="00C37F1F" w:rsidRPr="00C37F1F" w:rsidRDefault="00C37F1F" w:rsidP="00C37F1F">
      <w:pPr>
        <w:rPr>
          <w:szCs w:val="22"/>
        </w:rPr>
      </w:pPr>
    </w:p>
    <w:p w14:paraId="5A0D5134" w14:textId="4CFE6F64" w:rsidR="00D60DFE" w:rsidRDefault="00040EB1" w:rsidP="00B91593">
      <w:pPr>
        <w:pStyle w:val="Heading1"/>
        <w:spacing w:before="120" w:after="120" w:line="240" w:lineRule="auto"/>
        <w:ind w:left="709" w:hanging="709"/>
      </w:pPr>
      <w:bookmarkStart w:id="58" w:name="_Toc200548978"/>
      <w:r w:rsidRPr="31EB50B1">
        <w:lastRenderedPageBreak/>
        <w:t>Additional</w:t>
      </w:r>
      <w:r w:rsidR="0A49FC83" w:rsidRPr="31EB50B1">
        <w:t xml:space="preserve"> guidance</w:t>
      </w:r>
      <w:bookmarkEnd w:id="58"/>
    </w:p>
    <w:p w14:paraId="103CB714" w14:textId="6ACA62C2" w:rsidR="00D60DFE" w:rsidRPr="00D60DFE" w:rsidRDefault="00D60DFE" w:rsidP="00B91593">
      <w:pPr>
        <w:pStyle w:val="Default"/>
        <w:spacing w:before="120" w:after="120"/>
        <w:rPr>
          <w:rFonts w:eastAsia="Times New Roman"/>
          <w:sz w:val="22"/>
          <w:szCs w:val="22"/>
          <w:lang w:val="en-GB" w:eastAsia="en-AU"/>
        </w:rPr>
      </w:pPr>
      <w:r w:rsidRPr="00D60DFE">
        <w:rPr>
          <w:rFonts w:eastAsia="Times New Roman"/>
          <w:sz w:val="22"/>
          <w:szCs w:val="22"/>
          <w:lang w:val="en-GB" w:eastAsia="en-AU"/>
        </w:rPr>
        <w:t xml:space="preserve">It is critical that the installation of RRDs </w:t>
      </w:r>
      <w:r w:rsidR="00354F61">
        <w:rPr>
          <w:rFonts w:eastAsia="Times New Roman"/>
          <w:sz w:val="22"/>
          <w:szCs w:val="22"/>
          <w:lang w:val="en-GB" w:eastAsia="en-AU"/>
        </w:rPr>
        <w:t>does</w:t>
      </w:r>
      <w:r w:rsidR="00354F61" w:rsidRPr="00D60DFE">
        <w:rPr>
          <w:rFonts w:eastAsia="Times New Roman"/>
          <w:sz w:val="22"/>
          <w:szCs w:val="22"/>
          <w:lang w:val="en-GB" w:eastAsia="en-AU"/>
        </w:rPr>
        <w:t xml:space="preserve"> </w:t>
      </w:r>
      <w:r w:rsidRPr="00D60DFE">
        <w:rPr>
          <w:rFonts w:eastAsia="Times New Roman"/>
          <w:sz w:val="22"/>
          <w:szCs w:val="22"/>
          <w:lang w:val="en-GB" w:eastAsia="en-AU"/>
        </w:rPr>
        <w:t xml:space="preserve">not cause any degradation of service for any period of time to RNSS receivers operating outside the service area. It is also critical that RRD placement and installation will minimise the geographic extent of the ‘handover’ area at the service area edge and that positioning integrity will be maintained within the service area. </w:t>
      </w:r>
      <w:r w:rsidR="00CD4C1F">
        <w:rPr>
          <w:rFonts w:eastAsia="Times New Roman"/>
          <w:sz w:val="22"/>
          <w:szCs w:val="22"/>
          <w:lang w:val="en-GB" w:eastAsia="en-AU"/>
        </w:rPr>
        <w:t>The</w:t>
      </w:r>
      <w:r w:rsidRPr="00D60DFE">
        <w:rPr>
          <w:rFonts w:eastAsia="Times New Roman"/>
          <w:sz w:val="22"/>
          <w:szCs w:val="22"/>
          <w:lang w:val="en-GB" w:eastAsia="en-AU"/>
        </w:rPr>
        <w:t xml:space="preserve"> conditions (including the incorporated standard) set out in Chapter 4 of this RALI </w:t>
      </w:r>
      <w:r w:rsidR="00CD4C1F">
        <w:rPr>
          <w:rFonts w:eastAsia="Times New Roman"/>
          <w:sz w:val="22"/>
          <w:szCs w:val="22"/>
          <w:lang w:val="en-GB" w:eastAsia="en-AU"/>
        </w:rPr>
        <w:t>are designed to achieve this goal</w:t>
      </w:r>
      <w:r w:rsidR="00354F61">
        <w:rPr>
          <w:rFonts w:eastAsia="Times New Roman"/>
          <w:sz w:val="22"/>
          <w:szCs w:val="22"/>
          <w:lang w:val="en-GB" w:eastAsia="en-AU"/>
        </w:rPr>
        <w:t>;</w:t>
      </w:r>
      <w:r w:rsidR="00354F61" w:rsidRPr="00D60DFE">
        <w:rPr>
          <w:rFonts w:eastAsia="Times New Roman"/>
          <w:sz w:val="22"/>
          <w:szCs w:val="22"/>
          <w:lang w:val="en-GB" w:eastAsia="en-AU"/>
        </w:rPr>
        <w:t xml:space="preserve"> </w:t>
      </w:r>
      <w:r w:rsidRPr="00D60DFE">
        <w:rPr>
          <w:rFonts w:eastAsia="Times New Roman"/>
          <w:sz w:val="22"/>
          <w:szCs w:val="22"/>
          <w:lang w:val="en-GB" w:eastAsia="en-AU"/>
        </w:rPr>
        <w:t>however</w:t>
      </w:r>
      <w:r w:rsidR="00A330D6">
        <w:rPr>
          <w:rFonts w:eastAsia="Times New Roman"/>
          <w:sz w:val="22"/>
          <w:szCs w:val="22"/>
          <w:lang w:val="en-GB" w:eastAsia="en-AU"/>
        </w:rPr>
        <w:t>,</w:t>
      </w:r>
      <w:r w:rsidRPr="00D60DFE">
        <w:rPr>
          <w:rFonts w:eastAsia="Times New Roman"/>
          <w:sz w:val="22"/>
          <w:szCs w:val="22"/>
          <w:lang w:val="en-GB" w:eastAsia="en-AU"/>
        </w:rPr>
        <w:t xml:space="preserve"> installation factors will influence </w:t>
      </w:r>
      <w:r w:rsidR="000B2088">
        <w:rPr>
          <w:rFonts w:eastAsia="Times New Roman"/>
          <w:sz w:val="22"/>
          <w:szCs w:val="22"/>
          <w:lang w:val="en-GB" w:eastAsia="en-AU"/>
        </w:rPr>
        <w:t>the extent to which</w:t>
      </w:r>
      <w:r w:rsidRPr="00D60DFE">
        <w:rPr>
          <w:rFonts w:eastAsia="Times New Roman"/>
          <w:sz w:val="22"/>
          <w:szCs w:val="22"/>
          <w:lang w:val="en-GB" w:eastAsia="en-AU"/>
        </w:rPr>
        <w:t xml:space="preserve"> these conditions </w:t>
      </w:r>
      <w:r w:rsidR="000B2088">
        <w:rPr>
          <w:rFonts w:eastAsia="Times New Roman"/>
          <w:sz w:val="22"/>
          <w:szCs w:val="22"/>
          <w:lang w:val="en-GB" w:eastAsia="en-AU"/>
        </w:rPr>
        <w:t xml:space="preserve">are </w:t>
      </w:r>
      <w:r w:rsidRPr="00D60DFE">
        <w:rPr>
          <w:rFonts w:eastAsia="Times New Roman"/>
          <w:sz w:val="22"/>
          <w:szCs w:val="22"/>
          <w:lang w:val="en-GB" w:eastAsia="en-AU"/>
        </w:rPr>
        <w:t>met. The following is intended to be read as guidance to help meet these conditions</w:t>
      </w:r>
      <w:r w:rsidR="00586FF6">
        <w:rPr>
          <w:rFonts w:eastAsia="Times New Roman"/>
          <w:sz w:val="22"/>
          <w:szCs w:val="22"/>
          <w:lang w:val="en-GB" w:eastAsia="en-AU"/>
        </w:rPr>
        <w:t xml:space="preserve"> and</w:t>
      </w:r>
      <w:r w:rsidRPr="00D60DFE">
        <w:rPr>
          <w:rFonts w:eastAsia="Times New Roman"/>
          <w:sz w:val="22"/>
          <w:szCs w:val="22"/>
          <w:lang w:val="en-GB" w:eastAsia="en-AU"/>
        </w:rPr>
        <w:t xml:space="preserve"> is neither mandatory nor can following it be considered as a replacement for meeting the conditions</w:t>
      </w:r>
      <w:r w:rsidR="00471CE8">
        <w:rPr>
          <w:rFonts w:eastAsia="Times New Roman"/>
          <w:sz w:val="22"/>
          <w:szCs w:val="22"/>
          <w:lang w:val="en-GB" w:eastAsia="en-AU"/>
        </w:rPr>
        <w:t xml:space="preserve"> in </w:t>
      </w:r>
      <w:r w:rsidR="00F164D3">
        <w:rPr>
          <w:rFonts w:eastAsia="Times New Roman"/>
          <w:sz w:val="22"/>
          <w:szCs w:val="22"/>
          <w:lang w:val="en-GB" w:eastAsia="en-AU"/>
        </w:rPr>
        <w:t>Chapter</w:t>
      </w:r>
      <w:r w:rsidR="00471CE8">
        <w:rPr>
          <w:rFonts w:eastAsia="Times New Roman"/>
          <w:sz w:val="22"/>
          <w:szCs w:val="22"/>
          <w:lang w:val="en-GB" w:eastAsia="en-AU"/>
        </w:rPr>
        <w:t xml:space="preserve"> 4</w:t>
      </w:r>
      <w:r w:rsidR="00A330D6">
        <w:rPr>
          <w:rFonts w:eastAsia="Times New Roman"/>
          <w:sz w:val="22"/>
          <w:szCs w:val="22"/>
          <w:lang w:val="en-GB" w:eastAsia="en-AU"/>
        </w:rPr>
        <w:t>, when included on a licence</w:t>
      </w:r>
      <w:r w:rsidRPr="00D60DFE">
        <w:rPr>
          <w:rFonts w:eastAsia="Times New Roman"/>
          <w:sz w:val="22"/>
          <w:szCs w:val="22"/>
          <w:lang w:val="en-GB" w:eastAsia="en-AU"/>
        </w:rPr>
        <w:t>.</w:t>
      </w:r>
    </w:p>
    <w:p w14:paraId="04483158" w14:textId="2E661D76" w:rsidR="00D60DFE" w:rsidRPr="00D60DFE" w:rsidRDefault="00D60DFE" w:rsidP="00B91593">
      <w:pPr>
        <w:pStyle w:val="Default"/>
        <w:spacing w:before="120" w:after="120"/>
        <w:rPr>
          <w:rFonts w:eastAsia="Times New Roman"/>
          <w:sz w:val="22"/>
          <w:szCs w:val="22"/>
          <w:lang w:val="en-GB" w:eastAsia="en-AU"/>
        </w:rPr>
      </w:pPr>
      <w:r w:rsidRPr="00D60DFE">
        <w:rPr>
          <w:rFonts w:eastAsia="Times New Roman"/>
          <w:sz w:val="22"/>
          <w:szCs w:val="22"/>
          <w:lang w:val="en-GB" w:eastAsia="en-AU"/>
        </w:rPr>
        <w:t>The ‘handover’ area refers to the interface between the service area and the outside area served by RNSS satellites (i</w:t>
      </w:r>
      <w:r w:rsidR="00173C99">
        <w:rPr>
          <w:rFonts w:eastAsia="Times New Roman"/>
          <w:sz w:val="22"/>
          <w:szCs w:val="22"/>
          <w:lang w:val="en-GB" w:eastAsia="en-AU"/>
        </w:rPr>
        <w:t>.</w:t>
      </w:r>
      <w:r w:rsidRPr="00D60DFE">
        <w:rPr>
          <w:rFonts w:eastAsia="Times New Roman"/>
          <w:sz w:val="22"/>
          <w:szCs w:val="22"/>
          <w:lang w:val="en-GB" w:eastAsia="en-AU"/>
        </w:rPr>
        <w:t>e. ‘normal’ RNSS operation). By definition, RRDs transmit on the same frequencies as RNSS, so there is a geographic point at which the signal</w:t>
      </w:r>
      <w:r w:rsidR="00E663F9">
        <w:rPr>
          <w:rFonts w:eastAsia="Times New Roman"/>
          <w:sz w:val="22"/>
          <w:szCs w:val="22"/>
          <w:lang w:val="en-GB" w:eastAsia="en-AU"/>
        </w:rPr>
        <w:t xml:space="preserve"> level</w:t>
      </w:r>
      <w:r w:rsidRPr="00D60DFE">
        <w:rPr>
          <w:rFonts w:eastAsia="Times New Roman"/>
          <w:sz w:val="22"/>
          <w:szCs w:val="22"/>
          <w:lang w:val="en-GB" w:eastAsia="en-AU"/>
        </w:rPr>
        <w:t xml:space="preserve">s from the RRD and RNSS satellites will be roughly equal and RNSS reception is likely to be adversely affected. Adherence to the boundary conditions set out in </w:t>
      </w:r>
      <w:r w:rsidR="00F37872">
        <w:rPr>
          <w:rFonts w:eastAsia="Times New Roman"/>
          <w:sz w:val="22"/>
          <w:szCs w:val="22"/>
          <w:lang w:val="en-GB" w:eastAsia="en-AU"/>
        </w:rPr>
        <w:t xml:space="preserve">Chapter </w:t>
      </w:r>
      <w:r w:rsidRPr="00D60DFE">
        <w:rPr>
          <w:rFonts w:eastAsia="Times New Roman"/>
          <w:sz w:val="22"/>
          <w:szCs w:val="22"/>
          <w:lang w:val="en-GB" w:eastAsia="en-AU"/>
        </w:rPr>
        <w:t>4</w:t>
      </w:r>
      <w:r w:rsidR="006143CD">
        <w:rPr>
          <w:rFonts w:eastAsia="Times New Roman"/>
          <w:sz w:val="22"/>
          <w:szCs w:val="22"/>
          <w:lang w:val="en-GB" w:eastAsia="en-AU"/>
        </w:rPr>
        <w:t>.</w:t>
      </w:r>
      <w:r w:rsidR="008923F1">
        <w:rPr>
          <w:rFonts w:eastAsia="Times New Roman"/>
          <w:sz w:val="22"/>
          <w:szCs w:val="22"/>
          <w:lang w:val="en-GB" w:eastAsia="en-AU"/>
        </w:rPr>
        <w:t>7.1</w:t>
      </w:r>
      <w:r w:rsidRPr="00D60DFE">
        <w:rPr>
          <w:rFonts w:eastAsia="Times New Roman"/>
          <w:sz w:val="22"/>
          <w:szCs w:val="22"/>
          <w:lang w:val="en-GB" w:eastAsia="en-AU"/>
        </w:rPr>
        <w:t>.2 should ensure that the handover area is confined to within the service area</w:t>
      </w:r>
      <w:r w:rsidR="004E185E">
        <w:rPr>
          <w:rFonts w:eastAsia="Times New Roman"/>
          <w:sz w:val="22"/>
          <w:szCs w:val="22"/>
          <w:lang w:val="en-GB" w:eastAsia="en-AU"/>
        </w:rPr>
        <w:t>.</w:t>
      </w:r>
      <w:r w:rsidR="00471CE8" w:rsidRPr="00471CE8">
        <w:rPr>
          <w:rFonts w:eastAsia="Times New Roman"/>
          <w:sz w:val="22"/>
          <w:szCs w:val="22"/>
          <w:lang w:val="en-GB" w:eastAsia="en-AU"/>
        </w:rPr>
        <w:t xml:space="preserve"> </w:t>
      </w:r>
      <w:r w:rsidR="004E185E">
        <w:rPr>
          <w:rFonts w:eastAsia="Times New Roman"/>
          <w:sz w:val="22"/>
          <w:szCs w:val="22"/>
          <w:lang w:val="en-GB" w:eastAsia="en-AU"/>
        </w:rPr>
        <w:t>F</w:t>
      </w:r>
      <w:r w:rsidR="00471CE8" w:rsidRPr="00D60DFE">
        <w:rPr>
          <w:rFonts w:eastAsia="Times New Roman"/>
          <w:sz w:val="22"/>
          <w:szCs w:val="22"/>
          <w:lang w:val="en-GB" w:eastAsia="en-AU"/>
        </w:rPr>
        <w:t xml:space="preserve">or example, in a tunnel, this would be somewhere close to (but inside) </w:t>
      </w:r>
      <w:r w:rsidR="00D47C75" w:rsidRPr="00D60DFE">
        <w:rPr>
          <w:rFonts w:eastAsia="Times New Roman"/>
          <w:sz w:val="22"/>
          <w:szCs w:val="22"/>
          <w:lang w:val="en-GB" w:eastAsia="en-AU"/>
        </w:rPr>
        <w:t>either end</w:t>
      </w:r>
      <w:r w:rsidR="00471CE8" w:rsidRPr="00D60DFE">
        <w:rPr>
          <w:rFonts w:eastAsia="Times New Roman"/>
          <w:sz w:val="22"/>
          <w:szCs w:val="22"/>
          <w:lang w:val="en-GB" w:eastAsia="en-AU"/>
        </w:rPr>
        <w:t xml:space="preserve"> of the tunnel opening</w:t>
      </w:r>
      <w:r w:rsidR="00211C1E">
        <w:rPr>
          <w:rFonts w:eastAsia="Times New Roman"/>
          <w:sz w:val="22"/>
          <w:szCs w:val="22"/>
          <w:lang w:val="en-GB" w:eastAsia="en-AU"/>
        </w:rPr>
        <w:t>.</w:t>
      </w:r>
      <w:r w:rsidRPr="00D60DFE">
        <w:rPr>
          <w:rFonts w:eastAsia="Times New Roman"/>
          <w:sz w:val="22"/>
          <w:szCs w:val="22"/>
          <w:lang w:val="en-GB" w:eastAsia="en-AU"/>
        </w:rPr>
        <w:t xml:space="preserve"> </w:t>
      </w:r>
      <w:r w:rsidR="00211C1E">
        <w:rPr>
          <w:rFonts w:eastAsia="Times New Roman"/>
          <w:sz w:val="22"/>
          <w:szCs w:val="22"/>
          <w:lang w:val="en-GB" w:eastAsia="en-AU"/>
        </w:rPr>
        <w:t>I</w:t>
      </w:r>
      <w:r w:rsidRPr="00D60DFE">
        <w:rPr>
          <w:rFonts w:eastAsia="Times New Roman"/>
          <w:sz w:val="22"/>
          <w:szCs w:val="22"/>
          <w:lang w:val="en-GB" w:eastAsia="en-AU"/>
        </w:rPr>
        <w:t>mplementation should also be conducive to the minimisation of this handover area, which will be a function of the positioning and number of RRDs within the service area.</w:t>
      </w:r>
    </w:p>
    <w:p w14:paraId="60999D7C" w14:textId="54851630" w:rsidR="00D60DFE" w:rsidRPr="00D60DFE" w:rsidRDefault="00D60DFE" w:rsidP="00B91593">
      <w:pPr>
        <w:pStyle w:val="Default"/>
        <w:spacing w:before="120" w:after="120"/>
        <w:rPr>
          <w:rFonts w:eastAsia="Times New Roman"/>
          <w:sz w:val="22"/>
          <w:szCs w:val="22"/>
          <w:lang w:val="en-GB" w:eastAsia="en-AU"/>
        </w:rPr>
      </w:pPr>
      <w:r w:rsidRPr="00D60DFE">
        <w:rPr>
          <w:rFonts w:eastAsia="Times New Roman"/>
          <w:sz w:val="22"/>
          <w:szCs w:val="22"/>
          <w:lang w:val="en-GB" w:eastAsia="en-AU"/>
        </w:rPr>
        <w:t xml:space="preserve">Adherence to boundary conditions will also </w:t>
      </w:r>
      <w:r w:rsidR="00211C1E">
        <w:rPr>
          <w:rFonts w:eastAsia="Times New Roman"/>
          <w:sz w:val="22"/>
          <w:szCs w:val="22"/>
          <w:lang w:val="en-GB" w:eastAsia="en-AU"/>
        </w:rPr>
        <w:t>minimise the risk of</w:t>
      </w:r>
      <w:r w:rsidRPr="00D60DFE">
        <w:rPr>
          <w:rFonts w:eastAsia="Times New Roman"/>
          <w:sz w:val="22"/>
          <w:szCs w:val="22"/>
          <w:lang w:val="en-GB" w:eastAsia="en-AU"/>
        </w:rPr>
        <w:t xml:space="preserve"> interference to RNSS receivers outside the service area occur</w:t>
      </w:r>
      <w:r w:rsidR="00211C1E">
        <w:rPr>
          <w:rFonts w:eastAsia="Times New Roman"/>
          <w:sz w:val="22"/>
          <w:szCs w:val="22"/>
          <w:lang w:val="en-GB" w:eastAsia="en-AU"/>
        </w:rPr>
        <w:t>ring. To lower the risk of interference</w:t>
      </w:r>
      <w:r w:rsidR="009C01E3">
        <w:rPr>
          <w:rFonts w:eastAsia="Times New Roman"/>
          <w:sz w:val="22"/>
          <w:szCs w:val="22"/>
          <w:lang w:val="en-GB" w:eastAsia="en-AU"/>
        </w:rPr>
        <w:t>,</w:t>
      </w:r>
      <w:r w:rsidR="00211C1E">
        <w:rPr>
          <w:rFonts w:eastAsia="Times New Roman"/>
          <w:sz w:val="22"/>
          <w:szCs w:val="22"/>
          <w:lang w:val="en-GB" w:eastAsia="en-AU"/>
        </w:rPr>
        <w:t xml:space="preserve"> </w:t>
      </w:r>
      <w:r w:rsidRPr="00D60DFE">
        <w:rPr>
          <w:rFonts w:eastAsia="Times New Roman"/>
          <w:sz w:val="22"/>
          <w:szCs w:val="22"/>
          <w:lang w:val="en-GB" w:eastAsia="en-AU"/>
        </w:rPr>
        <w:t xml:space="preserve">RRD </w:t>
      </w:r>
      <w:r w:rsidR="00726269">
        <w:rPr>
          <w:rFonts w:eastAsia="Times New Roman"/>
          <w:sz w:val="22"/>
          <w:szCs w:val="22"/>
          <w:lang w:val="en-GB" w:eastAsia="en-AU"/>
        </w:rPr>
        <w:t>operators</w:t>
      </w:r>
      <w:r w:rsidR="00726269" w:rsidRPr="00D60DFE">
        <w:rPr>
          <w:rFonts w:eastAsia="Times New Roman"/>
          <w:sz w:val="22"/>
          <w:szCs w:val="22"/>
          <w:lang w:val="en-GB" w:eastAsia="en-AU"/>
        </w:rPr>
        <w:t xml:space="preserve"> </w:t>
      </w:r>
      <w:r w:rsidRPr="00D60DFE">
        <w:rPr>
          <w:rFonts w:eastAsia="Times New Roman"/>
          <w:sz w:val="22"/>
          <w:szCs w:val="22"/>
          <w:lang w:val="en-GB" w:eastAsia="en-AU"/>
        </w:rPr>
        <w:t>should consider:</w:t>
      </w:r>
    </w:p>
    <w:p w14:paraId="003B97CF" w14:textId="1A7B0408" w:rsidR="00D60DFE" w:rsidRPr="00D60DFE" w:rsidRDefault="00DE0B0A" w:rsidP="000D1431">
      <w:pPr>
        <w:pStyle w:val="ListBullet"/>
      </w:pPr>
      <w:r>
        <w:rPr>
          <w:lang w:val="en-GB"/>
        </w:rPr>
        <w:t>A</w:t>
      </w:r>
      <w:r w:rsidR="00726269">
        <w:rPr>
          <w:lang w:val="en-GB"/>
        </w:rPr>
        <w:t>n</w:t>
      </w:r>
      <w:r>
        <w:rPr>
          <w:lang w:val="en-GB"/>
        </w:rPr>
        <w:t xml:space="preserve"> </w:t>
      </w:r>
      <w:r w:rsidR="00D60DFE" w:rsidRPr="00D60DFE">
        <w:rPr>
          <w:lang w:val="en-GB"/>
        </w:rPr>
        <w:t>RRD network design that places RRD transmit antennas as close as possible to the areas that are intended to be served, so as to enable minimal RRD transmission power. This may necessitate that multiple lower power RRDs are used instead of a smaller number of higher power</w:t>
      </w:r>
      <w:r w:rsidR="00726269">
        <w:rPr>
          <w:lang w:val="en-GB"/>
        </w:rPr>
        <w:t>ed</w:t>
      </w:r>
      <w:r w:rsidR="00D60DFE" w:rsidRPr="00D60DFE">
        <w:rPr>
          <w:lang w:val="en-GB"/>
        </w:rPr>
        <w:t xml:space="preserve"> RRDs.</w:t>
      </w:r>
    </w:p>
    <w:p w14:paraId="75FC5B92" w14:textId="15956AD0" w:rsidR="00471CE8" w:rsidRDefault="2E7A4147" w:rsidP="000D1431">
      <w:pPr>
        <w:pStyle w:val="ListBullet"/>
      </w:pPr>
      <w:r w:rsidRPr="31EB50B1">
        <w:t>T</w:t>
      </w:r>
      <w:r w:rsidR="0A49FC83" w:rsidRPr="31EB50B1">
        <w:t>hrough-building attenuation varies by building materials and other construction factors</w:t>
      </w:r>
      <w:r w:rsidRPr="31EB50B1">
        <w:t>. D</w:t>
      </w:r>
      <w:r w:rsidR="0A49FC83" w:rsidRPr="31EB50B1">
        <w:t>epending on RRD positioning, this might not be sufficient to meet the prescribed boundary conditions</w:t>
      </w:r>
      <w:r w:rsidR="05C88755" w:rsidRPr="31EB50B1">
        <w:t xml:space="preserve"> in all cases</w:t>
      </w:r>
      <w:r w:rsidR="0A49FC83" w:rsidRPr="31EB50B1">
        <w:t>, especially considering that doors and window</w:t>
      </w:r>
      <w:r w:rsidR="65717594" w:rsidRPr="31EB50B1">
        <w:t>s</w:t>
      </w:r>
      <w:r w:rsidR="0A49FC83" w:rsidRPr="31EB50B1">
        <w:t xml:space="preserve">, for example, </w:t>
      </w:r>
      <w:r w:rsidR="7201F7E4" w:rsidRPr="31EB50B1">
        <w:t xml:space="preserve">usually </w:t>
      </w:r>
      <w:r w:rsidR="0A49FC83" w:rsidRPr="31EB50B1">
        <w:t xml:space="preserve">provide considerably less through-building attenuation than solid walls. </w:t>
      </w:r>
    </w:p>
    <w:p w14:paraId="0F1DFABA" w14:textId="521ADEEF" w:rsidR="00D60DFE" w:rsidRPr="00D60DFE" w:rsidRDefault="0A49FC83" w:rsidP="000D1431">
      <w:pPr>
        <w:pStyle w:val="ListBullet"/>
      </w:pPr>
      <w:r w:rsidRPr="31EB50B1">
        <w:t xml:space="preserve">Use of antenna (inwards) directivity, RRD placement as far away as possible from boundaries and/or the application </w:t>
      </w:r>
      <w:r w:rsidR="05C88755" w:rsidRPr="31EB50B1">
        <w:t>of</w:t>
      </w:r>
      <w:r w:rsidRPr="31EB50B1">
        <w:t xml:space="preserve"> additional boundary RF attenuation or shielding might help further ensure adherence to the boundary conditions.</w:t>
      </w:r>
    </w:p>
    <w:p w14:paraId="6F4048FB" w14:textId="59609065" w:rsidR="00D60DFE" w:rsidRPr="00D60DFE" w:rsidRDefault="0A49FC83" w:rsidP="004146B3">
      <w:pPr>
        <w:pStyle w:val="ListBullet"/>
      </w:pPr>
      <w:r w:rsidRPr="31EB50B1">
        <w:t xml:space="preserve">Cabling loss of up to 3 dB is factored into the total RRD system gain. Any loss greater than 3 dB will limit the effective area of each RRD. Spacing between the RRD receive and transmit antennas should be sufficient to ensure the device operates correctly (noting the need to have good visibility of the sky for the receive antenna), but close enough to minimise cabling loss. Similarly, cabling loss can be minimised through the use </w:t>
      </w:r>
      <w:r w:rsidR="2DA35F74" w:rsidRPr="31EB50B1">
        <w:t xml:space="preserve">of </w:t>
      </w:r>
      <w:r w:rsidRPr="31EB50B1">
        <w:t>high quality, low loss cables.</w:t>
      </w:r>
    </w:p>
    <w:p w14:paraId="21CF559C" w14:textId="5732FC7E" w:rsidR="004A13A7" w:rsidRPr="008C3D36" w:rsidRDefault="004A13A7" w:rsidP="00B91593">
      <w:pPr>
        <w:pStyle w:val="Heading1"/>
        <w:spacing w:before="120" w:after="120" w:line="240" w:lineRule="auto"/>
        <w:ind w:left="709" w:hanging="709"/>
      </w:pPr>
      <w:bookmarkStart w:id="59" w:name="_Toc200548979"/>
      <w:r w:rsidRPr="008C3D36">
        <w:lastRenderedPageBreak/>
        <w:t>RALI Authorisation</w:t>
      </w:r>
      <w:bookmarkEnd w:id="21"/>
      <w:bookmarkEnd w:id="22"/>
      <w:bookmarkEnd w:id="59"/>
    </w:p>
    <w:p w14:paraId="2A13FCCB" w14:textId="278F0617" w:rsidR="004A13A7" w:rsidRPr="00AF06C8" w:rsidRDefault="32EF5E0D" w:rsidP="00B91593">
      <w:pPr>
        <w:spacing w:before="120" w:after="120" w:line="240" w:lineRule="auto"/>
      </w:pPr>
      <w:r w:rsidRPr="31EB50B1">
        <w:t>[</w:t>
      </w:r>
      <w:r w:rsidR="76C6943E" w:rsidRPr="006F5F9D">
        <w:rPr>
          <w:strike/>
        </w:rPr>
        <w:t>Not</w:t>
      </w:r>
      <w:r w:rsidR="76C6943E" w:rsidRPr="31EB50B1">
        <w:t xml:space="preserve"> </w:t>
      </w:r>
      <w:r w:rsidR="3A00B44E" w:rsidRPr="31EB50B1">
        <w:t>Approved</w:t>
      </w:r>
      <w:r w:rsidRPr="31EB50B1">
        <w:t xml:space="preserve">]     </w:t>
      </w:r>
      <w:r>
        <w:tab/>
      </w:r>
      <w:r w:rsidR="006F5F9D">
        <w:t>25</w:t>
      </w:r>
      <w:r w:rsidR="0A49FC83" w:rsidRPr="31EB50B1">
        <w:t>/</w:t>
      </w:r>
      <w:r w:rsidR="006F5F9D">
        <w:t>06</w:t>
      </w:r>
      <w:r w:rsidRPr="31EB50B1">
        <w:t>/20</w:t>
      </w:r>
      <w:r w:rsidR="6DE21BCB" w:rsidRPr="31EB50B1">
        <w:t>2</w:t>
      </w:r>
      <w:r w:rsidR="26A04B1F" w:rsidRPr="31EB50B1">
        <w:t>5</w:t>
      </w:r>
    </w:p>
    <w:p w14:paraId="5BD5B749" w14:textId="77777777" w:rsidR="004A13A7" w:rsidRPr="00AF06C8" w:rsidRDefault="004A13A7" w:rsidP="00B91593">
      <w:pPr>
        <w:spacing w:before="120" w:after="120" w:line="240" w:lineRule="auto"/>
        <w:rPr>
          <w:szCs w:val="22"/>
        </w:rPr>
      </w:pPr>
    </w:p>
    <w:p w14:paraId="30E5468F" w14:textId="77777777" w:rsidR="004A13A7" w:rsidRPr="00AF06C8" w:rsidRDefault="004A13A7" w:rsidP="00B91593">
      <w:pPr>
        <w:spacing w:before="120" w:after="120" w:line="240" w:lineRule="auto"/>
        <w:rPr>
          <w:szCs w:val="22"/>
        </w:rPr>
      </w:pPr>
    </w:p>
    <w:p w14:paraId="66D0AA06" w14:textId="14FE5391" w:rsidR="004A13A7" w:rsidRPr="00AF06C8" w:rsidRDefault="004A13A7" w:rsidP="00B91593">
      <w:pPr>
        <w:spacing w:before="120" w:after="120" w:line="240" w:lineRule="auto"/>
        <w:rPr>
          <w:szCs w:val="22"/>
        </w:rPr>
      </w:pPr>
      <w:r w:rsidRPr="00AF06C8">
        <w:rPr>
          <w:szCs w:val="22"/>
        </w:rPr>
        <w:br/>
        <w:t>Manager</w:t>
      </w:r>
      <w:r w:rsidRPr="00AF06C8">
        <w:rPr>
          <w:szCs w:val="22"/>
        </w:rPr>
        <w:br/>
      </w:r>
      <w:r w:rsidR="006E0553">
        <w:rPr>
          <w:szCs w:val="22"/>
        </w:rPr>
        <w:t>S</w:t>
      </w:r>
      <w:r w:rsidR="00BA3382">
        <w:rPr>
          <w:szCs w:val="22"/>
        </w:rPr>
        <w:t>pectrum</w:t>
      </w:r>
      <w:r w:rsidR="006E0553">
        <w:rPr>
          <w:szCs w:val="22"/>
        </w:rPr>
        <w:t xml:space="preserve"> </w:t>
      </w:r>
      <w:r w:rsidR="00471CE8">
        <w:rPr>
          <w:szCs w:val="22"/>
        </w:rPr>
        <w:t>Planning</w:t>
      </w:r>
      <w:r w:rsidR="00471CE8" w:rsidRPr="00AF06C8">
        <w:rPr>
          <w:szCs w:val="22"/>
        </w:rPr>
        <w:t xml:space="preserve"> </w:t>
      </w:r>
      <w:r w:rsidRPr="00AF06C8">
        <w:rPr>
          <w:szCs w:val="22"/>
        </w:rPr>
        <w:t>Section</w:t>
      </w:r>
      <w:r w:rsidRPr="00AF06C8">
        <w:rPr>
          <w:szCs w:val="22"/>
        </w:rPr>
        <w:br/>
        <w:t>Spectrum Planning and Engineering Branch</w:t>
      </w:r>
    </w:p>
    <w:p w14:paraId="29F6E7D9" w14:textId="6D4142C0" w:rsidR="004A13A7" w:rsidRDefault="004A13A7" w:rsidP="00B91593">
      <w:pPr>
        <w:spacing w:before="120" w:after="120" w:line="240" w:lineRule="auto"/>
        <w:rPr>
          <w:szCs w:val="22"/>
        </w:rPr>
      </w:pPr>
      <w:r w:rsidRPr="00AF06C8">
        <w:rPr>
          <w:szCs w:val="22"/>
        </w:rPr>
        <w:t>Communications Infrastructure Division</w:t>
      </w:r>
      <w:r w:rsidRPr="00AF06C8">
        <w:rPr>
          <w:szCs w:val="22"/>
        </w:rPr>
        <w:br/>
        <w:t>Australian Communications and Media Authority</w:t>
      </w:r>
    </w:p>
    <w:p w14:paraId="6619CDBB" w14:textId="77777777" w:rsidR="00ED402D" w:rsidRPr="00AF06C8" w:rsidRDefault="00ED402D" w:rsidP="00B91593">
      <w:pPr>
        <w:spacing w:before="120" w:after="120" w:line="240" w:lineRule="auto"/>
        <w:rPr>
          <w:szCs w:val="22"/>
        </w:rPr>
      </w:pPr>
    </w:p>
    <w:sectPr w:rsidR="00ED402D" w:rsidRPr="00AF06C8" w:rsidSect="00D60DFE">
      <w:headerReference w:type="default" r:id="rId20"/>
      <w:footerReference w:type="even" r:id="rId21"/>
      <w:footerReference w:type="default" r:id="rId22"/>
      <w:type w:val="oddPage"/>
      <w:pgSz w:w="11906" w:h="16838" w:code="9"/>
      <w:pgMar w:top="1945" w:right="3101" w:bottom="1134" w:left="1134"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C346" w14:textId="77777777" w:rsidR="008938F7" w:rsidRDefault="008938F7">
      <w:r>
        <w:separator/>
      </w:r>
    </w:p>
  </w:endnote>
  <w:endnote w:type="continuationSeparator" w:id="0">
    <w:p w14:paraId="7F352B69" w14:textId="77777777" w:rsidR="008938F7" w:rsidRDefault="008938F7">
      <w:r>
        <w:continuationSeparator/>
      </w:r>
    </w:p>
  </w:endnote>
  <w:endnote w:type="continuationNotice" w:id="1">
    <w:p w14:paraId="6C275726" w14:textId="77777777" w:rsidR="008938F7" w:rsidRDefault="008938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BFB" w14:textId="3C95119A" w:rsidR="005C2226" w:rsidRPr="00F012AE" w:rsidRDefault="005C2226" w:rsidP="00A07457">
    <w:pPr>
      <w:pStyle w:val="Footer"/>
      <w:framePr w:w="1334" w:h="357" w:hRule="exact" w:vSpace="425" w:wrap="around" w:vAnchor="page" w:hAnchor="page" w:x="1220" w:y="15984"/>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MS</w:t>
    </w:r>
    <w:r w:rsidRPr="00F012AE">
      <w:rPr>
        <w:rFonts w:cs="Arial"/>
        <w:noProof/>
        <w:spacing w:val="-16"/>
        <w:sz w:val="20"/>
        <w:szCs w:val="20"/>
      </w:rPr>
      <w:t xml:space="preserve"> </w:t>
    </w:r>
    <w:r>
      <w:rPr>
        <w:rFonts w:cs="Arial"/>
        <w:noProof/>
        <w:spacing w:val="-16"/>
        <w:sz w:val="20"/>
        <w:szCs w:val="20"/>
      </w:rPr>
      <w:t xml:space="preserve"> </w:t>
    </w:r>
    <w:r w:rsidR="00881ED0">
      <w:rPr>
        <w:rFonts w:cs="Arial"/>
        <w:noProof/>
        <w:spacing w:val="-16"/>
        <w:sz w:val="20"/>
        <w:szCs w:val="20"/>
      </w:rPr>
      <w:t>49</w:t>
    </w:r>
  </w:p>
  <w:p w14:paraId="6E193A3F" w14:textId="77777777" w:rsidR="005C2226" w:rsidRPr="00822B3D" w:rsidRDefault="005C2226" w:rsidP="00A07457">
    <w:pPr>
      <w:pStyle w:val="Footer"/>
      <w:tabs>
        <w:tab w:val="left" w:pos="1070"/>
      </w:tabs>
    </w:pPr>
    <w:r>
      <w:tab/>
    </w:r>
    <w:r>
      <w:tab/>
    </w:r>
    <w:r>
      <w:tab/>
    </w:r>
    <w:r>
      <w:tab/>
    </w:r>
    <w:r>
      <w:tab/>
    </w:r>
    <w:r>
      <w:tab/>
    </w:r>
    <w:r>
      <w:tab/>
    </w:r>
    <w:r>
      <w:tab/>
    </w:r>
    <w:r>
      <w:tab/>
    </w:r>
    <w:r>
      <w:tab/>
    </w:r>
    <w:r>
      <w:tab/>
    </w:r>
    <w:r>
      <w:tab/>
    </w:r>
    <w:r>
      <w:tab/>
    </w:r>
    <w:r>
      <w:tab/>
    </w:r>
    <w:r>
      <w:tab/>
    </w:r>
    <w:r>
      <w:tab/>
    </w:r>
    <w:r>
      <w:tab/>
    </w:r>
    <w:r>
      <w:tab/>
    </w:r>
  </w:p>
  <w:p w14:paraId="58DC754D" w14:textId="77777777" w:rsidR="005C2226" w:rsidRPr="006A18C6" w:rsidRDefault="005C2226" w:rsidP="00A07457">
    <w:pPr>
      <w:pStyle w:val="Footer"/>
    </w:pPr>
  </w:p>
  <w:p w14:paraId="0F58A977" w14:textId="77777777" w:rsidR="005C2226" w:rsidRPr="00622A3B" w:rsidRDefault="005C2226" w:rsidP="008D77CC">
    <w:pPr>
      <w:pStyle w:val="Footer"/>
      <w:framePr w:w="1334" w:h="357" w:hRule="exact" w:vSpace="425" w:wrap="around" w:vAnchor="page" w:hAnchor="page" w:x="7831" w:y="15991"/>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rPr>
        <w:noProof/>
      </w:rPr>
      <w:t>iii</w:t>
    </w:r>
    <w:r>
      <w:rPr>
        <w:noProof/>
      </w:rPr>
      <w:fldChar w:fldCharType="end"/>
    </w:r>
  </w:p>
  <w:p w14:paraId="180FDAE2" w14:textId="7BA69588" w:rsidR="005C2226" w:rsidRPr="00A07457" w:rsidRDefault="005C2226" w:rsidP="00A07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5E76" w14:textId="29FD8FFE" w:rsidR="005C2226" w:rsidRPr="00622A3B" w:rsidRDefault="005C2226" w:rsidP="008D77CC">
    <w:pPr>
      <w:pStyle w:val="Footer"/>
      <w:framePr w:w="1334" w:h="357" w:hRule="exact" w:vSpace="425" w:wrap="around" w:vAnchor="page" w:hAnchor="page" w:x="1156" w:y="1612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rPr>
        <w:noProof/>
      </w:rPr>
      <w:t>ii</w:t>
    </w:r>
    <w:r>
      <w:rPr>
        <w:noProof/>
      </w:rPr>
      <w:fldChar w:fldCharType="end"/>
    </w:r>
  </w:p>
  <w:p w14:paraId="3D1B3F85" w14:textId="77777777" w:rsidR="005C2226" w:rsidRDefault="005C2226" w:rsidP="00A07457">
    <w:pPr>
      <w:pStyle w:val="Footer"/>
      <w:tabs>
        <w:tab w:val="clear" w:pos="113"/>
        <w:tab w:val="left" w:pos="2550"/>
      </w:tabs>
    </w:pPr>
    <w:r>
      <w:tab/>
    </w:r>
  </w:p>
  <w:p w14:paraId="6DE43770" w14:textId="3DD10ECC" w:rsidR="005C2226" w:rsidRPr="00F012AE" w:rsidRDefault="005C2226" w:rsidP="002141E9">
    <w:pPr>
      <w:pStyle w:val="Footer"/>
      <w:framePr w:w="1334" w:h="357" w:hRule="exact" w:vSpace="425" w:wrap="around" w:vAnchor="page" w:hAnchor="page" w:x="8026" w:y="16081"/>
      <w:tabs>
        <w:tab w:val="clear" w:pos="113"/>
        <w:tab w:val="left" w:pos="284"/>
      </w:tabs>
      <w:jc w:val="right"/>
      <w:rPr>
        <w:rFonts w:cs="Arial"/>
      </w:rPr>
    </w:pPr>
    <w:r w:rsidRPr="00F012AE">
      <w:rPr>
        <w:rFonts w:cs="Arial"/>
        <w:noProof/>
        <w:spacing w:val="-16"/>
        <w:sz w:val="20"/>
        <w:szCs w:val="20"/>
      </w:rPr>
      <w:t xml:space="preserve">RALI </w:t>
    </w:r>
    <w:r>
      <w:rPr>
        <w:rFonts w:cs="Arial"/>
        <w:noProof/>
        <w:spacing w:val="-16"/>
        <w:sz w:val="20"/>
        <w:szCs w:val="20"/>
      </w:rPr>
      <w:t xml:space="preserve"> MS </w:t>
    </w:r>
    <w:r w:rsidR="001677F5">
      <w:rPr>
        <w:rFonts w:cs="Arial"/>
        <w:noProof/>
        <w:spacing w:val="-16"/>
        <w:sz w:val="20"/>
        <w:szCs w:val="20"/>
      </w:rPr>
      <w:t>49</w:t>
    </w:r>
  </w:p>
  <w:p w14:paraId="33A3526F" w14:textId="41B7C070" w:rsidR="005C2226" w:rsidRPr="00A07457" w:rsidRDefault="005C2226" w:rsidP="00A07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BA94" w14:textId="40711E65" w:rsidR="005C2226" w:rsidRPr="00622A3B" w:rsidRDefault="005C2226" w:rsidP="002141E9">
    <w:pPr>
      <w:pStyle w:val="Footer"/>
      <w:framePr w:w="1440" w:h="357" w:hRule="exact" w:vSpace="425" w:wrap="around" w:vAnchor="page" w:hAnchor="page" w:x="957" w:y="16145"/>
      <w:pBdr>
        <w:top w:val="single" w:sz="4" w:space="1" w:color="auto"/>
      </w:pBdr>
      <w:tabs>
        <w:tab w:val="clear" w:pos="113"/>
        <w:tab w:val="left" w:pos="284"/>
        <w:tab w:val="left" w:pos="567"/>
      </w:tabs>
      <w:rPr>
        <w:rFonts w:cs="Arial"/>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color w:val="505050"/>
      </w:rPr>
      <w:t>6</w:t>
    </w:r>
    <w:r w:rsidRPr="00575AC5">
      <w:rPr>
        <w:color w:val="505050"/>
      </w:rPr>
      <w:fldChar w:fldCharType="end"/>
    </w:r>
    <w:r>
      <w:rPr>
        <w:color w:val="505050"/>
      </w:rPr>
      <w:tab/>
    </w:r>
    <w:r>
      <w:rPr>
        <w:rFonts w:cs="Arial"/>
      </w:rPr>
      <w:t xml:space="preserve"> </w:t>
    </w:r>
    <w:r w:rsidRPr="00622A3B">
      <w:rPr>
        <w:rFonts w:cs="Arial"/>
      </w:rPr>
      <w:t>|</w:t>
    </w:r>
    <w:r>
      <w:tab/>
    </w:r>
    <w:r>
      <w:tab/>
    </w: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p>
  <w:p w14:paraId="640B2041" w14:textId="18317763" w:rsidR="005C2226" w:rsidRPr="00F012AE" w:rsidRDefault="005C2226" w:rsidP="002141E9">
    <w:pPr>
      <w:pStyle w:val="Footer"/>
      <w:framePr w:w="1334" w:h="357" w:hRule="exact" w:vSpace="425" w:wrap="around" w:vAnchor="page" w:hAnchor="page" w:x="7441" w:y="16126"/>
      <w:tabs>
        <w:tab w:val="clear" w:pos="113"/>
        <w:tab w:val="left" w:pos="284"/>
      </w:tabs>
      <w:jc w:val="right"/>
      <w:rPr>
        <w:rFonts w:cs="Arial"/>
      </w:rPr>
    </w:pPr>
    <w:r w:rsidRPr="00F012AE">
      <w:rPr>
        <w:rFonts w:cs="Arial"/>
        <w:noProof/>
        <w:spacing w:val="-16"/>
        <w:sz w:val="20"/>
        <w:szCs w:val="20"/>
      </w:rPr>
      <w:t xml:space="preserve">RALI </w:t>
    </w:r>
    <w:r>
      <w:rPr>
        <w:rFonts w:cs="Arial"/>
        <w:noProof/>
        <w:spacing w:val="-16"/>
        <w:sz w:val="20"/>
        <w:szCs w:val="20"/>
      </w:rPr>
      <w:t xml:space="preserve"> MS </w:t>
    </w:r>
    <w:r w:rsidR="00881ED0">
      <w:rPr>
        <w:rFonts w:cs="Arial"/>
        <w:noProof/>
        <w:spacing w:val="-16"/>
        <w:sz w:val="20"/>
        <w:szCs w:val="20"/>
      </w:rPr>
      <w:t>49</w:t>
    </w:r>
  </w:p>
  <w:p w14:paraId="7D089574" w14:textId="77777777" w:rsidR="005C2226" w:rsidRPr="00A5474E" w:rsidRDefault="005C2226" w:rsidP="00A547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63D2" w14:textId="77777777" w:rsidR="005C2226" w:rsidRPr="00622A3B" w:rsidRDefault="005C2226"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7</w:t>
    </w:r>
    <w:r w:rsidRPr="00575AC5">
      <w:rPr>
        <w:color w:val="505050"/>
      </w:rPr>
      <w:fldChar w:fldCharType="end"/>
    </w:r>
  </w:p>
  <w:p w14:paraId="00B77760" w14:textId="3CBDCB2F" w:rsidR="005C2226" w:rsidRPr="00F012AE" w:rsidRDefault="005C2226" w:rsidP="001E3729">
    <w:pPr>
      <w:pStyle w:val="Footer"/>
      <w:framePr w:w="1334" w:h="357" w:hRule="exact" w:vSpace="425" w:wrap="around" w:vAnchor="page" w:hAnchor="page" w:x="1141" w:y="16201"/>
      <w:tabs>
        <w:tab w:val="clear" w:pos="113"/>
        <w:tab w:val="left" w:pos="0"/>
      </w:tabs>
      <w:rPr>
        <w:rFonts w:cs="Arial"/>
      </w:rPr>
    </w:pPr>
    <w:r w:rsidRPr="00F012AE">
      <w:rPr>
        <w:rFonts w:cs="Arial"/>
        <w:noProof/>
        <w:spacing w:val="-16"/>
        <w:sz w:val="20"/>
        <w:szCs w:val="20"/>
      </w:rPr>
      <w:t xml:space="preserve">RALI </w:t>
    </w:r>
    <w:r>
      <w:rPr>
        <w:rFonts w:cs="Arial"/>
        <w:noProof/>
        <w:spacing w:val="-16"/>
        <w:sz w:val="20"/>
        <w:szCs w:val="20"/>
      </w:rPr>
      <w:t xml:space="preserve"> MS</w:t>
    </w:r>
    <w:r w:rsidRPr="00F012AE">
      <w:rPr>
        <w:rFonts w:cs="Arial"/>
        <w:noProof/>
        <w:spacing w:val="-16"/>
        <w:sz w:val="20"/>
        <w:szCs w:val="20"/>
      </w:rPr>
      <w:t xml:space="preserve"> </w:t>
    </w:r>
    <w:r w:rsidR="00881ED0">
      <w:rPr>
        <w:rFonts w:cs="Arial"/>
        <w:noProof/>
        <w:spacing w:val="-16"/>
        <w:sz w:val="20"/>
        <w:szCs w:val="20"/>
      </w:rPr>
      <w:t>49</w:t>
    </w:r>
  </w:p>
  <w:p w14:paraId="75CE3D5D" w14:textId="77777777" w:rsidR="005C2226" w:rsidRPr="00A5474E" w:rsidRDefault="005C2226"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FABB" w14:textId="77777777" w:rsidR="008938F7" w:rsidRDefault="008938F7">
      <w:r>
        <w:separator/>
      </w:r>
    </w:p>
  </w:footnote>
  <w:footnote w:type="continuationSeparator" w:id="0">
    <w:p w14:paraId="5104E36E" w14:textId="77777777" w:rsidR="008938F7" w:rsidRDefault="008938F7">
      <w:r>
        <w:continuationSeparator/>
      </w:r>
    </w:p>
  </w:footnote>
  <w:footnote w:type="continuationNotice" w:id="1">
    <w:p w14:paraId="68653D89" w14:textId="77777777" w:rsidR="008938F7" w:rsidRDefault="008938F7">
      <w:pPr>
        <w:spacing w:after="0" w:line="240" w:lineRule="auto"/>
      </w:pPr>
    </w:p>
  </w:footnote>
  <w:footnote w:id="2">
    <w:p w14:paraId="5F0644B5" w14:textId="77777777" w:rsidR="005C2226" w:rsidRPr="008344A2" w:rsidRDefault="005C2226" w:rsidP="00130106">
      <w:pPr>
        <w:pStyle w:val="FootnoteText"/>
        <w:rPr>
          <w:iCs/>
        </w:rPr>
      </w:pPr>
      <w:r w:rsidRPr="008344A2">
        <w:rPr>
          <w:rStyle w:val="FootnoteReference"/>
          <w:iCs/>
        </w:rPr>
        <w:footnoteRef/>
      </w:r>
      <w:r>
        <w:rPr>
          <w:i/>
          <w:iCs/>
        </w:rPr>
        <w:t xml:space="preserve"> </w:t>
      </w:r>
      <w:r w:rsidRPr="001D295A">
        <w:t xml:space="preserve">Also an expansion of its Russian name: </w:t>
      </w:r>
      <w:r w:rsidRPr="001D295A">
        <w:rPr>
          <w:rFonts w:ascii="Times New Roman" w:hAnsi="Times New Roman"/>
          <w:szCs w:val="20"/>
        </w:rPr>
        <w:t>Global'naya Navigatsionnaya Sputnikovaya Sistem</w:t>
      </w:r>
    </w:p>
  </w:footnote>
  <w:footnote w:id="3">
    <w:p w14:paraId="1BC4FCBC" w14:textId="5AD19EFE" w:rsidR="00235254" w:rsidRDefault="00235254">
      <w:pPr>
        <w:pStyle w:val="FootnoteText"/>
      </w:pPr>
      <w:r>
        <w:rPr>
          <w:rStyle w:val="FootnoteReference"/>
        </w:rPr>
        <w:footnoteRef/>
      </w:r>
      <w:r>
        <w:t xml:space="preserve"> </w:t>
      </w:r>
      <w:r w:rsidR="00D61494">
        <w:t>This registration is completed as a part of the apparatus licensing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1C7E" w14:textId="77777777" w:rsidR="006A162A" w:rsidRPr="00A5474E" w:rsidRDefault="006A162A" w:rsidP="006A162A">
    <w:pPr>
      <w:pStyle w:val="Header"/>
    </w:pPr>
    <w:r>
      <w:rPr>
        <w:noProof/>
      </w:rPr>
      <w:drawing>
        <wp:inline distT="0" distB="0" distL="0" distR="0" wp14:anchorId="7787B4CF" wp14:editId="2C305B64">
          <wp:extent cx="6210300" cy="571134"/>
          <wp:effectExtent l="0" t="0" r="0" b="0"/>
          <wp:docPr id="1057761617" name="Picture 1057761617"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p w14:paraId="277F551C" w14:textId="77777777" w:rsidR="005C2226" w:rsidRPr="006A162A" w:rsidRDefault="005C2226" w:rsidP="006A1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7505" w14:textId="7A215FF5" w:rsidR="005C2226" w:rsidRDefault="005C2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3" w15:restartNumberingAfterBreak="0">
    <w:nsid w:val="FFFFFF89"/>
    <w:multiLevelType w:val="singleLevel"/>
    <w:tmpl w:val="1DF46A4C"/>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rPr>
        <w:rFonts w:cs="Times New Roman"/>
      </w:rPr>
    </w:lvl>
    <w:lvl w:ilvl="1" w:tplc="8EDAE56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43F2FB7"/>
    <w:multiLevelType w:val="hybridMultilevel"/>
    <w:tmpl w:val="A5EE2A9A"/>
    <w:lvl w:ilvl="0" w:tplc="0C09000B">
      <w:start w:val="4"/>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F8639A"/>
    <w:multiLevelType w:val="singleLevel"/>
    <w:tmpl w:val="0F406A2E"/>
    <w:lvl w:ilvl="0">
      <w:start w:val="1"/>
      <w:numFmt w:val="lowerLetter"/>
      <w:lvlText w:val="(%1)"/>
      <w:legacy w:legacy="1" w:legacySpace="0" w:legacyIndent="567"/>
      <w:lvlJc w:val="left"/>
      <w:pPr>
        <w:ind w:left="1134" w:hanging="567"/>
      </w:pPr>
    </w:lvl>
  </w:abstractNum>
  <w:abstractNum w:abstractNumId="7"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1B915F4"/>
    <w:multiLevelType w:val="multilevel"/>
    <w:tmpl w:val="795891DC"/>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1" w:hanging="431"/>
      </w:pPr>
      <w:rPr>
        <w:rFonts w:hint="default"/>
      </w:rPr>
    </w:lvl>
    <w:lvl w:ilvl="2">
      <w:start w:val="1"/>
      <w:numFmt w:val="decimal"/>
      <w:pStyle w:val="Heading3"/>
      <w:lvlText w:val="%1.%2.%3"/>
      <w:lvlJc w:val="left"/>
      <w:pPr>
        <w:ind w:left="431" w:hanging="431"/>
      </w:pPr>
      <w:rPr>
        <w:rFonts w:hint="default"/>
      </w:rPr>
    </w:lvl>
    <w:lvl w:ilvl="3">
      <w:start w:val="1"/>
      <w:numFmt w:val="decimal"/>
      <w:pStyle w:val="Heading4"/>
      <w:lvlText w:val="%1.%2.%3.%4"/>
      <w:lvlJc w:val="left"/>
      <w:pPr>
        <w:ind w:left="431" w:hanging="431"/>
      </w:pPr>
      <w:rPr>
        <w:rFonts w:hint="default"/>
      </w:rPr>
    </w:lvl>
    <w:lvl w:ilvl="4">
      <w:start w:val="1"/>
      <w:numFmt w:val="decimal"/>
      <w:pStyle w:val="Heading5"/>
      <w:lvlText w:val="%1.%2.%3.%4"/>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9" w15:restartNumberingAfterBreak="0">
    <w:nsid w:val="47F12441"/>
    <w:multiLevelType w:val="hybridMultilevel"/>
    <w:tmpl w:val="15908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AA21F0"/>
    <w:multiLevelType w:val="hybridMultilevel"/>
    <w:tmpl w:val="4DDA0712"/>
    <w:lvl w:ilvl="0" w:tplc="59A6BED4">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11471C"/>
    <w:multiLevelType w:val="hybridMultilevel"/>
    <w:tmpl w:val="8D8CA386"/>
    <w:lvl w:ilvl="0" w:tplc="59F8E0F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2A0D62"/>
    <w:multiLevelType w:val="hybridMultilevel"/>
    <w:tmpl w:val="5854F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B3646A"/>
    <w:multiLevelType w:val="singleLevel"/>
    <w:tmpl w:val="2ADEE694"/>
    <w:lvl w:ilvl="0">
      <w:start w:val="1"/>
      <w:numFmt w:val="lowerRoman"/>
      <w:lvlText w:val="(%1)"/>
      <w:legacy w:legacy="1" w:legacySpace="0" w:legacyIndent="567"/>
      <w:lvlJc w:val="left"/>
      <w:pPr>
        <w:ind w:left="1701" w:hanging="567"/>
      </w:pPr>
    </w:lvl>
  </w:abstractNum>
  <w:abstractNum w:abstractNumId="16"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3A1385"/>
    <w:multiLevelType w:val="hybridMultilevel"/>
    <w:tmpl w:val="F306BCFE"/>
    <w:lvl w:ilvl="0" w:tplc="DC76228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6015146"/>
    <w:multiLevelType w:val="hybridMultilevel"/>
    <w:tmpl w:val="055CD6E4"/>
    <w:lvl w:ilvl="0" w:tplc="E4FE8000">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78D002E7"/>
    <w:multiLevelType w:val="multilevel"/>
    <w:tmpl w:val="3126FBD6"/>
    <w:lvl w:ilvl="0">
      <w:start w:val="4"/>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793F4A38"/>
    <w:multiLevelType w:val="hybridMultilevel"/>
    <w:tmpl w:val="D89ECD5C"/>
    <w:lvl w:ilvl="0" w:tplc="72FA6082">
      <w:start w:val="1"/>
      <w:numFmt w:val="decimal"/>
      <w:lvlText w:val="4.%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587349560">
    <w:abstractNumId w:val="3"/>
  </w:num>
  <w:num w:numId="2" w16cid:durableId="45110447">
    <w:abstractNumId w:val="1"/>
  </w:num>
  <w:num w:numId="3" w16cid:durableId="885143502">
    <w:abstractNumId w:val="2"/>
  </w:num>
  <w:num w:numId="4" w16cid:durableId="2136097826">
    <w:abstractNumId w:val="0"/>
  </w:num>
  <w:num w:numId="5" w16cid:durableId="548343852">
    <w:abstractNumId w:val="14"/>
  </w:num>
  <w:num w:numId="6" w16cid:durableId="308362030">
    <w:abstractNumId w:val="10"/>
  </w:num>
  <w:num w:numId="7" w16cid:durableId="343675518">
    <w:abstractNumId w:val="13"/>
  </w:num>
  <w:num w:numId="8" w16cid:durableId="1410346875">
    <w:abstractNumId w:val="16"/>
  </w:num>
  <w:num w:numId="9" w16cid:durableId="1577587138">
    <w:abstractNumId w:val="7"/>
  </w:num>
  <w:num w:numId="10" w16cid:durableId="1637642224">
    <w:abstractNumId w:val="17"/>
  </w:num>
  <w:num w:numId="11" w16cid:durableId="634262217">
    <w:abstractNumId w:val="8"/>
  </w:num>
  <w:num w:numId="12" w16cid:durableId="1798209497">
    <w:abstractNumId w:val="4"/>
  </w:num>
  <w:num w:numId="13" w16cid:durableId="1743062840">
    <w:abstractNumId w:val="15"/>
  </w:num>
  <w:num w:numId="14" w16cid:durableId="1214539376">
    <w:abstractNumId w:val="11"/>
  </w:num>
  <w:num w:numId="15" w16cid:durableId="299725374">
    <w:abstractNumId w:val="6"/>
  </w:num>
  <w:num w:numId="16" w16cid:durableId="173957952">
    <w:abstractNumId w:val="12"/>
  </w:num>
  <w:num w:numId="17" w16cid:durableId="981933950">
    <w:abstractNumId w:val="5"/>
  </w:num>
  <w:num w:numId="18" w16cid:durableId="31611939">
    <w:abstractNumId w:val="8"/>
  </w:num>
  <w:num w:numId="19" w16cid:durableId="150026606">
    <w:abstractNumId w:val="8"/>
  </w:num>
  <w:num w:numId="20" w16cid:durableId="594755232">
    <w:abstractNumId w:val="8"/>
  </w:num>
  <w:num w:numId="21" w16cid:durableId="64035858">
    <w:abstractNumId w:val="8"/>
  </w:num>
  <w:num w:numId="22" w16cid:durableId="80875071">
    <w:abstractNumId w:val="8"/>
  </w:num>
  <w:num w:numId="23" w16cid:durableId="1492138348">
    <w:abstractNumId w:val="8"/>
  </w:num>
  <w:num w:numId="24" w16cid:durableId="343752557">
    <w:abstractNumId w:val="9"/>
  </w:num>
  <w:num w:numId="25" w16cid:durableId="1614552648">
    <w:abstractNumId w:val="8"/>
  </w:num>
  <w:num w:numId="26" w16cid:durableId="186257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1917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6261087">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3806026">
    <w:abstractNumId w:val="8"/>
  </w:num>
  <w:num w:numId="30" w16cid:durableId="503790791">
    <w:abstractNumId w:val="8"/>
  </w:num>
  <w:num w:numId="31" w16cid:durableId="1851406986">
    <w:abstractNumId w:val="8"/>
  </w:num>
  <w:num w:numId="32" w16cid:durableId="117337204">
    <w:abstractNumId w:val="8"/>
  </w:num>
  <w:num w:numId="33" w16cid:durableId="630401520">
    <w:abstractNumId w:val="18"/>
  </w:num>
  <w:num w:numId="34" w16cid:durableId="426274016">
    <w:abstractNumId w:val="3"/>
  </w:num>
  <w:num w:numId="35" w16cid:durableId="76904887">
    <w:abstractNumId w:val="3"/>
  </w:num>
  <w:num w:numId="36" w16cid:durableId="629626509">
    <w:abstractNumId w:val="3"/>
  </w:num>
  <w:num w:numId="37" w16cid:durableId="150354757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BF"/>
    <w:rsid w:val="00007EFC"/>
    <w:rsid w:val="00010667"/>
    <w:rsid w:val="00010ECC"/>
    <w:rsid w:val="000129D5"/>
    <w:rsid w:val="00012BB7"/>
    <w:rsid w:val="0001447C"/>
    <w:rsid w:val="00015AE7"/>
    <w:rsid w:val="00015C3F"/>
    <w:rsid w:val="00016E21"/>
    <w:rsid w:val="0001719C"/>
    <w:rsid w:val="00017345"/>
    <w:rsid w:val="0002224E"/>
    <w:rsid w:val="00023D84"/>
    <w:rsid w:val="000245E5"/>
    <w:rsid w:val="000262F8"/>
    <w:rsid w:val="00026F91"/>
    <w:rsid w:val="0002773A"/>
    <w:rsid w:val="00031ED9"/>
    <w:rsid w:val="00033C8B"/>
    <w:rsid w:val="00034816"/>
    <w:rsid w:val="00034DFC"/>
    <w:rsid w:val="000367BB"/>
    <w:rsid w:val="00040EB1"/>
    <w:rsid w:val="00044716"/>
    <w:rsid w:val="0004494C"/>
    <w:rsid w:val="0004747A"/>
    <w:rsid w:val="0004764C"/>
    <w:rsid w:val="0005011A"/>
    <w:rsid w:val="0005045A"/>
    <w:rsid w:val="00051C1E"/>
    <w:rsid w:val="0005381F"/>
    <w:rsid w:val="00053882"/>
    <w:rsid w:val="00053970"/>
    <w:rsid w:val="000539F9"/>
    <w:rsid w:val="00054C27"/>
    <w:rsid w:val="00055EC3"/>
    <w:rsid w:val="000563CE"/>
    <w:rsid w:val="00057041"/>
    <w:rsid w:val="000572FE"/>
    <w:rsid w:val="00061CDE"/>
    <w:rsid w:val="00063A18"/>
    <w:rsid w:val="000659B6"/>
    <w:rsid w:val="0006686F"/>
    <w:rsid w:val="0006722A"/>
    <w:rsid w:val="00070718"/>
    <w:rsid w:val="00072B02"/>
    <w:rsid w:val="00072E42"/>
    <w:rsid w:val="000732CF"/>
    <w:rsid w:val="00075B96"/>
    <w:rsid w:val="000805C6"/>
    <w:rsid w:val="0008196A"/>
    <w:rsid w:val="0008268D"/>
    <w:rsid w:val="0008480F"/>
    <w:rsid w:val="00085DF5"/>
    <w:rsid w:val="000915ED"/>
    <w:rsid w:val="0009209D"/>
    <w:rsid w:val="000930AE"/>
    <w:rsid w:val="00094B91"/>
    <w:rsid w:val="000969BD"/>
    <w:rsid w:val="000969BF"/>
    <w:rsid w:val="00097D72"/>
    <w:rsid w:val="000A0C22"/>
    <w:rsid w:val="000A0CD9"/>
    <w:rsid w:val="000A1400"/>
    <w:rsid w:val="000A1E05"/>
    <w:rsid w:val="000A2B03"/>
    <w:rsid w:val="000A3C43"/>
    <w:rsid w:val="000A4A51"/>
    <w:rsid w:val="000A5B1E"/>
    <w:rsid w:val="000A5D2B"/>
    <w:rsid w:val="000A7C15"/>
    <w:rsid w:val="000B175F"/>
    <w:rsid w:val="000B2088"/>
    <w:rsid w:val="000B2746"/>
    <w:rsid w:val="000B27C0"/>
    <w:rsid w:val="000B418E"/>
    <w:rsid w:val="000B5DE3"/>
    <w:rsid w:val="000B652B"/>
    <w:rsid w:val="000B7842"/>
    <w:rsid w:val="000B7E18"/>
    <w:rsid w:val="000C038B"/>
    <w:rsid w:val="000C04BC"/>
    <w:rsid w:val="000C0A57"/>
    <w:rsid w:val="000C0DE0"/>
    <w:rsid w:val="000C1A48"/>
    <w:rsid w:val="000C230C"/>
    <w:rsid w:val="000C3BCF"/>
    <w:rsid w:val="000C416F"/>
    <w:rsid w:val="000C6AB4"/>
    <w:rsid w:val="000D0BA5"/>
    <w:rsid w:val="000D1431"/>
    <w:rsid w:val="000D3DAE"/>
    <w:rsid w:val="000D4183"/>
    <w:rsid w:val="000D45ED"/>
    <w:rsid w:val="000D5895"/>
    <w:rsid w:val="000D71D9"/>
    <w:rsid w:val="000D76E0"/>
    <w:rsid w:val="000D7941"/>
    <w:rsid w:val="000D7E8B"/>
    <w:rsid w:val="000E0DE7"/>
    <w:rsid w:val="000E1979"/>
    <w:rsid w:val="000E23C1"/>
    <w:rsid w:val="000E30BA"/>
    <w:rsid w:val="000E4449"/>
    <w:rsid w:val="000E498E"/>
    <w:rsid w:val="000E5D93"/>
    <w:rsid w:val="000E6097"/>
    <w:rsid w:val="000F23E9"/>
    <w:rsid w:val="000F4A6E"/>
    <w:rsid w:val="00100691"/>
    <w:rsid w:val="001037D7"/>
    <w:rsid w:val="00103829"/>
    <w:rsid w:val="001047DC"/>
    <w:rsid w:val="00111FCE"/>
    <w:rsid w:val="00114171"/>
    <w:rsid w:val="00115C9A"/>
    <w:rsid w:val="001215C6"/>
    <w:rsid w:val="001229A5"/>
    <w:rsid w:val="00123ABD"/>
    <w:rsid w:val="0012489B"/>
    <w:rsid w:val="001248EB"/>
    <w:rsid w:val="0012584C"/>
    <w:rsid w:val="00125DCA"/>
    <w:rsid w:val="00130017"/>
    <w:rsid w:val="00130106"/>
    <w:rsid w:val="00130F91"/>
    <w:rsid w:val="00132ED8"/>
    <w:rsid w:val="001349ED"/>
    <w:rsid w:val="00135D9B"/>
    <w:rsid w:val="00137424"/>
    <w:rsid w:val="00140318"/>
    <w:rsid w:val="001405BF"/>
    <w:rsid w:val="00141AD9"/>
    <w:rsid w:val="0014239D"/>
    <w:rsid w:val="00146CE6"/>
    <w:rsid w:val="0015032C"/>
    <w:rsid w:val="00152903"/>
    <w:rsid w:val="00153FD5"/>
    <w:rsid w:val="0015614F"/>
    <w:rsid w:val="001577C2"/>
    <w:rsid w:val="001632C7"/>
    <w:rsid w:val="001633C4"/>
    <w:rsid w:val="00165C8B"/>
    <w:rsid w:val="001677F5"/>
    <w:rsid w:val="001704D5"/>
    <w:rsid w:val="00171591"/>
    <w:rsid w:val="001717AC"/>
    <w:rsid w:val="00173981"/>
    <w:rsid w:val="00173C99"/>
    <w:rsid w:val="0017490E"/>
    <w:rsid w:val="001760C5"/>
    <w:rsid w:val="00176C28"/>
    <w:rsid w:val="00176D28"/>
    <w:rsid w:val="0017719D"/>
    <w:rsid w:val="00183FD7"/>
    <w:rsid w:val="00185CAB"/>
    <w:rsid w:val="001875B7"/>
    <w:rsid w:val="00187CB3"/>
    <w:rsid w:val="0019050A"/>
    <w:rsid w:val="00190666"/>
    <w:rsid w:val="001910D4"/>
    <w:rsid w:val="00194B30"/>
    <w:rsid w:val="001975AF"/>
    <w:rsid w:val="001976E3"/>
    <w:rsid w:val="00197A33"/>
    <w:rsid w:val="001A2932"/>
    <w:rsid w:val="001A44EC"/>
    <w:rsid w:val="001A6698"/>
    <w:rsid w:val="001A6B7D"/>
    <w:rsid w:val="001A7830"/>
    <w:rsid w:val="001B07E0"/>
    <w:rsid w:val="001B308F"/>
    <w:rsid w:val="001B39BA"/>
    <w:rsid w:val="001B58AA"/>
    <w:rsid w:val="001B6470"/>
    <w:rsid w:val="001B7E48"/>
    <w:rsid w:val="001C01FE"/>
    <w:rsid w:val="001C17CE"/>
    <w:rsid w:val="001C2055"/>
    <w:rsid w:val="001C36CA"/>
    <w:rsid w:val="001C44D1"/>
    <w:rsid w:val="001C48AA"/>
    <w:rsid w:val="001C4E66"/>
    <w:rsid w:val="001C4F06"/>
    <w:rsid w:val="001C6AEE"/>
    <w:rsid w:val="001C7630"/>
    <w:rsid w:val="001D0EA2"/>
    <w:rsid w:val="001D295A"/>
    <w:rsid w:val="001D6D15"/>
    <w:rsid w:val="001D77A5"/>
    <w:rsid w:val="001D7B3C"/>
    <w:rsid w:val="001E305F"/>
    <w:rsid w:val="001E3729"/>
    <w:rsid w:val="001E606A"/>
    <w:rsid w:val="001E6386"/>
    <w:rsid w:val="001F0E76"/>
    <w:rsid w:val="001F2E82"/>
    <w:rsid w:val="001F352E"/>
    <w:rsid w:val="001F514C"/>
    <w:rsid w:val="001F6376"/>
    <w:rsid w:val="001F6B93"/>
    <w:rsid w:val="001F736A"/>
    <w:rsid w:val="001F7558"/>
    <w:rsid w:val="001F7891"/>
    <w:rsid w:val="001F7BBC"/>
    <w:rsid w:val="00201903"/>
    <w:rsid w:val="00201DDC"/>
    <w:rsid w:val="00202D38"/>
    <w:rsid w:val="0020356F"/>
    <w:rsid w:val="00205461"/>
    <w:rsid w:val="00205B57"/>
    <w:rsid w:val="002062C6"/>
    <w:rsid w:val="00207973"/>
    <w:rsid w:val="00210B53"/>
    <w:rsid w:val="00211C1E"/>
    <w:rsid w:val="0021287F"/>
    <w:rsid w:val="00213106"/>
    <w:rsid w:val="002141E9"/>
    <w:rsid w:val="002146DD"/>
    <w:rsid w:val="0021505D"/>
    <w:rsid w:val="002157E0"/>
    <w:rsid w:val="002169E9"/>
    <w:rsid w:val="00216A57"/>
    <w:rsid w:val="00220217"/>
    <w:rsid w:val="00221EAF"/>
    <w:rsid w:val="0022334F"/>
    <w:rsid w:val="002234CC"/>
    <w:rsid w:val="002264D7"/>
    <w:rsid w:val="00226819"/>
    <w:rsid w:val="00233101"/>
    <w:rsid w:val="00233817"/>
    <w:rsid w:val="00235254"/>
    <w:rsid w:val="002367FF"/>
    <w:rsid w:val="00240CE9"/>
    <w:rsid w:val="00241406"/>
    <w:rsid w:val="00242DAB"/>
    <w:rsid w:val="00242E87"/>
    <w:rsid w:val="002434BA"/>
    <w:rsid w:val="00244379"/>
    <w:rsid w:val="00246089"/>
    <w:rsid w:val="00246093"/>
    <w:rsid w:val="00246702"/>
    <w:rsid w:val="00247C59"/>
    <w:rsid w:val="00247F2E"/>
    <w:rsid w:val="002500B5"/>
    <w:rsid w:val="00250ADC"/>
    <w:rsid w:val="00250B07"/>
    <w:rsid w:val="00253698"/>
    <w:rsid w:val="00253E01"/>
    <w:rsid w:val="00254146"/>
    <w:rsid w:val="002551BF"/>
    <w:rsid w:val="00257553"/>
    <w:rsid w:val="00260FB2"/>
    <w:rsid w:val="00261504"/>
    <w:rsid w:val="0026197A"/>
    <w:rsid w:val="00262128"/>
    <w:rsid w:val="00262BCD"/>
    <w:rsid w:val="002644C4"/>
    <w:rsid w:val="00264676"/>
    <w:rsid w:val="00264EF7"/>
    <w:rsid w:val="00266300"/>
    <w:rsid w:val="0027165D"/>
    <w:rsid w:val="00273CEB"/>
    <w:rsid w:val="00275CA1"/>
    <w:rsid w:val="00281C89"/>
    <w:rsid w:val="0028282F"/>
    <w:rsid w:val="00283975"/>
    <w:rsid w:val="00285542"/>
    <w:rsid w:val="00286B5E"/>
    <w:rsid w:val="0028717C"/>
    <w:rsid w:val="00290AB9"/>
    <w:rsid w:val="002946E3"/>
    <w:rsid w:val="0029593B"/>
    <w:rsid w:val="00297FC5"/>
    <w:rsid w:val="002A0417"/>
    <w:rsid w:val="002A16D8"/>
    <w:rsid w:val="002A1BC8"/>
    <w:rsid w:val="002A32DD"/>
    <w:rsid w:val="002A3E9C"/>
    <w:rsid w:val="002A3EF2"/>
    <w:rsid w:val="002A4ACC"/>
    <w:rsid w:val="002A667C"/>
    <w:rsid w:val="002A79AD"/>
    <w:rsid w:val="002B0ABE"/>
    <w:rsid w:val="002B0DED"/>
    <w:rsid w:val="002B19A2"/>
    <w:rsid w:val="002B1B05"/>
    <w:rsid w:val="002B32B1"/>
    <w:rsid w:val="002B381A"/>
    <w:rsid w:val="002B4228"/>
    <w:rsid w:val="002B4FCC"/>
    <w:rsid w:val="002B6EA8"/>
    <w:rsid w:val="002B7408"/>
    <w:rsid w:val="002B742B"/>
    <w:rsid w:val="002B7CFD"/>
    <w:rsid w:val="002B7EAC"/>
    <w:rsid w:val="002C18AB"/>
    <w:rsid w:val="002C1B55"/>
    <w:rsid w:val="002C210F"/>
    <w:rsid w:val="002C2367"/>
    <w:rsid w:val="002C3140"/>
    <w:rsid w:val="002C4DCA"/>
    <w:rsid w:val="002C4EDF"/>
    <w:rsid w:val="002C5E2E"/>
    <w:rsid w:val="002D34CD"/>
    <w:rsid w:val="002D3600"/>
    <w:rsid w:val="002D3AC5"/>
    <w:rsid w:val="002D471A"/>
    <w:rsid w:val="002D57F7"/>
    <w:rsid w:val="002D6EDE"/>
    <w:rsid w:val="002D7F52"/>
    <w:rsid w:val="002E1DD8"/>
    <w:rsid w:val="002E4DDC"/>
    <w:rsid w:val="002E5BBB"/>
    <w:rsid w:val="002E61EF"/>
    <w:rsid w:val="002E6CDD"/>
    <w:rsid w:val="002E6D36"/>
    <w:rsid w:val="002F0BB9"/>
    <w:rsid w:val="002F2EAF"/>
    <w:rsid w:val="002F411B"/>
    <w:rsid w:val="002F44DD"/>
    <w:rsid w:val="002F45ED"/>
    <w:rsid w:val="00302480"/>
    <w:rsid w:val="0031284C"/>
    <w:rsid w:val="00312F03"/>
    <w:rsid w:val="00313EE5"/>
    <w:rsid w:val="00315837"/>
    <w:rsid w:val="003165E6"/>
    <w:rsid w:val="0031746A"/>
    <w:rsid w:val="00317762"/>
    <w:rsid w:val="00317CE5"/>
    <w:rsid w:val="00320666"/>
    <w:rsid w:val="003215B5"/>
    <w:rsid w:val="003217F9"/>
    <w:rsid w:val="003221CF"/>
    <w:rsid w:val="003233ED"/>
    <w:rsid w:val="00324D9F"/>
    <w:rsid w:val="00324E12"/>
    <w:rsid w:val="00327948"/>
    <w:rsid w:val="0033000F"/>
    <w:rsid w:val="00330733"/>
    <w:rsid w:val="00332011"/>
    <w:rsid w:val="00332518"/>
    <w:rsid w:val="00332925"/>
    <w:rsid w:val="003332ED"/>
    <w:rsid w:val="00335BCC"/>
    <w:rsid w:val="00335C2C"/>
    <w:rsid w:val="003368DC"/>
    <w:rsid w:val="00336A34"/>
    <w:rsid w:val="00344EF4"/>
    <w:rsid w:val="00345840"/>
    <w:rsid w:val="00345927"/>
    <w:rsid w:val="00350584"/>
    <w:rsid w:val="00351857"/>
    <w:rsid w:val="003545E8"/>
    <w:rsid w:val="00354F61"/>
    <w:rsid w:val="00354FCB"/>
    <w:rsid w:val="00355A99"/>
    <w:rsid w:val="00357270"/>
    <w:rsid w:val="003572C9"/>
    <w:rsid w:val="003610E1"/>
    <w:rsid w:val="00365153"/>
    <w:rsid w:val="00365CB7"/>
    <w:rsid w:val="00366071"/>
    <w:rsid w:val="003666AD"/>
    <w:rsid w:val="003671BE"/>
    <w:rsid w:val="00371C83"/>
    <w:rsid w:val="00372485"/>
    <w:rsid w:val="00373200"/>
    <w:rsid w:val="00373BB4"/>
    <w:rsid w:val="00374872"/>
    <w:rsid w:val="00375EF5"/>
    <w:rsid w:val="003767A5"/>
    <w:rsid w:val="00376FD8"/>
    <w:rsid w:val="003777EB"/>
    <w:rsid w:val="00381D15"/>
    <w:rsid w:val="00382C6E"/>
    <w:rsid w:val="00382E6F"/>
    <w:rsid w:val="00385254"/>
    <w:rsid w:val="003853F9"/>
    <w:rsid w:val="0038740F"/>
    <w:rsid w:val="00387CDB"/>
    <w:rsid w:val="00392E17"/>
    <w:rsid w:val="00393D4F"/>
    <w:rsid w:val="00396FDD"/>
    <w:rsid w:val="003A009E"/>
    <w:rsid w:val="003A030B"/>
    <w:rsid w:val="003A04DB"/>
    <w:rsid w:val="003A17B4"/>
    <w:rsid w:val="003A5D93"/>
    <w:rsid w:val="003A5F5B"/>
    <w:rsid w:val="003A789A"/>
    <w:rsid w:val="003B043A"/>
    <w:rsid w:val="003B12EC"/>
    <w:rsid w:val="003B18C1"/>
    <w:rsid w:val="003B1BEE"/>
    <w:rsid w:val="003B36BE"/>
    <w:rsid w:val="003B3D61"/>
    <w:rsid w:val="003B4870"/>
    <w:rsid w:val="003B4C48"/>
    <w:rsid w:val="003B5AD0"/>
    <w:rsid w:val="003C04FF"/>
    <w:rsid w:val="003C13F0"/>
    <w:rsid w:val="003C17FF"/>
    <w:rsid w:val="003C2EE6"/>
    <w:rsid w:val="003C319D"/>
    <w:rsid w:val="003C393A"/>
    <w:rsid w:val="003C39BE"/>
    <w:rsid w:val="003C646D"/>
    <w:rsid w:val="003C77E0"/>
    <w:rsid w:val="003C7968"/>
    <w:rsid w:val="003D17D7"/>
    <w:rsid w:val="003D2678"/>
    <w:rsid w:val="003D585C"/>
    <w:rsid w:val="003D61E6"/>
    <w:rsid w:val="003D71A3"/>
    <w:rsid w:val="003D762B"/>
    <w:rsid w:val="003E2B8A"/>
    <w:rsid w:val="003E5FA9"/>
    <w:rsid w:val="003F0D32"/>
    <w:rsid w:val="003F10EE"/>
    <w:rsid w:val="003F16F6"/>
    <w:rsid w:val="003F4DC7"/>
    <w:rsid w:val="003F5235"/>
    <w:rsid w:val="003F53CF"/>
    <w:rsid w:val="003F61F5"/>
    <w:rsid w:val="00400300"/>
    <w:rsid w:val="00400A67"/>
    <w:rsid w:val="00401711"/>
    <w:rsid w:val="00402191"/>
    <w:rsid w:val="004027E4"/>
    <w:rsid w:val="0040306E"/>
    <w:rsid w:val="00404D8B"/>
    <w:rsid w:val="00406C83"/>
    <w:rsid w:val="0041071D"/>
    <w:rsid w:val="00411B56"/>
    <w:rsid w:val="0041290F"/>
    <w:rsid w:val="0041423B"/>
    <w:rsid w:val="004146B3"/>
    <w:rsid w:val="00414AFC"/>
    <w:rsid w:val="004151A7"/>
    <w:rsid w:val="00415310"/>
    <w:rsid w:val="00416B83"/>
    <w:rsid w:val="0041773B"/>
    <w:rsid w:val="00420CAF"/>
    <w:rsid w:val="00421709"/>
    <w:rsid w:val="004236B3"/>
    <w:rsid w:val="00423763"/>
    <w:rsid w:val="00423F0B"/>
    <w:rsid w:val="00426226"/>
    <w:rsid w:val="00426800"/>
    <w:rsid w:val="004273E6"/>
    <w:rsid w:val="0042762F"/>
    <w:rsid w:val="00427829"/>
    <w:rsid w:val="00427DC7"/>
    <w:rsid w:val="004305CF"/>
    <w:rsid w:val="00430B5A"/>
    <w:rsid w:val="00431613"/>
    <w:rsid w:val="00431792"/>
    <w:rsid w:val="0043297A"/>
    <w:rsid w:val="00432EB2"/>
    <w:rsid w:val="00434043"/>
    <w:rsid w:val="00434B06"/>
    <w:rsid w:val="00436CBA"/>
    <w:rsid w:val="0043714F"/>
    <w:rsid w:val="004418DF"/>
    <w:rsid w:val="00442F15"/>
    <w:rsid w:val="004438B5"/>
    <w:rsid w:val="00445C8A"/>
    <w:rsid w:val="00447037"/>
    <w:rsid w:val="0045124D"/>
    <w:rsid w:val="00452298"/>
    <w:rsid w:val="00452F8B"/>
    <w:rsid w:val="004539C2"/>
    <w:rsid w:val="00454596"/>
    <w:rsid w:val="00454DBF"/>
    <w:rsid w:val="00455CED"/>
    <w:rsid w:val="0045605D"/>
    <w:rsid w:val="00456836"/>
    <w:rsid w:val="0046135B"/>
    <w:rsid w:val="00461D47"/>
    <w:rsid w:val="00461E9D"/>
    <w:rsid w:val="0046423A"/>
    <w:rsid w:val="00466C68"/>
    <w:rsid w:val="00470470"/>
    <w:rsid w:val="00470737"/>
    <w:rsid w:val="00471362"/>
    <w:rsid w:val="004718CC"/>
    <w:rsid w:val="00471CE8"/>
    <w:rsid w:val="00472B69"/>
    <w:rsid w:val="0047628F"/>
    <w:rsid w:val="0048042F"/>
    <w:rsid w:val="00480F84"/>
    <w:rsid w:val="00481695"/>
    <w:rsid w:val="00484CC8"/>
    <w:rsid w:val="00486024"/>
    <w:rsid w:val="004906A9"/>
    <w:rsid w:val="00490FF6"/>
    <w:rsid w:val="0049129A"/>
    <w:rsid w:val="00491878"/>
    <w:rsid w:val="00491C32"/>
    <w:rsid w:val="00493DFC"/>
    <w:rsid w:val="00495A96"/>
    <w:rsid w:val="00495BB3"/>
    <w:rsid w:val="004A13A7"/>
    <w:rsid w:val="004A56BB"/>
    <w:rsid w:val="004A60D1"/>
    <w:rsid w:val="004A6546"/>
    <w:rsid w:val="004B08E8"/>
    <w:rsid w:val="004B1751"/>
    <w:rsid w:val="004B1A15"/>
    <w:rsid w:val="004B33DE"/>
    <w:rsid w:val="004B3F30"/>
    <w:rsid w:val="004B7831"/>
    <w:rsid w:val="004B79F9"/>
    <w:rsid w:val="004B7FB8"/>
    <w:rsid w:val="004C0253"/>
    <w:rsid w:val="004C06B6"/>
    <w:rsid w:val="004C531C"/>
    <w:rsid w:val="004C6427"/>
    <w:rsid w:val="004C70BE"/>
    <w:rsid w:val="004D3C1A"/>
    <w:rsid w:val="004D56FF"/>
    <w:rsid w:val="004D5E86"/>
    <w:rsid w:val="004E012E"/>
    <w:rsid w:val="004E0EBE"/>
    <w:rsid w:val="004E185E"/>
    <w:rsid w:val="004E2F70"/>
    <w:rsid w:val="004E3748"/>
    <w:rsid w:val="004E39D3"/>
    <w:rsid w:val="004E3BF6"/>
    <w:rsid w:val="004E508A"/>
    <w:rsid w:val="004E616D"/>
    <w:rsid w:val="004E6836"/>
    <w:rsid w:val="004E72B0"/>
    <w:rsid w:val="004E73A6"/>
    <w:rsid w:val="004F1BDE"/>
    <w:rsid w:val="004F2CEE"/>
    <w:rsid w:val="004F556E"/>
    <w:rsid w:val="004F591C"/>
    <w:rsid w:val="004F7F44"/>
    <w:rsid w:val="00501FDF"/>
    <w:rsid w:val="005037B4"/>
    <w:rsid w:val="005046EB"/>
    <w:rsid w:val="005056CF"/>
    <w:rsid w:val="005079BF"/>
    <w:rsid w:val="00511E05"/>
    <w:rsid w:val="00512659"/>
    <w:rsid w:val="0051269A"/>
    <w:rsid w:val="0051494E"/>
    <w:rsid w:val="00515B1B"/>
    <w:rsid w:val="00515D42"/>
    <w:rsid w:val="005169D0"/>
    <w:rsid w:val="005219E7"/>
    <w:rsid w:val="00523088"/>
    <w:rsid w:val="00530EA4"/>
    <w:rsid w:val="00531B9A"/>
    <w:rsid w:val="00531D15"/>
    <w:rsid w:val="00532ACE"/>
    <w:rsid w:val="00533FD4"/>
    <w:rsid w:val="00535D88"/>
    <w:rsid w:val="00537604"/>
    <w:rsid w:val="00540001"/>
    <w:rsid w:val="00542377"/>
    <w:rsid w:val="00542D14"/>
    <w:rsid w:val="00542F29"/>
    <w:rsid w:val="005440CC"/>
    <w:rsid w:val="0054568E"/>
    <w:rsid w:val="005469B8"/>
    <w:rsid w:val="005476EB"/>
    <w:rsid w:val="00551782"/>
    <w:rsid w:val="00551D8E"/>
    <w:rsid w:val="00553C7B"/>
    <w:rsid w:val="00554126"/>
    <w:rsid w:val="00554E9C"/>
    <w:rsid w:val="005557D9"/>
    <w:rsid w:val="00557FC8"/>
    <w:rsid w:val="0056303C"/>
    <w:rsid w:val="00563EF1"/>
    <w:rsid w:val="00565186"/>
    <w:rsid w:val="00566AB4"/>
    <w:rsid w:val="00566F84"/>
    <w:rsid w:val="005702A6"/>
    <w:rsid w:val="00571897"/>
    <w:rsid w:val="005725AD"/>
    <w:rsid w:val="005730C9"/>
    <w:rsid w:val="00573607"/>
    <w:rsid w:val="00575AC5"/>
    <w:rsid w:val="0057605D"/>
    <w:rsid w:val="00581347"/>
    <w:rsid w:val="00581AC9"/>
    <w:rsid w:val="005840AA"/>
    <w:rsid w:val="005849F8"/>
    <w:rsid w:val="0058621A"/>
    <w:rsid w:val="00586FF6"/>
    <w:rsid w:val="005875E5"/>
    <w:rsid w:val="0059044B"/>
    <w:rsid w:val="00590CEF"/>
    <w:rsid w:val="00592C9F"/>
    <w:rsid w:val="005930C2"/>
    <w:rsid w:val="005938DF"/>
    <w:rsid w:val="00594E9C"/>
    <w:rsid w:val="00595422"/>
    <w:rsid w:val="005A099B"/>
    <w:rsid w:val="005A1374"/>
    <w:rsid w:val="005A2D9C"/>
    <w:rsid w:val="005A55FE"/>
    <w:rsid w:val="005A6A11"/>
    <w:rsid w:val="005A70A1"/>
    <w:rsid w:val="005C2226"/>
    <w:rsid w:val="005C227F"/>
    <w:rsid w:val="005C5551"/>
    <w:rsid w:val="005C59D2"/>
    <w:rsid w:val="005C65D7"/>
    <w:rsid w:val="005C6909"/>
    <w:rsid w:val="005C746E"/>
    <w:rsid w:val="005D13D1"/>
    <w:rsid w:val="005D1CA2"/>
    <w:rsid w:val="005D2502"/>
    <w:rsid w:val="005D40BB"/>
    <w:rsid w:val="005D47F3"/>
    <w:rsid w:val="005D49BF"/>
    <w:rsid w:val="005D4AA5"/>
    <w:rsid w:val="005D5F65"/>
    <w:rsid w:val="005D640B"/>
    <w:rsid w:val="005D6F4E"/>
    <w:rsid w:val="005D7926"/>
    <w:rsid w:val="005D7B1B"/>
    <w:rsid w:val="005D7C73"/>
    <w:rsid w:val="005E2683"/>
    <w:rsid w:val="005E293A"/>
    <w:rsid w:val="005E3ACD"/>
    <w:rsid w:val="005E7226"/>
    <w:rsid w:val="005E7A57"/>
    <w:rsid w:val="005F04C9"/>
    <w:rsid w:val="005F0F28"/>
    <w:rsid w:val="005F1E92"/>
    <w:rsid w:val="005F24B0"/>
    <w:rsid w:val="0060002D"/>
    <w:rsid w:val="006013CE"/>
    <w:rsid w:val="00604315"/>
    <w:rsid w:val="00604B54"/>
    <w:rsid w:val="00604E26"/>
    <w:rsid w:val="006052CF"/>
    <w:rsid w:val="006056AF"/>
    <w:rsid w:val="006064C9"/>
    <w:rsid w:val="00606830"/>
    <w:rsid w:val="00607B8D"/>
    <w:rsid w:val="006115A3"/>
    <w:rsid w:val="00611F5C"/>
    <w:rsid w:val="00612F5A"/>
    <w:rsid w:val="00613290"/>
    <w:rsid w:val="006143CD"/>
    <w:rsid w:val="0061611E"/>
    <w:rsid w:val="00616E09"/>
    <w:rsid w:val="00622A3B"/>
    <w:rsid w:val="00622EEA"/>
    <w:rsid w:val="0062391C"/>
    <w:rsid w:val="0062396C"/>
    <w:rsid w:val="00623FF9"/>
    <w:rsid w:val="00624A3F"/>
    <w:rsid w:val="00627D4E"/>
    <w:rsid w:val="00632B89"/>
    <w:rsid w:val="00633075"/>
    <w:rsid w:val="00634478"/>
    <w:rsid w:val="0064013E"/>
    <w:rsid w:val="00642259"/>
    <w:rsid w:val="0064267A"/>
    <w:rsid w:val="00642DD6"/>
    <w:rsid w:val="00643434"/>
    <w:rsid w:val="00644373"/>
    <w:rsid w:val="00645915"/>
    <w:rsid w:val="006519C3"/>
    <w:rsid w:val="00652B30"/>
    <w:rsid w:val="00655C0D"/>
    <w:rsid w:val="00656345"/>
    <w:rsid w:val="00656DC6"/>
    <w:rsid w:val="00660E8E"/>
    <w:rsid w:val="00660EC6"/>
    <w:rsid w:val="00664110"/>
    <w:rsid w:val="006642C8"/>
    <w:rsid w:val="006649A7"/>
    <w:rsid w:val="00664D17"/>
    <w:rsid w:val="00666520"/>
    <w:rsid w:val="006678B5"/>
    <w:rsid w:val="00667C5B"/>
    <w:rsid w:val="00667D65"/>
    <w:rsid w:val="00670AE3"/>
    <w:rsid w:val="006728A9"/>
    <w:rsid w:val="00673DE1"/>
    <w:rsid w:val="00674E5A"/>
    <w:rsid w:val="00676756"/>
    <w:rsid w:val="006836DD"/>
    <w:rsid w:val="00683C24"/>
    <w:rsid w:val="00684697"/>
    <w:rsid w:val="006852F2"/>
    <w:rsid w:val="00691EB8"/>
    <w:rsid w:val="00692A38"/>
    <w:rsid w:val="00692C60"/>
    <w:rsid w:val="00692CDE"/>
    <w:rsid w:val="00693073"/>
    <w:rsid w:val="00694CEC"/>
    <w:rsid w:val="006974D6"/>
    <w:rsid w:val="006977FF"/>
    <w:rsid w:val="006A01FA"/>
    <w:rsid w:val="006A0E9E"/>
    <w:rsid w:val="006A162A"/>
    <w:rsid w:val="006A25C7"/>
    <w:rsid w:val="006A4AAD"/>
    <w:rsid w:val="006A5EE2"/>
    <w:rsid w:val="006A6DA2"/>
    <w:rsid w:val="006A715F"/>
    <w:rsid w:val="006A7AB2"/>
    <w:rsid w:val="006B02A8"/>
    <w:rsid w:val="006B03F8"/>
    <w:rsid w:val="006B5717"/>
    <w:rsid w:val="006B5774"/>
    <w:rsid w:val="006B582F"/>
    <w:rsid w:val="006B5EB2"/>
    <w:rsid w:val="006B7D9A"/>
    <w:rsid w:val="006C0CEB"/>
    <w:rsid w:val="006C1974"/>
    <w:rsid w:val="006C1D0E"/>
    <w:rsid w:val="006C3B1E"/>
    <w:rsid w:val="006C47FD"/>
    <w:rsid w:val="006C5C19"/>
    <w:rsid w:val="006C70A0"/>
    <w:rsid w:val="006D27CB"/>
    <w:rsid w:val="006D2E03"/>
    <w:rsid w:val="006D2F08"/>
    <w:rsid w:val="006D576C"/>
    <w:rsid w:val="006D5865"/>
    <w:rsid w:val="006D5B08"/>
    <w:rsid w:val="006D6A53"/>
    <w:rsid w:val="006E0553"/>
    <w:rsid w:val="006E3164"/>
    <w:rsid w:val="006E4477"/>
    <w:rsid w:val="006E4694"/>
    <w:rsid w:val="006E4B1B"/>
    <w:rsid w:val="006E4F73"/>
    <w:rsid w:val="006E5445"/>
    <w:rsid w:val="006E5E61"/>
    <w:rsid w:val="006E71FF"/>
    <w:rsid w:val="006E7D93"/>
    <w:rsid w:val="006F0B64"/>
    <w:rsid w:val="006F5F9D"/>
    <w:rsid w:val="006F60C6"/>
    <w:rsid w:val="006F6AC2"/>
    <w:rsid w:val="007011F6"/>
    <w:rsid w:val="00701ADF"/>
    <w:rsid w:val="00702807"/>
    <w:rsid w:val="007029A3"/>
    <w:rsid w:val="00705D45"/>
    <w:rsid w:val="00706E4E"/>
    <w:rsid w:val="00707244"/>
    <w:rsid w:val="0070791C"/>
    <w:rsid w:val="00711C18"/>
    <w:rsid w:val="007123F3"/>
    <w:rsid w:val="00712584"/>
    <w:rsid w:val="0071383C"/>
    <w:rsid w:val="007141A7"/>
    <w:rsid w:val="00715722"/>
    <w:rsid w:val="00716F3B"/>
    <w:rsid w:val="007177B6"/>
    <w:rsid w:val="00721032"/>
    <w:rsid w:val="0072173F"/>
    <w:rsid w:val="007219D3"/>
    <w:rsid w:val="00721B55"/>
    <w:rsid w:val="007220AB"/>
    <w:rsid w:val="00722528"/>
    <w:rsid w:val="00723CC5"/>
    <w:rsid w:val="00726269"/>
    <w:rsid w:val="007267F6"/>
    <w:rsid w:val="00726CE4"/>
    <w:rsid w:val="00726D08"/>
    <w:rsid w:val="00731150"/>
    <w:rsid w:val="00734143"/>
    <w:rsid w:val="007356E4"/>
    <w:rsid w:val="0073602E"/>
    <w:rsid w:val="00736515"/>
    <w:rsid w:val="00737C81"/>
    <w:rsid w:val="00737E47"/>
    <w:rsid w:val="00740EAC"/>
    <w:rsid w:val="00742C03"/>
    <w:rsid w:val="00744956"/>
    <w:rsid w:val="00745A5C"/>
    <w:rsid w:val="00745C5E"/>
    <w:rsid w:val="0074605F"/>
    <w:rsid w:val="00746F04"/>
    <w:rsid w:val="007472A4"/>
    <w:rsid w:val="007474F6"/>
    <w:rsid w:val="00747AA0"/>
    <w:rsid w:val="00747E94"/>
    <w:rsid w:val="0075044F"/>
    <w:rsid w:val="007509FB"/>
    <w:rsid w:val="007512AD"/>
    <w:rsid w:val="0075305C"/>
    <w:rsid w:val="00753397"/>
    <w:rsid w:val="00754C83"/>
    <w:rsid w:val="00757260"/>
    <w:rsid w:val="00757F93"/>
    <w:rsid w:val="007623DE"/>
    <w:rsid w:val="007632DA"/>
    <w:rsid w:val="00765DF8"/>
    <w:rsid w:val="00766749"/>
    <w:rsid w:val="00767C1B"/>
    <w:rsid w:val="00767E79"/>
    <w:rsid w:val="00771009"/>
    <w:rsid w:val="007714A9"/>
    <w:rsid w:val="0077260D"/>
    <w:rsid w:val="00774F88"/>
    <w:rsid w:val="00774FDB"/>
    <w:rsid w:val="00777BA2"/>
    <w:rsid w:val="00780EBA"/>
    <w:rsid w:val="00781408"/>
    <w:rsid w:val="00781B78"/>
    <w:rsid w:val="007824E5"/>
    <w:rsid w:val="00782E8C"/>
    <w:rsid w:val="00784F7F"/>
    <w:rsid w:val="00785E0F"/>
    <w:rsid w:val="00785EEE"/>
    <w:rsid w:val="007867A7"/>
    <w:rsid w:val="007878BD"/>
    <w:rsid w:val="00794969"/>
    <w:rsid w:val="0079570C"/>
    <w:rsid w:val="00795837"/>
    <w:rsid w:val="00796F25"/>
    <w:rsid w:val="007A10A5"/>
    <w:rsid w:val="007A147A"/>
    <w:rsid w:val="007A2E98"/>
    <w:rsid w:val="007A3BA3"/>
    <w:rsid w:val="007A3F93"/>
    <w:rsid w:val="007A46B6"/>
    <w:rsid w:val="007A6CC0"/>
    <w:rsid w:val="007A7FEC"/>
    <w:rsid w:val="007B1499"/>
    <w:rsid w:val="007B1BBF"/>
    <w:rsid w:val="007B2960"/>
    <w:rsid w:val="007B355D"/>
    <w:rsid w:val="007B438A"/>
    <w:rsid w:val="007B5302"/>
    <w:rsid w:val="007B74C5"/>
    <w:rsid w:val="007B7980"/>
    <w:rsid w:val="007C0DEF"/>
    <w:rsid w:val="007C1944"/>
    <w:rsid w:val="007C2F71"/>
    <w:rsid w:val="007C3F30"/>
    <w:rsid w:val="007C5D5A"/>
    <w:rsid w:val="007C607F"/>
    <w:rsid w:val="007C79DD"/>
    <w:rsid w:val="007D1A97"/>
    <w:rsid w:val="007D1D21"/>
    <w:rsid w:val="007D1E42"/>
    <w:rsid w:val="007D2CD6"/>
    <w:rsid w:val="007D3063"/>
    <w:rsid w:val="007D3CEB"/>
    <w:rsid w:val="007D3DD3"/>
    <w:rsid w:val="007D43BC"/>
    <w:rsid w:val="007D5AAB"/>
    <w:rsid w:val="007D659F"/>
    <w:rsid w:val="007E5314"/>
    <w:rsid w:val="007E7683"/>
    <w:rsid w:val="007F0F7D"/>
    <w:rsid w:val="007F1C3A"/>
    <w:rsid w:val="007F49FA"/>
    <w:rsid w:val="007F54C4"/>
    <w:rsid w:val="007F5F75"/>
    <w:rsid w:val="007F69B3"/>
    <w:rsid w:val="007F6E9A"/>
    <w:rsid w:val="008003AC"/>
    <w:rsid w:val="00800BB2"/>
    <w:rsid w:val="008044D4"/>
    <w:rsid w:val="00804772"/>
    <w:rsid w:val="00806FBD"/>
    <w:rsid w:val="00807B5A"/>
    <w:rsid w:val="00807E91"/>
    <w:rsid w:val="00810AB4"/>
    <w:rsid w:val="0081362F"/>
    <w:rsid w:val="00814CF5"/>
    <w:rsid w:val="00817B56"/>
    <w:rsid w:val="00820252"/>
    <w:rsid w:val="00820A2C"/>
    <w:rsid w:val="00820C48"/>
    <w:rsid w:val="00821A88"/>
    <w:rsid w:val="00822B3D"/>
    <w:rsid w:val="00823D6A"/>
    <w:rsid w:val="0082495D"/>
    <w:rsid w:val="00825F44"/>
    <w:rsid w:val="00831128"/>
    <w:rsid w:val="00831AC3"/>
    <w:rsid w:val="0083317D"/>
    <w:rsid w:val="00835ED2"/>
    <w:rsid w:val="0083677F"/>
    <w:rsid w:val="00836796"/>
    <w:rsid w:val="008408FF"/>
    <w:rsid w:val="00841827"/>
    <w:rsid w:val="008428F3"/>
    <w:rsid w:val="00842CBD"/>
    <w:rsid w:val="008438C7"/>
    <w:rsid w:val="00846FA6"/>
    <w:rsid w:val="008516A3"/>
    <w:rsid w:val="00851F3F"/>
    <w:rsid w:val="00852585"/>
    <w:rsid w:val="00853A89"/>
    <w:rsid w:val="00854282"/>
    <w:rsid w:val="00856EDC"/>
    <w:rsid w:val="008574C6"/>
    <w:rsid w:val="00860006"/>
    <w:rsid w:val="00860A31"/>
    <w:rsid w:val="008623B5"/>
    <w:rsid w:val="00862AB8"/>
    <w:rsid w:val="008637F8"/>
    <w:rsid w:val="00866E96"/>
    <w:rsid w:val="00870ABA"/>
    <w:rsid w:val="00870B27"/>
    <w:rsid w:val="008710E1"/>
    <w:rsid w:val="008716E5"/>
    <w:rsid w:val="00873D1D"/>
    <w:rsid w:val="00874AE0"/>
    <w:rsid w:val="008801A8"/>
    <w:rsid w:val="0088038C"/>
    <w:rsid w:val="00881625"/>
    <w:rsid w:val="00881CA9"/>
    <w:rsid w:val="00881ED0"/>
    <w:rsid w:val="00882639"/>
    <w:rsid w:val="00883628"/>
    <w:rsid w:val="00885544"/>
    <w:rsid w:val="0088634E"/>
    <w:rsid w:val="008923F1"/>
    <w:rsid w:val="008938F7"/>
    <w:rsid w:val="00893AB8"/>
    <w:rsid w:val="00894E0F"/>
    <w:rsid w:val="00895B8D"/>
    <w:rsid w:val="00896843"/>
    <w:rsid w:val="008972B6"/>
    <w:rsid w:val="00897518"/>
    <w:rsid w:val="008A04C8"/>
    <w:rsid w:val="008A0940"/>
    <w:rsid w:val="008A268B"/>
    <w:rsid w:val="008A315D"/>
    <w:rsid w:val="008A33DB"/>
    <w:rsid w:val="008A4B4C"/>
    <w:rsid w:val="008A507D"/>
    <w:rsid w:val="008A6913"/>
    <w:rsid w:val="008B10EE"/>
    <w:rsid w:val="008B18AF"/>
    <w:rsid w:val="008B4D04"/>
    <w:rsid w:val="008B70F3"/>
    <w:rsid w:val="008B71C4"/>
    <w:rsid w:val="008B76DF"/>
    <w:rsid w:val="008C10F4"/>
    <w:rsid w:val="008C17E8"/>
    <w:rsid w:val="008C3AF6"/>
    <w:rsid w:val="008C3D36"/>
    <w:rsid w:val="008C40D6"/>
    <w:rsid w:val="008C65F7"/>
    <w:rsid w:val="008C7AD1"/>
    <w:rsid w:val="008D12F7"/>
    <w:rsid w:val="008D3FE4"/>
    <w:rsid w:val="008D6BD1"/>
    <w:rsid w:val="008D757B"/>
    <w:rsid w:val="008D77CC"/>
    <w:rsid w:val="008E2D43"/>
    <w:rsid w:val="008E4767"/>
    <w:rsid w:val="008E7A8C"/>
    <w:rsid w:val="008E7AF1"/>
    <w:rsid w:val="008F0E90"/>
    <w:rsid w:val="008F1F4B"/>
    <w:rsid w:val="008F208F"/>
    <w:rsid w:val="008F7B02"/>
    <w:rsid w:val="008F7E36"/>
    <w:rsid w:val="009020A7"/>
    <w:rsid w:val="00902157"/>
    <w:rsid w:val="00903285"/>
    <w:rsid w:val="00903F3B"/>
    <w:rsid w:val="00904C22"/>
    <w:rsid w:val="0090581E"/>
    <w:rsid w:val="009066D7"/>
    <w:rsid w:val="00906F40"/>
    <w:rsid w:val="0090731E"/>
    <w:rsid w:val="00913A13"/>
    <w:rsid w:val="00913A8F"/>
    <w:rsid w:val="0091594D"/>
    <w:rsid w:val="00915B1C"/>
    <w:rsid w:val="009174F3"/>
    <w:rsid w:val="0091797D"/>
    <w:rsid w:val="0092139F"/>
    <w:rsid w:val="00922772"/>
    <w:rsid w:val="00923CBA"/>
    <w:rsid w:val="00923D7A"/>
    <w:rsid w:val="00926703"/>
    <w:rsid w:val="009274BE"/>
    <w:rsid w:val="00927691"/>
    <w:rsid w:val="00927A5F"/>
    <w:rsid w:val="00930AEA"/>
    <w:rsid w:val="00931058"/>
    <w:rsid w:val="00932C24"/>
    <w:rsid w:val="00935B63"/>
    <w:rsid w:val="0093629A"/>
    <w:rsid w:val="0094078F"/>
    <w:rsid w:val="00940FA3"/>
    <w:rsid w:val="00941D1A"/>
    <w:rsid w:val="00941FB0"/>
    <w:rsid w:val="009426D4"/>
    <w:rsid w:val="00947DFF"/>
    <w:rsid w:val="00947F25"/>
    <w:rsid w:val="00950159"/>
    <w:rsid w:val="0095141F"/>
    <w:rsid w:val="0095354A"/>
    <w:rsid w:val="00954909"/>
    <w:rsid w:val="0095490B"/>
    <w:rsid w:val="00960A33"/>
    <w:rsid w:val="00970B75"/>
    <w:rsid w:val="00971914"/>
    <w:rsid w:val="00974363"/>
    <w:rsid w:val="0098155C"/>
    <w:rsid w:val="00981898"/>
    <w:rsid w:val="0098379A"/>
    <w:rsid w:val="009853CE"/>
    <w:rsid w:val="00985C3F"/>
    <w:rsid w:val="00986831"/>
    <w:rsid w:val="00986CDA"/>
    <w:rsid w:val="0099096D"/>
    <w:rsid w:val="00992376"/>
    <w:rsid w:val="00992DD0"/>
    <w:rsid w:val="00992EA4"/>
    <w:rsid w:val="00994A19"/>
    <w:rsid w:val="0099577C"/>
    <w:rsid w:val="00996625"/>
    <w:rsid w:val="00997B45"/>
    <w:rsid w:val="009A2011"/>
    <w:rsid w:val="009A3949"/>
    <w:rsid w:val="009A4E05"/>
    <w:rsid w:val="009A4EDA"/>
    <w:rsid w:val="009A6097"/>
    <w:rsid w:val="009A649D"/>
    <w:rsid w:val="009A7CF9"/>
    <w:rsid w:val="009A7E7F"/>
    <w:rsid w:val="009B2601"/>
    <w:rsid w:val="009B47DC"/>
    <w:rsid w:val="009B4C9A"/>
    <w:rsid w:val="009B4E9E"/>
    <w:rsid w:val="009B4F2F"/>
    <w:rsid w:val="009B562B"/>
    <w:rsid w:val="009B6B66"/>
    <w:rsid w:val="009B6D96"/>
    <w:rsid w:val="009C01E3"/>
    <w:rsid w:val="009C1690"/>
    <w:rsid w:val="009C1BE0"/>
    <w:rsid w:val="009C2404"/>
    <w:rsid w:val="009C4172"/>
    <w:rsid w:val="009C41ED"/>
    <w:rsid w:val="009C5F16"/>
    <w:rsid w:val="009C6881"/>
    <w:rsid w:val="009C7759"/>
    <w:rsid w:val="009D02D1"/>
    <w:rsid w:val="009D043D"/>
    <w:rsid w:val="009D07C8"/>
    <w:rsid w:val="009D69A5"/>
    <w:rsid w:val="009D6C71"/>
    <w:rsid w:val="009D74E2"/>
    <w:rsid w:val="009E0631"/>
    <w:rsid w:val="009E16D0"/>
    <w:rsid w:val="009E2D0F"/>
    <w:rsid w:val="009E2EED"/>
    <w:rsid w:val="009E370A"/>
    <w:rsid w:val="009E38FD"/>
    <w:rsid w:val="009E3ECA"/>
    <w:rsid w:val="009E6CB1"/>
    <w:rsid w:val="009E6ED1"/>
    <w:rsid w:val="009F0771"/>
    <w:rsid w:val="009F13D6"/>
    <w:rsid w:val="009F2309"/>
    <w:rsid w:val="009F24D6"/>
    <w:rsid w:val="009F4390"/>
    <w:rsid w:val="009F4C6B"/>
    <w:rsid w:val="009F5B17"/>
    <w:rsid w:val="009F5B80"/>
    <w:rsid w:val="009F6FAA"/>
    <w:rsid w:val="009F78A8"/>
    <w:rsid w:val="00A0240E"/>
    <w:rsid w:val="00A02AD6"/>
    <w:rsid w:val="00A0587C"/>
    <w:rsid w:val="00A05D96"/>
    <w:rsid w:val="00A07096"/>
    <w:rsid w:val="00A07318"/>
    <w:rsid w:val="00A07457"/>
    <w:rsid w:val="00A078F8"/>
    <w:rsid w:val="00A11370"/>
    <w:rsid w:val="00A128EB"/>
    <w:rsid w:val="00A13E1A"/>
    <w:rsid w:val="00A1420B"/>
    <w:rsid w:val="00A179E4"/>
    <w:rsid w:val="00A2090D"/>
    <w:rsid w:val="00A220C5"/>
    <w:rsid w:val="00A224CE"/>
    <w:rsid w:val="00A22522"/>
    <w:rsid w:val="00A22D65"/>
    <w:rsid w:val="00A24AFD"/>
    <w:rsid w:val="00A24F5C"/>
    <w:rsid w:val="00A309B4"/>
    <w:rsid w:val="00A31B86"/>
    <w:rsid w:val="00A31BB9"/>
    <w:rsid w:val="00A32A77"/>
    <w:rsid w:val="00A32F96"/>
    <w:rsid w:val="00A330D6"/>
    <w:rsid w:val="00A3419B"/>
    <w:rsid w:val="00A34BA7"/>
    <w:rsid w:val="00A35DB1"/>
    <w:rsid w:val="00A40871"/>
    <w:rsid w:val="00A412AB"/>
    <w:rsid w:val="00A4193E"/>
    <w:rsid w:val="00A430EA"/>
    <w:rsid w:val="00A439A9"/>
    <w:rsid w:val="00A440E0"/>
    <w:rsid w:val="00A442EF"/>
    <w:rsid w:val="00A45138"/>
    <w:rsid w:val="00A47355"/>
    <w:rsid w:val="00A47699"/>
    <w:rsid w:val="00A50A86"/>
    <w:rsid w:val="00A51D1A"/>
    <w:rsid w:val="00A540F4"/>
    <w:rsid w:val="00A5418D"/>
    <w:rsid w:val="00A5474E"/>
    <w:rsid w:val="00A56997"/>
    <w:rsid w:val="00A57337"/>
    <w:rsid w:val="00A618AA"/>
    <w:rsid w:val="00A63602"/>
    <w:rsid w:val="00A63990"/>
    <w:rsid w:val="00A64234"/>
    <w:rsid w:val="00A64841"/>
    <w:rsid w:val="00A6715E"/>
    <w:rsid w:val="00A70ADF"/>
    <w:rsid w:val="00A71466"/>
    <w:rsid w:val="00A74B5E"/>
    <w:rsid w:val="00A77064"/>
    <w:rsid w:val="00A771E3"/>
    <w:rsid w:val="00A77257"/>
    <w:rsid w:val="00A777DE"/>
    <w:rsid w:val="00A81AC9"/>
    <w:rsid w:val="00A81B45"/>
    <w:rsid w:val="00A81BED"/>
    <w:rsid w:val="00A81EC4"/>
    <w:rsid w:val="00A81F83"/>
    <w:rsid w:val="00A836DF"/>
    <w:rsid w:val="00A8384D"/>
    <w:rsid w:val="00A845F5"/>
    <w:rsid w:val="00A84DFD"/>
    <w:rsid w:val="00A909F0"/>
    <w:rsid w:val="00A92409"/>
    <w:rsid w:val="00A94C65"/>
    <w:rsid w:val="00A958E5"/>
    <w:rsid w:val="00A9593B"/>
    <w:rsid w:val="00A967FD"/>
    <w:rsid w:val="00A96BF6"/>
    <w:rsid w:val="00AA03E0"/>
    <w:rsid w:val="00AA11E1"/>
    <w:rsid w:val="00AA2DE5"/>
    <w:rsid w:val="00AA4586"/>
    <w:rsid w:val="00AA498B"/>
    <w:rsid w:val="00AA4AC6"/>
    <w:rsid w:val="00AA6090"/>
    <w:rsid w:val="00AA67CB"/>
    <w:rsid w:val="00AA6897"/>
    <w:rsid w:val="00AA6A55"/>
    <w:rsid w:val="00AA79C3"/>
    <w:rsid w:val="00AB156C"/>
    <w:rsid w:val="00AB1912"/>
    <w:rsid w:val="00AB292B"/>
    <w:rsid w:val="00AB38B4"/>
    <w:rsid w:val="00AB44AE"/>
    <w:rsid w:val="00AB55EE"/>
    <w:rsid w:val="00AB6814"/>
    <w:rsid w:val="00AB6FB4"/>
    <w:rsid w:val="00AB71CC"/>
    <w:rsid w:val="00AC04BA"/>
    <w:rsid w:val="00AC069C"/>
    <w:rsid w:val="00AC0E39"/>
    <w:rsid w:val="00AC3565"/>
    <w:rsid w:val="00AC3733"/>
    <w:rsid w:val="00AC3E00"/>
    <w:rsid w:val="00AC425F"/>
    <w:rsid w:val="00AC640E"/>
    <w:rsid w:val="00AC7EDB"/>
    <w:rsid w:val="00AD2493"/>
    <w:rsid w:val="00AD3082"/>
    <w:rsid w:val="00AD32B4"/>
    <w:rsid w:val="00AD4AD0"/>
    <w:rsid w:val="00AD5436"/>
    <w:rsid w:val="00AD60B8"/>
    <w:rsid w:val="00AD60CD"/>
    <w:rsid w:val="00AD6C8C"/>
    <w:rsid w:val="00AD6F7C"/>
    <w:rsid w:val="00AD7591"/>
    <w:rsid w:val="00AE091D"/>
    <w:rsid w:val="00AE21B6"/>
    <w:rsid w:val="00AE3B60"/>
    <w:rsid w:val="00AE53A1"/>
    <w:rsid w:val="00AE6AE9"/>
    <w:rsid w:val="00AF06C8"/>
    <w:rsid w:val="00AF1020"/>
    <w:rsid w:val="00AF2484"/>
    <w:rsid w:val="00AF63E7"/>
    <w:rsid w:val="00AF64D2"/>
    <w:rsid w:val="00AF6E17"/>
    <w:rsid w:val="00B0165D"/>
    <w:rsid w:val="00B01B60"/>
    <w:rsid w:val="00B031F3"/>
    <w:rsid w:val="00B052A4"/>
    <w:rsid w:val="00B10986"/>
    <w:rsid w:val="00B10CF5"/>
    <w:rsid w:val="00B1162F"/>
    <w:rsid w:val="00B125DE"/>
    <w:rsid w:val="00B127BE"/>
    <w:rsid w:val="00B13FDD"/>
    <w:rsid w:val="00B15C01"/>
    <w:rsid w:val="00B20A6B"/>
    <w:rsid w:val="00B22B2D"/>
    <w:rsid w:val="00B22EB2"/>
    <w:rsid w:val="00B235A4"/>
    <w:rsid w:val="00B26266"/>
    <w:rsid w:val="00B27442"/>
    <w:rsid w:val="00B31167"/>
    <w:rsid w:val="00B32398"/>
    <w:rsid w:val="00B329D8"/>
    <w:rsid w:val="00B32BB9"/>
    <w:rsid w:val="00B33AE1"/>
    <w:rsid w:val="00B34068"/>
    <w:rsid w:val="00B3507F"/>
    <w:rsid w:val="00B359D7"/>
    <w:rsid w:val="00B35A52"/>
    <w:rsid w:val="00B36242"/>
    <w:rsid w:val="00B37C38"/>
    <w:rsid w:val="00B4288C"/>
    <w:rsid w:val="00B42AC0"/>
    <w:rsid w:val="00B43262"/>
    <w:rsid w:val="00B43284"/>
    <w:rsid w:val="00B44100"/>
    <w:rsid w:val="00B4662E"/>
    <w:rsid w:val="00B46CBA"/>
    <w:rsid w:val="00B46F94"/>
    <w:rsid w:val="00B50620"/>
    <w:rsid w:val="00B521CA"/>
    <w:rsid w:val="00B6003C"/>
    <w:rsid w:val="00B60189"/>
    <w:rsid w:val="00B602C4"/>
    <w:rsid w:val="00B61F03"/>
    <w:rsid w:val="00B62069"/>
    <w:rsid w:val="00B626E4"/>
    <w:rsid w:val="00B63AEE"/>
    <w:rsid w:val="00B6506E"/>
    <w:rsid w:val="00B70AC8"/>
    <w:rsid w:val="00B72F4A"/>
    <w:rsid w:val="00B75DE3"/>
    <w:rsid w:val="00B7679D"/>
    <w:rsid w:val="00B77D57"/>
    <w:rsid w:val="00B80095"/>
    <w:rsid w:val="00B82D30"/>
    <w:rsid w:val="00B8334D"/>
    <w:rsid w:val="00B83C27"/>
    <w:rsid w:val="00B84BC3"/>
    <w:rsid w:val="00B84BDD"/>
    <w:rsid w:val="00B85B64"/>
    <w:rsid w:val="00B8672C"/>
    <w:rsid w:val="00B86BEC"/>
    <w:rsid w:val="00B87AD1"/>
    <w:rsid w:val="00B91593"/>
    <w:rsid w:val="00B92018"/>
    <w:rsid w:val="00B92812"/>
    <w:rsid w:val="00B93234"/>
    <w:rsid w:val="00B933D2"/>
    <w:rsid w:val="00B95113"/>
    <w:rsid w:val="00B95DA7"/>
    <w:rsid w:val="00B96E32"/>
    <w:rsid w:val="00B9742A"/>
    <w:rsid w:val="00B97BA0"/>
    <w:rsid w:val="00B97E72"/>
    <w:rsid w:val="00BA0632"/>
    <w:rsid w:val="00BA065A"/>
    <w:rsid w:val="00BA0FCD"/>
    <w:rsid w:val="00BA3382"/>
    <w:rsid w:val="00BA37D3"/>
    <w:rsid w:val="00BA4C5C"/>
    <w:rsid w:val="00BA5250"/>
    <w:rsid w:val="00BA5A9D"/>
    <w:rsid w:val="00BA7358"/>
    <w:rsid w:val="00BB1683"/>
    <w:rsid w:val="00BB45A1"/>
    <w:rsid w:val="00BB58F3"/>
    <w:rsid w:val="00BB7686"/>
    <w:rsid w:val="00BC23F9"/>
    <w:rsid w:val="00BC3421"/>
    <w:rsid w:val="00BC3B11"/>
    <w:rsid w:val="00BC40CC"/>
    <w:rsid w:val="00BC6887"/>
    <w:rsid w:val="00BC732C"/>
    <w:rsid w:val="00BD04A3"/>
    <w:rsid w:val="00BD0DBD"/>
    <w:rsid w:val="00BD1044"/>
    <w:rsid w:val="00BD4B1B"/>
    <w:rsid w:val="00BD642F"/>
    <w:rsid w:val="00BD7F49"/>
    <w:rsid w:val="00BE0F77"/>
    <w:rsid w:val="00BE137A"/>
    <w:rsid w:val="00BE165F"/>
    <w:rsid w:val="00BE2580"/>
    <w:rsid w:val="00BE266D"/>
    <w:rsid w:val="00BE29D0"/>
    <w:rsid w:val="00BE3938"/>
    <w:rsid w:val="00BE3CD9"/>
    <w:rsid w:val="00BE4C11"/>
    <w:rsid w:val="00BE71C0"/>
    <w:rsid w:val="00BF4CA4"/>
    <w:rsid w:val="00BF610C"/>
    <w:rsid w:val="00C0060B"/>
    <w:rsid w:val="00C019A6"/>
    <w:rsid w:val="00C01DE2"/>
    <w:rsid w:val="00C024C3"/>
    <w:rsid w:val="00C0277D"/>
    <w:rsid w:val="00C053A1"/>
    <w:rsid w:val="00C1098A"/>
    <w:rsid w:val="00C11B9D"/>
    <w:rsid w:val="00C122F0"/>
    <w:rsid w:val="00C1250B"/>
    <w:rsid w:val="00C13803"/>
    <w:rsid w:val="00C146F3"/>
    <w:rsid w:val="00C15678"/>
    <w:rsid w:val="00C16198"/>
    <w:rsid w:val="00C17B57"/>
    <w:rsid w:val="00C2083D"/>
    <w:rsid w:val="00C23E32"/>
    <w:rsid w:val="00C24A53"/>
    <w:rsid w:val="00C24CC3"/>
    <w:rsid w:val="00C25A8B"/>
    <w:rsid w:val="00C27B6A"/>
    <w:rsid w:val="00C31BB4"/>
    <w:rsid w:val="00C333A0"/>
    <w:rsid w:val="00C34A05"/>
    <w:rsid w:val="00C356CD"/>
    <w:rsid w:val="00C35823"/>
    <w:rsid w:val="00C37202"/>
    <w:rsid w:val="00C3720F"/>
    <w:rsid w:val="00C37F1F"/>
    <w:rsid w:val="00C4032F"/>
    <w:rsid w:val="00C403A4"/>
    <w:rsid w:val="00C42102"/>
    <w:rsid w:val="00C42112"/>
    <w:rsid w:val="00C44047"/>
    <w:rsid w:val="00C44312"/>
    <w:rsid w:val="00C45155"/>
    <w:rsid w:val="00C468E8"/>
    <w:rsid w:val="00C508C4"/>
    <w:rsid w:val="00C5200F"/>
    <w:rsid w:val="00C52029"/>
    <w:rsid w:val="00C5216C"/>
    <w:rsid w:val="00C539DA"/>
    <w:rsid w:val="00C5498F"/>
    <w:rsid w:val="00C55235"/>
    <w:rsid w:val="00C55467"/>
    <w:rsid w:val="00C5595D"/>
    <w:rsid w:val="00C6294F"/>
    <w:rsid w:val="00C64B45"/>
    <w:rsid w:val="00C64CD0"/>
    <w:rsid w:val="00C6528D"/>
    <w:rsid w:val="00C655CC"/>
    <w:rsid w:val="00C6560D"/>
    <w:rsid w:val="00C6684F"/>
    <w:rsid w:val="00C67232"/>
    <w:rsid w:val="00C67D4F"/>
    <w:rsid w:val="00C700F0"/>
    <w:rsid w:val="00C702D9"/>
    <w:rsid w:val="00C70E70"/>
    <w:rsid w:val="00C75F8D"/>
    <w:rsid w:val="00C77380"/>
    <w:rsid w:val="00C850FA"/>
    <w:rsid w:val="00C86EDF"/>
    <w:rsid w:val="00C87159"/>
    <w:rsid w:val="00C9090F"/>
    <w:rsid w:val="00C91AA8"/>
    <w:rsid w:val="00C926A0"/>
    <w:rsid w:val="00C97736"/>
    <w:rsid w:val="00C97F9B"/>
    <w:rsid w:val="00CA1BDB"/>
    <w:rsid w:val="00CA345A"/>
    <w:rsid w:val="00CA4CD4"/>
    <w:rsid w:val="00CA590C"/>
    <w:rsid w:val="00CB1E82"/>
    <w:rsid w:val="00CB3100"/>
    <w:rsid w:val="00CB38A2"/>
    <w:rsid w:val="00CB4BA8"/>
    <w:rsid w:val="00CB52D7"/>
    <w:rsid w:val="00CB7019"/>
    <w:rsid w:val="00CB70C3"/>
    <w:rsid w:val="00CC20C9"/>
    <w:rsid w:val="00CC5BBF"/>
    <w:rsid w:val="00CC64DC"/>
    <w:rsid w:val="00CC6732"/>
    <w:rsid w:val="00CC7CE9"/>
    <w:rsid w:val="00CD1908"/>
    <w:rsid w:val="00CD2C90"/>
    <w:rsid w:val="00CD4C1F"/>
    <w:rsid w:val="00CE3C96"/>
    <w:rsid w:val="00CE513D"/>
    <w:rsid w:val="00CE51A8"/>
    <w:rsid w:val="00CE5A89"/>
    <w:rsid w:val="00CE5B6E"/>
    <w:rsid w:val="00CE6759"/>
    <w:rsid w:val="00CE7466"/>
    <w:rsid w:val="00CF0C4B"/>
    <w:rsid w:val="00CF15D2"/>
    <w:rsid w:val="00CF369B"/>
    <w:rsid w:val="00CF3996"/>
    <w:rsid w:val="00CF3A18"/>
    <w:rsid w:val="00CF4651"/>
    <w:rsid w:val="00CF7C8A"/>
    <w:rsid w:val="00D00E28"/>
    <w:rsid w:val="00D0269E"/>
    <w:rsid w:val="00D02CFD"/>
    <w:rsid w:val="00D05D6C"/>
    <w:rsid w:val="00D10FB5"/>
    <w:rsid w:val="00D11F88"/>
    <w:rsid w:val="00D122AF"/>
    <w:rsid w:val="00D1268D"/>
    <w:rsid w:val="00D12AC8"/>
    <w:rsid w:val="00D13D0F"/>
    <w:rsid w:val="00D15305"/>
    <w:rsid w:val="00D15810"/>
    <w:rsid w:val="00D15EDE"/>
    <w:rsid w:val="00D162F2"/>
    <w:rsid w:val="00D16416"/>
    <w:rsid w:val="00D16D4E"/>
    <w:rsid w:val="00D16FE3"/>
    <w:rsid w:val="00D20112"/>
    <w:rsid w:val="00D21A14"/>
    <w:rsid w:val="00D23A79"/>
    <w:rsid w:val="00D274B0"/>
    <w:rsid w:val="00D27F41"/>
    <w:rsid w:val="00D31092"/>
    <w:rsid w:val="00D32C16"/>
    <w:rsid w:val="00D331CF"/>
    <w:rsid w:val="00D337EE"/>
    <w:rsid w:val="00D33A72"/>
    <w:rsid w:val="00D35C87"/>
    <w:rsid w:val="00D36441"/>
    <w:rsid w:val="00D36FD6"/>
    <w:rsid w:val="00D37360"/>
    <w:rsid w:val="00D4064E"/>
    <w:rsid w:val="00D44DA6"/>
    <w:rsid w:val="00D44E9B"/>
    <w:rsid w:val="00D47AEB"/>
    <w:rsid w:val="00D47C75"/>
    <w:rsid w:val="00D50DB9"/>
    <w:rsid w:val="00D50FA5"/>
    <w:rsid w:val="00D51302"/>
    <w:rsid w:val="00D52C43"/>
    <w:rsid w:val="00D53488"/>
    <w:rsid w:val="00D54A6C"/>
    <w:rsid w:val="00D60DFE"/>
    <w:rsid w:val="00D61494"/>
    <w:rsid w:val="00D6507F"/>
    <w:rsid w:val="00D656E9"/>
    <w:rsid w:val="00D657B6"/>
    <w:rsid w:val="00D66F49"/>
    <w:rsid w:val="00D730BC"/>
    <w:rsid w:val="00D738B1"/>
    <w:rsid w:val="00D73912"/>
    <w:rsid w:val="00D7536A"/>
    <w:rsid w:val="00D83A3A"/>
    <w:rsid w:val="00D85226"/>
    <w:rsid w:val="00D8557E"/>
    <w:rsid w:val="00D87B94"/>
    <w:rsid w:val="00D915EC"/>
    <w:rsid w:val="00D917E0"/>
    <w:rsid w:val="00D92D49"/>
    <w:rsid w:val="00D92EC1"/>
    <w:rsid w:val="00D93B1D"/>
    <w:rsid w:val="00D94F54"/>
    <w:rsid w:val="00D96DEA"/>
    <w:rsid w:val="00D97431"/>
    <w:rsid w:val="00D97D48"/>
    <w:rsid w:val="00DA01C3"/>
    <w:rsid w:val="00DA4E41"/>
    <w:rsid w:val="00DA6E5E"/>
    <w:rsid w:val="00DA703E"/>
    <w:rsid w:val="00DA77ED"/>
    <w:rsid w:val="00DB117A"/>
    <w:rsid w:val="00DB1D84"/>
    <w:rsid w:val="00DB5173"/>
    <w:rsid w:val="00DB5F1B"/>
    <w:rsid w:val="00DB69BA"/>
    <w:rsid w:val="00DB7873"/>
    <w:rsid w:val="00DC04B0"/>
    <w:rsid w:val="00DC187B"/>
    <w:rsid w:val="00DC1A20"/>
    <w:rsid w:val="00DC2175"/>
    <w:rsid w:val="00DC42B0"/>
    <w:rsid w:val="00DD0F9E"/>
    <w:rsid w:val="00DD1A43"/>
    <w:rsid w:val="00DD1CF2"/>
    <w:rsid w:val="00DD6668"/>
    <w:rsid w:val="00DD6A8D"/>
    <w:rsid w:val="00DD73C2"/>
    <w:rsid w:val="00DE0A5E"/>
    <w:rsid w:val="00DE0B0A"/>
    <w:rsid w:val="00DE319B"/>
    <w:rsid w:val="00DE3EF1"/>
    <w:rsid w:val="00DE5B4C"/>
    <w:rsid w:val="00DE6398"/>
    <w:rsid w:val="00DE755E"/>
    <w:rsid w:val="00DF34FE"/>
    <w:rsid w:val="00DF46F9"/>
    <w:rsid w:val="00DF513D"/>
    <w:rsid w:val="00DF56AA"/>
    <w:rsid w:val="00DF56AF"/>
    <w:rsid w:val="00DF6DD2"/>
    <w:rsid w:val="00DF78E7"/>
    <w:rsid w:val="00E00E04"/>
    <w:rsid w:val="00E02078"/>
    <w:rsid w:val="00E03836"/>
    <w:rsid w:val="00E051C2"/>
    <w:rsid w:val="00E0593A"/>
    <w:rsid w:val="00E110E0"/>
    <w:rsid w:val="00E135BD"/>
    <w:rsid w:val="00E15371"/>
    <w:rsid w:val="00E17EAF"/>
    <w:rsid w:val="00E21061"/>
    <w:rsid w:val="00E24101"/>
    <w:rsid w:val="00E24104"/>
    <w:rsid w:val="00E302D0"/>
    <w:rsid w:val="00E3161C"/>
    <w:rsid w:val="00E342EA"/>
    <w:rsid w:val="00E35707"/>
    <w:rsid w:val="00E36AA1"/>
    <w:rsid w:val="00E36E80"/>
    <w:rsid w:val="00E41ECB"/>
    <w:rsid w:val="00E43F3A"/>
    <w:rsid w:val="00E45ACA"/>
    <w:rsid w:val="00E465C9"/>
    <w:rsid w:val="00E545C3"/>
    <w:rsid w:val="00E54FDB"/>
    <w:rsid w:val="00E55FDA"/>
    <w:rsid w:val="00E5617D"/>
    <w:rsid w:val="00E563D7"/>
    <w:rsid w:val="00E56C26"/>
    <w:rsid w:val="00E5717E"/>
    <w:rsid w:val="00E57AD3"/>
    <w:rsid w:val="00E60DDE"/>
    <w:rsid w:val="00E624F5"/>
    <w:rsid w:val="00E62CB0"/>
    <w:rsid w:val="00E63437"/>
    <w:rsid w:val="00E663F4"/>
    <w:rsid w:val="00E663F9"/>
    <w:rsid w:val="00E6655E"/>
    <w:rsid w:val="00E666F2"/>
    <w:rsid w:val="00E66DD4"/>
    <w:rsid w:val="00E675FD"/>
    <w:rsid w:val="00E71C11"/>
    <w:rsid w:val="00E72710"/>
    <w:rsid w:val="00E732C6"/>
    <w:rsid w:val="00E748CC"/>
    <w:rsid w:val="00E75415"/>
    <w:rsid w:val="00E75EF3"/>
    <w:rsid w:val="00E775B1"/>
    <w:rsid w:val="00E8152A"/>
    <w:rsid w:val="00E8261B"/>
    <w:rsid w:val="00E84633"/>
    <w:rsid w:val="00E849B9"/>
    <w:rsid w:val="00E864D6"/>
    <w:rsid w:val="00E87C4C"/>
    <w:rsid w:val="00E900AB"/>
    <w:rsid w:val="00E9017C"/>
    <w:rsid w:val="00E90182"/>
    <w:rsid w:val="00E9036A"/>
    <w:rsid w:val="00E92590"/>
    <w:rsid w:val="00E93629"/>
    <w:rsid w:val="00E93B5C"/>
    <w:rsid w:val="00E944E4"/>
    <w:rsid w:val="00E9469A"/>
    <w:rsid w:val="00E94CEC"/>
    <w:rsid w:val="00E96E12"/>
    <w:rsid w:val="00E9752A"/>
    <w:rsid w:val="00E9766C"/>
    <w:rsid w:val="00EA04EF"/>
    <w:rsid w:val="00EA075D"/>
    <w:rsid w:val="00EA1812"/>
    <w:rsid w:val="00EA28A9"/>
    <w:rsid w:val="00EA3818"/>
    <w:rsid w:val="00EA3A07"/>
    <w:rsid w:val="00EA499B"/>
    <w:rsid w:val="00EA56DA"/>
    <w:rsid w:val="00EA577C"/>
    <w:rsid w:val="00EA6BE4"/>
    <w:rsid w:val="00EA6F19"/>
    <w:rsid w:val="00EA7811"/>
    <w:rsid w:val="00EB1B45"/>
    <w:rsid w:val="00EB5AF2"/>
    <w:rsid w:val="00EB5B8A"/>
    <w:rsid w:val="00EB6D90"/>
    <w:rsid w:val="00EB7090"/>
    <w:rsid w:val="00EB72D4"/>
    <w:rsid w:val="00EB7654"/>
    <w:rsid w:val="00EB775A"/>
    <w:rsid w:val="00EC1BBE"/>
    <w:rsid w:val="00EC1F87"/>
    <w:rsid w:val="00EC2E00"/>
    <w:rsid w:val="00EC32AE"/>
    <w:rsid w:val="00EC5CD7"/>
    <w:rsid w:val="00EC5FD5"/>
    <w:rsid w:val="00ED061B"/>
    <w:rsid w:val="00ED1404"/>
    <w:rsid w:val="00ED17ED"/>
    <w:rsid w:val="00ED189B"/>
    <w:rsid w:val="00ED402D"/>
    <w:rsid w:val="00ED5C2D"/>
    <w:rsid w:val="00ED6017"/>
    <w:rsid w:val="00ED6074"/>
    <w:rsid w:val="00ED7668"/>
    <w:rsid w:val="00ED7E5E"/>
    <w:rsid w:val="00EE0878"/>
    <w:rsid w:val="00EE0EDF"/>
    <w:rsid w:val="00EE281C"/>
    <w:rsid w:val="00EE5FB3"/>
    <w:rsid w:val="00EE70A3"/>
    <w:rsid w:val="00EE7F79"/>
    <w:rsid w:val="00EF14C4"/>
    <w:rsid w:val="00EF715A"/>
    <w:rsid w:val="00EF73FF"/>
    <w:rsid w:val="00EF7CC7"/>
    <w:rsid w:val="00F0105B"/>
    <w:rsid w:val="00F012AE"/>
    <w:rsid w:val="00F01345"/>
    <w:rsid w:val="00F031E8"/>
    <w:rsid w:val="00F03269"/>
    <w:rsid w:val="00F03606"/>
    <w:rsid w:val="00F05670"/>
    <w:rsid w:val="00F05E4B"/>
    <w:rsid w:val="00F06E14"/>
    <w:rsid w:val="00F10E83"/>
    <w:rsid w:val="00F1517E"/>
    <w:rsid w:val="00F15235"/>
    <w:rsid w:val="00F164D3"/>
    <w:rsid w:val="00F179D4"/>
    <w:rsid w:val="00F219E9"/>
    <w:rsid w:val="00F245FD"/>
    <w:rsid w:val="00F24CFB"/>
    <w:rsid w:val="00F31B4A"/>
    <w:rsid w:val="00F33C56"/>
    <w:rsid w:val="00F347C7"/>
    <w:rsid w:val="00F34848"/>
    <w:rsid w:val="00F35725"/>
    <w:rsid w:val="00F369A3"/>
    <w:rsid w:val="00F3710A"/>
    <w:rsid w:val="00F37425"/>
    <w:rsid w:val="00F37872"/>
    <w:rsid w:val="00F37F4C"/>
    <w:rsid w:val="00F4060A"/>
    <w:rsid w:val="00F4163A"/>
    <w:rsid w:val="00F42D46"/>
    <w:rsid w:val="00F4496C"/>
    <w:rsid w:val="00F44F3A"/>
    <w:rsid w:val="00F46F02"/>
    <w:rsid w:val="00F477F8"/>
    <w:rsid w:val="00F51DEF"/>
    <w:rsid w:val="00F51F10"/>
    <w:rsid w:val="00F529A5"/>
    <w:rsid w:val="00F53501"/>
    <w:rsid w:val="00F54231"/>
    <w:rsid w:val="00F55857"/>
    <w:rsid w:val="00F55AD1"/>
    <w:rsid w:val="00F57373"/>
    <w:rsid w:val="00F574BC"/>
    <w:rsid w:val="00F60F00"/>
    <w:rsid w:val="00F614C0"/>
    <w:rsid w:val="00F618DB"/>
    <w:rsid w:val="00F62750"/>
    <w:rsid w:val="00F6361C"/>
    <w:rsid w:val="00F63F36"/>
    <w:rsid w:val="00F64876"/>
    <w:rsid w:val="00F679E1"/>
    <w:rsid w:val="00F70CC0"/>
    <w:rsid w:val="00F72936"/>
    <w:rsid w:val="00F7377D"/>
    <w:rsid w:val="00F74A5C"/>
    <w:rsid w:val="00F77013"/>
    <w:rsid w:val="00F81767"/>
    <w:rsid w:val="00F82D25"/>
    <w:rsid w:val="00F83323"/>
    <w:rsid w:val="00F83848"/>
    <w:rsid w:val="00F85150"/>
    <w:rsid w:val="00F85F5E"/>
    <w:rsid w:val="00F86AC8"/>
    <w:rsid w:val="00F86F82"/>
    <w:rsid w:val="00F910C0"/>
    <w:rsid w:val="00F93C7C"/>
    <w:rsid w:val="00F975E9"/>
    <w:rsid w:val="00F97827"/>
    <w:rsid w:val="00FA1B7D"/>
    <w:rsid w:val="00FA1FD7"/>
    <w:rsid w:val="00FA335D"/>
    <w:rsid w:val="00FA594A"/>
    <w:rsid w:val="00FB0B1D"/>
    <w:rsid w:val="00FB281D"/>
    <w:rsid w:val="00FB4729"/>
    <w:rsid w:val="00FB4F7F"/>
    <w:rsid w:val="00FB5B73"/>
    <w:rsid w:val="00FB74CA"/>
    <w:rsid w:val="00FC07B9"/>
    <w:rsid w:val="00FC2EF1"/>
    <w:rsid w:val="00FC329B"/>
    <w:rsid w:val="00FC3647"/>
    <w:rsid w:val="00FC3B7A"/>
    <w:rsid w:val="00FC4230"/>
    <w:rsid w:val="00FC4BEE"/>
    <w:rsid w:val="00FC4E21"/>
    <w:rsid w:val="00FC5A2B"/>
    <w:rsid w:val="00FC5F6D"/>
    <w:rsid w:val="00FD0107"/>
    <w:rsid w:val="00FD1033"/>
    <w:rsid w:val="00FD24A0"/>
    <w:rsid w:val="00FD2C12"/>
    <w:rsid w:val="00FD2C2F"/>
    <w:rsid w:val="00FD35F4"/>
    <w:rsid w:val="00FD3B31"/>
    <w:rsid w:val="00FD4742"/>
    <w:rsid w:val="00FE1823"/>
    <w:rsid w:val="00FE278C"/>
    <w:rsid w:val="00FE487A"/>
    <w:rsid w:val="00FE5492"/>
    <w:rsid w:val="00FE5B1B"/>
    <w:rsid w:val="00FF0569"/>
    <w:rsid w:val="00FF17D6"/>
    <w:rsid w:val="00FF1DB7"/>
    <w:rsid w:val="00FF206E"/>
    <w:rsid w:val="00FF22A6"/>
    <w:rsid w:val="00FF3C69"/>
    <w:rsid w:val="00FF59A9"/>
    <w:rsid w:val="00FF6E0A"/>
    <w:rsid w:val="00FF6E6B"/>
    <w:rsid w:val="0108AFC1"/>
    <w:rsid w:val="0224FBB9"/>
    <w:rsid w:val="02DF1122"/>
    <w:rsid w:val="051BBFE6"/>
    <w:rsid w:val="05C88755"/>
    <w:rsid w:val="08F326CD"/>
    <w:rsid w:val="09F445F4"/>
    <w:rsid w:val="0A49FC83"/>
    <w:rsid w:val="0BC6F75B"/>
    <w:rsid w:val="0BD4FF2F"/>
    <w:rsid w:val="0C279C0A"/>
    <w:rsid w:val="0E205659"/>
    <w:rsid w:val="11C16445"/>
    <w:rsid w:val="178DE38B"/>
    <w:rsid w:val="18708C97"/>
    <w:rsid w:val="1A18A53B"/>
    <w:rsid w:val="1B813114"/>
    <w:rsid w:val="1BC9BF46"/>
    <w:rsid w:val="1C472BD4"/>
    <w:rsid w:val="1D7CFBC9"/>
    <w:rsid w:val="1F400C2C"/>
    <w:rsid w:val="238C73B4"/>
    <w:rsid w:val="26A04B1F"/>
    <w:rsid w:val="27D0C9A7"/>
    <w:rsid w:val="29823394"/>
    <w:rsid w:val="29FC2288"/>
    <w:rsid w:val="2DA35F74"/>
    <w:rsid w:val="2E7A4147"/>
    <w:rsid w:val="2F3FD70E"/>
    <w:rsid w:val="305157D9"/>
    <w:rsid w:val="31EB50B1"/>
    <w:rsid w:val="32EF5E0D"/>
    <w:rsid w:val="334EEBCD"/>
    <w:rsid w:val="33B0F168"/>
    <w:rsid w:val="39609D1D"/>
    <w:rsid w:val="39E2C714"/>
    <w:rsid w:val="3A00B44E"/>
    <w:rsid w:val="3B545ED0"/>
    <w:rsid w:val="3CE0EFFE"/>
    <w:rsid w:val="3E13A3FA"/>
    <w:rsid w:val="3F27ABD7"/>
    <w:rsid w:val="3F62EE24"/>
    <w:rsid w:val="43333B51"/>
    <w:rsid w:val="43D34DAC"/>
    <w:rsid w:val="45FB8DBD"/>
    <w:rsid w:val="466EE05E"/>
    <w:rsid w:val="4776202F"/>
    <w:rsid w:val="4AEC2F24"/>
    <w:rsid w:val="4B97D15A"/>
    <w:rsid w:val="5044E84A"/>
    <w:rsid w:val="5092F8A3"/>
    <w:rsid w:val="50C58548"/>
    <w:rsid w:val="5148F810"/>
    <w:rsid w:val="521450A4"/>
    <w:rsid w:val="52773685"/>
    <w:rsid w:val="52CB142D"/>
    <w:rsid w:val="54F4CC5D"/>
    <w:rsid w:val="55F6C0A5"/>
    <w:rsid w:val="5623466B"/>
    <w:rsid w:val="57917554"/>
    <w:rsid w:val="587F4457"/>
    <w:rsid w:val="5B2268B7"/>
    <w:rsid w:val="5D08E388"/>
    <w:rsid w:val="5D61A224"/>
    <w:rsid w:val="5DA6396B"/>
    <w:rsid w:val="5F44DC80"/>
    <w:rsid w:val="6031EFFE"/>
    <w:rsid w:val="60978E88"/>
    <w:rsid w:val="61C08628"/>
    <w:rsid w:val="62746E82"/>
    <w:rsid w:val="6285E54B"/>
    <w:rsid w:val="633DC603"/>
    <w:rsid w:val="63A6FD46"/>
    <w:rsid w:val="63C239BF"/>
    <w:rsid w:val="65717594"/>
    <w:rsid w:val="6676EBC5"/>
    <w:rsid w:val="66F44E70"/>
    <w:rsid w:val="6BD02D2F"/>
    <w:rsid w:val="6BD7F0EB"/>
    <w:rsid w:val="6DE21BCB"/>
    <w:rsid w:val="6F2A972D"/>
    <w:rsid w:val="706AC182"/>
    <w:rsid w:val="70B613FA"/>
    <w:rsid w:val="7124E8F5"/>
    <w:rsid w:val="71E8D2C6"/>
    <w:rsid w:val="7201F7E4"/>
    <w:rsid w:val="72DDBBD7"/>
    <w:rsid w:val="7524E6D0"/>
    <w:rsid w:val="75F794E5"/>
    <w:rsid w:val="76C6943E"/>
    <w:rsid w:val="7D796C43"/>
    <w:rsid w:val="7F15E1F1"/>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1B62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7C0"/>
    <w:pPr>
      <w:spacing w:after="240" w:line="240" w:lineRule="atLeast"/>
    </w:pPr>
    <w:rPr>
      <w:rFonts w:ascii="Arial" w:hAnsi="Arial"/>
      <w:sz w:val="22"/>
    </w:rPr>
  </w:style>
  <w:style w:type="paragraph" w:styleId="Heading1">
    <w:name w:val="heading 1"/>
    <w:basedOn w:val="Normal"/>
    <w:next w:val="Normal"/>
    <w:qFormat/>
    <w:rsid w:val="00923D7A"/>
    <w:pPr>
      <w:keepNext/>
      <w:pageBreakBefore/>
      <w:widowControl w:val="0"/>
      <w:numPr>
        <w:numId w:val="11"/>
      </w:numPr>
      <w:spacing w:after="360" w:line="550" w:lineRule="exact"/>
      <w:outlineLvl w:val="0"/>
    </w:pPr>
    <w:rPr>
      <w:rFonts w:cs="Arial"/>
      <w:bCs/>
      <w:color w:val="323232"/>
      <w:kern w:val="32"/>
      <w:sz w:val="44"/>
      <w:szCs w:val="32"/>
    </w:rPr>
  </w:style>
  <w:style w:type="paragraph" w:styleId="Heading2">
    <w:name w:val="heading 2"/>
    <w:basedOn w:val="Normal"/>
    <w:next w:val="Normal"/>
    <w:link w:val="Heading2Char"/>
    <w:uiPriority w:val="9"/>
    <w:qFormat/>
    <w:rsid w:val="00254146"/>
    <w:pPr>
      <w:keepNext/>
      <w:numPr>
        <w:ilvl w:val="1"/>
        <w:numId w:val="11"/>
      </w:numPr>
      <w:spacing w:before="320" w:after="60"/>
      <w:outlineLvl w:val="1"/>
    </w:pPr>
    <w:rPr>
      <w:rFonts w:cs="Arial"/>
      <w:b/>
      <w:bCs/>
      <w:iCs/>
      <w:sz w:val="28"/>
      <w:szCs w:val="28"/>
    </w:rPr>
  </w:style>
  <w:style w:type="paragraph" w:styleId="Heading3">
    <w:name w:val="heading 3"/>
    <w:basedOn w:val="Normal"/>
    <w:next w:val="Normal"/>
    <w:qFormat/>
    <w:rsid w:val="00C6560D"/>
    <w:pPr>
      <w:keepNext/>
      <w:numPr>
        <w:ilvl w:val="2"/>
        <w:numId w:val="11"/>
      </w:numPr>
      <w:spacing w:before="180" w:after="180"/>
      <w:outlineLvl w:val="2"/>
    </w:pPr>
    <w:rPr>
      <w:rFonts w:cs="Arial"/>
      <w:b/>
      <w:bCs/>
      <w:szCs w:val="26"/>
    </w:rPr>
  </w:style>
  <w:style w:type="paragraph" w:styleId="Heading4">
    <w:name w:val="heading 4"/>
    <w:aliases w:val="H4"/>
    <w:basedOn w:val="Normal"/>
    <w:next w:val="Normal"/>
    <w:qFormat/>
    <w:rsid w:val="00015C3F"/>
    <w:pPr>
      <w:keepNext/>
      <w:numPr>
        <w:ilvl w:val="3"/>
        <w:numId w:val="11"/>
      </w:numPr>
      <w:spacing w:before="240" w:after="60"/>
      <w:outlineLvl w:val="3"/>
    </w:pPr>
    <w:rPr>
      <w:b/>
      <w:bCs/>
      <w:szCs w:val="28"/>
    </w:rPr>
  </w:style>
  <w:style w:type="paragraph" w:styleId="Heading5">
    <w:name w:val="heading 5"/>
    <w:basedOn w:val="Normal"/>
    <w:next w:val="Normal"/>
    <w:qFormat/>
    <w:rsid w:val="00AD5436"/>
    <w:pPr>
      <w:numPr>
        <w:ilvl w:val="4"/>
        <w:numId w:val="11"/>
      </w:numPr>
      <w:spacing w:before="240" w:after="60"/>
      <w:outlineLvl w:val="4"/>
    </w:pPr>
    <w:rPr>
      <w:b/>
      <w:bCs/>
      <w:i/>
      <w:iCs/>
      <w:sz w:val="26"/>
      <w:szCs w:val="26"/>
    </w:rPr>
  </w:style>
  <w:style w:type="paragraph" w:styleId="Heading6">
    <w:name w:val="heading 6"/>
    <w:basedOn w:val="Normal"/>
    <w:next w:val="Normal"/>
    <w:qFormat/>
    <w:rsid w:val="00AD5436"/>
    <w:pPr>
      <w:numPr>
        <w:ilvl w:val="5"/>
        <w:numId w:val="11"/>
      </w:numPr>
      <w:spacing w:before="240" w:after="60"/>
      <w:outlineLvl w:val="5"/>
    </w:pPr>
    <w:rPr>
      <w:rFonts w:ascii="Times New Roman" w:hAnsi="Times New Roman"/>
      <w:b/>
      <w:bCs/>
      <w:szCs w:val="22"/>
    </w:rPr>
  </w:style>
  <w:style w:type="paragraph" w:styleId="Heading7">
    <w:name w:val="heading 7"/>
    <w:basedOn w:val="Normal"/>
    <w:next w:val="Normal"/>
    <w:qFormat/>
    <w:rsid w:val="00AD5436"/>
    <w:pPr>
      <w:numPr>
        <w:ilvl w:val="6"/>
        <w:numId w:val="11"/>
      </w:numPr>
      <w:spacing w:before="240" w:after="60"/>
      <w:outlineLvl w:val="6"/>
    </w:pPr>
    <w:rPr>
      <w:rFonts w:ascii="Times New Roman" w:hAnsi="Times New Roman"/>
    </w:rPr>
  </w:style>
  <w:style w:type="paragraph" w:styleId="Heading8">
    <w:name w:val="heading 8"/>
    <w:basedOn w:val="Normal"/>
    <w:next w:val="Normal"/>
    <w:qFormat/>
    <w:rsid w:val="00AD5436"/>
    <w:pPr>
      <w:numPr>
        <w:ilvl w:val="7"/>
        <w:numId w:val="11"/>
      </w:numPr>
      <w:spacing w:before="240" w:after="60"/>
      <w:outlineLvl w:val="7"/>
    </w:pPr>
    <w:rPr>
      <w:rFonts w:ascii="Times New Roman" w:hAnsi="Times New Roman"/>
      <w:i/>
      <w:iCs/>
    </w:rPr>
  </w:style>
  <w:style w:type="paragraph" w:styleId="Heading9">
    <w:name w:val="heading 9"/>
    <w:basedOn w:val="Normal"/>
    <w:next w:val="Normal"/>
    <w:qFormat/>
    <w:rsid w:val="00AD5436"/>
    <w:pPr>
      <w:numPr>
        <w:ilvl w:val="8"/>
        <w:numId w:val="1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8"/>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
    <w:basedOn w:val="DefaultParagraphFont"/>
    <w:rsid w:val="00566AB4"/>
    <w:rPr>
      <w:rFonts w:ascii="Arial" w:hAnsi="Arial"/>
      <w:vertAlign w:val="superscript"/>
    </w:rPr>
  </w:style>
  <w:style w:type="paragraph" w:styleId="FootnoteText">
    <w:name w:val="footnote text"/>
    <w:aliases w:val="ACMA Footnote Text,Footnote Text Char1,Footnote Text Char Char,Footnote Text Char1 Char Char,Footnote Text Char Char Char Char,Footnote Text Char1 Char Char Char Char,Footnote Text Char Char Char Char Char Char,f"/>
    <w:basedOn w:val="Normal"/>
    <w:link w:val="FootnoteTextChar"/>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0B27C0"/>
    <w:pPr>
      <w:numPr>
        <w:numId w:val="6"/>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5"/>
      </w:numPr>
      <w:spacing w:after="160"/>
    </w:pPr>
    <w:rPr>
      <w:rFonts w:ascii="Arial" w:hAnsi="Arial"/>
      <w:b/>
      <w:bCs/>
      <w:color w:val="323232"/>
      <w:sz w:val="22"/>
      <w:szCs w:val="20"/>
    </w:rPr>
  </w:style>
  <w:style w:type="paragraph" w:customStyle="1" w:styleId="Captionfigure">
    <w:name w:val="Caption figure"/>
    <w:basedOn w:val="Caption"/>
    <w:qFormat/>
    <w:rsid w:val="00E8152A"/>
    <w:pPr>
      <w:keepNext/>
      <w:numPr>
        <w:numId w:val="7"/>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9"/>
      </w:numPr>
    </w:pPr>
  </w:style>
  <w:style w:type="paragraph" w:customStyle="1" w:styleId="Numberedheading">
    <w:name w:val="Numbered heading"/>
    <w:basedOn w:val="Heading2"/>
    <w:qFormat/>
    <w:rsid w:val="00FD1033"/>
    <w:pPr>
      <w:numPr>
        <w:numId w:val="9"/>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uiPriority w:val="34"/>
    <w:qFormat/>
    <w:rsid w:val="00366071"/>
    <w:pPr>
      <w:ind w:left="720"/>
      <w:contextualSpacing/>
    </w:pPr>
  </w:style>
  <w:style w:type="character" w:customStyle="1" w:styleId="FootnoteTextChar">
    <w:name w:val="Footnote Text Char"/>
    <w:aliases w:val="ACMA Footnote Text Char,Footnote Text Char1 Char,Footnote Text Char Char Char,Footnote Text Char1 Char Char Char,Footnote Text Char Char Char Char Char,Footnote Text Char1 Char Char Char Char Char,f Char"/>
    <w:basedOn w:val="DefaultParagraphFont"/>
    <w:link w:val="FootnoteText"/>
    <w:semiHidden/>
    <w:rsid w:val="00330733"/>
    <w:rPr>
      <w:rFonts w:ascii="Arial" w:hAnsi="Arial"/>
      <w:sz w:val="16"/>
      <w:szCs w:val="16"/>
    </w:rPr>
  </w:style>
  <w:style w:type="paragraph" w:customStyle="1" w:styleId="ACMAletteredlist">
    <w:name w:val="ACMA lettered list"/>
    <w:rsid w:val="00E465C9"/>
    <w:pPr>
      <w:numPr>
        <w:numId w:val="12"/>
      </w:numPr>
      <w:spacing w:before="20" w:after="20"/>
    </w:pPr>
    <w:rPr>
      <w:szCs w:val="20"/>
      <w:lang w:eastAsia="en-US"/>
    </w:rPr>
  </w:style>
  <w:style w:type="character" w:styleId="UnresolvedMention">
    <w:name w:val="Unresolved Mention"/>
    <w:basedOn w:val="DefaultParagraphFont"/>
    <w:uiPriority w:val="99"/>
    <w:semiHidden/>
    <w:unhideWhenUsed/>
    <w:rsid w:val="007623DE"/>
    <w:rPr>
      <w:color w:val="605E5C"/>
      <w:shd w:val="clear" w:color="auto" w:fill="E1DFDD"/>
    </w:rPr>
  </w:style>
  <w:style w:type="paragraph" w:customStyle="1" w:styleId="Default">
    <w:name w:val="Default"/>
    <w:rsid w:val="00D60DFE"/>
    <w:pPr>
      <w:autoSpaceDE w:val="0"/>
      <w:autoSpaceDN w:val="0"/>
      <w:adjustRightInd w:val="0"/>
    </w:pPr>
    <w:rPr>
      <w:rFonts w:ascii="Arial" w:eastAsiaTheme="minorHAnsi" w:hAnsi="Arial" w:cs="Arial"/>
      <w:color w:val="000000"/>
      <w:lang w:eastAsia="en-US"/>
    </w:rPr>
  </w:style>
  <w:style w:type="paragraph" w:styleId="Revision">
    <w:name w:val="Revision"/>
    <w:hidden/>
    <w:semiHidden/>
    <w:rsid w:val="00DC04B0"/>
    <w:rPr>
      <w:rFonts w:ascii="Arial" w:hAnsi="Arial"/>
      <w:sz w:val="22"/>
    </w:rPr>
  </w:style>
  <w:style w:type="character" w:customStyle="1" w:styleId="Heading2Char">
    <w:name w:val="Heading 2 Char"/>
    <w:basedOn w:val="DefaultParagraphFont"/>
    <w:link w:val="Heading2"/>
    <w:uiPriority w:val="9"/>
    <w:rsid w:val="00EB6D90"/>
    <w:rPr>
      <w:rFonts w:ascii="Arial" w:hAnsi="Arial" w:cs="Arial"/>
      <w:b/>
      <w:bCs/>
      <w:iCs/>
      <w:sz w:val="28"/>
      <w:szCs w:val="28"/>
    </w:rPr>
  </w:style>
  <w:style w:type="character" w:styleId="Mention">
    <w:name w:val="Mention"/>
    <w:basedOn w:val="DefaultParagraphFont"/>
    <w:uiPriority w:val="99"/>
    <w:unhideWhenUsed/>
    <w:rsid w:val="00731150"/>
    <w:rPr>
      <w:color w:val="2B579A"/>
      <w:shd w:val="clear" w:color="auto" w:fill="E1DFDD"/>
    </w:rPr>
  </w:style>
  <w:style w:type="paragraph" w:customStyle="1" w:styleId="Paragraph">
    <w:name w:val="Paragraph"/>
    <w:basedOn w:val="Normal"/>
    <w:qFormat/>
    <w:rsid w:val="002644C4"/>
    <w:rPr>
      <w:rFonts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643580181">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1911308000">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 w:id="203418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reqplan@acma.gov.au" TargetMode="External"/><Relationship Id="rId18" Type="http://schemas.openxmlformats.org/officeDocument/2006/relationships/hyperlink" Target="https://www.ntia.doc.gov/files/ntia/publications/redbook/2013/8_13.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slation.gov.au/F2023L00214/latest/text" TargetMode="External"/><Relationship Id="rId17" Type="http://schemas.openxmlformats.org/officeDocument/2006/relationships/hyperlink" Target="https://docdb.cept.org/document/495" TargetMode="External"/><Relationship Id="rId2" Type="http://schemas.openxmlformats.org/officeDocument/2006/relationships/numbering" Target="numbering.xml"/><Relationship Id="rId16" Type="http://schemas.openxmlformats.org/officeDocument/2006/relationships/hyperlink" Target="https://www.etsi.org/deliver/etsi_en/302600_302699/302645/01.01.01_60/en_302645v010101p.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F2025L00362/asmade/versions" TargetMode="External"/><Relationship Id="rId23" Type="http://schemas.openxmlformats.org/officeDocument/2006/relationships/fontTable" Target="fontTable.xml"/><Relationship Id="rId10" Type="http://schemas.openxmlformats.org/officeDocument/2006/relationships/hyperlink" Target="mailto:freqplan@acma.gov.au" TargetMode="External"/><Relationship Id="rId19" Type="http://schemas.openxmlformats.org/officeDocument/2006/relationships/hyperlink" Target="https://www.legislation.gov.au/F2025L00389/latest/version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egislation.gov.au/F2015L01510/latest/versions"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BC6C-D7F8-4901-B07C-716039CCBBD5}">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3267</Words>
  <Characters>17352</Characters>
  <Application>Microsoft Office Word</Application>
  <DocSecurity>4</DocSecurity>
  <Lines>1156</Lines>
  <Paragraphs>937</Paragraphs>
  <ScaleCrop>false</ScaleCrop>
  <Manager/>
  <Company/>
  <LinksUpToDate>false</LinksUpToDate>
  <CharactersWithSpaces>19682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2025-06-25T06:52:00Z</dcterms:created>
  <dcterms:modified xsi:type="dcterms:W3CDTF">2025-06-25T06:52:00Z</dcterms:modified>
  <cp:category/>
</cp:coreProperties>
</file>