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CE9A" w14:textId="1A42D239" w:rsidR="00CB3DA1" w:rsidRDefault="00CB3DA1" w:rsidP="00CB3DA1">
      <w:pPr>
        <w:pStyle w:val="Reporttitle"/>
      </w:pPr>
      <w:r w:rsidRPr="00CB3DA1">
        <w:t>Regulatory guide</w:t>
      </w:r>
      <w:r w:rsidR="00F67297">
        <w:t xml:space="preserve"> </w:t>
      </w:r>
      <w:r w:rsidRPr="00CB3DA1">
        <w:t xml:space="preserve">No. 6 </w:t>
      </w:r>
    </w:p>
    <w:p w14:paraId="35F21341" w14:textId="560A68C2" w:rsidR="00F06E14" w:rsidRDefault="00CB3DA1" w:rsidP="00CB3DA1">
      <w:pPr>
        <w:pStyle w:val="Reportsubtitle"/>
      </w:pPr>
      <w:r w:rsidRPr="00CB3DA1">
        <w:t xml:space="preserve">Publication of </w:t>
      </w:r>
      <w:r>
        <w:t>i</w:t>
      </w:r>
      <w:r w:rsidRPr="00CB3DA1">
        <w:t xml:space="preserve">nvestigations </w:t>
      </w:r>
      <w:r w:rsidR="009676FB">
        <w:br/>
      </w:r>
      <w:r w:rsidRPr="00CB3DA1">
        <w:t>and</w:t>
      </w:r>
      <w:r w:rsidR="009676FB">
        <w:t xml:space="preserve"> </w:t>
      </w:r>
      <w:r>
        <w:t>e</w:t>
      </w:r>
      <w:r w:rsidRPr="00CB3DA1">
        <w:t xml:space="preserve">nforcement </w:t>
      </w:r>
      <w:r>
        <w:t>a</w:t>
      </w:r>
      <w:r w:rsidRPr="00CB3DA1">
        <w:t>ctions</w:t>
      </w:r>
    </w:p>
    <w:p w14:paraId="22D96714" w14:textId="24E92478" w:rsidR="00C97736" w:rsidRPr="000D76E0" w:rsidRDefault="00CB3DA1" w:rsidP="00EC2B68">
      <w:pPr>
        <w:pStyle w:val="Reportdate"/>
        <w:spacing w:after="720"/>
        <w:rPr>
          <w:rFonts w:cs="Arial"/>
        </w:rPr>
        <w:sectPr w:rsidR="00C97736" w:rsidRPr="000D76E0" w:rsidSect="005E250B">
          <w:headerReference w:type="even" r:id="rId8"/>
          <w:headerReference w:type="default" r:id="rId9"/>
          <w:footerReference w:type="even" r:id="rId10"/>
          <w:footerReference w:type="default" r:id="rId11"/>
          <w:headerReference w:type="first" r:id="rId12"/>
          <w:footerReference w:type="first" r:id="rId13"/>
          <w:pgSz w:w="11906" w:h="16838" w:code="9"/>
          <w:pgMar w:top="3924" w:right="992" w:bottom="1440" w:left="1134" w:header="709" w:footer="454" w:gutter="0"/>
          <w:cols w:space="708"/>
          <w:docGrid w:linePitch="360"/>
        </w:sectPr>
      </w:pPr>
      <w:r>
        <w:t>ISSUED DECEMBER 2019</w:t>
      </w:r>
      <w:r w:rsidR="004F31D3">
        <w:t xml:space="preserve">, UPDATED </w:t>
      </w:r>
      <w:r w:rsidR="009676FB">
        <w:t>OCTOBER 2025</w:t>
      </w:r>
    </w:p>
    <w:p w14:paraId="0954222A" w14:textId="77777777" w:rsidR="0005011A" w:rsidRPr="00F44F3A" w:rsidRDefault="0005011A" w:rsidP="00FC07B9">
      <w:pPr>
        <w:pStyle w:val="ACMACorporateAddressHeader"/>
      </w:pPr>
      <w:r w:rsidRPr="00F44F3A">
        <w:lastRenderedPageBreak/>
        <w:t>Canberra</w:t>
      </w:r>
    </w:p>
    <w:p w14:paraId="7BAF6C10"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13D1949B" w14:textId="77777777" w:rsidR="0005011A" w:rsidRPr="00FC07B9" w:rsidRDefault="0005011A" w:rsidP="00FC07B9">
      <w:pPr>
        <w:pStyle w:val="ACMACorporateAddresses"/>
      </w:pPr>
      <w:r w:rsidRPr="00FC07B9">
        <w:t>PO Box 78</w:t>
      </w:r>
      <w:r w:rsidRPr="00FC07B9">
        <w:br/>
        <w:t>Belconnen ACT 2616</w:t>
      </w:r>
    </w:p>
    <w:p w14:paraId="6A3EBC46"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03C9AB97" w14:textId="77777777" w:rsidR="0005011A" w:rsidRPr="00F44F3A" w:rsidRDefault="0005011A" w:rsidP="00FC07B9">
      <w:pPr>
        <w:pStyle w:val="ACMACorporateAddressHeader"/>
      </w:pPr>
      <w:r w:rsidRPr="00F44F3A">
        <w:t>Melbourne</w:t>
      </w:r>
    </w:p>
    <w:p w14:paraId="6AC87161"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26B298EA"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2CA11A75"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3B80BEFD" w14:textId="77777777" w:rsidR="0005011A" w:rsidRPr="00F44F3A" w:rsidRDefault="0005011A" w:rsidP="00FC07B9">
      <w:pPr>
        <w:pStyle w:val="ACMACorporateAddressHeader"/>
      </w:pPr>
      <w:r w:rsidRPr="00F44F3A">
        <w:t>Sydney</w:t>
      </w:r>
    </w:p>
    <w:p w14:paraId="552BCA7F"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0C045B22"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1E28D788"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1FE14E61" w14:textId="77777777" w:rsidR="00140318" w:rsidRPr="006D46E5" w:rsidRDefault="00140318" w:rsidP="00FC07B9">
      <w:pPr>
        <w:pStyle w:val="ACMACopyrightHeader"/>
      </w:pPr>
      <w:r w:rsidRPr="00140318">
        <w:t>Copyright notice</w:t>
      </w:r>
    </w:p>
    <w:p w14:paraId="2188AE24" w14:textId="77777777" w:rsidR="00140318" w:rsidRPr="006D46E5" w:rsidRDefault="00623FF9" w:rsidP="00623FF9">
      <w:pPr>
        <w:pStyle w:val="ACMACClogo"/>
      </w:pPr>
      <w:r w:rsidRPr="00623FF9">
        <w:rPr>
          <w:noProof/>
        </w:rPr>
        <w:drawing>
          <wp:inline distT="0" distB="0" distL="0" distR="0" wp14:anchorId="0ECD5452" wp14:editId="76288C34">
            <wp:extent cx="838200" cy="295275"/>
            <wp:effectExtent l="0" t="0" r="0" b="0"/>
            <wp:docPr id="1" name="Picture 1" title="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inline>
        </w:drawing>
      </w:r>
    </w:p>
    <w:p w14:paraId="138D58D2" w14:textId="77777777" w:rsidR="00AA2DE5" w:rsidRDefault="00AA2DE5" w:rsidP="00AA2DE5">
      <w:pPr>
        <w:pStyle w:val="ACMACorporateAddresses"/>
        <w:rPr>
          <w:rStyle w:val="Hyperlink"/>
        </w:rPr>
      </w:pPr>
      <w:hyperlink r:id="rId16" w:history="1">
        <w:r>
          <w:rPr>
            <w:rStyle w:val="Hyperlink"/>
          </w:rPr>
          <w:t>https://creativecommons.org/licenses/by/4.0/</w:t>
        </w:r>
      </w:hyperlink>
    </w:p>
    <w:p w14:paraId="30953D8B" w14:textId="77777777" w:rsidR="00AA2DE5" w:rsidRDefault="00AA2DE5" w:rsidP="00AA2DE5">
      <w:pPr>
        <w:pStyle w:val="ACMACorporateAddresses"/>
      </w:pPr>
      <w:proofErr w:type="gramStart"/>
      <w:r>
        <w:t>With the exception of</w:t>
      </w:r>
      <w:proofErr w:type="gramEnd"/>
      <w:r>
        <w:t xml:space="preserve"> coats of arms, logos, emblems, images, other third-party material or devices protected by a trademark, this content is made available under the terms of the Creative Commons Attribution 4.0 International (CC BY 4.0) licence. </w:t>
      </w:r>
    </w:p>
    <w:p w14:paraId="6866BB62" w14:textId="7BAAA5DE" w:rsidR="00AA2DE5" w:rsidRDefault="00AA2DE5" w:rsidP="00AA2DE5">
      <w:pPr>
        <w:pStyle w:val="ACMACorporateAddresses"/>
      </w:pPr>
      <w:r>
        <w:t>We request attribution as © Commonwealth of Australia (Australian Communications and Media Authority) 20</w:t>
      </w:r>
      <w:r w:rsidR="004F31D3">
        <w:t>2</w:t>
      </w:r>
      <w:r w:rsidR="009676FB">
        <w:t>5</w:t>
      </w:r>
      <w:r>
        <w:t>.</w:t>
      </w:r>
    </w:p>
    <w:p w14:paraId="482FA027" w14:textId="77777777" w:rsidR="00AA2DE5" w:rsidRDefault="00AA2DE5" w:rsidP="00AA2DE5">
      <w:pPr>
        <w:pStyle w:val="ACMACorporateAddresses"/>
      </w:pPr>
      <w:r>
        <w:t>All other rights are reserved.</w:t>
      </w:r>
    </w:p>
    <w:p w14:paraId="661FD42E"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6E1BC4A5" w14:textId="77777777" w:rsidR="00AA2DE5" w:rsidRDefault="00AA2DE5" w:rsidP="00AA2DE5">
      <w:pPr>
        <w:pStyle w:val="ACMACorporateAddresses"/>
      </w:pPr>
      <w:r>
        <w:t>Written enquiries may be sent to:</w:t>
      </w:r>
    </w:p>
    <w:p w14:paraId="3A53E946"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7" w:history="1">
        <w:r>
          <w:rPr>
            <w:rStyle w:val="Hyperlink"/>
          </w:rPr>
          <w:t>info@acma.gov.au</w:t>
        </w:r>
      </w:hyperlink>
    </w:p>
    <w:p w14:paraId="4028FBAB" w14:textId="77777777" w:rsidR="00D16FE3" w:rsidRDefault="00D16FE3" w:rsidP="00D16FE3">
      <w:pPr>
        <w:pStyle w:val="ACMACorporateAddresses"/>
        <w:rPr>
          <w:rStyle w:val="Hyperlink"/>
        </w:rPr>
      </w:pPr>
    </w:p>
    <w:p w14:paraId="7F4BB5C5" w14:textId="77777777" w:rsidR="00D16FE3" w:rsidRPr="00D16FE3" w:rsidRDefault="00D16FE3" w:rsidP="00D16FE3">
      <w:pPr>
        <w:pStyle w:val="ACMACorporateAddresses"/>
        <w:sectPr w:rsidR="00D16FE3" w:rsidRPr="00D16FE3">
          <w:headerReference w:type="even" r:id="rId18"/>
          <w:headerReference w:type="default" r:id="rId19"/>
          <w:footerReference w:type="even" r:id="rId20"/>
          <w:footerReference w:type="default" r:id="rId21"/>
          <w:pgSz w:w="11906" w:h="16838" w:code="9"/>
          <w:pgMar w:top="3924" w:right="1797" w:bottom="697" w:left="1134" w:header="709" w:footer="119" w:gutter="0"/>
          <w:cols w:space="708"/>
          <w:docGrid w:linePitch="360"/>
        </w:sectPr>
      </w:pPr>
    </w:p>
    <w:p w14:paraId="642C676C" w14:textId="02759B01" w:rsidR="009676FB" w:rsidRDefault="00E86B2B">
      <w:pPr>
        <w:pStyle w:val="TOC1"/>
        <w:rPr>
          <w:rFonts w:asciiTheme="minorHAnsi" w:eastAsiaTheme="minorEastAsia" w:hAnsiTheme="minorHAnsi" w:cstheme="minorBidi"/>
          <w:b w:val="0"/>
          <w:spacing w:val="0"/>
          <w:kern w:val="2"/>
          <w:sz w:val="24"/>
          <w14:ligatures w14:val="standardContextual"/>
        </w:rPr>
      </w:pPr>
      <w:r>
        <w:rPr>
          <w:rFonts w:cs="Arial"/>
          <w:b w:val="0"/>
        </w:rPr>
        <w:lastRenderedPageBreak/>
        <w:fldChar w:fldCharType="begin"/>
      </w:r>
      <w:r>
        <w:rPr>
          <w:rFonts w:cs="Arial"/>
          <w:b w:val="0"/>
        </w:rPr>
        <w:instrText xml:space="preserve"> TOC \o "1-2" \t "Exec summary heading,1" </w:instrText>
      </w:r>
      <w:r>
        <w:rPr>
          <w:rFonts w:cs="Arial"/>
          <w:b w:val="0"/>
        </w:rPr>
        <w:fldChar w:fldCharType="separate"/>
      </w:r>
      <w:r w:rsidR="009676FB">
        <w:t>Overview</w:t>
      </w:r>
      <w:r w:rsidR="009676FB">
        <w:tab/>
      </w:r>
      <w:r w:rsidR="009676FB">
        <w:fldChar w:fldCharType="begin"/>
      </w:r>
      <w:r w:rsidR="009676FB">
        <w:instrText xml:space="preserve"> PAGEREF _Toc211939331 \h </w:instrText>
      </w:r>
      <w:r w:rsidR="009676FB">
        <w:fldChar w:fldCharType="separate"/>
      </w:r>
      <w:r w:rsidR="009676FB">
        <w:t>1</w:t>
      </w:r>
      <w:r w:rsidR="009676FB">
        <w:fldChar w:fldCharType="end"/>
      </w:r>
    </w:p>
    <w:p w14:paraId="16887B92" w14:textId="3D46B81E" w:rsidR="009676FB" w:rsidRDefault="009676FB">
      <w:pPr>
        <w:pStyle w:val="TOC2"/>
        <w:rPr>
          <w:rFonts w:asciiTheme="minorHAnsi" w:eastAsiaTheme="minorEastAsia" w:hAnsiTheme="minorHAnsi" w:cstheme="minorBidi"/>
          <w:spacing w:val="0"/>
          <w:kern w:val="2"/>
          <w:sz w:val="24"/>
          <w:szCs w:val="24"/>
          <w14:ligatures w14:val="standardContextual"/>
        </w:rPr>
      </w:pPr>
      <w:r>
        <w:t>1.</w:t>
      </w:r>
      <w:r>
        <w:rPr>
          <w:rFonts w:asciiTheme="minorHAnsi" w:eastAsiaTheme="minorEastAsia" w:hAnsiTheme="minorHAnsi" w:cstheme="minorBidi"/>
          <w:spacing w:val="0"/>
          <w:kern w:val="2"/>
          <w:sz w:val="24"/>
          <w:szCs w:val="24"/>
          <w14:ligatures w14:val="standardContextual"/>
        </w:rPr>
        <w:tab/>
      </w:r>
      <w:r>
        <w:t>Purpose of this</w:t>
      </w:r>
      <w:r w:rsidRPr="00CC34C2">
        <w:rPr>
          <w:color w:val="000000" w:themeColor="text1"/>
        </w:rPr>
        <w:t xml:space="preserve"> guide</w:t>
      </w:r>
      <w:r>
        <w:tab/>
      </w:r>
      <w:r>
        <w:fldChar w:fldCharType="begin"/>
      </w:r>
      <w:r>
        <w:instrText xml:space="preserve"> PAGEREF _Toc211939332 \h </w:instrText>
      </w:r>
      <w:r>
        <w:fldChar w:fldCharType="separate"/>
      </w:r>
      <w:r>
        <w:t>2</w:t>
      </w:r>
      <w:r>
        <w:fldChar w:fldCharType="end"/>
      </w:r>
    </w:p>
    <w:p w14:paraId="0CF941A5" w14:textId="1D0A1E2A" w:rsidR="009676FB" w:rsidRDefault="009676FB">
      <w:pPr>
        <w:pStyle w:val="TOC2"/>
        <w:rPr>
          <w:rFonts w:asciiTheme="minorHAnsi" w:eastAsiaTheme="minorEastAsia" w:hAnsiTheme="minorHAnsi" w:cstheme="minorBidi"/>
          <w:spacing w:val="0"/>
          <w:kern w:val="2"/>
          <w:sz w:val="24"/>
          <w:szCs w:val="24"/>
          <w14:ligatures w14:val="standardContextual"/>
        </w:rPr>
      </w:pPr>
      <w:r>
        <w:t>2.</w:t>
      </w:r>
      <w:r>
        <w:rPr>
          <w:rFonts w:asciiTheme="minorHAnsi" w:eastAsiaTheme="minorEastAsia" w:hAnsiTheme="minorHAnsi" w:cstheme="minorBidi"/>
          <w:spacing w:val="0"/>
          <w:kern w:val="2"/>
          <w:sz w:val="24"/>
          <w:szCs w:val="24"/>
          <w14:ligatures w14:val="standardContextual"/>
        </w:rPr>
        <w:tab/>
      </w:r>
      <w:r>
        <w:t>The ACMA’s approach to publication</w:t>
      </w:r>
      <w:r>
        <w:tab/>
      </w:r>
      <w:r>
        <w:fldChar w:fldCharType="begin"/>
      </w:r>
      <w:r>
        <w:instrText xml:space="preserve"> PAGEREF _Toc211939333 \h </w:instrText>
      </w:r>
      <w:r>
        <w:fldChar w:fldCharType="separate"/>
      </w:r>
      <w:r>
        <w:t>3</w:t>
      </w:r>
      <w:r>
        <w:fldChar w:fldCharType="end"/>
      </w:r>
    </w:p>
    <w:p w14:paraId="515813DB" w14:textId="6ABB07E1" w:rsidR="009676FB" w:rsidRDefault="009676FB">
      <w:pPr>
        <w:pStyle w:val="TOC2"/>
        <w:rPr>
          <w:rFonts w:asciiTheme="minorHAnsi" w:eastAsiaTheme="minorEastAsia" w:hAnsiTheme="minorHAnsi" w:cstheme="minorBidi"/>
          <w:spacing w:val="0"/>
          <w:kern w:val="2"/>
          <w:sz w:val="24"/>
          <w:szCs w:val="24"/>
          <w14:ligatures w14:val="standardContextual"/>
        </w:rPr>
      </w:pPr>
      <w:r>
        <w:t>3.</w:t>
      </w:r>
      <w:r>
        <w:rPr>
          <w:rFonts w:asciiTheme="minorHAnsi" w:eastAsiaTheme="minorEastAsia" w:hAnsiTheme="minorHAnsi" w:cstheme="minorBidi"/>
          <w:spacing w:val="0"/>
          <w:kern w:val="2"/>
          <w:sz w:val="24"/>
          <w:szCs w:val="24"/>
          <w14:ligatures w14:val="standardContextual"/>
        </w:rPr>
        <w:tab/>
      </w:r>
      <w:r>
        <w:t>Investigations</w:t>
      </w:r>
      <w:r>
        <w:tab/>
      </w:r>
      <w:r>
        <w:fldChar w:fldCharType="begin"/>
      </w:r>
      <w:r>
        <w:instrText xml:space="preserve"> PAGEREF _Toc211939334 \h </w:instrText>
      </w:r>
      <w:r>
        <w:fldChar w:fldCharType="separate"/>
      </w:r>
      <w:r>
        <w:t>3</w:t>
      </w:r>
      <w:r>
        <w:fldChar w:fldCharType="end"/>
      </w:r>
    </w:p>
    <w:p w14:paraId="3AFEAC40" w14:textId="02180318" w:rsidR="009676FB" w:rsidRDefault="009676FB">
      <w:pPr>
        <w:pStyle w:val="TOC2"/>
        <w:rPr>
          <w:rFonts w:asciiTheme="minorHAnsi" w:eastAsiaTheme="minorEastAsia" w:hAnsiTheme="minorHAnsi" w:cstheme="minorBidi"/>
          <w:spacing w:val="0"/>
          <w:kern w:val="2"/>
          <w:sz w:val="24"/>
          <w:szCs w:val="24"/>
          <w14:ligatures w14:val="standardContextual"/>
        </w:rPr>
      </w:pPr>
      <w:r>
        <w:t>4.</w:t>
      </w:r>
      <w:r>
        <w:rPr>
          <w:rFonts w:asciiTheme="minorHAnsi" w:eastAsiaTheme="minorEastAsia" w:hAnsiTheme="minorHAnsi" w:cstheme="minorBidi"/>
          <w:spacing w:val="0"/>
          <w:kern w:val="2"/>
          <w:sz w:val="24"/>
          <w:szCs w:val="24"/>
          <w14:ligatures w14:val="standardContextual"/>
        </w:rPr>
        <w:tab/>
      </w:r>
      <w:r>
        <w:t>Investigation outcomes</w:t>
      </w:r>
      <w:r>
        <w:tab/>
      </w:r>
      <w:r>
        <w:fldChar w:fldCharType="begin"/>
      </w:r>
      <w:r>
        <w:instrText xml:space="preserve"> PAGEREF _Toc211939335 \h </w:instrText>
      </w:r>
      <w:r>
        <w:fldChar w:fldCharType="separate"/>
      </w:r>
      <w:r>
        <w:t>4</w:t>
      </w:r>
      <w:r>
        <w:fldChar w:fldCharType="end"/>
      </w:r>
    </w:p>
    <w:p w14:paraId="5722D81C" w14:textId="745129C1" w:rsidR="009676FB" w:rsidRDefault="009676FB">
      <w:pPr>
        <w:pStyle w:val="TOC2"/>
        <w:rPr>
          <w:rFonts w:asciiTheme="minorHAnsi" w:eastAsiaTheme="minorEastAsia" w:hAnsiTheme="minorHAnsi" w:cstheme="minorBidi"/>
          <w:spacing w:val="0"/>
          <w:kern w:val="2"/>
          <w:sz w:val="24"/>
          <w:szCs w:val="24"/>
          <w14:ligatures w14:val="standardContextual"/>
        </w:rPr>
      </w:pPr>
      <w:r>
        <w:t>5.</w:t>
      </w:r>
      <w:r>
        <w:rPr>
          <w:rFonts w:asciiTheme="minorHAnsi" w:eastAsiaTheme="minorEastAsia" w:hAnsiTheme="minorHAnsi" w:cstheme="minorBidi"/>
          <w:spacing w:val="0"/>
          <w:kern w:val="2"/>
          <w:sz w:val="24"/>
          <w:szCs w:val="24"/>
          <w14:ligatures w14:val="standardContextual"/>
        </w:rPr>
        <w:tab/>
      </w:r>
      <w:r>
        <w:t>Compliance and enforcement outcomes</w:t>
      </w:r>
      <w:r>
        <w:tab/>
      </w:r>
      <w:r>
        <w:fldChar w:fldCharType="begin"/>
      </w:r>
      <w:r>
        <w:instrText xml:space="preserve"> PAGEREF _Toc211939336 \h </w:instrText>
      </w:r>
      <w:r>
        <w:fldChar w:fldCharType="separate"/>
      </w:r>
      <w:r>
        <w:t>5</w:t>
      </w:r>
      <w:r>
        <w:fldChar w:fldCharType="end"/>
      </w:r>
    </w:p>
    <w:p w14:paraId="6EC9813C" w14:textId="0603FD14" w:rsidR="009676FB" w:rsidRDefault="009676FB">
      <w:pPr>
        <w:pStyle w:val="TOC2"/>
        <w:rPr>
          <w:rFonts w:asciiTheme="minorHAnsi" w:eastAsiaTheme="minorEastAsia" w:hAnsiTheme="minorHAnsi" w:cstheme="minorBidi"/>
          <w:spacing w:val="0"/>
          <w:kern w:val="2"/>
          <w:sz w:val="24"/>
          <w:szCs w:val="24"/>
          <w14:ligatures w14:val="standardContextual"/>
        </w:rPr>
      </w:pPr>
      <w:r>
        <w:t>6.</w:t>
      </w:r>
      <w:r>
        <w:rPr>
          <w:rFonts w:asciiTheme="minorHAnsi" w:eastAsiaTheme="minorEastAsia" w:hAnsiTheme="minorHAnsi" w:cstheme="minorBidi"/>
          <w:spacing w:val="0"/>
          <w:kern w:val="2"/>
          <w:sz w:val="24"/>
          <w:szCs w:val="24"/>
          <w14:ligatures w14:val="standardContextual"/>
        </w:rPr>
        <w:tab/>
      </w:r>
      <w:r>
        <w:t>Form of publicity and public comment</w:t>
      </w:r>
      <w:r>
        <w:tab/>
      </w:r>
      <w:r>
        <w:fldChar w:fldCharType="begin"/>
      </w:r>
      <w:r>
        <w:instrText xml:space="preserve"> PAGEREF _Toc211939337 \h </w:instrText>
      </w:r>
      <w:r>
        <w:fldChar w:fldCharType="separate"/>
      </w:r>
      <w:r>
        <w:t>6</w:t>
      </w:r>
      <w:r>
        <w:fldChar w:fldCharType="end"/>
      </w:r>
    </w:p>
    <w:p w14:paraId="37F255D0" w14:textId="436FDD8C" w:rsidR="004D56FF" w:rsidRPr="000D76E0" w:rsidRDefault="00E86B2B">
      <w:pPr>
        <w:rPr>
          <w:rFonts w:cs="Arial"/>
        </w:rPr>
        <w:sectPr w:rsidR="004D56FF" w:rsidRPr="000D76E0" w:rsidSect="009676FB">
          <w:headerReference w:type="even" r:id="rId22"/>
          <w:headerReference w:type="default" r:id="rId23"/>
          <w:footerReference w:type="even" r:id="rId24"/>
          <w:footerReference w:type="default" r:id="rId25"/>
          <w:footerReference w:type="first" r:id="rId26"/>
          <w:pgSz w:w="11906" w:h="16838" w:code="9"/>
          <w:pgMar w:top="3646" w:right="2267" w:bottom="1134" w:left="1134" w:header="709" w:footer="119" w:gutter="0"/>
          <w:cols w:space="708"/>
          <w:titlePg/>
          <w:docGrid w:linePitch="360"/>
        </w:sectPr>
      </w:pPr>
      <w:r>
        <w:rPr>
          <w:rFonts w:cs="Arial"/>
          <w:b/>
          <w:noProof/>
          <w:spacing w:val="-14"/>
          <w:sz w:val="28"/>
        </w:rPr>
        <w:fldChar w:fldCharType="end"/>
      </w:r>
    </w:p>
    <w:p w14:paraId="66D2F0AA" w14:textId="2C524B9B" w:rsidR="009D6C71" w:rsidRPr="009174F3" w:rsidRDefault="00CB3DA1" w:rsidP="009174F3">
      <w:pPr>
        <w:pStyle w:val="Execsummaryheading"/>
      </w:pPr>
      <w:bookmarkStart w:id="0" w:name="_Toc211939331"/>
      <w:r>
        <w:lastRenderedPageBreak/>
        <w:t>Overview</w:t>
      </w:r>
      <w:bookmarkEnd w:id="0"/>
    </w:p>
    <w:p w14:paraId="7D0E4C04" w14:textId="66F68C64" w:rsidR="00CB3DA1" w:rsidRPr="009676FB" w:rsidRDefault="00CB3DA1" w:rsidP="009F76BA">
      <w:pPr>
        <w:spacing w:after="80"/>
        <w:rPr>
          <w:rFonts w:cs="Arial"/>
          <w:sz w:val="22"/>
          <w:szCs w:val="22"/>
        </w:rPr>
      </w:pPr>
      <w:r w:rsidRPr="009676FB">
        <w:rPr>
          <w:rFonts w:cs="Arial"/>
          <w:sz w:val="22"/>
          <w:szCs w:val="22"/>
        </w:rPr>
        <w:t>The Australian Communications and Media Authority (ACMA) issues regulatory guides to assist both industry and the community by:</w:t>
      </w:r>
    </w:p>
    <w:p w14:paraId="28872BFE" w14:textId="77777777" w:rsidR="00CB3DA1" w:rsidRPr="009676FB" w:rsidRDefault="00CB3DA1" w:rsidP="009676FB">
      <w:pPr>
        <w:pStyle w:val="ListBullet"/>
        <w:numPr>
          <w:ilvl w:val="0"/>
          <w:numId w:val="17"/>
        </w:numPr>
        <w:ind w:left="284" w:hanging="284"/>
        <w:rPr>
          <w:rFonts w:cs="Arial"/>
          <w:sz w:val="22"/>
          <w:szCs w:val="22"/>
        </w:rPr>
      </w:pPr>
      <w:r w:rsidRPr="009676FB">
        <w:rPr>
          <w:rFonts w:cs="Arial"/>
          <w:sz w:val="22"/>
          <w:szCs w:val="22"/>
        </w:rPr>
        <w:t>giving practical guidance (for example, guidance about the ACMA’s approach to a particular issue or describing the steps of a process)</w:t>
      </w:r>
    </w:p>
    <w:p w14:paraId="64AF7089" w14:textId="77777777" w:rsidR="00CB3DA1" w:rsidRPr="009676FB" w:rsidRDefault="00CB3DA1" w:rsidP="009676FB">
      <w:pPr>
        <w:pStyle w:val="ListBullet"/>
        <w:numPr>
          <w:ilvl w:val="0"/>
          <w:numId w:val="17"/>
        </w:numPr>
        <w:ind w:left="284" w:hanging="284"/>
        <w:rPr>
          <w:rFonts w:cs="Arial"/>
          <w:sz w:val="22"/>
          <w:szCs w:val="22"/>
        </w:rPr>
      </w:pPr>
      <w:r w:rsidRPr="009676FB">
        <w:rPr>
          <w:rFonts w:cs="Arial"/>
          <w:sz w:val="22"/>
          <w:szCs w:val="22"/>
        </w:rPr>
        <w:t>describing the principles underlying the ACMA’s approach in particular areas</w:t>
      </w:r>
    </w:p>
    <w:p w14:paraId="397D19A0" w14:textId="77777777" w:rsidR="00CB3DA1" w:rsidRPr="009676FB" w:rsidRDefault="00CB3DA1" w:rsidP="009676FB">
      <w:pPr>
        <w:pStyle w:val="ListBullet"/>
        <w:numPr>
          <w:ilvl w:val="0"/>
          <w:numId w:val="17"/>
        </w:numPr>
        <w:ind w:left="284" w:hanging="284"/>
        <w:rPr>
          <w:rFonts w:cs="Arial"/>
          <w:sz w:val="22"/>
          <w:szCs w:val="22"/>
        </w:rPr>
      </w:pPr>
      <w:r w:rsidRPr="009676FB">
        <w:rPr>
          <w:rFonts w:cs="Arial"/>
          <w:sz w:val="22"/>
          <w:szCs w:val="22"/>
        </w:rPr>
        <w:t>explaining the ACMA’s view on the interpretation of the law or its application to a regulated industry</w:t>
      </w:r>
    </w:p>
    <w:p w14:paraId="0F4CF182" w14:textId="09CCA121" w:rsidR="00CB3DA1" w:rsidRPr="009676FB" w:rsidRDefault="00CB3DA1" w:rsidP="009676FB">
      <w:pPr>
        <w:pStyle w:val="ListBullet"/>
        <w:numPr>
          <w:ilvl w:val="0"/>
          <w:numId w:val="17"/>
        </w:numPr>
        <w:spacing w:after="240"/>
        <w:ind w:left="284" w:hanging="284"/>
        <w:rPr>
          <w:rFonts w:cs="Arial"/>
          <w:sz w:val="22"/>
          <w:szCs w:val="22"/>
        </w:rPr>
      </w:pPr>
      <w:r w:rsidRPr="009676FB">
        <w:rPr>
          <w:rFonts w:cs="Arial"/>
          <w:sz w:val="22"/>
          <w:szCs w:val="22"/>
        </w:rPr>
        <w:t>explaining when and how the ACMA will exercise specific powers under the legislation it administers.</w:t>
      </w:r>
    </w:p>
    <w:p w14:paraId="0A4E37E6" w14:textId="75C31BEA" w:rsidR="00CB3DA1" w:rsidRPr="009676FB" w:rsidRDefault="00CB3DA1" w:rsidP="00CB3DA1">
      <w:pPr>
        <w:pStyle w:val="Paragraph"/>
        <w:rPr>
          <w:sz w:val="22"/>
          <w:szCs w:val="22"/>
        </w:rPr>
      </w:pPr>
      <w:r w:rsidRPr="009676FB">
        <w:rPr>
          <w:sz w:val="22"/>
          <w:szCs w:val="22"/>
        </w:rPr>
        <w:t>A regulatory guide does not constitute or replace legal advice on obligations under the relevant legislation.</w:t>
      </w:r>
      <w:r w:rsidRPr="009676FB">
        <w:rPr>
          <w:sz w:val="22"/>
          <w:szCs w:val="22"/>
        </w:rPr>
        <w:br w:type="page"/>
      </w:r>
    </w:p>
    <w:p w14:paraId="6778BB83" w14:textId="20737E9A" w:rsidR="00CB3DA1" w:rsidRPr="00955DD8" w:rsidRDefault="00CB3DA1" w:rsidP="00CB3DA1">
      <w:pPr>
        <w:pStyle w:val="Heading2"/>
        <w:numPr>
          <w:ilvl w:val="0"/>
          <w:numId w:val="16"/>
        </w:numPr>
        <w:tabs>
          <w:tab w:val="left" w:pos="567"/>
        </w:tabs>
        <w:spacing w:before="60" w:after="120"/>
      </w:pPr>
      <w:bookmarkStart w:id="1" w:name="_Toc24119022"/>
      <w:bookmarkStart w:id="2" w:name="_Toc211939332"/>
      <w:r w:rsidRPr="00CB3DA1">
        <w:lastRenderedPageBreak/>
        <w:t>Purpose of this</w:t>
      </w:r>
      <w:r w:rsidRPr="00CB3DA1">
        <w:rPr>
          <w:color w:val="000000" w:themeColor="text1"/>
        </w:rPr>
        <w:t xml:space="preserve"> guide</w:t>
      </w:r>
      <w:bookmarkEnd w:id="1"/>
      <w:bookmarkEnd w:id="2"/>
      <w:r w:rsidRPr="00CB3DA1">
        <w:rPr>
          <w:color w:val="000000" w:themeColor="text1"/>
        </w:rPr>
        <w:t xml:space="preserve"> </w:t>
      </w:r>
    </w:p>
    <w:p w14:paraId="1DBE8003" w14:textId="5D300B78" w:rsidR="00CB3DA1" w:rsidRPr="009676FB" w:rsidRDefault="00CB3DA1" w:rsidP="009F76BA">
      <w:pPr>
        <w:numPr>
          <w:ilvl w:val="1"/>
          <w:numId w:val="13"/>
        </w:numPr>
        <w:spacing w:after="80"/>
        <w:ind w:left="567" w:hanging="567"/>
        <w:rPr>
          <w:sz w:val="22"/>
          <w:szCs w:val="22"/>
        </w:rPr>
      </w:pPr>
      <w:r w:rsidRPr="009676FB">
        <w:rPr>
          <w:sz w:val="22"/>
          <w:szCs w:val="22"/>
        </w:rPr>
        <w:t xml:space="preserve">The ACMA regulates communications and media to maximise the economic and social benefits for Australia. </w:t>
      </w:r>
      <w:r w:rsidR="00084A7F" w:rsidRPr="009676FB">
        <w:rPr>
          <w:sz w:val="22"/>
          <w:szCs w:val="22"/>
        </w:rPr>
        <w:t>The ACMA</w:t>
      </w:r>
      <w:r w:rsidRPr="009676FB">
        <w:rPr>
          <w:sz w:val="22"/>
          <w:szCs w:val="22"/>
        </w:rPr>
        <w:t xml:space="preserve"> actively encourage</w:t>
      </w:r>
      <w:r w:rsidR="00084A7F" w:rsidRPr="009676FB">
        <w:rPr>
          <w:sz w:val="22"/>
          <w:szCs w:val="22"/>
        </w:rPr>
        <w:t>s</w:t>
      </w:r>
      <w:r w:rsidRPr="009676FB">
        <w:rPr>
          <w:sz w:val="22"/>
          <w:szCs w:val="22"/>
        </w:rPr>
        <w:t xml:space="preserve"> compliance with, and where necessary</w:t>
      </w:r>
      <w:r w:rsidR="00084A7F" w:rsidRPr="009676FB">
        <w:rPr>
          <w:sz w:val="22"/>
          <w:szCs w:val="22"/>
        </w:rPr>
        <w:t>,</w:t>
      </w:r>
      <w:r w:rsidRPr="009676FB">
        <w:rPr>
          <w:sz w:val="22"/>
          <w:szCs w:val="22"/>
        </w:rPr>
        <w:t xml:space="preserve"> take</w:t>
      </w:r>
      <w:r w:rsidR="00084A7F" w:rsidRPr="009676FB">
        <w:rPr>
          <w:sz w:val="22"/>
          <w:szCs w:val="22"/>
        </w:rPr>
        <w:t>s</w:t>
      </w:r>
      <w:r w:rsidRPr="009676FB">
        <w:rPr>
          <w:sz w:val="22"/>
          <w:szCs w:val="22"/>
        </w:rPr>
        <w:t xml:space="preserve"> action to enforce, the various statutes and other instruments </w:t>
      </w:r>
      <w:r w:rsidR="00084A7F" w:rsidRPr="009676FB">
        <w:rPr>
          <w:sz w:val="22"/>
          <w:szCs w:val="22"/>
        </w:rPr>
        <w:t xml:space="preserve">it </w:t>
      </w:r>
      <w:r w:rsidRPr="009676FB">
        <w:rPr>
          <w:sz w:val="22"/>
          <w:szCs w:val="22"/>
        </w:rPr>
        <w:t>administer</w:t>
      </w:r>
      <w:r w:rsidR="00084A7F" w:rsidRPr="009676FB">
        <w:rPr>
          <w:sz w:val="22"/>
          <w:szCs w:val="22"/>
        </w:rPr>
        <w:t>s</w:t>
      </w:r>
      <w:r w:rsidRPr="009676FB">
        <w:rPr>
          <w:sz w:val="22"/>
          <w:szCs w:val="22"/>
        </w:rPr>
        <w:t>, including the:</w:t>
      </w:r>
    </w:p>
    <w:p w14:paraId="3041AA63" w14:textId="1B74B6BE" w:rsidR="00CB3DA1" w:rsidRPr="009676FB" w:rsidRDefault="00CB3DA1" w:rsidP="009676FB">
      <w:pPr>
        <w:pStyle w:val="ListParagraph"/>
        <w:numPr>
          <w:ilvl w:val="0"/>
          <w:numId w:val="18"/>
        </w:numPr>
        <w:tabs>
          <w:tab w:val="left" w:pos="851"/>
        </w:tabs>
        <w:spacing w:after="80"/>
        <w:ind w:hanging="720"/>
        <w:rPr>
          <w:rFonts w:cs="Arial"/>
          <w:sz w:val="22"/>
          <w:szCs w:val="22"/>
        </w:rPr>
      </w:pPr>
      <w:r w:rsidRPr="009676FB">
        <w:rPr>
          <w:rFonts w:cs="Arial"/>
          <w:i/>
          <w:sz w:val="22"/>
          <w:szCs w:val="22"/>
        </w:rPr>
        <w:t>Broadcasting Services Act</w:t>
      </w:r>
      <w:r w:rsidRPr="009676FB">
        <w:rPr>
          <w:rFonts w:cs="Arial"/>
          <w:sz w:val="22"/>
          <w:szCs w:val="22"/>
        </w:rPr>
        <w:t xml:space="preserve"> </w:t>
      </w:r>
      <w:r w:rsidRPr="009676FB">
        <w:rPr>
          <w:rFonts w:cs="Arial"/>
          <w:i/>
          <w:sz w:val="22"/>
          <w:szCs w:val="22"/>
        </w:rPr>
        <w:t>1992</w:t>
      </w:r>
      <w:r w:rsidRPr="009676FB">
        <w:rPr>
          <w:rFonts w:cs="Arial"/>
          <w:sz w:val="22"/>
          <w:szCs w:val="22"/>
        </w:rPr>
        <w:t xml:space="preserve"> (BSA)</w:t>
      </w:r>
    </w:p>
    <w:p w14:paraId="623273C0" w14:textId="7F8BAE3C" w:rsidR="00CB3DA1" w:rsidRPr="009676FB" w:rsidRDefault="00CB3DA1" w:rsidP="009676FB">
      <w:pPr>
        <w:pStyle w:val="ListParagraph"/>
        <w:numPr>
          <w:ilvl w:val="0"/>
          <w:numId w:val="18"/>
        </w:numPr>
        <w:tabs>
          <w:tab w:val="left" w:pos="851"/>
        </w:tabs>
        <w:spacing w:after="80"/>
        <w:ind w:hanging="720"/>
        <w:rPr>
          <w:rFonts w:cs="Arial"/>
          <w:sz w:val="22"/>
          <w:szCs w:val="22"/>
        </w:rPr>
      </w:pPr>
      <w:r w:rsidRPr="009676FB">
        <w:rPr>
          <w:rFonts w:cs="Arial"/>
          <w:i/>
          <w:iCs/>
          <w:sz w:val="22"/>
          <w:szCs w:val="22"/>
        </w:rPr>
        <w:t>Radiocommunications Act</w:t>
      </w:r>
      <w:r w:rsidRPr="009676FB">
        <w:rPr>
          <w:rFonts w:cs="Arial"/>
          <w:sz w:val="22"/>
          <w:szCs w:val="22"/>
        </w:rPr>
        <w:t xml:space="preserve"> </w:t>
      </w:r>
      <w:r w:rsidRPr="009676FB">
        <w:rPr>
          <w:rFonts w:cs="Arial"/>
          <w:i/>
          <w:sz w:val="22"/>
          <w:szCs w:val="22"/>
        </w:rPr>
        <w:t>1992</w:t>
      </w:r>
      <w:r w:rsidRPr="009676FB">
        <w:rPr>
          <w:rFonts w:cs="Arial"/>
          <w:sz w:val="22"/>
          <w:szCs w:val="22"/>
        </w:rPr>
        <w:t xml:space="preserve"> </w:t>
      </w:r>
    </w:p>
    <w:p w14:paraId="448F7A25" w14:textId="6C6C2CEE" w:rsidR="00CB3DA1" w:rsidRPr="009676FB" w:rsidRDefault="00CB3DA1" w:rsidP="009676FB">
      <w:pPr>
        <w:pStyle w:val="ListParagraph"/>
        <w:numPr>
          <w:ilvl w:val="0"/>
          <w:numId w:val="18"/>
        </w:numPr>
        <w:tabs>
          <w:tab w:val="left" w:pos="851"/>
        </w:tabs>
        <w:spacing w:after="80"/>
        <w:ind w:hanging="720"/>
        <w:rPr>
          <w:rFonts w:cs="Arial"/>
          <w:sz w:val="22"/>
          <w:szCs w:val="22"/>
        </w:rPr>
      </w:pPr>
      <w:r w:rsidRPr="009676FB">
        <w:rPr>
          <w:rFonts w:cs="Arial"/>
          <w:i/>
          <w:iCs/>
          <w:sz w:val="22"/>
          <w:szCs w:val="22"/>
        </w:rPr>
        <w:t>Telecommunications Act</w:t>
      </w:r>
      <w:r w:rsidRPr="009676FB">
        <w:rPr>
          <w:rFonts w:cs="Arial"/>
          <w:sz w:val="22"/>
          <w:szCs w:val="22"/>
        </w:rPr>
        <w:t xml:space="preserve"> </w:t>
      </w:r>
      <w:r w:rsidRPr="009676FB">
        <w:rPr>
          <w:rFonts w:cs="Arial"/>
          <w:i/>
          <w:sz w:val="22"/>
          <w:szCs w:val="22"/>
        </w:rPr>
        <w:t>1997</w:t>
      </w:r>
    </w:p>
    <w:p w14:paraId="4F4DBEC6" w14:textId="31466ACF" w:rsidR="00CB3DA1" w:rsidRPr="009676FB" w:rsidRDefault="00CB3DA1" w:rsidP="009676FB">
      <w:pPr>
        <w:pStyle w:val="ListParagraph"/>
        <w:numPr>
          <w:ilvl w:val="0"/>
          <w:numId w:val="18"/>
        </w:numPr>
        <w:tabs>
          <w:tab w:val="left" w:pos="851"/>
        </w:tabs>
        <w:spacing w:after="80"/>
        <w:ind w:hanging="720"/>
        <w:rPr>
          <w:rFonts w:cs="Arial"/>
          <w:sz w:val="22"/>
          <w:szCs w:val="22"/>
        </w:rPr>
      </w:pPr>
      <w:r w:rsidRPr="009676FB">
        <w:rPr>
          <w:rFonts w:cs="Arial"/>
          <w:i/>
          <w:iCs/>
          <w:sz w:val="22"/>
          <w:szCs w:val="22"/>
        </w:rPr>
        <w:t>Telecommunications (Consumer Protection and Service Standards) Act</w:t>
      </w:r>
      <w:r w:rsidRPr="009676FB">
        <w:rPr>
          <w:rFonts w:cs="Arial"/>
          <w:sz w:val="22"/>
          <w:szCs w:val="22"/>
        </w:rPr>
        <w:t xml:space="preserve"> </w:t>
      </w:r>
      <w:r w:rsidRPr="009676FB">
        <w:rPr>
          <w:rFonts w:cs="Arial"/>
          <w:i/>
          <w:sz w:val="22"/>
          <w:szCs w:val="22"/>
        </w:rPr>
        <w:t>1999</w:t>
      </w:r>
      <w:r w:rsidRPr="009676FB">
        <w:rPr>
          <w:rFonts w:cs="Arial"/>
          <w:sz w:val="22"/>
          <w:szCs w:val="22"/>
        </w:rPr>
        <w:t xml:space="preserve"> (TCPSS Act)</w:t>
      </w:r>
    </w:p>
    <w:p w14:paraId="749C89E5" w14:textId="11AF4D85" w:rsidR="00CB3DA1" w:rsidRPr="009676FB" w:rsidRDefault="00CB3DA1" w:rsidP="009676FB">
      <w:pPr>
        <w:pStyle w:val="ListParagraph"/>
        <w:numPr>
          <w:ilvl w:val="0"/>
          <w:numId w:val="18"/>
        </w:numPr>
        <w:tabs>
          <w:tab w:val="left" w:pos="851"/>
        </w:tabs>
        <w:spacing w:after="80"/>
        <w:ind w:hanging="720"/>
        <w:rPr>
          <w:rFonts w:cs="Arial"/>
          <w:sz w:val="22"/>
          <w:szCs w:val="22"/>
        </w:rPr>
      </w:pPr>
      <w:r w:rsidRPr="009676FB">
        <w:rPr>
          <w:rFonts w:cs="Arial"/>
          <w:i/>
          <w:iCs/>
          <w:sz w:val="22"/>
          <w:szCs w:val="22"/>
        </w:rPr>
        <w:t>Spam Act</w:t>
      </w:r>
      <w:r w:rsidRPr="009676FB">
        <w:rPr>
          <w:rFonts w:cs="Arial"/>
          <w:sz w:val="22"/>
          <w:szCs w:val="22"/>
        </w:rPr>
        <w:t xml:space="preserve"> </w:t>
      </w:r>
      <w:r w:rsidRPr="009676FB">
        <w:rPr>
          <w:rFonts w:cs="Arial"/>
          <w:i/>
          <w:sz w:val="22"/>
          <w:szCs w:val="22"/>
        </w:rPr>
        <w:t>2003</w:t>
      </w:r>
      <w:r w:rsidRPr="009676FB">
        <w:rPr>
          <w:rFonts w:cs="Arial"/>
          <w:sz w:val="22"/>
          <w:szCs w:val="22"/>
        </w:rPr>
        <w:t xml:space="preserve"> </w:t>
      </w:r>
    </w:p>
    <w:p w14:paraId="3462F979" w14:textId="3FD46C1B" w:rsidR="00CB3DA1" w:rsidRPr="009676FB" w:rsidRDefault="00CB3DA1" w:rsidP="009676FB">
      <w:pPr>
        <w:pStyle w:val="ListParagraph"/>
        <w:numPr>
          <w:ilvl w:val="0"/>
          <w:numId w:val="18"/>
        </w:numPr>
        <w:tabs>
          <w:tab w:val="left" w:pos="851"/>
        </w:tabs>
        <w:spacing w:after="80"/>
        <w:ind w:hanging="720"/>
        <w:rPr>
          <w:rFonts w:cs="Arial"/>
          <w:sz w:val="22"/>
          <w:szCs w:val="22"/>
        </w:rPr>
      </w:pPr>
      <w:r w:rsidRPr="009676FB">
        <w:rPr>
          <w:rFonts w:cs="Arial"/>
          <w:i/>
          <w:iCs/>
          <w:sz w:val="22"/>
          <w:szCs w:val="22"/>
        </w:rPr>
        <w:t>Do Not Call Register Act</w:t>
      </w:r>
      <w:r w:rsidRPr="009676FB">
        <w:rPr>
          <w:rFonts w:cs="Arial"/>
          <w:sz w:val="22"/>
          <w:szCs w:val="22"/>
        </w:rPr>
        <w:t xml:space="preserve"> </w:t>
      </w:r>
      <w:r w:rsidRPr="009676FB">
        <w:rPr>
          <w:rFonts w:cs="Arial"/>
          <w:i/>
          <w:sz w:val="22"/>
          <w:szCs w:val="22"/>
        </w:rPr>
        <w:t>2006</w:t>
      </w:r>
      <w:r w:rsidRPr="009676FB">
        <w:rPr>
          <w:rFonts w:cs="Arial"/>
          <w:sz w:val="22"/>
          <w:szCs w:val="22"/>
        </w:rPr>
        <w:t xml:space="preserve"> (DNCR Act)</w:t>
      </w:r>
    </w:p>
    <w:p w14:paraId="5409645B" w14:textId="534427F1" w:rsidR="00CB3DA1" w:rsidRPr="009676FB" w:rsidRDefault="00CB3DA1" w:rsidP="009676FB">
      <w:pPr>
        <w:pStyle w:val="ListParagraph"/>
        <w:numPr>
          <w:ilvl w:val="0"/>
          <w:numId w:val="18"/>
        </w:numPr>
        <w:tabs>
          <w:tab w:val="left" w:pos="851"/>
        </w:tabs>
        <w:spacing w:after="80"/>
        <w:ind w:hanging="720"/>
        <w:rPr>
          <w:rFonts w:cs="Arial"/>
          <w:sz w:val="22"/>
          <w:szCs w:val="22"/>
        </w:rPr>
      </w:pPr>
      <w:r w:rsidRPr="009676FB">
        <w:rPr>
          <w:rFonts w:cs="Arial"/>
          <w:i/>
          <w:iCs/>
          <w:sz w:val="22"/>
          <w:szCs w:val="22"/>
        </w:rPr>
        <w:t>Interactive Gambling Act</w:t>
      </w:r>
      <w:r w:rsidRPr="009676FB">
        <w:rPr>
          <w:rFonts w:cs="Arial"/>
          <w:sz w:val="22"/>
          <w:szCs w:val="22"/>
        </w:rPr>
        <w:t xml:space="preserve"> </w:t>
      </w:r>
      <w:r w:rsidRPr="009676FB">
        <w:rPr>
          <w:rFonts w:cs="Arial"/>
          <w:i/>
          <w:sz w:val="22"/>
          <w:szCs w:val="22"/>
        </w:rPr>
        <w:t>2001</w:t>
      </w:r>
      <w:r w:rsidRPr="009676FB">
        <w:rPr>
          <w:rFonts w:cs="Arial"/>
          <w:sz w:val="22"/>
          <w:szCs w:val="22"/>
        </w:rPr>
        <w:t xml:space="preserve"> (IGA)</w:t>
      </w:r>
    </w:p>
    <w:p w14:paraId="075BE941" w14:textId="77777777" w:rsidR="00CB3DA1" w:rsidRPr="009676FB" w:rsidRDefault="00CB3DA1" w:rsidP="009676FB">
      <w:pPr>
        <w:pStyle w:val="ListParagraph"/>
        <w:numPr>
          <w:ilvl w:val="0"/>
          <w:numId w:val="18"/>
        </w:numPr>
        <w:tabs>
          <w:tab w:val="left" w:pos="851"/>
        </w:tabs>
        <w:spacing w:after="120"/>
        <w:ind w:hanging="720"/>
        <w:rPr>
          <w:rFonts w:cs="Arial"/>
          <w:sz w:val="22"/>
          <w:szCs w:val="22"/>
        </w:rPr>
      </w:pPr>
      <w:r w:rsidRPr="009676FB">
        <w:rPr>
          <w:rFonts w:cs="Arial"/>
          <w:sz w:val="22"/>
          <w:szCs w:val="22"/>
        </w:rPr>
        <w:t>related codes, standards and other instruments.</w:t>
      </w:r>
    </w:p>
    <w:p w14:paraId="6C100F31" w14:textId="6CDBCCBD" w:rsidR="00CB3DA1" w:rsidRPr="009676FB" w:rsidRDefault="00CB3DA1" w:rsidP="009F76BA">
      <w:pPr>
        <w:numPr>
          <w:ilvl w:val="1"/>
          <w:numId w:val="13"/>
        </w:numPr>
        <w:spacing w:after="80"/>
        <w:ind w:left="567" w:hanging="567"/>
        <w:rPr>
          <w:sz w:val="22"/>
          <w:szCs w:val="22"/>
        </w:rPr>
      </w:pPr>
      <w:r w:rsidRPr="009676FB">
        <w:rPr>
          <w:rFonts w:cs="Arial"/>
          <w:sz w:val="22"/>
          <w:szCs w:val="22"/>
        </w:rPr>
        <w:t xml:space="preserve">The ACMA is accountable to government and the public for its investigations and enforcement actions arising from those investigations. Openly communicating </w:t>
      </w:r>
      <w:r w:rsidR="00084A7F" w:rsidRPr="009676FB">
        <w:rPr>
          <w:rFonts w:cs="Arial"/>
          <w:sz w:val="22"/>
          <w:szCs w:val="22"/>
        </w:rPr>
        <w:t xml:space="preserve">its </w:t>
      </w:r>
      <w:r w:rsidRPr="009676FB">
        <w:rPr>
          <w:rFonts w:cs="Arial"/>
          <w:sz w:val="22"/>
          <w:szCs w:val="22"/>
        </w:rPr>
        <w:t xml:space="preserve">enforcement work is important to those to whom </w:t>
      </w:r>
      <w:r w:rsidR="00084A7F" w:rsidRPr="009676FB">
        <w:rPr>
          <w:rFonts w:cs="Arial"/>
          <w:sz w:val="22"/>
          <w:szCs w:val="22"/>
        </w:rPr>
        <w:t xml:space="preserve">it is </w:t>
      </w:r>
      <w:r w:rsidRPr="009676FB">
        <w:rPr>
          <w:rFonts w:cs="Arial"/>
          <w:sz w:val="22"/>
          <w:szCs w:val="22"/>
        </w:rPr>
        <w:t xml:space="preserve">accountable and the businesses and individuals </w:t>
      </w:r>
      <w:r w:rsidR="00084A7F" w:rsidRPr="009676FB">
        <w:rPr>
          <w:rFonts w:cs="Arial"/>
          <w:sz w:val="22"/>
          <w:szCs w:val="22"/>
        </w:rPr>
        <w:t xml:space="preserve">it </w:t>
      </w:r>
      <w:r w:rsidRPr="009676FB">
        <w:rPr>
          <w:rFonts w:cs="Arial"/>
          <w:sz w:val="22"/>
          <w:szCs w:val="22"/>
        </w:rPr>
        <w:t>regulate</w:t>
      </w:r>
      <w:r w:rsidR="00084A7F" w:rsidRPr="009676FB">
        <w:rPr>
          <w:rFonts w:cs="Arial"/>
          <w:sz w:val="22"/>
          <w:szCs w:val="22"/>
        </w:rPr>
        <w:t>s</w:t>
      </w:r>
      <w:r w:rsidRPr="009676FB">
        <w:rPr>
          <w:rFonts w:cs="Arial"/>
          <w:sz w:val="22"/>
          <w:szCs w:val="22"/>
        </w:rPr>
        <w:t xml:space="preserve">. </w:t>
      </w:r>
      <w:r w:rsidRPr="009676FB">
        <w:rPr>
          <w:sz w:val="22"/>
          <w:szCs w:val="22"/>
        </w:rPr>
        <w:t>More specifically, transparency:</w:t>
      </w:r>
    </w:p>
    <w:p w14:paraId="3F23CDED" w14:textId="78BD241C" w:rsidR="00CB3DA1" w:rsidRPr="009676FB" w:rsidRDefault="00CB3DA1" w:rsidP="009676FB">
      <w:pPr>
        <w:pStyle w:val="ListParagraph"/>
        <w:numPr>
          <w:ilvl w:val="0"/>
          <w:numId w:val="19"/>
        </w:numPr>
        <w:spacing w:after="80"/>
        <w:ind w:left="851" w:hanging="284"/>
        <w:rPr>
          <w:rFonts w:cs="Arial"/>
          <w:sz w:val="22"/>
          <w:szCs w:val="22"/>
        </w:rPr>
      </w:pPr>
      <w:r w:rsidRPr="009676FB">
        <w:rPr>
          <w:rFonts w:cs="Arial"/>
          <w:sz w:val="22"/>
          <w:szCs w:val="22"/>
        </w:rPr>
        <w:t>informs and educates members of the regulated community about the standards required by the law</w:t>
      </w:r>
    </w:p>
    <w:p w14:paraId="5B9FD224" w14:textId="0B1F4507" w:rsidR="00CB3DA1" w:rsidRPr="009676FB" w:rsidRDefault="00CB3DA1" w:rsidP="009676FB">
      <w:pPr>
        <w:pStyle w:val="ListParagraph"/>
        <w:numPr>
          <w:ilvl w:val="0"/>
          <w:numId w:val="19"/>
        </w:numPr>
        <w:spacing w:after="80"/>
        <w:ind w:left="851" w:hanging="284"/>
        <w:rPr>
          <w:rFonts w:cs="Arial"/>
          <w:sz w:val="22"/>
          <w:szCs w:val="22"/>
        </w:rPr>
      </w:pPr>
      <w:r w:rsidRPr="009676FB">
        <w:rPr>
          <w:rFonts w:cs="Arial"/>
          <w:sz w:val="22"/>
          <w:szCs w:val="22"/>
        </w:rPr>
        <w:t>serves to deter illegal conduct and encourage compliance by highlighting the consequences of breaking the law</w:t>
      </w:r>
    </w:p>
    <w:p w14:paraId="1D4D8F23" w14:textId="49A7E4F3" w:rsidR="00CB3DA1" w:rsidRPr="009676FB" w:rsidRDefault="00CB3DA1" w:rsidP="009676FB">
      <w:pPr>
        <w:pStyle w:val="ListParagraph"/>
        <w:numPr>
          <w:ilvl w:val="0"/>
          <w:numId w:val="19"/>
        </w:numPr>
        <w:spacing w:after="80"/>
        <w:ind w:left="851" w:hanging="284"/>
        <w:rPr>
          <w:rFonts w:cs="Arial"/>
          <w:sz w:val="22"/>
          <w:szCs w:val="22"/>
        </w:rPr>
      </w:pPr>
      <w:r w:rsidRPr="009676FB">
        <w:rPr>
          <w:rFonts w:cs="Arial"/>
          <w:sz w:val="22"/>
          <w:szCs w:val="22"/>
        </w:rPr>
        <w:t>helps the regulated community better understand their obligations and to conduct themselves in a way that minimises the need for the ACMA to intervene</w:t>
      </w:r>
    </w:p>
    <w:p w14:paraId="4379064F" w14:textId="49071C16" w:rsidR="00CB3DA1" w:rsidRPr="009676FB" w:rsidRDefault="00CB3DA1" w:rsidP="009676FB">
      <w:pPr>
        <w:pStyle w:val="ListParagraph"/>
        <w:numPr>
          <w:ilvl w:val="0"/>
          <w:numId w:val="19"/>
        </w:numPr>
        <w:spacing w:after="80"/>
        <w:ind w:left="851" w:hanging="284"/>
        <w:rPr>
          <w:rFonts w:cs="Arial"/>
          <w:sz w:val="22"/>
          <w:szCs w:val="22"/>
        </w:rPr>
      </w:pPr>
      <w:r w:rsidRPr="009676FB">
        <w:rPr>
          <w:rFonts w:cs="Arial"/>
          <w:sz w:val="22"/>
          <w:szCs w:val="22"/>
        </w:rPr>
        <w:t xml:space="preserve">informs and educates members of the public about their legal rights, what the ACMA is doing to ensure compliance with the law </w:t>
      </w:r>
      <w:bookmarkStart w:id="3" w:name="_Hlk24125954"/>
      <w:r w:rsidRPr="009676FB">
        <w:rPr>
          <w:rFonts w:cs="Arial"/>
          <w:sz w:val="22"/>
          <w:szCs w:val="22"/>
        </w:rPr>
        <w:t>and how they can act to benefit from those rights</w:t>
      </w:r>
      <w:bookmarkEnd w:id="3"/>
    </w:p>
    <w:p w14:paraId="14F3E150" w14:textId="77777777" w:rsidR="00CB3DA1" w:rsidRPr="009676FB" w:rsidRDefault="00CB3DA1" w:rsidP="009676FB">
      <w:pPr>
        <w:pStyle w:val="ListParagraph"/>
        <w:numPr>
          <w:ilvl w:val="0"/>
          <w:numId w:val="19"/>
        </w:numPr>
        <w:spacing w:after="120"/>
        <w:ind w:left="851" w:hanging="284"/>
        <w:rPr>
          <w:rFonts w:cs="Arial"/>
          <w:sz w:val="22"/>
          <w:szCs w:val="22"/>
        </w:rPr>
      </w:pPr>
      <w:r w:rsidRPr="009676FB">
        <w:rPr>
          <w:rFonts w:cs="Arial"/>
          <w:sz w:val="22"/>
          <w:szCs w:val="22"/>
        </w:rPr>
        <w:t>promotes confidence in the law as the law is seen to work in the public interest through enforcement action.</w:t>
      </w:r>
    </w:p>
    <w:p w14:paraId="6B178104" w14:textId="3144BD37" w:rsidR="00CB3DA1" w:rsidRPr="009676FB" w:rsidRDefault="00CB3DA1" w:rsidP="00F67297">
      <w:pPr>
        <w:numPr>
          <w:ilvl w:val="1"/>
          <w:numId w:val="13"/>
        </w:numPr>
        <w:spacing w:after="120"/>
        <w:ind w:left="567" w:hanging="567"/>
        <w:rPr>
          <w:sz w:val="22"/>
          <w:szCs w:val="22"/>
        </w:rPr>
      </w:pPr>
      <w:r w:rsidRPr="009676FB">
        <w:rPr>
          <w:rFonts w:cs="Arial"/>
          <w:sz w:val="22"/>
          <w:szCs w:val="22"/>
        </w:rPr>
        <w:t xml:space="preserve">Public comment or publicity about investigations and enforcement action must </w:t>
      </w:r>
      <w:r w:rsidR="00084A7F" w:rsidRPr="009676FB">
        <w:rPr>
          <w:rFonts w:cs="Arial"/>
          <w:sz w:val="22"/>
          <w:szCs w:val="22"/>
        </w:rPr>
        <w:t xml:space="preserve">balance </w:t>
      </w:r>
      <w:r w:rsidRPr="009676FB">
        <w:rPr>
          <w:rFonts w:cs="Arial"/>
          <w:sz w:val="22"/>
          <w:szCs w:val="22"/>
        </w:rPr>
        <w:t xml:space="preserve">the importance of transparency with fairness to the individuals and businesses </w:t>
      </w:r>
      <w:r w:rsidR="00395979" w:rsidRPr="009676FB">
        <w:rPr>
          <w:rFonts w:cs="Arial"/>
          <w:sz w:val="22"/>
          <w:szCs w:val="22"/>
        </w:rPr>
        <w:t xml:space="preserve">that </w:t>
      </w:r>
      <w:r w:rsidRPr="009676FB">
        <w:rPr>
          <w:rFonts w:cs="Arial"/>
          <w:sz w:val="22"/>
          <w:szCs w:val="22"/>
        </w:rPr>
        <w:t>are the subject of those investigations</w:t>
      </w:r>
      <w:r w:rsidR="00395979" w:rsidRPr="009676FB">
        <w:rPr>
          <w:rFonts w:cs="Arial"/>
          <w:sz w:val="22"/>
          <w:szCs w:val="22"/>
        </w:rPr>
        <w:t>,</w:t>
      </w:r>
      <w:r w:rsidRPr="009676FB">
        <w:rPr>
          <w:rFonts w:cs="Arial"/>
          <w:sz w:val="22"/>
          <w:szCs w:val="22"/>
        </w:rPr>
        <w:t xml:space="preserve"> </w:t>
      </w:r>
      <w:bookmarkStart w:id="4" w:name="_Hlk24126061"/>
      <w:r w:rsidRPr="009676FB">
        <w:rPr>
          <w:rFonts w:cs="Arial"/>
          <w:sz w:val="22"/>
          <w:szCs w:val="22"/>
        </w:rPr>
        <w:t>as well as competing public interest concerns (such as national security</w:t>
      </w:r>
      <w:bookmarkEnd w:id="4"/>
      <w:r w:rsidRPr="009676FB">
        <w:rPr>
          <w:rFonts w:cs="Arial"/>
          <w:sz w:val="22"/>
          <w:szCs w:val="22"/>
        </w:rPr>
        <w:t xml:space="preserve">). </w:t>
      </w:r>
    </w:p>
    <w:p w14:paraId="1B924D7E" w14:textId="77777777" w:rsidR="00CB3DA1" w:rsidRPr="009676FB" w:rsidRDefault="00CB3DA1" w:rsidP="00F67297">
      <w:pPr>
        <w:pStyle w:val="ListParagraph"/>
        <w:numPr>
          <w:ilvl w:val="1"/>
          <w:numId w:val="13"/>
        </w:numPr>
        <w:spacing w:after="120"/>
        <w:ind w:left="567" w:hanging="567"/>
        <w:contextualSpacing w:val="0"/>
        <w:rPr>
          <w:sz w:val="22"/>
          <w:szCs w:val="22"/>
        </w:rPr>
      </w:pPr>
      <w:r w:rsidRPr="009676FB">
        <w:rPr>
          <w:sz w:val="22"/>
          <w:szCs w:val="22"/>
        </w:rPr>
        <w:t>The purpose of this guide is to explain the ACMA’s approach to public comment and publicity of its investigations and enforcement actions.</w:t>
      </w:r>
    </w:p>
    <w:p w14:paraId="4BC03DE2" w14:textId="5FFC6386" w:rsidR="00CB3DA1" w:rsidRPr="009676FB" w:rsidRDefault="00CB3DA1" w:rsidP="00F67297">
      <w:pPr>
        <w:pStyle w:val="ListParagraph"/>
        <w:numPr>
          <w:ilvl w:val="1"/>
          <w:numId w:val="13"/>
        </w:numPr>
        <w:spacing w:after="120"/>
        <w:ind w:left="567" w:hanging="567"/>
        <w:contextualSpacing w:val="0"/>
        <w:rPr>
          <w:rStyle w:val="Hyperlink"/>
          <w:rFonts w:cs="Arial"/>
          <w:i/>
          <w:sz w:val="22"/>
          <w:szCs w:val="22"/>
        </w:rPr>
      </w:pPr>
      <w:r w:rsidRPr="009676FB">
        <w:rPr>
          <w:sz w:val="22"/>
          <w:szCs w:val="22"/>
        </w:rPr>
        <w:t xml:space="preserve">This regulatory guide should be read in conjunction with the </w:t>
      </w:r>
      <w:hyperlink r:id="rId27" w:history="1">
        <w:r w:rsidRPr="009676FB">
          <w:rPr>
            <w:rStyle w:val="Hyperlink"/>
            <w:rFonts w:cs="Arial"/>
            <w:sz w:val="22"/>
            <w:szCs w:val="22"/>
          </w:rPr>
          <w:t>ACMA compliance and enforcement policy</w:t>
        </w:r>
      </w:hyperlink>
      <w:r w:rsidR="00D17968" w:rsidRPr="009676FB">
        <w:rPr>
          <w:sz w:val="22"/>
          <w:szCs w:val="22"/>
        </w:rPr>
        <w:t>.</w:t>
      </w:r>
    </w:p>
    <w:p w14:paraId="6927F033" w14:textId="77777777" w:rsidR="00CB3DA1" w:rsidRDefault="00CB3DA1" w:rsidP="00CB3DA1">
      <w:pPr>
        <w:pStyle w:val="Heading2"/>
        <w:numPr>
          <w:ilvl w:val="0"/>
          <w:numId w:val="13"/>
        </w:numPr>
        <w:tabs>
          <w:tab w:val="left" w:pos="567"/>
        </w:tabs>
        <w:spacing w:before="60"/>
      </w:pPr>
      <w:r>
        <w:rPr>
          <w:rStyle w:val="FootnoteReference"/>
          <w:i/>
          <w:sz w:val="20"/>
          <w:szCs w:val="20"/>
        </w:rPr>
        <w:br w:type="page"/>
      </w:r>
      <w:bookmarkStart w:id="5" w:name="_Toc24119023"/>
      <w:bookmarkStart w:id="6" w:name="_Toc211939333"/>
      <w:r>
        <w:lastRenderedPageBreak/>
        <w:t>The ACMA’s approach</w:t>
      </w:r>
      <w:bookmarkEnd w:id="5"/>
      <w:r>
        <w:t xml:space="preserve"> to publication</w:t>
      </w:r>
      <w:bookmarkEnd w:id="6"/>
    </w:p>
    <w:p w14:paraId="3C36B6D5" w14:textId="77777777" w:rsidR="00CB3DA1" w:rsidRPr="009676FB" w:rsidRDefault="00CB3DA1" w:rsidP="009F76BA">
      <w:pPr>
        <w:numPr>
          <w:ilvl w:val="1"/>
          <w:numId w:val="13"/>
        </w:numPr>
        <w:spacing w:after="80"/>
        <w:ind w:left="567" w:hanging="567"/>
        <w:rPr>
          <w:sz w:val="22"/>
          <w:szCs w:val="22"/>
        </w:rPr>
      </w:pPr>
      <w:r w:rsidRPr="009676FB">
        <w:rPr>
          <w:sz w:val="22"/>
          <w:szCs w:val="22"/>
        </w:rPr>
        <w:t xml:space="preserve">At a broad level, and subject to the exceptions and clarifications set out below (including consideration of the public interest as set out in paragraph </w:t>
      </w:r>
      <w:r w:rsidRPr="009676FB">
        <w:rPr>
          <w:sz w:val="22"/>
          <w:szCs w:val="22"/>
        </w:rPr>
        <w:fldChar w:fldCharType="begin"/>
      </w:r>
      <w:r w:rsidRPr="009676FB">
        <w:rPr>
          <w:sz w:val="22"/>
          <w:szCs w:val="22"/>
        </w:rPr>
        <w:instrText xml:space="preserve"> REF _Ref24636771 \r \p \h  \* MERGEFORMAT </w:instrText>
      </w:r>
      <w:r w:rsidRPr="009676FB">
        <w:rPr>
          <w:sz w:val="22"/>
          <w:szCs w:val="22"/>
        </w:rPr>
      </w:r>
      <w:r w:rsidRPr="009676FB">
        <w:rPr>
          <w:sz w:val="22"/>
          <w:szCs w:val="22"/>
        </w:rPr>
        <w:fldChar w:fldCharType="separate"/>
      </w:r>
      <w:r w:rsidRPr="009676FB">
        <w:rPr>
          <w:sz w:val="22"/>
          <w:szCs w:val="22"/>
        </w:rPr>
        <w:t>2.2 below</w:t>
      </w:r>
      <w:r w:rsidRPr="009676FB">
        <w:rPr>
          <w:sz w:val="22"/>
          <w:szCs w:val="22"/>
        </w:rPr>
        <w:fldChar w:fldCharType="end"/>
      </w:r>
      <w:r w:rsidRPr="009676FB">
        <w:rPr>
          <w:sz w:val="22"/>
          <w:szCs w:val="22"/>
        </w:rPr>
        <w:t>), the ACMA will:</w:t>
      </w:r>
    </w:p>
    <w:p w14:paraId="1A10EF36" w14:textId="30CD61B8" w:rsidR="00CB3DA1" w:rsidRPr="009676FB" w:rsidRDefault="00CB3DA1" w:rsidP="009676FB">
      <w:pPr>
        <w:pStyle w:val="ListParagraph"/>
        <w:numPr>
          <w:ilvl w:val="0"/>
          <w:numId w:val="20"/>
        </w:numPr>
        <w:spacing w:after="80"/>
        <w:ind w:left="851" w:hanging="284"/>
        <w:rPr>
          <w:rFonts w:cs="Arial"/>
          <w:sz w:val="22"/>
          <w:szCs w:val="22"/>
        </w:rPr>
      </w:pPr>
      <w:r w:rsidRPr="009676FB">
        <w:rPr>
          <w:rFonts w:cs="Arial"/>
          <w:sz w:val="22"/>
          <w:szCs w:val="22"/>
        </w:rPr>
        <w:t>not publicise the commencement of an investigation and will avoid commenting on an ongoing investigation</w:t>
      </w:r>
    </w:p>
    <w:p w14:paraId="16B59854" w14:textId="522A8EA2" w:rsidR="00CB3DA1" w:rsidRPr="009676FB" w:rsidRDefault="00CB3DA1" w:rsidP="009676FB">
      <w:pPr>
        <w:pStyle w:val="ListParagraph"/>
        <w:numPr>
          <w:ilvl w:val="0"/>
          <w:numId w:val="20"/>
        </w:numPr>
        <w:spacing w:after="80"/>
        <w:ind w:left="851" w:hanging="284"/>
        <w:rPr>
          <w:rFonts w:cs="Arial"/>
          <w:sz w:val="22"/>
          <w:szCs w:val="22"/>
        </w:rPr>
      </w:pPr>
      <w:r w:rsidRPr="009676FB">
        <w:rPr>
          <w:rFonts w:cs="Arial"/>
          <w:sz w:val="22"/>
          <w:szCs w:val="22"/>
        </w:rPr>
        <w:t>publicise the outcome of investigations where it has found a contravention of the law</w:t>
      </w:r>
    </w:p>
    <w:p w14:paraId="4FA17A59" w14:textId="45AEBEEF" w:rsidR="00CB3DA1" w:rsidRPr="009676FB" w:rsidRDefault="00CB3DA1" w:rsidP="009676FB">
      <w:pPr>
        <w:pStyle w:val="ListParagraph"/>
        <w:numPr>
          <w:ilvl w:val="0"/>
          <w:numId w:val="20"/>
        </w:numPr>
        <w:spacing w:after="80"/>
        <w:ind w:left="851" w:hanging="284"/>
        <w:rPr>
          <w:rFonts w:cs="Arial"/>
          <w:sz w:val="22"/>
          <w:szCs w:val="22"/>
        </w:rPr>
      </w:pPr>
      <w:r w:rsidRPr="009676FB">
        <w:rPr>
          <w:rFonts w:cs="Arial"/>
          <w:sz w:val="22"/>
          <w:szCs w:val="22"/>
        </w:rPr>
        <w:t>publicise enforcement action it takes in consequence of a finding that there has been a contravention of the law</w:t>
      </w:r>
    </w:p>
    <w:p w14:paraId="00DF8C24" w14:textId="5BDFA7BF" w:rsidR="00CB3DA1" w:rsidRPr="009676FB" w:rsidRDefault="00CB3DA1" w:rsidP="009676FB">
      <w:pPr>
        <w:pStyle w:val="ListParagraph"/>
        <w:numPr>
          <w:ilvl w:val="0"/>
          <w:numId w:val="20"/>
        </w:numPr>
        <w:spacing w:after="80"/>
        <w:ind w:left="851" w:hanging="284"/>
        <w:rPr>
          <w:rFonts w:cs="Arial"/>
          <w:sz w:val="22"/>
          <w:szCs w:val="22"/>
        </w:rPr>
      </w:pPr>
      <w:r w:rsidRPr="009676FB">
        <w:rPr>
          <w:rFonts w:cs="Arial"/>
          <w:sz w:val="22"/>
          <w:szCs w:val="22"/>
        </w:rPr>
        <w:t>publicise the fact that it has commenced court proceedings with a brief outline of the proceedings</w:t>
      </w:r>
    </w:p>
    <w:p w14:paraId="1B0FF275" w14:textId="77777777" w:rsidR="00CB3DA1" w:rsidRPr="009676FB" w:rsidRDefault="00CB3DA1" w:rsidP="009676FB">
      <w:pPr>
        <w:pStyle w:val="ListParagraph"/>
        <w:numPr>
          <w:ilvl w:val="0"/>
          <w:numId w:val="20"/>
        </w:numPr>
        <w:spacing w:after="120"/>
        <w:ind w:left="851" w:hanging="284"/>
        <w:rPr>
          <w:rFonts w:cs="Arial"/>
          <w:sz w:val="22"/>
          <w:szCs w:val="22"/>
        </w:rPr>
      </w:pPr>
      <w:r w:rsidRPr="009676FB">
        <w:rPr>
          <w:rFonts w:cs="Arial"/>
          <w:sz w:val="22"/>
          <w:szCs w:val="22"/>
        </w:rPr>
        <w:t xml:space="preserve">report and comment on investigations and enforcement outcomes in a manner that is factually accurate and balanced and </w:t>
      </w:r>
      <w:bookmarkStart w:id="7" w:name="_Hlk24126101"/>
      <w:r w:rsidRPr="009676FB">
        <w:rPr>
          <w:rFonts w:cs="Arial"/>
          <w:sz w:val="22"/>
          <w:szCs w:val="22"/>
        </w:rPr>
        <w:t xml:space="preserve">seeks to inform in a way that </w:t>
      </w:r>
      <w:bookmarkEnd w:id="7"/>
      <w:r w:rsidRPr="009676FB">
        <w:rPr>
          <w:rFonts w:cs="Arial"/>
          <w:sz w:val="22"/>
          <w:szCs w:val="22"/>
        </w:rPr>
        <w:t xml:space="preserve">serves to promote compliance and enhance public confidence in the regulation of communications and media. </w:t>
      </w:r>
    </w:p>
    <w:p w14:paraId="4DD540E1" w14:textId="77777777" w:rsidR="00CB3DA1" w:rsidRPr="009676FB" w:rsidRDefault="00CB3DA1" w:rsidP="009F76BA">
      <w:pPr>
        <w:numPr>
          <w:ilvl w:val="1"/>
          <w:numId w:val="13"/>
        </w:numPr>
        <w:spacing w:after="80"/>
        <w:ind w:left="567" w:hanging="567"/>
        <w:rPr>
          <w:sz w:val="22"/>
          <w:szCs w:val="22"/>
        </w:rPr>
      </w:pPr>
      <w:bookmarkStart w:id="8" w:name="_Ref24636771"/>
      <w:bookmarkStart w:id="9" w:name="_Toc24119024"/>
      <w:r w:rsidRPr="009676FB">
        <w:rPr>
          <w:rFonts w:cs="Arial"/>
          <w:sz w:val="22"/>
          <w:szCs w:val="22"/>
        </w:rPr>
        <w:t xml:space="preserve">When deciding whether to publicise or comment on its investigation and enforcement actions, the ACMA will be guided by the public interest. The ACMA will consider </w:t>
      </w:r>
      <w:proofErr w:type="gramStart"/>
      <w:r w:rsidRPr="009676FB">
        <w:rPr>
          <w:rFonts w:cs="Arial"/>
          <w:sz w:val="22"/>
          <w:szCs w:val="22"/>
        </w:rPr>
        <w:t>a number of</w:t>
      </w:r>
      <w:proofErr w:type="gramEnd"/>
      <w:r w:rsidRPr="009676FB">
        <w:rPr>
          <w:rFonts w:cs="Arial"/>
          <w:sz w:val="22"/>
          <w:szCs w:val="22"/>
        </w:rPr>
        <w:t xml:space="preserve"> factors in assessing whether publication or comment is or is not in the public interest, including:</w:t>
      </w:r>
      <w:bookmarkEnd w:id="8"/>
    </w:p>
    <w:p w14:paraId="0926DCEF" w14:textId="77777777" w:rsidR="00CB3DA1" w:rsidRPr="009676FB" w:rsidRDefault="00CB3DA1" w:rsidP="009676FB">
      <w:pPr>
        <w:pStyle w:val="ListParagraph"/>
        <w:numPr>
          <w:ilvl w:val="0"/>
          <w:numId w:val="21"/>
        </w:numPr>
        <w:spacing w:after="80"/>
        <w:ind w:left="851" w:hanging="284"/>
        <w:rPr>
          <w:rFonts w:cs="Arial"/>
          <w:sz w:val="22"/>
          <w:szCs w:val="22"/>
        </w:rPr>
      </w:pPr>
      <w:r w:rsidRPr="009676FB">
        <w:rPr>
          <w:rFonts w:cs="Arial"/>
          <w:sz w:val="22"/>
          <w:szCs w:val="22"/>
        </w:rPr>
        <w:t>whether information about the investigation is in the public domain</w:t>
      </w:r>
    </w:p>
    <w:p w14:paraId="32F668E2" w14:textId="77777777" w:rsidR="00CB3DA1" w:rsidRPr="009676FB" w:rsidRDefault="00CB3DA1" w:rsidP="009676FB">
      <w:pPr>
        <w:pStyle w:val="ListParagraph"/>
        <w:numPr>
          <w:ilvl w:val="0"/>
          <w:numId w:val="21"/>
        </w:numPr>
        <w:tabs>
          <w:tab w:val="left" w:pos="2268"/>
        </w:tabs>
        <w:spacing w:after="80"/>
        <w:ind w:left="851" w:hanging="284"/>
        <w:rPr>
          <w:rFonts w:cs="Arial"/>
          <w:sz w:val="22"/>
          <w:szCs w:val="22"/>
        </w:rPr>
      </w:pPr>
      <w:r w:rsidRPr="009676FB">
        <w:rPr>
          <w:rFonts w:cs="Arial"/>
          <w:sz w:val="22"/>
          <w:szCs w:val="22"/>
        </w:rPr>
        <w:t xml:space="preserve">the nature and seriousness of the issues </w:t>
      </w:r>
    </w:p>
    <w:p w14:paraId="32227873" w14:textId="77777777" w:rsidR="00CB3DA1" w:rsidRPr="009676FB" w:rsidRDefault="00CB3DA1" w:rsidP="009676FB">
      <w:pPr>
        <w:pStyle w:val="ListParagraph"/>
        <w:numPr>
          <w:ilvl w:val="0"/>
          <w:numId w:val="21"/>
        </w:numPr>
        <w:tabs>
          <w:tab w:val="left" w:pos="2268"/>
        </w:tabs>
        <w:spacing w:after="80"/>
        <w:ind w:left="851" w:hanging="284"/>
        <w:rPr>
          <w:rFonts w:cs="Arial"/>
          <w:sz w:val="22"/>
          <w:szCs w:val="22"/>
        </w:rPr>
      </w:pPr>
      <w:r w:rsidRPr="009676FB">
        <w:rPr>
          <w:rFonts w:cs="Arial"/>
          <w:sz w:val="22"/>
          <w:szCs w:val="22"/>
        </w:rPr>
        <w:t>whether disclosure is desirable to address public concerns or protect the public from further harm or loss</w:t>
      </w:r>
    </w:p>
    <w:p w14:paraId="6F739F27" w14:textId="56F0FD47" w:rsidR="00CB3DA1" w:rsidRPr="009676FB" w:rsidRDefault="00CB3DA1" w:rsidP="009676FB">
      <w:pPr>
        <w:pStyle w:val="ListParagraph"/>
        <w:numPr>
          <w:ilvl w:val="0"/>
          <w:numId w:val="21"/>
        </w:numPr>
        <w:tabs>
          <w:tab w:val="left" w:pos="2268"/>
        </w:tabs>
        <w:spacing w:after="80"/>
        <w:ind w:left="851" w:hanging="284"/>
        <w:rPr>
          <w:rFonts w:cs="Arial"/>
          <w:sz w:val="22"/>
          <w:szCs w:val="22"/>
        </w:rPr>
      </w:pPr>
      <w:r w:rsidRPr="009676FB">
        <w:rPr>
          <w:rFonts w:cs="Arial"/>
          <w:sz w:val="22"/>
          <w:szCs w:val="22"/>
        </w:rPr>
        <w:t>whether the investigation will be served by publicity, for example</w:t>
      </w:r>
      <w:r w:rsidR="00395979" w:rsidRPr="009676FB">
        <w:rPr>
          <w:rFonts w:cs="Arial"/>
          <w:sz w:val="22"/>
          <w:szCs w:val="22"/>
        </w:rPr>
        <w:t>,</w:t>
      </w:r>
      <w:r w:rsidRPr="009676FB">
        <w:rPr>
          <w:rFonts w:cs="Arial"/>
          <w:sz w:val="22"/>
          <w:szCs w:val="22"/>
        </w:rPr>
        <w:t xml:space="preserve"> to encourage submissions or the provision of evidence in the investigation</w:t>
      </w:r>
    </w:p>
    <w:p w14:paraId="41AD9108" w14:textId="77777777" w:rsidR="00CB3DA1" w:rsidRPr="009676FB" w:rsidRDefault="00CB3DA1" w:rsidP="009676FB">
      <w:pPr>
        <w:pStyle w:val="ListParagraph"/>
        <w:numPr>
          <w:ilvl w:val="0"/>
          <w:numId w:val="21"/>
        </w:numPr>
        <w:spacing w:after="80"/>
        <w:ind w:left="851" w:hanging="284"/>
        <w:rPr>
          <w:rFonts w:cs="Arial"/>
          <w:sz w:val="22"/>
          <w:szCs w:val="22"/>
        </w:rPr>
      </w:pPr>
      <w:r w:rsidRPr="009676FB">
        <w:rPr>
          <w:rFonts w:cs="Arial"/>
          <w:sz w:val="22"/>
          <w:szCs w:val="22"/>
        </w:rPr>
        <w:t>fairness to the subject/s of the investigation</w:t>
      </w:r>
    </w:p>
    <w:p w14:paraId="3AA1AF1B" w14:textId="77777777" w:rsidR="00CB3DA1" w:rsidRPr="009676FB" w:rsidRDefault="00CB3DA1" w:rsidP="009676FB">
      <w:pPr>
        <w:pStyle w:val="ListParagraph"/>
        <w:numPr>
          <w:ilvl w:val="0"/>
          <w:numId w:val="21"/>
        </w:numPr>
        <w:spacing w:after="80"/>
        <w:ind w:left="851" w:hanging="284"/>
        <w:rPr>
          <w:rFonts w:cs="Arial"/>
          <w:sz w:val="22"/>
          <w:szCs w:val="22"/>
        </w:rPr>
      </w:pPr>
      <w:r w:rsidRPr="009676FB">
        <w:rPr>
          <w:rFonts w:cs="Arial"/>
          <w:sz w:val="22"/>
          <w:szCs w:val="22"/>
        </w:rPr>
        <w:t>protection of any private, confidential or sensitive information</w:t>
      </w:r>
    </w:p>
    <w:p w14:paraId="67C7786C" w14:textId="77777777" w:rsidR="00CB3DA1" w:rsidRPr="009676FB" w:rsidRDefault="00CB3DA1" w:rsidP="009676FB">
      <w:pPr>
        <w:pStyle w:val="ACMABodyTextnumpara2"/>
        <w:numPr>
          <w:ilvl w:val="0"/>
          <w:numId w:val="21"/>
        </w:numPr>
        <w:tabs>
          <w:tab w:val="clear" w:pos="1440"/>
        </w:tabs>
        <w:spacing w:after="240"/>
        <w:ind w:left="851" w:hanging="284"/>
        <w:rPr>
          <w:rFonts w:cs="Arial"/>
          <w:sz w:val="22"/>
          <w:szCs w:val="22"/>
        </w:rPr>
      </w:pPr>
      <w:r w:rsidRPr="009676FB">
        <w:rPr>
          <w:rFonts w:cs="Arial"/>
          <w:sz w:val="22"/>
          <w:szCs w:val="22"/>
        </w:rPr>
        <w:t xml:space="preserve">any potential adverse impact public comment may have on the conduct of the investigation or any subsequent court proceedings, including on a person’s right to a fair trial. </w:t>
      </w:r>
    </w:p>
    <w:p w14:paraId="6A63AA5D" w14:textId="77777777" w:rsidR="00CB3DA1" w:rsidRPr="00CE64B7" w:rsidRDefault="00CB3DA1" w:rsidP="00CB3DA1">
      <w:pPr>
        <w:pStyle w:val="Heading2"/>
        <w:numPr>
          <w:ilvl w:val="0"/>
          <w:numId w:val="13"/>
        </w:numPr>
        <w:tabs>
          <w:tab w:val="left" w:pos="567"/>
        </w:tabs>
        <w:spacing w:before="60"/>
      </w:pPr>
      <w:bookmarkStart w:id="10" w:name="_Toc211939334"/>
      <w:r w:rsidRPr="006170EC">
        <w:t>Investigations</w:t>
      </w:r>
      <w:bookmarkEnd w:id="9"/>
      <w:bookmarkEnd w:id="10"/>
      <w:r w:rsidRPr="006170EC">
        <w:t xml:space="preserve">  </w:t>
      </w:r>
    </w:p>
    <w:p w14:paraId="10C08BB8" w14:textId="42BBDCB7" w:rsidR="00CB3DA1" w:rsidRDefault="00CB3DA1" w:rsidP="00F67297">
      <w:pPr>
        <w:numPr>
          <w:ilvl w:val="1"/>
          <w:numId w:val="13"/>
        </w:numPr>
        <w:spacing w:after="120"/>
        <w:ind w:left="567" w:hanging="567"/>
        <w:rPr>
          <w:szCs w:val="20"/>
        </w:rPr>
      </w:pPr>
      <w:r w:rsidRPr="002930A7">
        <w:rPr>
          <w:rFonts w:cs="Arial"/>
          <w:szCs w:val="20"/>
        </w:rPr>
        <w:t>The ACMA has a broad discretion to conduct investigations under the laws it administers.</w:t>
      </w:r>
      <w:r w:rsidRPr="002930A7">
        <w:rPr>
          <w:rStyle w:val="FootnoteReference"/>
          <w:rFonts w:cs="Arial"/>
          <w:szCs w:val="20"/>
        </w:rPr>
        <w:footnoteReference w:id="1"/>
      </w:r>
      <w:r w:rsidRPr="002930A7">
        <w:rPr>
          <w:rFonts w:cs="Arial"/>
          <w:szCs w:val="20"/>
        </w:rPr>
        <w:t xml:space="preserve"> The </w:t>
      </w:r>
      <w:r w:rsidR="00395979">
        <w:rPr>
          <w:rFonts w:cs="Arial"/>
          <w:szCs w:val="20"/>
        </w:rPr>
        <w:t xml:space="preserve">responsible </w:t>
      </w:r>
      <w:r w:rsidR="00E86B2B">
        <w:rPr>
          <w:rFonts w:cs="Arial"/>
          <w:szCs w:val="20"/>
        </w:rPr>
        <w:t>M</w:t>
      </w:r>
      <w:r w:rsidR="00382CA5">
        <w:rPr>
          <w:rFonts w:cs="Arial"/>
          <w:szCs w:val="20"/>
        </w:rPr>
        <w:t>i</w:t>
      </w:r>
      <w:r w:rsidRPr="002930A7">
        <w:rPr>
          <w:rFonts w:cs="Arial"/>
          <w:szCs w:val="20"/>
        </w:rPr>
        <w:t xml:space="preserve">nister may also direct the ACMA to </w:t>
      </w:r>
      <w:proofErr w:type="gramStart"/>
      <w:r w:rsidRPr="002930A7">
        <w:rPr>
          <w:rFonts w:cs="Arial"/>
          <w:szCs w:val="20"/>
        </w:rPr>
        <w:t>conduct an investigation</w:t>
      </w:r>
      <w:proofErr w:type="gramEnd"/>
      <w:r w:rsidRPr="002930A7">
        <w:rPr>
          <w:rFonts w:cs="Arial"/>
          <w:szCs w:val="20"/>
        </w:rPr>
        <w:t xml:space="preserve"> in certain circumstances.</w:t>
      </w:r>
      <w:r w:rsidRPr="002930A7">
        <w:rPr>
          <w:rStyle w:val="FootnoteReference"/>
          <w:rFonts w:cs="Arial"/>
          <w:szCs w:val="20"/>
        </w:rPr>
        <w:footnoteReference w:id="2"/>
      </w:r>
    </w:p>
    <w:p w14:paraId="672906C9" w14:textId="7939048D" w:rsidR="005E250B" w:rsidRPr="00CB3DA1" w:rsidRDefault="00CB3DA1" w:rsidP="00F67297">
      <w:pPr>
        <w:numPr>
          <w:ilvl w:val="1"/>
          <w:numId w:val="13"/>
        </w:numPr>
        <w:spacing w:after="120"/>
        <w:ind w:left="567" w:hanging="567"/>
        <w:rPr>
          <w:szCs w:val="20"/>
        </w:rPr>
      </w:pPr>
      <w:r w:rsidRPr="00CB3DA1">
        <w:rPr>
          <w:rFonts w:cs="Arial"/>
          <w:szCs w:val="20"/>
        </w:rPr>
        <w:t>An investigation aims to gather facts and evidence to determine if there has been a contravention and what, if any, action is appropriate. An investigation does not mean there has been a breach of the law and may or may not lead to a breach finding or enforcement action</w:t>
      </w:r>
      <w:r w:rsidR="00186CD2">
        <w:rPr>
          <w:rFonts w:cs="Arial"/>
          <w:szCs w:val="20"/>
        </w:rPr>
        <w:t>.</w:t>
      </w:r>
    </w:p>
    <w:p w14:paraId="12F7B7B2" w14:textId="7866665E" w:rsidR="00CB3DA1" w:rsidRPr="009676FB" w:rsidRDefault="00CB3DA1" w:rsidP="009F76BA">
      <w:pPr>
        <w:keepNext/>
        <w:keepLines/>
        <w:numPr>
          <w:ilvl w:val="1"/>
          <w:numId w:val="13"/>
        </w:numPr>
        <w:ind w:left="567" w:hanging="567"/>
        <w:rPr>
          <w:sz w:val="22"/>
          <w:szCs w:val="22"/>
        </w:rPr>
      </w:pPr>
      <w:r w:rsidRPr="009676FB">
        <w:rPr>
          <w:sz w:val="22"/>
          <w:szCs w:val="22"/>
        </w:rPr>
        <w:lastRenderedPageBreak/>
        <w:t>While a matter is being investigated</w:t>
      </w:r>
      <w:r w:rsidR="00395979" w:rsidRPr="009676FB">
        <w:rPr>
          <w:sz w:val="22"/>
          <w:szCs w:val="22"/>
        </w:rPr>
        <w:t>,</w:t>
      </w:r>
      <w:r w:rsidRPr="009676FB">
        <w:rPr>
          <w:sz w:val="22"/>
          <w:szCs w:val="22"/>
        </w:rPr>
        <w:t xml:space="preserve"> the ACMA will balance the public interest in transparency against the rights of those who are the subject of the investigation, including privacy rights and the right to a fair hearing. To ensure investigations are conducted fairly and efficiently</w:t>
      </w:r>
      <w:r w:rsidR="00395979" w:rsidRPr="009676FB">
        <w:rPr>
          <w:sz w:val="22"/>
          <w:szCs w:val="22"/>
        </w:rPr>
        <w:t>,</w:t>
      </w:r>
      <w:r w:rsidRPr="009676FB">
        <w:rPr>
          <w:sz w:val="22"/>
          <w:szCs w:val="22"/>
        </w:rPr>
        <w:t xml:space="preserve"> the ACMA will generally not make any public comment on the commencement or conduct of an investigation, unless it is in the public interest to do so (see paragraph </w:t>
      </w:r>
      <w:r w:rsidRPr="009676FB">
        <w:rPr>
          <w:sz w:val="22"/>
          <w:szCs w:val="22"/>
        </w:rPr>
        <w:fldChar w:fldCharType="begin"/>
      </w:r>
      <w:r w:rsidRPr="009676FB">
        <w:rPr>
          <w:sz w:val="22"/>
          <w:szCs w:val="22"/>
        </w:rPr>
        <w:instrText xml:space="preserve"> REF _Ref24636771 \r \p \h  \* MERGEFORMAT </w:instrText>
      </w:r>
      <w:r w:rsidRPr="009676FB">
        <w:rPr>
          <w:sz w:val="22"/>
          <w:szCs w:val="22"/>
        </w:rPr>
      </w:r>
      <w:r w:rsidRPr="009676FB">
        <w:rPr>
          <w:sz w:val="22"/>
          <w:szCs w:val="22"/>
        </w:rPr>
        <w:fldChar w:fldCharType="separate"/>
      </w:r>
      <w:r w:rsidRPr="009676FB">
        <w:rPr>
          <w:sz w:val="22"/>
          <w:szCs w:val="22"/>
        </w:rPr>
        <w:t>2.2 above</w:t>
      </w:r>
      <w:r w:rsidRPr="009676FB">
        <w:rPr>
          <w:sz w:val="22"/>
          <w:szCs w:val="22"/>
        </w:rPr>
        <w:fldChar w:fldCharType="end"/>
      </w:r>
      <w:r w:rsidRPr="009676FB">
        <w:rPr>
          <w:sz w:val="22"/>
          <w:szCs w:val="22"/>
        </w:rPr>
        <w:t>). Where an investigation has been made public</w:t>
      </w:r>
      <w:r w:rsidR="00395979" w:rsidRPr="009676FB">
        <w:rPr>
          <w:sz w:val="22"/>
          <w:szCs w:val="22"/>
        </w:rPr>
        <w:t>,</w:t>
      </w:r>
      <w:r w:rsidRPr="009676FB">
        <w:rPr>
          <w:sz w:val="22"/>
          <w:szCs w:val="22"/>
        </w:rPr>
        <w:t xml:space="preserve"> the ACMA will usually make a statement to report the outcome at its conclusion. </w:t>
      </w:r>
    </w:p>
    <w:p w14:paraId="444EF2F8" w14:textId="77777777" w:rsidR="00CB3DA1" w:rsidRPr="006170EC" w:rsidRDefault="00CB3DA1" w:rsidP="00CB3DA1">
      <w:pPr>
        <w:pStyle w:val="Heading2"/>
        <w:numPr>
          <w:ilvl w:val="0"/>
          <w:numId w:val="13"/>
        </w:numPr>
        <w:tabs>
          <w:tab w:val="left" w:pos="567"/>
        </w:tabs>
        <w:spacing w:before="60"/>
      </w:pPr>
      <w:bookmarkStart w:id="11" w:name="_Toc24119025"/>
      <w:bookmarkStart w:id="12" w:name="_Toc211939335"/>
      <w:r>
        <w:t>Investigation outcomes</w:t>
      </w:r>
      <w:bookmarkEnd w:id="11"/>
      <w:bookmarkEnd w:id="12"/>
    </w:p>
    <w:p w14:paraId="23CBDCA0" w14:textId="1B607AA6" w:rsidR="00CB3DA1" w:rsidRPr="009676FB" w:rsidRDefault="00CB3DA1" w:rsidP="00F67297">
      <w:pPr>
        <w:numPr>
          <w:ilvl w:val="1"/>
          <w:numId w:val="13"/>
        </w:numPr>
        <w:spacing w:after="120"/>
        <w:ind w:left="567" w:hanging="567"/>
        <w:rPr>
          <w:sz w:val="22"/>
          <w:szCs w:val="22"/>
        </w:rPr>
      </w:pPr>
      <w:bookmarkStart w:id="13" w:name="_Hlk24099838"/>
      <w:r w:rsidRPr="009676FB">
        <w:rPr>
          <w:sz w:val="22"/>
          <w:szCs w:val="22"/>
        </w:rPr>
        <w:t>Where the ACMA concludes an investigation with a finding that there has been contravening conduct, it will publicise that outcome and any enforcement action it takes</w:t>
      </w:r>
      <w:bookmarkStart w:id="14" w:name="_Hlk24126154"/>
      <w:r w:rsidRPr="009676FB">
        <w:rPr>
          <w:sz w:val="22"/>
          <w:szCs w:val="22"/>
        </w:rPr>
        <w:t xml:space="preserve">, subject to the public interest factors in paragraph </w:t>
      </w:r>
      <w:r w:rsidRPr="009676FB">
        <w:rPr>
          <w:sz w:val="22"/>
          <w:szCs w:val="22"/>
        </w:rPr>
        <w:fldChar w:fldCharType="begin"/>
      </w:r>
      <w:r w:rsidRPr="009676FB">
        <w:rPr>
          <w:sz w:val="22"/>
          <w:szCs w:val="22"/>
        </w:rPr>
        <w:instrText xml:space="preserve"> REF _Ref24636771 \r \p \h  \* MERGEFORMAT </w:instrText>
      </w:r>
      <w:r w:rsidRPr="009676FB">
        <w:rPr>
          <w:sz w:val="22"/>
          <w:szCs w:val="22"/>
        </w:rPr>
      </w:r>
      <w:r w:rsidRPr="009676FB">
        <w:rPr>
          <w:sz w:val="22"/>
          <w:szCs w:val="22"/>
        </w:rPr>
        <w:fldChar w:fldCharType="separate"/>
      </w:r>
      <w:r w:rsidRPr="009676FB">
        <w:rPr>
          <w:sz w:val="22"/>
          <w:szCs w:val="22"/>
        </w:rPr>
        <w:t>2.2 above</w:t>
      </w:r>
      <w:r w:rsidRPr="009676FB">
        <w:rPr>
          <w:sz w:val="22"/>
          <w:szCs w:val="22"/>
        </w:rPr>
        <w:fldChar w:fldCharType="end"/>
      </w:r>
      <w:r w:rsidRPr="009676FB">
        <w:rPr>
          <w:sz w:val="22"/>
          <w:szCs w:val="22"/>
        </w:rPr>
        <w:t>.</w:t>
      </w:r>
      <w:r w:rsidR="00395979" w:rsidRPr="009676FB">
        <w:rPr>
          <w:sz w:val="22"/>
          <w:szCs w:val="22"/>
        </w:rPr>
        <w:t xml:space="preserve"> </w:t>
      </w:r>
      <w:bookmarkEnd w:id="14"/>
      <w:r w:rsidRPr="009676FB">
        <w:rPr>
          <w:sz w:val="22"/>
          <w:szCs w:val="22"/>
        </w:rPr>
        <w:t>Conversely, the ACMA will not generally publicise an investigation outcome where it has found no contravening conduct, unless it is in the public interest to do so.</w:t>
      </w:r>
      <w:bookmarkEnd w:id="13"/>
      <w:r w:rsidRPr="009676FB">
        <w:rPr>
          <w:sz w:val="22"/>
          <w:szCs w:val="22"/>
        </w:rPr>
        <w:t xml:space="preserve"> </w:t>
      </w:r>
    </w:p>
    <w:p w14:paraId="5EDBB95E" w14:textId="42A18A23" w:rsidR="00CB3DA1" w:rsidRPr="009676FB" w:rsidRDefault="00CB3DA1" w:rsidP="00F67297">
      <w:pPr>
        <w:numPr>
          <w:ilvl w:val="1"/>
          <w:numId w:val="13"/>
        </w:numPr>
        <w:spacing w:after="120"/>
        <w:ind w:left="567" w:hanging="567"/>
        <w:rPr>
          <w:sz w:val="22"/>
          <w:szCs w:val="22"/>
        </w:rPr>
      </w:pPr>
      <w:bookmarkStart w:id="15" w:name="_Hlk24099826"/>
      <w:bookmarkStart w:id="16" w:name="_Ref24107468"/>
      <w:r w:rsidRPr="009676FB">
        <w:rPr>
          <w:sz w:val="22"/>
          <w:szCs w:val="22"/>
        </w:rPr>
        <w:t>In some circumstances</w:t>
      </w:r>
      <w:r w:rsidR="00395979" w:rsidRPr="009676FB">
        <w:rPr>
          <w:sz w:val="22"/>
          <w:szCs w:val="22"/>
        </w:rPr>
        <w:t>,</w:t>
      </w:r>
      <w:r w:rsidRPr="009676FB">
        <w:rPr>
          <w:sz w:val="22"/>
          <w:szCs w:val="22"/>
        </w:rPr>
        <w:t xml:space="preserve"> the public interest will be served by the ACMA publicising an investigation outcome</w:t>
      </w:r>
      <w:r w:rsidR="00395979" w:rsidRPr="009676FB">
        <w:rPr>
          <w:sz w:val="22"/>
          <w:szCs w:val="22"/>
        </w:rPr>
        <w:t>,</w:t>
      </w:r>
      <w:r w:rsidRPr="009676FB">
        <w:rPr>
          <w:sz w:val="22"/>
          <w:szCs w:val="22"/>
        </w:rPr>
        <w:t xml:space="preserve"> even where there is no finding of a contravention. For example, in broadcasting compliance investigations</w:t>
      </w:r>
      <w:r w:rsidR="00395979" w:rsidRPr="009676FB">
        <w:rPr>
          <w:sz w:val="22"/>
          <w:szCs w:val="22"/>
        </w:rPr>
        <w:t>,</w:t>
      </w:r>
      <w:r w:rsidRPr="009676FB">
        <w:rPr>
          <w:sz w:val="22"/>
          <w:szCs w:val="22"/>
        </w:rPr>
        <w:t xml:space="preserve"> there is often value in releasing the investigation report even where there is no breach finding</w:t>
      </w:r>
      <w:r w:rsidR="00395979" w:rsidRPr="009676FB">
        <w:rPr>
          <w:sz w:val="22"/>
          <w:szCs w:val="22"/>
        </w:rPr>
        <w:t>,</w:t>
      </w:r>
      <w:r w:rsidRPr="009676FB">
        <w:rPr>
          <w:sz w:val="22"/>
          <w:szCs w:val="22"/>
        </w:rPr>
        <w:t xml:space="preserve"> as this provides guidance on the standards imposed on broadcasters and how the ACMA will interpret those standards. </w:t>
      </w:r>
      <w:bookmarkEnd w:id="15"/>
      <w:r w:rsidRPr="009676FB">
        <w:rPr>
          <w:sz w:val="22"/>
          <w:szCs w:val="22"/>
        </w:rPr>
        <w:t xml:space="preserve">Accordingly, the ACMA will generally publicise broadcasting compliance investigation outcomes, unless there is a public interest not to do so </w:t>
      </w:r>
      <w:r w:rsidRPr="009676FB">
        <w:rPr>
          <w:rFonts w:cs="Arial"/>
          <w:sz w:val="22"/>
          <w:szCs w:val="22"/>
        </w:rPr>
        <w:t xml:space="preserve">(see paragraph </w:t>
      </w:r>
      <w:r w:rsidRPr="009676FB">
        <w:rPr>
          <w:rFonts w:cs="Arial"/>
          <w:sz w:val="22"/>
          <w:szCs w:val="22"/>
        </w:rPr>
        <w:fldChar w:fldCharType="begin"/>
      </w:r>
      <w:r w:rsidRPr="009676FB">
        <w:rPr>
          <w:rFonts w:cs="Arial"/>
          <w:sz w:val="22"/>
          <w:szCs w:val="22"/>
        </w:rPr>
        <w:instrText xml:space="preserve"> REF _Ref24636771 \r \p \h  \* MERGEFORMAT </w:instrText>
      </w:r>
      <w:r w:rsidRPr="009676FB">
        <w:rPr>
          <w:rFonts w:cs="Arial"/>
          <w:sz w:val="22"/>
          <w:szCs w:val="22"/>
        </w:rPr>
      </w:r>
      <w:r w:rsidRPr="009676FB">
        <w:rPr>
          <w:rFonts w:cs="Arial"/>
          <w:sz w:val="22"/>
          <w:szCs w:val="22"/>
        </w:rPr>
        <w:fldChar w:fldCharType="separate"/>
      </w:r>
      <w:r w:rsidRPr="009676FB">
        <w:rPr>
          <w:rFonts w:cs="Arial"/>
          <w:sz w:val="22"/>
          <w:szCs w:val="22"/>
        </w:rPr>
        <w:t>2.2 above</w:t>
      </w:r>
      <w:r w:rsidRPr="009676FB">
        <w:rPr>
          <w:rFonts w:cs="Arial"/>
          <w:sz w:val="22"/>
          <w:szCs w:val="22"/>
        </w:rPr>
        <w:fldChar w:fldCharType="end"/>
      </w:r>
      <w:r w:rsidRPr="009676FB">
        <w:rPr>
          <w:rFonts w:cs="Arial"/>
          <w:sz w:val="22"/>
          <w:szCs w:val="22"/>
        </w:rPr>
        <w:t>)</w:t>
      </w:r>
      <w:r w:rsidRPr="009676FB">
        <w:rPr>
          <w:sz w:val="22"/>
          <w:szCs w:val="22"/>
        </w:rPr>
        <w:t>.</w:t>
      </w:r>
      <w:bookmarkEnd w:id="16"/>
      <w:r w:rsidRPr="009676FB">
        <w:rPr>
          <w:sz w:val="22"/>
          <w:szCs w:val="22"/>
        </w:rPr>
        <w:t xml:space="preserve"> </w:t>
      </w:r>
    </w:p>
    <w:p w14:paraId="2E6343C9" w14:textId="79233C69" w:rsidR="00CB3DA1" w:rsidRPr="009676FB" w:rsidRDefault="00CB3DA1" w:rsidP="00F67297">
      <w:pPr>
        <w:numPr>
          <w:ilvl w:val="1"/>
          <w:numId w:val="13"/>
        </w:numPr>
        <w:spacing w:after="120"/>
        <w:ind w:left="567" w:hanging="567"/>
        <w:rPr>
          <w:sz w:val="22"/>
          <w:szCs w:val="22"/>
        </w:rPr>
      </w:pPr>
      <w:r w:rsidRPr="009676FB">
        <w:rPr>
          <w:rFonts w:cs="Arial"/>
          <w:sz w:val="22"/>
          <w:szCs w:val="22"/>
        </w:rPr>
        <w:t>At the conclusion of some investigations</w:t>
      </w:r>
      <w:r w:rsidR="00395979" w:rsidRPr="009676FB">
        <w:rPr>
          <w:rFonts w:cs="Arial"/>
          <w:sz w:val="22"/>
          <w:szCs w:val="22"/>
        </w:rPr>
        <w:t>,</w:t>
      </w:r>
      <w:r w:rsidRPr="009676FB">
        <w:rPr>
          <w:rFonts w:cs="Arial"/>
          <w:sz w:val="22"/>
          <w:szCs w:val="22"/>
        </w:rPr>
        <w:t xml:space="preserve"> the ACMA will prepare a report setting out its findings in the investigation. Where an investigation is commenced at the direction of the Minister</w:t>
      </w:r>
      <w:r w:rsidR="00395979" w:rsidRPr="009676FB">
        <w:rPr>
          <w:rFonts w:cs="Arial"/>
          <w:sz w:val="22"/>
          <w:szCs w:val="22"/>
        </w:rPr>
        <w:t>,</w:t>
      </w:r>
      <w:r w:rsidRPr="009676FB">
        <w:rPr>
          <w:rFonts w:cs="Arial"/>
          <w:sz w:val="22"/>
          <w:szCs w:val="22"/>
        </w:rPr>
        <w:t xml:space="preserve"> the ACMA must prepare a report to the Minister on the investigation.</w:t>
      </w:r>
      <w:r w:rsidRPr="009676FB">
        <w:rPr>
          <w:rStyle w:val="FootnoteReference"/>
          <w:rFonts w:cs="Arial"/>
          <w:sz w:val="22"/>
          <w:szCs w:val="22"/>
        </w:rPr>
        <w:footnoteReference w:id="3"/>
      </w:r>
      <w:r w:rsidRPr="009676FB">
        <w:rPr>
          <w:rFonts w:cs="Arial"/>
          <w:sz w:val="22"/>
          <w:szCs w:val="22"/>
        </w:rPr>
        <w:t xml:space="preserve"> The Minister may direct the ACMA to publish any such report.</w:t>
      </w:r>
      <w:r w:rsidRPr="009676FB">
        <w:rPr>
          <w:rStyle w:val="FootnoteReference"/>
          <w:rFonts w:cs="Arial"/>
          <w:sz w:val="22"/>
          <w:szCs w:val="22"/>
        </w:rPr>
        <w:footnoteReference w:id="4"/>
      </w:r>
      <w:r w:rsidRPr="009676FB">
        <w:rPr>
          <w:rFonts w:cs="Arial"/>
          <w:sz w:val="22"/>
          <w:szCs w:val="22"/>
        </w:rPr>
        <w:t xml:space="preserve"> </w:t>
      </w:r>
    </w:p>
    <w:p w14:paraId="312C3A6E" w14:textId="44348CEA" w:rsidR="00CB3DA1" w:rsidRPr="009676FB" w:rsidRDefault="00CB3DA1" w:rsidP="00F67297">
      <w:pPr>
        <w:numPr>
          <w:ilvl w:val="1"/>
          <w:numId w:val="13"/>
        </w:numPr>
        <w:spacing w:after="120"/>
        <w:ind w:left="567" w:hanging="567"/>
        <w:rPr>
          <w:sz w:val="22"/>
          <w:szCs w:val="22"/>
        </w:rPr>
      </w:pPr>
      <w:r w:rsidRPr="009676FB">
        <w:rPr>
          <w:rFonts w:cs="Arial"/>
          <w:sz w:val="22"/>
          <w:szCs w:val="22"/>
        </w:rPr>
        <w:t>In all other instances, the preparation of a report is at the ACMA’s discretion</w:t>
      </w:r>
      <w:r w:rsidR="00395979" w:rsidRPr="009676FB">
        <w:rPr>
          <w:rFonts w:cs="Arial"/>
          <w:sz w:val="22"/>
          <w:szCs w:val="22"/>
        </w:rPr>
        <w:t>,</w:t>
      </w:r>
      <w:r w:rsidRPr="009676FB">
        <w:rPr>
          <w:rFonts w:cs="Arial"/>
          <w:sz w:val="22"/>
          <w:szCs w:val="22"/>
        </w:rPr>
        <w:t xml:space="preserve"> as is the decision whether to publish any such investigation report.</w:t>
      </w:r>
      <w:r w:rsidRPr="009676FB">
        <w:rPr>
          <w:rStyle w:val="FootnoteReference"/>
          <w:rFonts w:cs="Arial"/>
          <w:sz w:val="22"/>
          <w:szCs w:val="22"/>
        </w:rPr>
        <w:footnoteReference w:id="5"/>
      </w:r>
      <w:r w:rsidRPr="009676FB">
        <w:rPr>
          <w:rFonts w:cs="Arial"/>
          <w:sz w:val="22"/>
          <w:szCs w:val="22"/>
        </w:rPr>
        <w:t xml:space="preserve"> </w:t>
      </w:r>
    </w:p>
    <w:p w14:paraId="08CA6196" w14:textId="1614A1AB" w:rsidR="00CB3DA1" w:rsidRPr="009676FB" w:rsidRDefault="00CB3DA1" w:rsidP="00F67297">
      <w:pPr>
        <w:numPr>
          <w:ilvl w:val="1"/>
          <w:numId w:val="13"/>
        </w:numPr>
        <w:tabs>
          <w:tab w:val="left" w:pos="567"/>
        </w:tabs>
        <w:spacing w:after="120"/>
        <w:ind w:left="567" w:hanging="567"/>
        <w:rPr>
          <w:rFonts w:cs="Arial"/>
          <w:sz w:val="22"/>
          <w:szCs w:val="22"/>
        </w:rPr>
      </w:pPr>
      <w:bookmarkStart w:id="17" w:name="_Hlk23946508"/>
      <w:r w:rsidRPr="009676FB">
        <w:rPr>
          <w:rFonts w:cs="Arial"/>
          <w:sz w:val="22"/>
          <w:szCs w:val="22"/>
        </w:rPr>
        <w:t xml:space="preserve">The ACMA will usually only publish an investigation report where it has found contravening conduct. As noted in paragraph </w:t>
      </w:r>
      <w:r w:rsidRPr="009676FB">
        <w:rPr>
          <w:rFonts w:cs="Arial"/>
          <w:sz w:val="22"/>
          <w:szCs w:val="22"/>
        </w:rPr>
        <w:fldChar w:fldCharType="begin"/>
      </w:r>
      <w:r w:rsidRPr="009676FB">
        <w:rPr>
          <w:rFonts w:cs="Arial"/>
          <w:sz w:val="22"/>
          <w:szCs w:val="22"/>
        </w:rPr>
        <w:instrText xml:space="preserve"> REF _Ref24107468 \r \p \h  \* MERGEFORMAT </w:instrText>
      </w:r>
      <w:r w:rsidRPr="009676FB">
        <w:rPr>
          <w:rFonts w:cs="Arial"/>
          <w:sz w:val="22"/>
          <w:szCs w:val="22"/>
        </w:rPr>
      </w:r>
      <w:r w:rsidRPr="009676FB">
        <w:rPr>
          <w:rFonts w:cs="Arial"/>
          <w:sz w:val="22"/>
          <w:szCs w:val="22"/>
        </w:rPr>
        <w:fldChar w:fldCharType="separate"/>
      </w:r>
      <w:r w:rsidRPr="009676FB">
        <w:rPr>
          <w:rFonts w:cs="Arial"/>
          <w:sz w:val="22"/>
          <w:szCs w:val="22"/>
        </w:rPr>
        <w:t>4.2 above</w:t>
      </w:r>
      <w:r w:rsidRPr="009676FB">
        <w:rPr>
          <w:rFonts w:cs="Arial"/>
          <w:sz w:val="22"/>
          <w:szCs w:val="22"/>
        </w:rPr>
        <w:fldChar w:fldCharType="end"/>
      </w:r>
      <w:r w:rsidRPr="009676FB">
        <w:rPr>
          <w:rFonts w:cs="Arial"/>
          <w:sz w:val="22"/>
          <w:szCs w:val="22"/>
        </w:rPr>
        <w:t>, for broadcasting compliance investigations</w:t>
      </w:r>
      <w:r w:rsidR="00395979" w:rsidRPr="009676FB">
        <w:rPr>
          <w:rFonts w:cs="Arial"/>
          <w:sz w:val="22"/>
          <w:szCs w:val="22"/>
        </w:rPr>
        <w:t>,</w:t>
      </w:r>
      <w:r w:rsidRPr="009676FB">
        <w:rPr>
          <w:rFonts w:cs="Arial"/>
          <w:sz w:val="22"/>
          <w:szCs w:val="22"/>
        </w:rPr>
        <w:t xml:space="preserve"> the ACMA will generally publish the report, unless there is a public interest not to do so.</w:t>
      </w:r>
      <w:bookmarkEnd w:id="17"/>
      <w:r w:rsidRPr="009676FB">
        <w:rPr>
          <w:rFonts w:cs="Arial"/>
          <w:sz w:val="22"/>
          <w:szCs w:val="22"/>
        </w:rPr>
        <w:t xml:space="preserve"> </w:t>
      </w:r>
    </w:p>
    <w:p w14:paraId="4C819561" w14:textId="77777777" w:rsidR="00CB3DA1" w:rsidRPr="009676FB" w:rsidRDefault="00CB3DA1" w:rsidP="00F67297">
      <w:pPr>
        <w:numPr>
          <w:ilvl w:val="1"/>
          <w:numId w:val="13"/>
        </w:numPr>
        <w:tabs>
          <w:tab w:val="left" w:pos="567"/>
        </w:tabs>
        <w:spacing w:after="120"/>
        <w:ind w:left="567" w:hanging="567"/>
        <w:rPr>
          <w:rFonts w:cs="Arial"/>
          <w:sz w:val="22"/>
          <w:szCs w:val="22"/>
        </w:rPr>
      </w:pPr>
      <w:r w:rsidRPr="009676FB">
        <w:rPr>
          <w:rFonts w:cs="Arial"/>
          <w:sz w:val="22"/>
          <w:szCs w:val="22"/>
        </w:rPr>
        <w:t>Where publication of an investigation report would be likely to adversely affect the interests of a person, the ACMA will first give the person an opportunity to make representations on the matter.</w:t>
      </w:r>
      <w:r w:rsidRPr="009676FB">
        <w:rPr>
          <w:rStyle w:val="FootnoteReference"/>
          <w:rFonts w:cs="Arial"/>
          <w:sz w:val="22"/>
          <w:szCs w:val="22"/>
        </w:rPr>
        <w:t xml:space="preserve"> </w:t>
      </w:r>
      <w:r w:rsidRPr="009676FB">
        <w:rPr>
          <w:rStyle w:val="FootnoteReference"/>
          <w:rFonts w:cs="Arial"/>
          <w:sz w:val="22"/>
          <w:szCs w:val="22"/>
        </w:rPr>
        <w:footnoteReference w:id="6"/>
      </w:r>
    </w:p>
    <w:p w14:paraId="63AAF9E9" w14:textId="173BE137" w:rsidR="00CB3DA1" w:rsidRPr="009676FB" w:rsidRDefault="00CB3DA1" w:rsidP="00F67297">
      <w:pPr>
        <w:numPr>
          <w:ilvl w:val="1"/>
          <w:numId w:val="13"/>
        </w:numPr>
        <w:tabs>
          <w:tab w:val="left" w:pos="567"/>
        </w:tabs>
        <w:spacing w:after="120"/>
        <w:ind w:left="567" w:hanging="567"/>
        <w:rPr>
          <w:rFonts w:cs="Arial"/>
          <w:sz w:val="22"/>
          <w:szCs w:val="22"/>
        </w:rPr>
      </w:pPr>
      <w:r w:rsidRPr="009676FB">
        <w:rPr>
          <w:rFonts w:cs="Arial"/>
          <w:sz w:val="22"/>
          <w:szCs w:val="22"/>
        </w:rPr>
        <w:t>Published reports are ordinarily available on the ACMA’s website. For further information on complaint handling and investigation reports</w:t>
      </w:r>
      <w:r w:rsidR="00395979" w:rsidRPr="009676FB">
        <w:rPr>
          <w:rFonts w:cs="Arial"/>
          <w:sz w:val="22"/>
          <w:szCs w:val="22"/>
        </w:rPr>
        <w:t>,</w:t>
      </w:r>
      <w:r w:rsidRPr="009676FB">
        <w:rPr>
          <w:rFonts w:cs="Arial"/>
          <w:sz w:val="22"/>
          <w:szCs w:val="22"/>
        </w:rPr>
        <w:t xml:space="preserve"> see </w:t>
      </w:r>
      <w:hyperlink r:id="rId28" w:history="1">
        <w:r w:rsidRPr="009676FB">
          <w:rPr>
            <w:rStyle w:val="Hyperlink"/>
            <w:rFonts w:cs="Arial"/>
            <w:sz w:val="22"/>
            <w:szCs w:val="22"/>
          </w:rPr>
          <w:t>www.acma.gov.au/investigations-and-compliance</w:t>
        </w:r>
      </w:hyperlink>
      <w:r w:rsidRPr="009676FB">
        <w:rPr>
          <w:rFonts w:cs="Arial"/>
          <w:sz w:val="22"/>
          <w:szCs w:val="22"/>
        </w:rPr>
        <w:t>.</w:t>
      </w:r>
    </w:p>
    <w:p w14:paraId="62FCD0C8" w14:textId="77777777" w:rsidR="00CB3DA1" w:rsidRPr="00AE5AB6" w:rsidRDefault="00CB3DA1" w:rsidP="00E86B2B">
      <w:pPr>
        <w:pStyle w:val="Heading2"/>
        <w:numPr>
          <w:ilvl w:val="0"/>
          <w:numId w:val="13"/>
        </w:numPr>
        <w:tabs>
          <w:tab w:val="left" w:pos="567"/>
        </w:tabs>
      </w:pPr>
      <w:bookmarkStart w:id="18" w:name="_Toc24119026"/>
      <w:bookmarkStart w:id="19" w:name="_Toc211939336"/>
      <w:r w:rsidRPr="00AE5AB6">
        <w:lastRenderedPageBreak/>
        <w:t>Compliance and enforcement outcomes</w:t>
      </w:r>
      <w:bookmarkEnd w:id="18"/>
      <w:bookmarkEnd w:id="19"/>
    </w:p>
    <w:p w14:paraId="17E28258" w14:textId="7EA46FD0" w:rsidR="00CB3DA1" w:rsidRPr="009676FB" w:rsidRDefault="00CB3DA1" w:rsidP="009F76BA">
      <w:pPr>
        <w:numPr>
          <w:ilvl w:val="1"/>
          <w:numId w:val="13"/>
        </w:numPr>
        <w:tabs>
          <w:tab w:val="left" w:pos="567"/>
        </w:tabs>
        <w:spacing w:after="80"/>
        <w:ind w:left="567" w:hanging="567"/>
        <w:rPr>
          <w:rFonts w:cs="Arial"/>
          <w:sz w:val="22"/>
          <w:szCs w:val="22"/>
        </w:rPr>
      </w:pPr>
      <w:r w:rsidRPr="009676FB">
        <w:rPr>
          <w:rFonts w:cs="Arial"/>
          <w:sz w:val="22"/>
          <w:szCs w:val="22"/>
        </w:rPr>
        <w:t>Where the ACMA finds a contravention of the law</w:t>
      </w:r>
      <w:r w:rsidR="00395979" w:rsidRPr="009676FB">
        <w:rPr>
          <w:rFonts w:cs="Arial"/>
          <w:sz w:val="22"/>
          <w:szCs w:val="22"/>
        </w:rPr>
        <w:t>,</w:t>
      </w:r>
      <w:r w:rsidRPr="009676FB">
        <w:rPr>
          <w:rFonts w:cs="Arial"/>
          <w:sz w:val="22"/>
          <w:szCs w:val="22"/>
        </w:rPr>
        <w:t xml:space="preserve"> it may pursue </w:t>
      </w:r>
      <w:proofErr w:type="gramStart"/>
      <w:r w:rsidRPr="009676FB">
        <w:rPr>
          <w:rFonts w:cs="Arial"/>
          <w:sz w:val="22"/>
          <w:szCs w:val="22"/>
        </w:rPr>
        <w:t>a number of</w:t>
      </w:r>
      <w:proofErr w:type="gramEnd"/>
      <w:r w:rsidRPr="009676FB">
        <w:rPr>
          <w:rFonts w:cs="Arial"/>
          <w:sz w:val="22"/>
          <w:szCs w:val="22"/>
        </w:rPr>
        <w:t xml:space="preserve"> potential compliance and enforcement actions.</w:t>
      </w:r>
      <w:r w:rsidRPr="009676FB">
        <w:rPr>
          <w:rStyle w:val="FootnoteReference"/>
          <w:rFonts w:cs="Arial"/>
          <w:sz w:val="22"/>
          <w:szCs w:val="22"/>
        </w:rPr>
        <w:footnoteReference w:id="7"/>
      </w:r>
      <w:r w:rsidRPr="009676FB">
        <w:rPr>
          <w:rFonts w:cs="Arial"/>
          <w:sz w:val="22"/>
          <w:szCs w:val="22"/>
        </w:rPr>
        <w:t xml:space="preserve"> They include:</w:t>
      </w:r>
    </w:p>
    <w:p w14:paraId="67AF1CD8" w14:textId="01236A17" w:rsidR="00CB3DA1" w:rsidRPr="009676FB" w:rsidRDefault="00CB3DA1" w:rsidP="009676FB">
      <w:pPr>
        <w:pStyle w:val="ListParagraph"/>
        <w:numPr>
          <w:ilvl w:val="0"/>
          <w:numId w:val="22"/>
        </w:numPr>
        <w:spacing w:after="80"/>
        <w:ind w:left="851" w:hanging="284"/>
        <w:rPr>
          <w:rFonts w:cs="Arial"/>
          <w:sz w:val="22"/>
          <w:szCs w:val="22"/>
        </w:rPr>
      </w:pPr>
      <w:r w:rsidRPr="009676FB">
        <w:rPr>
          <w:rFonts w:cs="Arial"/>
          <w:sz w:val="22"/>
          <w:szCs w:val="22"/>
        </w:rPr>
        <w:t>administrative action (</w:t>
      </w:r>
      <w:r w:rsidR="00395979" w:rsidRPr="009676FB">
        <w:rPr>
          <w:rFonts w:cs="Arial"/>
          <w:sz w:val="22"/>
          <w:szCs w:val="22"/>
        </w:rPr>
        <w:t>for example,</w:t>
      </w:r>
      <w:r w:rsidRPr="009676FB">
        <w:rPr>
          <w:rFonts w:cs="Arial"/>
          <w:sz w:val="22"/>
          <w:szCs w:val="22"/>
        </w:rPr>
        <w:t xml:space="preserve"> suspension and cancellation of licences</w:t>
      </w:r>
      <w:r w:rsidR="00395979" w:rsidRPr="009676FB">
        <w:rPr>
          <w:rFonts w:cs="Arial"/>
          <w:sz w:val="22"/>
          <w:szCs w:val="22"/>
        </w:rPr>
        <w:t>;</w:t>
      </w:r>
      <w:r w:rsidRPr="009676FB">
        <w:rPr>
          <w:rFonts w:cs="Arial"/>
          <w:sz w:val="22"/>
          <w:szCs w:val="22"/>
        </w:rPr>
        <w:t xml:space="preserve"> imposition, variation or revocation of licence conditions; acceptance of an enforceable undertaking; issuing a formal warning, an infringement notice, a remedial direction or a direction to comply with an industry code) </w:t>
      </w:r>
    </w:p>
    <w:p w14:paraId="43F2711F" w14:textId="2A2F4C3A" w:rsidR="00CB3DA1" w:rsidRPr="009676FB" w:rsidRDefault="00CB3DA1" w:rsidP="009676FB">
      <w:pPr>
        <w:pStyle w:val="ListParagraph"/>
        <w:numPr>
          <w:ilvl w:val="0"/>
          <w:numId w:val="22"/>
        </w:numPr>
        <w:ind w:left="851" w:hanging="284"/>
        <w:rPr>
          <w:rFonts w:cs="Arial"/>
          <w:sz w:val="22"/>
          <w:szCs w:val="22"/>
        </w:rPr>
      </w:pPr>
      <w:r w:rsidRPr="009676FB">
        <w:rPr>
          <w:rFonts w:cs="Arial"/>
          <w:sz w:val="22"/>
          <w:szCs w:val="22"/>
        </w:rPr>
        <w:t xml:space="preserve">court proceedings </w:t>
      </w:r>
      <w:r w:rsidR="00395979" w:rsidRPr="009676FB">
        <w:rPr>
          <w:rFonts w:cs="Arial"/>
          <w:sz w:val="22"/>
          <w:szCs w:val="22"/>
        </w:rPr>
        <w:t xml:space="preserve">that </w:t>
      </w:r>
      <w:r w:rsidRPr="009676FB">
        <w:rPr>
          <w:rFonts w:cs="Arial"/>
          <w:sz w:val="22"/>
          <w:szCs w:val="22"/>
        </w:rPr>
        <w:t>may either be criminal prosecution</w:t>
      </w:r>
      <w:r w:rsidRPr="009676FB">
        <w:rPr>
          <w:vertAlign w:val="superscript"/>
        </w:rPr>
        <w:footnoteReference w:id="8"/>
      </w:r>
      <w:r w:rsidRPr="009676FB">
        <w:rPr>
          <w:rFonts w:cs="Arial"/>
          <w:sz w:val="22"/>
          <w:szCs w:val="22"/>
        </w:rPr>
        <w:t xml:space="preserve"> or civil proceedings, to obtain penalties, declaratory and injunctive relief.</w:t>
      </w:r>
    </w:p>
    <w:p w14:paraId="46EA8642" w14:textId="77777777" w:rsidR="00CB3DA1" w:rsidRPr="009676FB" w:rsidRDefault="00CB3DA1" w:rsidP="00E86B2B">
      <w:pPr>
        <w:pStyle w:val="Heading3"/>
        <w:spacing w:before="240"/>
        <w:rPr>
          <w:sz w:val="22"/>
          <w:szCs w:val="22"/>
        </w:rPr>
      </w:pPr>
      <w:bookmarkStart w:id="20" w:name="_Toc24119027"/>
      <w:bookmarkStart w:id="21" w:name="_Toc27654440"/>
      <w:bookmarkStart w:id="22" w:name="_Toc27654789"/>
      <w:r w:rsidRPr="009676FB">
        <w:rPr>
          <w:sz w:val="22"/>
          <w:szCs w:val="22"/>
        </w:rPr>
        <w:t>Administrative action</w:t>
      </w:r>
      <w:bookmarkEnd w:id="20"/>
      <w:bookmarkEnd w:id="21"/>
      <w:bookmarkEnd w:id="22"/>
    </w:p>
    <w:p w14:paraId="2E2D5D35" w14:textId="77777777" w:rsidR="00CB3DA1" w:rsidRPr="009676FB" w:rsidRDefault="00CB3DA1" w:rsidP="009F76BA">
      <w:pPr>
        <w:numPr>
          <w:ilvl w:val="1"/>
          <w:numId w:val="13"/>
        </w:numPr>
        <w:tabs>
          <w:tab w:val="left" w:pos="567"/>
        </w:tabs>
        <w:spacing w:after="80"/>
        <w:ind w:left="567" w:hanging="567"/>
        <w:rPr>
          <w:rFonts w:cs="Arial"/>
          <w:sz w:val="22"/>
          <w:szCs w:val="22"/>
        </w:rPr>
      </w:pPr>
      <w:r w:rsidRPr="009676FB">
        <w:rPr>
          <w:rFonts w:cs="Arial"/>
          <w:sz w:val="22"/>
          <w:szCs w:val="22"/>
        </w:rPr>
        <w:t>Where the ACMA takes administrative action, it will publicise the action it has taken, subject to any public interest reasons not to do so. Specifically, the ACMA will publicise:</w:t>
      </w:r>
    </w:p>
    <w:p w14:paraId="1D5D7BD2" w14:textId="0C76854F" w:rsidR="00CB3DA1" w:rsidRPr="009676FB" w:rsidRDefault="00CB3DA1" w:rsidP="009676FB">
      <w:pPr>
        <w:pStyle w:val="ListParagraph"/>
        <w:numPr>
          <w:ilvl w:val="0"/>
          <w:numId w:val="23"/>
        </w:numPr>
        <w:spacing w:after="80"/>
        <w:ind w:left="851" w:hanging="284"/>
        <w:rPr>
          <w:rFonts w:cs="Arial"/>
          <w:sz w:val="22"/>
          <w:szCs w:val="22"/>
        </w:rPr>
      </w:pPr>
      <w:r w:rsidRPr="009676FB">
        <w:rPr>
          <w:rFonts w:cs="Arial"/>
          <w:sz w:val="22"/>
          <w:szCs w:val="22"/>
        </w:rPr>
        <w:t>a formal warning given by the ACMA where it considers a person has contravened a legal obligation</w:t>
      </w:r>
    </w:p>
    <w:p w14:paraId="2663D84B" w14:textId="5ABF223C" w:rsidR="00CB3DA1" w:rsidRPr="009676FB" w:rsidRDefault="00CB3DA1" w:rsidP="009676FB">
      <w:pPr>
        <w:pStyle w:val="ListParagraph"/>
        <w:numPr>
          <w:ilvl w:val="0"/>
          <w:numId w:val="23"/>
        </w:numPr>
        <w:spacing w:after="80"/>
        <w:ind w:left="851" w:hanging="284"/>
        <w:rPr>
          <w:rFonts w:cs="Arial"/>
          <w:sz w:val="22"/>
          <w:szCs w:val="22"/>
        </w:rPr>
      </w:pPr>
      <w:r w:rsidRPr="009676FB">
        <w:rPr>
          <w:rFonts w:cs="Arial"/>
          <w:sz w:val="22"/>
          <w:szCs w:val="22"/>
        </w:rPr>
        <w:t xml:space="preserve">an outcome where a person has paid the penalty specified in an infringement notice given by the ACMA (see too </w:t>
      </w:r>
      <w:r w:rsidRPr="009676FB">
        <w:rPr>
          <w:rFonts w:cs="Arial"/>
          <w:i/>
          <w:sz w:val="22"/>
          <w:szCs w:val="22"/>
        </w:rPr>
        <w:t xml:space="preserve">Regulatory </w:t>
      </w:r>
      <w:r w:rsidR="005E4AD8" w:rsidRPr="009676FB">
        <w:rPr>
          <w:rFonts w:cs="Arial"/>
          <w:i/>
          <w:sz w:val="22"/>
          <w:szCs w:val="22"/>
        </w:rPr>
        <w:t>guide</w:t>
      </w:r>
      <w:r w:rsidR="00860A62" w:rsidRPr="009676FB">
        <w:rPr>
          <w:rFonts w:cs="Arial"/>
          <w:i/>
          <w:sz w:val="22"/>
          <w:szCs w:val="22"/>
        </w:rPr>
        <w:t xml:space="preserve"> </w:t>
      </w:r>
      <w:r w:rsidRPr="009676FB">
        <w:rPr>
          <w:rFonts w:cs="Arial"/>
          <w:i/>
          <w:sz w:val="22"/>
          <w:szCs w:val="22"/>
        </w:rPr>
        <w:t>No 5</w:t>
      </w:r>
      <w:r w:rsidR="005E4AD8" w:rsidRPr="009676FB">
        <w:rPr>
          <w:rFonts w:cs="Arial"/>
          <w:i/>
          <w:sz w:val="22"/>
          <w:szCs w:val="22"/>
        </w:rPr>
        <w:t xml:space="preserve">: </w:t>
      </w:r>
      <w:r w:rsidR="005E4AD8" w:rsidRPr="009676FB">
        <w:rPr>
          <w:rFonts w:cs="Arial"/>
          <w:i/>
          <w:iCs/>
          <w:sz w:val="22"/>
          <w:szCs w:val="22"/>
        </w:rPr>
        <w:t>I</w:t>
      </w:r>
      <w:r w:rsidRPr="009676FB">
        <w:rPr>
          <w:rFonts w:cs="Arial"/>
          <w:i/>
          <w:iCs/>
          <w:sz w:val="22"/>
          <w:szCs w:val="22"/>
        </w:rPr>
        <w:t xml:space="preserve">nfringement </w:t>
      </w:r>
      <w:r w:rsidR="005E4AD8" w:rsidRPr="009676FB">
        <w:rPr>
          <w:rFonts w:cs="Arial"/>
          <w:i/>
          <w:iCs/>
          <w:sz w:val="22"/>
          <w:szCs w:val="22"/>
        </w:rPr>
        <w:t>n</w:t>
      </w:r>
      <w:r w:rsidRPr="009676FB">
        <w:rPr>
          <w:rFonts w:cs="Arial"/>
          <w:i/>
          <w:iCs/>
          <w:sz w:val="22"/>
          <w:szCs w:val="22"/>
        </w:rPr>
        <w:t>otices</w:t>
      </w:r>
      <w:r w:rsidRPr="009676FB">
        <w:rPr>
          <w:rFonts w:cs="Arial"/>
          <w:sz w:val="22"/>
          <w:szCs w:val="22"/>
        </w:rPr>
        <w:t>)</w:t>
      </w:r>
    </w:p>
    <w:p w14:paraId="5F6D8724" w14:textId="45DF5588" w:rsidR="00CB3DA1" w:rsidRPr="009676FB" w:rsidRDefault="00CB3DA1" w:rsidP="009676FB">
      <w:pPr>
        <w:pStyle w:val="ListParagraph"/>
        <w:numPr>
          <w:ilvl w:val="0"/>
          <w:numId w:val="23"/>
        </w:numPr>
        <w:spacing w:after="80"/>
        <w:ind w:left="851" w:hanging="284"/>
        <w:rPr>
          <w:rFonts w:cs="Arial"/>
          <w:sz w:val="22"/>
          <w:szCs w:val="22"/>
        </w:rPr>
      </w:pPr>
      <w:r w:rsidRPr="009676FB">
        <w:rPr>
          <w:rFonts w:cs="Arial"/>
          <w:sz w:val="22"/>
          <w:szCs w:val="22"/>
        </w:rPr>
        <w:t xml:space="preserve">a remedial direction given by the ACMA (see too </w:t>
      </w:r>
      <w:r w:rsidRPr="009676FB">
        <w:rPr>
          <w:rFonts w:cs="Arial"/>
          <w:i/>
          <w:sz w:val="22"/>
          <w:szCs w:val="22"/>
        </w:rPr>
        <w:t xml:space="preserve">Regulatory </w:t>
      </w:r>
      <w:r w:rsidR="005E4AD8" w:rsidRPr="009676FB">
        <w:rPr>
          <w:rFonts w:cs="Arial"/>
          <w:i/>
          <w:sz w:val="22"/>
          <w:szCs w:val="22"/>
        </w:rPr>
        <w:t>g</w:t>
      </w:r>
      <w:r w:rsidRPr="009676FB">
        <w:rPr>
          <w:rFonts w:cs="Arial"/>
          <w:i/>
          <w:sz w:val="22"/>
          <w:szCs w:val="22"/>
        </w:rPr>
        <w:t>uide</w:t>
      </w:r>
      <w:r w:rsidR="00860A62" w:rsidRPr="009676FB">
        <w:rPr>
          <w:rFonts w:cs="Arial"/>
          <w:i/>
          <w:sz w:val="22"/>
          <w:szCs w:val="22"/>
        </w:rPr>
        <w:t xml:space="preserve"> </w:t>
      </w:r>
      <w:r w:rsidRPr="009676FB">
        <w:rPr>
          <w:rFonts w:cs="Arial"/>
          <w:i/>
          <w:sz w:val="22"/>
          <w:szCs w:val="22"/>
        </w:rPr>
        <w:t>No 3</w:t>
      </w:r>
      <w:r w:rsidR="005E4AD8" w:rsidRPr="009676FB">
        <w:rPr>
          <w:rFonts w:cs="Arial"/>
          <w:i/>
          <w:iCs/>
          <w:sz w:val="22"/>
          <w:szCs w:val="22"/>
        </w:rPr>
        <w:t xml:space="preserve">: </w:t>
      </w:r>
      <w:r w:rsidRPr="009676FB">
        <w:rPr>
          <w:rFonts w:cs="Arial"/>
          <w:i/>
          <w:iCs/>
          <w:sz w:val="22"/>
          <w:szCs w:val="22"/>
        </w:rPr>
        <w:t xml:space="preserve">Remedial </w:t>
      </w:r>
      <w:r w:rsidR="005E4AD8" w:rsidRPr="009676FB">
        <w:rPr>
          <w:rFonts w:cs="Arial"/>
          <w:i/>
          <w:iCs/>
          <w:sz w:val="22"/>
          <w:szCs w:val="22"/>
        </w:rPr>
        <w:t>d</w:t>
      </w:r>
      <w:r w:rsidRPr="009676FB">
        <w:rPr>
          <w:rFonts w:cs="Arial"/>
          <w:i/>
          <w:iCs/>
          <w:sz w:val="22"/>
          <w:szCs w:val="22"/>
        </w:rPr>
        <w:t>irections</w:t>
      </w:r>
      <w:r w:rsidRPr="009676FB">
        <w:rPr>
          <w:rFonts w:cs="Arial"/>
          <w:sz w:val="22"/>
          <w:szCs w:val="22"/>
        </w:rPr>
        <w:t xml:space="preserve">) </w:t>
      </w:r>
    </w:p>
    <w:p w14:paraId="07E65E60" w14:textId="61AABC24" w:rsidR="00CB3DA1" w:rsidRPr="009676FB" w:rsidRDefault="00CB3DA1" w:rsidP="009676FB">
      <w:pPr>
        <w:pStyle w:val="ListParagraph"/>
        <w:numPr>
          <w:ilvl w:val="0"/>
          <w:numId w:val="23"/>
        </w:numPr>
        <w:spacing w:after="80"/>
        <w:ind w:left="851" w:hanging="284"/>
        <w:rPr>
          <w:rFonts w:cs="Arial"/>
          <w:sz w:val="22"/>
          <w:szCs w:val="22"/>
        </w:rPr>
      </w:pPr>
      <w:r w:rsidRPr="009676FB">
        <w:rPr>
          <w:rFonts w:cs="Arial"/>
          <w:sz w:val="22"/>
          <w:szCs w:val="22"/>
        </w:rPr>
        <w:t xml:space="preserve">a direction to comply with an industry code registered under the </w:t>
      </w:r>
      <w:r w:rsidR="00F67297" w:rsidRPr="009676FB">
        <w:rPr>
          <w:rFonts w:cs="Arial"/>
          <w:sz w:val="22"/>
          <w:szCs w:val="22"/>
        </w:rPr>
        <w:t xml:space="preserve">Telecommunications </w:t>
      </w:r>
      <w:r w:rsidRPr="009676FB">
        <w:rPr>
          <w:rFonts w:cs="Arial"/>
          <w:sz w:val="22"/>
          <w:szCs w:val="22"/>
        </w:rPr>
        <w:t>Act</w:t>
      </w:r>
    </w:p>
    <w:p w14:paraId="2BBF4ABD" w14:textId="65D778EA" w:rsidR="00CB3DA1" w:rsidRPr="009676FB" w:rsidRDefault="00CB3DA1" w:rsidP="009676FB">
      <w:pPr>
        <w:pStyle w:val="ListParagraph"/>
        <w:numPr>
          <w:ilvl w:val="0"/>
          <w:numId w:val="23"/>
        </w:numPr>
        <w:spacing w:after="80"/>
        <w:ind w:left="851" w:hanging="284"/>
        <w:rPr>
          <w:rFonts w:cs="Arial"/>
          <w:sz w:val="22"/>
          <w:szCs w:val="22"/>
        </w:rPr>
      </w:pPr>
      <w:r w:rsidRPr="009676FB">
        <w:rPr>
          <w:rFonts w:cs="Arial"/>
          <w:sz w:val="22"/>
          <w:szCs w:val="22"/>
        </w:rPr>
        <w:t>the acceptance by the ACMA of an enforceable undertaking.</w:t>
      </w:r>
      <w:r w:rsidRPr="009676FB">
        <w:rPr>
          <w:rStyle w:val="FootnoteReference"/>
          <w:rFonts w:cs="Arial"/>
          <w:sz w:val="22"/>
          <w:szCs w:val="22"/>
        </w:rPr>
        <w:footnoteReference w:id="9"/>
      </w:r>
      <w:r w:rsidRPr="009676FB">
        <w:rPr>
          <w:rFonts w:cs="Arial"/>
          <w:sz w:val="22"/>
          <w:szCs w:val="22"/>
        </w:rPr>
        <w:t xml:space="preserve"> The ACMA will not accept an enforceable undertaking on a confidential basis but may consider a request that it not publish </w:t>
      </w:r>
      <w:proofErr w:type="gramStart"/>
      <w:r w:rsidRPr="009676FB">
        <w:rPr>
          <w:rFonts w:cs="Arial"/>
          <w:sz w:val="22"/>
          <w:szCs w:val="22"/>
        </w:rPr>
        <w:t>particular terms</w:t>
      </w:r>
      <w:proofErr w:type="gramEnd"/>
      <w:r w:rsidRPr="009676FB">
        <w:rPr>
          <w:rFonts w:cs="Arial"/>
          <w:sz w:val="22"/>
          <w:szCs w:val="22"/>
        </w:rPr>
        <w:t xml:space="preserve"> of an enforceable undertaking if those terms would disclose sensitive private, commercial or confidential information (see too </w:t>
      </w:r>
      <w:r w:rsidRPr="009676FB">
        <w:rPr>
          <w:rFonts w:cs="Arial"/>
          <w:i/>
          <w:sz w:val="22"/>
          <w:szCs w:val="22"/>
        </w:rPr>
        <w:t xml:space="preserve">Regulatory </w:t>
      </w:r>
      <w:r w:rsidR="005E4AD8" w:rsidRPr="009676FB">
        <w:rPr>
          <w:rFonts w:cs="Arial"/>
          <w:i/>
          <w:sz w:val="22"/>
          <w:szCs w:val="22"/>
        </w:rPr>
        <w:t>g</w:t>
      </w:r>
      <w:r w:rsidRPr="009676FB">
        <w:rPr>
          <w:rFonts w:cs="Arial"/>
          <w:i/>
          <w:sz w:val="22"/>
          <w:szCs w:val="22"/>
        </w:rPr>
        <w:t>uide</w:t>
      </w:r>
      <w:r w:rsidR="00860A62" w:rsidRPr="009676FB">
        <w:rPr>
          <w:rFonts w:cs="Arial"/>
          <w:i/>
          <w:sz w:val="22"/>
          <w:szCs w:val="22"/>
        </w:rPr>
        <w:t xml:space="preserve"> </w:t>
      </w:r>
      <w:r w:rsidRPr="009676FB">
        <w:rPr>
          <w:rFonts w:cs="Arial"/>
          <w:i/>
          <w:sz w:val="22"/>
          <w:szCs w:val="22"/>
        </w:rPr>
        <w:t>No 1</w:t>
      </w:r>
      <w:r w:rsidR="005E4AD8" w:rsidRPr="009676FB">
        <w:rPr>
          <w:rFonts w:cs="Arial"/>
          <w:i/>
          <w:iCs/>
          <w:sz w:val="22"/>
          <w:szCs w:val="22"/>
        </w:rPr>
        <w:t xml:space="preserve">: </w:t>
      </w:r>
      <w:r w:rsidRPr="009676FB">
        <w:rPr>
          <w:rFonts w:cs="Arial"/>
          <w:i/>
          <w:iCs/>
          <w:sz w:val="22"/>
          <w:szCs w:val="22"/>
        </w:rPr>
        <w:t xml:space="preserve">Enforceable </w:t>
      </w:r>
      <w:r w:rsidR="005E4AD8" w:rsidRPr="009676FB">
        <w:rPr>
          <w:rFonts w:cs="Arial"/>
          <w:i/>
          <w:iCs/>
          <w:sz w:val="22"/>
          <w:szCs w:val="22"/>
        </w:rPr>
        <w:t>u</w:t>
      </w:r>
      <w:r w:rsidRPr="009676FB">
        <w:rPr>
          <w:rFonts w:cs="Arial"/>
          <w:i/>
          <w:iCs/>
          <w:sz w:val="22"/>
          <w:szCs w:val="22"/>
        </w:rPr>
        <w:t>ndertakings</w:t>
      </w:r>
      <w:r w:rsidRPr="009676FB">
        <w:rPr>
          <w:rFonts w:cs="Arial"/>
          <w:sz w:val="22"/>
          <w:szCs w:val="22"/>
        </w:rPr>
        <w:t>)</w:t>
      </w:r>
    </w:p>
    <w:p w14:paraId="64A30189" w14:textId="28192942" w:rsidR="00CB3DA1" w:rsidRPr="009676FB" w:rsidRDefault="00CB3DA1" w:rsidP="009676FB">
      <w:pPr>
        <w:pStyle w:val="ListParagraph"/>
        <w:numPr>
          <w:ilvl w:val="0"/>
          <w:numId w:val="23"/>
        </w:numPr>
        <w:spacing w:after="120"/>
        <w:ind w:left="851" w:hanging="284"/>
        <w:rPr>
          <w:rFonts w:cs="Arial"/>
          <w:sz w:val="22"/>
          <w:szCs w:val="22"/>
        </w:rPr>
      </w:pPr>
      <w:r w:rsidRPr="009676FB">
        <w:rPr>
          <w:rFonts w:cs="Arial"/>
          <w:sz w:val="22"/>
          <w:szCs w:val="22"/>
        </w:rPr>
        <w:t xml:space="preserve">licensing action (including suspension or cancellation of a licence or imposition, variation or revocation of licence conditions) the ACMA may take under the </w:t>
      </w:r>
      <w:r w:rsidRPr="009676FB">
        <w:rPr>
          <w:rFonts w:cs="Arial"/>
          <w:iCs/>
          <w:sz w:val="22"/>
          <w:szCs w:val="22"/>
        </w:rPr>
        <w:t xml:space="preserve">BSA, the </w:t>
      </w:r>
      <w:r w:rsidR="00F67297" w:rsidRPr="009676FB">
        <w:rPr>
          <w:rFonts w:cs="Arial"/>
          <w:iCs/>
          <w:sz w:val="22"/>
          <w:szCs w:val="22"/>
        </w:rPr>
        <w:t xml:space="preserve">Radiocommunications </w:t>
      </w:r>
      <w:r w:rsidRPr="009676FB">
        <w:rPr>
          <w:rFonts w:cs="Arial"/>
          <w:iCs/>
          <w:sz w:val="22"/>
          <w:szCs w:val="22"/>
        </w:rPr>
        <w:t xml:space="preserve">Act and the </w:t>
      </w:r>
      <w:r w:rsidR="00F67297" w:rsidRPr="009676FB">
        <w:rPr>
          <w:rFonts w:cs="Arial"/>
          <w:iCs/>
          <w:sz w:val="22"/>
          <w:szCs w:val="22"/>
        </w:rPr>
        <w:t xml:space="preserve">Telecommunications </w:t>
      </w:r>
      <w:r w:rsidRPr="009676FB">
        <w:rPr>
          <w:rFonts w:cs="Arial"/>
          <w:iCs/>
          <w:sz w:val="22"/>
          <w:szCs w:val="22"/>
        </w:rPr>
        <w:t>Act.</w:t>
      </w:r>
      <w:r w:rsidRPr="009676FB">
        <w:rPr>
          <w:rStyle w:val="FootnoteReference"/>
          <w:rFonts w:cs="Arial"/>
          <w:sz w:val="22"/>
          <w:szCs w:val="22"/>
        </w:rPr>
        <w:footnoteReference w:id="10"/>
      </w:r>
    </w:p>
    <w:p w14:paraId="0722F425" w14:textId="1B434AF8" w:rsidR="00CB3DA1" w:rsidRPr="009676FB" w:rsidRDefault="00CB3DA1" w:rsidP="00F67297">
      <w:pPr>
        <w:numPr>
          <w:ilvl w:val="1"/>
          <w:numId w:val="13"/>
        </w:numPr>
        <w:tabs>
          <w:tab w:val="left" w:pos="567"/>
        </w:tabs>
        <w:spacing w:after="120"/>
        <w:ind w:left="567" w:hanging="567"/>
        <w:rPr>
          <w:rFonts w:cs="Arial"/>
          <w:sz w:val="22"/>
          <w:szCs w:val="22"/>
        </w:rPr>
      </w:pPr>
      <w:r w:rsidRPr="009676FB">
        <w:rPr>
          <w:rFonts w:cs="Arial"/>
          <w:sz w:val="22"/>
          <w:szCs w:val="22"/>
        </w:rPr>
        <w:t>Some of the administrative actions the ACMA may take are subject to rights of reconsideration by the ACMA and review by the AAT. Those rights apply to remedial directions, directions to comply with an industry code and (with some exceptions) licensing action. The ACMA will have regard to these review rights when it takes decisions to publicise these actions and</w:t>
      </w:r>
      <w:r w:rsidR="00860A62" w:rsidRPr="009676FB">
        <w:rPr>
          <w:rFonts w:cs="Arial"/>
          <w:sz w:val="22"/>
          <w:szCs w:val="22"/>
        </w:rPr>
        <w:t>,</w:t>
      </w:r>
      <w:r w:rsidRPr="009676FB">
        <w:rPr>
          <w:rFonts w:cs="Arial"/>
          <w:sz w:val="22"/>
          <w:szCs w:val="22"/>
        </w:rPr>
        <w:t xml:space="preserve"> where appropriate</w:t>
      </w:r>
      <w:r w:rsidR="00860A62" w:rsidRPr="009676FB">
        <w:rPr>
          <w:rFonts w:cs="Arial"/>
          <w:sz w:val="22"/>
          <w:szCs w:val="22"/>
        </w:rPr>
        <w:t>,</w:t>
      </w:r>
      <w:r w:rsidRPr="009676FB">
        <w:rPr>
          <w:rFonts w:cs="Arial"/>
          <w:sz w:val="22"/>
          <w:szCs w:val="22"/>
        </w:rPr>
        <w:t xml:space="preserve"> may include statements relating to these rights</w:t>
      </w:r>
      <w:r w:rsidR="00860A62" w:rsidRPr="009676FB">
        <w:rPr>
          <w:rFonts w:cs="Arial"/>
          <w:sz w:val="22"/>
          <w:szCs w:val="22"/>
        </w:rPr>
        <w:t>.</w:t>
      </w:r>
    </w:p>
    <w:p w14:paraId="3EFB1370" w14:textId="77777777" w:rsidR="00CB3DA1" w:rsidRPr="009676FB" w:rsidRDefault="00CB3DA1" w:rsidP="00CB3DA1">
      <w:pPr>
        <w:pStyle w:val="Heading3"/>
        <w:keepLines/>
        <w:rPr>
          <w:sz w:val="22"/>
          <w:szCs w:val="22"/>
        </w:rPr>
      </w:pPr>
      <w:bookmarkStart w:id="23" w:name="_Toc24119028"/>
      <w:bookmarkStart w:id="24" w:name="_Toc27654441"/>
      <w:bookmarkStart w:id="25" w:name="_Toc27654790"/>
      <w:r w:rsidRPr="009676FB">
        <w:rPr>
          <w:sz w:val="22"/>
          <w:szCs w:val="22"/>
        </w:rPr>
        <w:lastRenderedPageBreak/>
        <w:t>Court proceedings</w:t>
      </w:r>
      <w:bookmarkEnd w:id="23"/>
      <w:bookmarkEnd w:id="24"/>
      <w:bookmarkEnd w:id="25"/>
    </w:p>
    <w:p w14:paraId="41257B38" w14:textId="26FB4156" w:rsidR="00CB3DA1" w:rsidRPr="009676FB" w:rsidRDefault="00CB3DA1" w:rsidP="009F76BA">
      <w:pPr>
        <w:keepNext/>
        <w:keepLines/>
        <w:numPr>
          <w:ilvl w:val="1"/>
          <w:numId w:val="13"/>
        </w:numPr>
        <w:tabs>
          <w:tab w:val="left" w:pos="567"/>
        </w:tabs>
        <w:spacing w:after="80"/>
        <w:ind w:left="641" w:hanging="641"/>
        <w:rPr>
          <w:rFonts w:cs="Arial"/>
          <w:sz w:val="22"/>
          <w:szCs w:val="22"/>
        </w:rPr>
      </w:pPr>
      <w:r w:rsidRPr="009676FB">
        <w:rPr>
          <w:sz w:val="22"/>
          <w:szCs w:val="22"/>
        </w:rPr>
        <w:t>If court proceedings are commenced, the ACMA will generally</w:t>
      </w:r>
      <w:r w:rsidRPr="009676FB">
        <w:rPr>
          <w:rFonts w:cs="Arial"/>
          <w:sz w:val="22"/>
          <w:szCs w:val="22"/>
        </w:rPr>
        <w:t xml:space="preserve"> only comment and publicise the action it is taking after</w:t>
      </w:r>
      <w:r w:rsidR="009676FB">
        <w:rPr>
          <w:rFonts w:cs="Arial"/>
          <w:sz w:val="22"/>
          <w:szCs w:val="22"/>
        </w:rPr>
        <w:t xml:space="preserve"> either</w:t>
      </w:r>
      <w:r w:rsidRPr="009676FB">
        <w:rPr>
          <w:rFonts w:cs="Arial"/>
          <w:sz w:val="22"/>
          <w:szCs w:val="22"/>
        </w:rPr>
        <w:t>:</w:t>
      </w:r>
    </w:p>
    <w:p w14:paraId="55F4E16B" w14:textId="0B0BFA33" w:rsidR="00CB3DA1" w:rsidRPr="009676FB" w:rsidRDefault="00CB3DA1" w:rsidP="009676FB">
      <w:pPr>
        <w:pStyle w:val="ListParagraph"/>
        <w:keepNext/>
        <w:keepLines/>
        <w:numPr>
          <w:ilvl w:val="0"/>
          <w:numId w:val="24"/>
        </w:numPr>
        <w:spacing w:after="80"/>
        <w:ind w:left="851" w:hanging="284"/>
        <w:rPr>
          <w:rFonts w:cs="Arial"/>
          <w:sz w:val="22"/>
          <w:szCs w:val="22"/>
        </w:rPr>
      </w:pPr>
      <w:r w:rsidRPr="009676FB">
        <w:rPr>
          <w:rFonts w:cs="Arial"/>
          <w:sz w:val="22"/>
          <w:szCs w:val="22"/>
        </w:rPr>
        <w:t>charges have been laid</w:t>
      </w:r>
    </w:p>
    <w:p w14:paraId="2E78AA0D" w14:textId="77777777" w:rsidR="00CB3DA1" w:rsidRPr="009676FB" w:rsidRDefault="00CB3DA1" w:rsidP="009676FB">
      <w:pPr>
        <w:pStyle w:val="ListParagraph"/>
        <w:keepNext/>
        <w:keepLines/>
        <w:numPr>
          <w:ilvl w:val="0"/>
          <w:numId w:val="24"/>
        </w:numPr>
        <w:spacing w:after="120"/>
        <w:ind w:left="851" w:hanging="284"/>
        <w:rPr>
          <w:rFonts w:cs="Arial"/>
          <w:sz w:val="22"/>
          <w:szCs w:val="22"/>
        </w:rPr>
      </w:pPr>
      <w:r w:rsidRPr="009676FB">
        <w:rPr>
          <w:rFonts w:cs="Arial"/>
          <w:sz w:val="22"/>
          <w:szCs w:val="22"/>
        </w:rPr>
        <w:t>the civil proceedings have been filed.</w:t>
      </w:r>
    </w:p>
    <w:p w14:paraId="662088F1" w14:textId="58587962" w:rsidR="00CB3DA1" w:rsidRPr="009676FB" w:rsidRDefault="00CB3DA1" w:rsidP="00F67297">
      <w:pPr>
        <w:keepNext/>
        <w:keepLines/>
        <w:numPr>
          <w:ilvl w:val="1"/>
          <w:numId w:val="13"/>
        </w:numPr>
        <w:tabs>
          <w:tab w:val="left" w:pos="567"/>
        </w:tabs>
        <w:spacing w:after="120"/>
        <w:ind w:left="567" w:hanging="567"/>
        <w:rPr>
          <w:rFonts w:cs="Arial"/>
          <w:sz w:val="22"/>
          <w:szCs w:val="22"/>
        </w:rPr>
      </w:pPr>
      <w:r w:rsidRPr="009676FB">
        <w:rPr>
          <w:sz w:val="22"/>
          <w:szCs w:val="22"/>
        </w:rPr>
        <w:t xml:space="preserve">Once proceedings </w:t>
      </w:r>
      <w:r w:rsidR="00860A62" w:rsidRPr="009676FB">
        <w:rPr>
          <w:sz w:val="22"/>
          <w:szCs w:val="22"/>
        </w:rPr>
        <w:t>commence</w:t>
      </w:r>
      <w:r w:rsidRPr="009676FB">
        <w:rPr>
          <w:sz w:val="22"/>
          <w:szCs w:val="22"/>
        </w:rPr>
        <w:t>, the ACMA will generally make no further comment about the subject matter of the litigation until the proceedings have concluded.</w:t>
      </w:r>
    </w:p>
    <w:p w14:paraId="093265B0" w14:textId="252E8FD0" w:rsidR="00CB3DA1" w:rsidRPr="009676FB" w:rsidRDefault="00CB3DA1" w:rsidP="00CB3DA1">
      <w:pPr>
        <w:keepNext/>
        <w:keepLines/>
        <w:numPr>
          <w:ilvl w:val="1"/>
          <w:numId w:val="13"/>
        </w:numPr>
        <w:tabs>
          <w:tab w:val="left" w:pos="567"/>
        </w:tabs>
        <w:ind w:left="567" w:hanging="567"/>
        <w:rPr>
          <w:sz w:val="22"/>
          <w:szCs w:val="22"/>
        </w:rPr>
      </w:pPr>
      <w:r w:rsidRPr="009676FB">
        <w:rPr>
          <w:sz w:val="22"/>
          <w:szCs w:val="22"/>
        </w:rPr>
        <w:t>Where the ACMA has publicised the laying of charges or commencement of civil proceedings, the ACMA will publicise the outcome of the litigation, including any settlement and</w:t>
      </w:r>
      <w:r w:rsidR="00860A62" w:rsidRPr="009676FB">
        <w:rPr>
          <w:sz w:val="22"/>
          <w:szCs w:val="22"/>
        </w:rPr>
        <w:t>,</w:t>
      </w:r>
      <w:r w:rsidRPr="009676FB">
        <w:rPr>
          <w:sz w:val="22"/>
          <w:szCs w:val="22"/>
        </w:rPr>
        <w:t xml:space="preserve"> if an appeal has been lodged, the outcome of the appeal.</w:t>
      </w:r>
    </w:p>
    <w:p w14:paraId="6D73C622" w14:textId="77777777" w:rsidR="00CB3DA1" w:rsidRPr="00AE5AB6" w:rsidRDefault="00CB3DA1" w:rsidP="00CB3DA1">
      <w:pPr>
        <w:pStyle w:val="Heading2"/>
        <w:numPr>
          <w:ilvl w:val="0"/>
          <w:numId w:val="13"/>
        </w:numPr>
        <w:tabs>
          <w:tab w:val="left" w:pos="567"/>
        </w:tabs>
        <w:spacing w:before="60"/>
      </w:pPr>
      <w:bookmarkStart w:id="26" w:name="_Toc211939337"/>
      <w:r>
        <w:t>Form of publicity and public comment</w:t>
      </w:r>
      <w:bookmarkEnd w:id="26"/>
      <w:r>
        <w:t xml:space="preserve"> </w:t>
      </w:r>
    </w:p>
    <w:p w14:paraId="0D850535" w14:textId="77777777" w:rsidR="00CB3DA1" w:rsidRPr="009676FB" w:rsidRDefault="00CB3DA1" w:rsidP="00F67297">
      <w:pPr>
        <w:numPr>
          <w:ilvl w:val="1"/>
          <w:numId w:val="13"/>
        </w:numPr>
        <w:tabs>
          <w:tab w:val="left" w:pos="567"/>
        </w:tabs>
        <w:spacing w:after="80"/>
        <w:ind w:left="567" w:hanging="567"/>
        <w:rPr>
          <w:sz w:val="22"/>
          <w:szCs w:val="22"/>
        </w:rPr>
      </w:pPr>
      <w:r w:rsidRPr="009676FB">
        <w:rPr>
          <w:rFonts w:cs="Arial"/>
          <w:sz w:val="22"/>
          <w:szCs w:val="22"/>
        </w:rPr>
        <w:t>The form of publicity and public comment made by the ACMA about its compliance and enforcement actions and outcomes may include:</w:t>
      </w:r>
    </w:p>
    <w:p w14:paraId="432589A9" w14:textId="77777777" w:rsidR="00CB3DA1" w:rsidRPr="009676FB" w:rsidRDefault="00CB3DA1" w:rsidP="009676FB">
      <w:pPr>
        <w:pStyle w:val="ListParagraph"/>
        <w:numPr>
          <w:ilvl w:val="0"/>
          <w:numId w:val="25"/>
        </w:numPr>
        <w:spacing w:after="80"/>
        <w:ind w:left="851" w:hanging="284"/>
        <w:rPr>
          <w:rFonts w:cs="Arial"/>
          <w:sz w:val="22"/>
          <w:szCs w:val="22"/>
        </w:rPr>
      </w:pPr>
      <w:r w:rsidRPr="009676FB">
        <w:rPr>
          <w:rFonts w:cs="Arial"/>
          <w:sz w:val="22"/>
          <w:szCs w:val="22"/>
        </w:rPr>
        <w:t>media releases and briefings</w:t>
      </w:r>
    </w:p>
    <w:p w14:paraId="121EF635" w14:textId="193F6AA8" w:rsidR="00CB3DA1" w:rsidRPr="009676FB" w:rsidRDefault="00CB3DA1" w:rsidP="009676FB">
      <w:pPr>
        <w:pStyle w:val="ListParagraph"/>
        <w:numPr>
          <w:ilvl w:val="0"/>
          <w:numId w:val="25"/>
        </w:numPr>
        <w:spacing w:after="80"/>
        <w:ind w:left="851" w:hanging="284"/>
        <w:rPr>
          <w:rFonts w:cs="Arial"/>
          <w:sz w:val="22"/>
          <w:szCs w:val="22"/>
        </w:rPr>
      </w:pPr>
      <w:r w:rsidRPr="009676FB">
        <w:rPr>
          <w:rFonts w:cs="Arial"/>
          <w:sz w:val="22"/>
          <w:szCs w:val="22"/>
        </w:rPr>
        <w:t>inclusion of the matter in a register on the ACMA website</w:t>
      </w:r>
      <w:r w:rsidR="00860A62" w:rsidRPr="009676FB">
        <w:rPr>
          <w:rFonts w:cs="Arial"/>
          <w:sz w:val="22"/>
          <w:szCs w:val="22"/>
        </w:rPr>
        <w:t>,</w:t>
      </w:r>
      <w:r w:rsidRPr="009676FB">
        <w:rPr>
          <w:rFonts w:cs="Arial"/>
          <w:sz w:val="22"/>
          <w:szCs w:val="22"/>
        </w:rPr>
        <w:t xml:space="preserve"> including links to the formal document incorporating any administrative outcome (such as a formal warning, remedial direction, enforceable undertaking or infringement notice)</w:t>
      </w:r>
    </w:p>
    <w:p w14:paraId="48D8129D" w14:textId="77777777" w:rsidR="00CB3DA1" w:rsidRPr="009676FB" w:rsidRDefault="00CB3DA1" w:rsidP="009676FB">
      <w:pPr>
        <w:pStyle w:val="ListParagraph"/>
        <w:numPr>
          <w:ilvl w:val="0"/>
          <w:numId w:val="25"/>
        </w:numPr>
        <w:spacing w:after="80"/>
        <w:ind w:left="851" w:hanging="284"/>
        <w:rPr>
          <w:rFonts w:cs="Arial"/>
          <w:sz w:val="22"/>
          <w:szCs w:val="22"/>
        </w:rPr>
      </w:pPr>
      <w:r w:rsidRPr="009676FB">
        <w:rPr>
          <w:rFonts w:cs="Arial"/>
          <w:sz w:val="22"/>
          <w:szCs w:val="22"/>
        </w:rPr>
        <w:t>publication of reports, updates and guides on the ACMA website</w:t>
      </w:r>
    </w:p>
    <w:p w14:paraId="244EF631" w14:textId="77777777" w:rsidR="00CB3DA1" w:rsidRPr="009676FB" w:rsidRDefault="00CB3DA1" w:rsidP="009676FB">
      <w:pPr>
        <w:pStyle w:val="ListParagraph"/>
        <w:numPr>
          <w:ilvl w:val="0"/>
          <w:numId w:val="25"/>
        </w:numPr>
        <w:spacing w:after="80"/>
        <w:ind w:left="851" w:hanging="284"/>
        <w:rPr>
          <w:rFonts w:cs="Arial"/>
          <w:sz w:val="22"/>
          <w:szCs w:val="22"/>
        </w:rPr>
      </w:pPr>
      <w:r w:rsidRPr="009676FB">
        <w:rPr>
          <w:rFonts w:cs="Arial"/>
          <w:sz w:val="22"/>
          <w:szCs w:val="22"/>
        </w:rPr>
        <w:t>social media posts</w:t>
      </w:r>
    </w:p>
    <w:p w14:paraId="04477186" w14:textId="77777777" w:rsidR="00CB3DA1" w:rsidRPr="009676FB" w:rsidRDefault="00CB3DA1" w:rsidP="009676FB">
      <w:pPr>
        <w:pStyle w:val="ListParagraph"/>
        <w:numPr>
          <w:ilvl w:val="0"/>
          <w:numId w:val="25"/>
        </w:numPr>
        <w:spacing w:after="120"/>
        <w:ind w:left="851" w:hanging="284"/>
        <w:rPr>
          <w:rFonts w:cs="Arial"/>
          <w:sz w:val="22"/>
          <w:szCs w:val="22"/>
        </w:rPr>
      </w:pPr>
      <w:r w:rsidRPr="009676FB">
        <w:rPr>
          <w:rFonts w:cs="Arial"/>
          <w:sz w:val="22"/>
          <w:szCs w:val="22"/>
        </w:rPr>
        <w:t xml:space="preserve">public presentations and speeches.  </w:t>
      </w:r>
    </w:p>
    <w:p w14:paraId="01C007E2" w14:textId="57518CDB" w:rsidR="00CB3DA1" w:rsidRPr="009676FB" w:rsidRDefault="00CB3DA1" w:rsidP="00CB3DA1">
      <w:pPr>
        <w:numPr>
          <w:ilvl w:val="1"/>
          <w:numId w:val="13"/>
        </w:numPr>
        <w:tabs>
          <w:tab w:val="left" w:pos="567"/>
        </w:tabs>
        <w:spacing w:after="120"/>
        <w:ind w:left="567" w:hanging="567"/>
        <w:rPr>
          <w:sz w:val="22"/>
          <w:szCs w:val="22"/>
        </w:rPr>
      </w:pPr>
      <w:r w:rsidRPr="009676FB">
        <w:rPr>
          <w:sz w:val="22"/>
          <w:szCs w:val="22"/>
        </w:rPr>
        <w:t xml:space="preserve">The ACMA is also accountable to </w:t>
      </w:r>
      <w:r w:rsidR="00A96F37" w:rsidRPr="009676FB">
        <w:rPr>
          <w:sz w:val="22"/>
          <w:szCs w:val="22"/>
        </w:rPr>
        <w:t xml:space="preserve">parliament </w:t>
      </w:r>
      <w:r w:rsidRPr="009676FB">
        <w:rPr>
          <w:sz w:val="22"/>
          <w:szCs w:val="22"/>
        </w:rPr>
        <w:t>through parliamentary committees. The ACMA may be obliged, or it may otherwise be appropriate, to answer questions or provide information to parliamentary committees in relation to the ACMA’s activities, including investigations. Where the ACMA does so</w:t>
      </w:r>
      <w:r w:rsidR="000D7CE6" w:rsidRPr="009676FB">
        <w:rPr>
          <w:sz w:val="22"/>
          <w:szCs w:val="22"/>
        </w:rPr>
        <w:t>,</w:t>
      </w:r>
      <w:r w:rsidRPr="009676FB">
        <w:rPr>
          <w:sz w:val="22"/>
          <w:szCs w:val="22"/>
        </w:rPr>
        <w:t xml:space="preserve"> these disclosures will form part of the public record.</w:t>
      </w:r>
    </w:p>
    <w:sectPr w:rsidR="00CB3DA1" w:rsidRPr="009676FB" w:rsidSect="009676FB">
      <w:headerReference w:type="even" r:id="rId29"/>
      <w:headerReference w:type="default" r:id="rId30"/>
      <w:footerReference w:type="even" r:id="rId31"/>
      <w:footerReference w:type="default" r:id="rId32"/>
      <w:pgSz w:w="11906" w:h="16838" w:code="9"/>
      <w:pgMar w:top="1945" w:right="2267"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B9B7" w14:textId="77777777" w:rsidR="009676FB" w:rsidRDefault="009676FB">
      <w:r>
        <w:separator/>
      </w:r>
    </w:p>
  </w:endnote>
  <w:endnote w:type="continuationSeparator" w:id="0">
    <w:p w14:paraId="359D0A9C" w14:textId="77777777" w:rsidR="009676FB" w:rsidRDefault="0096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Times New Roman"/>
    <w:panose1 w:val="020B0403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E30D" w14:textId="5A396E4D" w:rsidR="001D0D49" w:rsidRDefault="001D0D49">
    <w:pPr>
      <w:pStyle w:val="Footer"/>
    </w:pPr>
    <w:r>
      <w:rPr>
        <w:noProof/>
      </w:rPr>
      <mc:AlternateContent>
        <mc:Choice Requires="wps">
          <w:drawing>
            <wp:anchor distT="0" distB="0" distL="0" distR="0" simplePos="0" relativeHeight="251668480" behindDoc="0" locked="0" layoutInCell="1" allowOverlap="1" wp14:anchorId="68496D97" wp14:editId="29DD8CC0">
              <wp:simplePos x="635" y="635"/>
              <wp:positionH relativeFrom="page">
                <wp:align>center</wp:align>
              </wp:positionH>
              <wp:positionV relativeFrom="page">
                <wp:align>bottom</wp:align>
              </wp:positionV>
              <wp:extent cx="551815" cy="376555"/>
              <wp:effectExtent l="0" t="0" r="635" b="0"/>
              <wp:wrapNone/>
              <wp:docPr id="14140776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87D453" w14:textId="5AE93231"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496D97"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987D453" w14:textId="5AE93231"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0751" w14:textId="63D7A4D9" w:rsidR="00C053A1" w:rsidRPr="00622A3B" w:rsidRDefault="001D0D49"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Pr>
        <w:rFonts w:cs="Arial"/>
        <w:b/>
        <w:noProof/>
        <w:spacing w:val="-16"/>
        <w:sz w:val="20"/>
        <w:szCs w:val="20"/>
      </w:rPr>
      <mc:AlternateContent>
        <mc:Choice Requires="wps">
          <w:drawing>
            <wp:anchor distT="0" distB="0" distL="0" distR="0" simplePos="0" relativeHeight="251676672" behindDoc="0" locked="0" layoutInCell="1" allowOverlap="1" wp14:anchorId="62DC1762" wp14:editId="0B01B74E">
              <wp:simplePos x="635" y="635"/>
              <wp:positionH relativeFrom="page">
                <wp:align>center</wp:align>
              </wp:positionH>
              <wp:positionV relativeFrom="page">
                <wp:align>bottom</wp:align>
              </wp:positionV>
              <wp:extent cx="551815" cy="376555"/>
              <wp:effectExtent l="0" t="0" r="635" b="0"/>
              <wp:wrapNone/>
              <wp:docPr id="53414990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E4DC50" w14:textId="4FE4DBED"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DC1762" id="_x0000_t202" coordsize="21600,21600" o:spt="202" path="m,l,21600r21600,l21600,xe">
              <v:stroke joinstyle="miter"/>
              <v:path gradientshapeok="t" o:connecttype="rect"/>
            </v:shapetype>
            <v:shape id="Text Box 19" o:spid="_x0000_s1037" type="#_x0000_t202" alt="OFFICIAL" style="position:absolute;left:0;text-align:left;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7DE4DC50" w14:textId="4FE4DBED"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r w:rsidR="00C053A1" w:rsidRPr="00622A3B">
      <w:rPr>
        <w:rFonts w:cs="Arial"/>
        <w:b/>
        <w:noProof/>
        <w:spacing w:val="-16"/>
        <w:sz w:val="20"/>
        <w:szCs w:val="20"/>
      </w:rPr>
      <w:t>a</w:t>
    </w:r>
    <w:r w:rsidR="00C053A1" w:rsidRPr="00622A3B">
      <w:rPr>
        <w:rFonts w:cs="Arial"/>
        <w:b/>
        <w:noProof/>
        <w:spacing w:val="-15"/>
        <w:sz w:val="20"/>
        <w:szCs w:val="20"/>
      </w:rPr>
      <w:t>c</w:t>
    </w:r>
    <w:r w:rsidR="00C053A1" w:rsidRPr="00622A3B">
      <w:rPr>
        <w:rFonts w:cs="Arial"/>
        <w:b/>
        <w:noProof/>
        <w:spacing w:val="-16"/>
        <w:sz w:val="20"/>
        <w:szCs w:val="20"/>
      </w:rPr>
      <w:t>m</w:t>
    </w:r>
    <w:r w:rsidR="00C053A1" w:rsidRPr="00622A3B">
      <w:rPr>
        <w:rFonts w:cs="Arial"/>
        <w:b/>
        <w:noProof/>
        <w:spacing w:val="-14"/>
        <w:sz w:val="20"/>
        <w:szCs w:val="20"/>
      </w:rPr>
      <w:t>a</w:t>
    </w:r>
    <w:r w:rsidR="00C053A1" w:rsidRPr="0094078F">
      <w:rPr>
        <w:rFonts w:cs="Arial"/>
      </w:rPr>
      <w:tab/>
    </w:r>
    <w:r w:rsidR="00C053A1">
      <w:rPr>
        <w:rFonts w:cs="Arial"/>
      </w:rPr>
      <w:t xml:space="preserve"> </w:t>
    </w:r>
    <w:r w:rsidR="00C053A1" w:rsidRPr="00622A3B">
      <w:rPr>
        <w:rFonts w:cs="Arial"/>
      </w:rPr>
      <w:t>|</w:t>
    </w:r>
    <w:r w:rsidR="00C053A1">
      <w:tab/>
    </w:r>
    <w:r w:rsidR="00C053A1" w:rsidRPr="00575AC5">
      <w:rPr>
        <w:color w:val="505050"/>
      </w:rPr>
      <w:fldChar w:fldCharType="begin"/>
    </w:r>
    <w:r w:rsidR="00C053A1" w:rsidRPr="00575AC5">
      <w:rPr>
        <w:color w:val="505050"/>
      </w:rPr>
      <w:instrText xml:space="preserve"> PAGE  \* Arabic  \* MERGEFORMAT </w:instrText>
    </w:r>
    <w:r w:rsidR="00C053A1" w:rsidRPr="00575AC5">
      <w:rPr>
        <w:color w:val="505050"/>
      </w:rPr>
      <w:fldChar w:fldCharType="separate"/>
    </w:r>
    <w:r w:rsidR="00DD1A43">
      <w:rPr>
        <w:noProof/>
        <w:color w:val="505050"/>
      </w:rPr>
      <w:t>1</w:t>
    </w:r>
    <w:r w:rsidR="00C053A1" w:rsidRPr="00575AC5">
      <w:rPr>
        <w:color w:val="505050"/>
      </w:rPr>
      <w:fldChar w:fldCharType="end"/>
    </w:r>
  </w:p>
  <w:p w14:paraId="69157EBF" w14:textId="77777777" w:rsidR="00C053A1" w:rsidRPr="00A5474E" w:rsidRDefault="00C053A1" w:rsidP="00A54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E15A" w14:textId="30838EEE" w:rsidR="005E250B" w:rsidRDefault="005E250B" w:rsidP="005E250B">
    <w:pPr>
      <w:pStyle w:val="Footer"/>
      <w:jc w:val="right"/>
    </w:pPr>
    <w:r w:rsidRPr="005E250B">
      <w:rPr>
        <w:noProof/>
        <w:vertAlign w:val="subscript"/>
      </w:rPr>
      <w:drawing>
        <wp:inline distT="0" distB="0" distL="0" distR="0" wp14:anchorId="4A66AE9F" wp14:editId="420F1A00">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A9D0" w14:textId="43725129" w:rsidR="001D0D49" w:rsidRDefault="001D0D49">
    <w:pPr>
      <w:pStyle w:val="Footer"/>
    </w:pPr>
    <w:r>
      <w:rPr>
        <w:noProof/>
      </w:rPr>
      <mc:AlternateContent>
        <mc:Choice Requires="wps">
          <w:drawing>
            <wp:anchor distT="0" distB="0" distL="0" distR="0" simplePos="0" relativeHeight="251667456" behindDoc="0" locked="0" layoutInCell="1" allowOverlap="1" wp14:anchorId="13A061FF" wp14:editId="1E81910A">
              <wp:simplePos x="635" y="635"/>
              <wp:positionH relativeFrom="page">
                <wp:align>center</wp:align>
              </wp:positionH>
              <wp:positionV relativeFrom="page">
                <wp:align>bottom</wp:align>
              </wp:positionV>
              <wp:extent cx="551815" cy="376555"/>
              <wp:effectExtent l="0" t="0" r="635" b="0"/>
              <wp:wrapNone/>
              <wp:docPr id="168852506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D529B3" w14:textId="7BAD7BE9"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061FF" id="_x0000_t202" coordsize="21600,21600" o:spt="202" path="m,l,21600r21600,l21600,xe">
              <v:stroke joinstyle="miter"/>
              <v:path gradientshapeok="t" o:connecttype="rect"/>
            </v:shapetype>
            <v:shape id="Text Box 10" o:spid="_x0000_s1028"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BD529B3" w14:textId="7BAD7BE9"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E1E0" w14:textId="417464C5" w:rsidR="00C053A1" w:rsidRDefault="00C053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5009" w14:textId="72AB8CA5" w:rsidR="00C053A1" w:rsidRDefault="001D0D49">
    <w:pPr>
      <w:pStyle w:val="Footer"/>
    </w:pPr>
    <w:r>
      <w:rPr>
        <w:noProof/>
      </w:rPr>
      <mc:AlternateContent>
        <mc:Choice Requires="wps">
          <w:drawing>
            <wp:anchor distT="0" distB="0" distL="0" distR="0" simplePos="0" relativeHeight="251671552" behindDoc="0" locked="0" layoutInCell="1" allowOverlap="1" wp14:anchorId="3A3F9C23" wp14:editId="191C9BFB">
              <wp:simplePos x="635" y="635"/>
              <wp:positionH relativeFrom="page">
                <wp:align>center</wp:align>
              </wp:positionH>
              <wp:positionV relativeFrom="page">
                <wp:align>bottom</wp:align>
              </wp:positionV>
              <wp:extent cx="551815" cy="376555"/>
              <wp:effectExtent l="0" t="0" r="635" b="0"/>
              <wp:wrapNone/>
              <wp:docPr id="98313083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568C70" w14:textId="285663A1"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3F9C23" id="_x0000_t202" coordsize="21600,21600" o:spt="202" path="m,l,21600r21600,l21600,xe">
              <v:stroke joinstyle="miter"/>
              <v:path gradientshapeok="t" o:connecttype="rect"/>
            </v:shapetype>
            <v:shape id="Text Box 14" o:spid="_x0000_s1030"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19568C70" w14:textId="285663A1"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EFD2" w14:textId="0BC7B529" w:rsidR="00971914" w:rsidRPr="00622A3B" w:rsidRDefault="001D0D49"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Pr>
        <w:rFonts w:cs="Arial"/>
        <w:b/>
        <w:noProof/>
        <w:spacing w:val="-16"/>
        <w:sz w:val="20"/>
        <w:szCs w:val="20"/>
      </w:rPr>
      <mc:AlternateContent>
        <mc:Choice Requires="wps">
          <w:drawing>
            <wp:anchor distT="0" distB="0" distL="0" distR="0" simplePos="0" relativeHeight="251673600" behindDoc="0" locked="0" layoutInCell="1" allowOverlap="1" wp14:anchorId="077DA2AA" wp14:editId="5759AA5F">
              <wp:simplePos x="635" y="635"/>
              <wp:positionH relativeFrom="page">
                <wp:align>center</wp:align>
              </wp:positionH>
              <wp:positionV relativeFrom="page">
                <wp:align>bottom</wp:align>
              </wp:positionV>
              <wp:extent cx="551815" cy="376555"/>
              <wp:effectExtent l="0" t="0" r="635" b="0"/>
              <wp:wrapNone/>
              <wp:docPr id="213548470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B74BAD" w14:textId="3FDEEFE2"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DA2AA" id="_x0000_t202" coordsize="21600,21600" o:spt="202" path="m,l,21600r21600,l21600,xe">
              <v:stroke joinstyle="miter"/>
              <v:path gradientshapeok="t" o:connecttype="rect"/>
            </v:shapetype>
            <v:shape id="Text Box 16" o:spid="_x0000_s1033"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1B74BAD" w14:textId="3FDEEFE2"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r w:rsidR="00971914" w:rsidRPr="00622A3B">
      <w:rPr>
        <w:rFonts w:cs="Arial"/>
        <w:b/>
        <w:noProof/>
        <w:spacing w:val="-16"/>
        <w:sz w:val="20"/>
        <w:szCs w:val="20"/>
      </w:rPr>
      <w:t>a</w:t>
    </w:r>
    <w:r w:rsidR="00971914" w:rsidRPr="00622A3B">
      <w:rPr>
        <w:rFonts w:cs="Arial"/>
        <w:b/>
        <w:noProof/>
        <w:spacing w:val="-15"/>
        <w:sz w:val="20"/>
        <w:szCs w:val="20"/>
      </w:rPr>
      <w:t>c</w:t>
    </w:r>
    <w:r w:rsidR="00971914" w:rsidRPr="00622A3B">
      <w:rPr>
        <w:rFonts w:cs="Arial"/>
        <w:b/>
        <w:noProof/>
        <w:spacing w:val="-16"/>
        <w:sz w:val="20"/>
        <w:szCs w:val="20"/>
      </w:rPr>
      <w:t>m</w:t>
    </w:r>
    <w:r w:rsidR="00971914" w:rsidRPr="00622A3B">
      <w:rPr>
        <w:rFonts w:cs="Arial"/>
        <w:b/>
        <w:noProof/>
        <w:spacing w:val="-14"/>
        <w:sz w:val="20"/>
        <w:szCs w:val="20"/>
      </w:rPr>
      <w:t>a</w:t>
    </w:r>
    <w:r w:rsidR="00971914" w:rsidRPr="0094078F">
      <w:rPr>
        <w:rFonts w:cs="Arial"/>
      </w:rPr>
      <w:tab/>
    </w:r>
    <w:r w:rsidR="00971914">
      <w:rPr>
        <w:rFonts w:cs="Arial"/>
      </w:rPr>
      <w:t xml:space="preserve"> </w:t>
    </w:r>
    <w:r w:rsidR="00971914" w:rsidRPr="00622A3B">
      <w:rPr>
        <w:rFonts w:cs="Arial"/>
      </w:rPr>
      <w:t>|</w:t>
    </w:r>
    <w:r w:rsidR="00971914">
      <w:tab/>
    </w:r>
    <w:r w:rsidR="00971914" w:rsidRPr="002E4DDC">
      <w:rPr>
        <w:color w:val="505050"/>
      </w:rPr>
      <w:fldChar w:fldCharType="begin"/>
    </w:r>
    <w:r w:rsidR="00971914" w:rsidRPr="002E4DDC">
      <w:rPr>
        <w:color w:val="505050"/>
      </w:rPr>
      <w:instrText xml:space="preserve"> PAGE  \* roman  \* MERGEFORMAT </w:instrText>
    </w:r>
    <w:r w:rsidR="00971914" w:rsidRPr="002E4DDC">
      <w:rPr>
        <w:color w:val="505050"/>
      </w:rPr>
      <w:fldChar w:fldCharType="separate"/>
    </w:r>
    <w:r w:rsidR="000C6AB4">
      <w:rPr>
        <w:noProof/>
        <w:color w:val="505050"/>
      </w:rPr>
      <w:t>iv</w:t>
    </w:r>
    <w:r w:rsidR="00971914" w:rsidRPr="002E4DDC">
      <w:rPr>
        <w:color w:val="505050"/>
      </w:rPr>
      <w:fldChar w:fldCharType="end"/>
    </w:r>
  </w:p>
  <w:p w14:paraId="163E0E0E"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AA75" w14:textId="15F9A786" w:rsidR="00971914" w:rsidRPr="00622A3B" w:rsidRDefault="001D0D49"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74624" behindDoc="0" locked="0" layoutInCell="1" allowOverlap="1" wp14:anchorId="259C7063" wp14:editId="1871A118">
              <wp:simplePos x="635" y="635"/>
              <wp:positionH relativeFrom="page">
                <wp:align>center</wp:align>
              </wp:positionH>
              <wp:positionV relativeFrom="page">
                <wp:align>bottom</wp:align>
              </wp:positionV>
              <wp:extent cx="551815" cy="376555"/>
              <wp:effectExtent l="0" t="0" r="635" b="0"/>
              <wp:wrapNone/>
              <wp:docPr id="488551529"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2323E2" w14:textId="0B2449B4"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C7063" id="_x0000_t202" coordsize="21600,21600" o:spt="202" path="m,l,21600r21600,l21600,xe">
              <v:stroke joinstyle="miter"/>
              <v:path gradientshapeok="t" o:connecttype="rect"/>
            </v:shapetype>
            <v:shape id="Text Box 17" o:spid="_x0000_s1034" type="#_x0000_t202" alt="OFFICIAL" style="position:absolute;left:0;text-align:left;margin-left:0;margin-top:0;width:43.45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1C2323E2" w14:textId="0B2449B4"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r w:rsidR="00971914" w:rsidRPr="00622A3B">
      <w:rPr>
        <w:rFonts w:cs="Arial"/>
        <w:b/>
        <w:noProof/>
        <w:spacing w:val="-16"/>
        <w:sz w:val="20"/>
        <w:szCs w:val="20"/>
      </w:rPr>
      <w:t>a</w:t>
    </w:r>
    <w:r w:rsidR="00971914" w:rsidRPr="00622A3B">
      <w:rPr>
        <w:rFonts w:cs="Arial"/>
        <w:b/>
        <w:noProof/>
        <w:spacing w:val="-15"/>
        <w:sz w:val="20"/>
        <w:szCs w:val="20"/>
      </w:rPr>
      <w:t>c</w:t>
    </w:r>
    <w:r w:rsidR="00971914" w:rsidRPr="00622A3B">
      <w:rPr>
        <w:rFonts w:cs="Arial"/>
        <w:b/>
        <w:noProof/>
        <w:spacing w:val="-16"/>
        <w:sz w:val="20"/>
        <w:szCs w:val="20"/>
      </w:rPr>
      <w:t>m</w:t>
    </w:r>
    <w:r w:rsidR="00971914" w:rsidRPr="00622A3B">
      <w:rPr>
        <w:rFonts w:cs="Arial"/>
        <w:b/>
        <w:noProof/>
        <w:spacing w:val="-14"/>
        <w:sz w:val="20"/>
        <w:szCs w:val="20"/>
      </w:rPr>
      <w:t>a</w:t>
    </w:r>
    <w:r w:rsidR="00971914" w:rsidRPr="0094078F">
      <w:rPr>
        <w:rFonts w:cs="Arial"/>
      </w:rPr>
      <w:tab/>
    </w:r>
    <w:r w:rsidR="00971914">
      <w:rPr>
        <w:rFonts w:cs="Arial"/>
      </w:rPr>
      <w:t xml:space="preserve"> </w:t>
    </w:r>
    <w:r w:rsidR="00971914" w:rsidRPr="00622A3B">
      <w:rPr>
        <w:rFonts w:cs="Arial"/>
      </w:rPr>
      <w:t>|</w:t>
    </w:r>
    <w:r w:rsidR="00971914">
      <w:tab/>
    </w:r>
    <w:r w:rsidR="00971914" w:rsidRPr="002E4DDC">
      <w:rPr>
        <w:color w:val="505050"/>
      </w:rPr>
      <w:fldChar w:fldCharType="begin"/>
    </w:r>
    <w:r w:rsidR="00971914" w:rsidRPr="002E4DDC">
      <w:rPr>
        <w:color w:val="505050"/>
      </w:rPr>
      <w:instrText xml:space="preserve"> PAGE  \* roman  \* MERGEFORMAT </w:instrText>
    </w:r>
    <w:r w:rsidR="00971914" w:rsidRPr="002E4DDC">
      <w:rPr>
        <w:color w:val="505050"/>
      </w:rPr>
      <w:fldChar w:fldCharType="separate"/>
    </w:r>
    <w:r w:rsidR="000C6AB4">
      <w:rPr>
        <w:noProof/>
        <w:color w:val="505050"/>
      </w:rPr>
      <w:t>v</w:t>
    </w:r>
    <w:r w:rsidR="00971914" w:rsidRPr="002E4DDC">
      <w:rPr>
        <w:color w:val="505050"/>
      </w:rPr>
      <w:fldChar w:fldCharType="end"/>
    </w:r>
  </w:p>
  <w:p w14:paraId="00C83ECC"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1160" w14:textId="72E0BDA5" w:rsidR="00C053A1" w:rsidRPr="00622A3B" w:rsidRDefault="001D0D49"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72576" behindDoc="0" locked="0" layoutInCell="1" allowOverlap="1" wp14:anchorId="32D859DB" wp14:editId="1C187AF8">
              <wp:simplePos x="635" y="635"/>
              <wp:positionH relativeFrom="page">
                <wp:align>center</wp:align>
              </wp:positionH>
              <wp:positionV relativeFrom="page">
                <wp:align>bottom</wp:align>
              </wp:positionV>
              <wp:extent cx="551815" cy="376555"/>
              <wp:effectExtent l="0" t="0" r="635" b="0"/>
              <wp:wrapNone/>
              <wp:docPr id="59672619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AAA412" w14:textId="6F652159"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859DB" id="_x0000_t202" coordsize="21600,21600" o:spt="202" path="m,l,21600r21600,l21600,xe">
              <v:stroke joinstyle="miter"/>
              <v:path gradientshapeok="t" o:connecttype="rect"/>
            </v:shapetype>
            <v:shape id="Text Box 15" o:spid="_x0000_s1035" type="#_x0000_t202" alt="OFFICIAL" style="position:absolute;left:0;text-align:left;margin-left:0;margin-top:0;width:43.45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2AAAA412" w14:textId="6F652159"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r w:rsidR="00C053A1" w:rsidRPr="00622A3B">
      <w:rPr>
        <w:rFonts w:cs="Arial"/>
        <w:b/>
        <w:noProof/>
        <w:spacing w:val="-16"/>
        <w:sz w:val="20"/>
        <w:szCs w:val="20"/>
      </w:rPr>
      <w:t>a</w:t>
    </w:r>
    <w:r w:rsidR="00C053A1" w:rsidRPr="00622A3B">
      <w:rPr>
        <w:rFonts w:cs="Arial"/>
        <w:b/>
        <w:noProof/>
        <w:spacing w:val="-15"/>
        <w:sz w:val="20"/>
        <w:szCs w:val="20"/>
      </w:rPr>
      <w:t>c</w:t>
    </w:r>
    <w:r w:rsidR="00C053A1" w:rsidRPr="00622A3B">
      <w:rPr>
        <w:rFonts w:cs="Arial"/>
        <w:b/>
        <w:noProof/>
        <w:spacing w:val="-16"/>
        <w:sz w:val="20"/>
        <w:szCs w:val="20"/>
      </w:rPr>
      <w:t>m</w:t>
    </w:r>
    <w:r w:rsidR="00C053A1" w:rsidRPr="00622A3B">
      <w:rPr>
        <w:rFonts w:cs="Arial"/>
        <w:b/>
        <w:noProof/>
        <w:spacing w:val="-14"/>
        <w:sz w:val="20"/>
        <w:szCs w:val="20"/>
      </w:rPr>
      <w:t>a</w:t>
    </w:r>
    <w:r w:rsidR="00C053A1" w:rsidRPr="0094078F">
      <w:rPr>
        <w:rFonts w:cs="Arial"/>
      </w:rPr>
      <w:tab/>
    </w:r>
    <w:r w:rsidR="00C053A1">
      <w:rPr>
        <w:rFonts w:cs="Arial"/>
      </w:rPr>
      <w:t xml:space="preserve"> </w:t>
    </w:r>
    <w:r w:rsidR="00C053A1" w:rsidRPr="00622A3B">
      <w:rPr>
        <w:rFonts w:cs="Arial"/>
      </w:rPr>
      <w:t>|</w:t>
    </w:r>
    <w:r w:rsidR="00C053A1">
      <w:tab/>
    </w:r>
    <w:r w:rsidR="00C053A1" w:rsidRPr="002E4DDC">
      <w:rPr>
        <w:color w:val="505050"/>
      </w:rPr>
      <w:fldChar w:fldCharType="begin"/>
    </w:r>
    <w:r w:rsidR="00C053A1" w:rsidRPr="002E4DDC">
      <w:rPr>
        <w:color w:val="505050"/>
      </w:rPr>
      <w:instrText xml:space="preserve"> PAGE  \* roman  \* MERGEFORMAT </w:instrText>
    </w:r>
    <w:r w:rsidR="00C053A1" w:rsidRPr="002E4DDC">
      <w:rPr>
        <w:color w:val="505050"/>
      </w:rPr>
      <w:fldChar w:fldCharType="separate"/>
    </w:r>
    <w:r w:rsidR="00DD1A43">
      <w:rPr>
        <w:noProof/>
        <w:color w:val="505050"/>
      </w:rPr>
      <w:t>iii</w:t>
    </w:r>
    <w:r w:rsidR="00C053A1" w:rsidRPr="002E4DDC">
      <w:rPr>
        <w:color w:val="505050"/>
      </w:rPr>
      <w:fldChar w:fldCharType="end"/>
    </w:r>
  </w:p>
  <w:p w14:paraId="573D5465" w14:textId="77777777" w:rsidR="00C053A1" w:rsidRPr="00A5474E" w:rsidRDefault="00C053A1" w:rsidP="00A547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137E" w14:textId="10480A3C" w:rsidR="00C053A1" w:rsidRPr="00622A3B" w:rsidRDefault="001D0D49" w:rsidP="00B43262">
    <w:pPr>
      <w:pStyle w:val="FooterLeft"/>
      <w:framePr w:wrap="around" w:x="1141" w:y="16166"/>
      <w:tabs>
        <w:tab w:val="clear" w:pos="113"/>
        <w:tab w:val="right" w:pos="397"/>
      </w:tabs>
    </w:pPr>
    <w:r>
      <w:rPr>
        <w:noProof/>
      </w:rPr>
      <mc:AlternateContent>
        <mc:Choice Requires="wps">
          <w:drawing>
            <wp:anchor distT="0" distB="0" distL="0" distR="0" simplePos="0" relativeHeight="251675648" behindDoc="0" locked="0" layoutInCell="1" allowOverlap="1" wp14:anchorId="36BD5A2B" wp14:editId="6AAD4B97">
              <wp:simplePos x="635" y="635"/>
              <wp:positionH relativeFrom="page">
                <wp:align>center</wp:align>
              </wp:positionH>
              <wp:positionV relativeFrom="page">
                <wp:align>bottom</wp:align>
              </wp:positionV>
              <wp:extent cx="551815" cy="376555"/>
              <wp:effectExtent l="0" t="0" r="635" b="0"/>
              <wp:wrapNone/>
              <wp:docPr id="1261668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0D5E9F" w14:textId="7AF3DACA"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BD5A2B" id="_x0000_t202" coordsize="21600,21600" o:spt="202" path="m,l,21600r21600,l21600,xe">
              <v:stroke joinstyle="miter"/>
              <v:path gradientshapeok="t" o:connecttype="rect"/>
            </v:shapetype>
            <v:shape id="Text Box 18" o:spid="_x0000_s1036" type="#_x0000_t202" alt="OFFICIAL" style="position:absolute;margin-left:0;margin-top:0;width:43.45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6B0D5E9F" w14:textId="7AF3DACA"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r w:rsidR="00C053A1" w:rsidRPr="00575AC5">
      <w:fldChar w:fldCharType="begin"/>
    </w:r>
    <w:r w:rsidR="00C053A1" w:rsidRPr="00575AC5">
      <w:instrText xml:space="preserve"> PAGE  \* Arabic  \* MERGEFORMAT </w:instrText>
    </w:r>
    <w:r w:rsidR="00C053A1" w:rsidRPr="00575AC5">
      <w:fldChar w:fldCharType="separate"/>
    </w:r>
    <w:r w:rsidR="00DD1A43">
      <w:rPr>
        <w:noProof/>
      </w:rPr>
      <w:t>6</w:t>
    </w:r>
    <w:r w:rsidR="00C053A1" w:rsidRPr="00575AC5">
      <w:fldChar w:fldCharType="end"/>
    </w:r>
    <w:r w:rsidR="00C053A1" w:rsidRPr="0094078F">
      <w:tab/>
    </w:r>
    <w:r w:rsidR="00C053A1" w:rsidRPr="00622A3B">
      <w:t>|</w:t>
    </w:r>
    <w:r w:rsidR="00C053A1">
      <w:tab/>
    </w:r>
    <w:r w:rsidR="00C053A1" w:rsidRPr="00622A3B">
      <w:rPr>
        <w:b/>
        <w:noProof/>
        <w:spacing w:val="-16"/>
        <w:sz w:val="20"/>
        <w:szCs w:val="20"/>
      </w:rPr>
      <w:t>a</w:t>
    </w:r>
    <w:r w:rsidR="00C053A1" w:rsidRPr="00622A3B">
      <w:rPr>
        <w:b/>
        <w:noProof/>
        <w:spacing w:val="-15"/>
        <w:sz w:val="20"/>
        <w:szCs w:val="20"/>
      </w:rPr>
      <w:t>c</w:t>
    </w:r>
    <w:r w:rsidR="00C053A1" w:rsidRPr="00622A3B">
      <w:rPr>
        <w:b/>
        <w:noProof/>
        <w:spacing w:val="-16"/>
        <w:sz w:val="20"/>
        <w:szCs w:val="20"/>
      </w:rPr>
      <w:t>m</w:t>
    </w:r>
    <w:r w:rsidR="00C053A1" w:rsidRPr="00622A3B">
      <w:rPr>
        <w:b/>
        <w:noProof/>
        <w:spacing w:val="-14"/>
        <w:sz w:val="20"/>
        <w:szCs w:val="20"/>
      </w:rPr>
      <w:t>a</w:t>
    </w:r>
  </w:p>
  <w:p w14:paraId="50FA8457" w14:textId="77777777" w:rsidR="00C053A1" w:rsidRPr="00A5474E" w:rsidRDefault="00C053A1"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3BF3" w14:textId="77777777" w:rsidR="009676FB" w:rsidRDefault="009676FB" w:rsidP="00E86B2B">
      <w:pPr>
        <w:spacing w:after="120"/>
      </w:pPr>
      <w:r>
        <w:separator/>
      </w:r>
    </w:p>
  </w:footnote>
  <w:footnote w:type="continuationSeparator" w:id="0">
    <w:p w14:paraId="183BF721" w14:textId="77777777" w:rsidR="009676FB" w:rsidRDefault="009676FB">
      <w:r>
        <w:continuationSeparator/>
      </w:r>
    </w:p>
  </w:footnote>
  <w:footnote w:id="1">
    <w:p w14:paraId="7F96121C" w14:textId="133576E9" w:rsidR="00CB3DA1" w:rsidRPr="001116B7" w:rsidRDefault="00CB3DA1" w:rsidP="00CB3DA1">
      <w:pPr>
        <w:pStyle w:val="FootnoteText"/>
        <w:rPr>
          <w:rFonts w:cs="Arial"/>
        </w:rPr>
      </w:pPr>
      <w:r w:rsidRPr="001116B7">
        <w:rPr>
          <w:rStyle w:val="FootnoteReference"/>
          <w:rFonts w:cs="Arial"/>
        </w:rPr>
        <w:footnoteRef/>
      </w:r>
      <w:r w:rsidRPr="001116B7">
        <w:rPr>
          <w:rFonts w:cs="Arial"/>
        </w:rPr>
        <w:t xml:space="preserve"> See, for example, sections 149, 151 and 170 of the BSA, section 510 of the </w:t>
      </w:r>
      <w:r w:rsidR="00F67297">
        <w:rPr>
          <w:rFonts w:cs="Arial"/>
          <w:szCs w:val="20"/>
        </w:rPr>
        <w:t>Telecommunications</w:t>
      </w:r>
      <w:r w:rsidR="00F67297" w:rsidRPr="002930A7">
        <w:rPr>
          <w:rFonts w:cs="Arial"/>
          <w:szCs w:val="20"/>
        </w:rPr>
        <w:t xml:space="preserve"> </w:t>
      </w:r>
      <w:r w:rsidRPr="001116B7">
        <w:rPr>
          <w:rFonts w:cs="Arial"/>
        </w:rPr>
        <w:t xml:space="preserve">Act and section 21 of the IGA.   </w:t>
      </w:r>
    </w:p>
  </w:footnote>
  <w:footnote w:id="2">
    <w:p w14:paraId="3B41C5F7" w14:textId="1910762B" w:rsidR="00CB3DA1" w:rsidRPr="006748C8" w:rsidRDefault="00CB3DA1" w:rsidP="00395979">
      <w:pPr>
        <w:pStyle w:val="FootnoteText"/>
        <w:spacing w:after="0"/>
        <w:rPr>
          <w:rFonts w:ascii="Calibri" w:hAnsi="Calibri" w:cs="Calibri"/>
          <w:sz w:val="20"/>
          <w:szCs w:val="20"/>
        </w:rPr>
      </w:pPr>
      <w:r w:rsidRPr="001116B7">
        <w:rPr>
          <w:rStyle w:val="FootnoteReference"/>
          <w:rFonts w:cs="Arial"/>
        </w:rPr>
        <w:footnoteRef/>
      </w:r>
      <w:r w:rsidRPr="001116B7">
        <w:rPr>
          <w:rFonts w:cs="Arial"/>
        </w:rPr>
        <w:t xml:space="preserve"> Sections 61CR and 171 of the BSA and subsection 510(3) of the </w:t>
      </w:r>
      <w:r w:rsidR="00F67297">
        <w:rPr>
          <w:rFonts w:cs="Arial"/>
          <w:szCs w:val="20"/>
        </w:rPr>
        <w:t>Telecommunications</w:t>
      </w:r>
      <w:r w:rsidR="00F67297" w:rsidRPr="002930A7">
        <w:rPr>
          <w:rFonts w:cs="Arial"/>
          <w:szCs w:val="20"/>
        </w:rPr>
        <w:t xml:space="preserve"> </w:t>
      </w:r>
      <w:r w:rsidRPr="001116B7">
        <w:rPr>
          <w:rFonts w:cs="Arial"/>
        </w:rPr>
        <w:t>Act.</w:t>
      </w:r>
      <w:r w:rsidRPr="001116B7">
        <w:rPr>
          <w:rFonts w:ascii="Calibri" w:hAnsi="Calibri" w:cs="Calibri"/>
        </w:rPr>
        <w:t xml:space="preserve"> </w:t>
      </w:r>
    </w:p>
  </w:footnote>
  <w:footnote w:id="3">
    <w:p w14:paraId="3B7269C6" w14:textId="11436ACA" w:rsidR="00CB3DA1" w:rsidRPr="001116B7" w:rsidRDefault="00CB3DA1" w:rsidP="00CB3DA1">
      <w:pPr>
        <w:pStyle w:val="FootnoteText"/>
        <w:rPr>
          <w:rFonts w:cs="Arial"/>
        </w:rPr>
      </w:pPr>
      <w:r w:rsidRPr="001116B7">
        <w:rPr>
          <w:rStyle w:val="FootnoteReference"/>
          <w:rFonts w:cs="Arial"/>
        </w:rPr>
        <w:footnoteRef/>
      </w:r>
      <w:r w:rsidRPr="001116B7">
        <w:rPr>
          <w:rFonts w:cs="Arial"/>
        </w:rPr>
        <w:t xml:space="preserve"> Subsection 178(1) of the BSA and subsection 516(2) of the </w:t>
      </w:r>
      <w:r w:rsidR="00F67297">
        <w:rPr>
          <w:rFonts w:cs="Arial"/>
          <w:szCs w:val="20"/>
        </w:rPr>
        <w:t>Telecommunications</w:t>
      </w:r>
      <w:r w:rsidR="00F67297" w:rsidRPr="002930A7">
        <w:rPr>
          <w:rFonts w:cs="Arial"/>
          <w:szCs w:val="20"/>
        </w:rPr>
        <w:t xml:space="preserve"> </w:t>
      </w:r>
      <w:r w:rsidRPr="001116B7">
        <w:rPr>
          <w:rFonts w:cs="Arial"/>
        </w:rPr>
        <w:t>Act.</w:t>
      </w:r>
    </w:p>
  </w:footnote>
  <w:footnote w:id="4">
    <w:p w14:paraId="2F50B470" w14:textId="308E6D88" w:rsidR="00CB3DA1" w:rsidRPr="001116B7" w:rsidRDefault="00CB3DA1" w:rsidP="00CB3DA1">
      <w:pPr>
        <w:pStyle w:val="FootnoteText"/>
        <w:rPr>
          <w:rFonts w:cs="Arial"/>
        </w:rPr>
      </w:pPr>
      <w:r w:rsidRPr="001116B7">
        <w:rPr>
          <w:rStyle w:val="FootnoteReference"/>
          <w:rFonts w:cs="Arial"/>
        </w:rPr>
        <w:footnoteRef/>
      </w:r>
      <w:r w:rsidRPr="001116B7">
        <w:rPr>
          <w:rFonts w:cs="Arial"/>
        </w:rPr>
        <w:t xml:space="preserve"> See subsections 179(1) and (2) of the BSA and subsection 517(3) of the </w:t>
      </w:r>
      <w:r w:rsidR="00F67297">
        <w:rPr>
          <w:rFonts w:cs="Arial"/>
          <w:szCs w:val="20"/>
        </w:rPr>
        <w:t>Telecommunications</w:t>
      </w:r>
      <w:r w:rsidR="00F67297" w:rsidRPr="002930A7">
        <w:rPr>
          <w:rFonts w:cs="Arial"/>
          <w:szCs w:val="20"/>
        </w:rPr>
        <w:t xml:space="preserve"> </w:t>
      </w:r>
      <w:r w:rsidRPr="001116B7">
        <w:rPr>
          <w:rFonts w:cs="Arial"/>
        </w:rPr>
        <w:t>Act.</w:t>
      </w:r>
    </w:p>
  </w:footnote>
  <w:footnote w:id="5">
    <w:p w14:paraId="4626E88E" w14:textId="37DA4BDE" w:rsidR="00CB3DA1" w:rsidRPr="001116B7" w:rsidRDefault="00CB3DA1" w:rsidP="00CB3DA1">
      <w:pPr>
        <w:pStyle w:val="FootnoteText"/>
        <w:rPr>
          <w:rFonts w:cs="Arial"/>
        </w:rPr>
      </w:pPr>
      <w:r w:rsidRPr="001116B7">
        <w:rPr>
          <w:rStyle w:val="FootnoteReference"/>
          <w:rFonts w:cs="Arial"/>
        </w:rPr>
        <w:footnoteRef/>
      </w:r>
      <w:r w:rsidRPr="001116B7">
        <w:rPr>
          <w:rFonts w:cs="Arial"/>
        </w:rPr>
        <w:t xml:space="preserve"> Subsection 178(1) and sections 179 and 180 of the BSA and sections 516</w:t>
      </w:r>
      <w:r w:rsidR="00395979">
        <w:rPr>
          <w:rFonts w:cs="Arial"/>
        </w:rPr>
        <w:t>–</w:t>
      </w:r>
      <w:r w:rsidRPr="001116B7">
        <w:rPr>
          <w:rFonts w:cs="Arial"/>
        </w:rPr>
        <w:t xml:space="preserve">518 of the </w:t>
      </w:r>
      <w:r w:rsidR="00F67297">
        <w:rPr>
          <w:rFonts w:cs="Arial"/>
          <w:szCs w:val="20"/>
        </w:rPr>
        <w:t>Telecommunications</w:t>
      </w:r>
      <w:r w:rsidR="00F67297" w:rsidRPr="002930A7">
        <w:rPr>
          <w:rFonts w:cs="Arial"/>
          <w:szCs w:val="20"/>
        </w:rPr>
        <w:t xml:space="preserve"> </w:t>
      </w:r>
      <w:r w:rsidRPr="001116B7">
        <w:rPr>
          <w:rFonts w:cs="Arial"/>
        </w:rPr>
        <w:t xml:space="preserve">Act.  </w:t>
      </w:r>
    </w:p>
  </w:footnote>
  <w:footnote w:id="6">
    <w:p w14:paraId="5DB46E72" w14:textId="2BA2E587" w:rsidR="00CB3DA1" w:rsidRPr="006748C8" w:rsidRDefault="00CB3DA1" w:rsidP="00395979">
      <w:pPr>
        <w:pStyle w:val="FootnoteText"/>
        <w:spacing w:after="0"/>
        <w:rPr>
          <w:sz w:val="20"/>
          <w:szCs w:val="20"/>
        </w:rPr>
      </w:pPr>
      <w:r w:rsidRPr="001116B7">
        <w:rPr>
          <w:rStyle w:val="FootnoteReference"/>
          <w:rFonts w:cs="Arial"/>
        </w:rPr>
        <w:footnoteRef/>
      </w:r>
      <w:r w:rsidRPr="001116B7">
        <w:rPr>
          <w:rFonts w:cs="Arial"/>
        </w:rPr>
        <w:t xml:space="preserve"> See the ACMA’s statutory obligations to do so if publication of a matter in a report or part of a report would,</w:t>
      </w:r>
      <w:r>
        <w:rPr>
          <w:rFonts w:cs="Arial"/>
        </w:rPr>
        <w:t xml:space="preserve"> </w:t>
      </w:r>
      <w:r w:rsidRPr="001116B7">
        <w:rPr>
          <w:rFonts w:cs="Arial"/>
        </w:rPr>
        <w:t xml:space="preserve">or would be likely to, adversely affect the interests of a person (section 180 of the BSA and section 518 of the </w:t>
      </w:r>
      <w:r w:rsidR="00F67297">
        <w:rPr>
          <w:rFonts w:cs="Arial"/>
          <w:szCs w:val="20"/>
        </w:rPr>
        <w:t>Telecommunications</w:t>
      </w:r>
      <w:r w:rsidR="00F67297" w:rsidRPr="002930A7">
        <w:rPr>
          <w:rFonts w:cs="Arial"/>
          <w:szCs w:val="20"/>
        </w:rPr>
        <w:t xml:space="preserve"> </w:t>
      </w:r>
      <w:r w:rsidRPr="001116B7">
        <w:rPr>
          <w:rFonts w:cs="Arial"/>
        </w:rPr>
        <w:t>Act).</w:t>
      </w:r>
      <w:r w:rsidRPr="001116B7">
        <w:rPr>
          <w:rFonts w:ascii="Calibri" w:hAnsi="Calibri" w:cs="Calibri"/>
          <w:sz w:val="18"/>
          <w:szCs w:val="18"/>
        </w:rPr>
        <w:t xml:space="preserve"> </w:t>
      </w:r>
    </w:p>
  </w:footnote>
  <w:footnote w:id="7">
    <w:p w14:paraId="0779E04B" w14:textId="77777777" w:rsidR="00CB3DA1" w:rsidRPr="001116B7" w:rsidRDefault="00CB3DA1" w:rsidP="00CB3DA1">
      <w:pPr>
        <w:pStyle w:val="FootnoteText"/>
        <w:rPr>
          <w:rFonts w:cs="Arial"/>
        </w:rPr>
      </w:pPr>
      <w:r w:rsidRPr="001116B7">
        <w:rPr>
          <w:rStyle w:val="FootnoteReference"/>
          <w:rFonts w:cs="Arial"/>
        </w:rPr>
        <w:footnoteRef/>
      </w:r>
      <w:r w:rsidRPr="001116B7">
        <w:rPr>
          <w:rFonts w:cs="Arial"/>
        </w:rPr>
        <w:t xml:space="preserve"> Not all actions are available for all contraventions.  </w:t>
      </w:r>
    </w:p>
  </w:footnote>
  <w:footnote w:id="8">
    <w:p w14:paraId="699E5105" w14:textId="234C4895" w:rsidR="00CB3DA1" w:rsidRPr="001116B7" w:rsidRDefault="00CB3DA1" w:rsidP="00CB3DA1">
      <w:pPr>
        <w:pStyle w:val="FootnoteText"/>
        <w:rPr>
          <w:rFonts w:cs="Arial"/>
        </w:rPr>
      </w:pPr>
      <w:r w:rsidRPr="001116B7">
        <w:rPr>
          <w:rStyle w:val="FootnoteReference"/>
          <w:rFonts w:cs="Arial"/>
        </w:rPr>
        <w:footnoteRef/>
      </w:r>
      <w:r w:rsidRPr="001116B7">
        <w:rPr>
          <w:rFonts w:cs="Arial"/>
        </w:rPr>
        <w:t xml:space="preserve"> The decision to prosecute is made by the Commonwealth Director of Public Prosecutions. See the </w:t>
      </w:r>
      <w:r w:rsidRPr="001116B7">
        <w:rPr>
          <w:rFonts w:cs="Arial"/>
          <w:i/>
          <w:iCs/>
        </w:rPr>
        <w:t>Prosecution Policy of the Commonwealth</w:t>
      </w:r>
      <w:r w:rsidRPr="001116B7">
        <w:rPr>
          <w:rFonts w:cs="Arial"/>
        </w:rPr>
        <w:t xml:space="preserve">.  </w:t>
      </w:r>
    </w:p>
  </w:footnote>
  <w:footnote w:id="9">
    <w:p w14:paraId="79971A5C" w14:textId="01A27B95" w:rsidR="00CB3DA1" w:rsidRPr="001116B7" w:rsidRDefault="00CB3DA1" w:rsidP="00CB3DA1">
      <w:pPr>
        <w:pStyle w:val="FootnoteText"/>
        <w:rPr>
          <w:rFonts w:cs="Arial"/>
        </w:rPr>
      </w:pPr>
      <w:r w:rsidRPr="001116B7">
        <w:rPr>
          <w:rStyle w:val="FootnoteReference"/>
          <w:rFonts w:cs="Arial"/>
        </w:rPr>
        <w:footnoteRef/>
      </w:r>
      <w:r w:rsidRPr="001116B7">
        <w:rPr>
          <w:rFonts w:cs="Arial"/>
        </w:rPr>
        <w:t xml:space="preserve"> An enforceable undertaking is a negotiated binding agreement that can be enforced in court by the ACMA. The ACMA may accept an enforceable undertaking under the </w:t>
      </w:r>
      <w:r w:rsidR="00F67297">
        <w:rPr>
          <w:rFonts w:cs="Arial"/>
        </w:rPr>
        <w:t>Telecommunications</w:t>
      </w:r>
      <w:r w:rsidR="00F67297" w:rsidRPr="001116B7">
        <w:rPr>
          <w:rFonts w:cs="Arial"/>
        </w:rPr>
        <w:t xml:space="preserve"> </w:t>
      </w:r>
      <w:r w:rsidRPr="001116B7">
        <w:rPr>
          <w:rFonts w:cs="Arial"/>
        </w:rPr>
        <w:t xml:space="preserve">Act, the TCPSS Act, the DNCR Act, the BSA, the Spam Act or the </w:t>
      </w:r>
      <w:r w:rsidR="00F67297">
        <w:rPr>
          <w:rFonts w:cs="Arial"/>
        </w:rPr>
        <w:t>Radiocommunications</w:t>
      </w:r>
      <w:r w:rsidR="00F67297" w:rsidRPr="001116B7">
        <w:rPr>
          <w:rFonts w:cs="Arial"/>
        </w:rPr>
        <w:t xml:space="preserve"> </w:t>
      </w:r>
      <w:r w:rsidRPr="001116B7">
        <w:rPr>
          <w:rFonts w:cs="Arial"/>
        </w:rPr>
        <w:t>Act.</w:t>
      </w:r>
      <w:r w:rsidR="00F267E1">
        <w:rPr>
          <w:rFonts w:cs="Arial"/>
        </w:rPr>
        <w:t xml:space="preserve"> </w:t>
      </w:r>
      <w:r w:rsidR="00F267E1">
        <w:t xml:space="preserve">Subsection 271(4) of the </w:t>
      </w:r>
      <w:r w:rsidR="00F67297">
        <w:t xml:space="preserve">Radiocommunications </w:t>
      </w:r>
      <w:r w:rsidR="00F267E1">
        <w:t>Act requires the ACMA to publish</w:t>
      </w:r>
      <w:r w:rsidR="000B201C">
        <w:t>, on its website,</w:t>
      </w:r>
      <w:r w:rsidR="005D6B10">
        <w:t xml:space="preserve"> </w:t>
      </w:r>
      <w:r w:rsidR="008A3F29">
        <w:t xml:space="preserve">certain </w:t>
      </w:r>
      <w:r w:rsidR="00F267E1">
        <w:t>undertaking</w:t>
      </w:r>
      <w:r w:rsidR="008A0CF2">
        <w:t>s</w:t>
      </w:r>
      <w:r w:rsidR="00F267E1">
        <w:t xml:space="preserve"> given </w:t>
      </w:r>
      <w:r w:rsidR="008A0CF2">
        <w:t xml:space="preserve">in relation to the </w:t>
      </w:r>
      <w:r w:rsidR="00F67297">
        <w:t xml:space="preserve">Radiocommunications </w:t>
      </w:r>
      <w:r w:rsidR="008A0CF2">
        <w:t>Act</w:t>
      </w:r>
      <w:r w:rsidR="00F267E1">
        <w:t>.</w:t>
      </w:r>
    </w:p>
  </w:footnote>
  <w:footnote w:id="10">
    <w:p w14:paraId="34DB2AB1" w14:textId="26856D94" w:rsidR="00CB3DA1" w:rsidRPr="006748C8" w:rsidRDefault="00CB3DA1" w:rsidP="00860A62">
      <w:pPr>
        <w:pStyle w:val="FootnoteText"/>
        <w:spacing w:after="0"/>
      </w:pPr>
      <w:r w:rsidRPr="001116B7">
        <w:rPr>
          <w:rStyle w:val="FootnoteReference"/>
          <w:rFonts w:cs="Arial"/>
        </w:rPr>
        <w:footnoteRef/>
      </w:r>
      <w:r w:rsidRPr="001116B7">
        <w:rPr>
          <w:rFonts w:cs="Arial"/>
        </w:rPr>
        <w:t xml:space="preserve"> The ACMA may have a statutory obligation to publish (</w:t>
      </w:r>
      <w:r w:rsidR="00F67297">
        <w:rPr>
          <w:rFonts w:cs="Arial"/>
        </w:rPr>
        <w:t xml:space="preserve">for example, </w:t>
      </w:r>
      <w:r w:rsidRPr="001116B7">
        <w:rPr>
          <w:rFonts w:cs="Arial"/>
        </w:rPr>
        <w:t>subsection 43(2) of the BSA).</w:t>
      </w:r>
      <w:r w:rsidRPr="001116B7">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9E28" w14:textId="55945394" w:rsidR="001D0D49" w:rsidRDefault="001D0D49">
    <w:pPr>
      <w:pStyle w:val="Header"/>
    </w:pPr>
    <w:r>
      <w:rPr>
        <w:noProof/>
      </w:rPr>
      <mc:AlternateContent>
        <mc:Choice Requires="wps">
          <w:drawing>
            <wp:anchor distT="0" distB="0" distL="0" distR="0" simplePos="0" relativeHeight="251659264" behindDoc="0" locked="0" layoutInCell="1" allowOverlap="1" wp14:anchorId="36573127" wp14:editId="35764686">
              <wp:simplePos x="635" y="635"/>
              <wp:positionH relativeFrom="page">
                <wp:align>center</wp:align>
              </wp:positionH>
              <wp:positionV relativeFrom="page">
                <wp:align>top</wp:align>
              </wp:positionV>
              <wp:extent cx="551815" cy="376555"/>
              <wp:effectExtent l="0" t="0" r="635" b="4445"/>
              <wp:wrapNone/>
              <wp:docPr id="8150674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AFA3DB" w14:textId="202DE386"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57312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FAFA3DB" w14:textId="202DE386"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2E7F" w14:textId="7133D2F6" w:rsidR="00C053A1" w:rsidRPr="00A5474E" w:rsidRDefault="00C053A1" w:rsidP="00A5474E">
    <w:pPr>
      <w:pStyle w:val="Header"/>
    </w:pPr>
    <w:r>
      <w:rPr>
        <w:noProof/>
      </w:rPr>
      <w:drawing>
        <wp:inline distT="0" distB="0" distL="0" distR="0" wp14:anchorId="133E3B54" wp14:editId="6C310B18">
          <wp:extent cx="6283434" cy="578076"/>
          <wp:effectExtent l="0" t="0" r="3175"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83434" cy="5780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556" w14:textId="294AA64B" w:rsidR="00C053A1" w:rsidRPr="00A5474E" w:rsidRDefault="00C053A1" w:rsidP="00594E9C">
    <w:pPr>
      <w:pStyle w:val="TOCHeading"/>
    </w:pPr>
    <w:r w:rsidRPr="0029593B">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BAD9" w14:textId="58654E29"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E638" w14:textId="5CF0C764" w:rsidR="00C053A1" w:rsidRDefault="001D0D49">
    <w:pPr>
      <w:pStyle w:val="Header"/>
    </w:pPr>
    <w:r>
      <w:rPr>
        <w:noProof/>
      </w:rPr>
      <mc:AlternateContent>
        <mc:Choice Requires="wps">
          <w:drawing>
            <wp:anchor distT="0" distB="0" distL="0" distR="0" simplePos="0" relativeHeight="251662336" behindDoc="0" locked="0" layoutInCell="1" allowOverlap="1" wp14:anchorId="1C1E242B" wp14:editId="7BC66CB1">
              <wp:simplePos x="635" y="635"/>
              <wp:positionH relativeFrom="page">
                <wp:align>center</wp:align>
              </wp:positionH>
              <wp:positionV relativeFrom="page">
                <wp:align>top</wp:align>
              </wp:positionV>
              <wp:extent cx="551815" cy="376555"/>
              <wp:effectExtent l="0" t="0" r="635" b="4445"/>
              <wp:wrapNone/>
              <wp:docPr id="177323714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0EE242" w14:textId="4B0B018D"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E242B"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790EE242" w14:textId="4B0B018D"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3FA55797" w14:textId="77777777" w:rsidTr="003B0421">
      <w:trPr>
        <w:trHeight w:hRule="exact" w:val="988"/>
      </w:trPr>
      <w:tc>
        <w:tcPr>
          <w:tcW w:w="7678" w:type="dxa"/>
        </w:tcPr>
        <w:p w14:paraId="14DB6459" w14:textId="175F5B2E" w:rsidR="00971914" w:rsidRDefault="001D0D49" w:rsidP="00971914">
          <w:pPr>
            <w:pStyle w:val="Header"/>
          </w:pPr>
          <w:r>
            <w:rPr>
              <w:noProof/>
            </w:rPr>
            <mc:AlternateContent>
              <mc:Choice Requires="wps">
                <w:drawing>
                  <wp:anchor distT="0" distB="0" distL="0" distR="0" simplePos="0" relativeHeight="251663360" behindDoc="0" locked="0" layoutInCell="1" allowOverlap="1" wp14:anchorId="4039C070" wp14:editId="162C8016">
                    <wp:simplePos x="635" y="635"/>
                    <wp:positionH relativeFrom="page">
                      <wp:align>center</wp:align>
                    </wp:positionH>
                    <wp:positionV relativeFrom="page">
                      <wp:align>top</wp:align>
                    </wp:positionV>
                    <wp:extent cx="551815" cy="376555"/>
                    <wp:effectExtent l="0" t="0" r="635" b="4445"/>
                    <wp:wrapNone/>
                    <wp:docPr id="50659399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08A6B7" w14:textId="05F093E0"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9C070" id="_x0000_t202" coordsize="21600,21600" o:spt="202" path="m,l,21600r21600,l21600,xe">
                    <v:stroke joinstyle="miter"/>
                    <v:path gradientshapeok="t" o:connecttype="rect"/>
                  </v:shapetype>
                  <v:shape id="Text Box 6" o:spid="_x0000_s1031"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2B08A6B7" w14:textId="05F093E0"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p>
      </w:tc>
    </w:tr>
    <w:tr w:rsidR="00971914" w14:paraId="2E42EEAA" w14:textId="77777777" w:rsidTr="003B0421">
      <w:tc>
        <w:tcPr>
          <w:tcW w:w="7678" w:type="dxa"/>
        </w:tcPr>
        <w:p w14:paraId="451E161B" w14:textId="77777777" w:rsidR="00971914" w:rsidRDefault="00971914" w:rsidP="00971914">
          <w:pPr>
            <w:pStyle w:val="GridTable31"/>
          </w:pPr>
          <w:r>
            <w:t xml:space="preserve">Contents </w:t>
          </w:r>
          <w:r w:rsidRPr="00915B1C">
            <w:rPr>
              <w:b w:val="0"/>
              <w:spacing w:val="0"/>
              <w:sz w:val="28"/>
              <w:szCs w:val="28"/>
            </w:rPr>
            <w:t>(Continued)</w:t>
          </w:r>
        </w:p>
      </w:tc>
    </w:tr>
    <w:tr w:rsidR="00971914" w14:paraId="73B3A622" w14:textId="77777777" w:rsidTr="003B0421">
      <w:trPr>
        <w:trHeight w:val="1220"/>
      </w:trPr>
      <w:tc>
        <w:tcPr>
          <w:tcW w:w="7678" w:type="dxa"/>
        </w:tcPr>
        <w:p w14:paraId="58CAB5F7" w14:textId="77777777" w:rsidR="00971914" w:rsidRDefault="00971914" w:rsidP="00971914"/>
      </w:tc>
    </w:tr>
  </w:tbl>
  <w:p w14:paraId="4DF96BA6" w14:textId="77777777" w:rsidR="00971914" w:rsidRDefault="00971914" w:rsidP="00971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31C0E434" w14:textId="77777777" w:rsidTr="003B0421">
      <w:trPr>
        <w:trHeight w:hRule="exact" w:val="988"/>
      </w:trPr>
      <w:tc>
        <w:tcPr>
          <w:tcW w:w="7678" w:type="dxa"/>
        </w:tcPr>
        <w:p w14:paraId="4405E8CD" w14:textId="16B1284F" w:rsidR="00971914" w:rsidRDefault="001D0D49" w:rsidP="00971914">
          <w:pPr>
            <w:pStyle w:val="Header"/>
          </w:pPr>
          <w:r>
            <w:rPr>
              <w:noProof/>
            </w:rPr>
            <mc:AlternateContent>
              <mc:Choice Requires="wps">
                <w:drawing>
                  <wp:anchor distT="0" distB="0" distL="0" distR="0" simplePos="0" relativeHeight="251664384" behindDoc="0" locked="0" layoutInCell="1" allowOverlap="1" wp14:anchorId="25640A4F" wp14:editId="21929D57">
                    <wp:simplePos x="635" y="635"/>
                    <wp:positionH relativeFrom="page">
                      <wp:align>center</wp:align>
                    </wp:positionH>
                    <wp:positionV relativeFrom="page">
                      <wp:align>top</wp:align>
                    </wp:positionV>
                    <wp:extent cx="551815" cy="376555"/>
                    <wp:effectExtent l="0" t="0" r="635" b="4445"/>
                    <wp:wrapNone/>
                    <wp:docPr id="107476745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839CB0" w14:textId="7C1ED92F"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40A4F" id="_x0000_t202" coordsize="21600,21600" o:spt="202" path="m,l,21600r21600,l21600,xe">
                    <v:stroke joinstyle="miter"/>
                    <v:path gradientshapeok="t" o:connecttype="rect"/>
                  </v:shapetype>
                  <v:shape id="Text Box 7" o:spid="_x0000_s1032"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8839CB0" w14:textId="7C1ED92F" w:rsidR="001D0D49" w:rsidRPr="001D0D49" w:rsidRDefault="001D0D49" w:rsidP="001D0D49">
                          <w:pPr>
                            <w:spacing w:after="0"/>
                            <w:rPr>
                              <w:rFonts w:ascii="Calibri" w:eastAsia="Calibri" w:hAnsi="Calibri" w:cs="Calibri"/>
                              <w:noProof/>
                              <w:color w:val="FF0000"/>
                              <w:sz w:val="24"/>
                            </w:rPr>
                          </w:pPr>
                          <w:r w:rsidRPr="001D0D49">
                            <w:rPr>
                              <w:rFonts w:ascii="Calibri" w:eastAsia="Calibri" w:hAnsi="Calibri" w:cs="Calibri"/>
                              <w:noProof/>
                              <w:color w:val="FF0000"/>
                              <w:sz w:val="24"/>
                            </w:rPr>
                            <w:t>OFFICIAL</w:t>
                          </w:r>
                        </w:p>
                      </w:txbxContent>
                    </v:textbox>
                    <w10:wrap anchorx="page" anchory="page"/>
                  </v:shape>
                </w:pict>
              </mc:Fallback>
            </mc:AlternateContent>
          </w:r>
        </w:p>
      </w:tc>
    </w:tr>
    <w:tr w:rsidR="00971914" w14:paraId="156B9F42" w14:textId="77777777" w:rsidTr="003B0421">
      <w:tc>
        <w:tcPr>
          <w:tcW w:w="7678" w:type="dxa"/>
        </w:tcPr>
        <w:p w14:paraId="4FFF6FAA" w14:textId="77777777" w:rsidR="00971914" w:rsidRDefault="00971914" w:rsidP="00971914">
          <w:pPr>
            <w:pStyle w:val="GridTable31"/>
          </w:pPr>
          <w:r>
            <w:t xml:space="preserve">Contents </w:t>
          </w:r>
          <w:r w:rsidRPr="00915B1C">
            <w:rPr>
              <w:b w:val="0"/>
              <w:spacing w:val="0"/>
              <w:sz w:val="28"/>
              <w:szCs w:val="28"/>
            </w:rPr>
            <w:t>(Continued)</w:t>
          </w:r>
        </w:p>
      </w:tc>
    </w:tr>
    <w:tr w:rsidR="00971914" w14:paraId="338BC6B8" w14:textId="77777777" w:rsidTr="003B0421">
      <w:trPr>
        <w:trHeight w:val="1220"/>
      </w:trPr>
      <w:tc>
        <w:tcPr>
          <w:tcW w:w="7678" w:type="dxa"/>
        </w:tcPr>
        <w:p w14:paraId="5CC959ED" w14:textId="77777777" w:rsidR="00971914" w:rsidRDefault="00971914" w:rsidP="00971914"/>
      </w:tc>
    </w:tr>
  </w:tbl>
  <w:p w14:paraId="145350B8" w14:textId="77777777" w:rsidR="00C053A1" w:rsidRPr="00A5474E" w:rsidRDefault="00C053A1" w:rsidP="00A54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FAA1" w14:textId="6864CEA9" w:rsidR="00C053A1" w:rsidRDefault="00C053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B0AD" w14:textId="2FDA6516"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6EBA4AA8"/>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174067"/>
    <w:multiLevelType w:val="hybridMultilevel"/>
    <w:tmpl w:val="E3B08BD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0FE7477F"/>
    <w:multiLevelType w:val="hybridMultilevel"/>
    <w:tmpl w:val="4F6063E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206503AE"/>
    <w:multiLevelType w:val="hybridMultilevel"/>
    <w:tmpl w:val="B0043E5A"/>
    <w:lvl w:ilvl="0" w:tplc="E62243DC">
      <w:start w:val="1"/>
      <w:numFmt w:val="bullet"/>
      <w:lvlText w:val="&gt;"/>
      <w:lvlJc w:val="left"/>
      <w:pPr>
        <w:ind w:left="1440" w:hanging="360"/>
      </w:pPr>
      <w:rPr>
        <w:rFonts w:ascii="HelveticaNeueLT Std Lt" w:hAnsi="HelveticaNeueLT Std Lt"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7285FB6"/>
    <w:multiLevelType w:val="hybridMultilevel"/>
    <w:tmpl w:val="2EE68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0338D"/>
    <w:multiLevelType w:val="hybridMultilevel"/>
    <w:tmpl w:val="EC9A8D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5B1F10"/>
    <w:multiLevelType w:val="hybridMultilevel"/>
    <w:tmpl w:val="9686FE88"/>
    <w:lvl w:ilvl="0" w:tplc="E62243DC">
      <w:start w:val="1"/>
      <w:numFmt w:val="bullet"/>
      <w:lvlText w:val="&gt;"/>
      <w:lvlJc w:val="left"/>
      <w:pPr>
        <w:ind w:left="927" w:hanging="360"/>
      </w:pPr>
      <w:rPr>
        <w:rFonts w:ascii="HelveticaNeueLT Std Lt" w:hAnsi="HelveticaNeueLT Std Lt" w:hint="default"/>
        <w:sz w:val="20"/>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129288E"/>
    <w:multiLevelType w:val="hybridMultilevel"/>
    <w:tmpl w:val="2B8E667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32897624"/>
    <w:multiLevelType w:val="hybridMultilevel"/>
    <w:tmpl w:val="4824FDA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3BB5460B"/>
    <w:multiLevelType w:val="hybridMultilevel"/>
    <w:tmpl w:val="A316331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3C7F1364"/>
    <w:multiLevelType w:val="hybridMultilevel"/>
    <w:tmpl w:val="1A408F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C11ED3"/>
    <w:multiLevelType w:val="hybridMultilevel"/>
    <w:tmpl w:val="911A188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2672E"/>
    <w:multiLevelType w:val="hybridMultilevel"/>
    <w:tmpl w:val="396435E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B2D5C48"/>
    <w:multiLevelType w:val="hybridMultilevel"/>
    <w:tmpl w:val="FCE6C6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56C6E"/>
    <w:multiLevelType w:val="multilevel"/>
    <w:tmpl w:val="8416C978"/>
    <w:lvl w:ilvl="0">
      <w:start w:val="1"/>
      <w:numFmt w:val="decimal"/>
      <w:lvlText w:val="%1."/>
      <w:lvlJc w:val="left"/>
      <w:pPr>
        <w:ind w:left="360" w:hanging="360"/>
      </w:pPr>
      <w:rPr>
        <w:rFonts w:hint="default"/>
      </w:rPr>
    </w:lvl>
    <w:lvl w:ilvl="1">
      <w:start w:val="1"/>
      <w:numFmt w:val="decimal"/>
      <w:lvlText w:val="%1.%2."/>
      <w:lvlJc w:val="left"/>
      <w:pPr>
        <w:ind w:left="998" w:hanging="431"/>
      </w:pPr>
      <w:rPr>
        <w:rFonts w:hint="default"/>
        <w:i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72575521">
    <w:abstractNumId w:val="3"/>
  </w:num>
  <w:num w:numId="2" w16cid:durableId="627275606">
    <w:abstractNumId w:val="1"/>
  </w:num>
  <w:num w:numId="3" w16cid:durableId="93215024">
    <w:abstractNumId w:val="2"/>
  </w:num>
  <w:num w:numId="4" w16cid:durableId="1068921423">
    <w:abstractNumId w:val="0"/>
  </w:num>
  <w:num w:numId="5" w16cid:durableId="1494107190">
    <w:abstractNumId w:val="11"/>
  </w:num>
  <w:num w:numId="6" w16cid:durableId="939263266">
    <w:abstractNumId w:val="19"/>
  </w:num>
  <w:num w:numId="7" w16cid:durableId="929463691">
    <w:abstractNumId w:val="17"/>
  </w:num>
  <w:num w:numId="8" w16cid:durableId="81724119">
    <w:abstractNumId w:val="18"/>
  </w:num>
  <w:num w:numId="9" w16cid:durableId="1164785679">
    <w:abstractNumId w:val="22"/>
  </w:num>
  <w:num w:numId="10" w16cid:durableId="1235430605">
    <w:abstractNumId w:val="4"/>
  </w:num>
  <w:num w:numId="11" w16cid:durableId="1321690242">
    <w:abstractNumId w:val="2"/>
    <w:lvlOverride w:ilvl="0">
      <w:startOverride w:val="1"/>
    </w:lvlOverride>
  </w:num>
  <w:num w:numId="12" w16cid:durableId="1986009597">
    <w:abstractNumId w:val="10"/>
  </w:num>
  <w:num w:numId="13" w16cid:durableId="1374381529">
    <w:abstractNumId w:val="23"/>
  </w:num>
  <w:num w:numId="14" w16cid:durableId="663434997">
    <w:abstractNumId w:val="7"/>
  </w:num>
  <w:num w:numId="15" w16cid:durableId="1909151037">
    <w:abstractNumId w:val="15"/>
  </w:num>
  <w:num w:numId="16" w16cid:durableId="356590184">
    <w:abstractNumId w:val="9"/>
  </w:num>
  <w:num w:numId="17" w16cid:durableId="1655602635">
    <w:abstractNumId w:val="8"/>
  </w:num>
  <w:num w:numId="18" w16cid:durableId="353265855">
    <w:abstractNumId w:val="13"/>
  </w:num>
  <w:num w:numId="19" w16cid:durableId="562522965">
    <w:abstractNumId w:val="20"/>
  </w:num>
  <w:num w:numId="20" w16cid:durableId="649482630">
    <w:abstractNumId w:val="16"/>
  </w:num>
  <w:num w:numId="21" w16cid:durableId="267736947">
    <w:abstractNumId w:val="6"/>
  </w:num>
  <w:num w:numId="22" w16cid:durableId="1037002036">
    <w:abstractNumId w:val="14"/>
  </w:num>
  <w:num w:numId="23" w16cid:durableId="854536905">
    <w:abstractNumId w:val="5"/>
  </w:num>
  <w:num w:numId="24" w16cid:durableId="852767652">
    <w:abstractNumId w:val="21"/>
  </w:num>
  <w:num w:numId="25" w16cid:durableId="5062908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A1"/>
    <w:rsid w:val="00010667"/>
    <w:rsid w:val="000129D5"/>
    <w:rsid w:val="00015AE7"/>
    <w:rsid w:val="00016E21"/>
    <w:rsid w:val="0001719C"/>
    <w:rsid w:val="0002224E"/>
    <w:rsid w:val="000245E5"/>
    <w:rsid w:val="00026F91"/>
    <w:rsid w:val="000448D7"/>
    <w:rsid w:val="0004764C"/>
    <w:rsid w:val="0005011A"/>
    <w:rsid w:val="0005045A"/>
    <w:rsid w:val="00051C1E"/>
    <w:rsid w:val="000539F9"/>
    <w:rsid w:val="00054C27"/>
    <w:rsid w:val="00055EC3"/>
    <w:rsid w:val="000563CE"/>
    <w:rsid w:val="000613D8"/>
    <w:rsid w:val="000659B6"/>
    <w:rsid w:val="0006686F"/>
    <w:rsid w:val="0006722A"/>
    <w:rsid w:val="000732CF"/>
    <w:rsid w:val="00075B96"/>
    <w:rsid w:val="0008196A"/>
    <w:rsid w:val="00084A7F"/>
    <w:rsid w:val="000915ED"/>
    <w:rsid w:val="0009209D"/>
    <w:rsid w:val="0009463C"/>
    <w:rsid w:val="000969BD"/>
    <w:rsid w:val="000969BF"/>
    <w:rsid w:val="000971B3"/>
    <w:rsid w:val="000971BD"/>
    <w:rsid w:val="000A0C22"/>
    <w:rsid w:val="000A1400"/>
    <w:rsid w:val="000A3C43"/>
    <w:rsid w:val="000A4A51"/>
    <w:rsid w:val="000A5D2B"/>
    <w:rsid w:val="000B201C"/>
    <w:rsid w:val="000B4664"/>
    <w:rsid w:val="000B5DE3"/>
    <w:rsid w:val="000C0A57"/>
    <w:rsid w:val="000C230C"/>
    <w:rsid w:val="000C6AB4"/>
    <w:rsid w:val="000D71D9"/>
    <w:rsid w:val="000D76E0"/>
    <w:rsid w:val="000D7CE6"/>
    <w:rsid w:val="000D7E8B"/>
    <w:rsid w:val="000E4449"/>
    <w:rsid w:val="000E6097"/>
    <w:rsid w:val="000F3D67"/>
    <w:rsid w:val="00103829"/>
    <w:rsid w:val="00111FCE"/>
    <w:rsid w:val="001229A5"/>
    <w:rsid w:val="0012489B"/>
    <w:rsid w:val="00130017"/>
    <w:rsid w:val="00130F91"/>
    <w:rsid w:val="001349ED"/>
    <w:rsid w:val="00137424"/>
    <w:rsid w:val="00140318"/>
    <w:rsid w:val="00141AD9"/>
    <w:rsid w:val="00146CE6"/>
    <w:rsid w:val="00152903"/>
    <w:rsid w:val="00153FD5"/>
    <w:rsid w:val="0015614F"/>
    <w:rsid w:val="001577C2"/>
    <w:rsid w:val="001633C4"/>
    <w:rsid w:val="001704D5"/>
    <w:rsid w:val="00171591"/>
    <w:rsid w:val="00173981"/>
    <w:rsid w:val="0017719D"/>
    <w:rsid w:val="00183FD7"/>
    <w:rsid w:val="00185CAB"/>
    <w:rsid w:val="00186CD2"/>
    <w:rsid w:val="001875B7"/>
    <w:rsid w:val="00187CB3"/>
    <w:rsid w:val="0019050A"/>
    <w:rsid w:val="001910D4"/>
    <w:rsid w:val="00194C44"/>
    <w:rsid w:val="001976E3"/>
    <w:rsid w:val="001A44EC"/>
    <w:rsid w:val="001B03C4"/>
    <w:rsid w:val="001B0D21"/>
    <w:rsid w:val="001B28D9"/>
    <w:rsid w:val="001B58AA"/>
    <w:rsid w:val="001B7E48"/>
    <w:rsid w:val="001C1143"/>
    <w:rsid w:val="001C17CE"/>
    <w:rsid w:val="001C36CA"/>
    <w:rsid w:val="001C44D1"/>
    <w:rsid w:val="001C6AEE"/>
    <w:rsid w:val="001C7630"/>
    <w:rsid w:val="001D0D49"/>
    <w:rsid w:val="001D6D15"/>
    <w:rsid w:val="001F7558"/>
    <w:rsid w:val="00205B57"/>
    <w:rsid w:val="00213CF6"/>
    <w:rsid w:val="002157E0"/>
    <w:rsid w:val="00216A57"/>
    <w:rsid w:val="00217448"/>
    <w:rsid w:val="0022334F"/>
    <w:rsid w:val="00226819"/>
    <w:rsid w:val="00233101"/>
    <w:rsid w:val="00233817"/>
    <w:rsid w:val="002367FF"/>
    <w:rsid w:val="00240CE9"/>
    <w:rsid w:val="002434BA"/>
    <w:rsid w:val="00246089"/>
    <w:rsid w:val="00246093"/>
    <w:rsid w:val="00246702"/>
    <w:rsid w:val="00247C59"/>
    <w:rsid w:val="00247F2E"/>
    <w:rsid w:val="00250ADC"/>
    <w:rsid w:val="00250B07"/>
    <w:rsid w:val="0025288C"/>
    <w:rsid w:val="00257553"/>
    <w:rsid w:val="00260FB2"/>
    <w:rsid w:val="00262128"/>
    <w:rsid w:val="0027165D"/>
    <w:rsid w:val="00273CEB"/>
    <w:rsid w:val="00281C89"/>
    <w:rsid w:val="0028282F"/>
    <w:rsid w:val="0029593B"/>
    <w:rsid w:val="00296616"/>
    <w:rsid w:val="00297FC5"/>
    <w:rsid w:val="002A0417"/>
    <w:rsid w:val="002A16D8"/>
    <w:rsid w:val="002A1BC8"/>
    <w:rsid w:val="002A3EF2"/>
    <w:rsid w:val="002B0DED"/>
    <w:rsid w:val="002B19A2"/>
    <w:rsid w:val="002B381A"/>
    <w:rsid w:val="002B4FCC"/>
    <w:rsid w:val="002B7408"/>
    <w:rsid w:val="002B7CFD"/>
    <w:rsid w:val="002C210F"/>
    <w:rsid w:val="002D3600"/>
    <w:rsid w:val="002E4DDC"/>
    <w:rsid w:val="002E6550"/>
    <w:rsid w:val="00302480"/>
    <w:rsid w:val="00302758"/>
    <w:rsid w:val="00307146"/>
    <w:rsid w:val="003139E1"/>
    <w:rsid w:val="003165E6"/>
    <w:rsid w:val="003215B5"/>
    <w:rsid w:val="003221CF"/>
    <w:rsid w:val="003233ED"/>
    <w:rsid w:val="00324D9F"/>
    <w:rsid w:val="00327948"/>
    <w:rsid w:val="0033000F"/>
    <w:rsid w:val="00332011"/>
    <w:rsid w:val="00332518"/>
    <w:rsid w:val="00332925"/>
    <w:rsid w:val="003332ED"/>
    <w:rsid w:val="003368DC"/>
    <w:rsid w:val="00345927"/>
    <w:rsid w:val="0035004B"/>
    <w:rsid w:val="00350584"/>
    <w:rsid w:val="00351857"/>
    <w:rsid w:val="003545E8"/>
    <w:rsid w:val="003610E1"/>
    <w:rsid w:val="003671BE"/>
    <w:rsid w:val="00372485"/>
    <w:rsid w:val="00373200"/>
    <w:rsid w:val="00375EF5"/>
    <w:rsid w:val="003767A5"/>
    <w:rsid w:val="00381D15"/>
    <w:rsid w:val="00382CA5"/>
    <w:rsid w:val="00385254"/>
    <w:rsid w:val="00395979"/>
    <w:rsid w:val="003A04DB"/>
    <w:rsid w:val="003A5F5B"/>
    <w:rsid w:val="003A789A"/>
    <w:rsid w:val="003B0EE7"/>
    <w:rsid w:val="003B12EC"/>
    <w:rsid w:val="003C46F1"/>
    <w:rsid w:val="003C4A15"/>
    <w:rsid w:val="003C77E0"/>
    <w:rsid w:val="003D17D7"/>
    <w:rsid w:val="003D2678"/>
    <w:rsid w:val="003D71A3"/>
    <w:rsid w:val="003E2B8A"/>
    <w:rsid w:val="003F10EE"/>
    <w:rsid w:val="003F16F6"/>
    <w:rsid w:val="003F4DC7"/>
    <w:rsid w:val="003F5235"/>
    <w:rsid w:val="004027E4"/>
    <w:rsid w:val="0041071D"/>
    <w:rsid w:val="0041240F"/>
    <w:rsid w:val="00414AFC"/>
    <w:rsid w:val="004151A7"/>
    <w:rsid w:val="00415310"/>
    <w:rsid w:val="00421709"/>
    <w:rsid w:val="00423763"/>
    <w:rsid w:val="0042762F"/>
    <w:rsid w:val="00427DC7"/>
    <w:rsid w:val="00430F04"/>
    <w:rsid w:val="00431613"/>
    <w:rsid w:val="00431792"/>
    <w:rsid w:val="0043297A"/>
    <w:rsid w:val="00432EB2"/>
    <w:rsid w:val="0043714F"/>
    <w:rsid w:val="004438B5"/>
    <w:rsid w:val="00447037"/>
    <w:rsid w:val="0045124D"/>
    <w:rsid w:val="00454596"/>
    <w:rsid w:val="0045605D"/>
    <w:rsid w:val="0046135B"/>
    <w:rsid w:val="00461D47"/>
    <w:rsid w:val="004718CC"/>
    <w:rsid w:val="00481695"/>
    <w:rsid w:val="00495A96"/>
    <w:rsid w:val="00495BB3"/>
    <w:rsid w:val="004A56BB"/>
    <w:rsid w:val="004A70D6"/>
    <w:rsid w:val="004B1751"/>
    <w:rsid w:val="004C0253"/>
    <w:rsid w:val="004D56FF"/>
    <w:rsid w:val="004E39D3"/>
    <w:rsid w:val="004E508A"/>
    <w:rsid w:val="004E616D"/>
    <w:rsid w:val="004F1BDE"/>
    <w:rsid w:val="004F2016"/>
    <w:rsid w:val="004F2CEE"/>
    <w:rsid w:val="004F31D3"/>
    <w:rsid w:val="004F556E"/>
    <w:rsid w:val="004F591C"/>
    <w:rsid w:val="004F7F44"/>
    <w:rsid w:val="005037B4"/>
    <w:rsid w:val="005079BF"/>
    <w:rsid w:val="0051269A"/>
    <w:rsid w:val="005219E7"/>
    <w:rsid w:val="00521ED4"/>
    <w:rsid w:val="00531B9A"/>
    <w:rsid w:val="00531D15"/>
    <w:rsid w:val="00537604"/>
    <w:rsid w:val="00542377"/>
    <w:rsid w:val="005476EB"/>
    <w:rsid w:val="00551782"/>
    <w:rsid w:val="00563EF1"/>
    <w:rsid w:val="00566AB4"/>
    <w:rsid w:val="00575AC5"/>
    <w:rsid w:val="0057605D"/>
    <w:rsid w:val="00581347"/>
    <w:rsid w:val="00581AC9"/>
    <w:rsid w:val="005849F8"/>
    <w:rsid w:val="005938DF"/>
    <w:rsid w:val="00594E9C"/>
    <w:rsid w:val="005A099B"/>
    <w:rsid w:val="005A2D9C"/>
    <w:rsid w:val="005A55FE"/>
    <w:rsid w:val="005A6A11"/>
    <w:rsid w:val="005A6A60"/>
    <w:rsid w:val="005B6CE9"/>
    <w:rsid w:val="005D2502"/>
    <w:rsid w:val="005D40BB"/>
    <w:rsid w:val="005D47F3"/>
    <w:rsid w:val="005D49BF"/>
    <w:rsid w:val="005D4AA5"/>
    <w:rsid w:val="005D6B10"/>
    <w:rsid w:val="005D6F4E"/>
    <w:rsid w:val="005D7C73"/>
    <w:rsid w:val="005E250B"/>
    <w:rsid w:val="005E3ACD"/>
    <w:rsid w:val="005E4AD8"/>
    <w:rsid w:val="005E6906"/>
    <w:rsid w:val="005E7226"/>
    <w:rsid w:val="005E7A57"/>
    <w:rsid w:val="005F24B0"/>
    <w:rsid w:val="00601B57"/>
    <w:rsid w:val="00604315"/>
    <w:rsid w:val="00604E26"/>
    <w:rsid w:val="0060523F"/>
    <w:rsid w:val="006052CF"/>
    <w:rsid w:val="00607B8D"/>
    <w:rsid w:val="00611F5C"/>
    <w:rsid w:val="00616E09"/>
    <w:rsid w:val="00622A3B"/>
    <w:rsid w:val="00622EEA"/>
    <w:rsid w:val="0062396C"/>
    <w:rsid w:val="00623FF9"/>
    <w:rsid w:val="00627D4E"/>
    <w:rsid w:val="00632B89"/>
    <w:rsid w:val="0063346D"/>
    <w:rsid w:val="00634478"/>
    <w:rsid w:val="00644373"/>
    <w:rsid w:val="00645915"/>
    <w:rsid w:val="006519C3"/>
    <w:rsid w:val="00652B30"/>
    <w:rsid w:val="00656345"/>
    <w:rsid w:val="00656DC6"/>
    <w:rsid w:val="00660EC6"/>
    <w:rsid w:val="00664110"/>
    <w:rsid w:val="00664D17"/>
    <w:rsid w:val="00666520"/>
    <w:rsid w:val="00667C5B"/>
    <w:rsid w:val="00691EB8"/>
    <w:rsid w:val="00692CDE"/>
    <w:rsid w:val="00693073"/>
    <w:rsid w:val="006977FF"/>
    <w:rsid w:val="006A01FA"/>
    <w:rsid w:val="006A0E9E"/>
    <w:rsid w:val="006A25C7"/>
    <w:rsid w:val="006A4AAD"/>
    <w:rsid w:val="006A6DA2"/>
    <w:rsid w:val="006A7AB2"/>
    <w:rsid w:val="006B52DE"/>
    <w:rsid w:val="006B5717"/>
    <w:rsid w:val="006B582F"/>
    <w:rsid w:val="006B5EB2"/>
    <w:rsid w:val="006C0CEB"/>
    <w:rsid w:val="006C1631"/>
    <w:rsid w:val="006C3B1E"/>
    <w:rsid w:val="006C47FD"/>
    <w:rsid w:val="006C5C19"/>
    <w:rsid w:val="006C70A0"/>
    <w:rsid w:val="006D27CB"/>
    <w:rsid w:val="006D2F08"/>
    <w:rsid w:val="006D576C"/>
    <w:rsid w:val="006D5865"/>
    <w:rsid w:val="006E4B1B"/>
    <w:rsid w:val="006E5445"/>
    <w:rsid w:val="006E7D93"/>
    <w:rsid w:val="007029A3"/>
    <w:rsid w:val="00706E4E"/>
    <w:rsid w:val="0070791C"/>
    <w:rsid w:val="007112CD"/>
    <w:rsid w:val="0071383C"/>
    <w:rsid w:val="007141A7"/>
    <w:rsid w:val="00715722"/>
    <w:rsid w:val="00721032"/>
    <w:rsid w:val="00721B55"/>
    <w:rsid w:val="00726CE4"/>
    <w:rsid w:val="00734143"/>
    <w:rsid w:val="00737E47"/>
    <w:rsid w:val="00740EAC"/>
    <w:rsid w:val="00744956"/>
    <w:rsid w:val="00745A5C"/>
    <w:rsid w:val="0074605F"/>
    <w:rsid w:val="00747E94"/>
    <w:rsid w:val="00754C83"/>
    <w:rsid w:val="00761E5C"/>
    <w:rsid w:val="00765DF8"/>
    <w:rsid w:val="00766749"/>
    <w:rsid w:val="00767C1B"/>
    <w:rsid w:val="007714A9"/>
    <w:rsid w:val="00774F88"/>
    <w:rsid w:val="00774FDB"/>
    <w:rsid w:val="00777BA2"/>
    <w:rsid w:val="00781408"/>
    <w:rsid w:val="00784F7F"/>
    <w:rsid w:val="007878BD"/>
    <w:rsid w:val="00796F25"/>
    <w:rsid w:val="007A2E98"/>
    <w:rsid w:val="007A3BA3"/>
    <w:rsid w:val="007A6CC0"/>
    <w:rsid w:val="007A7FEC"/>
    <w:rsid w:val="007B1499"/>
    <w:rsid w:val="007B1BBF"/>
    <w:rsid w:val="007B2960"/>
    <w:rsid w:val="007B3416"/>
    <w:rsid w:val="007B355D"/>
    <w:rsid w:val="007B7980"/>
    <w:rsid w:val="007C0DEF"/>
    <w:rsid w:val="007C5D5A"/>
    <w:rsid w:val="007C607F"/>
    <w:rsid w:val="007C6E44"/>
    <w:rsid w:val="007C79DD"/>
    <w:rsid w:val="007D1A97"/>
    <w:rsid w:val="007D2CD6"/>
    <w:rsid w:val="007D3063"/>
    <w:rsid w:val="007D3CEB"/>
    <w:rsid w:val="007E3375"/>
    <w:rsid w:val="007E7683"/>
    <w:rsid w:val="007F49FA"/>
    <w:rsid w:val="007F54C4"/>
    <w:rsid w:val="007F6E9A"/>
    <w:rsid w:val="00800CCD"/>
    <w:rsid w:val="008044D4"/>
    <w:rsid w:val="00810AB4"/>
    <w:rsid w:val="00817B56"/>
    <w:rsid w:val="00821A88"/>
    <w:rsid w:val="0082495D"/>
    <w:rsid w:val="00831AC3"/>
    <w:rsid w:val="00836FCE"/>
    <w:rsid w:val="008408FF"/>
    <w:rsid w:val="00851F3F"/>
    <w:rsid w:val="0085618F"/>
    <w:rsid w:val="00856EDC"/>
    <w:rsid w:val="00860A62"/>
    <w:rsid w:val="008623B5"/>
    <w:rsid w:val="00870ABA"/>
    <w:rsid w:val="008710E1"/>
    <w:rsid w:val="008716E5"/>
    <w:rsid w:val="00881CA9"/>
    <w:rsid w:val="00883628"/>
    <w:rsid w:val="00885544"/>
    <w:rsid w:val="0088634E"/>
    <w:rsid w:val="00893AB8"/>
    <w:rsid w:val="008A04C8"/>
    <w:rsid w:val="008A0CF2"/>
    <w:rsid w:val="008A3F29"/>
    <w:rsid w:val="008A6913"/>
    <w:rsid w:val="008B4B65"/>
    <w:rsid w:val="008B70F3"/>
    <w:rsid w:val="008B71C4"/>
    <w:rsid w:val="008B76DF"/>
    <w:rsid w:val="008C10F4"/>
    <w:rsid w:val="008C65F7"/>
    <w:rsid w:val="008E4767"/>
    <w:rsid w:val="008E7A8C"/>
    <w:rsid w:val="0090203B"/>
    <w:rsid w:val="00902194"/>
    <w:rsid w:val="00903285"/>
    <w:rsid w:val="00906F40"/>
    <w:rsid w:val="0090731E"/>
    <w:rsid w:val="00915B1C"/>
    <w:rsid w:val="009174F3"/>
    <w:rsid w:val="0091797D"/>
    <w:rsid w:val="00923CBA"/>
    <w:rsid w:val="00926703"/>
    <w:rsid w:val="00927691"/>
    <w:rsid w:val="00927A5F"/>
    <w:rsid w:val="00930510"/>
    <w:rsid w:val="00935B63"/>
    <w:rsid w:val="0094078F"/>
    <w:rsid w:val="00940FA3"/>
    <w:rsid w:val="00941FB0"/>
    <w:rsid w:val="009426D4"/>
    <w:rsid w:val="00947F25"/>
    <w:rsid w:val="00950159"/>
    <w:rsid w:val="0095490B"/>
    <w:rsid w:val="00960A33"/>
    <w:rsid w:val="009676FB"/>
    <w:rsid w:val="00971914"/>
    <w:rsid w:val="00974363"/>
    <w:rsid w:val="00981898"/>
    <w:rsid w:val="0099577C"/>
    <w:rsid w:val="009B24A5"/>
    <w:rsid w:val="009B2601"/>
    <w:rsid w:val="009B4E9E"/>
    <w:rsid w:val="009C1690"/>
    <w:rsid w:val="009C6881"/>
    <w:rsid w:val="009C7759"/>
    <w:rsid w:val="009D043D"/>
    <w:rsid w:val="009D07C8"/>
    <w:rsid w:val="009D6C71"/>
    <w:rsid w:val="009E0631"/>
    <w:rsid w:val="009E16D0"/>
    <w:rsid w:val="009E2051"/>
    <w:rsid w:val="009E38FD"/>
    <w:rsid w:val="009F13D6"/>
    <w:rsid w:val="009F4C6B"/>
    <w:rsid w:val="009F76BA"/>
    <w:rsid w:val="009F78A8"/>
    <w:rsid w:val="009F7A5D"/>
    <w:rsid w:val="00A02AD6"/>
    <w:rsid w:val="00A07096"/>
    <w:rsid w:val="00A07318"/>
    <w:rsid w:val="00A11370"/>
    <w:rsid w:val="00A224CE"/>
    <w:rsid w:val="00A22522"/>
    <w:rsid w:val="00A2440D"/>
    <w:rsid w:val="00A24AFD"/>
    <w:rsid w:val="00A24F5C"/>
    <w:rsid w:val="00A3112D"/>
    <w:rsid w:val="00A32F96"/>
    <w:rsid w:val="00A40871"/>
    <w:rsid w:val="00A412AB"/>
    <w:rsid w:val="00A4193E"/>
    <w:rsid w:val="00A440E0"/>
    <w:rsid w:val="00A442EF"/>
    <w:rsid w:val="00A51D1A"/>
    <w:rsid w:val="00A5418D"/>
    <w:rsid w:val="00A5474E"/>
    <w:rsid w:val="00A64234"/>
    <w:rsid w:val="00A70ADF"/>
    <w:rsid w:val="00A71466"/>
    <w:rsid w:val="00A74B5E"/>
    <w:rsid w:val="00A81BED"/>
    <w:rsid w:val="00A81EC4"/>
    <w:rsid w:val="00A824E8"/>
    <w:rsid w:val="00A868AE"/>
    <w:rsid w:val="00A967FD"/>
    <w:rsid w:val="00A96F37"/>
    <w:rsid w:val="00AA2DE5"/>
    <w:rsid w:val="00AB156C"/>
    <w:rsid w:val="00AB6814"/>
    <w:rsid w:val="00AC04BA"/>
    <w:rsid w:val="00AC0E39"/>
    <w:rsid w:val="00AD3082"/>
    <w:rsid w:val="00AD32B4"/>
    <w:rsid w:val="00AD4AD0"/>
    <w:rsid w:val="00AD5436"/>
    <w:rsid w:val="00AD60CD"/>
    <w:rsid w:val="00AD6C8C"/>
    <w:rsid w:val="00AE091D"/>
    <w:rsid w:val="00AE3B60"/>
    <w:rsid w:val="00AE53A1"/>
    <w:rsid w:val="00AF2484"/>
    <w:rsid w:val="00AF63E7"/>
    <w:rsid w:val="00AF6E17"/>
    <w:rsid w:val="00AF776B"/>
    <w:rsid w:val="00B0165D"/>
    <w:rsid w:val="00B01B60"/>
    <w:rsid w:val="00B031F3"/>
    <w:rsid w:val="00B052A4"/>
    <w:rsid w:val="00B125DE"/>
    <w:rsid w:val="00B13FDD"/>
    <w:rsid w:val="00B22EB2"/>
    <w:rsid w:val="00B27442"/>
    <w:rsid w:val="00B31167"/>
    <w:rsid w:val="00B329D8"/>
    <w:rsid w:val="00B32BB9"/>
    <w:rsid w:val="00B33AE1"/>
    <w:rsid w:val="00B37C38"/>
    <w:rsid w:val="00B4288C"/>
    <w:rsid w:val="00B43262"/>
    <w:rsid w:val="00B44100"/>
    <w:rsid w:val="00B45726"/>
    <w:rsid w:val="00B46CBA"/>
    <w:rsid w:val="00B46F94"/>
    <w:rsid w:val="00B51468"/>
    <w:rsid w:val="00B6003C"/>
    <w:rsid w:val="00B61F03"/>
    <w:rsid w:val="00B626E4"/>
    <w:rsid w:val="00B72F4A"/>
    <w:rsid w:val="00B83C27"/>
    <w:rsid w:val="00B84BC3"/>
    <w:rsid w:val="00B84BDD"/>
    <w:rsid w:val="00B92812"/>
    <w:rsid w:val="00BB45A1"/>
    <w:rsid w:val="00BB7686"/>
    <w:rsid w:val="00BC23F9"/>
    <w:rsid w:val="00BC3421"/>
    <w:rsid w:val="00BC5793"/>
    <w:rsid w:val="00BC732C"/>
    <w:rsid w:val="00BD4421"/>
    <w:rsid w:val="00BD7249"/>
    <w:rsid w:val="00BE2580"/>
    <w:rsid w:val="00BE266D"/>
    <w:rsid w:val="00BE3938"/>
    <w:rsid w:val="00BE4C11"/>
    <w:rsid w:val="00BE6805"/>
    <w:rsid w:val="00BE71C0"/>
    <w:rsid w:val="00BF610C"/>
    <w:rsid w:val="00C0060B"/>
    <w:rsid w:val="00C01A6C"/>
    <w:rsid w:val="00C0277D"/>
    <w:rsid w:val="00C053A1"/>
    <w:rsid w:val="00C16198"/>
    <w:rsid w:val="00C2083D"/>
    <w:rsid w:val="00C24A53"/>
    <w:rsid w:val="00C259A3"/>
    <w:rsid w:val="00C34A05"/>
    <w:rsid w:val="00C35CCE"/>
    <w:rsid w:val="00C4032F"/>
    <w:rsid w:val="00C44047"/>
    <w:rsid w:val="00C45155"/>
    <w:rsid w:val="00C50117"/>
    <w:rsid w:val="00C5498F"/>
    <w:rsid w:val="00C55235"/>
    <w:rsid w:val="00C64CD0"/>
    <w:rsid w:val="00C6684F"/>
    <w:rsid w:val="00C70E70"/>
    <w:rsid w:val="00C75F8D"/>
    <w:rsid w:val="00C77380"/>
    <w:rsid w:val="00C87E8A"/>
    <w:rsid w:val="00C97736"/>
    <w:rsid w:val="00CA345A"/>
    <w:rsid w:val="00CB1E82"/>
    <w:rsid w:val="00CB3DA1"/>
    <w:rsid w:val="00CB4BA8"/>
    <w:rsid w:val="00CB52D7"/>
    <w:rsid w:val="00CB5863"/>
    <w:rsid w:val="00CC6732"/>
    <w:rsid w:val="00CD3469"/>
    <w:rsid w:val="00CE3C96"/>
    <w:rsid w:val="00CE51A8"/>
    <w:rsid w:val="00CF369B"/>
    <w:rsid w:val="00D00E28"/>
    <w:rsid w:val="00D0269E"/>
    <w:rsid w:val="00D05D6C"/>
    <w:rsid w:val="00D15810"/>
    <w:rsid w:val="00D16D4E"/>
    <w:rsid w:val="00D16FE3"/>
    <w:rsid w:val="00D17842"/>
    <w:rsid w:val="00D17968"/>
    <w:rsid w:val="00D27F41"/>
    <w:rsid w:val="00D36441"/>
    <w:rsid w:val="00D4064E"/>
    <w:rsid w:val="00D44E9B"/>
    <w:rsid w:val="00D45FD2"/>
    <w:rsid w:val="00D47AEB"/>
    <w:rsid w:val="00D50DB9"/>
    <w:rsid w:val="00D51302"/>
    <w:rsid w:val="00D52C43"/>
    <w:rsid w:val="00D6507F"/>
    <w:rsid w:val="00D730BC"/>
    <w:rsid w:val="00D73912"/>
    <w:rsid w:val="00D85226"/>
    <w:rsid w:val="00D87B94"/>
    <w:rsid w:val="00D92D49"/>
    <w:rsid w:val="00D92EC1"/>
    <w:rsid w:val="00D96DEA"/>
    <w:rsid w:val="00DA4E41"/>
    <w:rsid w:val="00DB117A"/>
    <w:rsid w:val="00DB5173"/>
    <w:rsid w:val="00DB7873"/>
    <w:rsid w:val="00DC187B"/>
    <w:rsid w:val="00DC7DEF"/>
    <w:rsid w:val="00DD19F0"/>
    <w:rsid w:val="00DD1A43"/>
    <w:rsid w:val="00DD73C2"/>
    <w:rsid w:val="00DE319B"/>
    <w:rsid w:val="00DF34FE"/>
    <w:rsid w:val="00DF56AA"/>
    <w:rsid w:val="00DF56AF"/>
    <w:rsid w:val="00DF78E7"/>
    <w:rsid w:val="00E110E0"/>
    <w:rsid w:val="00E15371"/>
    <w:rsid w:val="00E23372"/>
    <w:rsid w:val="00E24104"/>
    <w:rsid w:val="00E302D0"/>
    <w:rsid w:val="00E35707"/>
    <w:rsid w:val="00E36AA1"/>
    <w:rsid w:val="00E41ECB"/>
    <w:rsid w:val="00E42676"/>
    <w:rsid w:val="00E54FDB"/>
    <w:rsid w:val="00E5617D"/>
    <w:rsid w:val="00E563D7"/>
    <w:rsid w:val="00E663F4"/>
    <w:rsid w:val="00E666F2"/>
    <w:rsid w:val="00E66DD4"/>
    <w:rsid w:val="00E748CC"/>
    <w:rsid w:val="00E75415"/>
    <w:rsid w:val="00E775B1"/>
    <w:rsid w:val="00E8152A"/>
    <w:rsid w:val="00E86B2B"/>
    <w:rsid w:val="00E93629"/>
    <w:rsid w:val="00E93B5C"/>
    <w:rsid w:val="00E94CEC"/>
    <w:rsid w:val="00EA04EF"/>
    <w:rsid w:val="00EA3D96"/>
    <w:rsid w:val="00EA68BB"/>
    <w:rsid w:val="00EA6F19"/>
    <w:rsid w:val="00EB7090"/>
    <w:rsid w:val="00EC1BBE"/>
    <w:rsid w:val="00EC2B68"/>
    <w:rsid w:val="00EC3AEF"/>
    <w:rsid w:val="00EC5CD7"/>
    <w:rsid w:val="00EE5FB3"/>
    <w:rsid w:val="00EE7F79"/>
    <w:rsid w:val="00EF715A"/>
    <w:rsid w:val="00F00730"/>
    <w:rsid w:val="00F01BC3"/>
    <w:rsid w:val="00F06E14"/>
    <w:rsid w:val="00F179D4"/>
    <w:rsid w:val="00F267E1"/>
    <w:rsid w:val="00F33C56"/>
    <w:rsid w:val="00F347C7"/>
    <w:rsid w:val="00F34848"/>
    <w:rsid w:val="00F42D46"/>
    <w:rsid w:val="00F4496C"/>
    <w:rsid w:val="00F44F3A"/>
    <w:rsid w:val="00F45DD5"/>
    <w:rsid w:val="00F51F10"/>
    <w:rsid w:val="00F529A5"/>
    <w:rsid w:val="00F60F00"/>
    <w:rsid w:val="00F614C0"/>
    <w:rsid w:val="00F61C77"/>
    <w:rsid w:val="00F67297"/>
    <w:rsid w:val="00F83848"/>
    <w:rsid w:val="00F975E9"/>
    <w:rsid w:val="00FA1B7D"/>
    <w:rsid w:val="00FC07B9"/>
    <w:rsid w:val="00FC4E21"/>
    <w:rsid w:val="00FC5F6D"/>
    <w:rsid w:val="00FD0107"/>
    <w:rsid w:val="00FD2C2F"/>
    <w:rsid w:val="00FD3B31"/>
    <w:rsid w:val="00FE1823"/>
    <w:rsid w:val="00FE487A"/>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0EDC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7E3375"/>
    <w:pPr>
      <w:spacing w:after="240" w:line="240" w:lineRule="atLeast"/>
    </w:pPr>
    <w:rPr>
      <w:rFonts w:ascii="Arial" w:hAnsi="Arial"/>
      <w:sz w:val="20"/>
    </w:rPr>
  </w:style>
  <w:style w:type="paragraph" w:styleId="Heading1">
    <w:name w:val="heading 1"/>
    <w:basedOn w:val="Normal"/>
    <w:next w:val="Normal"/>
    <w:link w:val="Heading1Char"/>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C55235"/>
    <w:pPr>
      <w:keepNext/>
      <w:spacing w:before="60" w:after="60"/>
      <w:outlineLvl w:val="2"/>
    </w:pPr>
    <w:rPr>
      <w:rFonts w:cs="Arial"/>
      <w:b/>
      <w:bCs/>
      <w:szCs w:val="26"/>
    </w:rPr>
  </w:style>
  <w:style w:type="paragraph" w:styleId="Heading4">
    <w:name w:val="heading 4"/>
    <w:basedOn w:val="BodySubHeader"/>
    <w:next w:val="Normal"/>
    <w:uiPriority w:val="2"/>
    <w:qFormat/>
    <w:rsid w:val="0085618F"/>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rsid w:val="00566AB4"/>
    <w:rPr>
      <w:rFonts w:ascii="Arial" w:hAnsi="Arial"/>
      <w:vertAlign w:val="superscript"/>
    </w:rPr>
  </w:style>
  <w:style w:type="paragraph" w:styleId="FootnoteText">
    <w:name w:val="footnote text"/>
    <w:aliases w:val="Footnote text,ACMA Footnote Text"/>
    <w:basedOn w:val="Normal"/>
    <w:link w:val="FootnoteTextChar"/>
    <w:rsid w:val="00395979"/>
    <w:pPr>
      <w:spacing w:after="4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rsid w:val="006C1631"/>
    <w:rPr>
      <w:rFonts w:ascii="Arial" w:hAnsi="Arial" w:cs="Arial"/>
      <w:bCs/>
      <w:color w:val="323232"/>
      <w:kern w:val="32"/>
      <w:sz w:val="53"/>
      <w:szCs w:val="32"/>
    </w:rPr>
  </w:style>
  <w:style w:type="character" w:customStyle="1" w:styleId="Heading2Char">
    <w:name w:val="Heading 2 Char"/>
    <w:basedOn w:val="DefaultParagraphFont"/>
    <w:link w:val="Heading2"/>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800CCD"/>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A824E8"/>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4A70D6"/>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63346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Tableheading">
    <w:name w:val="Table heading"/>
    <w:basedOn w:val="ACMATableHeader"/>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ListParagraph">
    <w:name w:val="List Paragraph"/>
    <w:basedOn w:val="Normal"/>
    <w:uiPriority w:val="34"/>
    <w:qFormat/>
    <w:rsid w:val="00CB3DA1"/>
    <w:pPr>
      <w:ind w:left="720" w:hanging="567"/>
      <w:contextualSpacing/>
    </w:pPr>
    <w:rPr>
      <w:sz w:val="24"/>
    </w:rPr>
  </w:style>
  <w:style w:type="paragraph" w:styleId="BalloonText">
    <w:name w:val="Balloon Text"/>
    <w:basedOn w:val="Normal"/>
    <w:link w:val="BalloonTextChar"/>
    <w:semiHidden/>
    <w:unhideWhenUsed/>
    <w:rsid w:val="00CB3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B3DA1"/>
    <w:rPr>
      <w:rFonts w:ascii="Segoe UI" w:hAnsi="Segoe UI" w:cs="Segoe UI"/>
      <w:sz w:val="18"/>
      <w:szCs w:val="18"/>
    </w:rPr>
  </w:style>
  <w:style w:type="character" w:customStyle="1" w:styleId="FootnoteTextChar">
    <w:name w:val="Footnote Text Char"/>
    <w:aliases w:val="Footnote text Char,ACMA Footnote Text Char"/>
    <w:link w:val="FootnoteText"/>
    <w:rsid w:val="00395979"/>
    <w:rPr>
      <w:rFonts w:ascii="Arial" w:hAnsi="Arial"/>
      <w:sz w:val="16"/>
      <w:szCs w:val="16"/>
    </w:rPr>
  </w:style>
  <w:style w:type="paragraph" w:customStyle="1" w:styleId="ACMABodyTextnumpara2">
    <w:name w:val="ACMA Body Text num para 2"/>
    <w:basedOn w:val="Normal"/>
    <w:link w:val="ACMABodyTextnumpara2Char"/>
    <w:rsid w:val="00CB3DA1"/>
    <w:pPr>
      <w:tabs>
        <w:tab w:val="left" w:pos="1440"/>
      </w:tabs>
      <w:suppressAutoHyphens/>
      <w:spacing w:before="80" w:after="120" w:line="280" w:lineRule="atLeast"/>
      <w:ind w:left="1440" w:hanging="720"/>
    </w:pPr>
    <w:rPr>
      <w:snapToGrid w:val="0"/>
      <w:sz w:val="24"/>
      <w:szCs w:val="20"/>
      <w:lang w:eastAsia="en-US"/>
    </w:rPr>
  </w:style>
  <w:style w:type="character" w:customStyle="1" w:styleId="ACMABodyTextnumpara2Char">
    <w:name w:val="ACMA Body Text num para 2 Char"/>
    <w:basedOn w:val="DefaultParagraphFont"/>
    <w:link w:val="ACMABodyTextnumpara2"/>
    <w:rsid w:val="00CB3DA1"/>
    <w:rPr>
      <w:rFonts w:ascii="Arial" w:hAnsi="Arial"/>
      <w:snapToGrid w:val="0"/>
      <w:szCs w:val="20"/>
      <w:lang w:eastAsia="en-US"/>
    </w:rPr>
  </w:style>
  <w:style w:type="paragraph" w:customStyle="1" w:styleId="ACMABodyText">
    <w:name w:val="ACMA Body Text"/>
    <w:link w:val="ACMABodyTextChar"/>
    <w:rsid w:val="00CB3DA1"/>
    <w:pPr>
      <w:suppressAutoHyphens/>
      <w:spacing w:before="80" w:after="120" w:line="280" w:lineRule="atLeast"/>
    </w:pPr>
    <w:rPr>
      <w:rFonts w:ascii="Arial" w:hAnsi="Arial"/>
      <w:snapToGrid w:val="0"/>
      <w:szCs w:val="20"/>
      <w:lang w:eastAsia="en-US"/>
    </w:rPr>
  </w:style>
  <w:style w:type="character" w:customStyle="1" w:styleId="ACMABodyTextChar">
    <w:name w:val="ACMA Body Text Char"/>
    <w:link w:val="ACMABodyText"/>
    <w:rsid w:val="00CB3DA1"/>
    <w:rPr>
      <w:rFonts w:ascii="Arial" w:hAnsi="Arial"/>
      <w:snapToGrid w:val="0"/>
      <w:szCs w:val="20"/>
      <w:lang w:eastAsia="en-US"/>
    </w:rPr>
  </w:style>
  <w:style w:type="paragraph" w:styleId="Revision">
    <w:name w:val="Revision"/>
    <w:hidden/>
    <w:semiHidden/>
    <w:rsid w:val="008A3F2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fo@acma.gov.au" TargetMode="Externa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7.xml"/><Relationship Id="rId28" Type="http://schemas.openxmlformats.org/officeDocument/2006/relationships/hyperlink" Target="https://www.acma.gov.au/investigations-and-compliance"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creativecommons.org/l/by/3.0/88x31.png" TargetMode="External"/><Relationship Id="rId22" Type="http://schemas.openxmlformats.org/officeDocument/2006/relationships/header" Target="header6.xml"/><Relationship Id="rId27" Type="http://schemas.openxmlformats.org/officeDocument/2006/relationships/hyperlink" Target="https://www.acma.gov.au/compliance-and-enforcement-policy" TargetMode="External"/><Relationship Id="rId30" Type="http://schemas.openxmlformats.org/officeDocument/2006/relationships/header" Target="header9.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4C1A3-689F-43E7-8775-5C7B2E80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2045</Words>
  <Characters>11261</Characters>
  <Application>Microsoft Office Word</Application>
  <DocSecurity>0</DocSecurity>
  <Lines>250</Lines>
  <Paragraphs>110</Paragraphs>
  <ScaleCrop>false</ScaleCrop>
  <Manager/>
  <Company/>
  <LinksUpToDate>false</LinksUpToDate>
  <CharactersWithSpaces>13270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2025-10-21T00:43:00Z</dcterms:created>
  <dcterms:modified xsi:type="dcterms:W3CDTF">2025-10-21T00:45:00Z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1b1d40b9,3094f11c,e40481d,18598204,69b17395,1e3202cb,400fa65f,101fde93,35aa77a6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64a4d905,86db615,4da66cec,6d599e42,3a9962d5,239151b6,7f48e91f,1d1eb469,c083ed,1fd67b15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2025-10-21T00:43:57Z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41ba4e15-4a38-400e-9e32-c029a8d410a7</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