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CE9A" w14:textId="058B064A" w:rsidR="00CB3DA1" w:rsidRDefault="00CB3DA1" w:rsidP="00CB3DA1">
      <w:pPr>
        <w:pStyle w:val="Reporttitle"/>
      </w:pPr>
      <w:r w:rsidRPr="00CB3DA1">
        <w:t>Regulatory guide</w:t>
      </w:r>
      <w:r w:rsidR="003B4F5F">
        <w:t xml:space="preserve"> </w:t>
      </w:r>
      <w:r w:rsidRPr="00CB3DA1">
        <w:t xml:space="preserve">No. </w:t>
      </w:r>
      <w:r w:rsidR="00674AD6">
        <w:t>4</w:t>
      </w:r>
    </w:p>
    <w:p w14:paraId="35F21341" w14:textId="5AAE69C0" w:rsidR="00F06E14" w:rsidRDefault="00674AD6" w:rsidP="00CB3DA1">
      <w:pPr>
        <w:pStyle w:val="Reportsubtitle"/>
      </w:pPr>
      <w:r>
        <w:t>Remedial directions</w:t>
      </w:r>
    </w:p>
    <w:p w14:paraId="22D96714" w14:textId="1CFF346D" w:rsidR="00C97736" w:rsidRPr="000D76E0" w:rsidRDefault="00CB3DA1" w:rsidP="00EC2B68">
      <w:pPr>
        <w:pStyle w:val="Reportdate"/>
        <w:spacing w:after="720"/>
        <w:rPr>
          <w:rFonts w:cs="Arial"/>
        </w:rPr>
        <w:sectPr w:rsidR="00C97736" w:rsidRPr="000D76E0" w:rsidSect="005E250B">
          <w:headerReference w:type="even" r:id="rId8"/>
          <w:headerReference w:type="default" r:id="rId9"/>
          <w:footerReference w:type="even" r:id="rId10"/>
          <w:footerReference w:type="default" r:id="rId11"/>
          <w:headerReference w:type="first" r:id="rId12"/>
          <w:footerReference w:type="first" r:id="rId13"/>
          <w:pgSz w:w="11906" w:h="16838" w:code="9"/>
          <w:pgMar w:top="3924" w:right="992" w:bottom="1440" w:left="1134" w:header="709" w:footer="454" w:gutter="0"/>
          <w:cols w:space="708"/>
          <w:docGrid w:linePitch="360"/>
        </w:sectPr>
      </w:pPr>
      <w:r>
        <w:t xml:space="preserve">ISSUED </w:t>
      </w:r>
      <w:r w:rsidR="00674AD6">
        <w:t xml:space="preserve">AUGUST </w:t>
      </w:r>
      <w:r w:rsidR="007B00BD">
        <w:t>2011, UPDATED</w:t>
      </w:r>
      <w:r w:rsidR="00442C28">
        <w:t xml:space="preserve"> </w:t>
      </w:r>
      <w:r w:rsidR="007A53A4">
        <w:t>OCTOBER 2025</w:t>
      </w:r>
    </w:p>
    <w:p w14:paraId="0954222A" w14:textId="77777777" w:rsidR="0005011A" w:rsidRPr="00F44F3A" w:rsidRDefault="0005011A" w:rsidP="00FC07B9">
      <w:pPr>
        <w:pStyle w:val="ACMACorporateAddressHeader"/>
      </w:pPr>
      <w:r w:rsidRPr="00F44F3A">
        <w:lastRenderedPageBreak/>
        <w:t>Canberra</w:t>
      </w:r>
    </w:p>
    <w:p w14:paraId="7BAF6C10"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13D1949B" w14:textId="77777777" w:rsidR="0005011A" w:rsidRPr="00FC07B9" w:rsidRDefault="0005011A" w:rsidP="00FC07B9">
      <w:pPr>
        <w:pStyle w:val="ACMACorporateAddresses"/>
      </w:pPr>
      <w:r w:rsidRPr="00FC07B9">
        <w:t>PO Box 78</w:t>
      </w:r>
      <w:r w:rsidRPr="00FC07B9">
        <w:br/>
        <w:t>Belconnen ACT 2616</w:t>
      </w:r>
    </w:p>
    <w:p w14:paraId="6A3EBC46"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03C9AB97" w14:textId="77777777" w:rsidR="0005011A" w:rsidRPr="00F44F3A" w:rsidRDefault="0005011A" w:rsidP="00FC07B9">
      <w:pPr>
        <w:pStyle w:val="ACMACorporateAddressHeader"/>
      </w:pPr>
      <w:r w:rsidRPr="00F44F3A">
        <w:t>Melbourne</w:t>
      </w:r>
    </w:p>
    <w:p w14:paraId="6AC87161"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26B298EA"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2CA11A75"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3B80BEFD" w14:textId="77777777" w:rsidR="0005011A" w:rsidRPr="00F44F3A" w:rsidRDefault="0005011A" w:rsidP="00FC07B9">
      <w:pPr>
        <w:pStyle w:val="ACMACorporateAddressHeader"/>
      </w:pPr>
      <w:r w:rsidRPr="00F44F3A">
        <w:t>Sydney</w:t>
      </w:r>
    </w:p>
    <w:p w14:paraId="552BCA7F"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0C045B22"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1E28D788"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1FE14E61" w14:textId="77777777" w:rsidR="00140318" w:rsidRPr="006D46E5" w:rsidRDefault="00140318" w:rsidP="00FC07B9">
      <w:pPr>
        <w:pStyle w:val="ACMACopyrightHeader"/>
      </w:pPr>
      <w:r w:rsidRPr="00140318">
        <w:t>Copyright notice</w:t>
      </w:r>
    </w:p>
    <w:p w14:paraId="2188AE24" w14:textId="77777777" w:rsidR="00140318" w:rsidRPr="006D46E5" w:rsidRDefault="00623FF9" w:rsidP="00623FF9">
      <w:pPr>
        <w:pStyle w:val="ACMACClogo"/>
      </w:pPr>
      <w:r w:rsidRPr="00623FF9">
        <w:rPr>
          <w:noProof/>
        </w:rPr>
        <w:drawing>
          <wp:inline distT="0" distB="0" distL="0" distR="0" wp14:anchorId="0ECD5452" wp14:editId="76288C34">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138D58D2" w14:textId="77777777" w:rsidR="00AA2DE5" w:rsidRDefault="00AA2DE5" w:rsidP="00AA2DE5">
      <w:pPr>
        <w:pStyle w:val="ACMACorporateAddresses"/>
        <w:rPr>
          <w:rStyle w:val="Hyperlink"/>
        </w:rPr>
      </w:pPr>
      <w:hyperlink r:id="rId16" w:history="1">
        <w:r>
          <w:rPr>
            <w:rStyle w:val="Hyperlink"/>
          </w:rPr>
          <w:t>https://creativecommons.org/licenses/by/4.0/</w:t>
        </w:r>
      </w:hyperlink>
    </w:p>
    <w:p w14:paraId="30953D8B" w14:textId="77777777" w:rsidR="00AA2DE5" w:rsidRDefault="00AA2DE5" w:rsidP="00AA2DE5">
      <w:pPr>
        <w:pStyle w:val="ACMACorporateAddresses"/>
      </w:pPr>
      <w:proofErr w:type="gramStart"/>
      <w:r>
        <w:t>With the exception of</w:t>
      </w:r>
      <w:proofErr w:type="gramEnd"/>
      <w:r>
        <w:t xml:space="preserve"> coats of arms, logos, emblems, images, other third-party material or devices protected by a trademark, this content is made available under the terms of the Creative Commons Attribution 4.0 International (CC BY 4.0) licence. </w:t>
      </w:r>
    </w:p>
    <w:p w14:paraId="6866BB62" w14:textId="74AAE7FF" w:rsidR="00AA2DE5" w:rsidRDefault="00AA2DE5" w:rsidP="00AA2DE5">
      <w:pPr>
        <w:pStyle w:val="ACMACorporateAddresses"/>
      </w:pPr>
      <w:r>
        <w:t>We request attribution as © Commonwealth of Australia (Australian Communications and Media Authority) 20</w:t>
      </w:r>
      <w:r w:rsidR="00442C28">
        <w:t>2</w:t>
      </w:r>
      <w:r w:rsidR="007A53A4">
        <w:t>5</w:t>
      </w:r>
      <w:r>
        <w:t>.</w:t>
      </w:r>
    </w:p>
    <w:p w14:paraId="482FA027" w14:textId="77777777" w:rsidR="00AA2DE5" w:rsidRDefault="00AA2DE5" w:rsidP="00AA2DE5">
      <w:pPr>
        <w:pStyle w:val="ACMACorporateAddresses"/>
      </w:pPr>
      <w:r>
        <w:t>All other rights are reserved.</w:t>
      </w:r>
    </w:p>
    <w:p w14:paraId="661FD42E"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6E1BC4A5" w14:textId="77777777" w:rsidR="00AA2DE5" w:rsidRDefault="00AA2DE5" w:rsidP="00AA2DE5">
      <w:pPr>
        <w:pStyle w:val="ACMACorporateAddresses"/>
      </w:pPr>
      <w:r>
        <w:t>Written enquiries may be sent to:</w:t>
      </w:r>
    </w:p>
    <w:p w14:paraId="3A53E946"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7" w:history="1">
        <w:r>
          <w:rPr>
            <w:rStyle w:val="Hyperlink"/>
          </w:rPr>
          <w:t>info@acma.gov.au</w:t>
        </w:r>
      </w:hyperlink>
    </w:p>
    <w:p w14:paraId="4028FBAB" w14:textId="77777777" w:rsidR="00D16FE3" w:rsidRDefault="00D16FE3" w:rsidP="00D16FE3">
      <w:pPr>
        <w:pStyle w:val="ACMACorporateAddresses"/>
        <w:rPr>
          <w:rStyle w:val="Hyperlink"/>
        </w:rPr>
      </w:pPr>
    </w:p>
    <w:p w14:paraId="7F4BB5C5" w14:textId="77777777" w:rsidR="00D16FE3" w:rsidRPr="00D16FE3" w:rsidRDefault="00D16FE3" w:rsidP="00D16FE3">
      <w:pPr>
        <w:pStyle w:val="ACMACorporateAddresses"/>
        <w:sectPr w:rsidR="00D16FE3" w:rsidRPr="00D16FE3">
          <w:headerReference w:type="even" r:id="rId18"/>
          <w:headerReference w:type="default" r:id="rId19"/>
          <w:footerReference w:type="even" r:id="rId20"/>
          <w:footerReference w:type="default" r:id="rId21"/>
          <w:pgSz w:w="11906" w:h="16838" w:code="9"/>
          <w:pgMar w:top="3924" w:right="1797" w:bottom="697" w:left="1134" w:header="709" w:footer="119" w:gutter="0"/>
          <w:cols w:space="708"/>
          <w:docGrid w:linePitch="360"/>
        </w:sectPr>
      </w:pPr>
    </w:p>
    <w:p w14:paraId="15B06CEC" w14:textId="6B9F8E79" w:rsidR="00964344" w:rsidRDefault="003D416D">
      <w:pPr>
        <w:pStyle w:val="TOC1"/>
        <w:rPr>
          <w:rFonts w:asciiTheme="minorHAnsi" w:eastAsiaTheme="minorEastAsia" w:hAnsiTheme="minorHAnsi" w:cstheme="minorBidi"/>
          <w:b w:val="0"/>
          <w:spacing w:val="0"/>
          <w:kern w:val="2"/>
          <w:sz w:val="24"/>
          <w14:ligatures w14:val="standardContextual"/>
        </w:rPr>
      </w:pPr>
      <w:r>
        <w:rPr>
          <w:rFonts w:cs="Arial"/>
          <w:b w:val="0"/>
        </w:rPr>
        <w:lastRenderedPageBreak/>
        <w:fldChar w:fldCharType="begin"/>
      </w:r>
      <w:r>
        <w:rPr>
          <w:rFonts w:cs="Arial"/>
          <w:b w:val="0"/>
        </w:rPr>
        <w:instrText xml:space="preserve"> TOC \o "1-2" \t "Exec summary heading,1" </w:instrText>
      </w:r>
      <w:r>
        <w:rPr>
          <w:rFonts w:cs="Arial"/>
          <w:b w:val="0"/>
        </w:rPr>
        <w:fldChar w:fldCharType="separate"/>
      </w:r>
      <w:r w:rsidR="00964344">
        <w:t>Overview</w:t>
      </w:r>
      <w:r w:rsidR="00964344">
        <w:tab/>
      </w:r>
      <w:r w:rsidR="00964344">
        <w:fldChar w:fldCharType="begin"/>
      </w:r>
      <w:r w:rsidR="00964344">
        <w:instrText xml:space="preserve"> PAGEREF _Toc211938171 \h </w:instrText>
      </w:r>
      <w:r w:rsidR="00964344">
        <w:fldChar w:fldCharType="separate"/>
      </w:r>
      <w:r w:rsidR="00964344">
        <w:t>1</w:t>
      </w:r>
      <w:r w:rsidR="00964344">
        <w:fldChar w:fldCharType="end"/>
      </w:r>
    </w:p>
    <w:p w14:paraId="2C4F445F" w14:textId="504628C4" w:rsidR="00964344" w:rsidRDefault="00964344">
      <w:pPr>
        <w:pStyle w:val="TOC2"/>
        <w:rPr>
          <w:rFonts w:asciiTheme="minorHAnsi" w:eastAsiaTheme="minorEastAsia" w:hAnsiTheme="minorHAnsi" w:cstheme="minorBidi"/>
          <w:spacing w:val="0"/>
          <w:kern w:val="2"/>
          <w:sz w:val="24"/>
          <w:szCs w:val="24"/>
          <w14:ligatures w14:val="standardContextual"/>
        </w:rPr>
      </w:pPr>
      <w:r>
        <w:t>1.</w:t>
      </w:r>
      <w:r>
        <w:rPr>
          <w:rFonts w:asciiTheme="minorHAnsi" w:eastAsiaTheme="minorEastAsia" w:hAnsiTheme="minorHAnsi" w:cstheme="minorBidi"/>
          <w:spacing w:val="0"/>
          <w:kern w:val="2"/>
          <w:sz w:val="24"/>
          <w:szCs w:val="24"/>
          <w14:ligatures w14:val="standardContextual"/>
        </w:rPr>
        <w:tab/>
      </w:r>
      <w:r>
        <w:t xml:space="preserve"> Purpose of this guide</w:t>
      </w:r>
      <w:r>
        <w:tab/>
      </w:r>
      <w:r>
        <w:fldChar w:fldCharType="begin"/>
      </w:r>
      <w:r>
        <w:instrText xml:space="preserve"> PAGEREF _Toc211938172 \h </w:instrText>
      </w:r>
      <w:r>
        <w:fldChar w:fldCharType="separate"/>
      </w:r>
      <w:r>
        <w:t>2</w:t>
      </w:r>
      <w:r>
        <w:fldChar w:fldCharType="end"/>
      </w:r>
    </w:p>
    <w:p w14:paraId="77FEB18C" w14:textId="67B7FD55" w:rsidR="00964344" w:rsidRDefault="00964344">
      <w:pPr>
        <w:pStyle w:val="TOC2"/>
        <w:rPr>
          <w:rFonts w:asciiTheme="minorHAnsi" w:eastAsiaTheme="minorEastAsia" w:hAnsiTheme="minorHAnsi" w:cstheme="minorBidi"/>
          <w:spacing w:val="0"/>
          <w:kern w:val="2"/>
          <w:sz w:val="24"/>
          <w:szCs w:val="24"/>
          <w14:ligatures w14:val="standardContextual"/>
        </w:rPr>
      </w:pPr>
      <w:r>
        <w:t>2.</w:t>
      </w:r>
      <w:r>
        <w:rPr>
          <w:rFonts w:asciiTheme="minorHAnsi" w:eastAsiaTheme="minorEastAsia" w:hAnsiTheme="minorHAnsi" w:cstheme="minorBidi"/>
          <w:spacing w:val="0"/>
          <w:kern w:val="2"/>
          <w:sz w:val="24"/>
          <w:szCs w:val="24"/>
          <w14:ligatures w14:val="standardContextual"/>
        </w:rPr>
        <w:tab/>
      </w:r>
      <w:r>
        <w:t>Overview of the ACMA’s power to give a remedial direction</w:t>
      </w:r>
      <w:r>
        <w:tab/>
      </w:r>
      <w:r>
        <w:fldChar w:fldCharType="begin"/>
      </w:r>
      <w:r>
        <w:instrText xml:space="preserve"> PAGEREF _Toc211938173 \h </w:instrText>
      </w:r>
      <w:r>
        <w:fldChar w:fldCharType="separate"/>
      </w:r>
      <w:r>
        <w:t>2</w:t>
      </w:r>
      <w:r>
        <w:fldChar w:fldCharType="end"/>
      </w:r>
    </w:p>
    <w:p w14:paraId="00EE3B2E" w14:textId="49079B3B" w:rsidR="00964344" w:rsidRDefault="00964344">
      <w:pPr>
        <w:pStyle w:val="TOC2"/>
        <w:rPr>
          <w:rFonts w:asciiTheme="minorHAnsi" w:eastAsiaTheme="minorEastAsia" w:hAnsiTheme="minorHAnsi" w:cstheme="minorBidi"/>
          <w:spacing w:val="0"/>
          <w:kern w:val="2"/>
          <w:sz w:val="24"/>
          <w:szCs w:val="24"/>
          <w14:ligatures w14:val="standardContextual"/>
        </w:rPr>
      </w:pPr>
      <w:r>
        <w:t>3.</w:t>
      </w:r>
      <w:r>
        <w:rPr>
          <w:rFonts w:asciiTheme="minorHAnsi" w:eastAsiaTheme="minorEastAsia" w:hAnsiTheme="minorHAnsi" w:cstheme="minorBidi"/>
          <w:spacing w:val="0"/>
          <w:kern w:val="2"/>
          <w:sz w:val="24"/>
          <w:szCs w:val="24"/>
          <w14:ligatures w14:val="standardContextual"/>
        </w:rPr>
        <w:tab/>
      </w:r>
      <w:r>
        <w:t>Discretionary factors</w:t>
      </w:r>
      <w:r>
        <w:tab/>
      </w:r>
      <w:r>
        <w:fldChar w:fldCharType="begin"/>
      </w:r>
      <w:r>
        <w:instrText xml:space="preserve"> PAGEREF _Toc211938174 \h </w:instrText>
      </w:r>
      <w:r>
        <w:fldChar w:fldCharType="separate"/>
      </w:r>
      <w:r>
        <w:t>3</w:t>
      </w:r>
      <w:r>
        <w:fldChar w:fldCharType="end"/>
      </w:r>
    </w:p>
    <w:p w14:paraId="4E60F5CE" w14:textId="42673D75" w:rsidR="00964344" w:rsidRDefault="00964344">
      <w:pPr>
        <w:pStyle w:val="TOC2"/>
        <w:rPr>
          <w:rFonts w:asciiTheme="minorHAnsi" w:eastAsiaTheme="minorEastAsia" w:hAnsiTheme="minorHAnsi" w:cstheme="minorBidi"/>
          <w:spacing w:val="0"/>
          <w:kern w:val="2"/>
          <w:sz w:val="24"/>
          <w:szCs w:val="24"/>
          <w14:ligatures w14:val="standardContextual"/>
        </w:rPr>
      </w:pPr>
      <w:r>
        <w:t>4.</w:t>
      </w:r>
      <w:r>
        <w:rPr>
          <w:rFonts w:asciiTheme="minorHAnsi" w:eastAsiaTheme="minorEastAsia" w:hAnsiTheme="minorHAnsi" w:cstheme="minorBidi"/>
          <w:spacing w:val="0"/>
          <w:kern w:val="2"/>
          <w:sz w:val="24"/>
          <w:szCs w:val="24"/>
          <w14:ligatures w14:val="standardContextual"/>
        </w:rPr>
        <w:tab/>
      </w:r>
      <w:r>
        <w:t>Guiding principles</w:t>
      </w:r>
      <w:r>
        <w:tab/>
      </w:r>
      <w:r>
        <w:fldChar w:fldCharType="begin"/>
      </w:r>
      <w:r>
        <w:instrText xml:space="preserve"> PAGEREF _Toc211938175 \h </w:instrText>
      </w:r>
      <w:r>
        <w:fldChar w:fldCharType="separate"/>
      </w:r>
      <w:r>
        <w:t>3</w:t>
      </w:r>
      <w:r>
        <w:fldChar w:fldCharType="end"/>
      </w:r>
    </w:p>
    <w:p w14:paraId="78C2AC1C" w14:textId="55462676" w:rsidR="00964344" w:rsidRDefault="00964344">
      <w:pPr>
        <w:pStyle w:val="TOC2"/>
        <w:rPr>
          <w:rFonts w:asciiTheme="minorHAnsi" w:eastAsiaTheme="minorEastAsia" w:hAnsiTheme="minorHAnsi" w:cstheme="minorBidi"/>
          <w:spacing w:val="0"/>
          <w:kern w:val="2"/>
          <w:sz w:val="24"/>
          <w:szCs w:val="24"/>
          <w14:ligatures w14:val="standardContextual"/>
        </w:rPr>
      </w:pPr>
      <w:r>
        <w:t>5.</w:t>
      </w:r>
      <w:r>
        <w:rPr>
          <w:rFonts w:asciiTheme="minorHAnsi" w:eastAsiaTheme="minorEastAsia" w:hAnsiTheme="minorHAnsi" w:cstheme="minorBidi"/>
          <w:spacing w:val="0"/>
          <w:kern w:val="2"/>
          <w:sz w:val="24"/>
          <w:szCs w:val="24"/>
          <w14:ligatures w14:val="standardContextual"/>
        </w:rPr>
        <w:tab/>
      </w:r>
      <w:r>
        <w:t>Subject matter of a remedial direction</w:t>
      </w:r>
      <w:r>
        <w:tab/>
      </w:r>
      <w:r>
        <w:fldChar w:fldCharType="begin"/>
      </w:r>
      <w:r>
        <w:instrText xml:space="preserve"> PAGEREF _Toc211938176 \h </w:instrText>
      </w:r>
      <w:r>
        <w:fldChar w:fldCharType="separate"/>
      </w:r>
      <w:r>
        <w:t>3</w:t>
      </w:r>
      <w:r>
        <w:fldChar w:fldCharType="end"/>
      </w:r>
    </w:p>
    <w:p w14:paraId="5F51B664" w14:textId="148B9B33" w:rsidR="00964344" w:rsidRDefault="00964344">
      <w:pPr>
        <w:pStyle w:val="TOC2"/>
        <w:rPr>
          <w:rFonts w:asciiTheme="minorHAnsi" w:eastAsiaTheme="minorEastAsia" w:hAnsiTheme="minorHAnsi" w:cstheme="minorBidi"/>
          <w:spacing w:val="0"/>
          <w:kern w:val="2"/>
          <w:sz w:val="24"/>
          <w:szCs w:val="24"/>
          <w14:ligatures w14:val="standardContextual"/>
        </w:rPr>
      </w:pPr>
      <w:r>
        <w:t>6.</w:t>
      </w:r>
      <w:r>
        <w:rPr>
          <w:rFonts w:asciiTheme="minorHAnsi" w:eastAsiaTheme="minorEastAsia" w:hAnsiTheme="minorHAnsi" w:cstheme="minorBidi"/>
          <w:spacing w:val="0"/>
          <w:kern w:val="2"/>
          <w:sz w:val="24"/>
          <w:szCs w:val="24"/>
          <w14:ligatures w14:val="standardContextual"/>
        </w:rPr>
        <w:tab/>
      </w:r>
      <w:r>
        <w:t>Timeframe for compliance</w:t>
      </w:r>
      <w:r>
        <w:tab/>
      </w:r>
      <w:r>
        <w:fldChar w:fldCharType="begin"/>
      </w:r>
      <w:r>
        <w:instrText xml:space="preserve"> PAGEREF _Toc211938177 \h </w:instrText>
      </w:r>
      <w:r>
        <w:fldChar w:fldCharType="separate"/>
      </w:r>
      <w:r>
        <w:t>4</w:t>
      </w:r>
      <w:r>
        <w:fldChar w:fldCharType="end"/>
      </w:r>
    </w:p>
    <w:p w14:paraId="5CCEFCDB" w14:textId="4D33B28E" w:rsidR="00964344" w:rsidRDefault="00964344">
      <w:pPr>
        <w:pStyle w:val="TOC2"/>
        <w:rPr>
          <w:rFonts w:asciiTheme="minorHAnsi" w:eastAsiaTheme="minorEastAsia" w:hAnsiTheme="minorHAnsi" w:cstheme="minorBidi"/>
          <w:spacing w:val="0"/>
          <w:kern w:val="2"/>
          <w:sz w:val="24"/>
          <w:szCs w:val="24"/>
          <w14:ligatures w14:val="standardContextual"/>
        </w:rPr>
      </w:pPr>
      <w:r>
        <w:t>7.</w:t>
      </w:r>
      <w:r>
        <w:rPr>
          <w:rFonts w:asciiTheme="minorHAnsi" w:eastAsiaTheme="minorEastAsia" w:hAnsiTheme="minorHAnsi" w:cstheme="minorBidi"/>
          <w:spacing w:val="0"/>
          <w:kern w:val="2"/>
          <w:sz w:val="24"/>
          <w:szCs w:val="24"/>
          <w14:ligatures w14:val="standardContextual"/>
        </w:rPr>
        <w:tab/>
      </w:r>
      <w:r>
        <w:t>Requests for an extension of time</w:t>
      </w:r>
      <w:r>
        <w:tab/>
      </w:r>
      <w:r>
        <w:fldChar w:fldCharType="begin"/>
      </w:r>
      <w:r>
        <w:instrText xml:space="preserve"> PAGEREF _Toc211938178 \h </w:instrText>
      </w:r>
      <w:r>
        <w:fldChar w:fldCharType="separate"/>
      </w:r>
      <w:r>
        <w:t>4</w:t>
      </w:r>
      <w:r>
        <w:fldChar w:fldCharType="end"/>
      </w:r>
    </w:p>
    <w:p w14:paraId="0BC7584B" w14:textId="1CB7AE4A" w:rsidR="00964344" w:rsidRDefault="00964344">
      <w:pPr>
        <w:pStyle w:val="TOC2"/>
        <w:rPr>
          <w:rFonts w:asciiTheme="minorHAnsi" w:eastAsiaTheme="minorEastAsia" w:hAnsiTheme="minorHAnsi" w:cstheme="minorBidi"/>
          <w:spacing w:val="0"/>
          <w:kern w:val="2"/>
          <w:sz w:val="24"/>
          <w:szCs w:val="24"/>
          <w14:ligatures w14:val="standardContextual"/>
        </w:rPr>
      </w:pPr>
      <w:r>
        <w:t>8.</w:t>
      </w:r>
      <w:r>
        <w:rPr>
          <w:rFonts w:asciiTheme="minorHAnsi" w:eastAsiaTheme="minorEastAsia" w:hAnsiTheme="minorHAnsi" w:cstheme="minorBidi"/>
          <w:spacing w:val="0"/>
          <w:kern w:val="2"/>
          <w:sz w:val="24"/>
          <w:szCs w:val="24"/>
          <w14:ligatures w14:val="standardContextual"/>
        </w:rPr>
        <w:tab/>
      </w:r>
      <w:r>
        <w:t>Requests for revocation and/or variation of a remedial direction</w:t>
      </w:r>
      <w:r>
        <w:tab/>
      </w:r>
      <w:r>
        <w:fldChar w:fldCharType="begin"/>
      </w:r>
      <w:r>
        <w:instrText xml:space="preserve"> PAGEREF _Toc211938179 \h </w:instrText>
      </w:r>
      <w:r>
        <w:fldChar w:fldCharType="separate"/>
      </w:r>
      <w:r>
        <w:t>5</w:t>
      </w:r>
      <w:r>
        <w:fldChar w:fldCharType="end"/>
      </w:r>
    </w:p>
    <w:p w14:paraId="7992FCF3" w14:textId="7822F028" w:rsidR="00964344" w:rsidRDefault="00964344">
      <w:pPr>
        <w:pStyle w:val="TOC2"/>
        <w:rPr>
          <w:rFonts w:asciiTheme="minorHAnsi" w:eastAsiaTheme="minorEastAsia" w:hAnsiTheme="minorHAnsi" w:cstheme="minorBidi"/>
          <w:spacing w:val="0"/>
          <w:kern w:val="2"/>
          <w:sz w:val="24"/>
          <w:szCs w:val="24"/>
          <w14:ligatures w14:val="standardContextual"/>
        </w:rPr>
      </w:pPr>
      <w:r>
        <w:t>9.</w:t>
      </w:r>
      <w:r>
        <w:rPr>
          <w:rFonts w:asciiTheme="minorHAnsi" w:eastAsiaTheme="minorEastAsia" w:hAnsiTheme="minorHAnsi" w:cstheme="minorBidi"/>
          <w:spacing w:val="0"/>
          <w:kern w:val="2"/>
          <w:sz w:val="24"/>
          <w:szCs w:val="24"/>
          <w14:ligatures w14:val="standardContextual"/>
        </w:rPr>
        <w:tab/>
      </w:r>
      <w:r>
        <w:t>Breach of a remedial direction</w:t>
      </w:r>
      <w:r>
        <w:tab/>
      </w:r>
      <w:r>
        <w:fldChar w:fldCharType="begin"/>
      </w:r>
      <w:r>
        <w:instrText xml:space="preserve"> PAGEREF _Toc211938180 \h </w:instrText>
      </w:r>
      <w:r>
        <w:fldChar w:fldCharType="separate"/>
      </w:r>
      <w:r>
        <w:t>5</w:t>
      </w:r>
      <w:r>
        <w:fldChar w:fldCharType="end"/>
      </w:r>
    </w:p>
    <w:p w14:paraId="16FEEFF7" w14:textId="6D7F20CA" w:rsidR="00964344" w:rsidRDefault="00964344">
      <w:pPr>
        <w:pStyle w:val="TOC2"/>
        <w:rPr>
          <w:rFonts w:asciiTheme="minorHAnsi" w:eastAsiaTheme="minorEastAsia" w:hAnsiTheme="minorHAnsi" w:cstheme="minorBidi"/>
          <w:spacing w:val="0"/>
          <w:kern w:val="2"/>
          <w:sz w:val="24"/>
          <w:szCs w:val="24"/>
          <w14:ligatures w14:val="standardContextual"/>
        </w:rPr>
      </w:pPr>
      <w:r>
        <w:t>10.</w:t>
      </w:r>
      <w:r>
        <w:rPr>
          <w:rFonts w:asciiTheme="minorHAnsi" w:eastAsiaTheme="minorEastAsia" w:hAnsiTheme="minorHAnsi" w:cstheme="minorBidi"/>
          <w:spacing w:val="0"/>
          <w:kern w:val="2"/>
          <w:sz w:val="24"/>
          <w:szCs w:val="24"/>
          <w14:ligatures w14:val="standardContextual"/>
        </w:rPr>
        <w:tab/>
      </w:r>
      <w:r>
        <w:t>Publication</w:t>
      </w:r>
      <w:r>
        <w:tab/>
      </w:r>
      <w:r>
        <w:fldChar w:fldCharType="begin"/>
      </w:r>
      <w:r>
        <w:instrText xml:space="preserve"> PAGEREF _Toc211938181 \h </w:instrText>
      </w:r>
      <w:r>
        <w:fldChar w:fldCharType="separate"/>
      </w:r>
      <w:r>
        <w:t>6</w:t>
      </w:r>
      <w:r>
        <w:fldChar w:fldCharType="end"/>
      </w:r>
    </w:p>
    <w:p w14:paraId="37F255D0" w14:textId="4D48899B" w:rsidR="004D56FF" w:rsidRPr="000D76E0" w:rsidRDefault="003D416D">
      <w:pPr>
        <w:rPr>
          <w:rFonts w:cs="Arial"/>
        </w:rPr>
        <w:sectPr w:rsidR="004D56FF" w:rsidRPr="000D76E0" w:rsidSect="00964344">
          <w:headerReference w:type="even" r:id="rId22"/>
          <w:headerReference w:type="default" r:id="rId23"/>
          <w:footerReference w:type="even" r:id="rId24"/>
          <w:footerReference w:type="default" r:id="rId25"/>
          <w:footerReference w:type="first" r:id="rId26"/>
          <w:pgSz w:w="11906" w:h="16838" w:code="9"/>
          <w:pgMar w:top="3646" w:right="2267" w:bottom="1134" w:left="1134" w:header="709" w:footer="119" w:gutter="0"/>
          <w:cols w:space="708"/>
          <w:titlePg/>
          <w:docGrid w:linePitch="360"/>
        </w:sectPr>
      </w:pPr>
      <w:r>
        <w:rPr>
          <w:rFonts w:cs="Arial"/>
          <w:b/>
          <w:noProof/>
          <w:spacing w:val="-14"/>
          <w:sz w:val="28"/>
        </w:rPr>
        <w:fldChar w:fldCharType="end"/>
      </w:r>
    </w:p>
    <w:p w14:paraId="66D2F0AA" w14:textId="2C524B9B" w:rsidR="009D6C71" w:rsidRPr="009174F3" w:rsidRDefault="00CB3DA1" w:rsidP="009174F3">
      <w:pPr>
        <w:pStyle w:val="Execsummaryheading"/>
      </w:pPr>
      <w:bookmarkStart w:id="0" w:name="_Toc211938171"/>
      <w:r>
        <w:lastRenderedPageBreak/>
        <w:t>Overview</w:t>
      </w:r>
      <w:bookmarkEnd w:id="0"/>
    </w:p>
    <w:p w14:paraId="7D0E4C04" w14:textId="5E9174CF" w:rsidR="00CB3DA1" w:rsidRPr="007657DF" w:rsidRDefault="00CB3DA1" w:rsidP="00AF132E">
      <w:pPr>
        <w:spacing w:after="80"/>
        <w:rPr>
          <w:rFonts w:cs="Arial"/>
          <w:sz w:val="22"/>
          <w:szCs w:val="22"/>
        </w:rPr>
      </w:pPr>
      <w:r w:rsidRPr="007657DF">
        <w:rPr>
          <w:rFonts w:cs="Arial"/>
          <w:sz w:val="22"/>
          <w:szCs w:val="22"/>
        </w:rPr>
        <w:t>The Australian Communications and Media Authority (ACMA) issues regulatory guides to assist both industry and the community by:</w:t>
      </w:r>
    </w:p>
    <w:p w14:paraId="28872BFE" w14:textId="77777777" w:rsidR="00CB3DA1" w:rsidRPr="007657DF" w:rsidRDefault="00CB3DA1" w:rsidP="007657DF">
      <w:pPr>
        <w:pStyle w:val="ListBullet"/>
        <w:numPr>
          <w:ilvl w:val="0"/>
          <w:numId w:val="17"/>
        </w:numPr>
        <w:ind w:left="284" w:hanging="284"/>
        <w:rPr>
          <w:rFonts w:cs="Arial"/>
          <w:sz w:val="22"/>
          <w:szCs w:val="22"/>
        </w:rPr>
      </w:pPr>
      <w:r w:rsidRPr="007657DF">
        <w:rPr>
          <w:rFonts w:cs="Arial"/>
          <w:sz w:val="22"/>
          <w:szCs w:val="22"/>
        </w:rPr>
        <w:t>giving practical guidance (for example, guidance about the ACMA’s approach to a particular issue or describing the steps of a process)</w:t>
      </w:r>
    </w:p>
    <w:p w14:paraId="64AF7089" w14:textId="540CD1EC" w:rsidR="00CB3DA1" w:rsidRPr="007657DF" w:rsidRDefault="00CB3DA1" w:rsidP="007657DF">
      <w:pPr>
        <w:pStyle w:val="ListBullet"/>
        <w:numPr>
          <w:ilvl w:val="0"/>
          <w:numId w:val="17"/>
        </w:numPr>
        <w:ind w:left="284" w:hanging="284"/>
        <w:rPr>
          <w:rFonts w:cs="Arial"/>
          <w:sz w:val="22"/>
          <w:szCs w:val="22"/>
        </w:rPr>
      </w:pPr>
      <w:r w:rsidRPr="007657DF">
        <w:rPr>
          <w:rFonts w:cs="Arial"/>
          <w:sz w:val="22"/>
          <w:szCs w:val="22"/>
        </w:rPr>
        <w:t xml:space="preserve">describing the principles underlying the ACMA’s approach in </w:t>
      </w:r>
      <w:r w:rsidR="007657DF">
        <w:rPr>
          <w:rFonts w:cs="Arial"/>
          <w:sz w:val="22"/>
          <w:szCs w:val="22"/>
        </w:rPr>
        <w:br/>
      </w:r>
      <w:proofErr w:type="gramStart"/>
      <w:r w:rsidRPr="007657DF">
        <w:rPr>
          <w:rFonts w:cs="Arial"/>
          <w:sz w:val="22"/>
          <w:szCs w:val="22"/>
        </w:rPr>
        <w:t>particular areas</w:t>
      </w:r>
      <w:proofErr w:type="gramEnd"/>
    </w:p>
    <w:p w14:paraId="397D19A0" w14:textId="77777777" w:rsidR="00CB3DA1" w:rsidRPr="007657DF" w:rsidRDefault="00CB3DA1" w:rsidP="007657DF">
      <w:pPr>
        <w:pStyle w:val="ListBullet"/>
        <w:numPr>
          <w:ilvl w:val="0"/>
          <w:numId w:val="17"/>
        </w:numPr>
        <w:ind w:left="284" w:hanging="284"/>
        <w:rPr>
          <w:rFonts w:cs="Arial"/>
          <w:sz w:val="22"/>
          <w:szCs w:val="22"/>
        </w:rPr>
      </w:pPr>
      <w:r w:rsidRPr="007657DF">
        <w:rPr>
          <w:rFonts w:cs="Arial"/>
          <w:sz w:val="22"/>
          <w:szCs w:val="22"/>
        </w:rPr>
        <w:t>explaining the ACMA’s view on the interpretation of the law or its application to a regulated industry</w:t>
      </w:r>
    </w:p>
    <w:p w14:paraId="0F4CF182" w14:textId="09CCA121" w:rsidR="00CB3DA1" w:rsidRPr="007657DF" w:rsidRDefault="00CB3DA1" w:rsidP="007657DF">
      <w:pPr>
        <w:pStyle w:val="ListBullet"/>
        <w:numPr>
          <w:ilvl w:val="0"/>
          <w:numId w:val="17"/>
        </w:numPr>
        <w:spacing w:after="240"/>
        <w:ind w:left="284" w:hanging="284"/>
        <w:rPr>
          <w:rFonts w:cs="Arial"/>
          <w:sz w:val="22"/>
          <w:szCs w:val="22"/>
        </w:rPr>
      </w:pPr>
      <w:r w:rsidRPr="007657DF">
        <w:rPr>
          <w:rFonts w:cs="Arial"/>
          <w:sz w:val="22"/>
          <w:szCs w:val="22"/>
        </w:rPr>
        <w:t>explaining when and how the ACMA will exercise specific powers under the legislation it administers.</w:t>
      </w:r>
    </w:p>
    <w:p w14:paraId="681597D6" w14:textId="67F8D013" w:rsidR="0044713E" w:rsidRPr="007657DF" w:rsidRDefault="00CB3DA1" w:rsidP="0044713E">
      <w:pPr>
        <w:pStyle w:val="Paragraph"/>
        <w:rPr>
          <w:sz w:val="22"/>
          <w:szCs w:val="22"/>
        </w:rPr>
      </w:pPr>
      <w:r w:rsidRPr="007657DF">
        <w:rPr>
          <w:sz w:val="22"/>
          <w:szCs w:val="22"/>
        </w:rPr>
        <w:t>A regulatory guide does not constitute or replace legal advice on obligations under the relevant legislation.</w:t>
      </w:r>
    </w:p>
    <w:p w14:paraId="4F534656" w14:textId="77777777" w:rsidR="0044713E" w:rsidRDefault="0044713E">
      <w:pPr>
        <w:spacing w:after="0" w:line="240" w:lineRule="auto"/>
        <w:rPr>
          <w:rFonts w:cs="Arial"/>
        </w:rPr>
      </w:pPr>
      <w:r>
        <w:br w:type="page"/>
      </w:r>
    </w:p>
    <w:p w14:paraId="63908D16" w14:textId="0F812282" w:rsidR="00674AD6" w:rsidRPr="00957E31" w:rsidRDefault="00674AD6" w:rsidP="0044713E">
      <w:pPr>
        <w:pStyle w:val="Heading2"/>
      </w:pPr>
      <w:bookmarkStart w:id="1" w:name="_Toc211938172"/>
      <w:r>
        <w:lastRenderedPageBreak/>
        <w:t>1.</w:t>
      </w:r>
      <w:r>
        <w:tab/>
      </w:r>
      <w:r>
        <w:tab/>
      </w:r>
      <w:r w:rsidRPr="00674AD6">
        <w:t>Purpose of this guide</w:t>
      </w:r>
      <w:bookmarkEnd w:id="1"/>
      <w:r w:rsidRPr="00957E31">
        <w:t xml:space="preserve"> </w:t>
      </w:r>
    </w:p>
    <w:p w14:paraId="3B817CF4" w14:textId="44307F88"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1.1</w:t>
      </w:r>
      <w:r w:rsidRPr="007657DF">
        <w:rPr>
          <w:rFonts w:cs="Arial"/>
          <w:sz w:val="22"/>
          <w:szCs w:val="22"/>
        </w:rPr>
        <w:tab/>
        <w:t xml:space="preserve">The ACMA is empowered to issue remedial directions under the </w:t>
      </w:r>
      <w:r w:rsidRPr="007657DF">
        <w:rPr>
          <w:rFonts w:cs="Arial"/>
          <w:i/>
          <w:sz w:val="22"/>
          <w:szCs w:val="22"/>
        </w:rPr>
        <w:t>Broadcasting Services Act 1992</w:t>
      </w:r>
      <w:r w:rsidRPr="007657DF">
        <w:rPr>
          <w:rFonts w:cs="Arial"/>
          <w:sz w:val="22"/>
          <w:szCs w:val="22"/>
        </w:rPr>
        <w:t xml:space="preserve"> (BSA), </w:t>
      </w:r>
      <w:r w:rsidRPr="007657DF">
        <w:rPr>
          <w:rFonts w:cs="Arial"/>
          <w:i/>
          <w:sz w:val="22"/>
          <w:szCs w:val="22"/>
        </w:rPr>
        <w:t xml:space="preserve">Interactive Gambling Act 2001 </w:t>
      </w:r>
      <w:r w:rsidRPr="007657DF">
        <w:rPr>
          <w:rFonts w:cs="Arial"/>
          <w:sz w:val="22"/>
          <w:szCs w:val="22"/>
        </w:rPr>
        <w:t xml:space="preserve">(IGA), </w:t>
      </w:r>
      <w:r w:rsidR="00337FF9" w:rsidRPr="007657DF">
        <w:rPr>
          <w:rFonts w:cs="Arial"/>
          <w:i/>
          <w:iCs/>
          <w:sz w:val="22"/>
          <w:szCs w:val="22"/>
        </w:rPr>
        <w:t xml:space="preserve">Radiocommunications Act 1992, </w:t>
      </w:r>
      <w:r w:rsidRPr="007657DF">
        <w:rPr>
          <w:rFonts w:cs="Arial"/>
          <w:i/>
          <w:sz w:val="22"/>
          <w:szCs w:val="22"/>
        </w:rPr>
        <w:t>Telecommunications Act 1997</w:t>
      </w:r>
      <w:r w:rsidRPr="007657DF">
        <w:rPr>
          <w:rFonts w:cs="Arial"/>
          <w:sz w:val="22"/>
          <w:szCs w:val="22"/>
        </w:rPr>
        <w:t xml:space="preserve"> and</w:t>
      </w:r>
      <w:r w:rsidR="00B1073B" w:rsidRPr="007657DF">
        <w:rPr>
          <w:rFonts w:cs="Arial"/>
          <w:sz w:val="22"/>
          <w:szCs w:val="22"/>
        </w:rPr>
        <w:t xml:space="preserve"> the</w:t>
      </w:r>
      <w:r w:rsidRPr="007657DF">
        <w:rPr>
          <w:rFonts w:cs="Arial"/>
          <w:sz w:val="22"/>
          <w:szCs w:val="22"/>
        </w:rPr>
        <w:t xml:space="preserve"> </w:t>
      </w:r>
      <w:r w:rsidRPr="007657DF">
        <w:rPr>
          <w:rFonts w:cs="Arial"/>
          <w:i/>
          <w:sz w:val="22"/>
          <w:szCs w:val="22"/>
        </w:rPr>
        <w:t xml:space="preserve">Telecommunications (Consumer Protection and Service Standards) Act 1999 </w:t>
      </w:r>
      <w:r w:rsidRPr="007657DF">
        <w:rPr>
          <w:rFonts w:cs="Arial"/>
          <w:sz w:val="22"/>
          <w:szCs w:val="22"/>
        </w:rPr>
        <w:t>(TCPSS Act).</w:t>
      </w:r>
      <w:r w:rsidRPr="007657DF">
        <w:rPr>
          <w:rFonts w:cs="Arial"/>
          <w:sz w:val="22"/>
          <w:szCs w:val="22"/>
          <w:vertAlign w:val="superscript"/>
        </w:rPr>
        <w:footnoteReference w:id="1"/>
      </w:r>
      <w:r w:rsidRPr="007657DF">
        <w:rPr>
          <w:rFonts w:cs="Arial"/>
          <w:sz w:val="22"/>
          <w:szCs w:val="22"/>
        </w:rPr>
        <w:t xml:space="preserve"> While there are certain statutory differences between the various provisions under which remedial directions can be made, the ACMA will seek to take a consistent approach in its exercise of this power.</w:t>
      </w:r>
    </w:p>
    <w:p w14:paraId="71A36F0F"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1.2</w:t>
      </w:r>
      <w:r w:rsidRPr="007657DF">
        <w:rPr>
          <w:rFonts w:cs="Arial"/>
          <w:sz w:val="22"/>
          <w:szCs w:val="22"/>
        </w:rPr>
        <w:tab/>
        <w:t xml:space="preserve">The purpose of this guide is to explain the ACMA’s approach to giving a remedial direction under these Acts. </w:t>
      </w:r>
    </w:p>
    <w:p w14:paraId="25E88B29" w14:textId="026E14DA"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1.3</w:t>
      </w:r>
      <w:r w:rsidRPr="007657DF">
        <w:rPr>
          <w:rFonts w:cs="Arial"/>
          <w:sz w:val="22"/>
          <w:szCs w:val="22"/>
        </w:rPr>
        <w:tab/>
        <w:t xml:space="preserve">This regulatory guide should be read in conjunction with </w:t>
      </w:r>
      <w:bookmarkStart w:id="2" w:name="_Hlk20313712"/>
      <w:r w:rsidR="0044713E" w:rsidRPr="007657DF">
        <w:rPr>
          <w:rFonts w:cs="Arial"/>
          <w:i/>
          <w:sz w:val="22"/>
          <w:szCs w:val="22"/>
        </w:rPr>
        <w:t>Regulatory guide</w:t>
      </w:r>
      <w:r w:rsidR="00B1073B" w:rsidRPr="007657DF">
        <w:rPr>
          <w:rFonts w:cs="Arial"/>
          <w:i/>
          <w:sz w:val="22"/>
          <w:szCs w:val="22"/>
        </w:rPr>
        <w:t xml:space="preserve"> </w:t>
      </w:r>
      <w:r w:rsidR="0044713E" w:rsidRPr="007657DF">
        <w:rPr>
          <w:rFonts w:cs="Arial"/>
          <w:i/>
          <w:sz w:val="22"/>
          <w:szCs w:val="22"/>
        </w:rPr>
        <w:t xml:space="preserve">No. 6: </w:t>
      </w:r>
      <w:r w:rsidR="0044713E" w:rsidRPr="007657DF">
        <w:rPr>
          <w:rFonts w:cs="Arial"/>
          <w:i/>
          <w:iCs/>
          <w:sz w:val="22"/>
          <w:szCs w:val="22"/>
        </w:rPr>
        <w:t>Publication of investigations and enforcement actions</w:t>
      </w:r>
      <w:r w:rsidR="0044713E" w:rsidRPr="007657DF" w:rsidDel="0044713E">
        <w:rPr>
          <w:rFonts w:cs="Arial"/>
          <w:sz w:val="22"/>
          <w:szCs w:val="22"/>
        </w:rPr>
        <w:t xml:space="preserve"> </w:t>
      </w:r>
      <w:bookmarkEnd w:id="2"/>
      <w:r w:rsidRPr="007657DF">
        <w:rPr>
          <w:rFonts w:cs="Arial"/>
          <w:sz w:val="22"/>
          <w:szCs w:val="22"/>
        </w:rPr>
        <w:t xml:space="preserve">and the </w:t>
      </w:r>
      <w:hyperlink r:id="rId27" w:history="1">
        <w:r w:rsidRPr="007657DF">
          <w:rPr>
            <w:rStyle w:val="Hyperlink"/>
            <w:rFonts w:cs="Arial"/>
            <w:sz w:val="22"/>
            <w:szCs w:val="22"/>
          </w:rPr>
          <w:t xml:space="preserve">ACMA </w:t>
        </w:r>
        <w:r w:rsidR="00B97CE3" w:rsidRPr="007657DF">
          <w:rPr>
            <w:rStyle w:val="Hyperlink"/>
            <w:rFonts w:cs="Arial"/>
            <w:sz w:val="22"/>
            <w:szCs w:val="22"/>
          </w:rPr>
          <w:t>c</w:t>
        </w:r>
        <w:r w:rsidRPr="007657DF">
          <w:rPr>
            <w:rStyle w:val="Hyperlink"/>
            <w:rFonts w:cs="Arial"/>
            <w:sz w:val="22"/>
            <w:szCs w:val="22"/>
          </w:rPr>
          <w:t xml:space="preserve">ompliance and </w:t>
        </w:r>
        <w:r w:rsidR="00B97CE3" w:rsidRPr="007657DF">
          <w:rPr>
            <w:rStyle w:val="Hyperlink"/>
            <w:rFonts w:cs="Arial"/>
            <w:sz w:val="22"/>
            <w:szCs w:val="22"/>
          </w:rPr>
          <w:t>e</w:t>
        </w:r>
        <w:r w:rsidRPr="007657DF">
          <w:rPr>
            <w:rStyle w:val="Hyperlink"/>
            <w:rFonts w:cs="Arial"/>
            <w:sz w:val="22"/>
            <w:szCs w:val="22"/>
          </w:rPr>
          <w:t xml:space="preserve">nforcement </w:t>
        </w:r>
        <w:r w:rsidR="00B97CE3" w:rsidRPr="007657DF">
          <w:rPr>
            <w:rStyle w:val="Hyperlink"/>
            <w:rFonts w:cs="Arial"/>
            <w:sz w:val="22"/>
            <w:szCs w:val="22"/>
          </w:rPr>
          <w:t>p</w:t>
        </w:r>
        <w:r w:rsidRPr="007657DF">
          <w:rPr>
            <w:rStyle w:val="Hyperlink"/>
            <w:rFonts w:cs="Arial"/>
            <w:sz w:val="22"/>
            <w:szCs w:val="22"/>
          </w:rPr>
          <w:t>olicy</w:t>
        </w:r>
      </w:hyperlink>
      <w:r w:rsidRPr="007657DF">
        <w:rPr>
          <w:rFonts w:cs="Arial"/>
          <w:sz w:val="22"/>
          <w:szCs w:val="22"/>
        </w:rPr>
        <w:t>.</w:t>
      </w:r>
    </w:p>
    <w:p w14:paraId="652F6F58" w14:textId="40174396" w:rsidR="00674AD6" w:rsidRPr="007657DF" w:rsidRDefault="00674AD6" w:rsidP="00A1742D">
      <w:pPr>
        <w:tabs>
          <w:tab w:val="left" w:pos="567"/>
        </w:tabs>
        <w:spacing w:after="0"/>
        <w:ind w:left="567" w:hanging="567"/>
        <w:rPr>
          <w:rFonts w:cs="Arial"/>
          <w:sz w:val="22"/>
          <w:szCs w:val="22"/>
        </w:rPr>
      </w:pPr>
      <w:r w:rsidRPr="007657DF">
        <w:rPr>
          <w:rFonts w:cs="Arial"/>
          <w:sz w:val="22"/>
          <w:szCs w:val="22"/>
        </w:rPr>
        <w:t>1.4</w:t>
      </w:r>
      <w:r w:rsidRPr="007657DF">
        <w:rPr>
          <w:rFonts w:cs="Arial"/>
          <w:sz w:val="22"/>
          <w:szCs w:val="22"/>
        </w:rPr>
        <w:tab/>
        <w:t>This guide does not constitute legal advice</w:t>
      </w:r>
      <w:r w:rsidR="00B1073B" w:rsidRPr="007657DF">
        <w:rPr>
          <w:rFonts w:cs="Arial"/>
          <w:sz w:val="22"/>
          <w:szCs w:val="22"/>
        </w:rPr>
        <w:t xml:space="preserve"> – the ACMA recommends </w:t>
      </w:r>
      <w:r w:rsidRPr="007657DF">
        <w:rPr>
          <w:rFonts w:cs="Arial"/>
          <w:sz w:val="22"/>
          <w:szCs w:val="22"/>
        </w:rPr>
        <w:t>obtain</w:t>
      </w:r>
      <w:r w:rsidR="00B1073B" w:rsidRPr="007657DF">
        <w:rPr>
          <w:rFonts w:cs="Arial"/>
          <w:sz w:val="22"/>
          <w:szCs w:val="22"/>
        </w:rPr>
        <w:t>ing</w:t>
      </w:r>
      <w:r w:rsidRPr="007657DF">
        <w:rPr>
          <w:rFonts w:cs="Arial"/>
          <w:sz w:val="22"/>
          <w:szCs w:val="22"/>
        </w:rPr>
        <w:t xml:space="preserve"> professional advice about the consequences of </w:t>
      </w:r>
      <w:r w:rsidR="00B1073B" w:rsidRPr="007657DF">
        <w:rPr>
          <w:rFonts w:cs="Arial"/>
          <w:sz w:val="22"/>
          <w:szCs w:val="22"/>
        </w:rPr>
        <w:t xml:space="preserve">it </w:t>
      </w:r>
      <w:r w:rsidRPr="007657DF">
        <w:rPr>
          <w:rFonts w:cs="Arial"/>
          <w:sz w:val="22"/>
          <w:szCs w:val="22"/>
        </w:rPr>
        <w:t xml:space="preserve">giving a remedial direction. </w:t>
      </w:r>
    </w:p>
    <w:p w14:paraId="1E66A67A" w14:textId="77777777" w:rsidR="00674AD6" w:rsidRPr="00957E31" w:rsidRDefault="00674AD6" w:rsidP="00674AD6">
      <w:pPr>
        <w:pStyle w:val="Heading2"/>
        <w:tabs>
          <w:tab w:val="left" w:pos="567"/>
        </w:tabs>
        <w:spacing w:after="120"/>
        <w:ind w:left="567" w:hanging="567"/>
      </w:pPr>
      <w:bookmarkStart w:id="3" w:name="_Toc300066077"/>
      <w:bookmarkStart w:id="4" w:name="_Toc211938173"/>
      <w:r>
        <w:t>2.</w:t>
      </w:r>
      <w:r>
        <w:tab/>
      </w:r>
      <w:r w:rsidRPr="00957E31">
        <w:t>Overview of the ACMA’s power to give a remedial direction</w:t>
      </w:r>
      <w:bookmarkEnd w:id="3"/>
      <w:bookmarkEnd w:id="4"/>
      <w:r w:rsidRPr="00957E31">
        <w:t xml:space="preserve"> </w:t>
      </w:r>
    </w:p>
    <w:p w14:paraId="630D6957" w14:textId="49950EB2" w:rsidR="00674AD6" w:rsidRPr="007657DF" w:rsidRDefault="00674AD6" w:rsidP="00A1742D">
      <w:pPr>
        <w:tabs>
          <w:tab w:val="left" w:pos="567"/>
        </w:tabs>
        <w:spacing w:after="120"/>
        <w:ind w:left="567" w:hanging="567"/>
        <w:rPr>
          <w:rFonts w:cs="Arial"/>
          <w:sz w:val="22"/>
          <w:szCs w:val="22"/>
        </w:rPr>
      </w:pPr>
      <w:bookmarkStart w:id="5" w:name="_Toc266084966"/>
      <w:bookmarkStart w:id="6" w:name="_Toc292461535"/>
      <w:r w:rsidRPr="00957E31">
        <w:rPr>
          <w:rFonts w:cs="Arial"/>
        </w:rPr>
        <w:t>2.1</w:t>
      </w:r>
      <w:r w:rsidRPr="00957E31">
        <w:rPr>
          <w:rFonts w:cs="Arial"/>
        </w:rPr>
        <w:tab/>
      </w:r>
      <w:r w:rsidRPr="007657DF">
        <w:rPr>
          <w:rFonts w:cs="Arial"/>
          <w:sz w:val="22"/>
          <w:szCs w:val="22"/>
        </w:rPr>
        <w:t>Generally, before a remedial direction may be issued</w:t>
      </w:r>
      <w:r w:rsidR="00B1073B" w:rsidRPr="007657DF">
        <w:rPr>
          <w:rFonts w:cs="Arial"/>
          <w:sz w:val="22"/>
          <w:szCs w:val="22"/>
        </w:rPr>
        <w:t>,</w:t>
      </w:r>
      <w:r w:rsidRPr="007657DF">
        <w:rPr>
          <w:rFonts w:cs="Arial"/>
          <w:sz w:val="22"/>
          <w:szCs w:val="22"/>
        </w:rPr>
        <w:t xml:space="preserve"> the ACMA must be satisfied that a particular event has occurred or a situation exists (for example, a contravention of a </w:t>
      </w:r>
      <w:r w:rsidR="004A50F8" w:rsidRPr="007657DF">
        <w:rPr>
          <w:rFonts w:cs="Arial"/>
          <w:sz w:val="22"/>
          <w:szCs w:val="22"/>
        </w:rPr>
        <w:t xml:space="preserve">civil penalty provision, </w:t>
      </w:r>
      <w:r w:rsidRPr="007657DF">
        <w:rPr>
          <w:rFonts w:cs="Arial"/>
          <w:sz w:val="22"/>
          <w:szCs w:val="22"/>
        </w:rPr>
        <w:t>licence condition, code, standard or service provider rule, or the existence of an unacceptable media diversity situation).</w:t>
      </w:r>
      <w:r w:rsidRPr="007657DF">
        <w:rPr>
          <w:rFonts w:cs="Arial"/>
          <w:sz w:val="22"/>
          <w:szCs w:val="22"/>
          <w:vertAlign w:val="superscript"/>
        </w:rPr>
        <w:footnoteReference w:id="2"/>
      </w:r>
      <w:r w:rsidRPr="007657DF">
        <w:rPr>
          <w:rFonts w:cs="Arial"/>
          <w:sz w:val="22"/>
          <w:szCs w:val="22"/>
          <w:vertAlign w:val="superscript"/>
        </w:rPr>
        <w:t xml:space="preserve"> </w:t>
      </w:r>
    </w:p>
    <w:p w14:paraId="148F1257"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2.2</w:t>
      </w:r>
      <w:r w:rsidRPr="007657DF">
        <w:rPr>
          <w:rFonts w:cs="Arial"/>
          <w:sz w:val="22"/>
          <w:szCs w:val="22"/>
        </w:rPr>
        <w:tab/>
        <w:t>The ACMA may issue a written direction that specifies the action that is required to be taken to ensure that the relevant event/situation ceases or makes it unlikely that it will occur.</w:t>
      </w:r>
      <w:r w:rsidRPr="007657DF">
        <w:rPr>
          <w:rFonts w:cs="Arial"/>
          <w:sz w:val="22"/>
          <w:szCs w:val="22"/>
          <w:vertAlign w:val="superscript"/>
        </w:rPr>
        <w:footnoteReference w:id="3"/>
      </w:r>
      <w:r w:rsidRPr="007657DF">
        <w:rPr>
          <w:rFonts w:cs="Arial"/>
          <w:sz w:val="22"/>
          <w:szCs w:val="22"/>
        </w:rPr>
        <w:t xml:space="preserve"> </w:t>
      </w:r>
    </w:p>
    <w:p w14:paraId="4FBF3E04"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2.3</w:t>
      </w:r>
      <w:r w:rsidRPr="007657DF">
        <w:rPr>
          <w:rFonts w:cs="Arial"/>
          <w:sz w:val="22"/>
          <w:szCs w:val="22"/>
        </w:rPr>
        <w:tab/>
        <w:t>All remedial directions must be given in writing.</w:t>
      </w:r>
      <w:r w:rsidRPr="007657DF">
        <w:rPr>
          <w:rFonts w:cs="Arial"/>
          <w:sz w:val="22"/>
          <w:szCs w:val="22"/>
          <w:vertAlign w:val="superscript"/>
        </w:rPr>
        <w:footnoteReference w:id="4"/>
      </w:r>
    </w:p>
    <w:p w14:paraId="76BAF1F2" w14:textId="2CBC397D" w:rsidR="00674AD6" w:rsidRPr="007657DF" w:rsidRDefault="00674AD6" w:rsidP="00C93368">
      <w:pPr>
        <w:tabs>
          <w:tab w:val="left" w:pos="567"/>
        </w:tabs>
        <w:spacing w:after="0"/>
        <w:ind w:left="567" w:hanging="567"/>
        <w:rPr>
          <w:rFonts w:cs="Arial"/>
          <w:sz w:val="22"/>
          <w:szCs w:val="22"/>
        </w:rPr>
      </w:pPr>
      <w:r w:rsidRPr="007657DF">
        <w:rPr>
          <w:rFonts w:cs="Arial"/>
          <w:sz w:val="22"/>
          <w:szCs w:val="22"/>
        </w:rPr>
        <w:t>2.4</w:t>
      </w:r>
      <w:r w:rsidRPr="007657DF">
        <w:rPr>
          <w:rFonts w:cs="Arial"/>
          <w:sz w:val="22"/>
          <w:szCs w:val="22"/>
        </w:rPr>
        <w:tab/>
        <w:t>The Act under which the remedial direction is made specifies the effect of a breach of the remedial direction. A breach of any remedial direction given by the ACMA has potentially significant consequences. For example, a person who breaches a remedial direction may be ordered by the court to pay a civil penalty</w:t>
      </w:r>
      <w:r w:rsidRPr="007657DF">
        <w:rPr>
          <w:rFonts w:cs="Arial"/>
          <w:sz w:val="22"/>
          <w:szCs w:val="22"/>
          <w:vertAlign w:val="superscript"/>
        </w:rPr>
        <w:footnoteReference w:id="5"/>
      </w:r>
      <w:r w:rsidRPr="007657DF">
        <w:rPr>
          <w:rFonts w:cs="Arial"/>
          <w:sz w:val="22"/>
          <w:szCs w:val="22"/>
          <w:vertAlign w:val="superscript"/>
        </w:rPr>
        <w:t xml:space="preserve"> </w:t>
      </w:r>
      <w:r w:rsidRPr="007657DF">
        <w:rPr>
          <w:rFonts w:cs="Arial"/>
          <w:sz w:val="22"/>
          <w:szCs w:val="22"/>
        </w:rPr>
        <w:t>or be found guilty of an offence.</w:t>
      </w:r>
      <w:r w:rsidRPr="007657DF">
        <w:rPr>
          <w:rFonts w:cs="Arial"/>
          <w:sz w:val="22"/>
          <w:szCs w:val="22"/>
          <w:vertAlign w:val="superscript"/>
        </w:rPr>
        <w:footnoteReference w:id="6"/>
      </w:r>
      <w:r w:rsidRPr="007657DF">
        <w:rPr>
          <w:rFonts w:cs="Arial"/>
          <w:sz w:val="22"/>
          <w:szCs w:val="22"/>
        </w:rPr>
        <w:t xml:space="preserve"> A breach may also result in the ACMA suspending or cancelling a licence.</w:t>
      </w:r>
      <w:r w:rsidRPr="007657DF">
        <w:rPr>
          <w:rFonts w:cs="Arial"/>
          <w:sz w:val="22"/>
          <w:szCs w:val="22"/>
          <w:vertAlign w:val="superscript"/>
        </w:rPr>
        <w:footnoteReference w:id="7"/>
      </w:r>
      <w:r w:rsidRPr="007657DF">
        <w:rPr>
          <w:rFonts w:cs="Arial"/>
          <w:sz w:val="22"/>
          <w:szCs w:val="22"/>
        </w:rPr>
        <w:t xml:space="preserve">   </w:t>
      </w:r>
    </w:p>
    <w:p w14:paraId="7CE0D097" w14:textId="77777777" w:rsidR="00674AD6" w:rsidRPr="00957E31" w:rsidRDefault="00674AD6" w:rsidP="00C93368">
      <w:pPr>
        <w:pStyle w:val="Heading2"/>
        <w:keepNext w:val="0"/>
        <w:tabs>
          <w:tab w:val="left" w:pos="567"/>
        </w:tabs>
        <w:rPr>
          <w:szCs w:val="24"/>
        </w:rPr>
      </w:pPr>
      <w:bookmarkStart w:id="7" w:name="_Toc300066078"/>
      <w:bookmarkStart w:id="8" w:name="_Toc211938174"/>
      <w:r>
        <w:lastRenderedPageBreak/>
        <w:t>3.</w:t>
      </w:r>
      <w:r>
        <w:tab/>
      </w:r>
      <w:r w:rsidRPr="00957E31">
        <w:t>Discretionary factors</w:t>
      </w:r>
      <w:bookmarkEnd w:id="5"/>
      <w:bookmarkEnd w:id="7"/>
      <w:bookmarkEnd w:id="8"/>
      <w:r w:rsidRPr="00957E31">
        <w:t xml:space="preserve"> </w:t>
      </w:r>
    </w:p>
    <w:p w14:paraId="57AF1E79" w14:textId="77777777" w:rsidR="00674AD6" w:rsidRPr="007657DF" w:rsidRDefault="00674AD6" w:rsidP="00C93368">
      <w:pPr>
        <w:pStyle w:val="ACMABodyText"/>
        <w:spacing w:after="80"/>
        <w:ind w:left="567" w:hanging="567"/>
        <w:rPr>
          <w:rFonts w:cs="Arial"/>
          <w:snapToGrid/>
          <w:sz w:val="22"/>
          <w:szCs w:val="22"/>
          <w:lang w:eastAsia="en-AU"/>
        </w:rPr>
      </w:pPr>
      <w:r w:rsidRPr="007657DF">
        <w:rPr>
          <w:rFonts w:cs="Arial"/>
          <w:sz w:val="22"/>
          <w:szCs w:val="22"/>
        </w:rPr>
        <w:t>3.1</w:t>
      </w:r>
      <w:r w:rsidRPr="007657DF">
        <w:rPr>
          <w:rFonts w:cs="Arial"/>
          <w:sz w:val="22"/>
          <w:szCs w:val="22"/>
        </w:rPr>
        <w:tab/>
      </w:r>
      <w:r w:rsidRPr="007657DF">
        <w:rPr>
          <w:rFonts w:cs="Arial"/>
          <w:snapToGrid/>
          <w:sz w:val="22"/>
          <w:szCs w:val="22"/>
          <w:lang w:eastAsia="en-AU"/>
        </w:rPr>
        <w:t xml:space="preserve">In determining whether a remedial direction is an appropriate enforcement response, the ACMA considers a range of factors including, but not limited to:  </w:t>
      </w:r>
    </w:p>
    <w:p w14:paraId="7430FE44" w14:textId="77777777" w:rsidR="00674AD6" w:rsidRPr="007657DF" w:rsidRDefault="00674AD6" w:rsidP="007657DF">
      <w:pPr>
        <w:pStyle w:val="ListBullet2"/>
        <w:numPr>
          <w:ilvl w:val="0"/>
          <w:numId w:val="18"/>
        </w:numPr>
        <w:ind w:left="851" w:hanging="284"/>
        <w:rPr>
          <w:rFonts w:cs="Arial"/>
          <w:sz w:val="22"/>
          <w:szCs w:val="22"/>
        </w:rPr>
      </w:pPr>
      <w:r w:rsidRPr="007657DF">
        <w:rPr>
          <w:rFonts w:cs="Arial"/>
          <w:sz w:val="22"/>
          <w:szCs w:val="22"/>
        </w:rPr>
        <w:t xml:space="preserve">the nature and seriousness of the conduct </w:t>
      </w:r>
    </w:p>
    <w:p w14:paraId="16976FA4" w14:textId="77777777" w:rsidR="00674AD6" w:rsidRPr="007657DF" w:rsidRDefault="00674AD6" w:rsidP="007657DF">
      <w:pPr>
        <w:pStyle w:val="ListBullet2"/>
        <w:numPr>
          <w:ilvl w:val="0"/>
          <w:numId w:val="18"/>
        </w:numPr>
        <w:ind w:left="851" w:hanging="284"/>
        <w:rPr>
          <w:rFonts w:cs="Arial"/>
          <w:sz w:val="22"/>
          <w:szCs w:val="22"/>
        </w:rPr>
      </w:pPr>
      <w:r w:rsidRPr="007657DF">
        <w:rPr>
          <w:rFonts w:cs="Arial"/>
          <w:sz w:val="22"/>
          <w:szCs w:val="22"/>
        </w:rPr>
        <w:t xml:space="preserve">whether the conduct was deliberate, reckless or inadvertent </w:t>
      </w:r>
    </w:p>
    <w:p w14:paraId="4AA2A0A6" w14:textId="77777777" w:rsidR="00674AD6" w:rsidRPr="007657DF" w:rsidRDefault="00674AD6" w:rsidP="007657DF">
      <w:pPr>
        <w:pStyle w:val="ListBullet2"/>
        <w:numPr>
          <w:ilvl w:val="0"/>
          <w:numId w:val="18"/>
        </w:numPr>
        <w:ind w:left="851" w:hanging="284"/>
        <w:rPr>
          <w:rFonts w:cs="Arial"/>
          <w:sz w:val="22"/>
          <w:szCs w:val="22"/>
        </w:rPr>
      </w:pPr>
      <w:r w:rsidRPr="007657DF">
        <w:rPr>
          <w:rFonts w:cs="Arial"/>
          <w:sz w:val="22"/>
          <w:szCs w:val="22"/>
        </w:rPr>
        <w:t>what, if any, action was taken following the ACMA bringing the issues of concern to the person’s attention (for example, through a formal warning)</w:t>
      </w:r>
    </w:p>
    <w:p w14:paraId="5BF9D160" w14:textId="77777777" w:rsidR="00674AD6" w:rsidRPr="007657DF" w:rsidRDefault="00674AD6" w:rsidP="007657DF">
      <w:pPr>
        <w:pStyle w:val="ListBullet2"/>
        <w:numPr>
          <w:ilvl w:val="0"/>
          <w:numId w:val="18"/>
        </w:numPr>
        <w:ind w:left="851" w:hanging="284"/>
        <w:rPr>
          <w:rFonts w:cs="Arial"/>
          <w:sz w:val="22"/>
          <w:szCs w:val="22"/>
        </w:rPr>
      </w:pPr>
      <w:r w:rsidRPr="007657DF">
        <w:rPr>
          <w:rFonts w:cs="Arial"/>
          <w:sz w:val="22"/>
          <w:szCs w:val="22"/>
        </w:rPr>
        <w:t>whether the remedial direction will promptly and effectively redress and address the conduct and issues of concern to the ACMA</w:t>
      </w:r>
    </w:p>
    <w:p w14:paraId="19E23E3F" w14:textId="77777777" w:rsidR="00674AD6" w:rsidRPr="007657DF" w:rsidRDefault="00674AD6" w:rsidP="007657DF">
      <w:pPr>
        <w:pStyle w:val="ListBullet2"/>
        <w:numPr>
          <w:ilvl w:val="0"/>
          <w:numId w:val="18"/>
        </w:numPr>
        <w:ind w:left="851" w:hanging="284"/>
        <w:rPr>
          <w:rFonts w:cs="Arial"/>
          <w:sz w:val="22"/>
          <w:szCs w:val="22"/>
        </w:rPr>
      </w:pPr>
      <w:r w:rsidRPr="007657DF">
        <w:rPr>
          <w:rFonts w:cs="Arial"/>
          <w:sz w:val="22"/>
          <w:szCs w:val="22"/>
        </w:rPr>
        <w:t>the impact of issuing the remedial direction on other enforcement action in progress or that may be taken by the ACMA.</w:t>
      </w:r>
    </w:p>
    <w:p w14:paraId="5B19BE99" w14:textId="77777777" w:rsidR="00674AD6" w:rsidRPr="00957E31" w:rsidRDefault="00674AD6" w:rsidP="00C93368">
      <w:pPr>
        <w:pStyle w:val="Heading2"/>
        <w:keepNext w:val="0"/>
        <w:tabs>
          <w:tab w:val="left" w:pos="567"/>
        </w:tabs>
      </w:pPr>
      <w:bookmarkStart w:id="9" w:name="_Toc266084967"/>
      <w:bookmarkStart w:id="10" w:name="_Toc300066079"/>
      <w:bookmarkStart w:id="11" w:name="_Toc211938175"/>
      <w:bookmarkEnd w:id="6"/>
      <w:r>
        <w:t>4.</w:t>
      </w:r>
      <w:r>
        <w:tab/>
      </w:r>
      <w:r w:rsidRPr="00957E31">
        <w:t>Guiding principles</w:t>
      </w:r>
      <w:bookmarkEnd w:id="9"/>
      <w:bookmarkEnd w:id="10"/>
      <w:bookmarkEnd w:id="11"/>
    </w:p>
    <w:p w14:paraId="05B1DBBC" w14:textId="4DC94810" w:rsidR="00674AD6" w:rsidRPr="007657DF" w:rsidRDefault="00674AD6" w:rsidP="00C93368">
      <w:pPr>
        <w:tabs>
          <w:tab w:val="left" w:pos="567"/>
        </w:tabs>
        <w:spacing w:after="120"/>
        <w:ind w:left="567" w:hanging="567"/>
        <w:rPr>
          <w:rFonts w:cs="Arial"/>
          <w:sz w:val="22"/>
          <w:szCs w:val="22"/>
        </w:rPr>
      </w:pPr>
      <w:r w:rsidRPr="007657DF">
        <w:rPr>
          <w:rFonts w:cs="Arial"/>
          <w:sz w:val="22"/>
          <w:szCs w:val="22"/>
        </w:rPr>
        <w:t>4.1</w:t>
      </w:r>
      <w:r w:rsidRPr="007657DF">
        <w:rPr>
          <w:rFonts w:cs="Arial"/>
          <w:sz w:val="22"/>
          <w:szCs w:val="22"/>
        </w:rPr>
        <w:tab/>
        <w:t xml:space="preserve">While the ACMA may have </w:t>
      </w:r>
      <w:proofErr w:type="gramStart"/>
      <w:r w:rsidRPr="007657DF">
        <w:rPr>
          <w:rFonts w:cs="Arial"/>
          <w:sz w:val="22"/>
          <w:szCs w:val="22"/>
        </w:rPr>
        <w:t>a number of</w:t>
      </w:r>
      <w:proofErr w:type="gramEnd"/>
      <w:r w:rsidRPr="007657DF">
        <w:rPr>
          <w:rFonts w:cs="Arial"/>
          <w:sz w:val="22"/>
          <w:szCs w:val="22"/>
        </w:rPr>
        <w:t xml:space="preserve"> possible compliance and enforcement options available to it, a remedial direction is one of its most significant and effective enforcement powers. It often may provide the most timely and effective remedy. </w:t>
      </w:r>
    </w:p>
    <w:p w14:paraId="13478135"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4.2</w:t>
      </w:r>
      <w:r w:rsidRPr="007657DF">
        <w:rPr>
          <w:rFonts w:cs="Arial"/>
          <w:sz w:val="22"/>
          <w:szCs w:val="22"/>
        </w:rPr>
        <w:tab/>
        <w:t xml:space="preserve">In some circumstances, a remedial direction may address all the issues or matters of concern to the ACMA. A remedial direction may therefore be the preferred and only compliance and enforcement remedy used by the ACMA.  </w:t>
      </w:r>
    </w:p>
    <w:p w14:paraId="393493CA" w14:textId="77777777" w:rsidR="00674AD6" w:rsidRPr="007657DF" w:rsidRDefault="00674AD6" w:rsidP="00674AD6">
      <w:pPr>
        <w:tabs>
          <w:tab w:val="left" w:pos="567"/>
        </w:tabs>
        <w:ind w:left="567" w:hanging="567"/>
        <w:rPr>
          <w:rFonts w:cs="Arial"/>
          <w:sz w:val="22"/>
          <w:szCs w:val="22"/>
        </w:rPr>
      </w:pPr>
      <w:r w:rsidRPr="007657DF">
        <w:rPr>
          <w:rFonts w:cs="Arial"/>
          <w:sz w:val="22"/>
          <w:szCs w:val="22"/>
        </w:rPr>
        <w:t>4.3</w:t>
      </w:r>
      <w:r w:rsidRPr="007657DF">
        <w:rPr>
          <w:rFonts w:cs="Arial"/>
          <w:sz w:val="22"/>
          <w:szCs w:val="22"/>
        </w:rPr>
        <w:tab/>
        <w:t xml:space="preserve">However, it is not uncommon for there to be </w:t>
      </w:r>
      <w:proofErr w:type="gramStart"/>
      <w:r w:rsidRPr="007657DF">
        <w:rPr>
          <w:rFonts w:cs="Arial"/>
          <w:sz w:val="22"/>
          <w:szCs w:val="22"/>
        </w:rPr>
        <w:t>a number of</w:t>
      </w:r>
      <w:proofErr w:type="gramEnd"/>
      <w:r w:rsidRPr="007657DF">
        <w:rPr>
          <w:rFonts w:cs="Arial"/>
          <w:sz w:val="22"/>
          <w:szCs w:val="22"/>
        </w:rPr>
        <w:t xml:space="preserve"> issues of concern to the ACMA. Accordingly, the remedial direction may address some, but not all, issues of concern. In these circumstances, the ACMA may consider that, in addition to giving the direction, other enforcement and compliance action is required. What, if any, additional action is required will turn on the facts of the matter.</w:t>
      </w:r>
    </w:p>
    <w:p w14:paraId="45A42759" w14:textId="77777777" w:rsidR="00674AD6" w:rsidRPr="00957E31" w:rsidRDefault="00674AD6" w:rsidP="00674AD6">
      <w:pPr>
        <w:pStyle w:val="Heading2"/>
        <w:tabs>
          <w:tab w:val="left" w:pos="567"/>
        </w:tabs>
      </w:pPr>
      <w:bookmarkStart w:id="12" w:name="_Toc300066080"/>
      <w:bookmarkStart w:id="13" w:name="_Toc211938176"/>
      <w:r>
        <w:t>5.</w:t>
      </w:r>
      <w:r>
        <w:tab/>
      </w:r>
      <w:r w:rsidRPr="00957E31">
        <w:t>Subject matter of a remedial direction</w:t>
      </w:r>
      <w:bookmarkEnd w:id="12"/>
      <w:bookmarkEnd w:id="13"/>
    </w:p>
    <w:p w14:paraId="45865D1F" w14:textId="77777777" w:rsidR="00674AD6" w:rsidRPr="007657DF" w:rsidRDefault="00674AD6" w:rsidP="00A1742D">
      <w:pPr>
        <w:tabs>
          <w:tab w:val="left" w:pos="567"/>
        </w:tabs>
        <w:spacing w:after="120"/>
        <w:ind w:left="567" w:hanging="567"/>
        <w:rPr>
          <w:rFonts w:cs="Arial"/>
          <w:sz w:val="22"/>
          <w:szCs w:val="22"/>
        </w:rPr>
      </w:pPr>
      <w:r w:rsidRPr="00957E31">
        <w:rPr>
          <w:rFonts w:cs="Arial"/>
        </w:rPr>
        <w:t>5.1</w:t>
      </w:r>
      <w:r w:rsidRPr="00957E31">
        <w:rPr>
          <w:rFonts w:cs="Arial"/>
        </w:rPr>
        <w:tab/>
      </w:r>
      <w:r w:rsidRPr="007657DF">
        <w:rPr>
          <w:rFonts w:cs="Arial"/>
          <w:sz w:val="22"/>
          <w:szCs w:val="22"/>
        </w:rPr>
        <w:t xml:space="preserve">The action that the ACMA may direct must be taken is determined </w:t>
      </w:r>
      <w:proofErr w:type="gramStart"/>
      <w:r w:rsidRPr="007657DF">
        <w:rPr>
          <w:rFonts w:cs="Arial"/>
          <w:sz w:val="22"/>
          <w:szCs w:val="22"/>
        </w:rPr>
        <w:t>in light of</w:t>
      </w:r>
      <w:proofErr w:type="gramEnd"/>
      <w:r w:rsidRPr="007657DF">
        <w:rPr>
          <w:rFonts w:cs="Arial"/>
          <w:sz w:val="22"/>
          <w:szCs w:val="22"/>
        </w:rPr>
        <w:t xml:space="preserve"> the facts and terms of the relevant provision, and the nature and circumstances of the breach or other event that has caused the remedial direction. </w:t>
      </w:r>
    </w:p>
    <w:p w14:paraId="4EAF354B"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5.2</w:t>
      </w:r>
      <w:r w:rsidRPr="007657DF">
        <w:rPr>
          <w:rFonts w:cs="Arial"/>
          <w:sz w:val="22"/>
          <w:szCs w:val="22"/>
        </w:rPr>
        <w:tab/>
        <w:t>The provision under which a remedial direction is given may set out non-binding examples of action that the ACMA may direct must be taken.</w:t>
      </w:r>
      <w:r w:rsidRPr="007657DF">
        <w:rPr>
          <w:rFonts w:cs="Arial"/>
          <w:sz w:val="22"/>
          <w:szCs w:val="22"/>
          <w:vertAlign w:val="superscript"/>
        </w:rPr>
        <w:footnoteReference w:id="8"/>
      </w:r>
      <w:r w:rsidRPr="007657DF">
        <w:rPr>
          <w:rFonts w:cs="Arial"/>
          <w:sz w:val="22"/>
          <w:szCs w:val="22"/>
        </w:rPr>
        <w:t xml:space="preserve"> Those examples are not exhaustive but are illustrative. </w:t>
      </w:r>
    </w:p>
    <w:p w14:paraId="329C5F94"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5.3</w:t>
      </w:r>
      <w:r w:rsidRPr="007657DF">
        <w:rPr>
          <w:rFonts w:cs="Arial"/>
          <w:sz w:val="22"/>
          <w:szCs w:val="22"/>
        </w:rPr>
        <w:tab/>
        <w:t xml:space="preserve">The action that the ACMA directs must be taken may involve more than one step. </w:t>
      </w:r>
    </w:p>
    <w:p w14:paraId="340B88BC" w14:textId="77777777" w:rsidR="00674AD6" w:rsidRPr="007657DF" w:rsidRDefault="00674AD6" w:rsidP="00674AD6">
      <w:pPr>
        <w:tabs>
          <w:tab w:val="left" w:pos="567"/>
        </w:tabs>
        <w:spacing w:after="80"/>
        <w:ind w:left="567" w:hanging="567"/>
        <w:rPr>
          <w:rFonts w:cs="Arial"/>
          <w:sz w:val="22"/>
          <w:szCs w:val="22"/>
        </w:rPr>
      </w:pPr>
      <w:r w:rsidRPr="007657DF">
        <w:rPr>
          <w:rFonts w:cs="Arial"/>
          <w:sz w:val="22"/>
          <w:szCs w:val="22"/>
        </w:rPr>
        <w:t>5.4</w:t>
      </w:r>
      <w:r w:rsidRPr="007657DF">
        <w:rPr>
          <w:rFonts w:cs="Arial"/>
          <w:sz w:val="22"/>
          <w:szCs w:val="22"/>
        </w:rPr>
        <w:tab/>
        <w:t>The action specified by the ACMA in the remedial direction will be:</w:t>
      </w:r>
    </w:p>
    <w:p w14:paraId="39895137" w14:textId="77777777" w:rsidR="00674AD6" w:rsidRPr="007657DF" w:rsidRDefault="00674AD6" w:rsidP="007657DF">
      <w:pPr>
        <w:pStyle w:val="ListBullet2"/>
        <w:numPr>
          <w:ilvl w:val="0"/>
          <w:numId w:val="19"/>
        </w:numPr>
        <w:ind w:left="851" w:hanging="284"/>
        <w:rPr>
          <w:rFonts w:cs="Arial"/>
          <w:sz w:val="22"/>
          <w:szCs w:val="22"/>
        </w:rPr>
      </w:pPr>
      <w:r w:rsidRPr="007657DF">
        <w:rPr>
          <w:rFonts w:cs="Arial"/>
          <w:sz w:val="22"/>
          <w:szCs w:val="22"/>
        </w:rPr>
        <w:t>proportionate to the impact of the conduct or risk of future contraventions</w:t>
      </w:r>
    </w:p>
    <w:p w14:paraId="63FD784E" w14:textId="77777777" w:rsidR="00674AD6" w:rsidRPr="007657DF" w:rsidRDefault="00674AD6" w:rsidP="007657DF">
      <w:pPr>
        <w:pStyle w:val="ListBullet2"/>
        <w:numPr>
          <w:ilvl w:val="0"/>
          <w:numId w:val="19"/>
        </w:numPr>
        <w:ind w:left="851" w:hanging="284"/>
        <w:rPr>
          <w:rFonts w:cs="Arial"/>
          <w:sz w:val="22"/>
          <w:szCs w:val="22"/>
        </w:rPr>
      </w:pPr>
      <w:r w:rsidRPr="007657DF">
        <w:rPr>
          <w:rFonts w:cs="Arial"/>
          <w:sz w:val="22"/>
          <w:szCs w:val="22"/>
        </w:rPr>
        <w:t>expressed in clear and unambiguous language</w:t>
      </w:r>
    </w:p>
    <w:p w14:paraId="0DFD3390" w14:textId="77777777" w:rsidR="00674AD6" w:rsidRPr="007657DF" w:rsidRDefault="00674AD6" w:rsidP="007657DF">
      <w:pPr>
        <w:pStyle w:val="ListBullet2"/>
        <w:numPr>
          <w:ilvl w:val="0"/>
          <w:numId w:val="19"/>
        </w:numPr>
        <w:ind w:left="851" w:hanging="284"/>
        <w:rPr>
          <w:rFonts w:cs="Arial"/>
          <w:sz w:val="22"/>
          <w:szCs w:val="22"/>
        </w:rPr>
      </w:pPr>
      <w:r w:rsidRPr="007657DF">
        <w:rPr>
          <w:rFonts w:cs="Arial"/>
          <w:sz w:val="22"/>
          <w:szCs w:val="22"/>
        </w:rPr>
        <w:t>reasonably capable of implementation within any time specified for compliance</w:t>
      </w:r>
    </w:p>
    <w:p w14:paraId="45AFCC04" w14:textId="77777777" w:rsidR="00674AD6" w:rsidRPr="007657DF" w:rsidRDefault="00674AD6" w:rsidP="007657DF">
      <w:pPr>
        <w:pStyle w:val="ListBullet2"/>
        <w:numPr>
          <w:ilvl w:val="0"/>
          <w:numId w:val="19"/>
        </w:numPr>
        <w:spacing w:after="120"/>
        <w:ind w:left="851" w:hanging="284"/>
        <w:rPr>
          <w:rFonts w:cs="Arial"/>
          <w:sz w:val="22"/>
          <w:szCs w:val="22"/>
        </w:rPr>
      </w:pPr>
      <w:r w:rsidRPr="007657DF">
        <w:rPr>
          <w:rFonts w:cs="Arial"/>
          <w:sz w:val="22"/>
          <w:szCs w:val="22"/>
        </w:rPr>
        <w:t>capable of being measured or tested objectively.</w:t>
      </w:r>
    </w:p>
    <w:p w14:paraId="043291D8"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5.5</w:t>
      </w:r>
      <w:r w:rsidRPr="007657DF">
        <w:rPr>
          <w:rFonts w:cs="Arial"/>
          <w:sz w:val="22"/>
          <w:szCs w:val="22"/>
        </w:rPr>
        <w:tab/>
        <w:t>The ACMA will not issue a direction that merely requires the person concerned to comply with their pre-existing legal obligations.</w:t>
      </w:r>
    </w:p>
    <w:p w14:paraId="2311BD86" w14:textId="77777777" w:rsidR="00674AD6" w:rsidRPr="007657DF" w:rsidRDefault="00674AD6" w:rsidP="00674AD6">
      <w:pPr>
        <w:tabs>
          <w:tab w:val="left" w:pos="567"/>
        </w:tabs>
        <w:spacing w:after="80"/>
        <w:ind w:left="567" w:hanging="567"/>
        <w:rPr>
          <w:rFonts w:cs="Arial"/>
          <w:sz w:val="22"/>
          <w:szCs w:val="22"/>
        </w:rPr>
      </w:pPr>
      <w:r w:rsidRPr="007657DF">
        <w:rPr>
          <w:rFonts w:cs="Arial"/>
          <w:sz w:val="22"/>
          <w:szCs w:val="22"/>
        </w:rPr>
        <w:lastRenderedPageBreak/>
        <w:t>5.6</w:t>
      </w:r>
      <w:r w:rsidRPr="007657DF">
        <w:rPr>
          <w:rFonts w:cs="Arial"/>
          <w:sz w:val="22"/>
          <w:szCs w:val="22"/>
        </w:rPr>
        <w:tab/>
        <w:t>The broad remedial directions powers enable the ACMA to tailor the direction to fit the case. The kinds of remedial directions that the ACMA might give include:</w:t>
      </w:r>
    </w:p>
    <w:p w14:paraId="7AA07E0A" w14:textId="53F0860B" w:rsidR="00674AD6" w:rsidRPr="007657DF" w:rsidRDefault="00674AD6" w:rsidP="007657DF">
      <w:pPr>
        <w:pStyle w:val="ListBullet2"/>
        <w:numPr>
          <w:ilvl w:val="0"/>
          <w:numId w:val="20"/>
        </w:numPr>
        <w:ind w:left="851" w:hanging="284"/>
        <w:rPr>
          <w:rFonts w:cs="Arial"/>
          <w:sz w:val="22"/>
          <w:szCs w:val="22"/>
        </w:rPr>
      </w:pPr>
      <w:r w:rsidRPr="007657DF">
        <w:rPr>
          <w:rFonts w:cs="Arial"/>
          <w:sz w:val="22"/>
          <w:szCs w:val="22"/>
        </w:rPr>
        <w:t>the development and implementation of compliance procedures and systems</w:t>
      </w:r>
      <w:r w:rsidR="004E148D" w:rsidRPr="007657DF">
        <w:rPr>
          <w:rFonts w:cs="Arial"/>
          <w:sz w:val="22"/>
          <w:szCs w:val="22"/>
        </w:rPr>
        <w:t xml:space="preserve">; </w:t>
      </w:r>
      <w:r w:rsidRPr="007657DF">
        <w:rPr>
          <w:rFonts w:cs="Arial"/>
          <w:sz w:val="22"/>
          <w:szCs w:val="22"/>
        </w:rPr>
        <w:t>for example, an administrative system to monitor compliance with licence conditions/service provider rule/s</w:t>
      </w:r>
    </w:p>
    <w:p w14:paraId="7A1046F5" w14:textId="1FFE54EF" w:rsidR="00674AD6" w:rsidRPr="007657DF" w:rsidRDefault="00674AD6" w:rsidP="007657DF">
      <w:pPr>
        <w:pStyle w:val="ListBullet2"/>
        <w:numPr>
          <w:ilvl w:val="0"/>
          <w:numId w:val="20"/>
        </w:numPr>
        <w:ind w:left="851" w:hanging="284"/>
        <w:rPr>
          <w:rFonts w:cs="Arial"/>
          <w:sz w:val="22"/>
          <w:szCs w:val="22"/>
        </w:rPr>
      </w:pPr>
      <w:r w:rsidRPr="007657DF">
        <w:rPr>
          <w:rFonts w:cs="Arial"/>
          <w:sz w:val="22"/>
          <w:szCs w:val="22"/>
        </w:rPr>
        <w:t>the introduction of specified practices or procedures</w:t>
      </w:r>
      <w:r w:rsidR="004E148D" w:rsidRPr="007657DF">
        <w:rPr>
          <w:rFonts w:cs="Arial"/>
          <w:sz w:val="22"/>
          <w:szCs w:val="22"/>
        </w:rPr>
        <w:t xml:space="preserve">; </w:t>
      </w:r>
      <w:r w:rsidRPr="007657DF">
        <w:rPr>
          <w:rFonts w:cs="Arial"/>
          <w:sz w:val="22"/>
          <w:szCs w:val="22"/>
        </w:rPr>
        <w:t xml:space="preserve">for example, conduct of periodic audits, holding of management/committee meetings, provision of training, scheduling of </w:t>
      </w:r>
      <w:proofErr w:type="gramStart"/>
      <w:r w:rsidRPr="007657DF">
        <w:rPr>
          <w:rFonts w:cs="Arial"/>
          <w:sz w:val="22"/>
          <w:szCs w:val="22"/>
        </w:rPr>
        <w:t>particular programs/items</w:t>
      </w:r>
      <w:proofErr w:type="gramEnd"/>
    </w:p>
    <w:p w14:paraId="5D7F129F" w14:textId="7A93858D" w:rsidR="00674AD6" w:rsidRPr="007657DF" w:rsidRDefault="00674AD6" w:rsidP="007657DF">
      <w:pPr>
        <w:pStyle w:val="ListBullet2"/>
        <w:numPr>
          <w:ilvl w:val="0"/>
          <w:numId w:val="20"/>
        </w:numPr>
        <w:ind w:left="851" w:hanging="284"/>
        <w:rPr>
          <w:rFonts w:cs="Arial"/>
          <w:sz w:val="22"/>
          <w:szCs w:val="22"/>
        </w:rPr>
      </w:pPr>
      <w:r w:rsidRPr="007657DF">
        <w:rPr>
          <w:rFonts w:cs="Arial"/>
          <w:sz w:val="22"/>
          <w:szCs w:val="22"/>
        </w:rPr>
        <w:t>the provision of reports/information to the ACMA</w:t>
      </w:r>
      <w:r w:rsidR="004E148D" w:rsidRPr="007657DF">
        <w:rPr>
          <w:rFonts w:cs="Arial"/>
          <w:sz w:val="22"/>
          <w:szCs w:val="22"/>
        </w:rPr>
        <w:t xml:space="preserve">; </w:t>
      </w:r>
      <w:r w:rsidRPr="007657DF">
        <w:rPr>
          <w:rFonts w:cs="Arial"/>
          <w:sz w:val="22"/>
          <w:szCs w:val="22"/>
        </w:rPr>
        <w:t>for example, periodic reports on the measures implemented to ensure compliance with licence conditions/service provider rule/s provided to the ACMA and/or board, copies of the schedule of programs/meetings</w:t>
      </w:r>
    </w:p>
    <w:p w14:paraId="6EFA5412" w14:textId="08A25E28" w:rsidR="00674AD6" w:rsidRPr="007657DF" w:rsidRDefault="00674AD6" w:rsidP="007657DF">
      <w:pPr>
        <w:pStyle w:val="ListBullet2"/>
        <w:numPr>
          <w:ilvl w:val="0"/>
          <w:numId w:val="20"/>
        </w:numPr>
        <w:ind w:left="851" w:hanging="284"/>
        <w:rPr>
          <w:rFonts w:cs="Arial"/>
          <w:sz w:val="22"/>
          <w:szCs w:val="22"/>
        </w:rPr>
      </w:pPr>
      <w:r w:rsidRPr="007657DF">
        <w:rPr>
          <w:rFonts w:cs="Arial"/>
          <w:sz w:val="22"/>
          <w:szCs w:val="22"/>
        </w:rPr>
        <w:t>revision/amendment or removal of information</w:t>
      </w:r>
      <w:r w:rsidR="004E148D" w:rsidRPr="007657DF">
        <w:rPr>
          <w:rFonts w:cs="Arial"/>
          <w:sz w:val="22"/>
          <w:szCs w:val="22"/>
        </w:rPr>
        <w:t xml:space="preserve">; </w:t>
      </w:r>
      <w:r w:rsidRPr="007657DF">
        <w:rPr>
          <w:rFonts w:cs="Arial"/>
          <w:sz w:val="22"/>
          <w:szCs w:val="22"/>
        </w:rPr>
        <w:t xml:space="preserve">for example, taking down incorrect or misleading information/amending information published on a website, reviewing and amending clauses of the constitution of an incorporated association concerning its objects and membership.  </w:t>
      </w:r>
    </w:p>
    <w:p w14:paraId="61C21563" w14:textId="3E0E6D71" w:rsidR="00674AD6" w:rsidRPr="00957E31" w:rsidRDefault="00674AD6" w:rsidP="00674AD6">
      <w:pPr>
        <w:pStyle w:val="Heading2"/>
        <w:tabs>
          <w:tab w:val="left" w:pos="567"/>
        </w:tabs>
      </w:pPr>
      <w:bookmarkStart w:id="14" w:name="_Toc300066081"/>
      <w:bookmarkStart w:id="15" w:name="_Toc211938177"/>
      <w:r>
        <w:t>6.</w:t>
      </w:r>
      <w:r>
        <w:tab/>
      </w:r>
      <w:r w:rsidRPr="00957E31">
        <w:t>Time</w:t>
      </w:r>
      <w:r w:rsidR="004E148D">
        <w:t>frame</w:t>
      </w:r>
      <w:r w:rsidRPr="00957E31">
        <w:t xml:space="preserve"> for compliance</w:t>
      </w:r>
      <w:bookmarkEnd w:id="14"/>
      <w:bookmarkEnd w:id="15"/>
      <w:r w:rsidRPr="00957E31">
        <w:t xml:space="preserve"> </w:t>
      </w:r>
    </w:p>
    <w:p w14:paraId="6DBB6E66"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6.1</w:t>
      </w:r>
      <w:r w:rsidRPr="007657DF">
        <w:rPr>
          <w:rFonts w:cs="Arial"/>
          <w:sz w:val="22"/>
          <w:szCs w:val="22"/>
        </w:rPr>
        <w:tab/>
        <w:t xml:space="preserve">The ACMA will specify the time within which action must be taken. This will be determined </w:t>
      </w:r>
      <w:proofErr w:type="gramStart"/>
      <w:r w:rsidRPr="007657DF">
        <w:rPr>
          <w:rFonts w:cs="Arial"/>
          <w:sz w:val="22"/>
          <w:szCs w:val="22"/>
        </w:rPr>
        <w:t>in light of</w:t>
      </w:r>
      <w:proofErr w:type="gramEnd"/>
      <w:r w:rsidRPr="007657DF">
        <w:rPr>
          <w:rFonts w:cs="Arial"/>
          <w:sz w:val="22"/>
          <w:szCs w:val="22"/>
        </w:rPr>
        <w:t xml:space="preserve"> the facts, including the complexity and commercial sensitivity of the action that the ACMA directs must be taken.</w:t>
      </w:r>
      <w:r w:rsidRPr="007657DF">
        <w:rPr>
          <w:rFonts w:cs="Arial"/>
          <w:sz w:val="22"/>
          <w:szCs w:val="22"/>
          <w:vertAlign w:val="superscript"/>
        </w:rPr>
        <w:footnoteReference w:id="9"/>
      </w:r>
    </w:p>
    <w:p w14:paraId="4A872D6C" w14:textId="77777777" w:rsidR="00674AD6" w:rsidRPr="007657DF" w:rsidRDefault="00674AD6" w:rsidP="007657DF">
      <w:pPr>
        <w:keepNext/>
        <w:keepLines/>
        <w:tabs>
          <w:tab w:val="left" w:pos="567"/>
        </w:tabs>
        <w:spacing w:after="80"/>
        <w:ind w:left="567" w:hanging="567"/>
        <w:rPr>
          <w:rFonts w:cs="Arial"/>
          <w:sz w:val="22"/>
          <w:szCs w:val="22"/>
        </w:rPr>
      </w:pPr>
      <w:r w:rsidRPr="007657DF">
        <w:rPr>
          <w:rFonts w:cs="Arial"/>
          <w:sz w:val="22"/>
          <w:szCs w:val="22"/>
        </w:rPr>
        <w:t>6.2</w:t>
      </w:r>
      <w:r w:rsidRPr="007657DF">
        <w:rPr>
          <w:rFonts w:cs="Arial"/>
          <w:sz w:val="22"/>
          <w:szCs w:val="22"/>
        </w:rPr>
        <w:tab/>
        <w:t>The time specified will:</w:t>
      </w:r>
    </w:p>
    <w:p w14:paraId="3EE67781" w14:textId="77777777" w:rsidR="00674AD6" w:rsidRPr="007657DF" w:rsidRDefault="00674AD6" w:rsidP="007657DF">
      <w:pPr>
        <w:pStyle w:val="ListBullet2"/>
        <w:keepNext/>
        <w:keepLines/>
        <w:numPr>
          <w:ilvl w:val="0"/>
          <w:numId w:val="21"/>
        </w:numPr>
        <w:ind w:left="851" w:hanging="284"/>
        <w:rPr>
          <w:rFonts w:cs="Arial"/>
          <w:sz w:val="22"/>
          <w:szCs w:val="22"/>
        </w:rPr>
      </w:pPr>
      <w:r w:rsidRPr="007657DF">
        <w:rPr>
          <w:rFonts w:cs="Arial"/>
          <w:sz w:val="22"/>
          <w:szCs w:val="22"/>
        </w:rPr>
        <w:t>enable sufficient time for the specified action to be taken</w:t>
      </w:r>
    </w:p>
    <w:p w14:paraId="2A835F97" w14:textId="77777777" w:rsidR="00674AD6" w:rsidRPr="007657DF" w:rsidRDefault="00674AD6" w:rsidP="007657DF">
      <w:pPr>
        <w:pStyle w:val="ListBullet2"/>
        <w:keepNext/>
        <w:keepLines/>
        <w:numPr>
          <w:ilvl w:val="0"/>
          <w:numId w:val="21"/>
        </w:numPr>
        <w:ind w:left="851" w:hanging="284"/>
        <w:rPr>
          <w:rFonts w:cs="Arial"/>
          <w:sz w:val="22"/>
          <w:szCs w:val="22"/>
        </w:rPr>
      </w:pPr>
      <w:r w:rsidRPr="007657DF">
        <w:rPr>
          <w:rFonts w:cs="Arial"/>
          <w:sz w:val="22"/>
          <w:szCs w:val="22"/>
        </w:rPr>
        <w:t>reflect the impact or egregiousness of the conduct or risk (for example, the greater the detriment to the public and/or risk of ongoing detriment, the greater the need for prompt action to be taken to minimise or ameliorate that detriment)</w:t>
      </w:r>
    </w:p>
    <w:p w14:paraId="763697F6" w14:textId="4CAE4AF1" w:rsidR="00674AD6" w:rsidRPr="007657DF" w:rsidRDefault="00674AD6" w:rsidP="007657DF">
      <w:pPr>
        <w:pStyle w:val="ListBullet2"/>
        <w:numPr>
          <w:ilvl w:val="0"/>
          <w:numId w:val="21"/>
        </w:numPr>
        <w:ind w:left="851" w:hanging="284"/>
        <w:rPr>
          <w:rFonts w:cs="Arial"/>
          <w:sz w:val="22"/>
          <w:szCs w:val="22"/>
        </w:rPr>
      </w:pPr>
      <w:r w:rsidRPr="007657DF">
        <w:rPr>
          <w:rFonts w:cs="Arial"/>
          <w:sz w:val="22"/>
          <w:szCs w:val="22"/>
        </w:rPr>
        <w:t>be expressed in clear and unambiguous language.</w:t>
      </w:r>
    </w:p>
    <w:p w14:paraId="2770A0BE" w14:textId="77777777" w:rsidR="00674AD6" w:rsidRPr="00957E31" w:rsidRDefault="00674AD6" w:rsidP="00674AD6">
      <w:pPr>
        <w:pStyle w:val="Heading2"/>
        <w:tabs>
          <w:tab w:val="left" w:pos="567"/>
        </w:tabs>
      </w:pPr>
      <w:bookmarkStart w:id="16" w:name="_Toc300066082"/>
      <w:bookmarkStart w:id="17" w:name="_Toc211938178"/>
      <w:r>
        <w:t>7.</w:t>
      </w:r>
      <w:r>
        <w:tab/>
      </w:r>
      <w:r w:rsidRPr="00957E31">
        <w:t>Requests for an extension of time</w:t>
      </w:r>
      <w:bookmarkEnd w:id="16"/>
      <w:bookmarkEnd w:id="17"/>
    </w:p>
    <w:p w14:paraId="26D373EA" w14:textId="1F589EBF"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7.1</w:t>
      </w:r>
      <w:r w:rsidRPr="007657DF">
        <w:rPr>
          <w:rFonts w:cs="Arial"/>
          <w:sz w:val="22"/>
          <w:szCs w:val="22"/>
        </w:rPr>
        <w:tab/>
        <w:t>In some instances</w:t>
      </w:r>
      <w:r w:rsidR="003B4F5F" w:rsidRPr="007657DF">
        <w:rPr>
          <w:rFonts w:cs="Arial"/>
          <w:sz w:val="22"/>
          <w:szCs w:val="22"/>
        </w:rPr>
        <w:t>,</w:t>
      </w:r>
      <w:r w:rsidRPr="007657DF">
        <w:rPr>
          <w:rFonts w:cs="Arial"/>
          <w:sz w:val="22"/>
          <w:szCs w:val="22"/>
        </w:rPr>
        <w:t xml:space="preserve"> the relevant Act expressly allows the recipient of the direction to seek an extension of time in which to comply.</w:t>
      </w:r>
      <w:r w:rsidRPr="007657DF">
        <w:rPr>
          <w:rFonts w:cs="Arial"/>
          <w:sz w:val="22"/>
          <w:szCs w:val="22"/>
          <w:vertAlign w:val="superscript"/>
        </w:rPr>
        <w:footnoteReference w:id="10"/>
      </w:r>
      <w:r w:rsidRPr="007657DF">
        <w:rPr>
          <w:rFonts w:cs="Arial"/>
          <w:sz w:val="22"/>
          <w:szCs w:val="22"/>
        </w:rPr>
        <w:t xml:space="preserve"> </w:t>
      </w:r>
    </w:p>
    <w:p w14:paraId="19129826"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7.2</w:t>
      </w:r>
      <w:r w:rsidRPr="007657DF">
        <w:rPr>
          <w:rFonts w:cs="Arial"/>
          <w:sz w:val="22"/>
          <w:szCs w:val="22"/>
        </w:rPr>
        <w:tab/>
        <w:t xml:space="preserve">In the absence of such an express power, the ACMA will nevertheless consider an application for additional time.  </w:t>
      </w:r>
    </w:p>
    <w:p w14:paraId="7963AFDC" w14:textId="254AD4ED"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7.3</w:t>
      </w:r>
      <w:r w:rsidRPr="007657DF">
        <w:rPr>
          <w:rFonts w:cs="Arial"/>
          <w:sz w:val="22"/>
          <w:szCs w:val="22"/>
        </w:rPr>
        <w:tab/>
        <w:t>As a breach of a remedial direction may result in the ACMA commencing further enforcement action, any application for an extension should be made before the compliance date specified in the remedial direction</w:t>
      </w:r>
      <w:r w:rsidR="00893B48" w:rsidRPr="007657DF">
        <w:rPr>
          <w:rFonts w:cs="Arial"/>
          <w:sz w:val="22"/>
          <w:szCs w:val="22"/>
        </w:rPr>
        <w:t xml:space="preserve"> (see below)</w:t>
      </w:r>
      <w:r w:rsidRPr="007657DF">
        <w:rPr>
          <w:rFonts w:cs="Arial"/>
          <w:sz w:val="22"/>
          <w:szCs w:val="22"/>
        </w:rPr>
        <w:t>.</w:t>
      </w:r>
      <w:r w:rsidRPr="007657DF">
        <w:rPr>
          <w:rFonts w:cs="Arial"/>
          <w:sz w:val="22"/>
          <w:szCs w:val="22"/>
          <w:vertAlign w:val="superscript"/>
        </w:rPr>
        <w:footnoteReference w:id="11"/>
      </w:r>
      <w:r w:rsidR="00893B48" w:rsidRPr="007657DF" w:rsidDel="00893B48">
        <w:rPr>
          <w:rFonts w:cs="Arial"/>
          <w:sz w:val="22"/>
          <w:szCs w:val="22"/>
        </w:rPr>
        <w:t xml:space="preserve"> </w:t>
      </w:r>
    </w:p>
    <w:p w14:paraId="005E84C2"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7.4</w:t>
      </w:r>
      <w:r w:rsidRPr="007657DF">
        <w:rPr>
          <w:rFonts w:cs="Arial"/>
          <w:sz w:val="22"/>
          <w:szCs w:val="22"/>
        </w:rPr>
        <w:tab/>
        <w:t xml:space="preserve">The basis for the request, as well as the extended </w:t>
      </w:r>
      <w:proofErr w:type="gramStart"/>
      <w:r w:rsidRPr="007657DF">
        <w:rPr>
          <w:rFonts w:cs="Arial"/>
          <w:sz w:val="22"/>
          <w:szCs w:val="22"/>
        </w:rPr>
        <w:t>period of time</w:t>
      </w:r>
      <w:proofErr w:type="gramEnd"/>
      <w:r w:rsidRPr="007657DF">
        <w:rPr>
          <w:rFonts w:cs="Arial"/>
          <w:sz w:val="22"/>
          <w:szCs w:val="22"/>
        </w:rPr>
        <w:t xml:space="preserve"> sought for compliance, should also be set out. </w:t>
      </w:r>
    </w:p>
    <w:p w14:paraId="4517C770" w14:textId="77777777"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lastRenderedPageBreak/>
        <w:t>7.5</w:t>
      </w:r>
      <w:r w:rsidRPr="007657DF">
        <w:rPr>
          <w:rFonts w:cs="Arial"/>
          <w:sz w:val="22"/>
          <w:szCs w:val="22"/>
        </w:rPr>
        <w:tab/>
        <w:t xml:space="preserve">Any request should be made in writing and forwarded to the ACMA officer who issued the direction.   </w:t>
      </w:r>
    </w:p>
    <w:p w14:paraId="3C4B0009" w14:textId="77777777" w:rsidR="00674AD6" w:rsidRPr="007657DF" w:rsidRDefault="00674AD6" w:rsidP="00C93368">
      <w:pPr>
        <w:tabs>
          <w:tab w:val="left" w:pos="567"/>
        </w:tabs>
        <w:spacing w:after="0"/>
        <w:ind w:left="567" w:hanging="567"/>
        <w:rPr>
          <w:rFonts w:cs="Arial"/>
          <w:sz w:val="22"/>
          <w:szCs w:val="22"/>
        </w:rPr>
      </w:pPr>
      <w:r w:rsidRPr="007657DF">
        <w:rPr>
          <w:rFonts w:cs="Arial"/>
          <w:sz w:val="22"/>
          <w:szCs w:val="22"/>
        </w:rPr>
        <w:t>7.6</w:t>
      </w:r>
      <w:r w:rsidRPr="007657DF">
        <w:rPr>
          <w:rFonts w:cs="Arial"/>
          <w:sz w:val="22"/>
          <w:szCs w:val="22"/>
        </w:rPr>
        <w:tab/>
        <w:t xml:space="preserve">Whether the application will be granted will turn on the facts.  </w:t>
      </w:r>
    </w:p>
    <w:p w14:paraId="40D6C909" w14:textId="77777777" w:rsidR="00674AD6" w:rsidRPr="00957E31" w:rsidRDefault="00674AD6" w:rsidP="00C93368">
      <w:pPr>
        <w:pStyle w:val="Heading2"/>
        <w:tabs>
          <w:tab w:val="left" w:pos="567"/>
        </w:tabs>
        <w:spacing w:after="240"/>
        <w:ind w:left="567" w:hanging="567"/>
      </w:pPr>
      <w:bookmarkStart w:id="18" w:name="_Toc300066083"/>
      <w:bookmarkStart w:id="19" w:name="_Toc211938179"/>
      <w:r w:rsidRPr="00957E31">
        <w:t>8</w:t>
      </w:r>
      <w:r>
        <w:t>.</w:t>
      </w:r>
      <w:r w:rsidRPr="00957E31">
        <w:tab/>
        <w:t xml:space="preserve">Requests for revocation and/or variation of a remedial </w:t>
      </w:r>
      <w:r>
        <w:t>direction</w:t>
      </w:r>
      <w:bookmarkEnd w:id="18"/>
      <w:bookmarkEnd w:id="19"/>
    </w:p>
    <w:p w14:paraId="0AEB2455" w14:textId="77777777" w:rsidR="00674AD6" w:rsidRPr="007657DF" w:rsidRDefault="00674AD6" w:rsidP="003D416D">
      <w:pPr>
        <w:pStyle w:val="Heading3"/>
        <w:ind w:left="567"/>
        <w:rPr>
          <w:sz w:val="22"/>
          <w:szCs w:val="22"/>
        </w:rPr>
      </w:pPr>
      <w:bookmarkStart w:id="20" w:name="_Toc300066084"/>
      <w:bookmarkStart w:id="21" w:name="_Toc27656804"/>
      <w:bookmarkStart w:id="22" w:name="_Toc27656839"/>
      <w:r w:rsidRPr="007657DF">
        <w:rPr>
          <w:sz w:val="22"/>
          <w:szCs w:val="22"/>
        </w:rPr>
        <w:t>Statutory right of reconsideration</w:t>
      </w:r>
      <w:bookmarkEnd w:id="20"/>
      <w:bookmarkEnd w:id="21"/>
      <w:bookmarkEnd w:id="22"/>
    </w:p>
    <w:p w14:paraId="79DD7DFC" w14:textId="0DE272CE"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8.1</w:t>
      </w:r>
      <w:r w:rsidRPr="007657DF">
        <w:rPr>
          <w:rFonts w:cs="Arial"/>
          <w:sz w:val="22"/>
          <w:szCs w:val="22"/>
        </w:rPr>
        <w:tab/>
      </w:r>
      <w:bookmarkStart w:id="23" w:name="_Hlk21617867"/>
      <w:r w:rsidRPr="007657DF">
        <w:rPr>
          <w:rFonts w:cs="Arial"/>
          <w:sz w:val="22"/>
          <w:szCs w:val="22"/>
        </w:rPr>
        <w:t>A statutory right to seek reconsideration by the ACMA exists where a remedial direction is made under sections 69 or 102 of the Telecommunications Act</w:t>
      </w:r>
      <w:r w:rsidR="008224D8" w:rsidRPr="007657DF">
        <w:rPr>
          <w:rFonts w:cs="Arial"/>
          <w:sz w:val="22"/>
          <w:szCs w:val="22"/>
        </w:rPr>
        <w:t xml:space="preserve"> or section 268 of the Radiocommunications Act</w:t>
      </w:r>
      <w:r w:rsidRPr="007657DF">
        <w:rPr>
          <w:rFonts w:cs="Arial"/>
          <w:sz w:val="22"/>
          <w:szCs w:val="22"/>
        </w:rPr>
        <w:t>. A right to seek further review by the Administrative Appeals Tribunal (AAT) follows where the decision upon reconsideration is to affirm or vary the decision.</w:t>
      </w:r>
      <w:r w:rsidRPr="007657DF">
        <w:rPr>
          <w:rFonts w:cs="Arial"/>
          <w:sz w:val="22"/>
          <w:szCs w:val="22"/>
          <w:vertAlign w:val="superscript"/>
        </w:rPr>
        <w:footnoteReference w:id="12"/>
      </w:r>
      <w:r w:rsidRPr="007657DF">
        <w:rPr>
          <w:rFonts w:cs="Arial"/>
          <w:sz w:val="22"/>
          <w:szCs w:val="22"/>
        </w:rPr>
        <w:t xml:space="preserve"> There is no comparable right under the other Acts. </w:t>
      </w:r>
      <w:bookmarkEnd w:id="23"/>
    </w:p>
    <w:p w14:paraId="413713B9" w14:textId="77777777" w:rsidR="00674AD6" w:rsidRPr="007657DF" w:rsidRDefault="00674AD6" w:rsidP="00A1742D">
      <w:pPr>
        <w:tabs>
          <w:tab w:val="left" w:pos="567"/>
        </w:tabs>
        <w:ind w:left="567" w:hanging="567"/>
        <w:rPr>
          <w:rFonts w:cs="Arial"/>
          <w:sz w:val="22"/>
          <w:szCs w:val="22"/>
        </w:rPr>
      </w:pPr>
      <w:r w:rsidRPr="007657DF">
        <w:rPr>
          <w:rFonts w:cs="Arial"/>
          <w:sz w:val="22"/>
          <w:szCs w:val="22"/>
        </w:rPr>
        <w:t>8.2</w:t>
      </w:r>
      <w:r w:rsidRPr="007657DF">
        <w:rPr>
          <w:rFonts w:cs="Arial"/>
          <w:sz w:val="22"/>
          <w:szCs w:val="22"/>
        </w:rPr>
        <w:tab/>
        <w:t xml:space="preserve">In giving the direction under these provisions, the ACMA will set out the procedures for seeking reconsideration, including to whom the application should be sent. </w:t>
      </w:r>
    </w:p>
    <w:p w14:paraId="78FC7EB0" w14:textId="77777777" w:rsidR="00674AD6" w:rsidRPr="007657DF" w:rsidRDefault="00674AD6" w:rsidP="007657DF">
      <w:pPr>
        <w:pStyle w:val="Heading3"/>
        <w:keepLines/>
        <w:ind w:left="567"/>
        <w:rPr>
          <w:sz w:val="22"/>
          <w:szCs w:val="22"/>
        </w:rPr>
      </w:pPr>
      <w:bookmarkStart w:id="24" w:name="_Toc300066085"/>
      <w:bookmarkStart w:id="25" w:name="_Toc27656805"/>
      <w:bookmarkStart w:id="26" w:name="_Toc27656840"/>
      <w:r w:rsidRPr="007657DF">
        <w:rPr>
          <w:sz w:val="22"/>
          <w:szCs w:val="22"/>
        </w:rPr>
        <w:t>No statutory right of reconsideration</w:t>
      </w:r>
      <w:bookmarkEnd w:id="24"/>
      <w:bookmarkEnd w:id="25"/>
      <w:bookmarkEnd w:id="26"/>
    </w:p>
    <w:p w14:paraId="09952804" w14:textId="010FED6E" w:rsidR="00674AD6" w:rsidRPr="007657DF" w:rsidRDefault="00674AD6" w:rsidP="007657DF">
      <w:pPr>
        <w:keepNext/>
        <w:keepLines/>
        <w:tabs>
          <w:tab w:val="left" w:pos="567"/>
        </w:tabs>
        <w:spacing w:after="120"/>
        <w:ind w:left="567" w:hanging="567"/>
        <w:rPr>
          <w:rFonts w:cs="Arial"/>
          <w:sz w:val="22"/>
          <w:szCs w:val="22"/>
        </w:rPr>
      </w:pPr>
      <w:r w:rsidRPr="007657DF">
        <w:rPr>
          <w:rFonts w:cs="Arial"/>
          <w:sz w:val="22"/>
          <w:szCs w:val="22"/>
        </w:rPr>
        <w:t>8.3</w:t>
      </w:r>
      <w:r w:rsidRPr="007657DF">
        <w:rPr>
          <w:rFonts w:cs="Arial"/>
          <w:sz w:val="22"/>
          <w:szCs w:val="22"/>
        </w:rPr>
        <w:tab/>
        <w:t>In the absence of a statutory right of reconsideration, a person may have a right to seek external review (for example, in the Federal Court). A request to revoke or vary a direction should ordinarily be dealt with under the external review processes. If, however, exceptional circumstances exist, the ACMA may</w:t>
      </w:r>
      <w:r w:rsidR="004E148D" w:rsidRPr="007657DF">
        <w:rPr>
          <w:rFonts w:cs="Arial"/>
          <w:sz w:val="22"/>
          <w:szCs w:val="22"/>
        </w:rPr>
        <w:t>,</w:t>
      </w:r>
      <w:r w:rsidRPr="007657DF">
        <w:rPr>
          <w:rFonts w:cs="Arial"/>
          <w:sz w:val="22"/>
          <w:szCs w:val="22"/>
        </w:rPr>
        <w:t xml:space="preserve"> in the exercise of its discretion</w:t>
      </w:r>
      <w:r w:rsidR="004E148D" w:rsidRPr="007657DF">
        <w:rPr>
          <w:rFonts w:cs="Arial"/>
          <w:sz w:val="22"/>
          <w:szCs w:val="22"/>
        </w:rPr>
        <w:t>,</w:t>
      </w:r>
      <w:r w:rsidRPr="007657DF">
        <w:rPr>
          <w:rFonts w:cs="Arial"/>
          <w:sz w:val="22"/>
          <w:szCs w:val="22"/>
        </w:rPr>
        <w:t xml:space="preserve"> consider a request to revoke or vary the remedial direction.  </w:t>
      </w:r>
    </w:p>
    <w:p w14:paraId="3A2CE184" w14:textId="77777777" w:rsidR="00674AD6" w:rsidRPr="007657DF" w:rsidRDefault="00674AD6" w:rsidP="0044713E">
      <w:pPr>
        <w:keepNext/>
        <w:keepLines/>
        <w:tabs>
          <w:tab w:val="left" w:pos="567"/>
        </w:tabs>
        <w:spacing w:after="80"/>
        <w:ind w:left="567" w:hanging="567"/>
        <w:rPr>
          <w:rFonts w:cs="Arial"/>
          <w:sz w:val="22"/>
          <w:szCs w:val="22"/>
        </w:rPr>
      </w:pPr>
      <w:r w:rsidRPr="007657DF">
        <w:rPr>
          <w:rFonts w:cs="Arial"/>
          <w:sz w:val="22"/>
          <w:szCs w:val="22"/>
        </w:rPr>
        <w:t>8.4</w:t>
      </w:r>
      <w:r w:rsidRPr="007657DF">
        <w:rPr>
          <w:rFonts w:cs="Arial"/>
          <w:sz w:val="22"/>
          <w:szCs w:val="22"/>
        </w:rPr>
        <w:tab/>
        <w:t>Exceptional circumstances may exist where:</w:t>
      </w:r>
    </w:p>
    <w:p w14:paraId="66D46A67" w14:textId="2785C135" w:rsidR="00674AD6" w:rsidRPr="007657DF" w:rsidRDefault="00674AD6" w:rsidP="007657DF">
      <w:pPr>
        <w:pStyle w:val="ListBullet2"/>
        <w:numPr>
          <w:ilvl w:val="0"/>
          <w:numId w:val="22"/>
        </w:numPr>
        <w:ind w:left="851" w:hanging="284"/>
        <w:rPr>
          <w:rFonts w:cs="Arial"/>
          <w:sz w:val="22"/>
          <w:szCs w:val="22"/>
        </w:rPr>
      </w:pPr>
      <w:r w:rsidRPr="007657DF">
        <w:rPr>
          <w:rFonts w:cs="Arial"/>
          <w:sz w:val="22"/>
          <w:szCs w:val="22"/>
        </w:rPr>
        <w:t>a jurisdictional error has been made (</w:t>
      </w:r>
      <w:r w:rsidR="004E148D" w:rsidRPr="007657DF">
        <w:rPr>
          <w:rFonts w:cs="Arial"/>
          <w:sz w:val="22"/>
          <w:szCs w:val="22"/>
        </w:rPr>
        <w:t>for example,</w:t>
      </w:r>
      <w:r w:rsidRPr="007657DF">
        <w:rPr>
          <w:rFonts w:cs="Arial"/>
          <w:sz w:val="22"/>
          <w:szCs w:val="22"/>
        </w:rPr>
        <w:t xml:space="preserve"> the direction was given to the incorrect entity) </w:t>
      </w:r>
    </w:p>
    <w:p w14:paraId="7E02EF5E" w14:textId="39C86968" w:rsidR="00674AD6" w:rsidRPr="007657DF" w:rsidRDefault="00674AD6" w:rsidP="007657DF">
      <w:pPr>
        <w:pStyle w:val="ListBullet2"/>
        <w:numPr>
          <w:ilvl w:val="0"/>
          <w:numId w:val="22"/>
        </w:numPr>
        <w:spacing w:after="120"/>
        <w:ind w:left="851" w:hanging="284"/>
        <w:rPr>
          <w:rFonts w:cs="Arial"/>
          <w:sz w:val="22"/>
          <w:szCs w:val="22"/>
        </w:rPr>
      </w:pPr>
      <w:r w:rsidRPr="007657DF">
        <w:rPr>
          <w:rFonts w:cs="Arial"/>
          <w:sz w:val="22"/>
          <w:szCs w:val="22"/>
        </w:rPr>
        <w:t>factors outside the control of the recipient exist that make compliance with the direction impossible (</w:t>
      </w:r>
      <w:r w:rsidR="004E148D" w:rsidRPr="007657DF">
        <w:rPr>
          <w:rFonts w:cs="Arial"/>
          <w:sz w:val="22"/>
          <w:szCs w:val="22"/>
        </w:rPr>
        <w:t>for example,</w:t>
      </w:r>
      <w:r w:rsidRPr="007657DF">
        <w:rPr>
          <w:rFonts w:cs="Arial"/>
          <w:sz w:val="22"/>
          <w:szCs w:val="22"/>
        </w:rPr>
        <w:t xml:space="preserve"> illness or change in financial circumstances).</w:t>
      </w:r>
    </w:p>
    <w:p w14:paraId="51A5F650" w14:textId="77777777" w:rsidR="00674AD6" w:rsidRDefault="00674AD6" w:rsidP="003D416D">
      <w:pPr>
        <w:pStyle w:val="ACMABodyText"/>
        <w:spacing w:before="0" w:after="0"/>
        <w:ind w:left="567" w:hanging="567"/>
        <w:rPr>
          <w:rFonts w:cs="Arial"/>
          <w:snapToGrid/>
          <w:sz w:val="20"/>
          <w:lang w:eastAsia="en-AU"/>
        </w:rPr>
      </w:pPr>
      <w:r w:rsidRPr="007657DF">
        <w:rPr>
          <w:rFonts w:cs="Arial"/>
          <w:sz w:val="22"/>
          <w:szCs w:val="22"/>
        </w:rPr>
        <w:t>8.5</w:t>
      </w:r>
      <w:r w:rsidRPr="007657DF">
        <w:rPr>
          <w:rFonts w:cs="Arial"/>
          <w:sz w:val="22"/>
          <w:szCs w:val="22"/>
        </w:rPr>
        <w:tab/>
      </w:r>
      <w:r w:rsidRPr="007657DF">
        <w:rPr>
          <w:rFonts w:cs="Arial"/>
          <w:snapToGrid/>
          <w:sz w:val="22"/>
          <w:szCs w:val="22"/>
          <w:lang w:eastAsia="en-AU"/>
        </w:rPr>
        <w:t>A request should be made in writing and forwarded to the ACMA officer who issued the direction. The request should be made as soon as practicable.</w:t>
      </w:r>
      <w:r w:rsidRPr="00DB393B">
        <w:rPr>
          <w:rFonts w:cs="Arial"/>
          <w:snapToGrid/>
          <w:sz w:val="20"/>
          <w:lang w:eastAsia="en-AU"/>
        </w:rPr>
        <w:t xml:space="preserve">   </w:t>
      </w:r>
    </w:p>
    <w:p w14:paraId="501BC59F" w14:textId="77777777" w:rsidR="00674AD6" w:rsidRPr="00957E31" w:rsidRDefault="00674AD6" w:rsidP="00674AD6">
      <w:pPr>
        <w:pStyle w:val="Heading2"/>
        <w:tabs>
          <w:tab w:val="left" w:pos="567"/>
        </w:tabs>
      </w:pPr>
      <w:bookmarkStart w:id="27" w:name="_Toc300066086"/>
      <w:bookmarkStart w:id="28" w:name="_Toc211938180"/>
      <w:r w:rsidRPr="00957E31">
        <w:t>9.</w:t>
      </w:r>
      <w:r w:rsidRPr="00957E31">
        <w:tab/>
        <w:t>Breach of a remedial direction</w:t>
      </w:r>
      <w:bookmarkEnd w:id="27"/>
      <w:bookmarkEnd w:id="28"/>
    </w:p>
    <w:p w14:paraId="54794D70" w14:textId="3A49D8D8"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9.1</w:t>
      </w:r>
      <w:r w:rsidRPr="007657DF">
        <w:rPr>
          <w:rFonts w:cs="Arial"/>
          <w:sz w:val="22"/>
          <w:szCs w:val="22"/>
        </w:rPr>
        <w:tab/>
        <w:t>In the event of a breach, the ACMA will consider its enforcement options. This may include an action for breach of the remedial direction (see section 2) as well as recourse to other enforcement remedies that may be available.</w:t>
      </w:r>
    </w:p>
    <w:p w14:paraId="4C9C9203" w14:textId="77777777" w:rsidR="00674AD6" w:rsidRPr="007657DF" w:rsidRDefault="00674AD6" w:rsidP="00C93368">
      <w:pPr>
        <w:keepNext/>
        <w:keepLines/>
        <w:tabs>
          <w:tab w:val="left" w:pos="567"/>
        </w:tabs>
        <w:spacing w:after="80"/>
        <w:ind w:left="567" w:hanging="567"/>
        <w:rPr>
          <w:rFonts w:cs="Arial"/>
          <w:sz w:val="22"/>
          <w:szCs w:val="22"/>
        </w:rPr>
      </w:pPr>
      <w:r w:rsidRPr="007657DF">
        <w:rPr>
          <w:rFonts w:cs="Arial"/>
          <w:sz w:val="22"/>
          <w:szCs w:val="22"/>
        </w:rPr>
        <w:lastRenderedPageBreak/>
        <w:t>9.2</w:t>
      </w:r>
      <w:r w:rsidRPr="007657DF">
        <w:rPr>
          <w:rFonts w:cs="Arial"/>
          <w:sz w:val="22"/>
          <w:szCs w:val="22"/>
        </w:rPr>
        <w:tab/>
        <w:t xml:space="preserve">The ACMA will determine what action should be taken </w:t>
      </w:r>
      <w:proofErr w:type="gramStart"/>
      <w:r w:rsidRPr="007657DF">
        <w:rPr>
          <w:rFonts w:cs="Arial"/>
          <w:sz w:val="22"/>
          <w:szCs w:val="22"/>
        </w:rPr>
        <w:t>in light of</w:t>
      </w:r>
      <w:proofErr w:type="gramEnd"/>
      <w:r w:rsidRPr="007657DF">
        <w:rPr>
          <w:rFonts w:cs="Arial"/>
          <w:sz w:val="22"/>
          <w:szCs w:val="22"/>
        </w:rPr>
        <w:t xml:space="preserve"> the facts of the case, including:</w:t>
      </w:r>
    </w:p>
    <w:p w14:paraId="2D9A4C24" w14:textId="77777777" w:rsidR="00674AD6" w:rsidRPr="007657DF" w:rsidRDefault="00674AD6" w:rsidP="007657DF">
      <w:pPr>
        <w:pStyle w:val="ListBullet2"/>
        <w:keepNext/>
        <w:keepLines/>
        <w:numPr>
          <w:ilvl w:val="0"/>
          <w:numId w:val="23"/>
        </w:numPr>
        <w:ind w:left="851" w:hanging="284"/>
        <w:rPr>
          <w:rFonts w:cs="Arial"/>
          <w:sz w:val="22"/>
          <w:szCs w:val="22"/>
        </w:rPr>
      </w:pPr>
      <w:r w:rsidRPr="007657DF">
        <w:rPr>
          <w:rFonts w:cs="Arial"/>
          <w:sz w:val="22"/>
          <w:szCs w:val="22"/>
        </w:rPr>
        <w:t>the nature and seriousness of the conduct that was the subject of the direction</w:t>
      </w:r>
    </w:p>
    <w:p w14:paraId="1367CCC2" w14:textId="77777777" w:rsidR="00674AD6" w:rsidRPr="007657DF" w:rsidRDefault="00674AD6" w:rsidP="007657DF">
      <w:pPr>
        <w:pStyle w:val="ListBullet2"/>
        <w:keepNext/>
        <w:keepLines/>
        <w:numPr>
          <w:ilvl w:val="0"/>
          <w:numId w:val="23"/>
        </w:numPr>
        <w:ind w:left="851" w:hanging="284"/>
        <w:rPr>
          <w:rFonts w:cs="Arial"/>
          <w:sz w:val="22"/>
          <w:szCs w:val="22"/>
        </w:rPr>
      </w:pPr>
      <w:r w:rsidRPr="007657DF">
        <w:rPr>
          <w:rFonts w:cs="Arial"/>
          <w:sz w:val="22"/>
          <w:szCs w:val="22"/>
        </w:rPr>
        <w:t>the nature and extent of compliance with the direction</w:t>
      </w:r>
    </w:p>
    <w:p w14:paraId="1026F37D" w14:textId="77777777" w:rsidR="00674AD6" w:rsidRPr="007657DF" w:rsidRDefault="00674AD6" w:rsidP="007657DF">
      <w:pPr>
        <w:pStyle w:val="ListBullet2"/>
        <w:keepNext/>
        <w:keepLines/>
        <w:numPr>
          <w:ilvl w:val="0"/>
          <w:numId w:val="23"/>
        </w:numPr>
        <w:ind w:left="851" w:hanging="284"/>
        <w:rPr>
          <w:rFonts w:cs="Arial"/>
          <w:sz w:val="22"/>
          <w:szCs w:val="22"/>
        </w:rPr>
      </w:pPr>
      <w:r w:rsidRPr="007657DF">
        <w:rPr>
          <w:rFonts w:cs="Arial"/>
          <w:sz w:val="22"/>
          <w:szCs w:val="22"/>
        </w:rPr>
        <w:t xml:space="preserve">the explanation for non-compliance given by the recipient of the direction </w:t>
      </w:r>
    </w:p>
    <w:p w14:paraId="4157C10D" w14:textId="77777777" w:rsidR="00674AD6" w:rsidRPr="007657DF" w:rsidRDefault="00674AD6" w:rsidP="007657DF">
      <w:pPr>
        <w:pStyle w:val="ListBullet2"/>
        <w:keepNext/>
        <w:keepLines/>
        <w:numPr>
          <w:ilvl w:val="0"/>
          <w:numId w:val="23"/>
        </w:numPr>
        <w:ind w:left="851" w:hanging="284"/>
        <w:rPr>
          <w:rFonts w:cs="Arial"/>
          <w:sz w:val="22"/>
          <w:szCs w:val="22"/>
        </w:rPr>
      </w:pPr>
      <w:r w:rsidRPr="007657DF">
        <w:rPr>
          <w:rFonts w:cs="Arial"/>
          <w:sz w:val="22"/>
          <w:szCs w:val="22"/>
        </w:rPr>
        <w:t>whether the person has been the subject of previous enforcement action and the outcome of that action</w:t>
      </w:r>
    </w:p>
    <w:p w14:paraId="5E95E3DE" w14:textId="77777777" w:rsidR="00674AD6" w:rsidRPr="007657DF" w:rsidRDefault="00674AD6" w:rsidP="007657DF">
      <w:pPr>
        <w:pStyle w:val="ListBullet2"/>
        <w:numPr>
          <w:ilvl w:val="0"/>
          <w:numId w:val="23"/>
        </w:numPr>
        <w:spacing w:after="0"/>
        <w:ind w:left="851" w:hanging="284"/>
        <w:rPr>
          <w:rFonts w:cs="Arial"/>
          <w:sz w:val="22"/>
          <w:szCs w:val="22"/>
        </w:rPr>
      </w:pPr>
      <w:r w:rsidRPr="007657DF">
        <w:rPr>
          <w:rFonts w:cs="Arial"/>
          <w:sz w:val="22"/>
          <w:szCs w:val="22"/>
        </w:rPr>
        <w:t>what, if any, impact the institution of proceedings may have on action already in progress or that the ACMA is contemplating.</w:t>
      </w:r>
    </w:p>
    <w:p w14:paraId="1C80CF40" w14:textId="77777777" w:rsidR="00674AD6" w:rsidRPr="00957E31" w:rsidRDefault="00674AD6" w:rsidP="00674AD6">
      <w:pPr>
        <w:pStyle w:val="Heading2"/>
        <w:tabs>
          <w:tab w:val="left" w:pos="567"/>
        </w:tabs>
      </w:pPr>
      <w:bookmarkStart w:id="29" w:name="_Toc300066087"/>
      <w:bookmarkStart w:id="30" w:name="_Toc211938181"/>
      <w:r w:rsidRPr="00957E31">
        <w:t>10</w:t>
      </w:r>
      <w:r>
        <w:t>.</w:t>
      </w:r>
      <w:r w:rsidRPr="00957E31">
        <w:tab/>
        <w:t>Publication</w:t>
      </w:r>
      <w:bookmarkEnd w:id="29"/>
      <w:bookmarkEnd w:id="30"/>
      <w:r w:rsidRPr="00957E31">
        <w:t xml:space="preserve"> </w:t>
      </w:r>
    </w:p>
    <w:p w14:paraId="149B7C01" w14:textId="3655AF23" w:rsidR="00674AD6" w:rsidRPr="007657DF" w:rsidRDefault="00674AD6" w:rsidP="00A1742D">
      <w:pPr>
        <w:tabs>
          <w:tab w:val="left" w:pos="567"/>
        </w:tabs>
        <w:spacing w:after="120"/>
        <w:ind w:left="567" w:hanging="567"/>
        <w:rPr>
          <w:rFonts w:cs="Arial"/>
          <w:sz w:val="22"/>
          <w:szCs w:val="22"/>
        </w:rPr>
      </w:pPr>
      <w:r w:rsidRPr="007657DF">
        <w:rPr>
          <w:rFonts w:cs="Arial"/>
          <w:sz w:val="22"/>
          <w:szCs w:val="22"/>
        </w:rPr>
        <w:t>10.1</w:t>
      </w:r>
      <w:r w:rsidRPr="007657DF">
        <w:rPr>
          <w:rFonts w:cs="Arial"/>
          <w:sz w:val="22"/>
          <w:szCs w:val="22"/>
        </w:rPr>
        <w:tab/>
        <w:t xml:space="preserve">The ACMA’s policy is set out in </w:t>
      </w:r>
      <w:r w:rsidRPr="007657DF">
        <w:rPr>
          <w:rFonts w:cs="Arial"/>
          <w:i/>
          <w:sz w:val="22"/>
          <w:szCs w:val="22"/>
        </w:rPr>
        <w:t xml:space="preserve">Regulatory </w:t>
      </w:r>
      <w:r w:rsidR="0044713E" w:rsidRPr="007657DF">
        <w:rPr>
          <w:rFonts w:cs="Arial"/>
          <w:i/>
          <w:sz w:val="22"/>
          <w:szCs w:val="22"/>
        </w:rPr>
        <w:t>g</w:t>
      </w:r>
      <w:r w:rsidRPr="007657DF">
        <w:rPr>
          <w:rFonts w:cs="Arial"/>
          <w:i/>
          <w:sz w:val="22"/>
          <w:szCs w:val="22"/>
        </w:rPr>
        <w:t>uide</w:t>
      </w:r>
      <w:r w:rsidR="004E148D" w:rsidRPr="007657DF">
        <w:rPr>
          <w:rFonts w:cs="Arial"/>
          <w:i/>
          <w:sz w:val="22"/>
          <w:szCs w:val="22"/>
        </w:rPr>
        <w:t xml:space="preserve"> </w:t>
      </w:r>
      <w:r w:rsidRPr="007657DF">
        <w:rPr>
          <w:rFonts w:cs="Arial"/>
          <w:i/>
          <w:sz w:val="22"/>
          <w:szCs w:val="22"/>
        </w:rPr>
        <w:t xml:space="preserve">No. </w:t>
      </w:r>
      <w:r w:rsidR="0044713E" w:rsidRPr="007657DF">
        <w:rPr>
          <w:rFonts w:cs="Arial"/>
          <w:i/>
          <w:sz w:val="22"/>
          <w:szCs w:val="22"/>
        </w:rPr>
        <w:t>6:</w:t>
      </w:r>
      <w:r w:rsidRPr="007657DF">
        <w:rPr>
          <w:rFonts w:cs="Arial"/>
          <w:i/>
          <w:sz w:val="22"/>
          <w:szCs w:val="22"/>
        </w:rPr>
        <w:t xml:space="preserve"> </w:t>
      </w:r>
      <w:r w:rsidRPr="007657DF">
        <w:rPr>
          <w:rFonts w:cs="Arial"/>
          <w:i/>
          <w:iCs/>
          <w:sz w:val="22"/>
          <w:szCs w:val="22"/>
        </w:rPr>
        <w:t xml:space="preserve">Publication of </w:t>
      </w:r>
      <w:r w:rsidR="0044713E" w:rsidRPr="007657DF">
        <w:rPr>
          <w:rFonts w:cs="Arial"/>
          <w:i/>
          <w:iCs/>
          <w:sz w:val="22"/>
          <w:szCs w:val="22"/>
        </w:rPr>
        <w:t>i</w:t>
      </w:r>
      <w:r w:rsidRPr="007657DF">
        <w:rPr>
          <w:rFonts w:cs="Arial"/>
          <w:i/>
          <w:iCs/>
          <w:sz w:val="22"/>
          <w:szCs w:val="22"/>
        </w:rPr>
        <w:t xml:space="preserve">nvestigations and </w:t>
      </w:r>
      <w:r w:rsidR="0044713E" w:rsidRPr="007657DF">
        <w:rPr>
          <w:rFonts w:cs="Arial"/>
          <w:i/>
          <w:iCs/>
          <w:sz w:val="22"/>
          <w:szCs w:val="22"/>
        </w:rPr>
        <w:t>e</w:t>
      </w:r>
      <w:r w:rsidRPr="007657DF">
        <w:rPr>
          <w:rFonts w:cs="Arial"/>
          <w:i/>
          <w:iCs/>
          <w:sz w:val="22"/>
          <w:szCs w:val="22"/>
        </w:rPr>
        <w:t xml:space="preserve">nforcement </w:t>
      </w:r>
      <w:r w:rsidR="0044713E" w:rsidRPr="007657DF">
        <w:rPr>
          <w:rFonts w:cs="Arial"/>
          <w:i/>
          <w:iCs/>
          <w:sz w:val="22"/>
          <w:szCs w:val="22"/>
        </w:rPr>
        <w:t>a</w:t>
      </w:r>
      <w:r w:rsidRPr="007657DF">
        <w:rPr>
          <w:rFonts w:cs="Arial"/>
          <w:i/>
          <w:iCs/>
          <w:sz w:val="22"/>
          <w:szCs w:val="22"/>
        </w:rPr>
        <w:t>ctions</w:t>
      </w:r>
      <w:r w:rsidRPr="007657DF">
        <w:rPr>
          <w:rFonts w:cs="Arial"/>
          <w:sz w:val="22"/>
          <w:szCs w:val="22"/>
        </w:rPr>
        <w:t xml:space="preserve">.   </w:t>
      </w:r>
    </w:p>
    <w:p w14:paraId="2BF0FD38" w14:textId="31D03FFC" w:rsidR="00674AD6" w:rsidRPr="007657DF" w:rsidRDefault="00674AD6" w:rsidP="00674AD6">
      <w:pPr>
        <w:tabs>
          <w:tab w:val="left" w:pos="567"/>
        </w:tabs>
        <w:ind w:left="567" w:hanging="567"/>
        <w:rPr>
          <w:rFonts w:cs="Arial"/>
          <w:sz w:val="22"/>
          <w:szCs w:val="22"/>
        </w:rPr>
      </w:pPr>
      <w:r w:rsidRPr="007657DF">
        <w:rPr>
          <w:rFonts w:cs="Arial"/>
          <w:sz w:val="22"/>
          <w:szCs w:val="22"/>
        </w:rPr>
        <w:t>10.2</w:t>
      </w:r>
      <w:r w:rsidRPr="007657DF">
        <w:rPr>
          <w:rFonts w:cs="Arial"/>
          <w:sz w:val="22"/>
          <w:szCs w:val="22"/>
        </w:rPr>
        <w:tab/>
        <w:t>In summary, the ACMA will publicise the giving of a remedial direction subject to any public interest reasons not to do so. When taking a decision to publicise a remedial direction, the ACMA will have regard to the person’s right to seek reconsideration by the ACMA or review by the AAT and</w:t>
      </w:r>
      <w:r w:rsidR="004E148D" w:rsidRPr="007657DF">
        <w:rPr>
          <w:rFonts w:cs="Arial"/>
          <w:sz w:val="22"/>
          <w:szCs w:val="22"/>
        </w:rPr>
        <w:t>,</w:t>
      </w:r>
      <w:r w:rsidRPr="007657DF">
        <w:rPr>
          <w:rFonts w:cs="Arial"/>
          <w:sz w:val="22"/>
          <w:szCs w:val="22"/>
        </w:rPr>
        <w:t xml:space="preserve"> where appropriate</w:t>
      </w:r>
      <w:r w:rsidR="004E148D" w:rsidRPr="007657DF">
        <w:rPr>
          <w:rFonts w:cs="Arial"/>
          <w:sz w:val="22"/>
          <w:szCs w:val="22"/>
        </w:rPr>
        <w:t>,</w:t>
      </w:r>
      <w:r w:rsidRPr="007657DF">
        <w:rPr>
          <w:rFonts w:cs="Arial"/>
          <w:sz w:val="22"/>
          <w:szCs w:val="22"/>
        </w:rPr>
        <w:t xml:space="preserve"> may include a statement relating to these rights. </w:t>
      </w:r>
    </w:p>
    <w:p w14:paraId="0A4E37E6" w14:textId="3FDEDB51" w:rsidR="00CB3DA1" w:rsidRPr="007657DF" w:rsidRDefault="00CB3DA1" w:rsidP="00674AD6">
      <w:pPr>
        <w:pStyle w:val="Paragraph"/>
        <w:rPr>
          <w:sz w:val="22"/>
          <w:szCs w:val="22"/>
        </w:rPr>
      </w:pPr>
    </w:p>
    <w:sectPr w:rsidR="00CB3DA1" w:rsidRPr="007657DF" w:rsidSect="00964344">
      <w:headerReference w:type="even" r:id="rId28"/>
      <w:headerReference w:type="default" r:id="rId29"/>
      <w:footerReference w:type="even" r:id="rId30"/>
      <w:footerReference w:type="default" r:id="rId31"/>
      <w:pgSz w:w="11906" w:h="16838" w:code="9"/>
      <w:pgMar w:top="1945" w:right="2267"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9F51" w14:textId="77777777" w:rsidR="007A53A4" w:rsidRDefault="007A53A4">
      <w:r>
        <w:separator/>
      </w:r>
    </w:p>
  </w:endnote>
  <w:endnote w:type="continuationSeparator" w:id="0">
    <w:p w14:paraId="5C8539AB" w14:textId="77777777" w:rsidR="007A53A4" w:rsidRDefault="007A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3787" w14:textId="1BA72323" w:rsidR="000A0350" w:rsidRDefault="00964344">
    <w:pPr>
      <w:pStyle w:val="Footer"/>
    </w:pPr>
    <w:r>
      <w:rPr>
        <w:noProof/>
      </w:rPr>
      <mc:AlternateContent>
        <mc:Choice Requires="wps">
          <w:drawing>
            <wp:anchor distT="0" distB="0" distL="0" distR="0" simplePos="0" relativeHeight="251687936" behindDoc="0" locked="0" layoutInCell="1" allowOverlap="1" wp14:anchorId="75FBAD3C" wp14:editId="59AD2B59">
              <wp:simplePos x="635" y="635"/>
              <wp:positionH relativeFrom="page">
                <wp:align>center</wp:align>
              </wp:positionH>
              <wp:positionV relativeFrom="page">
                <wp:align>bottom</wp:align>
              </wp:positionV>
              <wp:extent cx="551815" cy="376555"/>
              <wp:effectExtent l="0" t="0" r="635" b="0"/>
              <wp:wrapNone/>
              <wp:docPr id="21215722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BEE771" w14:textId="31C1BC82"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FBAD3C"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7BEE771" w14:textId="31C1BC82"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0751" w14:textId="4FACB14B" w:rsidR="00C053A1" w:rsidRPr="00622A3B" w:rsidRDefault="00964344"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Pr>
        <w:rFonts w:cs="Arial"/>
        <w:b/>
        <w:noProof/>
        <w:spacing w:val="-16"/>
        <w:sz w:val="20"/>
        <w:szCs w:val="20"/>
      </w:rPr>
      <mc:AlternateContent>
        <mc:Choice Requires="wps">
          <w:drawing>
            <wp:anchor distT="0" distB="0" distL="0" distR="0" simplePos="0" relativeHeight="251696128" behindDoc="0" locked="0" layoutInCell="1" allowOverlap="1" wp14:anchorId="2F1A71F3" wp14:editId="06B7075F">
              <wp:simplePos x="635" y="635"/>
              <wp:positionH relativeFrom="page">
                <wp:align>center</wp:align>
              </wp:positionH>
              <wp:positionV relativeFrom="page">
                <wp:align>bottom</wp:align>
              </wp:positionV>
              <wp:extent cx="551815" cy="376555"/>
              <wp:effectExtent l="0" t="0" r="635" b="0"/>
              <wp:wrapNone/>
              <wp:docPr id="29352315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BDE5EC" w14:textId="482A558B"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A71F3" id="_x0000_t202" coordsize="21600,21600" o:spt="202" path="m,l,21600r21600,l21600,xe">
              <v:stroke joinstyle="miter"/>
              <v:path gradientshapeok="t" o:connecttype="rect"/>
            </v:shapetype>
            <v:shape id="Text Box 19" o:spid="_x0000_s1037" type="#_x0000_t202" alt="OFFICIAL" style="position:absolute;left:0;text-align:left;margin-left:0;margin-top:0;width:43.45pt;height:29.6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18BDE5EC" w14:textId="482A558B"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r w:rsidR="00C053A1" w:rsidRPr="00622A3B">
      <w:rPr>
        <w:rFonts w:cs="Arial"/>
        <w:b/>
        <w:noProof/>
        <w:spacing w:val="-16"/>
        <w:sz w:val="20"/>
        <w:szCs w:val="20"/>
      </w:rPr>
      <w:t>a</w:t>
    </w:r>
    <w:r w:rsidR="00C053A1" w:rsidRPr="00622A3B">
      <w:rPr>
        <w:rFonts w:cs="Arial"/>
        <w:b/>
        <w:noProof/>
        <w:spacing w:val="-15"/>
        <w:sz w:val="20"/>
        <w:szCs w:val="20"/>
      </w:rPr>
      <w:t>c</w:t>
    </w:r>
    <w:r w:rsidR="00C053A1" w:rsidRPr="00622A3B">
      <w:rPr>
        <w:rFonts w:cs="Arial"/>
        <w:b/>
        <w:noProof/>
        <w:spacing w:val="-16"/>
        <w:sz w:val="20"/>
        <w:szCs w:val="20"/>
      </w:rPr>
      <w:t>m</w:t>
    </w:r>
    <w:r w:rsidR="00C053A1" w:rsidRPr="00622A3B">
      <w:rPr>
        <w:rFonts w:cs="Arial"/>
        <w:b/>
        <w:noProof/>
        <w:spacing w:val="-14"/>
        <w:sz w:val="20"/>
        <w:szCs w:val="20"/>
      </w:rPr>
      <w:t>a</w:t>
    </w:r>
    <w:r w:rsidR="00C053A1" w:rsidRPr="0094078F">
      <w:rPr>
        <w:rFonts w:cs="Arial"/>
      </w:rPr>
      <w:tab/>
    </w:r>
    <w:r w:rsidR="00C053A1">
      <w:rPr>
        <w:rFonts w:cs="Arial"/>
      </w:rPr>
      <w:t xml:space="preserve"> </w:t>
    </w:r>
    <w:r w:rsidR="00C053A1" w:rsidRPr="00622A3B">
      <w:rPr>
        <w:rFonts w:cs="Arial"/>
      </w:rPr>
      <w:t>|</w:t>
    </w:r>
    <w:r w:rsidR="00C053A1">
      <w:tab/>
    </w:r>
    <w:r w:rsidR="00C053A1" w:rsidRPr="00575AC5">
      <w:rPr>
        <w:color w:val="505050"/>
      </w:rPr>
      <w:fldChar w:fldCharType="begin"/>
    </w:r>
    <w:r w:rsidR="00C053A1" w:rsidRPr="00575AC5">
      <w:rPr>
        <w:color w:val="505050"/>
      </w:rPr>
      <w:instrText xml:space="preserve"> PAGE  \* Arabic  \* MERGEFORMAT </w:instrText>
    </w:r>
    <w:r w:rsidR="00C053A1" w:rsidRPr="00575AC5">
      <w:rPr>
        <w:color w:val="505050"/>
      </w:rPr>
      <w:fldChar w:fldCharType="separate"/>
    </w:r>
    <w:r w:rsidR="00DD1A43">
      <w:rPr>
        <w:noProof/>
        <w:color w:val="505050"/>
      </w:rPr>
      <w:t>1</w:t>
    </w:r>
    <w:r w:rsidR="00C053A1" w:rsidRPr="00575AC5">
      <w:rPr>
        <w:color w:val="505050"/>
      </w:rPr>
      <w:fldChar w:fldCharType="end"/>
    </w:r>
  </w:p>
  <w:p w14:paraId="69157EBF" w14:textId="77777777" w:rsidR="00C053A1" w:rsidRPr="00A5474E" w:rsidRDefault="00C053A1" w:rsidP="00A54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E15A" w14:textId="2A5F8B3E" w:rsidR="005E250B" w:rsidRDefault="005E250B" w:rsidP="005E250B">
    <w:pPr>
      <w:pStyle w:val="Footer"/>
      <w:jc w:val="right"/>
    </w:pPr>
    <w:r w:rsidRPr="005E250B">
      <w:rPr>
        <w:noProof/>
        <w:vertAlign w:val="subscript"/>
      </w:rPr>
      <w:drawing>
        <wp:inline distT="0" distB="0" distL="0" distR="0" wp14:anchorId="4A66AE9F" wp14:editId="2E6D944E">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94BD" w14:textId="7B365AF4" w:rsidR="000A0350" w:rsidRDefault="00964344">
    <w:pPr>
      <w:pStyle w:val="Footer"/>
    </w:pPr>
    <w:r>
      <w:rPr>
        <w:noProof/>
      </w:rPr>
      <mc:AlternateContent>
        <mc:Choice Requires="wps">
          <w:drawing>
            <wp:anchor distT="0" distB="0" distL="0" distR="0" simplePos="0" relativeHeight="251686912" behindDoc="0" locked="0" layoutInCell="1" allowOverlap="1" wp14:anchorId="6F4C3F52" wp14:editId="1D085ABA">
              <wp:simplePos x="635" y="635"/>
              <wp:positionH relativeFrom="page">
                <wp:align>center</wp:align>
              </wp:positionH>
              <wp:positionV relativeFrom="page">
                <wp:align>bottom</wp:align>
              </wp:positionV>
              <wp:extent cx="551815" cy="376555"/>
              <wp:effectExtent l="0" t="0" r="635" b="0"/>
              <wp:wrapNone/>
              <wp:docPr id="7025196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490FAE" w14:textId="33EB7029"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C3F52" id="_x0000_t202" coordsize="21600,21600" o:spt="202" path="m,l,21600r21600,l21600,xe">
              <v:stroke joinstyle="miter"/>
              <v:path gradientshapeok="t" o:connecttype="rect"/>
            </v:shapetype>
            <v:shape id="Text Box 10" o:spid="_x0000_s1028" type="#_x0000_t202" alt="OFFICIAL" style="position:absolute;margin-left:0;margin-top:0;width:43.45pt;height:29.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E490FAE" w14:textId="33EB7029"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E1E0" w14:textId="599F55DE" w:rsidR="00C053A1" w:rsidRDefault="00C053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5009" w14:textId="16ABF024" w:rsidR="00C053A1" w:rsidRDefault="00964344">
    <w:pPr>
      <w:pStyle w:val="Footer"/>
    </w:pPr>
    <w:r>
      <w:rPr>
        <w:noProof/>
      </w:rPr>
      <mc:AlternateContent>
        <mc:Choice Requires="wps">
          <w:drawing>
            <wp:anchor distT="0" distB="0" distL="0" distR="0" simplePos="0" relativeHeight="251691008" behindDoc="0" locked="0" layoutInCell="1" allowOverlap="1" wp14:anchorId="5D284A0D" wp14:editId="04BBAB8D">
              <wp:simplePos x="635" y="635"/>
              <wp:positionH relativeFrom="page">
                <wp:align>center</wp:align>
              </wp:positionH>
              <wp:positionV relativeFrom="page">
                <wp:align>bottom</wp:align>
              </wp:positionV>
              <wp:extent cx="551815" cy="376555"/>
              <wp:effectExtent l="0" t="0" r="635" b="0"/>
              <wp:wrapNone/>
              <wp:docPr id="127496395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78A02E" w14:textId="57A5DA81"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284A0D" id="_x0000_t202" coordsize="21600,21600" o:spt="202" path="m,l,21600r21600,l21600,xe">
              <v:stroke joinstyle="miter"/>
              <v:path gradientshapeok="t" o:connecttype="rect"/>
            </v:shapetype>
            <v:shape id="Text Box 14" o:spid="_x0000_s1030" type="#_x0000_t202" alt="OFFICIAL" style="position:absolute;margin-left:0;margin-top:0;width:43.45pt;height:29.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3D78A02E" w14:textId="57A5DA81"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EFD2" w14:textId="28E96632" w:rsidR="00971914" w:rsidRPr="00622A3B" w:rsidRDefault="0096434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Pr>
        <w:rFonts w:cs="Arial"/>
        <w:b/>
        <w:noProof/>
        <w:spacing w:val="-16"/>
        <w:sz w:val="20"/>
        <w:szCs w:val="20"/>
      </w:rPr>
      <mc:AlternateContent>
        <mc:Choice Requires="wps">
          <w:drawing>
            <wp:anchor distT="0" distB="0" distL="0" distR="0" simplePos="0" relativeHeight="251693056" behindDoc="0" locked="0" layoutInCell="1" allowOverlap="1" wp14:anchorId="1D025E83" wp14:editId="2244DEB0">
              <wp:simplePos x="635" y="635"/>
              <wp:positionH relativeFrom="page">
                <wp:align>center</wp:align>
              </wp:positionH>
              <wp:positionV relativeFrom="page">
                <wp:align>bottom</wp:align>
              </wp:positionV>
              <wp:extent cx="551815" cy="376555"/>
              <wp:effectExtent l="0" t="0" r="635" b="0"/>
              <wp:wrapNone/>
              <wp:docPr id="197337550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30397" w14:textId="1BEDAD6C"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25E83" id="_x0000_t202" coordsize="21600,21600" o:spt="202" path="m,l,21600r21600,l21600,xe">
              <v:stroke joinstyle="miter"/>
              <v:path gradientshapeok="t" o:connecttype="rect"/>
            </v:shapetype>
            <v:shape id="Text Box 16" o:spid="_x0000_s1033" type="#_x0000_t202" alt="OFFICIAL" style="position:absolute;margin-left:0;margin-top:0;width:43.45pt;height:29.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6E430397" w14:textId="1BEDAD6C"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iv</w:t>
    </w:r>
    <w:r w:rsidR="00971914" w:rsidRPr="002E4DDC">
      <w:rPr>
        <w:color w:val="505050"/>
      </w:rPr>
      <w:fldChar w:fldCharType="end"/>
    </w:r>
  </w:p>
  <w:p w14:paraId="163E0E0E"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AA75" w14:textId="2797637E" w:rsidR="00971914" w:rsidRPr="00622A3B" w:rsidRDefault="0096434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94080" behindDoc="0" locked="0" layoutInCell="1" allowOverlap="1" wp14:anchorId="75D09649" wp14:editId="4405D7A2">
              <wp:simplePos x="635" y="635"/>
              <wp:positionH relativeFrom="page">
                <wp:align>center</wp:align>
              </wp:positionH>
              <wp:positionV relativeFrom="page">
                <wp:align>bottom</wp:align>
              </wp:positionV>
              <wp:extent cx="551815" cy="376555"/>
              <wp:effectExtent l="0" t="0" r="635" b="0"/>
              <wp:wrapNone/>
              <wp:docPr id="78431194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B95878" w14:textId="6383F405"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09649" id="_x0000_t202" coordsize="21600,21600" o:spt="202" path="m,l,21600r21600,l21600,xe">
              <v:stroke joinstyle="miter"/>
              <v:path gradientshapeok="t" o:connecttype="rect"/>
            </v:shapetype>
            <v:shape id="Text Box 17" o:spid="_x0000_s1034" type="#_x0000_t202" alt="OFFICIAL" style="position:absolute;left:0;text-align:left;margin-left:0;margin-top:0;width:43.45pt;height:29.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AB95878" w14:textId="6383F405"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v</w:t>
    </w:r>
    <w:r w:rsidR="00971914" w:rsidRPr="002E4DDC">
      <w:rPr>
        <w:color w:val="505050"/>
      </w:rPr>
      <w:fldChar w:fldCharType="end"/>
    </w:r>
  </w:p>
  <w:p w14:paraId="00C83ECC"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1160" w14:textId="52DB8A38" w:rsidR="00C053A1" w:rsidRPr="00622A3B" w:rsidRDefault="00964344"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92032" behindDoc="0" locked="0" layoutInCell="1" allowOverlap="1" wp14:anchorId="4B526D38" wp14:editId="0AE9B42A">
              <wp:simplePos x="635" y="635"/>
              <wp:positionH relativeFrom="page">
                <wp:align>center</wp:align>
              </wp:positionH>
              <wp:positionV relativeFrom="page">
                <wp:align>bottom</wp:align>
              </wp:positionV>
              <wp:extent cx="551815" cy="376555"/>
              <wp:effectExtent l="0" t="0" r="635" b="0"/>
              <wp:wrapNone/>
              <wp:docPr id="18319853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71BDC0" w14:textId="628957CC"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26D38"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29.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6C71BDC0" w14:textId="628957CC"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r w:rsidR="00C053A1" w:rsidRPr="00622A3B">
      <w:rPr>
        <w:rFonts w:cs="Arial"/>
        <w:b/>
        <w:noProof/>
        <w:spacing w:val="-16"/>
        <w:sz w:val="20"/>
        <w:szCs w:val="20"/>
      </w:rPr>
      <w:t>a</w:t>
    </w:r>
    <w:r w:rsidR="00C053A1" w:rsidRPr="00622A3B">
      <w:rPr>
        <w:rFonts w:cs="Arial"/>
        <w:b/>
        <w:noProof/>
        <w:spacing w:val="-15"/>
        <w:sz w:val="20"/>
        <w:szCs w:val="20"/>
      </w:rPr>
      <w:t>c</w:t>
    </w:r>
    <w:r w:rsidR="00C053A1" w:rsidRPr="00622A3B">
      <w:rPr>
        <w:rFonts w:cs="Arial"/>
        <w:b/>
        <w:noProof/>
        <w:spacing w:val="-16"/>
        <w:sz w:val="20"/>
        <w:szCs w:val="20"/>
      </w:rPr>
      <w:t>m</w:t>
    </w:r>
    <w:r w:rsidR="00C053A1" w:rsidRPr="00622A3B">
      <w:rPr>
        <w:rFonts w:cs="Arial"/>
        <w:b/>
        <w:noProof/>
        <w:spacing w:val="-14"/>
        <w:sz w:val="20"/>
        <w:szCs w:val="20"/>
      </w:rPr>
      <w:t>a</w:t>
    </w:r>
    <w:r w:rsidR="00C053A1" w:rsidRPr="0094078F">
      <w:rPr>
        <w:rFonts w:cs="Arial"/>
      </w:rPr>
      <w:tab/>
    </w:r>
    <w:r w:rsidR="00C053A1">
      <w:rPr>
        <w:rFonts w:cs="Arial"/>
      </w:rPr>
      <w:t xml:space="preserve"> </w:t>
    </w:r>
    <w:r w:rsidR="00C053A1" w:rsidRPr="00622A3B">
      <w:rPr>
        <w:rFonts w:cs="Arial"/>
      </w:rPr>
      <w:t>|</w:t>
    </w:r>
    <w:r w:rsidR="00C053A1">
      <w:tab/>
    </w:r>
    <w:r w:rsidR="00C053A1" w:rsidRPr="002E4DDC">
      <w:rPr>
        <w:color w:val="505050"/>
      </w:rPr>
      <w:fldChar w:fldCharType="begin"/>
    </w:r>
    <w:r w:rsidR="00C053A1" w:rsidRPr="002E4DDC">
      <w:rPr>
        <w:color w:val="505050"/>
      </w:rPr>
      <w:instrText xml:space="preserve"> PAGE  \* roman  \* MERGEFORMAT </w:instrText>
    </w:r>
    <w:r w:rsidR="00C053A1" w:rsidRPr="002E4DDC">
      <w:rPr>
        <w:color w:val="505050"/>
      </w:rPr>
      <w:fldChar w:fldCharType="separate"/>
    </w:r>
    <w:r w:rsidR="00DD1A43">
      <w:rPr>
        <w:noProof/>
        <w:color w:val="505050"/>
      </w:rPr>
      <w:t>iii</w:t>
    </w:r>
    <w:r w:rsidR="00C053A1" w:rsidRPr="002E4DDC">
      <w:rPr>
        <w:color w:val="505050"/>
      </w:rPr>
      <w:fldChar w:fldCharType="end"/>
    </w:r>
  </w:p>
  <w:p w14:paraId="573D5465" w14:textId="77777777" w:rsidR="00C053A1" w:rsidRPr="00A5474E" w:rsidRDefault="00C053A1" w:rsidP="00A547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137E" w14:textId="18BDE91E" w:rsidR="00C053A1" w:rsidRPr="00622A3B" w:rsidRDefault="00964344" w:rsidP="00B43262">
    <w:pPr>
      <w:pStyle w:val="FooterLeft"/>
      <w:framePr w:wrap="around" w:x="1141" w:y="16166"/>
      <w:tabs>
        <w:tab w:val="clear" w:pos="113"/>
        <w:tab w:val="right" w:pos="397"/>
      </w:tabs>
    </w:pPr>
    <w:r>
      <w:rPr>
        <w:noProof/>
      </w:rPr>
      <mc:AlternateContent>
        <mc:Choice Requires="wps">
          <w:drawing>
            <wp:anchor distT="0" distB="0" distL="0" distR="0" simplePos="0" relativeHeight="251695104" behindDoc="0" locked="0" layoutInCell="1" allowOverlap="1" wp14:anchorId="48A4E4B6" wp14:editId="1CD1BB9C">
              <wp:simplePos x="635" y="635"/>
              <wp:positionH relativeFrom="page">
                <wp:align>center</wp:align>
              </wp:positionH>
              <wp:positionV relativeFrom="page">
                <wp:align>bottom</wp:align>
              </wp:positionV>
              <wp:extent cx="551815" cy="376555"/>
              <wp:effectExtent l="0" t="0" r="635" b="0"/>
              <wp:wrapNone/>
              <wp:docPr id="119421302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D927C9" w14:textId="58D834A4"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4E4B6" id="_x0000_t202" coordsize="21600,21600" o:spt="202" path="m,l,21600r21600,l21600,xe">
              <v:stroke joinstyle="miter"/>
              <v:path gradientshapeok="t" o:connecttype="rect"/>
            </v:shapetype>
            <v:shape id="Text Box 18" o:spid="_x0000_s1036" type="#_x0000_t202" alt="OFFICIAL" style="position:absolute;margin-left:0;margin-top:0;width:43.45pt;height:29.6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4FD927C9" w14:textId="58D834A4"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r w:rsidR="00C053A1" w:rsidRPr="00575AC5">
      <w:fldChar w:fldCharType="begin"/>
    </w:r>
    <w:r w:rsidR="00C053A1" w:rsidRPr="00575AC5">
      <w:instrText xml:space="preserve"> PAGE  \* Arabic  \* MERGEFORMAT </w:instrText>
    </w:r>
    <w:r w:rsidR="00C053A1" w:rsidRPr="00575AC5">
      <w:fldChar w:fldCharType="separate"/>
    </w:r>
    <w:r w:rsidR="00DD1A43">
      <w:rPr>
        <w:noProof/>
      </w:rPr>
      <w:t>6</w:t>
    </w:r>
    <w:r w:rsidR="00C053A1" w:rsidRPr="00575AC5">
      <w:fldChar w:fldCharType="end"/>
    </w:r>
    <w:r w:rsidR="00C053A1" w:rsidRPr="0094078F">
      <w:tab/>
    </w:r>
    <w:r w:rsidR="00C053A1" w:rsidRPr="00622A3B">
      <w:t>|</w:t>
    </w:r>
    <w:r w:rsidR="00C053A1">
      <w:tab/>
    </w:r>
    <w:r w:rsidR="00C053A1" w:rsidRPr="00622A3B">
      <w:rPr>
        <w:b/>
        <w:noProof/>
        <w:spacing w:val="-16"/>
        <w:sz w:val="20"/>
        <w:szCs w:val="20"/>
      </w:rPr>
      <w:t>a</w:t>
    </w:r>
    <w:r w:rsidR="00C053A1" w:rsidRPr="00622A3B">
      <w:rPr>
        <w:b/>
        <w:noProof/>
        <w:spacing w:val="-15"/>
        <w:sz w:val="20"/>
        <w:szCs w:val="20"/>
      </w:rPr>
      <w:t>c</w:t>
    </w:r>
    <w:r w:rsidR="00C053A1" w:rsidRPr="00622A3B">
      <w:rPr>
        <w:b/>
        <w:noProof/>
        <w:spacing w:val="-16"/>
        <w:sz w:val="20"/>
        <w:szCs w:val="20"/>
      </w:rPr>
      <w:t>m</w:t>
    </w:r>
    <w:r w:rsidR="00C053A1" w:rsidRPr="00622A3B">
      <w:rPr>
        <w:b/>
        <w:noProof/>
        <w:spacing w:val="-14"/>
        <w:sz w:val="20"/>
        <w:szCs w:val="20"/>
      </w:rPr>
      <w:t>a</w:t>
    </w:r>
  </w:p>
  <w:p w14:paraId="50FA8457"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EF80" w14:textId="77777777" w:rsidR="007A53A4" w:rsidRDefault="007A53A4" w:rsidP="006A3FAC">
      <w:pPr>
        <w:spacing w:after="120"/>
      </w:pPr>
      <w:r>
        <w:separator/>
      </w:r>
    </w:p>
  </w:footnote>
  <w:footnote w:type="continuationSeparator" w:id="0">
    <w:p w14:paraId="221AFB4B" w14:textId="77777777" w:rsidR="007A53A4" w:rsidRDefault="007A53A4">
      <w:r>
        <w:continuationSeparator/>
      </w:r>
    </w:p>
  </w:footnote>
  <w:footnote w:id="1">
    <w:p w14:paraId="572F126D" w14:textId="77777777" w:rsidR="00674AD6" w:rsidRPr="00957E31" w:rsidRDefault="00674AD6" w:rsidP="00674AD6">
      <w:pPr>
        <w:pStyle w:val="FootnoteText"/>
        <w:rPr>
          <w:rFonts w:cs="Arial"/>
        </w:rPr>
      </w:pPr>
      <w:r w:rsidRPr="00957E31">
        <w:rPr>
          <w:rStyle w:val="FootnoteReference"/>
          <w:rFonts w:cs="Arial"/>
        </w:rPr>
        <w:footnoteRef/>
      </w:r>
      <w:r w:rsidRPr="00957E31">
        <w:rPr>
          <w:rFonts w:cs="Arial"/>
        </w:rPr>
        <w:t xml:space="preserve"> Cf</w:t>
      </w:r>
      <w:r>
        <w:rPr>
          <w:rFonts w:cs="Arial"/>
        </w:rPr>
        <w:t>.</w:t>
      </w:r>
      <w:r w:rsidRPr="00957E31">
        <w:rPr>
          <w:rFonts w:cs="Arial"/>
        </w:rPr>
        <w:t xml:space="preserve"> the </w:t>
      </w:r>
      <w:r>
        <w:rPr>
          <w:rFonts w:cs="Arial"/>
        </w:rPr>
        <w:t xml:space="preserve">ACMA’s </w:t>
      </w:r>
      <w:r w:rsidRPr="00957E31">
        <w:rPr>
          <w:rFonts w:cs="Arial"/>
        </w:rPr>
        <w:t xml:space="preserve">power to issue a direction to comply with a registered industry code under section 121 of the </w:t>
      </w:r>
      <w:r w:rsidRPr="00991620">
        <w:rPr>
          <w:rFonts w:cs="Arial"/>
        </w:rPr>
        <w:t>Telecommunications Act</w:t>
      </w:r>
      <w:r w:rsidRPr="007F2057">
        <w:rPr>
          <w:rFonts w:cs="Arial"/>
        </w:rPr>
        <w:t>.</w:t>
      </w:r>
    </w:p>
  </w:footnote>
  <w:footnote w:id="2">
    <w:p w14:paraId="43E2CB92" w14:textId="3D7804B4" w:rsidR="00674AD6" w:rsidRPr="00957E31" w:rsidRDefault="00674AD6" w:rsidP="00674AD6">
      <w:pPr>
        <w:pStyle w:val="FootnoteText"/>
        <w:rPr>
          <w:rFonts w:cs="Arial"/>
        </w:rPr>
      </w:pPr>
      <w:r w:rsidRPr="00957E31">
        <w:rPr>
          <w:rStyle w:val="FootnoteReference"/>
          <w:rFonts w:cs="Arial"/>
        </w:rPr>
        <w:footnoteRef/>
      </w:r>
      <w:r w:rsidRPr="00957E31">
        <w:rPr>
          <w:rFonts w:cs="Arial"/>
        </w:rPr>
        <w:t xml:space="preserve"> See</w:t>
      </w:r>
      <w:r>
        <w:rPr>
          <w:rFonts w:cs="Arial"/>
        </w:rPr>
        <w:t>,</w:t>
      </w:r>
      <w:r w:rsidRPr="00957E31">
        <w:rPr>
          <w:rFonts w:cs="Arial"/>
        </w:rPr>
        <w:t xml:space="preserve"> for example</w:t>
      </w:r>
      <w:r>
        <w:rPr>
          <w:rFonts w:cs="Arial"/>
        </w:rPr>
        <w:t>,</w:t>
      </w:r>
      <w:r w:rsidR="00DF1969">
        <w:rPr>
          <w:rFonts w:cs="Arial"/>
        </w:rPr>
        <w:t xml:space="preserve"> </w:t>
      </w:r>
      <w:r w:rsidRPr="00957E31">
        <w:rPr>
          <w:rFonts w:cs="Arial"/>
        </w:rPr>
        <w:t>s</w:t>
      </w:r>
      <w:r>
        <w:rPr>
          <w:rFonts w:cs="Arial"/>
        </w:rPr>
        <w:t>ubs</w:t>
      </w:r>
      <w:r w:rsidRPr="00957E31">
        <w:rPr>
          <w:rFonts w:cs="Arial"/>
        </w:rPr>
        <w:t>ections 121</w:t>
      </w:r>
      <w:r w:rsidRPr="00957E31">
        <w:rPr>
          <w:rFonts w:cs="Arial"/>
        </w:rPr>
        <w:t>FJB(1), 141(1), (3), (4) and (6)</w:t>
      </w:r>
      <w:r>
        <w:rPr>
          <w:rFonts w:cs="Arial"/>
        </w:rPr>
        <w:t xml:space="preserve">; </w:t>
      </w:r>
      <w:r w:rsidRPr="00957E31">
        <w:rPr>
          <w:rFonts w:cs="Arial"/>
        </w:rPr>
        <w:t>clause 53 of Schedule 6 of the</w:t>
      </w:r>
      <w:r>
        <w:rPr>
          <w:rFonts w:cs="Arial"/>
        </w:rPr>
        <w:t xml:space="preserve"> BSA</w:t>
      </w:r>
      <w:r w:rsidRPr="00957E31">
        <w:rPr>
          <w:rFonts w:cs="Arial"/>
        </w:rPr>
        <w:t xml:space="preserve">; </w:t>
      </w:r>
      <w:r w:rsidR="000967C2">
        <w:rPr>
          <w:rFonts w:cs="Arial"/>
        </w:rPr>
        <w:t>section 268 of the Radiocommunications Act</w:t>
      </w:r>
      <w:r w:rsidR="00AB42F7">
        <w:rPr>
          <w:rFonts w:cs="Arial"/>
        </w:rPr>
        <w:t>;</w:t>
      </w:r>
      <w:r w:rsidR="000967C2">
        <w:rPr>
          <w:rFonts w:cs="Arial"/>
        </w:rPr>
        <w:t xml:space="preserve"> </w:t>
      </w:r>
      <w:r w:rsidRPr="00957E31">
        <w:rPr>
          <w:rFonts w:cs="Arial"/>
        </w:rPr>
        <w:t xml:space="preserve">sections 69, 102 and 295S of the </w:t>
      </w:r>
      <w:r w:rsidRPr="00991620">
        <w:rPr>
          <w:rFonts w:cs="Arial"/>
        </w:rPr>
        <w:t>Telecommunications Act</w:t>
      </w:r>
      <w:r>
        <w:rPr>
          <w:rFonts w:cs="Arial"/>
        </w:rPr>
        <w:t xml:space="preserve">; </w:t>
      </w:r>
      <w:r w:rsidRPr="00957E31">
        <w:rPr>
          <w:rFonts w:cs="Arial"/>
        </w:rPr>
        <w:t>section</w:t>
      </w:r>
      <w:r w:rsidR="00654AA0">
        <w:rPr>
          <w:rFonts w:cs="Arial"/>
        </w:rPr>
        <w:t>s</w:t>
      </w:r>
      <w:r w:rsidRPr="00957E31">
        <w:rPr>
          <w:rFonts w:cs="Arial"/>
        </w:rPr>
        <w:t xml:space="preserve"> 56</w:t>
      </w:r>
      <w:r w:rsidR="00CD4B1B">
        <w:rPr>
          <w:rFonts w:cs="Arial"/>
        </w:rPr>
        <w:t xml:space="preserve"> and </w:t>
      </w:r>
      <w:r w:rsidR="000A0350">
        <w:rPr>
          <w:rFonts w:cs="Arial"/>
        </w:rPr>
        <w:t>6</w:t>
      </w:r>
      <w:r w:rsidR="00CD4B1B">
        <w:rPr>
          <w:rFonts w:cs="Arial"/>
        </w:rPr>
        <w:t>4F</w:t>
      </w:r>
      <w:r w:rsidRPr="00957E31">
        <w:rPr>
          <w:rFonts w:cs="Arial"/>
        </w:rPr>
        <w:t xml:space="preserve"> of the </w:t>
      </w:r>
      <w:r>
        <w:rPr>
          <w:rFonts w:cs="Arial"/>
        </w:rPr>
        <w:t>IGA</w:t>
      </w:r>
      <w:r w:rsidRPr="00991620">
        <w:rPr>
          <w:rFonts w:cs="Arial"/>
        </w:rPr>
        <w:t xml:space="preserve"> </w:t>
      </w:r>
      <w:r w:rsidRPr="00957E31">
        <w:rPr>
          <w:rFonts w:cs="Arial"/>
        </w:rPr>
        <w:t xml:space="preserve">and section 118 of the </w:t>
      </w:r>
      <w:r>
        <w:rPr>
          <w:rFonts w:cs="Arial"/>
        </w:rPr>
        <w:t xml:space="preserve">TCPSS </w:t>
      </w:r>
      <w:r w:rsidRPr="00991620">
        <w:rPr>
          <w:rFonts w:cs="Arial"/>
        </w:rPr>
        <w:t>Act</w:t>
      </w:r>
      <w:r w:rsidRPr="00957E31">
        <w:rPr>
          <w:rFonts w:cs="Arial"/>
        </w:rPr>
        <w:t xml:space="preserve">. </w:t>
      </w:r>
    </w:p>
  </w:footnote>
  <w:footnote w:id="3">
    <w:p w14:paraId="6EA8700F" w14:textId="20634103" w:rsidR="00674AD6" w:rsidRPr="00957E31" w:rsidRDefault="00674AD6" w:rsidP="00674AD6">
      <w:pPr>
        <w:pStyle w:val="FootnoteText"/>
        <w:rPr>
          <w:rFonts w:cs="Arial"/>
        </w:rPr>
      </w:pPr>
      <w:r w:rsidRPr="00957E31">
        <w:rPr>
          <w:rStyle w:val="FootnoteReference"/>
          <w:rFonts w:cs="Arial"/>
        </w:rPr>
        <w:footnoteRef/>
      </w:r>
      <w:r w:rsidRPr="00957E31">
        <w:rPr>
          <w:rFonts w:cs="Arial"/>
        </w:rPr>
        <w:t xml:space="preserve"> S</w:t>
      </w:r>
      <w:r>
        <w:rPr>
          <w:rFonts w:cs="Arial"/>
        </w:rPr>
        <w:t>ubs</w:t>
      </w:r>
      <w:r w:rsidRPr="00957E31">
        <w:rPr>
          <w:rFonts w:cs="Arial"/>
        </w:rPr>
        <w:t>ection 118(2) of the</w:t>
      </w:r>
      <w:r>
        <w:rPr>
          <w:rFonts w:cs="Arial"/>
        </w:rPr>
        <w:t xml:space="preserve"> TCPSS Act</w:t>
      </w:r>
      <w:r w:rsidRPr="00957E31">
        <w:rPr>
          <w:rFonts w:cs="Arial"/>
        </w:rPr>
        <w:t xml:space="preserve"> also empowers the ACMA to give a provider a written direction requiring the</w:t>
      </w:r>
      <w:r>
        <w:rPr>
          <w:rFonts w:cs="Arial"/>
        </w:rPr>
        <w:t>m</w:t>
      </w:r>
      <w:r w:rsidRPr="00957E31">
        <w:rPr>
          <w:rFonts w:cs="Arial"/>
        </w:rPr>
        <w:t xml:space="preserve"> to take such action as will ensure that the extent of the</w:t>
      </w:r>
      <w:r>
        <w:rPr>
          <w:rFonts w:cs="Arial"/>
        </w:rPr>
        <w:t>ir</w:t>
      </w:r>
      <w:r w:rsidRPr="00957E31">
        <w:rPr>
          <w:rFonts w:cs="Arial"/>
        </w:rPr>
        <w:t xml:space="preserve"> compliance with the standard in force under section 115</w:t>
      </w:r>
      <w:r w:rsidR="00221D5E">
        <w:rPr>
          <w:rFonts w:cs="Arial"/>
        </w:rPr>
        <w:t xml:space="preserve"> or 117D</w:t>
      </w:r>
      <w:r w:rsidRPr="00957E31">
        <w:rPr>
          <w:rFonts w:cs="Arial"/>
        </w:rPr>
        <w:t xml:space="preserve"> ‘reaches or exceeds a specified goal or target’.</w:t>
      </w:r>
    </w:p>
  </w:footnote>
  <w:footnote w:id="4">
    <w:p w14:paraId="4EDFEF5A" w14:textId="3E15AE51" w:rsidR="00674AD6" w:rsidRPr="00957E31" w:rsidRDefault="00674AD6" w:rsidP="006A3B79">
      <w:pPr>
        <w:pStyle w:val="FootnoteText"/>
        <w:spacing w:after="0"/>
        <w:rPr>
          <w:rFonts w:cs="Arial"/>
        </w:rPr>
      </w:pPr>
      <w:r w:rsidRPr="00957E31">
        <w:rPr>
          <w:rStyle w:val="FootnoteReference"/>
          <w:rFonts w:cs="Arial"/>
        </w:rPr>
        <w:footnoteRef/>
      </w:r>
      <w:r w:rsidRPr="00957E31">
        <w:rPr>
          <w:rFonts w:cs="Arial"/>
        </w:rPr>
        <w:t xml:space="preserve"> In some instances</w:t>
      </w:r>
      <w:r>
        <w:rPr>
          <w:rFonts w:cs="Arial"/>
        </w:rPr>
        <w:t>,</w:t>
      </w:r>
      <w:r w:rsidRPr="00957E31">
        <w:rPr>
          <w:rFonts w:cs="Arial"/>
        </w:rPr>
        <w:t xml:space="preserve"> the </w:t>
      </w:r>
      <w:r w:rsidR="00AB42F7">
        <w:rPr>
          <w:rFonts w:cs="Arial"/>
        </w:rPr>
        <w:t xml:space="preserve">legislation </w:t>
      </w:r>
      <w:r w:rsidRPr="00957E31">
        <w:rPr>
          <w:rFonts w:cs="Arial"/>
        </w:rPr>
        <w:t>empowers the ACMA to issue formal warnings (</w:t>
      </w:r>
      <w:r>
        <w:rPr>
          <w:rFonts w:cs="Arial"/>
        </w:rPr>
        <w:t>for example,</w:t>
      </w:r>
      <w:r w:rsidRPr="00957E31">
        <w:rPr>
          <w:rFonts w:cs="Arial"/>
        </w:rPr>
        <w:t xml:space="preserve"> sections 70 and 103 of the </w:t>
      </w:r>
      <w:r w:rsidRPr="00991620">
        <w:rPr>
          <w:rFonts w:cs="Arial"/>
        </w:rPr>
        <w:t>Telecommunications Act</w:t>
      </w:r>
      <w:r w:rsidRPr="00957E31">
        <w:rPr>
          <w:rFonts w:cs="Arial"/>
        </w:rPr>
        <w:t xml:space="preserve">). The issue of a formal warning is not a precondition to a remedial direction.  </w:t>
      </w:r>
    </w:p>
  </w:footnote>
  <w:footnote w:id="5">
    <w:p w14:paraId="7FEE2BEE" w14:textId="710A06DC" w:rsidR="00674AD6" w:rsidRPr="00957E31" w:rsidRDefault="00674AD6" w:rsidP="00674AD6">
      <w:pPr>
        <w:pStyle w:val="FootnoteText"/>
        <w:rPr>
          <w:rFonts w:cs="Arial"/>
        </w:rPr>
      </w:pPr>
      <w:r w:rsidRPr="00957E31">
        <w:rPr>
          <w:rStyle w:val="FootnoteReference"/>
          <w:rFonts w:cs="Arial"/>
        </w:rPr>
        <w:footnoteRef/>
      </w:r>
      <w:r w:rsidRPr="00957E31">
        <w:rPr>
          <w:rFonts w:cs="Arial"/>
        </w:rPr>
        <w:t xml:space="preserve"> See s</w:t>
      </w:r>
      <w:r>
        <w:rPr>
          <w:rFonts w:cs="Arial"/>
        </w:rPr>
        <w:t>ubs</w:t>
      </w:r>
      <w:r w:rsidRPr="00957E31">
        <w:rPr>
          <w:rFonts w:cs="Arial"/>
        </w:rPr>
        <w:t xml:space="preserve">ections 68(3) and 101(3) of the </w:t>
      </w:r>
      <w:r w:rsidRPr="00991620">
        <w:rPr>
          <w:rFonts w:cs="Arial"/>
        </w:rPr>
        <w:t>Telecommunications Act</w:t>
      </w:r>
      <w:r>
        <w:rPr>
          <w:rFonts w:cs="Arial"/>
        </w:rPr>
        <w:t>;</w:t>
      </w:r>
      <w:r w:rsidRPr="00957E31">
        <w:rPr>
          <w:rFonts w:cs="Arial"/>
        </w:rPr>
        <w:t xml:space="preserve"> sections 61AR and 142A, </w:t>
      </w:r>
      <w:r>
        <w:rPr>
          <w:rFonts w:cs="Arial"/>
        </w:rPr>
        <w:t>sub</w:t>
      </w:r>
      <w:r w:rsidRPr="00957E31">
        <w:rPr>
          <w:rFonts w:cs="Arial"/>
        </w:rPr>
        <w:t>clause 53(7) of Schedule 6 of the</w:t>
      </w:r>
      <w:r>
        <w:rPr>
          <w:rFonts w:cs="Arial"/>
        </w:rPr>
        <w:t xml:space="preserve"> BSA;</w:t>
      </w:r>
      <w:r w:rsidRPr="00957E31">
        <w:rPr>
          <w:rFonts w:cs="Arial"/>
        </w:rPr>
        <w:t xml:space="preserve"> </w:t>
      </w:r>
      <w:r w:rsidR="007B7960">
        <w:rPr>
          <w:rFonts w:cs="Arial"/>
        </w:rPr>
        <w:t xml:space="preserve">subsection </w:t>
      </w:r>
      <w:r w:rsidR="00295770">
        <w:rPr>
          <w:rFonts w:cs="Arial"/>
        </w:rPr>
        <w:t>268(4) of the Radiocommunications Act</w:t>
      </w:r>
      <w:r w:rsidR="00E6008F">
        <w:rPr>
          <w:rFonts w:cs="Arial"/>
        </w:rPr>
        <w:t>;</w:t>
      </w:r>
      <w:r w:rsidR="001F52B7">
        <w:rPr>
          <w:rFonts w:cs="Arial"/>
        </w:rPr>
        <w:t xml:space="preserve"> subsection 64</w:t>
      </w:r>
      <w:r w:rsidR="001F52B7">
        <w:rPr>
          <w:rFonts w:cs="Arial"/>
        </w:rPr>
        <w:t>F(4) of the IGA</w:t>
      </w:r>
      <w:r w:rsidR="00295770">
        <w:rPr>
          <w:rFonts w:cs="Arial"/>
        </w:rPr>
        <w:t xml:space="preserve"> </w:t>
      </w:r>
      <w:r w:rsidRPr="00957E31">
        <w:rPr>
          <w:rFonts w:cs="Arial"/>
        </w:rPr>
        <w:t xml:space="preserve">and </w:t>
      </w:r>
      <w:r>
        <w:rPr>
          <w:rFonts w:cs="Arial"/>
        </w:rPr>
        <w:t>sub</w:t>
      </w:r>
      <w:r w:rsidRPr="00957E31">
        <w:rPr>
          <w:rFonts w:cs="Arial"/>
        </w:rPr>
        <w:t>section 118(5) of the</w:t>
      </w:r>
      <w:r>
        <w:rPr>
          <w:rFonts w:cs="Arial"/>
        </w:rPr>
        <w:t xml:space="preserve"> TCPSS Act</w:t>
      </w:r>
      <w:r w:rsidRPr="00957E31">
        <w:rPr>
          <w:rFonts w:cs="Arial"/>
        </w:rPr>
        <w:t>.</w:t>
      </w:r>
      <w:r>
        <w:rPr>
          <w:rFonts w:cs="Arial"/>
        </w:rPr>
        <w:t xml:space="preserve"> The ACMA may commence c</w:t>
      </w:r>
      <w:r w:rsidRPr="00957E31">
        <w:rPr>
          <w:rFonts w:cs="Arial"/>
        </w:rPr>
        <w:t xml:space="preserve">ivil penalty proceedings (see section 205G of the </w:t>
      </w:r>
      <w:r>
        <w:rPr>
          <w:rFonts w:cs="Arial"/>
        </w:rPr>
        <w:t>BSA</w:t>
      </w:r>
      <w:r w:rsidR="00DE2416">
        <w:rPr>
          <w:rFonts w:cs="Arial"/>
        </w:rPr>
        <w:t>,</w:t>
      </w:r>
      <w:r w:rsidRPr="00957E31">
        <w:rPr>
          <w:rFonts w:cs="Arial"/>
        </w:rPr>
        <w:t xml:space="preserve"> section 571 of the </w:t>
      </w:r>
      <w:r w:rsidRPr="00991620">
        <w:rPr>
          <w:rFonts w:cs="Arial"/>
        </w:rPr>
        <w:t>Telecommunications Act</w:t>
      </w:r>
      <w:r w:rsidR="00DE2416">
        <w:rPr>
          <w:rFonts w:cs="Arial"/>
        </w:rPr>
        <w:t xml:space="preserve"> and section </w:t>
      </w:r>
      <w:r w:rsidR="00E6008F">
        <w:rPr>
          <w:rFonts w:cs="Arial"/>
        </w:rPr>
        <w:t>64B of the IGA</w:t>
      </w:r>
      <w:r w:rsidRPr="00957E31">
        <w:rPr>
          <w:rFonts w:cs="Arial"/>
        </w:rPr>
        <w:t>).</w:t>
      </w:r>
    </w:p>
  </w:footnote>
  <w:footnote w:id="6">
    <w:p w14:paraId="6F183A4D" w14:textId="61298F1A" w:rsidR="00674AD6" w:rsidRPr="00957E31" w:rsidRDefault="00674AD6" w:rsidP="00674AD6">
      <w:pPr>
        <w:pStyle w:val="FootnoteText"/>
        <w:rPr>
          <w:rFonts w:cs="Arial"/>
        </w:rPr>
      </w:pPr>
      <w:r w:rsidRPr="00957E31">
        <w:rPr>
          <w:rStyle w:val="FootnoteReference"/>
          <w:rFonts w:cs="Arial"/>
        </w:rPr>
        <w:footnoteRef/>
      </w:r>
      <w:r w:rsidRPr="00957E31">
        <w:rPr>
          <w:rFonts w:cs="Arial"/>
        </w:rPr>
        <w:t xml:space="preserve"> Sections 61AQ and 142, </w:t>
      </w:r>
      <w:r>
        <w:rPr>
          <w:rFonts w:cs="Arial"/>
        </w:rPr>
        <w:t>sub</w:t>
      </w:r>
      <w:r w:rsidRPr="00957E31">
        <w:rPr>
          <w:rFonts w:cs="Arial"/>
        </w:rPr>
        <w:t>clause 53(4) of Schedule 6 of the</w:t>
      </w:r>
      <w:r>
        <w:rPr>
          <w:rFonts w:cs="Arial"/>
        </w:rPr>
        <w:t xml:space="preserve"> BSA</w:t>
      </w:r>
      <w:r w:rsidRPr="00957E31">
        <w:rPr>
          <w:rFonts w:cs="Arial"/>
        </w:rPr>
        <w:t xml:space="preserve">; </w:t>
      </w:r>
      <w:r w:rsidR="00E6008F">
        <w:rPr>
          <w:rFonts w:cs="Arial"/>
        </w:rPr>
        <w:t>subsection 64</w:t>
      </w:r>
      <w:r w:rsidR="00E6008F">
        <w:rPr>
          <w:rFonts w:cs="Arial"/>
        </w:rPr>
        <w:t>F(</w:t>
      </w:r>
      <w:r w:rsidR="008E3AF5">
        <w:rPr>
          <w:rFonts w:cs="Arial"/>
        </w:rPr>
        <w:t xml:space="preserve">3) of the IGA </w:t>
      </w:r>
      <w:r w:rsidRPr="00957E31">
        <w:rPr>
          <w:rFonts w:cs="Arial"/>
        </w:rPr>
        <w:t>and s</w:t>
      </w:r>
      <w:r>
        <w:rPr>
          <w:rFonts w:cs="Arial"/>
        </w:rPr>
        <w:t>ubs</w:t>
      </w:r>
      <w:r w:rsidRPr="00957E31">
        <w:rPr>
          <w:rFonts w:cs="Arial"/>
        </w:rPr>
        <w:t xml:space="preserve">ection 56(4) and </w:t>
      </w:r>
      <w:r>
        <w:rPr>
          <w:rFonts w:cs="Arial"/>
        </w:rPr>
        <w:t xml:space="preserve">section </w:t>
      </w:r>
      <w:r w:rsidRPr="00957E31">
        <w:rPr>
          <w:rFonts w:cs="Arial"/>
        </w:rPr>
        <w:t xml:space="preserve">57 of the </w:t>
      </w:r>
      <w:r>
        <w:rPr>
          <w:rFonts w:cs="Arial"/>
        </w:rPr>
        <w:t>IGA</w:t>
      </w:r>
      <w:r w:rsidRPr="00957E31">
        <w:rPr>
          <w:rFonts w:cs="Arial"/>
        </w:rPr>
        <w:t>. Prosecution of an offence is a matter for the discretion of the Commonwealth Director of Public Prosecutions.</w:t>
      </w:r>
    </w:p>
  </w:footnote>
  <w:footnote w:id="7">
    <w:p w14:paraId="0F818B18" w14:textId="77777777" w:rsidR="00674AD6" w:rsidRPr="00957E31" w:rsidRDefault="00674AD6" w:rsidP="00674AD6">
      <w:pPr>
        <w:pStyle w:val="FootnoteText"/>
        <w:rPr>
          <w:rFonts w:cs="Arial"/>
        </w:rPr>
      </w:pPr>
      <w:r w:rsidRPr="00957E31">
        <w:rPr>
          <w:rStyle w:val="FootnoteReference"/>
          <w:rFonts w:cs="Arial"/>
        </w:rPr>
        <w:footnoteRef/>
      </w:r>
      <w:r w:rsidRPr="00957E31">
        <w:rPr>
          <w:rFonts w:cs="Arial"/>
        </w:rPr>
        <w:t xml:space="preserve"> Section 143 and clause 54 of Schedule 6 of the</w:t>
      </w:r>
      <w:r>
        <w:rPr>
          <w:rFonts w:cs="Arial"/>
        </w:rPr>
        <w:t xml:space="preserve"> BSA</w:t>
      </w:r>
      <w:r w:rsidRPr="00957E31">
        <w:rPr>
          <w:rFonts w:cs="Arial"/>
        </w:rPr>
        <w:t>.</w:t>
      </w:r>
    </w:p>
  </w:footnote>
  <w:footnote w:id="8">
    <w:p w14:paraId="77C1D994" w14:textId="60CD1E5C" w:rsidR="00674AD6" w:rsidRPr="00957E31" w:rsidRDefault="00674AD6" w:rsidP="006A3B79">
      <w:pPr>
        <w:pStyle w:val="FootnoteText"/>
        <w:spacing w:after="0"/>
        <w:rPr>
          <w:rFonts w:cs="Arial"/>
        </w:rPr>
      </w:pPr>
      <w:r w:rsidRPr="00957E31">
        <w:rPr>
          <w:rStyle w:val="FootnoteReference"/>
          <w:rFonts w:cs="Arial"/>
        </w:rPr>
        <w:footnoteRef/>
      </w:r>
      <w:r w:rsidRPr="00957E31">
        <w:rPr>
          <w:rFonts w:cs="Arial"/>
        </w:rPr>
        <w:t xml:space="preserve"> See sections 69 and 102 of the </w:t>
      </w:r>
      <w:r w:rsidRPr="008B2BB8">
        <w:rPr>
          <w:rFonts w:cs="Arial"/>
        </w:rPr>
        <w:t>Telecommunications Act</w:t>
      </w:r>
      <w:r w:rsidR="00CA7048">
        <w:rPr>
          <w:rFonts w:cs="Arial"/>
        </w:rPr>
        <w:t>,</w:t>
      </w:r>
      <w:r w:rsidRPr="00957E31">
        <w:rPr>
          <w:rFonts w:cs="Arial"/>
        </w:rPr>
        <w:t xml:space="preserve"> </w:t>
      </w:r>
      <w:r w:rsidR="004C6169">
        <w:rPr>
          <w:rFonts w:cs="Arial"/>
        </w:rPr>
        <w:t xml:space="preserve">section </w:t>
      </w:r>
      <w:r w:rsidR="00CA7048">
        <w:rPr>
          <w:rFonts w:cs="Arial"/>
        </w:rPr>
        <w:t xml:space="preserve">268 of the Radiocommunications Act and </w:t>
      </w:r>
      <w:r w:rsidRPr="00957E31">
        <w:rPr>
          <w:rFonts w:cs="Arial"/>
        </w:rPr>
        <w:t xml:space="preserve">section 61AN of the </w:t>
      </w:r>
      <w:r>
        <w:rPr>
          <w:rFonts w:cs="Arial"/>
        </w:rPr>
        <w:t>BSA</w:t>
      </w:r>
      <w:r w:rsidRPr="00957E31">
        <w:rPr>
          <w:rFonts w:cs="Arial"/>
        </w:rPr>
        <w:t>.</w:t>
      </w:r>
    </w:p>
  </w:footnote>
  <w:footnote w:id="9">
    <w:p w14:paraId="62C4F601" w14:textId="316B20D1" w:rsidR="00674AD6" w:rsidRPr="00957E31" w:rsidRDefault="00674AD6" w:rsidP="00674AD6">
      <w:pPr>
        <w:pStyle w:val="FootnoteText"/>
        <w:rPr>
          <w:rFonts w:cs="Arial"/>
        </w:rPr>
      </w:pPr>
      <w:r w:rsidRPr="00957E31">
        <w:rPr>
          <w:rStyle w:val="FootnoteReference"/>
          <w:rFonts w:cs="Arial"/>
        </w:rPr>
        <w:footnoteRef/>
      </w:r>
      <w:r w:rsidRPr="00957E31">
        <w:rPr>
          <w:rFonts w:cs="Arial"/>
        </w:rPr>
        <w:t xml:space="preserve"> The time specified in a direction issued under section 61AN of the</w:t>
      </w:r>
      <w:r>
        <w:rPr>
          <w:rFonts w:cs="Arial"/>
        </w:rPr>
        <w:t xml:space="preserve"> BSA</w:t>
      </w:r>
      <w:r w:rsidRPr="00957E31">
        <w:rPr>
          <w:rFonts w:cs="Arial"/>
        </w:rPr>
        <w:t xml:space="preserve"> cannot be more than </w:t>
      </w:r>
      <w:r w:rsidR="004E148D">
        <w:rPr>
          <w:rFonts w:cs="Arial"/>
        </w:rPr>
        <w:t>2</w:t>
      </w:r>
      <w:r w:rsidR="004E148D" w:rsidRPr="00957E31">
        <w:rPr>
          <w:rFonts w:cs="Arial"/>
        </w:rPr>
        <w:t xml:space="preserve"> </w:t>
      </w:r>
      <w:r w:rsidRPr="00957E31">
        <w:rPr>
          <w:rFonts w:cs="Arial"/>
        </w:rPr>
        <w:t>years (see s</w:t>
      </w:r>
      <w:r>
        <w:rPr>
          <w:rFonts w:cs="Arial"/>
        </w:rPr>
        <w:t>ubs</w:t>
      </w:r>
      <w:r w:rsidRPr="00957E31">
        <w:rPr>
          <w:rFonts w:cs="Arial"/>
        </w:rPr>
        <w:t xml:space="preserve">ection 61AN(6)). </w:t>
      </w:r>
    </w:p>
  </w:footnote>
  <w:footnote w:id="10">
    <w:p w14:paraId="391E6C4A" w14:textId="77777777" w:rsidR="00674AD6" w:rsidRPr="00957E31" w:rsidRDefault="00674AD6" w:rsidP="00C93368">
      <w:pPr>
        <w:pStyle w:val="FootnoteText"/>
        <w:spacing w:after="0"/>
        <w:rPr>
          <w:rFonts w:cs="Arial"/>
        </w:rPr>
      </w:pPr>
      <w:r w:rsidRPr="00957E31">
        <w:rPr>
          <w:rStyle w:val="FootnoteReference"/>
          <w:rFonts w:cs="Arial"/>
        </w:rPr>
        <w:footnoteRef/>
      </w:r>
      <w:r w:rsidRPr="00957E31">
        <w:rPr>
          <w:rFonts w:cs="Arial"/>
        </w:rPr>
        <w:t xml:space="preserve"> See, for example, section 61AP of the</w:t>
      </w:r>
      <w:r>
        <w:rPr>
          <w:rFonts w:cs="Arial"/>
        </w:rPr>
        <w:t xml:space="preserve"> BSA</w:t>
      </w:r>
      <w:r w:rsidRPr="00957E31">
        <w:rPr>
          <w:rFonts w:cs="Arial"/>
        </w:rPr>
        <w:t>.</w:t>
      </w:r>
    </w:p>
  </w:footnote>
  <w:footnote w:id="11">
    <w:p w14:paraId="5F2D2A3F" w14:textId="77777777" w:rsidR="00674AD6" w:rsidRPr="00957E31" w:rsidRDefault="00674AD6" w:rsidP="00674AD6">
      <w:pPr>
        <w:pStyle w:val="FootnoteText"/>
        <w:rPr>
          <w:rFonts w:cs="Arial"/>
        </w:rPr>
      </w:pPr>
      <w:r w:rsidRPr="00957E31">
        <w:rPr>
          <w:rStyle w:val="FootnoteReference"/>
          <w:rFonts w:cs="Arial"/>
        </w:rPr>
        <w:footnoteRef/>
      </w:r>
      <w:r w:rsidRPr="00957E31">
        <w:rPr>
          <w:rFonts w:cs="Arial"/>
        </w:rPr>
        <w:t xml:space="preserve"> An application for an extension of time to comply with a remedial direction issued under section 61AN of the</w:t>
      </w:r>
      <w:r>
        <w:rPr>
          <w:rFonts w:cs="Arial"/>
        </w:rPr>
        <w:t xml:space="preserve"> BSA</w:t>
      </w:r>
      <w:r w:rsidRPr="00957E31">
        <w:rPr>
          <w:rFonts w:cs="Arial"/>
        </w:rPr>
        <w:t xml:space="preserve"> must be made within the prescribed time (within 3 months before the end of the time specified but not less than one month before the end of that period).</w:t>
      </w:r>
    </w:p>
  </w:footnote>
  <w:footnote w:id="12">
    <w:p w14:paraId="62BAAB25" w14:textId="01CEBC00" w:rsidR="00674AD6" w:rsidRPr="00957E31" w:rsidRDefault="00674AD6" w:rsidP="003D416D">
      <w:pPr>
        <w:pStyle w:val="FootnoteText"/>
        <w:spacing w:after="0"/>
        <w:rPr>
          <w:rFonts w:cs="Arial"/>
        </w:rPr>
      </w:pPr>
      <w:r w:rsidRPr="00957E31">
        <w:rPr>
          <w:rStyle w:val="FootnoteReference"/>
          <w:rFonts w:cs="Arial"/>
        </w:rPr>
        <w:footnoteRef/>
      </w:r>
      <w:r w:rsidRPr="00957E31">
        <w:rPr>
          <w:rFonts w:cs="Arial"/>
        </w:rPr>
        <w:t xml:space="preserve"> Part 29 of the </w:t>
      </w:r>
      <w:r w:rsidR="008224D8">
        <w:rPr>
          <w:rFonts w:cs="Arial"/>
        </w:rPr>
        <w:t xml:space="preserve">Telecommunications </w:t>
      </w:r>
      <w:r w:rsidRPr="00957E31">
        <w:rPr>
          <w:rFonts w:cs="Arial"/>
        </w:rPr>
        <w:t>Act</w:t>
      </w:r>
      <w:r w:rsidR="008224D8">
        <w:rPr>
          <w:rFonts w:cs="Arial"/>
        </w:rPr>
        <w:t xml:space="preserve"> and Part 5.6 of the Radiocommunications Act</w:t>
      </w:r>
      <w:r w:rsidRPr="00957E31">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B01D" w14:textId="35984FF1" w:rsidR="000A0350" w:rsidRDefault="00964344">
    <w:pPr>
      <w:pStyle w:val="Header"/>
    </w:pPr>
    <w:r>
      <w:rPr>
        <w:noProof/>
      </w:rPr>
      <mc:AlternateContent>
        <mc:Choice Requires="wps">
          <w:drawing>
            <wp:anchor distT="0" distB="0" distL="0" distR="0" simplePos="0" relativeHeight="251678720" behindDoc="0" locked="0" layoutInCell="1" allowOverlap="1" wp14:anchorId="2F3F9423" wp14:editId="57F7FE83">
              <wp:simplePos x="635" y="635"/>
              <wp:positionH relativeFrom="page">
                <wp:align>center</wp:align>
              </wp:positionH>
              <wp:positionV relativeFrom="page">
                <wp:align>top</wp:align>
              </wp:positionV>
              <wp:extent cx="551815" cy="376555"/>
              <wp:effectExtent l="0" t="0" r="635" b="4445"/>
              <wp:wrapNone/>
              <wp:docPr id="2262176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884FDE" w14:textId="4C6CA355"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F942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4884FDE" w14:textId="4C6CA355"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2E7F" w14:textId="7AAF863F" w:rsidR="00C053A1" w:rsidRPr="00A5474E" w:rsidRDefault="00C053A1" w:rsidP="00A5474E">
    <w:pPr>
      <w:pStyle w:val="Header"/>
    </w:pPr>
    <w:r>
      <w:rPr>
        <w:noProof/>
      </w:rPr>
      <w:drawing>
        <wp:inline distT="0" distB="0" distL="0" distR="0" wp14:anchorId="133E3B54" wp14:editId="3ABE1CB1">
          <wp:extent cx="6283434" cy="578076"/>
          <wp:effectExtent l="0" t="0" r="3175"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83434" cy="5780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556" w14:textId="50AE1BA9" w:rsidR="00C053A1" w:rsidRPr="00A5474E" w:rsidRDefault="00C053A1" w:rsidP="00594E9C">
    <w:pPr>
      <w:pStyle w:val="TOCHeading"/>
    </w:pPr>
    <w:r w:rsidRPr="0029593B">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BAD9" w14:textId="3CDF3274"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E638" w14:textId="019AC488" w:rsidR="00C053A1" w:rsidRDefault="00964344">
    <w:pPr>
      <w:pStyle w:val="Header"/>
    </w:pPr>
    <w:r>
      <w:rPr>
        <w:noProof/>
      </w:rPr>
      <mc:AlternateContent>
        <mc:Choice Requires="wps">
          <w:drawing>
            <wp:anchor distT="0" distB="0" distL="0" distR="0" simplePos="0" relativeHeight="251681792" behindDoc="0" locked="0" layoutInCell="1" allowOverlap="1" wp14:anchorId="297238D9" wp14:editId="075E3B89">
              <wp:simplePos x="635" y="635"/>
              <wp:positionH relativeFrom="page">
                <wp:align>center</wp:align>
              </wp:positionH>
              <wp:positionV relativeFrom="page">
                <wp:align>top</wp:align>
              </wp:positionV>
              <wp:extent cx="551815" cy="376555"/>
              <wp:effectExtent l="0" t="0" r="635" b="4445"/>
              <wp:wrapNone/>
              <wp:docPr id="20383136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202738" w14:textId="588D68C5"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7238D9"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5C202738" w14:textId="588D68C5"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3FA55797" w14:textId="77777777" w:rsidTr="003B0421">
      <w:trPr>
        <w:trHeight w:hRule="exact" w:val="988"/>
      </w:trPr>
      <w:tc>
        <w:tcPr>
          <w:tcW w:w="7678" w:type="dxa"/>
        </w:tcPr>
        <w:p w14:paraId="14DB6459" w14:textId="4689CCA2" w:rsidR="00971914" w:rsidRDefault="00964344" w:rsidP="00971914">
          <w:pPr>
            <w:pStyle w:val="Header"/>
          </w:pPr>
          <w:r>
            <w:rPr>
              <w:noProof/>
            </w:rPr>
            <mc:AlternateContent>
              <mc:Choice Requires="wps">
                <w:drawing>
                  <wp:anchor distT="0" distB="0" distL="0" distR="0" simplePos="0" relativeHeight="251682816" behindDoc="0" locked="0" layoutInCell="1" allowOverlap="1" wp14:anchorId="2F7C411D" wp14:editId="2C197C5B">
                    <wp:simplePos x="635" y="635"/>
                    <wp:positionH relativeFrom="page">
                      <wp:align>center</wp:align>
                    </wp:positionH>
                    <wp:positionV relativeFrom="page">
                      <wp:align>top</wp:align>
                    </wp:positionV>
                    <wp:extent cx="551815" cy="376555"/>
                    <wp:effectExtent l="0" t="0" r="635" b="4445"/>
                    <wp:wrapNone/>
                    <wp:docPr id="177013437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784864" w14:textId="677E2F05"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C411D" id="_x0000_t202" coordsize="21600,21600" o:spt="202" path="m,l,21600r21600,l21600,xe">
                    <v:stroke joinstyle="miter"/>
                    <v:path gradientshapeok="t" o:connecttype="rect"/>
                  </v:shapetype>
                  <v:shape id="Text Box 6" o:spid="_x0000_s1031"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7E784864" w14:textId="677E2F05"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p>
      </w:tc>
    </w:tr>
    <w:tr w:rsidR="00971914" w14:paraId="2E42EEAA" w14:textId="77777777" w:rsidTr="003B0421">
      <w:tc>
        <w:tcPr>
          <w:tcW w:w="7678" w:type="dxa"/>
        </w:tcPr>
        <w:p w14:paraId="451E161B" w14:textId="77777777" w:rsidR="00971914" w:rsidRDefault="00971914" w:rsidP="00971914">
          <w:pPr>
            <w:pStyle w:val="GridTable31"/>
          </w:pPr>
          <w:r>
            <w:t xml:space="preserve">Contents </w:t>
          </w:r>
          <w:r w:rsidRPr="00915B1C">
            <w:rPr>
              <w:b w:val="0"/>
              <w:spacing w:val="0"/>
              <w:sz w:val="28"/>
              <w:szCs w:val="28"/>
            </w:rPr>
            <w:t>(Continued)</w:t>
          </w:r>
        </w:p>
      </w:tc>
    </w:tr>
    <w:tr w:rsidR="00971914" w14:paraId="73B3A622" w14:textId="77777777" w:rsidTr="003B0421">
      <w:trPr>
        <w:trHeight w:val="1220"/>
      </w:trPr>
      <w:tc>
        <w:tcPr>
          <w:tcW w:w="7678" w:type="dxa"/>
        </w:tcPr>
        <w:p w14:paraId="58CAB5F7" w14:textId="77777777" w:rsidR="00971914" w:rsidRDefault="00971914" w:rsidP="00971914"/>
      </w:tc>
    </w:tr>
  </w:tbl>
  <w:p w14:paraId="4DF96BA6" w14:textId="77777777" w:rsidR="00971914" w:rsidRDefault="00971914"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31C0E434" w14:textId="77777777" w:rsidTr="003B0421">
      <w:trPr>
        <w:trHeight w:hRule="exact" w:val="988"/>
      </w:trPr>
      <w:tc>
        <w:tcPr>
          <w:tcW w:w="7678" w:type="dxa"/>
        </w:tcPr>
        <w:p w14:paraId="4405E8CD" w14:textId="53C533C1" w:rsidR="00971914" w:rsidRDefault="00964344" w:rsidP="00971914">
          <w:pPr>
            <w:pStyle w:val="Header"/>
          </w:pPr>
          <w:r>
            <w:rPr>
              <w:noProof/>
            </w:rPr>
            <mc:AlternateContent>
              <mc:Choice Requires="wps">
                <w:drawing>
                  <wp:anchor distT="0" distB="0" distL="0" distR="0" simplePos="0" relativeHeight="251683840" behindDoc="0" locked="0" layoutInCell="1" allowOverlap="1" wp14:anchorId="4F5F66A7" wp14:editId="32B901CA">
                    <wp:simplePos x="635" y="635"/>
                    <wp:positionH relativeFrom="page">
                      <wp:align>center</wp:align>
                    </wp:positionH>
                    <wp:positionV relativeFrom="page">
                      <wp:align>top</wp:align>
                    </wp:positionV>
                    <wp:extent cx="551815" cy="376555"/>
                    <wp:effectExtent l="0" t="0" r="635" b="4445"/>
                    <wp:wrapNone/>
                    <wp:docPr id="166902762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DBFCF2" w14:textId="1F83D1EB"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F66A7"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71DBFCF2" w14:textId="1F83D1EB" w:rsidR="00964344" w:rsidRPr="00964344" w:rsidRDefault="00964344" w:rsidP="00964344">
                          <w:pPr>
                            <w:spacing w:after="0"/>
                            <w:rPr>
                              <w:rFonts w:ascii="Calibri" w:eastAsia="Calibri" w:hAnsi="Calibri" w:cs="Calibri"/>
                              <w:noProof/>
                              <w:color w:val="FF0000"/>
                              <w:sz w:val="24"/>
                            </w:rPr>
                          </w:pPr>
                          <w:r w:rsidRPr="00964344">
                            <w:rPr>
                              <w:rFonts w:ascii="Calibri" w:eastAsia="Calibri" w:hAnsi="Calibri" w:cs="Calibri"/>
                              <w:noProof/>
                              <w:color w:val="FF0000"/>
                              <w:sz w:val="24"/>
                            </w:rPr>
                            <w:t>OFFICIAL</w:t>
                          </w:r>
                        </w:p>
                      </w:txbxContent>
                    </v:textbox>
                    <w10:wrap anchorx="page" anchory="page"/>
                  </v:shape>
                </w:pict>
              </mc:Fallback>
            </mc:AlternateContent>
          </w:r>
        </w:p>
      </w:tc>
    </w:tr>
    <w:tr w:rsidR="00971914" w14:paraId="156B9F42" w14:textId="77777777" w:rsidTr="003B0421">
      <w:tc>
        <w:tcPr>
          <w:tcW w:w="7678" w:type="dxa"/>
        </w:tcPr>
        <w:p w14:paraId="4FFF6FAA" w14:textId="77777777" w:rsidR="00971914" w:rsidRDefault="00971914" w:rsidP="00971914">
          <w:pPr>
            <w:pStyle w:val="GridTable31"/>
          </w:pPr>
          <w:r>
            <w:t xml:space="preserve">Contents </w:t>
          </w:r>
          <w:r w:rsidRPr="00915B1C">
            <w:rPr>
              <w:b w:val="0"/>
              <w:spacing w:val="0"/>
              <w:sz w:val="28"/>
              <w:szCs w:val="28"/>
            </w:rPr>
            <w:t>(Continued)</w:t>
          </w:r>
        </w:p>
      </w:tc>
    </w:tr>
    <w:tr w:rsidR="00971914" w14:paraId="338BC6B8" w14:textId="77777777" w:rsidTr="003B0421">
      <w:trPr>
        <w:trHeight w:val="1220"/>
      </w:trPr>
      <w:tc>
        <w:tcPr>
          <w:tcW w:w="7678" w:type="dxa"/>
        </w:tcPr>
        <w:p w14:paraId="5CC959ED" w14:textId="77777777" w:rsidR="00971914" w:rsidRDefault="00971914" w:rsidP="00971914"/>
      </w:tc>
    </w:tr>
  </w:tbl>
  <w:p w14:paraId="145350B8" w14:textId="77777777" w:rsidR="00C053A1" w:rsidRPr="00A5474E" w:rsidRDefault="00C053A1"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FAA1" w14:textId="2ABFF5E9" w:rsidR="00C053A1" w:rsidRDefault="00C053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B0AD" w14:textId="4267FF75"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6EBA4AA8"/>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6644C3F"/>
    <w:multiLevelType w:val="hybridMultilevel"/>
    <w:tmpl w:val="97CE254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6503AE"/>
    <w:multiLevelType w:val="hybridMultilevel"/>
    <w:tmpl w:val="B0043E5A"/>
    <w:lvl w:ilvl="0" w:tplc="E62243DC">
      <w:start w:val="1"/>
      <w:numFmt w:val="bullet"/>
      <w:lvlText w:val="&gt;"/>
      <w:lvlJc w:val="left"/>
      <w:pPr>
        <w:ind w:left="1440" w:hanging="360"/>
      </w:pPr>
      <w:rPr>
        <w:rFonts w:ascii="HelveticaNeueLT Std Lt" w:hAnsi="HelveticaNeueLT Std Lt"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4784ECF"/>
    <w:multiLevelType w:val="hybridMultilevel"/>
    <w:tmpl w:val="2C949BD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2810338D"/>
    <w:multiLevelType w:val="hybridMultilevel"/>
    <w:tmpl w:val="EC9A8D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A5B1F10"/>
    <w:multiLevelType w:val="hybridMultilevel"/>
    <w:tmpl w:val="9686FE88"/>
    <w:lvl w:ilvl="0" w:tplc="E62243DC">
      <w:start w:val="1"/>
      <w:numFmt w:val="bullet"/>
      <w:lvlText w:val="&gt;"/>
      <w:lvlJc w:val="left"/>
      <w:pPr>
        <w:ind w:left="927" w:hanging="360"/>
      </w:pPr>
      <w:rPr>
        <w:rFonts w:ascii="HelveticaNeueLT Std Lt" w:hAnsi="HelveticaNeueLT Std Lt" w:hint="default"/>
        <w:sz w:val="20"/>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3C7F1364"/>
    <w:multiLevelType w:val="hybridMultilevel"/>
    <w:tmpl w:val="1A408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A7D58"/>
    <w:multiLevelType w:val="hybridMultilevel"/>
    <w:tmpl w:val="BDC6F8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615E16F4"/>
    <w:multiLevelType w:val="hybridMultilevel"/>
    <w:tmpl w:val="696A686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D5C03"/>
    <w:multiLevelType w:val="hybridMultilevel"/>
    <w:tmpl w:val="3306E67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2F32E03"/>
    <w:multiLevelType w:val="hybridMultilevel"/>
    <w:tmpl w:val="C9FA2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B56C6E"/>
    <w:multiLevelType w:val="multilevel"/>
    <w:tmpl w:val="8416C978"/>
    <w:lvl w:ilvl="0">
      <w:start w:val="1"/>
      <w:numFmt w:val="decimal"/>
      <w:lvlText w:val="%1."/>
      <w:lvlJc w:val="left"/>
      <w:pPr>
        <w:ind w:left="360" w:hanging="360"/>
      </w:pPr>
      <w:rPr>
        <w:rFonts w:hint="default"/>
      </w:rPr>
    </w:lvl>
    <w:lvl w:ilvl="1">
      <w:start w:val="1"/>
      <w:numFmt w:val="decimal"/>
      <w:lvlText w:val="%1.%2."/>
      <w:lvlJc w:val="left"/>
      <w:pPr>
        <w:ind w:left="998" w:hanging="431"/>
      </w:pPr>
      <w:rPr>
        <w:rFonts w:hint="default"/>
        <w:i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3F6C55"/>
    <w:multiLevelType w:val="hybridMultilevel"/>
    <w:tmpl w:val="A0EAD4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61024">
    <w:abstractNumId w:val="3"/>
  </w:num>
  <w:num w:numId="2" w16cid:durableId="77140146">
    <w:abstractNumId w:val="1"/>
  </w:num>
  <w:num w:numId="3" w16cid:durableId="1269772559">
    <w:abstractNumId w:val="2"/>
  </w:num>
  <w:num w:numId="4" w16cid:durableId="1121073973">
    <w:abstractNumId w:val="0"/>
  </w:num>
  <w:num w:numId="5" w16cid:durableId="1030954826">
    <w:abstractNumId w:val="10"/>
  </w:num>
  <w:num w:numId="6" w16cid:durableId="109053568">
    <w:abstractNumId w:val="16"/>
  </w:num>
  <w:num w:numId="7" w16cid:durableId="1608804862">
    <w:abstractNumId w:val="12"/>
  </w:num>
  <w:num w:numId="8" w16cid:durableId="124126183">
    <w:abstractNumId w:val="15"/>
  </w:num>
  <w:num w:numId="9" w16cid:durableId="846560060">
    <w:abstractNumId w:val="17"/>
  </w:num>
  <w:num w:numId="10" w16cid:durableId="140275599">
    <w:abstractNumId w:val="5"/>
  </w:num>
  <w:num w:numId="11" w16cid:durableId="1891844017">
    <w:abstractNumId w:val="2"/>
    <w:lvlOverride w:ilvl="0">
      <w:startOverride w:val="1"/>
    </w:lvlOverride>
  </w:num>
  <w:num w:numId="12" w16cid:durableId="939920688">
    <w:abstractNumId w:val="9"/>
  </w:num>
  <w:num w:numId="13" w16cid:durableId="10224109">
    <w:abstractNumId w:val="20"/>
  </w:num>
  <w:num w:numId="14" w16cid:durableId="1593582151">
    <w:abstractNumId w:val="6"/>
  </w:num>
  <w:num w:numId="15" w16cid:durableId="768358525">
    <w:abstractNumId w:val="11"/>
  </w:num>
  <w:num w:numId="16" w16cid:durableId="499545481">
    <w:abstractNumId w:val="8"/>
  </w:num>
  <w:num w:numId="17" w16cid:durableId="759839400">
    <w:abstractNumId w:val="19"/>
  </w:num>
  <w:num w:numId="18" w16cid:durableId="643778299">
    <w:abstractNumId w:val="14"/>
  </w:num>
  <w:num w:numId="19" w16cid:durableId="1957252545">
    <w:abstractNumId w:val="7"/>
  </w:num>
  <w:num w:numId="20" w16cid:durableId="305474275">
    <w:abstractNumId w:val="18"/>
  </w:num>
  <w:num w:numId="21" w16cid:durableId="1784760089">
    <w:abstractNumId w:val="13"/>
  </w:num>
  <w:num w:numId="22" w16cid:durableId="1054694889">
    <w:abstractNumId w:val="4"/>
  </w:num>
  <w:num w:numId="23" w16cid:durableId="55720411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A1"/>
    <w:rsid w:val="00010667"/>
    <w:rsid w:val="000129D5"/>
    <w:rsid w:val="00015AE7"/>
    <w:rsid w:val="00016E21"/>
    <w:rsid w:val="0001719C"/>
    <w:rsid w:val="0002224E"/>
    <w:rsid w:val="000245E5"/>
    <w:rsid w:val="00026F91"/>
    <w:rsid w:val="0004764C"/>
    <w:rsid w:val="0005011A"/>
    <w:rsid w:val="0005045A"/>
    <w:rsid w:val="00051C1E"/>
    <w:rsid w:val="000539F9"/>
    <w:rsid w:val="00054C27"/>
    <w:rsid w:val="00055EC3"/>
    <w:rsid w:val="000563CE"/>
    <w:rsid w:val="000659B6"/>
    <w:rsid w:val="0006686F"/>
    <w:rsid w:val="0006722A"/>
    <w:rsid w:val="000732CF"/>
    <w:rsid w:val="00075B96"/>
    <w:rsid w:val="00081431"/>
    <w:rsid w:val="0008196A"/>
    <w:rsid w:val="000915ED"/>
    <w:rsid w:val="0009209D"/>
    <w:rsid w:val="0009463C"/>
    <w:rsid w:val="000967C2"/>
    <w:rsid w:val="000969BD"/>
    <w:rsid w:val="000969BF"/>
    <w:rsid w:val="000971BD"/>
    <w:rsid w:val="000A0350"/>
    <w:rsid w:val="000A0C22"/>
    <w:rsid w:val="000A1400"/>
    <w:rsid w:val="000A3C43"/>
    <w:rsid w:val="000A4A51"/>
    <w:rsid w:val="000A5D2B"/>
    <w:rsid w:val="000B4664"/>
    <w:rsid w:val="000B5DE3"/>
    <w:rsid w:val="000C0A57"/>
    <w:rsid w:val="000C230C"/>
    <w:rsid w:val="000C6AB4"/>
    <w:rsid w:val="000D71D9"/>
    <w:rsid w:val="000D76E0"/>
    <w:rsid w:val="000D7E8B"/>
    <w:rsid w:val="000E4449"/>
    <w:rsid w:val="000E6097"/>
    <w:rsid w:val="000F05E9"/>
    <w:rsid w:val="000F3D67"/>
    <w:rsid w:val="00103829"/>
    <w:rsid w:val="00111FCE"/>
    <w:rsid w:val="001229A5"/>
    <w:rsid w:val="0012489B"/>
    <w:rsid w:val="00130017"/>
    <w:rsid w:val="00130F91"/>
    <w:rsid w:val="001349ED"/>
    <w:rsid w:val="00135BEA"/>
    <w:rsid w:val="00137424"/>
    <w:rsid w:val="00140318"/>
    <w:rsid w:val="00141AD9"/>
    <w:rsid w:val="00146CE6"/>
    <w:rsid w:val="00152903"/>
    <w:rsid w:val="00153FD5"/>
    <w:rsid w:val="0015614F"/>
    <w:rsid w:val="001577C2"/>
    <w:rsid w:val="001633C4"/>
    <w:rsid w:val="001704D5"/>
    <w:rsid w:val="001709CF"/>
    <w:rsid w:val="00171591"/>
    <w:rsid w:val="00173981"/>
    <w:rsid w:val="0017719D"/>
    <w:rsid w:val="00183FD7"/>
    <w:rsid w:val="00185CAB"/>
    <w:rsid w:val="001875B7"/>
    <w:rsid w:val="00187CB3"/>
    <w:rsid w:val="0019050A"/>
    <w:rsid w:val="001910D4"/>
    <w:rsid w:val="001976E3"/>
    <w:rsid w:val="001A44EC"/>
    <w:rsid w:val="001B03C4"/>
    <w:rsid w:val="001B28D9"/>
    <w:rsid w:val="001B58AA"/>
    <w:rsid w:val="001B7E48"/>
    <w:rsid w:val="001C0EC6"/>
    <w:rsid w:val="001C17CE"/>
    <w:rsid w:val="001C36CA"/>
    <w:rsid w:val="001C44D1"/>
    <w:rsid w:val="001C6AEE"/>
    <w:rsid w:val="001C7630"/>
    <w:rsid w:val="001D6D15"/>
    <w:rsid w:val="001F52B7"/>
    <w:rsid w:val="001F7558"/>
    <w:rsid w:val="00205B57"/>
    <w:rsid w:val="002157E0"/>
    <w:rsid w:val="00216A57"/>
    <w:rsid w:val="00217448"/>
    <w:rsid w:val="00221D5E"/>
    <w:rsid w:val="0022334F"/>
    <w:rsid w:val="00226819"/>
    <w:rsid w:val="00233101"/>
    <w:rsid w:val="00233817"/>
    <w:rsid w:val="002367FF"/>
    <w:rsid w:val="00240CE9"/>
    <w:rsid w:val="002434BA"/>
    <w:rsid w:val="00246089"/>
    <w:rsid w:val="00246093"/>
    <w:rsid w:val="00246702"/>
    <w:rsid w:val="00247C59"/>
    <w:rsid w:val="00247F2E"/>
    <w:rsid w:val="00250ADC"/>
    <w:rsid w:val="00250B07"/>
    <w:rsid w:val="00257553"/>
    <w:rsid w:val="00260FB2"/>
    <w:rsid w:val="00262128"/>
    <w:rsid w:val="0027165D"/>
    <w:rsid w:val="00273CEB"/>
    <w:rsid w:val="00281C89"/>
    <w:rsid w:val="0028282F"/>
    <w:rsid w:val="00295770"/>
    <w:rsid w:val="0029593B"/>
    <w:rsid w:val="00297FC5"/>
    <w:rsid w:val="002A0417"/>
    <w:rsid w:val="002A16D8"/>
    <w:rsid w:val="002A1BC8"/>
    <w:rsid w:val="002A3EF2"/>
    <w:rsid w:val="002B0DED"/>
    <w:rsid w:val="002B19A2"/>
    <w:rsid w:val="002B381A"/>
    <w:rsid w:val="002B4FCC"/>
    <w:rsid w:val="002B7408"/>
    <w:rsid w:val="002B7CFD"/>
    <w:rsid w:val="002C210F"/>
    <w:rsid w:val="002D3600"/>
    <w:rsid w:val="002E4DDC"/>
    <w:rsid w:val="00302480"/>
    <w:rsid w:val="00302758"/>
    <w:rsid w:val="00307146"/>
    <w:rsid w:val="003165E6"/>
    <w:rsid w:val="003215B5"/>
    <w:rsid w:val="003221CF"/>
    <w:rsid w:val="003233ED"/>
    <w:rsid w:val="00324D9F"/>
    <w:rsid w:val="00327948"/>
    <w:rsid w:val="0033000F"/>
    <w:rsid w:val="00332011"/>
    <w:rsid w:val="00332518"/>
    <w:rsid w:val="00332925"/>
    <w:rsid w:val="003332ED"/>
    <w:rsid w:val="003368DC"/>
    <w:rsid w:val="00337FF9"/>
    <w:rsid w:val="00345927"/>
    <w:rsid w:val="0035004B"/>
    <w:rsid w:val="00350584"/>
    <w:rsid w:val="00351857"/>
    <w:rsid w:val="00352194"/>
    <w:rsid w:val="003545E8"/>
    <w:rsid w:val="003610E1"/>
    <w:rsid w:val="003671BE"/>
    <w:rsid w:val="00372485"/>
    <w:rsid w:val="00373200"/>
    <w:rsid w:val="00375EF5"/>
    <w:rsid w:val="003767A5"/>
    <w:rsid w:val="00381D15"/>
    <w:rsid w:val="00385254"/>
    <w:rsid w:val="003A04DB"/>
    <w:rsid w:val="003A5F5B"/>
    <w:rsid w:val="003A789A"/>
    <w:rsid w:val="003B12EC"/>
    <w:rsid w:val="003B4F5F"/>
    <w:rsid w:val="003C77E0"/>
    <w:rsid w:val="003D17D7"/>
    <w:rsid w:val="003D2678"/>
    <w:rsid w:val="003D416D"/>
    <w:rsid w:val="003D71A3"/>
    <w:rsid w:val="003E2B8A"/>
    <w:rsid w:val="003F10EE"/>
    <w:rsid w:val="003F16F6"/>
    <w:rsid w:val="003F4DC7"/>
    <w:rsid w:val="003F5235"/>
    <w:rsid w:val="004027E4"/>
    <w:rsid w:val="0041071D"/>
    <w:rsid w:val="00414AFC"/>
    <w:rsid w:val="004151A7"/>
    <w:rsid w:val="00415310"/>
    <w:rsid w:val="00421709"/>
    <w:rsid w:val="00423763"/>
    <w:rsid w:val="0042762F"/>
    <w:rsid w:val="00427DC7"/>
    <w:rsid w:val="00431613"/>
    <w:rsid w:val="00431792"/>
    <w:rsid w:val="0043297A"/>
    <w:rsid w:val="00432EB2"/>
    <w:rsid w:val="0043714F"/>
    <w:rsid w:val="00442C28"/>
    <w:rsid w:val="004438B5"/>
    <w:rsid w:val="00447037"/>
    <w:rsid w:val="0044713E"/>
    <w:rsid w:val="0045124D"/>
    <w:rsid w:val="00454596"/>
    <w:rsid w:val="0045605D"/>
    <w:rsid w:val="0046135B"/>
    <w:rsid w:val="00461D47"/>
    <w:rsid w:val="004718CC"/>
    <w:rsid w:val="00481695"/>
    <w:rsid w:val="00495A96"/>
    <w:rsid w:val="00495BB3"/>
    <w:rsid w:val="004A50F8"/>
    <w:rsid w:val="004A56BB"/>
    <w:rsid w:val="004A70D6"/>
    <w:rsid w:val="004B1751"/>
    <w:rsid w:val="004C0253"/>
    <w:rsid w:val="004C6169"/>
    <w:rsid w:val="004D56FF"/>
    <w:rsid w:val="004E148D"/>
    <w:rsid w:val="004E1EDD"/>
    <w:rsid w:val="004E39D3"/>
    <w:rsid w:val="004E508A"/>
    <w:rsid w:val="004E616D"/>
    <w:rsid w:val="004F1BDE"/>
    <w:rsid w:val="004F2CEE"/>
    <w:rsid w:val="004F32EF"/>
    <w:rsid w:val="004F556E"/>
    <w:rsid w:val="004F591C"/>
    <w:rsid w:val="004F7F44"/>
    <w:rsid w:val="005037B4"/>
    <w:rsid w:val="005079BF"/>
    <w:rsid w:val="0051269A"/>
    <w:rsid w:val="005219E7"/>
    <w:rsid w:val="00521ED4"/>
    <w:rsid w:val="00531B9A"/>
    <w:rsid w:val="00531D15"/>
    <w:rsid w:val="00537604"/>
    <w:rsid w:val="00542377"/>
    <w:rsid w:val="005476EB"/>
    <w:rsid w:val="00551782"/>
    <w:rsid w:val="00563EF1"/>
    <w:rsid w:val="00566AB4"/>
    <w:rsid w:val="00575AC5"/>
    <w:rsid w:val="0057605D"/>
    <w:rsid w:val="00581347"/>
    <w:rsid w:val="00581AC9"/>
    <w:rsid w:val="005849F8"/>
    <w:rsid w:val="00593860"/>
    <w:rsid w:val="005938DF"/>
    <w:rsid w:val="00594E9C"/>
    <w:rsid w:val="005A099B"/>
    <w:rsid w:val="005A2D9C"/>
    <w:rsid w:val="005A55FE"/>
    <w:rsid w:val="005A6A11"/>
    <w:rsid w:val="005A6A60"/>
    <w:rsid w:val="005B2C4E"/>
    <w:rsid w:val="005D2502"/>
    <w:rsid w:val="005D40BB"/>
    <w:rsid w:val="005D47F3"/>
    <w:rsid w:val="005D49BF"/>
    <w:rsid w:val="005D4AA5"/>
    <w:rsid w:val="005D6F4E"/>
    <w:rsid w:val="005D7C73"/>
    <w:rsid w:val="005E250B"/>
    <w:rsid w:val="005E3ACD"/>
    <w:rsid w:val="005E7226"/>
    <w:rsid w:val="005E7A57"/>
    <w:rsid w:val="005F24B0"/>
    <w:rsid w:val="005F71B4"/>
    <w:rsid w:val="00601B57"/>
    <w:rsid w:val="00604315"/>
    <w:rsid w:val="00604E26"/>
    <w:rsid w:val="0060523F"/>
    <w:rsid w:val="006052CF"/>
    <w:rsid w:val="00607B8D"/>
    <w:rsid w:val="00611F5C"/>
    <w:rsid w:val="00616E09"/>
    <w:rsid w:val="00622A3B"/>
    <w:rsid w:val="00622EEA"/>
    <w:rsid w:val="0062396C"/>
    <w:rsid w:val="00623FF9"/>
    <w:rsid w:val="00627011"/>
    <w:rsid w:val="00627D4E"/>
    <w:rsid w:val="006310B9"/>
    <w:rsid w:val="00632B89"/>
    <w:rsid w:val="0063346D"/>
    <w:rsid w:val="00634478"/>
    <w:rsid w:val="006403D5"/>
    <w:rsid w:val="00644373"/>
    <w:rsid w:val="00645915"/>
    <w:rsid w:val="006519C3"/>
    <w:rsid w:val="00652B30"/>
    <w:rsid w:val="00654AA0"/>
    <w:rsid w:val="00656345"/>
    <w:rsid w:val="00656DC6"/>
    <w:rsid w:val="00660EC6"/>
    <w:rsid w:val="00664110"/>
    <w:rsid w:val="00664D17"/>
    <w:rsid w:val="00666520"/>
    <w:rsid w:val="00667C5B"/>
    <w:rsid w:val="00674AD6"/>
    <w:rsid w:val="00691EB8"/>
    <w:rsid w:val="00692CDE"/>
    <w:rsid w:val="00693073"/>
    <w:rsid w:val="006977FF"/>
    <w:rsid w:val="006A01FA"/>
    <w:rsid w:val="006A0E9E"/>
    <w:rsid w:val="006A25C7"/>
    <w:rsid w:val="006A3B79"/>
    <w:rsid w:val="006A3FAC"/>
    <w:rsid w:val="006A4AAD"/>
    <w:rsid w:val="006A6DA2"/>
    <w:rsid w:val="006A7AB2"/>
    <w:rsid w:val="006B52DE"/>
    <w:rsid w:val="006B5717"/>
    <w:rsid w:val="006B582F"/>
    <w:rsid w:val="006B5EB2"/>
    <w:rsid w:val="006C0CEB"/>
    <w:rsid w:val="006C1631"/>
    <w:rsid w:val="006C3B1E"/>
    <w:rsid w:val="006C47FD"/>
    <w:rsid w:val="006C5C19"/>
    <w:rsid w:val="006C70A0"/>
    <w:rsid w:val="006D27CB"/>
    <w:rsid w:val="006D2F08"/>
    <w:rsid w:val="006D576C"/>
    <w:rsid w:val="006D5865"/>
    <w:rsid w:val="006D7DED"/>
    <w:rsid w:val="006E2767"/>
    <w:rsid w:val="006E4B1B"/>
    <w:rsid w:val="006E5445"/>
    <w:rsid w:val="006E7D93"/>
    <w:rsid w:val="007029A3"/>
    <w:rsid w:val="00706E4E"/>
    <w:rsid w:val="0070791C"/>
    <w:rsid w:val="0071383C"/>
    <w:rsid w:val="007141A7"/>
    <w:rsid w:val="00715722"/>
    <w:rsid w:val="00721032"/>
    <w:rsid w:val="00721B55"/>
    <w:rsid w:val="00726CE4"/>
    <w:rsid w:val="00734143"/>
    <w:rsid w:val="00737E47"/>
    <w:rsid w:val="00740EAC"/>
    <w:rsid w:val="00744956"/>
    <w:rsid w:val="00745A5C"/>
    <w:rsid w:val="0074605F"/>
    <w:rsid w:val="00747E94"/>
    <w:rsid w:val="00754C83"/>
    <w:rsid w:val="00761E5C"/>
    <w:rsid w:val="00762F9F"/>
    <w:rsid w:val="007657DF"/>
    <w:rsid w:val="00765DF8"/>
    <w:rsid w:val="00766749"/>
    <w:rsid w:val="00767C1B"/>
    <w:rsid w:val="007714A9"/>
    <w:rsid w:val="00774F88"/>
    <w:rsid w:val="00774FDB"/>
    <w:rsid w:val="00777BA2"/>
    <w:rsid w:val="00781408"/>
    <w:rsid w:val="00784F7F"/>
    <w:rsid w:val="007878BD"/>
    <w:rsid w:val="00796F25"/>
    <w:rsid w:val="007A2E98"/>
    <w:rsid w:val="007A3BA3"/>
    <w:rsid w:val="007A53A4"/>
    <w:rsid w:val="007A6CC0"/>
    <w:rsid w:val="007A7FEC"/>
    <w:rsid w:val="007B00BD"/>
    <w:rsid w:val="007B1499"/>
    <w:rsid w:val="007B1BBF"/>
    <w:rsid w:val="007B2960"/>
    <w:rsid w:val="007B355D"/>
    <w:rsid w:val="007B7960"/>
    <w:rsid w:val="007B7980"/>
    <w:rsid w:val="007C0DEF"/>
    <w:rsid w:val="007C5D5A"/>
    <w:rsid w:val="007C607F"/>
    <w:rsid w:val="007C6E44"/>
    <w:rsid w:val="007C79DD"/>
    <w:rsid w:val="007D1A97"/>
    <w:rsid w:val="007D2CD6"/>
    <w:rsid w:val="007D3063"/>
    <w:rsid w:val="007D3CEB"/>
    <w:rsid w:val="007E3375"/>
    <w:rsid w:val="007E38EE"/>
    <w:rsid w:val="007E7683"/>
    <w:rsid w:val="007F49FA"/>
    <w:rsid w:val="007F54C4"/>
    <w:rsid w:val="007F6E9A"/>
    <w:rsid w:val="00800CCD"/>
    <w:rsid w:val="008044D4"/>
    <w:rsid w:val="00810AB4"/>
    <w:rsid w:val="00817B56"/>
    <w:rsid w:val="00821A88"/>
    <w:rsid w:val="008224D8"/>
    <w:rsid w:val="0082495D"/>
    <w:rsid w:val="00831AC3"/>
    <w:rsid w:val="0083374F"/>
    <w:rsid w:val="00836FCE"/>
    <w:rsid w:val="008408FF"/>
    <w:rsid w:val="008421B1"/>
    <w:rsid w:val="00851F3F"/>
    <w:rsid w:val="0085618F"/>
    <w:rsid w:val="00856EDC"/>
    <w:rsid w:val="008623B5"/>
    <w:rsid w:val="00870ABA"/>
    <w:rsid w:val="008710E1"/>
    <w:rsid w:val="008716E5"/>
    <w:rsid w:val="00877A33"/>
    <w:rsid w:val="00881CA9"/>
    <w:rsid w:val="00883628"/>
    <w:rsid w:val="00885544"/>
    <w:rsid w:val="0088634E"/>
    <w:rsid w:val="00893AB8"/>
    <w:rsid w:val="00893B48"/>
    <w:rsid w:val="008A04C8"/>
    <w:rsid w:val="008A6913"/>
    <w:rsid w:val="008B70F3"/>
    <w:rsid w:val="008B71C4"/>
    <w:rsid w:val="008B76DF"/>
    <w:rsid w:val="008C10F4"/>
    <w:rsid w:val="008C65F7"/>
    <w:rsid w:val="008E3AF5"/>
    <w:rsid w:val="008E4767"/>
    <w:rsid w:val="008E7A8C"/>
    <w:rsid w:val="0090203B"/>
    <w:rsid w:val="00903285"/>
    <w:rsid w:val="00906F40"/>
    <w:rsid w:val="0090731E"/>
    <w:rsid w:val="00915B1C"/>
    <w:rsid w:val="009174F3"/>
    <w:rsid w:val="0091797D"/>
    <w:rsid w:val="00923CBA"/>
    <w:rsid w:val="00926703"/>
    <w:rsid w:val="00927691"/>
    <w:rsid w:val="00927A5F"/>
    <w:rsid w:val="00930510"/>
    <w:rsid w:val="00930746"/>
    <w:rsid w:val="00935B63"/>
    <w:rsid w:val="0094078F"/>
    <w:rsid w:val="00940FA3"/>
    <w:rsid w:val="00941FB0"/>
    <w:rsid w:val="009426D4"/>
    <w:rsid w:val="00947E29"/>
    <w:rsid w:val="00947F25"/>
    <w:rsid w:val="00950159"/>
    <w:rsid w:val="0095490B"/>
    <w:rsid w:val="00957941"/>
    <w:rsid w:val="00960A33"/>
    <w:rsid w:val="00964344"/>
    <w:rsid w:val="00971914"/>
    <w:rsid w:val="00974363"/>
    <w:rsid w:val="00981898"/>
    <w:rsid w:val="0099577C"/>
    <w:rsid w:val="009B24A5"/>
    <w:rsid w:val="009B2601"/>
    <w:rsid w:val="009B4E9E"/>
    <w:rsid w:val="009C1690"/>
    <w:rsid w:val="009C6881"/>
    <w:rsid w:val="009C7759"/>
    <w:rsid w:val="009D043D"/>
    <w:rsid w:val="009D07C8"/>
    <w:rsid w:val="009D6C71"/>
    <w:rsid w:val="009E0631"/>
    <w:rsid w:val="009E16D0"/>
    <w:rsid w:val="009E2051"/>
    <w:rsid w:val="009E38FD"/>
    <w:rsid w:val="009E5E6A"/>
    <w:rsid w:val="009F13D6"/>
    <w:rsid w:val="009F4C6B"/>
    <w:rsid w:val="009F78A8"/>
    <w:rsid w:val="00A02AD6"/>
    <w:rsid w:val="00A07096"/>
    <w:rsid w:val="00A070FD"/>
    <w:rsid w:val="00A07318"/>
    <w:rsid w:val="00A11370"/>
    <w:rsid w:val="00A1742D"/>
    <w:rsid w:val="00A224CE"/>
    <w:rsid w:val="00A22522"/>
    <w:rsid w:val="00A2440D"/>
    <w:rsid w:val="00A24AFD"/>
    <w:rsid w:val="00A24F5C"/>
    <w:rsid w:val="00A32F96"/>
    <w:rsid w:val="00A36A84"/>
    <w:rsid w:val="00A40871"/>
    <w:rsid w:val="00A412AB"/>
    <w:rsid w:val="00A4193E"/>
    <w:rsid w:val="00A440E0"/>
    <w:rsid w:val="00A442EF"/>
    <w:rsid w:val="00A51D1A"/>
    <w:rsid w:val="00A5418D"/>
    <w:rsid w:val="00A5474E"/>
    <w:rsid w:val="00A61B94"/>
    <w:rsid w:val="00A64234"/>
    <w:rsid w:val="00A70ADF"/>
    <w:rsid w:val="00A71466"/>
    <w:rsid w:val="00A74B5E"/>
    <w:rsid w:val="00A8168A"/>
    <w:rsid w:val="00A81BED"/>
    <w:rsid w:val="00A81EC4"/>
    <w:rsid w:val="00A824E8"/>
    <w:rsid w:val="00A868AE"/>
    <w:rsid w:val="00A967FD"/>
    <w:rsid w:val="00A97A4B"/>
    <w:rsid w:val="00AA2DE5"/>
    <w:rsid w:val="00AB156C"/>
    <w:rsid w:val="00AB42F7"/>
    <w:rsid w:val="00AB6814"/>
    <w:rsid w:val="00AC04BA"/>
    <w:rsid w:val="00AC0E39"/>
    <w:rsid w:val="00AD3082"/>
    <w:rsid w:val="00AD32B4"/>
    <w:rsid w:val="00AD4AD0"/>
    <w:rsid w:val="00AD5436"/>
    <w:rsid w:val="00AD60CD"/>
    <w:rsid w:val="00AD6C8C"/>
    <w:rsid w:val="00AE091D"/>
    <w:rsid w:val="00AE3B60"/>
    <w:rsid w:val="00AE53A1"/>
    <w:rsid w:val="00AF132E"/>
    <w:rsid w:val="00AF2484"/>
    <w:rsid w:val="00AF63E7"/>
    <w:rsid w:val="00AF6E17"/>
    <w:rsid w:val="00B0165D"/>
    <w:rsid w:val="00B01B60"/>
    <w:rsid w:val="00B031F3"/>
    <w:rsid w:val="00B052A4"/>
    <w:rsid w:val="00B1073B"/>
    <w:rsid w:val="00B125DE"/>
    <w:rsid w:val="00B13FDD"/>
    <w:rsid w:val="00B22EB2"/>
    <w:rsid w:val="00B27442"/>
    <w:rsid w:val="00B31167"/>
    <w:rsid w:val="00B329D8"/>
    <w:rsid w:val="00B32BB9"/>
    <w:rsid w:val="00B33AE1"/>
    <w:rsid w:val="00B37C38"/>
    <w:rsid w:val="00B4288C"/>
    <w:rsid w:val="00B43262"/>
    <w:rsid w:val="00B44100"/>
    <w:rsid w:val="00B46CBA"/>
    <w:rsid w:val="00B46F94"/>
    <w:rsid w:val="00B51468"/>
    <w:rsid w:val="00B6003C"/>
    <w:rsid w:val="00B61F03"/>
    <w:rsid w:val="00B626E4"/>
    <w:rsid w:val="00B72F4A"/>
    <w:rsid w:val="00B75777"/>
    <w:rsid w:val="00B83C27"/>
    <w:rsid w:val="00B84BC3"/>
    <w:rsid w:val="00B84BDD"/>
    <w:rsid w:val="00B92812"/>
    <w:rsid w:val="00B97AC9"/>
    <w:rsid w:val="00B97CE3"/>
    <w:rsid w:val="00BB45A1"/>
    <w:rsid w:val="00BB7686"/>
    <w:rsid w:val="00BC23F9"/>
    <w:rsid w:val="00BC3421"/>
    <w:rsid w:val="00BC732C"/>
    <w:rsid w:val="00BD4421"/>
    <w:rsid w:val="00BD6C7B"/>
    <w:rsid w:val="00BD7249"/>
    <w:rsid w:val="00BE2580"/>
    <w:rsid w:val="00BE266D"/>
    <w:rsid w:val="00BE3938"/>
    <w:rsid w:val="00BE4C11"/>
    <w:rsid w:val="00BE6805"/>
    <w:rsid w:val="00BE71C0"/>
    <w:rsid w:val="00BF610C"/>
    <w:rsid w:val="00C0060B"/>
    <w:rsid w:val="00C01A6C"/>
    <w:rsid w:val="00C0262C"/>
    <w:rsid w:val="00C0277D"/>
    <w:rsid w:val="00C053A1"/>
    <w:rsid w:val="00C16198"/>
    <w:rsid w:val="00C2083D"/>
    <w:rsid w:val="00C24A53"/>
    <w:rsid w:val="00C34A05"/>
    <w:rsid w:val="00C35CCE"/>
    <w:rsid w:val="00C4032F"/>
    <w:rsid w:val="00C44047"/>
    <w:rsid w:val="00C45155"/>
    <w:rsid w:val="00C5498F"/>
    <w:rsid w:val="00C55235"/>
    <w:rsid w:val="00C64CD0"/>
    <w:rsid w:val="00C6684F"/>
    <w:rsid w:val="00C70E70"/>
    <w:rsid w:val="00C75F8D"/>
    <w:rsid w:val="00C77380"/>
    <w:rsid w:val="00C8321C"/>
    <w:rsid w:val="00C87E8A"/>
    <w:rsid w:val="00C93368"/>
    <w:rsid w:val="00C97736"/>
    <w:rsid w:val="00CA345A"/>
    <w:rsid w:val="00CA7048"/>
    <w:rsid w:val="00CB0C4F"/>
    <w:rsid w:val="00CB1E82"/>
    <w:rsid w:val="00CB3DA1"/>
    <w:rsid w:val="00CB4BA8"/>
    <w:rsid w:val="00CB52D7"/>
    <w:rsid w:val="00CC6732"/>
    <w:rsid w:val="00CD4B1B"/>
    <w:rsid w:val="00CE3C96"/>
    <w:rsid w:val="00CE51A8"/>
    <w:rsid w:val="00CF369B"/>
    <w:rsid w:val="00D00E28"/>
    <w:rsid w:val="00D0269E"/>
    <w:rsid w:val="00D05D6C"/>
    <w:rsid w:val="00D15810"/>
    <w:rsid w:val="00D16D4E"/>
    <w:rsid w:val="00D16FE3"/>
    <w:rsid w:val="00D27F41"/>
    <w:rsid w:val="00D36441"/>
    <w:rsid w:val="00D4064E"/>
    <w:rsid w:val="00D44E9B"/>
    <w:rsid w:val="00D45369"/>
    <w:rsid w:val="00D45FD2"/>
    <w:rsid w:val="00D47AEB"/>
    <w:rsid w:val="00D50DB9"/>
    <w:rsid w:val="00D51302"/>
    <w:rsid w:val="00D52C43"/>
    <w:rsid w:val="00D530BA"/>
    <w:rsid w:val="00D6507F"/>
    <w:rsid w:val="00D730BC"/>
    <w:rsid w:val="00D73912"/>
    <w:rsid w:val="00D85226"/>
    <w:rsid w:val="00D87B94"/>
    <w:rsid w:val="00D91600"/>
    <w:rsid w:val="00D92D49"/>
    <w:rsid w:val="00D92EC1"/>
    <w:rsid w:val="00D96DEA"/>
    <w:rsid w:val="00D97ADC"/>
    <w:rsid w:val="00DA2810"/>
    <w:rsid w:val="00DA399C"/>
    <w:rsid w:val="00DA4E41"/>
    <w:rsid w:val="00DB117A"/>
    <w:rsid w:val="00DB5173"/>
    <w:rsid w:val="00DB7873"/>
    <w:rsid w:val="00DC187B"/>
    <w:rsid w:val="00DC71E1"/>
    <w:rsid w:val="00DC7DEF"/>
    <w:rsid w:val="00DD1A43"/>
    <w:rsid w:val="00DD73C2"/>
    <w:rsid w:val="00DE2416"/>
    <w:rsid w:val="00DE319B"/>
    <w:rsid w:val="00DF1969"/>
    <w:rsid w:val="00DF1EE9"/>
    <w:rsid w:val="00DF34FE"/>
    <w:rsid w:val="00DF56AA"/>
    <w:rsid w:val="00DF56AF"/>
    <w:rsid w:val="00DF78E7"/>
    <w:rsid w:val="00E110E0"/>
    <w:rsid w:val="00E15371"/>
    <w:rsid w:val="00E23372"/>
    <w:rsid w:val="00E24104"/>
    <w:rsid w:val="00E302D0"/>
    <w:rsid w:val="00E35707"/>
    <w:rsid w:val="00E359AB"/>
    <w:rsid w:val="00E36AA1"/>
    <w:rsid w:val="00E41ECB"/>
    <w:rsid w:val="00E42676"/>
    <w:rsid w:val="00E54FDB"/>
    <w:rsid w:val="00E5617D"/>
    <w:rsid w:val="00E563D7"/>
    <w:rsid w:val="00E6008F"/>
    <w:rsid w:val="00E663F4"/>
    <w:rsid w:val="00E666F2"/>
    <w:rsid w:val="00E66DD4"/>
    <w:rsid w:val="00E748CC"/>
    <w:rsid w:val="00E75415"/>
    <w:rsid w:val="00E775B1"/>
    <w:rsid w:val="00E8152A"/>
    <w:rsid w:val="00E93629"/>
    <w:rsid w:val="00E93B5C"/>
    <w:rsid w:val="00E94CEC"/>
    <w:rsid w:val="00EA04EF"/>
    <w:rsid w:val="00EA6F19"/>
    <w:rsid w:val="00EB7090"/>
    <w:rsid w:val="00EC1BBE"/>
    <w:rsid w:val="00EC2B68"/>
    <w:rsid w:val="00EC3AEF"/>
    <w:rsid w:val="00EC5CD7"/>
    <w:rsid w:val="00EE5FB3"/>
    <w:rsid w:val="00EE7F79"/>
    <w:rsid w:val="00EF715A"/>
    <w:rsid w:val="00F01BC3"/>
    <w:rsid w:val="00F06E14"/>
    <w:rsid w:val="00F179D4"/>
    <w:rsid w:val="00F33C56"/>
    <w:rsid w:val="00F347C7"/>
    <w:rsid w:val="00F34848"/>
    <w:rsid w:val="00F42D46"/>
    <w:rsid w:val="00F4496C"/>
    <w:rsid w:val="00F44F3A"/>
    <w:rsid w:val="00F45DD5"/>
    <w:rsid w:val="00F47894"/>
    <w:rsid w:val="00F51F10"/>
    <w:rsid w:val="00F529A5"/>
    <w:rsid w:val="00F571A8"/>
    <w:rsid w:val="00F60F00"/>
    <w:rsid w:val="00F614C0"/>
    <w:rsid w:val="00F61C77"/>
    <w:rsid w:val="00F73808"/>
    <w:rsid w:val="00F83848"/>
    <w:rsid w:val="00F87F4B"/>
    <w:rsid w:val="00F92914"/>
    <w:rsid w:val="00F975E9"/>
    <w:rsid w:val="00FA1B7D"/>
    <w:rsid w:val="00FC07B9"/>
    <w:rsid w:val="00FC098E"/>
    <w:rsid w:val="00FC4E21"/>
    <w:rsid w:val="00FC5F6D"/>
    <w:rsid w:val="00FD0107"/>
    <w:rsid w:val="00FD2C2F"/>
    <w:rsid w:val="00FD3B31"/>
    <w:rsid w:val="00FE182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0EDC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7E3375"/>
    <w:pPr>
      <w:spacing w:after="240" w:line="240" w:lineRule="atLeast"/>
    </w:pPr>
    <w:rPr>
      <w:rFonts w:ascii="Arial" w:hAnsi="Arial"/>
      <w:sz w:val="20"/>
    </w:rPr>
  </w:style>
  <w:style w:type="paragraph" w:styleId="Heading1">
    <w:name w:val="heading 1"/>
    <w:basedOn w:val="Normal"/>
    <w:next w:val="Normal"/>
    <w:link w:val="Heading1Char"/>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C55235"/>
    <w:pPr>
      <w:keepNext/>
      <w:spacing w:before="60" w:after="60"/>
      <w:outlineLvl w:val="2"/>
    </w:pPr>
    <w:rPr>
      <w:rFonts w:cs="Arial"/>
      <w:b/>
      <w:bCs/>
      <w:szCs w:val="26"/>
    </w:rPr>
  </w:style>
  <w:style w:type="paragraph" w:styleId="Heading4">
    <w:name w:val="heading 4"/>
    <w:basedOn w:val="BodySubHeader"/>
    <w:next w:val="Normal"/>
    <w:uiPriority w:val="2"/>
    <w:qFormat/>
    <w:rsid w:val="0085618F"/>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rsid w:val="00566AB4"/>
    <w:rPr>
      <w:rFonts w:ascii="Arial" w:hAnsi="Arial"/>
      <w:vertAlign w:val="superscript"/>
    </w:rPr>
  </w:style>
  <w:style w:type="paragraph" w:styleId="FootnoteText">
    <w:name w:val="footnote text"/>
    <w:aliases w:val="Footnote text,ACMA Footnote Text"/>
    <w:basedOn w:val="Normal"/>
    <w:link w:val="FootnoteTextChar"/>
    <w:rsid w:val="006A3FAC"/>
    <w:pPr>
      <w:spacing w:after="4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rsid w:val="006C1631"/>
    <w:rPr>
      <w:rFonts w:ascii="Arial" w:hAnsi="Arial" w:cs="Arial"/>
      <w:bCs/>
      <w:color w:val="323232"/>
      <w:kern w:val="32"/>
      <w:sz w:val="53"/>
      <w:szCs w:val="32"/>
    </w:rPr>
  </w:style>
  <w:style w:type="character" w:customStyle="1" w:styleId="Heading2Char">
    <w:name w:val="Heading 2 Char"/>
    <w:basedOn w:val="DefaultParagraphFont"/>
    <w:link w:val="Heading2"/>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800CCD"/>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A824E8"/>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4A70D6"/>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63346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ListParagraph">
    <w:name w:val="List Paragraph"/>
    <w:basedOn w:val="Normal"/>
    <w:uiPriority w:val="34"/>
    <w:qFormat/>
    <w:rsid w:val="00CB3DA1"/>
    <w:pPr>
      <w:ind w:left="720" w:hanging="567"/>
      <w:contextualSpacing/>
    </w:pPr>
    <w:rPr>
      <w:sz w:val="24"/>
    </w:rPr>
  </w:style>
  <w:style w:type="paragraph" w:styleId="BalloonText">
    <w:name w:val="Balloon Text"/>
    <w:basedOn w:val="Normal"/>
    <w:link w:val="BalloonTextChar"/>
    <w:semiHidden/>
    <w:unhideWhenUsed/>
    <w:rsid w:val="00CB3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B3DA1"/>
    <w:rPr>
      <w:rFonts w:ascii="Segoe UI" w:hAnsi="Segoe UI" w:cs="Segoe UI"/>
      <w:sz w:val="18"/>
      <w:szCs w:val="18"/>
    </w:rPr>
  </w:style>
  <w:style w:type="character" w:customStyle="1" w:styleId="FootnoteTextChar">
    <w:name w:val="Footnote Text Char"/>
    <w:aliases w:val="Footnote text Char,ACMA Footnote Text Char"/>
    <w:link w:val="FootnoteText"/>
    <w:rsid w:val="006A3FAC"/>
    <w:rPr>
      <w:rFonts w:ascii="Arial" w:hAnsi="Arial"/>
      <w:sz w:val="16"/>
      <w:szCs w:val="16"/>
    </w:rPr>
  </w:style>
  <w:style w:type="paragraph" w:customStyle="1" w:styleId="ACMABodyTextnumpara2">
    <w:name w:val="ACMA Body Text num para 2"/>
    <w:basedOn w:val="Normal"/>
    <w:link w:val="ACMABodyTextnumpara2Char"/>
    <w:rsid w:val="00CB3DA1"/>
    <w:pPr>
      <w:tabs>
        <w:tab w:val="left" w:pos="1440"/>
      </w:tabs>
      <w:suppressAutoHyphens/>
      <w:spacing w:before="80" w:after="120" w:line="280" w:lineRule="atLeast"/>
      <w:ind w:left="1440" w:hanging="720"/>
    </w:pPr>
    <w:rPr>
      <w:snapToGrid w:val="0"/>
      <w:sz w:val="24"/>
      <w:szCs w:val="20"/>
      <w:lang w:eastAsia="en-US"/>
    </w:rPr>
  </w:style>
  <w:style w:type="character" w:customStyle="1" w:styleId="ACMABodyTextnumpara2Char">
    <w:name w:val="ACMA Body Text num para 2 Char"/>
    <w:basedOn w:val="DefaultParagraphFont"/>
    <w:link w:val="ACMABodyTextnumpara2"/>
    <w:rsid w:val="00CB3DA1"/>
    <w:rPr>
      <w:rFonts w:ascii="Arial" w:hAnsi="Arial"/>
      <w:snapToGrid w:val="0"/>
      <w:szCs w:val="20"/>
      <w:lang w:eastAsia="en-US"/>
    </w:rPr>
  </w:style>
  <w:style w:type="paragraph" w:customStyle="1" w:styleId="ACMABodyText">
    <w:name w:val="ACMA Body Text"/>
    <w:link w:val="ACMABodyTextChar"/>
    <w:rsid w:val="00CB3DA1"/>
    <w:pPr>
      <w:suppressAutoHyphens/>
      <w:spacing w:before="80" w:after="120" w:line="280" w:lineRule="atLeast"/>
    </w:pPr>
    <w:rPr>
      <w:rFonts w:ascii="Arial" w:hAnsi="Arial"/>
      <w:snapToGrid w:val="0"/>
      <w:szCs w:val="20"/>
      <w:lang w:eastAsia="en-US"/>
    </w:rPr>
  </w:style>
  <w:style w:type="character" w:customStyle="1" w:styleId="ACMABodyTextChar">
    <w:name w:val="ACMA Body Text Char"/>
    <w:link w:val="ACMABodyText"/>
    <w:rsid w:val="00CB3DA1"/>
    <w:rPr>
      <w:rFonts w:ascii="Arial" w:hAnsi="Arial"/>
      <w:snapToGrid w:val="0"/>
      <w:szCs w:val="20"/>
      <w:lang w:eastAsia="en-US"/>
    </w:rPr>
  </w:style>
  <w:style w:type="paragraph" w:styleId="Revision">
    <w:name w:val="Revision"/>
    <w:hidden/>
    <w:semiHidden/>
    <w:rsid w:val="00947E2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acma.gov.au" TargetMode="Externa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7.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creativecommons.org/l/by/3.0/88x31.png" TargetMode="External"/><Relationship Id="rId22" Type="http://schemas.openxmlformats.org/officeDocument/2006/relationships/header" Target="header6.xml"/><Relationship Id="rId27" Type="http://schemas.openxmlformats.org/officeDocument/2006/relationships/hyperlink" Target="https://www.acma.gov.au/compliance-and-enforcement-policy" TargetMode="External"/><Relationship Id="rId30" Type="http://schemas.openxmlformats.org/officeDocument/2006/relationships/footer" Target="footer9.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1DFAA-B3A7-43DA-BED9-09092A19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1983</Words>
  <Characters>10475</Characters>
  <Application>Microsoft Office Word</Application>
  <DocSecurity>0</DocSecurity>
  <Lines>234</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2025-10-21T00:18:00Z</dcterms:created>
  <dcterms:modified xsi:type="dcterms:W3CDTF">2025-10-21T00:25:00Z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24e739df,d7bce88,67c64f2c,4328c1e8,c263845,69821b69,637b5729,11cf7bed,3eeddb3e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29df9968,ca54328,2f19cfe4,39706e5,4bfe67f0,6d31e0a3,759f5215,2ebfa688,472e3ea5,117eced4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2025-10-21T00:22:50Z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fa12bb12-37a2-47ff-8580-e1f2a80347cf</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