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10D75" w14:textId="48175C5E" w:rsidR="00F06E14" w:rsidRPr="00A17B1B" w:rsidRDefault="00AF0536" w:rsidP="00F34580">
      <w:pPr>
        <w:pStyle w:val="Reporttitle"/>
      </w:pPr>
      <w:r>
        <w:t>U</w:t>
      </w:r>
      <w:r w:rsidR="00D94B4F">
        <w:t>pdates to</w:t>
      </w:r>
      <w:r w:rsidR="009A5844">
        <w:t xml:space="preserve"> </w:t>
      </w:r>
      <w:r w:rsidR="00D619F0">
        <w:t>earth station and PTP coordination rules</w:t>
      </w:r>
    </w:p>
    <w:p w14:paraId="711DFB59" w14:textId="5AA5C7A5" w:rsidR="00F06E14" w:rsidRPr="00A17B1B" w:rsidRDefault="00D619F0" w:rsidP="00F4639A">
      <w:pPr>
        <w:pStyle w:val="Reportsubtitle"/>
        <w:jc w:val="both"/>
      </w:pPr>
      <w:r>
        <w:t>Outcomes paper</w:t>
      </w:r>
      <w:r w:rsidR="00BD4421" w:rsidRPr="00A17B1B">
        <w:t xml:space="preserve"> </w:t>
      </w:r>
    </w:p>
    <w:p w14:paraId="264067DD" w14:textId="035AB692" w:rsidR="00C97736" w:rsidRPr="00A17B1B" w:rsidRDefault="001777D4" w:rsidP="00F4639A">
      <w:pPr>
        <w:pStyle w:val="Reportdate"/>
        <w:spacing w:after="720"/>
        <w:jc w:val="both"/>
        <w:rPr>
          <w:rFonts w:cs="Arial"/>
        </w:rPr>
        <w:sectPr w:rsidR="00C97736" w:rsidRPr="00A17B1B" w:rsidSect="005A62E5">
          <w:headerReference w:type="even" r:id="rId8"/>
          <w:headerReference w:type="default" r:id="rId9"/>
          <w:footerReference w:type="even" r:id="rId10"/>
          <w:footerReference w:type="default" r:id="rId11"/>
          <w:headerReference w:type="first" r:id="rId12"/>
          <w:footerReference w:type="first" r:id="rId13"/>
          <w:pgSz w:w="11906" w:h="16838" w:code="9"/>
          <w:pgMar w:top="3924" w:right="1418" w:bottom="1134" w:left="1418" w:header="850" w:footer="454" w:gutter="0"/>
          <w:cols w:space="708"/>
          <w:docGrid w:linePitch="360"/>
        </w:sectPr>
      </w:pPr>
      <w:r>
        <w:t>SEPTEMBER</w:t>
      </w:r>
      <w:r w:rsidRPr="00A17B1B">
        <w:t xml:space="preserve"> </w:t>
      </w:r>
      <w:r w:rsidR="00BD4421" w:rsidRPr="00A17B1B">
        <w:t>20</w:t>
      </w:r>
      <w:r w:rsidR="000971BD" w:rsidRPr="00A17B1B">
        <w:t>2</w:t>
      </w:r>
      <w:r w:rsidR="001106BC">
        <w:t>5</w:t>
      </w:r>
    </w:p>
    <w:p w14:paraId="0FDD5DBC" w14:textId="77777777" w:rsidR="00284A74" w:rsidRPr="00A17B1B" w:rsidRDefault="00284A74" w:rsidP="00F04676">
      <w:pPr>
        <w:pStyle w:val="ACMACorporateAddressHeader"/>
      </w:pPr>
      <w:r w:rsidRPr="00A17B1B">
        <w:lastRenderedPageBreak/>
        <w:t>Canberra</w:t>
      </w:r>
    </w:p>
    <w:p w14:paraId="3A619D9C" w14:textId="77777777" w:rsidR="00284A74" w:rsidRPr="00A17B1B" w:rsidRDefault="00181180" w:rsidP="00F04676">
      <w:pPr>
        <w:pStyle w:val="ACMACorporateAddresses"/>
      </w:pPr>
      <w:r>
        <w:t>Level 3</w:t>
      </w:r>
      <w:r>
        <w:br/>
        <w:t>40 Cameron Avenue</w:t>
      </w:r>
      <w:r w:rsidR="00284A74" w:rsidRPr="00A17B1B">
        <w:t xml:space="preserve"> </w:t>
      </w:r>
      <w:r w:rsidR="00284A74" w:rsidRPr="00A17B1B">
        <w:br/>
        <w:t>Belconnen ACT</w:t>
      </w:r>
    </w:p>
    <w:p w14:paraId="4DE838DF" w14:textId="77777777" w:rsidR="00284A74" w:rsidRPr="00A17B1B" w:rsidRDefault="00284A74" w:rsidP="00F04676">
      <w:pPr>
        <w:pStyle w:val="ACMACorporateAddresses"/>
      </w:pPr>
      <w:r w:rsidRPr="00A17B1B">
        <w:t>PO Box 78</w:t>
      </w:r>
      <w:r w:rsidRPr="00A17B1B">
        <w:br/>
        <w:t>Belconnen ACT 2616</w:t>
      </w:r>
    </w:p>
    <w:p w14:paraId="60DA9CA0" w14:textId="77777777" w:rsidR="00284A74" w:rsidRPr="00A17B1B" w:rsidRDefault="00284A74" w:rsidP="00F04676">
      <w:pPr>
        <w:pStyle w:val="ACMACorporateAddresses"/>
      </w:pPr>
      <w:r w:rsidRPr="00A17B1B">
        <w:t>T</w:t>
      </w:r>
      <w:r w:rsidRPr="00A17B1B">
        <w:tab/>
        <w:t>+61 2 6219 5555</w:t>
      </w:r>
      <w:r w:rsidRPr="00A17B1B">
        <w:br/>
        <w:t>F</w:t>
      </w:r>
      <w:r w:rsidRPr="00A17B1B">
        <w:tab/>
        <w:t>+61 2 6219 5353</w:t>
      </w:r>
    </w:p>
    <w:p w14:paraId="3DB78941" w14:textId="77777777" w:rsidR="00284A74" w:rsidRPr="00A17B1B" w:rsidRDefault="00284A74" w:rsidP="00F04676">
      <w:pPr>
        <w:pStyle w:val="ACMACorporateAddressHeader"/>
      </w:pPr>
      <w:r w:rsidRPr="00A17B1B">
        <w:t>Melbourne</w:t>
      </w:r>
    </w:p>
    <w:p w14:paraId="4519685E" w14:textId="77777777" w:rsidR="00284A74" w:rsidRPr="00A17B1B" w:rsidRDefault="00284A74" w:rsidP="00F04676">
      <w:pPr>
        <w:pStyle w:val="ACMACorporateAddresses"/>
      </w:pPr>
      <w:r w:rsidRPr="00A17B1B">
        <w:t xml:space="preserve">Level 32 </w:t>
      </w:r>
      <w:r w:rsidRPr="00A17B1B">
        <w:br/>
        <w:t>Melbourne Central Tower</w:t>
      </w:r>
      <w:r w:rsidRPr="00A17B1B">
        <w:br/>
        <w:t xml:space="preserve">360 Elizabeth Street </w:t>
      </w:r>
      <w:r w:rsidRPr="00A17B1B">
        <w:br/>
        <w:t>Melbourne VIC</w:t>
      </w:r>
    </w:p>
    <w:p w14:paraId="7AC5AB3F" w14:textId="77777777" w:rsidR="00284A74" w:rsidRPr="00A17B1B" w:rsidRDefault="00284A74" w:rsidP="00F04676">
      <w:pPr>
        <w:pStyle w:val="ACMACorporateAddresses"/>
      </w:pPr>
      <w:r w:rsidRPr="00A17B1B">
        <w:t>PO Box 13112</w:t>
      </w:r>
      <w:r w:rsidRPr="00A17B1B">
        <w:br/>
        <w:t xml:space="preserve">Law Courts </w:t>
      </w:r>
      <w:r w:rsidRPr="00A17B1B">
        <w:br/>
        <w:t>Melbourne VIC 8010</w:t>
      </w:r>
    </w:p>
    <w:p w14:paraId="0C478C92" w14:textId="77777777" w:rsidR="00284A74" w:rsidRPr="00A17B1B" w:rsidRDefault="00284A74" w:rsidP="00F04676">
      <w:pPr>
        <w:pStyle w:val="ACMACorporateAddresses"/>
      </w:pPr>
      <w:r w:rsidRPr="00A17B1B">
        <w:t>T</w:t>
      </w:r>
      <w:r w:rsidRPr="00A17B1B">
        <w:tab/>
        <w:t>+61 3 9963 6800</w:t>
      </w:r>
      <w:r w:rsidRPr="00A17B1B">
        <w:br/>
        <w:t>F</w:t>
      </w:r>
      <w:r w:rsidRPr="00A17B1B">
        <w:tab/>
        <w:t>+61 3 9963 6899</w:t>
      </w:r>
    </w:p>
    <w:p w14:paraId="2FE87A1B" w14:textId="77777777" w:rsidR="00284A74" w:rsidRPr="00A17B1B" w:rsidRDefault="00284A74" w:rsidP="00F04676">
      <w:pPr>
        <w:pStyle w:val="ACMACorporateAddressHeader"/>
      </w:pPr>
      <w:r w:rsidRPr="00A17B1B">
        <w:t>Sydney</w:t>
      </w:r>
    </w:p>
    <w:p w14:paraId="04A13913" w14:textId="77777777" w:rsidR="00284A74" w:rsidRPr="00A17B1B" w:rsidRDefault="00284A74" w:rsidP="00F04676">
      <w:pPr>
        <w:pStyle w:val="ACMACorporateAddresses"/>
      </w:pPr>
      <w:r w:rsidRPr="00A17B1B">
        <w:t xml:space="preserve">Level 5 </w:t>
      </w:r>
      <w:r w:rsidRPr="00A17B1B">
        <w:br/>
        <w:t>The Bay Centre</w:t>
      </w:r>
      <w:r w:rsidRPr="00A17B1B">
        <w:br/>
        <w:t xml:space="preserve">65 Pirrama Road </w:t>
      </w:r>
      <w:r w:rsidRPr="00A17B1B">
        <w:br/>
        <w:t>Pyrmont NSW</w:t>
      </w:r>
    </w:p>
    <w:p w14:paraId="38174A85" w14:textId="77777777" w:rsidR="00284A74" w:rsidRPr="00A17B1B" w:rsidRDefault="00284A74" w:rsidP="00F04676">
      <w:pPr>
        <w:pStyle w:val="ACMACorporateAddresses"/>
      </w:pPr>
      <w:r w:rsidRPr="00A17B1B">
        <w:t>PO Box Q500</w:t>
      </w:r>
      <w:r w:rsidRPr="00A17B1B">
        <w:br/>
        <w:t xml:space="preserve">Queen Victoria Building </w:t>
      </w:r>
      <w:r w:rsidRPr="00A17B1B">
        <w:br/>
        <w:t>NSW 1230</w:t>
      </w:r>
    </w:p>
    <w:p w14:paraId="7092A821" w14:textId="77777777" w:rsidR="00284A74" w:rsidRPr="00A17B1B" w:rsidRDefault="00284A74" w:rsidP="00F04676">
      <w:pPr>
        <w:pStyle w:val="ACMACorporateAddresses"/>
      </w:pPr>
      <w:r w:rsidRPr="00A17B1B">
        <w:t>T</w:t>
      </w:r>
      <w:r w:rsidRPr="00A17B1B">
        <w:tab/>
        <w:t>+61 2 9334 7700</w:t>
      </w:r>
      <w:r w:rsidRPr="00A17B1B">
        <w:br/>
        <w:t>F</w:t>
      </w:r>
      <w:r w:rsidRPr="00A17B1B">
        <w:tab/>
        <w:t>+61 2 9334 7799</w:t>
      </w:r>
    </w:p>
    <w:p w14:paraId="4548F5B2" w14:textId="77777777" w:rsidR="00284A74" w:rsidRPr="00A17B1B" w:rsidRDefault="00284A74" w:rsidP="00F04676">
      <w:pPr>
        <w:pStyle w:val="ACMACopyrightHeader"/>
        <w:spacing w:before="4200"/>
      </w:pPr>
      <w:r w:rsidRPr="00A17B1B">
        <w:t>Copyright notice</w:t>
      </w:r>
    </w:p>
    <w:p w14:paraId="1B06834F" w14:textId="77777777" w:rsidR="00284A74" w:rsidRPr="00A17B1B" w:rsidRDefault="00284A74" w:rsidP="00F4639A">
      <w:pPr>
        <w:pStyle w:val="ACMACClogo"/>
        <w:jc w:val="both"/>
      </w:pPr>
      <w:r w:rsidRPr="00A17B1B">
        <w:rPr>
          <w:noProof/>
        </w:rPr>
        <w:drawing>
          <wp:inline distT="0" distB="0" distL="0" distR="0" wp14:anchorId="56F67469" wp14:editId="47DCB629">
            <wp:extent cx="838200" cy="295275"/>
            <wp:effectExtent l="0" t="0" r="0" b="0"/>
            <wp:docPr id="1" name="Picture 1" title="Creative Commons logo">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y">
                      <a:hlinkClick r:id="rId14"/>
                    </pic:cNvPr>
                    <pic:cNvPicPr>
                      <a:picLocks noChangeAspect="1" noChangeArrowheads="1"/>
                    </pic:cNvPicPr>
                  </pic:nvPicPr>
                  <pic:blipFill>
                    <a:blip r:embed="rId15" cstate="print"/>
                    <a:srcRect/>
                    <a:stretch>
                      <a:fillRect/>
                    </a:stretch>
                  </pic:blipFill>
                  <pic:spPr bwMode="auto">
                    <a:xfrm>
                      <a:off x="0" y="0"/>
                      <a:ext cx="838200" cy="295275"/>
                    </a:xfrm>
                    <a:prstGeom prst="rect">
                      <a:avLst/>
                    </a:prstGeom>
                    <a:noFill/>
                  </pic:spPr>
                </pic:pic>
              </a:graphicData>
            </a:graphic>
          </wp:inline>
        </w:drawing>
      </w:r>
    </w:p>
    <w:p w14:paraId="63E838C7" w14:textId="77777777" w:rsidR="00284A74" w:rsidRPr="00A17B1B" w:rsidRDefault="00284A74" w:rsidP="00F4639A">
      <w:pPr>
        <w:pStyle w:val="ACMACorporateAddresses"/>
        <w:jc w:val="both"/>
        <w:rPr>
          <w:rStyle w:val="Hyperlink"/>
        </w:rPr>
      </w:pPr>
      <w:hyperlink r:id="rId16" w:history="1">
        <w:r w:rsidRPr="00A17B1B">
          <w:rPr>
            <w:rStyle w:val="Hyperlink"/>
          </w:rPr>
          <w:t>https://creativecommons.org/licenses/by/4.0/</w:t>
        </w:r>
      </w:hyperlink>
    </w:p>
    <w:p w14:paraId="5ED70448" w14:textId="77777777" w:rsidR="00AA1F0B" w:rsidRPr="00E162C4" w:rsidRDefault="00AA1F0B" w:rsidP="00F4639A">
      <w:pPr>
        <w:pStyle w:val="ACMACorporateAddresses"/>
        <w:jc w:val="both"/>
      </w:pPr>
      <w:r>
        <w:t>Except for the Commonwealth</w:t>
      </w:r>
      <w:r w:rsidRPr="00E162C4">
        <w:t xml:space="preserve"> </w:t>
      </w:r>
      <w:r>
        <w:t>C</w:t>
      </w:r>
      <w:r w:rsidRPr="00E162C4">
        <w:t xml:space="preserve">oat of </w:t>
      </w:r>
      <w:r>
        <w:t>A</w:t>
      </w:r>
      <w:r w:rsidRPr="00E162C4">
        <w:t xml:space="preserve">rms, logos, emblems, images, other third-party material or devices protected by a trademark, this content is made available under the terms of the Creative Commons Attribution 4.0 International (CC BY 4.0) licence. </w:t>
      </w:r>
    </w:p>
    <w:p w14:paraId="79CC1DC3" w14:textId="77777777" w:rsidR="00AA1F0B" w:rsidRPr="00E162C4" w:rsidRDefault="00AA1F0B" w:rsidP="00F4639A">
      <w:pPr>
        <w:pStyle w:val="ACMACorporateAddresses"/>
        <w:jc w:val="both"/>
      </w:pPr>
      <w:r w:rsidRPr="00E162C4">
        <w:t>All other rights are reserved.</w:t>
      </w:r>
    </w:p>
    <w:p w14:paraId="269EB95A" w14:textId="77777777" w:rsidR="00AA1F0B" w:rsidRDefault="00AA1F0B" w:rsidP="00F4639A">
      <w:pPr>
        <w:pStyle w:val="ACMACorporateAddresses"/>
        <w:jc w:val="both"/>
      </w:pPr>
      <w:r w:rsidRPr="00E162C4">
        <w:t>The Australian Communications and Media Authority has undertaken reasonable enquiries to identify material owned by third parties and secure permission for its reproduction. Permission may need to be obtained from third parties to re-use their material.</w:t>
      </w:r>
    </w:p>
    <w:p w14:paraId="323980BF" w14:textId="77777777" w:rsidR="00AA1F0B" w:rsidRPr="00D04C32" w:rsidRDefault="00AA1F0B" w:rsidP="00F4639A">
      <w:pPr>
        <w:pStyle w:val="ACMACorporateAddresses"/>
        <w:jc w:val="both"/>
        <w:rPr>
          <w:rStyle w:val="Hyperlink"/>
          <w:color w:val="auto"/>
          <w:u w:val="none"/>
        </w:rPr>
      </w:pPr>
      <w:r w:rsidRPr="00E162C4">
        <w:t>We request attribution as © Commonwealth of Australia (Australian Communications and Media Authority) 202</w:t>
      </w:r>
      <w:r w:rsidR="001106BC">
        <w:t>5</w:t>
      </w:r>
      <w:r w:rsidRPr="00E162C4">
        <w:t xml:space="preserve">. </w:t>
      </w:r>
    </w:p>
    <w:p w14:paraId="630CEB10" w14:textId="77777777" w:rsidR="00D16FE3" w:rsidRPr="00A17B1B" w:rsidRDefault="00D16FE3" w:rsidP="00F4639A">
      <w:pPr>
        <w:pStyle w:val="ACMACorporateAddresses"/>
        <w:jc w:val="both"/>
        <w:sectPr w:rsidR="00D16FE3" w:rsidRPr="00A17B1B" w:rsidSect="005A62E5">
          <w:headerReference w:type="even" r:id="rId17"/>
          <w:headerReference w:type="default" r:id="rId18"/>
          <w:footerReference w:type="even" r:id="rId19"/>
          <w:footerReference w:type="default" r:id="rId20"/>
          <w:pgSz w:w="11906" w:h="16838" w:code="9"/>
          <w:pgMar w:top="3924" w:right="1418" w:bottom="1134" w:left="1418" w:header="709" w:footer="119" w:gutter="0"/>
          <w:cols w:space="708"/>
          <w:docGrid w:linePitch="360"/>
        </w:sectPr>
      </w:pPr>
    </w:p>
    <w:p w14:paraId="4AD8E0C6" w14:textId="023FAE78" w:rsidR="00100903" w:rsidRDefault="00BB1725">
      <w:pPr>
        <w:pStyle w:val="TOC1"/>
        <w:rPr>
          <w:rFonts w:asciiTheme="minorHAnsi" w:eastAsiaTheme="minorEastAsia" w:hAnsiTheme="minorHAnsi" w:cstheme="minorBidi"/>
          <w:b w:val="0"/>
          <w:spacing w:val="0"/>
          <w:kern w:val="2"/>
          <w:sz w:val="24"/>
          <w14:ligatures w14:val="standardContextual"/>
        </w:rPr>
      </w:pPr>
      <w:r>
        <w:rPr>
          <w:rFonts w:cs="Arial"/>
          <w:b w:val="0"/>
        </w:rPr>
        <w:lastRenderedPageBreak/>
        <w:fldChar w:fldCharType="begin"/>
      </w:r>
      <w:r>
        <w:rPr>
          <w:rFonts w:cs="Arial"/>
          <w:b w:val="0"/>
        </w:rPr>
        <w:instrText xml:space="preserve"> TOC \o "1-2" \h \z \u </w:instrText>
      </w:r>
      <w:r>
        <w:rPr>
          <w:rFonts w:cs="Arial"/>
          <w:b w:val="0"/>
        </w:rPr>
        <w:fldChar w:fldCharType="separate"/>
      </w:r>
      <w:hyperlink w:anchor="_Toc208222728" w:history="1">
        <w:r w:rsidR="00100903" w:rsidRPr="00604107">
          <w:rPr>
            <w:rStyle w:val="Hyperlink"/>
          </w:rPr>
          <w:t>Executive summary</w:t>
        </w:r>
        <w:r w:rsidR="00100903">
          <w:rPr>
            <w:webHidden/>
          </w:rPr>
          <w:tab/>
        </w:r>
        <w:r w:rsidR="00100903">
          <w:rPr>
            <w:webHidden/>
          </w:rPr>
          <w:fldChar w:fldCharType="begin"/>
        </w:r>
        <w:r w:rsidR="00100903">
          <w:rPr>
            <w:webHidden/>
          </w:rPr>
          <w:instrText xml:space="preserve"> PAGEREF _Toc208222728 \h </w:instrText>
        </w:r>
        <w:r w:rsidR="00100903">
          <w:rPr>
            <w:webHidden/>
          </w:rPr>
        </w:r>
        <w:r w:rsidR="00100903">
          <w:rPr>
            <w:webHidden/>
          </w:rPr>
          <w:fldChar w:fldCharType="separate"/>
        </w:r>
        <w:r w:rsidR="00100903">
          <w:rPr>
            <w:webHidden/>
          </w:rPr>
          <w:t>1</w:t>
        </w:r>
        <w:r w:rsidR="00100903">
          <w:rPr>
            <w:webHidden/>
          </w:rPr>
          <w:fldChar w:fldCharType="end"/>
        </w:r>
      </w:hyperlink>
    </w:p>
    <w:p w14:paraId="7D33EF35" w14:textId="19D055CE" w:rsidR="00100903" w:rsidRDefault="00100903">
      <w:pPr>
        <w:pStyle w:val="TOC1"/>
        <w:rPr>
          <w:rFonts w:asciiTheme="minorHAnsi" w:eastAsiaTheme="minorEastAsia" w:hAnsiTheme="minorHAnsi" w:cstheme="minorBidi"/>
          <w:b w:val="0"/>
          <w:spacing w:val="0"/>
          <w:kern w:val="2"/>
          <w:sz w:val="24"/>
          <w14:ligatures w14:val="standardContextual"/>
        </w:rPr>
      </w:pPr>
      <w:hyperlink w:anchor="_Toc208222729" w:history="1">
        <w:r w:rsidRPr="00604107">
          <w:rPr>
            <w:rStyle w:val="Hyperlink"/>
          </w:rPr>
          <w:t>Introduction</w:t>
        </w:r>
        <w:r>
          <w:rPr>
            <w:webHidden/>
          </w:rPr>
          <w:tab/>
        </w:r>
        <w:r>
          <w:rPr>
            <w:webHidden/>
          </w:rPr>
          <w:fldChar w:fldCharType="begin"/>
        </w:r>
        <w:r>
          <w:rPr>
            <w:webHidden/>
          </w:rPr>
          <w:instrText xml:space="preserve"> PAGEREF _Toc208222729 \h </w:instrText>
        </w:r>
        <w:r>
          <w:rPr>
            <w:webHidden/>
          </w:rPr>
        </w:r>
        <w:r>
          <w:rPr>
            <w:webHidden/>
          </w:rPr>
          <w:fldChar w:fldCharType="separate"/>
        </w:r>
        <w:r>
          <w:rPr>
            <w:webHidden/>
          </w:rPr>
          <w:t>2</w:t>
        </w:r>
        <w:r>
          <w:rPr>
            <w:webHidden/>
          </w:rPr>
          <w:fldChar w:fldCharType="end"/>
        </w:r>
      </w:hyperlink>
    </w:p>
    <w:p w14:paraId="4C6CB7F1" w14:textId="73B54A26" w:rsidR="00100903" w:rsidRDefault="00100903">
      <w:pPr>
        <w:pStyle w:val="TOC1"/>
        <w:rPr>
          <w:rFonts w:asciiTheme="minorHAnsi" w:eastAsiaTheme="minorEastAsia" w:hAnsiTheme="minorHAnsi" w:cstheme="minorBidi"/>
          <w:b w:val="0"/>
          <w:spacing w:val="0"/>
          <w:kern w:val="2"/>
          <w:sz w:val="24"/>
          <w14:ligatures w14:val="standardContextual"/>
        </w:rPr>
      </w:pPr>
      <w:hyperlink w:anchor="_Toc208222730" w:history="1">
        <w:r w:rsidRPr="00604107">
          <w:rPr>
            <w:rStyle w:val="Hyperlink"/>
          </w:rPr>
          <w:t>Response to submissions and the way forward</w:t>
        </w:r>
        <w:r>
          <w:rPr>
            <w:webHidden/>
          </w:rPr>
          <w:tab/>
        </w:r>
        <w:r>
          <w:rPr>
            <w:webHidden/>
          </w:rPr>
          <w:fldChar w:fldCharType="begin"/>
        </w:r>
        <w:r>
          <w:rPr>
            <w:webHidden/>
          </w:rPr>
          <w:instrText xml:space="preserve"> PAGEREF _Toc208222730 \h </w:instrText>
        </w:r>
        <w:r>
          <w:rPr>
            <w:webHidden/>
          </w:rPr>
        </w:r>
        <w:r>
          <w:rPr>
            <w:webHidden/>
          </w:rPr>
          <w:fldChar w:fldCharType="separate"/>
        </w:r>
        <w:r>
          <w:rPr>
            <w:webHidden/>
          </w:rPr>
          <w:t>3</w:t>
        </w:r>
        <w:r>
          <w:rPr>
            <w:webHidden/>
          </w:rPr>
          <w:fldChar w:fldCharType="end"/>
        </w:r>
      </w:hyperlink>
    </w:p>
    <w:p w14:paraId="01D983C7" w14:textId="1D0390A6" w:rsidR="00100903" w:rsidRDefault="00100903">
      <w:pPr>
        <w:pStyle w:val="TOC2"/>
        <w:rPr>
          <w:rFonts w:asciiTheme="minorHAnsi" w:eastAsiaTheme="minorEastAsia" w:hAnsiTheme="minorHAnsi" w:cstheme="minorBidi"/>
          <w:spacing w:val="0"/>
          <w:kern w:val="2"/>
          <w:sz w:val="24"/>
          <w:szCs w:val="24"/>
          <w14:ligatures w14:val="standardContextual"/>
        </w:rPr>
      </w:pPr>
      <w:hyperlink w:anchor="_Toc208222731" w:history="1">
        <w:r w:rsidRPr="00604107">
          <w:rPr>
            <w:rStyle w:val="Hyperlink"/>
          </w:rPr>
          <w:t>Industry feedback and ACMA response</w:t>
        </w:r>
        <w:r>
          <w:rPr>
            <w:webHidden/>
          </w:rPr>
          <w:tab/>
        </w:r>
        <w:r>
          <w:rPr>
            <w:webHidden/>
          </w:rPr>
          <w:fldChar w:fldCharType="begin"/>
        </w:r>
        <w:r>
          <w:rPr>
            <w:webHidden/>
          </w:rPr>
          <w:instrText xml:space="preserve"> PAGEREF _Toc208222731 \h </w:instrText>
        </w:r>
        <w:r>
          <w:rPr>
            <w:webHidden/>
          </w:rPr>
        </w:r>
        <w:r>
          <w:rPr>
            <w:webHidden/>
          </w:rPr>
          <w:fldChar w:fldCharType="separate"/>
        </w:r>
        <w:r>
          <w:rPr>
            <w:webHidden/>
          </w:rPr>
          <w:t>3</w:t>
        </w:r>
        <w:r>
          <w:rPr>
            <w:webHidden/>
          </w:rPr>
          <w:fldChar w:fldCharType="end"/>
        </w:r>
      </w:hyperlink>
    </w:p>
    <w:p w14:paraId="10A11A00" w14:textId="65185D51" w:rsidR="00100903" w:rsidRDefault="00100903">
      <w:pPr>
        <w:pStyle w:val="TOC2"/>
        <w:rPr>
          <w:rFonts w:asciiTheme="minorHAnsi" w:eastAsiaTheme="minorEastAsia" w:hAnsiTheme="minorHAnsi" w:cstheme="minorBidi"/>
          <w:spacing w:val="0"/>
          <w:kern w:val="2"/>
          <w:sz w:val="24"/>
          <w:szCs w:val="24"/>
          <w14:ligatures w14:val="standardContextual"/>
        </w:rPr>
      </w:pPr>
      <w:hyperlink w:anchor="_Toc208222732" w:history="1">
        <w:r w:rsidRPr="00604107">
          <w:rPr>
            <w:rStyle w:val="Hyperlink"/>
          </w:rPr>
          <w:t>Way forward</w:t>
        </w:r>
        <w:r>
          <w:rPr>
            <w:webHidden/>
          </w:rPr>
          <w:tab/>
        </w:r>
        <w:r>
          <w:rPr>
            <w:webHidden/>
          </w:rPr>
          <w:fldChar w:fldCharType="begin"/>
        </w:r>
        <w:r>
          <w:rPr>
            <w:webHidden/>
          </w:rPr>
          <w:instrText xml:space="preserve"> PAGEREF _Toc208222732 \h </w:instrText>
        </w:r>
        <w:r>
          <w:rPr>
            <w:webHidden/>
          </w:rPr>
        </w:r>
        <w:r>
          <w:rPr>
            <w:webHidden/>
          </w:rPr>
          <w:fldChar w:fldCharType="separate"/>
        </w:r>
        <w:r>
          <w:rPr>
            <w:webHidden/>
          </w:rPr>
          <w:t>5</w:t>
        </w:r>
        <w:r>
          <w:rPr>
            <w:webHidden/>
          </w:rPr>
          <w:fldChar w:fldCharType="end"/>
        </w:r>
      </w:hyperlink>
    </w:p>
    <w:p w14:paraId="59161367" w14:textId="0F6F2807" w:rsidR="004D56FF" w:rsidRPr="00A17B1B" w:rsidRDefault="00BB1725" w:rsidP="00F4639A">
      <w:pPr>
        <w:jc w:val="both"/>
        <w:rPr>
          <w:rFonts w:cs="Arial"/>
        </w:rPr>
        <w:sectPr w:rsidR="004D56FF" w:rsidRPr="00A17B1B" w:rsidSect="005A62E5">
          <w:headerReference w:type="even" r:id="rId21"/>
          <w:headerReference w:type="default" r:id="rId22"/>
          <w:footerReference w:type="even" r:id="rId23"/>
          <w:footerReference w:type="default" r:id="rId24"/>
          <w:footerReference w:type="first" r:id="rId25"/>
          <w:pgSz w:w="11906" w:h="16838" w:code="9"/>
          <w:pgMar w:top="1418" w:right="1418" w:bottom="1134" w:left="1418" w:header="709" w:footer="119" w:gutter="0"/>
          <w:pgNumType w:fmt="lowerRoman" w:start="3"/>
          <w:cols w:space="708"/>
          <w:titlePg/>
          <w:docGrid w:linePitch="360"/>
        </w:sectPr>
      </w:pPr>
      <w:r>
        <w:rPr>
          <w:rFonts w:cs="Arial"/>
          <w:b/>
          <w:noProof/>
          <w:spacing w:val="-14"/>
          <w:sz w:val="28"/>
        </w:rPr>
        <w:fldChar w:fldCharType="end"/>
      </w:r>
    </w:p>
    <w:p w14:paraId="734471E2" w14:textId="1DAE48A4" w:rsidR="005A044F" w:rsidRDefault="005A044F" w:rsidP="00F4639A">
      <w:pPr>
        <w:pStyle w:val="Heading1"/>
        <w:jc w:val="both"/>
      </w:pPr>
      <w:bookmarkStart w:id="0" w:name="_Toc208222728"/>
      <w:r>
        <w:lastRenderedPageBreak/>
        <w:t>Executive summary</w:t>
      </w:r>
      <w:bookmarkEnd w:id="0"/>
    </w:p>
    <w:p w14:paraId="3B2930FA" w14:textId="6D2019BE" w:rsidR="0000517F" w:rsidRDefault="004909D2" w:rsidP="001177F3">
      <w:pPr>
        <w:pStyle w:val="Paragraph"/>
        <w:spacing w:after="80"/>
      </w:pPr>
      <w:r>
        <w:t>In March 2025</w:t>
      </w:r>
      <w:r w:rsidR="001777D4">
        <w:t>,</w:t>
      </w:r>
      <w:r>
        <w:t xml:space="preserve"> </w:t>
      </w:r>
      <w:r w:rsidR="0023374A">
        <w:t>we</w:t>
      </w:r>
      <w:r>
        <w:t xml:space="preserve"> released a </w:t>
      </w:r>
      <w:hyperlink r:id="rId26" w:history="1">
        <w:r w:rsidRPr="00566F07">
          <w:rPr>
            <w:rStyle w:val="Hyperlink"/>
          </w:rPr>
          <w:t>consul</w:t>
        </w:r>
        <w:r w:rsidR="0023374A" w:rsidRPr="00566F07">
          <w:rPr>
            <w:rStyle w:val="Hyperlink"/>
          </w:rPr>
          <w:t>tation paper</w:t>
        </w:r>
      </w:hyperlink>
      <w:r w:rsidR="0023374A">
        <w:t xml:space="preserve"> seeking stakeholder views on the following proposed updates</w:t>
      </w:r>
      <w:r w:rsidR="00D13B36">
        <w:t xml:space="preserve"> to our </w:t>
      </w:r>
      <w:r w:rsidR="00532AE8">
        <w:t>frequency coordination and licensing procedures</w:t>
      </w:r>
      <w:r w:rsidR="000C2C6A">
        <w:t>:</w:t>
      </w:r>
    </w:p>
    <w:p w14:paraId="3E34EBD1" w14:textId="777945D0" w:rsidR="000C2C6A" w:rsidRDefault="000C2C6A" w:rsidP="001177F3">
      <w:pPr>
        <w:pStyle w:val="Bulletlevel1last"/>
        <w:spacing w:after="80"/>
      </w:pPr>
      <w:r>
        <w:t xml:space="preserve">Inclusion of </w:t>
      </w:r>
      <w:r w:rsidRPr="000C2C6A">
        <w:t>coordination arrangements between earth receive stations and</w:t>
      </w:r>
      <w:r w:rsidR="00652FF9">
        <w:t xml:space="preserve"> point-to-point </w:t>
      </w:r>
      <w:r w:rsidR="00556BF1">
        <w:t>(PTP)</w:t>
      </w:r>
      <w:r w:rsidRPr="000C2C6A">
        <w:t xml:space="preserve"> transmitters in the following frequency bands</w:t>
      </w:r>
      <w:r w:rsidR="00244317">
        <w:t xml:space="preserve"> in Radiocommunications Assignment and Licensing Instruction</w:t>
      </w:r>
      <w:r w:rsidR="003B5465">
        <w:t xml:space="preserve"> (RALI) MS45 (</w:t>
      </w:r>
      <w:hyperlink r:id="rId27" w:history="1">
        <w:r w:rsidR="00244317" w:rsidRPr="0044334D">
          <w:rPr>
            <w:rStyle w:val="Hyperlink"/>
          </w:rPr>
          <w:t>RALI MS45</w:t>
        </w:r>
      </w:hyperlink>
      <w:r w:rsidR="003B5465">
        <w:t>)</w:t>
      </w:r>
      <w:r w:rsidRPr="000C2C6A">
        <w:t xml:space="preserve">: </w:t>
      </w:r>
    </w:p>
    <w:p w14:paraId="5836D9D5" w14:textId="77777777" w:rsidR="00260CF7" w:rsidRDefault="000C2C6A" w:rsidP="001177F3">
      <w:pPr>
        <w:pStyle w:val="Bulletlevel2"/>
      </w:pPr>
      <w:r w:rsidRPr="000C2C6A">
        <w:t xml:space="preserve">7.5 GHz (7425–7725 MHz) </w:t>
      </w:r>
    </w:p>
    <w:p w14:paraId="7A08F28B" w14:textId="77777777" w:rsidR="00260CF7" w:rsidRDefault="000C2C6A" w:rsidP="001177F3">
      <w:pPr>
        <w:pStyle w:val="Bulletlevel2"/>
      </w:pPr>
      <w:r w:rsidRPr="000C2C6A">
        <w:t xml:space="preserve">8 GHz (7725–8275 MHz) </w:t>
      </w:r>
    </w:p>
    <w:p w14:paraId="04349EC0" w14:textId="77777777" w:rsidR="00260CF7" w:rsidRDefault="000C2C6A" w:rsidP="001177F3">
      <w:pPr>
        <w:pStyle w:val="Bulletlevel2"/>
      </w:pPr>
      <w:r w:rsidRPr="000C2C6A">
        <w:t>11 GHz (10.7–11.7 GHz)</w:t>
      </w:r>
    </w:p>
    <w:p w14:paraId="6FD86907" w14:textId="6AC35C88" w:rsidR="0000517F" w:rsidRDefault="000C2C6A" w:rsidP="000E17DA">
      <w:pPr>
        <w:pStyle w:val="Bulletlevel2"/>
      </w:pPr>
      <w:r w:rsidRPr="000C2C6A">
        <w:t>18 GHz (17.7–19.7 GHz)</w:t>
      </w:r>
    </w:p>
    <w:p w14:paraId="2D76AA47" w14:textId="0A876E1D" w:rsidR="000C2C6A" w:rsidRDefault="00204663" w:rsidP="001177F3">
      <w:pPr>
        <w:pStyle w:val="Bulletlevel1last"/>
      </w:pPr>
      <w:r>
        <w:t>I</w:t>
      </w:r>
      <w:r w:rsidR="000C2C6A" w:rsidRPr="000C2C6A">
        <w:t>ntroduc</w:t>
      </w:r>
      <w:r w:rsidR="001E78A9">
        <w:t xml:space="preserve">tion of </w:t>
      </w:r>
      <w:r w:rsidR="005A0685">
        <w:t>a</w:t>
      </w:r>
      <w:r w:rsidR="000C2C6A" w:rsidRPr="000C2C6A">
        <w:t>rrangements to support satellite services in the 75 GHz (71–76 GHz) and 85</w:t>
      </w:r>
      <w:r w:rsidR="00EC4338">
        <w:t> </w:t>
      </w:r>
      <w:r w:rsidR="000C2C6A" w:rsidRPr="000C2C6A">
        <w:t>GHz (81–86 GHz) bands. This include</w:t>
      </w:r>
      <w:r w:rsidR="004A69A9">
        <w:t>d</w:t>
      </w:r>
      <w:r w:rsidR="000C2C6A" w:rsidRPr="000C2C6A">
        <w:t xml:space="preserve"> adding coordination arrangements between 75/85 GHz band earth and earth receive stations and PTP link</w:t>
      </w:r>
      <w:r w:rsidR="005D1AFE">
        <w:t>s</w:t>
      </w:r>
      <w:r w:rsidR="000C2C6A" w:rsidRPr="000C2C6A">
        <w:t xml:space="preserve"> in RALI MS45, as well as making related modifications to </w:t>
      </w:r>
      <w:hyperlink r:id="rId28" w:history="1">
        <w:r w:rsidR="00B11D5D" w:rsidRPr="003C7318">
          <w:rPr>
            <w:rStyle w:val="Hyperlink"/>
          </w:rPr>
          <w:t>RALI FX20</w:t>
        </w:r>
      </w:hyperlink>
      <w:r w:rsidR="00312B03">
        <w:t xml:space="preserve"> and </w:t>
      </w:r>
      <w:hyperlink r:id="rId29" w:history="1">
        <w:r w:rsidR="00312B03" w:rsidRPr="00D13B36">
          <w:rPr>
            <w:rStyle w:val="Hyperlink"/>
          </w:rPr>
          <w:t>RALI MS31</w:t>
        </w:r>
      </w:hyperlink>
      <w:r w:rsidR="000A5F9A">
        <w:t>.</w:t>
      </w:r>
    </w:p>
    <w:p w14:paraId="79AA8AFE" w14:textId="14165DCC" w:rsidR="00164A9C" w:rsidRDefault="00164A9C" w:rsidP="001177F3">
      <w:pPr>
        <w:pStyle w:val="Paragraph"/>
      </w:pPr>
      <w:r>
        <w:t xml:space="preserve">We </w:t>
      </w:r>
      <w:r w:rsidRPr="00F76FFA">
        <w:t xml:space="preserve">received </w:t>
      </w:r>
      <w:r w:rsidR="0017469F" w:rsidRPr="00F76FFA">
        <w:t>5</w:t>
      </w:r>
      <w:r w:rsidR="00611D99" w:rsidRPr="00F76FFA">
        <w:t xml:space="preserve"> responses</w:t>
      </w:r>
      <w:r w:rsidR="0017469F" w:rsidRPr="00F76FFA">
        <w:t xml:space="preserve"> plus one in-confidence submission</w:t>
      </w:r>
      <w:r w:rsidR="00611D99" w:rsidRPr="00F76FFA">
        <w:t xml:space="preserve"> to the proposals in the </w:t>
      </w:r>
      <w:r w:rsidR="00540EDB" w:rsidRPr="00F76FFA">
        <w:t>consultation</w:t>
      </w:r>
      <w:r w:rsidR="00611D99" w:rsidRPr="00F76FFA">
        <w:t xml:space="preserve"> paper. Respondents</w:t>
      </w:r>
      <w:r w:rsidR="00611D99">
        <w:t xml:space="preserve"> generally supported the proposed updates t</w:t>
      </w:r>
      <w:r w:rsidR="00540EDB">
        <w:t>o</w:t>
      </w:r>
      <w:r w:rsidR="00CB316D">
        <w:t xml:space="preserve"> RALI MS45</w:t>
      </w:r>
      <w:r w:rsidR="00540EDB">
        <w:t xml:space="preserve"> </w:t>
      </w:r>
      <w:r w:rsidR="00CB316D">
        <w:t xml:space="preserve">that expand coordination requirements between fixed </w:t>
      </w:r>
      <w:r w:rsidR="00B61FD6">
        <w:t xml:space="preserve">PTP </w:t>
      </w:r>
      <w:r w:rsidR="00CB316D">
        <w:t>links and earth stations to additional frequency bands</w:t>
      </w:r>
      <w:r w:rsidR="00F43780">
        <w:t xml:space="preserve"> and proposed some further changes and additional arrangements.</w:t>
      </w:r>
    </w:p>
    <w:p w14:paraId="095895CA" w14:textId="2BC51050" w:rsidR="003436E4" w:rsidRDefault="003436E4" w:rsidP="001177F3">
      <w:pPr>
        <w:pStyle w:val="Paragraph"/>
      </w:pPr>
      <w:r>
        <w:t xml:space="preserve">Following our </w:t>
      </w:r>
      <w:r w:rsidR="00884A55">
        <w:t xml:space="preserve">consideration of responses, we </w:t>
      </w:r>
      <w:r w:rsidR="000A4099">
        <w:t xml:space="preserve">have decided to proceed with the </w:t>
      </w:r>
      <w:r w:rsidR="00986EB5">
        <w:t>proposed changes</w:t>
      </w:r>
      <w:r w:rsidR="00E93BC2">
        <w:t>, incorporating some of the feedback gathered from this consultation process.</w:t>
      </w:r>
      <w:r w:rsidR="00DD2DB6">
        <w:t xml:space="preserve"> </w:t>
      </w:r>
      <w:r w:rsidR="00C0511D">
        <w:t xml:space="preserve">New versions of </w:t>
      </w:r>
      <w:r w:rsidR="00986EB5">
        <w:t>RALI FX20</w:t>
      </w:r>
      <w:r w:rsidR="00C0511D">
        <w:t xml:space="preserve">, RALI MS31 and RALI MS45 are available on the </w:t>
      </w:r>
      <w:hyperlink r:id="rId30" w:history="1">
        <w:r w:rsidR="00C0511D" w:rsidRPr="00070D88">
          <w:rPr>
            <w:rStyle w:val="Hyperlink"/>
          </w:rPr>
          <w:t>ACMA website</w:t>
        </w:r>
      </w:hyperlink>
      <w:r w:rsidR="00C0511D">
        <w:t xml:space="preserve">. </w:t>
      </w:r>
    </w:p>
    <w:p w14:paraId="0F17B46C" w14:textId="77777777" w:rsidR="000C2C6A" w:rsidRDefault="000C2C6A" w:rsidP="00F4639A">
      <w:pPr>
        <w:jc w:val="both"/>
      </w:pPr>
    </w:p>
    <w:p w14:paraId="04426272" w14:textId="77777777" w:rsidR="00802200" w:rsidRPr="004909D2" w:rsidRDefault="00802200" w:rsidP="00F4639A">
      <w:pPr>
        <w:jc w:val="both"/>
      </w:pPr>
    </w:p>
    <w:p w14:paraId="3EF345B0" w14:textId="044557C2" w:rsidR="009D6C71" w:rsidRDefault="00580384" w:rsidP="001177F3">
      <w:pPr>
        <w:pStyle w:val="Heading1"/>
      </w:pPr>
      <w:bookmarkStart w:id="1" w:name="_Toc208222729"/>
      <w:r>
        <w:lastRenderedPageBreak/>
        <w:t>Introduction</w:t>
      </w:r>
      <w:bookmarkEnd w:id="1"/>
    </w:p>
    <w:p w14:paraId="6F1656A0" w14:textId="667B2AEE" w:rsidR="00F427D3" w:rsidRPr="001177F3" w:rsidRDefault="002F4B98" w:rsidP="001177F3">
      <w:pPr>
        <w:pStyle w:val="Paragraph"/>
      </w:pPr>
      <w:r w:rsidRPr="001177F3">
        <w:t xml:space="preserve">The ACMA regularly reviews </w:t>
      </w:r>
      <w:r w:rsidR="00C72341" w:rsidRPr="001177F3">
        <w:t>spectrum planning technical frameworks to ensure they remain current and consistent with contemporary technologies and operational practices.</w:t>
      </w:r>
      <w:r w:rsidR="0080656E" w:rsidRPr="001177F3">
        <w:t xml:space="preserve"> </w:t>
      </w:r>
      <w:r w:rsidR="00F427D3" w:rsidRPr="001177F3">
        <w:t xml:space="preserve">We provide coordination instructions between services, typically found in RALIs, on an 'as-needed' basis. This is particularly relevant in high-demand frequency bands where detailed instructions can lead to more efficient use of the band. In the absence of explicit coordination procedures, the process usually involves identifying all existing licenses in the relevant band and assessing the impact of the proposed system using engineering best practice. This includes applying relevant provisions and parameters from legislation, ITU </w:t>
      </w:r>
      <w:r w:rsidR="001777D4">
        <w:t>r</w:t>
      </w:r>
      <w:r w:rsidR="00F427D3" w:rsidRPr="001177F3">
        <w:t xml:space="preserve">adio </w:t>
      </w:r>
      <w:r w:rsidR="001777D4">
        <w:t>r</w:t>
      </w:r>
      <w:r w:rsidR="00F427D3" w:rsidRPr="001177F3">
        <w:t xml:space="preserve">egulations, </w:t>
      </w:r>
      <w:r w:rsidR="001777D4">
        <w:t>r</w:t>
      </w:r>
      <w:r w:rsidR="0016512F" w:rsidRPr="001177F3">
        <w:t>ecommendations</w:t>
      </w:r>
      <w:r w:rsidR="00F427D3" w:rsidRPr="001177F3">
        <w:t xml:space="preserve"> and </w:t>
      </w:r>
      <w:r w:rsidR="001777D4">
        <w:t>r</w:t>
      </w:r>
      <w:r w:rsidR="0016512F" w:rsidRPr="001177F3">
        <w:t>eports</w:t>
      </w:r>
      <w:r w:rsidR="00F427D3" w:rsidRPr="001177F3">
        <w:t xml:space="preserve">, as well as conditions on individual </w:t>
      </w:r>
      <w:r w:rsidR="0039622C" w:rsidRPr="001177F3">
        <w:t>licen</w:t>
      </w:r>
      <w:r w:rsidR="0039622C">
        <w:t>c</w:t>
      </w:r>
      <w:r w:rsidR="0039622C" w:rsidRPr="001177F3">
        <w:t>es</w:t>
      </w:r>
      <w:r w:rsidR="00F427D3" w:rsidRPr="001177F3">
        <w:t>.</w:t>
      </w:r>
    </w:p>
    <w:p w14:paraId="0E6109FB" w14:textId="1E2AE699" w:rsidR="005964C7" w:rsidRPr="001177F3" w:rsidRDefault="00D6327D" w:rsidP="001177F3">
      <w:pPr>
        <w:pStyle w:val="Paragraph"/>
      </w:pPr>
      <w:r w:rsidRPr="001177F3">
        <w:t>The current version of RALI MS45 includes requirements for coordination between PTP receivers and earth station transmitters in a limited number of frequency bands. These arrangements are restricted to earth stations operating in the fixed</w:t>
      </w:r>
      <w:r w:rsidR="00F76FFA">
        <w:t>-</w:t>
      </w:r>
      <w:r w:rsidRPr="001177F3">
        <w:t xml:space="preserve">satellite service (FSS). </w:t>
      </w:r>
      <w:r w:rsidR="00FC17BA">
        <w:t xml:space="preserve">In line with </w:t>
      </w:r>
      <w:r w:rsidR="005964C7" w:rsidRPr="001177F3">
        <w:t xml:space="preserve">the </w:t>
      </w:r>
      <w:hyperlink r:id="rId31" w:history="1">
        <w:r w:rsidR="005964C7" w:rsidRPr="001177F3">
          <w:rPr>
            <w:rStyle w:val="Hyperlink"/>
          </w:rPr>
          <w:t>Draft RALI review work program for 2025</w:t>
        </w:r>
        <w:r w:rsidR="001777D4">
          <w:rPr>
            <w:rStyle w:val="Hyperlink"/>
          </w:rPr>
          <w:t>–</w:t>
        </w:r>
        <w:r w:rsidR="005964C7" w:rsidRPr="001177F3">
          <w:rPr>
            <w:rStyle w:val="Hyperlink"/>
          </w:rPr>
          <w:t>26</w:t>
        </w:r>
      </w:hyperlink>
      <w:r w:rsidR="005964C7" w:rsidRPr="001177F3">
        <w:t xml:space="preserve">, we </w:t>
      </w:r>
      <w:r w:rsidR="00FC17BA">
        <w:t xml:space="preserve">have </w:t>
      </w:r>
      <w:r w:rsidR="005964C7" w:rsidRPr="001177F3">
        <w:t>expand</w:t>
      </w:r>
      <w:r w:rsidR="00B61FD6">
        <w:t>ed</w:t>
      </w:r>
      <w:r w:rsidR="005964C7" w:rsidRPr="001177F3">
        <w:t xml:space="preserve"> the scope of RALI MS45 to include coordination arrangements for earth receive stations and additional frequency bands shared between </w:t>
      </w:r>
      <w:r w:rsidR="008A1385">
        <w:t>PTP</w:t>
      </w:r>
      <w:r w:rsidR="008A1385" w:rsidRPr="001177F3">
        <w:t xml:space="preserve"> </w:t>
      </w:r>
      <w:r w:rsidR="005964C7" w:rsidRPr="001177F3">
        <w:t>services and earth stations.</w:t>
      </w:r>
    </w:p>
    <w:p w14:paraId="38E366BD" w14:textId="6EDD31E7" w:rsidR="005767AB" w:rsidRPr="001177F3" w:rsidRDefault="00437F03" w:rsidP="001177F3">
      <w:pPr>
        <w:pStyle w:val="Paragraph"/>
        <w:spacing w:after="80"/>
      </w:pPr>
      <w:r>
        <w:t>I</w:t>
      </w:r>
      <w:r w:rsidR="00731E89" w:rsidRPr="00CC3ED6">
        <w:t>n March 2025</w:t>
      </w:r>
      <w:r w:rsidR="001777D4">
        <w:t>,</w:t>
      </w:r>
      <w:r w:rsidR="00731E89" w:rsidRPr="00CC3ED6">
        <w:t xml:space="preserve"> we</w:t>
      </w:r>
      <w:r w:rsidR="00693719">
        <w:t xml:space="preserve"> </w:t>
      </w:r>
      <w:r w:rsidR="00731E89" w:rsidRPr="00CC3ED6">
        <w:t xml:space="preserve">released our consultation </w:t>
      </w:r>
      <w:r>
        <w:t xml:space="preserve">paper </w:t>
      </w:r>
      <w:hyperlink r:id="rId32" w:history="1">
        <w:r w:rsidR="00623518" w:rsidRPr="00274EDC">
          <w:rPr>
            <w:rStyle w:val="Hyperlink"/>
            <w:i/>
            <w:iCs/>
          </w:rPr>
          <w:t>U</w:t>
        </w:r>
        <w:r w:rsidR="00731E89" w:rsidRPr="00274EDC">
          <w:rPr>
            <w:rStyle w:val="Hyperlink"/>
            <w:i/>
            <w:iCs/>
          </w:rPr>
          <w:t>pdating earth station and PTP coordination rules</w:t>
        </w:r>
      </w:hyperlink>
      <w:r w:rsidR="001777D4">
        <w:t>,</w:t>
      </w:r>
      <w:r>
        <w:t xml:space="preserve"> including </w:t>
      </w:r>
      <w:r w:rsidR="007E096F">
        <w:t xml:space="preserve">draft </w:t>
      </w:r>
      <w:r w:rsidR="002774AA">
        <w:t xml:space="preserve">updates to RALIs FX20, MS31 and MS45. </w:t>
      </w:r>
      <w:r w:rsidR="00CA0CF0" w:rsidRPr="001177F3">
        <w:t xml:space="preserve">We proposed conditions and coordination procedures for the following bands to be added to </w:t>
      </w:r>
      <w:r w:rsidR="00770C6C">
        <w:t xml:space="preserve">RALI </w:t>
      </w:r>
      <w:r w:rsidR="005767AB" w:rsidRPr="001177F3">
        <w:t>MS45</w:t>
      </w:r>
      <w:r w:rsidR="00943F06" w:rsidRPr="001177F3">
        <w:t xml:space="preserve"> and corresponding changes made to </w:t>
      </w:r>
      <w:r w:rsidR="00770C6C">
        <w:t xml:space="preserve">RALIs </w:t>
      </w:r>
      <w:r w:rsidR="00943F06" w:rsidRPr="001177F3">
        <w:t>FX2</w:t>
      </w:r>
      <w:r w:rsidR="00EF0540" w:rsidRPr="001177F3">
        <w:t>0</w:t>
      </w:r>
      <w:r w:rsidR="00943F06" w:rsidRPr="001177F3">
        <w:t xml:space="preserve"> and MS</w:t>
      </w:r>
      <w:r w:rsidR="00C755AC" w:rsidRPr="001177F3">
        <w:t>31</w:t>
      </w:r>
      <w:r w:rsidR="00770C6C">
        <w:t>:</w:t>
      </w:r>
    </w:p>
    <w:p w14:paraId="3990738A" w14:textId="6630F137" w:rsidR="005767AB" w:rsidRPr="001177F3" w:rsidRDefault="005767AB" w:rsidP="001177F3">
      <w:pPr>
        <w:pStyle w:val="Bulletlevel1last"/>
        <w:spacing w:after="80"/>
      </w:pPr>
      <w:r w:rsidRPr="001177F3">
        <w:t>For coordination between earth receive stations and PTP transmitters:</w:t>
      </w:r>
    </w:p>
    <w:p w14:paraId="527F44CC" w14:textId="4BDD9050" w:rsidR="005767AB" w:rsidRPr="001177F3" w:rsidRDefault="005767AB" w:rsidP="001177F3">
      <w:pPr>
        <w:pStyle w:val="Bulletlevel2"/>
      </w:pPr>
      <w:r w:rsidRPr="001177F3">
        <w:t xml:space="preserve">7.5 GHz (7425–7725 MHz) </w:t>
      </w:r>
    </w:p>
    <w:p w14:paraId="1950F88C" w14:textId="77777777" w:rsidR="005767AB" w:rsidRPr="001177F3" w:rsidRDefault="005767AB" w:rsidP="001177F3">
      <w:pPr>
        <w:pStyle w:val="Bulletlevel2"/>
      </w:pPr>
      <w:r w:rsidRPr="001177F3">
        <w:t xml:space="preserve">8 GHz (7725–8275 MHz) </w:t>
      </w:r>
    </w:p>
    <w:p w14:paraId="2C3AB306" w14:textId="77777777" w:rsidR="005767AB" w:rsidRPr="001177F3" w:rsidRDefault="005767AB" w:rsidP="001177F3">
      <w:pPr>
        <w:pStyle w:val="Bulletlevel2"/>
      </w:pPr>
      <w:r w:rsidRPr="001177F3">
        <w:t xml:space="preserve">11 GHz (10.7–11.7 GHz) </w:t>
      </w:r>
    </w:p>
    <w:p w14:paraId="56AC6163" w14:textId="77777777" w:rsidR="005767AB" w:rsidRPr="001177F3" w:rsidRDefault="005767AB" w:rsidP="001177F3">
      <w:pPr>
        <w:pStyle w:val="Bulletlevel2"/>
      </w:pPr>
      <w:r w:rsidRPr="001177F3">
        <w:t xml:space="preserve">18 GHz (17.7–19.7 GHz) </w:t>
      </w:r>
    </w:p>
    <w:p w14:paraId="3F80C1F7" w14:textId="36D05F35" w:rsidR="005767AB" w:rsidRPr="001177F3" w:rsidRDefault="005767AB" w:rsidP="001177F3">
      <w:pPr>
        <w:pStyle w:val="Bulletlevel2last"/>
        <w:spacing w:after="80"/>
      </w:pPr>
      <w:r w:rsidRPr="001177F3">
        <w:t>75 GHz (71</w:t>
      </w:r>
      <w:r w:rsidR="001777D4">
        <w:t>–</w:t>
      </w:r>
      <w:r w:rsidRPr="001177F3">
        <w:t xml:space="preserve">76 GHz). </w:t>
      </w:r>
    </w:p>
    <w:p w14:paraId="5E53080D" w14:textId="77777777" w:rsidR="00D44450" w:rsidRPr="001177F3" w:rsidRDefault="005767AB" w:rsidP="001177F3">
      <w:pPr>
        <w:pStyle w:val="Bulletlevel1last"/>
        <w:spacing w:after="80"/>
      </w:pPr>
      <w:r w:rsidRPr="001177F3">
        <w:t>For coordination between earth stations (transmitters) and PTP receivers:</w:t>
      </w:r>
    </w:p>
    <w:p w14:paraId="23B932F5" w14:textId="72E14A7E" w:rsidR="005767AB" w:rsidRPr="001177F3" w:rsidRDefault="005767AB" w:rsidP="001177F3">
      <w:pPr>
        <w:pStyle w:val="Bulletlevel2"/>
        <w:spacing w:after="240"/>
      </w:pPr>
      <w:r w:rsidRPr="001177F3">
        <w:t>85 GHz (81</w:t>
      </w:r>
      <w:r w:rsidR="001777D4">
        <w:t>–</w:t>
      </w:r>
      <w:r w:rsidRPr="001177F3">
        <w:t>86 GHz).</w:t>
      </w:r>
    </w:p>
    <w:p w14:paraId="4C844B23" w14:textId="0FCF1CC5" w:rsidR="00AF2EDF" w:rsidRDefault="00F72A94" w:rsidP="001177F3">
      <w:pPr>
        <w:pStyle w:val="Paragraph"/>
      </w:pPr>
      <w:r w:rsidRPr="001177F3">
        <w:t xml:space="preserve">Frequency and </w:t>
      </w:r>
      <w:r w:rsidR="00363F55" w:rsidRPr="001177F3">
        <w:t>distance-based</w:t>
      </w:r>
      <w:r w:rsidRPr="001177F3">
        <w:t xml:space="preserve"> culls </w:t>
      </w:r>
      <w:r w:rsidR="00770C6C">
        <w:t>were</w:t>
      </w:r>
      <w:r w:rsidRPr="001177F3">
        <w:t xml:space="preserve"> proposed for these additional bands based on the same methodology that was </w:t>
      </w:r>
      <w:r w:rsidR="00BA42F5">
        <w:t xml:space="preserve">used to </w:t>
      </w:r>
      <w:r w:rsidR="00AD5BE1" w:rsidRPr="001177F3">
        <w:t>devise</w:t>
      </w:r>
      <w:r w:rsidR="00CA6503">
        <w:t xml:space="preserve"> </w:t>
      </w:r>
      <w:r w:rsidR="002936C5">
        <w:t xml:space="preserve">those parameters for bands already </w:t>
      </w:r>
      <w:r w:rsidR="0048561A">
        <w:t xml:space="preserve">in </w:t>
      </w:r>
      <w:r w:rsidR="00AD5BE1" w:rsidRPr="001177F3">
        <w:t>RALI MS45</w:t>
      </w:r>
      <w:r w:rsidR="00146C9F">
        <w:t xml:space="preserve">. </w:t>
      </w:r>
      <w:r w:rsidR="00457D4C">
        <w:t>The proposed c</w:t>
      </w:r>
      <w:r w:rsidR="00146C9F">
        <w:t>oordination</w:t>
      </w:r>
      <w:r w:rsidR="00457D4C">
        <w:t xml:space="preserve"> procedures</w:t>
      </w:r>
      <w:r w:rsidR="00146C9F">
        <w:t xml:space="preserve"> for these additional bands </w:t>
      </w:r>
      <w:r w:rsidR="001A6A5F">
        <w:t>were also</w:t>
      </w:r>
      <w:r w:rsidR="001F2363" w:rsidRPr="001177F3">
        <w:t xml:space="preserve"> consistent with </w:t>
      </w:r>
      <w:r w:rsidR="00457D4C">
        <w:t xml:space="preserve">the procedures </w:t>
      </w:r>
      <w:r w:rsidR="001F2363" w:rsidRPr="001177F3">
        <w:t>already in RALI MS45.</w:t>
      </w:r>
    </w:p>
    <w:p w14:paraId="3A41DB3C" w14:textId="77777777" w:rsidR="000D51CE" w:rsidRPr="009F4936" w:rsidRDefault="000D51CE" w:rsidP="00D3200D">
      <w:pPr>
        <w:pStyle w:val="Heading1"/>
        <w:jc w:val="both"/>
      </w:pPr>
      <w:bookmarkStart w:id="2" w:name="_Toc208222730"/>
      <w:r w:rsidRPr="009F4936">
        <w:lastRenderedPageBreak/>
        <w:t>Response to submissions and the way forward</w:t>
      </w:r>
      <w:bookmarkEnd w:id="2"/>
    </w:p>
    <w:p w14:paraId="0B847088" w14:textId="119928D2" w:rsidR="000D51CE" w:rsidRPr="006445A3" w:rsidRDefault="000D51CE" w:rsidP="001177F3">
      <w:pPr>
        <w:pStyle w:val="Paragraph"/>
      </w:pPr>
      <w:r w:rsidRPr="006445A3">
        <w:t xml:space="preserve">The ACMA received </w:t>
      </w:r>
      <w:r w:rsidR="0018481D" w:rsidRPr="00F76FFA">
        <w:t xml:space="preserve">5 </w:t>
      </w:r>
      <w:r w:rsidRPr="00F76FFA">
        <w:t>submissions</w:t>
      </w:r>
      <w:r w:rsidRPr="006445A3">
        <w:t xml:space="preserve"> </w:t>
      </w:r>
      <w:bookmarkStart w:id="3" w:name="_Hlk205541849"/>
      <w:r w:rsidR="0018481D">
        <w:t xml:space="preserve">plus one in-confidence submission </w:t>
      </w:r>
      <w:bookmarkEnd w:id="3"/>
      <w:r w:rsidRPr="006445A3">
        <w:t xml:space="preserve">to the </w:t>
      </w:r>
      <w:r w:rsidRPr="0095734F">
        <w:t>consultation</w:t>
      </w:r>
      <w:r w:rsidRPr="006445A3">
        <w:t xml:space="preserve"> process, from Viasat, Intelsat, Australian Railway Association, SpaceX and Telstra</w:t>
      </w:r>
      <w:r w:rsidR="00E0402F">
        <w:t>.</w:t>
      </w:r>
      <w:r w:rsidR="00F76FFA">
        <w:t xml:space="preserve"> Copies of these submissions are available on the </w:t>
      </w:r>
      <w:hyperlink r:id="rId33" w:history="1">
        <w:r w:rsidR="00F76FFA" w:rsidRPr="00F76FFA">
          <w:rPr>
            <w:rStyle w:val="Hyperlink"/>
          </w:rPr>
          <w:t>ACMA website</w:t>
        </w:r>
      </w:hyperlink>
      <w:r w:rsidR="00F76FFA">
        <w:t xml:space="preserve">. </w:t>
      </w:r>
    </w:p>
    <w:p w14:paraId="72DDBBD0" w14:textId="77777777" w:rsidR="000D51CE" w:rsidRDefault="000D51CE" w:rsidP="00F4639A">
      <w:pPr>
        <w:pStyle w:val="Heading2"/>
        <w:jc w:val="both"/>
      </w:pPr>
      <w:bookmarkStart w:id="4" w:name="_Toc208222731"/>
      <w:r>
        <w:t>Industry feedback and ACMA response</w:t>
      </w:r>
      <w:bookmarkEnd w:id="4"/>
    </w:p>
    <w:p w14:paraId="3F7B136C" w14:textId="77777777" w:rsidR="000D51CE" w:rsidRDefault="000D51CE" w:rsidP="001177F3">
      <w:pPr>
        <w:pStyle w:val="Paragraph"/>
      </w:pPr>
      <w:r>
        <w:t>All respondents supported our proposed updates to RALI MS45, RALI MS31 and RALI FX20. Respondents also provided several additional proposals, suggestions and clarifications. These are summarised below along with our responses.</w:t>
      </w:r>
    </w:p>
    <w:p w14:paraId="6FA4EF9F" w14:textId="77777777" w:rsidR="000D51CE" w:rsidRPr="00D73CCC" w:rsidRDefault="000D51CE" w:rsidP="00F4639A">
      <w:pPr>
        <w:pStyle w:val="Heading3"/>
        <w:jc w:val="both"/>
      </w:pPr>
      <w:r>
        <w:t>Applicability of frequency culls as a method for earth receive coordination</w:t>
      </w:r>
    </w:p>
    <w:p w14:paraId="2B199773" w14:textId="63B2312C" w:rsidR="000D51CE" w:rsidRDefault="000D51CE" w:rsidP="002120C7">
      <w:pPr>
        <w:pStyle w:val="Paragraph"/>
      </w:pPr>
      <w:r>
        <w:t>One respondent raised concern</w:t>
      </w:r>
      <w:r w:rsidR="002B5892">
        <w:t>s</w:t>
      </w:r>
      <w:r w:rsidR="00CD6FC0">
        <w:t xml:space="preserve"> regarding</w:t>
      </w:r>
      <w:r>
        <w:t xml:space="preserve"> the frequency cull method used to identify the range of frequencies for use by earth receive stations. They point</w:t>
      </w:r>
      <w:r w:rsidR="008510E5">
        <w:t>ed</w:t>
      </w:r>
      <w:r>
        <w:t xml:space="preserve"> out that earth </w:t>
      </w:r>
      <w:r w:rsidR="007B5BE4">
        <w:t xml:space="preserve">receive </w:t>
      </w:r>
      <w:r>
        <w:t>stations are non-</w:t>
      </w:r>
      <w:r w:rsidRPr="002120C7">
        <w:t>channelised</w:t>
      </w:r>
      <w:r>
        <w:t xml:space="preserve"> and may have a passband the size of the entire downlink</w:t>
      </w:r>
      <w:r w:rsidR="008510E5">
        <w:t xml:space="preserve"> band.</w:t>
      </w:r>
      <w:r w:rsidR="006475CF">
        <w:t xml:space="preserve"> </w:t>
      </w:r>
      <w:r w:rsidR="00993655">
        <w:t>T</w:t>
      </w:r>
      <w:r w:rsidR="006475CF">
        <w:t xml:space="preserve">herefore, </w:t>
      </w:r>
      <w:r>
        <w:t>in their view</w:t>
      </w:r>
      <w:r w:rsidR="00993655">
        <w:t>,</w:t>
      </w:r>
      <w:r>
        <w:t xml:space="preserve"> there can be no </w:t>
      </w:r>
      <w:r w:rsidRPr="00993655">
        <w:t>frequency</w:t>
      </w:r>
      <w:r>
        <w:t xml:space="preserve"> cull.</w:t>
      </w:r>
      <w:r w:rsidR="004D7C47">
        <w:t xml:space="preserve"> </w:t>
      </w:r>
      <w:r>
        <w:t xml:space="preserve">A different respondent requested that frequency/distance cull </w:t>
      </w:r>
      <w:r w:rsidR="00DE57BB">
        <w:t>sizes</w:t>
      </w:r>
      <w:r>
        <w:t xml:space="preserve"> be reduced to enable denser deployment of services and enable higher spectrum occupancy.</w:t>
      </w:r>
    </w:p>
    <w:p w14:paraId="0FD3E2C2" w14:textId="47F3C699" w:rsidR="000D51CE" w:rsidRPr="00D73CCC" w:rsidRDefault="000D51CE" w:rsidP="00274EDC">
      <w:pPr>
        <w:pStyle w:val="Heading4"/>
      </w:pPr>
      <w:r w:rsidRPr="00D73CCC">
        <w:t xml:space="preserve">ACMA </w:t>
      </w:r>
      <w:r w:rsidR="001777D4">
        <w:t>r</w:t>
      </w:r>
      <w:r w:rsidRPr="00D73CCC">
        <w:t>esponse</w:t>
      </w:r>
    </w:p>
    <w:p w14:paraId="4EAEE6FF" w14:textId="712327FD" w:rsidR="000D51CE" w:rsidRDefault="00F97832" w:rsidP="00274EDC">
      <w:pPr>
        <w:pStyle w:val="Paragraph"/>
      </w:pPr>
      <w:r>
        <w:t xml:space="preserve">Frequency coordination and interference protection is based on licensed bandwidth. </w:t>
      </w:r>
      <w:r w:rsidR="000D51CE">
        <w:t xml:space="preserve">Arrangements that consider the entire downlink </w:t>
      </w:r>
      <w:r w:rsidR="001D407E">
        <w:t xml:space="preserve">band </w:t>
      </w:r>
      <w:r w:rsidR="000D51CE">
        <w:t xml:space="preserve">as the earth receive passband would create unnecessary spectrum denial and complicate the coordination procedure. The purpose of introducing a frequency/distance cull is a first line tool to reduce the number of stations that require direct device-to-device coordination. Without such a method, a station would have to coordinate with devices in an expansive range of frequencies, complicating the process and potentially creating </w:t>
      </w:r>
      <w:r w:rsidR="00F76FFA">
        <w:t xml:space="preserve">unnecessary </w:t>
      </w:r>
      <w:r w:rsidR="000D51CE">
        <w:t>spectrum denial. Conversely, distance culls merely identify devices which must be coordinated against</w:t>
      </w:r>
      <w:r w:rsidR="002B00F2">
        <w:t xml:space="preserve"> </w:t>
      </w:r>
      <w:r w:rsidR="002B00F2" w:rsidRPr="00BD5F54">
        <w:t>and</w:t>
      </w:r>
      <w:r w:rsidR="0091590A" w:rsidRPr="00BD5F54">
        <w:t xml:space="preserve"> do not</w:t>
      </w:r>
      <w:r w:rsidR="002B00F2" w:rsidRPr="00BD5F54">
        <w:t xml:space="preserve"> </w:t>
      </w:r>
      <w:r w:rsidR="00BE31D3" w:rsidRPr="00BD5F54">
        <w:t>inherently</w:t>
      </w:r>
      <w:r w:rsidR="00BE31D3">
        <w:t xml:space="preserve"> prevent a successful coordination in later steps in the process</w:t>
      </w:r>
      <w:r w:rsidR="000D51CE">
        <w:t>.</w:t>
      </w:r>
    </w:p>
    <w:p w14:paraId="5DCE1A85" w14:textId="3E152A83" w:rsidR="003F5833" w:rsidRDefault="000D51CE" w:rsidP="00274EDC">
      <w:pPr>
        <w:pStyle w:val="Paragraph"/>
      </w:pPr>
      <w:r>
        <w:t>We believe that the frequency cull method</w:t>
      </w:r>
      <w:r w:rsidR="003F1A37">
        <w:t xml:space="preserve"> out to</w:t>
      </w:r>
      <w:r w:rsidR="001777D4">
        <w:t xml:space="preserve"> the</w:t>
      </w:r>
      <w:r w:rsidR="003F1A37">
        <w:t xml:space="preserve"> </w:t>
      </w:r>
      <w:r w:rsidR="001777D4">
        <w:t xml:space="preserve">second </w:t>
      </w:r>
      <w:r w:rsidR="003F1A37">
        <w:t>adjacent channel</w:t>
      </w:r>
      <w:r w:rsidR="005B1E4C">
        <w:t>, as</w:t>
      </w:r>
      <w:r>
        <w:t xml:space="preserve"> proposed in the draft RALI MS45 document</w:t>
      </w:r>
      <w:r w:rsidR="005B1E4C">
        <w:t>,</w:t>
      </w:r>
      <w:r>
        <w:t xml:space="preserve"> remains fit for purpose in providing first-line </w:t>
      </w:r>
      <w:r w:rsidR="00293893">
        <w:t>coordination criteria</w:t>
      </w:r>
      <w:r w:rsidR="006B6159">
        <w:t xml:space="preserve"> betw</w:t>
      </w:r>
      <w:r w:rsidR="001D0E99">
        <w:t>een</w:t>
      </w:r>
      <w:r>
        <w:t xml:space="preserve"> earth stations </w:t>
      </w:r>
      <w:r w:rsidR="001D0E99">
        <w:t>and PTP links</w:t>
      </w:r>
      <w:r>
        <w:t xml:space="preserve"> while </w:t>
      </w:r>
      <w:r w:rsidR="001D0E99">
        <w:t xml:space="preserve">encouraging </w:t>
      </w:r>
      <w:r>
        <w:t>best use of spectrum resources.</w:t>
      </w:r>
    </w:p>
    <w:p w14:paraId="26E09928" w14:textId="2440212D" w:rsidR="000D51CE" w:rsidRPr="005E6900" w:rsidRDefault="003F5833" w:rsidP="00274EDC">
      <w:pPr>
        <w:pStyle w:val="Paragraph"/>
      </w:pPr>
      <w:r>
        <w:t xml:space="preserve">The methodology for distance culls is derived from the International Telecommunication Union Radio Regulations </w:t>
      </w:r>
      <w:hyperlink r:id="rId34" w:history="1">
        <w:r w:rsidRPr="00EA30F8">
          <w:rPr>
            <w:rStyle w:val="Hyperlink"/>
          </w:rPr>
          <w:t>Appendix 7</w:t>
        </w:r>
      </w:hyperlink>
      <w:r>
        <w:t xml:space="preserve"> </w:t>
      </w:r>
      <w:r w:rsidR="00BB1725">
        <w:t>‘</w:t>
      </w:r>
      <w:r w:rsidRPr="00364AD8">
        <w:t>Methods for the determination of the coordination area around an earth station in frequency bands between 100 MHz and 105 GHz</w:t>
      </w:r>
      <w:r w:rsidR="00BB1725">
        <w:t xml:space="preserve">’ </w:t>
      </w:r>
      <w:r>
        <w:t>and is consistent with existing arrangements in RALI MS45.</w:t>
      </w:r>
    </w:p>
    <w:p w14:paraId="1160692D" w14:textId="77777777" w:rsidR="000D51CE" w:rsidRPr="00295224" w:rsidRDefault="000D51CE" w:rsidP="00274EDC">
      <w:pPr>
        <w:pStyle w:val="Heading3"/>
        <w:keepLines/>
        <w:jc w:val="both"/>
      </w:pPr>
      <w:r w:rsidRPr="00295224">
        <w:lastRenderedPageBreak/>
        <w:t>Consideration of spurious domain emissions in earth receive c</w:t>
      </w:r>
      <w:r>
        <w:t>oordination</w:t>
      </w:r>
    </w:p>
    <w:p w14:paraId="3AAFAE6D" w14:textId="43778BF5" w:rsidR="000D51CE" w:rsidRDefault="001D0E99" w:rsidP="00274EDC">
      <w:pPr>
        <w:pStyle w:val="Paragraph"/>
        <w:keepNext/>
        <w:keepLines/>
      </w:pPr>
      <w:r>
        <w:t>One respondent</w:t>
      </w:r>
      <w:r w:rsidR="000D51CE">
        <w:t xml:space="preserve"> </w:t>
      </w:r>
      <w:r w:rsidR="000D51CE" w:rsidRPr="002120C7">
        <w:t>recommended</w:t>
      </w:r>
      <w:r w:rsidR="000D51CE">
        <w:t xml:space="preserve"> an amendment to section 2.2.2 of the draft RALI MS45 document to </w:t>
      </w:r>
      <w:r>
        <w:t xml:space="preserve">include </w:t>
      </w:r>
      <w:r w:rsidR="000D51CE">
        <w:t xml:space="preserve">that interference may be caused from spurious (beyond the second adjacent channel) emissions in the case of a PTP transmitter being in partial overlap </w:t>
      </w:r>
      <w:r w:rsidR="00185861">
        <w:t xml:space="preserve">with the </w:t>
      </w:r>
      <w:r w:rsidR="00071F96">
        <w:t xml:space="preserve">earth station </w:t>
      </w:r>
      <w:r w:rsidR="000D51CE">
        <w:t xml:space="preserve">downlink band. </w:t>
      </w:r>
    </w:p>
    <w:p w14:paraId="00C36597" w14:textId="4B458A8C" w:rsidR="000D51CE" w:rsidRPr="001D0E99" w:rsidRDefault="000D51CE" w:rsidP="00274EDC">
      <w:pPr>
        <w:pStyle w:val="Heading4"/>
        <w:keepNext/>
        <w:keepLines/>
      </w:pPr>
      <w:r w:rsidRPr="001D0E99">
        <w:t xml:space="preserve">ACMA </w:t>
      </w:r>
      <w:r w:rsidR="00BB1725">
        <w:t>r</w:t>
      </w:r>
      <w:r w:rsidRPr="001D0E99">
        <w:t>esponse</w:t>
      </w:r>
    </w:p>
    <w:p w14:paraId="631D0B19" w14:textId="143D35BB" w:rsidR="000D51CE" w:rsidRDefault="000D51CE" w:rsidP="00274EDC">
      <w:pPr>
        <w:pStyle w:val="Paragraph"/>
        <w:keepNext/>
        <w:keepLines/>
      </w:pPr>
      <w:r>
        <w:t xml:space="preserve">Based on best available evidence, we believe that emissions beyond the second adjacent channel will not cause interference significant enough to necessitate an explicit coordination regime. Previous studies such as our </w:t>
      </w:r>
      <w:hyperlink r:id="rId35" w:history="1">
        <w:r w:rsidRPr="00274EDC">
          <w:rPr>
            <w:rStyle w:val="Hyperlink"/>
            <w:i/>
            <w:iCs/>
          </w:rPr>
          <w:t>Sharing between fixed point-to-point links and uncoordinated earth station receivers in 10.7-11.7 GHz</w:t>
        </w:r>
      </w:hyperlink>
      <w:r>
        <w:t xml:space="preserve"> </w:t>
      </w:r>
      <w:r w:rsidR="00BB1725" w:rsidRPr="00274EDC">
        <w:t>discussion paper</w:t>
      </w:r>
      <w:r>
        <w:t xml:space="preserve"> calculate sufficient separation distances based on co-channel emissions, finding separation distances that fall well within range of the proposed cull distances included in RALI MS45.</w:t>
      </w:r>
    </w:p>
    <w:p w14:paraId="6C3FB597" w14:textId="5F11EEA4" w:rsidR="000D51CE" w:rsidRPr="003E3968" w:rsidRDefault="000D51CE" w:rsidP="00274EDC">
      <w:pPr>
        <w:pStyle w:val="Paragraph"/>
      </w:pPr>
      <w:r>
        <w:t xml:space="preserve">Further emissions from beyond the second adjacent channel would certainly yield far lower </w:t>
      </w:r>
      <w:r w:rsidR="00004529">
        <w:t xml:space="preserve">separation distance </w:t>
      </w:r>
      <w:r>
        <w:t xml:space="preserve">estimates than </w:t>
      </w:r>
      <w:r w:rsidR="00724FAB">
        <w:t xml:space="preserve">those </w:t>
      </w:r>
      <w:r>
        <w:t xml:space="preserve">based on </w:t>
      </w:r>
      <w:r w:rsidR="006D13B4">
        <w:t xml:space="preserve">the </w:t>
      </w:r>
      <w:r>
        <w:t>co-channel</w:t>
      </w:r>
      <w:r w:rsidR="006D13B4">
        <w:t xml:space="preserve"> case</w:t>
      </w:r>
      <w:r>
        <w:t xml:space="preserve">. Additionally, with propagation parameters such as terrain and clutter factored in, any such emissions would have even less impact. </w:t>
      </w:r>
      <w:r w:rsidR="00A478C4">
        <w:t>Spurious</w:t>
      </w:r>
      <w:r>
        <w:t xml:space="preserve"> emissions are best managed by appropriate site management. This is reflected in the proposed coordination procedure to calculate the protection ratios from the number of fixed links within the cull distance, a scalable and site-specific approach.</w:t>
      </w:r>
    </w:p>
    <w:p w14:paraId="632662A8" w14:textId="77777777" w:rsidR="000D51CE" w:rsidRDefault="000D51CE" w:rsidP="00F4639A">
      <w:pPr>
        <w:pStyle w:val="Heading3"/>
        <w:jc w:val="both"/>
      </w:pPr>
      <w:r w:rsidRPr="0040410E">
        <w:t>Receiver overload</w:t>
      </w:r>
    </w:p>
    <w:p w14:paraId="52A3AA29" w14:textId="0B430401" w:rsidR="000D51CE" w:rsidRPr="00234617" w:rsidRDefault="003146C0" w:rsidP="002120C7">
      <w:pPr>
        <w:pStyle w:val="Paragraph"/>
      </w:pPr>
      <w:r>
        <w:t>One</w:t>
      </w:r>
      <w:r w:rsidR="000D51CE">
        <w:t xml:space="preserve"> respondent noted there </w:t>
      </w:r>
      <w:r w:rsidR="00BB1725">
        <w:t xml:space="preserve">are </w:t>
      </w:r>
      <w:r w:rsidR="000D51CE">
        <w:t xml:space="preserve">no specific proposals regarding receiver overload and that it is left up to accredited persons. </w:t>
      </w:r>
      <w:r w:rsidR="000D51CE" w:rsidRPr="002120C7">
        <w:t>They</w:t>
      </w:r>
      <w:r w:rsidR="000D51CE">
        <w:t xml:space="preserve"> propose that an overload figure of </w:t>
      </w:r>
      <w:r w:rsidR="00F76FFA">
        <w:t>–</w:t>
      </w:r>
      <w:r w:rsidR="000D51CE">
        <w:t>65 dBm be included for reference based on the ACMA’s overload figure for C-Band (3400–4200 MHz).</w:t>
      </w:r>
    </w:p>
    <w:p w14:paraId="6BC3CCA5" w14:textId="24FD4F44" w:rsidR="000D51CE" w:rsidRPr="00F01EB2" w:rsidRDefault="000D51CE" w:rsidP="00274EDC">
      <w:pPr>
        <w:pStyle w:val="Heading4"/>
      </w:pPr>
      <w:r w:rsidRPr="00F01EB2">
        <w:t xml:space="preserve">ACMA </w:t>
      </w:r>
      <w:r w:rsidR="00BB1725">
        <w:t>r</w:t>
      </w:r>
      <w:r w:rsidRPr="00F01EB2">
        <w:t>esponse</w:t>
      </w:r>
    </w:p>
    <w:p w14:paraId="518EC968" w14:textId="58D1419B" w:rsidR="000D51CE" w:rsidRPr="0072250D" w:rsidRDefault="000D51CE" w:rsidP="00274EDC">
      <w:pPr>
        <w:pStyle w:val="Paragraph"/>
      </w:pPr>
      <w:r>
        <w:t xml:space="preserve">We recognise that earth receive stations operate sensitive equipment that may be vulnerable to receiver overload. It is our view that </w:t>
      </w:r>
      <w:r w:rsidR="00BB1725">
        <w:t>a</w:t>
      </w:r>
      <w:r>
        <w:t xml:space="preserve">ccredited </w:t>
      </w:r>
      <w:r w:rsidR="00BB1725">
        <w:t>p</w:t>
      </w:r>
      <w:r>
        <w:t xml:space="preserve">ersons are best suited to manage the risks of receiver overload to any given assignment. Transmitter proximity and azimuth are the greatest aggregating </w:t>
      </w:r>
      <w:r w:rsidRPr="00F76FFA">
        <w:t>factor</w:t>
      </w:r>
      <w:r w:rsidR="00481A2A" w:rsidRPr="00F76FFA">
        <w:t>s</w:t>
      </w:r>
      <w:r w:rsidRPr="00F76FFA">
        <w:t xml:space="preserve"> for receiver overload</w:t>
      </w:r>
      <w:r w:rsidR="00ED67DE" w:rsidRPr="00F76FFA">
        <w:t>,</w:t>
      </w:r>
      <w:r w:rsidRPr="00F76FFA">
        <w:t xml:space="preserve"> </w:t>
      </w:r>
      <w:r w:rsidR="00385B22" w:rsidRPr="00F76FFA">
        <w:t xml:space="preserve">which </w:t>
      </w:r>
      <w:r w:rsidRPr="00F76FFA">
        <w:t>is best managed by proper site management.</w:t>
      </w:r>
      <w:r w:rsidR="00E345BF" w:rsidRPr="00F76FFA">
        <w:t xml:space="preserve"> The suggested </w:t>
      </w:r>
      <w:r w:rsidR="00F2583D" w:rsidRPr="00F76FFA">
        <w:t>-65 dBm</w:t>
      </w:r>
      <w:r w:rsidR="00F2583D">
        <w:t xml:space="preserve"> level is applicable</w:t>
      </w:r>
      <w:r w:rsidR="00023EA0">
        <w:t xml:space="preserve"> to</w:t>
      </w:r>
      <w:r w:rsidR="00F2583D">
        <w:t xml:space="preserve"> coordination</w:t>
      </w:r>
      <w:r w:rsidR="00023EA0">
        <w:t xml:space="preserve"> with IMT services in C-Band and therefore not transferable directly to </w:t>
      </w:r>
      <w:r w:rsidR="00563E0E">
        <w:t xml:space="preserve">coordination with </w:t>
      </w:r>
      <w:r w:rsidR="00023EA0">
        <w:t xml:space="preserve">fixed </w:t>
      </w:r>
      <w:r w:rsidR="00563E0E">
        <w:t>P</w:t>
      </w:r>
      <w:r w:rsidR="00230603">
        <w:t>T</w:t>
      </w:r>
      <w:r w:rsidR="00563E0E">
        <w:t xml:space="preserve">P </w:t>
      </w:r>
      <w:r w:rsidR="002F73B4">
        <w:t>devices.</w:t>
      </w:r>
      <w:r w:rsidR="00F2583D">
        <w:t xml:space="preserve"> </w:t>
      </w:r>
    </w:p>
    <w:p w14:paraId="6DD1712C" w14:textId="26C4DBF0" w:rsidR="000D51CE" w:rsidRDefault="000D51CE" w:rsidP="00274EDC">
      <w:pPr>
        <w:pStyle w:val="Heading3"/>
        <w:keepLines/>
        <w:jc w:val="both"/>
      </w:pPr>
      <w:r>
        <w:lastRenderedPageBreak/>
        <w:t>Coordination with other devices under the Radiocommunications (Communication with Space Object) Class Licence 20</w:t>
      </w:r>
      <w:r w:rsidR="00F76FFA">
        <w:t>25</w:t>
      </w:r>
    </w:p>
    <w:p w14:paraId="16EF8F63" w14:textId="547DDD6C" w:rsidR="000D51CE" w:rsidRDefault="000D51CE" w:rsidP="00274EDC">
      <w:pPr>
        <w:pStyle w:val="Paragraph"/>
        <w:keepNext/>
        <w:keepLines/>
      </w:pPr>
      <w:r>
        <w:t xml:space="preserve">One respondent noted that devices other than earth receive stations operate under the </w:t>
      </w:r>
      <w:hyperlink r:id="rId36" w:history="1">
        <w:r w:rsidRPr="00F76FFA">
          <w:rPr>
            <w:rStyle w:val="Hyperlink"/>
          </w:rPr>
          <w:t>Radiocommunications (Communication with Space Object) Class Licence 20</w:t>
        </w:r>
        <w:r w:rsidR="00F76FFA" w:rsidRPr="00F76FFA">
          <w:rPr>
            <w:rStyle w:val="Hyperlink"/>
          </w:rPr>
          <w:t>25</w:t>
        </w:r>
      </w:hyperlink>
      <w:r w:rsidR="00F76FFA">
        <w:rPr>
          <w:rStyle w:val="FootnoteReference"/>
        </w:rPr>
        <w:footnoteReference w:id="2"/>
      </w:r>
      <w:r>
        <w:t xml:space="preserve"> </w:t>
      </w:r>
      <w:r w:rsidR="00B90A55">
        <w:t xml:space="preserve">(the CSO Class Licence) </w:t>
      </w:r>
      <w:r>
        <w:t xml:space="preserve">in some of the bands discussed in this consultation, yet do not receive protection/coordination. </w:t>
      </w:r>
    </w:p>
    <w:p w14:paraId="7F5C79BD" w14:textId="61C2B592" w:rsidR="000D51CE" w:rsidRPr="00E108C4" w:rsidRDefault="000D51CE" w:rsidP="00274EDC">
      <w:pPr>
        <w:pStyle w:val="Heading4"/>
        <w:keepNext/>
        <w:keepLines/>
      </w:pPr>
      <w:r w:rsidRPr="00E108C4">
        <w:t xml:space="preserve">ACMA </w:t>
      </w:r>
      <w:r w:rsidR="00BB1725">
        <w:t>r</w:t>
      </w:r>
      <w:r w:rsidRPr="00E108C4">
        <w:t>esponse</w:t>
      </w:r>
    </w:p>
    <w:p w14:paraId="19B75162" w14:textId="2FDFBF40" w:rsidR="000D51CE" w:rsidRPr="00585A93" w:rsidRDefault="000D51CE" w:rsidP="00274EDC">
      <w:pPr>
        <w:pStyle w:val="Paragraph"/>
        <w:keepNext/>
        <w:keepLines/>
      </w:pPr>
      <w:r>
        <w:t>Devices operating under class licen</w:t>
      </w:r>
      <w:r w:rsidR="00BB1725">
        <w:t>c</w:t>
      </w:r>
      <w:r>
        <w:t>e have</w:t>
      </w:r>
      <w:r w:rsidR="00BB1725">
        <w:t xml:space="preserve"> a</w:t>
      </w:r>
      <w:r>
        <w:t xml:space="preserve"> ‘no interference, no protection’ clause</w:t>
      </w:r>
      <w:r w:rsidR="0027783F">
        <w:t xml:space="preserve"> (S</w:t>
      </w:r>
      <w:r w:rsidR="00B90A55">
        <w:t>ubs</w:t>
      </w:r>
      <w:r w:rsidR="0027783F">
        <w:t>ection</w:t>
      </w:r>
      <w:r w:rsidR="00A00968">
        <w:t xml:space="preserve"> </w:t>
      </w:r>
      <w:r w:rsidR="00B90A55">
        <w:t xml:space="preserve">10(1) and </w:t>
      </w:r>
      <w:r w:rsidR="00A00968">
        <w:t>Note 1</w:t>
      </w:r>
      <w:r w:rsidR="00B90A55">
        <w:t xml:space="preserve"> to Section 10 of the CSO Class Licence</w:t>
      </w:r>
      <w:r w:rsidR="00A00968">
        <w:t>)</w:t>
      </w:r>
      <w:r>
        <w:t xml:space="preserve"> which excludes them from coordination consideration under RALI MS45. The purpose of this RALI is primarily to coordinate </w:t>
      </w:r>
      <w:r w:rsidR="00E108C4">
        <w:t>apparatus</w:t>
      </w:r>
      <w:r w:rsidR="00BB1725">
        <w:t>-</w:t>
      </w:r>
      <w:r w:rsidR="00E108C4">
        <w:t xml:space="preserve">licensed </w:t>
      </w:r>
      <w:r>
        <w:t xml:space="preserve">earth transmit and receive stations with </w:t>
      </w:r>
      <w:r w:rsidR="00E108C4">
        <w:t xml:space="preserve">PTP </w:t>
      </w:r>
      <w:r>
        <w:t>links.</w:t>
      </w:r>
      <w:r w:rsidR="0027783F">
        <w:t xml:space="preserve"> </w:t>
      </w:r>
    </w:p>
    <w:p w14:paraId="32058855" w14:textId="6045F961" w:rsidR="000D51CE" w:rsidRDefault="00DE57BB" w:rsidP="00F4639A">
      <w:pPr>
        <w:pStyle w:val="Heading3"/>
        <w:jc w:val="both"/>
      </w:pPr>
      <w:r>
        <w:t>Interactions with footnotes AUS100 &amp;</w:t>
      </w:r>
      <w:r w:rsidR="0063176E">
        <w:t xml:space="preserve"> </w:t>
      </w:r>
      <w:r w:rsidR="000D51CE">
        <w:t>AUS100A</w:t>
      </w:r>
    </w:p>
    <w:p w14:paraId="194BE026" w14:textId="6BEBD80F" w:rsidR="000D51CE" w:rsidRPr="007B355A" w:rsidRDefault="00473D20" w:rsidP="00B90A55">
      <w:pPr>
        <w:pStyle w:val="Paragraph"/>
      </w:pPr>
      <w:r>
        <w:t>T</w:t>
      </w:r>
      <w:r w:rsidR="00D17472">
        <w:t xml:space="preserve">he ACMA </w:t>
      </w:r>
      <w:r>
        <w:t xml:space="preserve">has </w:t>
      </w:r>
      <w:r w:rsidR="00D17472">
        <w:t>clarif</w:t>
      </w:r>
      <w:r>
        <w:t>ied</w:t>
      </w:r>
      <w:r w:rsidR="00D17472">
        <w:t xml:space="preserve"> the interactions with defence AUS100 and AUS100A footnotes</w:t>
      </w:r>
      <w:r w:rsidR="00111A16">
        <w:t xml:space="preserve"> in the </w:t>
      </w:r>
      <w:hyperlink r:id="rId37" w:history="1">
        <w:r w:rsidR="00111A16" w:rsidRPr="007476BB">
          <w:rPr>
            <w:rStyle w:val="Hyperlink"/>
          </w:rPr>
          <w:t>Australian Radiofrequency Spectrum Plan</w:t>
        </w:r>
      </w:hyperlink>
      <w:r w:rsidR="00D17472">
        <w:t>, particularly in relation to minimum earth station angle requirements of Table 6 in the draft RALI MS45 document.</w:t>
      </w:r>
      <w:r w:rsidR="00B90A55">
        <w:t xml:space="preserve"> </w:t>
      </w:r>
    </w:p>
    <w:p w14:paraId="6FF1DE11" w14:textId="77777777" w:rsidR="00B90A55" w:rsidRDefault="00C028C8" w:rsidP="00B90A55">
      <w:pPr>
        <w:pStyle w:val="Paragraph"/>
      </w:pPr>
      <w:r>
        <w:t xml:space="preserve">The following </w:t>
      </w:r>
      <w:r w:rsidR="00242B60">
        <w:t>text</w:t>
      </w:r>
      <w:r>
        <w:t xml:space="preserve"> has been added to Table </w:t>
      </w:r>
      <w:r w:rsidR="00B90A55">
        <w:t>7</w:t>
      </w:r>
      <w:r w:rsidR="00B90A55">
        <w:rPr>
          <w:rStyle w:val="FootnoteReference"/>
        </w:rPr>
        <w:footnoteReference w:id="3"/>
      </w:r>
      <w:r>
        <w:t xml:space="preserve"> of the </w:t>
      </w:r>
      <w:r w:rsidR="00B90A55">
        <w:t>final version of</w:t>
      </w:r>
      <w:r>
        <w:t xml:space="preserve"> RALI MS45</w:t>
      </w:r>
      <w:r w:rsidR="00242B60">
        <w:t>:</w:t>
      </w:r>
      <w:r w:rsidR="000C408A">
        <w:t xml:space="preserve"> </w:t>
      </w:r>
    </w:p>
    <w:p w14:paraId="309C9FF4" w14:textId="6F345801" w:rsidR="000D51CE" w:rsidRDefault="00242B60" w:rsidP="00B90A55">
      <w:pPr>
        <w:pStyle w:val="Paragraph"/>
        <w:ind w:left="284"/>
      </w:pPr>
      <w:r>
        <w:t>Note 2: The requirements in Table 7 do not apply to services operated under AUS100 and AUS100A footnote.</w:t>
      </w:r>
      <w:r w:rsidR="00E66EAA">
        <w:t xml:space="preserve"> </w:t>
      </w:r>
    </w:p>
    <w:p w14:paraId="3D840C5E" w14:textId="09457121" w:rsidR="000D51CE" w:rsidRDefault="000D51CE" w:rsidP="00F4639A">
      <w:pPr>
        <w:pStyle w:val="Heading3"/>
        <w:jc w:val="both"/>
      </w:pPr>
      <w:r>
        <w:t>General commen</w:t>
      </w:r>
      <w:r w:rsidR="00057D0B">
        <w:t>ts</w:t>
      </w:r>
    </w:p>
    <w:p w14:paraId="0DDB4386" w14:textId="1B60D17D" w:rsidR="000D51CE" w:rsidRDefault="00473D20" w:rsidP="002120C7">
      <w:pPr>
        <w:pStyle w:val="Paragraph"/>
      </w:pPr>
      <w:r>
        <w:t xml:space="preserve">A number of </w:t>
      </w:r>
      <w:r w:rsidR="000D51CE" w:rsidRPr="00E6475B">
        <w:t>submissions raised general questions regarding the delivery of fixed link services going forward with increased spectrum occupancy and sharing</w:t>
      </w:r>
      <w:r w:rsidR="000D51CE">
        <w:t xml:space="preserve"> with other services, such as the FSS</w:t>
      </w:r>
      <w:r w:rsidR="00BB1725">
        <w:t>.</w:t>
      </w:r>
      <w:r w:rsidR="00BB1725" w:rsidRPr="00E6475B">
        <w:t xml:space="preserve"> </w:t>
      </w:r>
      <w:r w:rsidR="00BB1725">
        <w:t>H</w:t>
      </w:r>
      <w:r w:rsidR="00BB1725" w:rsidRPr="00E6475B">
        <w:t>owever</w:t>
      </w:r>
      <w:r w:rsidR="00BB1725">
        <w:t>,</w:t>
      </w:r>
      <w:r w:rsidR="00BB1725" w:rsidRPr="00E6475B">
        <w:t xml:space="preserve"> </w:t>
      </w:r>
      <w:r w:rsidR="000D51CE" w:rsidRPr="00E6475B">
        <w:t xml:space="preserve">there </w:t>
      </w:r>
      <w:r w:rsidR="00BB1725">
        <w:t xml:space="preserve">were </w:t>
      </w:r>
      <w:r w:rsidR="000D51CE" w:rsidRPr="00E6475B">
        <w:t xml:space="preserve">no specific points raised to the issues </w:t>
      </w:r>
      <w:r w:rsidR="000D51CE">
        <w:t>for</w:t>
      </w:r>
      <w:r w:rsidR="000D51CE" w:rsidRPr="00E6475B">
        <w:t xml:space="preserve"> comment in the consultation.</w:t>
      </w:r>
      <w:r w:rsidR="000D51CE">
        <w:t xml:space="preserve"> Additionally, some submissions asked the ACMA to consider satellite us</w:t>
      </w:r>
      <w:r w:rsidR="001177F3">
        <w:t>age</w:t>
      </w:r>
      <w:r w:rsidR="000D51CE">
        <w:t xml:space="preserve"> of frequency bands </w:t>
      </w:r>
      <w:r w:rsidR="002120C7">
        <w:t xml:space="preserve">that were not </w:t>
      </w:r>
      <w:r w:rsidR="000D51CE">
        <w:t>identified in the consultation, implementation of automated frequency sharing technologies and arrangements to facilitate higher spectral efficiency.</w:t>
      </w:r>
    </w:p>
    <w:p w14:paraId="6CBBBCF8" w14:textId="099AB57E" w:rsidR="004F4451" w:rsidRDefault="002120C7" w:rsidP="002120C7">
      <w:pPr>
        <w:pStyle w:val="Paragraph"/>
      </w:pPr>
      <w:r>
        <w:t xml:space="preserve">We appreciate </w:t>
      </w:r>
      <w:r w:rsidR="000D51CE">
        <w:t>all responses and take note of the suggestions</w:t>
      </w:r>
      <w:r w:rsidR="00BB1725">
        <w:t>.</w:t>
      </w:r>
      <w:r w:rsidR="000D51CE">
        <w:t xml:space="preserve"> </w:t>
      </w:r>
      <w:r w:rsidR="00BB1725">
        <w:t xml:space="preserve">However, </w:t>
      </w:r>
      <w:r w:rsidR="000D51CE">
        <w:t xml:space="preserve">without specific points addressing the consultation, these are considered out of </w:t>
      </w:r>
      <w:r w:rsidR="00BB1725">
        <w:t xml:space="preserve">the </w:t>
      </w:r>
      <w:r w:rsidR="000D51CE">
        <w:t xml:space="preserve">scope of this </w:t>
      </w:r>
      <w:r w:rsidR="00A45514">
        <w:t>process</w:t>
      </w:r>
      <w:r w:rsidR="000D51CE">
        <w:t>.</w:t>
      </w:r>
      <w:r w:rsidR="00726789">
        <w:t xml:space="preserve"> </w:t>
      </w:r>
    </w:p>
    <w:p w14:paraId="13CB41E0" w14:textId="77777777" w:rsidR="000D51CE" w:rsidRDefault="000D51CE" w:rsidP="00F4639A">
      <w:pPr>
        <w:pStyle w:val="Heading2"/>
        <w:jc w:val="both"/>
      </w:pPr>
      <w:bookmarkStart w:id="5" w:name="_Toc208222732"/>
      <w:r>
        <w:t>Way forward</w:t>
      </w:r>
      <w:bookmarkEnd w:id="5"/>
    </w:p>
    <w:p w14:paraId="3CF4BA57" w14:textId="6FFE2F4A" w:rsidR="00A17FAF" w:rsidRPr="00A17B1B" w:rsidRDefault="00FC0AF0" w:rsidP="00A17FAF">
      <w:pPr>
        <w:pStyle w:val="Paragraph"/>
      </w:pPr>
      <w:r>
        <w:t>We have now finalised our review and released updated versions of RALIs MS45, FX20 and MS31. The updated versions include the changes proposed in the consultation paper, together with modifications described in the preceding section as well as editorial updates.</w:t>
      </w:r>
      <w:r w:rsidR="00A17FAF">
        <w:t xml:space="preserve"> Finalised new versions of these RALIs are available on the </w:t>
      </w:r>
      <w:hyperlink r:id="rId38" w:history="1">
        <w:r w:rsidR="00A17FAF" w:rsidRPr="008F5B51">
          <w:rPr>
            <w:rStyle w:val="Hyperlink"/>
          </w:rPr>
          <w:t>ACMA website</w:t>
        </w:r>
      </w:hyperlink>
      <w:r w:rsidR="00A17FAF">
        <w:t xml:space="preserve">. </w:t>
      </w:r>
    </w:p>
    <w:p w14:paraId="6CDB75C4" w14:textId="77777777" w:rsidR="000D51CE" w:rsidRPr="00C263FC" w:rsidRDefault="000D51CE" w:rsidP="00F4639A">
      <w:pPr>
        <w:pStyle w:val="Paragraph"/>
        <w:jc w:val="both"/>
        <w:rPr>
          <w:sz w:val="20"/>
          <w:szCs w:val="22"/>
        </w:rPr>
      </w:pPr>
    </w:p>
    <w:p w14:paraId="43C817FA" w14:textId="15FA8563" w:rsidR="00B27C4B" w:rsidRPr="00A17B1B" w:rsidRDefault="00B27C4B" w:rsidP="00F4639A">
      <w:pPr>
        <w:pStyle w:val="Paragraph"/>
        <w:jc w:val="both"/>
      </w:pPr>
    </w:p>
    <w:sectPr w:rsidR="00B27C4B" w:rsidRPr="00A17B1B" w:rsidSect="005A62E5">
      <w:headerReference w:type="even" r:id="rId39"/>
      <w:headerReference w:type="default" r:id="rId40"/>
      <w:footerReference w:type="even" r:id="rId41"/>
      <w:footerReference w:type="default" r:id="rId42"/>
      <w:pgSz w:w="11906" w:h="16838" w:code="9"/>
      <w:pgMar w:top="1418" w:right="1418" w:bottom="1134" w:left="1418" w:header="709" w:footer="11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0B9F1" w14:textId="77777777" w:rsidR="00106377" w:rsidRDefault="00106377">
      <w:r>
        <w:separator/>
      </w:r>
    </w:p>
  </w:endnote>
  <w:endnote w:type="continuationSeparator" w:id="0">
    <w:p w14:paraId="32A69D66" w14:textId="77777777" w:rsidR="00106377" w:rsidRDefault="00106377">
      <w:r>
        <w:continuationSeparator/>
      </w:r>
    </w:p>
  </w:endnote>
  <w:endnote w:type="continuationNotice" w:id="1">
    <w:p w14:paraId="0BC33B24" w14:textId="77777777" w:rsidR="00106377" w:rsidRDefault="001063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NeueLT Std Lt">
    <w:altName w:val="Arial"/>
    <w:panose1 w:val="020B0403020202020204"/>
    <w:charset w:val="00"/>
    <w:family w:val="swiss"/>
    <w:notTrueType/>
    <w:pitch w:val="variable"/>
    <w:sig w:usb0="800000AF" w:usb1="4000204A" w:usb2="00000000" w:usb3="00000000" w:csb0="00000001" w:csb1="00000000"/>
  </w:font>
  <w:font w:name="HelveticaNeueLT Std">
    <w:altName w:val="Arial"/>
    <w:panose1 w:val="020B0604020202020204"/>
    <w:charset w:val="00"/>
    <w:family w:val="swiss"/>
    <w:notTrueType/>
    <w:pitch w:val="variable"/>
    <w:sig w:usb0="800000AF" w:usb1="40002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631E6" w14:textId="74667922" w:rsidR="00BB1725" w:rsidRDefault="005D4128">
    <w:pPr>
      <w:pStyle w:val="Footer"/>
    </w:pPr>
    <w:r>
      <w:rPr>
        <w:noProof/>
      </w:rPr>
      <mc:AlternateContent>
        <mc:Choice Requires="wps">
          <w:drawing>
            <wp:anchor distT="0" distB="0" distL="0" distR="0" simplePos="0" relativeHeight="251685888" behindDoc="0" locked="0" layoutInCell="1" allowOverlap="1" wp14:anchorId="1A41F8E0" wp14:editId="7B9335E7">
              <wp:simplePos x="635" y="635"/>
              <wp:positionH relativeFrom="page">
                <wp:align>center</wp:align>
              </wp:positionH>
              <wp:positionV relativeFrom="page">
                <wp:align>bottom</wp:align>
              </wp:positionV>
              <wp:extent cx="551815" cy="376555"/>
              <wp:effectExtent l="0" t="0" r="635" b="0"/>
              <wp:wrapNone/>
              <wp:docPr id="1540073048"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6BDBD6A" w14:textId="28186174" w:rsidR="005D4128" w:rsidRPr="005D4128" w:rsidRDefault="005D4128" w:rsidP="005D4128">
                          <w:pPr>
                            <w:spacing w:after="0"/>
                            <w:rPr>
                              <w:rFonts w:ascii="Calibri" w:eastAsia="Calibri" w:hAnsi="Calibri" w:cs="Calibri"/>
                              <w:noProof/>
                              <w:color w:val="FF0000"/>
                              <w:sz w:val="24"/>
                            </w:rPr>
                          </w:pPr>
                          <w:r w:rsidRPr="005D4128">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41F8E0" id="_x0000_t202" coordsize="21600,21600" o:spt="202" path="m,l,21600r21600,l21600,xe">
              <v:stroke joinstyle="miter"/>
              <v:path gradientshapeok="t" o:connecttype="rect"/>
            </v:shapetype>
            <v:shape id="Text Box 11" o:spid="_x0000_s1027" type="#_x0000_t202" alt="OFFICIAL" style="position:absolute;margin-left:0;margin-top:0;width:43.45pt;height:29.65pt;z-index:2516858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36BDBD6A" w14:textId="28186174" w:rsidR="005D4128" w:rsidRPr="005D4128" w:rsidRDefault="005D4128" w:rsidP="005D4128">
                    <w:pPr>
                      <w:spacing w:after="0"/>
                      <w:rPr>
                        <w:rFonts w:ascii="Calibri" w:eastAsia="Calibri" w:hAnsi="Calibri" w:cs="Calibri"/>
                        <w:noProof/>
                        <w:color w:val="FF0000"/>
                        <w:sz w:val="24"/>
                      </w:rPr>
                    </w:pPr>
                    <w:r w:rsidRPr="005D4128">
                      <w:rPr>
                        <w:rFonts w:ascii="Calibri" w:eastAsia="Calibri" w:hAnsi="Calibri" w:cs="Calibri"/>
                        <w:noProof/>
                        <w:color w:val="FF0000"/>
                        <w:sz w:val="24"/>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3A389" w14:textId="52F1018C" w:rsidR="00C053A1" w:rsidRPr="005A62E5" w:rsidRDefault="005A62E5" w:rsidP="005A62E5">
    <w:pPr>
      <w:pStyle w:val="Header"/>
      <w:tabs>
        <w:tab w:val="clear" w:pos="4153"/>
        <w:tab w:val="clear" w:pos="8306"/>
        <w:tab w:val="left" w:pos="5445"/>
        <w:tab w:val="right" w:pos="9072"/>
      </w:tabs>
      <w:rPr>
        <w:noProof/>
        <w:sz w:val="20"/>
      </w:rPr>
    </w:pPr>
    <w:r>
      <w:rPr>
        <w:color w:val="505050"/>
      </w:rPr>
      <w:t>Australian Communications and Media Authority</w:t>
    </w:r>
    <w:r>
      <w:rPr>
        <w:color w:val="505050"/>
      </w:rPr>
      <w:tab/>
    </w:r>
    <w:r>
      <w:rPr>
        <w:color w:val="505050"/>
      </w:rPr>
      <w:tab/>
    </w:r>
    <w:sdt>
      <w:sdtPr>
        <w:id w:val="72649357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FEE4C" w14:textId="61B335A2" w:rsidR="005E250B" w:rsidRDefault="005E250B" w:rsidP="005E250B">
    <w:pPr>
      <w:pStyle w:val="Footer"/>
      <w:jc w:val="right"/>
    </w:pPr>
    <w:r w:rsidRPr="005E250B">
      <w:rPr>
        <w:noProof/>
        <w:vertAlign w:val="subscript"/>
      </w:rPr>
      <w:drawing>
        <wp:inline distT="0" distB="0" distL="0" distR="0" wp14:anchorId="687ED7D9" wp14:editId="331D6AC2">
          <wp:extent cx="1066800" cy="277368"/>
          <wp:effectExtent l="0" t="0" r="0" b="0"/>
          <wp:docPr id="15" name="Picture 15" descr="acma.gov.au">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hlinkClick r:id="rId1"/>
                  </pic:cNvPr>
                  <pic:cNvPicPr/>
                </pic:nvPicPr>
                <pic:blipFill>
                  <a:blip r:embed="rId2"/>
                  <a:stretch>
                    <a:fillRect/>
                  </a:stretch>
                </pic:blipFill>
                <pic:spPr>
                  <a:xfrm>
                    <a:off x="0" y="0"/>
                    <a:ext cx="1133985" cy="294836"/>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C5B87" w14:textId="06B77ECD" w:rsidR="00BB1725" w:rsidRDefault="005D4128">
    <w:pPr>
      <w:pStyle w:val="Footer"/>
    </w:pPr>
    <w:r>
      <w:rPr>
        <w:noProof/>
      </w:rPr>
      <mc:AlternateContent>
        <mc:Choice Requires="wps">
          <w:drawing>
            <wp:anchor distT="0" distB="0" distL="0" distR="0" simplePos="0" relativeHeight="251684864" behindDoc="0" locked="0" layoutInCell="1" allowOverlap="1" wp14:anchorId="48883804" wp14:editId="058692C9">
              <wp:simplePos x="635" y="635"/>
              <wp:positionH relativeFrom="page">
                <wp:align>center</wp:align>
              </wp:positionH>
              <wp:positionV relativeFrom="page">
                <wp:align>bottom</wp:align>
              </wp:positionV>
              <wp:extent cx="551815" cy="376555"/>
              <wp:effectExtent l="0" t="0" r="635" b="0"/>
              <wp:wrapNone/>
              <wp:docPr id="1245325777"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D38ACD0" w14:textId="424A6DC5" w:rsidR="005D4128" w:rsidRPr="005D4128" w:rsidRDefault="005D4128" w:rsidP="005D4128">
                          <w:pPr>
                            <w:spacing w:after="0"/>
                            <w:rPr>
                              <w:rFonts w:ascii="Calibri" w:eastAsia="Calibri" w:hAnsi="Calibri" w:cs="Calibri"/>
                              <w:noProof/>
                              <w:color w:val="FF0000"/>
                              <w:sz w:val="24"/>
                            </w:rPr>
                          </w:pPr>
                          <w:r w:rsidRPr="005D4128">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883804" id="_x0000_t202" coordsize="21600,21600" o:spt="202" path="m,l,21600r21600,l21600,xe">
              <v:stroke joinstyle="miter"/>
              <v:path gradientshapeok="t" o:connecttype="rect"/>
            </v:shapetype>
            <v:shape id="Text Box 10" o:spid="_x0000_s1028" type="#_x0000_t202" alt="OFFICIAL" style="position:absolute;margin-left:0;margin-top:0;width:43.45pt;height:29.65pt;z-index:2516848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3D38ACD0" w14:textId="424A6DC5" w:rsidR="005D4128" w:rsidRPr="005D4128" w:rsidRDefault="005D4128" w:rsidP="005D4128">
                    <w:pPr>
                      <w:spacing w:after="0"/>
                      <w:rPr>
                        <w:rFonts w:ascii="Calibri" w:eastAsia="Calibri" w:hAnsi="Calibri" w:cs="Calibri"/>
                        <w:noProof/>
                        <w:color w:val="FF0000"/>
                        <w:sz w:val="24"/>
                      </w:rPr>
                    </w:pPr>
                    <w:r w:rsidRPr="005D4128">
                      <w:rPr>
                        <w:rFonts w:ascii="Calibri" w:eastAsia="Calibri" w:hAnsi="Calibri" w:cs="Calibri"/>
                        <w:noProof/>
                        <w:color w:val="FF0000"/>
                        <w:sz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6BC39" w14:textId="0A956554" w:rsidR="00C053A1" w:rsidRDefault="00C053A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E4458" w14:textId="7C07FDF9" w:rsidR="00C053A1" w:rsidRDefault="005D4128">
    <w:pPr>
      <w:pStyle w:val="Footer"/>
    </w:pPr>
    <w:r>
      <w:rPr>
        <w:noProof/>
      </w:rPr>
      <mc:AlternateContent>
        <mc:Choice Requires="wps">
          <w:drawing>
            <wp:anchor distT="0" distB="0" distL="0" distR="0" simplePos="0" relativeHeight="251688960" behindDoc="0" locked="0" layoutInCell="1" allowOverlap="1" wp14:anchorId="59A73C95" wp14:editId="366446A4">
              <wp:simplePos x="635" y="635"/>
              <wp:positionH relativeFrom="page">
                <wp:align>center</wp:align>
              </wp:positionH>
              <wp:positionV relativeFrom="page">
                <wp:align>bottom</wp:align>
              </wp:positionV>
              <wp:extent cx="551815" cy="376555"/>
              <wp:effectExtent l="0" t="0" r="635" b="0"/>
              <wp:wrapNone/>
              <wp:docPr id="1122557871"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E89790B" w14:textId="0AF56FBE" w:rsidR="005D4128" w:rsidRPr="005D4128" w:rsidRDefault="005D4128" w:rsidP="005D4128">
                          <w:pPr>
                            <w:spacing w:after="0"/>
                            <w:rPr>
                              <w:rFonts w:ascii="Calibri" w:eastAsia="Calibri" w:hAnsi="Calibri" w:cs="Calibri"/>
                              <w:noProof/>
                              <w:color w:val="FF0000"/>
                              <w:sz w:val="24"/>
                            </w:rPr>
                          </w:pPr>
                          <w:r w:rsidRPr="005D4128">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A73C95" id="_x0000_t202" coordsize="21600,21600" o:spt="202" path="m,l,21600r21600,l21600,xe">
              <v:stroke joinstyle="miter"/>
              <v:path gradientshapeok="t" o:connecttype="rect"/>
            </v:shapetype>
            <v:shape id="Text Box 14" o:spid="_x0000_s1030" type="#_x0000_t202" alt="OFFICIAL" style="position:absolute;margin-left:0;margin-top:0;width:43.45pt;height:29.65pt;z-index:2516889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Nu2cKA8CAAAd&#10;BAAADgAAAAAAAAAAAAAAAAAuAgAAZHJzL2Uyb0RvYy54bWxQSwECLQAUAAYACAAAACEAIHrByNoA&#10;AAADAQAADwAAAAAAAAAAAAAAAABpBAAAZHJzL2Rvd25yZXYueG1sUEsFBgAAAAAEAAQA8wAAAHAF&#10;AAAAAA==&#10;" filled="f" stroked="f">
              <v:fill o:detectmouseclick="t"/>
              <v:textbox style="mso-fit-shape-to-text:t" inset="0,0,0,15pt">
                <w:txbxContent>
                  <w:p w14:paraId="4E89790B" w14:textId="0AF56FBE" w:rsidR="005D4128" w:rsidRPr="005D4128" w:rsidRDefault="005D4128" w:rsidP="005D4128">
                    <w:pPr>
                      <w:spacing w:after="0"/>
                      <w:rPr>
                        <w:rFonts w:ascii="Calibri" w:eastAsia="Calibri" w:hAnsi="Calibri" w:cs="Calibri"/>
                        <w:noProof/>
                        <w:color w:val="FF0000"/>
                        <w:sz w:val="24"/>
                      </w:rPr>
                    </w:pPr>
                    <w:r w:rsidRPr="005D4128">
                      <w:rPr>
                        <w:rFonts w:ascii="Calibri" w:eastAsia="Calibri" w:hAnsi="Calibri" w:cs="Calibri"/>
                        <w:noProof/>
                        <w:color w:val="FF0000"/>
                        <w:sz w:val="24"/>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278C2" w14:textId="15CDFD3D" w:rsidR="00971914" w:rsidRPr="00622A3B" w:rsidRDefault="005D4128" w:rsidP="00971914">
    <w:pPr>
      <w:pStyle w:val="Footer"/>
      <w:framePr w:w="1334" w:h="357" w:hRule="exact" w:vSpace="425" w:wrap="around" w:vAnchor="page" w:hAnchor="page" w:x="1156" w:y="16166"/>
      <w:pBdr>
        <w:top w:val="single" w:sz="4" w:space="1" w:color="auto"/>
      </w:pBdr>
      <w:tabs>
        <w:tab w:val="clear" w:pos="113"/>
        <w:tab w:val="left" w:pos="284"/>
      </w:tabs>
      <w:rPr>
        <w:rFonts w:cs="Arial"/>
      </w:rPr>
    </w:pPr>
    <w:r>
      <w:rPr>
        <w:rFonts w:cs="Arial"/>
        <w:b/>
        <w:noProof/>
        <w:spacing w:val="-16"/>
        <w:sz w:val="20"/>
        <w:szCs w:val="20"/>
      </w:rPr>
      <mc:AlternateContent>
        <mc:Choice Requires="wps">
          <w:drawing>
            <wp:anchor distT="0" distB="0" distL="0" distR="0" simplePos="0" relativeHeight="251691008" behindDoc="0" locked="0" layoutInCell="1" allowOverlap="1" wp14:anchorId="1A78D53E" wp14:editId="5ED2D301">
              <wp:simplePos x="635" y="635"/>
              <wp:positionH relativeFrom="page">
                <wp:align>center</wp:align>
              </wp:positionH>
              <wp:positionV relativeFrom="page">
                <wp:align>bottom</wp:align>
              </wp:positionV>
              <wp:extent cx="551815" cy="376555"/>
              <wp:effectExtent l="0" t="0" r="635" b="0"/>
              <wp:wrapNone/>
              <wp:docPr id="1405900388"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31CE3CA" w14:textId="265B7E8C" w:rsidR="005D4128" w:rsidRPr="005D4128" w:rsidRDefault="005D4128" w:rsidP="005D4128">
                          <w:pPr>
                            <w:spacing w:after="0"/>
                            <w:rPr>
                              <w:rFonts w:ascii="Calibri" w:eastAsia="Calibri" w:hAnsi="Calibri" w:cs="Calibri"/>
                              <w:noProof/>
                              <w:color w:val="FF0000"/>
                              <w:sz w:val="24"/>
                            </w:rPr>
                          </w:pPr>
                          <w:r w:rsidRPr="005D4128">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78D53E" id="_x0000_t202" coordsize="21600,21600" o:spt="202" path="m,l,21600r21600,l21600,xe">
              <v:stroke joinstyle="miter"/>
              <v:path gradientshapeok="t" o:connecttype="rect"/>
            </v:shapetype>
            <v:shape id="Text Box 16" o:spid="_x0000_s1033" type="#_x0000_t202" alt="OFFICIAL" style="position:absolute;margin-left:0;margin-top:0;width:43.45pt;height:29.65pt;z-index:2516910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76/k4w8CAAAd&#10;BAAADgAAAAAAAAAAAAAAAAAuAgAAZHJzL2Uyb0RvYy54bWxQSwECLQAUAAYACAAAACEAIHrByNoA&#10;AAADAQAADwAAAAAAAAAAAAAAAABpBAAAZHJzL2Rvd25yZXYueG1sUEsFBgAAAAAEAAQA8wAAAHAF&#10;AAAAAA==&#10;" filled="f" stroked="f">
              <v:fill o:detectmouseclick="t"/>
              <v:textbox style="mso-fit-shape-to-text:t" inset="0,0,0,15pt">
                <w:txbxContent>
                  <w:p w14:paraId="231CE3CA" w14:textId="265B7E8C" w:rsidR="005D4128" w:rsidRPr="005D4128" w:rsidRDefault="005D4128" w:rsidP="005D4128">
                    <w:pPr>
                      <w:spacing w:after="0"/>
                      <w:rPr>
                        <w:rFonts w:ascii="Calibri" w:eastAsia="Calibri" w:hAnsi="Calibri" w:cs="Calibri"/>
                        <w:noProof/>
                        <w:color w:val="FF0000"/>
                        <w:sz w:val="24"/>
                      </w:rPr>
                    </w:pPr>
                    <w:r w:rsidRPr="005D4128">
                      <w:rPr>
                        <w:rFonts w:ascii="Calibri" w:eastAsia="Calibri" w:hAnsi="Calibri" w:cs="Calibri"/>
                        <w:noProof/>
                        <w:color w:val="FF0000"/>
                        <w:sz w:val="24"/>
                      </w:rPr>
                      <w:t>OFFICIAL</w:t>
                    </w:r>
                  </w:p>
                </w:txbxContent>
              </v:textbox>
              <w10:wrap anchorx="page" anchory="page"/>
            </v:shape>
          </w:pict>
        </mc:Fallback>
      </mc:AlternateContent>
    </w:r>
    <w:r w:rsidR="00971914" w:rsidRPr="00622A3B">
      <w:rPr>
        <w:rFonts w:cs="Arial"/>
        <w:b/>
        <w:noProof/>
        <w:spacing w:val="-16"/>
        <w:sz w:val="20"/>
        <w:szCs w:val="20"/>
      </w:rPr>
      <w:t>a</w:t>
    </w:r>
    <w:r w:rsidR="00971914" w:rsidRPr="00622A3B">
      <w:rPr>
        <w:rFonts w:cs="Arial"/>
        <w:b/>
        <w:noProof/>
        <w:spacing w:val="-15"/>
        <w:sz w:val="20"/>
        <w:szCs w:val="20"/>
      </w:rPr>
      <w:t>c</w:t>
    </w:r>
    <w:r w:rsidR="00971914" w:rsidRPr="00622A3B">
      <w:rPr>
        <w:rFonts w:cs="Arial"/>
        <w:b/>
        <w:noProof/>
        <w:spacing w:val="-16"/>
        <w:sz w:val="20"/>
        <w:szCs w:val="20"/>
      </w:rPr>
      <w:t>m</w:t>
    </w:r>
    <w:r w:rsidR="00971914" w:rsidRPr="00622A3B">
      <w:rPr>
        <w:rFonts w:cs="Arial"/>
        <w:b/>
        <w:noProof/>
        <w:spacing w:val="-14"/>
        <w:sz w:val="20"/>
        <w:szCs w:val="20"/>
      </w:rPr>
      <w:t>a</w:t>
    </w:r>
    <w:r w:rsidR="00971914" w:rsidRPr="0094078F">
      <w:rPr>
        <w:rFonts w:cs="Arial"/>
      </w:rPr>
      <w:tab/>
    </w:r>
    <w:r w:rsidR="00971914">
      <w:rPr>
        <w:rFonts w:cs="Arial"/>
      </w:rPr>
      <w:t xml:space="preserve"> </w:t>
    </w:r>
    <w:r w:rsidR="00971914" w:rsidRPr="00622A3B">
      <w:rPr>
        <w:rFonts w:cs="Arial"/>
      </w:rPr>
      <w:t>|</w:t>
    </w:r>
    <w:r w:rsidR="00971914">
      <w:tab/>
    </w:r>
    <w:r w:rsidR="00971914" w:rsidRPr="002E4DDC">
      <w:rPr>
        <w:color w:val="505050"/>
      </w:rPr>
      <w:fldChar w:fldCharType="begin"/>
    </w:r>
    <w:r w:rsidR="00971914" w:rsidRPr="002E4DDC">
      <w:rPr>
        <w:color w:val="505050"/>
      </w:rPr>
      <w:instrText xml:space="preserve"> PAGE  \* roman  \* MERGEFORMAT </w:instrText>
    </w:r>
    <w:r w:rsidR="00971914" w:rsidRPr="002E4DDC">
      <w:rPr>
        <w:color w:val="505050"/>
      </w:rPr>
      <w:fldChar w:fldCharType="separate"/>
    </w:r>
    <w:r w:rsidR="000C6AB4">
      <w:rPr>
        <w:noProof/>
        <w:color w:val="505050"/>
      </w:rPr>
      <w:t>iv</w:t>
    </w:r>
    <w:r w:rsidR="00971914" w:rsidRPr="002E4DDC">
      <w:rPr>
        <w:color w:val="505050"/>
      </w:rPr>
      <w:fldChar w:fldCharType="end"/>
    </w:r>
  </w:p>
  <w:p w14:paraId="2C2F8D15" w14:textId="77777777" w:rsidR="00C053A1" w:rsidRPr="00A5474E" w:rsidRDefault="00C053A1" w:rsidP="00A5474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0A2AE" w14:textId="6289AE28" w:rsidR="00971914" w:rsidRPr="00622A3B" w:rsidRDefault="005D4128" w:rsidP="00971914">
    <w:pPr>
      <w:pStyle w:val="Footer"/>
      <w:framePr w:w="1334" w:h="357" w:hRule="exact" w:vSpace="425" w:wrap="around" w:vAnchor="page" w:hAnchor="page" w:x="7335" w:y="16166"/>
      <w:pBdr>
        <w:top w:val="single" w:sz="4" w:space="1" w:color="auto"/>
      </w:pBdr>
      <w:tabs>
        <w:tab w:val="clear" w:pos="113"/>
        <w:tab w:val="left" w:pos="284"/>
      </w:tabs>
      <w:jc w:val="right"/>
      <w:rPr>
        <w:rFonts w:cs="Arial"/>
      </w:rPr>
    </w:pPr>
    <w:r>
      <w:rPr>
        <w:rFonts w:cs="Arial"/>
        <w:b/>
        <w:noProof/>
        <w:spacing w:val="-16"/>
        <w:sz w:val="20"/>
        <w:szCs w:val="20"/>
      </w:rPr>
      <mc:AlternateContent>
        <mc:Choice Requires="wps">
          <w:drawing>
            <wp:anchor distT="0" distB="0" distL="0" distR="0" simplePos="0" relativeHeight="251692032" behindDoc="0" locked="0" layoutInCell="1" allowOverlap="1" wp14:anchorId="56EB2047" wp14:editId="35F5A6D6">
              <wp:simplePos x="635" y="635"/>
              <wp:positionH relativeFrom="page">
                <wp:align>center</wp:align>
              </wp:positionH>
              <wp:positionV relativeFrom="page">
                <wp:align>bottom</wp:align>
              </wp:positionV>
              <wp:extent cx="551815" cy="376555"/>
              <wp:effectExtent l="0" t="0" r="635" b="0"/>
              <wp:wrapNone/>
              <wp:docPr id="59315650"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59CD456" w14:textId="0C8A9BEC" w:rsidR="005D4128" w:rsidRPr="005D4128" w:rsidRDefault="005D4128" w:rsidP="005D4128">
                          <w:pPr>
                            <w:spacing w:after="0"/>
                            <w:rPr>
                              <w:rFonts w:ascii="Calibri" w:eastAsia="Calibri" w:hAnsi="Calibri" w:cs="Calibri"/>
                              <w:noProof/>
                              <w:color w:val="FF0000"/>
                              <w:sz w:val="24"/>
                            </w:rPr>
                          </w:pPr>
                          <w:r w:rsidRPr="005D4128">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EB2047" id="_x0000_t202" coordsize="21600,21600" o:spt="202" path="m,l,21600r21600,l21600,xe">
              <v:stroke joinstyle="miter"/>
              <v:path gradientshapeok="t" o:connecttype="rect"/>
            </v:shapetype>
            <v:shape id="Text Box 17" o:spid="_x0000_s1034" type="#_x0000_t202" alt="OFFICIAL" style="position:absolute;left:0;text-align:left;margin-left:0;margin-top:0;width:43.45pt;height:29.65pt;z-index:2516920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CLLSxA8CAAAc&#10;BAAADgAAAAAAAAAAAAAAAAAuAgAAZHJzL2Uyb0RvYy54bWxQSwECLQAUAAYACAAAACEAIHrByNoA&#10;AAADAQAADwAAAAAAAAAAAAAAAABpBAAAZHJzL2Rvd25yZXYueG1sUEsFBgAAAAAEAAQA8wAAAHAF&#10;AAAAAA==&#10;" filled="f" stroked="f">
              <v:fill o:detectmouseclick="t"/>
              <v:textbox style="mso-fit-shape-to-text:t" inset="0,0,0,15pt">
                <w:txbxContent>
                  <w:p w14:paraId="259CD456" w14:textId="0C8A9BEC" w:rsidR="005D4128" w:rsidRPr="005D4128" w:rsidRDefault="005D4128" w:rsidP="005D4128">
                    <w:pPr>
                      <w:spacing w:after="0"/>
                      <w:rPr>
                        <w:rFonts w:ascii="Calibri" w:eastAsia="Calibri" w:hAnsi="Calibri" w:cs="Calibri"/>
                        <w:noProof/>
                        <w:color w:val="FF0000"/>
                        <w:sz w:val="24"/>
                      </w:rPr>
                    </w:pPr>
                    <w:r w:rsidRPr="005D4128">
                      <w:rPr>
                        <w:rFonts w:ascii="Calibri" w:eastAsia="Calibri" w:hAnsi="Calibri" w:cs="Calibri"/>
                        <w:noProof/>
                        <w:color w:val="FF0000"/>
                        <w:sz w:val="24"/>
                      </w:rPr>
                      <w:t>OFFICIAL</w:t>
                    </w:r>
                  </w:p>
                </w:txbxContent>
              </v:textbox>
              <w10:wrap anchorx="page" anchory="page"/>
            </v:shape>
          </w:pict>
        </mc:Fallback>
      </mc:AlternateContent>
    </w:r>
    <w:r w:rsidR="00971914" w:rsidRPr="00622A3B">
      <w:rPr>
        <w:rFonts w:cs="Arial"/>
        <w:b/>
        <w:noProof/>
        <w:spacing w:val="-16"/>
        <w:sz w:val="20"/>
        <w:szCs w:val="20"/>
      </w:rPr>
      <w:t>a</w:t>
    </w:r>
    <w:r w:rsidR="00971914" w:rsidRPr="00622A3B">
      <w:rPr>
        <w:rFonts w:cs="Arial"/>
        <w:b/>
        <w:noProof/>
        <w:spacing w:val="-15"/>
        <w:sz w:val="20"/>
        <w:szCs w:val="20"/>
      </w:rPr>
      <w:t>c</w:t>
    </w:r>
    <w:r w:rsidR="00971914" w:rsidRPr="00622A3B">
      <w:rPr>
        <w:rFonts w:cs="Arial"/>
        <w:b/>
        <w:noProof/>
        <w:spacing w:val="-16"/>
        <w:sz w:val="20"/>
        <w:szCs w:val="20"/>
      </w:rPr>
      <w:t>m</w:t>
    </w:r>
    <w:r w:rsidR="00971914" w:rsidRPr="00622A3B">
      <w:rPr>
        <w:rFonts w:cs="Arial"/>
        <w:b/>
        <w:noProof/>
        <w:spacing w:val="-14"/>
        <w:sz w:val="20"/>
        <w:szCs w:val="20"/>
      </w:rPr>
      <w:t>a</w:t>
    </w:r>
    <w:r w:rsidR="00971914" w:rsidRPr="0094078F">
      <w:rPr>
        <w:rFonts w:cs="Arial"/>
      </w:rPr>
      <w:tab/>
    </w:r>
    <w:r w:rsidR="00971914">
      <w:rPr>
        <w:rFonts w:cs="Arial"/>
      </w:rPr>
      <w:t xml:space="preserve"> </w:t>
    </w:r>
    <w:r w:rsidR="00971914" w:rsidRPr="00622A3B">
      <w:rPr>
        <w:rFonts w:cs="Arial"/>
      </w:rPr>
      <w:t>|</w:t>
    </w:r>
    <w:r w:rsidR="00971914">
      <w:tab/>
    </w:r>
    <w:r w:rsidR="00971914" w:rsidRPr="002E4DDC">
      <w:rPr>
        <w:color w:val="505050"/>
      </w:rPr>
      <w:fldChar w:fldCharType="begin"/>
    </w:r>
    <w:r w:rsidR="00971914" w:rsidRPr="002E4DDC">
      <w:rPr>
        <w:color w:val="505050"/>
      </w:rPr>
      <w:instrText xml:space="preserve"> PAGE  \* roman  \* MERGEFORMAT </w:instrText>
    </w:r>
    <w:r w:rsidR="00971914" w:rsidRPr="002E4DDC">
      <w:rPr>
        <w:color w:val="505050"/>
      </w:rPr>
      <w:fldChar w:fldCharType="separate"/>
    </w:r>
    <w:r w:rsidR="000C6AB4">
      <w:rPr>
        <w:noProof/>
        <w:color w:val="505050"/>
      </w:rPr>
      <w:t>v</w:t>
    </w:r>
    <w:r w:rsidR="00971914" w:rsidRPr="002E4DDC">
      <w:rPr>
        <w:color w:val="505050"/>
      </w:rPr>
      <w:fldChar w:fldCharType="end"/>
    </w:r>
  </w:p>
  <w:p w14:paraId="2F1DC0E8" w14:textId="77777777" w:rsidR="00C053A1" w:rsidRPr="00A5474E" w:rsidRDefault="00C053A1" w:rsidP="00A5474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F840C" w14:textId="205CFA9E" w:rsidR="00C053A1" w:rsidRPr="005A62E5" w:rsidRDefault="005A62E5" w:rsidP="005A62E5">
    <w:pPr>
      <w:pStyle w:val="Header"/>
      <w:tabs>
        <w:tab w:val="clear" w:pos="4153"/>
        <w:tab w:val="clear" w:pos="8306"/>
        <w:tab w:val="right" w:pos="9072"/>
      </w:tabs>
      <w:rPr>
        <w:noProof/>
        <w:sz w:val="20"/>
      </w:rPr>
    </w:pPr>
    <w:r>
      <w:rPr>
        <w:color w:val="505050"/>
      </w:rPr>
      <w:t>Australian Communications and Media Authority</w:t>
    </w:r>
    <w:r>
      <w:rPr>
        <w:color w:val="505050"/>
      </w:rPr>
      <w:tab/>
    </w:r>
    <w:r w:rsidRPr="005A62E5">
      <w:rPr>
        <w:color w:val="505050"/>
      </w:rPr>
      <w:fldChar w:fldCharType="begin"/>
    </w:r>
    <w:r w:rsidRPr="005A62E5">
      <w:rPr>
        <w:color w:val="505050"/>
      </w:rPr>
      <w:instrText xml:space="preserve"> PAGE   \* MERGEFORMAT </w:instrText>
    </w:r>
    <w:r w:rsidRPr="005A62E5">
      <w:rPr>
        <w:color w:val="505050"/>
      </w:rPr>
      <w:fldChar w:fldCharType="separate"/>
    </w:r>
    <w:r w:rsidRPr="005A62E5">
      <w:rPr>
        <w:noProof/>
        <w:color w:val="505050"/>
      </w:rPr>
      <w:t>1</w:t>
    </w:r>
    <w:r w:rsidRPr="005A62E5">
      <w:rPr>
        <w:noProof/>
        <w:color w:val="505050"/>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B502E" w14:textId="02D5354D" w:rsidR="00C053A1" w:rsidRPr="005A62E5" w:rsidRDefault="005A62E5" w:rsidP="005A62E5">
    <w:pPr>
      <w:pStyle w:val="Header"/>
      <w:tabs>
        <w:tab w:val="clear" w:pos="4153"/>
        <w:tab w:val="clear" w:pos="8306"/>
        <w:tab w:val="left" w:pos="5445"/>
        <w:tab w:val="right" w:pos="9072"/>
      </w:tabs>
      <w:rPr>
        <w:noProof/>
        <w:sz w:val="20"/>
      </w:rPr>
    </w:pPr>
    <w:r>
      <w:rPr>
        <w:color w:val="505050"/>
      </w:rPr>
      <w:t>Australian Communications and Media Authority</w:t>
    </w:r>
    <w:r>
      <w:rPr>
        <w:color w:val="505050"/>
      </w:rPr>
      <w:tab/>
    </w:r>
    <w:r>
      <w:rPr>
        <w:color w:val="505050"/>
      </w:rPr>
      <w:tab/>
    </w:r>
    <w:sdt>
      <w:sdtPr>
        <w:id w:val="-30516885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02757" w14:textId="77777777" w:rsidR="00106377" w:rsidRDefault="00106377" w:rsidP="00DB3A64">
      <w:pPr>
        <w:spacing w:after="0"/>
      </w:pPr>
      <w:r>
        <w:separator/>
      </w:r>
    </w:p>
  </w:footnote>
  <w:footnote w:type="continuationSeparator" w:id="0">
    <w:p w14:paraId="6C4D6085" w14:textId="77777777" w:rsidR="00106377" w:rsidRDefault="00106377">
      <w:r>
        <w:continuationSeparator/>
      </w:r>
    </w:p>
  </w:footnote>
  <w:footnote w:type="continuationNotice" w:id="1">
    <w:p w14:paraId="1EB8BC59" w14:textId="77777777" w:rsidR="00106377" w:rsidRDefault="00106377">
      <w:pPr>
        <w:spacing w:after="0" w:line="240" w:lineRule="auto"/>
      </w:pPr>
    </w:p>
  </w:footnote>
  <w:footnote w:id="2">
    <w:p w14:paraId="0776FE7F" w14:textId="1844FB27" w:rsidR="00F76FFA" w:rsidRDefault="00F76FFA">
      <w:pPr>
        <w:pStyle w:val="FootnoteText"/>
      </w:pPr>
      <w:r>
        <w:rPr>
          <w:rStyle w:val="FootnoteReference"/>
        </w:rPr>
        <w:footnoteRef/>
      </w:r>
      <w:r>
        <w:t xml:space="preserve"> The submission referred to the </w:t>
      </w:r>
      <w:r w:rsidRPr="00F76FFA">
        <w:t>Radiocommunications (Communication with Space Object) Class Licence 20</w:t>
      </w:r>
      <w:r>
        <w:t xml:space="preserve">15 which was repealed and replaced by the </w:t>
      </w:r>
      <w:r w:rsidRPr="00F76FFA">
        <w:t>Radiocommunications (Communication with Space Object) Class Licence 20</w:t>
      </w:r>
      <w:r>
        <w:t xml:space="preserve">25 on 28 February 2025. </w:t>
      </w:r>
    </w:p>
  </w:footnote>
  <w:footnote w:id="3">
    <w:p w14:paraId="5BFEE888" w14:textId="4A02BD83" w:rsidR="00B90A55" w:rsidRDefault="00B90A55">
      <w:pPr>
        <w:pStyle w:val="FootnoteText"/>
      </w:pPr>
      <w:r>
        <w:rPr>
          <w:rStyle w:val="FootnoteReference"/>
        </w:rPr>
        <w:footnoteRef/>
      </w:r>
      <w:r>
        <w:t xml:space="preserve"> Note due to editorial updates Table 6 in the draft document provided for consultation has incremented to Table 7 in the final version of RALI MS45.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9EBA0" w14:textId="75BEECB3" w:rsidR="00BB1725" w:rsidRDefault="005D4128">
    <w:pPr>
      <w:pStyle w:val="Header"/>
    </w:pPr>
    <w:r>
      <w:rPr>
        <w:noProof/>
      </w:rPr>
      <mc:AlternateContent>
        <mc:Choice Requires="wps">
          <w:drawing>
            <wp:anchor distT="0" distB="0" distL="0" distR="0" simplePos="0" relativeHeight="251676672" behindDoc="0" locked="0" layoutInCell="1" allowOverlap="1" wp14:anchorId="388B72C2" wp14:editId="3C30ADA0">
              <wp:simplePos x="635" y="635"/>
              <wp:positionH relativeFrom="page">
                <wp:align>center</wp:align>
              </wp:positionH>
              <wp:positionV relativeFrom="page">
                <wp:align>top</wp:align>
              </wp:positionV>
              <wp:extent cx="551815" cy="376555"/>
              <wp:effectExtent l="0" t="0" r="635" b="4445"/>
              <wp:wrapNone/>
              <wp:docPr id="88740585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7A9429F" w14:textId="536D7C97" w:rsidR="005D4128" w:rsidRPr="005D4128" w:rsidRDefault="005D4128" w:rsidP="005D4128">
                          <w:pPr>
                            <w:spacing w:after="0"/>
                            <w:rPr>
                              <w:rFonts w:ascii="Calibri" w:eastAsia="Calibri" w:hAnsi="Calibri" w:cs="Calibri"/>
                              <w:noProof/>
                              <w:color w:val="FF0000"/>
                              <w:sz w:val="24"/>
                            </w:rPr>
                          </w:pPr>
                          <w:r w:rsidRPr="005D4128">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8B72C2"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766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htFQ2DgIAABwE&#10;AAAOAAAAAAAAAAAAAAAAAC4CAABkcnMvZTJvRG9jLnhtbFBLAQItABQABgAIAAAAIQDDiR132gAA&#10;AAMBAAAPAAAAAAAAAAAAAAAAAGgEAABkcnMvZG93bnJldi54bWxQSwUGAAAAAAQABADzAAAAbwUA&#10;AAAA&#10;" filled="f" stroked="f">
              <v:fill o:detectmouseclick="t"/>
              <v:textbox style="mso-fit-shape-to-text:t" inset="0,15pt,0,0">
                <w:txbxContent>
                  <w:p w14:paraId="17A9429F" w14:textId="536D7C97" w:rsidR="005D4128" w:rsidRPr="005D4128" w:rsidRDefault="005D4128" w:rsidP="005D4128">
                    <w:pPr>
                      <w:spacing w:after="0"/>
                      <w:rPr>
                        <w:rFonts w:ascii="Calibri" w:eastAsia="Calibri" w:hAnsi="Calibri" w:cs="Calibri"/>
                        <w:noProof/>
                        <w:color w:val="FF0000"/>
                        <w:sz w:val="24"/>
                      </w:rPr>
                    </w:pPr>
                    <w:r w:rsidRPr="005D4128">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ECE4C" w14:textId="61B5AD62" w:rsidR="00C053A1" w:rsidRPr="005A62E5" w:rsidRDefault="005A62E5" w:rsidP="005A62E5">
    <w:pPr>
      <w:pStyle w:val="Header"/>
    </w:pPr>
    <w:r>
      <w:rPr>
        <w:noProof/>
      </w:rPr>
      <w:drawing>
        <wp:inline distT="0" distB="0" distL="0" distR="0" wp14:anchorId="10B95CF3" wp14:editId="11C97C38">
          <wp:extent cx="3229598" cy="3810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3300801" cy="3894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9E0AA" w14:textId="508D8EFC" w:rsidR="00C053A1" w:rsidRPr="00A5474E" w:rsidRDefault="00C053A1" w:rsidP="00594E9C">
    <w:pPr>
      <w:pStyle w:val="TOCHeading"/>
    </w:pPr>
    <w:r w:rsidRPr="0029593B">
      <w:t>Contents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083DF" w14:textId="79AF2E3B" w:rsidR="00C053A1" w:rsidRDefault="00C053A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38727" w14:textId="4D117FD4" w:rsidR="00C053A1" w:rsidRDefault="005D4128">
    <w:pPr>
      <w:pStyle w:val="Header"/>
    </w:pPr>
    <w:r>
      <w:rPr>
        <w:noProof/>
      </w:rPr>
      <mc:AlternateContent>
        <mc:Choice Requires="wps">
          <w:drawing>
            <wp:anchor distT="0" distB="0" distL="0" distR="0" simplePos="0" relativeHeight="251679744" behindDoc="0" locked="0" layoutInCell="1" allowOverlap="1" wp14:anchorId="3361D3EA" wp14:editId="0D888330">
              <wp:simplePos x="635" y="635"/>
              <wp:positionH relativeFrom="page">
                <wp:align>center</wp:align>
              </wp:positionH>
              <wp:positionV relativeFrom="page">
                <wp:align>top</wp:align>
              </wp:positionV>
              <wp:extent cx="551815" cy="376555"/>
              <wp:effectExtent l="0" t="0" r="635" b="4445"/>
              <wp:wrapNone/>
              <wp:docPr id="1473493373"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363207A" w14:textId="5CE19DBE" w:rsidR="005D4128" w:rsidRPr="005D4128" w:rsidRDefault="005D4128" w:rsidP="005D4128">
                          <w:pPr>
                            <w:spacing w:after="0"/>
                            <w:rPr>
                              <w:rFonts w:ascii="Calibri" w:eastAsia="Calibri" w:hAnsi="Calibri" w:cs="Calibri"/>
                              <w:noProof/>
                              <w:color w:val="FF0000"/>
                              <w:sz w:val="24"/>
                            </w:rPr>
                          </w:pPr>
                          <w:r w:rsidRPr="005D4128">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61D3EA" id="_x0000_t202" coordsize="21600,21600" o:spt="202" path="m,l,21600r21600,l21600,xe">
              <v:stroke joinstyle="miter"/>
              <v:path gradientshapeok="t" o:connecttype="rect"/>
            </v:shapetype>
            <v:shape id="Text Box 5" o:spid="_x0000_s1029" type="#_x0000_t202" alt="OFFICIAL" style="position:absolute;margin-left:0;margin-top:0;width:43.45pt;height:29.65pt;z-index:2516797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c1wdqDgIAAB0E&#10;AAAOAAAAAAAAAAAAAAAAAC4CAABkcnMvZTJvRG9jLnhtbFBLAQItABQABgAIAAAAIQDDiR132gAA&#10;AAMBAAAPAAAAAAAAAAAAAAAAAGgEAABkcnMvZG93bnJldi54bWxQSwUGAAAAAAQABADzAAAAbwUA&#10;AAAA&#10;" filled="f" stroked="f">
              <v:fill o:detectmouseclick="t"/>
              <v:textbox style="mso-fit-shape-to-text:t" inset="0,15pt,0,0">
                <w:txbxContent>
                  <w:p w14:paraId="1363207A" w14:textId="5CE19DBE" w:rsidR="005D4128" w:rsidRPr="005D4128" w:rsidRDefault="005D4128" w:rsidP="005D4128">
                    <w:pPr>
                      <w:spacing w:after="0"/>
                      <w:rPr>
                        <w:rFonts w:ascii="Calibri" w:eastAsia="Calibri" w:hAnsi="Calibri" w:cs="Calibri"/>
                        <w:noProof/>
                        <w:color w:val="FF0000"/>
                        <w:sz w:val="24"/>
                      </w:rPr>
                    </w:pPr>
                    <w:r w:rsidRPr="005D4128">
                      <w:rPr>
                        <w:rFonts w:ascii="Calibri" w:eastAsia="Calibri" w:hAnsi="Calibri" w:cs="Calibri"/>
                        <w:noProof/>
                        <w:color w:val="FF0000"/>
                        <w:sz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678" w:type="dxa"/>
      <w:tblLayout w:type="fixed"/>
      <w:tblCellMar>
        <w:left w:w="0" w:type="dxa"/>
        <w:right w:w="0" w:type="dxa"/>
      </w:tblCellMar>
      <w:tblLook w:val="01E0" w:firstRow="1" w:lastRow="1" w:firstColumn="1" w:lastColumn="1" w:noHBand="0" w:noVBand="0"/>
    </w:tblPr>
    <w:tblGrid>
      <w:gridCol w:w="7678"/>
    </w:tblGrid>
    <w:tr w:rsidR="00971914" w14:paraId="00891700" w14:textId="77777777" w:rsidTr="000C1B44">
      <w:trPr>
        <w:trHeight w:hRule="exact" w:val="988"/>
      </w:trPr>
      <w:tc>
        <w:tcPr>
          <w:tcW w:w="7678" w:type="dxa"/>
        </w:tcPr>
        <w:p w14:paraId="146BA441" w14:textId="0ABD3678" w:rsidR="00971914" w:rsidRDefault="005D4128" w:rsidP="00971914">
          <w:pPr>
            <w:pStyle w:val="Header"/>
          </w:pPr>
          <w:r>
            <w:rPr>
              <w:noProof/>
            </w:rPr>
            <mc:AlternateContent>
              <mc:Choice Requires="wps">
                <w:drawing>
                  <wp:anchor distT="0" distB="0" distL="0" distR="0" simplePos="0" relativeHeight="251680768" behindDoc="0" locked="0" layoutInCell="1" allowOverlap="1" wp14:anchorId="17DF4BA6" wp14:editId="5808F9BD">
                    <wp:simplePos x="635" y="635"/>
                    <wp:positionH relativeFrom="page">
                      <wp:align>center</wp:align>
                    </wp:positionH>
                    <wp:positionV relativeFrom="page">
                      <wp:align>top</wp:align>
                    </wp:positionV>
                    <wp:extent cx="551815" cy="376555"/>
                    <wp:effectExtent l="0" t="0" r="635" b="4445"/>
                    <wp:wrapNone/>
                    <wp:docPr id="10287861"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B427E16" w14:textId="60EBD93F" w:rsidR="005D4128" w:rsidRPr="005D4128" w:rsidRDefault="005D4128" w:rsidP="005D4128">
                                <w:pPr>
                                  <w:spacing w:after="0"/>
                                  <w:rPr>
                                    <w:rFonts w:ascii="Calibri" w:eastAsia="Calibri" w:hAnsi="Calibri" w:cs="Calibri"/>
                                    <w:noProof/>
                                    <w:color w:val="FF0000"/>
                                    <w:sz w:val="24"/>
                                  </w:rPr>
                                </w:pPr>
                                <w:r w:rsidRPr="005D4128">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DF4BA6" id="_x0000_t202" coordsize="21600,21600" o:spt="202" path="m,l,21600r21600,l21600,xe">
                    <v:stroke joinstyle="miter"/>
                    <v:path gradientshapeok="t" o:connecttype="rect"/>
                  </v:shapetype>
                  <v:shape id="Text Box 6" o:spid="_x0000_s1031" type="#_x0000_t202" alt="OFFICIAL" style="position:absolute;margin-left:0;margin-top:0;width:43.45pt;height:29.65pt;z-index:2516807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2Fv7sDgIAAB0E&#10;AAAOAAAAAAAAAAAAAAAAAC4CAABkcnMvZTJvRG9jLnhtbFBLAQItABQABgAIAAAAIQDDiR132gAA&#10;AAMBAAAPAAAAAAAAAAAAAAAAAGgEAABkcnMvZG93bnJldi54bWxQSwUGAAAAAAQABADzAAAAbwUA&#10;AAAA&#10;" filled="f" stroked="f">
                    <v:fill o:detectmouseclick="t"/>
                    <v:textbox style="mso-fit-shape-to-text:t" inset="0,15pt,0,0">
                      <w:txbxContent>
                        <w:p w14:paraId="1B427E16" w14:textId="60EBD93F" w:rsidR="005D4128" w:rsidRPr="005D4128" w:rsidRDefault="005D4128" w:rsidP="005D4128">
                          <w:pPr>
                            <w:spacing w:after="0"/>
                            <w:rPr>
                              <w:rFonts w:ascii="Calibri" w:eastAsia="Calibri" w:hAnsi="Calibri" w:cs="Calibri"/>
                              <w:noProof/>
                              <w:color w:val="FF0000"/>
                              <w:sz w:val="24"/>
                            </w:rPr>
                          </w:pPr>
                          <w:r w:rsidRPr="005D4128">
                            <w:rPr>
                              <w:rFonts w:ascii="Calibri" w:eastAsia="Calibri" w:hAnsi="Calibri" w:cs="Calibri"/>
                              <w:noProof/>
                              <w:color w:val="FF0000"/>
                              <w:sz w:val="24"/>
                            </w:rPr>
                            <w:t>OFFICIAL</w:t>
                          </w:r>
                        </w:p>
                      </w:txbxContent>
                    </v:textbox>
                    <w10:wrap anchorx="page" anchory="page"/>
                  </v:shape>
                </w:pict>
              </mc:Fallback>
            </mc:AlternateContent>
          </w:r>
        </w:p>
      </w:tc>
    </w:tr>
    <w:tr w:rsidR="00971914" w14:paraId="1D1162CE" w14:textId="77777777" w:rsidTr="000C1B44">
      <w:tc>
        <w:tcPr>
          <w:tcW w:w="7678" w:type="dxa"/>
        </w:tcPr>
        <w:p w14:paraId="2644161F" w14:textId="77777777" w:rsidR="00971914" w:rsidRDefault="00971914" w:rsidP="00971914">
          <w:pPr>
            <w:pStyle w:val="GridTable31"/>
          </w:pPr>
          <w:r>
            <w:t xml:space="preserve">Contents </w:t>
          </w:r>
          <w:r w:rsidRPr="00915B1C">
            <w:rPr>
              <w:b w:val="0"/>
              <w:spacing w:val="0"/>
              <w:sz w:val="28"/>
              <w:szCs w:val="28"/>
            </w:rPr>
            <w:t>(Continued)</w:t>
          </w:r>
        </w:p>
      </w:tc>
    </w:tr>
    <w:tr w:rsidR="00971914" w14:paraId="398004D0" w14:textId="77777777" w:rsidTr="000C1B44">
      <w:trPr>
        <w:trHeight w:val="1220"/>
      </w:trPr>
      <w:tc>
        <w:tcPr>
          <w:tcW w:w="7678" w:type="dxa"/>
        </w:tcPr>
        <w:p w14:paraId="3F083903" w14:textId="77777777" w:rsidR="00971914" w:rsidRDefault="00971914" w:rsidP="00971914"/>
      </w:tc>
    </w:tr>
  </w:tbl>
  <w:p w14:paraId="7F45841D" w14:textId="77777777" w:rsidR="00971914" w:rsidRDefault="00971914" w:rsidP="0097191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678" w:type="dxa"/>
      <w:tblLayout w:type="fixed"/>
      <w:tblCellMar>
        <w:left w:w="0" w:type="dxa"/>
        <w:right w:w="0" w:type="dxa"/>
      </w:tblCellMar>
      <w:tblLook w:val="01E0" w:firstRow="1" w:lastRow="1" w:firstColumn="1" w:lastColumn="1" w:noHBand="0" w:noVBand="0"/>
    </w:tblPr>
    <w:tblGrid>
      <w:gridCol w:w="7678"/>
    </w:tblGrid>
    <w:tr w:rsidR="00971914" w14:paraId="54E9BF7A" w14:textId="77777777" w:rsidTr="000C1B44">
      <w:trPr>
        <w:trHeight w:hRule="exact" w:val="988"/>
      </w:trPr>
      <w:tc>
        <w:tcPr>
          <w:tcW w:w="7678" w:type="dxa"/>
        </w:tcPr>
        <w:p w14:paraId="3E30102F" w14:textId="1F742F86" w:rsidR="00971914" w:rsidRDefault="005D4128" w:rsidP="00971914">
          <w:pPr>
            <w:pStyle w:val="Header"/>
          </w:pPr>
          <w:r>
            <w:rPr>
              <w:noProof/>
            </w:rPr>
            <mc:AlternateContent>
              <mc:Choice Requires="wps">
                <w:drawing>
                  <wp:anchor distT="0" distB="0" distL="0" distR="0" simplePos="0" relativeHeight="251681792" behindDoc="0" locked="0" layoutInCell="1" allowOverlap="1" wp14:anchorId="474FDDDA" wp14:editId="25DCD853">
                    <wp:simplePos x="635" y="635"/>
                    <wp:positionH relativeFrom="page">
                      <wp:align>center</wp:align>
                    </wp:positionH>
                    <wp:positionV relativeFrom="page">
                      <wp:align>top</wp:align>
                    </wp:positionV>
                    <wp:extent cx="551815" cy="376555"/>
                    <wp:effectExtent l="0" t="0" r="635" b="4445"/>
                    <wp:wrapNone/>
                    <wp:docPr id="657727023"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5130B59" w14:textId="16A70AAF" w:rsidR="005D4128" w:rsidRPr="005D4128" w:rsidRDefault="005D4128" w:rsidP="005D4128">
                                <w:pPr>
                                  <w:spacing w:after="0"/>
                                  <w:rPr>
                                    <w:rFonts w:ascii="Calibri" w:eastAsia="Calibri" w:hAnsi="Calibri" w:cs="Calibri"/>
                                    <w:noProof/>
                                    <w:color w:val="FF0000"/>
                                    <w:sz w:val="24"/>
                                  </w:rPr>
                                </w:pPr>
                                <w:r w:rsidRPr="005D4128">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4FDDDA" id="_x0000_t202" coordsize="21600,21600" o:spt="202" path="m,l,21600r21600,l21600,xe">
                    <v:stroke joinstyle="miter"/>
                    <v:path gradientshapeok="t" o:connecttype="rect"/>
                  </v:shapetype>
                  <v:shape id="Text Box 7" o:spid="_x0000_s1032" type="#_x0000_t202" alt="OFFICIAL" style="position:absolute;margin-left:0;margin-top:0;width:43.45pt;height:29.65pt;z-index:2516817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tAsDgIAAB0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dg95+m9rfQHHEqB+PCveWrDmuvmQ9PzOGGcRBU&#10;bXjEQyroawoni5IW3M+/+WM+Eo9RSnpUTE0NSpoS9d3gQqK4klF8ycscb25ybyfD7PUdoA4LfBKW&#10;JzPmBTWZ0oF+QT0vYyEMMcOxXE3DZN6FUbr4HrhYLlMS6siysDYbyyN05CuS+Ty8MGdPjAdc1QNM&#10;cmLVG+LH3Pint8t9QPrTViK3I5EnylGDaa+n9xJF/vqesi6vevEL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rFtAsDgIAAB0E&#10;AAAOAAAAAAAAAAAAAAAAAC4CAABkcnMvZTJvRG9jLnhtbFBLAQItABQABgAIAAAAIQDDiR132gAA&#10;AAMBAAAPAAAAAAAAAAAAAAAAAGgEAABkcnMvZG93bnJldi54bWxQSwUGAAAAAAQABADzAAAAbwUA&#10;AAAA&#10;" filled="f" stroked="f">
                    <v:fill o:detectmouseclick="t"/>
                    <v:textbox style="mso-fit-shape-to-text:t" inset="0,15pt,0,0">
                      <w:txbxContent>
                        <w:p w14:paraId="15130B59" w14:textId="16A70AAF" w:rsidR="005D4128" w:rsidRPr="005D4128" w:rsidRDefault="005D4128" w:rsidP="005D4128">
                          <w:pPr>
                            <w:spacing w:after="0"/>
                            <w:rPr>
                              <w:rFonts w:ascii="Calibri" w:eastAsia="Calibri" w:hAnsi="Calibri" w:cs="Calibri"/>
                              <w:noProof/>
                              <w:color w:val="FF0000"/>
                              <w:sz w:val="24"/>
                            </w:rPr>
                          </w:pPr>
                          <w:r w:rsidRPr="005D4128">
                            <w:rPr>
                              <w:rFonts w:ascii="Calibri" w:eastAsia="Calibri" w:hAnsi="Calibri" w:cs="Calibri"/>
                              <w:noProof/>
                              <w:color w:val="FF0000"/>
                              <w:sz w:val="24"/>
                            </w:rPr>
                            <w:t>OFFICIAL</w:t>
                          </w:r>
                        </w:p>
                      </w:txbxContent>
                    </v:textbox>
                    <w10:wrap anchorx="page" anchory="page"/>
                  </v:shape>
                </w:pict>
              </mc:Fallback>
            </mc:AlternateContent>
          </w:r>
        </w:p>
      </w:tc>
    </w:tr>
    <w:tr w:rsidR="00971914" w14:paraId="5542AD2F" w14:textId="77777777" w:rsidTr="000C1B44">
      <w:tc>
        <w:tcPr>
          <w:tcW w:w="7678" w:type="dxa"/>
        </w:tcPr>
        <w:p w14:paraId="26639472" w14:textId="77777777" w:rsidR="00971914" w:rsidRDefault="00971914" w:rsidP="00971914">
          <w:pPr>
            <w:pStyle w:val="GridTable31"/>
          </w:pPr>
          <w:r>
            <w:t xml:space="preserve">Contents </w:t>
          </w:r>
          <w:r w:rsidRPr="00915B1C">
            <w:rPr>
              <w:b w:val="0"/>
              <w:spacing w:val="0"/>
              <w:sz w:val="28"/>
              <w:szCs w:val="28"/>
            </w:rPr>
            <w:t>(Continued)</w:t>
          </w:r>
        </w:p>
      </w:tc>
    </w:tr>
    <w:tr w:rsidR="00971914" w14:paraId="23C1C6C4" w14:textId="77777777" w:rsidTr="000C1B44">
      <w:trPr>
        <w:trHeight w:val="1220"/>
      </w:trPr>
      <w:tc>
        <w:tcPr>
          <w:tcW w:w="7678" w:type="dxa"/>
        </w:tcPr>
        <w:p w14:paraId="79FAC0C2" w14:textId="77777777" w:rsidR="00971914" w:rsidRDefault="00971914" w:rsidP="00971914"/>
      </w:tc>
    </w:tr>
  </w:tbl>
  <w:p w14:paraId="5BF32372" w14:textId="77777777" w:rsidR="00C053A1" w:rsidRPr="00A5474E" w:rsidRDefault="00C053A1" w:rsidP="00A5474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50F0E" w14:textId="764512D9" w:rsidR="00C053A1" w:rsidRDefault="00C053A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17BD9" w14:textId="2A075498" w:rsidR="00C053A1" w:rsidRDefault="00C05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75F22F60"/>
    <w:lvl w:ilvl="0">
      <w:start w:val="1"/>
      <w:numFmt w:val="lowerRoman"/>
      <w:pStyle w:val="ListNumber2"/>
      <w:lvlText w:val="%1."/>
      <w:lvlJc w:val="right"/>
      <w:pPr>
        <w:ind w:left="717" w:hanging="360"/>
      </w:pPr>
      <w:rPr>
        <w:rFonts w:hint="default"/>
      </w:rPr>
    </w:lvl>
  </w:abstractNum>
  <w:abstractNum w:abstractNumId="1" w15:restartNumberingAfterBreak="0">
    <w:nsid w:val="FFFFFF83"/>
    <w:multiLevelType w:val="singleLevel"/>
    <w:tmpl w:val="909E78BC"/>
    <w:lvl w:ilvl="0">
      <w:start w:val="1"/>
      <w:numFmt w:val="bullet"/>
      <w:pStyle w:val="ListBullet2"/>
      <w:lvlText w:val="&gt;"/>
      <w:lvlJc w:val="left"/>
      <w:pPr>
        <w:tabs>
          <w:tab w:val="num" w:pos="845"/>
        </w:tabs>
        <w:ind w:left="845" w:hanging="544"/>
      </w:pPr>
      <w:rPr>
        <w:rFonts w:ascii="HelveticaNeueLT Std Lt" w:hAnsi="HelveticaNeueLT Std Lt" w:hint="default"/>
        <w:sz w:val="20"/>
      </w:rPr>
    </w:lvl>
  </w:abstractNum>
  <w:abstractNum w:abstractNumId="2" w15:restartNumberingAfterBreak="0">
    <w:nsid w:val="FFFFFF88"/>
    <w:multiLevelType w:val="singleLevel"/>
    <w:tmpl w:val="93C0CEB6"/>
    <w:lvl w:ilvl="0">
      <w:start w:val="1"/>
      <w:numFmt w:val="decimal"/>
      <w:pStyle w:val="ListNumber"/>
      <w:lvlText w:val="%1."/>
      <w:lvlJc w:val="left"/>
      <w:pPr>
        <w:ind w:left="360" w:hanging="360"/>
      </w:pPr>
      <w:rPr>
        <w:rFonts w:hint="default"/>
        <w:b w:val="0"/>
        <w:bCs/>
        <w:caps/>
        <w:sz w:val="22"/>
        <w:szCs w:val="28"/>
      </w:rPr>
    </w:lvl>
  </w:abstractNum>
  <w:abstractNum w:abstractNumId="3" w15:restartNumberingAfterBreak="0">
    <w:nsid w:val="FFFFFF89"/>
    <w:multiLevelType w:val="singleLevel"/>
    <w:tmpl w:val="E552FEBA"/>
    <w:lvl w:ilvl="0">
      <w:start w:val="1"/>
      <w:numFmt w:val="bullet"/>
      <w:pStyle w:val="ListBullet"/>
      <w:lvlText w:val="&gt;"/>
      <w:lvlJc w:val="left"/>
      <w:pPr>
        <w:tabs>
          <w:tab w:val="num" w:pos="295"/>
        </w:tabs>
        <w:ind w:left="295" w:hanging="295"/>
      </w:pPr>
      <w:rPr>
        <w:rFonts w:ascii="HelveticaNeueLT Std Lt" w:hAnsi="HelveticaNeueLT Std Lt" w:hint="default"/>
        <w:sz w:val="20"/>
      </w:rPr>
    </w:lvl>
  </w:abstractNum>
  <w:abstractNum w:abstractNumId="4" w15:restartNumberingAfterBreak="0">
    <w:nsid w:val="087C268C"/>
    <w:multiLevelType w:val="hybridMultilevel"/>
    <w:tmpl w:val="E0A6CA9A"/>
    <w:lvl w:ilvl="0" w:tplc="44EEC084">
      <w:start w:val="1"/>
      <w:numFmt w:val="bullet"/>
      <w:lvlText w:val="&gt;"/>
      <w:lvlJc w:val="left"/>
      <w:pPr>
        <w:ind w:left="720" w:hanging="360"/>
      </w:pPr>
      <w:rPr>
        <w:rFonts w:ascii="HelveticaNeueLT Std" w:hAnsi="HelveticaNeueLT Std"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AD521D"/>
    <w:multiLevelType w:val="hybridMultilevel"/>
    <w:tmpl w:val="B108FD84"/>
    <w:lvl w:ilvl="0" w:tplc="DD00C67E">
      <w:start w:val="1"/>
      <w:numFmt w:val="bullet"/>
      <w:pStyle w:val="Bulletlevel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 w15:restartNumberingAfterBreak="0">
    <w:nsid w:val="2B116968"/>
    <w:multiLevelType w:val="hybridMultilevel"/>
    <w:tmpl w:val="9092997A"/>
    <w:lvl w:ilvl="0" w:tplc="46801C8C">
      <w:start w:val="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E301DD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8" w15:restartNumberingAfterBreak="0">
    <w:nsid w:val="301301BE"/>
    <w:multiLevelType w:val="hybridMultilevel"/>
    <w:tmpl w:val="678CFDBC"/>
    <w:lvl w:ilvl="0" w:tplc="0C09000B">
      <w:numFmt w:val="bullet"/>
      <w:lvlText w:val=""/>
      <w:lvlJc w:val="left"/>
      <w:pPr>
        <w:ind w:left="720" w:hanging="360"/>
      </w:pPr>
      <w:rPr>
        <w:rFonts w:ascii="Wingdings" w:eastAsia="Times New Roman"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435097D"/>
    <w:multiLevelType w:val="hybridMultilevel"/>
    <w:tmpl w:val="7326FCDC"/>
    <w:lvl w:ilvl="0" w:tplc="8DFEE398">
      <w:start w:val="1"/>
      <w:numFmt w:val="bullet"/>
      <w:pStyle w:val="Bulletlevel2las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0" w15:restartNumberingAfterBreak="0">
    <w:nsid w:val="382231CC"/>
    <w:multiLevelType w:val="hybridMultilevel"/>
    <w:tmpl w:val="E18A12B2"/>
    <w:lvl w:ilvl="0" w:tplc="0C09000B">
      <w:numFmt w:val="bullet"/>
      <w:lvlText w:val=""/>
      <w:lvlJc w:val="left"/>
      <w:pPr>
        <w:ind w:left="720" w:hanging="360"/>
      </w:pPr>
      <w:rPr>
        <w:rFonts w:ascii="Wingdings" w:eastAsia="Times New Roman"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5AA21F0"/>
    <w:multiLevelType w:val="hybridMultilevel"/>
    <w:tmpl w:val="9B5CB936"/>
    <w:lvl w:ilvl="0" w:tplc="CCA08FFA">
      <w:start w:val="1"/>
      <w:numFmt w:val="decimal"/>
      <w:pStyle w:val="ACMATableHeader"/>
      <w:lvlText w:val="Table %1:"/>
      <w:lvlJc w:val="left"/>
      <w:pPr>
        <w:tabs>
          <w:tab w:val="num" w:pos="964"/>
        </w:tabs>
        <w:ind w:left="964" w:hanging="9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0124D7"/>
    <w:multiLevelType w:val="hybridMultilevel"/>
    <w:tmpl w:val="02C0BC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1C51091"/>
    <w:multiLevelType w:val="hybridMultilevel"/>
    <w:tmpl w:val="53463852"/>
    <w:lvl w:ilvl="0" w:tplc="0C090001">
      <w:numFmt w:val="bullet"/>
      <w:lvlText w:val=""/>
      <w:lvlJc w:val="left"/>
      <w:pPr>
        <w:ind w:left="1212" w:hanging="360"/>
      </w:pPr>
      <w:rPr>
        <w:rFonts w:ascii="Symbol" w:eastAsia="Times New Roman" w:hAnsi="Symbol" w:cs="Times New Roman" w:hint="default"/>
      </w:rPr>
    </w:lvl>
    <w:lvl w:ilvl="1" w:tplc="0C090003" w:tentative="1">
      <w:start w:val="1"/>
      <w:numFmt w:val="bullet"/>
      <w:lvlText w:val="o"/>
      <w:lvlJc w:val="left"/>
      <w:pPr>
        <w:ind w:left="1932" w:hanging="360"/>
      </w:pPr>
      <w:rPr>
        <w:rFonts w:ascii="Courier New" w:hAnsi="Courier New" w:cs="Courier New" w:hint="default"/>
      </w:rPr>
    </w:lvl>
    <w:lvl w:ilvl="2" w:tplc="0C090005" w:tentative="1">
      <w:start w:val="1"/>
      <w:numFmt w:val="bullet"/>
      <w:lvlText w:val=""/>
      <w:lvlJc w:val="left"/>
      <w:pPr>
        <w:ind w:left="2652" w:hanging="360"/>
      </w:pPr>
      <w:rPr>
        <w:rFonts w:ascii="Wingdings" w:hAnsi="Wingdings" w:hint="default"/>
      </w:rPr>
    </w:lvl>
    <w:lvl w:ilvl="3" w:tplc="0C090001" w:tentative="1">
      <w:start w:val="1"/>
      <w:numFmt w:val="bullet"/>
      <w:lvlText w:val=""/>
      <w:lvlJc w:val="left"/>
      <w:pPr>
        <w:ind w:left="3372" w:hanging="360"/>
      </w:pPr>
      <w:rPr>
        <w:rFonts w:ascii="Symbol" w:hAnsi="Symbol" w:hint="default"/>
      </w:rPr>
    </w:lvl>
    <w:lvl w:ilvl="4" w:tplc="0C090003" w:tentative="1">
      <w:start w:val="1"/>
      <w:numFmt w:val="bullet"/>
      <w:lvlText w:val="o"/>
      <w:lvlJc w:val="left"/>
      <w:pPr>
        <w:ind w:left="4092" w:hanging="360"/>
      </w:pPr>
      <w:rPr>
        <w:rFonts w:ascii="Courier New" w:hAnsi="Courier New" w:cs="Courier New" w:hint="default"/>
      </w:rPr>
    </w:lvl>
    <w:lvl w:ilvl="5" w:tplc="0C090005" w:tentative="1">
      <w:start w:val="1"/>
      <w:numFmt w:val="bullet"/>
      <w:lvlText w:val=""/>
      <w:lvlJc w:val="left"/>
      <w:pPr>
        <w:ind w:left="4812" w:hanging="360"/>
      </w:pPr>
      <w:rPr>
        <w:rFonts w:ascii="Wingdings" w:hAnsi="Wingdings" w:hint="default"/>
      </w:rPr>
    </w:lvl>
    <w:lvl w:ilvl="6" w:tplc="0C090001" w:tentative="1">
      <w:start w:val="1"/>
      <w:numFmt w:val="bullet"/>
      <w:lvlText w:val=""/>
      <w:lvlJc w:val="left"/>
      <w:pPr>
        <w:ind w:left="5532" w:hanging="360"/>
      </w:pPr>
      <w:rPr>
        <w:rFonts w:ascii="Symbol" w:hAnsi="Symbol" w:hint="default"/>
      </w:rPr>
    </w:lvl>
    <w:lvl w:ilvl="7" w:tplc="0C090003" w:tentative="1">
      <w:start w:val="1"/>
      <w:numFmt w:val="bullet"/>
      <w:lvlText w:val="o"/>
      <w:lvlJc w:val="left"/>
      <w:pPr>
        <w:ind w:left="6252" w:hanging="360"/>
      </w:pPr>
      <w:rPr>
        <w:rFonts w:ascii="Courier New" w:hAnsi="Courier New" w:cs="Courier New" w:hint="default"/>
      </w:rPr>
    </w:lvl>
    <w:lvl w:ilvl="8" w:tplc="0C090005" w:tentative="1">
      <w:start w:val="1"/>
      <w:numFmt w:val="bullet"/>
      <w:lvlText w:val=""/>
      <w:lvlJc w:val="left"/>
      <w:pPr>
        <w:ind w:left="6972" w:hanging="360"/>
      </w:pPr>
      <w:rPr>
        <w:rFonts w:ascii="Wingdings" w:hAnsi="Wingdings" w:hint="default"/>
      </w:rPr>
    </w:lvl>
  </w:abstractNum>
  <w:abstractNum w:abstractNumId="14" w15:restartNumberingAfterBreak="0">
    <w:nsid w:val="63C30333"/>
    <w:multiLevelType w:val="hybridMultilevel"/>
    <w:tmpl w:val="A5FC2D54"/>
    <w:lvl w:ilvl="0" w:tplc="65EA47EC">
      <w:start w:val="1"/>
      <w:numFmt w:val="decimal"/>
      <w:pStyle w:val="Captionfigure"/>
      <w:lvlText w:val="Figure %1:"/>
      <w:lvlJc w:val="left"/>
      <w:pPr>
        <w:tabs>
          <w:tab w:val="num" w:pos="1021"/>
        </w:tabs>
        <w:ind w:left="1021" w:hanging="1021"/>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071478"/>
    <w:multiLevelType w:val="hybridMultilevel"/>
    <w:tmpl w:val="16D2B96E"/>
    <w:lvl w:ilvl="0" w:tplc="3A9CF91A">
      <w:start w:val="1"/>
      <w:numFmt w:val="decimal"/>
      <w:pStyle w:val="ACMAFigureHeader"/>
      <w:lvlText w:val="Figure %1: "/>
      <w:lvlJc w:val="left"/>
      <w:pPr>
        <w:tabs>
          <w:tab w:val="num" w:pos="1021"/>
        </w:tabs>
        <w:ind w:left="1021" w:hanging="1021"/>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757AE6"/>
    <w:multiLevelType w:val="hybridMultilevel"/>
    <w:tmpl w:val="4BAEE1E2"/>
    <w:lvl w:ilvl="0" w:tplc="0DA4929C">
      <w:start w:val="1"/>
      <w:numFmt w:val="decimal"/>
      <w:pStyle w:val="Caption"/>
      <w:lvlText w:val="Table %1:"/>
      <w:lvlJc w:val="left"/>
      <w:pPr>
        <w:tabs>
          <w:tab w:val="num" w:pos="964"/>
        </w:tabs>
        <w:ind w:left="964" w:hanging="9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2E1A81"/>
    <w:multiLevelType w:val="hybridMultilevel"/>
    <w:tmpl w:val="D8885FB6"/>
    <w:lvl w:ilvl="0" w:tplc="1026004E">
      <w:start w:val="1"/>
      <w:numFmt w:val="bullet"/>
      <w:pStyle w:val="Bulletlevel1la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8BC098E"/>
    <w:multiLevelType w:val="hybridMultilevel"/>
    <w:tmpl w:val="2E386898"/>
    <w:lvl w:ilvl="0" w:tplc="BD340FD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17521768">
    <w:abstractNumId w:val="3"/>
  </w:num>
  <w:num w:numId="2" w16cid:durableId="969045093">
    <w:abstractNumId w:val="1"/>
  </w:num>
  <w:num w:numId="3" w16cid:durableId="1714190328">
    <w:abstractNumId w:val="2"/>
  </w:num>
  <w:num w:numId="4" w16cid:durableId="1292904938">
    <w:abstractNumId w:val="0"/>
  </w:num>
  <w:num w:numId="5" w16cid:durableId="1192914688">
    <w:abstractNumId w:val="7"/>
  </w:num>
  <w:num w:numId="6" w16cid:durableId="818768531">
    <w:abstractNumId w:val="15"/>
  </w:num>
  <w:num w:numId="7" w16cid:durableId="636617026">
    <w:abstractNumId w:val="11"/>
  </w:num>
  <w:num w:numId="8" w16cid:durableId="227307242">
    <w:abstractNumId w:val="14"/>
  </w:num>
  <w:num w:numId="9" w16cid:durableId="1325478460">
    <w:abstractNumId w:val="16"/>
  </w:num>
  <w:num w:numId="10" w16cid:durableId="26877423">
    <w:abstractNumId w:val="4"/>
  </w:num>
  <w:num w:numId="11" w16cid:durableId="529613017">
    <w:abstractNumId w:val="2"/>
    <w:lvlOverride w:ilvl="0">
      <w:startOverride w:val="1"/>
    </w:lvlOverride>
  </w:num>
  <w:num w:numId="12" w16cid:durableId="506287035">
    <w:abstractNumId w:val="2"/>
    <w:lvlOverride w:ilvl="0">
      <w:startOverride w:val="1"/>
    </w:lvlOverride>
  </w:num>
  <w:num w:numId="13" w16cid:durableId="44449778">
    <w:abstractNumId w:val="18"/>
  </w:num>
  <w:num w:numId="14" w16cid:durableId="319240718">
    <w:abstractNumId w:val="17"/>
  </w:num>
  <w:num w:numId="15" w16cid:durableId="1091731347">
    <w:abstractNumId w:val="5"/>
  </w:num>
  <w:num w:numId="16" w16cid:durableId="1733236431">
    <w:abstractNumId w:val="9"/>
  </w:num>
  <w:num w:numId="17" w16cid:durableId="1480268017">
    <w:abstractNumId w:val="2"/>
    <w:lvlOverride w:ilvl="0">
      <w:startOverride w:val="1"/>
    </w:lvlOverride>
  </w:num>
  <w:num w:numId="18" w16cid:durableId="964309664">
    <w:abstractNumId w:val="2"/>
    <w:lvlOverride w:ilvl="0">
      <w:startOverride w:val="1"/>
    </w:lvlOverride>
  </w:num>
  <w:num w:numId="19" w16cid:durableId="1025836865">
    <w:abstractNumId w:val="2"/>
    <w:lvlOverride w:ilvl="0">
      <w:startOverride w:val="1"/>
    </w:lvlOverride>
  </w:num>
  <w:num w:numId="20" w16cid:durableId="1678726611">
    <w:abstractNumId w:val="2"/>
    <w:lvlOverride w:ilvl="0">
      <w:startOverride w:val="1"/>
    </w:lvlOverride>
  </w:num>
  <w:num w:numId="21" w16cid:durableId="475730963">
    <w:abstractNumId w:val="2"/>
    <w:lvlOverride w:ilvl="0">
      <w:startOverride w:val="1"/>
    </w:lvlOverride>
  </w:num>
  <w:num w:numId="22" w16cid:durableId="1304847979">
    <w:abstractNumId w:val="2"/>
    <w:lvlOverride w:ilvl="0">
      <w:startOverride w:val="1"/>
    </w:lvlOverride>
  </w:num>
  <w:num w:numId="23" w16cid:durableId="1289436331">
    <w:abstractNumId w:val="13"/>
  </w:num>
  <w:num w:numId="24" w16cid:durableId="1083721421">
    <w:abstractNumId w:val="10"/>
  </w:num>
  <w:num w:numId="25" w16cid:durableId="2053579095">
    <w:abstractNumId w:val="8"/>
  </w:num>
  <w:num w:numId="26" w16cid:durableId="1326518117">
    <w:abstractNumId w:val="12"/>
  </w:num>
  <w:num w:numId="27" w16cid:durableId="948705165">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284"/>
  <w:evenAndOddHeaders/>
  <w:drawingGridHorizontalSpacing w:val="100"/>
  <w:displayHorizontalDrawingGridEvery w:val="2"/>
  <w:characterSpacingControl w:val="doNotCompress"/>
  <w:hdrShapeDefaults>
    <o:shapedefaults v:ext="edit" spidmax="2050">
      <o:colormru v:ext="edit" colors="red,#4d4d4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431"/>
    <w:rsid w:val="000011FA"/>
    <w:rsid w:val="00001817"/>
    <w:rsid w:val="00004529"/>
    <w:rsid w:val="0000517F"/>
    <w:rsid w:val="00007452"/>
    <w:rsid w:val="00010667"/>
    <w:rsid w:val="00011385"/>
    <w:rsid w:val="000129D5"/>
    <w:rsid w:val="00012C09"/>
    <w:rsid w:val="00015AE7"/>
    <w:rsid w:val="00016116"/>
    <w:rsid w:val="00016E21"/>
    <w:rsid w:val="0001719C"/>
    <w:rsid w:val="0002224E"/>
    <w:rsid w:val="00023EA0"/>
    <w:rsid w:val="000245E5"/>
    <w:rsid w:val="000253AC"/>
    <w:rsid w:val="00026F91"/>
    <w:rsid w:val="00031BF5"/>
    <w:rsid w:val="00032BA0"/>
    <w:rsid w:val="00036F1D"/>
    <w:rsid w:val="000408E3"/>
    <w:rsid w:val="0004764C"/>
    <w:rsid w:val="00047AC8"/>
    <w:rsid w:val="0005011A"/>
    <w:rsid w:val="0005045A"/>
    <w:rsid w:val="00051704"/>
    <w:rsid w:val="00051C1E"/>
    <w:rsid w:val="000539F9"/>
    <w:rsid w:val="00054C27"/>
    <w:rsid w:val="00055B48"/>
    <w:rsid w:val="00055EC3"/>
    <w:rsid w:val="00055EE2"/>
    <w:rsid w:val="000563CE"/>
    <w:rsid w:val="00056E63"/>
    <w:rsid w:val="00057D0B"/>
    <w:rsid w:val="00057F5F"/>
    <w:rsid w:val="000612F6"/>
    <w:rsid w:val="000613C8"/>
    <w:rsid w:val="00063504"/>
    <w:rsid w:val="000659B6"/>
    <w:rsid w:val="00066811"/>
    <w:rsid w:val="0006686F"/>
    <w:rsid w:val="0006722A"/>
    <w:rsid w:val="0007003A"/>
    <w:rsid w:val="000700CB"/>
    <w:rsid w:val="00070D88"/>
    <w:rsid w:val="00071F96"/>
    <w:rsid w:val="000732CF"/>
    <w:rsid w:val="00073ADC"/>
    <w:rsid w:val="00075105"/>
    <w:rsid w:val="00075B96"/>
    <w:rsid w:val="000766D0"/>
    <w:rsid w:val="00076871"/>
    <w:rsid w:val="00077210"/>
    <w:rsid w:val="00077D0C"/>
    <w:rsid w:val="0008196A"/>
    <w:rsid w:val="00082A10"/>
    <w:rsid w:val="00090148"/>
    <w:rsid w:val="000915ED"/>
    <w:rsid w:val="0009209D"/>
    <w:rsid w:val="0009463C"/>
    <w:rsid w:val="000969BD"/>
    <w:rsid w:val="000969BF"/>
    <w:rsid w:val="000971BD"/>
    <w:rsid w:val="000A0C22"/>
    <w:rsid w:val="000A0D68"/>
    <w:rsid w:val="000A1400"/>
    <w:rsid w:val="000A15C4"/>
    <w:rsid w:val="000A3C43"/>
    <w:rsid w:val="000A4099"/>
    <w:rsid w:val="000A4A51"/>
    <w:rsid w:val="000A5D2B"/>
    <w:rsid w:val="000A5F9A"/>
    <w:rsid w:val="000A72B3"/>
    <w:rsid w:val="000B4664"/>
    <w:rsid w:val="000B57CD"/>
    <w:rsid w:val="000B5DE3"/>
    <w:rsid w:val="000B69D5"/>
    <w:rsid w:val="000C0A57"/>
    <w:rsid w:val="000C1B44"/>
    <w:rsid w:val="000C230C"/>
    <w:rsid w:val="000C2C6A"/>
    <w:rsid w:val="000C408A"/>
    <w:rsid w:val="000C6AB4"/>
    <w:rsid w:val="000D51CE"/>
    <w:rsid w:val="000D51FC"/>
    <w:rsid w:val="000D71D9"/>
    <w:rsid w:val="000D76E0"/>
    <w:rsid w:val="000D7E8B"/>
    <w:rsid w:val="000E0D2E"/>
    <w:rsid w:val="000E17DA"/>
    <w:rsid w:val="000E32D8"/>
    <w:rsid w:val="000E4449"/>
    <w:rsid w:val="000E6097"/>
    <w:rsid w:val="000F3F0D"/>
    <w:rsid w:val="000F7F27"/>
    <w:rsid w:val="00100903"/>
    <w:rsid w:val="0010267F"/>
    <w:rsid w:val="00103829"/>
    <w:rsid w:val="00106377"/>
    <w:rsid w:val="001106BC"/>
    <w:rsid w:val="00111A16"/>
    <w:rsid w:val="00111FCE"/>
    <w:rsid w:val="00113350"/>
    <w:rsid w:val="00113F84"/>
    <w:rsid w:val="00116B59"/>
    <w:rsid w:val="001177F3"/>
    <w:rsid w:val="00120566"/>
    <w:rsid w:val="00120637"/>
    <w:rsid w:val="00121646"/>
    <w:rsid w:val="001221D4"/>
    <w:rsid w:val="001222D6"/>
    <w:rsid w:val="001229A5"/>
    <w:rsid w:val="00122C4C"/>
    <w:rsid w:val="0012489B"/>
    <w:rsid w:val="00124AFC"/>
    <w:rsid w:val="00130017"/>
    <w:rsid w:val="00130F91"/>
    <w:rsid w:val="00131CC0"/>
    <w:rsid w:val="00133AB0"/>
    <w:rsid w:val="00133B74"/>
    <w:rsid w:val="001349ED"/>
    <w:rsid w:val="00134E2E"/>
    <w:rsid w:val="001355C6"/>
    <w:rsid w:val="00136644"/>
    <w:rsid w:val="00136A1F"/>
    <w:rsid w:val="00136BDA"/>
    <w:rsid w:val="00137424"/>
    <w:rsid w:val="00137FDB"/>
    <w:rsid w:val="00140318"/>
    <w:rsid w:val="00141AD9"/>
    <w:rsid w:val="00143CA1"/>
    <w:rsid w:val="001468EE"/>
    <w:rsid w:val="00146C9F"/>
    <w:rsid w:val="00146CE6"/>
    <w:rsid w:val="00151495"/>
    <w:rsid w:val="001521A4"/>
    <w:rsid w:val="00152903"/>
    <w:rsid w:val="00153FD5"/>
    <w:rsid w:val="00156020"/>
    <w:rsid w:val="0015614F"/>
    <w:rsid w:val="001577C2"/>
    <w:rsid w:val="00157C7A"/>
    <w:rsid w:val="001633C4"/>
    <w:rsid w:val="00164A9C"/>
    <w:rsid w:val="0016512F"/>
    <w:rsid w:val="001667E4"/>
    <w:rsid w:val="001704D5"/>
    <w:rsid w:val="00171591"/>
    <w:rsid w:val="00173981"/>
    <w:rsid w:val="0017469F"/>
    <w:rsid w:val="00175E61"/>
    <w:rsid w:val="001765C2"/>
    <w:rsid w:val="00176BFF"/>
    <w:rsid w:val="0017719D"/>
    <w:rsid w:val="001777D4"/>
    <w:rsid w:val="00181180"/>
    <w:rsid w:val="00183FD7"/>
    <w:rsid w:val="00184465"/>
    <w:rsid w:val="0018481D"/>
    <w:rsid w:val="00184C0F"/>
    <w:rsid w:val="0018546A"/>
    <w:rsid w:val="00185861"/>
    <w:rsid w:val="00185CAB"/>
    <w:rsid w:val="001875B7"/>
    <w:rsid w:val="00187CB3"/>
    <w:rsid w:val="0019050A"/>
    <w:rsid w:val="001910D4"/>
    <w:rsid w:val="00194033"/>
    <w:rsid w:val="00194A4B"/>
    <w:rsid w:val="001976E3"/>
    <w:rsid w:val="001A0971"/>
    <w:rsid w:val="001A44EC"/>
    <w:rsid w:val="001A6A5F"/>
    <w:rsid w:val="001B28D9"/>
    <w:rsid w:val="001B58AA"/>
    <w:rsid w:val="001B7E48"/>
    <w:rsid w:val="001C04D2"/>
    <w:rsid w:val="001C0C46"/>
    <w:rsid w:val="001C17CE"/>
    <w:rsid w:val="001C290F"/>
    <w:rsid w:val="001C2BE5"/>
    <w:rsid w:val="001C3215"/>
    <w:rsid w:val="001C36CA"/>
    <w:rsid w:val="001C44D1"/>
    <w:rsid w:val="001C6015"/>
    <w:rsid w:val="001C6AEE"/>
    <w:rsid w:val="001C7630"/>
    <w:rsid w:val="001D0E99"/>
    <w:rsid w:val="001D2B71"/>
    <w:rsid w:val="001D407E"/>
    <w:rsid w:val="001D4DD0"/>
    <w:rsid w:val="001D6D15"/>
    <w:rsid w:val="001E58AF"/>
    <w:rsid w:val="001E78A9"/>
    <w:rsid w:val="001F17B9"/>
    <w:rsid w:val="001F1DA2"/>
    <w:rsid w:val="001F2363"/>
    <w:rsid w:val="001F40E0"/>
    <w:rsid w:val="001F4EDD"/>
    <w:rsid w:val="001F7558"/>
    <w:rsid w:val="0020236A"/>
    <w:rsid w:val="00204663"/>
    <w:rsid w:val="002053F4"/>
    <w:rsid w:val="00205B57"/>
    <w:rsid w:val="00207033"/>
    <w:rsid w:val="00211E28"/>
    <w:rsid w:val="002120C7"/>
    <w:rsid w:val="002157E0"/>
    <w:rsid w:val="00216227"/>
    <w:rsid w:val="00216A57"/>
    <w:rsid w:val="00217448"/>
    <w:rsid w:val="00217496"/>
    <w:rsid w:val="00217753"/>
    <w:rsid w:val="00222989"/>
    <w:rsid w:val="00222F84"/>
    <w:rsid w:val="0022334F"/>
    <w:rsid w:val="002250AA"/>
    <w:rsid w:val="00226819"/>
    <w:rsid w:val="00230603"/>
    <w:rsid w:val="002309E1"/>
    <w:rsid w:val="002310BB"/>
    <w:rsid w:val="00231F36"/>
    <w:rsid w:val="00233101"/>
    <w:rsid w:val="0023374A"/>
    <w:rsid w:val="00233817"/>
    <w:rsid w:val="00234617"/>
    <w:rsid w:val="00235772"/>
    <w:rsid w:val="00235D3F"/>
    <w:rsid w:val="002367FF"/>
    <w:rsid w:val="00237DF6"/>
    <w:rsid w:val="00240CE9"/>
    <w:rsid w:val="00241BDE"/>
    <w:rsid w:val="00242B60"/>
    <w:rsid w:val="002434BA"/>
    <w:rsid w:val="00244317"/>
    <w:rsid w:val="00246089"/>
    <w:rsid w:val="00246093"/>
    <w:rsid w:val="00246702"/>
    <w:rsid w:val="00247C59"/>
    <w:rsid w:val="00247F2E"/>
    <w:rsid w:val="00250252"/>
    <w:rsid w:val="002505AA"/>
    <w:rsid w:val="00250ADC"/>
    <w:rsid w:val="00250B07"/>
    <w:rsid w:val="0025527C"/>
    <w:rsid w:val="00255A19"/>
    <w:rsid w:val="00257553"/>
    <w:rsid w:val="002603BD"/>
    <w:rsid w:val="00260CF7"/>
    <w:rsid w:val="00260FB2"/>
    <w:rsid w:val="00262128"/>
    <w:rsid w:val="00264414"/>
    <w:rsid w:val="0027165D"/>
    <w:rsid w:val="00273CEB"/>
    <w:rsid w:val="002748FB"/>
    <w:rsid w:val="00274EDC"/>
    <w:rsid w:val="00275F21"/>
    <w:rsid w:val="00276011"/>
    <w:rsid w:val="002762B1"/>
    <w:rsid w:val="002774AA"/>
    <w:rsid w:val="0027783F"/>
    <w:rsid w:val="00281C89"/>
    <w:rsid w:val="0028282F"/>
    <w:rsid w:val="00284A74"/>
    <w:rsid w:val="00286435"/>
    <w:rsid w:val="002936C5"/>
    <w:rsid w:val="00293893"/>
    <w:rsid w:val="00295224"/>
    <w:rsid w:val="0029593B"/>
    <w:rsid w:val="00297FC5"/>
    <w:rsid w:val="002A01AF"/>
    <w:rsid w:val="002A0417"/>
    <w:rsid w:val="002A0782"/>
    <w:rsid w:val="002A16D8"/>
    <w:rsid w:val="002A1BC8"/>
    <w:rsid w:val="002A3EF2"/>
    <w:rsid w:val="002B00F2"/>
    <w:rsid w:val="002B07C2"/>
    <w:rsid w:val="002B0DED"/>
    <w:rsid w:val="002B19A2"/>
    <w:rsid w:val="002B381A"/>
    <w:rsid w:val="002B4FCC"/>
    <w:rsid w:val="002B5892"/>
    <w:rsid w:val="002B7408"/>
    <w:rsid w:val="002B7CFD"/>
    <w:rsid w:val="002C0BBC"/>
    <w:rsid w:val="002C210F"/>
    <w:rsid w:val="002C411F"/>
    <w:rsid w:val="002C7324"/>
    <w:rsid w:val="002D1CB0"/>
    <w:rsid w:val="002D2EB4"/>
    <w:rsid w:val="002D3600"/>
    <w:rsid w:val="002E3B19"/>
    <w:rsid w:val="002E4DDC"/>
    <w:rsid w:val="002E4FF3"/>
    <w:rsid w:val="002E6617"/>
    <w:rsid w:val="002F1B7D"/>
    <w:rsid w:val="002F4B98"/>
    <w:rsid w:val="002F54C0"/>
    <w:rsid w:val="002F73B4"/>
    <w:rsid w:val="00300704"/>
    <w:rsid w:val="003013B9"/>
    <w:rsid w:val="003015E1"/>
    <w:rsid w:val="00302480"/>
    <w:rsid w:val="00302758"/>
    <w:rsid w:val="00305AD6"/>
    <w:rsid w:val="00306491"/>
    <w:rsid w:val="003078AB"/>
    <w:rsid w:val="00310C1F"/>
    <w:rsid w:val="003125DD"/>
    <w:rsid w:val="00312B03"/>
    <w:rsid w:val="003146C0"/>
    <w:rsid w:val="00315CDD"/>
    <w:rsid w:val="003165E6"/>
    <w:rsid w:val="00316662"/>
    <w:rsid w:val="003215B5"/>
    <w:rsid w:val="003221CF"/>
    <w:rsid w:val="003233ED"/>
    <w:rsid w:val="00324C21"/>
    <w:rsid w:val="00324D9F"/>
    <w:rsid w:val="003273B0"/>
    <w:rsid w:val="00327948"/>
    <w:rsid w:val="0033000F"/>
    <w:rsid w:val="00331147"/>
    <w:rsid w:val="00331B91"/>
    <w:rsid w:val="00332011"/>
    <w:rsid w:val="00332194"/>
    <w:rsid w:val="00332518"/>
    <w:rsid w:val="00332925"/>
    <w:rsid w:val="003332ED"/>
    <w:rsid w:val="003343E8"/>
    <w:rsid w:val="003368DC"/>
    <w:rsid w:val="00337194"/>
    <w:rsid w:val="003377AF"/>
    <w:rsid w:val="003415BF"/>
    <w:rsid w:val="00342E8B"/>
    <w:rsid w:val="003436E4"/>
    <w:rsid w:val="00344ED2"/>
    <w:rsid w:val="00345927"/>
    <w:rsid w:val="00350584"/>
    <w:rsid w:val="003507E9"/>
    <w:rsid w:val="00350CBA"/>
    <w:rsid w:val="00351857"/>
    <w:rsid w:val="003545E8"/>
    <w:rsid w:val="0035466C"/>
    <w:rsid w:val="00355CB6"/>
    <w:rsid w:val="003565B6"/>
    <w:rsid w:val="003610E1"/>
    <w:rsid w:val="003637B1"/>
    <w:rsid w:val="00363F55"/>
    <w:rsid w:val="00364AD8"/>
    <w:rsid w:val="003671BE"/>
    <w:rsid w:val="00370771"/>
    <w:rsid w:val="00371C97"/>
    <w:rsid w:val="00372485"/>
    <w:rsid w:val="00373200"/>
    <w:rsid w:val="00375EF5"/>
    <w:rsid w:val="003762DE"/>
    <w:rsid w:val="003767A5"/>
    <w:rsid w:val="00376C6A"/>
    <w:rsid w:val="00381D15"/>
    <w:rsid w:val="003837AD"/>
    <w:rsid w:val="00383AA2"/>
    <w:rsid w:val="00385254"/>
    <w:rsid w:val="003854D1"/>
    <w:rsid w:val="00385B22"/>
    <w:rsid w:val="00386FBD"/>
    <w:rsid w:val="003918AA"/>
    <w:rsid w:val="00393C79"/>
    <w:rsid w:val="0039622C"/>
    <w:rsid w:val="00396CA0"/>
    <w:rsid w:val="003A04DB"/>
    <w:rsid w:val="003A4437"/>
    <w:rsid w:val="003A5F5B"/>
    <w:rsid w:val="003A6AA6"/>
    <w:rsid w:val="003A789A"/>
    <w:rsid w:val="003B12EC"/>
    <w:rsid w:val="003B5465"/>
    <w:rsid w:val="003C1248"/>
    <w:rsid w:val="003C4359"/>
    <w:rsid w:val="003C4631"/>
    <w:rsid w:val="003C7268"/>
    <w:rsid w:val="003C7318"/>
    <w:rsid w:val="003C77E0"/>
    <w:rsid w:val="003D17D7"/>
    <w:rsid w:val="003D182D"/>
    <w:rsid w:val="003D2678"/>
    <w:rsid w:val="003D4D39"/>
    <w:rsid w:val="003D67BB"/>
    <w:rsid w:val="003D71A3"/>
    <w:rsid w:val="003D71E4"/>
    <w:rsid w:val="003E01E3"/>
    <w:rsid w:val="003E2B8A"/>
    <w:rsid w:val="003E3968"/>
    <w:rsid w:val="003E4A7A"/>
    <w:rsid w:val="003E7439"/>
    <w:rsid w:val="003F10EE"/>
    <w:rsid w:val="003F1604"/>
    <w:rsid w:val="003F16F6"/>
    <w:rsid w:val="003F1A37"/>
    <w:rsid w:val="003F1B47"/>
    <w:rsid w:val="003F4DC7"/>
    <w:rsid w:val="003F5235"/>
    <w:rsid w:val="003F5833"/>
    <w:rsid w:val="003F595C"/>
    <w:rsid w:val="003F5E76"/>
    <w:rsid w:val="003F6D28"/>
    <w:rsid w:val="004027E4"/>
    <w:rsid w:val="0040410E"/>
    <w:rsid w:val="00405AA8"/>
    <w:rsid w:val="0041071D"/>
    <w:rsid w:val="00411A07"/>
    <w:rsid w:val="00414AFC"/>
    <w:rsid w:val="004151A7"/>
    <w:rsid w:val="00415310"/>
    <w:rsid w:val="0041674D"/>
    <w:rsid w:val="00421709"/>
    <w:rsid w:val="00423763"/>
    <w:rsid w:val="00423BFE"/>
    <w:rsid w:val="004253F8"/>
    <w:rsid w:val="004267B6"/>
    <w:rsid w:val="00426EC9"/>
    <w:rsid w:val="0042762F"/>
    <w:rsid w:val="004276FD"/>
    <w:rsid w:val="00427DC7"/>
    <w:rsid w:val="00431613"/>
    <w:rsid w:val="00431792"/>
    <w:rsid w:val="0043297A"/>
    <w:rsid w:val="00432DCB"/>
    <w:rsid w:val="00432EB2"/>
    <w:rsid w:val="00433559"/>
    <w:rsid w:val="00434C2F"/>
    <w:rsid w:val="0043714F"/>
    <w:rsid w:val="00437F03"/>
    <w:rsid w:val="0044334D"/>
    <w:rsid w:val="004438B5"/>
    <w:rsid w:val="0044448B"/>
    <w:rsid w:val="00447037"/>
    <w:rsid w:val="004511C5"/>
    <w:rsid w:val="0045124D"/>
    <w:rsid w:val="00454596"/>
    <w:rsid w:val="00455B82"/>
    <w:rsid w:val="0045605D"/>
    <w:rsid w:val="0045648C"/>
    <w:rsid w:val="00457D4C"/>
    <w:rsid w:val="0046135B"/>
    <w:rsid w:val="00461D47"/>
    <w:rsid w:val="00462448"/>
    <w:rsid w:val="004627C1"/>
    <w:rsid w:val="004638BA"/>
    <w:rsid w:val="004718CC"/>
    <w:rsid w:val="00473D20"/>
    <w:rsid w:val="004747AE"/>
    <w:rsid w:val="00475B02"/>
    <w:rsid w:val="004769BD"/>
    <w:rsid w:val="00481695"/>
    <w:rsid w:val="00481A2A"/>
    <w:rsid w:val="00482653"/>
    <w:rsid w:val="0048561A"/>
    <w:rsid w:val="0048774C"/>
    <w:rsid w:val="004909D2"/>
    <w:rsid w:val="00492746"/>
    <w:rsid w:val="00495A96"/>
    <w:rsid w:val="00495BB3"/>
    <w:rsid w:val="004962DC"/>
    <w:rsid w:val="004A56BB"/>
    <w:rsid w:val="004A69A9"/>
    <w:rsid w:val="004A70D6"/>
    <w:rsid w:val="004B1751"/>
    <w:rsid w:val="004B2960"/>
    <w:rsid w:val="004B63D8"/>
    <w:rsid w:val="004C0253"/>
    <w:rsid w:val="004C33DE"/>
    <w:rsid w:val="004C59E1"/>
    <w:rsid w:val="004D0963"/>
    <w:rsid w:val="004D1782"/>
    <w:rsid w:val="004D1E5D"/>
    <w:rsid w:val="004D56FF"/>
    <w:rsid w:val="004D7C47"/>
    <w:rsid w:val="004E0AF0"/>
    <w:rsid w:val="004E106A"/>
    <w:rsid w:val="004E39D3"/>
    <w:rsid w:val="004E508A"/>
    <w:rsid w:val="004E616D"/>
    <w:rsid w:val="004E7187"/>
    <w:rsid w:val="004F0162"/>
    <w:rsid w:val="004F1BDE"/>
    <w:rsid w:val="004F2CEE"/>
    <w:rsid w:val="004F3CCB"/>
    <w:rsid w:val="004F4451"/>
    <w:rsid w:val="004F556E"/>
    <w:rsid w:val="004F591C"/>
    <w:rsid w:val="004F7968"/>
    <w:rsid w:val="004F7EB7"/>
    <w:rsid w:val="004F7F44"/>
    <w:rsid w:val="005037B4"/>
    <w:rsid w:val="005079BF"/>
    <w:rsid w:val="0051269A"/>
    <w:rsid w:val="00513102"/>
    <w:rsid w:val="00513431"/>
    <w:rsid w:val="005144FA"/>
    <w:rsid w:val="005219E7"/>
    <w:rsid w:val="00521ED4"/>
    <w:rsid w:val="00525B37"/>
    <w:rsid w:val="005268D2"/>
    <w:rsid w:val="005310A9"/>
    <w:rsid w:val="00531B9A"/>
    <w:rsid w:val="00531D15"/>
    <w:rsid w:val="00532AE8"/>
    <w:rsid w:val="0053301D"/>
    <w:rsid w:val="0053332E"/>
    <w:rsid w:val="00533C4F"/>
    <w:rsid w:val="00534838"/>
    <w:rsid w:val="00537604"/>
    <w:rsid w:val="005377C6"/>
    <w:rsid w:val="00540EDB"/>
    <w:rsid w:val="00541007"/>
    <w:rsid w:val="00541C80"/>
    <w:rsid w:val="00542377"/>
    <w:rsid w:val="005454D1"/>
    <w:rsid w:val="005476EB"/>
    <w:rsid w:val="00547746"/>
    <w:rsid w:val="00551782"/>
    <w:rsid w:val="00556BF1"/>
    <w:rsid w:val="00563E0E"/>
    <w:rsid w:val="00563EF1"/>
    <w:rsid w:val="00566AB4"/>
    <w:rsid w:val="00566F07"/>
    <w:rsid w:val="00575513"/>
    <w:rsid w:val="00575AC5"/>
    <w:rsid w:val="0057605D"/>
    <w:rsid w:val="005767AB"/>
    <w:rsid w:val="00580384"/>
    <w:rsid w:val="0058108A"/>
    <w:rsid w:val="00581347"/>
    <w:rsid w:val="00581AC9"/>
    <w:rsid w:val="005835F4"/>
    <w:rsid w:val="005849F8"/>
    <w:rsid w:val="00585A93"/>
    <w:rsid w:val="00585BA8"/>
    <w:rsid w:val="00592474"/>
    <w:rsid w:val="005938DF"/>
    <w:rsid w:val="00594D06"/>
    <w:rsid w:val="00594E9C"/>
    <w:rsid w:val="00595DE7"/>
    <w:rsid w:val="005964C7"/>
    <w:rsid w:val="005A044F"/>
    <w:rsid w:val="005A0685"/>
    <w:rsid w:val="005A099B"/>
    <w:rsid w:val="005A2D9C"/>
    <w:rsid w:val="005A55FE"/>
    <w:rsid w:val="005A62E5"/>
    <w:rsid w:val="005A6A11"/>
    <w:rsid w:val="005B1E4C"/>
    <w:rsid w:val="005B621A"/>
    <w:rsid w:val="005C4991"/>
    <w:rsid w:val="005C7981"/>
    <w:rsid w:val="005D1AFE"/>
    <w:rsid w:val="005D2502"/>
    <w:rsid w:val="005D40BB"/>
    <w:rsid w:val="005D4128"/>
    <w:rsid w:val="005D47F3"/>
    <w:rsid w:val="005D49BF"/>
    <w:rsid w:val="005D4AA5"/>
    <w:rsid w:val="005D6F4E"/>
    <w:rsid w:val="005D7C73"/>
    <w:rsid w:val="005E1833"/>
    <w:rsid w:val="005E19F0"/>
    <w:rsid w:val="005E250B"/>
    <w:rsid w:val="005E3ACD"/>
    <w:rsid w:val="005E4738"/>
    <w:rsid w:val="005E62EB"/>
    <w:rsid w:val="005E6900"/>
    <w:rsid w:val="005E6949"/>
    <w:rsid w:val="005E6E8A"/>
    <w:rsid w:val="005E7226"/>
    <w:rsid w:val="005E7A57"/>
    <w:rsid w:val="005F0EA5"/>
    <w:rsid w:val="005F24B0"/>
    <w:rsid w:val="005F357B"/>
    <w:rsid w:val="005F7B65"/>
    <w:rsid w:val="00601B57"/>
    <w:rsid w:val="00601CE3"/>
    <w:rsid w:val="006028FE"/>
    <w:rsid w:val="0060346A"/>
    <w:rsid w:val="00604315"/>
    <w:rsid w:val="00604E26"/>
    <w:rsid w:val="0060523F"/>
    <w:rsid w:val="006052CF"/>
    <w:rsid w:val="00606FEA"/>
    <w:rsid w:val="00607B8D"/>
    <w:rsid w:val="00611D99"/>
    <w:rsid w:val="00611F5C"/>
    <w:rsid w:val="006131EF"/>
    <w:rsid w:val="006140E4"/>
    <w:rsid w:val="006164AB"/>
    <w:rsid w:val="00616E09"/>
    <w:rsid w:val="006201A5"/>
    <w:rsid w:val="00622A3B"/>
    <w:rsid w:val="00622EEA"/>
    <w:rsid w:val="00623518"/>
    <w:rsid w:val="0062396C"/>
    <w:rsid w:val="00623FF9"/>
    <w:rsid w:val="00627D4E"/>
    <w:rsid w:val="0063176E"/>
    <w:rsid w:val="00632B89"/>
    <w:rsid w:val="00633466"/>
    <w:rsid w:val="0063346D"/>
    <w:rsid w:val="00634478"/>
    <w:rsid w:val="00634EF1"/>
    <w:rsid w:val="00643BBD"/>
    <w:rsid w:val="00644373"/>
    <w:rsid w:val="006445A3"/>
    <w:rsid w:val="00645915"/>
    <w:rsid w:val="006475CF"/>
    <w:rsid w:val="00650C7E"/>
    <w:rsid w:val="006519C3"/>
    <w:rsid w:val="00652B30"/>
    <w:rsid w:val="00652FF9"/>
    <w:rsid w:val="00656345"/>
    <w:rsid w:val="00656DC6"/>
    <w:rsid w:val="0065771C"/>
    <w:rsid w:val="00660EC6"/>
    <w:rsid w:val="00664110"/>
    <w:rsid w:val="00664D17"/>
    <w:rsid w:val="00666365"/>
    <w:rsid w:val="00666520"/>
    <w:rsid w:val="00667C5B"/>
    <w:rsid w:val="00667D73"/>
    <w:rsid w:val="006720A6"/>
    <w:rsid w:val="00672F4E"/>
    <w:rsid w:val="006730AE"/>
    <w:rsid w:val="00675F3B"/>
    <w:rsid w:val="006819B9"/>
    <w:rsid w:val="00682533"/>
    <w:rsid w:val="00684F1C"/>
    <w:rsid w:val="00691EB8"/>
    <w:rsid w:val="00692CDE"/>
    <w:rsid w:val="00693073"/>
    <w:rsid w:val="00693719"/>
    <w:rsid w:val="006977FF"/>
    <w:rsid w:val="006A01FA"/>
    <w:rsid w:val="006A024A"/>
    <w:rsid w:val="006A0E9E"/>
    <w:rsid w:val="006A25C7"/>
    <w:rsid w:val="006A4AAD"/>
    <w:rsid w:val="006A6DA2"/>
    <w:rsid w:val="006A7AB2"/>
    <w:rsid w:val="006B52DE"/>
    <w:rsid w:val="006B5717"/>
    <w:rsid w:val="006B582F"/>
    <w:rsid w:val="006B5EB2"/>
    <w:rsid w:val="006B6159"/>
    <w:rsid w:val="006C0CEB"/>
    <w:rsid w:val="006C1631"/>
    <w:rsid w:val="006C2E6B"/>
    <w:rsid w:val="006C3B1E"/>
    <w:rsid w:val="006C47FD"/>
    <w:rsid w:val="006C4DF2"/>
    <w:rsid w:val="006C5C19"/>
    <w:rsid w:val="006C70A0"/>
    <w:rsid w:val="006D13B4"/>
    <w:rsid w:val="006D27CB"/>
    <w:rsid w:val="006D2F08"/>
    <w:rsid w:val="006D576C"/>
    <w:rsid w:val="006D5865"/>
    <w:rsid w:val="006E2AD7"/>
    <w:rsid w:val="006E3EF6"/>
    <w:rsid w:val="006E4B1B"/>
    <w:rsid w:val="006E5445"/>
    <w:rsid w:val="006E7D93"/>
    <w:rsid w:val="006F1224"/>
    <w:rsid w:val="006F13D9"/>
    <w:rsid w:val="006F27EA"/>
    <w:rsid w:val="006F29D7"/>
    <w:rsid w:val="006F74CF"/>
    <w:rsid w:val="006F76E2"/>
    <w:rsid w:val="007029A3"/>
    <w:rsid w:val="00702EA1"/>
    <w:rsid w:val="00703722"/>
    <w:rsid w:val="00705285"/>
    <w:rsid w:val="007057E5"/>
    <w:rsid w:val="00705925"/>
    <w:rsid w:val="00706E4E"/>
    <w:rsid w:val="0070791C"/>
    <w:rsid w:val="00710185"/>
    <w:rsid w:val="00710246"/>
    <w:rsid w:val="0071113C"/>
    <w:rsid w:val="00711ACA"/>
    <w:rsid w:val="00712430"/>
    <w:rsid w:val="00712AA7"/>
    <w:rsid w:val="0071383C"/>
    <w:rsid w:val="007141A7"/>
    <w:rsid w:val="007152CD"/>
    <w:rsid w:val="00715722"/>
    <w:rsid w:val="00721032"/>
    <w:rsid w:val="00721B55"/>
    <w:rsid w:val="0072250D"/>
    <w:rsid w:val="00724B05"/>
    <w:rsid w:val="00724FAB"/>
    <w:rsid w:val="00726789"/>
    <w:rsid w:val="00726CE4"/>
    <w:rsid w:val="00730FC4"/>
    <w:rsid w:val="00731E89"/>
    <w:rsid w:val="00733498"/>
    <w:rsid w:val="00734143"/>
    <w:rsid w:val="007358D0"/>
    <w:rsid w:val="00737E47"/>
    <w:rsid w:val="00740EAC"/>
    <w:rsid w:val="00744956"/>
    <w:rsid w:val="00745A5C"/>
    <w:rsid w:val="0074605F"/>
    <w:rsid w:val="0074738D"/>
    <w:rsid w:val="00747E94"/>
    <w:rsid w:val="00751B00"/>
    <w:rsid w:val="00754C83"/>
    <w:rsid w:val="007607F7"/>
    <w:rsid w:val="00761E5C"/>
    <w:rsid w:val="00765768"/>
    <w:rsid w:val="00765DF8"/>
    <w:rsid w:val="00766749"/>
    <w:rsid w:val="0076706E"/>
    <w:rsid w:val="00767C1B"/>
    <w:rsid w:val="00770C6C"/>
    <w:rsid w:val="007714A9"/>
    <w:rsid w:val="00773272"/>
    <w:rsid w:val="00774D4C"/>
    <w:rsid w:val="00774F88"/>
    <w:rsid w:val="00774FDB"/>
    <w:rsid w:val="007775FC"/>
    <w:rsid w:val="00777BA2"/>
    <w:rsid w:val="00781408"/>
    <w:rsid w:val="00784F7F"/>
    <w:rsid w:val="00786D9F"/>
    <w:rsid w:val="00787333"/>
    <w:rsid w:val="007878BD"/>
    <w:rsid w:val="00790769"/>
    <w:rsid w:val="00791E1D"/>
    <w:rsid w:val="00793CFC"/>
    <w:rsid w:val="0079587E"/>
    <w:rsid w:val="0079626C"/>
    <w:rsid w:val="0079671C"/>
    <w:rsid w:val="00796F25"/>
    <w:rsid w:val="00796F2C"/>
    <w:rsid w:val="007974CB"/>
    <w:rsid w:val="007A079E"/>
    <w:rsid w:val="007A0A43"/>
    <w:rsid w:val="007A2E98"/>
    <w:rsid w:val="007A3010"/>
    <w:rsid w:val="007A3BA3"/>
    <w:rsid w:val="007A47C7"/>
    <w:rsid w:val="007A4E36"/>
    <w:rsid w:val="007A64C9"/>
    <w:rsid w:val="007A6CC0"/>
    <w:rsid w:val="007A7FEC"/>
    <w:rsid w:val="007B1499"/>
    <w:rsid w:val="007B1BBF"/>
    <w:rsid w:val="007B2960"/>
    <w:rsid w:val="007B355A"/>
    <w:rsid w:val="007B355D"/>
    <w:rsid w:val="007B4350"/>
    <w:rsid w:val="007B4B51"/>
    <w:rsid w:val="007B4BC2"/>
    <w:rsid w:val="007B4D4C"/>
    <w:rsid w:val="007B5371"/>
    <w:rsid w:val="007B5BE4"/>
    <w:rsid w:val="007B7980"/>
    <w:rsid w:val="007C0DEF"/>
    <w:rsid w:val="007C10F3"/>
    <w:rsid w:val="007C2033"/>
    <w:rsid w:val="007C5D5A"/>
    <w:rsid w:val="007C607F"/>
    <w:rsid w:val="007C6820"/>
    <w:rsid w:val="007C6E44"/>
    <w:rsid w:val="007C79DD"/>
    <w:rsid w:val="007D1A97"/>
    <w:rsid w:val="007D2138"/>
    <w:rsid w:val="007D2CD6"/>
    <w:rsid w:val="007D3063"/>
    <w:rsid w:val="007D363E"/>
    <w:rsid w:val="007D3CEB"/>
    <w:rsid w:val="007D5FDF"/>
    <w:rsid w:val="007E096F"/>
    <w:rsid w:val="007E0FFC"/>
    <w:rsid w:val="007E1C89"/>
    <w:rsid w:val="007E3375"/>
    <w:rsid w:val="007E7683"/>
    <w:rsid w:val="007F49FA"/>
    <w:rsid w:val="007F4D7A"/>
    <w:rsid w:val="007F54C4"/>
    <w:rsid w:val="007F56D2"/>
    <w:rsid w:val="007F5D39"/>
    <w:rsid w:val="007F6E9A"/>
    <w:rsid w:val="00800CCD"/>
    <w:rsid w:val="00802200"/>
    <w:rsid w:val="008038E5"/>
    <w:rsid w:val="008044D4"/>
    <w:rsid w:val="0080656E"/>
    <w:rsid w:val="00810AB4"/>
    <w:rsid w:val="00813501"/>
    <w:rsid w:val="00817B56"/>
    <w:rsid w:val="00817FB4"/>
    <w:rsid w:val="00820C4F"/>
    <w:rsid w:val="00820F4E"/>
    <w:rsid w:val="00821A88"/>
    <w:rsid w:val="0082495D"/>
    <w:rsid w:val="00824F26"/>
    <w:rsid w:val="00825405"/>
    <w:rsid w:val="0082596A"/>
    <w:rsid w:val="008262E2"/>
    <w:rsid w:val="00831AC3"/>
    <w:rsid w:val="0083251D"/>
    <w:rsid w:val="00836FCE"/>
    <w:rsid w:val="00837940"/>
    <w:rsid w:val="0084049D"/>
    <w:rsid w:val="008408FF"/>
    <w:rsid w:val="00846070"/>
    <w:rsid w:val="00846E6E"/>
    <w:rsid w:val="008510E5"/>
    <w:rsid w:val="00851F3F"/>
    <w:rsid w:val="00854044"/>
    <w:rsid w:val="0085618F"/>
    <w:rsid w:val="00856EDC"/>
    <w:rsid w:val="008623B5"/>
    <w:rsid w:val="00866748"/>
    <w:rsid w:val="0086692D"/>
    <w:rsid w:val="00870ABA"/>
    <w:rsid w:val="008710E1"/>
    <w:rsid w:val="008716E5"/>
    <w:rsid w:val="008742E5"/>
    <w:rsid w:val="008758D6"/>
    <w:rsid w:val="00881CA9"/>
    <w:rsid w:val="0088213D"/>
    <w:rsid w:val="0088261F"/>
    <w:rsid w:val="0088339A"/>
    <w:rsid w:val="00883628"/>
    <w:rsid w:val="00884913"/>
    <w:rsid w:val="00884A55"/>
    <w:rsid w:val="00885544"/>
    <w:rsid w:val="0088634E"/>
    <w:rsid w:val="008876C3"/>
    <w:rsid w:val="00890C5C"/>
    <w:rsid w:val="00893AB8"/>
    <w:rsid w:val="00896508"/>
    <w:rsid w:val="00897E65"/>
    <w:rsid w:val="008A04C8"/>
    <w:rsid w:val="008A1385"/>
    <w:rsid w:val="008A5AB1"/>
    <w:rsid w:val="008A6913"/>
    <w:rsid w:val="008B1F1D"/>
    <w:rsid w:val="008B2731"/>
    <w:rsid w:val="008B5DEB"/>
    <w:rsid w:val="008B6FA9"/>
    <w:rsid w:val="008B70F3"/>
    <w:rsid w:val="008B71C4"/>
    <w:rsid w:val="008B76DF"/>
    <w:rsid w:val="008C06B2"/>
    <w:rsid w:val="008C10F4"/>
    <w:rsid w:val="008C144E"/>
    <w:rsid w:val="008C3206"/>
    <w:rsid w:val="008C65F7"/>
    <w:rsid w:val="008D1820"/>
    <w:rsid w:val="008E01C1"/>
    <w:rsid w:val="008E1D1F"/>
    <w:rsid w:val="008E2483"/>
    <w:rsid w:val="008E2D2D"/>
    <w:rsid w:val="008E4767"/>
    <w:rsid w:val="008E7896"/>
    <w:rsid w:val="008E7A8C"/>
    <w:rsid w:val="008F4D16"/>
    <w:rsid w:val="008F5B51"/>
    <w:rsid w:val="008F6ADB"/>
    <w:rsid w:val="009012F0"/>
    <w:rsid w:val="0090203B"/>
    <w:rsid w:val="0090209B"/>
    <w:rsid w:val="00902432"/>
    <w:rsid w:val="00902C75"/>
    <w:rsid w:val="00903285"/>
    <w:rsid w:val="009043BF"/>
    <w:rsid w:val="00906914"/>
    <w:rsid w:val="00906F40"/>
    <w:rsid w:val="0090731E"/>
    <w:rsid w:val="0090735E"/>
    <w:rsid w:val="00910CFB"/>
    <w:rsid w:val="0091590A"/>
    <w:rsid w:val="00915B1C"/>
    <w:rsid w:val="009174F3"/>
    <w:rsid w:val="0091797D"/>
    <w:rsid w:val="00921BBA"/>
    <w:rsid w:val="00923CBA"/>
    <w:rsid w:val="009242EB"/>
    <w:rsid w:val="009246C4"/>
    <w:rsid w:val="00924B50"/>
    <w:rsid w:val="00926703"/>
    <w:rsid w:val="00927691"/>
    <w:rsid w:val="00927A5F"/>
    <w:rsid w:val="00930510"/>
    <w:rsid w:val="00930AF9"/>
    <w:rsid w:val="00935B63"/>
    <w:rsid w:val="00935CA9"/>
    <w:rsid w:val="00936C80"/>
    <w:rsid w:val="0094078F"/>
    <w:rsid w:val="00940FA3"/>
    <w:rsid w:val="00941FB0"/>
    <w:rsid w:val="009426D4"/>
    <w:rsid w:val="00943F06"/>
    <w:rsid w:val="00944A31"/>
    <w:rsid w:val="00946415"/>
    <w:rsid w:val="00947F25"/>
    <w:rsid w:val="00950159"/>
    <w:rsid w:val="009530E8"/>
    <w:rsid w:val="0095490B"/>
    <w:rsid w:val="00956FCF"/>
    <w:rsid w:val="0095734F"/>
    <w:rsid w:val="00960A33"/>
    <w:rsid w:val="00962099"/>
    <w:rsid w:val="00963C57"/>
    <w:rsid w:val="00971914"/>
    <w:rsid w:val="009727BB"/>
    <w:rsid w:val="00974363"/>
    <w:rsid w:val="00976078"/>
    <w:rsid w:val="00977B51"/>
    <w:rsid w:val="009803F5"/>
    <w:rsid w:val="00981898"/>
    <w:rsid w:val="0098400C"/>
    <w:rsid w:val="00984873"/>
    <w:rsid w:val="00985B76"/>
    <w:rsid w:val="00986164"/>
    <w:rsid w:val="009861F0"/>
    <w:rsid w:val="00986EB5"/>
    <w:rsid w:val="00992492"/>
    <w:rsid w:val="00993655"/>
    <w:rsid w:val="0099577C"/>
    <w:rsid w:val="00995B90"/>
    <w:rsid w:val="00996E3E"/>
    <w:rsid w:val="009A10BD"/>
    <w:rsid w:val="009A3B77"/>
    <w:rsid w:val="009A5844"/>
    <w:rsid w:val="009B0F98"/>
    <w:rsid w:val="009B24A5"/>
    <w:rsid w:val="009B2601"/>
    <w:rsid w:val="009B4E9E"/>
    <w:rsid w:val="009B63EA"/>
    <w:rsid w:val="009B72C4"/>
    <w:rsid w:val="009C1690"/>
    <w:rsid w:val="009C566D"/>
    <w:rsid w:val="009C6881"/>
    <w:rsid w:val="009C7759"/>
    <w:rsid w:val="009D043D"/>
    <w:rsid w:val="009D07C8"/>
    <w:rsid w:val="009D1D05"/>
    <w:rsid w:val="009D2021"/>
    <w:rsid w:val="009D2529"/>
    <w:rsid w:val="009D4C9F"/>
    <w:rsid w:val="009D6C71"/>
    <w:rsid w:val="009E0631"/>
    <w:rsid w:val="009E16D0"/>
    <w:rsid w:val="009E2051"/>
    <w:rsid w:val="009E38FD"/>
    <w:rsid w:val="009E603E"/>
    <w:rsid w:val="009E7F65"/>
    <w:rsid w:val="009F13D6"/>
    <w:rsid w:val="009F13E9"/>
    <w:rsid w:val="009F4936"/>
    <w:rsid w:val="009F4C6B"/>
    <w:rsid w:val="009F4FA8"/>
    <w:rsid w:val="009F6470"/>
    <w:rsid w:val="009F78A8"/>
    <w:rsid w:val="009F79CB"/>
    <w:rsid w:val="00A0006E"/>
    <w:rsid w:val="00A00968"/>
    <w:rsid w:val="00A009A9"/>
    <w:rsid w:val="00A02AD6"/>
    <w:rsid w:val="00A02E49"/>
    <w:rsid w:val="00A045A0"/>
    <w:rsid w:val="00A07096"/>
    <w:rsid w:val="00A07318"/>
    <w:rsid w:val="00A07B30"/>
    <w:rsid w:val="00A11370"/>
    <w:rsid w:val="00A17B1B"/>
    <w:rsid w:val="00A17FAF"/>
    <w:rsid w:val="00A2197C"/>
    <w:rsid w:val="00A224CE"/>
    <w:rsid w:val="00A22522"/>
    <w:rsid w:val="00A237FA"/>
    <w:rsid w:val="00A2440D"/>
    <w:rsid w:val="00A24882"/>
    <w:rsid w:val="00A24AFD"/>
    <w:rsid w:val="00A24F5C"/>
    <w:rsid w:val="00A2795B"/>
    <w:rsid w:val="00A32F96"/>
    <w:rsid w:val="00A40871"/>
    <w:rsid w:val="00A412AB"/>
    <w:rsid w:val="00A4193E"/>
    <w:rsid w:val="00A433E9"/>
    <w:rsid w:val="00A43ABE"/>
    <w:rsid w:val="00A440E0"/>
    <w:rsid w:val="00A442EF"/>
    <w:rsid w:val="00A44B96"/>
    <w:rsid w:val="00A45514"/>
    <w:rsid w:val="00A478C4"/>
    <w:rsid w:val="00A51D1A"/>
    <w:rsid w:val="00A520B5"/>
    <w:rsid w:val="00A525D4"/>
    <w:rsid w:val="00A5418D"/>
    <w:rsid w:val="00A5474E"/>
    <w:rsid w:val="00A56C5D"/>
    <w:rsid w:val="00A56ED5"/>
    <w:rsid w:val="00A6085B"/>
    <w:rsid w:val="00A60F4D"/>
    <w:rsid w:val="00A64234"/>
    <w:rsid w:val="00A642F1"/>
    <w:rsid w:val="00A70ADF"/>
    <w:rsid w:val="00A71466"/>
    <w:rsid w:val="00A74B5E"/>
    <w:rsid w:val="00A76BD2"/>
    <w:rsid w:val="00A771C3"/>
    <w:rsid w:val="00A81BED"/>
    <w:rsid w:val="00A81EC4"/>
    <w:rsid w:val="00A824E8"/>
    <w:rsid w:val="00A85B83"/>
    <w:rsid w:val="00A9075E"/>
    <w:rsid w:val="00A90EAF"/>
    <w:rsid w:val="00A912B8"/>
    <w:rsid w:val="00A9304F"/>
    <w:rsid w:val="00A94DE4"/>
    <w:rsid w:val="00A95AA6"/>
    <w:rsid w:val="00A967FD"/>
    <w:rsid w:val="00AA0932"/>
    <w:rsid w:val="00AA1C55"/>
    <w:rsid w:val="00AA1F0B"/>
    <w:rsid w:val="00AA2DE5"/>
    <w:rsid w:val="00AA34CB"/>
    <w:rsid w:val="00AA5058"/>
    <w:rsid w:val="00AB0C41"/>
    <w:rsid w:val="00AB156C"/>
    <w:rsid w:val="00AB5A0D"/>
    <w:rsid w:val="00AB6814"/>
    <w:rsid w:val="00AB7941"/>
    <w:rsid w:val="00AC04BA"/>
    <w:rsid w:val="00AC0E39"/>
    <w:rsid w:val="00AC537E"/>
    <w:rsid w:val="00AD1702"/>
    <w:rsid w:val="00AD231C"/>
    <w:rsid w:val="00AD3082"/>
    <w:rsid w:val="00AD32B4"/>
    <w:rsid w:val="00AD4950"/>
    <w:rsid w:val="00AD4AD0"/>
    <w:rsid w:val="00AD5436"/>
    <w:rsid w:val="00AD5BE1"/>
    <w:rsid w:val="00AD60CD"/>
    <w:rsid w:val="00AD6C8C"/>
    <w:rsid w:val="00AE091D"/>
    <w:rsid w:val="00AE36EA"/>
    <w:rsid w:val="00AE3B60"/>
    <w:rsid w:val="00AE4969"/>
    <w:rsid w:val="00AE53A1"/>
    <w:rsid w:val="00AF0536"/>
    <w:rsid w:val="00AF2484"/>
    <w:rsid w:val="00AF2EDF"/>
    <w:rsid w:val="00AF3D6F"/>
    <w:rsid w:val="00AF4D25"/>
    <w:rsid w:val="00AF58F2"/>
    <w:rsid w:val="00AF63E7"/>
    <w:rsid w:val="00AF6E17"/>
    <w:rsid w:val="00B0165D"/>
    <w:rsid w:val="00B01B60"/>
    <w:rsid w:val="00B02003"/>
    <w:rsid w:val="00B031F3"/>
    <w:rsid w:val="00B0420A"/>
    <w:rsid w:val="00B052A4"/>
    <w:rsid w:val="00B07EF8"/>
    <w:rsid w:val="00B113C9"/>
    <w:rsid w:val="00B11D5D"/>
    <w:rsid w:val="00B125DE"/>
    <w:rsid w:val="00B13FDD"/>
    <w:rsid w:val="00B20338"/>
    <w:rsid w:val="00B22EB2"/>
    <w:rsid w:val="00B27442"/>
    <w:rsid w:val="00B27C4B"/>
    <w:rsid w:val="00B31167"/>
    <w:rsid w:val="00B3252B"/>
    <w:rsid w:val="00B329D8"/>
    <w:rsid w:val="00B32BB9"/>
    <w:rsid w:val="00B33AE1"/>
    <w:rsid w:val="00B37C38"/>
    <w:rsid w:val="00B4288C"/>
    <w:rsid w:val="00B43262"/>
    <w:rsid w:val="00B44100"/>
    <w:rsid w:val="00B46CBA"/>
    <w:rsid w:val="00B46F94"/>
    <w:rsid w:val="00B545A1"/>
    <w:rsid w:val="00B6003C"/>
    <w:rsid w:val="00B61835"/>
    <w:rsid w:val="00B61F03"/>
    <w:rsid w:val="00B61FD6"/>
    <w:rsid w:val="00B626E4"/>
    <w:rsid w:val="00B64374"/>
    <w:rsid w:val="00B672C0"/>
    <w:rsid w:val="00B72F4A"/>
    <w:rsid w:val="00B7417C"/>
    <w:rsid w:val="00B83C27"/>
    <w:rsid w:val="00B84BC3"/>
    <w:rsid w:val="00B84BDD"/>
    <w:rsid w:val="00B86066"/>
    <w:rsid w:val="00B87AE2"/>
    <w:rsid w:val="00B87B86"/>
    <w:rsid w:val="00B90A55"/>
    <w:rsid w:val="00B90F5D"/>
    <w:rsid w:val="00B92812"/>
    <w:rsid w:val="00B94AB9"/>
    <w:rsid w:val="00B94E30"/>
    <w:rsid w:val="00B96682"/>
    <w:rsid w:val="00BA42F5"/>
    <w:rsid w:val="00BA5371"/>
    <w:rsid w:val="00BA5D70"/>
    <w:rsid w:val="00BA6D18"/>
    <w:rsid w:val="00BB12C7"/>
    <w:rsid w:val="00BB1725"/>
    <w:rsid w:val="00BB19E2"/>
    <w:rsid w:val="00BB45A1"/>
    <w:rsid w:val="00BB5E7F"/>
    <w:rsid w:val="00BB7686"/>
    <w:rsid w:val="00BC23F9"/>
    <w:rsid w:val="00BC2E0B"/>
    <w:rsid w:val="00BC3421"/>
    <w:rsid w:val="00BC5ECD"/>
    <w:rsid w:val="00BC64D2"/>
    <w:rsid w:val="00BC732C"/>
    <w:rsid w:val="00BD4421"/>
    <w:rsid w:val="00BD5F54"/>
    <w:rsid w:val="00BD7249"/>
    <w:rsid w:val="00BE0EC8"/>
    <w:rsid w:val="00BE1BC6"/>
    <w:rsid w:val="00BE2580"/>
    <w:rsid w:val="00BE266D"/>
    <w:rsid w:val="00BE31D3"/>
    <w:rsid w:val="00BE35CB"/>
    <w:rsid w:val="00BE3938"/>
    <w:rsid w:val="00BE4C11"/>
    <w:rsid w:val="00BE61C3"/>
    <w:rsid w:val="00BE6805"/>
    <w:rsid w:val="00BE71C0"/>
    <w:rsid w:val="00BF1089"/>
    <w:rsid w:val="00BF205D"/>
    <w:rsid w:val="00BF332D"/>
    <w:rsid w:val="00BF610C"/>
    <w:rsid w:val="00C003E2"/>
    <w:rsid w:val="00C0060B"/>
    <w:rsid w:val="00C01A6C"/>
    <w:rsid w:val="00C0210E"/>
    <w:rsid w:val="00C0277D"/>
    <w:rsid w:val="00C028C8"/>
    <w:rsid w:val="00C048A1"/>
    <w:rsid w:val="00C0511D"/>
    <w:rsid w:val="00C053A1"/>
    <w:rsid w:val="00C108ED"/>
    <w:rsid w:val="00C16198"/>
    <w:rsid w:val="00C2083D"/>
    <w:rsid w:val="00C23D74"/>
    <w:rsid w:val="00C24A53"/>
    <w:rsid w:val="00C263FC"/>
    <w:rsid w:val="00C311CA"/>
    <w:rsid w:val="00C34A05"/>
    <w:rsid w:val="00C35CCE"/>
    <w:rsid w:val="00C37E86"/>
    <w:rsid w:val="00C4032F"/>
    <w:rsid w:val="00C42537"/>
    <w:rsid w:val="00C44047"/>
    <w:rsid w:val="00C4446F"/>
    <w:rsid w:val="00C45155"/>
    <w:rsid w:val="00C47111"/>
    <w:rsid w:val="00C5498F"/>
    <w:rsid w:val="00C55088"/>
    <w:rsid w:val="00C55235"/>
    <w:rsid w:val="00C55D36"/>
    <w:rsid w:val="00C578C4"/>
    <w:rsid w:val="00C619E9"/>
    <w:rsid w:val="00C64074"/>
    <w:rsid w:val="00C64320"/>
    <w:rsid w:val="00C64CD0"/>
    <w:rsid w:val="00C6684F"/>
    <w:rsid w:val="00C70E70"/>
    <w:rsid w:val="00C72341"/>
    <w:rsid w:val="00C7318E"/>
    <w:rsid w:val="00C755AC"/>
    <w:rsid w:val="00C756E8"/>
    <w:rsid w:val="00C75F8D"/>
    <w:rsid w:val="00C76A94"/>
    <w:rsid w:val="00C77380"/>
    <w:rsid w:val="00C82940"/>
    <w:rsid w:val="00C852A2"/>
    <w:rsid w:val="00C86072"/>
    <w:rsid w:val="00C87E8A"/>
    <w:rsid w:val="00C90817"/>
    <w:rsid w:val="00C92973"/>
    <w:rsid w:val="00C93099"/>
    <w:rsid w:val="00C97736"/>
    <w:rsid w:val="00C97ACE"/>
    <w:rsid w:val="00CA0CF0"/>
    <w:rsid w:val="00CA345A"/>
    <w:rsid w:val="00CA6503"/>
    <w:rsid w:val="00CA78A1"/>
    <w:rsid w:val="00CB0A1A"/>
    <w:rsid w:val="00CB1E82"/>
    <w:rsid w:val="00CB316D"/>
    <w:rsid w:val="00CB4BA8"/>
    <w:rsid w:val="00CB52D7"/>
    <w:rsid w:val="00CB7663"/>
    <w:rsid w:val="00CB7B48"/>
    <w:rsid w:val="00CC3ED6"/>
    <w:rsid w:val="00CC5A42"/>
    <w:rsid w:val="00CC6732"/>
    <w:rsid w:val="00CD005B"/>
    <w:rsid w:val="00CD00D2"/>
    <w:rsid w:val="00CD256B"/>
    <w:rsid w:val="00CD4E03"/>
    <w:rsid w:val="00CD687F"/>
    <w:rsid w:val="00CD6FC0"/>
    <w:rsid w:val="00CE0BB5"/>
    <w:rsid w:val="00CE0C17"/>
    <w:rsid w:val="00CE2FB7"/>
    <w:rsid w:val="00CE3668"/>
    <w:rsid w:val="00CE3C96"/>
    <w:rsid w:val="00CE45F4"/>
    <w:rsid w:val="00CE51A8"/>
    <w:rsid w:val="00CE595C"/>
    <w:rsid w:val="00CF369B"/>
    <w:rsid w:val="00CF7A09"/>
    <w:rsid w:val="00D00E28"/>
    <w:rsid w:val="00D02289"/>
    <w:rsid w:val="00D0269E"/>
    <w:rsid w:val="00D05D6C"/>
    <w:rsid w:val="00D0720F"/>
    <w:rsid w:val="00D1076B"/>
    <w:rsid w:val="00D13185"/>
    <w:rsid w:val="00D13B36"/>
    <w:rsid w:val="00D14C2A"/>
    <w:rsid w:val="00D14DD3"/>
    <w:rsid w:val="00D15810"/>
    <w:rsid w:val="00D16D4E"/>
    <w:rsid w:val="00D16FE3"/>
    <w:rsid w:val="00D17472"/>
    <w:rsid w:val="00D17B29"/>
    <w:rsid w:val="00D23A82"/>
    <w:rsid w:val="00D23F8C"/>
    <w:rsid w:val="00D27F41"/>
    <w:rsid w:val="00D3200D"/>
    <w:rsid w:val="00D327FF"/>
    <w:rsid w:val="00D36441"/>
    <w:rsid w:val="00D4064E"/>
    <w:rsid w:val="00D414E9"/>
    <w:rsid w:val="00D42C96"/>
    <w:rsid w:val="00D42EF0"/>
    <w:rsid w:val="00D4323D"/>
    <w:rsid w:val="00D436A0"/>
    <w:rsid w:val="00D43722"/>
    <w:rsid w:val="00D44450"/>
    <w:rsid w:val="00D44E9B"/>
    <w:rsid w:val="00D45FD2"/>
    <w:rsid w:val="00D466D1"/>
    <w:rsid w:val="00D47AEB"/>
    <w:rsid w:val="00D50DB9"/>
    <w:rsid w:val="00D51302"/>
    <w:rsid w:val="00D52C43"/>
    <w:rsid w:val="00D57388"/>
    <w:rsid w:val="00D60571"/>
    <w:rsid w:val="00D619F0"/>
    <w:rsid w:val="00D625FF"/>
    <w:rsid w:val="00D6327D"/>
    <w:rsid w:val="00D6507F"/>
    <w:rsid w:val="00D6728D"/>
    <w:rsid w:val="00D70C9E"/>
    <w:rsid w:val="00D730BC"/>
    <w:rsid w:val="00D73912"/>
    <w:rsid w:val="00D73CCC"/>
    <w:rsid w:val="00D74DDD"/>
    <w:rsid w:val="00D778F1"/>
    <w:rsid w:val="00D77DE9"/>
    <w:rsid w:val="00D827E3"/>
    <w:rsid w:val="00D85226"/>
    <w:rsid w:val="00D87B94"/>
    <w:rsid w:val="00D914E8"/>
    <w:rsid w:val="00D92D49"/>
    <w:rsid w:val="00D92EC1"/>
    <w:rsid w:val="00D93149"/>
    <w:rsid w:val="00D94B4F"/>
    <w:rsid w:val="00D96DEA"/>
    <w:rsid w:val="00DA0B0E"/>
    <w:rsid w:val="00DA412B"/>
    <w:rsid w:val="00DA4E41"/>
    <w:rsid w:val="00DB117A"/>
    <w:rsid w:val="00DB2C9E"/>
    <w:rsid w:val="00DB3A64"/>
    <w:rsid w:val="00DB5173"/>
    <w:rsid w:val="00DB5AC5"/>
    <w:rsid w:val="00DB7873"/>
    <w:rsid w:val="00DC187B"/>
    <w:rsid w:val="00DC41DD"/>
    <w:rsid w:val="00DC7DEF"/>
    <w:rsid w:val="00DD0D36"/>
    <w:rsid w:val="00DD1A43"/>
    <w:rsid w:val="00DD2DB6"/>
    <w:rsid w:val="00DD3070"/>
    <w:rsid w:val="00DD73C2"/>
    <w:rsid w:val="00DD7667"/>
    <w:rsid w:val="00DE319B"/>
    <w:rsid w:val="00DE4CE9"/>
    <w:rsid w:val="00DE4E0B"/>
    <w:rsid w:val="00DE4F30"/>
    <w:rsid w:val="00DE57BB"/>
    <w:rsid w:val="00DE6247"/>
    <w:rsid w:val="00DF0799"/>
    <w:rsid w:val="00DF2237"/>
    <w:rsid w:val="00DF34FE"/>
    <w:rsid w:val="00DF38D5"/>
    <w:rsid w:val="00DF3D12"/>
    <w:rsid w:val="00DF404F"/>
    <w:rsid w:val="00DF56AA"/>
    <w:rsid w:val="00DF56AF"/>
    <w:rsid w:val="00DF78E7"/>
    <w:rsid w:val="00E0402F"/>
    <w:rsid w:val="00E1028C"/>
    <w:rsid w:val="00E108C4"/>
    <w:rsid w:val="00E110E0"/>
    <w:rsid w:val="00E11E68"/>
    <w:rsid w:val="00E12F03"/>
    <w:rsid w:val="00E15371"/>
    <w:rsid w:val="00E220FF"/>
    <w:rsid w:val="00E23372"/>
    <w:rsid w:val="00E24104"/>
    <w:rsid w:val="00E302D0"/>
    <w:rsid w:val="00E32168"/>
    <w:rsid w:val="00E345BF"/>
    <w:rsid w:val="00E34F85"/>
    <w:rsid w:val="00E35707"/>
    <w:rsid w:val="00E36AA1"/>
    <w:rsid w:val="00E37145"/>
    <w:rsid w:val="00E372B9"/>
    <w:rsid w:val="00E41A33"/>
    <w:rsid w:val="00E41ECB"/>
    <w:rsid w:val="00E42676"/>
    <w:rsid w:val="00E468BD"/>
    <w:rsid w:val="00E50B6A"/>
    <w:rsid w:val="00E52AF4"/>
    <w:rsid w:val="00E5334F"/>
    <w:rsid w:val="00E535DF"/>
    <w:rsid w:val="00E54FDB"/>
    <w:rsid w:val="00E55C36"/>
    <w:rsid w:val="00E5617D"/>
    <w:rsid w:val="00E563D7"/>
    <w:rsid w:val="00E571C2"/>
    <w:rsid w:val="00E617AC"/>
    <w:rsid w:val="00E6475B"/>
    <w:rsid w:val="00E663F4"/>
    <w:rsid w:val="00E66601"/>
    <w:rsid w:val="00E666F2"/>
    <w:rsid w:val="00E66DD4"/>
    <w:rsid w:val="00E66EAA"/>
    <w:rsid w:val="00E71028"/>
    <w:rsid w:val="00E71D84"/>
    <w:rsid w:val="00E71E3F"/>
    <w:rsid w:val="00E72118"/>
    <w:rsid w:val="00E726BA"/>
    <w:rsid w:val="00E72E7B"/>
    <w:rsid w:val="00E748CC"/>
    <w:rsid w:val="00E75415"/>
    <w:rsid w:val="00E7744E"/>
    <w:rsid w:val="00E775B1"/>
    <w:rsid w:val="00E77C0F"/>
    <w:rsid w:val="00E8152A"/>
    <w:rsid w:val="00E86F45"/>
    <w:rsid w:val="00E877C8"/>
    <w:rsid w:val="00E92A23"/>
    <w:rsid w:val="00E93629"/>
    <w:rsid w:val="00E93B5C"/>
    <w:rsid w:val="00E93BC2"/>
    <w:rsid w:val="00E94CEC"/>
    <w:rsid w:val="00E95DAF"/>
    <w:rsid w:val="00EA04EF"/>
    <w:rsid w:val="00EA2F11"/>
    <w:rsid w:val="00EA30F8"/>
    <w:rsid w:val="00EA3818"/>
    <w:rsid w:val="00EA6F19"/>
    <w:rsid w:val="00EB3E81"/>
    <w:rsid w:val="00EB7090"/>
    <w:rsid w:val="00EB7277"/>
    <w:rsid w:val="00EB78A6"/>
    <w:rsid w:val="00EC1BBE"/>
    <w:rsid w:val="00EC2747"/>
    <w:rsid w:val="00EC2B68"/>
    <w:rsid w:val="00EC3AEF"/>
    <w:rsid w:val="00EC4338"/>
    <w:rsid w:val="00EC53C1"/>
    <w:rsid w:val="00EC5CD7"/>
    <w:rsid w:val="00ED1769"/>
    <w:rsid w:val="00ED1BD7"/>
    <w:rsid w:val="00ED50A7"/>
    <w:rsid w:val="00ED67DE"/>
    <w:rsid w:val="00ED78F4"/>
    <w:rsid w:val="00EE256D"/>
    <w:rsid w:val="00EE5FB3"/>
    <w:rsid w:val="00EE7D4D"/>
    <w:rsid w:val="00EE7F79"/>
    <w:rsid w:val="00EF0540"/>
    <w:rsid w:val="00EF0B31"/>
    <w:rsid w:val="00EF5BE5"/>
    <w:rsid w:val="00EF715A"/>
    <w:rsid w:val="00F00658"/>
    <w:rsid w:val="00F01BC3"/>
    <w:rsid w:val="00F01EB2"/>
    <w:rsid w:val="00F04366"/>
    <w:rsid w:val="00F04676"/>
    <w:rsid w:val="00F05E92"/>
    <w:rsid w:val="00F062A6"/>
    <w:rsid w:val="00F06E14"/>
    <w:rsid w:val="00F07C80"/>
    <w:rsid w:val="00F14F42"/>
    <w:rsid w:val="00F16C5C"/>
    <w:rsid w:val="00F179D4"/>
    <w:rsid w:val="00F17A09"/>
    <w:rsid w:val="00F23F0C"/>
    <w:rsid w:val="00F2583D"/>
    <w:rsid w:val="00F25930"/>
    <w:rsid w:val="00F25EB9"/>
    <w:rsid w:val="00F26009"/>
    <w:rsid w:val="00F26630"/>
    <w:rsid w:val="00F27DB6"/>
    <w:rsid w:val="00F31ED4"/>
    <w:rsid w:val="00F3281B"/>
    <w:rsid w:val="00F33C56"/>
    <w:rsid w:val="00F34580"/>
    <w:rsid w:val="00F347C7"/>
    <w:rsid w:val="00F34848"/>
    <w:rsid w:val="00F427D3"/>
    <w:rsid w:val="00F42D46"/>
    <w:rsid w:val="00F43780"/>
    <w:rsid w:val="00F4496C"/>
    <w:rsid w:val="00F44F3A"/>
    <w:rsid w:val="00F45DD5"/>
    <w:rsid w:val="00F4639A"/>
    <w:rsid w:val="00F51F10"/>
    <w:rsid w:val="00F529A5"/>
    <w:rsid w:val="00F5586D"/>
    <w:rsid w:val="00F60916"/>
    <w:rsid w:val="00F60F00"/>
    <w:rsid w:val="00F614C0"/>
    <w:rsid w:val="00F61C77"/>
    <w:rsid w:val="00F6339A"/>
    <w:rsid w:val="00F63BDB"/>
    <w:rsid w:val="00F649D2"/>
    <w:rsid w:val="00F72A94"/>
    <w:rsid w:val="00F731A0"/>
    <w:rsid w:val="00F7389C"/>
    <w:rsid w:val="00F76FFA"/>
    <w:rsid w:val="00F82FE9"/>
    <w:rsid w:val="00F83848"/>
    <w:rsid w:val="00F84F86"/>
    <w:rsid w:val="00F8503B"/>
    <w:rsid w:val="00F8506D"/>
    <w:rsid w:val="00F90D84"/>
    <w:rsid w:val="00F975E9"/>
    <w:rsid w:val="00F97832"/>
    <w:rsid w:val="00FA0686"/>
    <w:rsid w:val="00FA171C"/>
    <w:rsid w:val="00FA1B7D"/>
    <w:rsid w:val="00FA2681"/>
    <w:rsid w:val="00FA36AF"/>
    <w:rsid w:val="00FA67B0"/>
    <w:rsid w:val="00FA7DCD"/>
    <w:rsid w:val="00FB0FC0"/>
    <w:rsid w:val="00FB1755"/>
    <w:rsid w:val="00FB4349"/>
    <w:rsid w:val="00FB6918"/>
    <w:rsid w:val="00FB745A"/>
    <w:rsid w:val="00FC07B9"/>
    <w:rsid w:val="00FC0AF0"/>
    <w:rsid w:val="00FC17BA"/>
    <w:rsid w:val="00FC437D"/>
    <w:rsid w:val="00FC4E21"/>
    <w:rsid w:val="00FC5A9D"/>
    <w:rsid w:val="00FC5F6D"/>
    <w:rsid w:val="00FC7A9C"/>
    <w:rsid w:val="00FD0107"/>
    <w:rsid w:val="00FD2C2F"/>
    <w:rsid w:val="00FD2CD0"/>
    <w:rsid w:val="00FD3B31"/>
    <w:rsid w:val="00FD7DC3"/>
    <w:rsid w:val="00FE1823"/>
    <w:rsid w:val="00FE333A"/>
    <w:rsid w:val="00FE34AB"/>
    <w:rsid w:val="00FE487A"/>
    <w:rsid w:val="00FF0569"/>
    <w:rsid w:val="00FF0759"/>
    <w:rsid w:val="00FF09E1"/>
    <w:rsid w:val="00FF206E"/>
    <w:rsid w:val="00FF3C69"/>
    <w:rsid w:val="00FF4880"/>
    <w:rsid w:val="00FF6E0A"/>
  </w:rsids>
  <m:mathPr>
    <m:mathFont m:val="Cambria Math"/>
    <m:brkBin m:val="before"/>
    <m:brkBinSub m:val="--"/>
    <m:smallFrac/>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red,#4d4d4f"/>
    </o:shapedefaults>
    <o:shapelayout v:ext="edit">
      <o:idmap v:ext="edit" data="2"/>
    </o:shapelayout>
  </w:shapeDefaults>
  <w:decimalSymbol w:val="."/>
  <w:listSeparator w:val=","/>
  <w14:docId w14:val="2E927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AU" w:eastAsia="en-AU" w:bidi="ar-SA"/>
      </w:rPr>
    </w:rPrDefault>
    <w:pPrDefault/>
  </w:docDefaults>
  <w:latentStyles w:defLockedState="0" w:defUIPriority="0" w:defSemiHidden="0" w:defUnhideWhenUsed="0" w:defQFormat="0" w:count="376">
    <w:lsdException w:name="heading 1" w:qFormat="1"/>
    <w:lsdException w:name="heading 2" w:uiPriority="1" w:qFormat="1"/>
    <w:lsdException w:name="heading 3" w:qFormat="1"/>
    <w:lsdException w:name="index 1" w:semiHidden="1" w:unhideWhenUsed="1"/>
    <w:lsdException w:name="index 2" w:semiHidden="1"/>
    <w:lsdException w:name="index 3" w:semiHidden="1"/>
    <w:lsdException w:name="index 4" w:semiHidden="1"/>
    <w:lsdException w:name="index 5" w:semiHidden="1"/>
    <w:lsdException w:name="index 6" w:semiHidden="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23"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lsdException w:name="Title" w:semiHidden="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lsdException w:name="Hyperlink" w:uiPriority="99" w:qFormat="1"/>
    <w:lsdException w:name="Strong" w:semiHidden="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4B2960"/>
    <w:pPr>
      <w:spacing w:after="240" w:line="240" w:lineRule="atLeast"/>
    </w:pPr>
    <w:rPr>
      <w:rFonts w:ascii="Arial" w:hAnsi="Arial"/>
      <w:sz w:val="20"/>
    </w:rPr>
  </w:style>
  <w:style w:type="paragraph" w:styleId="Heading1">
    <w:name w:val="heading 1"/>
    <w:basedOn w:val="Normal"/>
    <w:next w:val="Normal"/>
    <w:link w:val="Heading1Char"/>
    <w:uiPriority w:val="1"/>
    <w:qFormat/>
    <w:rsid w:val="00C55235"/>
    <w:pPr>
      <w:keepNext/>
      <w:pageBreakBefore/>
      <w:widowControl w:val="0"/>
      <w:spacing w:after="360" w:line="550" w:lineRule="exact"/>
      <w:outlineLvl w:val="0"/>
    </w:pPr>
    <w:rPr>
      <w:rFonts w:cs="Arial"/>
      <w:bCs/>
      <w:color w:val="323232"/>
      <w:kern w:val="32"/>
      <w:sz w:val="53"/>
      <w:szCs w:val="32"/>
    </w:rPr>
  </w:style>
  <w:style w:type="paragraph" w:styleId="Heading2">
    <w:name w:val="heading 2"/>
    <w:basedOn w:val="Normal"/>
    <w:next w:val="Paragraph"/>
    <w:link w:val="Heading2Char"/>
    <w:uiPriority w:val="1"/>
    <w:qFormat/>
    <w:rsid w:val="00711ACA"/>
    <w:pPr>
      <w:keepNext/>
      <w:spacing w:before="320" w:after="60" w:line="280" w:lineRule="atLeast"/>
      <w:outlineLvl w:val="1"/>
    </w:pPr>
    <w:rPr>
      <w:rFonts w:cs="Arial"/>
      <w:b/>
      <w:bCs/>
      <w:iCs/>
      <w:sz w:val="28"/>
      <w:szCs w:val="28"/>
    </w:rPr>
  </w:style>
  <w:style w:type="paragraph" w:styleId="Heading3">
    <w:name w:val="heading 3"/>
    <w:basedOn w:val="Normal"/>
    <w:next w:val="Normal"/>
    <w:link w:val="Heading3Char"/>
    <w:uiPriority w:val="2"/>
    <w:qFormat/>
    <w:rsid w:val="00711ACA"/>
    <w:pPr>
      <w:keepNext/>
      <w:spacing w:before="60" w:after="60" w:line="280" w:lineRule="atLeast"/>
      <w:outlineLvl w:val="2"/>
    </w:pPr>
    <w:rPr>
      <w:rFonts w:cs="Arial"/>
      <w:b/>
      <w:bCs/>
      <w:sz w:val="22"/>
      <w:szCs w:val="26"/>
    </w:rPr>
  </w:style>
  <w:style w:type="paragraph" w:styleId="Heading4">
    <w:name w:val="heading 4"/>
    <w:basedOn w:val="BodySubHeader"/>
    <w:next w:val="Normal"/>
    <w:uiPriority w:val="2"/>
    <w:qFormat/>
    <w:rsid w:val="00711ACA"/>
    <w:pPr>
      <w:spacing w:line="280" w:lineRule="atLeast"/>
      <w:outlineLvl w:val="3"/>
    </w:pPr>
    <w:rPr>
      <w:rFonts w:cs="Arial"/>
      <w:sz w:val="22"/>
    </w:rPr>
  </w:style>
  <w:style w:type="paragraph" w:styleId="Heading5">
    <w:name w:val="heading 5"/>
    <w:basedOn w:val="Normal"/>
    <w:next w:val="Normal"/>
    <w:semiHidden/>
    <w:qFormat/>
    <w:rsid w:val="00AD5436"/>
    <w:pPr>
      <w:numPr>
        <w:ilvl w:val="4"/>
        <w:numId w:val="5"/>
      </w:numPr>
      <w:spacing w:before="240" w:after="60"/>
      <w:outlineLvl w:val="4"/>
    </w:pPr>
    <w:rPr>
      <w:b/>
      <w:bCs/>
      <w:i/>
      <w:iCs/>
      <w:sz w:val="26"/>
      <w:szCs w:val="26"/>
    </w:rPr>
  </w:style>
  <w:style w:type="paragraph" w:styleId="Heading6">
    <w:name w:val="heading 6"/>
    <w:basedOn w:val="Normal"/>
    <w:next w:val="Normal"/>
    <w:semiHidden/>
    <w:qFormat/>
    <w:rsid w:val="00AD5436"/>
    <w:pPr>
      <w:numPr>
        <w:ilvl w:val="5"/>
        <w:numId w:val="5"/>
      </w:numPr>
      <w:spacing w:before="240" w:after="60"/>
      <w:outlineLvl w:val="5"/>
    </w:pPr>
    <w:rPr>
      <w:rFonts w:ascii="Times New Roman" w:hAnsi="Times New Roman"/>
      <w:b/>
      <w:bCs/>
      <w:sz w:val="22"/>
      <w:szCs w:val="22"/>
    </w:rPr>
  </w:style>
  <w:style w:type="paragraph" w:styleId="Heading7">
    <w:name w:val="heading 7"/>
    <w:basedOn w:val="Normal"/>
    <w:next w:val="Normal"/>
    <w:semiHidden/>
    <w:qFormat/>
    <w:rsid w:val="00AD5436"/>
    <w:pPr>
      <w:numPr>
        <w:ilvl w:val="6"/>
        <w:numId w:val="5"/>
      </w:numPr>
      <w:spacing w:before="240" w:after="60"/>
      <w:outlineLvl w:val="6"/>
    </w:pPr>
    <w:rPr>
      <w:rFonts w:ascii="Times New Roman" w:hAnsi="Times New Roman"/>
      <w:sz w:val="24"/>
    </w:rPr>
  </w:style>
  <w:style w:type="paragraph" w:styleId="Heading8">
    <w:name w:val="heading 8"/>
    <w:basedOn w:val="Normal"/>
    <w:next w:val="Normal"/>
    <w:semiHidden/>
    <w:qFormat/>
    <w:rsid w:val="00AD5436"/>
    <w:pPr>
      <w:numPr>
        <w:ilvl w:val="7"/>
        <w:numId w:val="5"/>
      </w:numPr>
      <w:spacing w:before="240" w:after="60"/>
      <w:outlineLvl w:val="7"/>
    </w:pPr>
    <w:rPr>
      <w:rFonts w:ascii="Times New Roman" w:hAnsi="Times New Roman"/>
      <w:i/>
      <w:iCs/>
      <w:sz w:val="24"/>
    </w:rPr>
  </w:style>
  <w:style w:type="paragraph" w:styleId="Heading9">
    <w:name w:val="heading 9"/>
    <w:basedOn w:val="Normal"/>
    <w:next w:val="Normal"/>
    <w:semiHidden/>
    <w:qFormat/>
    <w:rsid w:val="00AD5436"/>
    <w:pPr>
      <w:numPr>
        <w:ilvl w:val="8"/>
        <w:numId w:val="5"/>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70791C"/>
    <w:pPr>
      <w:tabs>
        <w:tab w:val="center" w:pos="4153"/>
        <w:tab w:val="right" w:pos="8306"/>
      </w:tabs>
      <w:spacing w:line="240" w:lineRule="auto"/>
    </w:pPr>
    <w:rPr>
      <w:sz w:val="16"/>
    </w:rPr>
  </w:style>
  <w:style w:type="paragraph" w:styleId="Footer">
    <w:name w:val="footer"/>
    <w:basedOn w:val="Normal"/>
    <w:link w:val="FooterChar"/>
    <w:semiHidden/>
    <w:qFormat/>
    <w:rsid w:val="0094078F"/>
    <w:pPr>
      <w:tabs>
        <w:tab w:val="right" w:pos="113"/>
      </w:tabs>
      <w:spacing w:line="240" w:lineRule="auto"/>
    </w:pPr>
    <w:rPr>
      <w:color w:val="323232"/>
      <w:sz w:val="16"/>
    </w:rPr>
  </w:style>
  <w:style w:type="character" w:customStyle="1" w:styleId="FooterChar">
    <w:name w:val="Footer Char"/>
    <w:basedOn w:val="DefaultParagraphFont"/>
    <w:link w:val="Footer"/>
    <w:semiHidden/>
    <w:rsid w:val="00EC2B68"/>
    <w:rPr>
      <w:rFonts w:ascii="Arial" w:hAnsi="Arial"/>
      <w:color w:val="323232"/>
      <w:sz w:val="16"/>
    </w:rPr>
  </w:style>
  <w:style w:type="paragraph" w:customStyle="1" w:styleId="Reporttitle">
    <w:name w:val="Report title"/>
    <w:basedOn w:val="Normal"/>
    <w:uiPriority w:val="19"/>
    <w:qFormat/>
    <w:rsid w:val="00A51D1A"/>
    <w:pPr>
      <w:spacing w:after="0" w:line="560" w:lineRule="exact"/>
    </w:pPr>
    <w:rPr>
      <w:b/>
      <w:spacing w:val="-28"/>
      <w:sz w:val="53"/>
    </w:rPr>
  </w:style>
  <w:style w:type="paragraph" w:customStyle="1" w:styleId="Reportsubtitle">
    <w:name w:val="Report subtitle"/>
    <w:basedOn w:val="Normal"/>
    <w:uiPriority w:val="20"/>
    <w:qFormat/>
    <w:rsid w:val="00950159"/>
    <w:pPr>
      <w:spacing w:after="200" w:line="560" w:lineRule="exact"/>
    </w:pPr>
    <w:rPr>
      <w:color w:val="323232"/>
      <w:spacing w:val="-28"/>
      <w:sz w:val="53"/>
    </w:rPr>
  </w:style>
  <w:style w:type="table" w:styleId="TableGrid">
    <w:name w:val="Table Grid"/>
    <w:basedOn w:val="TableNormal"/>
    <w:uiPriority w:val="59"/>
    <w:rsid w:val="00226819"/>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portdate">
    <w:name w:val="Report date"/>
    <w:basedOn w:val="Reportsubtitle"/>
    <w:uiPriority w:val="21"/>
    <w:qFormat/>
    <w:rsid w:val="00950159"/>
    <w:pPr>
      <w:spacing w:after="1200" w:line="240" w:lineRule="auto"/>
    </w:pPr>
    <w:rPr>
      <w:caps/>
      <w:spacing w:val="-10"/>
      <w:sz w:val="20"/>
    </w:rPr>
  </w:style>
  <w:style w:type="paragraph" w:customStyle="1" w:styleId="Tableheaderrow">
    <w:name w:val="Table header row"/>
    <w:basedOn w:val="Normal"/>
    <w:uiPriority w:val="14"/>
    <w:qFormat/>
    <w:rsid w:val="004267B6"/>
    <w:pPr>
      <w:spacing w:after="0"/>
    </w:pPr>
    <w:rPr>
      <w:b/>
      <w:sz w:val="22"/>
    </w:rPr>
  </w:style>
  <w:style w:type="paragraph" w:customStyle="1" w:styleId="PageNumber">
    <w:name w:val="PageNumber"/>
    <w:basedOn w:val="Normal"/>
    <w:semiHidden/>
    <w:rsid w:val="0070791C"/>
    <w:pPr>
      <w:spacing w:line="240" w:lineRule="auto"/>
    </w:pPr>
    <w:rPr>
      <w:sz w:val="16"/>
    </w:rPr>
  </w:style>
  <w:style w:type="paragraph" w:customStyle="1" w:styleId="Copyright">
    <w:name w:val="Copyright"/>
    <w:basedOn w:val="Normal"/>
    <w:semiHidden/>
    <w:rsid w:val="00454596"/>
    <w:pPr>
      <w:spacing w:line="160" w:lineRule="exact"/>
    </w:pPr>
    <w:rPr>
      <w:color w:val="4D4D4F"/>
      <w:sz w:val="13"/>
    </w:rPr>
  </w:style>
  <w:style w:type="paragraph" w:styleId="TOCHeading">
    <w:name w:val="TOC Heading"/>
    <w:basedOn w:val="Normal"/>
    <w:semiHidden/>
    <w:qFormat/>
    <w:rsid w:val="00950159"/>
    <w:pPr>
      <w:spacing w:before="1200" w:line="240" w:lineRule="auto"/>
    </w:pPr>
    <w:rPr>
      <w:b/>
      <w:color w:val="323232"/>
      <w:spacing w:val="-28"/>
      <w:sz w:val="53"/>
    </w:rPr>
  </w:style>
  <w:style w:type="paragraph" w:styleId="Caption">
    <w:name w:val="caption"/>
    <w:aliases w:val="Caption table"/>
    <w:basedOn w:val="Normal"/>
    <w:next w:val="Normal"/>
    <w:semiHidden/>
    <w:qFormat/>
    <w:rsid w:val="00E8152A"/>
    <w:pPr>
      <w:numPr>
        <w:numId w:val="9"/>
      </w:numPr>
      <w:spacing w:after="0"/>
    </w:pPr>
    <w:rPr>
      <w:b/>
      <w:bCs/>
      <w:color w:val="323232"/>
      <w:szCs w:val="20"/>
    </w:rPr>
  </w:style>
  <w:style w:type="paragraph" w:customStyle="1" w:styleId="BodySubHeader">
    <w:name w:val="BodySubHeader"/>
    <w:basedOn w:val="Normal"/>
    <w:next w:val="Normal"/>
    <w:semiHidden/>
    <w:rsid w:val="00146CE6"/>
    <w:pPr>
      <w:spacing w:before="240" w:after="0"/>
    </w:pPr>
    <w:rPr>
      <w:b/>
      <w:i/>
    </w:rPr>
  </w:style>
  <w:style w:type="paragraph" w:styleId="ListBullet">
    <w:name w:val="List Bullet"/>
    <w:basedOn w:val="Normal"/>
    <w:semiHidden/>
    <w:qFormat/>
    <w:rsid w:val="001C6AEE"/>
    <w:pPr>
      <w:numPr>
        <w:numId w:val="1"/>
      </w:numPr>
      <w:spacing w:after="80"/>
    </w:pPr>
  </w:style>
  <w:style w:type="paragraph" w:styleId="ListBullet2">
    <w:name w:val="List Bullet 2"/>
    <w:basedOn w:val="Normal"/>
    <w:semiHidden/>
    <w:qFormat/>
    <w:rsid w:val="001C6AEE"/>
    <w:pPr>
      <w:numPr>
        <w:numId w:val="2"/>
      </w:numPr>
      <w:spacing w:after="80"/>
    </w:pPr>
  </w:style>
  <w:style w:type="paragraph" w:styleId="ListNumber">
    <w:name w:val="List Number"/>
    <w:basedOn w:val="Normal"/>
    <w:semiHidden/>
    <w:qFormat/>
    <w:rsid w:val="004B2960"/>
    <w:pPr>
      <w:numPr>
        <w:numId w:val="3"/>
      </w:numPr>
      <w:spacing w:after="80" w:line="260" w:lineRule="atLeast"/>
      <w:ind w:left="284" w:hanging="284"/>
    </w:pPr>
    <w:rPr>
      <w:sz w:val="22"/>
    </w:rPr>
  </w:style>
  <w:style w:type="paragraph" w:styleId="ListNumber2">
    <w:name w:val="List Number 2"/>
    <w:basedOn w:val="Normal"/>
    <w:semiHidden/>
    <w:qFormat/>
    <w:rsid w:val="004A70D6"/>
    <w:pPr>
      <w:numPr>
        <w:numId w:val="4"/>
      </w:numPr>
      <w:spacing w:after="80"/>
      <w:ind w:left="828" w:hanging="357"/>
    </w:pPr>
  </w:style>
  <w:style w:type="paragraph" w:customStyle="1" w:styleId="URLEmail">
    <w:name w:val="URL/Email"/>
    <w:basedOn w:val="Normal"/>
    <w:semiHidden/>
    <w:rsid w:val="00302480"/>
    <w:rPr>
      <w:color w:val="4D4D4F"/>
      <w:spacing w:val="4"/>
    </w:rPr>
  </w:style>
  <w:style w:type="paragraph" w:customStyle="1" w:styleId="Execsummaryheading">
    <w:name w:val="Exec summary heading"/>
    <w:basedOn w:val="Normal"/>
    <w:uiPriority w:val="22"/>
    <w:qFormat/>
    <w:rsid w:val="00E66601"/>
    <w:pPr>
      <w:pageBreakBefore/>
      <w:spacing w:after="360" w:line="550" w:lineRule="exact"/>
    </w:pPr>
    <w:rPr>
      <w:b/>
      <w:color w:val="323232"/>
      <w:spacing w:val="-18"/>
      <w:sz w:val="53"/>
    </w:rPr>
  </w:style>
  <w:style w:type="character" w:styleId="PageNumber0">
    <w:name w:val="page number"/>
    <w:basedOn w:val="DefaultParagraphFont"/>
    <w:semiHidden/>
    <w:rsid w:val="00542377"/>
  </w:style>
  <w:style w:type="paragraph" w:styleId="ListContinue5">
    <w:name w:val="List Continue 5"/>
    <w:basedOn w:val="Normal"/>
    <w:semiHidden/>
    <w:rsid w:val="00EC2B68"/>
    <w:pPr>
      <w:spacing w:after="120"/>
      <w:ind w:left="1415"/>
      <w:contextualSpacing/>
    </w:pPr>
  </w:style>
  <w:style w:type="paragraph" w:customStyle="1" w:styleId="Paragraphbeforelist">
    <w:name w:val="Paragraph before list"/>
    <w:basedOn w:val="Paragraph"/>
    <w:uiPriority w:val="4"/>
    <w:qFormat/>
    <w:rsid w:val="00C87E8A"/>
    <w:pPr>
      <w:spacing w:after="80"/>
    </w:pPr>
  </w:style>
  <w:style w:type="paragraph" w:styleId="TOC1">
    <w:name w:val="toc 1"/>
    <w:basedOn w:val="Normal"/>
    <w:next w:val="Normal"/>
    <w:uiPriority w:val="39"/>
    <w:qFormat/>
    <w:rsid w:val="00D60571"/>
    <w:pPr>
      <w:tabs>
        <w:tab w:val="right" w:pos="9072"/>
      </w:tabs>
      <w:spacing w:before="280" w:after="80" w:line="320" w:lineRule="exact"/>
    </w:pPr>
    <w:rPr>
      <w:b/>
      <w:noProof/>
      <w:spacing w:val="-14"/>
      <w:sz w:val="28"/>
    </w:rPr>
  </w:style>
  <w:style w:type="paragraph" w:styleId="TOC2">
    <w:name w:val="toc 2"/>
    <w:basedOn w:val="Normal"/>
    <w:next w:val="Normal"/>
    <w:uiPriority w:val="39"/>
    <w:qFormat/>
    <w:rsid w:val="00D60571"/>
    <w:pPr>
      <w:tabs>
        <w:tab w:val="right" w:pos="9072"/>
      </w:tabs>
      <w:spacing w:after="80" w:line="300" w:lineRule="exact"/>
      <w:ind w:left="885" w:hanging="885"/>
    </w:pPr>
    <w:rPr>
      <w:noProof/>
      <w:spacing w:val="-14"/>
      <w:sz w:val="26"/>
      <w:szCs w:val="26"/>
    </w:rPr>
  </w:style>
  <w:style w:type="paragraph" w:styleId="TableofFigures">
    <w:name w:val="table of figures"/>
    <w:basedOn w:val="Normal"/>
    <w:next w:val="Normal"/>
    <w:semiHidden/>
    <w:rsid w:val="00AD3082"/>
    <w:pPr>
      <w:tabs>
        <w:tab w:val="right" w:pos="7615"/>
      </w:tabs>
      <w:spacing w:line="320" w:lineRule="exact"/>
    </w:pPr>
    <w:rPr>
      <w:noProof/>
      <w:color w:val="808285"/>
      <w:sz w:val="28"/>
    </w:rPr>
  </w:style>
  <w:style w:type="paragraph" w:styleId="TOC3">
    <w:name w:val="toc 3"/>
    <w:basedOn w:val="Normal"/>
    <w:next w:val="Normal"/>
    <w:uiPriority w:val="39"/>
    <w:qFormat/>
    <w:rsid w:val="00D60571"/>
    <w:pPr>
      <w:tabs>
        <w:tab w:val="right" w:pos="9072"/>
      </w:tabs>
      <w:spacing w:after="80" w:line="240" w:lineRule="auto"/>
    </w:pPr>
    <w:rPr>
      <w:noProof/>
      <w:sz w:val="22"/>
      <w:szCs w:val="22"/>
    </w:rPr>
  </w:style>
  <w:style w:type="character" w:styleId="Hyperlink">
    <w:name w:val="Hyperlink"/>
    <w:basedOn w:val="DefaultParagraphFont"/>
    <w:uiPriority w:val="99"/>
    <w:qFormat/>
    <w:rsid w:val="00C35CCE"/>
    <w:rPr>
      <w:color w:val="0000FF"/>
      <w:u w:val="single" w:color="0000FF"/>
    </w:rPr>
  </w:style>
  <w:style w:type="character" w:styleId="FootnoteReference">
    <w:name w:val="footnote reference"/>
    <w:basedOn w:val="DefaultParagraphFont"/>
    <w:semiHidden/>
    <w:rsid w:val="00566AB4"/>
    <w:rPr>
      <w:rFonts w:ascii="Arial" w:hAnsi="Arial"/>
      <w:vertAlign w:val="superscript"/>
    </w:rPr>
  </w:style>
  <w:style w:type="paragraph" w:styleId="FootnoteText">
    <w:name w:val="footnote text"/>
    <w:aliases w:val="Footnote text"/>
    <w:basedOn w:val="Normal"/>
    <w:uiPriority w:val="23"/>
    <w:rsid w:val="00A17B1B"/>
    <w:pPr>
      <w:spacing w:after="0" w:line="200" w:lineRule="atLeast"/>
    </w:pPr>
    <w:rPr>
      <w:sz w:val="16"/>
      <w:szCs w:val="16"/>
    </w:rPr>
  </w:style>
  <w:style w:type="paragraph" w:customStyle="1" w:styleId="TableBody">
    <w:name w:val="Table Body"/>
    <w:basedOn w:val="Normal"/>
    <w:uiPriority w:val="15"/>
    <w:qFormat/>
    <w:rsid w:val="004267B6"/>
    <w:pPr>
      <w:spacing w:after="0" w:line="240" w:lineRule="auto"/>
    </w:pPr>
    <w:rPr>
      <w:sz w:val="22"/>
    </w:rPr>
  </w:style>
  <w:style w:type="character" w:styleId="CommentReference">
    <w:name w:val="annotation reference"/>
    <w:basedOn w:val="DefaultParagraphFont"/>
    <w:semiHidden/>
    <w:rsid w:val="00EE7F79"/>
    <w:rPr>
      <w:sz w:val="16"/>
      <w:szCs w:val="16"/>
    </w:rPr>
  </w:style>
  <w:style w:type="paragraph" w:styleId="CommentText">
    <w:name w:val="annotation text"/>
    <w:basedOn w:val="Normal"/>
    <w:link w:val="CommentTextChar"/>
    <w:semiHidden/>
    <w:rsid w:val="00EE7F79"/>
    <w:pPr>
      <w:spacing w:line="240" w:lineRule="auto"/>
    </w:pPr>
    <w:rPr>
      <w:szCs w:val="20"/>
    </w:rPr>
  </w:style>
  <w:style w:type="character" w:customStyle="1" w:styleId="CommentTextChar">
    <w:name w:val="Comment Text Char"/>
    <w:basedOn w:val="DefaultParagraphFont"/>
    <w:link w:val="CommentText"/>
    <w:semiHidden/>
    <w:rsid w:val="00EE7F79"/>
    <w:rPr>
      <w:rFonts w:ascii="Arial" w:hAnsi="Arial"/>
    </w:rPr>
  </w:style>
  <w:style w:type="paragraph" w:styleId="CommentSubject">
    <w:name w:val="annotation subject"/>
    <w:basedOn w:val="CommentText"/>
    <w:next w:val="CommentText"/>
    <w:link w:val="CommentSubjectChar"/>
    <w:semiHidden/>
    <w:rsid w:val="00EE7F79"/>
    <w:rPr>
      <w:b/>
      <w:bCs/>
    </w:rPr>
  </w:style>
  <w:style w:type="character" w:customStyle="1" w:styleId="CommentSubjectChar">
    <w:name w:val="Comment Subject Char"/>
    <w:basedOn w:val="CommentTextChar"/>
    <w:link w:val="CommentSubject"/>
    <w:semiHidden/>
    <w:rsid w:val="00EE7F79"/>
    <w:rPr>
      <w:rFonts w:ascii="Arial" w:hAnsi="Arial"/>
      <w:b/>
      <w:bCs/>
    </w:rPr>
  </w:style>
  <w:style w:type="character" w:styleId="FollowedHyperlink">
    <w:name w:val="FollowedHyperlink"/>
    <w:basedOn w:val="DefaultParagraphFont"/>
    <w:semiHidden/>
    <w:rsid w:val="00F60F00"/>
    <w:rPr>
      <w:color w:val="800080" w:themeColor="followedHyperlink"/>
      <w:u w:val="single"/>
    </w:rPr>
  </w:style>
  <w:style w:type="character" w:styleId="PlaceholderText">
    <w:name w:val="Placeholder Text"/>
    <w:basedOn w:val="DefaultParagraphFont"/>
    <w:uiPriority w:val="99"/>
    <w:semiHidden/>
    <w:rsid w:val="00C97736"/>
    <w:rPr>
      <w:color w:val="808080"/>
    </w:rPr>
  </w:style>
  <w:style w:type="paragraph" w:customStyle="1" w:styleId="ACMAInstructions">
    <w:name w:val="ACMA_Instructions"/>
    <w:basedOn w:val="Normal"/>
    <w:semiHidden/>
    <w:unhideWhenUsed/>
    <w:qFormat/>
    <w:rsid w:val="00BF610C"/>
    <w:pPr>
      <w:spacing w:after="200"/>
    </w:pPr>
    <w:rPr>
      <w:rFonts w:cs="Arial"/>
      <w:b/>
      <w:vanish/>
      <w:sz w:val="24"/>
    </w:rPr>
  </w:style>
  <w:style w:type="paragraph" w:customStyle="1" w:styleId="CorporateAddresses">
    <w:name w:val="Corporate Addresses"/>
    <w:basedOn w:val="Normal"/>
    <w:semiHidden/>
    <w:rsid w:val="0005011A"/>
    <w:pPr>
      <w:spacing w:line="140" w:lineRule="exact"/>
    </w:pPr>
    <w:rPr>
      <w:color w:val="4D4D4F"/>
      <w:sz w:val="13"/>
    </w:rPr>
  </w:style>
  <w:style w:type="paragraph" w:customStyle="1" w:styleId="Bulletlevel1">
    <w:name w:val="Bullet level 1"/>
    <w:basedOn w:val="ListBullet"/>
    <w:uiPriority w:val="5"/>
    <w:qFormat/>
    <w:rsid w:val="00711ACA"/>
    <w:pPr>
      <w:spacing w:line="280" w:lineRule="atLeast"/>
    </w:pPr>
    <w:rPr>
      <w:rFonts w:cs="Arial"/>
      <w:sz w:val="22"/>
    </w:rPr>
  </w:style>
  <w:style w:type="paragraph" w:customStyle="1" w:styleId="ACMACorporateAddressHeader">
    <w:name w:val="ACMA_CorporateAddressHeader"/>
    <w:basedOn w:val="Normal"/>
    <w:next w:val="ACMACorporateAddresses"/>
    <w:semiHidden/>
    <w:unhideWhenUsed/>
    <w:qFormat/>
    <w:rsid w:val="00FC07B9"/>
    <w:pPr>
      <w:tabs>
        <w:tab w:val="left" w:pos="142"/>
      </w:tabs>
      <w:spacing w:before="240" w:after="0" w:line="140" w:lineRule="exact"/>
    </w:pPr>
    <w:rPr>
      <w:b/>
      <w:sz w:val="13"/>
    </w:rPr>
  </w:style>
  <w:style w:type="paragraph" w:customStyle="1" w:styleId="ACMACorporateAddresses">
    <w:name w:val="ACMA_CorporateAddresses"/>
    <w:basedOn w:val="ACMACorporateAddressHeader"/>
    <w:semiHidden/>
    <w:unhideWhenUsed/>
    <w:qFormat/>
    <w:rsid w:val="00FC07B9"/>
    <w:pPr>
      <w:spacing w:before="0" w:after="120"/>
    </w:pPr>
    <w:rPr>
      <w:b w:val="0"/>
    </w:rPr>
  </w:style>
  <w:style w:type="paragraph" w:customStyle="1" w:styleId="ACMACopyrightHeader">
    <w:name w:val="ACMA_CopyrightHeader"/>
    <w:basedOn w:val="ACMACorporateAddressHeader"/>
    <w:semiHidden/>
    <w:unhideWhenUsed/>
    <w:qFormat/>
    <w:rsid w:val="00950159"/>
    <w:pPr>
      <w:spacing w:before="3000"/>
    </w:pPr>
  </w:style>
  <w:style w:type="paragraph" w:customStyle="1" w:styleId="ACMACClogo">
    <w:name w:val="ACMA_CClogo"/>
    <w:semiHidden/>
    <w:unhideWhenUsed/>
    <w:qFormat/>
    <w:rsid w:val="00623FF9"/>
    <w:pPr>
      <w:spacing w:before="160" w:after="120"/>
    </w:pPr>
    <w:rPr>
      <w:rFonts w:ascii="Arial" w:hAnsi="Arial"/>
      <w:b/>
      <w:sz w:val="13"/>
    </w:rPr>
  </w:style>
  <w:style w:type="paragraph" w:customStyle="1" w:styleId="ListBulletLast">
    <w:name w:val="List Bullet Last"/>
    <w:basedOn w:val="ListBullet"/>
    <w:semiHidden/>
    <w:qFormat/>
    <w:rsid w:val="00146CE6"/>
    <w:pPr>
      <w:spacing w:after="240"/>
    </w:pPr>
    <w:rPr>
      <w:rFonts w:cs="Arial"/>
    </w:rPr>
  </w:style>
  <w:style w:type="paragraph" w:customStyle="1" w:styleId="ListNumberLast">
    <w:name w:val="List Number Last"/>
    <w:basedOn w:val="ListNumber"/>
    <w:semiHidden/>
    <w:qFormat/>
    <w:rsid w:val="00C16198"/>
    <w:pPr>
      <w:spacing w:after="240"/>
      <w:ind w:left="357" w:hanging="357"/>
    </w:pPr>
    <w:rPr>
      <w:rFonts w:cs="Arial"/>
    </w:rPr>
  </w:style>
  <w:style w:type="paragraph" w:customStyle="1" w:styleId="ACMATableHeader">
    <w:name w:val="ACMA_TableHeader"/>
    <w:semiHidden/>
    <w:qFormat/>
    <w:rsid w:val="003F10EE"/>
    <w:pPr>
      <w:numPr>
        <w:numId w:val="7"/>
      </w:numPr>
      <w:spacing w:after="160"/>
    </w:pPr>
    <w:rPr>
      <w:rFonts w:ascii="Arial" w:hAnsi="Arial"/>
      <w:b/>
      <w:bCs/>
      <w:color w:val="323232"/>
      <w:sz w:val="20"/>
      <w:szCs w:val="20"/>
    </w:rPr>
  </w:style>
  <w:style w:type="paragraph" w:customStyle="1" w:styleId="ACMANotes">
    <w:name w:val="ACMA_Notes"/>
    <w:semiHidden/>
    <w:qFormat/>
    <w:rsid w:val="00FF206E"/>
    <w:pPr>
      <w:spacing w:before="80"/>
    </w:pPr>
    <w:rPr>
      <w:rFonts w:ascii="Arial" w:hAnsi="Arial" w:cs="Arial"/>
      <w:i/>
      <w:sz w:val="16"/>
    </w:rPr>
  </w:style>
  <w:style w:type="paragraph" w:customStyle="1" w:styleId="Numberlistlevel1">
    <w:name w:val="Number list level 1"/>
    <w:basedOn w:val="ListNumber"/>
    <w:uiPriority w:val="9"/>
    <w:qFormat/>
    <w:rsid w:val="00711ACA"/>
    <w:pPr>
      <w:spacing w:line="280" w:lineRule="atLeast"/>
    </w:pPr>
  </w:style>
  <w:style w:type="character" w:styleId="Emphasis">
    <w:name w:val="Emphasis"/>
    <w:basedOn w:val="DefaultParagraphFont"/>
    <w:semiHidden/>
    <w:qFormat/>
    <w:rsid w:val="006D576C"/>
    <w:rPr>
      <w:i/>
      <w:iCs/>
    </w:rPr>
  </w:style>
  <w:style w:type="paragraph" w:customStyle="1" w:styleId="ListNumber2Last">
    <w:name w:val="List Number 2 Last"/>
    <w:basedOn w:val="ListNumber2"/>
    <w:semiHidden/>
    <w:qFormat/>
    <w:rsid w:val="00E35707"/>
    <w:pPr>
      <w:spacing w:after="240"/>
      <w:ind w:left="907"/>
    </w:pPr>
    <w:rPr>
      <w:rFonts w:cs="Arial"/>
    </w:rPr>
  </w:style>
  <w:style w:type="paragraph" w:customStyle="1" w:styleId="Spaceaftertable">
    <w:name w:val="Space after table"/>
    <w:basedOn w:val="Normal"/>
    <w:uiPriority w:val="99"/>
    <w:qFormat/>
    <w:rsid w:val="00C2083D"/>
    <w:rPr>
      <w:rFonts w:cs="Arial"/>
    </w:rPr>
  </w:style>
  <w:style w:type="paragraph" w:customStyle="1" w:styleId="FooterLeft">
    <w:name w:val="Footer Left"/>
    <w:basedOn w:val="Footer"/>
    <w:semiHidden/>
    <w:qFormat/>
    <w:rsid w:val="00950159"/>
    <w:pPr>
      <w:framePr w:w="1440" w:h="357" w:hRule="exact" w:vSpace="425" w:wrap="around" w:vAnchor="page" w:hAnchor="page" w:x="935" w:y="15871"/>
      <w:pBdr>
        <w:top w:val="single" w:sz="4" w:space="1" w:color="auto"/>
      </w:pBdr>
    </w:pPr>
    <w:rPr>
      <w:rFonts w:cs="Arial"/>
    </w:rPr>
  </w:style>
  <w:style w:type="paragraph" w:customStyle="1" w:styleId="ACMAFigureHeader">
    <w:name w:val="ACMA_FigureHeader"/>
    <w:semiHidden/>
    <w:qFormat/>
    <w:rsid w:val="003F10EE"/>
    <w:pPr>
      <w:numPr>
        <w:numId w:val="6"/>
      </w:numPr>
      <w:spacing w:after="160"/>
    </w:pPr>
    <w:rPr>
      <w:rFonts w:ascii="Arial" w:hAnsi="Arial"/>
      <w:b/>
      <w:bCs/>
      <w:color w:val="323232"/>
      <w:sz w:val="20"/>
      <w:szCs w:val="20"/>
    </w:rPr>
  </w:style>
  <w:style w:type="paragraph" w:customStyle="1" w:styleId="Captionfigure">
    <w:name w:val="Caption figure"/>
    <w:basedOn w:val="Caption"/>
    <w:semiHidden/>
    <w:qFormat/>
    <w:rsid w:val="00E8152A"/>
    <w:pPr>
      <w:keepNext/>
      <w:numPr>
        <w:numId w:val="8"/>
      </w:numPr>
    </w:pPr>
    <w:rPr>
      <w:rFonts w:cs="Arial"/>
    </w:rPr>
  </w:style>
  <w:style w:type="paragraph" w:customStyle="1" w:styleId="GridTable31">
    <w:name w:val="Grid Table 31"/>
    <w:basedOn w:val="Normal"/>
    <w:semiHidden/>
    <w:qFormat/>
    <w:rsid w:val="00971914"/>
    <w:pPr>
      <w:spacing w:after="0" w:line="240" w:lineRule="auto"/>
    </w:pPr>
    <w:rPr>
      <w:b/>
      <w:color w:val="4D4D4F"/>
      <w:spacing w:val="-28"/>
      <w:sz w:val="53"/>
    </w:rPr>
  </w:style>
  <w:style w:type="character" w:customStyle="1" w:styleId="HeaderChar">
    <w:name w:val="Header Char"/>
    <w:link w:val="Header"/>
    <w:semiHidden/>
    <w:rsid w:val="00971914"/>
    <w:rPr>
      <w:rFonts w:ascii="Arial" w:hAnsi="Arial"/>
      <w:sz w:val="16"/>
    </w:rPr>
  </w:style>
  <w:style w:type="character" w:customStyle="1" w:styleId="Heading1Char">
    <w:name w:val="Heading 1 Char"/>
    <w:basedOn w:val="DefaultParagraphFont"/>
    <w:link w:val="Heading1"/>
    <w:uiPriority w:val="1"/>
    <w:rsid w:val="00CE0BB5"/>
    <w:rPr>
      <w:rFonts w:ascii="Arial" w:hAnsi="Arial" w:cs="Arial"/>
      <w:bCs/>
      <w:color w:val="323232"/>
      <w:kern w:val="32"/>
      <w:sz w:val="53"/>
      <w:szCs w:val="32"/>
    </w:rPr>
  </w:style>
  <w:style w:type="character" w:customStyle="1" w:styleId="Heading2Char">
    <w:name w:val="Heading 2 Char"/>
    <w:basedOn w:val="DefaultParagraphFont"/>
    <w:link w:val="Heading2"/>
    <w:uiPriority w:val="1"/>
    <w:rsid w:val="00711ACA"/>
    <w:rPr>
      <w:rFonts w:ascii="Arial" w:hAnsi="Arial" w:cs="Arial"/>
      <w:b/>
      <w:bCs/>
      <w:iCs/>
      <w:sz w:val="28"/>
      <w:szCs w:val="28"/>
    </w:rPr>
  </w:style>
  <w:style w:type="character" w:styleId="UnresolvedMention">
    <w:name w:val="Unresolved Mention"/>
    <w:basedOn w:val="DefaultParagraphFont"/>
    <w:uiPriority w:val="99"/>
    <w:semiHidden/>
    <w:unhideWhenUsed/>
    <w:rsid w:val="006B52DE"/>
    <w:rPr>
      <w:color w:val="605E5C"/>
      <w:shd w:val="clear" w:color="auto" w:fill="E1DFDD"/>
    </w:rPr>
  </w:style>
  <w:style w:type="character" w:customStyle="1" w:styleId="Heading3Char">
    <w:name w:val="Heading 3 Char"/>
    <w:basedOn w:val="DefaultParagraphFont"/>
    <w:link w:val="Heading3"/>
    <w:uiPriority w:val="2"/>
    <w:rsid w:val="00711ACA"/>
    <w:rPr>
      <w:rFonts w:ascii="Arial" w:hAnsi="Arial" w:cs="Arial"/>
      <w:b/>
      <w:bCs/>
      <w:sz w:val="22"/>
      <w:szCs w:val="26"/>
    </w:rPr>
  </w:style>
  <w:style w:type="paragraph" w:customStyle="1" w:styleId="Paragraph">
    <w:name w:val="Paragraph"/>
    <w:basedOn w:val="Normal"/>
    <w:qFormat/>
    <w:rsid w:val="00711ACA"/>
    <w:pPr>
      <w:spacing w:line="280" w:lineRule="atLeast"/>
    </w:pPr>
    <w:rPr>
      <w:rFonts w:cs="Arial"/>
      <w:sz w:val="22"/>
    </w:rPr>
  </w:style>
  <w:style w:type="paragraph" w:customStyle="1" w:styleId="Bulletlevel2">
    <w:name w:val="Bullet level 2"/>
    <w:basedOn w:val="ListBullet2"/>
    <w:uiPriority w:val="7"/>
    <w:qFormat/>
    <w:rsid w:val="00711ACA"/>
    <w:pPr>
      <w:numPr>
        <w:numId w:val="15"/>
      </w:numPr>
      <w:tabs>
        <w:tab w:val="left" w:pos="295"/>
      </w:tabs>
      <w:spacing w:line="280" w:lineRule="atLeast"/>
      <w:ind w:left="568" w:hanging="284"/>
    </w:pPr>
    <w:rPr>
      <w:rFonts w:cs="Arial"/>
      <w:sz w:val="22"/>
    </w:rPr>
  </w:style>
  <w:style w:type="paragraph" w:customStyle="1" w:styleId="Bulletlevel1last">
    <w:name w:val="Bullet level 1 last"/>
    <w:basedOn w:val="ListBulletLast"/>
    <w:uiPriority w:val="6"/>
    <w:qFormat/>
    <w:rsid w:val="00711ACA"/>
    <w:pPr>
      <w:numPr>
        <w:numId w:val="14"/>
      </w:numPr>
      <w:spacing w:line="280" w:lineRule="atLeast"/>
      <w:ind w:left="284" w:hanging="284"/>
    </w:pPr>
    <w:rPr>
      <w:sz w:val="22"/>
    </w:rPr>
  </w:style>
  <w:style w:type="paragraph" w:customStyle="1" w:styleId="Numberlistlevel2">
    <w:name w:val="Number list level 2"/>
    <w:basedOn w:val="ListNumber2"/>
    <w:uiPriority w:val="11"/>
    <w:qFormat/>
    <w:rsid w:val="00711ACA"/>
    <w:pPr>
      <w:spacing w:line="280" w:lineRule="atLeast"/>
      <w:ind w:left="738" w:hanging="284"/>
    </w:pPr>
    <w:rPr>
      <w:sz w:val="22"/>
    </w:rPr>
  </w:style>
  <w:style w:type="paragraph" w:customStyle="1" w:styleId="Numberlistlast">
    <w:name w:val="Number list last"/>
    <w:basedOn w:val="ListNumberLast"/>
    <w:uiPriority w:val="10"/>
    <w:qFormat/>
    <w:rsid w:val="00711ACA"/>
    <w:pPr>
      <w:spacing w:line="280" w:lineRule="atLeast"/>
      <w:ind w:left="284" w:hanging="284"/>
    </w:pPr>
  </w:style>
  <w:style w:type="paragraph" w:customStyle="1" w:styleId="Numberlistlevel2last">
    <w:name w:val="Number list level 2 last"/>
    <w:basedOn w:val="Numberlistlevel2"/>
    <w:uiPriority w:val="12"/>
    <w:qFormat/>
    <w:rsid w:val="004A70D6"/>
    <w:pPr>
      <w:spacing w:after="240"/>
    </w:pPr>
  </w:style>
  <w:style w:type="paragraph" w:customStyle="1" w:styleId="Bulletlevel2last">
    <w:name w:val="Bullet level 2 last"/>
    <w:basedOn w:val="Bulletlevel2"/>
    <w:uiPriority w:val="8"/>
    <w:qFormat/>
    <w:rsid w:val="005A62E5"/>
    <w:pPr>
      <w:numPr>
        <w:numId w:val="16"/>
      </w:numPr>
      <w:spacing w:after="240"/>
      <w:ind w:left="568" w:hanging="284"/>
    </w:pPr>
  </w:style>
  <w:style w:type="table" w:customStyle="1" w:styleId="ACMAtablestyle">
    <w:name w:val="ACMA table style"/>
    <w:basedOn w:val="TableNormal"/>
    <w:uiPriority w:val="99"/>
    <w:rsid w:val="00F04366"/>
    <w:rPr>
      <w:rFonts w:ascii="Arial" w:hAnsi="Arial"/>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57" w:type="dxa"/>
        <w:bottom w:w="85" w:type="dxa"/>
        <w:right w:w="57" w:type="dxa"/>
      </w:tblCellMar>
    </w:tblPr>
    <w:tblStylePr w:type="firstRow">
      <w:rPr>
        <w:rFonts w:ascii="Arial" w:hAnsi="Arial"/>
        <w:b w:val="0"/>
        <w:color w:val="FFFFFF" w:themeColor="background1"/>
        <w:sz w:val="20"/>
      </w:rPr>
      <w:tblPr/>
      <w:trPr>
        <w:tblHeader/>
      </w:trPr>
      <w:tcPr>
        <w:tcBorders>
          <w:top w:val="single" w:sz="4" w:space="0" w:color="auto"/>
          <w:left w:val="single" w:sz="4" w:space="0" w:color="auto"/>
          <w:bottom w:val="single" w:sz="4" w:space="0" w:color="auto"/>
          <w:right w:val="single" w:sz="4" w:space="0" w:color="auto"/>
          <w:insideH w:val="nil"/>
          <w:insideV w:val="nil"/>
        </w:tcBorders>
        <w:shd w:val="clear" w:color="auto" w:fill="404040" w:themeFill="text1" w:themeFillTint="BF"/>
      </w:tcPr>
    </w:tblStylePr>
    <w:tblStylePr w:type="band1Horz">
      <w:rPr>
        <w:rFonts w:ascii="Arial" w:hAnsi="Arial"/>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2Horz">
      <w:rPr>
        <w:rFonts w:ascii="Arial" w:hAnsi="Arial"/>
        <w:sz w:val="20"/>
      </w:rPr>
      <w:tblPr/>
      <w:tcPr>
        <w:shd w:val="clear" w:color="auto" w:fill="F2F2F2" w:themeFill="background1" w:themeFillShade="F2"/>
      </w:tcPr>
    </w:tblStylePr>
  </w:style>
  <w:style w:type="paragraph" w:customStyle="1" w:styleId="Tableheading">
    <w:name w:val="Table heading"/>
    <w:basedOn w:val="ACMATableHeader"/>
    <w:uiPriority w:val="13"/>
    <w:qFormat/>
    <w:rsid w:val="00711ACA"/>
    <w:pPr>
      <w:keepNext/>
      <w:spacing w:line="280" w:lineRule="atLeast"/>
    </w:pPr>
    <w:rPr>
      <w:sz w:val="22"/>
    </w:rPr>
  </w:style>
  <w:style w:type="paragraph" w:customStyle="1" w:styleId="Tableorfigurenote">
    <w:name w:val="Table or figure note"/>
    <w:basedOn w:val="ACMANotes"/>
    <w:uiPriority w:val="17"/>
    <w:qFormat/>
    <w:rsid w:val="00930510"/>
    <w:pPr>
      <w:spacing w:after="240"/>
    </w:pPr>
  </w:style>
  <w:style w:type="paragraph" w:customStyle="1" w:styleId="Figureheading">
    <w:name w:val="Figure heading"/>
    <w:basedOn w:val="ACMAFigureHeader"/>
    <w:uiPriority w:val="16"/>
    <w:qFormat/>
    <w:rsid w:val="00711ACA"/>
    <w:pPr>
      <w:keepNext/>
      <w:spacing w:line="280" w:lineRule="atLeast"/>
    </w:pPr>
    <w:rPr>
      <w:sz w:val="22"/>
    </w:rPr>
  </w:style>
  <w:style w:type="paragraph" w:customStyle="1" w:styleId="Tableorfigurenotemultiple">
    <w:name w:val="Table or figure note multiple"/>
    <w:basedOn w:val="Tableorfigurenote"/>
    <w:uiPriority w:val="18"/>
    <w:qFormat/>
    <w:rsid w:val="00930510"/>
    <w:pPr>
      <w:spacing w:after="80"/>
    </w:pPr>
  </w:style>
  <w:style w:type="paragraph" w:customStyle="1" w:styleId="Protectivemarking">
    <w:name w:val="Protective marking"/>
    <w:basedOn w:val="Normal"/>
    <w:uiPriority w:val="99"/>
    <w:qFormat/>
    <w:rsid w:val="007E3375"/>
    <w:pPr>
      <w:tabs>
        <w:tab w:val="left" w:pos="720"/>
      </w:tabs>
      <w:spacing w:after="0" w:line="240" w:lineRule="auto"/>
      <w:jc w:val="center"/>
    </w:pPr>
    <w:rPr>
      <w:rFonts w:cs="Arial"/>
      <w:b/>
      <w:bCs/>
      <w:color w:val="FF0000"/>
      <w:sz w:val="32"/>
      <w:lang w:eastAsia="en-US"/>
    </w:rPr>
  </w:style>
  <w:style w:type="paragraph" w:styleId="BalloonText">
    <w:name w:val="Balloon Text"/>
    <w:basedOn w:val="Normal"/>
    <w:link w:val="BalloonTextChar"/>
    <w:semiHidden/>
    <w:unhideWhenUsed/>
    <w:rsid w:val="004511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4511C5"/>
    <w:rPr>
      <w:rFonts w:ascii="Segoe UI" w:hAnsi="Segoe UI" w:cs="Segoe UI"/>
      <w:sz w:val="18"/>
      <w:szCs w:val="18"/>
    </w:rPr>
  </w:style>
  <w:style w:type="paragraph" w:styleId="Revision">
    <w:name w:val="Revision"/>
    <w:hidden/>
    <w:semiHidden/>
    <w:rsid w:val="004511C5"/>
    <w:rPr>
      <w:rFonts w:ascii="Arial" w:hAnsi="Arial"/>
      <w:sz w:val="20"/>
    </w:rPr>
  </w:style>
  <w:style w:type="paragraph" w:customStyle="1" w:styleId="Executivesummarysubheading">
    <w:name w:val="Executive summary subheading"/>
    <w:basedOn w:val="Heading4"/>
    <w:uiPriority w:val="3"/>
    <w:qFormat/>
    <w:rsid w:val="00711ACA"/>
    <w:pPr>
      <w:spacing w:after="80"/>
    </w:pPr>
  </w:style>
  <w:style w:type="paragraph" w:styleId="ListParagraph">
    <w:name w:val="List Paragraph"/>
    <w:basedOn w:val="Normal"/>
    <w:semiHidden/>
    <w:rsid w:val="00260C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784553">
      <w:bodyDiv w:val="1"/>
      <w:marLeft w:val="0"/>
      <w:marRight w:val="0"/>
      <w:marTop w:val="0"/>
      <w:marBottom w:val="0"/>
      <w:divBdr>
        <w:top w:val="none" w:sz="0" w:space="0" w:color="auto"/>
        <w:left w:val="none" w:sz="0" w:space="0" w:color="auto"/>
        <w:bottom w:val="none" w:sz="0" w:space="0" w:color="auto"/>
        <w:right w:val="none" w:sz="0" w:space="0" w:color="auto"/>
      </w:divBdr>
    </w:div>
    <w:div w:id="1409771268">
      <w:bodyDiv w:val="1"/>
      <w:marLeft w:val="0"/>
      <w:marRight w:val="0"/>
      <w:marTop w:val="0"/>
      <w:marBottom w:val="0"/>
      <w:divBdr>
        <w:top w:val="none" w:sz="0" w:space="0" w:color="auto"/>
        <w:left w:val="none" w:sz="0" w:space="0" w:color="auto"/>
        <w:bottom w:val="none" w:sz="0" w:space="0" w:color="auto"/>
        <w:right w:val="none" w:sz="0" w:space="0" w:color="auto"/>
      </w:divBdr>
    </w:div>
    <w:div w:id="1533494701">
      <w:bodyDiv w:val="1"/>
      <w:marLeft w:val="0"/>
      <w:marRight w:val="0"/>
      <w:marTop w:val="0"/>
      <w:marBottom w:val="0"/>
      <w:divBdr>
        <w:top w:val="none" w:sz="0" w:space="0" w:color="auto"/>
        <w:left w:val="none" w:sz="0" w:space="0" w:color="auto"/>
        <w:bottom w:val="none" w:sz="0" w:space="0" w:color="auto"/>
        <w:right w:val="none" w:sz="0" w:space="0" w:color="auto"/>
      </w:divBdr>
    </w:div>
    <w:div w:id="1566910818">
      <w:bodyDiv w:val="1"/>
      <w:marLeft w:val="0"/>
      <w:marRight w:val="0"/>
      <w:marTop w:val="0"/>
      <w:marBottom w:val="0"/>
      <w:divBdr>
        <w:top w:val="none" w:sz="0" w:space="0" w:color="auto"/>
        <w:left w:val="none" w:sz="0" w:space="0" w:color="auto"/>
        <w:bottom w:val="none" w:sz="0" w:space="0" w:color="auto"/>
        <w:right w:val="none" w:sz="0" w:space="0" w:color="auto"/>
      </w:divBdr>
    </w:div>
    <w:div w:id="1925912315">
      <w:bodyDiv w:val="1"/>
      <w:marLeft w:val="0"/>
      <w:marRight w:val="0"/>
      <w:marTop w:val="0"/>
      <w:marBottom w:val="0"/>
      <w:divBdr>
        <w:top w:val="none" w:sz="0" w:space="0" w:color="auto"/>
        <w:left w:val="none" w:sz="0" w:space="0" w:color="auto"/>
        <w:bottom w:val="none" w:sz="0" w:space="0" w:color="auto"/>
        <w:right w:val="none" w:sz="0" w:space="0" w:color="auto"/>
      </w:divBdr>
    </w:div>
    <w:div w:id="208275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hyperlink" Target="https://www.acma.gov.au/sites/default/files/2025-02/updating_earth_station_and_ptp_coordination_rules_consultation_paper.pdf" TargetMode="External"/><Relationship Id="rId39" Type="http://schemas.openxmlformats.org/officeDocument/2006/relationships/header" Target="header8.xml"/><Relationship Id="rId21" Type="http://schemas.openxmlformats.org/officeDocument/2006/relationships/header" Target="header6.xml"/><Relationship Id="rId34" Type="http://schemas.openxmlformats.org/officeDocument/2006/relationships/hyperlink" Target="https://search.itu.int/history/HistoryDigitalCollectionDocLibrary/1.43.48.en.102.pdf" TargetMode="External"/><Relationship Id="rId42" Type="http://schemas.openxmlformats.org/officeDocument/2006/relationships/footer" Target="footer10.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reativecommons.org/licenses/by/4.0/" TargetMode="External"/><Relationship Id="rId20" Type="http://schemas.openxmlformats.org/officeDocument/2006/relationships/footer" Target="footer5.xml"/><Relationship Id="rId29" Type="http://schemas.openxmlformats.org/officeDocument/2006/relationships/hyperlink" Target="https://www.acma.gov.au/publications/2019-09/instruction/rali-ms31-notification-zones-around-radio-astronomy-facilities" TargetMode="External"/><Relationship Id="rId41"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7.xml"/><Relationship Id="rId32" Type="http://schemas.openxmlformats.org/officeDocument/2006/relationships/hyperlink" Target="https://www.acma.gov.au/consultations/2025-02/updating-earth-station-and-ptp-coordination-rules" TargetMode="External"/><Relationship Id="rId37" Type="http://schemas.openxmlformats.org/officeDocument/2006/relationships/hyperlink" Target="https://www.acma.gov.au/australian-radiofrequency-spectrum-plan" TargetMode="External"/><Relationship Id="rId40"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oter" Target="footer6.xml"/><Relationship Id="rId28" Type="http://schemas.openxmlformats.org/officeDocument/2006/relationships/hyperlink" Target="https://www.acma.gov.au/publications/2019-08/instruction/rali-fx20-millimetre-wave-point-point-self-coordinated-stations" TargetMode="External"/><Relationship Id="rId36" Type="http://schemas.openxmlformats.org/officeDocument/2006/relationships/hyperlink" Target="https://www.legislation.gov.au/F2025L00261/latest/text" TargetMode="External"/><Relationship Id="rId10" Type="http://schemas.openxmlformats.org/officeDocument/2006/relationships/footer" Target="footer1.xml"/><Relationship Id="rId19" Type="http://schemas.openxmlformats.org/officeDocument/2006/relationships/footer" Target="footer4.xml"/><Relationship Id="rId31" Type="http://schemas.openxmlformats.org/officeDocument/2006/relationships/hyperlink" Target="https://www.acma.gov.au/sites/default/files/2025-02/draft_rali_review_work_program_2025-26.pdf"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i.creativecommons.org/l/by/3.0/88x31.png" TargetMode="External"/><Relationship Id="rId22" Type="http://schemas.openxmlformats.org/officeDocument/2006/relationships/header" Target="header7.xml"/><Relationship Id="rId27" Type="http://schemas.openxmlformats.org/officeDocument/2006/relationships/hyperlink" Target="https://view.officeapps.live.com/op/view.aspx?src=https%3A%2F%2Fwww.acma.gov.au%2Fsites%2Fdefault%2Ffiles%2F2019-08%2FRALI-MS45.docx&amp;wdOrigin=BROWSELINK" TargetMode="External"/><Relationship Id="rId30" Type="http://schemas.openxmlformats.org/officeDocument/2006/relationships/hyperlink" Target="https://www.acma.gov.au/ralis-frequency-coordination" TargetMode="External"/><Relationship Id="rId35" Type="http://schemas.openxmlformats.org/officeDocument/2006/relationships/hyperlink" Target="https://webarchive.nla.gov.au/awa/20190808042149/https:/www.acma.gov.au/theACMA/proposed-sharing-arrangements-in-the-11-ghz-band" TargetMode="External"/><Relationship Id="rId43"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4.xml"/><Relationship Id="rId25" Type="http://schemas.openxmlformats.org/officeDocument/2006/relationships/footer" Target="footer8.xml"/><Relationship Id="rId33" Type="http://schemas.openxmlformats.org/officeDocument/2006/relationships/hyperlink" Target="https://www.acma.gov.au/consultations/2025-02/updating-earth-station-and-ptp-coordination-rules" TargetMode="External"/><Relationship Id="rId38" Type="http://schemas.openxmlformats.org/officeDocument/2006/relationships/hyperlink" Target="https://www.acma.gov.au/ralis-frequency-coordination"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acma.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rgbClr val="000000"/>
      </a:dk1>
      <a:lt1>
        <a:sysClr val="window" lastClr="FFFFFF"/>
      </a:lt1>
      <a:dk2>
        <a:srgbClr val="000000"/>
      </a:dk2>
      <a:lt2>
        <a:srgbClr val="FFFFFF"/>
      </a:lt2>
      <a:accent1>
        <a:srgbClr val="00A0A4"/>
      </a:accent1>
      <a:accent2>
        <a:srgbClr val="7C426F"/>
      </a:accent2>
      <a:accent3>
        <a:srgbClr val="39457C"/>
      </a:accent3>
      <a:accent4>
        <a:srgbClr val="85BEC2"/>
      </a:accent4>
      <a:accent5>
        <a:srgbClr val="CBB6CA"/>
      </a:accent5>
      <a:accent6>
        <a:srgbClr val="D3E5E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C86DBA-C773-4DAC-958D-07E48CB3D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2068</Words>
  <Characters>11850</Characters>
  <Application>Microsoft Office Word</Application>
  <DocSecurity>0</DocSecurity>
  <Lines>237</Lines>
  <Paragraphs>109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13809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2025-09-08T01:18:00Z</dcterms:created>
  <dcterms:modified xsi:type="dcterms:W3CDTF">2025-09-08T01:19:00Z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74e14856,34e4bd21,13d38509,5fb7f916,57d3b97d,9cfaf5,27341e2f,1971e3fc,1aab6299</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4a3a29d1,5bcba658,4d3cc158,387a2215,42e8dfaf,1d93535b,53cc5664,38915c2,665fe3f9,3d8d0f66</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aeb57847-2996-43f6-9ac9-aca8e5487221_Enabled">
    <vt:lpwstr>true</vt:lpwstr>
  </property>
  <property fmtid="{D5CDD505-2E9C-101B-9397-08002B2CF9AE}" pid="9" name="MSIP_Label_aeb57847-2996-43f6-9ac9-aca8e5487221_SetDate">
    <vt:lpwstr>2025-09-08T01:19:05Z</vt:lpwstr>
  </property>
  <property fmtid="{D5CDD505-2E9C-101B-9397-08002B2CF9AE}" pid="10" name="MSIP_Label_aeb57847-2996-43f6-9ac9-aca8e5487221_Method">
    <vt:lpwstr>Privileged</vt:lpwstr>
  </property>
  <property fmtid="{D5CDD505-2E9C-101B-9397-08002B2CF9AE}" pid="11" name="MSIP_Label_aeb57847-2996-43f6-9ac9-aca8e5487221_Name">
    <vt:lpwstr>90fb82dc-5319-427a-bd3a-0b26e5d5e425</vt:lpwstr>
  </property>
  <property fmtid="{D5CDD505-2E9C-101B-9397-08002B2CF9AE}" pid="12" name="MSIP_Label_aeb57847-2996-43f6-9ac9-aca8e5487221_SiteId">
    <vt:lpwstr>0dac7f39-d20c-4e71-8af3-71ee7e268a2b</vt:lpwstr>
  </property>
  <property fmtid="{D5CDD505-2E9C-101B-9397-08002B2CF9AE}" pid="13" name="MSIP_Label_aeb57847-2996-43f6-9ac9-aca8e5487221_ActionId">
    <vt:lpwstr>e3cc4210-1b23-4658-9a08-1f5a36a52d64</vt:lpwstr>
  </property>
  <property fmtid="{D5CDD505-2E9C-101B-9397-08002B2CF9AE}" pid="14" name="MSIP_Label_aeb57847-2996-43f6-9ac9-aca8e5487221_ContentBits">
    <vt:lpwstr>3</vt:lpwstr>
  </property>
  <property fmtid="{D5CDD505-2E9C-101B-9397-08002B2CF9AE}" pid="15" name="MSIP_Label_aeb57847-2996-43f6-9ac9-aca8e5487221_Tag">
    <vt:lpwstr>10, 0, 1, 1</vt:lpwstr>
  </property>
</Properties>
</file>