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D982" w14:textId="3BAD941E" w:rsidR="00270F22" w:rsidRPr="00A51D1A" w:rsidRDefault="00AB09F8" w:rsidP="00270F22">
      <w:pPr>
        <w:pStyle w:val="ACMAReportTitle"/>
      </w:pPr>
      <w:bookmarkStart w:id="0" w:name="_Toc6298709"/>
      <w:r w:rsidRPr="00AB09F8">
        <w:t>Notification zones for apparatus licensed services around radio astronomy facilities</w:t>
      </w:r>
      <w:r>
        <w:t xml:space="preserve"> </w:t>
      </w:r>
    </w:p>
    <w:p w14:paraId="017A85C1" w14:textId="7C60ED16" w:rsidR="004A13A7" w:rsidRDefault="004A13A7" w:rsidP="004A13A7">
      <w:pPr>
        <w:pStyle w:val="ACMAReportSubTitle"/>
      </w:pPr>
    </w:p>
    <w:p w14:paraId="5469EB58" w14:textId="77777777" w:rsidR="004A13A7" w:rsidRPr="00063A18" w:rsidRDefault="004A13A7" w:rsidP="004A13A7">
      <w:pPr>
        <w:pStyle w:val="ACMAInstructions"/>
      </w:pPr>
      <w:r w:rsidRPr="00063A18">
        <w:t xml:space="preserve">Radiocommunications </w:t>
      </w:r>
      <w:r>
        <w:t>A</w:t>
      </w:r>
      <w:r w:rsidRPr="00063A18">
        <w:t xml:space="preserve">ssignment and </w:t>
      </w:r>
      <w:r>
        <w:t>L</w:t>
      </w:r>
      <w:r w:rsidRPr="00063A18">
        <w:t xml:space="preserve">icensing </w:t>
      </w:r>
      <w:r>
        <w:t>I</w:t>
      </w:r>
      <w:r w:rsidRPr="00063A18">
        <w:t>nstruction</w:t>
      </w:r>
    </w:p>
    <w:p w14:paraId="7E766B94" w14:textId="4D94B82D" w:rsidR="004A13A7" w:rsidRPr="00C87159" w:rsidRDefault="004A13A7" w:rsidP="004A13A7">
      <w:pPr>
        <w:pStyle w:val="ACMAReportDate"/>
        <w:rPr>
          <w:b/>
        </w:rPr>
      </w:pPr>
      <w:r w:rsidRPr="00C87159">
        <w:rPr>
          <w:b/>
        </w:rPr>
        <w:t>rali: MS</w:t>
      </w:r>
      <w:r w:rsidR="00AB09F8">
        <w:rPr>
          <w:b/>
        </w:rPr>
        <w:t>31</w:t>
      </w:r>
    </w:p>
    <w:p w14:paraId="200A058D" w14:textId="68EA4A2E" w:rsidR="004A13A7" w:rsidRPr="00C87159" w:rsidRDefault="004A13A7" w:rsidP="008F7E36">
      <w:pPr>
        <w:pStyle w:val="ACMAReportDate"/>
        <w:widowControl w:val="0"/>
        <w:rPr>
          <w:b/>
        </w:rPr>
      </w:pPr>
      <w:r w:rsidRPr="00C87159">
        <w:rPr>
          <w:b/>
        </w:rPr>
        <w:t xml:space="preserve">date of effect: </w:t>
      </w:r>
      <w:r w:rsidR="009808D3">
        <w:rPr>
          <w:b/>
        </w:rPr>
        <w:t>12</w:t>
      </w:r>
      <w:r w:rsidR="009808D3" w:rsidRPr="009808D3">
        <w:rPr>
          <w:b/>
          <w:vertAlign w:val="superscript"/>
        </w:rPr>
        <w:t>th</w:t>
      </w:r>
      <w:r w:rsidR="009808D3">
        <w:rPr>
          <w:b/>
        </w:rPr>
        <w:t xml:space="preserve"> September 2025</w:t>
      </w:r>
      <w:r w:rsidR="00087C3E">
        <w:rPr>
          <w:b/>
        </w:rPr>
        <w:t xml:space="preserve"> </w:t>
      </w:r>
    </w:p>
    <w:p w14:paraId="5BA2251D" w14:textId="132A297C" w:rsidR="0040306E" w:rsidRDefault="008D6BD1" w:rsidP="0040306E">
      <w:pPr>
        <w:spacing w:after="0" w:line="240" w:lineRule="auto"/>
      </w:pPr>
      <w:r>
        <w:br w:type="page"/>
      </w:r>
    </w:p>
    <w:p w14:paraId="2121EB81" w14:textId="77777777" w:rsidR="00822B3D" w:rsidRDefault="00822B3D" w:rsidP="00BA5A9D">
      <w:pPr>
        <w:pStyle w:val="Heading1"/>
        <w:rPr>
          <w:szCs w:val="44"/>
        </w:rPr>
        <w:sectPr w:rsidR="00822B3D" w:rsidSect="00A07457">
          <w:headerReference w:type="even" r:id="rId12"/>
          <w:headerReference w:type="default" r:id="rId13"/>
          <w:footerReference w:type="even" r:id="rId14"/>
          <w:footerReference w:type="default" r:id="rId15"/>
          <w:headerReference w:type="first" r:id="rId16"/>
          <w:footerReference w:type="first" r:id="rId17"/>
          <w:type w:val="oddPage"/>
          <w:pgSz w:w="11906" w:h="16838"/>
          <w:pgMar w:top="3251" w:right="1440" w:bottom="1440" w:left="1440" w:header="708" w:footer="708" w:gutter="0"/>
          <w:pgNumType w:fmt="lowerRoman" w:start="1"/>
          <w:cols w:space="708"/>
          <w:titlePg/>
          <w:docGrid w:linePitch="360"/>
        </w:sectPr>
      </w:pPr>
    </w:p>
    <w:p w14:paraId="4918E06B" w14:textId="1B9E40A0" w:rsidR="004A13A7" w:rsidRPr="00420CAF" w:rsidRDefault="004A13A7" w:rsidP="00420CAF">
      <w:pPr>
        <w:rPr>
          <w:sz w:val="32"/>
        </w:rPr>
      </w:pPr>
      <w:r w:rsidRPr="00420CAF">
        <w:rPr>
          <w:sz w:val="32"/>
          <w:szCs w:val="32"/>
        </w:rPr>
        <w:lastRenderedPageBreak/>
        <w:t>Amendment history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6804"/>
      </w:tblGrid>
      <w:tr w:rsidR="004A13A7" w:rsidRPr="002E390A" w14:paraId="313436DD" w14:textId="77777777" w:rsidTr="009238F0">
        <w:trPr>
          <w:cantSplit/>
          <w:tblHeader/>
        </w:trPr>
        <w:tc>
          <w:tcPr>
            <w:tcW w:w="1696" w:type="dxa"/>
            <w:shd w:val="clear" w:color="auto" w:fill="D9D9D9"/>
          </w:tcPr>
          <w:p w14:paraId="5A66385E" w14:textId="77777777" w:rsidR="004A13A7" w:rsidRPr="00AF06C8" w:rsidRDefault="004A13A7" w:rsidP="00D87707">
            <w:pPr>
              <w:pStyle w:val="TableHeading0"/>
              <w:spacing w:before="0" w:after="80" w:line="240" w:lineRule="auto"/>
              <w:rPr>
                <w:rFonts w:eastAsiaTheme="minorHAnsi"/>
                <w:szCs w:val="22"/>
              </w:rPr>
            </w:pPr>
            <w:r w:rsidRPr="00AF06C8">
              <w:rPr>
                <w:rFonts w:eastAsiaTheme="minorHAnsi"/>
                <w:szCs w:val="22"/>
              </w:rPr>
              <w:t>Date</w:t>
            </w:r>
          </w:p>
        </w:tc>
        <w:tc>
          <w:tcPr>
            <w:tcW w:w="6804" w:type="dxa"/>
            <w:shd w:val="clear" w:color="auto" w:fill="D9D9D9"/>
          </w:tcPr>
          <w:p w14:paraId="1E8D63A3" w14:textId="77777777" w:rsidR="004A13A7" w:rsidRPr="00AF06C8" w:rsidRDefault="004A13A7" w:rsidP="00D87707">
            <w:pPr>
              <w:pStyle w:val="TableHeading0"/>
              <w:spacing w:before="0" w:after="80" w:line="240" w:lineRule="auto"/>
              <w:rPr>
                <w:rFonts w:eastAsiaTheme="minorHAnsi"/>
                <w:szCs w:val="22"/>
              </w:rPr>
            </w:pPr>
            <w:r w:rsidRPr="00AF06C8">
              <w:rPr>
                <w:rFonts w:eastAsiaTheme="minorHAnsi"/>
                <w:szCs w:val="22"/>
              </w:rPr>
              <w:t>Comments</w:t>
            </w:r>
          </w:p>
        </w:tc>
      </w:tr>
      <w:tr w:rsidR="00AB09F8" w:rsidRPr="002E390A" w14:paraId="2D994E69" w14:textId="77777777" w:rsidTr="009238F0">
        <w:tc>
          <w:tcPr>
            <w:tcW w:w="1696" w:type="dxa"/>
          </w:tcPr>
          <w:p w14:paraId="3B297D2C" w14:textId="7CB6496C" w:rsidR="00AB09F8" w:rsidRPr="00AF06C8" w:rsidRDefault="00AB09F8" w:rsidP="00AB09F8">
            <w:pPr>
              <w:pStyle w:val="TableBody"/>
              <w:spacing w:before="40" w:after="80"/>
              <w:rPr>
                <w:rFonts w:eastAsiaTheme="minorHAnsi"/>
                <w:szCs w:val="22"/>
              </w:rPr>
            </w:pPr>
            <w:r>
              <w:rPr>
                <w:rFonts w:eastAsiaTheme="minorHAnsi"/>
                <w:szCs w:val="22"/>
              </w:rPr>
              <w:t>August 2006</w:t>
            </w:r>
          </w:p>
        </w:tc>
        <w:tc>
          <w:tcPr>
            <w:tcW w:w="6804" w:type="dxa"/>
          </w:tcPr>
          <w:p w14:paraId="41B3E65D" w14:textId="3CC7C044" w:rsidR="00AB09F8" w:rsidRPr="00AF06C8" w:rsidRDefault="00AB09F8" w:rsidP="00AB09F8">
            <w:pPr>
              <w:pStyle w:val="TableBody"/>
              <w:spacing w:before="40" w:after="80"/>
              <w:rPr>
                <w:rFonts w:eastAsiaTheme="minorHAnsi"/>
                <w:szCs w:val="22"/>
              </w:rPr>
            </w:pPr>
            <w:r w:rsidRPr="00AF06C8">
              <w:rPr>
                <w:rFonts w:eastAsiaTheme="minorHAnsi"/>
                <w:szCs w:val="22"/>
              </w:rPr>
              <w:t xml:space="preserve">Initial </w:t>
            </w:r>
            <w:r>
              <w:rPr>
                <w:rFonts w:eastAsiaTheme="minorHAnsi"/>
                <w:szCs w:val="22"/>
              </w:rPr>
              <w:t>release.</w:t>
            </w:r>
          </w:p>
        </w:tc>
      </w:tr>
      <w:tr w:rsidR="00AB09F8" w:rsidRPr="002E390A" w14:paraId="29D668F0" w14:textId="77777777" w:rsidTr="009238F0">
        <w:tc>
          <w:tcPr>
            <w:tcW w:w="1696" w:type="dxa"/>
          </w:tcPr>
          <w:p w14:paraId="6D61D6B4" w14:textId="66729BE9" w:rsidR="00AB09F8" w:rsidRPr="00AF06C8" w:rsidRDefault="009B1C48" w:rsidP="00AB09F8">
            <w:pPr>
              <w:pStyle w:val="TableBody"/>
              <w:spacing w:before="40" w:after="80"/>
              <w:rPr>
                <w:rFonts w:eastAsiaTheme="minorHAnsi"/>
                <w:szCs w:val="22"/>
              </w:rPr>
            </w:pPr>
            <w:r>
              <w:rPr>
                <w:rFonts w:eastAsiaTheme="minorHAnsi"/>
                <w:szCs w:val="22"/>
              </w:rPr>
              <w:t xml:space="preserve">September </w:t>
            </w:r>
            <w:r w:rsidR="00AB09F8">
              <w:rPr>
                <w:rFonts w:eastAsiaTheme="minorHAnsi"/>
                <w:szCs w:val="22"/>
              </w:rPr>
              <w:t>2025</w:t>
            </w:r>
          </w:p>
        </w:tc>
        <w:tc>
          <w:tcPr>
            <w:tcW w:w="6804" w:type="dxa"/>
          </w:tcPr>
          <w:p w14:paraId="04368583" w14:textId="64CF4BE5" w:rsidR="00AB09F8" w:rsidRDefault="00DD1978" w:rsidP="00AB09F8">
            <w:pPr>
              <w:pStyle w:val="TableBody"/>
              <w:spacing w:before="40" w:after="80"/>
              <w:rPr>
                <w:rFonts w:eastAsiaTheme="minorHAnsi"/>
                <w:szCs w:val="22"/>
              </w:rPr>
            </w:pPr>
            <w:r>
              <w:rPr>
                <w:rFonts w:eastAsiaTheme="minorHAnsi"/>
                <w:szCs w:val="22"/>
              </w:rPr>
              <w:t xml:space="preserve">Notification zone parameters added for the 71-76 </w:t>
            </w:r>
            <w:r w:rsidR="000C0A95">
              <w:rPr>
                <w:rFonts w:eastAsiaTheme="minorHAnsi"/>
                <w:szCs w:val="22"/>
              </w:rPr>
              <w:t>G</w:t>
            </w:r>
            <w:r>
              <w:rPr>
                <w:rFonts w:eastAsiaTheme="minorHAnsi"/>
                <w:szCs w:val="22"/>
              </w:rPr>
              <w:t xml:space="preserve">Hz and 81-86 </w:t>
            </w:r>
            <w:r w:rsidR="000C0A95">
              <w:rPr>
                <w:rFonts w:eastAsiaTheme="minorHAnsi"/>
                <w:szCs w:val="22"/>
              </w:rPr>
              <w:t>G</w:t>
            </w:r>
            <w:r>
              <w:rPr>
                <w:rFonts w:eastAsiaTheme="minorHAnsi"/>
                <w:szCs w:val="22"/>
              </w:rPr>
              <w:t>Hz bands at Narrabri and Mopra.</w:t>
            </w:r>
          </w:p>
          <w:p w14:paraId="1AB42DFE" w14:textId="2B182B3F" w:rsidR="0083195A" w:rsidRDefault="0083195A" w:rsidP="00AB09F8">
            <w:pPr>
              <w:pStyle w:val="TableBody"/>
              <w:spacing w:before="40" w:after="80"/>
              <w:rPr>
                <w:rFonts w:eastAsiaTheme="minorHAnsi"/>
                <w:szCs w:val="22"/>
              </w:rPr>
            </w:pPr>
            <w:r>
              <w:rPr>
                <w:rFonts w:eastAsiaTheme="minorHAnsi"/>
                <w:szCs w:val="22"/>
              </w:rPr>
              <w:t xml:space="preserve">Coordinates </w:t>
            </w:r>
            <w:r w:rsidR="00787969" w:rsidRPr="00787969">
              <w:rPr>
                <w:rFonts w:eastAsiaTheme="minorHAnsi"/>
                <w:szCs w:val="22"/>
              </w:rPr>
              <w:t>of Observatory Loca</w:t>
            </w:r>
            <w:r w:rsidR="00016F71">
              <w:rPr>
                <w:rFonts w:eastAsiaTheme="minorHAnsi"/>
                <w:szCs w:val="22"/>
              </w:rPr>
              <w:t>tions</w:t>
            </w:r>
            <w:r w:rsidR="00787969">
              <w:rPr>
                <w:rFonts w:eastAsiaTheme="minorHAnsi"/>
                <w:szCs w:val="22"/>
              </w:rPr>
              <w:t xml:space="preserve"> </w:t>
            </w:r>
            <w:r>
              <w:rPr>
                <w:rFonts w:eastAsiaTheme="minorHAnsi"/>
                <w:szCs w:val="22"/>
              </w:rPr>
              <w:t xml:space="preserve">updated to </w:t>
            </w:r>
            <w:r w:rsidR="00787969">
              <w:rPr>
                <w:rFonts w:eastAsiaTheme="minorHAnsi"/>
                <w:szCs w:val="22"/>
              </w:rPr>
              <w:t>GDA94.</w:t>
            </w:r>
          </w:p>
          <w:p w14:paraId="5D7698F2" w14:textId="15EE8250" w:rsidR="00340195" w:rsidRPr="00AF06C8" w:rsidRDefault="00340195" w:rsidP="00AB09F8">
            <w:pPr>
              <w:pStyle w:val="TableBody"/>
              <w:spacing w:before="40" w:after="80"/>
              <w:rPr>
                <w:rFonts w:eastAsiaTheme="minorHAnsi"/>
                <w:szCs w:val="22"/>
              </w:rPr>
            </w:pPr>
            <w:r>
              <w:rPr>
                <w:rFonts w:eastAsiaTheme="minorHAnsi"/>
                <w:szCs w:val="22"/>
              </w:rPr>
              <w:t>Minor editorial changes including to</w:t>
            </w:r>
            <w:r w:rsidR="005F4BAD">
              <w:rPr>
                <w:rFonts w:eastAsiaTheme="minorHAnsi"/>
                <w:szCs w:val="22"/>
              </w:rPr>
              <w:t xml:space="preserve"> the</w:t>
            </w:r>
            <w:r>
              <w:rPr>
                <w:rFonts w:eastAsiaTheme="minorHAnsi"/>
                <w:szCs w:val="22"/>
              </w:rPr>
              <w:t xml:space="preserve"> Information Form in Annex 3.</w:t>
            </w:r>
          </w:p>
        </w:tc>
      </w:tr>
    </w:tbl>
    <w:p w14:paraId="564856BA" w14:textId="77777777" w:rsidR="004A13A7" w:rsidRDefault="004A13A7" w:rsidP="004A13A7">
      <w:pPr>
        <w:pStyle w:val="ACMASpaceaftertable"/>
      </w:pPr>
    </w:p>
    <w:p w14:paraId="3033FCBB" w14:textId="23C783D9" w:rsidR="004A13A7" w:rsidRPr="00AF06C8" w:rsidRDefault="004A13A7" w:rsidP="004A13A7">
      <w:pPr>
        <w:rPr>
          <w:szCs w:val="22"/>
        </w:rPr>
      </w:pPr>
      <w:r w:rsidRPr="00AF06C8">
        <w:rPr>
          <w:szCs w:val="22"/>
        </w:rPr>
        <w:t xml:space="preserve">Suggestions for </w:t>
      </w:r>
      <w:r w:rsidRPr="00270F22">
        <w:rPr>
          <w:szCs w:val="22"/>
        </w:rPr>
        <w:t>improvements to Radiocommunications Assignment and Licensing Instruction MS</w:t>
      </w:r>
      <w:r w:rsidR="00AB09F8">
        <w:rPr>
          <w:szCs w:val="22"/>
        </w:rPr>
        <w:t>31</w:t>
      </w:r>
      <w:r w:rsidRPr="00270F22">
        <w:rPr>
          <w:szCs w:val="22"/>
        </w:rPr>
        <w:t xml:space="preserve"> may be</w:t>
      </w:r>
      <w:r w:rsidRPr="00AF06C8">
        <w:rPr>
          <w:szCs w:val="22"/>
        </w:rPr>
        <w:t xml:space="preserve"> addressed to:</w:t>
      </w:r>
    </w:p>
    <w:p w14:paraId="55735FA2" w14:textId="7601AD84" w:rsidR="004A13A7" w:rsidRPr="00AF06C8" w:rsidRDefault="004A13A7" w:rsidP="004A13A7">
      <w:pPr>
        <w:rPr>
          <w:szCs w:val="22"/>
        </w:rPr>
      </w:pPr>
      <w:r w:rsidRPr="00AF06C8">
        <w:rPr>
          <w:szCs w:val="22"/>
        </w:rPr>
        <w:t xml:space="preserve">The Manager, Spectrum </w:t>
      </w:r>
      <w:r w:rsidR="00625904">
        <w:rPr>
          <w:szCs w:val="22"/>
        </w:rPr>
        <w:t>Planning Section</w:t>
      </w:r>
      <w:r w:rsidRPr="00AF06C8">
        <w:rPr>
          <w:szCs w:val="22"/>
        </w:rPr>
        <w:br/>
        <w:t>Australian Communications and Media Authority</w:t>
      </w:r>
      <w:r w:rsidRPr="00AF06C8">
        <w:rPr>
          <w:szCs w:val="22"/>
        </w:rPr>
        <w:br/>
        <w:t xml:space="preserve">PO Box 78 </w:t>
      </w:r>
      <w:r w:rsidRPr="00AF06C8">
        <w:rPr>
          <w:szCs w:val="22"/>
        </w:rPr>
        <w:br/>
        <w:t>Belconnen ACT 2616</w:t>
      </w:r>
    </w:p>
    <w:p w14:paraId="4628B18D" w14:textId="77777777" w:rsidR="004A13A7" w:rsidRPr="00AF06C8" w:rsidRDefault="004A13A7" w:rsidP="004A13A7">
      <w:pPr>
        <w:rPr>
          <w:rFonts w:cstheme="minorHAnsi"/>
          <w:szCs w:val="22"/>
        </w:rPr>
      </w:pPr>
      <w:r w:rsidRPr="00AF06C8">
        <w:rPr>
          <w:rFonts w:cstheme="minorHAnsi"/>
          <w:szCs w:val="22"/>
        </w:rPr>
        <w:t xml:space="preserve">or by email to: </w:t>
      </w:r>
      <w:hyperlink r:id="rId18" w:history="1">
        <w:r w:rsidRPr="00AF06C8">
          <w:rPr>
            <w:rStyle w:val="Hyperlink"/>
            <w:rFonts w:cstheme="minorHAnsi"/>
            <w:szCs w:val="22"/>
          </w:rPr>
          <w:t>freqplan@acma.gov.au</w:t>
        </w:r>
      </w:hyperlink>
      <w:r w:rsidRPr="00AF06C8">
        <w:rPr>
          <w:rFonts w:cstheme="minorHAnsi"/>
          <w:szCs w:val="22"/>
        </w:rPr>
        <w:t>.</w:t>
      </w:r>
    </w:p>
    <w:p w14:paraId="1A6BDF84" w14:textId="13714886" w:rsidR="00B95DA7" w:rsidRPr="00AF06C8" w:rsidRDefault="004A13A7" w:rsidP="004A13A7">
      <w:pPr>
        <w:rPr>
          <w:szCs w:val="22"/>
        </w:rPr>
      </w:pPr>
      <w:r w:rsidRPr="00AF06C8">
        <w:rPr>
          <w:szCs w:val="22"/>
        </w:rPr>
        <w:t>Please notify the ACMA of any inaccuracy or ambiguity found in this RALI so that it can be investigated</w:t>
      </w:r>
      <w:r w:rsidR="006B1CE7">
        <w:rPr>
          <w:szCs w:val="22"/>
        </w:rPr>
        <w:t>,</w:t>
      </w:r>
      <w:r w:rsidRPr="00AF06C8">
        <w:rPr>
          <w:szCs w:val="22"/>
        </w:rPr>
        <w:t xml:space="preserve"> and appropriate action taken.</w:t>
      </w:r>
    </w:p>
    <w:p w14:paraId="1E1537DA" w14:textId="77777777" w:rsidR="00822B3D" w:rsidRDefault="00822B3D" w:rsidP="004A13A7">
      <w:pPr>
        <w:rPr>
          <w:b/>
          <w:sz w:val="52"/>
          <w:szCs w:val="52"/>
        </w:rPr>
        <w:sectPr w:rsidR="00822B3D" w:rsidSect="00822B3D">
          <w:headerReference w:type="even" r:id="rId19"/>
          <w:headerReference w:type="default" r:id="rId20"/>
          <w:footerReference w:type="even" r:id="rId21"/>
          <w:headerReference w:type="first" r:id="rId22"/>
          <w:type w:val="evenPage"/>
          <w:pgSz w:w="11906" w:h="16838"/>
          <w:pgMar w:top="1440" w:right="1440" w:bottom="1440" w:left="1440" w:header="708" w:footer="708" w:gutter="0"/>
          <w:pgNumType w:fmt="lowerRoman" w:start="2"/>
          <w:cols w:space="708"/>
          <w:docGrid w:linePitch="360"/>
        </w:sectPr>
      </w:pPr>
    </w:p>
    <w:sdt>
      <w:sdtPr>
        <w:rPr>
          <w:b w:val="0"/>
          <w:noProof/>
          <w:color w:val="auto"/>
          <w:spacing w:val="0"/>
          <w:sz w:val="24"/>
        </w:rPr>
        <w:id w:val="2122026567"/>
        <w:docPartObj>
          <w:docPartGallery w:val="Table of Contents"/>
          <w:docPartUnique/>
        </w:docPartObj>
      </w:sdtPr>
      <w:sdtEndPr>
        <w:rPr>
          <w:b/>
          <w:spacing w:val="-14"/>
          <w:sz w:val="28"/>
        </w:rPr>
      </w:sdtEndPr>
      <w:sdtContent>
        <w:p w14:paraId="491F9999" w14:textId="00A2E1CA" w:rsidR="00097D72" w:rsidRDefault="00097D72">
          <w:pPr>
            <w:pStyle w:val="TOCHeading"/>
          </w:pPr>
          <w:r>
            <w:t>Contents</w:t>
          </w:r>
        </w:p>
        <w:p w14:paraId="76353D7D" w14:textId="3508A4AF" w:rsidR="00C44B59" w:rsidRDefault="00097D72">
          <w:pPr>
            <w:pStyle w:val="TOC1"/>
            <w:tabs>
              <w:tab w:val="left" w:pos="885"/>
            </w:tabs>
            <w:rPr>
              <w:rFonts w:asciiTheme="minorHAnsi" w:eastAsiaTheme="minorEastAsia" w:hAnsiTheme="minorHAnsi" w:cstheme="minorBidi"/>
              <w:b w:val="0"/>
              <w:spacing w:val="0"/>
              <w:kern w:val="2"/>
              <w:sz w:val="24"/>
              <w14:ligatures w14:val="standardContextual"/>
            </w:rPr>
          </w:pPr>
          <w:r>
            <w:fldChar w:fldCharType="begin"/>
          </w:r>
          <w:r>
            <w:instrText xml:space="preserve"> TOC \o "1-3" \h \z \u </w:instrText>
          </w:r>
          <w:r>
            <w:fldChar w:fldCharType="separate"/>
          </w:r>
          <w:hyperlink w:anchor="_Toc206500118" w:history="1">
            <w:r w:rsidR="00C44B59" w:rsidRPr="00C70158">
              <w:rPr>
                <w:rStyle w:val="Hyperlink"/>
                <w14:scene3d>
                  <w14:camera w14:prst="orthographicFront"/>
                  <w14:lightRig w14:rig="threePt" w14:dir="t">
                    <w14:rot w14:lat="0" w14:lon="0" w14:rev="0"/>
                  </w14:lightRig>
                </w14:scene3d>
              </w:rPr>
              <w:t>1</w:t>
            </w:r>
            <w:r w:rsidR="00C44B59">
              <w:rPr>
                <w:rFonts w:asciiTheme="minorHAnsi" w:eastAsiaTheme="minorEastAsia" w:hAnsiTheme="minorHAnsi" w:cstheme="minorBidi"/>
                <w:b w:val="0"/>
                <w:spacing w:val="0"/>
                <w:kern w:val="2"/>
                <w:sz w:val="24"/>
                <w14:ligatures w14:val="standardContextual"/>
              </w:rPr>
              <w:tab/>
            </w:r>
            <w:r w:rsidR="00C44B59" w:rsidRPr="00C70158">
              <w:rPr>
                <w:rStyle w:val="Hyperlink"/>
              </w:rPr>
              <w:t>Introduction</w:t>
            </w:r>
            <w:r w:rsidR="00C44B59">
              <w:rPr>
                <w:webHidden/>
              </w:rPr>
              <w:tab/>
            </w:r>
            <w:r w:rsidR="00C44B59">
              <w:rPr>
                <w:webHidden/>
              </w:rPr>
              <w:fldChar w:fldCharType="begin"/>
            </w:r>
            <w:r w:rsidR="00C44B59">
              <w:rPr>
                <w:webHidden/>
              </w:rPr>
              <w:instrText xml:space="preserve"> PAGEREF _Toc206500118 \h </w:instrText>
            </w:r>
            <w:r w:rsidR="00C44B59">
              <w:rPr>
                <w:webHidden/>
              </w:rPr>
            </w:r>
            <w:r w:rsidR="00C44B59">
              <w:rPr>
                <w:webHidden/>
              </w:rPr>
              <w:fldChar w:fldCharType="separate"/>
            </w:r>
            <w:r w:rsidR="00833DBA">
              <w:rPr>
                <w:webHidden/>
              </w:rPr>
              <w:t>1</w:t>
            </w:r>
            <w:r w:rsidR="00C44B59">
              <w:rPr>
                <w:webHidden/>
              </w:rPr>
              <w:fldChar w:fldCharType="end"/>
            </w:r>
          </w:hyperlink>
        </w:p>
        <w:p w14:paraId="7384D626" w14:textId="3235B67D" w:rsidR="00C44B59" w:rsidRDefault="00C44B59">
          <w:pPr>
            <w:pStyle w:val="TOC2"/>
            <w:rPr>
              <w:rFonts w:asciiTheme="minorHAnsi" w:eastAsiaTheme="minorEastAsia" w:hAnsiTheme="minorHAnsi" w:cstheme="minorBidi"/>
              <w:spacing w:val="0"/>
              <w:kern w:val="2"/>
              <w:sz w:val="24"/>
              <w:szCs w:val="24"/>
              <w14:ligatures w14:val="standardContextual"/>
            </w:rPr>
          </w:pPr>
          <w:hyperlink w:anchor="_Toc206500119" w:history="1">
            <w:r w:rsidRPr="00C70158">
              <w:rPr>
                <w:rStyle w:val="Hyperlink"/>
              </w:rPr>
              <w:t>1.1</w:t>
            </w:r>
            <w:r>
              <w:rPr>
                <w:rFonts w:asciiTheme="minorHAnsi" w:eastAsiaTheme="minorEastAsia" w:hAnsiTheme="minorHAnsi" w:cstheme="minorBidi"/>
                <w:spacing w:val="0"/>
                <w:kern w:val="2"/>
                <w:sz w:val="24"/>
                <w:szCs w:val="24"/>
                <w14:ligatures w14:val="standardContextual"/>
              </w:rPr>
              <w:tab/>
            </w:r>
            <w:r w:rsidRPr="00C70158">
              <w:rPr>
                <w:rStyle w:val="Hyperlink"/>
              </w:rPr>
              <w:t>Purpose</w:t>
            </w:r>
            <w:r>
              <w:rPr>
                <w:webHidden/>
              </w:rPr>
              <w:tab/>
            </w:r>
            <w:r>
              <w:rPr>
                <w:webHidden/>
              </w:rPr>
              <w:fldChar w:fldCharType="begin"/>
            </w:r>
            <w:r>
              <w:rPr>
                <w:webHidden/>
              </w:rPr>
              <w:instrText xml:space="preserve"> PAGEREF _Toc206500119 \h </w:instrText>
            </w:r>
            <w:r>
              <w:rPr>
                <w:webHidden/>
              </w:rPr>
            </w:r>
            <w:r>
              <w:rPr>
                <w:webHidden/>
              </w:rPr>
              <w:fldChar w:fldCharType="separate"/>
            </w:r>
            <w:r w:rsidR="00833DBA">
              <w:rPr>
                <w:webHidden/>
              </w:rPr>
              <w:t>1</w:t>
            </w:r>
            <w:r>
              <w:rPr>
                <w:webHidden/>
              </w:rPr>
              <w:fldChar w:fldCharType="end"/>
            </w:r>
          </w:hyperlink>
        </w:p>
        <w:p w14:paraId="4A1865D1" w14:textId="02DB7410" w:rsidR="00C44B59" w:rsidRDefault="00C44B59">
          <w:pPr>
            <w:pStyle w:val="TOC2"/>
            <w:rPr>
              <w:rFonts w:asciiTheme="minorHAnsi" w:eastAsiaTheme="minorEastAsia" w:hAnsiTheme="minorHAnsi" w:cstheme="minorBidi"/>
              <w:spacing w:val="0"/>
              <w:kern w:val="2"/>
              <w:sz w:val="24"/>
              <w:szCs w:val="24"/>
              <w14:ligatures w14:val="standardContextual"/>
            </w:rPr>
          </w:pPr>
          <w:hyperlink w:anchor="_Toc206500120" w:history="1">
            <w:r w:rsidRPr="00C70158">
              <w:rPr>
                <w:rStyle w:val="Hyperlink"/>
              </w:rPr>
              <w:t>1.2</w:t>
            </w:r>
            <w:r>
              <w:rPr>
                <w:rFonts w:asciiTheme="minorHAnsi" w:eastAsiaTheme="minorEastAsia" w:hAnsiTheme="minorHAnsi" w:cstheme="minorBidi"/>
                <w:spacing w:val="0"/>
                <w:kern w:val="2"/>
                <w:sz w:val="24"/>
                <w:szCs w:val="24"/>
                <w14:ligatures w14:val="standardContextual"/>
              </w:rPr>
              <w:tab/>
            </w:r>
            <w:r w:rsidRPr="00C70158">
              <w:rPr>
                <w:rStyle w:val="Hyperlink"/>
              </w:rPr>
              <w:t>Background</w:t>
            </w:r>
            <w:r>
              <w:rPr>
                <w:webHidden/>
              </w:rPr>
              <w:tab/>
            </w:r>
            <w:r>
              <w:rPr>
                <w:webHidden/>
              </w:rPr>
              <w:fldChar w:fldCharType="begin"/>
            </w:r>
            <w:r>
              <w:rPr>
                <w:webHidden/>
              </w:rPr>
              <w:instrText xml:space="preserve"> PAGEREF _Toc206500120 \h </w:instrText>
            </w:r>
            <w:r>
              <w:rPr>
                <w:webHidden/>
              </w:rPr>
            </w:r>
            <w:r>
              <w:rPr>
                <w:webHidden/>
              </w:rPr>
              <w:fldChar w:fldCharType="separate"/>
            </w:r>
            <w:r w:rsidR="00833DBA">
              <w:rPr>
                <w:webHidden/>
              </w:rPr>
              <w:t>1</w:t>
            </w:r>
            <w:r>
              <w:rPr>
                <w:webHidden/>
              </w:rPr>
              <w:fldChar w:fldCharType="end"/>
            </w:r>
          </w:hyperlink>
        </w:p>
        <w:p w14:paraId="2506E010" w14:textId="7EAEB55C" w:rsidR="00C44B59" w:rsidRDefault="00C44B59">
          <w:pPr>
            <w:pStyle w:val="TOC2"/>
            <w:rPr>
              <w:rFonts w:asciiTheme="minorHAnsi" w:eastAsiaTheme="minorEastAsia" w:hAnsiTheme="minorHAnsi" w:cstheme="minorBidi"/>
              <w:spacing w:val="0"/>
              <w:kern w:val="2"/>
              <w:sz w:val="24"/>
              <w:szCs w:val="24"/>
              <w14:ligatures w14:val="standardContextual"/>
            </w:rPr>
          </w:pPr>
          <w:hyperlink w:anchor="_Toc206500121" w:history="1">
            <w:r w:rsidRPr="00C70158">
              <w:rPr>
                <w:rStyle w:val="Hyperlink"/>
              </w:rPr>
              <w:t>1.3</w:t>
            </w:r>
            <w:r>
              <w:rPr>
                <w:rFonts w:asciiTheme="minorHAnsi" w:eastAsiaTheme="minorEastAsia" w:hAnsiTheme="minorHAnsi" w:cstheme="minorBidi"/>
                <w:spacing w:val="0"/>
                <w:kern w:val="2"/>
                <w:sz w:val="24"/>
                <w:szCs w:val="24"/>
                <w14:ligatures w14:val="standardContextual"/>
              </w:rPr>
              <w:tab/>
            </w:r>
            <w:r w:rsidRPr="00C70158">
              <w:rPr>
                <w:rStyle w:val="Hyperlink"/>
              </w:rPr>
              <w:t>Australian Productivity Commission Recommendation</w:t>
            </w:r>
            <w:r>
              <w:rPr>
                <w:webHidden/>
              </w:rPr>
              <w:tab/>
            </w:r>
            <w:r>
              <w:rPr>
                <w:webHidden/>
              </w:rPr>
              <w:fldChar w:fldCharType="begin"/>
            </w:r>
            <w:r>
              <w:rPr>
                <w:webHidden/>
              </w:rPr>
              <w:instrText xml:space="preserve"> PAGEREF _Toc206500121 \h </w:instrText>
            </w:r>
            <w:r>
              <w:rPr>
                <w:webHidden/>
              </w:rPr>
            </w:r>
            <w:r>
              <w:rPr>
                <w:webHidden/>
              </w:rPr>
              <w:fldChar w:fldCharType="separate"/>
            </w:r>
            <w:r w:rsidR="00833DBA">
              <w:rPr>
                <w:webHidden/>
              </w:rPr>
              <w:t>2</w:t>
            </w:r>
            <w:r>
              <w:rPr>
                <w:webHidden/>
              </w:rPr>
              <w:fldChar w:fldCharType="end"/>
            </w:r>
          </w:hyperlink>
        </w:p>
        <w:p w14:paraId="13CE9730" w14:textId="6C7D02B1" w:rsidR="00C44B59" w:rsidRDefault="00C44B59">
          <w:pPr>
            <w:pStyle w:val="TOC2"/>
            <w:rPr>
              <w:rFonts w:asciiTheme="minorHAnsi" w:eastAsiaTheme="minorEastAsia" w:hAnsiTheme="minorHAnsi" w:cstheme="minorBidi"/>
              <w:spacing w:val="0"/>
              <w:kern w:val="2"/>
              <w:sz w:val="24"/>
              <w:szCs w:val="24"/>
              <w14:ligatures w14:val="standardContextual"/>
            </w:rPr>
          </w:pPr>
          <w:hyperlink w:anchor="_Toc206500122" w:history="1">
            <w:r w:rsidRPr="00C70158">
              <w:rPr>
                <w:rStyle w:val="Hyperlink"/>
              </w:rPr>
              <w:t>1.4</w:t>
            </w:r>
            <w:r>
              <w:rPr>
                <w:rFonts w:asciiTheme="minorHAnsi" w:eastAsiaTheme="minorEastAsia" w:hAnsiTheme="minorHAnsi" w:cstheme="minorBidi"/>
                <w:spacing w:val="0"/>
                <w:kern w:val="2"/>
                <w:sz w:val="24"/>
                <w:szCs w:val="24"/>
                <w14:ligatures w14:val="standardContextual"/>
              </w:rPr>
              <w:tab/>
            </w:r>
            <w:r w:rsidRPr="00C70158">
              <w:rPr>
                <w:rStyle w:val="Hyperlink"/>
              </w:rPr>
              <w:t>Implementing the APC Recommendation</w:t>
            </w:r>
            <w:r>
              <w:rPr>
                <w:webHidden/>
              </w:rPr>
              <w:tab/>
            </w:r>
            <w:r>
              <w:rPr>
                <w:webHidden/>
              </w:rPr>
              <w:fldChar w:fldCharType="begin"/>
            </w:r>
            <w:r>
              <w:rPr>
                <w:webHidden/>
              </w:rPr>
              <w:instrText xml:space="preserve"> PAGEREF _Toc206500122 \h </w:instrText>
            </w:r>
            <w:r>
              <w:rPr>
                <w:webHidden/>
              </w:rPr>
            </w:r>
            <w:r>
              <w:rPr>
                <w:webHidden/>
              </w:rPr>
              <w:fldChar w:fldCharType="separate"/>
            </w:r>
            <w:r w:rsidR="00833DBA">
              <w:rPr>
                <w:webHidden/>
              </w:rPr>
              <w:t>2</w:t>
            </w:r>
            <w:r>
              <w:rPr>
                <w:webHidden/>
              </w:rPr>
              <w:fldChar w:fldCharType="end"/>
            </w:r>
          </w:hyperlink>
        </w:p>
        <w:p w14:paraId="778AC9F3" w14:textId="4D09064C" w:rsidR="00C44B59" w:rsidRDefault="00C44B59">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00123" w:history="1">
            <w:r w:rsidRPr="00C70158">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C70158">
              <w:rPr>
                <w:rStyle w:val="Hyperlink"/>
              </w:rPr>
              <w:t>Scope</w:t>
            </w:r>
            <w:r>
              <w:rPr>
                <w:webHidden/>
              </w:rPr>
              <w:tab/>
            </w:r>
            <w:r>
              <w:rPr>
                <w:webHidden/>
              </w:rPr>
              <w:fldChar w:fldCharType="begin"/>
            </w:r>
            <w:r>
              <w:rPr>
                <w:webHidden/>
              </w:rPr>
              <w:instrText xml:space="preserve"> PAGEREF _Toc206500123 \h </w:instrText>
            </w:r>
            <w:r>
              <w:rPr>
                <w:webHidden/>
              </w:rPr>
            </w:r>
            <w:r>
              <w:rPr>
                <w:webHidden/>
              </w:rPr>
              <w:fldChar w:fldCharType="separate"/>
            </w:r>
            <w:r w:rsidR="00833DBA">
              <w:rPr>
                <w:webHidden/>
              </w:rPr>
              <w:t>4</w:t>
            </w:r>
            <w:r>
              <w:rPr>
                <w:webHidden/>
              </w:rPr>
              <w:fldChar w:fldCharType="end"/>
            </w:r>
          </w:hyperlink>
        </w:p>
        <w:p w14:paraId="2272745A" w14:textId="2BA90A83" w:rsidR="00C44B59" w:rsidRDefault="00C44B59">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00124" w:history="1">
            <w:r w:rsidRPr="00C70158">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C70158">
              <w:rPr>
                <w:rStyle w:val="Hyperlink"/>
              </w:rPr>
              <w:t>Notification Zones</w:t>
            </w:r>
            <w:r>
              <w:rPr>
                <w:webHidden/>
              </w:rPr>
              <w:tab/>
            </w:r>
            <w:r>
              <w:rPr>
                <w:webHidden/>
              </w:rPr>
              <w:fldChar w:fldCharType="begin"/>
            </w:r>
            <w:r>
              <w:rPr>
                <w:webHidden/>
              </w:rPr>
              <w:instrText xml:space="preserve"> PAGEREF _Toc206500124 \h </w:instrText>
            </w:r>
            <w:r>
              <w:rPr>
                <w:webHidden/>
              </w:rPr>
            </w:r>
            <w:r>
              <w:rPr>
                <w:webHidden/>
              </w:rPr>
              <w:fldChar w:fldCharType="separate"/>
            </w:r>
            <w:r w:rsidR="00833DBA">
              <w:rPr>
                <w:webHidden/>
              </w:rPr>
              <w:t>5</w:t>
            </w:r>
            <w:r>
              <w:rPr>
                <w:webHidden/>
              </w:rPr>
              <w:fldChar w:fldCharType="end"/>
            </w:r>
          </w:hyperlink>
        </w:p>
        <w:p w14:paraId="1BE66AF4" w14:textId="4EB4BFC2" w:rsidR="00C44B59" w:rsidRDefault="00C44B59">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00125" w:history="1">
            <w:r w:rsidRPr="00C70158">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pacing w:val="0"/>
                <w:kern w:val="2"/>
                <w:sz w:val="24"/>
                <w14:ligatures w14:val="standardContextual"/>
              </w:rPr>
              <w:tab/>
            </w:r>
            <w:r w:rsidRPr="00C70158">
              <w:rPr>
                <w:rStyle w:val="Hyperlink"/>
              </w:rPr>
              <w:t>Procedure</w:t>
            </w:r>
            <w:r>
              <w:rPr>
                <w:webHidden/>
              </w:rPr>
              <w:tab/>
            </w:r>
            <w:r>
              <w:rPr>
                <w:webHidden/>
              </w:rPr>
              <w:fldChar w:fldCharType="begin"/>
            </w:r>
            <w:r>
              <w:rPr>
                <w:webHidden/>
              </w:rPr>
              <w:instrText xml:space="preserve"> PAGEREF _Toc206500125 \h </w:instrText>
            </w:r>
            <w:r>
              <w:rPr>
                <w:webHidden/>
              </w:rPr>
            </w:r>
            <w:r>
              <w:rPr>
                <w:webHidden/>
              </w:rPr>
              <w:fldChar w:fldCharType="separate"/>
            </w:r>
            <w:r w:rsidR="00833DBA">
              <w:rPr>
                <w:webHidden/>
              </w:rPr>
              <w:t>6</w:t>
            </w:r>
            <w:r>
              <w:rPr>
                <w:webHidden/>
              </w:rPr>
              <w:fldChar w:fldCharType="end"/>
            </w:r>
          </w:hyperlink>
        </w:p>
        <w:p w14:paraId="71A1C657" w14:textId="71231E44" w:rsidR="00C44B59" w:rsidRDefault="00C44B59">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00126" w:history="1">
            <w:r w:rsidRPr="00C70158">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pacing w:val="0"/>
                <w:kern w:val="2"/>
                <w:sz w:val="24"/>
                <w14:ligatures w14:val="standardContextual"/>
              </w:rPr>
              <w:tab/>
            </w:r>
            <w:r w:rsidRPr="00C70158">
              <w:rPr>
                <w:rStyle w:val="Hyperlink"/>
              </w:rPr>
              <w:t>Exceptions</w:t>
            </w:r>
            <w:r>
              <w:rPr>
                <w:webHidden/>
              </w:rPr>
              <w:tab/>
            </w:r>
            <w:r>
              <w:rPr>
                <w:webHidden/>
              </w:rPr>
              <w:fldChar w:fldCharType="begin"/>
            </w:r>
            <w:r>
              <w:rPr>
                <w:webHidden/>
              </w:rPr>
              <w:instrText xml:space="preserve"> PAGEREF _Toc206500126 \h </w:instrText>
            </w:r>
            <w:r>
              <w:rPr>
                <w:webHidden/>
              </w:rPr>
            </w:r>
            <w:r>
              <w:rPr>
                <w:webHidden/>
              </w:rPr>
              <w:fldChar w:fldCharType="separate"/>
            </w:r>
            <w:r w:rsidR="00833DBA">
              <w:rPr>
                <w:webHidden/>
              </w:rPr>
              <w:t>8</w:t>
            </w:r>
            <w:r>
              <w:rPr>
                <w:webHidden/>
              </w:rPr>
              <w:fldChar w:fldCharType="end"/>
            </w:r>
          </w:hyperlink>
        </w:p>
        <w:p w14:paraId="6642DE2E" w14:textId="0671DFAC" w:rsidR="00C44B59" w:rsidRDefault="00C44B59">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00127" w:history="1">
            <w:r w:rsidRPr="00C70158">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pacing w:val="0"/>
                <w:kern w:val="2"/>
                <w:sz w:val="24"/>
                <w14:ligatures w14:val="standardContextual"/>
              </w:rPr>
              <w:tab/>
            </w:r>
            <w:r w:rsidRPr="00C70158">
              <w:rPr>
                <w:rStyle w:val="Hyperlink"/>
              </w:rPr>
              <w:t>RALI Authorisation</w:t>
            </w:r>
            <w:r>
              <w:rPr>
                <w:webHidden/>
              </w:rPr>
              <w:tab/>
            </w:r>
            <w:r>
              <w:rPr>
                <w:webHidden/>
              </w:rPr>
              <w:fldChar w:fldCharType="begin"/>
            </w:r>
            <w:r>
              <w:rPr>
                <w:webHidden/>
              </w:rPr>
              <w:instrText xml:space="preserve"> PAGEREF _Toc206500127 \h </w:instrText>
            </w:r>
            <w:r>
              <w:rPr>
                <w:webHidden/>
              </w:rPr>
            </w:r>
            <w:r>
              <w:rPr>
                <w:webHidden/>
              </w:rPr>
              <w:fldChar w:fldCharType="separate"/>
            </w:r>
            <w:r w:rsidR="00833DBA">
              <w:rPr>
                <w:webHidden/>
              </w:rPr>
              <w:t>9</w:t>
            </w:r>
            <w:r>
              <w:rPr>
                <w:webHidden/>
              </w:rPr>
              <w:fldChar w:fldCharType="end"/>
            </w:r>
          </w:hyperlink>
        </w:p>
        <w:p w14:paraId="2E527E2D" w14:textId="2F4105A5" w:rsidR="00C44B59" w:rsidRDefault="00C44B59" w:rsidP="009238F0">
          <w:pPr>
            <w:pStyle w:val="TOC1"/>
            <w:tabs>
              <w:tab w:val="clear" w:pos="7660"/>
              <w:tab w:val="left" w:pos="1440"/>
              <w:tab w:val="right" w:pos="7371"/>
            </w:tabs>
            <w:ind w:left="1418" w:hanging="1418"/>
            <w:rPr>
              <w:rFonts w:asciiTheme="minorHAnsi" w:eastAsiaTheme="minorEastAsia" w:hAnsiTheme="minorHAnsi" w:cstheme="minorBidi"/>
              <w:b w:val="0"/>
              <w:spacing w:val="0"/>
              <w:kern w:val="2"/>
              <w:sz w:val="24"/>
              <w14:ligatures w14:val="standardContextual"/>
            </w:rPr>
          </w:pPr>
          <w:hyperlink w:anchor="_Toc206500128" w:history="1">
            <w:r w:rsidRPr="00C70158">
              <w:rPr>
                <w:rStyle w:val="Hyperlink"/>
              </w:rPr>
              <w:t>Annex 1:</w:t>
            </w:r>
            <w:r>
              <w:rPr>
                <w:rFonts w:asciiTheme="minorHAnsi" w:eastAsiaTheme="minorEastAsia" w:hAnsiTheme="minorHAnsi" w:cstheme="minorBidi"/>
                <w:b w:val="0"/>
                <w:spacing w:val="0"/>
                <w:kern w:val="2"/>
                <w:sz w:val="24"/>
                <w14:ligatures w14:val="standardContextual"/>
              </w:rPr>
              <w:tab/>
            </w:r>
            <w:r w:rsidRPr="00C70158">
              <w:rPr>
                <w:rStyle w:val="Hyperlink"/>
              </w:rPr>
              <w:t>Australian Radiofrequency Spectrum Plan Footnote AUS87</w:t>
            </w:r>
            <w:r>
              <w:rPr>
                <w:webHidden/>
              </w:rPr>
              <w:tab/>
            </w:r>
            <w:r>
              <w:rPr>
                <w:webHidden/>
              </w:rPr>
              <w:tab/>
            </w:r>
            <w:r>
              <w:rPr>
                <w:webHidden/>
              </w:rPr>
              <w:fldChar w:fldCharType="begin"/>
            </w:r>
            <w:r>
              <w:rPr>
                <w:webHidden/>
              </w:rPr>
              <w:instrText xml:space="preserve"> PAGEREF _Toc206500128 \h </w:instrText>
            </w:r>
            <w:r>
              <w:rPr>
                <w:webHidden/>
              </w:rPr>
            </w:r>
            <w:r>
              <w:rPr>
                <w:webHidden/>
              </w:rPr>
              <w:fldChar w:fldCharType="separate"/>
            </w:r>
            <w:r w:rsidR="00833DBA">
              <w:rPr>
                <w:webHidden/>
              </w:rPr>
              <w:t>10</w:t>
            </w:r>
            <w:r>
              <w:rPr>
                <w:webHidden/>
              </w:rPr>
              <w:fldChar w:fldCharType="end"/>
            </w:r>
          </w:hyperlink>
        </w:p>
        <w:p w14:paraId="2DBF5AAB" w14:textId="60362BC7" w:rsidR="00C44B59" w:rsidRDefault="00C44B59">
          <w:pPr>
            <w:pStyle w:val="TOC1"/>
            <w:tabs>
              <w:tab w:val="left" w:pos="1440"/>
            </w:tabs>
            <w:rPr>
              <w:rFonts w:asciiTheme="minorHAnsi" w:eastAsiaTheme="minorEastAsia" w:hAnsiTheme="minorHAnsi" w:cstheme="minorBidi"/>
              <w:b w:val="0"/>
              <w:spacing w:val="0"/>
              <w:kern w:val="2"/>
              <w:sz w:val="24"/>
              <w14:ligatures w14:val="standardContextual"/>
            </w:rPr>
          </w:pPr>
          <w:hyperlink w:anchor="_Toc206500129" w:history="1">
            <w:r w:rsidRPr="00C70158">
              <w:rPr>
                <w:rStyle w:val="Hyperlink"/>
              </w:rPr>
              <w:t xml:space="preserve">Annex 2: </w:t>
            </w:r>
            <w:r>
              <w:rPr>
                <w:rFonts w:asciiTheme="minorHAnsi" w:eastAsiaTheme="minorEastAsia" w:hAnsiTheme="minorHAnsi" w:cstheme="minorBidi"/>
                <w:b w:val="0"/>
                <w:spacing w:val="0"/>
                <w:kern w:val="2"/>
                <w:sz w:val="24"/>
                <w14:ligatures w14:val="standardContextual"/>
              </w:rPr>
              <w:tab/>
            </w:r>
            <w:r w:rsidRPr="00C70158">
              <w:rPr>
                <w:rStyle w:val="Hyperlink"/>
              </w:rPr>
              <w:t>Assessment Procedure</w:t>
            </w:r>
            <w:r>
              <w:rPr>
                <w:webHidden/>
              </w:rPr>
              <w:tab/>
            </w:r>
            <w:r>
              <w:rPr>
                <w:webHidden/>
              </w:rPr>
              <w:fldChar w:fldCharType="begin"/>
            </w:r>
            <w:r>
              <w:rPr>
                <w:webHidden/>
              </w:rPr>
              <w:instrText xml:space="preserve"> PAGEREF _Toc206500129 \h </w:instrText>
            </w:r>
            <w:r>
              <w:rPr>
                <w:webHidden/>
              </w:rPr>
            </w:r>
            <w:r>
              <w:rPr>
                <w:webHidden/>
              </w:rPr>
              <w:fldChar w:fldCharType="separate"/>
            </w:r>
            <w:r w:rsidR="00833DBA">
              <w:rPr>
                <w:webHidden/>
              </w:rPr>
              <w:t>11</w:t>
            </w:r>
            <w:r>
              <w:rPr>
                <w:webHidden/>
              </w:rPr>
              <w:fldChar w:fldCharType="end"/>
            </w:r>
          </w:hyperlink>
        </w:p>
        <w:p w14:paraId="21060F31" w14:textId="6D529E28" w:rsidR="00C44B59" w:rsidRDefault="00C44B59">
          <w:pPr>
            <w:pStyle w:val="TOC1"/>
            <w:tabs>
              <w:tab w:val="left" w:pos="1440"/>
            </w:tabs>
            <w:rPr>
              <w:rFonts w:asciiTheme="minorHAnsi" w:eastAsiaTheme="minorEastAsia" w:hAnsiTheme="minorHAnsi" w:cstheme="minorBidi"/>
              <w:b w:val="0"/>
              <w:spacing w:val="0"/>
              <w:kern w:val="2"/>
              <w:sz w:val="24"/>
              <w14:ligatures w14:val="standardContextual"/>
            </w:rPr>
          </w:pPr>
          <w:hyperlink w:anchor="_Toc206500130" w:history="1">
            <w:r w:rsidRPr="00C70158">
              <w:rPr>
                <w:rStyle w:val="Hyperlink"/>
              </w:rPr>
              <w:t xml:space="preserve">Annex 3: </w:t>
            </w:r>
            <w:r>
              <w:rPr>
                <w:rFonts w:asciiTheme="minorHAnsi" w:eastAsiaTheme="minorEastAsia" w:hAnsiTheme="minorHAnsi" w:cstheme="minorBidi"/>
                <w:b w:val="0"/>
                <w:spacing w:val="0"/>
                <w:kern w:val="2"/>
                <w:sz w:val="24"/>
                <w14:ligatures w14:val="standardContextual"/>
              </w:rPr>
              <w:tab/>
            </w:r>
            <w:r w:rsidRPr="00C70158">
              <w:rPr>
                <w:rStyle w:val="Hyperlink"/>
              </w:rPr>
              <w:t>Information Form: RALI MS31</w:t>
            </w:r>
            <w:r>
              <w:rPr>
                <w:webHidden/>
              </w:rPr>
              <w:tab/>
            </w:r>
            <w:r>
              <w:rPr>
                <w:webHidden/>
              </w:rPr>
              <w:fldChar w:fldCharType="begin"/>
            </w:r>
            <w:r>
              <w:rPr>
                <w:webHidden/>
              </w:rPr>
              <w:instrText xml:space="preserve"> PAGEREF _Toc206500130 \h </w:instrText>
            </w:r>
            <w:r>
              <w:rPr>
                <w:webHidden/>
              </w:rPr>
            </w:r>
            <w:r>
              <w:rPr>
                <w:webHidden/>
              </w:rPr>
              <w:fldChar w:fldCharType="separate"/>
            </w:r>
            <w:r w:rsidR="00833DBA">
              <w:rPr>
                <w:webHidden/>
              </w:rPr>
              <w:t>13</w:t>
            </w:r>
            <w:r>
              <w:rPr>
                <w:webHidden/>
              </w:rPr>
              <w:fldChar w:fldCharType="end"/>
            </w:r>
          </w:hyperlink>
        </w:p>
        <w:p w14:paraId="5C54572D" w14:textId="00817FB4" w:rsidR="00097D72" w:rsidRDefault="00097D72" w:rsidP="00B175BD">
          <w:pPr>
            <w:pStyle w:val="TOC1"/>
          </w:pPr>
          <w:r>
            <w:fldChar w:fldCharType="end"/>
          </w:r>
        </w:p>
      </w:sdtContent>
    </w:sdt>
    <w:p w14:paraId="517E1D0B" w14:textId="16A69F8A" w:rsidR="00097D72" w:rsidRDefault="00097D72" w:rsidP="00097D72">
      <w:bookmarkStart w:id="1" w:name="_Toc8983846"/>
      <w:bookmarkStart w:id="2" w:name="_Toc8986370"/>
    </w:p>
    <w:p w14:paraId="507D6111" w14:textId="32F4D2D2" w:rsidR="001F0E76" w:rsidRPr="00420CAF" w:rsidRDefault="001F0E76" w:rsidP="00420CAF">
      <w:pPr>
        <w:sectPr w:rsidR="001F0E76" w:rsidRPr="00420CAF" w:rsidSect="00822B3D">
          <w:type w:val="oddPage"/>
          <w:pgSz w:w="11906" w:h="16838"/>
          <w:pgMar w:top="1440" w:right="1440" w:bottom="1440" w:left="1440" w:header="708" w:footer="708" w:gutter="0"/>
          <w:pgNumType w:fmt="lowerRoman" w:start="2"/>
          <w:cols w:space="708"/>
          <w:docGrid w:linePitch="360"/>
        </w:sectPr>
      </w:pPr>
    </w:p>
    <w:p w14:paraId="0898CE3A" w14:textId="73EFC59F" w:rsidR="004A13A7" w:rsidRPr="00923D7A" w:rsidRDefault="004A13A7" w:rsidP="000B27C0">
      <w:pPr>
        <w:pStyle w:val="Heading1"/>
      </w:pPr>
      <w:bookmarkStart w:id="3" w:name="_Toc14684336"/>
      <w:bookmarkStart w:id="4" w:name="_Toc206500118"/>
      <w:r w:rsidRPr="000B27C0">
        <w:lastRenderedPageBreak/>
        <w:t>Introduction</w:t>
      </w:r>
      <w:bookmarkEnd w:id="0"/>
      <w:bookmarkEnd w:id="1"/>
      <w:bookmarkEnd w:id="2"/>
      <w:bookmarkEnd w:id="3"/>
      <w:bookmarkEnd w:id="4"/>
    </w:p>
    <w:p w14:paraId="38F780F3" w14:textId="77777777" w:rsidR="00270F22" w:rsidRPr="00DE7566" w:rsidRDefault="00270F22" w:rsidP="00270F22">
      <w:pPr>
        <w:pStyle w:val="Heading2"/>
        <w:ind w:left="709" w:hanging="709"/>
      </w:pPr>
      <w:bookmarkStart w:id="5" w:name="_Toc14187281"/>
      <w:bookmarkStart w:id="6" w:name="_Toc14684337"/>
      <w:bookmarkStart w:id="7" w:name="_Toc206500119"/>
      <w:bookmarkStart w:id="8" w:name="_Toc6298713"/>
      <w:bookmarkStart w:id="9" w:name="_Toc8983850"/>
      <w:bookmarkStart w:id="10" w:name="_Toc8986374"/>
      <w:r w:rsidRPr="00DE7566">
        <w:t>Purpose</w:t>
      </w:r>
      <w:bookmarkEnd w:id="5"/>
      <w:bookmarkEnd w:id="6"/>
      <w:bookmarkEnd w:id="7"/>
    </w:p>
    <w:p w14:paraId="17C13E97" w14:textId="77777777" w:rsidR="00AB09F8" w:rsidRDefault="00AB09F8" w:rsidP="00AB09F8">
      <w:pPr>
        <w:tabs>
          <w:tab w:val="left" w:pos="8505"/>
          <w:tab w:val="right" w:pos="9356"/>
        </w:tabs>
        <w:spacing w:before="120"/>
      </w:pPr>
      <w:r>
        <w:t>The purpose of this Radiocommunications Assignment and Licensing Instruction (RALI) is to prescribe a process for notification to the Commonwealth Scientific and Industrial Research Organisation (CSIRO) of prospective frequency assignments to apparatus licensed services that might impede or degrade the operation of key radio astronomy facilities. Affected apparatus services are those in zones around the radio astronomy facilities and</w:t>
      </w:r>
      <w:r w:rsidRPr="00B25947">
        <w:t xml:space="preserve"> </w:t>
      </w:r>
      <w:r>
        <w:t>within the frequency bands listed in Australian Radiofrequency Spectrum Plan (ARSP) Australian footnote AUS87.</w:t>
      </w:r>
    </w:p>
    <w:p w14:paraId="6B8AD53C" w14:textId="77777777" w:rsidR="00AB09F8" w:rsidRDefault="00AB09F8" w:rsidP="00AB09F8">
      <w:pPr>
        <w:tabs>
          <w:tab w:val="left" w:pos="8505"/>
          <w:tab w:val="right" w:pos="9356"/>
        </w:tabs>
        <w:spacing w:before="120"/>
      </w:pPr>
      <w:bookmarkStart w:id="11" w:name="OLE_LINK9"/>
      <w:r>
        <w:t xml:space="preserve">The potential assignment is then analysed to determine whether the use of the planned transmitter at that location might be detrimental to the operation of radio astronomy at one or more of the locations listed in footnote AUS87 (this footnote is provided in </w:t>
      </w:r>
      <w:r w:rsidRPr="00DC5E4F">
        <w:rPr>
          <w:bCs/>
        </w:rPr>
        <w:t>Annex 1</w:t>
      </w:r>
      <w:r>
        <w:t>). The analysis may be done by the CSIRO, or by the accredited person or ACMA assigner progressing the assignment. The CSIRO may then opt to negotiate with the assigner (who would liaise with the prospective licensee) for a better outcome for radio astronomy, before the prospective assignment is passed to ACMA for licensing</w:t>
      </w:r>
      <w:bookmarkEnd w:id="11"/>
      <w:r>
        <w:t>.</w:t>
      </w:r>
      <w:r>
        <w:rPr>
          <w:rStyle w:val="FootnoteReference"/>
        </w:rPr>
        <w:footnoteReference w:id="2"/>
      </w:r>
      <w:r>
        <w:t xml:space="preserve"> ACMA would not participate in or arbitrate on these negotiations as the radio astronomy service is not afforded protection from interference in the AUS87 bands.</w:t>
      </w:r>
      <w:r>
        <w:rPr>
          <w:rStyle w:val="FootnoteReference"/>
        </w:rPr>
        <w:footnoteReference w:id="3"/>
      </w:r>
    </w:p>
    <w:p w14:paraId="702AC135" w14:textId="026F4B21" w:rsidR="00270F22" w:rsidRPr="00FD1033" w:rsidRDefault="00AB09F8" w:rsidP="00270F22">
      <w:pPr>
        <w:pStyle w:val="Heading2"/>
        <w:ind w:left="709" w:hanging="709"/>
      </w:pPr>
      <w:bookmarkStart w:id="12" w:name="_Toc206500120"/>
      <w:r>
        <w:t>Background</w:t>
      </w:r>
      <w:bookmarkEnd w:id="12"/>
    </w:p>
    <w:p w14:paraId="07FD5097" w14:textId="77777777" w:rsidR="00AB09F8" w:rsidRDefault="00AB09F8" w:rsidP="00AB09F8">
      <w:pPr>
        <w:spacing w:before="120"/>
      </w:pPr>
      <w:r>
        <w:t>The radio astronomy service uses extremely sensitive radio receiving systems to detect very faint signals of cosmic origin,</w:t>
      </w:r>
      <w:r w:rsidRPr="00DA43BF">
        <w:t xml:space="preserve"> </w:t>
      </w:r>
      <w:r w:rsidRPr="004A63FA">
        <w:t xml:space="preserve">at much lower power levels than are generally used </w:t>
      </w:r>
      <w:r>
        <w:t>in</w:t>
      </w:r>
      <w:r w:rsidRPr="004A63FA">
        <w:t xml:space="preserve"> other radio services</w:t>
      </w:r>
      <w:r>
        <w:t>. It is highly susceptible to interference from emissions from other radiocommunications services. To minimise such interference, radio astronomy antennas are usually operated in geographically remote locations.</w:t>
      </w:r>
    </w:p>
    <w:p w14:paraId="1C095426" w14:textId="77777777" w:rsidR="00AB09F8" w:rsidRDefault="00AB09F8" w:rsidP="00AB09F8">
      <w:pPr>
        <w:spacing w:before="120"/>
      </w:pPr>
      <w:r>
        <w:t xml:space="preserve">Specific frequency allocations to the radio astronomy service have been made in spectrum of particular importance to radio astronomers, such as the 1660–1670 MHz band. The operators of radio astronomy facilities may take out radiocommunications licences in these bands, giving them rights to protection from interference from other spectrum users. Radio astronomers also conduct observations in other bands, on a fortuitous basis, and cannot take out licences there because these bands are not allocated for the purpose of radio astronomy. In these other bands </w:t>
      </w:r>
      <w:r w:rsidRPr="004A63FA">
        <w:t>radio</w:t>
      </w:r>
      <w:r>
        <w:t xml:space="preserve"> </w:t>
      </w:r>
      <w:r w:rsidRPr="004A63FA">
        <w:t xml:space="preserve">astronomy </w:t>
      </w:r>
      <w:r>
        <w:t>receivers</w:t>
      </w:r>
      <w:r w:rsidRPr="004A63FA">
        <w:t xml:space="preserve"> </w:t>
      </w:r>
      <w:r>
        <w:t>are</w:t>
      </w:r>
      <w:r w:rsidRPr="004A63FA">
        <w:t xml:space="preserve"> particularly vulnerable to </w:t>
      </w:r>
      <w:r>
        <w:t>degradation</w:t>
      </w:r>
      <w:r w:rsidRPr="004A63FA">
        <w:t xml:space="preserve"> from transmitters </w:t>
      </w:r>
      <w:r>
        <w:t>in the same</w:t>
      </w:r>
      <w:r w:rsidRPr="004A63FA">
        <w:t xml:space="preserve"> spectrum bands.</w:t>
      </w:r>
    </w:p>
    <w:p w14:paraId="3DCAF6B4" w14:textId="77777777" w:rsidR="00AB09F8" w:rsidRPr="003426EF" w:rsidRDefault="00AB09F8" w:rsidP="00AB09F8">
      <w:pPr>
        <w:spacing w:before="120"/>
      </w:pPr>
      <w:r>
        <w:lastRenderedPageBreak/>
        <w:t>Radio astronomy is regarded by the Australian Government as an important scientific undertaking, with value for the broader community. Substantial investment has been made in radio astronomy and support facilities around Australia, and there is strong international involvement in radio astronomy science taking place in Australia. There is therefore an advantage to the Australian community in protecting the effectiveness of radio astronomy facilities.</w:t>
      </w:r>
    </w:p>
    <w:p w14:paraId="2E673E6B" w14:textId="77777777" w:rsidR="00AB09F8" w:rsidRDefault="00AB09F8" w:rsidP="00AB09F8">
      <w:pPr>
        <w:pStyle w:val="Heading2"/>
      </w:pPr>
      <w:bookmarkStart w:id="13" w:name="_Toc202796892"/>
      <w:bookmarkStart w:id="14" w:name="_Toc206500121"/>
      <w:r w:rsidRPr="006F600E">
        <w:t>Australian Productivity Commission Recommendation</w:t>
      </w:r>
      <w:bookmarkEnd w:id="13"/>
      <w:bookmarkEnd w:id="14"/>
    </w:p>
    <w:p w14:paraId="49D25F58" w14:textId="77777777" w:rsidR="00AB09F8" w:rsidRPr="000965AE" w:rsidRDefault="00AB09F8" w:rsidP="00AB09F8">
      <w:pPr>
        <w:spacing w:before="120"/>
      </w:pPr>
      <w:r>
        <w:t xml:space="preserve">In 2002 the Australian Productivity Commission (APC) conducted a </w:t>
      </w:r>
      <w:r w:rsidRPr="000965AE">
        <w:t>public inquiry,</w:t>
      </w:r>
      <w:r w:rsidRPr="000965AE">
        <w:rPr>
          <w:i/>
          <w:iCs/>
        </w:rPr>
        <w:t xml:space="preserve"> Review of Radiocommunications Acts and of the Market Based Reforms and Activities undertaken by the Australian Communications Authority</w:t>
      </w:r>
      <w:r>
        <w:rPr>
          <w:i/>
          <w:iCs/>
        </w:rPr>
        <w:t>.</w:t>
      </w:r>
      <w:r>
        <w:t xml:space="preserve"> A submission by the CSIRO’s Australia Telescope National Facility (ATNF) argued that footnote AUS</w:t>
      </w:r>
      <w:r w:rsidRPr="00D948E2">
        <w:t xml:space="preserve">87 is not effective in managing the interference </w:t>
      </w:r>
      <w:r>
        <w:t>to</w:t>
      </w:r>
      <w:r w:rsidRPr="00D948E2">
        <w:t xml:space="preserve"> radio</w:t>
      </w:r>
      <w:r>
        <w:t xml:space="preserve"> </w:t>
      </w:r>
      <w:r w:rsidRPr="00D948E2">
        <w:t>astronom</w:t>
      </w:r>
      <w:r>
        <w:t>y receivers</w:t>
      </w:r>
      <w:r w:rsidRPr="00D948E2">
        <w:t xml:space="preserve"> in these bands. The ATNF suggested that it would be more effective to designate major radio</w:t>
      </w:r>
      <w:r>
        <w:t xml:space="preserve"> </w:t>
      </w:r>
      <w:r w:rsidRPr="00D948E2">
        <w:t xml:space="preserve">astronomy facilities as ‘radio sensitive </w:t>
      </w:r>
      <w:proofErr w:type="gramStart"/>
      <w:r w:rsidRPr="00D948E2">
        <w:t>zones’</w:t>
      </w:r>
      <w:proofErr w:type="gramEnd"/>
      <w:r w:rsidRPr="00D948E2">
        <w:t>.</w:t>
      </w:r>
      <w:r>
        <w:t xml:space="preserve"> </w:t>
      </w:r>
      <w:r w:rsidRPr="00D948E2">
        <w:t>Under this proposal, it would be mandatory to notify radio telescope facilities that another user has applied for a transmi</w:t>
      </w:r>
      <w:r>
        <w:t>tter licence</w:t>
      </w:r>
      <w:r w:rsidRPr="00D948E2">
        <w:t xml:space="preserve"> within the zone. This would allow the ATNF</w:t>
      </w:r>
      <w:r>
        <w:t xml:space="preserve"> the opportunity </w:t>
      </w:r>
      <w:r w:rsidRPr="00D948E2">
        <w:t xml:space="preserve">to </w:t>
      </w:r>
      <w:r>
        <w:t xml:space="preserve">propose </w:t>
      </w:r>
      <w:r w:rsidRPr="00D948E2">
        <w:t>a technical solution that</w:t>
      </w:r>
      <w:r>
        <w:t xml:space="preserve"> overcomes any interference to</w:t>
      </w:r>
      <w:r w:rsidRPr="00D948E2">
        <w:t xml:space="preserve"> radio</w:t>
      </w:r>
      <w:r>
        <w:t xml:space="preserve"> astronomy facilities</w:t>
      </w:r>
      <w:r w:rsidRPr="00D948E2">
        <w:t>.</w:t>
      </w:r>
    </w:p>
    <w:p w14:paraId="26A08FF5" w14:textId="77777777" w:rsidR="00AB09F8" w:rsidRPr="00D948E2" w:rsidRDefault="00AB09F8" w:rsidP="00AB09F8">
      <w:pPr>
        <w:spacing w:before="120"/>
      </w:pPr>
      <w:r w:rsidRPr="00D948E2">
        <w:t xml:space="preserve">The </w:t>
      </w:r>
      <w:r>
        <w:t>APC</w:t>
      </w:r>
      <w:r w:rsidRPr="00D948E2">
        <w:t xml:space="preserve"> did not receive any submissions arguing against this proposal.</w:t>
      </w:r>
      <w:r>
        <w:t xml:space="preserve"> </w:t>
      </w:r>
      <w:r w:rsidRPr="00D948E2">
        <w:t xml:space="preserve">The ATNF did not suggest that other services be prohibited from using the spectrum. Further, the ATNF </w:t>
      </w:r>
      <w:r>
        <w:t xml:space="preserve">stated it </w:t>
      </w:r>
      <w:r w:rsidRPr="00D948E2">
        <w:t>would be responsible for finding a solution to in</w:t>
      </w:r>
      <w:r>
        <w:t>terference</w:t>
      </w:r>
      <w:r w:rsidRPr="00D948E2">
        <w:t xml:space="preserve">. </w:t>
      </w:r>
    </w:p>
    <w:p w14:paraId="78BF6D70" w14:textId="77777777" w:rsidR="00AB09F8" w:rsidRDefault="00AB09F8" w:rsidP="00AB09F8">
      <w:pPr>
        <w:spacing w:before="120"/>
      </w:pPr>
      <w:r>
        <w:t xml:space="preserve">The inquiry report, ‘Radiocommunications’ released on </w:t>
      </w:r>
      <w:smartTag w:uri="urn:schemas-microsoft-com:office:smarttags" w:element="date">
        <w:smartTagPr>
          <w:attr w:name="Month" w:val="12"/>
          <w:attr w:name="Day" w:val="5"/>
          <w:attr w:name="Year" w:val="2002"/>
        </w:smartTagPr>
        <w:r>
          <w:t xml:space="preserve">5 December </w:t>
        </w:r>
        <w:r w:rsidRPr="008B5B22">
          <w:t>2</w:t>
        </w:r>
        <w:r>
          <w:t>002</w:t>
        </w:r>
      </w:smartTag>
      <w:r w:rsidRPr="0030463E">
        <w:rPr>
          <w:rStyle w:val="FootnoteReference"/>
        </w:rPr>
        <w:footnoteReference w:id="4"/>
      </w:r>
      <w:r>
        <w:t xml:space="preserve"> made the following recommendation: </w:t>
      </w:r>
    </w:p>
    <w:p w14:paraId="62D64DCF" w14:textId="77777777" w:rsidR="00AB09F8" w:rsidRPr="00FC1ECF" w:rsidRDefault="00AB09F8" w:rsidP="00AB09F8">
      <w:pPr>
        <w:spacing w:before="120"/>
        <w:ind w:left="568"/>
      </w:pPr>
      <w:r w:rsidRPr="00FC1ECF">
        <w:t xml:space="preserve">Radioastronomy facilities should be designated as </w:t>
      </w:r>
      <w:r>
        <w:t>‘</w:t>
      </w:r>
      <w:r w:rsidRPr="00FC1ECF">
        <w:t>radio sensitive sites’ under the Australian Radiofrequency Spectrum Plan. These facilities must be notified that another user has applied for a transmitter licence wholly or partially within the bands specified in footnote AUS87.</w:t>
      </w:r>
    </w:p>
    <w:p w14:paraId="5273DC3C" w14:textId="77777777" w:rsidR="00AB09F8" w:rsidRDefault="00AB09F8" w:rsidP="00AB09F8">
      <w:pPr>
        <w:pStyle w:val="Heading2"/>
      </w:pPr>
      <w:bookmarkStart w:id="15" w:name="_Toc96834903"/>
      <w:bookmarkStart w:id="16" w:name="_Toc142710869"/>
      <w:bookmarkStart w:id="17" w:name="_Toc202796893"/>
      <w:bookmarkStart w:id="18" w:name="_Toc206500122"/>
      <w:r>
        <w:t>Implementing the APC Recommendation</w:t>
      </w:r>
      <w:bookmarkEnd w:id="15"/>
      <w:bookmarkEnd w:id="16"/>
      <w:bookmarkEnd w:id="17"/>
      <w:bookmarkEnd w:id="18"/>
    </w:p>
    <w:p w14:paraId="41D4C210" w14:textId="77777777" w:rsidR="00AB09F8" w:rsidRDefault="00AB09F8" w:rsidP="00AB09F8">
      <w:pPr>
        <w:spacing w:before="120"/>
      </w:pPr>
      <w:r>
        <w:t>At the time, the then Australian Communications Authority advised the APC that it would implement the recommendation, but it would need to be done in a different manner from that suggested.</w:t>
      </w:r>
    </w:p>
    <w:p w14:paraId="1A25B89B" w14:textId="77777777" w:rsidR="00AB09F8" w:rsidRDefault="00AB09F8" w:rsidP="00AB09F8">
      <w:pPr>
        <w:spacing w:before="120"/>
      </w:pPr>
      <w:r>
        <w:t xml:space="preserve">The ARSP is not an appropriate vehicle to convey the concept described by the APC. Its prescribed purpose, as defined in Section 30 of the </w:t>
      </w:r>
      <w:r w:rsidRPr="00033AD9">
        <w:rPr>
          <w:i/>
          <w:iCs/>
        </w:rPr>
        <w:t>Radiocommunications Act 1992</w:t>
      </w:r>
      <w:r>
        <w:t>, is to partition the radio spectrum into bands and define the general purposes for which these bands may be used. It has no mechanism to trigger a notification that a user has applied for a radiocommunications licence within a particular band.</w:t>
      </w:r>
    </w:p>
    <w:p w14:paraId="3427CF27" w14:textId="77777777" w:rsidR="00AB09F8" w:rsidRPr="003E7961" w:rsidRDefault="00AB09F8" w:rsidP="00AB09F8">
      <w:pPr>
        <w:spacing w:before="120"/>
      </w:pPr>
      <w:r>
        <w:lastRenderedPageBreak/>
        <w:t>It was decided that the recommendation is more usefully implemented during the frequency assignment process by way of a RALI. The frequency assignment process is usually followed by an application for, and issuing of, a radiocommunications licence that authorises the use of a radio transmitter. Once a licence is issued a transmitter is generally installed and operated. A RALI, then, can trigger notification to radio astronomy facilities of potentially interfering transmitters before they are turned on.</w:t>
      </w:r>
    </w:p>
    <w:p w14:paraId="2CEDFE7D" w14:textId="7642D186" w:rsidR="00AB09F8" w:rsidRPr="003426EF" w:rsidRDefault="00AB09F8" w:rsidP="00AB09F8">
      <w:pPr>
        <w:spacing w:before="120"/>
      </w:pPr>
    </w:p>
    <w:p w14:paraId="55AB7B2F" w14:textId="35167AE0" w:rsidR="00270F22" w:rsidRDefault="00270F22" w:rsidP="001A08A6"/>
    <w:p w14:paraId="267095A4" w14:textId="08BE2FD5" w:rsidR="00270F22" w:rsidRDefault="00AB09F8" w:rsidP="00270F22">
      <w:pPr>
        <w:pStyle w:val="Heading1"/>
      </w:pPr>
      <w:bookmarkStart w:id="19" w:name="_Toc206500123"/>
      <w:bookmarkEnd w:id="8"/>
      <w:bookmarkEnd w:id="9"/>
      <w:bookmarkEnd w:id="10"/>
      <w:r>
        <w:lastRenderedPageBreak/>
        <w:t>Scope</w:t>
      </w:r>
      <w:bookmarkEnd w:id="19"/>
    </w:p>
    <w:p w14:paraId="18A20A51" w14:textId="77777777" w:rsidR="00AB09F8" w:rsidRDefault="00AB09F8" w:rsidP="00AB09F8">
      <w:pPr>
        <w:tabs>
          <w:tab w:val="left" w:pos="8505"/>
          <w:tab w:val="right" w:pos="9356"/>
        </w:tabs>
      </w:pPr>
      <w:r>
        <w:t>A potential assignment falls within the scope of this RALI if:</w:t>
      </w:r>
    </w:p>
    <w:p w14:paraId="1B7282F2" w14:textId="77777777" w:rsidR="00AB09F8" w:rsidRDefault="00AB09F8" w:rsidP="00AB09F8">
      <w:pPr>
        <w:pStyle w:val="ListBullet"/>
      </w:pPr>
      <w:r>
        <w:t xml:space="preserve">the assignment is for an </w:t>
      </w:r>
      <w:r w:rsidRPr="0093798E">
        <w:t xml:space="preserve">apparatus licensed, coordinated terrestrial </w:t>
      </w:r>
      <w:r>
        <w:t xml:space="preserve">service </w:t>
      </w:r>
      <w:r w:rsidRPr="0093798E">
        <w:t xml:space="preserve">station </w:t>
      </w:r>
      <w:r>
        <w:t xml:space="preserve">or </w:t>
      </w:r>
      <w:r w:rsidRPr="0093798E">
        <w:t>earth station</w:t>
      </w:r>
      <w:r>
        <w:t>, and</w:t>
      </w:r>
    </w:p>
    <w:p w14:paraId="13163643" w14:textId="77777777" w:rsidR="00AB09F8" w:rsidRDefault="00AB09F8" w:rsidP="00AB09F8">
      <w:pPr>
        <w:pStyle w:val="ListBullet"/>
      </w:pPr>
      <w:r>
        <w:t>its geographical position lies within one or more of the prescribed areas, and</w:t>
      </w:r>
    </w:p>
    <w:p w14:paraId="562C7298" w14:textId="77777777" w:rsidR="00AB09F8" w:rsidRPr="00A82211" w:rsidRDefault="00AB09F8" w:rsidP="00AB09F8">
      <w:pPr>
        <w:pStyle w:val="ListBulletLast"/>
      </w:pPr>
      <w:r>
        <w:t>any part of its licensed bandwidth falls within the frequency bands listed in Table 1 of this RALI.</w:t>
      </w:r>
    </w:p>
    <w:p w14:paraId="02350B49" w14:textId="77777777" w:rsidR="00AB09F8" w:rsidRPr="00EB0571" w:rsidRDefault="00AB09F8" w:rsidP="00AB09F8">
      <w:pPr>
        <w:tabs>
          <w:tab w:val="left" w:pos="8505"/>
          <w:tab w:val="right" w:pos="9356"/>
        </w:tabs>
        <w:spacing w:before="120"/>
        <w:rPr>
          <w:b/>
        </w:rPr>
      </w:pPr>
      <w:r>
        <w:t>This RALI does not apply to radiocommunications systems that operate in an itinerant fashion, that is systems that may operate within the coordination zones from time to time.</w:t>
      </w:r>
    </w:p>
    <w:p w14:paraId="47FEAFBC" w14:textId="77777777" w:rsidR="00AB09F8" w:rsidRDefault="00AB09F8" w:rsidP="00AB09F8">
      <w:pPr>
        <w:tabs>
          <w:tab w:val="left" w:pos="8505"/>
          <w:tab w:val="right" w:pos="9356"/>
        </w:tabs>
        <w:spacing w:before="120"/>
        <w:ind w:left="1"/>
      </w:pPr>
      <w:bookmarkStart w:id="20" w:name="OLE_LINK4"/>
      <w:r>
        <w:t>The procedure described in this RALI</w:t>
      </w:r>
      <w:r w:rsidRPr="00EB0571">
        <w:t xml:space="preserve"> do</w:t>
      </w:r>
      <w:r>
        <w:t>es</w:t>
      </w:r>
      <w:r w:rsidRPr="00EB0571">
        <w:t xml:space="preserve"> not apply </w:t>
      </w:r>
      <w:bookmarkEnd w:id="20"/>
      <w:r w:rsidRPr="00EB0571">
        <w:t xml:space="preserve">to existing transmitters </w:t>
      </w:r>
      <w:r>
        <w:t xml:space="preserve">authorised for use by apparatus </w:t>
      </w:r>
      <w:r w:rsidRPr="00EB0571">
        <w:t>licences, nor do they apply to transmitters whose use is authorised by spectrum or class licences within the bands</w:t>
      </w:r>
      <w:r>
        <w:t xml:space="preserve"> listed in Table 1 of this RALI</w:t>
      </w:r>
      <w:r w:rsidRPr="00EB0571">
        <w:t>.</w:t>
      </w:r>
    </w:p>
    <w:p w14:paraId="10A88C54" w14:textId="77777777" w:rsidR="00AB09F8" w:rsidRDefault="00AB09F8" w:rsidP="00AB09F8">
      <w:pPr>
        <w:tabs>
          <w:tab w:val="left" w:pos="8505"/>
          <w:tab w:val="right" w:pos="9356"/>
        </w:tabs>
        <w:spacing w:before="120"/>
        <w:ind w:left="1"/>
      </w:pPr>
      <w:bookmarkStart w:id="21" w:name="OLE_LINK5"/>
      <w:r>
        <w:t>The procedure described in this RALI</w:t>
      </w:r>
      <w:r w:rsidRPr="00EB0571">
        <w:t xml:space="preserve"> do</w:t>
      </w:r>
      <w:r>
        <w:t>es</w:t>
      </w:r>
      <w:r w:rsidRPr="00EB0571">
        <w:t xml:space="preserve"> not apply</w:t>
      </w:r>
      <w:r>
        <w:t xml:space="preserve"> to assignments to licences whose details would be kept confidential under section 152 of the </w:t>
      </w:r>
      <w:r w:rsidRPr="00107D97">
        <w:rPr>
          <w:i/>
          <w:iCs/>
        </w:rPr>
        <w:t>Radiocommunications Act 1992</w:t>
      </w:r>
      <w:bookmarkEnd w:id="21"/>
      <w:r>
        <w:rPr>
          <w:i/>
          <w:iCs/>
        </w:rPr>
        <w:t>.</w:t>
      </w:r>
    </w:p>
    <w:p w14:paraId="41306470" w14:textId="0C80B694" w:rsidR="00270F22" w:rsidRPr="000B27C0" w:rsidRDefault="00955283" w:rsidP="00270F22">
      <w:pPr>
        <w:pStyle w:val="Heading1"/>
      </w:pPr>
      <w:bookmarkStart w:id="22" w:name="_Toc206500124"/>
      <w:r>
        <w:lastRenderedPageBreak/>
        <w:t>Notification Zones</w:t>
      </w:r>
      <w:bookmarkEnd w:id="22"/>
    </w:p>
    <w:p w14:paraId="7889F314" w14:textId="77D3CBE4" w:rsidR="00270F22" w:rsidRDefault="00955283" w:rsidP="00270F22">
      <w:r w:rsidRPr="00955283">
        <w:t>The frequency bands and radii listed in Table 1 are recommended for notification zones for the recognised observatory locations detailed in Table 2.</w:t>
      </w:r>
    </w:p>
    <w:p w14:paraId="44F5E17D" w14:textId="29331A47" w:rsidR="007223A4" w:rsidRPr="00A17B1B" w:rsidRDefault="007223A4" w:rsidP="0076498D">
      <w:pPr>
        <w:pStyle w:val="Caption"/>
        <w:keepLines/>
        <w:numPr>
          <w:ilvl w:val="0"/>
          <w:numId w:val="7"/>
        </w:numPr>
        <w:tabs>
          <w:tab w:val="clear" w:pos="2807"/>
          <w:tab w:val="num" w:pos="964"/>
        </w:tabs>
        <w:spacing w:after="120"/>
        <w:ind w:left="964"/>
      </w:pPr>
      <w:r w:rsidRPr="007223A4">
        <w:t>Notification Zone Parameters</w:t>
      </w:r>
    </w:p>
    <w:tbl>
      <w:tblPr>
        <w:tblStyle w:val="ACMAtablestyle"/>
        <w:tblW w:w="8500" w:type="dxa"/>
        <w:tblLayout w:type="fixed"/>
        <w:tblLook w:val="01E0" w:firstRow="1" w:lastRow="1" w:firstColumn="1" w:lastColumn="1" w:noHBand="0" w:noVBand="0"/>
        <w:tblCaption w:val="Table title to go here"/>
        <w:tblDescription w:val="Table description to go here"/>
      </w:tblPr>
      <w:tblGrid>
        <w:gridCol w:w="1696"/>
        <w:gridCol w:w="1105"/>
        <w:gridCol w:w="1106"/>
        <w:gridCol w:w="1106"/>
        <w:gridCol w:w="1106"/>
        <w:gridCol w:w="1106"/>
        <w:gridCol w:w="1275"/>
      </w:tblGrid>
      <w:tr w:rsidR="007223A4" w:rsidRPr="00A17B1B" w14:paraId="33A3D39B" w14:textId="77777777" w:rsidTr="007223A4">
        <w:trPr>
          <w:cnfStyle w:val="100000000000" w:firstRow="1" w:lastRow="0" w:firstColumn="0" w:lastColumn="0" w:oddVBand="0" w:evenVBand="0" w:oddHBand="0" w:evenHBand="0" w:firstRowFirstColumn="0" w:firstRowLastColumn="0" w:lastRowFirstColumn="0" w:lastRowLastColumn="0"/>
          <w:trHeight w:val="20"/>
        </w:trPr>
        <w:tc>
          <w:tcPr>
            <w:tcW w:w="1696" w:type="dxa"/>
            <w:vMerge w:val="restart"/>
          </w:tcPr>
          <w:p w14:paraId="4E03D237" w14:textId="0F9B6810" w:rsidR="007223A4" w:rsidRPr="00A17B1B" w:rsidRDefault="007223A4" w:rsidP="007223A4">
            <w:pPr>
              <w:pStyle w:val="Tableheaderrow"/>
              <w:keepNext/>
              <w:keepLines/>
            </w:pPr>
            <w:r>
              <w:t>Band</w:t>
            </w:r>
            <w:r>
              <w:br/>
              <w:t>(MHz)</w:t>
            </w:r>
          </w:p>
        </w:tc>
        <w:tc>
          <w:tcPr>
            <w:tcW w:w="6804" w:type="dxa"/>
            <w:gridSpan w:val="6"/>
          </w:tcPr>
          <w:p w14:paraId="0CBFC2E0" w14:textId="56ABB612" w:rsidR="007223A4" w:rsidRPr="007223A4" w:rsidRDefault="007223A4" w:rsidP="007223A4">
            <w:pPr>
              <w:pStyle w:val="TableBody"/>
              <w:keepNext/>
              <w:keepLines/>
              <w:rPr>
                <w:b/>
              </w:rPr>
            </w:pPr>
            <w:r w:rsidRPr="007223A4">
              <w:rPr>
                <w:b/>
              </w:rPr>
              <w:t>Notification Zone radii (km)</w:t>
            </w:r>
          </w:p>
        </w:tc>
      </w:tr>
      <w:tr w:rsidR="007223A4" w:rsidRPr="00A17B1B" w14:paraId="7E7A230E" w14:textId="77777777" w:rsidTr="007223A4">
        <w:trPr>
          <w:cnfStyle w:val="000000100000" w:firstRow="0" w:lastRow="0" w:firstColumn="0" w:lastColumn="0" w:oddVBand="0" w:evenVBand="0" w:oddHBand="1" w:evenHBand="0" w:firstRowFirstColumn="0" w:firstRowLastColumn="0" w:lastRowFirstColumn="0" w:lastRowLastColumn="0"/>
          <w:trHeight w:val="20"/>
        </w:trPr>
        <w:tc>
          <w:tcPr>
            <w:tcW w:w="1696" w:type="dxa"/>
            <w:vMerge/>
          </w:tcPr>
          <w:p w14:paraId="0C4F55D9" w14:textId="77777777" w:rsidR="007223A4" w:rsidRPr="00A17B1B" w:rsidRDefault="007223A4" w:rsidP="007223A4">
            <w:pPr>
              <w:pStyle w:val="Tableheaderrow"/>
              <w:keepNext/>
              <w:keepLines/>
            </w:pPr>
          </w:p>
        </w:tc>
        <w:tc>
          <w:tcPr>
            <w:tcW w:w="1105" w:type="dxa"/>
          </w:tcPr>
          <w:p w14:paraId="5A9D1290" w14:textId="7E88B3C7" w:rsidR="007223A4" w:rsidRPr="007223A4" w:rsidRDefault="007223A4" w:rsidP="007223A4">
            <w:pPr>
              <w:pStyle w:val="Tableheaderrow"/>
              <w:keepNext/>
              <w:keepLines/>
              <w:rPr>
                <w:color w:val="FFFFFF" w:themeColor="background1"/>
              </w:rPr>
            </w:pPr>
            <w:r w:rsidRPr="00CC7B28">
              <w:t>Parkes</w:t>
            </w:r>
          </w:p>
        </w:tc>
        <w:tc>
          <w:tcPr>
            <w:tcW w:w="1106" w:type="dxa"/>
          </w:tcPr>
          <w:p w14:paraId="56DE0902" w14:textId="5D65D91F" w:rsidR="007223A4" w:rsidRPr="007223A4" w:rsidRDefault="007223A4" w:rsidP="007223A4">
            <w:pPr>
              <w:pStyle w:val="Tableheaderrow"/>
              <w:keepNext/>
              <w:keepLines/>
              <w:rPr>
                <w:color w:val="FFFFFF" w:themeColor="background1"/>
              </w:rPr>
            </w:pPr>
            <w:r w:rsidRPr="00CC7B28">
              <w:t>Narrabri</w:t>
            </w:r>
          </w:p>
        </w:tc>
        <w:tc>
          <w:tcPr>
            <w:tcW w:w="1106" w:type="dxa"/>
          </w:tcPr>
          <w:p w14:paraId="1F0C84BE" w14:textId="27474F9B" w:rsidR="007223A4" w:rsidRPr="007223A4" w:rsidRDefault="007223A4" w:rsidP="007223A4">
            <w:pPr>
              <w:pStyle w:val="Tableheaderrow"/>
              <w:keepNext/>
              <w:keepLines/>
              <w:rPr>
                <w:color w:val="FFFFFF" w:themeColor="background1"/>
              </w:rPr>
            </w:pPr>
            <w:proofErr w:type="spellStart"/>
            <w:r w:rsidRPr="00CC7B28">
              <w:t>Mopra</w:t>
            </w:r>
            <w:proofErr w:type="spellEnd"/>
          </w:p>
        </w:tc>
        <w:tc>
          <w:tcPr>
            <w:tcW w:w="1106" w:type="dxa"/>
          </w:tcPr>
          <w:p w14:paraId="3E4D3FE5" w14:textId="75C5C2E0" w:rsidR="007223A4" w:rsidRPr="007223A4" w:rsidRDefault="007223A4" w:rsidP="007223A4">
            <w:pPr>
              <w:pStyle w:val="Tableheaderrow"/>
              <w:keepNext/>
              <w:keepLines/>
              <w:rPr>
                <w:color w:val="FFFFFF" w:themeColor="background1"/>
              </w:rPr>
            </w:pPr>
            <w:r w:rsidRPr="00CC7B28">
              <w:t>Hobart</w:t>
            </w:r>
          </w:p>
        </w:tc>
        <w:tc>
          <w:tcPr>
            <w:tcW w:w="1106" w:type="dxa"/>
          </w:tcPr>
          <w:p w14:paraId="349909FC" w14:textId="3ED1F5D9" w:rsidR="007223A4" w:rsidRPr="007223A4" w:rsidRDefault="007223A4" w:rsidP="007223A4">
            <w:pPr>
              <w:pStyle w:val="Tableheaderrow"/>
              <w:keepNext/>
              <w:keepLines/>
              <w:rPr>
                <w:color w:val="FFFFFF" w:themeColor="background1"/>
              </w:rPr>
            </w:pPr>
            <w:r w:rsidRPr="00CC7B28">
              <w:t>Ceduna</w:t>
            </w:r>
          </w:p>
        </w:tc>
        <w:tc>
          <w:tcPr>
            <w:tcW w:w="1275" w:type="dxa"/>
          </w:tcPr>
          <w:p w14:paraId="6E20E18F" w14:textId="17D16405" w:rsidR="007223A4" w:rsidRPr="007223A4" w:rsidRDefault="007223A4" w:rsidP="007223A4">
            <w:pPr>
              <w:pStyle w:val="Tableheaderrow"/>
              <w:keepNext/>
              <w:keepLines/>
              <w:rPr>
                <w:color w:val="FFFFFF" w:themeColor="background1"/>
              </w:rPr>
            </w:pPr>
            <w:r w:rsidRPr="00CC7B28">
              <w:t>Tidbinbilla</w:t>
            </w:r>
          </w:p>
        </w:tc>
      </w:tr>
      <w:tr w:rsidR="007223A4" w:rsidRPr="00A17B1B" w14:paraId="55E9C76B" w14:textId="77777777" w:rsidTr="007223A4">
        <w:trPr>
          <w:cnfStyle w:val="000000010000" w:firstRow="0" w:lastRow="0" w:firstColumn="0" w:lastColumn="0" w:oddVBand="0" w:evenVBand="0" w:oddHBand="0" w:evenHBand="1" w:firstRowFirstColumn="0" w:firstRowLastColumn="0" w:lastRowFirstColumn="0" w:lastRowLastColumn="0"/>
          <w:trHeight w:val="15"/>
        </w:trPr>
        <w:tc>
          <w:tcPr>
            <w:tcW w:w="1696" w:type="dxa"/>
          </w:tcPr>
          <w:p w14:paraId="2EE5DD1A" w14:textId="2432D8F0" w:rsidR="007223A4" w:rsidRPr="007223A4" w:rsidRDefault="007223A4" w:rsidP="007223A4">
            <w:pPr>
              <w:pStyle w:val="Tableheaderrow"/>
              <w:keepNext/>
              <w:keepLines/>
              <w:rPr>
                <w:b w:val="0"/>
                <w:bCs/>
                <w:color w:val="FFFFFF" w:themeColor="background1"/>
              </w:rPr>
            </w:pPr>
            <w:r w:rsidRPr="007223A4">
              <w:rPr>
                <w:b w:val="0"/>
                <w:bCs/>
              </w:rPr>
              <w:t>1250–1780</w:t>
            </w:r>
          </w:p>
        </w:tc>
        <w:tc>
          <w:tcPr>
            <w:tcW w:w="1105" w:type="dxa"/>
          </w:tcPr>
          <w:p w14:paraId="435FFD0C" w14:textId="4DB92C54" w:rsidR="007223A4" w:rsidRPr="007223A4" w:rsidRDefault="007223A4" w:rsidP="007223A4">
            <w:pPr>
              <w:pStyle w:val="Tableheaderrow"/>
              <w:keepNext/>
              <w:keepLines/>
              <w:rPr>
                <w:b w:val="0"/>
                <w:bCs/>
                <w:color w:val="FFFFFF" w:themeColor="background1"/>
              </w:rPr>
            </w:pPr>
            <w:r w:rsidRPr="007223A4">
              <w:rPr>
                <w:b w:val="0"/>
                <w:bCs/>
              </w:rPr>
              <w:t>200</w:t>
            </w:r>
          </w:p>
        </w:tc>
        <w:tc>
          <w:tcPr>
            <w:tcW w:w="1106" w:type="dxa"/>
          </w:tcPr>
          <w:p w14:paraId="547B7D97" w14:textId="53E674BF" w:rsidR="007223A4" w:rsidRPr="007223A4" w:rsidRDefault="007223A4" w:rsidP="007223A4">
            <w:pPr>
              <w:pStyle w:val="Tableheaderrow"/>
              <w:keepNext/>
              <w:keepLines/>
              <w:rPr>
                <w:b w:val="0"/>
                <w:bCs/>
                <w:color w:val="FFFFFF" w:themeColor="background1"/>
              </w:rPr>
            </w:pPr>
            <w:r w:rsidRPr="007223A4">
              <w:rPr>
                <w:b w:val="0"/>
                <w:bCs/>
              </w:rPr>
              <w:t>250</w:t>
            </w:r>
          </w:p>
        </w:tc>
        <w:tc>
          <w:tcPr>
            <w:tcW w:w="1106" w:type="dxa"/>
          </w:tcPr>
          <w:p w14:paraId="208DE798" w14:textId="4B19A23F" w:rsidR="007223A4" w:rsidRPr="007223A4" w:rsidRDefault="007223A4" w:rsidP="007223A4">
            <w:pPr>
              <w:pStyle w:val="Tableheaderrow"/>
              <w:keepNext/>
              <w:keepLines/>
              <w:rPr>
                <w:b w:val="0"/>
                <w:bCs/>
                <w:color w:val="FFFFFF" w:themeColor="background1"/>
              </w:rPr>
            </w:pPr>
            <w:r w:rsidRPr="007223A4">
              <w:rPr>
                <w:b w:val="0"/>
                <w:bCs/>
              </w:rPr>
              <w:t>150</w:t>
            </w:r>
          </w:p>
        </w:tc>
        <w:tc>
          <w:tcPr>
            <w:tcW w:w="1106" w:type="dxa"/>
          </w:tcPr>
          <w:p w14:paraId="7EFA6E9C" w14:textId="31722314" w:rsidR="007223A4" w:rsidRPr="007223A4" w:rsidRDefault="007223A4" w:rsidP="007223A4">
            <w:pPr>
              <w:pStyle w:val="Tableheaderrow"/>
              <w:keepNext/>
              <w:keepLines/>
              <w:rPr>
                <w:b w:val="0"/>
                <w:bCs/>
                <w:color w:val="FFFFFF" w:themeColor="background1"/>
              </w:rPr>
            </w:pPr>
            <w:r w:rsidRPr="007223A4">
              <w:rPr>
                <w:b w:val="0"/>
                <w:bCs/>
              </w:rPr>
              <w:t>100</w:t>
            </w:r>
          </w:p>
        </w:tc>
        <w:tc>
          <w:tcPr>
            <w:tcW w:w="1106" w:type="dxa"/>
          </w:tcPr>
          <w:p w14:paraId="68723FF2" w14:textId="4920DD12" w:rsidR="007223A4" w:rsidRPr="007223A4" w:rsidRDefault="007223A4" w:rsidP="007223A4">
            <w:pPr>
              <w:pStyle w:val="Tableheaderrow"/>
              <w:keepNext/>
              <w:keepLines/>
              <w:rPr>
                <w:b w:val="0"/>
                <w:bCs/>
                <w:color w:val="FFFFFF" w:themeColor="background1"/>
              </w:rPr>
            </w:pPr>
            <w:r w:rsidRPr="007223A4">
              <w:rPr>
                <w:b w:val="0"/>
                <w:bCs/>
              </w:rPr>
              <w:t>N/A</w:t>
            </w:r>
          </w:p>
        </w:tc>
        <w:tc>
          <w:tcPr>
            <w:tcW w:w="1275" w:type="dxa"/>
          </w:tcPr>
          <w:p w14:paraId="04D0B62E" w14:textId="7C499B51" w:rsidR="007223A4" w:rsidRPr="007223A4" w:rsidRDefault="007223A4" w:rsidP="007223A4">
            <w:pPr>
              <w:pStyle w:val="Tableheaderrow"/>
              <w:keepNext/>
              <w:keepLines/>
              <w:rPr>
                <w:b w:val="0"/>
                <w:bCs/>
              </w:rPr>
            </w:pPr>
            <w:r w:rsidRPr="007223A4">
              <w:rPr>
                <w:b w:val="0"/>
                <w:bCs/>
              </w:rPr>
              <w:t>120</w:t>
            </w:r>
          </w:p>
        </w:tc>
      </w:tr>
      <w:tr w:rsidR="007223A4" w:rsidRPr="00A17B1B" w14:paraId="5F0884CE" w14:textId="77777777" w:rsidTr="007223A4">
        <w:trPr>
          <w:cnfStyle w:val="000000100000" w:firstRow="0" w:lastRow="0" w:firstColumn="0" w:lastColumn="0" w:oddVBand="0" w:evenVBand="0" w:oddHBand="1" w:evenHBand="0" w:firstRowFirstColumn="0" w:firstRowLastColumn="0" w:lastRowFirstColumn="0" w:lastRowLastColumn="0"/>
          <w:trHeight w:val="15"/>
        </w:trPr>
        <w:tc>
          <w:tcPr>
            <w:tcW w:w="1696" w:type="dxa"/>
          </w:tcPr>
          <w:p w14:paraId="55CCC556" w14:textId="2ED85EC7" w:rsidR="007223A4" w:rsidRPr="007223A4" w:rsidRDefault="007223A4" w:rsidP="007223A4">
            <w:pPr>
              <w:pStyle w:val="Tableheaderrow"/>
              <w:keepNext/>
              <w:keepLines/>
              <w:rPr>
                <w:b w:val="0"/>
                <w:bCs/>
                <w:color w:val="FFFFFF" w:themeColor="background1"/>
              </w:rPr>
            </w:pPr>
            <w:r w:rsidRPr="007223A4">
              <w:rPr>
                <w:b w:val="0"/>
                <w:bCs/>
              </w:rPr>
              <w:t>2200–2550</w:t>
            </w:r>
          </w:p>
        </w:tc>
        <w:tc>
          <w:tcPr>
            <w:tcW w:w="1105" w:type="dxa"/>
          </w:tcPr>
          <w:p w14:paraId="2BBB5427" w14:textId="3DB8B583" w:rsidR="007223A4" w:rsidRPr="007223A4" w:rsidRDefault="007223A4" w:rsidP="007223A4">
            <w:pPr>
              <w:pStyle w:val="Tableheaderrow"/>
              <w:keepNext/>
              <w:keepLines/>
              <w:rPr>
                <w:b w:val="0"/>
                <w:bCs/>
                <w:color w:val="FFFFFF" w:themeColor="background1"/>
              </w:rPr>
            </w:pPr>
            <w:r w:rsidRPr="007223A4">
              <w:rPr>
                <w:b w:val="0"/>
                <w:bCs/>
              </w:rPr>
              <w:t>180</w:t>
            </w:r>
          </w:p>
        </w:tc>
        <w:tc>
          <w:tcPr>
            <w:tcW w:w="1106" w:type="dxa"/>
          </w:tcPr>
          <w:p w14:paraId="4C9822D3" w14:textId="7218256C" w:rsidR="007223A4" w:rsidRPr="007223A4" w:rsidRDefault="007223A4" w:rsidP="007223A4">
            <w:pPr>
              <w:pStyle w:val="Tableheaderrow"/>
              <w:keepNext/>
              <w:keepLines/>
              <w:rPr>
                <w:b w:val="0"/>
                <w:bCs/>
                <w:color w:val="FFFFFF" w:themeColor="background1"/>
              </w:rPr>
            </w:pPr>
            <w:r w:rsidRPr="007223A4">
              <w:rPr>
                <w:b w:val="0"/>
                <w:bCs/>
              </w:rPr>
              <w:t>180</w:t>
            </w:r>
          </w:p>
        </w:tc>
        <w:tc>
          <w:tcPr>
            <w:tcW w:w="1106" w:type="dxa"/>
          </w:tcPr>
          <w:p w14:paraId="037CDD83" w14:textId="2360A157" w:rsidR="007223A4" w:rsidRPr="007223A4" w:rsidRDefault="007223A4" w:rsidP="007223A4">
            <w:pPr>
              <w:pStyle w:val="Tableheaderrow"/>
              <w:keepNext/>
              <w:keepLines/>
              <w:rPr>
                <w:b w:val="0"/>
                <w:bCs/>
                <w:color w:val="FFFFFF" w:themeColor="background1"/>
              </w:rPr>
            </w:pPr>
            <w:r w:rsidRPr="007223A4">
              <w:rPr>
                <w:b w:val="0"/>
                <w:bCs/>
              </w:rPr>
              <w:t>130</w:t>
            </w:r>
          </w:p>
        </w:tc>
        <w:tc>
          <w:tcPr>
            <w:tcW w:w="1106" w:type="dxa"/>
          </w:tcPr>
          <w:p w14:paraId="684A8A6F" w14:textId="4D1A38E2" w:rsidR="007223A4" w:rsidRPr="007223A4" w:rsidRDefault="007223A4" w:rsidP="007223A4">
            <w:pPr>
              <w:pStyle w:val="Tableheaderrow"/>
              <w:keepNext/>
              <w:keepLines/>
              <w:rPr>
                <w:b w:val="0"/>
                <w:bCs/>
                <w:color w:val="FFFFFF" w:themeColor="background1"/>
              </w:rPr>
            </w:pPr>
            <w:r w:rsidRPr="007223A4">
              <w:rPr>
                <w:b w:val="0"/>
                <w:bCs/>
              </w:rPr>
              <w:t>80</w:t>
            </w:r>
          </w:p>
        </w:tc>
        <w:tc>
          <w:tcPr>
            <w:tcW w:w="1106" w:type="dxa"/>
          </w:tcPr>
          <w:p w14:paraId="0EADA5BC" w14:textId="02050B60" w:rsidR="007223A4" w:rsidRPr="007223A4" w:rsidRDefault="007223A4" w:rsidP="007223A4">
            <w:pPr>
              <w:pStyle w:val="Tableheaderrow"/>
              <w:keepNext/>
              <w:keepLines/>
              <w:rPr>
                <w:b w:val="0"/>
                <w:bCs/>
                <w:color w:val="FFFFFF" w:themeColor="background1"/>
              </w:rPr>
            </w:pPr>
            <w:r w:rsidRPr="007223A4">
              <w:rPr>
                <w:b w:val="0"/>
                <w:bCs/>
              </w:rPr>
              <w:t>120</w:t>
            </w:r>
          </w:p>
        </w:tc>
        <w:tc>
          <w:tcPr>
            <w:tcW w:w="1275" w:type="dxa"/>
          </w:tcPr>
          <w:p w14:paraId="36BBD5DE" w14:textId="16920A1D" w:rsidR="007223A4" w:rsidRPr="007223A4" w:rsidRDefault="007223A4" w:rsidP="007223A4">
            <w:pPr>
              <w:pStyle w:val="Tableheaderrow"/>
              <w:keepNext/>
              <w:keepLines/>
              <w:rPr>
                <w:b w:val="0"/>
                <w:bCs/>
              </w:rPr>
            </w:pPr>
            <w:r w:rsidRPr="007223A4">
              <w:rPr>
                <w:b w:val="0"/>
                <w:bCs/>
              </w:rPr>
              <w:t>80</w:t>
            </w:r>
          </w:p>
        </w:tc>
      </w:tr>
      <w:tr w:rsidR="007223A4" w:rsidRPr="00A17B1B" w14:paraId="23C0977D" w14:textId="77777777" w:rsidTr="007223A4">
        <w:trPr>
          <w:cnfStyle w:val="000000010000" w:firstRow="0" w:lastRow="0" w:firstColumn="0" w:lastColumn="0" w:oddVBand="0" w:evenVBand="0" w:oddHBand="0" w:evenHBand="1" w:firstRowFirstColumn="0" w:firstRowLastColumn="0" w:lastRowFirstColumn="0" w:lastRowLastColumn="0"/>
          <w:trHeight w:val="15"/>
        </w:trPr>
        <w:tc>
          <w:tcPr>
            <w:tcW w:w="1696" w:type="dxa"/>
          </w:tcPr>
          <w:p w14:paraId="152D25B0" w14:textId="7B9AC2C4" w:rsidR="007223A4" w:rsidRPr="007223A4" w:rsidRDefault="007223A4" w:rsidP="007223A4">
            <w:pPr>
              <w:pStyle w:val="Tableheaderrow"/>
              <w:keepNext/>
              <w:keepLines/>
              <w:rPr>
                <w:b w:val="0"/>
                <w:bCs/>
                <w:color w:val="FFFFFF" w:themeColor="background1"/>
              </w:rPr>
            </w:pPr>
            <w:r w:rsidRPr="007223A4">
              <w:rPr>
                <w:b w:val="0"/>
                <w:bCs/>
              </w:rPr>
              <w:t>4350–6700</w:t>
            </w:r>
          </w:p>
        </w:tc>
        <w:tc>
          <w:tcPr>
            <w:tcW w:w="1105" w:type="dxa"/>
          </w:tcPr>
          <w:p w14:paraId="000B8278" w14:textId="7B2ECDF0" w:rsidR="007223A4" w:rsidRPr="007223A4" w:rsidRDefault="007223A4" w:rsidP="007223A4">
            <w:pPr>
              <w:pStyle w:val="Tableheaderrow"/>
              <w:keepNext/>
              <w:keepLines/>
              <w:rPr>
                <w:b w:val="0"/>
                <w:bCs/>
                <w:color w:val="FFFFFF" w:themeColor="background1"/>
              </w:rPr>
            </w:pPr>
            <w:r w:rsidRPr="007223A4">
              <w:rPr>
                <w:b w:val="0"/>
                <w:bCs/>
              </w:rPr>
              <w:t>160</w:t>
            </w:r>
          </w:p>
        </w:tc>
        <w:tc>
          <w:tcPr>
            <w:tcW w:w="1106" w:type="dxa"/>
          </w:tcPr>
          <w:p w14:paraId="5498EB8B" w14:textId="4D9F7064" w:rsidR="007223A4" w:rsidRPr="007223A4" w:rsidRDefault="007223A4" w:rsidP="007223A4">
            <w:pPr>
              <w:pStyle w:val="Tableheaderrow"/>
              <w:keepNext/>
              <w:keepLines/>
              <w:rPr>
                <w:b w:val="0"/>
                <w:bCs/>
                <w:color w:val="FFFFFF" w:themeColor="background1"/>
              </w:rPr>
            </w:pPr>
            <w:r w:rsidRPr="007223A4">
              <w:rPr>
                <w:b w:val="0"/>
                <w:bCs/>
              </w:rPr>
              <w:t>160</w:t>
            </w:r>
          </w:p>
        </w:tc>
        <w:tc>
          <w:tcPr>
            <w:tcW w:w="1106" w:type="dxa"/>
          </w:tcPr>
          <w:p w14:paraId="099104F3" w14:textId="78A77E12" w:rsidR="007223A4" w:rsidRPr="007223A4" w:rsidRDefault="007223A4" w:rsidP="007223A4">
            <w:pPr>
              <w:pStyle w:val="Tableheaderrow"/>
              <w:keepNext/>
              <w:keepLines/>
              <w:rPr>
                <w:b w:val="0"/>
                <w:bCs/>
                <w:color w:val="FFFFFF" w:themeColor="background1"/>
              </w:rPr>
            </w:pPr>
            <w:r w:rsidRPr="007223A4">
              <w:rPr>
                <w:b w:val="0"/>
                <w:bCs/>
              </w:rPr>
              <w:t>120</w:t>
            </w:r>
          </w:p>
        </w:tc>
        <w:tc>
          <w:tcPr>
            <w:tcW w:w="1106" w:type="dxa"/>
          </w:tcPr>
          <w:p w14:paraId="1B778A0A" w14:textId="2574F91F" w:rsidR="007223A4" w:rsidRPr="007223A4" w:rsidRDefault="007223A4" w:rsidP="007223A4">
            <w:pPr>
              <w:pStyle w:val="Tableheaderrow"/>
              <w:keepNext/>
              <w:keepLines/>
              <w:rPr>
                <w:b w:val="0"/>
                <w:bCs/>
                <w:color w:val="FFFFFF" w:themeColor="background1"/>
              </w:rPr>
            </w:pPr>
            <w:r w:rsidRPr="007223A4">
              <w:rPr>
                <w:b w:val="0"/>
                <w:bCs/>
              </w:rPr>
              <w:t>70</w:t>
            </w:r>
            <w:r w:rsidRPr="007223A4">
              <w:rPr>
                <w:rStyle w:val="FootnoteReference"/>
                <w:b w:val="0"/>
                <w:bCs/>
              </w:rPr>
              <w:footnoteReference w:id="5"/>
            </w:r>
          </w:p>
        </w:tc>
        <w:tc>
          <w:tcPr>
            <w:tcW w:w="1106" w:type="dxa"/>
          </w:tcPr>
          <w:p w14:paraId="53F7581B" w14:textId="125D38DD" w:rsidR="007223A4" w:rsidRPr="007223A4" w:rsidRDefault="007223A4" w:rsidP="007223A4">
            <w:pPr>
              <w:pStyle w:val="Tableheaderrow"/>
              <w:keepNext/>
              <w:keepLines/>
              <w:rPr>
                <w:b w:val="0"/>
                <w:bCs/>
                <w:color w:val="FFFFFF" w:themeColor="background1"/>
              </w:rPr>
            </w:pPr>
            <w:r w:rsidRPr="007223A4">
              <w:rPr>
                <w:b w:val="0"/>
                <w:bCs/>
              </w:rPr>
              <w:t>120</w:t>
            </w:r>
          </w:p>
        </w:tc>
        <w:tc>
          <w:tcPr>
            <w:tcW w:w="1275" w:type="dxa"/>
          </w:tcPr>
          <w:p w14:paraId="52FBDFAB" w14:textId="1D5B4470" w:rsidR="007223A4" w:rsidRPr="007223A4" w:rsidRDefault="007223A4" w:rsidP="007223A4">
            <w:pPr>
              <w:pStyle w:val="Tableheaderrow"/>
              <w:keepNext/>
              <w:keepLines/>
              <w:rPr>
                <w:b w:val="0"/>
                <w:bCs/>
              </w:rPr>
            </w:pPr>
            <w:r w:rsidRPr="007223A4">
              <w:rPr>
                <w:b w:val="0"/>
                <w:bCs/>
              </w:rPr>
              <w:t>70</w:t>
            </w:r>
          </w:p>
        </w:tc>
      </w:tr>
      <w:tr w:rsidR="007223A4" w:rsidRPr="00A17B1B" w14:paraId="50837541" w14:textId="77777777" w:rsidTr="007223A4">
        <w:trPr>
          <w:cnfStyle w:val="000000100000" w:firstRow="0" w:lastRow="0" w:firstColumn="0" w:lastColumn="0" w:oddVBand="0" w:evenVBand="0" w:oddHBand="1" w:evenHBand="0" w:firstRowFirstColumn="0" w:firstRowLastColumn="0" w:lastRowFirstColumn="0" w:lastRowLastColumn="0"/>
          <w:trHeight w:val="15"/>
        </w:trPr>
        <w:tc>
          <w:tcPr>
            <w:tcW w:w="1696" w:type="dxa"/>
          </w:tcPr>
          <w:p w14:paraId="5EBE9DB8" w14:textId="515D4179" w:rsidR="007223A4" w:rsidRPr="007223A4" w:rsidRDefault="007223A4" w:rsidP="007223A4">
            <w:pPr>
              <w:pStyle w:val="Tableheaderrow"/>
              <w:keepNext/>
              <w:keepLines/>
              <w:rPr>
                <w:b w:val="0"/>
                <w:bCs/>
                <w:color w:val="FFFFFF" w:themeColor="background1"/>
              </w:rPr>
            </w:pPr>
            <w:r w:rsidRPr="007223A4">
              <w:rPr>
                <w:b w:val="0"/>
                <w:bCs/>
              </w:rPr>
              <w:t>8000–9200</w:t>
            </w:r>
          </w:p>
        </w:tc>
        <w:tc>
          <w:tcPr>
            <w:tcW w:w="1105" w:type="dxa"/>
          </w:tcPr>
          <w:p w14:paraId="51B57528" w14:textId="01A58F0F" w:rsidR="007223A4" w:rsidRPr="007223A4" w:rsidRDefault="007223A4" w:rsidP="007223A4">
            <w:pPr>
              <w:pStyle w:val="Tableheaderrow"/>
              <w:keepNext/>
              <w:keepLines/>
              <w:rPr>
                <w:b w:val="0"/>
                <w:bCs/>
                <w:color w:val="FFFFFF" w:themeColor="background1"/>
              </w:rPr>
            </w:pPr>
            <w:r w:rsidRPr="007223A4">
              <w:rPr>
                <w:b w:val="0"/>
                <w:bCs/>
              </w:rPr>
              <w:t>150</w:t>
            </w:r>
          </w:p>
        </w:tc>
        <w:tc>
          <w:tcPr>
            <w:tcW w:w="1106" w:type="dxa"/>
          </w:tcPr>
          <w:p w14:paraId="395C6D27" w14:textId="476DEC98" w:rsidR="007223A4" w:rsidRPr="007223A4" w:rsidRDefault="007223A4" w:rsidP="007223A4">
            <w:pPr>
              <w:pStyle w:val="Tableheaderrow"/>
              <w:keepNext/>
              <w:keepLines/>
              <w:rPr>
                <w:b w:val="0"/>
                <w:bCs/>
                <w:color w:val="FFFFFF" w:themeColor="background1"/>
              </w:rPr>
            </w:pPr>
            <w:r w:rsidRPr="007223A4">
              <w:rPr>
                <w:b w:val="0"/>
                <w:bCs/>
              </w:rPr>
              <w:t>110</w:t>
            </w:r>
          </w:p>
        </w:tc>
        <w:tc>
          <w:tcPr>
            <w:tcW w:w="1106" w:type="dxa"/>
          </w:tcPr>
          <w:p w14:paraId="29D4410B" w14:textId="5F1A5B42" w:rsidR="007223A4" w:rsidRPr="007223A4" w:rsidRDefault="007223A4" w:rsidP="007223A4">
            <w:pPr>
              <w:pStyle w:val="Tableheaderrow"/>
              <w:keepNext/>
              <w:keepLines/>
              <w:rPr>
                <w:b w:val="0"/>
                <w:bCs/>
                <w:color w:val="FFFFFF" w:themeColor="background1"/>
              </w:rPr>
            </w:pPr>
            <w:r w:rsidRPr="007223A4">
              <w:rPr>
                <w:b w:val="0"/>
                <w:bCs/>
              </w:rPr>
              <w:t>100</w:t>
            </w:r>
          </w:p>
        </w:tc>
        <w:tc>
          <w:tcPr>
            <w:tcW w:w="1106" w:type="dxa"/>
          </w:tcPr>
          <w:p w14:paraId="4ED00E99" w14:textId="112BE8B1" w:rsidR="007223A4" w:rsidRPr="007223A4" w:rsidRDefault="007223A4" w:rsidP="007223A4">
            <w:pPr>
              <w:pStyle w:val="Tableheaderrow"/>
              <w:keepNext/>
              <w:keepLines/>
              <w:rPr>
                <w:b w:val="0"/>
                <w:bCs/>
                <w:color w:val="FFFFFF" w:themeColor="background1"/>
              </w:rPr>
            </w:pPr>
            <w:r w:rsidRPr="007223A4">
              <w:rPr>
                <w:b w:val="0"/>
                <w:bCs/>
              </w:rPr>
              <w:t>50</w:t>
            </w:r>
          </w:p>
        </w:tc>
        <w:tc>
          <w:tcPr>
            <w:tcW w:w="1106" w:type="dxa"/>
          </w:tcPr>
          <w:p w14:paraId="1ECCE7FD" w14:textId="5C8A8F7D" w:rsidR="007223A4" w:rsidRPr="007223A4" w:rsidRDefault="007223A4" w:rsidP="007223A4">
            <w:pPr>
              <w:pStyle w:val="Tableheaderrow"/>
              <w:keepNext/>
              <w:keepLines/>
              <w:rPr>
                <w:b w:val="0"/>
                <w:bCs/>
                <w:color w:val="FFFFFF" w:themeColor="background1"/>
              </w:rPr>
            </w:pPr>
            <w:r w:rsidRPr="007223A4">
              <w:rPr>
                <w:b w:val="0"/>
                <w:bCs/>
              </w:rPr>
              <w:t>120</w:t>
            </w:r>
          </w:p>
        </w:tc>
        <w:tc>
          <w:tcPr>
            <w:tcW w:w="1275" w:type="dxa"/>
          </w:tcPr>
          <w:p w14:paraId="35EC97AC" w14:textId="4AAF894C" w:rsidR="007223A4" w:rsidRPr="007223A4" w:rsidRDefault="007223A4" w:rsidP="007223A4">
            <w:pPr>
              <w:pStyle w:val="Tableheaderrow"/>
              <w:keepNext/>
              <w:keepLines/>
              <w:rPr>
                <w:b w:val="0"/>
                <w:bCs/>
              </w:rPr>
            </w:pPr>
            <w:r w:rsidRPr="007223A4">
              <w:rPr>
                <w:b w:val="0"/>
                <w:bCs/>
              </w:rPr>
              <w:t>50</w:t>
            </w:r>
          </w:p>
        </w:tc>
      </w:tr>
      <w:tr w:rsidR="007223A4" w:rsidRPr="00A17B1B" w14:paraId="16930F94" w14:textId="77777777" w:rsidTr="007223A4">
        <w:trPr>
          <w:cnfStyle w:val="000000010000" w:firstRow="0" w:lastRow="0" w:firstColumn="0" w:lastColumn="0" w:oddVBand="0" w:evenVBand="0" w:oddHBand="0" w:evenHBand="1" w:firstRowFirstColumn="0" w:firstRowLastColumn="0" w:lastRowFirstColumn="0" w:lastRowLastColumn="0"/>
          <w:trHeight w:val="15"/>
        </w:trPr>
        <w:tc>
          <w:tcPr>
            <w:tcW w:w="1696" w:type="dxa"/>
          </w:tcPr>
          <w:p w14:paraId="383FA600" w14:textId="4B330F1C" w:rsidR="007223A4" w:rsidRPr="007223A4" w:rsidRDefault="007223A4" w:rsidP="007223A4">
            <w:pPr>
              <w:pStyle w:val="Tableheaderrow"/>
              <w:keepNext/>
              <w:keepLines/>
              <w:rPr>
                <w:b w:val="0"/>
                <w:bCs/>
                <w:color w:val="FFFFFF" w:themeColor="background1"/>
              </w:rPr>
            </w:pPr>
            <w:r w:rsidRPr="007223A4">
              <w:rPr>
                <w:b w:val="0"/>
                <w:bCs/>
              </w:rPr>
              <w:t>16000–26000</w:t>
            </w:r>
          </w:p>
        </w:tc>
        <w:tc>
          <w:tcPr>
            <w:tcW w:w="1105" w:type="dxa"/>
          </w:tcPr>
          <w:p w14:paraId="7CD021B1" w14:textId="00D79199" w:rsidR="007223A4" w:rsidRPr="007223A4" w:rsidRDefault="007223A4" w:rsidP="007223A4">
            <w:pPr>
              <w:pStyle w:val="Tableheaderrow"/>
              <w:keepNext/>
              <w:keepLines/>
              <w:rPr>
                <w:b w:val="0"/>
                <w:bCs/>
                <w:color w:val="FFFFFF" w:themeColor="background1"/>
              </w:rPr>
            </w:pPr>
            <w:r w:rsidRPr="007223A4">
              <w:rPr>
                <w:b w:val="0"/>
                <w:bCs/>
              </w:rPr>
              <w:t>110</w:t>
            </w:r>
          </w:p>
        </w:tc>
        <w:tc>
          <w:tcPr>
            <w:tcW w:w="1106" w:type="dxa"/>
          </w:tcPr>
          <w:p w14:paraId="57A97F62" w14:textId="68F947B0" w:rsidR="007223A4" w:rsidRPr="007223A4" w:rsidRDefault="007223A4" w:rsidP="007223A4">
            <w:pPr>
              <w:pStyle w:val="Tableheaderrow"/>
              <w:keepNext/>
              <w:keepLines/>
              <w:rPr>
                <w:b w:val="0"/>
                <w:bCs/>
                <w:color w:val="FFFFFF" w:themeColor="background1"/>
              </w:rPr>
            </w:pPr>
            <w:r w:rsidRPr="007223A4">
              <w:rPr>
                <w:b w:val="0"/>
                <w:bCs/>
              </w:rPr>
              <w:t>90</w:t>
            </w:r>
          </w:p>
        </w:tc>
        <w:tc>
          <w:tcPr>
            <w:tcW w:w="1106" w:type="dxa"/>
          </w:tcPr>
          <w:p w14:paraId="1C88A4A7" w14:textId="3E40121E" w:rsidR="007223A4" w:rsidRPr="007223A4" w:rsidRDefault="007223A4" w:rsidP="007223A4">
            <w:pPr>
              <w:pStyle w:val="Tableheaderrow"/>
              <w:keepNext/>
              <w:keepLines/>
              <w:rPr>
                <w:b w:val="0"/>
                <w:bCs/>
                <w:color w:val="FFFFFF" w:themeColor="background1"/>
              </w:rPr>
            </w:pPr>
            <w:r w:rsidRPr="007223A4">
              <w:rPr>
                <w:b w:val="0"/>
                <w:bCs/>
              </w:rPr>
              <w:t>80</w:t>
            </w:r>
          </w:p>
        </w:tc>
        <w:tc>
          <w:tcPr>
            <w:tcW w:w="1106" w:type="dxa"/>
          </w:tcPr>
          <w:p w14:paraId="41214A2C" w14:textId="3B03CC69" w:rsidR="007223A4" w:rsidRPr="007223A4" w:rsidRDefault="007223A4" w:rsidP="007223A4">
            <w:pPr>
              <w:pStyle w:val="Tableheaderrow"/>
              <w:keepNext/>
              <w:keepLines/>
              <w:rPr>
                <w:b w:val="0"/>
                <w:bCs/>
                <w:color w:val="FFFFFF" w:themeColor="background1"/>
              </w:rPr>
            </w:pPr>
            <w:r w:rsidRPr="007223A4">
              <w:rPr>
                <w:b w:val="0"/>
                <w:bCs/>
              </w:rPr>
              <w:t>30</w:t>
            </w:r>
          </w:p>
        </w:tc>
        <w:tc>
          <w:tcPr>
            <w:tcW w:w="1106" w:type="dxa"/>
          </w:tcPr>
          <w:p w14:paraId="352759F8" w14:textId="1BC5A4E0" w:rsidR="007223A4" w:rsidRPr="007223A4" w:rsidRDefault="007223A4" w:rsidP="007223A4">
            <w:pPr>
              <w:pStyle w:val="Tableheaderrow"/>
              <w:keepNext/>
              <w:keepLines/>
              <w:rPr>
                <w:b w:val="0"/>
                <w:bCs/>
                <w:color w:val="FFFFFF" w:themeColor="background1"/>
              </w:rPr>
            </w:pPr>
            <w:r w:rsidRPr="007223A4">
              <w:rPr>
                <w:b w:val="0"/>
                <w:bCs/>
              </w:rPr>
              <w:t>80</w:t>
            </w:r>
          </w:p>
        </w:tc>
        <w:tc>
          <w:tcPr>
            <w:tcW w:w="1275" w:type="dxa"/>
          </w:tcPr>
          <w:p w14:paraId="41B34CB8" w14:textId="0852D8DB" w:rsidR="007223A4" w:rsidRPr="007223A4" w:rsidRDefault="007223A4" w:rsidP="007223A4">
            <w:pPr>
              <w:pStyle w:val="Tableheaderrow"/>
              <w:keepNext/>
              <w:keepLines/>
              <w:rPr>
                <w:b w:val="0"/>
                <w:bCs/>
              </w:rPr>
            </w:pPr>
            <w:r w:rsidRPr="007223A4">
              <w:rPr>
                <w:b w:val="0"/>
                <w:bCs/>
              </w:rPr>
              <w:t>30</w:t>
            </w:r>
            <w:r w:rsidRPr="007223A4">
              <w:rPr>
                <w:rStyle w:val="FootnoteReference"/>
                <w:b w:val="0"/>
                <w:bCs/>
              </w:rPr>
              <w:footnoteReference w:id="6"/>
            </w:r>
          </w:p>
        </w:tc>
      </w:tr>
      <w:tr w:rsidR="007223A4" w:rsidRPr="00A17B1B" w14:paraId="311430E9" w14:textId="77777777" w:rsidTr="007223A4">
        <w:trPr>
          <w:cnfStyle w:val="000000100000" w:firstRow="0" w:lastRow="0" w:firstColumn="0" w:lastColumn="0" w:oddVBand="0" w:evenVBand="0" w:oddHBand="1" w:evenHBand="0" w:firstRowFirstColumn="0" w:firstRowLastColumn="0" w:lastRowFirstColumn="0" w:lastRowLastColumn="0"/>
          <w:trHeight w:val="15"/>
        </w:trPr>
        <w:tc>
          <w:tcPr>
            <w:tcW w:w="1696" w:type="dxa"/>
          </w:tcPr>
          <w:p w14:paraId="039D4BAB" w14:textId="159FC20A" w:rsidR="007223A4" w:rsidRPr="007223A4" w:rsidRDefault="007223A4" w:rsidP="007223A4">
            <w:pPr>
              <w:pStyle w:val="Tableheaderrow"/>
              <w:keepNext/>
              <w:keepLines/>
              <w:rPr>
                <w:b w:val="0"/>
                <w:bCs/>
                <w:color w:val="FFFFFF" w:themeColor="background1"/>
              </w:rPr>
            </w:pPr>
            <w:r w:rsidRPr="007223A4">
              <w:rPr>
                <w:b w:val="0"/>
                <w:bCs/>
              </w:rPr>
              <w:t>71000–76000</w:t>
            </w:r>
          </w:p>
        </w:tc>
        <w:tc>
          <w:tcPr>
            <w:tcW w:w="1105" w:type="dxa"/>
          </w:tcPr>
          <w:p w14:paraId="446C9658" w14:textId="2CE3C7EF" w:rsidR="007223A4" w:rsidRPr="007223A4" w:rsidRDefault="007223A4" w:rsidP="007223A4">
            <w:pPr>
              <w:pStyle w:val="Tableheaderrow"/>
              <w:keepNext/>
              <w:keepLines/>
              <w:rPr>
                <w:b w:val="0"/>
                <w:bCs/>
                <w:color w:val="FFFFFF" w:themeColor="background1"/>
              </w:rPr>
            </w:pPr>
            <w:r w:rsidRPr="007223A4">
              <w:rPr>
                <w:b w:val="0"/>
                <w:bCs/>
              </w:rPr>
              <w:t>N/A</w:t>
            </w:r>
          </w:p>
        </w:tc>
        <w:tc>
          <w:tcPr>
            <w:tcW w:w="1106" w:type="dxa"/>
          </w:tcPr>
          <w:p w14:paraId="14D082CA" w14:textId="3979EE8C" w:rsidR="007223A4" w:rsidRPr="007223A4" w:rsidRDefault="007223A4" w:rsidP="007223A4">
            <w:pPr>
              <w:pStyle w:val="Tableheaderrow"/>
              <w:keepNext/>
              <w:keepLines/>
              <w:rPr>
                <w:b w:val="0"/>
                <w:bCs/>
                <w:color w:val="FFFFFF" w:themeColor="background1"/>
              </w:rPr>
            </w:pPr>
            <w:r w:rsidRPr="007223A4">
              <w:rPr>
                <w:b w:val="0"/>
                <w:bCs/>
              </w:rPr>
              <w:t>60</w:t>
            </w:r>
          </w:p>
        </w:tc>
        <w:tc>
          <w:tcPr>
            <w:tcW w:w="1106" w:type="dxa"/>
          </w:tcPr>
          <w:p w14:paraId="1E364A8A" w14:textId="15C138B8" w:rsidR="007223A4" w:rsidRPr="007223A4" w:rsidRDefault="007223A4" w:rsidP="007223A4">
            <w:pPr>
              <w:pStyle w:val="Tableheaderrow"/>
              <w:keepNext/>
              <w:keepLines/>
              <w:rPr>
                <w:b w:val="0"/>
                <w:bCs/>
                <w:color w:val="FFFFFF" w:themeColor="background1"/>
              </w:rPr>
            </w:pPr>
            <w:r w:rsidRPr="007223A4">
              <w:rPr>
                <w:b w:val="0"/>
                <w:bCs/>
              </w:rPr>
              <w:t>60</w:t>
            </w:r>
          </w:p>
        </w:tc>
        <w:tc>
          <w:tcPr>
            <w:tcW w:w="1106" w:type="dxa"/>
          </w:tcPr>
          <w:p w14:paraId="23D64ABB" w14:textId="30A9A5BD" w:rsidR="007223A4" w:rsidRPr="007223A4" w:rsidRDefault="007223A4" w:rsidP="007223A4">
            <w:pPr>
              <w:pStyle w:val="Tableheaderrow"/>
              <w:keepNext/>
              <w:keepLines/>
              <w:rPr>
                <w:b w:val="0"/>
                <w:bCs/>
                <w:color w:val="FFFFFF" w:themeColor="background1"/>
              </w:rPr>
            </w:pPr>
            <w:r w:rsidRPr="007223A4">
              <w:rPr>
                <w:b w:val="0"/>
                <w:bCs/>
              </w:rPr>
              <w:t>N/A</w:t>
            </w:r>
          </w:p>
        </w:tc>
        <w:tc>
          <w:tcPr>
            <w:tcW w:w="1106" w:type="dxa"/>
          </w:tcPr>
          <w:p w14:paraId="6EFD9D0E" w14:textId="774814A8" w:rsidR="007223A4" w:rsidRPr="007223A4" w:rsidRDefault="007223A4" w:rsidP="007223A4">
            <w:pPr>
              <w:pStyle w:val="Tableheaderrow"/>
              <w:keepNext/>
              <w:keepLines/>
              <w:rPr>
                <w:b w:val="0"/>
                <w:bCs/>
                <w:color w:val="FFFFFF" w:themeColor="background1"/>
              </w:rPr>
            </w:pPr>
            <w:r w:rsidRPr="007223A4">
              <w:rPr>
                <w:b w:val="0"/>
                <w:bCs/>
              </w:rPr>
              <w:t>N/A</w:t>
            </w:r>
          </w:p>
        </w:tc>
        <w:tc>
          <w:tcPr>
            <w:tcW w:w="1275" w:type="dxa"/>
          </w:tcPr>
          <w:p w14:paraId="127F19F9" w14:textId="234D586F" w:rsidR="007223A4" w:rsidRPr="007223A4" w:rsidRDefault="007223A4" w:rsidP="007223A4">
            <w:pPr>
              <w:pStyle w:val="Tableheaderrow"/>
              <w:keepNext/>
              <w:keepLines/>
              <w:rPr>
                <w:b w:val="0"/>
                <w:bCs/>
              </w:rPr>
            </w:pPr>
            <w:r w:rsidRPr="007223A4">
              <w:rPr>
                <w:b w:val="0"/>
                <w:bCs/>
              </w:rPr>
              <w:t>N/A</w:t>
            </w:r>
          </w:p>
        </w:tc>
      </w:tr>
      <w:tr w:rsidR="007223A4" w:rsidRPr="00A17B1B" w14:paraId="40647B6A" w14:textId="77777777" w:rsidTr="007223A4">
        <w:trPr>
          <w:cnfStyle w:val="000000010000" w:firstRow="0" w:lastRow="0" w:firstColumn="0" w:lastColumn="0" w:oddVBand="0" w:evenVBand="0" w:oddHBand="0" w:evenHBand="1" w:firstRowFirstColumn="0" w:firstRowLastColumn="0" w:lastRowFirstColumn="0" w:lastRowLastColumn="0"/>
          <w:trHeight w:val="15"/>
        </w:trPr>
        <w:tc>
          <w:tcPr>
            <w:tcW w:w="1696" w:type="dxa"/>
          </w:tcPr>
          <w:p w14:paraId="19549CF2" w14:textId="69466746" w:rsidR="007223A4" w:rsidRPr="007223A4" w:rsidRDefault="007223A4" w:rsidP="007223A4">
            <w:pPr>
              <w:pStyle w:val="Tableheaderrow"/>
              <w:keepNext/>
              <w:keepLines/>
              <w:rPr>
                <w:b w:val="0"/>
                <w:bCs/>
                <w:color w:val="FFFFFF" w:themeColor="background1"/>
              </w:rPr>
            </w:pPr>
            <w:r w:rsidRPr="007223A4">
              <w:rPr>
                <w:b w:val="0"/>
                <w:bCs/>
              </w:rPr>
              <w:t>81000–86000</w:t>
            </w:r>
          </w:p>
        </w:tc>
        <w:tc>
          <w:tcPr>
            <w:tcW w:w="1105" w:type="dxa"/>
          </w:tcPr>
          <w:p w14:paraId="5E15C1A9" w14:textId="4CF4D72C" w:rsidR="007223A4" w:rsidRPr="007223A4" w:rsidRDefault="007223A4" w:rsidP="007223A4">
            <w:pPr>
              <w:pStyle w:val="Tableheaderrow"/>
              <w:keepNext/>
              <w:keepLines/>
              <w:rPr>
                <w:b w:val="0"/>
                <w:bCs/>
                <w:color w:val="FFFFFF" w:themeColor="background1"/>
              </w:rPr>
            </w:pPr>
            <w:r w:rsidRPr="007223A4">
              <w:rPr>
                <w:b w:val="0"/>
                <w:bCs/>
              </w:rPr>
              <w:t>N/A</w:t>
            </w:r>
          </w:p>
        </w:tc>
        <w:tc>
          <w:tcPr>
            <w:tcW w:w="1106" w:type="dxa"/>
          </w:tcPr>
          <w:p w14:paraId="03B350C2" w14:textId="67EF9EA7" w:rsidR="007223A4" w:rsidRPr="007223A4" w:rsidRDefault="007223A4" w:rsidP="007223A4">
            <w:pPr>
              <w:pStyle w:val="Tableheaderrow"/>
              <w:keepNext/>
              <w:keepLines/>
              <w:rPr>
                <w:b w:val="0"/>
                <w:bCs/>
                <w:color w:val="FFFFFF" w:themeColor="background1"/>
              </w:rPr>
            </w:pPr>
            <w:r w:rsidRPr="007223A4">
              <w:rPr>
                <w:b w:val="0"/>
                <w:bCs/>
              </w:rPr>
              <w:t>60</w:t>
            </w:r>
          </w:p>
        </w:tc>
        <w:tc>
          <w:tcPr>
            <w:tcW w:w="1106" w:type="dxa"/>
          </w:tcPr>
          <w:p w14:paraId="112DC638" w14:textId="6EA66D8B" w:rsidR="007223A4" w:rsidRPr="007223A4" w:rsidRDefault="007223A4" w:rsidP="007223A4">
            <w:pPr>
              <w:pStyle w:val="Tableheaderrow"/>
              <w:keepNext/>
              <w:keepLines/>
              <w:rPr>
                <w:b w:val="0"/>
                <w:bCs/>
                <w:color w:val="FFFFFF" w:themeColor="background1"/>
              </w:rPr>
            </w:pPr>
            <w:r w:rsidRPr="007223A4">
              <w:rPr>
                <w:b w:val="0"/>
                <w:bCs/>
              </w:rPr>
              <w:t>60</w:t>
            </w:r>
          </w:p>
        </w:tc>
        <w:tc>
          <w:tcPr>
            <w:tcW w:w="1106" w:type="dxa"/>
          </w:tcPr>
          <w:p w14:paraId="241A1E79" w14:textId="01C55786" w:rsidR="007223A4" w:rsidRPr="007223A4" w:rsidRDefault="007223A4" w:rsidP="007223A4">
            <w:pPr>
              <w:pStyle w:val="Tableheaderrow"/>
              <w:keepNext/>
              <w:keepLines/>
              <w:rPr>
                <w:b w:val="0"/>
                <w:bCs/>
                <w:color w:val="FFFFFF" w:themeColor="background1"/>
              </w:rPr>
            </w:pPr>
            <w:r w:rsidRPr="007223A4">
              <w:rPr>
                <w:b w:val="0"/>
                <w:bCs/>
              </w:rPr>
              <w:t>N/A</w:t>
            </w:r>
          </w:p>
        </w:tc>
        <w:tc>
          <w:tcPr>
            <w:tcW w:w="1106" w:type="dxa"/>
          </w:tcPr>
          <w:p w14:paraId="190FD06A" w14:textId="0ABB640F" w:rsidR="007223A4" w:rsidRPr="007223A4" w:rsidRDefault="007223A4" w:rsidP="007223A4">
            <w:pPr>
              <w:pStyle w:val="Tableheaderrow"/>
              <w:keepNext/>
              <w:keepLines/>
              <w:rPr>
                <w:b w:val="0"/>
                <w:bCs/>
                <w:color w:val="FFFFFF" w:themeColor="background1"/>
              </w:rPr>
            </w:pPr>
            <w:r w:rsidRPr="007223A4">
              <w:rPr>
                <w:b w:val="0"/>
                <w:bCs/>
              </w:rPr>
              <w:t>N/A</w:t>
            </w:r>
          </w:p>
        </w:tc>
        <w:tc>
          <w:tcPr>
            <w:tcW w:w="1275" w:type="dxa"/>
          </w:tcPr>
          <w:p w14:paraId="0EBB3ECA" w14:textId="51FA45A7" w:rsidR="007223A4" w:rsidRPr="007223A4" w:rsidRDefault="007223A4" w:rsidP="007223A4">
            <w:pPr>
              <w:pStyle w:val="Tableheaderrow"/>
              <w:keepNext/>
              <w:keepLines/>
              <w:rPr>
                <w:b w:val="0"/>
                <w:bCs/>
              </w:rPr>
            </w:pPr>
            <w:r w:rsidRPr="007223A4">
              <w:rPr>
                <w:b w:val="0"/>
                <w:bCs/>
              </w:rPr>
              <w:t>N/A</w:t>
            </w:r>
          </w:p>
        </w:tc>
      </w:tr>
    </w:tbl>
    <w:p w14:paraId="577EDCAB" w14:textId="6AC9EED0" w:rsidR="007223A4" w:rsidRDefault="007223A4" w:rsidP="007223A4">
      <w:r>
        <w:t xml:space="preserve"> </w:t>
      </w:r>
    </w:p>
    <w:p w14:paraId="38E46882" w14:textId="04D83BCA" w:rsidR="007223A4" w:rsidRPr="00A17B1B" w:rsidRDefault="00E41FB4" w:rsidP="0076498D">
      <w:pPr>
        <w:pStyle w:val="Caption"/>
        <w:keepLines/>
        <w:numPr>
          <w:ilvl w:val="0"/>
          <w:numId w:val="7"/>
        </w:numPr>
        <w:tabs>
          <w:tab w:val="clear" w:pos="2807"/>
          <w:tab w:val="num" w:pos="964"/>
        </w:tabs>
        <w:spacing w:after="120"/>
        <w:ind w:left="964"/>
      </w:pPr>
      <w:r w:rsidRPr="00E41FB4">
        <w:t>Co-ordinates of Observatory Locations (Geocentric Datum of Australia 1994)</w:t>
      </w:r>
    </w:p>
    <w:tbl>
      <w:tblPr>
        <w:tblStyle w:val="ACMAtablestyle"/>
        <w:tblW w:w="8500" w:type="dxa"/>
        <w:tblLayout w:type="fixed"/>
        <w:tblLook w:val="01E0" w:firstRow="1" w:lastRow="1" w:firstColumn="1" w:lastColumn="1" w:noHBand="0" w:noVBand="0"/>
        <w:tblCaption w:val="Table title to go here"/>
        <w:tblDescription w:val="Table description to go here"/>
      </w:tblPr>
      <w:tblGrid>
        <w:gridCol w:w="4248"/>
        <w:gridCol w:w="2126"/>
        <w:gridCol w:w="2126"/>
      </w:tblGrid>
      <w:tr w:rsidR="00E41FB4" w:rsidRPr="00A17B1B" w14:paraId="22EE2115" w14:textId="77777777" w:rsidTr="00E41FB4">
        <w:trPr>
          <w:cnfStyle w:val="100000000000" w:firstRow="1" w:lastRow="0" w:firstColumn="0" w:lastColumn="0" w:oddVBand="0" w:evenVBand="0" w:oddHBand="0" w:evenHBand="0" w:firstRowFirstColumn="0" w:firstRowLastColumn="0" w:lastRowFirstColumn="0" w:lastRowLastColumn="0"/>
        </w:trPr>
        <w:tc>
          <w:tcPr>
            <w:tcW w:w="4248" w:type="dxa"/>
          </w:tcPr>
          <w:p w14:paraId="2D8A1BA5" w14:textId="5C258E33" w:rsidR="00E41FB4" w:rsidRPr="00A17B1B" w:rsidRDefault="00E41FB4" w:rsidP="00E41FB4">
            <w:pPr>
              <w:pStyle w:val="Tableheaderrow"/>
              <w:keepNext/>
              <w:keepLines/>
            </w:pPr>
            <w:r w:rsidRPr="004821A2">
              <w:t>Location</w:t>
            </w:r>
          </w:p>
        </w:tc>
        <w:tc>
          <w:tcPr>
            <w:tcW w:w="2126" w:type="dxa"/>
          </w:tcPr>
          <w:p w14:paraId="2653494F" w14:textId="03E07150" w:rsidR="00E41FB4" w:rsidRPr="00A17B1B" w:rsidRDefault="00E41FB4" w:rsidP="00E41FB4">
            <w:pPr>
              <w:pStyle w:val="Tableheaderrow"/>
              <w:keepNext/>
              <w:keepLines/>
            </w:pPr>
            <w:r w:rsidRPr="004821A2">
              <w:t>Latitude</w:t>
            </w:r>
          </w:p>
        </w:tc>
        <w:tc>
          <w:tcPr>
            <w:tcW w:w="2126" w:type="dxa"/>
          </w:tcPr>
          <w:p w14:paraId="6430104C" w14:textId="2AAE4B01" w:rsidR="00E41FB4" w:rsidRPr="00A17B1B" w:rsidRDefault="00E41FB4" w:rsidP="00E41FB4">
            <w:pPr>
              <w:pStyle w:val="Tableheaderrow"/>
              <w:keepNext/>
              <w:keepLines/>
            </w:pPr>
            <w:r w:rsidRPr="00A53A18">
              <w:t>Longitude</w:t>
            </w:r>
          </w:p>
        </w:tc>
      </w:tr>
      <w:tr w:rsidR="00E41FB4" w:rsidRPr="00A17B1B" w14:paraId="6492F942" w14:textId="77777777" w:rsidTr="00E41FB4">
        <w:trPr>
          <w:cnfStyle w:val="000000100000" w:firstRow="0" w:lastRow="0" w:firstColumn="0" w:lastColumn="0" w:oddVBand="0" w:evenVBand="0" w:oddHBand="1" w:evenHBand="0" w:firstRowFirstColumn="0" w:firstRowLastColumn="0" w:lastRowFirstColumn="0" w:lastRowLastColumn="0"/>
        </w:trPr>
        <w:tc>
          <w:tcPr>
            <w:tcW w:w="4248" w:type="dxa"/>
            <w:vAlign w:val="center"/>
          </w:tcPr>
          <w:p w14:paraId="2477E491" w14:textId="6294E4E9" w:rsidR="00E41FB4" w:rsidRPr="00A17B1B" w:rsidRDefault="00E41FB4" w:rsidP="00E41FB4">
            <w:pPr>
              <w:pStyle w:val="TableBody"/>
              <w:keepNext/>
              <w:keepLines/>
            </w:pPr>
            <w:r w:rsidRPr="00F9773C">
              <w:t>Parkes Observatory</w:t>
            </w:r>
          </w:p>
        </w:tc>
        <w:tc>
          <w:tcPr>
            <w:tcW w:w="2126" w:type="dxa"/>
            <w:vAlign w:val="center"/>
          </w:tcPr>
          <w:p w14:paraId="26886286" w14:textId="04702055" w:rsidR="00E41FB4" w:rsidRPr="00A17B1B" w:rsidRDefault="00E41FB4" w:rsidP="00E41FB4">
            <w:pPr>
              <w:pStyle w:val="TableBody"/>
              <w:keepNext/>
              <w:keepLines/>
            </w:pPr>
            <w:r w:rsidRPr="00F9773C">
              <w:t>32° 59' 5</w:t>
            </w:r>
            <w:r>
              <w:t>4.25</w:t>
            </w:r>
            <w:r w:rsidRPr="00F9773C">
              <w:t>" S</w:t>
            </w:r>
          </w:p>
        </w:tc>
        <w:tc>
          <w:tcPr>
            <w:tcW w:w="2126" w:type="dxa"/>
            <w:vAlign w:val="center"/>
          </w:tcPr>
          <w:p w14:paraId="59386BF8" w14:textId="5C28B5AC" w:rsidR="00E41FB4" w:rsidRPr="00A17B1B" w:rsidRDefault="00E41FB4" w:rsidP="00E41FB4">
            <w:pPr>
              <w:pStyle w:val="TableBody"/>
              <w:keepNext/>
              <w:keepLines/>
            </w:pPr>
            <w:r w:rsidRPr="00F9773C">
              <w:t>148° 15' 4</w:t>
            </w:r>
            <w:r>
              <w:t>8.65</w:t>
            </w:r>
            <w:r w:rsidRPr="00F9773C">
              <w:t>" E</w:t>
            </w:r>
          </w:p>
        </w:tc>
      </w:tr>
      <w:tr w:rsidR="00E41FB4" w:rsidRPr="00A17B1B" w14:paraId="67D28156" w14:textId="77777777" w:rsidTr="00E41FB4">
        <w:trPr>
          <w:cnfStyle w:val="000000010000" w:firstRow="0" w:lastRow="0" w:firstColumn="0" w:lastColumn="0" w:oddVBand="0" w:evenVBand="0" w:oddHBand="0" w:evenHBand="1" w:firstRowFirstColumn="0" w:firstRowLastColumn="0" w:lastRowFirstColumn="0" w:lastRowLastColumn="0"/>
        </w:trPr>
        <w:tc>
          <w:tcPr>
            <w:tcW w:w="4248" w:type="dxa"/>
            <w:vAlign w:val="center"/>
          </w:tcPr>
          <w:p w14:paraId="48AC91BA" w14:textId="20CE63A6" w:rsidR="00E41FB4" w:rsidRPr="00A17B1B" w:rsidRDefault="00E41FB4" w:rsidP="00E41FB4">
            <w:pPr>
              <w:pStyle w:val="TableBody"/>
              <w:keepNext/>
              <w:keepLines/>
            </w:pPr>
            <w:r w:rsidRPr="00F9773C">
              <w:t>Paul Wild Observatory Narrabri</w:t>
            </w:r>
          </w:p>
        </w:tc>
        <w:tc>
          <w:tcPr>
            <w:tcW w:w="2126" w:type="dxa"/>
            <w:vAlign w:val="center"/>
          </w:tcPr>
          <w:p w14:paraId="1F5F5960" w14:textId="28D19AD1" w:rsidR="00E41FB4" w:rsidRPr="00A17B1B" w:rsidRDefault="00E41FB4" w:rsidP="00E41FB4">
            <w:pPr>
              <w:pStyle w:val="TableBody"/>
              <w:keepNext/>
              <w:keepLines/>
            </w:pPr>
            <w:r w:rsidRPr="00F9773C">
              <w:t xml:space="preserve">30° 18' </w:t>
            </w:r>
            <w:r>
              <w:t>46.40</w:t>
            </w:r>
            <w:r w:rsidRPr="00F9773C">
              <w:t>" S</w:t>
            </w:r>
          </w:p>
        </w:tc>
        <w:tc>
          <w:tcPr>
            <w:tcW w:w="2126" w:type="dxa"/>
            <w:vAlign w:val="center"/>
          </w:tcPr>
          <w:p w14:paraId="27F47252" w14:textId="0C2D10A8" w:rsidR="00E41FB4" w:rsidRPr="00A17B1B" w:rsidRDefault="00E41FB4" w:rsidP="00E41FB4">
            <w:pPr>
              <w:pStyle w:val="TableBody"/>
              <w:keepNext/>
              <w:keepLines/>
            </w:pPr>
            <w:r w:rsidRPr="00F9773C">
              <w:t>149° 3</w:t>
            </w:r>
            <w:r>
              <w:t>3</w:t>
            </w:r>
            <w:r w:rsidRPr="00F9773C">
              <w:t xml:space="preserve">' </w:t>
            </w:r>
            <w:r>
              <w:t>0.44</w:t>
            </w:r>
            <w:r w:rsidRPr="00F9773C">
              <w:t>" E</w:t>
            </w:r>
          </w:p>
        </w:tc>
      </w:tr>
      <w:tr w:rsidR="00E41FB4" w:rsidRPr="00A17B1B" w14:paraId="5B6572F7" w14:textId="77777777" w:rsidTr="00E41FB4">
        <w:trPr>
          <w:cnfStyle w:val="000000100000" w:firstRow="0" w:lastRow="0" w:firstColumn="0" w:lastColumn="0" w:oddVBand="0" w:evenVBand="0" w:oddHBand="1" w:evenHBand="0" w:firstRowFirstColumn="0" w:firstRowLastColumn="0" w:lastRowFirstColumn="0" w:lastRowLastColumn="0"/>
        </w:trPr>
        <w:tc>
          <w:tcPr>
            <w:tcW w:w="4248" w:type="dxa"/>
            <w:vAlign w:val="center"/>
          </w:tcPr>
          <w:p w14:paraId="77CBBD9F" w14:textId="37E4B082" w:rsidR="00E41FB4" w:rsidRPr="00A17B1B" w:rsidRDefault="00E41FB4" w:rsidP="00E41FB4">
            <w:pPr>
              <w:pStyle w:val="TableBody"/>
              <w:keepNext/>
              <w:keepLines/>
            </w:pPr>
            <w:proofErr w:type="spellStart"/>
            <w:r w:rsidRPr="00F9773C">
              <w:t>Mopra</w:t>
            </w:r>
            <w:proofErr w:type="spellEnd"/>
            <w:r w:rsidRPr="00F9773C">
              <w:t xml:space="preserve"> Observatory Coonabarabran</w:t>
            </w:r>
          </w:p>
        </w:tc>
        <w:tc>
          <w:tcPr>
            <w:tcW w:w="2126" w:type="dxa"/>
            <w:vAlign w:val="center"/>
          </w:tcPr>
          <w:p w14:paraId="5E367266" w14:textId="5B543CE6" w:rsidR="00E41FB4" w:rsidRPr="00A17B1B" w:rsidRDefault="00E41FB4" w:rsidP="00E41FB4">
            <w:pPr>
              <w:pStyle w:val="TableBody"/>
              <w:keepNext/>
              <w:keepLines/>
            </w:pPr>
            <w:r w:rsidRPr="00F9773C">
              <w:t xml:space="preserve">31° 16' </w:t>
            </w:r>
            <w:r>
              <w:t>04.12</w:t>
            </w:r>
            <w:r w:rsidRPr="00F9773C">
              <w:t>" S</w:t>
            </w:r>
          </w:p>
        </w:tc>
        <w:tc>
          <w:tcPr>
            <w:tcW w:w="2126" w:type="dxa"/>
            <w:vAlign w:val="center"/>
          </w:tcPr>
          <w:p w14:paraId="69CF93C9" w14:textId="49B11CF2" w:rsidR="00E41FB4" w:rsidRPr="00A17B1B" w:rsidRDefault="00E41FB4" w:rsidP="00E41FB4">
            <w:pPr>
              <w:pStyle w:val="TableBody"/>
              <w:keepNext/>
              <w:keepLines/>
            </w:pPr>
            <w:r w:rsidRPr="00F9773C">
              <w:t xml:space="preserve">149° </w:t>
            </w:r>
            <w:r>
              <w:t>0</w:t>
            </w:r>
            <w:r w:rsidRPr="00F9773C">
              <w:t>5' 58.7</w:t>
            </w:r>
            <w:r>
              <w:t>2</w:t>
            </w:r>
            <w:r w:rsidRPr="00F9773C">
              <w:t>" E</w:t>
            </w:r>
          </w:p>
        </w:tc>
      </w:tr>
      <w:tr w:rsidR="00E41FB4" w:rsidRPr="00A17B1B" w14:paraId="6D00019F" w14:textId="77777777" w:rsidTr="00E41FB4">
        <w:trPr>
          <w:cnfStyle w:val="000000010000" w:firstRow="0" w:lastRow="0" w:firstColumn="0" w:lastColumn="0" w:oddVBand="0" w:evenVBand="0" w:oddHBand="0" w:evenHBand="1" w:firstRowFirstColumn="0" w:firstRowLastColumn="0" w:lastRowFirstColumn="0" w:lastRowLastColumn="0"/>
        </w:trPr>
        <w:tc>
          <w:tcPr>
            <w:tcW w:w="4248" w:type="dxa"/>
            <w:vAlign w:val="center"/>
          </w:tcPr>
          <w:p w14:paraId="2B5F9C67" w14:textId="2AB03E24" w:rsidR="00E41FB4" w:rsidRPr="00A17B1B" w:rsidRDefault="00E41FB4" w:rsidP="00E41FB4">
            <w:pPr>
              <w:pStyle w:val="TableBody"/>
              <w:keepNext/>
              <w:keepLines/>
            </w:pPr>
            <w:r w:rsidRPr="00F9773C">
              <w:t>Mount Pleasant Observatory Hobart</w:t>
            </w:r>
          </w:p>
        </w:tc>
        <w:tc>
          <w:tcPr>
            <w:tcW w:w="2126" w:type="dxa"/>
            <w:vAlign w:val="center"/>
          </w:tcPr>
          <w:p w14:paraId="0DFFE8F9" w14:textId="464CB6D5" w:rsidR="00E41FB4" w:rsidRPr="00A17B1B" w:rsidRDefault="00E41FB4" w:rsidP="00E41FB4">
            <w:pPr>
              <w:pStyle w:val="TableBody"/>
              <w:keepNext/>
              <w:keepLines/>
            </w:pPr>
            <w:r w:rsidRPr="00F9773C">
              <w:t>42° 48' 12.9</w:t>
            </w:r>
            <w:r>
              <w:t>2</w:t>
            </w:r>
            <w:r w:rsidRPr="00F9773C">
              <w:t>" S</w:t>
            </w:r>
          </w:p>
        </w:tc>
        <w:tc>
          <w:tcPr>
            <w:tcW w:w="2126" w:type="dxa"/>
            <w:vAlign w:val="center"/>
          </w:tcPr>
          <w:p w14:paraId="2D994BDC" w14:textId="080ED55C" w:rsidR="00E41FB4" w:rsidRPr="00A17B1B" w:rsidRDefault="00E41FB4" w:rsidP="00E41FB4">
            <w:pPr>
              <w:pStyle w:val="TableBody"/>
              <w:keepNext/>
              <w:keepLines/>
            </w:pPr>
            <w:r w:rsidRPr="00F9773C">
              <w:t>147° 26' 25.</w:t>
            </w:r>
            <w:r>
              <w:t>86</w:t>
            </w:r>
            <w:r w:rsidRPr="00F9773C">
              <w:t>" E</w:t>
            </w:r>
          </w:p>
        </w:tc>
      </w:tr>
      <w:tr w:rsidR="00E41FB4" w:rsidRPr="00A17B1B" w14:paraId="323F47F0" w14:textId="77777777" w:rsidTr="00E41FB4">
        <w:trPr>
          <w:cnfStyle w:val="000000100000" w:firstRow="0" w:lastRow="0" w:firstColumn="0" w:lastColumn="0" w:oddVBand="0" w:evenVBand="0" w:oddHBand="1" w:evenHBand="0" w:firstRowFirstColumn="0" w:firstRowLastColumn="0" w:lastRowFirstColumn="0" w:lastRowLastColumn="0"/>
        </w:trPr>
        <w:tc>
          <w:tcPr>
            <w:tcW w:w="4248" w:type="dxa"/>
            <w:vAlign w:val="center"/>
          </w:tcPr>
          <w:p w14:paraId="2B16825D" w14:textId="3C1BE4F1" w:rsidR="00E41FB4" w:rsidRPr="00A17B1B" w:rsidRDefault="00E41FB4" w:rsidP="00E41FB4">
            <w:pPr>
              <w:pStyle w:val="TableBody"/>
              <w:keepNext/>
              <w:keepLines/>
            </w:pPr>
            <w:r w:rsidRPr="00F9773C">
              <w:t>Ceduna Observatory</w:t>
            </w:r>
          </w:p>
        </w:tc>
        <w:tc>
          <w:tcPr>
            <w:tcW w:w="2126" w:type="dxa"/>
            <w:vAlign w:val="center"/>
          </w:tcPr>
          <w:p w14:paraId="1993E26F" w14:textId="152AC613" w:rsidR="00E41FB4" w:rsidRPr="00A17B1B" w:rsidRDefault="00E41FB4" w:rsidP="00E41FB4">
            <w:pPr>
              <w:pStyle w:val="TableBody"/>
              <w:keepNext/>
              <w:keepLines/>
            </w:pPr>
            <w:r w:rsidRPr="00F9773C">
              <w:t>31° 52' 0</w:t>
            </w:r>
            <w:r>
              <w:t>3.69</w:t>
            </w:r>
            <w:r w:rsidRPr="00F9773C">
              <w:t>" S</w:t>
            </w:r>
          </w:p>
        </w:tc>
        <w:tc>
          <w:tcPr>
            <w:tcW w:w="2126" w:type="dxa"/>
            <w:vAlign w:val="center"/>
          </w:tcPr>
          <w:p w14:paraId="59627C16" w14:textId="24FD762F" w:rsidR="00E41FB4" w:rsidRPr="00A17B1B" w:rsidRDefault="00E41FB4" w:rsidP="00E41FB4">
            <w:pPr>
              <w:pStyle w:val="TableBody"/>
              <w:keepNext/>
              <w:keepLines/>
            </w:pPr>
            <w:r w:rsidRPr="00F9773C">
              <w:t>133° 48' 35.4</w:t>
            </w:r>
            <w:r>
              <w:t>0</w:t>
            </w:r>
            <w:r w:rsidRPr="00F9773C">
              <w:t>" E</w:t>
            </w:r>
          </w:p>
        </w:tc>
      </w:tr>
      <w:tr w:rsidR="00E41FB4" w:rsidRPr="00A17B1B" w14:paraId="00104333" w14:textId="77777777" w:rsidTr="00E41FB4">
        <w:trPr>
          <w:cnfStyle w:val="000000010000" w:firstRow="0" w:lastRow="0" w:firstColumn="0" w:lastColumn="0" w:oddVBand="0" w:evenVBand="0" w:oddHBand="0" w:evenHBand="1" w:firstRowFirstColumn="0" w:firstRowLastColumn="0" w:lastRowFirstColumn="0" w:lastRowLastColumn="0"/>
        </w:trPr>
        <w:tc>
          <w:tcPr>
            <w:tcW w:w="4248" w:type="dxa"/>
            <w:vAlign w:val="center"/>
          </w:tcPr>
          <w:p w14:paraId="5370DE72" w14:textId="2AABB427" w:rsidR="00E41FB4" w:rsidRPr="00A17B1B" w:rsidRDefault="00E41FB4" w:rsidP="00E41FB4">
            <w:pPr>
              <w:pStyle w:val="TableBody"/>
              <w:keepNext/>
              <w:keepLines/>
            </w:pPr>
            <w:r w:rsidRPr="00F9773C">
              <w:t>Canberra Deep Space Communication Complex Tidbinbilla</w:t>
            </w:r>
          </w:p>
        </w:tc>
        <w:tc>
          <w:tcPr>
            <w:tcW w:w="2126" w:type="dxa"/>
            <w:vAlign w:val="center"/>
          </w:tcPr>
          <w:p w14:paraId="2C129C99" w14:textId="182B1629" w:rsidR="00E41FB4" w:rsidRPr="00A17B1B" w:rsidRDefault="00E41FB4" w:rsidP="00E41FB4">
            <w:pPr>
              <w:pStyle w:val="TableBody"/>
              <w:keepNext/>
              <w:keepLines/>
            </w:pPr>
            <w:r w:rsidRPr="00F9773C">
              <w:t>35° 23' 54.</w:t>
            </w:r>
            <w:r>
              <w:t>46</w:t>
            </w:r>
            <w:r w:rsidRPr="00F9773C">
              <w:t>" S</w:t>
            </w:r>
          </w:p>
        </w:tc>
        <w:tc>
          <w:tcPr>
            <w:tcW w:w="2126" w:type="dxa"/>
            <w:vAlign w:val="center"/>
          </w:tcPr>
          <w:p w14:paraId="610E639C" w14:textId="47FDDC24" w:rsidR="00E41FB4" w:rsidRPr="00A17B1B" w:rsidRDefault="00E41FB4" w:rsidP="00E41FB4">
            <w:pPr>
              <w:pStyle w:val="TableBody"/>
              <w:keepNext/>
              <w:keepLines/>
            </w:pPr>
            <w:r w:rsidRPr="00F9773C">
              <w:t xml:space="preserve">148° 58' </w:t>
            </w:r>
            <w:r>
              <w:t>39.66</w:t>
            </w:r>
            <w:r w:rsidRPr="00F9773C">
              <w:t>" E</w:t>
            </w:r>
          </w:p>
        </w:tc>
      </w:tr>
    </w:tbl>
    <w:p w14:paraId="7C4EEE81" w14:textId="77777777" w:rsidR="007223A4" w:rsidRDefault="007223A4" w:rsidP="007223A4"/>
    <w:p w14:paraId="0EAA1BFD" w14:textId="3C267A89" w:rsidR="00270F22" w:rsidRPr="000B27C0" w:rsidRDefault="00E41FB4" w:rsidP="00270F22">
      <w:pPr>
        <w:pStyle w:val="Heading1"/>
      </w:pPr>
      <w:bookmarkStart w:id="23" w:name="_Toc187397852"/>
      <w:bookmarkStart w:id="24" w:name="_Toc187397853"/>
      <w:bookmarkStart w:id="25" w:name="_Toc187397854"/>
      <w:bookmarkStart w:id="26" w:name="_Toc187397855"/>
      <w:bookmarkStart w:id="27" w:name="_Toc206500125"/>
      <w:bookmarkEnd w:id="23"/>
      <w:bookmarkEnd w:id="24"/>
      <w:bookmarkEnd w:id="25"/>
      <w:bookmarkEnd w:id="26"/>
      <w:r>
        <w:lastRenderedPageBreak/>
        <w:t>Procedure</w:t>
      </w:r>
      <w:bookmarkEnd w:id="27"/>
    </w:p>
    <w:p w14:paraId="4BBB6C35" w14:textId="77777777" w:rsidR="000250BA" w:rsidRDefault="000250BA" w:rsidP="000250BA">
      <w:pPr>
        <w:ind w:left="1"/>
      </w:pPr>
      <w:r>
        <w:t>If the proposed assignment lies within the scope of this RALI (see section 2.0) the assigner has two options.</w:t>
      </w:r>
    </w:p>
    <w:p w14:paraId="70331DCB" w14:textId="77777777" w:rsidR="000250BA" w:rsidRDefault="000250BA" w:rsidP="000250BA">
      <w:pPr>
        <w:ind w:left="1"/>
      </w:pPr>
      <w:r w:rsidRPr="00E73D8A">
        <w:rPr>
          <w:b/>
        </w:rPr>
        <w:t>Option 1</w:t>
      </w:r>
      <w:r>
        <w:rPr>
          <w:b/>
        </w:rPr>
        <w:t>:</w:t>
      </w:r>
      <w:r>
        <w:tab/>
        <w:t>Provide the following information by e-mail to the CSIRO and await a response:</w:t>
      </w:r>
    </w:p>
    <w:p w14:paraId="740AF9AB" w14:textId="77777777" w:rsidR="000250BA" w:rsidRDefault="000250BA" w:rsidP="0076498D">
      <w:pPr>
        <w:pStyle w:val="ListBullet"/>
      </w:pPr>
      <w:bookmarkStart w:id="28" w:name="OLE_LINK6"/>
      <w:r>
        <w:t>Contact details of assigner:</w:t>
      </w:r>
    </w:p>
    <w:p w14:paraId="6418F7F3" w14:textId="77777777" w:rsidR="000250BA" w:rsidRDefault="000250BA" w:rsidP="0076498D">
      <w:pPr>
        <w:pStyle w:val="ListBullet"/>
        <w:numPr>
          <w:ilvl w:val="0"/>
          <w:numId w:val="12"/>
        </w:numPr>
        <w:ind w:left="851" w:hanging="425"/>
      </w:pPr>
      <w:r>
        <w:t>name,</w:t>
      </w:r>
    </w:p>
    <w:p w14:paraId="2CED1599" w14:textId="77777777" w:rsidR="000250BA" w:rsidRDefault="000250BA" w:rsidP="0076498D">
      <w:pPr>
        <w:pStyle w:val="ListBullet"/>
        <w:numPr>
          <w:ilvl w:val="0"/>
          <w:numId w:val="12"/>
        </w:numPr>
        <w:ind w:left="851" w:hanging="425"/>
      </w:pPr>
      <w:r>
        <w:t>c</w:t>
      </w:r>
      <w:r w:rsidRPr="002E346F">
        <w:t>ompany, employer or organisation name</w:t>
      </w:r>
      <w:r>
        <w:t xml:space="preserve">, </w:t>
      </w:r>
    </w:p>
    <w:p w14:paraId="1E624CC6" w14:textId="77777777" w:rsidR="000250BA" w:rsidRDefault="000250BA" w:rsidP="0076498D">
      <w:pPr>
        <w:pStyle w:val="ListBullet"/>
        <w:numPr>
          <w:ilvl w:val="0"/>
          <w:numId w:val="12"/>
        </w:numPr>
        <w:ind w:left="851" w:hanging="425"/>
      </w:pPr>
      <w:r>
        <w:t xml:space="preserve">address, </w:t>
      </w:r>
    </w:p>
    <w:p w14:paraId="3C2818A1" w14:textId="77777777" w:rsidR="000250BA" w:rsidRDefault="000250BA" w:rsidP="0076498D">
      <w:pPr>
        <w:pStyle w:val="ListBullet"/>
        <w:numPr>
          <w:ilvl w:val="0"/>
          <w:numId w:val="12"/>
        </w:numPr>
        <w:ind w:left="851" w:hanging="425"/>
      </w:pPr>
      <w:r>
        <w:t>phone number,</w:t>
      </w:r>
    </w:p>
    <w:p w14:paraId="6945A404" w14:textId="77777777" w:rsidR="000250BA" w:rsidRDefault="000250BA" w:rsidP="0076498D">
      <w:pPr>
        <w:pStyle w:val="ListBullet"/>
        <w:numPr>
          <w:ilvl w:val="0"/>
          <w:numId w:val="12"/>
        </w:numPr>
        <w:ind w:left="851" w:hanging="425"/>
      </w:pPr>
      <w:r>
        <w:t>fax number, and</w:t>
      </w:r>
    </w:p>
    <w:p w14:paraId="2FB20AE4" w14:textId="77777777" w:rsidR="000250BA" w:rsidRDefault="000250BA" w:rsidP="0076498D">
      <w:pPr>
        <w:pStyle w:val="ListBullet"/>
        <w:numPr>
          <w:ilvl w:val="0"/>
          <w:numId w:val="12"/>
        </w:numPr>
        <w:ind w:left="851" w:hanging="425"/>
      </w:pPr>
      <w:r>
        <w:t>E-mail address.</w:t>
      </w:r>
    </w:p>
    <w:p w14:paraId="5C5893B5" w14:textId="77777777" w:rsidR="000250BA" w:rsidRDefault="000250BA" w:rsidP="0076498D">
      <w:pPr>
        <w:pStyle w:val="ListBullet"/>
      </w:pPr>
      <w:r>
        <w:t>For each transmitter:</w:t>
      </w:r>
    </w:p>
    <w:p w14:paraId="4D278083" w14:textId="77777777" w:rsidR="000250BA" w:rsidRDefault="000250BA" w:rsidP="0076498D">
      <w:pPr>
        <w:pStyle w:val="ListBullet"/>
        <w:numPr>
          <w:ilvl w:val="0"/>
          <w:numId w:val="12"/>
        </w:numPr>
        <w:ind w:left="851" w:hanging="425"/>
      </w:pPr>
      <w:r>
        <w:t>type of service(s) proposed (e.g. fixed point-to-point, radiodetermination).</w:t>
      </w:r>
    </w:p>
    <w:p w14:paraId="7F7A01CB" w14:textId="77777777" w:rsidR="000250BA" w:rsidRDefault="000250BA" w:rsidP="0076498D">
      <w:pPr>
        <w:pStyle w:val="ListBullet"/>
        <w:numPr>
          <w:ilvl w:val="0"/>
          <w:numId w:val="12"/>
        </w:numPr>
        <w:ind w:left="851" w:hanging="425"/>
      </w:pPr>
      <w:r>
        <w:t>location(s) (</w:t>
      </w:r>
      <w:r w:rsidRPr="0076498D">
        <w:t xml:space="preserve">Site </w:t>
      </w:r>
      <w:r>
        <w:t>ID, s</w:t>
      </w:r>
      <w:r w:rsidRPr="001B3021">
        <w:t xml:space="preserve">ite address or site </w:t>
      </w:r>
      <w:r>
        <w:t>local name, site</w:t>
      </w:r>
      <w:r w:rsidRPr="0076498D">
        <w:t xml:space="preserve"> coordinates</w:t>
      </w:r>
      <w:r>
        <w:t xml:space="preserve"> including reference datum</w:t>
      </w:r>
      <w:r w:rsidRPr="001B3021">
        <w:t>)</w:t>
      </w:r>
      <w:r>
        <w:t>.</w:t>
      </w:r>
    </w:p>
    <w:p w14:paraId="06A3D1A5" w14:textId="77777777" w:rsidR="000250BA" w:rsidRDefault="000250BA" w:rsidP="0076498D">
      <w:pPr>
        <w:pStyle w:val="ListBullet"/>
        <w:numPr>
          <w:ilvl w:val="0"/>
          <w:numId w:val="12"/>
        </w:numPr>
        <w:ind w:left="851" w:hanging="425"/>
      </w:pPr>
      <w:r>
        <w:t>operating frequency,</w:t>
      </w:r>
    </w:p>
    <w:p w14:paraId="55AE5505" w14:textId="77777777" w:rsidR="000250BA" w:rsidRDefault="000250BA" w:rsidP="0076498D">
      <w:pPr>
        <w:pStyle w:val="ListBullet"/>
        <w:numPr>
          <w:ilvl w:val="0"/>
          <w:numId w:val="12"/>
        </w:numPr>
        <w:ind w:left="851" w:hanging="425"/>
      </w:pPr>
      <w:r>
        <w:t>emission designator,</w:t>
      </w:r>
    </w:p>
    <w:p w14:paraId="1C0095DB" w14:textId="77777777" w:rsidR="000250BA" w:rsidRDefault="000250BA" w:rsidP="0076498D">
      <w:pPr>
        <w:pStyle w:val="ListBullet"/>
        <w:numPr>
          <w:ilvl w:val="0"/>
          <w:numId w:val="12"/>
        </w:numPr>
        <w:ind w:left="851" w:hanging="425"/>
      </w:pPr>
      <w:r>
        <w:t>transmitter power,</w:t>
      </w:r>
    </w:p>
    <w:p w14:paraId="5D81C1C2" w14:textId="77777777" w:rsidR="000250BA" w:rsidRDefault="000250BA" w:rsidP="0076498D">
      <w:pPr>
        <w:pStyle w:val="ListBullet"/>
        <w:numPr>
          <w:ilvl w:val="0"/>
          <w:numId w:val="12"/>
        </w:numPr>
        <w:ind w:left="851" w:hanging="425"/>
      </w:pPr>
      <w:r>
        <w:t>antenna gain in the direction of the radio astronomy observatory or observatories</w:t>
      </w:r>
      <w:r w:rsidRPr="0076498D">
        <w:rPr>
          <w:vertAlign w:val="superscript"/>
        </w:rPr>
        <w:footnoteReference w:id="7"/>
      </w:r>
      <w:r>
        <w:t>,</w:t>
      </w:r>
      <w:bookmarkEnd w:id="28"/>
      <w:r>
        <w:t xml:space="preserve"> and</w:t>
      </w:r>
    </w:p>
    <w:p w14:paraId="55F30917" w14:textId="77777777" w:rsidR="000250BA" w:rsidRDefault="000250BA" w:rsidP="0076498D">
      <w:pPr>
        <w:pStyle w:val="ListBullet"/>
        <w:numPr>
          <w:ilvl w:val="0"/>
          <w:numId w:val="12"/>
        </w:numPr>
        <w:spacing w:after="240"/>
        <w:ind w:left="850" w:hanging="425"/>
      </w:pPr>
      <w:r>
        <w:t>antenna height above ground.</w:t>
      </w:r>
    </w:p>
    <w:p w14:paraId="67B09A7C" w14:textId="1E1C76AC" w:rsidR="000250BA" w:rsidRPr="00CE72B8" w:rsidRDefault="000250BA" w:rsidP="0076498D">
      <w:r>
        <w:t>The CSIRO will send an e-mail confirming receipt of the information and is then required to respond</w:t>
      </w:r>
      <w:r>
        <w:rPr>
          <w:rStyle w:val="FootnoteReference"/>
        </w:rPr>
        <w:footnoteReference w:id="8"/>
      </w:r>
      <w:r>
        <w:t xml:space="preserve"> to the assigner within five working days</w:t>
      </w:r>
      <w:r>
        <w:rPr>
          <w:rStyle w:val="FootnoteReference"/>
        </w:rPr>
        <w:footnoteReference w:id="9"/>
      </w:r>
      <w:r>
        <w:t xml:space="preserve"> to advise whether a proposed assignment causes them no </w:t>
      </w:r>
      <w:proofErr w:type="gramStart"/>
      <w:r>
        <w:t>difficulty, or</w:t>
      </w:r>
      <w:proofErr w:type="gramEnd"/>
      <w:r>
        <w:t xml:space="preserve"> may be problematic at one or more of the recognised observatory locations. Assessment of prospective assignments is based on the procedure provided in </w:t>
      </w:r>
      <w:r w:rsidRPr="006278AD">
        <w:rPr>
          <w:b/>
          <w:bCs/>
        </w:rPr>
        <w:t xml:space="preserve">Annex </w:t>
      </w:r>
      <w:r>
        <w:rPr>
          <w:b/>
          <w:bCs/>
        </w:rPr>
        <w:t>2</w:t>
      </w:r>
      <w:r>
        <w:t xml:space="preserve">. If a proposed assignment is problematic for the </w:t>
      </w:r>
      <w:proofErr w:type="gramStart"/>
      <w:r>
        <w:t>CSIRO</w:t>
      </w:r>
      <w:proofErr w:type="gramEnd"/>
      <w:r>
        <w:t xml:space="preserve"> it may then seek to negotiate a different outcome with the licensee and/or assigner</w:t>
      </w:r>
      <w:bookmarkStart w:id="29" w:name="_Ref109095042"/>
      <w:r>
        <w:rPr>
          <w:rStyle w:val="FootnoteReference"/>
        </w:rPr>
        <w:footnoteReference w:id="10"/>
      </w:r>
      <w:bookmarkEnd w:id="29"/>
      <w:r>
        <w:t xml:space="preserve">. If no </w:t>
      </w:r>
      <w:r>
        <w:lastRenderedPageBreak/>
        <w:t xml:space="preserve">advice is received from the CSIRO within five working </w:t>
      </w:r>
      <w:proofErr w:type="gramStart"/>
      <w:r>
        <w:t>days</w:t>
      </w:r>
      <w:proofErr w:type="gramEnd"/>
      <w:r>
        <w:t xml:space="preserve"> then the assigner can proceed with processing the proposed assignment(s).</w:t>
      </w:r>
    </w:p>
    <w:p w14:paraId="7D236CCC" w14:textId="26813AF0" w:rsidR="000250BA" w:rsidRDefault="000250BA" w:rsidP="0076498D">
      <w:r>
        <w:t xml:space="preserve">A form that may be used to supply the required information to the CSIRO is provided at </w:t>
      </w:r>
      <w:r w:rsidRPr="00CE72B8">
        <w:rPr>
          <w:b/>
          <w:bCs/>
        </w:rPr>
        <w:t xml:space="preserve">Annex </w:t>
      </w:r>
      <w:r>
        <w:rPr>
          <w:b/>
          <w:bCs/>
        </w:rPr>
        <w:t>3</w:t>
      </w:r>
      <w:r>
        <w:t>.</w:t>
      </w:r>
      <w:r w:rsidRPr="00A36CD7">
        <w:t xml:space="preserve"> </w:t>
      </w:r>
    </w:p>
    <w:p w14:paraId="227D47B6" w14:textId="77777777" w:rsidR="0076498D" w:rsidRDefault="0076498D" w:rsidP="000250BA">
      <w:pPr>
        <w:ind w:left="1"/>
      </w:pPr>
    </w:p>
    <w:p w14:paraId="6B3BFACB" w14:textId="46BED850" w:rsidR="000250BA" w:rsidRDefault="000250BA" w:rsidP="000250BA">
      <w:pPr>
        <w:ind w:left="1"/>
      </w:pPr>
      <w:r>
        <w:t>OR</w:t>
      </w:r>
    </w:p>
    <w:p w14:paraId="746955BD" w14:textId="77777777" w:rsidR="0076498D" w:rsidRDefault="0076498D" w:rsidP="000250BA">
      <w:pPr>
        <w:ind w:left="1440" w:hanging="1440"/>
        <w:rPr>
          <w:b/>
        </w:rPr>
      </w:pPr>
    </w:p>
    <w:p w14:paraId="77112824" w14:textId="3B34D201" w:rsidR="000250BA" w:rsidRDefault="000250BA" w:rsidP="000250BA">
      <w:pPr>
        <w:ind w:left="1440" w:hanging="1440"/>
      </w:pPr>
      <w:r w:rsidRPr="00E73D8A">
        <w:rPr>
          <w:b/>
        </w:rPr>
        <w:t>Option 2:</w:t>
      </w:r>
      <w:r>
        <w:tab/>
        <w:t>Perform the assessment on the assignment(s) as per the procedure given in Annex 2. If any proposed assignments fail the assessment, then advise the CSIRO by e</w:t>
      </w:r>
      <w:r>
        <w:noBreakHyphen/>
        <w:t>mail, providing the information detailed in Option 1 above for those assignments. The CSIRO will send an e-mail confirming receipt of the information and is then required to respond to the assigner within five working days to advise of how it might like to proceed. The CSIRO may seek to negotiate a different outcome with the licensee and/or assigner.</w:t>
      </w:r>
    </w:p>
    <w:p w14:paraId="683DEA95" w14:textId="77777777" w:rsidR="000250BA" w:rsidRDefault="000250BA" w:rsidP="000250BA">
      <w:pPr>
        <w:ind w:left="1440"/>
      </w:pPr>
      <w:r>
        <w:t xml:space="preserve">If the proposed assignment passes the assessment, advise the CSIRO by e-mail of this. The e-mail does not need to include </w:t>
      </w:r>
      <w:proofErr w:type="gramStart"/>
      <w:r>
        <w:t>all of</w:t>
      </w:r>
      <w:proofErr w:type="gramEnd"/>
      <w:r>
        <w:t xml:space="preserve"> the information detailed in Option 1 but must provide the </w:t>
      </w:r>
      <w:bookmarkStart w:id="30" w:name="OLE_LINK11"/>
      <w:bookmarkStart w:id="31" w:name="OLE_LINK12"/>
      <w:r>
        <w:t xml:space="preserve">Licensee name and Site ID </w:t>
      </w:r>
      <w:bookmarkEnd w:id="30"/>
      <w:bookmarkEnd w:id="31"/>
      <w:r>
        <w:t>for the proposed assignment(s). For advice where no assignments fail the assessment no confirmation e-mail is required to be sent by the CSIRO.</w:t>
      </w:r>
    </w:p>
    <w:p w14:paraId="5575FE36" w14:textId="0FEB8871" w:rsidR="000250BA" w:rsidRDefault="000250BA" w:rsidP="000250BA">
      <w:pPr>
        <w:ind w:left="1"/>
      </w:pPr>
      <w:r>
        <w:t xml:space="preserve">  </w:t>
      </w:r>
    </w:p>
    <w:p w14:paraId="2AA64099" w14:textId="77777777" w:rsidR="000250BA" w:rsidRDefault="000250BA" w:rsidP="000250BA">
      <w:r>
        <w:t xml:space="preserve">Contact details for the CSIRO are: </w:t>
      </w:r>
    </w:p>
    <w:p w14:paraId="47090566" w14:textId="77777777" w:rsidR="000250BA" w:rsidRPr="00BF29AB" w:rsidRDefault="000250BA" w:rsidP="000250BA">
      <w:pPr>
        <w:jc w:val="center"/>
        <w:rPr>
          <w:b/>
          <w:lang w:val="fr-FR"/>
        </w:rPr>
      </w:pPr>
      <w:proofErr w:type="gramStart"/>
      <w:r w:rsidRPr="00BF29AB">
        <w:rPr>
          <w:lang w:val="fr-FR"/>
        </w:rPr>
        <w:t>Email:</w:t>
      </w:r>
      <w:proofErr w:type="gramEnd"/>
      <w:r w:rsidRPr="00BF29AB">
        <w:rPr>
          <w:lang w:val="fr-FR"/>
        </w:rPr>
        <w:t xml:space="preserve"> </w:t>
      </w:r>
      <w:hyperlink r:id="rId23" w:history="1">
        <w:r w:rsidRPr="00BF29AB">
          <w:rPr>
            <w:rStyle w:val="Hyperlink"/>
            <w:b/>
            <w:lang w:val="fr-FR"/>
          </w:rPr>
          <w:t>atnf-spectrum@csiro.au</w:t>
        </w:r>
      </w:hyperlink>
    </w:p>
    <w:p w14:paraId="4020EF66" w14:textId="77777777" w:rsidR="000250BA" w:rsidRPr="004821A2" w:rsidRDefault="000250BA" w:rsidP="000250BA">
      <w:pPr>
        <w:jc w:val="center"/>
        <w:rPr>
          <w:lang w:val="fr-FR"/>
        </w:rPr>
      </w:pPr>
      <w:proofErr w:type="spellStart"/>
      <w:r w:rsidRPr="004821A2">
        <w:rPr>
          <w:lang w:val="fr-FR"/>
        </w:rPr>
        <w:t>Parkes</w:t>
      </w:r>
      <w:proofErr w:type="spellEnd"/>
      <w:r w:rsidRPr="004821A2">
        <w:rPr>
          <w:lang w:val="fr-FR"/>
        </w:rPr>
        <w:t xml:space="preserve"> </w:t>
      </w:r>
      <w:proofErr w:type="gramStart"/>
      <w:r w:rsidRPr="004821A2">
        <w:rPr>
          <w:lang w:val="fr-FR"/>
        </w:rPr>
        <w:t>Fax:</w:t>
      </w:r>
      <w:proofErr w:type="gramEnd"/>
      <w:r w:rsidRPr="004821A2">
        <w:rPr>
          <w:lang w:val="fr-FR"/>
        </w:rPr>
        <w:t xml:space="preserve"> 02 6861 1730</w:t>
      </w:r>
    </w:p>
    <w:p w14:paraId="4A8CF19F" w14:textId="77777777" w:rsidR="000250BA" w:rsidRPr="003F2D42" w:rsidRDefault="000250BA" w:rsidP="000250BA">
      <w:pPr>
        <w:jc w:val="center"/>
      </w:pPr>
      <w:r w:rsidRPr="003F2D42">
        <w:t>Narrabri Fax: 02 6790 4090</w:t>
      </w:r>
    </w:p>
    <w:p w14:paraId="784DA43C" w14:textId="37CB3FAD" w:rsidR="00103A50" w:rsidRPr="00B359CC" w:rsidRDefault="00270F22" w:rsidP="000250BA">
      <w:pPr>
        <w:pStyle w:val="ListBullet"/>
        <w:numPr>
          <w:ilvl w:val="0"/>
          <w:numId w:val="0"/>
        </w:numPr>
        <w:ind w:left="360"/>
      </w:pPr>
      <w:r>
        <w:t xml:space="preserve"> </w:t>
      </w:r>
    </w:p>
    <w:p w14:paraId="1703CED4" w14:textId="77777777" w:rsidR="00270F22" w:rsidRPr="005E2683" w:rsidRDefault="00270F22" w:rsidP="00270F22">
      <w:pPr>
        <w:pStyle w:val="Heading1"/>
        <w:rPr>
          <w:szCs w:val="22"/>
        </w:rPr>
      </w:pPr>
      <w:bookmarkStart w:id="32" w:name="_Toc187397857"/>
      <w:bookmarkStart w:id="33" w:name="_Toc187397858"/>
      <w:bookmarkStart w:id="34" w:name="_Toc187397859"/>
      <w:bookmarkStart w:id="35" w:name="_Toc187397860"/>
      <w:bookmarkStart w:id="36" w:name="_Toc187397861"/>
      <w:bookmarkStart w:id="37" w:name="_Toc187397862"/>
      <w:bookmarkStart w:id="38" w:name="_Toc14187297"/>
      <w:bookmarkStart w:id="39" w:name="_Toc14684353"/>
      <w:bookmarkStart w:id="40" w:name="_Toc206500126"/>
      <w:bookmarkEnd w:id="32"/>
      <w:bookmarkEnd w:id="33"/>
      <w:bookmarkEnd w:id="34"/>
      <w:bookmarkEnd w:id="35"/>
      <w:bookmarkEnd w:id="36"/>
      <w:bookmarkEnd w:id="37"/>
      <w:r>
        <w:lastRenderedPageBreak/>
        <w:t>Exceptions</w:t>
      </w:r>
      <w:bookmarkEnd w:id="38"/>
      <w:bookmarkEnd w:id="39"/>
      <w:bookmarkEnd w:id="40"/>
    </w:p>
    <w:p w14:paraId="08224C8C" w14:textId="77777777" w:rsidR="00270F22" w:rsidRPr="00AF06C8" w:rsidRDefault="00270F22" w:rsidP="00270F22">
      <w:pPr>
        <w:rPr>
          <w:rFonts w:cstheme="minorBidi"/>
          <w:szCs w:val="22"/>
        </w:rPr>
      </w:pPr>
      <w:r w:rsidRPr="00AF06C8">
        <w:rPr>
          <w:szCs w:val="22"/>
        </w:rPr>
        <w:t xml:space="preserve">Exceptions to the requirements of this RALI for prospective assignments require case-by-case consideration by the Manager, Spectrum </w:t>
      </w:r>
      <w:r>
        <w:rPr>
          <w:szCs w:val="22"/>
        </w:rPr>
        <w:t xml:space="preserve">Planning </w:t>
      </w:r>
      <w:r w:rsidRPr="00AF06C8">
        <w:rPr>
          <w:szCs w:val="22"/>
        </w:rPr>
        <w:t>Section.</w:t>
      </w:r>
    </w:p>
    <w:p w14:paraId="2EC72B62" w14:textId="0CEBEC1B" w:rsidR="0006046A" w:rsidRPr="0006046A" w:rsidRDefault="00270F22" w:rsidP="00270F22">
      <w:pPr>
        <w:rPr>
          <w:rFonts w:cs="Arial"/>
          <w:szCs w:val="22"/>
        </w:rPr>
      </w:pPr>
      <w:r w:rsidRPr="00AF06C8">
        <w:rPr>
          <w:szCs w:val="22"/>
        </w:rPr>
        <w:t>A request for exemption from the requirements of this RALI would need to be accompanied by evidence to support the request.</w:t>
      </w:r>
    </w:p>
    <w:p w14:paraId="6C76E34F" w14:textId="6325462F" w:rsidR="00270F22" w:rsidRPr="000B27C0" w:rsidRDefault="00270F22" w:rsidP="00270F22">
      <w:pPr>
        <w:rPr>
          <w:rFonts w:cs="Arial"/>
          <w:szCs w:val="22"/>
        </w:rPr>
      </w:pPr>
      <w:r w:rsidRPr="00AF06C8">
        <w:rPr>
          <w:rFonts w:cs="Arial"/>
          <w:szCs w:val="22"/>
        </w:rPr>
        <w:t xml:space="preserve">All requests for exemptions should be submitted to </w:t>
      </w:r>
      <w:hyperlink r:id="rId24" w:history="1">
        <w:r w:rsidRPr="009825CC">
          <w:rPr>
            <w:rStyle w:val="Hyperlink"/>
            <w:rFonts w:cs="Arial"/>
            <w:szCs w:val="22"/>
          </w:rPr>
          <w:t>freqplan@acma.gov.au</w:t>
        </w:r>
      </w:hyperlink>
      <w:r>
        <w:rPr>
          <w:rFonts w:cs="Arial"/>
          <w:szCs w:val="22"/>
        </w:rPr>
        <w:t xml:space="preserve">. </w:t>
      </w:r>
    </w:p>
    <w:p w14:paraId="27FB4F67" w14:textId="77777777" w:rsidR="00270F22" w:rsidRPr="008C3D36" w:rsidRDefault="00270F22" w:rsidP="00270F22">
      <w:pPr>
        <w:pStyle w:val="Heading1"/>
      </w:pPr>
      <w:bookmarkStart w:id="41" w:name="_Toc14187298"/>
      <w:bookmarkStart w:id="42" w:name="_Toc14684354"/>
      <w:bookmarkStart w:id="43" w:name="_Toc206500127"/>
      <w:r w:rsidRPr="008C3D36">
        <w:lastRenderedPageBreak/>
        <w:t>RALI Authorisation</w:t>
      </w:r>
      <w:bookmarkEnd w:id="41"/>
      <w:bookmarkEnd w:id="42"/>
      <w:bookmarkEnd w:id="43"/>
    </w:p>
    <w:p w14:paraId="6F21E613" w14:textId="768AF89B" w:rsidR="00270F22" w:rsidRDefault="00270F22" w:rsidP="00270F22">
      <w:pPr>
        <w:rPr>
          <w:szCs w:val="22"/>
        </w:rPr>
      </w:pPr>
      <w:r w:rsidRPr="009808D3">
        <w:t>Approved</w:t>
      </w:r>
      <w:r w:rsidRPr="009808D3">
        <w:rPr>
          <w:szCs w:val="22"/>
        </w:rPr>
        <w:t xml:space="preserve">     </w:t>
      </w:r>
      <w:r w:rsidRPr="009808D3">
        <w:rPr>
          <w:szCs w:val="22"/>
        </w:rPr>
        <w:tab/>
      </w:r>
      <w:r w:rsidR="009808D3">
        <w:rPr>
          <w:szCs w:val="22"/>
        </w:rPr>
        <w:t>8</w:t>
      </w:r>
      <w:r w:rsidR="009808D3" w:rsidRPr="009808D3">
        <w:rPr>
          <w:szCs w:val="22"/>
          <w:vertAlign w:val="superscript"/>
        </w:rPr>
        <w:t>th</w:t>
      </w:r>
      <w:r w:rsidR="009808D3">
        <w:rPr>
          <w:szCs w:val="22"/>
        </w:rPr>
        <w:t xml:space="preserve"> September 2025</w:t>
      </w:r>
    </w:p>
    <w:p w14:paraId="19E5A408" w14:textId="4113505E" w:rsidR="00562058" w:rsidRDefault="00562058" w:rsidP="00270F22">
      <w:pPr>
        <w:rPr>
          <w:szCs w:val="22"/>
        </w:rPr>
      </w:pPr>
    </w:p>
    <w:p w14:paraId="4119BC9D" w14:textId="47B58615" w:rsidR="00270F22" w:rsidRPr="00AF06C8" w:rsidRDefault="00270F22" w:rsidP="00270F22">
      <w:pPr>
        <w:rPr>
          <w:szCs w:val="22"/>
        </w:rPr>
      </w:pPr>
      <w:r w:rsidRPr="00AF06C8">
        <w:rPr>
          <w:szCs w:val="22"/>
        </w:rPr>
        <w:t>Manager</w:t>
      </w:r>
      <w:r w:rsidRPr="00AF06C8">
        <w:rPr>
          <w:szCs w:val="22"/>
        </w:rPr>
        <w:br/>
      </w:r>
      <w:r>
        <w:rPr>
          <w:szCs w:val="22"/>
        </w:rPr>
        <w:t>Spectrum Planning</w:t>
      </w:r>
      <w:r w:rsidRPr="00AF06C8">
        <w:rPr>
          <w:szCs w:val="22"/>
        </w:rPr>
        <w:t xml:space="preserve"> Section</w:t>
      </w:r>
      <w:r w:rsidRPr="00AF06C8">
        <w:rPr>
          <w:szCs w:val="22"/>
        </w:rPr>
        <w:br/>
        <w:t>Spectrum Planning and Engineering Branch</w:t>
      </w:r>
    </w:p>
    <w:p w14:paraId="1365B425" w14:textId="77777777" w:rsidR="00270F22" w:rsidRPr="00AF06C8" w:rsidRDefault="00270F22" w:rsidP="00270F22">
      <w:pPr>
        <w:rPr>
          <w:szCs w:val="22"/>
        </w:rPr>
      </w:pPr>
      <w:r w:rsidRPr="00AF06C8">
        <w:rPr>
          <w:szCs w:val="22"/>
        </w:rPr>
        <w:t>Communications Infrastructure Division</w:t>
      </w:r>
      <w:r w:rsidRPr="00AF06C8">
        <w:rPr>
          <w:szCs w:val="22"/>
        </w:rPr>
        <w:br/>
        <w:t>Australian Communications and Media Authority</w:t>
      </w:r>
    </w:p>
    <w:p w14:paraId="491E2270" w14:textId="6C328EEE" w:rsidR="00E41FB4" w:rsidRPr="0076498D" w:rsidRDefault="00E41FB4" w:rsidP="0076498D">
      <w:pPr>
        <w:pStyle w:val="Heading1"/>
        <w:numPr>
          <w:ilvl w:val="0"/>
          <w:numId w:val="0"/>
        </w:numPr>
        <w:rPr>
          <w:szCs w:val="44"/>
        </w:rPr>
      </w:pPr>
      <w:bookmarkStart w:id="44" w:name="_Toc206500128"/>
      <w:r w:rsidRPr="0076498D">
        <w:rPr>
          <w:szCs w:val="44"/>
        </w:rPr>
        <w:lastRenderedPageBreak/>
        <w:t>Annex 1:</w:t>
      </w:r>
      <w:r w:rsidRPr="0076498D">
        <w:rPr>
          <w:szCs w:val="44"/>
        </w:rPr>
        <w:tab/>
        <w:t>Australian Radiofrequency Spectrum Plan Footnote AUS87</w:t>
      </w:r>
      <w:bookmarkEnd w:id="44"/>
      <w:r w:rsidRPr="0076498D">
        <w:rPr>
          <w:szCs w:val="44"/>
        </w:rPr>
        <w:t xml:space="preserve"> </w:t>
      </w:r>
    </w:p>
    <w:p w14:paraId="5CBE5395" w14:textId="398536DB" w:rsidR="00E41FB4" w:rsidRDefault="00C44B59" w:rsidP="00E41FB4">
      <w:pPr>
        <w:ind w:left="851" w:hanging="851"/>
        <w:rPr>
          <w:rFonts w:cstheme="minorHAnsi"/>
        </w:rPr>
      </w:pPr>
      <w:r w:rsidRPr="00C44B59">
        <w:rPr>
          <w:rFonts w:cs="Arial"/>
          <w:sz w:val="24"/>
        </w:rPr>
        <w:t>AUS87</w:t>
      </w:r>
      <w:r w:rsidRPr="00C44B59">
        <w:rPr>
          <w:rFonts w:cs="Arial"/>
          <w:sz w:val="24"/>
        </w:rPr>
        <w:tab/>
        <w:t xml:space="preserve">Radio astronomy facilities operated by the Commonwealth Scientific and Industrial Research Organisation (CSIRO) at the Paul Wild Observatory Narrabri (latitude 30° 18' 46.40" S, longitude 149° 33' 0.44" E), the Parkes Observatory (latitude 32° 59' 54.25" S, longitude 148° 15' 48.65" E) and the </w:t>
      </w:r>
      <w:proofErr w:type="spellStart"/>
      <w:r w:rsidRPr="00C44B59">
        <w:rPr>
          <w:rFonts w:cs="Arial"/>
          <w:sz w:val="24"/>
        </w:rPr>
        <w:t>Mopra</w:t>
      </w:r>
      <w:proofErr w:type="spellEnd"/>
      <w:r w:rsidRPr="00C44B59">
        <w:rPr>
          <w:rFonts w:cs="Arial"/>
          <w:sz w:val="24"/>
        </w:rPr>
        <w:t xml:space="preserve"> Observatory Coonabarabran (latitude 31° 16' 04.12" S, longitude 149° 05' 58.72" E) and by the University of Tasmania at the Mount Pleasant Observatory Hobart (latitude 42° 48' 12.92" S, longitude 147° 26' 25.86" E) and the Ceduna Observatory (latitude 31° 52' 03.69" S, longitude 133° 48' 35.40" E), and at the Canberra Deep Space Communication Complex (latitude 35° 23' 54.46" S, longitude 148° 58' 39.66" E) conduct passive observations in the frequency bands 1.2–1.8 GHz, 2.2–2.7 GHz, 4.5–6.7 GHz, 8–10 GHz and 16–26 GHz using receivers that are highly sensitive to interference. The Paul Wild and </w:t>
      </w:r>
      <w:proofErr w:type="spellStart"/>
      <w:r w:rsidRPr="00C44B59">
        <w:rPr>
          <w:rFonts w:cs="Arial"/>
          <w:sz w:val="24"/>
        </w:rPr>
        <w:t>Mopra</w:t>
      </w:r>
      <w:proofErr w:type="spellEnd"/>
      <w:r w:rsidRPr="00C44B59">
        <w:rPr>
          <w:rFonts w:cs="Arial"/>
          <w:sz w:val="24"/>
        </w:rPr>
        <w:t xml:space="preserve"> observatories also operate in the frequency bands 30–50 GHz and 75–115 GHz.</w:t>
      </w:r>
    </w:p>
    <w:p w14:paraId="66B18FA8" w14:textId="77777777" w:rsidR="00F26F30" w:rsidRDefault="00F26F30">
      <w:pPr>
        <w:spacing w:after="0" w:line="240" w:lineRule="auto"/>
        <w:rPr>
          <w:rFonts w:cs="Arial"/>
          <w:b/>
          <w:bCs/>
          <w:szCs w:val="26"/>
        </w:rPr>
      </w:pPr>
      <w:r>
        <w:br w:type="page"/>
      </w:r>
    </w:p>
    <w:p w14:paraId="2E825427" w14:textId="36FEC3FD" w:rsidR="00F26F30" w:rsidRPr="0076498D" w:rsidRDefault="00F26F30" w:rsidP="0076498D">
      <w:pPr>
        <w:pStyle w:val="Heading1"/>
        <w:numPr>
          <w:ilvl w:val="0"/>
          <w:numId w:val="0"/>
        </w:numPr>
        <w:rPr>
          <w:szCs w:val="44"/>
        </w:rPr>
      </w:pPr>
      <w:bookmarkStart w:id="45" w:name="_Toc206500129"/>
      <w:r w:rsidRPr="0076498D">
        <w:rPr>
          <w:szCs w:val="44"/>
        </w:rPr>
        <w:lastRenderedPageBreak/>
        <w:t xml:space="preserve">Annex 2: </w:t>
      </w:r>
      <w:r w:rsidRPr="0076498D">
        <w:rPr>
          <w:szCs w:val="44"/>
        </w:rPr>
        <w:tab/>
        <w:t>Assessment Procedure</w:t>
      </w:r>
      <w:bookmarkEnd w:id="45"/>
    </w:p>
    <w:p w14:paraId="58E3254C" w14:textId="77777777" w:rsidR="00F26F30" w:rsidRPr="00F26F30" w:rsidRDefault="00F26F30" w:rsidP="00F26F30">
      <w:pPr>
        <w:rPr>
          <w:rFonts w:cstheme="minorHAnsi"/>
        </w:rPr>
      </w:pPr>
      <w:r w:rsidRPr="00F26F30">
        <w:rPr>
          <w:rFonts w:cstheme="minorHAnsi"/>
        </w:rPr>
        <w:t>Assessment is based on determining the signal level arriving at the potentially affected radio astronomy site(s) from the proposed transmitter. CSIRO consideration of negotiating with the assigner is triggered if the potential signal arriving at the radio astronomy (RA) site is greater than or equal to the relevant threshold level, calculated by:</w:t>
      </w:r>
    </w:p>
    <w:p w14:paraId="1D1AB93E" w14:textId="77777777" w:rsidR="00F26F30" w:rsidRPr="00F26F30" w:rsidRDefault="00F26F30" w:rsidP="00F26F30">
      <w:pPr>
        <w:jc w:val="center"/>
        <w:rPr>
          <w:rFonts w:cstheme="minorHAnsi"/>
        </w:rPr>
      </w:pPr>
      <w:r w:rsidRPr="00F26F30">
        <w:rPr>
          <w:rFonts w:cstheme="minorHAnsi"/>
        </w:rPr>
        <w:t xml:space="preserve">Tx </w:t>
      </w:r>
      <w:proofErr w:type="gramStart"/>
      <w:r w:rsidRPr="00F26F30">
        <w:rPr>
          <w:rFonts w:cstheme="minorHAnsi"/>
        </w:rPr>
        <w:t>PSD(</w:t>
      </w:r>
      <w:proofErr w:type="gramEnd"/>
      <w:r w:rsidRPr="00F26F30">
        <w:rPr>
          <w:rFonts w:cstheme="minorHAnsi"/>
          <w:vertAlign w:val="subscript"/>
        </w:rPr>
        <w:t>dBm/Hz</w:t>
      </w:r>
      <w:r w:rsidRPr="00F26F30">
        <w:rPr>
          <w:rFonts w:cstheme="minorHAnsi"/>
        </w:rPr>
        <w:t>) – PPL – 3.9 ≥ Threshold Level</w:t>
      </w:r>
    </w:p>
    <w:p w14:paraId="254130D4" w14:textId="77777777" w:rsidR="00F26F30" w:rsidRPr="00F26F30" w:rsidRDefault="00F26F30" w:rsidP="00F26F30">
      <w:pPr>
        <w:spacing w:after="0"/>
        <w:rPr>
          <w:rFonts w:cstheme="minorHAnsi"/>
        </w:rPr>
      </w:pPr>
      <w:r w:rsidRPr="00F26F30">
        <w:rPr>
          <w:rFonts w:cstheme="minorHAnsi"/>
        </w:rPr>
        <w:t>Where:</w:t>
      </w:r>
    </w:p>
    <w:p w14:paraId="50FAFC6C" w14:textId="6D12C89F" w:rsidR="00F26F30" w:rsidRPr="00F26F30" w:rsidRDefault="00F26F30" w:rsidP="00F26F30">
      <w:pPr>
        <w:spacing w:after="0"/>
        <w:rPr>
          <w:rFonts w:cstheme="minorHAnsi"/>
        </w:rPr>
      </w:pPr>
      <w:r w:rsidRPr="00F26F30">
        <w:rPr>
          <w:rFonts w:cstheme="minorHAnsi"/>
        </w:rPr>
        <w:t xml:space="preserve">Tx </w:t>
      </w:r>
      <w:proofErr w:type="gramStart"/>
      <w:r w:rsidRPr="00F26F30">
        <w:rPr>
          <w:rFonts w:cstheme="minorHAnsi"/>
        </w:rPr>
        <w:t>PSD(</w:t>
      </w:r>
      <w:proofErr w:type="gramEnd"/>
      <w:r w:rsidRPr="00F26F30">
        <w:rPr>
          <w:rFonts w:cstheme="minorHAnsi"/>
          <w:vertAlign w:val="subscript"/>
        </w:rPr>
        <w:t>dBm/Hz</w:t>
      </w:r>
      <w:r w:rsidRPr="00F26F30">
        <w:rPr>
          <w:rFonts w:cstheme="minorHAnsi"/>
        </w:rPr>
        <w:t>) = Transmitter power spectral density</w:t>
      </w:r>
    </w:p>
    <w:p w14:paraId="47B2990B" w14:textId="77777777" w:rsidR="00F26F30" w:rsidRPr="00F26F30" w:rsidRDefault="00F26F30" w:rsidP="00F26F30">
      <w:pPr>
        <w:rPr>
          <w:rFonts w:cstheme="minorHAnsi"/>
        </w:rPr>
      </w:pPr>
      <w:r w:rsidRPr="00F26F30">
        <w:rPr>
          <w:rFonts w:cstheme="minorHAnsi"/>
        </w:rPr>
        <w:t>PPL = Propagation Path Loss</w:t>
      </w:r>
    </w:p>
    <w:p w14:paraId="29A624B9" w14:textId="4B0DB8A1" w:rsidR="00F26F30" w:rsidRPr="00F26F30" w:rsidRDefault="00F26F30" w:rsidP="00F26F30">
      <w:pPr>
        <w:rPr>
          <w:rFonts w:cstheme="minorHAnsi"/>
        </w:rPr>
      </w:pPr>
      <w:r w:rsidRPr="00F26F30">
        <w:rPr>
          <w:rFonts w:cstheme="minorHAnsi"/>
        </w:rPr>
        <w:t>Propagation path loss is determined by use of the cascaded knife edge method of diffraction described in the most recent version of ITU-R Recommendation P.526, using a ‘K-factor’ of 4/3 and a 9 second digital elevation model or better.</w:t>
      </w:r>
    </w:p>
    <w:p w14:paraId="65DB8BFF" w14:textId="77777777" w:rsidR="00F26F30" w:rsidRPr="00F26F30" w:rsidRDefault="00F26F30" w:rsidP="00F26F30">
      <w:pPr>
        <w:rPr>
          <w:rFonts w:cstheme="minorHAnsi"/>
        </w:rPr>
      </w:pPr>
      <w:r w:rsidRPr="00F26F30">
        <w:rPr>
          <w:rFonts w:cstheme="minorHAnsi"/>
        </w:rPr>
        <w:t>Effective antenna heights for the radio astronomy sites are provided in Table 3, and signal threshold levels are provided in Table 4.</w:t>
      </w:r>
    </w:p>
    <w:p w14:paraId="546C5C2A" w14:textId="77777777" w:rsidR="00F26F30" w:rsidRPr="00A17B1B" w:rsidRDefault="00F26F30" w:rsidP="0076498D">
      <w:pPr>
        <w:pStyle w:val="Tableheading"/>
        <w:keepLines/>
        <w:numPr>
          <w:ilvl w:val="0"/>
          <w:numId w:val="7"/>
        </w:numPr>
        <w:tabs>
          <w:tab w:val="clear" w:pos="2807"/>
          <w:tab w:val="num" w:pos="964"/>
        </w:tabs>
        <w:ind w:left="964"/>
      </w:pPr>
      <w:r w:rsidRPr="00F26F30">
        <w:t xml:space="preserve">Effective Antenna Heights </w:t>
      </w:r>
    </w:p>
    <w:tbl>
      <w:tblPr>
        <w:tblStyle w:val="ACMAtablestyle"/>
        <w:tblW w:w="5944" w:type="dxa"/>
        <w:tblLayout w:type="fixed"/>
        <w:tblLook w:val="01E0" w:firstRow="1" w:lastRow="1" w:firstColumn="1" w:lastColumn="1" w:noHBand="0" w:noVBand="0"/>
        <w:tblCaption w:val="Table title to go here"/>
        <w:tblDescription w:val="Table description to go here"/>
      </w:tblPr>
      <w:tblGrid>
        <w:gridCol w:w="1031"/>
        <w:gridCol w:w="922"/>
        <w:gridCol w:w="860"/>
        <w:gridCol w:w="897"/>
        <w:gridCol w:w="1007"/>
        <w:gridCol w:w="1227"/>
      </w:tblGrid>
      <w:tr w:rsidR="00F26F30" w:rsidRPr="00A17B1B" w14:paraId="6F6A9EBF" w14:textId="77777777" w:rsidTr="00F26F30">
        <w:trPr>
          <w:cnfStyle w:val="100000000000" w:firstRow="1" w:lastRow="0" w:firstColumn="0" w:lastColumn="0" w:oddVBand="0" w:evenVBand="0" w:oddHBand="0" w:evenHBand="0" w:firstRowFirstColumn="0" w:firstRowLastColumn="0" w:lastRowFirstColumn="0" w:lastRowLastColumn="0"/>
        </w:trPr>
        <w:tc>
          <w:tcPr>
            <w:tcW w:w="5944" w:type="dxa"/>
            <w:gridSpan w:val="6"/>
          </w:tcPr>
          <w:p w14:paraId="0EDDD615" w14:textId="6B8212BA" w:rsidR="00F26F30" w:rsidRPr="00A17B1B" w:rsidRDefault="00F26F30" w:rsidP="00E56A1A">
            <w:pPr>
              <w:pStyle w:val="Tableheaderrow"/>
              <w:keepNext/>
              <w:keepLines/>
            </w:pPr>
            <w:r>
              <w:t>Effective Antenna Heights (metres)</w:t>
            </w:r>
          </w:p>
        </w:tc>
      </w:tr>
      <w:tr w:rsidR="00F26F30" w:rsidRPr="00A17B1B" w14:paraId="161B5862" w14:textId="77777777" w:rsidTr="00F26F30">
        <w:trPr>
          <w:cnfStyle w:val="000000100000" w:firstRow="0" w:lastRow="0" w:firstColumn="0" w:lastColumn="0" w:oddVBand="0" w:evenVBand="0" w:oddHBand="1" w:evenHBand="0" w:firstRowFirstColumn="0" w:firstRowLastColumn="0" w:lastRowFirstColumn="0" w:lastRowLastColumn="0"/>
          <w:trHeight w:val="15"/>
        </w:trPr>
        <w:tc>
          <w:tcPr>
            <w:tcW w:w="1031" w:type="dxa"/>
          </w:tcPr>
          <w:p w14:paraId="233DFB51" w14:textId="2565E885" w:rsidR="00F26F30" w:rsidRPr="00A17B1B" w:rsidRDefault="00F26F30" w:rsidP="00F26F30">
            <w:pPr>
              <w:pStyle w:val="TableBody"/>
              <w:keepNext/>
              <w:keepLines/>
              <w:jc w:val="center"/>
            </w:pPr>
            <w:r w:rsidRPr="00A40408">
              <w:t>Narrabri</w:t>
            </w:r>
          </w:p>
        </w:tc>
        <w:tc>
          <w:tcPr>
            <w:tcW w:w="922" w:type="dxa"/>
          </w:tcPr>
          <w:p w14:paraId="4F8DEEDD" w14:textId="5196001F" w:rsidR="00F26F30" w:rsidRPr="00A17B1B" w:rsidRDefault="00F26F30" w:rsidP="00F26F30">
            <w:pPr>
              <w:pStyle w:val="TableBody"/>
              <w:keepNext/>
              <w:keepLines/>
              <w:jc w:val="center"/>
            </w:pPr>
            <w:r w:rsidRPr="00A40408">
              <w:t>Parkes</w:t>
            </w:r>
          </w:p>
        </w:tc>
        <w:tc>
          <w:tcPr>
            <w:tcW w:w="860" w:type="dxa"/>
          </w:tcPr>
          <w:p w14:paraId="77B1D93D" w14:textId="028F7BE2" w:rsidR="00F26F30" w:rsidRPr="00A17B1B" w:rsidRDefault="00F26F30" w:rsidP="00F26F30">
            <w:pPr>
              <w:pStyle w:val="TableBody"/>
              <w:keepNext/>
              <w:keepLines/>
              <w:jc w:val="center"/>
            </w:pPr>
            <w:proofErr w:type="spellStart"/>
            <w:r w:rsidRPr="00A40408">
              <w:t>Mopra</w:t>
            </w:r>
            <w:proofErr w:type="spellEnd"/>
          </w:p>
        </w:tc>
        <w:tc>
          <w:tcPr>
            <w:tcW w:w="897" w:type="dxa"/>
          </w:tcPr>
          <w:p w14:paraId="22F5B7FE" w14:textId="55903FAD" w:rsidR="00F26F30" w:rsidRPr="00A17B1B" w:rsidRDefault="00F26F30" w:rsidP="00F26F30">
            <w:pPr>
              <w:pStyle w:val="TableBody"/>
              <w:keepNext/>
              <w:keepLines/>
              <w:jc w:val="center"/>
            </w:pPr>
            <w:r w:rsidRPr="00A40408">
              <w:t>Hobart</w:t>
            </w:r>
          </w:p>
        </w:tc>
        <w:tc>
          <w:tcPr>
            <w:tcW w:w="1007" w:type="dxa"/>
          </w:tcPr>
          <w:p w14:paraId="0D4270FF" w14:textId="19E7C0FF" w:rsidR="00F26F30" w:rsidRPr="00A17B1B" w:rsidRDefault="00F26F30" w:rsidP="00F26F30">
            <w:pPr>
              <w:pStyle w:val="TableBody"/>
              <w:keepNext/>
              <w:keepLines/>
              <w:jc w:val="center"/>
            </w:pPr>
            <w:r w:rsidRPr="00A40408">
              <w:t>Ceduna</w:t>
            </w:r>
          </w:p>
        </w:tc>
        <w:tc>
          <w:tcPr>
            <w:tcW w:w="1227" w:type="dxa"/>
          </w:tcPr>
          <w:p w14:paraId="68F83BCF" w14:textId="6AE3A564" w:rsidR="00F26F30" w:rsidRPr="00A17B1B" w:rsidRDefault="00F26F30" w:rsidP="00F26F30">
            <w:pPr>
              <w:pStyle w:val="TableBody"/>
              <w:keepNext/>
              <w:keepLines/>
              <w:jc w:val="center"/>
            </w:pPr>
            <w:r w:rsidRPr="00A40408">
              <w:t>Tidbinbilla</w:t>
            </w:r>
          </w:p>
        </w:tc>
      </w:tr>
      <w:tr w:rsidR="00F26F30" w:rsidRPr="00A17B1B" w14:paraId="73AF061F" w14:textId="77777777" w:rsidTr="00F26F30">
        <w:trPr>
          <w:cnfStyle w:val="000000010000" w:firstRow="0" w:lastRow="0" w:firstColumn="0" w:lastColumn="0" w:oddVBand="0" w:evenVBand="0" w:oddHBand="0" w:evenHBand="1" w:firstRowFirstColumn="0" w:firstRowLastColumn="0" w:lastRowFirstColumn="0" w:lastRowLastColumn="0"/>
          <w:trHeight w:val="15"/>
        </w:trPr>
        <w:tc>
          <w:tcPr>
            <w:tcW w:w="1031" w:type="dxa"/>
          </w:tcPr>
          <w:p w14:paraId="08C12861" w14:textId="3A4CD45B" w:rsidR="00F26F30" w:rsidRPr="00A17B1B" w:rsidRDefault="00F26F30" w:rsidP="00F26F30">
            <w:pPr>
              <w:pStyle w:val="TableBody"/>
              <w:keepNext/>
              <w:keepLines/>
              <w:jc w:val="center"/>
            </w:pPr>
            <w:r w:rsidRPr="00A40408">
              <w:t>18</w:t>
            </w:r>
          </w:p>
        </w:tc>
        <w:tc>
          <w:tcPr>
            <w:tcW w:w="922" w:type="dxa"/>
          </w:tcPr>
          <w:p w14:paraId="7536CAA1" w14:textId="307B779C" w:rsidR="00F26F30" w:rsidRPr="00A17B1B" w:rsidRDefault="00F26F30" w:rsidP="00F26F30">
            <w:pPr>
              <w:pStyle w:val="TableBody"/>
              <w:keepNext/>
              <w:keepLines/>
              <w:jc w:val="center"/>
            </w:pPr>
            <w:r w:rsidRPr="00A40408">
              <w:t>30</w:t>
            </w:r>
          </w:p>
        </w:tc>
        <w:tc>
          <w:tcPr>
            <w:tcW w:w="860" w:type="dxa"/>
          </w:tcPr>
          <w:p w14:paraId="520887EF" w14:textId="0BA85944" w:rsidR="00F26F30" w:rsidRPr="00A17B1B" w:rsidRDefault="00F26F30" w:rsidP="00F26F30">
            <w:pPr>
              <w:pStyle w:val="TableBody"/>
              <w:keepNext/>
              <w:keepLines/>
              <w:jc w:val="center"/>
            </w:pPr>
            <w:r w:rsidRPr="00A40408">
              <w:t>13</w:t>
            </w:r>
          </w:p>
        </w:tc>
        <w:tc>
          <w:tcPr>
            <w:tcW w:w="897" w:type="dxa"/>
          </w:tcPr>
          <w:p w14:paraId="2C53C8FF" w14:textId="54754504" w:rsidR="00F26F30" w:rsidRPr="00A17B1B" w:rsidRDefault="00F26F30" w:rsidP="00F26F30">
            <w:pPr>
              <w:pStyle w:val="TableBody"/>
              <w:keepNext/>
              <w:keepLines/>
              <w:jc w:val="center"/>
            </w:pPr>
            <w:r w:rsidRPr="00A40408">
              <w:t>15</w:t>
            </w:r>
          </w:p>
        </w:tc>
        <w:tc>
          <w:tcPr>
            <w:tcW w:w="1007" w:type="dxa"/>
          </w:tcPr>
          <w:p w14:paraId="2552AB11" w14:textId="31E596F3" w:rsidR="00F26F30" w:rsidRPr="00A17B1B" w:rsidRDefault="00F26F30" w:rsidP="00F26F30">
            <w:pPr>
              <w:pStyle w:val="TableBody"/>
              <w:keepNext/>
              <w:keepLines/>
              <w:jc w:val="center"/>
            </w:pPr>
            <w:r w:rsidRPr="00A40408">
              <w:t>12</w:t>
            </w:r>
          </w:p>
        </w:tc>
        <w:tc>
          <w:tcPr>
            <w:tcW w:w="1227" w:type="dxa"/>
          </w:tcPr>
          <w:p w14:paraId="3C390CDB" w14:textId="4FDCC2B7" w:rsidR="00F26F30" w:rsidRPr="00A17B1B" w:rsidRDefault="00F26F30" w:rsidP="00F26F30">
            <w:pPr>
              <w:pStyle w:val="TableBody"/>
              <w:keepNext/>
              <w:keepLines/>
              <w:jc w:val="center"/>
            </w:pPr>
            <w:r w:rsidRPr="00A40408">
              <w:t>30</w:t>
            </w:r>
          </w:p>
        </w:tc>
      </w:tr>
    </w:tbl>
    <w:p w14:paraId="5EF920A8" w14:textId="77777777" w:rsidR="00F26F30" w:rsidRPr="00F26F30" w:rsidRDefault="00F26F30" w:rsidP="00F26F30">
      <w:pPr>
        <w:rPr>
          <w:rFonts w:cstheme="minorHAnsi"/>
        </w:rPr>
      </w:pPr>
      <w:r w:rsidRPr="00F26F30">
        <w:rPr>
          <w:rFonts w:cstheme="minorHAnsi"/>
        </w:rPr>
        <w:t> </w:t>
      </w:r>
    </w:p>
    <w:p w14:paraId="1666BC27" w14:textId="64104995" w:rsidR="00F26F30" w:rsidRPr="00F26F30" w:rsidRDefault="00F26F30" w:rsidP="0076498D">
      <w:pPr>
        <w:pStyle w:val="Tableheading"/>
        <w:keepLines/>
        <w:numPr>
          <w:ilvl w:val="0"/>
          <w:numId w:val="7"/>
        </w:numPr>
        <w:tabs>
          <w:tab w:val="clear" w:pos="2807"/>
          <w:tab w:val="num" w:pos="964"/>
        </w:tabs>
        <w:ind w:left="964"/>
      </w:pPr>
      <w:r w:rsidRPr="00F26F30">
        <w:t xml:space="preserve">Threshold Levels </w:t>
      </w:r>
    </w:p>
    <w:tbl>
      <w:tblPr>
        <w:tblStyle w:val="ACMAtablestyle"/>
        <w:tblW w:w="8500" w:type="dxa"/>
        <w:tblLayout w:type="fixed"/>
        <w:tblLook w:val="01E0" w:firstRow="1" w:lastRow="1" w:firstColumn="1" w:lastColumn="1" w:noHBand="0" w:noVBand="0"/>
        <w:tblCaption w:val="Table title to go here"/>
        <w:tblDescription w:val="Table description to go here"/>
      </w:tblPr>
      <w:tblGrid>
        <w:gridCol w:w="1696"/>
        <w:gridCol w:w="1105"/>
        <w:gridCol w:w="1106"/>
        <w:gridCol w:w="1106"/>
        <w:gridCol w:w="1106"/>
        <w:gridCol w:w="1106"/>
        <w:gridCol w:w="1275"/>
      </w:tblGrid>
      <w:tr w:rsidR="00F26F30" w:rsidRPr="00A17B1B" w14:paraId="6E7A7AF7" w14:textId="77777777" w:rsidTr="00E56A1A">
        <w:trPr>
          <w:cnfStyle w:val="100000000000" w:firstRow="1" w:lastRow="0" w:firstColumn="0" w:lastColumn="0" w:oddVBand="0" w:evenVBand="0" w:oddHBand="0" w:evenHBand="0" w:firstRowFirstColumn="0" w:firstRowLastColumn="0" w:lastRowFirstColumn="0" w:lastRowLastColumn="0"/>
          <w:trHeight w:val="20"/>
        </w:trPr>
        <w:tc>
          <w:tcPr>
            <w:tcW w:w="1696" w:type="dxa"/>
            <w:vMerge w:val="restart"/>
          </w:tcPr>
          <w:p w14:paraId="0C3F66B6" w14:textId="77777777" w:rsidR="00F26F30" w:rsidRPr="00A17B1B" w:rsidRDefault="00F26F30" w:rsidP="00E56A1A">
            <w:pPr>
              <w:pStyle w:val="Tableheaderrow"/>
              <w:keepNext/>
              <w:keepLines/>
            </w:pPr>
            <w:r>
              <w:t>Band</w:t>
            </w:r>
            <w:r>
              <w:br/>
              <w:t>(MHz)</w:t>
            </w:r>
          </w:p>
        </w:tc>
        <w:tc>
          <w:tcPr>
            <w:tcW w:w="6804" w:type="dxa"/>
            <w:gridSpan w:val="6"/>
          </w:tcPr>
          <w:p w14:paraId="77540CC3" w14:textId="3A465E2B" w:rsidR="00F26F30" w:rsidRPr="007223A4" w:rsidRDefault="00F26F30" w:rsidP="00E56A1A">
            <w:pPr>
              <w:pStyle w:val="TableBody"/>
              <w:keepNext/>
              <w:keepLines/>
              <w:rPr>
                <w:b/>
              </w:rPr>
            </w:pPr>
            <w:r w:rsidRPr="00F26F30">
              <w:rPr>
                <w:b/>
              </w:rPr>
              <w:t>Threshold Level (dBm/Hz)</w:t>
            </w:r>
          </w:p>
        </w:tc>
      </w:tr>
      <w:tr w:rsidR="00F26F30" w:rsidRPr="00A17B1B" w14:paraId="6CF916AE" w14:textId="77777777" w:rsidTr="00E56A1A">
        <w:trPr>
          <w:cnfStyle w:val="000000100000" w:firstRow="0" w:lastRow="0" w:firstColumn="0" w:lastColumn="0" w:oddVBand="0" w:evenVBand="0" w:oddHBand="1" w:evenHBand="0" w:firstRowFirstColumn="0" w:firstRowLastColumn="0" w:lastRowFirstColumn="0" w:lastRowLastColumn="0"/>
          <w:trHeight w:val="20"/>
        </w:trPr>
        <w:tc>
          <w:tcPr>
            <w:tcW w:w="1696" w:type="dxa"/>
            <w:vMerge/>
          </w:tcPr>
          <w:p w14:paraId="6BCC45BF" w14:textId="77777777" w:rsidR="00F26F30" w:rsidRPr="00A17B1B" w:rsidRDefault="00F26F30" w:rsidP="00E56A1A">
            <w:pPr>
              <w:pStyle w:val="Tableheaderrow"/>
              <w:keepNext/>
              <w:keepLines/>
            </w:pPr>
          </w:p>
        </w:tc>
        <w:tc>
          <w:tcPr>
            <w:tcW w:w="1105" w:type="dxa"/>
          </w:tcPr>
          <w:p w14:paraId="169C9F82" w14:textId="77777777" w:rsidR="00F26F30" w:rsidRPr="007223A4" w:rsidRDefault="00F26F30" w:rsidP="00E56A1A">
            <w:pPr>
              <w:pStyle w:val="Tableheaderrow"/>
              <w:keepNext/>
              <w:keepLines/>
              <w:rPr>
                <w:color w:val="FFFFFF" w:themeColor="background1"/>
              </w:rPr>
            </w:pPr>
            <w:r w:rsidRPr="00CC7B28">
              <w:t>Parkes</w:t>
            </w:r>
          </w:p>
        </w:tc>
        <w:tc>
          <w:tcPr>
            <w:tcW w:w="1106" w:type="dxa"/>
          </w:tcPr>
          <w:p w14:paraId="11A00017" w14:textId="77777777" w:rsidR="00F26F30" w:rsidRPr="007223A4" w:rsidRDefault="00F26F30" w:rsidP="00E56A1A">
            <w:pPr>
              <w:pStyle w:val="Tableheaderrow"/>
              <w:keepNext/>
              <w:keepLines/>
              <w:rPr>
                <w:color w:val="FFFFFF" w:themeColor="background1"/>
              </w:rPr>
            </w:pPr>
            <w:r w:rsidRPr="00CC7B28">
              <w:t>Narrabri</w:t>
            </w:r>
          </w:p>
        </w:tc>
        <w:tc>
          <w:tcPr>
            <w:tcW w:w="1106" w:type="dxa"/>
          </w:tcPr>
          <w:p w14:paraId="42303F3B" w14:textId="77777777" w:rsidR="00F26F30" w:rsidRPr="007223A4" w:rsidRDefault="00F26F30" w:rsidP="00E56A1A">
            <w:pPr>
              <w:pStyle w:val="Tableheaderrow"/>
              <w:keepNext/>
              <w:keepLines/>
              <w:rPr>
                <w:color w:val="FFFFFF" w:themeColor="background1"/>
              </w:rPr>
            </w:pPr>
            <w:proofErr w:type="spellStart"/>
            <w:r w:rsidRPr="00CC7B28">
              <w:t>Mopra</w:t>
            </w:r>
            <w:proofErr w:type="spellEnd"/>
          </w:p>
        </w:tc>
        <w:tc>
          <w:tcPr>
            <w:tcW w:w="1106" w:type="dxa"/>
          </w:tcPr>
          <w:p w14:paraId="4FF6A235" w14:textId="77777777" w:rsidR="00F26F30" w:rsidRPr="007223A4" w:rsidRDefault="00F26F30" w:rsidP="00E56A1A">
            <w:pPr>
              <w:pStyle w:val="Tableheaderrow"/>
              <w:keepNext/>
              <w:keepLines/>
              <w:rPr>
                <w:color w:val="FFFFFF" w:themeColor="background1"/>
              </w:rPr>
            </w:pPr>
            <w:r w:rsidRPr="00CC7B28">
              <w:t>Hobart</w:t>
            </w:r>
          </w:p>
        </w:tc>
        <w:tc>
          <w:tcPr>
            <w:tcW w:w="1106" w:type="dxa"/>
          </w:tcPr>
          <w:p w14:paraId="43B9BB0C" w14:textId="77777777" w:rsidR="00F26F30" w:rsidRPr="007223A4" w:rsidRDefault="00F26F30" w:rsidP="00E56A1A">
            <w:pPr>
              <w:pStyle w:val="Tableheaderrow"/>
              <w:keepNext/>
              <w:keepLines/>
              <w:rPr>
                <w:color w:val="FFFFFF" w:themeColor="background1"/>
              </w:rPr>
            </w:pPr>
            <w:r w:rsidRPr="00CC7B28">
              <w:t>Ceduna</w:t>
            </w:r>
          </w:p>
        </w:tc>
        <w:tc>
          <w:tcPr>
            <w:tcW w:w="1275" w:type="dxa"/>
          </w:tcPr>
          <w:p w14:paraId="4749957F" w14:textId="77777777" w:rsidR="00F26F30" w:rsidRPr="007223A4" w:rsidRDefault="00F26F30" w:rsidP="00E56A1A">
            <w:pPr>
              <w:pStyle w:val="Tableheaderrow"/>
              <w:keepNext/>
              <w:keepLines/>
              <w:rPr>
                <w:color w:val="FFFFFF" w:themeColor="background1"/>
              </w:rPr>
            </w:pPr>
            <w:r w:rsidRPr="00CC7B28">
              <w:t>Tidbinbilla</w:t>
            </w:r>
          </w:p>
        </w:tc>
      </w:tr>
      <w:tr w:rsidR="00F26F30" w:rsidRPr="00A17B1B" w14:paraId="62977FA3" w14:textId="77777777" w:rsidTr="00E51C6C">
        <w:trPr>
          <w:cnfStyle w:val="000000010000" w:firstRow="0" w:lastRow="0" w:firstColumn="0" w:lastColumn="0" w:oddVBand="0" w:evenVBand="0" w:oddHBand="0" w:evenHBand="1" w:firstRowFirstColumn="0" w:firstRowLastColumn="0" w:lastRowFirstColumn="0" w:lastRowLastColumn="0"/>
          <w:trHeight w:val="15"/>
        </w:trPr>
        <w:tc>
          <w:tcPr>
            <w:tcW w:w="1696" w:type="dxa"/>
            <w:vAlign w:val="center"/>
          </w:tcPr>
          <w:p w14:paraId="2AE8007B" w14:textId="7DB4414F" w:rsidR="00F26F30" w:rsidRPr="00F26F30" w:rsidRDefault="00F26F30" w:rsidP="00F26F30">
            <w:pPr>
              <w:pStyle w:val="Tableheaderrow"/>
              <w:keepNext/>
              <w:keepLines/>
              <w:rPr>
                <w:b w:val="0"/>
                <w:bCs/>
                <w:color w:val="FFFFFF" w:themeColor="background1"/>
              </w:rPr>
            </w:pPr>
            <w:r w:rsidRPr="00F26F30">
              <w:rPr>
                <w:b w:val="0"/>
                <w:bCs/>
              </w:rPr>
              <w:t>1250–1780</w:t>
            </w:r>
          </w:p>
        </w:tc>
        <w:tc>
          <w:tcPr>
            <w:tcW w:w="1105" w:type="dxa"/>
            <w:vAlign w:val="center"/>
          </w:tcPr>
          <w:p w14:paraId="21673E7C" w14:textId="675AE3CD" w:rsidR="00F26F30" w:rsidRPr="00F26F30" w:rsidRDefault="00F26F30" w:rsidP="00F26F30">
            <w:pPr>
              <w:pStyle w:val="Tableheaderrow"/>
              <w:keepNext/>
              <w:keepLines/>
              <w:rPr>
                <w:b w:val="0"/>
                <w:bCs/>
                <w:color w:val="FFFFFF" w:themeColor="background1"/>
              </w:rPr>
            </w:pPr>
            <w:r w:rsidRPr="00F26F30">
              <w:rPr>
                <w:b w:val="0"/>
                <w:bCs/>
              </w:rPr>
              <w:t>–223</w:t>
            </w:r>
          </w:p>
        </w:tc>
        <w:tc>
          <w:tcPr>
            <w:tcW w:w="1106" w:type="dxa"/>
            <w:vAlign w:val="center"/>
          </w:tcPr>
          <w:p w14:paraId="10D4DFAF" w14:textId="0FB4266B" w:rsidR="00F26F30" w:rsidRPr="00F26F30" w:rsidRDefault="00F26F30" w:rsidP="00F26F30">
            <w:pPr>
              <w:pStyle w:val="Tableheaderrow"/>
              <w:keepNext/>
              <w:keepLines/>
              <w:rPr>
                <w:b w:val="0"/>
                <w:bCs/>
                <w:color w:val="FFFFFF" w:themeColor="background1"/>
              </w:rPr>
            </w:pPr>
            <w:r w:rsidRPr="00F26F30">
              <w:rPr>
                <w:b w:val="0"/>
                <w:bCs/>
              </w:rPr>
              <w:t>–234</w:t>
            </w:r>
          </w:p>
        </w:tc>
        <w:tc>
          <w:tcPr>
            <w:tcW w:w="1106" w:type="dxa"/>
            <w:vAlign w:val="center"/>
          </w:tcPr>
          <w:p w14:paraId="5195FEBC" w14:textId="66822F0C" w:rsidR="00F26F30" w:rsidRPr="00F26F30" w:rsidRDefault="00F26F30" w:rsidP="00F26F30">
            <w:pPr>
              <w:pStyle w:val="Tableheaderrow"/>
              <w:keepNext/>
              <w:keepLines/>
              <w:rPr>
                <w:b w:val="0"/>
                <w:bCs/>
                <w:color w:val="FFFFFF" w:themeColor="background1"/>
              </w:rPr>
            </w:pPr>
            <w:r w:rsidRPr="00F26F30">
              <w:rPr>
                <w:b w:val="0"/>
                <w:bCs/>
              </w:rPr>
              <w:t>–204</w:t>
            </w:r>
          </w:p>
        </w:tc>
        <w:tc>
          <w:tcPr>
            <w:tcW w:w="1106" w:type="dxa"/>
            <w:vAlign w:val="center"/>
          </w:tcPr>
          <w:p w14:paraId="025A5B0D" w14:textId="46FA3F6E" w:rsidR="00F26F30" w:rsidRPr="00F26F30" w:rsidRDefault="00F26F30" w:rsidP="00F26F30">
            <w:pPr>
              <w:pStyle w:val="Tableheaderrow"/>
              <w:keepNext/>
              <w:keepLines/>
              <w:rPr>
                <w:b w:val="0"/>
                <w:bCs/>
                <w:color w:val="FFFFFF" w:themeColor="background1"/>
              </w:rPr>
            </w:pPr>
            <w:r w:rsidRPr="00F26F30">
              <w:rPr>
                <w:b w:val="0"/>
                <w:bCs/>
              </w:rPr>
              <w:t>–204</w:t>
            </w:r>
          </w:p>
        </w:tc>
        <w:tc>
          <w:tcPr>
            <w:tcW w:w="1106" w:type="dxa"/>
            <w:vAlign w:val="center"/>
          </w:tcPr>
          <w:p w14:paraId="5F63B2A6" w14:textId="4CA9340C" w:rsidR="00F26F30" w:rsidRPr="00F26F30" w:rsidRDefault="00F26F30" w:rsidP="00F26F30">
            <w:pPr>
              <w:pStyle w:val="Tableheaderrow"/>
              <w:keepNext/>
              <w:keepLines/>
              <w:rPr>
                <w:b w:val="0"/>
                <w:bCs/>
                <w:color w:val="FFFFFF" w:themeColor="background1"/>
              </w:rPr>
            </w:pPr>
            <w:r w:rsidRPr="00F26F30">
              <w:rPr>
                <w:b w:val="0"/>
                <w:bCs/>
              </w:rPr>
              <w:t>N/A</w:t>
            </w:r>
          </w:p>
        </w:tc>
        <w:tc>
          <w:tcPr>
            <w:tcW w:w="1275" w:type="dxa"/>
            <w:vAlign w:val="center"/>
          </w:tcPr>
          <w:p w14:paraId="0EC97B9A" w14:textId="05E3A5B6" w:rsidR="00F26F30" w:rsidRPr="00F26F30" w:rsidRDefault="00F26F30" w:rsidP="00F26F30">
            <w:pPr>
              <w:pStyle w:val="Tableheaderrow"/>
              <w:keepNext/>
              <w:keepLines/>
              <w:rPr>
                <w:b w:val="0"/>
                <w:bCs/>
              </w:rPr>
            </w:pPr>
            <w:r w:rsidRPr="00F26F30">
              <w:rPr>
                <w:b w:val="0"/>
                <w:bCs/>
              </w:rPr>
              <w:t>–204</w:t>
            </w:r>
          </w:p>
        </w:tc>
      </w:tr>
      <w:tr w:rsidR="00F26F30" w:rsidRPr="00A17B1B" w14:paraId="2F65C77B" w14:textId="77777777" w:rsidTr="00E51C6C">
        <w:trPr>
          <w:cnfStyle w:val="000000100000" w:firstRow="0" w:lastRow="0" w:firstColumn="0" w:lastColumn="0" w:oddVBand="0" w:evenVBand="0" w:oddHBand="1" w:evenHBand="0" w:firstRowFirstColumn="0" w:firstRowLastColumn="0" w:lastRowFirstColumn="0" w:lastRowLastColumn="0"/>
          <w:trHeight w:val="15"/>
        </w:trPr>
        <w:tc>
          <w:tcPr>
            <w:tcW w:w="1696" w:type="dxa"/>
            <w:vAlign w:val="center"/>
          </w:tcPr>
          <w:p w14:paraId="69086EFF" w14:textId="31079398" w:rsidR="00F26F30" w:rsidRPr="00F26F30" w:rsidRDefault="00F26F30" w:rsidP="00F26F30">
            <w:pPr>
              <w:pStyle w:val="Tableheaderrow"/>
              <w:keepNext/>
              <w:keepLines/>
              <w:rPr>
                <w:b w:val="0"/>
                <w:bCs/>
                <w:color w:val="FFFFFF" w:themeColor="background1"/>
              </w:rPr>
            </w:pPr>
            <w:r w:rsidRPr="00F26F30">
              <w:rPr>
                <w:b w:val="0"/>
                <w:bCs/>
              </w:rPr>
              <w:t>2200–2550</w:t>
            </w:r>
          </w:p>
        </w:tc>
        <w:tc>
          <w:tcPr>
            <w:tcW w:w="1105" w:type="dxa"/>
            <w:vAlign w:val="center"/>
          </w:tcPr>
          <w:p w14:paraId="0397243A" w14:textId="0188B9D8" w:rsidR="00F26F30" w:rsidRPr="00F26F30" w:rsidRDefault="00F26F30" w:rsidP="00F26F30">
            <w:pPr>
              <w:pStyle w:val="Tableheaderrow"/>
              <w:keepNext/>
              <w:keepLines/>
              <w:rPr>
                <w:b w:val="0"/>
                <w:bCs/>
                <w:color w:val="FFFFFF" w:themeColor="background1"/>
              </w:rPr>
            </w:pPr>
            <w:r w:rsidRPr="00F26F30">
              <w:rPr>
                <w:b w:val="0"/>
                <w:bCs/>
              </w:rPr>
              <w:t>–237</w:t>
            </w:r>
          </w:p>
        </w:tc>
        <w:tc>
          <w:tcPr>
            <w:tcW w:w="1106" w:type="dxa"/>
            <w:vAlign w:val="center"/>
          </w:tcPr>
          <w:p w14:paraId="585574A6" w14:textId="57F8D898" w:rsidR="00F26F30" w:rsidRPr="00F26F30" w:rsidRDefault="00F26F30" w:rsidP="00F26F30">
            <w:pPr>
              <w:pStyle w:val="Tableheaderrow"/>
              <w:keepNext/>
              <w:keepLines/>
              <w:rPr>
                <w:b w:val="0"/>
                <w:bCs/>
                <w:color w:val="FFFFFF" w:themeColor="background1"/>
              </w:rPr>
            </w:pPr>
            <w:r w:rsidRPr="00F26F30">
              <w:rPr>
                <w:b w:val="0"/>
                <w:bCs/>
              </w:rPr>
              <w:t>–232</w:t>
            </w:r>
          </w:p>
        </w:tc>
        <w:tc>
          <w:tcPr>
            <w:tcW w:w="1106" w:type="dxa"/>
            <w:vAlign w:val="center"/>
          </w:tcPr>
          <w:p w14:paraId="6168EB41" w14:textId="33ABDB84" w:rsidR="00F26F30" w:rsidRPr="00F26F30" w:rsidRDefault="00F26F30" w:rsidP="00F26F30">
            <w:pPr>
              <w:pStyle w:val="Tableheaderrow"/>
              <w:keepNext/>
              <w:keepLines/>
              <w:rPr>
                <w:b w:val="0"/>
                <w:bCs/>
                <w:color w:val="FFFFFF" w:themeColor="background1"/>
              </w:rPr>
            </w:pPr>
            <w:r w:rsidRPr="00F26F30">
              <w:rPr>
                <w:b w:val="0"/>
                <w:bCs/>
              </w:rPr>
              <w:t>–204</w:t>
            </w:r>
          </w:p>
        </w:tc>
        <w:tc>
          <w:tcPr>
            <w:tcW w:w="1106" w:type="dxa"/>
            <w:vAlign w:val="center"/>
          </w:tcPr>
          <w:p w14:paraId="11160C7C" w14:textId="26922D06" w:rsidR="00F26F30" w:rsidRPr="00F26F30" w:rsidRDefault="00F26F30" w:rsidP="00F26F30">
            <w:pPr>
              <w:pStyle w:val="Tableheaderrow"/>
              <w:keepNext/>
              <w:keepLines/>
              <w:rPr>
                <w:b w:val="0"/>
                <w:bCs/>
                <w:color w:val="FFFFFF" w:themeColor="background1"/>
              </w:rPr>
            </w:pPr>
            <w:r w:rsidRPr="00F26F30">
              <w:rPr>
                <w:b w:val="0"/>
                <w:bCs/>
              </w:rPr>
              <w:t>–204</w:t>
            </w:r>
          </w:p>
        </w:tc>
        <w:tc>
          <w:tcPr>
            <w:tcW w:w="1106" w:type="dxa"/>
            <w:vAlign w:val="center"/>
          </w:tcPr>
          <w:p w14:paraId="15E9ABCB" w14:textId="3D96A880" w:rsidR="00F26F30" w:rsidRPr="00F26F30" w:rsidRDefault="00F26F30" w:rsidP="00F26F30">
            <w:pPr>
              <w:pStyle w:val="Tableheaderrow"/>
              <w:keepNext/>
              <w:keepLines/>
              <w:rPr>
                <w:b w:val="0"/>
                <w:bCs/>
                <w:color w:val="FFFFFF" w:themeColor="background1"/>
              </w:rPr>
            </w:pPr>
            <w:r w:rsidRPr="00F26F30">
              <w:rPr>
                <w:b w:val="0"/>
                <w:bCs/>
              </w:rPr>
              <w:t>–204</w:t>
            </w:r>
          </w:p>
        </w:tc>
        <w:tc>
          <w:tcPr>
            <w:tcW w:w="1275" w:type="dxa"/>
            <w:vAlign w:val="center"/>
          </w:tcPr>
          <w:p w14:paraId="40704DCF" w14:textId="25A03B5F" w:rsidR="00F26F30" w:rsidRPr="00F26F30" w:rsidRDefault="00F26F30" w:rsidP="00F26F30">
            <w:pPr>
              <w:pStyle w:val="Tableheaderrow"/>
              <w:keepNext/>
              <w:keepLines/>
              <w:rPr>
                <w:b w:val="0"/>
                <w:bCs/>
              </w:rPr>
            </w:pPr>
            <w:r w:rsidRPr="00F26F30">
              <w:rPr>
                <w:b w:val="0"/>
                <w:bCs/>
              </w:rPr>
              <w:t>–204</w:t>
            </w:r>
          </w:p>
        </w:tc>
      </w:tr>
      <w:tr w:rsidR="00F26F30" w:rsidRPr="00A17B1B" w14:paraId="2BEFA416" w14:textId="77777777" w:rsidTr="00E51C6C">
        <w:trPr>
          <w:cnfStyle w:val="000000010000" w:firstRow="0" w:lastRow="0" w:firstColumn="0" w:lastColumn="0" w:oddVBand="0" w:evenVBand="0" w:oddHBand="0" w:evenHBand="1" w:firstRowFirstColumn="0" w:firstRowLastColumn="0" w:lastRowFirstColumn="0" w:lastRowLastColumn="0"/>
          <w:trHeight w:val="15"/>
        </w:trPr>
        <w:tc>
          <w:tcPr>
            <w:tcW w:w="1696" w:type="dxa"/>
            <w:vAlign w:val="center"/>
          </w:tcPr>
          <w:p w14:paraId="6EA285E2" w14:textId="53480E3D" w:rsidR="00F26F30" w:rsidRPr="00F26F30" w:rsidRDefault="00F26F30" w:rsidP="00F26F30">
            <w:pPr>
              <w:pStyle w:val="Tableheaderrow"/>
              <w:keepNext/>
              <w:keepLines/>
              <w:rPr>
                <w:b w:val="0"/>
                <w:bCs/>
                <w:color w:val="FFFFFF" w:themeColor="background1"/>
              </w:rPr>
            </w:pPr>
            <w:r w:rsidRPr="00F26F30">
              <w:rPr>
                <w:b w:val="0"/>
                <w:bCs/>
              </w:rPr>
              <w:t>4350–6700</w:t>
            </w:r>
          </w:p>
        </w:tc>
        <w:tc>
          <w:tcPr>
            <w:tcW w:w="1105" w:type="dxa"/>
            <w:vAlign w:val="center"/>
          </w:tcPr>
          <w:p w14:paraId="6BF724E3" w14:textId="3F9E1F0A" w:rsidR="00F26F30" w:rsidRPr="00F26F30" w:rsidRDefault="00F26F30" w:rsidP="00F26F30">
            <w:pPr>
              <w:pStyle w:val="Tableheaderrow"/>
              <w:keepNext/>
              <w:keepLines/>
              <w:rPr>
                <w:b w:val="0"/>
                <w:bCs/>
                <w:color w:val="FFFFFF" w:themeColor="background1"/>
              </w:rPr>
            </w:pPr>
            <w:r w:rsidRPr="00F26F30">
              <w:rPr>
                <w:b w:val="0"/>
                <w:bCs/>
              </w:rPr>
              <w:t>–237</w:t>
            </w:r>
          </w:p>
        </w:tc>
        <w:tc>
          <w:tcPr>
            <w:tcW w:w="1106" w:type="dxa"/>
            <w:vAlign w:val="center"/>
          </w:tcPr>
          <w:p w14:paraId="034F06FD" w14:textId="62AB7315" w:rsidR="00F26F30" w:rsidRPr="00F26F30" w:rsidRDefault="00F26F30" w:rsidP="00F26F30">
            <w:pPr>
              <w:pStyle w:val="Tableheaderrow"/>
              <w:keepNext/>
              <w:keepLines/>
              <w:rPr>
                <w:b w:val="0"/>
                <w:bCs/>
                <w:color w:val="FFFFFF" w:themeColor="background1"/>
              </w:rPr>
            </w:pPr>
            <w:r w:rsidRPr="00F26F30">
              <w:rPr>
                <w:b w:val="0"/>
                <w:bCs/>
              </w:rPr>
              <w:t>–232</w:t>
            </w:r>
          </w:p>
        </w:tc>
        <w:tc>
          <w:tcPr>
            <w:tcW w:w="1106" w:type="dxa"/>
            <w:vAlign w:val="center"/>
          </w:tcPr>
          <w:p w14:paraId="09CBC864" w14:textId="2C9135A2" w:rsidR="00F26F30" w:rsidRPr="00F26F30" w:rsidRDefault="00F26F30" w:rsidP="00F26F30">
            <w:pPr>
              <w:pStyle w:val="Tableheaderrow"/>
              <w:keepNext/>
              <w:keepLines/>
              <w:rPr>
                <w:b w:val="0"/>
                <w:bCs/>
                <w:color w:val="FFFFFF" w:themeColor="background1"/>
              </w:rPr>
            </w:pPr>
            <w:r w:rsidRPr="00F26F30">
              <w:rPr>
                <w:b w:val="0"/>
                <w:bCs/>
              </w:rPr>
              <w:t>–204</w:t>
            </w:r>
          </w:p>
        </w:tc>
        <w:tc>
          <w:tcPr>
            <w:tcW w:w="1106" w:type="dxa"/>
            <w:vAlign w:val="center"/>
          </w:tcPr>
          <w:p w14:paraId="69D36BCF" w14:textId="35F806F3" w:rsidR="00F26F30" w:rsidRPr="00F26F30" w:rsidRDefault="00F26F30" w:rsidP="00F26F30">
            <w:pPr>
              <w:pStyle w:val="Tableheaderrow"/>
              <w:keepNext/>
              <w:keepLines/>
              <w:rPr>
                <w:b w:val="0"/>
                <w:bCs/>
                <w:color w:val="FFFFFF" w:themeColor="background1"/>
              </w:rPr>
            </w:pPr>
            <w:r w:rsidRPr="00F26F30">
              <w:rPr>
                <w:b w:val="0"/>
                <w:bCs/>
              </w:rPr>
              <w:t>–204</w:t>
            </w:r>
          </w:p>
        </w:tc>
        <w:tc>
          <w:tcPr>
            <w:tcW w:w="1106" w:type="dxa"/>
            <w:vAlign w:val="center"/>
          </w:tcPr>
          <w:p w14:paraId="6EDBDFF8" w14:textId="41C3DFDF" w:rsidR="00F26F30" w:rsidRPr="00F26F30" w:rsidRDefault="00F26F30" w:rsidP="00F26F30">
            <w:pPr>
              <w:pStyle w:val="Tableheaderrow"/>
              <w:keepNext/>
              <w:keepLines/>
              <w:rPr>
                <w:b w:val="0"/>
                <w:bCs/>
                <w:color w:val="FFFFFF" w:themeColor="background1"/>
              </w:rPr>
            </w:pPr>
            <w:r w:rsidRPr="00F26F30">
              <w:rPr>
                <w:b w:val="0"/>
                <w:bCs/>
              </w:rPr>
              <w:t>–204</w:t>
            </w:r>
          </w:p>
        </w:tc>
        <w:tc>
          <w:tcPr>
            <w:tcW w:w="1275" w:type="dxa"/>
            <w:vAlign w:val="center"/>
          </w:tcPr>
          <w:p w14:paraId="042C20B6" w14:textId="7AC30DDF" w:rsidR="00F26F30" w:rsidRPr="00F26F30" w:rsidRDefault="00F26F30" w:rsidP="00F26F30">
            <w:pPr>
              <w:pStyle w:val="Tableheaderrow"/>
              <w:keepNext/>
              <w:keepLines/>
              <w:rPr>
                <w:b w:val="0"/>
                <w:bCs/>
              </w:rPr>
            </w:pPr>
            <w:r w:rsidRPr="00F26F30">
              <w:rPr>
                <w:b w:val="0"/>
                <w:bCs/>
              </w:rPr>
              <w:t>–204</w:t>
            </w:r>
          </w:p>
        </w:tc>
      </w:tr>
      <w:tr w:rsidR="00F26F30" w:rsidRPr="00A17B1B" w14:paraId="59F848B6" w14:textId="77777777" w:rsidTr="00E51C6C">
        <w:trPr>
          <w:cnfStyle w:val="000000100000" w:firstRow="0" w:lastRow="0" w:firstColumn="0" w:lastColumn="0" w:oddVBand="0" w:evenVBand="0" w:oddHBand="1" w:evenHBand="0" w:firstRowFirstColumn="0" w:firstRowLastColumn="0" w:lastRowFirstColumn="0" w:lastRowLastColumn="0"/>
          <w:trHeight w:val="15"/>
        </w:trPr>
        <w:tc>
          <w:tcPr>
            <w:tcW w:w="1696" w:type="dxa"/>
            <w:vAlign w:val="center"/>
          </w:tcPr>
          <w:p w14:paraId="23769BC9" w14:textId="7219EBC3" w:rsidR="00F26F30" w:rsidRPr="00F26F30" w:rsidRDefault="00F26F30" w:rsidP="00F26F30">
            <w:pPr>
              <w:pStyle w:val="Tableheaderrow"/>
              <w:keepNext/>
              <w:keepLines/>
              <w:rPr>
                <w:b w:val="0"/>
                <w:bCs/>
                <w:color w:val="FFFFFF" w:themeColor="background1"/>
              </w:rPr>
            </w:pPr>
            <w:r w:rsidRPr="00F26F30">
              <w:rPr>
                <w:b w:val="0"/>
                <w:bCs/>
              </w:rPr>
              <w:t>8000–9200</w:t>
            </w:r>
          </w:p>
        </w:tc>
        <w:tc>
          <w:tcPr>
            <w:tcW w:w="1105" w:type="dxa"/>
            <w:vAlign w:val="center"/>
          </w:tcPr>
          <w:p w14:paraId="184345EA" w14:textId="4915EDF3" w:rsidR="00F26F30" w:rsidRPr="00F26F30" w:rsidRDefault="00F26F30" w:rsidP="00F26F30">
            <w:pPr>
              <w:pStyle w:val="Tableheaderrow"/>
              <w:keepNext/>
              <w:keepLines/>
              <w:rPr>
                <w:b w:val="0"/>
                <w:bCs/>
                <w:color w:val="FFFFFF" w:themeColor="background1"/>
              </w:rPr>
            </w:pPr>
            <w:r w:rsidRPr="00F26F30">
              <w:rPr>
                <w:b w:val="0"/>
                <w:bCs/>
              </w:rPr>
              <w:t>–240</w:t>
            </w:r>
          </w:p>
        </w:tc>
        <w:tc>
          <w:tcPr>
            <w:tcW w:w="1106" w:type="dxa"/>
            <w:vAlign w:val="center"/>
          </w:tcPr>
          <w:p w14:paraId="67DDD7F4" w14:textId="336FA05A" w:rsidR="00F26F30" w:rsidRPr="00F26F30" w:rsidRDefault="00F26F30" w:rsidP="00F26F30">
            <w:pPr>
              <w:pStyle w:val="Tableheaderrow"/>
              <w:keepNext/>
              <w:keepLines/>
              <w:rPr>
                <w:b w:val="0"/>
                <w:bCs/>
                <w:color w:val="FFFFFF" w:themeColor="background1"/>
              </w:rPr>
            </w:pPr>
            <w:r w:rsidRPr="00F26F30">
              <w:rPr>
                <w:b w:val="0"/>
                <w:bCs/>
              </w:rPr>
              <w:t>–235</w:t>
            </w:r>
          </w:p>
        </w:tc>
        <w:tc>
          <w:tcPr>
            <w:tcW w:w="1106" w:type="dxa"/>
            <w:vAlign w:val="center"/>
          </w:tcPr>
          <w:p w14:paraId="44B2A373" w14:textId="087794BB" w:rsidR="00F26F30" w:rsidRPr="00F26F30" w:rsidRDefault="00F26F30" w:rsidP="00F26F30">
            <w:pPr>
              <w:pStyle w:val="Tableheaderrow"/>
              <w:keepNext/>
              <w:keepLines/>
              <w:rPr>
                <w:b w:val="0"/>
                <w:bCs/>
                <w:color w:val="FFFFFF" w:themeColor="background1"/>
              </w:rPr>
            </w:pPr>
            <w:r w:rsidRPr="00F26F30">
              <w:rPr>
                <w:b w:val="0"/>
                <w:bCs/>
              </w:rPr>
              <w:t>–204</w:t>
            </w:r>
          </w:p>
        </w:tc>
        <w:tc>
          <w:tcPr>
            <w:tcW w:w="1106" w:type="dxa"/>
            <w:vAlign w:val="center"/>
          </w:tcPr>
          <w:p w14:paraId="14355DA1" w14:textId="5CFB2888" w:rsidR="00F26F30" w:rsidRPr="00F26F30" w:rsidRDefault="00F26F30" w:rsidP="00F26F30">
            <w:pPr>
              <w:pStyle w:val="Tableheaderrow"/>
              <w:keepNext/>
              <w:keepLines/>
              <w:rPr>
                <w:b w:val="0"/>
                <w:bCs/>
                <w:color w:val="FFFFFF" w:themeColor="background1"/>
              </w:rPr>
            </w:pPr>
            <w:r w:rsidRPr="00F26F30">
              <w:rPr>
                <w:b w:val="0"/>
                <w:bCs/>
              </w:rPr>
              <w:t>–204</w:t>
            </w:r>
          </w:p>
        </w:tc>
        <w:tc>
          <w:tcPr>
            <w:tcW w:w="1106" w:type="dxa"/>
            <w:vAlign w:val="center"/>
          </w:tcPr>
          <w:p w14:paraId="5E559DB6" w14:textId="2EB5AABE" w:rsidR="00F26F30" w:rsidRPr="00F26F30" w:rsidRDefault="00F26F30" w:rsidP="00F26F30">
            <w:pPr>
              <w:pStyle w:val="Tableheaderrow"/>
              <w:keepNext/>
              <w:keepLines/>
              <w:rPr>
                <w:b w:val="0"/>
                <w:bCs/>
                <w:color w:val="FFFFFF" w:themeColor="background1"/>
              </w:rPr>
            </w:pPr>
            <w:r w:rsidRPr="00F26F30">
              <w:rPr>
                <w:b w:val="0"/>
                <w:bCs/>
              </w:rPr>
              <w:t>–204</w:t>
            </w:r>
          </w:p>
        </w:tc>
        <w:tc>
          <w:tcPr>
            <w:tcW w:w="1275" w:type="dxa"/>
            <w:vAlign w:val="center"/>
          </w:tcPr>
          <w:p w14:paraId="1590401D" w14:textId="3D16AD3C" w:rsidR="00F26F30" w:rsidRPr="00F26F30" w:rsidRDefault="00F26F30" w:rsidP="00F26F30">
            <w:pPr>
              <w:pStyle w:val="Tableheaderrow"/>
              <w:keepNext/>
              <w:keepLines/>
              <w:rPr>
                <w:b w:val="0"/>
                <w:bCs/>
              </w:rPr>
            </w:pPr>
            <w:r w:rsidRPr="00F26F30">
              <w:rPr>
                <w:b w:val="0"/>
                <w:bCs/>
              </w:rPr>
              <w:t>–204</w:t>
            </w:r>
          </w:p>
        </w:tc>
      </w:tr>
      <w:tr w:rsidR="00F26F30" w:rsidRPr="00A17B1B" w14:paraId="1D6B7B28" w14:textId="77777777" w:rsidTr="00E51C6C">
        <w:trPr>
          <w:cnfStyle w:val="000000010000" w:firstRow="0" w:lastRow="0" w:firstColumn="0" w:lastColumn="0" w:oddVBand="0" w:evenVBand="0" w:oddHBand="0" w:evenHBand="1" w:firstRowFirstColumn="0" w:firstRowLastColumn="0" w:lastRowFirstColumn="0" w:lastRowLastColumn="0"/>
          <w:trHeight w:val="15"/>
        </w:trPr>
        <w:tc>
          <w:tcPr>
            <w:tcW w:w="1696" w:type="dxa"/>
            <w:vAlign w:val="center"/>
          </w:tcPr>
          <w:p w14:paraId="250A6674" w14:textId="74159675" w:rsidR="00F26F30" w:rsidRPr="00F26F30" w:rsidRDefault="00F26F30" w:rsidP="00F26F30">
            <w:pPr>
              <w:pStyle w:val="Tableheaderrow"/>
              <w:keepNext/>
              <w:keepLines/>
              <w:rPr>
                <w:b w:val="0"/>
                <w:bCs/>
                <w:color w:val="FFFFFF" w:themeColor="background1"/>
              </w:rPr>
            </w:pPr>
            <w:r w:rsidRPr="00F26F30">
              <w:rPr>
                <w:b w:val="0"/>
                <w:bCs/>
              </w:rPr>
              <w:t>16000–26000</w:t>
            </w:r>
          </w:p>
        </w:tc>
        <w:tc>
          <w:tcPr>
            <w:tcW w:w="1105" w:type="dxa"/>
            <w:vAlign w:val="center"/>
          </w:tcPr>
          <w:p w14:paraId="1B093F0B" w14:textId="7B5128CF" w:rsidR="00F26F30" w:rsidRPr="00F26F30" w:rsidRDefault="00F26F30" w:rsidP="00F26F30">
            <w:pPr>
              <w:pStyle w:val="Tableheaderrow"/>
              <w:keepNext/>
              <w:keepLines/>
              <w:rPr>
                <w:b w:val="0"/>
                <w:bCs/>
                <w:color w:val="FFFFFF" w:themeColor="background1"/>
              </w:rPr>
            </w:pPr>
            <w:r w:rsidRPr="00F26F30">
              <w:rPr>
                <w:b w:val="0"/>
                <w:bCs/>
              </w:rPr>
              <w:t>–241</w:t>
            </w:r>
          </w:p>
        </w:tc>
        <w:tc>
          <w:tcPr>
            <w:tcW w:w="1106" w:type="dxa"/>
            <w:vAlign w:val="center"/>
          </w:tcPr>
          <w:p w14:paraId="4CC446BD" w14:textId="178E8060" w:rsidR="00F26F30" w:rsidRPr="00F26F30" w:rsidRDefault="00F26F30" w:rsidP="00F26F30">
            <w:pPr>
              <w:pStyle w:val="Tableheaderrow"/>
              <w:keepNext/>
              <w:keepLines/>
              <w:rPr>
                <w:b w:val="0"/>
                <w:bCs/>
                <w:color w:val="FFFFFF" w:themeColor="background1"/>
              </w:rPr>
            </w:pPr>
            <w:r w:rsidRPr="00F26F30">
              <w:rPr>
                <w:b w:val="0"/>
                <w:bCs/>
              </w:rPr>
              <w:t>–236</w:t>
            </w:r>
          </w:p>
        </w:tc>
        <w:tc>
          <w:tcPr>
            <w:tcW w:w="1106" w:type="dxa"/>
            <w:vAlign w:val="center"/>
          </w:tcPr>
          <w:p w14:paraId="20DA8DEA" w14:textId="2E7AB6A4" w:rsidR="00F26F30" w:rsidRPr="00F26F30" w:rsidRDefault="00F26F30" w:rsidP="00F26F30">
            <w:pPr>
              <w:pStyle w:val="Tableheaderrow"/>
              <w:keepNext/>
              <w:keepLines/>
              <w:rPr>
                <w:b w:val="0"/>
                <w:bCs/>
                <w:color w:val="FFFFFF" w:themeColor="background1"/>
              </w:rPr>
            </w:pPr>
            <w:r w:rsidRPr="00F26F30">
              <w:rPr>
                <w:b w:val="0"/>
                <w:bCs/>
              </w:rPr>
              <w:t>–200</w:t>
            </w:r>
          </w:p>
        </w:tc>
        <w:tc>
          <w:tcPr>
            <w:tcW w:w="1106" w:type="dxa"/>
            <w:vAlign w:val="center"/>
          </w:tcPr>
          <w:p w14:paraId="7B8307E5" w14:textId="66441D6C" w:rsidR="00F26F30" w:rsidRPr="00F26F30" w:rsidRDefault="00F26F30" w:rsidP="00F26F30">
            <w:pPr>
              <w:pStyle w:val="Tableheaderrow"/>
              <w:keepNext/>
              <w:keepLines/>
              <w:rPr>
                <w:b w:val="0"/>
                <w:bCs/>
                <w:color w:val="FFFFFF" w:themeColor="background1"/>
              </w:rPr>
            </w:pPr>
            <w:r w:rsidRPr="00F26F30">
              <w:rPr>
                <w:b w:val="0"/>
                <w:bCs/>
              </w:rPr>
              <w:t>–200</w:t>
            </w:r>
          </w:p>
        </w:tc>
        <w:tc>
          <w:tcPr>
            <w:tcW w:w="1106" w:type="dxa"/>
            <w:vAlign w:val="center"/>
          </w:tcPr>
          <w:p w14:paraId="6CD2DDBD" w14:textId="7D0C269B" w:rsidR="00F26F30" w:rsidRPr="00F26F30" w:rsidRDefault="00F26F30" w:rsidP="00F26F30">
            <w:pPr>
              <w:pStyle w:val="Tableheaderrow"/>
              <w:keepNext/>
              <w:keepLines/>
              <w:rPr>
                <w:b w:val="0"/>
                <w:bCs/>
                <w:color w:val="FFFFFF" w:themeColor="background1"/>
              </w:rPr>
            </w:pPr>
            <w:r w:rsidRPr="00F26F30">
              <w:rPr>
                <w:b w:val="0"/>
                <w:bCs/>
              </w:rPr>
              <w:t>–200</w:t>
            </w:r>
          </w:p>
        </w:tc>
        <w:tc>
          <w:tcPr>
            <w:tcW w:w="1275" w:type="dxa"/>
            <w:vAlign w:val="center"/>
          </w:tcPr>
          <w:p w14:paraId="70919E1C" w14:textId="54F6C3F2" w:rsidR="00F26F30" w:rsidRPr="00F26F30" w:rsidRDefault="00F26F30" w:rsidP="00F26F30">
            <w:pPr>
              <w:pStyle w:val="Tableheaderrow"/>
              <w:keepNext/>
              <w:keepLines/>
              <w:rPr>
                <w:b w:val="0"/>
                <w:bCs/>
              </w:rPr>
            </w:pPr>
            <w:r w:rsidRPr="00F26F30">
              <w:rPr>
                <w:b w:val="0"/>
                <w:bCs/>
              </w:rPr>
              <w:t>–200</w:t>
            </w:r>
          </w:p>
        </w:tc>
      </w:tr>
      <w:tr w:rsidR="00F26F30" w:rsidRPr="00A17B1B" w14:paraId="081D5825" w14:textId="77777777" w:rsidTr="00E51C6C">
        <w:trPr>
          <w:cnfStyle w:val="000000100000" w:firstRow="0" w:lastRow="0" w:firstColumn="0" w:lastColumn="0" w:oddVBand="0" w:evenVBand="0" w:oddHBand="1" w:evenHBand="0" w:firstRowFirstColumn="0" w:firstRowLastColumn="0" w:lastRowFirstColumn="0" w:lastRowLastColumn="0"/>
          <w:trHeight w:val="15"/>
        </w:trPr>
        <w:tc>
          <w:tcPr>
            <w:tcW w:w="1696" w:type="dxa"/>
            <w:vAlign w:val="center"/>
          </w:tcPr>
          <w:p w14:paraId="3F605F0F" w14:textId="2672C862" w:rsidR="00F26F30" w:rsidRPr="00F26F30" w:rsidRDefault="00F26F30" w:rsidP="00F26F30">
            <w:pPr>
              <w:pStyle w:val="Tableheaderrow"/>
              <w:keepNext/>
              <w:keepLines/>
              <w:rPr>
                <w:b w:val="0"/>
                <w:bCs/>
                <w:color w:val="FFFFFF" w:themeColor="background1"/>
              </w:rPr>
            </w:pPr>
            <w:r w:rsidRPr="00F26F30">
              <w:rPr>
                <w:b w:val="0"/>
                <w:bCs/>
              </w:rPr>
              <w:t>71000–76000</w:t>
            </w:r>
          </w:p>
        </w:tc>
        <w:tc>
          <w:tcPr>
            <w:tcW w:w="1105" w:type="dxa"/>
            <w:vAlign w:val="center"/>
          </w:tcPr>
          <w:p w14:paraId="6F2B9EC2" w14:textId="2D2AD108" w:rsidR="00F26F30" w:rsidRPr="00F26F30" w:rsidRDefault="00F26F30" w:rsidP="00F26F30">
            <w:pPr>
              <w:pStyle w:val="Tableheaderrow"/>
              <w:keepNext/>
              <w:keepLines/>
              <w:rPr>
                <w:b w:val="0"/>
                <w:bCs/>
                <w:color w:val="FFFFFF" w:themeColor="background1"/>
              </w:rPr>
            </w:pPr>
            <w:r w:rsidRPr="00F26F30">
              <w:rPr>
                <w:b w:val="0"/>
                <w:bCs/>
              </w:rPr>
              <w:t>N/A</w:t>
            </w:r>
          </w:p>
        </w:tc>
        <w:tc>
          <w:tcPr>
            <w:tcW w:w="1106" w:type="dxa"/>
            <w:vAlign w:val="center"/>
          </w:tcPr>
          <w:p w14:paraId="77767049" w14:textId="0305F375" w:rsidR="00F26F30" w:rsidRPr="00F26F30" w:rsidRDefault="00F26F30" w:rsidP="00F26F30">
            <w:pPr>
              <w:pStyle w:val="Tableheaderrow"/>
              <w:keepNext/>
              <w:keepLines/>
              <w:rPr>
                <w:b w:val="0"/>
                <w:bCs/>
                <w:color w:val="FFFFFF" w:themeColor="background1"/>
              </w:rPr>
            </w:pPr>
            <w:r w:rsidRPr="00F26F30">
              <w:rPr>
                <w:b w:val="0"/>
                <w:bCs/>
              </w:rPr>
              <w:t>–243</w:t>
            </w:r>
          </w:p>
        </w:tc>
        <w:tc>
          <w:tcPr>
            <w:tcW w:w="1106" w:type="dxa"/>
            <w:vAlign w:val="center"/>
          </w:tcPr>
          <w:p w14:paraId="15BE8B72" w14:textId="013F5D2B" w:rsidR="00F26F30" w:rsidRPr="00F26F30" w:rsidRDefault="00F26F30" w:rsidP="00F26F30">
            <w:pPr>
              <w:pStyle w:val="Tableheaderrow"/>
              <w:keepNext/>
              <w:keepLines/>
              <w:rPr>
                <w:b w:val="0"/>
                <w:bCs/>
                <w:color w:val="FFFFFF" w:themeColor="background1"/>
              </w:rPr>
            </w:pPr>
            <w:r w:rsidRPr="00F26F30">
              <w:rPr>
                <w:b w:val="0"/>
                <w:bCs/>
              </w:rPr>
              <w:t>–243</w:t>
            </w:r>
          </w:p>
        </w:tc>
        <w:tc>
          <w:tcPr>
            <w:tcW w:w="1106" w:type="dxa"/>
            <w:vAlign w:val="center"/>
          </w:tcPr>
          <w:p w14:paraId="49F84FAF" w14:textId="6AC72AF7" w:rsidR="00F26F30" w:rsidRPr="00F26F30" w:rsidRDefault="00F26F30" w:rsidP="00F26F30">
            <w:pPr>
              <w:pStyle w:val="Tableheaderrow"/>
              <w:keepNext/>
              <w:keepLines/>
              <w:rPr>
                <w:b w:val="0"/>
                <w:bCs/>
                <w:color w:val="FFFFFF" w:themeColor="background1"/>
              </w:rPr>
            </w:pPr>
            <w:r w:rsidRPr="00F26F30">
              <w:rPr>
                <w:b w:val="0"/>
                <w:bCs/>
              </w:rPr>
              <w:t>N/A</w:t>
            </w:r>
          </w:p>
        </w:tc>
        <w:tc>
          <w:tcPr>
            <w:tcW w:w="1106" w:type="dxa"/>
            <w:vAlign w:val="center"/>
          </w:tcPr>
          <w:p w14:paraId="5615BA0D" w14:textId="1B8C5D7A" w:rsidR="00F26F30" w:rsidRPr="00F26F30" w:rsidRDefault="00F26F30" w:rsidP="00F26F30">
            <w:pPr>
              <w:pStyle w:val="Tableheaderrow"/>
              <w:keepNext/>
              <w:keepLines/>
              <w:rPr>
                <w:b w:val="0"/>
                <w:bCs/>
                <w:color w:val="FFFFFF" w:themeColor="background1"/>
              </w:rPr>
            </w:pPr>
            <w:r w:rsidRPr="00F26F30">
              <w:rPr>
                <w:b w:val="0"/>
                <w:bCs/>
              </w:rPr>
              <w:t>N/A</w:t>
            </w:r>
          </w:p>
        </w:tc>
        <w:tc>
          <w:tcPr>
            <w:tcW w:w="1275" w:type="dxa"/>
            <w:vAlign w:val="center"/>
          </w:tcPr>
          <w:p w14:paraId="1A8F5785" w14:textId="336A1956" w:rsidR="00F26F30" w:rsidRPr="00F26F30" w:rsidRDefault="00F26F30" w:rsidP="00F26F30">
            <w:pPr>
              <w:pStyle w:val="Tableheaderrow"/>
              <w:keepNext/>
              <w:keepLines/>
              <w:rPr>
                <w:b w:val="0"/>
                <w:bCs/>
              </w:rPr>
            </w:pPr>
            <w:r w:rsidRPr="00F26F30">
              <w:rPr>
                <w:b w:val="0"/>
                <w:bCs/>
              </w:rPr>
              <w:t>N/A</w:t>
            </w:r>
          </w:p>
        </w:tc>
      </w:tr>
      <w:tr w:rsidR="00F26F30" w:rsidRPr="00A17B1B" w14:paraId="16093610" w14:textId="77777777" w:rsidTr="00E51C6C">
        <w:trPr>
          <w:cnfStyle w:val="000000010000" w:firstRow="0" w:lastRow="0" w:firstColumn="0" w:lastColumn="0" w:oddVBand="0" w:evenVBand="0" w:oddHBand="0" w:evenHBand="1" w:firstRowFirstColumn="0" w:firstRowLastColumn="0" w:lastRowFirstColumn="0" w:lastRowLastColumn="0"/>
          <w:trHeight w:val="15"/>
        </w:trPr>
        <w:tc>
          <w:tcPr>
            <w:tcW w:w="1696" w:type="dxa"/>
            <w:vAlign w:val="center"/>
          </w:tcPr>
          <w:p w14:paraId="68CB3A36" w14:textId="1B1870E5" w:rsidR="00F26F30" w:rsidRPr="00F26F30" w:rsidRDefault="00F26F30" w:rsidP="00F26F30">
            <w:pPr>
              <w:pStyle w:val="Tableheaderrow"/>
              <w:keepNext/>
              <w:keepLines/>
              <w:rPr>
                <w:b w:val="0"/>
                <w:bCs/>
                <w:color w:val="FFFFFF" w:themeColor="background1"/>
              </w:rPr>
            </w:pPr>
            <w:r w:rsidRPr="00F26F30">
              <w:rPr>
                <w:b w:val="0"/>
                <w:bCs/>
              </w:rPr>
              <w:t>81000–86000</w:t>
            </w:r>
          </w:p>
        </w:tc>
        <w:tc>
          <w:tcPr>
            <w:tcW w:w="1105" w:type="dxa"/>
            <w:vAlign w:val="center"/>
          </w:tcPr>
          <w:p w14:paraId="5785215A" w14:textId="59AF7364" w:rsidR="00F26F30" w:rsidRPr="00F26F30" w:rsidRDefault="00F26F30" w:rsidP="00F26F30">
            <w:pPr>
              <w:pStyle w:val="Tableheaderrow"/>
              <w:keepNext/>
              <w:keepLines/>
              <w:rPr>
                <w:b w:val="0"/>
                <w:bCs/>
                <w:color w:val="FFFFFF" w:themeColor="background1"/>
              </w:rPr>
            </w:pPr>
            <w:r w:rsidRPr="00F26F30">
              <w:rPr>
                <w:b w:val="0"/>
                <w:bCs/>
              </w:rPr>
              <w:t>N/A</w:t>
            </w:r>
          </w:p>
        </w:tc>
        <w:tc>
          <w:tcPr>
            <w:tcW w:w="1106" w:type="dxa"/>
            <w:vAlign w:val="center"/>
          </w:tcPr>
          <w:p w14:paraId="295D5D94" w14:textId="57FDB0E0" w:rsidR="00F26F30" w:rsidRPr="00F26F30" w:rsidRDefault="00F26F30" w:rsidP="00F26F30">
            <w:pPr>
              <w:pStyle w:val="Tableheaderrow"/>
              <w:keepNext/>
              <w:keepLines/>
              <w:rPr>
                <w:b w:val="0"/>
                <w:bCs/>
                <w:color w:val="FFFFFF" w:themeColor="background1"/>
              </w:rPr>
            </w:pPr>
            <w:r w:rsidRPr="00F26F30">
              <w:rPr>
                <w:b w:val="0"/>
                <w:bCs/>
              </w:rPr>
              <w:t>–243</w:t>
            </w:r>
          </w:p>
        </w:tc>
        <w:tc>
          <w:tcPr>
            <w:tcW w:w="1106" w:type="dxa"/>
            <w:vAlign w:val="center"/>
          </w:tcPr>
          <w:p w14:paraId="7DDBAF1C" w14:textId="112F506E" w:rsidR="00F26F30" w:rsidRPr="00F26F30" w:rsidRDefault="00F26F30" w:rsidP="00F26F30">
            <w:pPr>
              <w:pStyle w:val="Tableheaderrow"/>
              <w:keepNext/>
              <w:keepLines/>
              <w:rPr>
                <w:b w:val="0"/>
                <w:bCs/>
                <w:color w:val="FFFFFF" w:themeColor="background1"/>
              </w:rPr>
            </w:pPr>
            <w:r w:rsidRPr="00F26F30">
              <w:rPr>
                <w:b w:val="0"/>
                <w:bCs/>
              </w:rPr>
              <w:t>–243</w:t>
            </w:r>
          </w:p>
        </w:tc>
        <w:tc>
          <w:tcPr>
            <w:tcW w:w="1106" w:type="dxa"/>
            <w:vAlign w:val="center"/>
          </w:tcPr>
          <w:p w14:paraId="6FD9B5C9" w14:textId="66E471FA" w:rsidR="00F26F30" w:rsidRPr="00F26F30" w:rsidRDefault="00F26F30" w:rsidP="00F26F30">
            <w:pPr>
              <w:pStyle w:val="Tableheaderrow"/>
              <w:keepNext/>
              <w:keepLines/>
              <w:rPr>
                <w:b w:val="0"/>
                <w:bCs/>
                <w:color w:val="FFFFFF" w:themeColor="background1"/>
              </w:rPr>
            </w:pPr>
            <w:r w:rsidRPr="00F26F30">
              <w:rPr>
                <w:b w:val="0"/>
                <w:bCs/>
              </w:rPr>
              <w:t>N/A</w:t>
            </w:r>
          </w:p>
        </w:tc>
        <w:tc>
          <w:tcPr>
            <w:tcW w:w="1106" w:type="dxa"/>
            <w:vAlign w:val="center"/>
          </w:tcPr>
          <w:p w14:paraId="0E1FE086" w14:textId="372A8AA2" w:rsidR="00F26F30" w:rsidRPr="00F26F30" w:rsidRDefault="00F26F30" w:rsidP="00F26F30">
            <w:pPr>
              <w:pStyle w:val="Tableheaderrow"/>
              <w:keepNext/>
              <w:keepLines/>
              <w:rPr>
                <w:b w:val="0"/>
                <w:bCs/>
                <w:color w:val="FFFFFF" w:themeColor="background1"/>
              </w:rPr>
            </w:pPr>
            <w:r w:rsidRPr="00F26F30">
              <w:rPr>
                <w:b w:val="0"/>
                <w:bCs/>
              </w:rPr>
              <w:t>N/A</w:t>
            </w:r>
          </w:p>
        </w:tc>
        <w:tc>
          <w:tcPr>
            <w:tcW w:w="1275" w:type="dxa"/>
            <w:vAlign w:val="center"/>
          </w:tcPr>
          <w:p w14:paraId="77F53BEF" w14:textId="261CEF76" w:rsidR="00F26F30" w:rsidRPr="00F26F30" w:rsidRDefault="00F26F30" w:rsidP="00F26F30">
            <w:pPr>
              <w:pStyle w:val="Tableheaderrow"/>
              <w:keepNext/>
              <w:keepLines/>
              <w:rPr>
                <w:b w:val="0"/>
                <w:bCs/>
              </w:rPr>
            </w:pPr>
            <w:r w:rsidRPr="00F26F30">
              <w:rPr>
                <w:b w:val="0"/>
                <w:bCs/>
              </w:rPr>
              <w:t>N/A</w:t>
            </w:r>
          </w:p>
        </w:tc>
      </w:tr>
    </w:tbl>
    <w:p w14:paraId="4291D40B" w14:textId="0A5B3D21" w:rsidR="00F26F30" w:rsidRPr="00F26F30" w:rsidRDefault="00F26F30" w:rsidP="00F26F30">
      <w:pPr>
        <w:rPr>
          <w:rFonts w:cstheme="minorHAnsi"/>
        </w:rPr>
      </w:pPr>
      <w:r>
        <w:t xml:space="preserve"> </w:t>
      </w:r>
    </w:p>
    <w:p w14:paraId="6F808A5A" w14:textId="77777777" w:rsidR="00F26F30" w:rsidRPr="00F26F30" w:rsidRDefault="00F26F30" w:rsidP="00F26F30">
      <w:pPr>
        <w:keepNext/>
        <w:keepLines/>
        <w:rPr>
          <w:rFonts w:cstheme="minorHAnsi"/>
        </w:rPr>
      </w:pPr>
      <w:r w:rsidRPr="00F26F30">
        <w:rPr>
          <w:rFonts w:cstheme="minorHAnsi"/>
        </w:rPr>
        <w:lastRenderedPageBreak/>
        <w:t>Transmitter power spectral density (Tx PSD) in the direction of the potentially affected radio astronomy site(s) is determined by:</w:t>
      </w:r>
    </w:p>
    <w:p w14:paraId="31488F2A" w14:textId="77777777" w:rsidR="00F26F30" w:rsidRPr="00F26F30" w:rsidRDefault="00F26F30" w:rsidP="00833DBA">
      <w:pPr>
        <w:keepNext/>
        <w:keepLines/>
        <w:jc w:val="center"/>
        <w:rPr>
          <w:rFonts w:cstheme="minorHAnsi"/>
        </w:rPr>
      </w:pPr>
      <w:r w:rsidRPr="00F26F30">
        <w:rPr>
          <w:rFonts w:cstheme="minorHAnsi"/>
        </w:rPr>
        <w:t xml:space="preserve">Tx </w:t>
      </w:r>
      <w:proofErr w:type="gramStart"/>
      <w:r w:rsidRPr="00F26F30">
        <w:rPr>
          <w:rFonts w:cstheme="minorHAnsi"/>
        </w:rPr>
        <w:t>PSD(</w:t>
      </w:r>
      <w:proofErr w:type="gramEnd"/>
      <w:r w:rsidRPr="00833DBA">
        <w:rPr>
          <w:rFonts w:cstheme="minorHAnsi"/>
          <w:vertAlign w:val="subscript"/>
        </w:rPr>
        <w:t>dBm/Hz</w:t>
      </w:r>
      <w:r w:rsidRPr="00F26F30">
        <w:rPr>
          <w:rFonts w:cstheme="minorHAnsi"/>
        </w:rPr>
        <w:t>) = Tx(dBm) – 10</w:t>
      </w:r>
      <w:proofErr w:type="gramStart"/>
      <w:r w:rsidRPr="00F26F30">
        <w:rPr>
          <w:rFonts w:cstheme="minorHAnsi"/>
        </w:rPr>
        <w:t>log(</w:t>
      </w:r>
      <w:proofErr w:type="gramEnd"/>
      <w:r w:rsidRPr="00F26F30">
        <w:rPr>
          <w:rFonts w:cstheme="minorHAnsi"/>
        </w:rPr>
        <w:t xml:space="preserve">BW(Hz)) + </w:t>
      </w:r>
      <w:proofErr w:type="gramStart"/>
      <w:r w:rsidRPr="00F26F30">
        <w:rPr>
          <w:rFonts w:cstheme="minorHAnsi"/>
        </w:rPr>
        <w:t>AG(</w:t>
      </w:r>
      <w:proofErr w:type="spellStart"/>
      <w:proofErr w:type="gramEnd"/>
      <w:r w:rsidRPr="00F26F30">
        <w:rPr>
          <w:rFonts w:cstheme="minorHAnsi"/>
        </w:rPr>
        <w:t>dBi</w:t>
      </w:r>
      <w:proofErr w:type="spellEnd"/>
      <w:r w:rsidRPr="00F26F30">
        <w:rPr>
          <w:rFonts w:cstheme="minorHAnsi"/>
        </w:rPr>
        <w:t>)</w:t>
      </w:r>
    </w:p>
    <w:p w14:paraId="47A90A76" w14:textId="77777777" w:rsidR="00F26F30" w:rsidRPr="00F26F30" w:rsidRDefault="00F26F30" w:rsidP="00F26F30">
      <w:pPr>
        <w:keepNext/>
        <w:keepLines/>
        <w:spacing w:after="0"/>
        <w:rPr>
          <w:rFonts w:cstheme="minorHAnsi"/>
        </w:rPr>
      </w:pPr>
      <w:r w:rsidRPr="00F26F30">
        <w:rPr>
          <w:rFonts w:cstheme="minorHAnsi"/>
        </w:rPr>
        <w:t>Where:</w:t>
      </w:r>
    </w:p>
    <w:p w14:paraId="3B03204B" w14:textId="7913945E" w:rsidR="00F26F30" w:rsidRPr="00F26F30" w:rsidRDefault="00F26F30" w:rsidP="00F26F30">
      <w:pPr>
        <w:spacing w:after="0"/>
        <w:rPr>
          <w:rFonts w:cstheme="minorHAnsi"/>
        </w:rPr>
      </w:pPr>
      <w:r w:rsidRPr="00F26F30">
        <w:rPr>
          <w:rFonts w:cstheme="minorHAnsi"/>
        </w:rPr>
        <w:t xml:space="preserve">Tx </w:t>
      </w:r>
      <w:proofErr w:type="gramStart"/>
      <w:r w:rsidRPr="00F26F30">
        <w:rPr>
          <w:rFonts w:cstheme="minorHAnsi"/>
        </w:rPr>
        <w:t>PSD(</w:t>
      </w:r>
      <w:proofErr w:type="gramEnd"/>
      <w:r w:rsidRPr="00833DBA">
        <w:rPr>
          <w:rFonts w:cstheme="minorHAnsi"/>
          <w:vertAlign w:val="subscript"/>
        </w:rPr>
        <w:t>dBm/Hz</w:t>
      </w:r>
      <w:r w:rsidRPr="00F26F30">
        <w:rPr>
          <w:rFonts w:cstheme="minorHAnsi"/>
        </w:rPr>
        <w:t xml:space="preserve">) = Transmitter power spectral density </w:t>
      </w:r>
    </w:p>
    <w:p w14:paraId="01FAA568" w14:textId="77777777" w:rsidR="00F26F30" w:rsidRPr="00F26F30" w:rsidRDefault="00F26F30" w:rsidP="00F26F30">
      <w:pPr>
        <w:spacing w:after="0"/>
        <w:rPr>
          <w:rFonts w:cstheme="minorHAnsi"/>
        </w:rPr>
      </w:pPr>
      <w:r w:rsidRPr="00F26F30">
        <w:rPr>
          <w:rFonts w:cstheme="minorHAnsi"/>
        </w:rPr>
        <w:t>BW = Bandwidth in Hertz</w:t>
      </w:r>
    </w:p>
    <w:p w14:paraId="07A83730" w14:textId="42FF2868" w:rsidR="00F26F30" w:rsidRPr="00F26F30" w:rsidRDefault="00F26F30" w:rsidP="00F26F30">
      <w:pPr>
        <w:spacing w:after="0"/>
        <w:rPr>
          <w:rFonts w:cstheme="minorHAnsi"/>
        </w:rPr>
      </w:pPr>
      <w:r w:rsidRPr="00F26F30">
        <w:rPr>
          <w:rFonts w:cstheme="minorHAnsi"/>
        </w:rPr>
        <w:t>AG = Antenna Gain towards RA site relative to an isotropic radiator</w:t>
      </w:r>
      <w:r w:rsidR="00833DBA">
        <w:rPr>
          <w:rFonts w:cstheme="minorHAnsi"/>
        </w:rPr>
        <w:t xml:space="preserve"> in </w:t>
      </w:r>
      <w:proofErr w:type="spellStart"/>
      <w:r w:rsidR="00833DBA">
        <w:rPr>
          <w:rFonts w:cstheme="minorHAnsi"/>
        </w:rPr>
        <w:t>dBi</w:t>
      </w:r>
      <w:proofErr w:type="spellEnd"/>
    </w:p>
    <w:p w14:paraId="5B59ECF4" w14:textId="6BEAA381" w:rsidR="00F26F30" w:rsidRPr="00F26F30" w:rsidRDefault="00833DBA" w:rsidP="00F26F30">
      <w:pPr>
        <w:spacing w:after="0"/>
        <w:rPr>
          <w:rFonts w:cstheme="minorHAnsi"/>
        </w:rPr>
      </w:pPr>
      <w:r w:rsidRPr="00833DBA">
        <w:rPr>
          <w:rFonts w:cstheme="minorHAnsi"/>
        </w:rPr>
        <w:t xml:space="preserve">Tx(dBm) </w:t>
      </w:r>
      <w:r w:rsidR="00F26F30" w:rsidRPr="00F26F30">
        <w:rPr>
          <w:rFonts w:cstheme="minorHAnsi"/>
        </w:rPr>
        <w:t>= Transmitter Power into the antenna</w:t>
      </w:r>
      <w:r>
        <w:rPr>
          <w:rFonts w:cstheme="minorHAnsi"/>
        </w:rPr>
        <w:t xml:space="preserve"> in dBm</w:t>
      </w:r>
    </w:p>
    <w:p w14:paraId="23E4262C" w14:textId="77777777" w:rsidR="00F26F30" w:rsidRPr="00F26F30" w:rsidRDefault="00F26F30" w:rsidP="00F26F30">
      <w:pPr>
        <w:rPr>
          <w:rFonts w:cstheme="minorHAnsi"/>
        </w:rPr>
      </w:pPr>
    </w:p>
    <w:p w14:paraId="6D3C879E" w14:textId="77777777" w:rsidR="00F26F30" w:rsidRDefault="00F26F30">
      <w:pPr>
        <w:spacing w:after="0" w:line="240" w:lineRule="auto"/>
        <w:rPr>
          <w:rFonts w:cstheme="minorHAnsi"/>
        </w:rPr>
      </w:pPr>
      <w:r>
        <w:rPr>
          <w:rFonts w:cstheme="minorHAnsi"/>
        </w:rPr>
        <w:br w:type="page"/>
      </w:r>
    </w:p>
    <w:p w14:paraId="029932DD" w14:textId="38FE5C59" w:rsidR="00F26F30" w:rsidRPr="00F26F30" w:rsidRDefault="00F26F30" w:rsidP="0076498D">
      <w:pPr>
        <w:pStyle w:val="Heading1"/>
        <w:numPr>
          <w:ilvl w:val="0"/>
          <w:numId w:val="0"/>
        </w:numPr>
      </w:pPr>
      <w:bookmarkStart w:id="46" w:name="_Toc206500130"/>
      <w:r w:rsidRPr="0076498D">
        <w:rPr>
          <w:szCs w:val="44"/>
        </w:rPr>
        <w:lastRenderedPageBreak/>
        <w:t xml:space="preserve">Annex 3: </w:t>
      </w:r>
      <w:r w:rsidR="0076498D" w:rsidRPr="0076498D">
        <w:rPr>
          <w:szCs w:val="44"/>
        </w:rPr>
        <w:tab/>
      </w:r>
      <w:r w:rsidRPr="0076498D">
        <w:rPr>
          <w:szCs w:val="44"/>
        </w:rPr>
        <w:t>Information Form: RALI MS31</w:t>
      </w:r>
      <w:bookmarkEnd w:id="46"/>
    </w:p>
    <w:tbl>
      <w:tblPr>
        <w:tblStyle w:val="TableGrid"/>
        <w:tblW w:w="0" w:type="auto"/>
        <w:tblLook w:val="04A0" w:firstRow="1" w:lastRow="0" w:firstColumn="1" w:lastColumn="0" w:noHBand="0" w:noVBand="1"/>
      </w:tblPr>
      <w:tblGrid>
        <w:gridCol w:w="3830"/>
        <w:gridCol w:w="3831"/>
      </w:tblGrid>
      <w:tr w:rsidR="00F26F30" w14:paraId="08511608" w14:textId="77777777">
        <w:tc>
          <w:tcPr>
            <w:tcW w:w="3830" w:type="dxa"/>
          </w:tcPr>
          <w:p w14:paraId="04FACAB0" w14:textId="5E859598" w:rsidR="00F26F30" w:rsidRDefault="00F26F30" w:rsidP="00F26F30">
            <w:pPr>
              <w:rPr>
                <w:rFonts w:cstheme="minorHAnsi"/>
              </w:rPr>
            </w:pPr>
            <w:r w:rsidRPr="00AB2BE5">
              <w:t>Name in full of assigner:</w:t>
            </w:r>
          </w:p>
        </w:tc>
        <w:tc>
          <w:tcPr>
            <w:tcW w:w="3831" w:type="dxa"/>
          </w:tcPr>
          <w:p w14:paraId="243E6262" w14:textId="77777777" w:rsidR="00F26F30" w:rsidRDefault="00F26F30" w:rsidP="00F26F30">
            <w:pPr>
              <w:rPr>
                <w:rFonts w:cstheme="minorHAnsi"/>
              </w:rPr>
            </w:pPr>
          </w:p>
        </w:tc>
      </w:tr>
      <w:tr w:rsidR="00F26F30" w14:paraId="173A2084" w14:textId="77777777">
        <w:tc>
          <w:tcPr>
            <w:tcW w:w="3830" w:type="dxa"/>
          </w:tcPr>
          <w:p w14:paraId="29C6EEE0" w14:textId="45C8E161" w:rsidR="00F26F30" w:rsidRDefault="00F26F30" w:rsidP="00F26F30">
            <w:pPr>
              <w:rPr>
                <w:rFonts w:cstheme="minorHAnsi"/>
              </w:rPr>
            </w:pPr>
            <w:r w:rsidRPr="00AB2BE5">
              <w:t>Company, employer or organisation name:</w:t>
            </w:r>
          </w:p>
        </w:tc>
        <w:tc>
          <w:tcPr>
            <w:tcW w:w="3831" w:type="dxa"/>
          </w:tcPr>
          <w:p w14:paraId="4FC6C32B" w14:textId="77777777" w:rsidR="00F26F30" w:rsidRDefault="00F26F30" w:rsidP="00F26F30">
            <w:pPr>
              <w:rPr>
                <w:rFonts w:cstheme="minorHAnsi"/>
              </w:rPr>
            </w:pPr>
          </w:p>
        </w:tc>
      </w:tr>
      <w:tr w:rsidR="00F26F30" w14:paraId="4EBDF2A2" w14:textId="77777777">
        <w:tc>
          <w:tcPr>
            <w:tcW w:w="3830" w:type="dxa"/>
          </w:tcPr>
          <w:p w14:paraId="2BFE1DE7" w14:textId="467B1510" w:rsidR="00F26F30" w:rsidRDefault="00F26F30" w:rsidP="00F26F30">
            <w:pPr>
              <w:rPr>
                <w:rFonts w:cstheme="minorHAnsi"/>
              </w:rPr>
            </w:pPr>
            <w:r w:rsidRPr="00AB2BE5">
              <w:t xml:space="preserve">Address: </w:t>
            </w:r>
          </w:p>
        </w:tc>
        <w:tc>
          <w:tcPr>
            <w:tcW w:w="3831" w:type="dxa"/>
          </w:tcPr>
          <w:p w14:paraId="4ECDF85D" w14:textId="77777777" w:rsidR="00F26F30" w:rsidRDefault="00F26F30" w:rsidP="00F26F30">
            <w:pPr>
              <w:rPr>
                <w:rFonts w:cstheme="minorHAnsi"/>
              </w:rPr>
            </w:pPr>
          </w:p>
        </w:tc>
      </w:tr>
      <w:tr w:rsidR="00F26F30" w14:paraId="1BB2C1C1" w14:textId="77777777">
        <w:tc>
          <w:tcPr>
            <w:tcW w:w="3830" w:type="dxa"/>
          </w:tcPr>
          <w:p w14:paraId="68120B70" w14:textId="7AE3E3F2" w:rsidR="00F26F30" w:rsidRDefault="00F26F30" w:rsidP="00F26F30">
            <w:pPr>
              <w:rPr>
                <w:rFonts w:cstheme="minorHAnsi"/>
              </w:rPr>
            </w:pPr>
            <w:r w:rsidRPr="00AB2BE5">
              <w:t>Telephone number:</w:t>
            </w:r>
          </w:p>
        </w:tc>
        <w:tc>
          <w:tcPr>
            <w:tcW w:w="3831" w:type="dxa"/>
          </w:tcPr>
          <w:p w14:paraId="174DB8AF" w14:textId="77777777" w:rsidR="00F26F30" w:rsidRDefault="00F26F30" w:rsidP="00F26F30">
            <w:pPr>
              <w:rPr>
                <w:rFonts w:cstheme="minorHAnsi"/>
              </w:rPr>
            </w:pPr>
          </w:p>
        </w:tc>
      </w:tr>
      <w:tr w:rsidR="00F26F30" w14:paraId="7F3673EE" w14:textId="77777777">
        <w:tc>
          <w:tcPr>
            <w:tcW w:w="3830" w:type="dxa"/>
          </w:tcPr>
          <w:p w14:paraId="33BFDB16" w14:textId="13ACB2A7" w:rsidR="00F26F30" w:rsidRDefault="00F26F30" w:rsidP="00F26F30">
            <w:pPr>
              <w:rPr>
                <w:rFonts w:cstheme="minorHAnsi"/>
              </w:rPr>
            </w:pPr>
            <w:r w:rsidRPr="00AB2BE5">
              <w:t>Fax number:</w:t>
            </w:r>
          </w:p>
        </w:tc>
        <w:tc>
          <w:tcPr>
            <w:tcW w:w="3831" w:type="dxa"/>
          </w:tcPr>
          <w:p w14:paraId="6244A9E4" w14:textId="77777777" w:rsidR="00F26F30" w:rsidRDefault="00F26F30" w:rsidP="00F26F30">
            <w:pPr>
              <w:rPr>
                <w:rFonts w:cstheme="minorHAnsi"/>
              </w:rPr>
            </w:pPr>
          </w:p>
        </w:tc>
      </w:tr>
      <w:tr w:rsidR="00F26F30" w14:paraId="3495AF97" w14:textId="77777777">
        <w:tc>
          <w:tcPr>
            <w:tcW w:w="3830" w:type="dxa"/>
          </w:tcPr>
          <w:p w14:paraId="670A6513" w14:textId="634E6E55" w:rsidR="00F26F30" w:rsidRDefault="00F26F30" w:rsidP="00F26F30">
            <w:pPr>
              <w:rPr>
                <w:rFonts w:cstheme="minorHAnsi"/>
              </w:rPr>
            </w:pPr>
            <w:r w:rsidRPr="00AB2BE5">
              <w:t>E-mail address:</w:t>
            </w:r>
          </w:p>
        </w:tc>
        <w:tc>
          <w:tcPr>
            <w:tcW w:w="3831" w:type="dxa"/>
          </w:tcPr>
          <w:p w14:paraId="14D46E3C" w14:textId="77777777" w:rsidR="00F26F30" w:rsidRDefault="00F26F30" w:rsidP="00F26F30">
            <w:pPr>
              <w:rPr>
                <w:rFonts w:cstheme="minorHAnsi"/>
              </w:rPr>
            </w:pPr>
          </w:p>
        </w:tc>
      </w:tr>
    </w:tbl>
    <w:p w14:paraId="375DA67E" w14:textId="77777777" w:rsidR="00F26F30" w:rsidRPr="00F26F30" w:rsidRDefault="00F26F30" w:rsidP="00F26F30">
      <w:pPr>
        <w:rPr>
          <w:rFonts w:cstheme="minorHAnsi"/>
        </w:rPr>
      </w:pPr>
    </w:p>
    <w:p w14:paraId="668207E0" w14:textId="77777777" w:rsidR="00F26F30" w:rsidRPr="00F26F30" w:rsidRDefault="00F26F30" w:rsidP="00F26F30">
      <w:pPr>
        <w:rPr>
          <w:rFonts w:cstheme="minorHAnsi"/>
        </w:rPr>
      </w:pPr>
      <w:r w:rsidRPr="00F26F30">
        <w:rPr>
          <w:rFonts w:cstheme="minorHAnsi"/>
          <w:b/>
          <w:bCs/>
        </w:rPr>
        <w:t>Transmitter:</w:t>
      </w:r>
      <w:r w:rsidRPr="00F26F30">
        <w:rPr>
          <w:rFonts w:cstheme="minorHAnsi"/>
        </w:rPr>
        <w:t xml:space="preserve"> (duplicate as necessary for multiple transmitters)</w:t>
      </w:r>
    </w:p>
    <w:tbl>
      <w:tblPr>
        <w:tblStyle w:val="TableGrid"/>
        <w:tblW w:w="0" w:type="auto"/>
        <w:tblLook w:val="04A0" w:firstRow="1" w:lastRow="0" w:firstColumn="1" w:lastColumn="0" w:noHBand="0" w:noVBand="1"/>
      </w:tblPr>
      <w:tblGrid>
        <w:gridCol w:w="3830"/>
        <w:gridCol w:w="3831"/>
      </w:tblGrid>
      <w:tr w:rsidR="000250BA" w14:paraId="5267A378" w14:textId="77777777" w:rsidTr="00E56A1A">
        <w:tc>
          <w:tcPr>
            <w:tcW w:w="3830" w:type="dxa"/>
          </w:tcPr>
          <w:p w14:paraId="131EDA2F" w14:textId="02E0E277" w:rsidR="000250BA" w:rsidRDefault="000250BA" w:rsidP="000250BA">
            <w:pPr>
              <w:rPr>
                <w:rFonts w:cstheme="minorHAnsi"/>
              </w:rPr>
            </w:pPr>
            <w:r w:rsidRPr="00AF6C1F">
              <w:t>Type of service (e.g. fixed point-to-point, mobile, etc):</w:t>
            </w:r>
          </w:p>
        </w:tc>
        <w:tc>
          <w:tcPr>
            <w:tcW w:w="3831" w:type="dxa"/>
          </w:tcPr>
          <w:p w14:paraId="21A502C2" w14:textId="77777777" w:rsidR="000250BA" w:rsidRDefault="000250BA" w:rsidP="000250BA">
            <w:pPr>
              <w:rPr>
                <w:rFonts w:cstheme="minorHAnsi"/>
              </w:rPr>
            </w:pPr>
          </w:p>
        </w:tc>
      </w:tr>
      <w:tr w:rsidR="000250BA" w14:paraId="4F91DB8D" w14:textId="77777777" w:rsidTr="00E56A1A">
        <w:tc>
          <w:tcPr>
            <w:tcW w:w="3830" w:type="dxa"/>
          </w:tcPr>
          <w:p w14:paraId="6CF70802" w14:textId="158AD47E" w:rsidR="000250BA" w:rsidRDefault="000250BA" w:rsidP="000250BA">
            <w:pPr>
              <w:rPr>
                <w:rFonts w:cstheme="minorHAnsi"/>
              </w:rPr>
            </w:pPr>
            <w:r w:rsidRPr="00AF6C1F">
              <w:t>Location (Site ID, Site address or site local name, site coordinates including reference datum</w:t>
            </w:r>
            <w:r w:rsidR="00D76356">
              <w:t>):</w:t>
            </w:r>
          </w:p>
        </w:tc>
        <w:tc>
          <w:tcPr>
            <w:tcW w:w="3831" w:type="dxa"/>
          </w:tcPr>
          <w:p w14:paraId="5BFB37A0" w14:textId="77777777" w:rsidR="000250BA" w:rsidRDefault="000250BA" w:rsidP="000250BA">
            <w:pPr>
              <w:rPr>
                <w:rFonts w:cstheme="minorHAnsi"/>
              </w:rPr>
            </w:pPr>
          </w:p>
        </w:tc>
      </w:tr>
      <w:tr w:rsidR="000250BA" w14:paraId="2160E07E" w14:textId="77777777" w:rsidTr="00E56A1A">
        <w:tc>
          <w:tcPr>
            <w:tcW w:w="3830" w:type="dxa"/>
          </w:tcPr>
          <w:p w14:paraId="29A095AD" w14:textId="0E4E5CF8" w:rsidR="000250BA" w:rsidRDefault="000250BA" w:rsidP="000250BA">
            <w:pPr>
              <w:rPr>
                <w:rFonts w:cstheme="minorHAnsi"/>
              </w:rPr>
            </w:pPr>
            <w:r w:rsidRPr="00AF6C1F">
              <w:t>Operating frequency:</w:t>
            </w:r>
          </w:p>
        </w:tc>
        <w:tc>
          <w:tcPr>
            <w:tcW w:w="3831" w:type="dxa"/>
          </w:tcPr>
          <w:p w14:paraId="109AE571" w14:textId="77777777" w:rsidR="000250BA" w:rsidRDefault="000250BA" w:rsidP="000250BA">
            <w:pPr>
              <w:rPr>
                <w:rFonts w:cstheme="minorHAnsi"/>
              </w:rPr>
            </w:pPr>
          </w:p>
        </w:tc>
      </w:tr>
      <w:tr w:rsidR="000250BA" w14:paraId="58A00A3F" w14:textId="77777777" w:rsidTr="00E56A1A">
        <w:tc>
          <w:tcPr>
            <w:tcW w:w="3830" w:type="dxa"/>
          </w:tcPr>
          <w:p w14:paraId="4A915EDF" w14:textId="4AD477F3" w:rsidR="000250BA" w:rsidRPr="00AB2BE5" w:rsidRDefault="000250BA" w:rsidP="000250BA">
            <w:r w:rsidRPr="00AF6C1F">
              <w:t>Emission designator:</w:t>
            </w:r>
          </w:p>
        </w:tc>
        <w:tc>
          <w:tcPr>
            <w:tcW w:w="3831" w:type="dxa"/>
          </w:tcPr>
          <w:p w14:paraId="45F16442" w14:textId="77777777" w:rsidR="000250BA" w:rsidRDefault="000250BA" w:rsidP="000250BA">
            <w:pPr>
              <w:rPr>
                <w:rFonts w:cstheme="minorHAnsi"/>
              </w:rPr>
            </w:pPr>
          </w:p>
        </w:tc>
      </w:tr>
      <w:tr w:rsidR="000250BA" w14:paraId="092A0852" w14:textId="77777777" w:rsidTr="00E56A1A">
        <w:tc>
          <w:tcPr>
            <w:tcW w:w="3830" w:type="dxa"/>
          </w:tcPr>
          <w:p w14:paraId="1C90FD58" w14:textId="3E92635A" w:rsidR="000250BA" w:rsidRDefault="000250BA" w:rsidP="000250BA">
            <w:pPr>
              <w:rPr>
                <w:rFonts w:cstheme="minorHAnsi"/>
              </w:rPr>
            </w:pPr>
            <w:r w:rsidRPr="00F26F30">
              <w:rPr>
                <w:rFonts w:cstheme="minorHAnsi"/>
              </w:rPr>
              <w:t>Transmitter power:</w:t>
            </w:r>
          </w:p>
        </w:tc>
        <w:tc>
          <w:tcPr>
            <w:tcW w:w="3831" w:type="dxa"/>
          </w:tcPr>
          <w:p w14:paraId="0153DBF5" w14:textId="77777777" w:rsidR="000250BA" w:rsidRDefault="000250BA" w:rsidP="000250BA">
            <w:pPr>
              <w:rPr>
                <w:rFonts w:cstheme="minorHAnsi"/>
              </w:rPr>
            </w:pPr>
          </w:p>
        </w:tc>
      </w:tr>
      <w:tr w:rsidR="000250BA" w14:paraId="4207774D" w14:textId="77777777" w:rsidTr="00E56A1A">
        <w:tc>
          <w:tcPr>
            <w:tcW w:w="3830" w:type="dxa"/>
          </w:tcPr>
          <w:p w14:paraId="2C8DDBC0" w14:textId="0F91EEEE" w:rsidR="000250BA" w:rsidRDefault="000250BA" w:rsidP="000250BA">
            <w:pPr>
              <w:rPr>
                <w:rFonts w:cstheme="minorHAnsi"/>
              </w:rPr>
            </w:pPr>
            <w:r w:rsidRPr="00F26F30">
              <w:rPr>
                <w:rFonts w:cstheme="minorHAnsi"/>
              </w:rPr>
              <w:t>Antenna gain in the direction of the radio astronomy observatory or observatories</w:t>
            </w:r>
            <w:r>
              <w:rPr>
                <w:rStyle w:val="FootnoteReference"/>
                <w:rFonts w:cstheme="minorHAnsi"/>
              </w:rPr>
              <w:footnoteReference w:id="11"/>
            </w:r>
            <w:r w:rsidRPr="00F26F30">
              <w:rPr>
                <w:rFonts w:cstheme="minorHAnsi"/>
              </w:rPr>
              <w:t>:</w:t>
            </w:r>
          </w:p>
        </w:tc>
        <w:tc>
          <w:tcPr>
            <w:tcW w:w="3831" w:type="dxa"/>
          </w:tcPr>
          <w:p w14:paraId="59342F4D" w14:textId="77777777" w:rsidR="000250BA" w:rsidRDefault="000250BA" w:rsidP="000250BA">
            <w:pPr>
              <w:rPr>
                <w:rFonts w:cstheme="minorHAnsi"/>
              </w:rPr>
            </w:pPr>
          </w:p>
        </w:tc>
      </w:tr>
      <w:tr w:rsidR="000250BA" w14:paraId="40E1E209" w14:textId="77777777" w:rsidTr="00E56A1A">
        <w:tc>
          <w:tcPr>
            <w:tcW w:w="3830" w:type="dxa"/>
          </w:tcPr>
          <w:p w14:paraId="33788A5B" w14:textId="0C4F694A" w:rsidR="000250BA" w:rsidRDefault="000250BA" w:rsidP="000250BA">
            <w:pPr>
              <w:rPr>
                <w:rFonts w:cstheme="minorHAnsi"/>
              </w:rPr>
            </w:pPr>
            <w:r w:rsidRPr="000250BA">
              <w:rPr>
                <w:rFonts w:cstheme="minorHAnsi"/>
              </w:rPr>
              <w:t>Antenna height above ground:</w:t>
            </w:r>
          </w:p>
        </w:tc>
        <w:tc>
          <w:tcPr>
            <w:tcW w:w="3831" w:type="dxa"/>
          </w:tcPr>
          <w:p w14:paraId="3260A68B" w14:textId="77777777" w:rsidR="000250BA" w:rsidRDefault="000250BA" w:rsidP="000250BA">
            <w:pPr>
              <w:rPr>
                <w:rFonts w:cstheme="minorHAnsi"/>
              </w:rPr>
            </w:pPr>
          </w:p>
        </w:tc>
      </w:tr>
    </w:tbl>
    <w:p w14:paraId="34A94E4F" w14:textId="1F2FF3A0" w:rsidR="00F26F30" w:rsidRPr="00F26F30" w:rsidRDefault="00F26F30" w:rsidP="00F26F30">
      <w:pPr>
        <w:rPr>
          <w:rFonts w:cstheme="minorHAnsi"/>
        </w:rPr>
      </w:pPr>
    </w:p>
    <w:sectPr w:rsidR="00F26F30" w:rsidRPr="00F26F30" w:rsidSect="00D2150E">
      <w:headerReference w:type="even" r:id="rId25"/>
      <w:headerReference w:type="default" r:id="rId26"/>
      <w:footerReference w:type="even" r:id="rId27"/>
      <w:headerReference w:type="first" r:id="rId28"/>
      <w:type w:val="oddPage"/>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2B7E" w14:textId="77777777" w:rsidR="00FA1544" w:rsidRDefault="00FA1544">
      <w:r>
        <w:separator/>
      </w:r>
    </w:p>
  </w:endnote>
  <w:endnote w:type="continuationSeparator" w:id="0">
    <w:p w14:paraId="6B2548D6" w14:textId="77777777" w:rsidR="00FA1544" w:rsidRDefault="00FA1544">
      <w:r>
        <w:continuationSeparator/>
      </w:r>
    </w:p>
  </w:endnote>
  <w:endnote w:type="continuationNotice" w:id="1">
    <w:p w14:paraId="099DA96D" w14:textId="77777777" w:rsidR="00FA1544" w:rsidRDefault="00FA1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9E7B" w14:textId="461CBB37" w:rsidR="005B78BE" w:rsidRDefault="005B78BE">
    <w:pPr>
      <w:pStyle w:val="Footer"/>
    </w:pPr>
    <w:r>
      <w:rPr>
        <w:noProof/>
      </w:rPr>
      <mc:AlternateContent>
        <mc:Choice Requires="wps">
          <w:drawing>
            <wp:anchor distT="0" distB="0" distL="0" distR="0" simplePos="0" relativeHeight="251668480" behindDoc="0" locked="0" layoutInCell="1" allowOverlap="1" wp14:anchorId="574715A7" wp14:editId="6D3217F7">
              <wp:simplePos x="635" y="635"/>
              <wp:positionH relativeFrom="page">
                <wp:align>center</wp:align>
              </wp:positionH>
              <wp:positionV relativeFrom="page">
                <wp:align>bottom</wp:align>
              </wp:positionV>
              <wp:extent cx="551815" cy="376555"/>
              <wp:effectExtent l="0" t="0" r="635" b="0"/>
              <wp:wrapNone/>
              <wp:docPr id="83172468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0075DA" w14:textId="08B5F135"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4715A7"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C0075DA" w14:textId="08B5F135"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6BFB" w14:textId="461D4B07" w:rsidR="004D24E8" w:rsidRPr="00F012AE" w:rsidRDefault="005B78BE" w:rsidP="00A07457">
    <w:pPr>
      <w:pStyle w:val="Footer"/>
      <w:framePr w:w="1334" w:h="357" w:hRule="exact" w:vSpace="425" w:wrap="around" w:vAnchor="page" w:hAnchor="page" w:x="1220" w:y="15984"/>
      <w:tabs>
        <w:tab w:val="clear" w:pos="113"/>
        <w:tab w:val="left" w:pos="284"/>
      </w:tabs>
      <w:rPr>
        <w:rFonts w:cs="Arial"/>
      </w:rPr>
    </w:pPr>
    <w:r>
      <w:rPr>
        <w:rFonts w:cs="Arial"/>
        <w:noProof/>
        <w:spacing w:val="-16"/>
        <w:sz w:val="20"/>
        <w:szCs w:val="20"/>
      </w:rPr>
      <mc:AlternateContent>
        <mc:Choice Requires="wps">
          <w:drawing>
            <wp:anchor distT="0" distB="0" distL="0" distR="0" simplePos="0" relativeHeight="251669504" behindDoc="0" locked="0" layoutInCell="1" allowOverlap="1" wp14:anchorId="6CD418B7" wp14:editId="17639E2A">
              <wp:simplePos x="771525" y="10153650"/>
              <wp:positionH relativeFrom="page">
                <wp:align>center</wp:align>
              </wp:positionH>
              <wp:positionV relativeFrom="page">
                <wp:align>bottom</wp:align>
              </wp:positionV>
              <wp:extent cx="551815" cy="376555"/>
              <wp:effectExtent l="0" t="0" r="635" b="0"/>
              <wp:wrapNone/>
              <wp:docPr id="2809189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EE741D" w14:textId="6FE97E3C"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418B7"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DEE741D" w14:textId="6FE97E3C"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v:textbox>
              <w10:wrap anchorx="page" anchory="page"/>
            </v:shape>
          </w:pict>
        </mc:Fallback>
      </mc:AlternateContent>
    </w:r>
    <w:r w:rsidR="004D24E8" w:rsidRPr="00F012AE">
      <w:rPr>
        <w:rFonts w:cs="Arial"/>
        <w:noProof/>
        <w:spacing w:val="-16"/>
        <w:sz w:val="20"/>
        <w:szCs w:val="20"/>
      </w:rPr>
      <w:t xml:space="preserve">RALI </w:t>
    </w:r>
    <w:r w:rsidR="004D24E8">
      <w:rPr>
        <w:rFonts w:cs="Arial"/>
        <w:noProof/>
        <w:spacing w:val="-16"/>
        <w:sz w:val="20"/>
        <w:szCs w:val="20"/>
      </w:rPr>
      <w:t xml:space="preserve"> </w:t>
    </w:r>
    <w:r w:rsidR="00A874B8">
      <w:rPr>
        <w:rFonts w:cs="Arial"/>
        <w:noProof/>
        <w:spacing w:val="-16"/>
        <w:sz w:val="20"/>
        <w:szCs w:val="20"/>
      </w:rPr>
      <w:t>MS</w:t>
    </w:r>
    <w:r w:rsidR="00955283">
      <w:rPr>
        <w:rFonts w:cs="Arial"/>
        <w:noProof/>
        <w:spacing w:val="-16"/>
        <w:sz w:val="20"/>
        <w:szCs w:val="20"/>
      </w:rPr>
      <w:t>31</w:t>
    </w:r>
  </w:p>
  <w:p w14:paraId="2412537A" w14:textId="77777777" w:rsidR="004D24E8" w:rsidRPr="00622A3B" w:rsidRDefault="004D24E8" w:rsidP="00A07457">
    <w:pPr>
      <w:pStyle w:val="Footer"/>
      <w:framePr w:w="1334" w:h="357" w:hRule="exact" w:vSpace="425" w:wrap="around" w:vAnchor="page" w:hAnchor="page" w:x="9337" w:y="16047"/>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rPr>
        <w:noProof/>
      </w:rPr>
      <w:t>iii</w:t>
    </w:r>
    <w:r>
      <w:rPr>
        <w:noProof/>
      </w:rPr>
      <w:fldChar w:fldCharType="end"/>
    </w:r>
  </w:p>
  <w:p w14:paraId="180FDAE2" w14:textId="7BA69588" w:rsidR="004D24E8" w:rsidRPr="00A07457" w:rsidRDefault="004D24E8" w:rsidP="00A07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4B2A" w14:textId="0F577028" w:rsidR="005B78BE" w:rsidRDefault="005B78BE">
    <w:pPr>
      <w:pStyle w:val="Footer"/>
    </w:pPr>
    <w:r>
      <w:rPr>
        <w:noProof/>
      </w:rPr>
      <mc:AlternateContent>
        <mc:Choice Requires="wps">
          <w:drawing>
            <wp:anchor distT="0" distB="0" distL="0" distR="0" simplePos="0" relativeHeight="251667456" behindDoc="0" locked="0" layoutInCell="1" allowOverlap="1" wp14:anchorId="287678F0" wp14:editId="13F22B29">
              <wp:simplePos x="914400" y="9972675"/>
              <wp:positionH relativeFrom="page">
                <wp:align>center</wp:align>
              </wp:positionH>
              <wp:positionV relativeFrom="page">
                <wp:align>bottom</wp:align>
              </wp:positionV>
              <wp:extent cx="551815" cy="376555"/>
              <wp:effectExtent l="0" t="0" r="635" b="0"/>
              <wp:wrapNone/>
              <wp:docPr id="201261727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EC93AF" w14:textId="4F137843" w:rsidR="005B78BE" w:rsidRPr="005B78BE" w:rsidRDefault="005B78BE" w:rsidP="005B78BE">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678F0"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DEC93AF" w14:textId="4F137843" w:rsidR="005B78BE" w:rsidRPr="005B78BE" w:rsidRDefault="005B78BE" w:rsidP="005B78BE">
                    <w:pPr>
                      <w:spacing w:after="0"/>
                      <w:rPr>
                        <w:rFonts w:ascii="Calibri" w:eastAsia="Calibri" w:hAnsi="Calibri" w:cs="Calibri"/>
                        <w:noProof/>
                        <w:color w:val="FF0000"/>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5E76" w14:textId="0E442A9A" w:rsidR="004D24E8" w:rsidRPr="00622A3B" w:rsidRDefault="005B78BE" w:rsidP="00A07457">
    <w:pPr>
      <w:pStyle w:val="Footer"/>
      <w:framePr w:w="1334" w:h="357" w:hRule="exact" w:vSpace="425" w:wrap="around" w:vAnchor="page" w:hAnchor="page" w:x="1156" w:y="1612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70528" behindDoc="0" locked="0" layoutInCell="1" allowOverlap="1" wp14:anchorId="68230440" wp14:editId="16E065F4">
              <wp:simplePos x="733425" y="10239375"/>
              <wp:positionH relativeFrom="page">
                <wp:align>center</wp:align>
              </wp:positionH>
              <wp:positionV relativeFrom="page">
                <wp:align>bottom</wp:align>
              </wp:positionV>
              <wp:extent cx="551815" cy="376555"/>
              <wp:effectExtent l="0" t="0" r="635" b="0"/>
              <wp:wrapNone/>
              <wp:docPr id="132519845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AB2CB8" w14:textId="77DF6768"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230440" id="_x0000_t202" coordsize="21600,21600" o:spt="202" path="m,l,21600r21600,l21600,xe">
              <v:stroke joinstyle="miter"/>
              <v:path gradientshapeok="t" o:connecttype="rect"/>
            </v:shapetype>
            <v:shape id="Text Box 13" o:spid="_x0000_s1034" type="#_x0000_t202" alt="OFFICIAL" style="position:absolute;left:0;text-align:left;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2EAB2CB8" w14:textId="77DF6768"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v:textbox>
              <w10:wrap anchorx="page" anchory="page"/>
            </v:shape>
          </w:pict>
        </mc:Fallback>
      </mc:AlternateContent>
    </w:r>
    <w:r w:rsidR="004D24E8" w:rsidRPr="00622A3B">
      <w:rPr>
        <w:rFonts w:cs="Arial"/>
        <w:b/>
        <w:noProof/>
        <w:spacing w:val="-16"/>
        <w:sz w:val="20"/>
        <w:szCs w:val="20"/>
      </w:rPr>
      <w:t>a</w:t>
    </w:r>
    <w:r w:rsidR="004D24E8" w:rsidRPr="00622A3B">
      <w:rPr>
        <w:rFonts w:cs="Arial"/>
        <w:b/>
        <w:noProof/>
        <w:spacing w:val="-15"/>
        <w:sz w:val="20"/>
        <w:szCs w:val="20"/>
      </w:rPr>
      <w:t>c</w:t>
    </w:r>
    <w:r w:rsidR="004D24E8" w:rsidRPr="00622A3B">
      <w:rPr>
        <w:rFonts w:cs="Arial"/>
        <w:b/>
        <w:noProof/>
        <w:spacing w:val="-16"/>
        <w:sz w:val="20"/>
        <w:szCs w:val="20"/>
      </w:rPr>
      <w:t>m</w:t>
    </w:r>
    <w:r w:rsidR="004D24E8" w:rsidRPr="00622A3B">
      <w:rPr>
        <w:rFonts w:cs="Arial"/>
        <w:b/>
        <w:noProof/>
        <w:spacing w:val="-14"/>
        <w:sz w:val="20"/>
        <w:szCs w:val="20"/>
      </w:rPr>
      <w:t>a</w:t>
    </w:r>
    <w:r w:rsidR="004D24E8" w:rsidRPr="0094078F">
      <w:rPr>
        <w:rFonts w:cs="Arial"/>
      </w:rPr>
      <w:tab/>
    </w:r>
    <w:r w:rsidR="004D24E8">
      <w:rPr>
        <w:rFonts w:cs="Arial"/>
      </w:rPr>
      <w:t xml:space="preserve"> </w:t>
    </w:r>
    <w:r w:rsidR="004D24E8" w:rsidRPr="00622A3B">
      <w:rPr>
        <w:rFonts w:cs="Arial"/>
      </w:rPr>
      <w:t>|</w:t>
    </w:r>
    <w:r w:rsidR="004D24E8">
      <w:tab/>
    </w:r>
    <w:r w:rsidR="004D24E8">
      <w:fldChar w:fldCharType="begin"/>
    </w:r>
    <w:r w:rsidR="004D24E8">
      <w:instrText xml:space="preserve"> PAGE   \* MERGEFORMAT </w:instrText>
    </w:r>
    <w:r w:rsidR="004D24E8">
      <w:fldChar w:fldCharType="separate"/>
    </w:r>
    <w:r w:rsidR="004D24E8">
      <w:rPr>
        <w:noProof/>
      </w:rPr>
      <w:t>ii</w:t>
    </w:r>
    <w:r w:rsidR="004D24E8">
      <w:rPr>
        <w:noProof/>
      </w:rPr>
      <w:fldChar w:fldCharType="end"/>
    </w:r>
  </w:p>
  <w:p w14:paraId="44E5C09E" w14:textId="7288D7FC" w:rsidR="004D24E8" w:rsidRPr="00F012AE" w:rsidRDefault="004D24E8" w:rsidP="00A07457">
    <w:pPr>
      <w:pStyle w:val="Footer"/>
      <w:framePr w:w="1334" w:h="357" w:hRule="exact" w:vSpace="425" w:wrap="around" w:vAnchor="page" w:hAnchor="page" w:x="9258" w:y="16063"/>
      <w:tabs>
        <w:tab w:val="clear" w:pos="113"/>
        <w:tab w:val="left" w:pos="284"/>
      </w:tabs>
      <w:rPr>
        <w:rFonts w:cs="Arial"/>
      </w:rPr>
    </w:pPr>
    <w:r w:rsidRPr="00F012AE">
      <w:rPr>
        <w:rFonts w:cs="Arial"/>
        <w:noProof/>
        <w:spacing w:val="-16"/>
        <w:sz w:val="20"/>
        <w:szCs w:val="20"/>
      </w:rPr>
      <w:t xml:space="preserve">RALI </w:t>
    </w:r>
    <w:r w:rsidR="00C77EB9">
      <w:rPr>
        <w:rFonts w:cs="Arial"/>
        <w:noProof/>
        <w:spacing w:val="-16"/>
        <w:sz w:val="20"/>
        <w:szCs w:val="20"/>
      </w:rPr>
      <w:t xml:space="preserve"> </w:t>
    </w:r>
    <w:r w:rsidR="00A874B8">
      <w:rPr>
        <w:rFonts w:cs="Arial"/>
        <w:noProof/>
        <w:spacing w:val="-16"/>
        <w:sz w:val="20"/>
        <w:szCs w:val="20"/>
      </w:rPr>
      <w:t>MS</w:t>
    </w:r>
    <w:r w:rsidR="0027782F">
      <w:rPr>
        <w:rFonts w:cs="Arial"/>
        <w:noProof/>
        <w:spacing w:val="-16"/>
        <w:sz w:val="20"/>
        <w:szCs w:val="20"/>
      </w:rPr>
      <w:t>31</w:t>
    </w:r>
  </w:p>
  <w:p w14:paraId="3D1B3F85" w14:textId="77777777" w:rsidR="004D24E8" w:rsidRDefault="004D24E8" w:rsidP="00A07457">
    <w:pPr>
      <w:pStyle w:val="Footer"/>
      <w:tabs>
        <w:tab w:val="clear" w:pos="113"/>
        <w:tab w:val="left" w:pos="2550"/>
      </w:tabs>
    </w:pPr>
    <w:r>
      <w:tab/>
    </w:r>
  </w:p>
  <w:p w14:paraId="33A3526F" w14:textId="41B7C070" w:rsidR="004D24E8" w:rsidRPr="00A07457" w:rsidRDefault="004D24E8" w:rsidP="00A074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D3F2" w14:textId="47EC1047" w:rsidR="004D24E8" w:rsidRPr="00622A3B" w:rsidRDefault="005B78BE" w:rsidP="00D2150E">
    <w:pPr>
      <w:pStyle w:val="FooterLeft"/>
      <w:framePr w:wrap="around" w:x="957" w:y="16145"/>
      <w:tabs>
        <w:tab w:val="clear" w:pos="113"/>
        <w:tab w:val="right" w:pos="397"/>
      </w:tabs>
    </w:pPr>
    <w:r>
      <w:rPr>
        <w:noProof/>
      </w:rPr>
      <mc:AlternateContent>
        <mc:Choice Requires="wps">
          <w:drawing>
            <wp:anchor distT="0" distB="0" distL="0" distR="0" simplePos="0" relativeHeight="251671552" behindDoc="0" locked="0" layoutInCell="1" allowOverlap="1" wp14:anchorId="46394A56" wp14:editId="0097DEEC">
              <wp:simplePos x="607695" y="10252075"/>
              <wp:positionH relativeFrom="page">
                <wp:align>center</wp:align>
              </wp:positionH>
              <wp:positionV relativeFrom="page">
                <wp:align>bottom</wp:align>
              </wp:positionV>
              <wp:extent cx="551815" cy="376555"/>
              <wp:effectExtent l="0" t="0" r="635" b="0"/>
              <wp:wrapNone/>
              <wp:docPr id="149739199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5A86D7" w14:textId="14F3D9B9"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94A56" id="_x0000_t202" coordsize="21600,21600" o:spt="202" path="m,l,21600r21600,l21600,xe">
              <v:stroke joinstyle="miter"/>
              <v:path gradientshapeok="t" o:connecttype="rect"/>
            </v:shapetype>
            <v:shape id="Text Box 14" o:spid="_x0000_s1038"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textbox style="mso-fit-shape-to-text:t" inset="0,0,0,15pt">
                <w:txbxContent>
                  <w:p w14:paraId="7D5A86D7" w14:textId="14F3D9B9"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v:textbox>
              <w10:wrap anchorx="page" anchory="page"/>
            </v:shape>
          </w:pict>
        </mc:Fallback>
      </mc:AlternateContent>
    </w:r>
    <w:r w:rsidR="004D24E8" w:rsidRPr="00575AC5">
      <w:fldChar w:fldCharType="begin"/>
    </w:r>
    <w:r w:rsidR="004D24E8" w:rsidRPr="00575AC5">
      <w:instrText xml:space="preserve"> PAGE  \* Arabic  \* MERGEFORMAT </w:instrText>
    </w:r>
    <w:r w:rsidR="004D24E8" w:rsidRPr="00575AC5">
      <w:fldChar w:fldCharType="separate"/>
    </w:r>
    <w:r w:rsidR="004D24E8">
      <w:t>2</w:t>
    </w:r>
    <w:r w:rsidR="004D24E8" w:rsidRPr="00575AC5">
      <w:fldChar w:fldCharType="end"/>
    </w:r>
    <w:r w:rsidR="004D24E8" w:rsidRPr="0094078F">
      <w:tab/>
    </w:r>
    <w:r w:rsidR="004D24E8" w:rsidRPr="00622A3B">
      <w:t>|</w:t>
    </w:r>
    <w:r w:rsidR="004D24E8">
      <w:tab/>
    </w:r>
    <w:r w:rsidR="004D24E8" w:rsidRPr="00622A3B">
      <w:rPr>
        <w:b/>
        <w:noProof/>
        <w:spacing w:val="-16"/>
        <w:sz w:val="20"/>
        <w:szCs w:val="20"/>
      </w:rPr>
      <w:t>a</w:t>
    </w:r>
    <w:r w:rsidR="004D24E8" w:rsidRPr="00622A3B">
      <w:rPr>
        <w:b/>
        <w:noProof/>
        <w:spacing w:val="-15"/>
        <w:sz w:val="20"/>
        <w:szCs w:val="20"/>
      </w:rPr>
      <w:t>c</w:t>
    </w:r>
    <w:r w:rsidR="004D24E8" w:rsidRPr="00622A3B">
      <w:rPr>
        <w:b/>
        <w:noProof/>
        <w:spacing w:val="-16"/>
        <w:sz w:val="20"/>
        <w:szCs w:val="20"/>
      </w:rPr>
      <w:t>m</w:t>
    </w:r>
    <w:r w:rsidR="004D24E8" w:rsidRPr="00622A3B">
      <w:rPr>
        <w:b/>
        <w:noProof/>
        <w:spacing w:val="-14"/>
        <w:sz w:val="20"/>
        <w:szCs w:val="20"/>
      </w:rPr>
      <w:t>a</w:t>
    </w:r>
  </w:p>
  <w:p w14:paraId="21ADA1EA" w14:textId="77777777" w:rsidR="004D24E8" w:rsidRPr="00A5474E" w:rsidRDefault="004D24E8" w:rsidP="00D2150E">
    <w:pPr>
      <w:pStyle w:val="Footer"/>
      <w:framePr w:w="1440" w:h="357" w:hRule="exact" w:vSpace="425" w:wrap="around" w:vAnchor="page" w:hAnchor="page" w:x="957" w:y="16145"/>
    </w:pPr>
  </w:p>
  <w:p w14:paraId="640B2041" w14:textId="7FCE29F2" w:rsidR="004D24E8" w:rsidRPr="00F012AE" w:rsidRDefault="004D24E8" w:rsidP="00B95DA7">
    <w:pPr>
      <w:pStyle w:val="Footer"/>
      <w:framePr w:w="1334" w:h="357" w:hRule="exact" w:vSpace="425" w:wrap="around" w:vAnchor="page" w:hAnchor="page" w:x="8839" w:y="16172"/>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w:t>
    </w:r>
    <w:r w:rsidR="004B7197">
      <w:rPr>
        <w:rFonts w:cs="Arial"/>
        <w:noProof/>
        <w:spacing w:val="-16"/>
        <w:sz w:val="20"/>
        <w:szCs w:val="20"/>
      </w:rPr>
      <w:t>MS</w:t>
    </w:r>
    <w:r w:rsidR="00955283">
      <w:rPr>
        <w:rFonts w:cs="Arial"/>
        <w:noProof/>
        <w:spacing w:val="-16"/>
        <w:sz w:val="20"/>
        <w:szCs w:val="20"/>
      </w:rPr>
      <w:t>31</w:t>
    </w:r>
  </w:p>
  <w:p w14:paraId="7D089574" w14:textId="77777777" w:rsidR="004D24E8" w:rsidRPr="00A5474E" w:rsidRDefault="004D24E8"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57CE" w14:textId="77777777" w:rsidR="00FA1544" w:rsidRDefault="00FA1544">
      <w:r>
        <w:separator/>
      </w:r>
    </w:p>
  </w:footnote>
  <w:footnote w:type="continuationSeparator" w:id="0">
    <w:p w14:paraId="5DC72E3E" w14:textId="77777777" w:rsidR="00FA1544" w:rsidRDefault="00FA1544">
      <w:r>
        <w:continuationSeparator/>
      </w:r>
    </w:p>
  </w:footnote>
  <w:footnote w:type="continuationNotice" w:id="1">
    <w:p w14:paraId="3CF386A7" w14:textId="77777777" w:rsidR="00FA1544" w:rsidRDefault="00FA1544">
      <w:pPr>
        <w:spacing w:after="0" w:line="240" w:lineRule="auto"/>
      </w:pPr>
    </w:p>
  </w:footnote>
  <w:footnote w:id="2">
    <w:p w14:paraId="48234958" w14:textId="77777777" w:rsidR="00AB09F8" w:rsidRPr="00D55740" w:rsidRDefault="00AB09F8" w:rsidP="00AB09F8">
      <w:pPr>
        <w:pStyle w:val="FootnoteText"/>
      </w:pPr>
      <w:r>
        <w:rPr>
          <w:rStyle w:val="FootnoteReference"/>
        </w:rPr>
        <w:footnoteRef/>
      </w:r>
      <w:r>
        <w:t xml:space="preserve"> The intention of the negotiations is not to change the regulatory status of the services, but rather to encourage mutually acceptable technical solutions that would prevent avoidable interference to the radio astronomy service without imposing undue delay on non-radio astronomy services. ACMA would not normally become involved in these negotiations.</w:t>
      </w:r>
    </w:p>
  </w:footnote>
  <w:footnote w:id="3">
    <w:p w14:paraId="0CC19A33" w14:textId="77777777" w:rsidR="00AB09F8" w:rsidRPr="00D21AB0" w:rsidRDefault="00AB09F8" w:rsidP="00AB09F8">
      <w:pPr>
        <w:pStyle w:val="FootnoteText"/>
      </w:pPr>
      <w:r>
        <w:rPr>
          <w:rStyle w:val="FootnoteReference"/>
        </w:rPr>
        <w:footnoteRef/>
      </w:r>
      <w:r>
        <w:t xml:space="preserve"> There are some segments with the AUS87 bands that have allocations to the radio astronomy service, for example 1400–1427 MHz, but the bulk of the bands do not.</w:t>
      </w:r>
    </w:p>
  </w:footnote>
  <w:footnote w:id="4">
    <w:p w14:paraId="7A674A05" w14:textId="77777777" w:rsidR="00AB09F8" w:rsidRPr="00D948E2" w:rsidRDefault="00AB09F8" w:rsidP="00AB09F8">
      <w:pPr>
        <w:pStyle w:val="FootnoteText"/>
      </w:pPr>
      <w:r>
        <w:rPr>
          <w:rStyle w:val="FootnoteReference"/>
        </w:rPr>
        <w:footnoteRef/>
      </w:r>
      <w:r>
        <w:t xml:space="preserve"> See </w:t>
      </w:r>
      <w:hyperlink r:id="rId1" w:history="1">
        <w:r w:rsidRPr="00F56FE6">
          <w:rPr>
            <w:rStyle w:val="Hyperlink"/>
          </w:rPr>
          <w:t>https://www.pc.gov.au/inquiries/completed/radiocommunication</w:t>
        </w:r>
      </w:hyperlink>
      <w:r>
        <w:t xml:space="preserve"> for details.</w:t>
      </w:r>
    </w:p>
  </w:footnote>
  <w:footnote w:id="5">
    <w:p w14:paraId="1385E2DF" w14:textId="77777777" w:rsidR="007223A4" w:rsidRPr="0045467C" w:rsidRDefault="007223A4" w:rsidP="00D205C7">
      <w:pPr>
        <w:pStyle w:val="FootnoteText"/>
      </w:pPr>
      <w:r>
        <w:rPr>
          <w:rStyle w:val="FootnoteReference"/>
        </w:rPr>
        <w:footnoteRef/>
      </w:r>
      <w:r>
        <w:t xml:space="preserve"> Excluding the 5 GHz band (4.4–5 GHz), the 6 GHz band (5.925–6.425 GHz) and the 6.7 GHz band (6.425–7.11 GHz).</w:t>
      </w:r>
    </w:p>
  </w:footnote>
  <w:footnote w:id="6">
    <w:p w14:paraId="6D55F4DD" w14:textId="77777777" w:rsidR="007223A4" w:rsidRPr="007D4C42" w:rsidRDefault="007223A4" w:rsidP="00D205C7">
      <w:pPr>
        <w:pStyle w:val="FootnoteText"/>
      </w:pPr>
      <w:r>
        <w:rPr>
          <w:rStyle w:val="FootnoteReference"/>
        </w:rPr>
        <w:footnoteRef/>
      </w:r>
      <w:r>
        <w:t xml:space="preserve"> Excluding the 18 GHz band (17.7–19.7 GHz) and the 22 GHz band (21.2–23.6 GHz).</w:t>
      </w:r>
    </w:p>
  </w:footnote>
  <w:footnote w:id="7">
    <w:p w14:paraId="1C1E4B3D" w14:textId="06555BD2" w:rsidR="000250BA" w:rsidRPr="000C3E13" w:rsidRDefault="000250BA" w:rsidP="000250BA">
      <w:pPr>
        <w:pStyle w:val="FootnoteText"/>
      </w:pPr>
      <w:r>
        <w:rPr>
          <w:rStyle w:val="FootnoteReference"/>
        </w:rPr>
        <w:footnoteRef/>
      </w:r>
      <w:r>
        <w:t xml:space="preserve"> </w:t>
      </w:r>
      <w:r w:rsidR="00833DBA">
        <w:t>Alternatively,</w:t>
      </w:r>
      <w:r w:rsidRPr="00D55740">
        <w:t xml:space="preserve"> </w:t>
      </w:r>
      <w:r>
        <w:t>a relative antenna gain compared to the maximum antenna gain could be provided.</w:t>
      </w:r>
    </w:p>
  </w:footnote>
  <w:footnote w:id="8">
    <w:p w14:paraId="51391AE8" w14:textId="77777777" w:rsidR="000250BA" w:rsidRPr="00F30C48" w:rsidRDefault="000250BA" w:rsidP="000250BA">
      <w:pPr>
        <w:pStyle w:val="FootnoteText"/>
      </w:pPr>
      <w:r>
        <w:rPr>
          <w:rStyle w:val="FootnoteReference"/>
        </w:rPr>
        <w:footnoteRef/>
      </w:r>
      <w:r>
        <w:t xml:space="preserve"> A timely response is required, that is, communication in person, or by e-mail, fax or telephone. Response by posted letter is not appropriate.</w:t>
      </w:r>
    </w:p>
  </w:footnote>
  <w:footnote w:id="9">
    <w:p w14:paraId="16CA1585" w14:textId="77777777" w:rsidR="000250BA" w:rsidRPr="000F784D" w:rsidRDefault="000250BA" w:rsidP="000250BA">
      <w:pPr>
        <w:pStyle w:val="FootnoteText"/>
      </w:pPr>
      <w:r>
        <w:rPr>
          <w:rStyle w:val="FootnoteReference"/>
        </w:rPr>
        <w:footnoteRef/>
      </w:r>
      <w:r>
        <w:t xml:space="preserve"> </w:t>
      </w:r>
      <w:r>
        <w:rPr>
          <w:color w:val="000000"/>
        </w:rPr>
        <w:t>‘</w:t>
      </w:r>
      <w:r w:rsidRPr="00C27C7F">
        <w:rPr>
          <w:color w:val="000000"/>
        </w:rPr>
        <w:t>Working day</w:t>
      </w:r>
      <w:r>
        <w:rPr>
          <w:color w:val="000000"/>
        </w:rPr>
        <w:t>’</w:t>
      </w:r>
      <w:r w:rsidRPr="00C27C7F">
        <w:rPr>
          <w:color w:val="000000"/>
        </w:rPr>
        <w:t xml:space="preserve"> means any day other than a Saturday, Sunday or public holiday (including public service holidays) for the whole of the State or Territory in which the assigner’s registered office is located, and </w:t>
      </w:r>
      <w:r>
        <w:rPr>
          <w:color w:val="000000"/>
        </w:rPr>
        <w:t xml:space="preserve">other than </w:t>
      </w:r>
      <w:r w:rsidRPr="00C27C7F">
        <w:rPr>
          <w:color w:val="000000"/>
        </w:rPr>
        <w:t>any day between 25</w:t>
      </w:r>
      <w:r>
        <w:rPr>
          <w:color w:val="000000"/>
        </w:rPr>
        <w:t> </w:t>
      </w:r>
      <w:r w:rsidRPr="00C27C7F">
        <w:rPr>
          <w:color w:val="000000"/>
        </w:rPr>
        <w:t>December and 1</w:t>
      </w:r>
      <w:r>
        <w:rPr>
          <w:color w:val="000000"/>
        </w:rPr>
        <w:t> </w:t>
      </w:r>
      <w:r w:rsidRPr="00C27C7F">
        <w:rPr>
          <w:color w:val="000000"/>
        </w:rPr>
        <w:t>January.</w:t>
      </w:r>
    </w:p>
  </w:footnote>
  <w:footnote w:id="10">
    <w:p w14:paraId="61A83D9F" w14:textId="77777777" w:rsidR="000250BA" w:rsidRPr="00BB1428" w:rsidRDefault="000250BA" w:rsidP="000250BA">
      <w:pPr>
        <w:pStyle w:val="FootnoteText"/>
      </w:pPr>
      <w:r>
        <w:rPr>
          <w:rStyle w:val="FootnoteReference"/>
        </w:rPr>
        <w:footnoteRef/>
      </w:r>
      <w:r>
        <w:t xml:space="preserve"> The intention of the negotiations is not to change the regulatory status of the services, but rather to encourage mutually acceptable technical solutions that would prevent avoidable interference to the radio astronomy service without imposing undue delay on non-radio astronomy services. </w:t>
      </w:r>
    </w:p>
  </w:footnote>
  <w:footnote w:id="11">
    <w:p w14:paraId="6C87E05F" w14:textId="0C98E76E" w:rsidR="000250BA" w:rsidRDefault="000250BA">
      <w:pPr>
        <w:pStyle w:val="FootnoteText"/>
      </w:pPr>
      <w:r>
        <w:rPr>
          <w:rStyle w:val="FootnoteReference"/>
        </w:rPr>
        <w:footnoteRef/>
      </w:r>
      <w:r>
        <w:t xml:space="preserve"> </w:t>
      </w:r>
      <w:r w:rsidRPr="000250BA">
        <w:t>May be provided as information on the antenna’s horizontal pattern.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A12" w14:textId="5B306A7F" w:rsidR="005B78BE" w:rsidRDefault="005B78BE">
    <w:pPr>
      <w:pStyle w:val="Header"/>
    </w:pPr>
    <w:r>
      <w:rPr>
        <w:noProof/>
      </w:rPr>
      <mc:AlternateContent>
        <mc:Choice Requires="wps">
          <w:drawing>
            <wp:anchor distT="0" distB="0" distL="0" distR="0" simplePos="0" relativeHeight="251659264" behindDoc="0" locked="0" layoutInCell="1" allowOverlap="1" wp14:anchorId="6B727B6D" wp14:editId="5A9921C6">
              <wp:simplePos x="635" y="635"/>
              <wp:positionH relativeFrom="page">
                <wp:align>center</wp:align>
              </wp:positionH>
              <wp:positionV relativeFrom="page">
                <wp:align>top</wp:align>
              </wp:positionV>
              <wp:extent cx="551815" cy="376555"/>
              <wp:effectExtent l="0" t="0" r="635" b="4445"/>
              <wp:wrapNone/>
              <wp:docPr id="3313425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E36ED1" w14:textId="541F4056"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27B6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4E36ED1" w14:textId="541F4056"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8D7E" w14:textId="1A739467" w:rsidR="005B78BE" w:rsidRDefault="005B78BE">
    <w:pPr>
      <w:pStyle w:val="Header"/>
    </w:pPr>
    <w:r>
      <w:rPr>
        <w:noProof/>
      </w:rPr>
      <mc:AlternateContent>
        <mc:Choice Requires="wps">
          <w:drawing>
            <wp:anchor distT="0" distB="0" distL="0" distR="0" simplePos="0" relativeHeight="251660288" behindDoc="0" locked="0" layoutInCell="1" allowOverlap="1" wp14:anchorId="5F10E82A" wp14:editId="4B1E46DE">
              <wp:simplePos x="635" y="635"/>
              <wp:positionH relativeFrom="page">
                <wp:align>center</wp:align>
              </wp:positionH>
              <wp:positionV relativeFrom="page">
                <wp:align>top</wp:align>
              </wp:positionV>
              <wp:extent cx="551815" cy="376555"/>
              <wp:effectExtent l="0" t="0" r="635" b="4445"/>
              <wp:wrapNone/>
              <wp:docPr id="7164915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B4F986" w14:textId="41D53FEE"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0E82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8B4F986" w14:textId="41D53FEE"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731" w14:textId="32302DC5" w:rsidR="005A172F" w:rsidRDefault="005B78BE" w:rsidP="005A172F">
    <w:pPr>
      <w:pStyle w:val="Header"/>
      <w:tabs>
        <w:tab w:val="left" w:pos="1560"/>
      </w:tabs>
    </w:pPr>
    <w:r>
      <w:rPr>
        <w:noProof/>
      </w:rPr>
      <mc:AlternateContent>
        <mc:Choice Requires="wps">
          <w:drawing>
            <wp:anchor distT="0" distB="0" distL="0" distR="0" simplePos="0" relativeHeight="251658240" behindDoc="0" locked="0" layoutInCell="1" allowOverlap="1" wp14:anchorId="7D58AED0" wp14:editId="69DEF04D">
              <wp:simplePos x="914400" y="447675"/>
              <wp:positionH relativeFrom="page">
                <wp:align>center</wp:align>
              </wp:positionH>
              <wp:positionV relativeFrom="page">
                <wp:align>top</wp:align>
              </wp:positionV>
              <wp:extent cx="551815" cy="376555"/>
              <wp:effectExtent l="0" t="0" r="635" b="4445"/>
              <wp:wrapNone/>
              <wp:docPr id="9858239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8FBB6B" w14:textId="112D0187" w:rsidR="005B78BE" w:rsidRPr="005B78BE" w:rsidRDefault="005B78BE" w:rsidP="005B78BE">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8AED0"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08FBB6B" w14:textId="112D0187" w:rsidR="005B78BE" w:rsidRPr="005B78BE" w:rsidRDefault="005B78BE" w:rsidP="005B78BE">
                    <w:pPr>
                      <w:spacing w:after="0"/>
                      <w:rPr>
                        <w:rFonts w:ascii="Calibri" w:eastAsia="Calibri" w:hAnsi="Calibri" w:cs="Calibri"/>
                        <w:noProof/>
                        <w:color w:val="FF0000"/>
                        <w:sz w:val="24"/>
                      </w:rPr>
                    </w:pPr>
                  </w:p>
                </w:txbxContent>
              </v:textbox>
              <w10:wrap anchorx="page" anchory="page"/>
            </v:shape>
          </w:pict>
        </mc:Fallback>
      </mc:AlternateContent>
    </w:r>
    <w:r w:rsidR="005A172F">
      <w:rPr>
        <w:noProof/>
      </w:rPr>
      <w:drawing>
        <wp:inline distT="0" distB="0" distL="0" distR="0" wp14:anchorId="2BA93937" wp14:editId="1604AD6D">
          <wp:extent cx="34004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400050"/>
                  </a:xfrm>
                  <a:prstGeom prst="rect">
                    <a:avLst/>
                  </a:prstGeom>
                  <a:noFill/>
                  <a:ln>
                    <a:noFill/>
                  </a:ln>
                </pic:spPr>
              </pic:pic>
            </a:graphicData>
          </a:graphic>
        </wp:inline>
      </w:drawing>
    </w:r>
  </w:p>
  <w:p w14:paraId="5387A230" w14:textId="4293657D" w:rsidR="004D24E8" w:rsidRDefault="004D24E8" w:rsidP="00A07457">
    <w:pPr>
      <w:pStyle w:val="Header"/>
      <w:tabs>
        <w:tab w:val="left" w:pos="1560"/>
      </w:tabs>
    </w:pPr>
  </w:p>
  <w:p w14:paraId="277F551C" w14:textId="77777777" w:rsidR="004D24E8" w:rsidRDefault="004D24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0A8E" w14:textId="338D9536" w:rsidR="00352A1F" w:rsidRDefault="005B78BE">
    <w:pPr>
      <w:pStyle w:val="Header"/>
    </w:pPr>
    <w:r>
      <w:rPr>
        <w:noProof/>
      </w:rPr>
      <mc:AlternateContent>
        <mc:Choice Requires="wps">
          <w:drawing>
            <wp:anchor distT="0" distB="0" distL="0" distR="0" simplePos="0" relativeHeight="251662336" behindDoc="0" locked="0" layoutInCell="1" allowOverlap="1" wp14:anchorId="59A21920" wp14:editId="30F3DD5F">
              <wp:simplePos x="914400" y="447675"/>
              <wp:positionH relativeFrom="page">
                <wp:align>center</wp:align>
              </wp:positionH>
              <wp:positionV relativeFrom="page">
                <wp:align>top</wp:align>
              </wp:positionV>
              <wp:extent cx="551815" cy="376555"/>
              <wp:effectExtent l="0" t="0" r="635" b="4445"/>
              <wp:wrapNone/>
              <wp:docPr id="157749359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B9E1EF" w14:textId="38F98B9D" w:rsidR="005B78BE" w:rsidRPr="005B78BE" w:rsidRDefault="005B78BE" w:rsidP="005B78BE">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A21920"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CB9E1EF" w14:textId="38F98B9D" w:rsidR="005B78BE" w:rsidRPr="005B78BE" w:rsidRDefault="005B78BE" w:rsidP="005B78BE">
                    <w:pPr>
                      <w:spacing w:after="0"/>
                      <w:rPr>
                        <w:rFonts w:ascii="Calibri" w:eastAsia="Calibri" w:hAnsi="Calibri" w:cs="Calibri"/>
                        <w:noProof/>
                        <w:color w:val="FF0000"/>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29D9" w14:textId="564F8BEF" w:rsidR="00352A1F" w:rsidRDefault="005B78BE">
    <w:pPr>
      <w:pStyle w:val="Header"/>
    </w:pPr>
    <w:r>
      <w:rPr>
        <w:noProof/>
      </w:rPr>
      <mc:AlternateContent>
        <mc:Choice Requires="wps">
          <w:drawing>
            <wp:anchor distT="0" distB="0" distL="0" distR="0" simplePos="0" relativeHeight="251663360" behindDoc="0" locked="0" layoutInCell="1" allowOverlap="1" wp14:anchorId="44B83BF2" wp14:editId="398E6823">
              <wp:simplePos x="914400" y="447675"/>
              <wp:positionH relativeFrom="page">
                <wp:align>center</wp:align>
              </wp:positionH>
              <wp:positionV relativeFrom="page">
                <wp:align>top</wp:align>
              </wp:positionV>
              <wp:extent cx="551815" cy="376555"/>
              <wp:effectExtent l="0" t="0" r="635" b="4445"/>
              <wp:wrapNone/>
              <wp:docPr id="199054328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2D4D79" w14:textId="586DE7BE" w:rsidR="005B78BE" w:rsidRPr="005B78BE" w:rsidRDefault="005B78BE" w:rsidP="005B78BE">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83BF2"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022D4D79" w14:textId="586DE7BE" w:rsidR="005B78BE" w:rsidRPr="005B78BE" w:rsidRDefault="005B78BE" w:rsidP="005B78BE">
                    <w:pPr>
                      <w:spacing w:after="0"/>
                      <w:rPr>
                        <w:rFonts w:ascii="Calibri" w:eastAsia="Calibri" w:hAnsi="Calibri" w:cs="Calibri"/>
                        <w:noProof/>
                        <w:color w:val="FF0000"/>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2ECF" w14:textId="61153119" w:rsidR="00352A1F" w:rsidRDefault="005B78BE">
    <w:pPr>
      <w:pStyle w:val="Header"/>
    </w:pPr>
    <w:r>
      <w:rPr>
        <w:noProof/>
      </w:rPr>
      <mc:AlternateContent>
        <mc:Choice Requires="wps">
          <w:drawing>
            <wp:anchor distT="0" distB="0" distL="0" distR="0" simplePos="0" relativeHeight="251661312" behindDoc="0" locked="0" layoutInCell="1" allowOverlap="1" wp14:anchorId="05097ECD" wp14:editId="51C30D57">
              <wp:simplePos x="635" y="635"/>
              <wp:positionH relativeFrom="page">
                <wp:align>center</wp:align>
              </wp:positionH>
              <wp:positionV relativeFrom="page">
                <wp:align>top</wp:align>
              </wp:positionV>
              <wp:extent cx="551815" cy="376555"/>
              <wp:effectExtent l="0" t="0" r="635" b="4445"/>
              <wp:wrapNone/>
              <wp:docPr id="52422453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789C88" w14:textId="7119C6E0"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97ECD" id="_x0000_t202" coordsize="21600,21600" o:spt="202" path="m,l,21600r21600,l21600,xe">
              <v:stroke joinstyle="miter"/>
              <v:path gradientshapeok="t" o:connecttype="rect"/>
            </v:shapetype>
            <v:shape id="Text Box 4" o:spid="_x0000_s1035"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1F789C88" w14:textId="7119C6E0"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6F96" w14:textId="3BC7C003" w:rsidR="00352A1F" w:rsidRDefault="005B78BE">
    <w:pPr>
      <w:pStyle w:val="Header"/>
    </w:pPr>
    <w:r>
      <w:rPr>
        <w:noProof/>
      </w:rPr>
      <mc:AlternateContent>
        <mc:Choice Requires="wps">
          <w:drawing>
            <wp:anchor distT="0" distB="0" distL="0" distR="0" simplePos="0" relativeHeight="251665408" behindDoc="0" locked="0" layoutInCell="1" allowOverlap="1" wp14:anchorId="791E0F06" wp14:editId="50106A7A">
              <wp:simplePos x="720725" y="450850"/>
              <wp:positionH relativeFrom="page">
                <wp:align>center</wp:align>
              </wp:positionH>
              <wp:positionV relativeFrom="page">
                <wp:align>top</wp:align>
              </wp:positionV>
              <wp:extent cx="551815" cy="376555"/>
              <wp:effectExtent l="0" t="0" r="635" b="4445"/>
              <wp:wrapNone/>
              <wp:docPr id="58573787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65F1AB" w14:textId="05632246" w:rsidR="005B78BE" w:rsidRPr="005B78BE" w:rsidRDefault="005B78BE" w:rsidP="005B78BE">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1E0F06" id="_x0000_t202" coordsize="21600,21600" o:spt="202" path="m,l,21600r21600,l21600,xe">
              <v:stroke joinstyle="miter"/>
              <v:path gradientshapeok="t" o:connecttype="rect"/>
            </v:shapetype>
            <v:shape id="Text Box 8" o:spid="_x0000_s103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5A65F1AB" w14:textId="05632246" w:rsidR="005B78BE" w:rsidRPr="005B78BE" w:rsidRDefault="005B78BE" w:rsidP="005B78BE">
                    <w:pPr>
                      <w:spacing w:after="0"/>
                      <w:rPr>
                        <w:rFonts w:ascii="Calibri" w:eastAsia="Calibri" w:hAnsi="Calibri" w:cs="Calibri"/>
                        <w:noProof/>
                        <w:color w:val="FF0000"/>
                        <w:sz w:val="24"/>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7505" w14:textId="248B1677" w:rsidR="004D24E8" w:rsidRDefault="005B78BE">
    <w:pPr>
      <w:pStyle w:val="Header"/>
    </w:pPr>
    <w:r>
      <w:rPr>
        <w:noProof/>
      </w:rPr>
      <mc:AlternateContent>
        <mc:Choice Requires="wps">
          <w:drawing>
            <wp:anchor distT="0" distB="0" distL="0" distR="0" simplePos="0" relativeHeight="251666432" behindDoc="0" locked="0" layoutInCell="1" allowOverlap="1" wp14:anchorId="06E9A821" wp14:editId="07366AD2">
              <wp:simplePos x="723900" y="447675"/>
              <wp:positionH relativeFrom="page">
                <wp:align>center</wp:align>
              </wp:positionH>
              <wp:positionV relativeFrom="page">
                <wp:align>top</wp:align>
              </wp:positionV>
              <wp:extent cx="551815" cy="376555"/>
              <wp:effectExtent l="0" t="0" r="635" b="4445"/>
              <wp:wrapNone/>
              <wp:docPr id="154592585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1CFF92" w14:textId="0B603879" w:rsidR="005B78BE" w:rsidRPr="005B78BE" w:rsidRDefault="005B78BE" w:rsidP="005B78BE">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9A821" id="_x0000_t202" coordsize="21600,21600" o:spt="202" path="m,l,21600r21600,l21600,xe">
              <v:stroke joinstyle="miter"/>
              <v:path gradientshapeok="t" o:connecttype="rect"/>
            </v:shapetype>
            <v:shape id="Text Box 9" o:spid="_x0000_s103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2C1CFF92" w14:textId="0B603879" w:rsidR="005B78BE" w:rsidRPr="005B78BE" w:rsidRDefault="005B78BE" w:rsidP="005B78BE">
                    <w:pPr>
                      <w:spacing w:after="0"/>
                      <w:rPr>
                        <w:rFonts w:ascii="Calibri" w:eastAsia="Calibri" w:hAnsi="Calibri" w:cs="Calibri"/>
                        <w:noProof/>
                        <w:color w:val="FF0000"/>
                        <w:sz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C966" w14:textId="0C6C32CC" w:rsidR="00352A1F" w:rsidRDefault="005B78BE">
    <w:pPr>
      <w:pStyle w:val="Header"/>
    </w:pPr>
    <w:r>
      <w:rPr>
        <w:noProof/>
      </w:rPr>
      <mc:AlternateContent>
        <mc:Choice Requires="wps">
          <w:drawing>
            <wp:anchor distT="0" distB="0" distL="0" distR="0" simplePos="0" relativeHeight="251664384" behindDoc="0" locked="0" layoutInCell="1" allowOverlap="1" wp14:anchorId="2DE560E7" wp14:editId="38CF8F10">
              <wp:simplePos x="635" y="635"/>
              <wp:positionH relativeFrom="page">
                <wp:align>center</wp:align>
              </wp:positionH>
              <wp:positionV relativeFrom="page">
                <wp:align>top</wp:align>
              </wp:positionV>
              <wp:extent cx="551815" cy="376555"/>
              <wp:effectExtent l="0" t="0" r="635" b="4445"/>
              <wp:wrapNone/>
              <wp:docPr id="14593813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0A31C9" w14:textId="2324DDD6"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560E7" id="_x0000_t202" coordsize="21600,21600" o:spt="202" path="m,l,21600r21600,l21600,xe">
              <v:stroke joinstyle="miter"/>
              <v:path gradientshapeok="t" o:connecttype="rect"/>
            </v:shapetype>
            <v:shape id="Text Box 7" o:spid="_x0000_s1039"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750A31C9" w14:textId="2324DDD6" w:rsidR="005B78BE" w:rsidRPr="005B78BE" w:rsidRDefault="005B78BE" w:rsidP="005B78BE">
                    <w:pPr>
                      <w:spacing w:after="0"/>
                      <w:rPr>
                        <w:rFonts w:ascii="Calibri" w:eastAsia="Calibri" w:hAnsi="Calibri" w:cs="Calibri"/>
                        <w:noProof/>
                        <w:color w:val="FF0000"/>
                        <w:sz w:val="24"/>
                      </w:rPr>
                    </w:pPr>
                    <w:r w:rsidRPr="005B78BE">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3632DA"/>
    <w:lvl w:ilvl="0">
      <w:start w:val="1"/>
      <w:numFmt w:val="decimal"/>
      <w:pStyle w:val="Tableheading"/>
      <w:lvlText w:val="%1."/>
      <w:lvlJc w:val="left"/>
      <w:pPr>
        <w:ind w:left="360" w:hanging="360"/>
      </w:pPr>
      <w:rPr>
        <w:rFonts w:hint="default"/>
      </w:rPr>
    </w:lvl>
  </w:abstractNum>
  <w:abstractNum w:abstractNumId="1" w15:restartNumberingAfterBreak="0">
    <w:nsid w:val="FFFFFF81"/>
    <w:multiLevelType w:val="singleLevel"/>
    <w:tmpl w:val="809693F2"/>
    <w:lvl w:ilvl="0">
      <w:start w:val="1"/>
      <w:numFmt w:val="bullet"/>
      <w:pStyle w:val="Numberlistlevel2las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3"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4" w15:restartNumberingAfterBreak="0">
    <w:nsid w:val="FFFFFF89"/>
    <w:multiLevelType w:val="singleLevel"/>
    <w:tmpl w:val="FD06898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1B915F4"/>
    <w:multiLevelType w:val="multilevel"/>
    <w:tmpl w:val="E70EADCC"/>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1" w:hanging="431"/>
      </w:pPr>
      <w:rPr>
        <w:rFonts w:hint="default"/>
      </w:rPr>
    </w:lvl>
    <w:lvl w:ilvl="2">
      <w:start w:val="1"/>
      <w:numFmt w:val="decimal"/>
      <w:pStyle w:val="Heading3"/>
      <w:lvlText w:val="%1.%2.%3"/>
      <w:lvlJc w:val="left"/>
      <w:pPr>
        <w:ind w:left="431" w:hanging="431"/>
      </w:pPr>
      <w:rPr>
        <w:rFonts w:hint="default"/>
      </w:rPr>
    </w:lvl>
    <w:lvl w:ilvl="3">
      <w:start w:val="1"/>
      <w:numFmt w:val="decimal"/>
      <w:pStyle w:val="Heading4"/>
      <w:lvlText w:val="%1.%2.%3.%4"/>
      <w:lvlJc w:val="left"/>
      <w:pPr>
        <w:ind w:left="431" w:hanging="431"/>
      </w:pPr>
      <w:rPr>
        <w:rFonts w:ascii="Arial" w:hAnsi="Arial" w:cs="Arial" w:hint="default"/>
        <w:sz w:val="22"/>
        <w:szCs w:val="18"/>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7" w15:restartNumberingAfterBreak="0">
    <w:nsid w:val="55AA21F0"/>
    <w:multiLevelType w:val="hybridMultilevel"/>
    <w:tmpl w:val="4DDA0712"/>
    <w:lvl w:ilvl="0" w:tplc="59A6BED4">
      <w:start w:val="1"/>
      <w:numFmt w:val="decimal"/>
      <w:pStyle w:val="ACMATableHeader"/>
      <w:lvlText w:val="Table %1"/>
      <w:lvlJc w:val="left"/>
      <w:pPr>
        <w:tabs>
          <w:tab w:val="num" w:pos="2807"/>
        </w:tabs>
        <w:ind w:left="2807"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57AE6"/>
    <w:multiLevelType w:val="hybridMultilevel"/>
    <w:tmpl w:val="4BAEE1E2"/>
    <w:lvl w:ilvl="0" w:tplc="0DA4929C">
      <w:start w:val="1"/>
      <w:numFmt w:val="decimal"/>
      <w:pStyle w:val="Caption"/>
      <w:lvlText w:val="Table %1:"/>
      <w:lvlJc w:val="left"/>
      <w:pPr>
        <w:tabs>
          <w:tab w:val="num" w:pos="6918"/>
        </w:tabs>
        <w:ind w:left="6918"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FE3266"/>
    <w:multiLevelType w:val="hybridMultilevel"/>
    <w:tmpl w:val="7FEAA5E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01928624">
    <w:abstractNumId w:val="4"/>
  </w:num>
  <w:num w:numId="2" w16cid:durableId="440615019">
    <w:abstractNumId w:val="2"/>
  </w:num>
  <w:num w:numId="3" w16cid:durableId="1533879842">
    <w:abstractNumId w:val="1"/>
  </w:num>
  <w:num w:numId="4" w16cid:durableId="1788045626">
    <w:abstractNumId w:val="3"/>
  </w:num>
  <w:num w:numId="5" w16cid:durableId="1965848950">
    <w:abstractNumId w:val="0"/>
  </w:num>
  <w:num w:numId="6" w16cid:durableId="195506035">
    <w:abstractNumId w:val="9"/>
  </w:num>
  <w:num w:numId="7" w16cid:durableId="1807089761">
    <w:abstractNumId w:val="7"/>
  </w:num>
  <w:num w:numId="8" w16cid:durableId="88893295">
    <w:abstractNumId w:val="8"/>
  </w:num>
  <w:num w:numId="9" w16cid:durableId="1953902836">
    <w:abstractNumId w:val="10"/>
  </w:num>
  <w:num w:numId="10" w16cid:durableId="1926767124">
    <w:abstractNumId w:val="5"/>
  </w:num>
  <w:num w:numId="11" w16cid:durableId="1093938058">
    <w:abstractNumId w:val="6"/>
  </w:num>
  <w:num w:numId="12" w16cid:durableId="1469727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BF"/>
    <w:rsid w:val="00000738"/>
    <w:rsid w:val="00000E87"/>
    <w:rsid w:val="000026A3"/>
    <w:rsid w:val="00006E1B"/>
    <w:rsid w:val="000104FA"/>
    <w:rsid w:val="00010667"/>
    <w:rsid w:val="0001079C"/>
    <w:rsid w:val="0001147A"/>
    <w:rsid w:val="000119E8"/>
    <w:rsid w:val="00011FCF"/>
    <w:rsid w:val="000129D5"/>
    <w:rsid w:val="00014E37"/>
    <w:rsid w:val="000159E5"/>
    <w:rsid w:val="00015AE7"/>
    <w:rsid w:val="00016E21"/>
    <w:rsid w:val="00016F71"/>
    <w:rsid w:val="0001719C"/>
    <w:rsid w:val="00017B68"/>
    <w:rsid w:val="00020442"/>
    <w:rsid w:val="0002224E"/>
    <w:rsid w:val="0002251A"/>
    <w:rsid w:val="000245E5"/>
    <w:rsid w:val="0002494D"/>
    <w:rsid w:val="000250BA"/>
    <w:rsid w:val="00026F91"/>
    <w:rsid w:val="0003293F"/>
    <w:rsid w:val="00032CB7"/>
    <w:rsid w:val="00034B44"/>
    <w:rsid w:val="00034E2B"/>
    <w:rsid w:val="00036183"/>
    <w:rsid w:val="00036B6B"/>
    <w:rsid w:val="00041543"/>
    <w:rsid w:val="00041D00"/>
    <w:rsid w:val="00042573"/>
    <w:rsid w:val="0004302B"/>
    <w:rsid w:val="00043A81"/>
    <w:rsid w:val="00045AE3"/>
    <w:rsid w:val="000469DC"/>
    <w:rsid w:val="00046AE4"/>
    <w:rsid w:val="00046E13"/>
    <w:rsid w:val="0004764C"/>
    <w:rsid w:val="0005011A"/>
    <w:rsid w:val="0005045A"/>
    <w:rsid w:val="0005098C"/>
    <w:rsid w:val="000515D5"/>
    <w:rsid w:val="00051C1E"/>
    <w:rsid w:val="00053661"/>
    <w:rsid w:val="000539F9"/>
    <w:rsid w:val="00053C6D"/>
    <w:rsid w:val="00053D8A"/>
    <w:rsid w:val="00054C27"/>
    <w:rsid w:val="00055E09"/>
    <w:rsid w:val="00055EC3"/>
    <w:rsid w:val="00055F47"/>
    <w:rsid w:val="000563CE"/>
    <w:rsid w:val="00056DC3"/>
    <w:rsid w:val="000572FE"/>
    <w:rsid w:val="0006046A"/>
    <w:rsid w:val="000605C1"/>
    <w:rsid w:val="00063A18"/>
    <w:rsid w:val="0006558B"/>
    <w:rsid w:val="000659B6"/>
    <w:rsid w:val="0006686F"/>
    <w:rsid w:val="0006722A"/>
    <w:rsid w:val="00067DE1"/>
    <w:rsid w:val="0007258E"/>
    <w:rsid w:val="000732CF"/>
    <w:rsid w:val="00075B96"/>
    <w:rsid w:val="00075D60"/>
    <w:rsid w:val="0008196A"/>
    <w:rsid w:val="00082683"/>
    <w:rsid w:val="00082BFB"/>
    <w:rsid w:val="00087AE8"/>
    <w:rsid w:val="00087C3E"/>
    <w:rsid w:val="00087D96"/>
    <w:rsid w:val="00090831"/>
    <w:rsid w:val="000915ED"/>
    <w:rsid w:val="0009209D"/>
    <w:rsid w:val="00093BF0"/>
    <w:rsid w:val="00095D79"/>
    <w:rsid w:val="000969BD"/>
    <w:rsid w:val="000969BF"/>
    <w:rsid w:val="00097D72"/>
    <w:rsid w:val="000A0C22"/>
    <w:rsid w:val="000A1400"/>
    <w:rsid w:val="000A231A"/>
    <w:rsid w:val="000A3B91"/>
    <w:rsid w:val="000A3C43"/>
    <w:rsid w:val="000A4A51"/>
    <w:rsid w:val="000A5D2B"/>
    <w:rsid w:val="000A797B"/>
    <w:rsid w:val="000B0A98"/>
    <w:rsid w:val="000B2746"/>
    <w:rsid w:val="000B27C0"/>
    <w:rsid w:val="000B31BD"/>
    <w:rsid w:val="000B418E"/>
    <w:rsid w:val="000B4B93"/>
    <w:rsid w:val="000B5DE3"/>
    <w:rsid w:val="000B652B"/>
    <w:rsid w:val="000C0A57"/>
    <w:rsid w:val="000C0A95"/>
    <w:rsid w:val="000C1A48"/>
    <w:rsid w:val="000C230C"/>
    <w:rsid w:val="000C243D"/>
    <w:rsid w:val="000C2E54"/>
    <w:rsid w:val="000C423E"/>
    <w:rsid w:val="000C69FE"/>
    <w:rsid w:val="000C6AB4"/>
    <w:rsid w:val="000C6EFE"/>
    <w:rsid w:val="000D1616"/>
    <w:rsid w:val="000D2400"/>
    <w:rsid w:val="000D697E"/>
    <w:rsid w:val="000D6B20"/>
    <w:rsid w:val="000D71D9"/>
    <w:rsid w:val="000D76E0"/>
    <w:rsid w:val="000D7E8B"/>
    <w:rsid w:val="000E0D2E"/>
    <w:rsid w:val="000E20EF"/>
    <w:rsid w:val="000E272B"/>
    <w:rsid w:val="000E4449"/>
    <w:rsid w:val="000E4724"/>
    <w:rsid w:val="000E51A3"/>
    <w:rsid w:val="000E6097"/>
    <w:rsid w:val="000E7CF1"/>
    <w:rsid w:val="000F214A"/>
    <w:rsid w:val="000F249A"/>
    <w:rsid w:val="000F2EDA"/>
    <w:rsid w:val="000F364E"/>
    <w:rsid w:val="000F3C6D"/>
    <w:rsid w:val="000F3F00"/>
    <w:rsid w:val="000F55CB"/>
    <w:rsid w:val="000F5FFC"/>
    <w:rsid w:val="000F62E4"/>
    <w:rsid w:val="000F7C6F"/>
    <w:rsid w:val="00101033"/>
    <w:rsid w:val="00103816"/>
    <w:rsid w:val="00103829"/>
    <w:rsid w:val="00103A50"/>
    <w:rsid w:val="001041DA"/>
    <w:rsid w:val="00104202"/>
    <w:rsid w:val="001045A8"/>
    <w:rsid w:val="00106593"/>
    <w:rsid w:val="001110CB"/>
    <w:rsid w:val="001118D9"/>
    <w:rsid w:val="00111FCE"/>
    <w:rsid w:val="0011393A"/>
    <w:rsid w:val="001146BC"/>
    <w:rsid w:val="0011478A"/>
    <w:rsid w:val="001151CC"/>
    <w:rsid w:val="00120B4B"/>
    <w:rsid w:val="00121765"/>
    <w:rsid w:val="001229A5"/>
    <w:rsid w:val="0012489B"/>
    <w:rsid w:val="00130017"/>
    <w:rsid w:val="00130F91"/>
    <w:rsid w:val="001349ED"/>
    <w:rsid w:val="00137424"/>
    <w:rsid w:val="00140318"/>
    <w:rsid w:val="001405BF"/>
    <w:rsid w:val="00141AD9"/>
    <w:rsid w:val="00142BC2"/>
    <w:rsid w:val="00144E89"/>
    <w:rsid w:val="00146CE6"/>
    <w:rsid w:val="00147CE1"/>
    <w:rsid w:val="00150A76"/>
    <w:rsid w:val="00152903"/>
    <w:rsid w:val="00153FD5"/>
    <w:rsid w:val="001544D4"/>
    <w:rsid w:val="00154C2A"/>
    <w:rsid w:val="00155198"/>
    <w:rsid w:val="0015614F"/>
    <w:rsid w:val="00156C11"/>
    <w:rsid w:val="001577C2"/>
    <w:rsid w:val="00157BBD"/>
    <w:rsid w:val="00160184"/>
    <w:rsid w:val="001633C4"/>
    <w:rsid w:val="00163D9A"/>
    <w:rsid w:val="00165427"/>
    <w:rsid w:val="00165474"/>
    <w:rsid w:val="001675E0"/>
    <w:rsid w:val="001704D5"/>
    <w:rsid w:val="00171591"/>
    <w:rsid w:val="00171BB3"/>
    <w:rsid w:val="00173981"/>
    <w:rsid w:val="00174361"/>
    <w:rsid w:val="0017719D"/>
    <w:rsid w:val="00183FD7"/>
    <w:rsid w:val="00185CAB"/>
    <w:rsid w:val="00187286"/>
    <w:rsid w:val="00187465"/>
    <w:rsid w:val="001875B7"/>
    <w:rsid w:val="00187CB3"/>
    <w:rsid w:val="0019050A"/>
    <w:rsid w:val="0019071B"/>
    <w:rsid w:val="001910D4"/>
    <w:rsid w:val="00191C84"/>
    <w:rsid w:val="0019704E"/>
    <w:rsid w:val="001976E3"/>
    <w:rsid w:val="001A08A6"/>
    <w:rsid w:val="001A159C"/>
    <w:rsid w:val="001A44EC"/>
    <w:rsid w:val="001A5704"/>
    <w:rsid w:val="001A59EB"/>
    <w:rsid w:val="001A7728"/>
    <w:rsid w:val="001B0497"/>
    <w:rsid w:val="001B229C"/>
    <w:rsid w:val="001B2A4F"/>
    <w:rsid w:val="001B37F5"/>
    <w:rsid w:val="001B4E88"/>
    <w:rsid w:val="001B5795"/>
    <w:rsid w:val="001B58AA"/>
    <w:rsid w:val="001B7E48"/>
    <w:rsid w:val="001C160E"/>
    <w:rsid w:val="001C17CE"/>
    <w:rsid w:val="001C36CA"/>
    <w:rsid w:val="001C449F"/>
    <w:rsid w:val="001C44D1"/>
    <w:rsid w:val="001C6AEE"/>
    <w:rsid w:val="001C7630"/>
    <w:rsid w:val="001D0046"/>
    <w:rsid w:val="001D17AA"/>
    <w:rsid w:val="001D23B5"/>
    <w:rsid w:val="001D52B3"/>
    <w:rsid w:val="001D6615"/>
    <w:rsid w:val="001D6D15"/>
    <w:rsid w:val="001D6E65"/>
    <w:rsid w:val="001E100E"/>
    <w:rsid w:val="001E2F8C"/>
    <w:rsid w:val="001E525E"/>
    <w:rsid w:val="001E6386"/>
    <w:rsid w:val="001E6CC5"/>
    <w:rsid w:val="001F0E76"/>
    <w:rsid w:val="001F4531"/>
    <w:rsid w:val="001F4DB0"/>
    <w:rsid w:val="001F587D"/>
    <w:rsid w:val="001F74DE"/>
    <w:rsid w:val="001F7558"/>
    <w:rsid w:val="001F7C39"/>
    <w:rsid w:val="002015ED"/>
    <w:rsid w:val="00203F93"/>
    <w:rsid w:val="00205B57"/>
    <w:rsid w:val="00205C5A"/>
    <w:rsid w:val="0021287F"/>
    <w:rsid w:val="00213F7D"/>
    <w:rsid w:val="002157E0"/>
    <w:rsid w:val="00216853"/>
    <w:rsid w:val="00216A57"/>
    <w:rsid w:val="00221216"/>
    <w:rsid w:val="0022201D"/>
    <w:rsid w:val="00222F64"/>
    <w:rsid w:val="0022334F"/>
    <w:rsid w:val="00224DA1"/>
    <w:rsid w:val="0022589F"/>
    <w:rsid w:val="002264DB"/>
    <w:rsid w:val="00226819"/>
    <w:rsid w:val="00227BB0"/>
    <w:rsid w:val="00227FB4"/>
    <w:rsid w:val="002319B2"/>
    <w:rsid w:val="002329E8"/>
    <w:rsid w:val="00233101"/>
    <w:rsid w:val="0023313F"/>
    <w:rsid w:val="00233817"/>
    <w:rsid w:val="00235C1E"/>
    <w:rsid w:val="002367FF"/>
    <w:rsid w:val="002402BE"/>
    <w:rsid w:val="00240CE9"/>
    <w:rsid w:val="00241BDE"/>
    <w:rsid w:val="002430E2"/>
    <w:rsid w:val="002434BA"/>
    <w:rsid w:val="00246089"/>
    <w:rsid w:val="00246093"/>
    <w:rsid w:val="00246702"/>
    <w:rsid w:val="00247C59"/>
    <w:rsid w:val="00247F2E"/>
    <w:rsid w:val="00250748"/>
    <w:rsid w:val="00250ADC"/>
    <w:rsid w:val="00250B07"/>
    <w:rsid w:val="00252A81"/>
    <w:rsid w:val="00253945"/>
    <w:rsid w:val="00253C22"/>
    <w:rsid w:val="00253EEC"/>
    <w:rsid w:val="00254146"/>
    <w:rsid w:val="00256E52"/>
    <w:rsid w:val="00257553"/>
    <w:rsid w:val="00260FB2"/>
    <w:rsid w:val="00262128"/>
    <w:rsid w:val="00264DE7"/>
    <w:rsid w:val="002669F0"/>
    <w:rsid w:val="00266CDD"/>
    <w:rsid w:val="0026786B"/>
    <w:rsid w:val="002679CB"/>
    <w:rsid w:val="00270F22"/>
    <w:rsid w:val="0027165D"/>
    <w:rsid w:val="00273CEB"/>
    <w:rsid w:val="002741A0"/>
    <w:rsid w:val="00276022"/>
    <w:rsid w:val="00276160"/>
    <w:rsid w:val="00276D24"/>
    <w:rsid w:val="0027782F"/>
    <w:rsid w:val="0028013E"/>
    <w:rsid w:val="002801B1"/>
    <w:rsid w:val="002803BF"/>
    <w:rsid w:val="002815C1"/>
    <w:rsid w:val="00281C89"/>
    <w:rsid w:val="002826C7"/>
    <w:rsid w:val="0028282F"/>
    <w:rsid w:val="0028442E"/>
    <w:rsid w:val="002856D5"/>
    <w:rsid w:val="00286DBC"/>
    <w:rsid w:val="002937C9"/>
    <w:rsid w:val="0029421A"/>
    <w:rsid w:val="002946F1"/>
    <w:rsid w:val="00294901"/>
    <w:rsid w:val="00295504"/>
    <w:rsid w:val="002956DD"/>
    <w:rsid w:val="0029593B"/>
    <w:rsid w:val="00295CC8"/>
    <w:rsid w:val="002965A4"/>
    <w:rsid w:val="00297FC5"/>
    <w:rsid w:val="002A0417"/>
    <w:rsid w:val="002A10EF"/>
    <w:rsid w:val="002A16D8"/>
    <w:rsid w:val="002A1BC8"/>
    <w:rsid w:val="002A237F"/>
    <w:rsid w:val="002A3951"/>
    <w:rsid w:val="002A3D1A"/>
    <w:rsid w:val="002A3EF2"/>
    <w:rsid w:val="002A41A6"/>
    <w:rsid w:val="002A4833"/>
    <w:rsid w:val="002A4A9D"/>
    <w:rsid w:val="002A55E9"/>
    <w:rsid w:val="002B0090"/>
    <w:rsid w:val="002B03DE"/>
    <w:rsid w:val="002B0DED"/>
    <w:rsid w:val="002B19A2"/>
    <w:rsid w:val="002B1CB5"/>
    <w:rsid w:val="002B32B1"/>
    <w:rsid w:val="002B381A"/>
    <w:rsid w:val="002B3FA2"/>
    <w:rsid w:val="002B4FCC"/>
    <w:rsid w:val="002B6229"/>
    <w:rsid w:val="002B7408"/>
    <w:rsid w:val="002B7CFD"/>
    <w:rsid w:val="002C05C7"/>
    <w:rsid w:val="002C0AB7"/>
    <w:rsid w:val="002C210F"/>
    <w:rsid w:val="002C23D8"/>
    <w:rsid w:val="002C2662"/>
    <w:rsid w:val="002C2BFF"/>
    <w:rsid w:val="002C5B81"/>
    <w:rsid w:val="002C7EF3"/>
    <w:rsid w:val="002D01DA"/>
    <w:rsid w:val="002D34CD"/>
    <w:rsid w:val="002D3600"/>
    <w:rsid w:val="002D3647"/>
    <w:rsid w:val="002D3A76"/>
    <w:rsid w:val="002D3FD8"/>
    <w:rsid w:val="002D6E41"/>
    <w:rsid w:val="002D7F52"/>
    <w:rsid w:val="002E01C6"/>
    <w:rsid w:val="002E3B96"/>
    <w:rsid w:val="002E4166"/>
    <w:rsid w:val="002E4DDC"/>
    <w:rsid w:val="002E5BBB"/>
    <w:rsid w:val="002E6D36"/>
    <w:rsid w:val="002F45CA"/>
    <w:rsid w:val="002F46E7"/>
    <w:rsid w:val="002F60CD"/>
    <w:rsid w:val="0030027D"/>
    <w:rsid w:val="003007AE"/>
    <w:rsid w:val="00300863"/>
    <w:rsid w:val="00302480"/>
    <w:rsid w:val="00305EAD"/>
    <w:rsid w:val="003165E6"/>
    <w:rsid w:val="00316BA5"/>
    <w:rsid w:val="00317CE5"/>
    <w:rsid w:val="003206F6"/>
    <w:rsid w:val="003215B5"/>
    <w:rsid w:val="0032176A"/>
    <w:rsid w:val="003221CF"/>
    <w:rsid w:val="003233CC"/>
    <w:rsid w:val="003233ED"/>
    <w:rsid w:val="003239A9"/>
    <w:rsid w:val="00324B65"/>
    <w:rsid w:val="00324D9F"/>
    <w:rsid w:val="00327948"/>
    <w:rsid w:val="0033000F"/>
    <w:rsid w:val="00330733"/>
    <w:rsid w:val="00332011"/>
    <w:rsid w:val="00332518"/>
    <w:rsid w:val="00332925"/>
    <w:rsid w:val="00332B44"/>
    <w:rsid w:val="003332ED"/>
    <w:rsid w:val="00333809"/>
    <w:rsid w:val="003347FB"/>
    <w:rsid w:val="00335CF2"/>
    <w:rsid w:val="003368DC"/>
    <w:rsid w:val="00340195"/>
    <w:rsid w:val="0034098A"/>
    <w:rsid w:val="0034235A"/>
    <w:rsid w:val="00342C1A"/>
    <w:rsid w:val="0034514C"/>
    <w:rsid w:val="003458C6"/>
    <w:rsid w:val="00345927"/>
    <w:rsid w:val="003460DF"/>
    <w:rsid w:val="00350584"/>
    <w:rsid w:val="0035143D"/>
    <w:rsid w:val="00351857"/>
    <w:rsid w:val="00352130"/>
    <w:rsid w:val="00352A1F"/>
    <w:rsid w:val="0035353F"/>
    <w:rsid w:val="00353FB5"/>
    <w:rsid w:val="003545E8"/>
    <w:rsid w:val="003555BE"/>
    <w:rsid w:val="00360045"/>
    <w:rsid w:val="003610E1"/>
    <w:rsid w:val="003619D6"/>
    <w:rsid w:val="003623E8"/>
    <w:rsid w:val="00364F4D"/>
    <w:rsid w:val="00366071"/>
    <w:rsid w:val="003671BE"/>
    <w:rsid w:val="00367486"/>
    <w:rsid w:val="00370451"/>
    <w:rsid w:val="00370E19"/>
    <w:rsid w:val="00371C83"/>
    <w:rsid w:val="00372485"/>
    <w:rsid w:val="00373200"/>
    <w:rsid w:val="00375EF5"/>
    <w:rsid w:val="0037668C"/>
    <w:rsid w:val="003767A5"/>
    <w:rsid w:val="00377F41"/>
    <w:rsid w:val="00381A00"/>
    <w:rsid w:val="00381D15"/>
    <w:rsid w:val="00385254"/>
    <w:rsid w:val="003859D2"/>
    <w:rsid w:val="00390D1A"/>
    <w:rsid w:val="00392930"/>
    <w:rsid w:val="003940BC"/>
    <w:rsid w:val="003942EE"/>
    <w:rsid w:val="003955B5"/>
    <w:rsid w:val="00396262"/>
    <w:rsid w:val="00396370"/>
    <w:rsid w:val="0039779A"/>
    <w:rsid w:val="003A04DB"/>
    <w:rsid w:val="003A0D11"/>
    <w:rsid w:val="003A37AC"/>
    <w:rsid w:val="003A5F5B"/>
    <w:rsid w:val="003A789A"/>
    <w:rsid w:val="003B12EC"/>
    <w:rsid w:val="003B1D03"/>
    <w:rsid w:val="003B2222"/>
    <w:rsid w:val="003C0323"/>
    <w:rsid w:val="003C0739"/>
    <w:rsid w:val="003C77E0"/>
    <w:rsid w:val="003D00A3"/>
    <w:rsid w:val="003D17D7"/>
    <w:rsid w:val="003D1AC9"/>
    <w:rsid w:val="003D2678"/>
    <w:rsid w:val="003D44C7"/>
    <w:rsid w:val="003D589D"/>
    <w:rsid w:val="003D6775"/>
    <w:rsid w:val="003D71A3"/>
    <w:rsid w:val="003E22CA"/>
    <w:rsid w:val="003E2B8A"/>
    <w:rsid w:val="003E620D"/>
    <w:rsid w:val="003F0E14"/>
    <w:rsid w:val="003F10EE"/>
    <w:rsid w:val="003F16F6"/>
    <w:rsid w:val="003F265B"/>
    <w:rsid w:val="003F38DB"/>
    <w:rsid w:val="003F4988"/>
    <w:rsid w:val="003F4DC7"/>
    <w:rsid w:val="003F4FF8"/>
    <w:rsid w:val="003F5235"/>
    <w:rsid w:val="00400A67"/>
    <w:rsid w:val="00400B79"/>
    <w:rsid w:val="004027E4"/>
    <w:rsid w:val="0040306E"/>
    <w:rsid w:val="00404505"/>
    <w:rsid w:val="00405AA8"/>
    <w:rsid w:val="004063B0"/>
    <w:rsid w:val="00406A68"/>
    <w:rsid w:val="0041015F"/>
    <w:rsid w:val="0041071D"/>
    <w:rsid w:val="00414AFC"/>
    <w:rsid w:val="004151A7"/>
    <w:rsid w:val="00415310"/>
    <w:rsid w:val="0041617E"/>
    <w:rsid w:val="0041671B"/>
    <w:rsid w:val="004176D5"/>
    <w:rsid w:val="0041773B"/>
    <w:rsid w:val="004203DB"/>
    <w:rsid w:val="00420CAF"/>
    <w:rsid w:val="004210FC"/>
    <w:rsid w:val="00421709"/>
    <w:rsid w:val="0042265D"/>
    <w:rsid w:val="00423763"/>
    <w:rsid w:val="00423E08"/>
    <w:rsid w:val="00424A02"/>
    <w:rsid w:val="0042762F"/>
    <w:rsid w:val="00427DC7"/>
    <w:rsid w:val="00427E25"/>
    <w:rsid w:val="00431613"/>
    <w:rsid w:val="00431792"/>
    <w:rsid w:val="00432931"/>
    <w:rsid w:val="0043297A"/>
    <w:rsid w:val="00432EB2"/>
    <w:rsid w:val="004338D2"/>
    <w:rsid w:val="00433E98"/>
    <w:rsid w:val="00436CD9"/>
    <w:rsid w:val="0043714F"/>
    <w:rsid w:val="00441B0D"/>
    <w:rsid w:val="004438B5"/>
    <w:rsid w:val="0044397A"/>
    <w:rsid w:val="00443D74"/>
    <w:rsid w:val="00444283"/>
    <w:rsid w:val="004451C9"/>
    <w:rsid w:val="00447037"/>
    <w:rsid w:val="0045013D"/>
    <w:rsid w:val="0045124D"/>
    <w:rsid w:val="004532E1"/>
    <w:rsid w:val="00454596"/>
    <w:rsid w:val="00454C70"/>
    <w:rsid w:val="0045605D"/>
    <w:rsid w:val="004606C0"/>
    <w:rsid w:val="0046135B"/>
    <w:rsid w:val="00461D47"/>
    <w:rsid w:val="00465834"/>
    <w:rsid w:val="00466E54"/>
    <w:rsid w:val="004678BF"/>
    <w:rsid w:val="004712FE"/>
    <w:rsid w:val="004718CC"/>
    <w:rsid w:val="004777F6"/>
    <w:rsid w:val="00480239"/>
    <w:rsid w:val="00481695"/>
    <w:rsid w:val="00482B97"/>
    <w:rsid w:val="00485352"/>
    <w:rsid w:val="004867F1"/>
    <w:rsid w:val="00487160"/>
    <w:rsid w:val="00487C13"/>
    <w:rsid w:val="00490621"/>
    <w:rsid w:val="00495A96"/>
    <w:rsid w:val="00495BB3"/>
    <w:rsid w:val="00497B4C"/>
    <w:rsid w:val="004A13A7"/>
    <w:rsid w:val="004A2E97"/>
    <w:rsid w:val="004A32D7"/>
    <w:rsid w:val="004A56BB"/>
    <w:rsid w:val="004A6236"/>
    <w:rsid w:val="004A6434"/>
    <w:rsid w:val="004A71D3"/>
    <w:rsid w:val="004A780A"/>
    <w:rsid w:val="004B1751"/>
    <w:rsid w:val="004B46B1"/>
    <w:rsid w:val="004B54E8"/>
    <w:rsid w:val="004B7197"/>
    <w:rsid w:val="004B71F3"/>
    <w:rsid w:val="004C0253"/>
    <w:rsid w:val="004C4141"/>
    <w:rsid w:val="004C459F"/>
    <w:rsid w:val="004C5243"/>
    <w:rsid w:val="004C772A"/>
    <w:rsid w:val="004D1FAC"/>
    <w:rsid w:val="004D24E8"/>
    <w:rsid w:val="004D2EEF"/>
    <w:rsid w:val="004D5204"/>
    <w:rsid w:val="004D56FF"/>
    <w:rsid w:val="004D7AED"/>
    <w:rsid w:val="004E012E"/>
    <w:rsid w:val="004E0FF0"/>
    <w:rsid w:val="004E1849"/>
    <w:rsid w:val="004E39D3"/>
    <w:rsid w:val="004E4608"/>
    <w:rsid w:val="004E508A"/>
    <w:rsid w:val="004E51CF"/>
    <w:rsid w:val="004E5DC6"/>
    <w:rsid w:val="004E616D"/>
    <w:rsid w:val="004E7114"/>
    <w:rsid w:val="004F0D4F"/>
    <w:rsid w:val="004F157E"/>
    <w:rsid w:val="004F1BDE"/>
    <w:rsid w:val="004F2460"/>
    <w:rsid w:val="004F2C1F"/>
    <w:rsid w:val="004F2CEE"/>
    <w:rsid w:val="004F556E"/>
    <w:rsid w:val="004F591C"/>
    <w:rsid w:val="004F7F44"/>
    <w:rsid w:val="00500645"/>
    <w:rsid w:val="0050068F"/>
    <w:rsid w:val="00501EFF"/>
    <w:rsid w:val="005037B4"/>
    <w:rsid w:val="00505E36"/>
    <w:rsid w:val="00506D49"/>
    <w:rsid w:val="005079BF"/>
    <w:rsid w:val="00511D72"/>
    <w:rsid w:val="0051269A"/>
    <w:rsid w:val="00512CD7"/>
    <w:rsid w:val="00513CD7"/>
    <w:rsid w:val="00514CEB"/>
    <w:rsid w:val="00514DB8"/>
    <w:rsid w:val="00515F98"/>
    <w:rsid w:val="00516ED1"/>
    <w:rsid w:val="005219E7"/>
    <w:rsid w:val="00523E84"/>
    <w:rsid w:val="00524367"/>
    <w:rsid w:val="005302BF"/>
    <w:rsid w:val="00530CF5"/>
    <w:rsid w:val="005312E6"/>
    <w:rsid w:val="00531B9A"/>
    <w:rsid w:val="00531D15"/>
    <w:rsid w:val="005331A1"/>
    <w:rsid w:val="005360EA"/>
    <w:rsid w:val="00537604"/>
    <w:rsid w:val="00537F3F"/>
    <w:rsid w:val="0054117A"/>
    <w:rsid w:val="00542377"/>
    <w:rsid w:val="005433A6"/>
    <w:rsid w:val="00547279"/>
    <w:rsid w:val="005476EB"/>
    <w:rsid w:val="005516A6"/>
    <w:rsid w:val="00551782"/>
    <w:rsid w:val="00552E1E"/>
    <w:rsid w:val="005546C9"/>
    <w:rsid w:val="00556874"/>
    <w:rsid w:val="00556DC7"/>
    <w:rsid w:val="005579DD"/>
    <w:rsid w:val="00562058"/>
    <w:rsid w:val="00563DC6"/>
    <w:rsid w:val="00563EF1"/>
    <w:rsid w:val="005660DB"/>
    <w:rsid w:val="00566AB4"/>
    <w:rsid w:val="005675B7"/>
    <w:rsid w:val="005731B1"/>
    <w:rsid w:val="00574034"/>
    <w:rsid w:val="00574395"/>
    <w:rsid w:val="00575174"/>
    <w:rsid w:val="00575AC5"/>
    <w:rsid w:val="0057605D"/>
    <w:rsid w:val="005760B4"/>
    <w:rsid w:val="005761D1"/>
    <w:rsid w:val="00577CD6"/>
    <w:rsid w:val="00580EC5"/>
    <w:rsid w:val="00581347"/>
    <w:rsid w:val="00581AC9"/>
    <w:rsid w:val="00582BF0"/>
    <w:rsid w:val="00584435"/>
    <w:rsid w:val="005849F8"/>
    <w:rsid w:val="0058518B"/>
    <w:rsid w:val="00586269"/>
    <w:rsid w:val="00591D76"/>
    <w:rsid w:val="00592695"/>
    <w:rsid w:val="005938DF"/>
    <w:rsid w:val="00594DF6"/>
    <w:rsid w:val="00594E9C"/>
    <w:rsid w:val="00595D22"/>
    <w:rsid w:val="005A05E1"/>
    <w:rsid w:val="005A099B"/>
    <w:rsid w:val="005A0C89"/>
    <w:rsid w:val="005A172F"/>
    <w:rsid w:val="005A1F54"/>
    <w:rsid w:val="005A250A"/>
    <w:rsid w:val="005A2D9C"/>
    <w:rsid w:val="005A3DB6"/>
    <w:rsid w:val="005A55FE"/>
    <w:rsid w:val="005A5994"/>
    <w:rsid w:val="005A6A11"/>
    <w:rsid w:val="005A7656"/>
    <w:rsid w:val="005B1A2B"/>
    <w:rsid w:val="005B1A4A"/>
    <w:rsid w:val="005B1D2C"/>
    <w:rsid w:val="005B3493"/>
    <w:rsid w:val="005B37A2"/>
    <w:rsid w:val="005B463F"/>
    <w:rsid w:val="005B496B"/>
    <w:rsid w:val="005B4D84"/>
    <w:rsid w:val="005B6033"/>
    <w:rsid w:val="005B78BE"/>
    <w:rsid w:val="005C1A9E"/>
    <w:rsid w:val="005C302E"/>
    <w:rsid w:val="005C42F1"/>
    <w:rsid w:val="005C4F3D"/>
    <w:rsid w:val="005D13D1"/>
    <w:rsid w:val="005D2502"/>
    <w:rsid w:val="005D349B"/>
    <w:rsid w:val="005D40BB"/>
    <w:rsid w:val="005D47F3"/>
    <w:rsid w:val="005D49BF"/>
    <w:rsid w:val="005D4AA5"/>
    <w:rsid w:val="005D60DE"/>
    <w:rsid w:val="005D6F4E"/>
    <w:rsid w:val="005D7C73"/>
    <w:rsid w:val="005E029F"/>
    <w:rsid w:val="005E3ACD"/>
    <w:rsid w:val="005E3D50"/>
    <w:rsid w:val="005E7226"/>
    <w:rsid w:val="005E7A57"/>
    <w:rsid w:val="005F0079"/>
    <w:rsid w:val="005F24B0"/>
    <w:rsid w:val="005F4404"/>
    <w:rsid w:val="005F4BAD"/>
    <w:rsid w:val="00600FBD"/>
    <w:rsid w:val="0060129D"/>
    <w:rsid w:val="0060249F"/>
    <w:rsid w:val="00602667"/>
    <w:rsid w:val="00604315"/>
    <w:rsid w:val="00604E26"/>
    <w:rsid w:val="00604F99"/>
    <w:rsid w:val="006052CF"/>
    <w:rsid w:val="00606374"/>
    <w:rsid w:val="00606AF9"/>
    <w:rsid w:val="00607B8D"/>
    <w:rsid w:val="00607DF6"/>
    <w:rsid w:val="00607E2D"/>
    <w:rsid w:val="00611F5C"/>
    <w:rsid w:val="006143C9"/>
    <w:rsid w:val="006165A1"/>
    <w:rsid w:val="00616B42"/>
    <w:rsid w:val="00616E09"/>
    <w:rsid w:val="006175C4"/>
    <w:rsid w:val="00620E6B"/>
    <w:rsid w:val="00622A3B"/>
    <w:rsid w:val="00622EEA"/>
    <w:rsid w:val="0062396C"/>
    <w:rsid w:val="00623FF9"/>
    <w:rsid w:val="0062422E"/>
    <w:rsid w:val="00625904"/>
    <w:rsid w:val="0062655C"/>
    <w:rsid w:val="00626DDC"/>
    <w:rsid w:val="00627D4E"/>
    <w:rsid w:val="00630816"/>
    <w:rsid w:val="00630B27"/>
    <w:rsid w:val="00630C24"/>
    <w:rsid w:val="006318B1"/>
    <w:rsid w:val="00632037"/>
    <w:rsid w:val="00632B89"/>
    <w:rsid w:val="00632CA0"/>
    <w:rsid w:val="00634478"/>
    <w:rsid w:val="00636E34"/>
    <w:rsid w:val="00641E6A"/>
    <w:rsid w:val="006424F1"/>
    <w:rsid w:val="00642DD5"/>
    <w:rsid w:val="00644373"/>
    <w:rsid w:val="00645915"/>
    <w:rsid w:val="00645B85"/>
    <w:rsid w:val="006465E6"/>
    <w:rsid w:val="00647A6A"/>
    <w:rsid w:val="00650C21"/>
    <w:rsid w:val="00651314"/>
    <w:rsid w:val="006519C3"/>
    <w:rsid w:val="00652B30"/>
    <w:rsid w:val="006532CC"/>
    <w:rsid w:val="00656345"/>
    <w:rsid w:val="00656B42"/>
    <w:rsid w:val="00656DC6"/>
    <w:rsid w:val="006573B4"/>
    <w:rsid w:val="00657444"/>
    <w:rsid w:val="00657D4A"/>
    <w:rsid w:val="006606CF"/>
    <w:rsid w:val="00660824"/>
    <w:rsid w:val="00660EC6"/>
    <w:rsid w:val="00661FAE"/>
    <w:rsid w:val="00662F4C"/>
    <w:rsid w:val="00664110"/>
    <w:rsid w:val="00664D17"/>
    <w:rsid w:val="00666417"/>
    <w:rsid w:val="00666520"/>
    <w:rsid w:val="00667C5B"/>
    <w:rsid w:val="00673349"/>
    <w:rsid w:val="00673545"/>
    <w:rsid w:val="0067755D"/>
    <w:rsid w:val="00677A0C"/>
    <w:rsid w:val="0068336D"/>
    <w:rsid w:val="00687C60"/>
    <w:rsid w:val="00687E29"/>
    <w:rsid w:val="00690161"/>
    <w:rsid w:val="00691EB8"/>
    <w:rsid w:val="00692CDE"/>
    <w:rsid w:val="00693073"/>
    <w:rsid w:val="00696753"/>
    <w:rsid w:val="00696F77"/>
    <w:rsid w:val="00697528"/>
    <w:rsid w:val="006977FF"/>
    <w:rsid w:val="006A01FA"/>
    <w:rsid w:val="006A0AFA"/>
    <w:rsid w:val="006A0E9E"/>
    <w:rsid w:val="006A0F65"/>
    <w:rsid w:val="006A25C7"/>
    <w:rsid w:val="006A49DB"/>
    <w:rsid w:val="006A4AAD"/>
    <w:rsid w:val="006A56FF"/>
    <w:rsid w:val="006A6B49"/>
    <w:rsid w:val="006A6DA2"/>
    <w:rsid w:val="006A74B4"/>
    <w:rsid w:val="006A7AB2"/>
    <w:rsid w:val="006B15DE"/>
    <w:rsid w:val="006B1CE7"/>
    <w:rsid w:val="006B3B5D"/>
    <w:rsid w:val="006B4593"/>
    <w:rsid w:val="006B5544"/>
    <w:rsid w:val="006B5717"/>
    <w:rsid w:val="006B582F"/>
    <w:rsid w:val="006B5EB2"/>
    <w:rsid w:val="006B6387"/>
    <w:rsid w:val="006B7C8E"/>
    <w:rsid w:val="006C0CEB"/>
    <w:rsid w:val="006C141A"/>
    <w:rsid w:val="006C168D"/>
    <w:rsid w:val="006C1B08"/>
    <w:rsid w:val="006C229E"/>
    <w:rsid w:val="006C2845"/>
    <w:rsid w:val="006C3B1E"/>
    <w:rsid w:val="006C47FD"/>
    <w:rsid w:val="006C5502"/>
    <w:rsid w:val="006C5C19"/>
    <w:rsid w:val="006C6BBA"/>
    <w:rsid w:val="006C6E24"/>
    <w:rsid w:val="006C70A0"/>
    <w:rsid w:val="006C7532"/>
    <w:rsid w:val="006D08FF"/>
    <w:rsid w:val="006D1241"/>
    <w:rsid w:val="006D19FC"/>
    <w:rsid w:val="006D27CB"/>
    <w:rsid w:val="006D2F08"/>
    <w:rsid w:val="006D576C"/>
    <w:rsid w:val="006D5865"/>
    <w:rsid w:val="006D7D7E"/>
    <w:rsid w:val="006D7E07"/>
    <w:rsid w:val="006D7F2C"/>
    <w:rsid w:val="006E3164"/>
    <w:rsid w:val="006E4694"/>
    <w:rsid w:val="006E4B1B"/>
    <w:rsid w:val="006E5445"/>
    <w:rsid w:val="006E7864"/>
    <w:rsid w:val="006E7D93"/>
    <w:rsid w:val="006F3C66"/>
    <w:rsid w:val="006F679F"/>
    <w:rsid w:val="006F777A"/>
    <w:rsid w:val="007029A3"/>
    <w:rsid w:val="00704981"/>
    <w:rsid w:val="00706777"/>
    <w:rsid w:val="00706954"/>
    <w:rsid w:val="00706E4E"/>
    <w:rsid w:val="0070791C"/>
    <w:rsid w:val="0071187E"/>
    <w:rsid w:val="0071383C"/>
    <w:rsid w:val="007141A7"/>
    <w:rsid w:val="00715722"/>
    <w:rsid w:val="00715C5C"/>
    <w:rsid w:val="00716AD9"/>
    <w:rsid w:val="00721032"/>
    <w:rsid w:val="00721B55"/>
    <w:rsid w:val="007223A4"/>
    <w:rsid w:val="00724AE7"/>
    <w:rsid w:val="0072552A"/>
    <w:rsid w:val="00725605"/>
    <w:rsid w:val="0072630C"/>
    <w:rsid w:val="00726CE4"/>
    <w:rsid w:val="007301A4"/>
    <w:rsid w:val="00730820"/>
    <w:rsid w:val="007317D4"/>
    <w:rsid w:val="00732A40"/>
    <w:rsid w:val="00732DF7"/>
    <w:rsid w:val="00733A84"/>
    <w:rsid w:val="00734143"/>
    <w:rsid w:val="00737E47"/>
    <w:rsid w:val="007402A2"/>
    <w:rsid w:val="00740EAC"/>
    <w:rsid w:val="00742AEF"/>
    <w:rsid w:val="00742C41"/>
    <w:rsid w:val="00744953"/>
    <w:rsid w:val="00744956"/>
    <w:rsid w:val="00745A5C"/>
    <w:rsid w:val="0074605F"/>
    <w:rsid w:val="0074764F"/>
    <w:rsid w:val="00747E94"/>
    <w:rsid w:val="0075037C"/>
    <w:rsid w:val="00750FAA"/>
    <w:rsid w:val="0075252E"/>
    <w:rsid w:val="007547B8"/>
    <w:rsid w:val="00754C83"/>
    <w:rsid w:val="00755352"/>
    <w:rsid w:val="0076007D"/>
    <w:rsid w:val="007610EA"/>
    <w:rsid w:val="0076131B"/>
    <w:rsid w:val="007628A3"/>
    <w:rsid w:val="0076498D"/>
    <w:rsid w:val="00765DF8"/>
    <w:rsid w:val="00766017"/>
    <w:rsid w:val="00766749"/>
    <w:rsid w:val="007676C4"/>
    <w:rsid w:val="00767C1B"/>
    <w:rsid w:val="00767E79"/>
    <w:rsid w:val="007714A9"/>
    <w:rsid w:val="00771DDD"/>
    <w:rsid w:val="00774DAE"/>
    <w:rsid w:val="00774F88"/>
    <w:rsid w:val="00774FDB"/>
    <w:rsid w:val="00777BA2"/>
    <w:rsid w:val="00781408"/>
    <w:rsid w:val="00784F7F"/>
    <w:rsid w:val="00785E0F"/>
    <w:rsid w:val="00786B58"/>
    <w:rsid w:val="00786F19"/>
    <w:rsid w:val="007878BD"/>
    <w:rsid w:val="00787969"/>
    <w:rsid w:val="007903BA"/>
    <w:rsid w:val="00791095"/>
    <w:rsid w:val="0079454F"/>
    <w:rsid w:val="0079477F"/>
    <w:rsid w:val="00796F25"/>
    <w:rsid w:val="007971F3"/>
    <w:rsid w:val="007A1D10"/>
    <w:rsid w:val="007A2761"/>
    <w:rsid w:val="007A2C2B"/>
    <w:rsid w:val="007A2E98"/>
    <w:rsid w:val="007A3BA3"/>
    <w:rsid w:val="007A698B"/>
    <w:rsid w:val="007A6B9C"/>
    <w:rsid w:val="007A6CC0"/>
    <w:rsid w:val="007A7FEC"/>
    <w:rsid w:val="007B1499"/>
    <w:rsid w:val="007B18C1"/>
    <w:rsid w:val="007B1BBF"/>
    <w:rsid w:val="007B2944"/>
    <w:rsid w:val="007B2960"/>
    <w:rsid w:val="007B3535"/>
    <w:rsid w:val="007B355D"/>
    <w:rsid w:val="007B42D2"/>
    <w:rsid w:val="007B4AFA"/>
    <w:rsid w:val="007B7980"/>
    <w:rsid w:val="007C063F"/>
    <w:rsid w:val="007C0DEF"/>
    <w:rsid w:val="007C148B"/>
    <w:rsid w:val="007C3810"/>
    <w:rsid w:val="007C5D5A"/>
    <w:rsid w:val="007C607F"/>
    <w:rsid w:val="007C79DD"/>
    <w:rsid w:val="007C7BC4"/>
    <w:rsid w:val="007D1A97"/>
    <w:rsid w:val="007D1D9B"/>
    <w:rsid w:val="007D2A7D"/>
    <w:rsid w:val="007D2CD6"/>
    <w:rsid w:val="007D3063"/>
    <w:rsid w:val="007D3B58"/>
    <w:rsid w:val="007D3CEB"/>
    <w:rsid w:val="007D6384"/>
    <w:rsid w:val="007D63F7"/>
    <w:rsid w:val="007D6BB1"/>
    <w:rsid w:val="007D6CDE"/>
    <w:rsid w:val="007E1899"/>
    <w:rsid w:val="007E4288"/>
    <w:rsid w:val="007E7683"/>
    <w:rsid w:val="007F0392"/>
    <w:rsid w:val="007F2112"/>
    <w:rsid w:val="007F2C34"/>
    <w:rsid w:val="007F389E"/>
    <w:rsid w:val="007F3DE8"/>
    <w:rsid w:val="007F49FA"/>
    <w:rsid w:val="007F500E"/>
    <w:rsid w:val="007F54C4"/>
    <w:rsid w:val="007F5F75"/>
    <w:rsid w:val="007F6E9A"/>
    <w:rsid w:val="00803269"/>
    <w:rsid w:val="008035AB"/>
    <w:rsid w:val="008044D4"/>
    <w:rsid w:val="00804A0A"/>
    <w:rsid w:val="00804A49"/>
    <w:rsid w:val="00804AD3"/>
    <w:rsid w:val="008052CA"/>
    <w:rsid w:val="00805C20"/>
    <w:rsid w:val="0081040C"/>
    <w:rsid w:val="00810AB4"/>
    <w:rsid w:val="00810BEB"/>
    <w:rsid w:val="00814BE6"/>
    <w:rsid w:val="0081527B"/>
    <w:rsid w:val="00817758"/>
    <w:rsid w:val="00817B56"/>
    <w:rsid w:val="00821A88"/>
    <w:rsid w:val="00822529"/>
    <w:rsid w:val="00822B3D"/>
    <w:rsid w:val="00823DE8"/>
    <w:rsid w:val="0082495D"/>
    <w:rsid w:val="00825173"/>
    <w:rsid w:val="00826820"/>
    <w:rsid w:val="00826D35"/>
    <w:rsid w:val="00830ECC"/>
    <w:rsid w:val="0083195A"/>
    <w:rsid w:val="00831AC3"/>
    <w:rsid w:val="008320F1"/>
    <w:rsid w:val="00833DBA"/>
    <w:rsid w:val="00834C13"/>
    <w:rsid w:val="0083506E"/>
    <w:rsid w:val="00835284"/>
    <w:rsid w:val="00837D7A"/>
    <w:rsid w:val="00837D9F"/>
    <w:rsid w:val="008408FF"/>
    <w:rsid w:val="00840D37"/>
    <w:rsid w:val="00842CBD"/>
    <w:rsid w:val="008455CF"/>
    <w:rsid w:val="008456E4"/>
    <w:rsid w:val="00851F3F"/>
    <w:rsid w:val="008556E0"/>
    <w:rsid w:val="00856EDC"/>
    <w:rsid w:val="00857B37"/>
    <w:rsid w:val="008623B5"/>
    <w:rsid w:val="00862C47"/>
    <w:rsid w:val="008641A4"/>
    <w:rsid w:val="00864609"/>
    <w:rsid w:val="00864D75"/>
    <w:rsid w:val="008660E2"/>
    <w:rsid w:val="00870ABA"/>
    <w:rsid w:val="00871036"/>
    <w:rsid w:val="008710E1"/>
    <w:rsid w:val="008716E5"/>
    <w:rsid w:val="00871ACE"/>
    <w:rsid w:val="008726BA"/>
    <w:rsid w:val="00875D8C"/>
    <w:rsid w:val="008763AA"/>
    <w:rsid w:val="008764AC"/>
    <w:rsid w:val="00880110"/>
    <w:rsid w:val="00881CA9"/>
    <w:rsid w:val="00883628"/>
    <w:rsid w:val="00883E6D"/>
    <w:rsid w:val="00885544"/>
    <w:rsid w:val="0088582F"/>
    <w:rsid w:val="0088592B"/>
    <w:rsid w:val="0088634E"/>
    <w:rsid w:val="00887368"/>
    <w:rsid w:val="008878D8"/>
    <w:rsid w:val="008915D1"/>
    <w:rsid w:val="00893AB8"/>
    <w:rsid w:val="008942D9"/>
    <w:rsid w:val="00895B8D"/>
    <w:rsid w:val="00897518"/>
    <w:rsid w:val="008A04C8"/>
    <w:rsid w:val="008A05EB"/>
    <w:rsid w:val="008A36BD"/>
    <w:rsid w:val="008A58D0"/>
    <w:rsid w:val="008A6913"/>
    <w:rsid w:val="008A70AF"/>
    <w:rsid w:val="008B01F6"/>
    <w:rsid w:val="008B069F"/>
    <w:rsid w:val="008B07D7"/>
    <w:rsid w:val="008B114A"/>
    <w:rsid w:val="008B274A"/>
    <w:rsid w:val="008B2AB7"/>
    <w:rsid w:val="008B6703"/>
    <w:rsid w:val="008B6B91"/>
    <w:rsid w:val="008B70F3"/>
    <w:rsid w:val="008B71C4"/>
    <w:rsid w:val="008B76DF"/>
    <w:rsid w:val="008B7821"/>
    <w:rsid w:val="008C10F4"/>
    <w:rsid w:val="008C200C"/>
    <w:rsid w:val="008C2C74"/>
    <w:rsid w:val="008C3D36"/>
    <w:rsid w:val="008C4403"/>
    <w:rsid w:val="008C55F3"/>
    <w:rsid w:val="008C5923"/>
    <w:rsid w:val="008C65F7"/>
    <w:rsid w:val="008D2E3C"/>
    <w:rsid w:val="008D4903"/>
    <w:rsid w:val="008D6BD1"/>
    <w:rsid w:val="008D6F33"/>
    <w:rsid w:val="008D71CC"/>
    <w:rsid w:val="008D7C30"/>
    <w:rsid w:val="008D7D3C"/>
    <w:rsid w:val="008E01C1"/>
    <w:rsid w:val="008E4767"/>
    <w:rsid w:val="008E7A8C"/>
    <w:rsid w:val="008F5EAF"/>
    <w:rsid w:val="008F7947"/>
    <w:rsid w:val="008F7AF6"/>
    <w:rsid w:val="008F7E36"/>
    <w:rsid w:val="00903285"/>
    <w:rsid w:val="00906F40"/>
    <w:rsid w:val="0090729C"/>
    <w:rsid w:val="0090731E"/>
    <w:rsid w:val="009079CC"/>
    <w:rsid w:val="009135D8"/>
    <w:rsid w:val="00915B1C"/>
    <w:rsid w:val="00916744"/>
    <w:rsid w:val="00917015"/>
    <w:rsid w:val="009174F3"/>
    <w:rsid w:val="0091797D"/>
    <w:rsid w:val="00917E63"/>
    <w:rsid w:val="009210D6"/>
    <w:rsid w:val="009228A7"/>
    <w:rsid w:val="00922A19"/>
    <w:rsid w:val="009238F0"/>
    <w:rsid w:val="00923CBA"/>
    <w:rsid w:val="00923D7A"/>
    <w:rsid w:val="00923D84"/>
    <w:rsid w:val="009257FE"/>
    <w:rsid w:val="00926703"/>
    <w:rsid w:val="00927691"/>
    <w:rsid w:val="00927A5F"/>
    <w:rsid w:val="009304A0"/>
    <w:rsid w:val="00934C6D"/>
    <w:rsid w:val="00935AED"/>
    <w:rsid w:val="00935B63"/>
    <w:rsid w:val="009377F5"/>
    <w:rsid w:val="0094078F"/>
    <w:rsid w:val="00940FA3"/>
    <w:rsid w:val="00941FB0"/>
    <w:rsid w:val="009426D4"/>
    <w:rsid w:val="009433CB"/>
    <w:rsid w:val="00944167"/>
    <w:rsid w:val="009455AC"/>
    <w:rsid w:val="00947F25"/>
    <w:rsid w:val="00950159"/>
    <w:rsid w:val="0095110F"/>
    <w:rsid w:val="0095126F"/>
    <w:rsid w:val="00951347"/>
    <w:rsid w:val="00952864"/>
    <w:rsid w:val="0095375A"/>
    <w:rsid w:val="00953F78"/>
    <w:rsid w:val="0095490B"/>
    <w:rsid w:val="00954916"/>
    <w:rsid w:val="00955283"/>
    <w:rsid w:val="00955906"/>
    <w:rsid w:val="00955955"/>
    <w:rsid w:val="009562D2"/>
    <w:rsid w:val="00957AD2"/>
    <w:rsid w:val="00960295"/>
    <w:rsid w:val="00960A33"/>
    <w:rsid w:val="00960D68"/>
    <w:rsid w:val="00961C29"/>
    <w:rsid w:val="0096279E"/>
    <w:rsid w:val="00964E6E"/>
    <w:rsid w:val="009657A0"/>
    <w:rsid w:val="0096659D"/>
    <w:rsid w:val="00970424"/>
    <w:rsid w:val="00970C29"/>
    <w:rsid w:val="00971914"/>
    <w:rsid w:val="00971B25"/>
    <w:rsid w:val="009731D9"/>
    <w:rsid w:val="00974363"/>
    <w:rsid w:val="00974884"/>
    <w:rsid w:val="00975995"/>
    <w:rsid w:val="009765CA"/>
    <w:rsid w:val="009767F2"/>
    <w:rsid w:val="009808D3"/>
    <w:rsid w:val="00981898"/>
    <w:rsid w:val="009848C1"/>
    <w:rsid w:val="009849D3"/>
    <w:rsid w:val="00986164"/>
    <w:rsid w:val="00992EA4"/>
    <w:rsid w:val="00994151"/>
    <w:rsid w:val="0099577C"/>
    <w:rsid w:val="00996827"/>
    <w:rsid w:val="009977F7"/>
    <w:rsid w:val="009A0CBA"/>
    <w:rsid w:val="009A1138"/>
    <w:rsid w:val="009A16A1"/>
    <w:rsid w:val="009A441C"/>
    <w:rsid w:val="009B1C48"/>
    <w:rsid w:val="009B2601"/>
    <w:rsid w:val="009B4E9E"/>
    <w:rsid w:val="009B60CF"/>
    <w:rsid w:val="009C0062"/>
    <w:rsid w:val="009C1144"/>
    <w:rsid w:val="009C1690"/>
    <w:rsid w:val="009C1811"/>
    <w:rsid w:val="009C1B4C"/>
    <w:rsid w:val="009C30E4"/>
    <w:rsid w:val="009C41ED"/>
    <w:rsid w:val="009C5C3A"/>
    <w:rsid w:val="009C6881"/>
    <w:rsid w:val="009C7759"/>
    <w:rsid w:val="009D043D"/>
    <w:rsid w:val="009D07C8"/>
    <w:rsid w:val="009D26C0"/>
    <w:rsid w:val="009D4D6F"/>
    <w:rsid w:val="009D69A5"/>
    <w:rsid w:val="009D6C71"/>
    <w:rsid w:val="009E0631"/>
    <w:rsid w:val="009E16D0"/>
    <w:rsid w:val="009E38FD"/>
    <w:rsid w:val="009E6381"/>
    <w:rsid w:val="009E6ED1"/>
    <w:rsid w:val="009F0465"/>
    <w:rsid w:val="009F13D6"/>
    <w:rsid w:val="009F1990"/>
    <w:rsid w:val="009F35B4"/>
    <w:rsid w:val="009F3C4F"/>
    <w:rsid w:val="009F4C6B"/>
    <w:rsid w:val="009F5B80"/>
    <w:rsid w:val="009F69CA"/>
    <w:rsid w:val="009F78A8"/>
    <w:rsid w:val="00A010BB"/>
    <w:rsid w:val="00A02AD6"/>
    <w:rsid w:val="00A04A70"/>
    <w:rsid w:val="00A04C7F"/>
    <w:rsid w:val="00A05977"/>
    <w:rsid w:val="00A06EBB"/>
    <w:rsid w:val="00A07096"/>
    <w:rsid w:val="00A07318"/>
    <w:rsid w:val="00A073EB"/>
    <w:rsid w:val="00A07457"/>
    <w:rsid w:val="00A11345"/>
    <w:rsid w:val="00A11370"/>
    <w:rsid w:val="00A12F1C"/>
    <w:rsid w:val="00A15867"/>
    <w:rsid w:val="00A160BE"/>
    <w:rsid w:val="00A170B7"/>
    <w:rsid w:val="00A20B61"/>
    <w:rsid w:val="00A220C5"/>
    <w:rsid w:val="00A224CE"/>
    <w:rsid w:val="00A22522"/>
    <w:rsid w:val="00A24AFD"/>
    <w:rsid w:val="00A24F5C"/>
    <w:rsid w:val="00A25379"/>
    <w:rsid w:val="00A268DE"/>
    <w:rsid w:val="00A32F01"/>
    <w:rsid w:val="00A32F05"/>
    <w:rsid w:val="00A32F41"/>
    <w:rsid w:val="00A32F96"/>
    <w:rsid w:val="00A3408A"/>
    <w:rsid w:val="00A36F34"/>
    <w:rsid w:val="00A40871"/>
    <w:rsid w:val="00A412AB"/>
    <w:rsid w:val="00A4193E"/>
    <w:rsid w:val="00A434A8"/>
    <w:rsid w:val="00A440E0"/>
    <w:rsid w:val="00A442EF"/>
    <w:rsid w:val="00A445DF"/>
    <w:rsid w:val="00A45BDA"/>
    <w:rsid w:val="00A47355"/>
    <w:rsid w:val="00A47699"/>
    <w:rsid w:val="00A47802"/>
    <w:rsid w:val="00A50B3B"/>
    <w:rsid w:val="00A51D1A"/>
    <w:rsid w:val="00A5418D"/>
    <w:rsid w:val="00A5474C"/>
    <w:rsid w:val="00A5474E"/>
    <w:rsid w:val="00A55B7E"/>
    <w:rsid w:val="00A56D84"/>
    <w:rsid w:val="00A57337"/>
    <w:rsid w:val="00A60378"/>
    <w:rsid w:val="00A61E71"/>
    <w:rsid w:val="00A6323F"/>
    <w:rsid w:val="00A64234"/>
    <w:rsid w:val="00A65277"/>
    <w:rsid w:val="00A67027"/>
    <w:rsid w:val="00A67A6E"/>
    <w:rsid w:val="00A67DE5"/>
    <w:rsid w:val="00A70ADF"/>
    <w:rsid w:val="00A71466"/>
    <w:rsid w:val="00A74066"/>
    <w:rsid w:val="00A749CD"/>
    <w:rsid w:val="00A74B5E"/>
    <w:rsid w:val="00A74E9B"/>
    <w:rsid w:val="00A771E3"/>
    <w:rsid w:val="00A77DB7"/>
    <w:rsid w:val="00A807A0"/>
    <w:rsid w:val="00A80F79"/>
    <w:rsid w:val="00A81BED"/>
    <w:rsid w:val="00A81EC4"/>
    <w:rsid w:val="00A81F83"/>
    <w:rsid w:val="00A832BA"/>
    <w:rsid w:val="00A835A3"/>
    <w:rsid w:val="00A84402"/>
    <w:rsid w:val="00A86EE2"/>
    <w:rsid w:val="00A874B8"/>
    <w:rsid w:val="00A87645"/>
    <w:rsid w:val="00A954B6"/>
    <w:rsid w:val="00A967FD"/>
    <w:rsid w:val="00A97628"/>
    <w:rsid w:val="00AA1EEC"/>
    <w:rsid w:val="00AA2DE5"/>
    <w:rsid w:val="00AA3B00"/>
    <w:rsid w:val="00AA3CB2"/>
    <w:rsid w:val="00AA6FD9"/>
    <w:rsid w:val="00AB09F8"/>
    <w:rsid w:val="00AB0D4E"/>
    <w:rsid w:val="00AB156C"/>
    <w:rsid w:val="00AB4277"/>
    <w:rsid w:val="00AB6814"/>
    <w:rsid w:val="00AC04BA"/>
    <w:rsid w:val="00AC0E39"/>
    <w:rsid w:val="00AC16C4"/>
    <w:rsid w:val="00AC1754"/>
    <w:rsid w:val="00AC34E1"/>
    <w:rsid w:val="00AC47A9"/>
    <w:rsid w:val="00AC4D76"/>
    <w:rsid w:val="00AC5EBC"/>
    <w:rsid w:val="00AC6BA1"/>
    <w:rsid w:val="00AC7B1F"/>
    <w:rsid w:val="00AC7C66"/>
    <w:rsid w:val="00AD3082"/>
    <w:rsid w:val="00AD32B4"/>
    <w:rsid w:val="00AD4AD0"/>
    <w:rsid w:val="00AD5436"/>
    <w:rsid w:val="00AD60CD"/>
    <w:rsid w:val="00AD6C8C"/>
    <w:rsid w:val="00AE091D"/>
    <w:rsid w:val="00AE1659"/>
    <w:rsid w:val="00AE252B"/>
    <w:rsid w:val="00AE3B60"/>
    <w:rsid w:val="00AE4839"/>
    <w:rsid w:val="00AE53A1"/>
    <w:rsid w:val="00AE6D49"/>
    <w:rsid w:val="00AF06C8"/>
    <w:rsid w:val="00AF0D27"/>
    <w:rsid w:val="00AF0EF5"/>
    <w:rsid w:val="00AF2484"/>
    <w:rsid w:val="00AF27AE"/>
    <w:rsid w:val="00AF2AC1"/>
    <w:rsid w:val="00AF424B"/>
    <w:rsid w:val="00AF55FB"/>
    <w:rsid w:val="00AF5E7C"/>
    <w:rsid w:val="00AF61BA"/>
    <w:rsid w:val="00AF63E7"/>
    <w:rsid w:val="00AF67A1"/>
    <w:rsid w:val="00AF6E17"/>
    <w:rsid w:val="00AF7073"/>
    <w:rsid w:val="00B0165D"/>
    <w:rsid w:val="00B01B60"/>
    <w:rsid w:val="00B02003"/>
    <w:rsid w:val="00B031F3"/>
    <w:rsid w:val="00B03D12"/>
    <w:rsid w:val="00B052A4"/>
    <w:rsid w:val="00B06FED"/>
    <w:rsid w:val="00B103F6"/>
    <w:rsid w:val="00B10996"/>
    <w:rsid w:val="00B10F53"/>
    <w:rsid w:val="00B11157"/>
    <w:rsid w:val="00B125DE"/>
    <w:rsid w:val="00B12EA8"/>
    <w:rsid w:val="00B13367"/>
    <w:rsid w:val="00B13FDD"/>
    <w:rsid w:val="00B143AE"/>
    <w:rsid w:val="00B15821"/>
    <w:rsid w:val="00B16EA6"/>
    <w:rsid w:val="00B175BD"/>
    <w:rsid w:val="00B17DDC"/>
    <w:rsid w:val="00B205B3"/>
    <w:rsid w:val="00B21A59"/>
    <w:rsid w:val="00B22EB2"/>
    <w:rsid w:val="00B27127"/>
    <w:rsid w:val="00B27442"/>
    <w:rsid w:val="00B31167"/>
    <w:rsid w:val="00B329D8"/>
    <w:rsid w:val="00B32BB9"/>
    <w:rsid w:val="00B33AE1"/>
    <w:rsid w:val="00B33B5D"/>
    <w:rsid w:val="00B34240"/>
    <w:rsid w:val="00B34409"/>
    <w:rsid w:val="00B3773E"/>
    <w:rsid w:val="00B37C38"/>
    <w:rsid w:val="00B4288C"/>
    <w:rsid w:val="00B43262"/>
    <w:rsid w:val="00B44100"/>
    <w:rsid w:val="00B45C7A"/>
    <w:rsid w:val="00B46CBA"/>
    <w:rsid w:val="00B46F94"/>
    <w:rsid w:val="00B47C36"/>
    <w:rsid w:val="00B5161D"/>
    <w:rsid w:val="00B5267C"/>
    <w:rsid w:val="00B52C3D"/>
    <w:rsid w:val="00B5476E"/>
    <w:rsid w:val="00B54779"/>
    <w:rsid w:val="00B54840"/>
    <w:rsid w:val="00B54C5A"/>
    <w:rsid w:val="00B56D74"/>
    <w:rsid w:val="00B578FE"/>
    <w:rsid w:val="00B6003C"/>
    <w:rsid w:val="00B603A5"/>
    <w:rsid w:val="00B61F03"/>
    <w:rsid w:val="00B62204"/>
    <w:rsid w:val="00B626E4"/>
    <w:rsid w:val="00B660FC"/>
    <w:rsid w:val="00B6668D"/>
    <w:rsid w:val="00B670D9"/>
    <w:rsid w:val="00B70585"/>
    <w:rsid w:val="00B72F4A"/>
    <w:rsid w:val="00B753D6"/>
    <w:rsid w:val="00B77F34"/>
    <w:rsid w:val="00B831DA"/>
    <w:rsid w:val="00B83C27"/>
    <w:rsid w:val="00B8423B"/>
    <w:rsid w:val="00B84BC3"/>
    <w:rsid w:val="00B84BDD"/>
    <w:rsid w:val="00B85B64"/>
    <w:rsid w:val="00B87BB8"/>
    <w:rsid w:val="00B92812"/>
    <w:rsid w:val="00B929AC"/>
    <w:rsid w:val="00B95DA7"/>
    <w:rsid w:val="00B96A0A"/>
    <w:rsid w:val="00B977A0"/>
    <w:rsid w:val="00BA073E"/>
    <w:rsid w:val="00BA24B5"/>
    <w:rsid w:val="00BA35FA"/>
    <w:rsid w:val="00BA5A9D"/>
    <w:rsid w:val="00BB45A1"/>
    <w:rsid w:val="00BB65B2"/>
    <w:rsid w:val="00BB7267"/>
    <w:rsid w:val="00BB7686"/>
    <w:rsid w:val="00BC0F44"/>
    <w:rsid w:val="00BC2245"/>
    <w:rsid w:val="00BC23F9"/>
    <w:rsid w:val="00BC3421"/>
    <w:rsid w:val="00BC42B2"/>
    <w:rsid w:val="00BC6C94"/>
    <w:rsid w:val="00BC732C"/>
    <w:rsid w:val="00BC770C"/>
    <w:rsid w:val="00BD05CC"/>
    <w:rsid w:val="00BD1417"/>
    <w:rsid w:val="00BD1753"/>
    <w:rsid w:val="00BD4355"/>
    <w:rsid w:val="00BD4B1B"/>
    <w:rsid w:val="00BD6047"/>
    <w:rsid w:val="00BD60C2"/>
    <w:rsid w:val="00BD6C30"/>
    <w:rsid w:val="00BE028B"/>
    <w:rsid w:val="00BE0701"/>
    <w:rsid w:val="00BE0B85"/>
    <w:rsid w:val="00BE2580"/>
    <w:rsid w:val="00BE266D"/>
    <w:rsid w:val="00BE3938"/>
    <w:rsid w:val="00BE4C11"/>
    <w:rsid w:val="00BE5BF9"/>
    <w:rsid w:val="00BE71C0"/>
    <w:rsid w:val="00BF50FA"/>
    <w:rsid w:val="00BF610C"/>
    <w:rsid w:val="00BF642B"/>
    <w:rsid w:val="00BF677F"/>
    <w:rsid w:val="00BF6D7E"/>
    <w:rsid w:val="00C0060B"/>
    <w:rsid w:val="00C024C3"/>
    <w:rsid w:val="00C0277D"/>
    <w:rsid w:val="00C02B48"/>
    <w:rsid w:val="00C03A01"/>
    <w:rsid w:val="00C053A1"/>
    <w:rsid w:val="00C06B53"/>
    <w:rsid w:val="00C1173E"/>
    <w:rsid w:val="00C15678"/>
    <w:rsid w:val="00C1594C"/>
    <w:rsid w:val="00C16198"/>
    <w:rsid w:val="00C2000D"/>
    <w:rsid w:val="00C2083D"/>
    <w:rsid w:val="00C24A53"/>
    <w:rsid w:val="00C25B42"/>
    <w:rsid w:val="00C270B2"/>
    <w:rsid w:val="00C33EC3"/>
    <w:rsid w:val="00C34A05"/>
    <w:rsid w:val="00C352FA"/>
    <w:rsid w:val="00C3554E"/>
    <w:rsid w:val="00C361C4"/>
    <w:rsid w:val="00C4032F"/>
    <w:rsid w:val="00C4299B"/>
    <w:rsid w:val="00C435EB"/>
    <w:rsid w:val="00C44047"/>
    <w:rsid w:val="00C446A0"/>
    <w:rsid w:val="00C44B59"/>
    <w:rsid w:val="00C45155"/>
    <w:rsid w:val="00C457DC"/>
    <w:rsid w:val="00C47D24"/>
    <w:rsid w:val="00C51B31"/>
    <w:rsid w:val="00C5220B"/>
    <w:rsid w:val="00C53973"/>
    <w:rsid w:val="00C53E4A"/>
    <w:rsid w:val="00C5498F"/>
    <w:rsid w:val="00C55235"/>
    <w:rsid w:val="00C555B2"/>
    <w:rsid w:val="00C55A31"/>
    <w:rsid w:val="00C56DAF"/>
    <w:rsid w:val="00C62FC8"/>
    <w:rsid w:val="00C64CD0"/>
    <w:rsid w:val="00C6684F"/>
    <w:rsid w:val="00C67293"/>
    <w:rsid w:val="00C70E70"/>
    <w:rsid w:val="00C73092"/>
    <w:rsid w:val="00C74DA8"/>
    <w:rsid w:val="00C74F67"/>
    <w:rsid w:val="00C7561C"/>
    <w:rsid w:val="00C75DF0"/>
    <w:rsid w:val="00C75F8D"/>
    <w:rsid w:val="00C77380"/>
    <w:rsid w:val="00C77A50"/>
    <w:rsid w:val="00C77EB9"/>
    <w:rsid w:val="00C807B3"/>
    <w:rsid w:val="00C8417D"/>
    <w:rsid w:val="00C87159"/>
    <w:rsid w:val="00C901FC"/>
    <w:rsid w:val="00C96FEE"/>
    <w:rsid w:val="00C97736"/>
    <w:rsid w:val="00CA1512"/>
    <w:rsid w:val="00CA2AF7"/>
    <w:rsid w:val="00CA345A"/>
    <w:rsid w:val="00CA35C8"/>
    <w:rsid w:val="00CA37D6"/>
    <w:rsid w:val="00CA6D6D"/>
    <w:rsid w:val="00CA6FA9"/>
    <w:rsid w:val="00CB00C0"/>
    <w:rsid w:val="00CB1E82"/>
    <w:rsid w:val="00CB4BA8"/>
    <w:rsid w:val="00CB52D7"/>
    <w:rsid w:val="00CC019A"/>
    <w:rsid w:val="00CC3964"/>
    <w:rsid w:val="00CC44E8"/>
    <w:rsid w:val="00CC6441"/>
    <w:rsid w:val="00CC6732"/>
    <w:rsid w:val="00CC6903"/>
    <w:rsid w:val="00CD3DB1"/>
    <w:rsid w:val="00CD4FE5"/>
    <w:rsid w:val="00CD5D4E"/>
    <w:rsid w:val="00CD62A6"/>
    <w:rsid w:val="00CE0DF4"/>
    <w:rsid w:val="00CE3C96"/>
    <w:rsid w:val="00CE493B"/>
    <w:rsid w:val="00CE513D"/>
    <w:rsid w:val="00CE51A8"/>
    <w:rsid w:val="00CF018D"/>
    <w:rsid w:val="00CF369B"/>
    <w:rsid w:val="00CF5DB3"/>
    <w:rsid w:val="00CF7FED"/>
    <w:rsid w:val="00D00E28"/>
    <w:rsid w:val="00D00F30"/>
    <w:rsid w:val="00D024AE"/>
    <w:rsid w:val="00D0269E"/>
    <w:rsid w:val="00D02F47"/>
    <w:rsid w:val="00D05D6C"/>
    <w:rsid w:val="00D073CC"/>
    <w:rsid w:val="00D0741D"/>
    <w:rsid w:val="00D07B21"/>
    <w:rsid w:val="00D10D85"/>
    <w:rsid w:val="00D10F4C"/>
    <w:rsid w:val="00D11AA7"/>
    <w:rsid w:val="00D11FA7"/>
    <w:rsid w:val="00D1265C"/>
    <w:rsid w:val="00D1391E"/>
    <w:rsid w:val="00D15810"/>
    <w:rsid w:val="00D16D4E"/>
    <w:rsid w:val="00D16FE3"/>
    <w:rsid w:val="00D17591"/>
    <w:rsid w:val="00D17997"/>
    <w:rsid w:val="00D2076C"/>
    <w:rsid w:val="00D2107B"/>
    <w:rsid w:val="00D211A7"/>
    <w:rsid w:val="00D2150E"/>
    <w:rsid w:val="00D21E5D"/>
    <w:rsid w:val="00D24C27"/>
    <w:rsid w:val="00D25A1E"/>
    <w:rsid w:val="00D27F41"/>
    <w:rsid w:val="00D32256"/>
    <w:rsid w:val="00D324D0"/>
    <w:rsid w:val="00D337EE"/>
    <w:rsid w:val="00D34189"/>
    <w:rsid w:val="00D341B6"/>
    <w:rsid w:val="00D35906"/>
    <w:rsid w:val="00D36441"/>
    <w:rsid w:val="00D3717D"/>
    <w:rsid w:val="00D4055E"/>
    <w:rsid w:val="00D4064E"/>
    <w:rsid w:val="00D42C09"/>
    <w:rsid w:val="00D43986"/>
    <w:rsid w:val="00D43FFC"/>
    <w:rsid w:val="00D44E9B"/>
    <w:rsid w:val="00D47AEB"/>
    <w:rsid w:val="00D47B35"/>
    <w:rsid w:val="00D50DB9"/>
    <w:rsid w:val="00D51302"/>
    <w:rsid w:val="00D52C43"/>
    <w:rsid w:val="00D530C3"/>
    <w:rsid w:val="00D54270"/>
    <w:rsid w:val="00D55ED2"/>
    <w:rsid w:val="00D57C00"/>
    <w:rsid w:val="00D61812"/>
    <w:rsid w:val="00D6507F"/>
    <w:rsid w:val="00D66741"/>
    <w:rsid w:val="00D6762B"/>
    <w:rsid w:val="00D67F49"/>
    <w:rsid w:val="00D72961"/>
    <w:rsid w:val="00D729D0"/>
    <w:rsid w:val="00D730BC"/>
    <w:rsid w:val="00D73912"/>
    <w:rsid w:val="00D76356"/>
    <w:rsid w:val="00D816DD"/>
    <w:rsid w:val="00D82213"/>
    <w:rsid w:val="00D83F2F"/>
    <w:rsid w:val="00D85226"/>
    <w:rsid w:val="00D86726"/>
    <w:rsid w:val="00D874ED"/>
    <w:rsid w:val="00D87707"/>
    <w:rsid w:val="00D87B94"/>
    <w:rsid w:val="00D914D1"/>
    <w:rsid w:val="00D92D49"/>
    <w:rsid w:val="00D92EC1"/>
    <w:rsid w:val="00D965CA"/>
    <w:rsid w:val="00D96DEA"/>
    <w:rsid w:val="00DA0B27"/>
    <w:rsid w:val="00DA4158"/>
    <w:rsid w:val="00DA4E41"/>
    <w:rsid w:val="00DA4E4D"/>
    <w:rsid w:val="00DA5F13"/>
    <w:rsid w:val="00DB117A"/>
    <w:rsid w:val="00DB27AA"/>
    <w:rsid w:val="00DB31F3"/>
    <w:rsid w:val="00DB36B5"/>
    <w:rsid w:val="00DB5173"/>
    <w:rsid w:val="00DB5335"/>
    <w:rsid w:val="00DB58BE"/>
    <w:rsid w:val="00DB7873"/>
    <w:rsid w:val="00DC187B"/>
    <w:rsid w:val="00DC2E6B"/>
    <w:rsid w:val="00DC3A81"/>
    <w:rsid w:val="00DD0C89"/>
    <w:rsid w:val="00DD1978"/>
    <w:rsid w:val="00DD1A43"/>
    <w:rsid w:val="00DD2002"/>
    <w:rsid w:val="00DD3EF5"/>
    <w:rsid w:val="00DD58D8"/>
    <w:rsid w:val="00DD64BC"/>
    <w:rsid w:val="00DD73C2"/>
    <w:rsid w:val="00DE09E7"/>
    <w:rsid w:val="00DE24A8"/>
    <w:rsid w:val="00DE2762"/>
    <w:rsid w:val="00DE319B"/>
    <w:rsid w:val="00DE3B02"/>
    <w:rsid w:val="00DF34FE"/>
    <w:rsid w:val="00DF36A5"/>
    <w:rsid w:val="00DF4BD1"/>
    <w:rsid w:val="00DF56AA"/>
    <w:rsid w:val="00DF56AF"/>
    <w:rsid w:val="00DF5A06"/>
    <w:rsid w:val="00DF5E86"/>
    <w:rsid w:val="00DF78E3"/>
    <w:rsid w:val="00DF78E7"/>
    <w:rsid w:val="00E110E0"/>
    <w:rsid w:val="00E12EE3"/>
    <w:rsid w:val="00E15371"/>
    <w:rsid w:val="00E17E9F"/>
    <w:rsid w:val="00E21061"/>
    <w:rsid w:val="00E22ED8"/>
    <w:rsid w:val="00E234A9"/>
    <w:rsid w:val="00E24104"/>
    <w:rsid w:val="00E25871"/>
    <w:rsid w:val="00E26251"/>
    <w:rsid w:val="00E2631E"/>
    <w:rsid w:val="00E26C6F"/>
    <w:rsid w:val="00E302D0"/>
    <w:rsid w:val="00E30321"/>
    <w:rsid w:val="00E3034C"/>
    <w:rsid w:val="00E3079E"/>
    <w:rsid w:val="00E32E6A"/>
    <w:rsid w:val="00E34171"/>
    <w:rsid w:val="00E35707"/>
    <w:rsid w:val="00E36AA1"/>
    <w:rsid w:val="00E36E80"/>
    <w:rsid w:val="00E40661"/>
    <w:rsid w:val="00E41ECB"/>
    <w:rsid w:val="00E41FB4"/>
    <w:rsid w:val="00E425C8"/>
    <w:rsid w:val="00E43415"/>
    <w:rsid w:val="00E45688"/>
    <w:rsid w:val="00E4737D"/>
    <w:rsid w:val="00E476B3"/>
    <w:rsid w:val="00E50175"/>
    <w:rsid w:val="00E508BE"/>
    <w:rsid w:val="00E50A62"/>
    <w:rsid w:val="00E51F8E"/>
    <w:rsid w:val="00E52529"/>
    <w:rsid w:val="00E53C8A"/>
    <w:rsid w:val="00E545C3"/>
    <w:rsid w:val="00E54FDB"/>
    <w:rsid w:val="00E559B6"/>
    <w:rsid w:val="00E5617D"/>
    <w:rsid w:val="00E563D7"/>
    <w:rsid w:val="00E603DE"/>
    <w:rsid w:val="00E610F9"/>
    <w:rsid w:val="00E64475"/>
    <w:rsid w:val="00E663F4"/>
    <w:rsid w:val="00E666F2"/>
    <w:rsid w:val="00E66DD4"/>
    <w:rsid w:val="00E672C2"/>
    <w:rsid w:val="00E67CAB"/>
    <w:rsid w:val="00E7192A"/>
    <w:rsid w:val="00E72317"/>
    <w:rsid w:val="00E731F2"/>
    <w:rsid w:val="00E748CC"/>
    <w:rsid w:val="00E75415"/>
    <w:rsid w:val="00E76570"/>
    <w:rsid w:val="00E775B1"/>
    <w:rsid w:val="00E8152A"/>
    <w:rsid w:val="00E818D8"/>
    <w:rsid w:val="00E900AB"/>
    <w:rsid w:val="00E90993"/>
    <w:rsid w:val="00E9299A"/>
    <w:rsid w:val="00E93629"/>
    <w:rsid w:val="00E93B5C"/>
    <w:rsid w:val="00E93DAF"/>
    <w:rsid w:val="00E94CEC"/>
    <w:rsid w:val="00EA04EF"/>
    <w:rsid w:val="00EA0724"/>
    <w:rsid w:val="00EA1264"/>
    <w:rsid w:val="00EA23BB"/>
    <w:rsid w:val="00EA34CF"/>
    <w:rsid w:val="00EA6A5F"/>
    <w:rsid w:val="00EA6F19"/>
    <w:rsid w:val="00EB00D4"/>
    <w:rsid w:val="00EB1120"/>
    <w:rsid w:val="00EB383C"/>
    <w:rsid w:val="00EB651F"/>
    <w:rsid w:val="00EB7090"/>
    <w:rsid w:val="00EB7623"/>
    <w:rsid w:val="00EB7644"/>
    <w:rsid w:val="00EC02A2"/>
    <w:rsid w:val="00EC1BBE"/>
    <w:rsid w:val="00EC32AE"/>
    <w:rsid w:val="00EC39CF"/>
    <w:rsid w:val="00EC5CD7"/>
    <w:rsid w:val="00EC68B2"/>
    <w:rsid w:val="00EC6A45"/>
    <w:rsid w:val="00ED0B52"/>
    <w:rsid w:val="00ED17ED"/>
    <w:rsid w:val="00ED38C6"/>
    <w:rsid w:val="00EE20FF"/>
    <w:rsid w:val="00EE256D"/>
    <w:rsid w:val="00EE5868"/>
    <w:rsid w:val="00EE5FB3"/>
    <w:rsid w:val="00EE64BB"/>
    <w:rsid w:val="00EE7F79"/>
    <w:rsid w:val="00EE7F91"/>
    <w:rsid w:val="00EF10D0"/>
    <w:rsid w:val="00EF12BC"/>
    <w:rsid w:val="00EF224F"/>
    <w:rsid w:val="00EF2FC6"/>
    <w:rsid w:val="00EF37A5"/>
    <w:rsid w:val="00EF46C7"/>
    <w:rsid w:val="00EF5FAB"/>
    <w:rsid w:val="00EF637C"/>
    <w:rsid w:val="00EF715A"/>
    <w:rsid w:val="00EF73FF"/>
    <w:rsid w:val="00EF795A"/>
    <w:rsid w:val="00F012AE"/>
    <w:rsid w:val="00F01345"/>
    <w:rsid w:val="00F01472"/>
    <w:rsid w:val="00F031E8"/>
    <w:rsid w:val="00F047A7"/>
    <w:rsid w:val="00F04F31"/>
    <w:rsid w:val="00F06E14"/>
    <w:rsid w:val="00F07628"/>
    <w:rsid w:val="00F07D07"/>
    <w:rsid w:val="00F10841"/>
    <w:rsid w:val="00F10AB3"/>
    <w:rsid w:val="00F10FA8"/>
    <w:rsid w:val="00F150E0"/>
    <w:rsid w:val="00F1517E"/>
    <w:rsid w:val="00F159EC"/>
    <w:rsid w:val="00F179D4"/>
    <w:rsid w:val="00F21EDC"/>
    <w:rsid w:val="00F22CA8"/>
    <w:rsid w:val="00F230A9"/>
    <w:rsid w:val="00F24364"/>
    <w:rsid w:val="00F24713"/>
    <w:rsid w:val="00F24D39"/>
    <w:rsid w:val="00F2592E"/>
    <w:rsid w:val="00F26807"/>
    <w:rsid w:val="00F26F30"/>
    <w:rsid w:val="00F33C56"/>
    <w:rsid w:val="00F347C7"/>
    <w:rsid w:val="00F34848"/>
    <w:rsid w:val="00F37A8E"/>
    <w:rsid w:val="00F41B46"/>
    <w:rsid w:val="00F42A55"/>
    <w:rsid w:val="00F42D46"/>
    <w:rsid w:val="00F42E51"/>
    <w:rsid w:val="00F4394D"/>
    <w:rsid w:val="00F4496C"/>
    <w:rsid w:val="00F44F3A"/>
    <w:rsid w:val="00F45963"/>
    <w:rsid w:val="00F45FE0"/>
    <w:rsid w:val="00F46848"/>
    <w:rsid w:val="00F46F02"/>
    <w:rsid w:val="00F510CD"/>
    <w:rsid w:val="00F51F10"/>
    <w:rsid w:val="00F529A5"/>
    <w:rsid w:val="00F53FF6"/>
    <w:rsid w:val="00F55434"/>
    <w:rsid w:val="00F56500"/>
    <w:rsid w:val="00F57373"/>
    <w:rsid w:val="00F57614"/>
    <w:rsid w:val="00F60F00"/>
    <w:rsid w:val="00F60F10"/>
    <w:rsid w:val="00F614C0"/>
    <w:rsid w:val="00F62311"/>
    <w:rsid w:val="00F62AEF"/>
    <w:rsid w:val="00F6605D"/>
    <w:rsid w:val="00F67B32"/>
    <w:rsid w:val="00F72873"/>
    <w:rsid w:val="00F72BA0"/>
    <w:rsid w:val="00F74921"/>
    <w:rsid w:val="00F74CFB"/>
    <w:rsid w:val="00F74D0F"/>
    <w:rsid w:val="00F76587"/>
    <w:rsid w:val="00F76E6E"/>
    <w:rsid w:val="00F77EFA"/>
    <w:rsid w:val="00F813E4"/>
    <w:rsid w:val="00F83848"/>
    <w:rsid w:val="00F862B4"/>
    <w:rsid w:val="00F86AC8"/>
    <w:rsid w:val="00F86AF5"/>
    <w:rsid w:val="00F975E9"/>
    <w:rsid w:val="00F97E67"/>
    <w:rsid w:val="00FA0284"/>
    <w:rsid w:val="00FA1407"/>
    <w:rsid w:val="00FA1544"/>
    <w:rsid w:val="00FA193D"/>
    <w:rsid w:val="00FA1B7D"/>
    <w:rsid w:val="00FA35C0"/>
    <w:rsid w:val="00FA4547"/>
    <w:rsid w:val="00FA5E6D"/>
    <w:rsid w:val="00FA7038"/>
    <w:rsid w:val="00FA7AF5"/>
    <w:rsid w:val="00FB192D"/>
    <w:rsid w:val="00FB414A"/>
    <w:rsid w:val="00FC07B9"/>
    <w:rsid w:val="00FC493F"/>
    <w:rsid w:val="00FC4E21"/>
    <w:rsid w:val="00FC534A"/>
    <w:rsid w:val="00FC5F6D"/>
    <w:rsid w:val="00FD0107"/>
    <w:rsid w:val="00FD1033"/>
    <w:rsid w:val="00FD153C"/>
    <w:rsid w:val="00FD2C2F"/>
    <w:rsid w:val="00FD2C7E"/>
    <w:rsid w:val="00FD35F4"/>
    <w:rsid w:val="00FD3B31"/>
    <w:rsid w:val="00FD660B"/>
    <w:rsid w:val="00FD6ED9"/>
    <w:rsid w:val="00FD7DC3"/>
    <w:rsid w:val="00FE1823"/>
    <w:rsid w:val="00FE1B6A"/>
    <w:rsid w:val="00FE3065"/>
    <w:rsid w:val="00FE487A"/>
    <w:rsid w:val="00FE4ADC"/>
    <w:rsid w:val="00FE61B8"/>
    <w:rsid w:val="00FE6AA8"/>
    <w:rsid w:val="00FE6C81"/>
    <w:rsid w:val="00FF0569"/>
    <w:rsid w:val="00FF206E"/>
    <w:rsid w:val="00FF22A6"/>
    <w:rsid w:val="00FF3B31"/>
    <w:rsid w:val="00FF3C69"/>
    <w:rsid w:val="00FF5FAF"/>
    <w:rsid w:val="00FF655C"/>
    <w:rsid w:val="00FF6E0A"/>
    <w:rsid w:val="00FF706B"/>
    <w:rsid w:val="00FF77B4"/>
    <w:rsid w:val="08953042"/>
    <w:rsid w:val="77A4139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hapeDefaults>
    <o:shapedefaults v:ext="edit" spidmax="2050">
      <o:colormru v:ext="edit" colors="red,#4d4d4f"/>
    </o:shapedefaults>
    <o:shapelayout v:ext="edit">
      <o:idmap v:ext="edit" data="2"/>
    </o:shapelayout>
  </w:shapeDefaults>
  <w:decimalSymbol w:val="."/>
  <w:listSeparator w:val=","/>
  <w14:docId w14:val="1B629AF2"/>
  <w15:docId w15:val="{8DFD7C77-EED5-4241-AB7A-FF219C6C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7C0"/>
    <w:pPr>
      <w:spacing w:after="240" w:line="240" w:lineRule="atLeast"/>
    </w:pPr>
    <w:rPr>
      <w:rFonts w:ascii="Arial" w:hAnsi="Arial"/>
      <w:sz w:val="22"/>
    </w:rPr>
  </w:style>
  <w:style w:type="paragraph" w:styleId="Heading1">
    <w:name w:val="heading 1"/>
    <w:basedOn w:val="Normal"/>
    <w:next w:val="Normal"/>
    <w:qFormat/>
    <w:rsid w:val="00923D7A"/>
    <w:pPr>
      <w:keepNext/>
      <w:pageBreakBefore/>
      <w:widowControl w:val="0"/>
      <w:numPr>
        <w:numId w:val="11"/>
      </w:numPr>
      <w:spacing w:after="360" w:line="550" w:lineRule="exact"/>
      <w:outlineLvl w:val="0"/>
    </w:pPr>
    <w:rPr>
      <w:rFonts w:cs="Arial"/>
      <w:bCs/>
      <w:color w:val="323232"/>
      <w:kern w:val="32"/>
      <w:sz w:val="44"/>
      <w:szCs w:val="32"/>
    </w:rPr>
  </w:style>
  <w:style w:type="paragraph" w:styleId="Heading2">
    <w:name w:val="heading 2"/>
    <w:basedOn w:val="Normal"/>
    <w:next w:val="Normal"/>
    <w:uiPriority w:val="9"/>
    <w:qFormat/>
    <w:rsid w:val="00254146"/>
    <w:pPr>
      <w:keepNext/>
      <w:numPr>
        <w:ilvl w:val="1"/>
        <w:numId w:val="11"/>
      </w:numPr>
      <w:spacing w:before="320" w:after="60"/>
      <w:ind w:left="680" w:hanging="680"/>
      <w:outlineLvl w:val="1"/>
    </w:pPr>
    <w:rPr>
      <w:rFonts w:cs="Arial"/>
      <w:b/>
      <w:bCs/>
      <w:iCs/>
      <w:sz w:val="28"/>
      <w:szCs w:val="28"/>
    </w:rPr>
  </w:style>
  <w:style w:type="paragraph" w:styleId="Heading3">
    <w:name w:val="heading 3"/>
    <w:basedOn w:val="Normal"/>
    <w:next w:val="Normal"/>
    <w:qFormat/>
    <w:rsid w:val="00254146"/>
    <w:pPr>
      <w:keepNext/>
      <w:numPr>
        <w:ilvl w:val="2"/>
        <w:numId w:val="11"/>
      </w:numPr>
      <w:spacing w:before="60" w:after="60"/>
      <w:outlineLvl w:val="2"/>
    </w:pPr>
    <w:rPr>
      <w:rFonts w:cs="Arial"/>
      <w:b/>
      <w:bCs/>
      <w:szCs w:val="26"/>
    </w:rPr>
  </w:style>
  <w:style w:type="paragraph" w:styleId="Heading4">
    <w:name w:val="heading 4"/>
    <w:aliases w:val="H4"/>
    <w:basedOn w:val="Normal"/>
    <w:next w:val="Normal"/>
    <w:qFormat/>
    <w:rsid w:val="00AD5436"/>
    <w:pPr>
      <w:keepNext/>
      <w:numPr>
        <w:ilvl w:val="3"/>
        <w:numId w:val="11"/>
      </w:numPr>
      <w:spacing w:before="240" w:after="60"/>
      <w:outlineLvl w:val="3"/>
    </w:pPr>
    <w:rPr>
      <w:rFonts w:ascii="Times New Roman" w:hAnsi="Times New Roman"/>
      <w:b/>
      <w:bCs/>
      <w:sz w:val="28"/>
      <w:szCs w:val="28"/>
    </w:rPr>
  </w:style>
  <w:style w:type="paragraph" w:styleId="Heading5">
    <w:name w:val="heading 5"/>
    <w:basedOn w:val="Normal"/>
    <w:next w:val="Normal"/>
    <w:qFormat/>
    <w:rsid w:val="00AD5436"/>
    <w:pPr>
      <w:numPr>
        <w:ilvl w:val="4"/>
        <w:numId w:val="11"/>
      </w:numPr>
      <w:spacing w:before="240" w:after="60"/>
      <w:outlineLvl w:val="4"/>
    </w:pPr>
    <w:rPr>
      <w:b/>
      <w:bCs/>
      <w:i/>
      <w:iCs/>
      <w:sz w:val="26"/>
      <w:szCs w:val="26"/>
    </w:rPr>
  </w:style>
  <w:style w:type="paragraph" w:styleId="Heading6">
    <w:name w:val="heading 6"/>
    <w:basedOn w:val="Normal"/>
    <w:next w:val="Normal"/>
    <w:qFormat/>
    <w:rsid w:val="00AD5436"/>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AD5436"/>
    <w:pPr>
      <w:numPr>
        <w:ilvl w:val="6"/>
        <w:numId w:val="11"/>
      </w:numPr>
      <w:spacing w:before="240" w:after="60"/>
      <w:outlineLvl w:val="6"/>
    </w:pPr>
    <w:rPr>
      <w:rFonts w:ascii="Times New Roman" w:hAnsi="Times New Roman"/>
    </w:rPr>
  </w:style>
  <w:style w:type="paragraph" w:styleId="Heading8">
    <w:name w:val="heading 8"/>
    <w:basedOn w:val="Normal"/>
    <w:next w:val="Normal"/>
    <w:qFormat/>
    <w:rsid w:val="00AD5436"/>
    <w:pPr>
      <w:numPr>
        <w:ilvl w:val="7"/>
        <w:numId w:val="11"/>
      </w:numPr>
      <w:spacing w:before="240" w:after="60"/>
      <w:outlineLvl w:val="7"/>
    </w:pPr>
    <w:rPr>
      <w:rFonts w:ascii="Times New Roman" w:hAnsi="Times New Roman"/>
      <w:i/>
      <w:iCs/>
    </w:rPr>
  </w:style>
  <w:style w:type="paragraph" w:styleId="Heading9">
    <w:name w:val="heading 9"/>
    <w:basedOn w:val="Normal"/>
    <w:next w:val="Normal"/>
    <w:qFormat/>
    <w:rsid w:val="00AD5436"/>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0">
    <w:name w:val="Table Heading"/>
    <w:basedOn w:val="Normal"/>
    <w:qFormat/>
    <w:rsid w:val="00804A0A"/>
    <w:pPr>
      <w:spacing w:before="40" w:after="4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804A0A"/>
    <w:pPr>
      <w:numPr>
        <w:numId w:val="9"/>
      </w:numPr>
      <w:spacing w:after="8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955906"/>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4"/>
      </w:numPr>
      <w:spacing w:after="80"/>
    </w:pPr>
  </w:style>
  <w:style w:type="paragraph" w:styleId="ListNumber2">
    <w:name w:val="List Number 2"/>
    <w:basedOn w:val="Normal"/>
    <w:qFormat/>
    <w:rsid w:val="00247C59"/>
    <w:p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
    <w:basedOn w:val="DefaultParagraphFont"/>
    <w:rsid w:val="00566AB4"/>
    <w:rPr>
      <w:rFonts w:ascii="Arial" w:hAnsi="Arial"/>
      <w:vertAlign w:val="superscript"/>
    </w:rPr>
  </w:style>
  <w:style w:type="paragraph" w:styleId="FootnoteText">
    <w:name w:val="footnote text"/>
    <w:aliases w:val="ACMA Footnote Text,Footnote Text Char1,Footnote Text Char Char,Footnote Text Char1 Char Char,Footnote Text Char Char Char Char,Footnote Text Char1 Char Char Char Char,Footnote Text Char Char Char Char Char Char,f,Footnote text"/>
    <w:basedOn w:val="Normal"/>
    <w:link w:val="FootnoteTextChar"/>
    <w:rsid w:val="00955906"/>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955906"/>
    <w:pPr>
      <w:numPr>
        <w:numId w:val="7"/>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6"/>
      </w:numPr>
      <w:spacing w:after="160"/>
    </w:pPr>
    <w:rPr>
      <w:rFonts w:ascii="Arial" w:hAnsi="Arial"/>
      <w:b/>
      <w:bCs/>
      <w:color w:val="323232"/>
      <w:sz w:val="22"/>
      <w:szCs w:val="20"/>
    </w:rPr>
  </w:style>
  <w:style w:type="paragraph" w:customStyle="1" w:styleId="Captionfigure">
    <w:name w:val="Caption figure"/>
    <w:basedOn w:val="Caption"/>
    <w:qFormat/>
    <w:rsid w:val="00E8152A"/>
    <w:pPr>
      <w:keepNext/>
      <w:numPr>
        <w:numId w:val="8"/>
      </w:numPr>
      <w:tabs>
        <w:tab w:val="num" w:pos="6918"/>
      </w:tabs>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10"/>
      </w:numPr>
    </w:pPr>
  </w:style>
  <w:style w:type="paragraph" w:customStyle="1" w:styleId="Numberedheading">
    <w:name w:val="Numbered heading"/>
    <w:basedOn w:val="Heading2"/>
    <w:qFormat/>
    <w:rsid w:val="00FD1033"/>
    <w:pPr>
      <w:numPr>
        <w:numId w:val="10"/>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qFormat/>
    <w:rsid w:val="00366071"/>
    <w:pPr>
      <w:ind w:left="720"/>
      <w:contextualSpacing/>
    </w:pPr>
  </w:style>
  <w:style w:type="character" w:customStyle="1" w:styleId="FootnoteTextChar">
    <w:name w:val="Footnote Text Char"/>
    <w:aliases w:val="ACMA Footnote Text Char,Footnote Text Char1 Char,Footnote Text Char Char Char,Footnote Text Char1 Char Char Char,Footnote Text Char Char Char Char Char,Footnote Text Char1 Char Char Char Char Char,f Char,Footnote text Char"/>
    <w:basedOn w:val="DefaultParagraphFont"/>
    <w:link w:val="FootnoteText"/>
    <w:uiPriority w:val="99"/>
    <w:rsid w:val="00330733"/>
    <w:rPr>
      <w:rFonts w:ascii="Arial" w:hAnsi="Arial"/>
      <w:sz w:val="16"/>
      <w:szCs w:val="16"/>
    </w:rPr>
  </w:style>
  <w:style w:type="paragraph" w:styleId="Revision">
    <w:name w:val="Revision"/>
    <w:hidden/>
    <w:semiHidden/>
    <w:rsid w:val="009C30E4"/>
    <w:rPr>
      <w:rFonts w:ascii="Arial" w:hAnsi="Arial"/>
      <w:sz w:val="22"/>
    </w:rPr>
  </w:style>
  <w:style w:type="character" w:styleId="UnresolvedMention">
    <w:name w:val="Unresolved Mention"/>
    <w:basedOn w:val="DefaultParagraphFont"/>
    <w:uiPriority w:val="99"/>
    <w:semiHidden/>
    <w:unhideWhenUsed/>
    <w:rsid w:val="00A434A8"/>
    <w:rPr>
      <w:color w:val="605E5C"/>
      <w:shd w:val="clear" w:color="auto" w:fill="E1DFDD"/>
    </w:rPr>
  </w:style>
  <w:style w:type="character" w:customStyle="1" w:styleId="primary1">
    <w:name w:val="primary1"/>
    <w:basedOn w:val="DefaultParagraphFont"/>
    <w:rsid w:val="00A434A8"/>
    <w:rPr>
      <w:caps/>
    </w:rPr>
  </w:style>
  <w:style w:type="character" w:customStyle="1" w:styleId="description">
    <w:name w:val="description"/>
    <w:basedOn w:val="DefaultParagraphFont"/>
    <w:rsid w:val="00A434A8"/>
  </w:style>
  <w:style w:type="paragraph" w:customStyle="1" w:styleId="Paragraph">
    <w:name w:val="Paragraph"/>
    <w:basedOn w:val="Normal"/>
    <w:qFormat/>
    <w:rsid w:val="00224DA1"/>
    <w:rPr>
      <w:rFonts w:cs="Arial"/>
      <w:sz w:val="20"/>
    </w:rPr>
  </w:style>
  <w:style w:type="table" w:customStyle="1" w:styleId="TableGrid0">
    <w:name w:val="TableGrid"/>
    <w:rsid w:val="00F10841"/>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customStyle="1" w:styleId="Numberlistlevel2last">
    <w:name w:val="Number list level 2 last"/>
    <w:basedOn w:val="Normal"/>
    <w:uiPriority w:val="12"/>
    <w:qFormat/>
    <w:rsid w:val="00B10996"/>
    <w:pPr>
      <w:numPr>
        <w:numId w:val="3"/>
      </w:numPr>
      <w:tabs>
        <w:tab w:val="clear" w:pos="1209"/>
      </w:tabs>
      <w:ind w:left="766" w:hanging="295"/>
    </w:pPr>
    <w:rPr>
      <w:sz w:val="20"/>
    </w:rPr>
  </w:style>
  <w:style w:type="paragraph" w:styleId="EndnoteText">
    <w:name w:val="endnote text"/>
    <w:basedOn w:val="Normal"/>
    <w:link w:val="EndnoteTextChar"/>
    <w:semiHidden/>
    <w:unhideWhenUsed/>
    <w:rsid w:val="002A237F"/>
    <w:pPr>
      <w:spacing w:after="0" w:line="240" w:lineRule="auto"/>
    </w:pPr>
    <w:rPr>
      <w:sz w:val="20"/>
      <w:szCs w:val="20"/>
    </w:rPr>
  </w:style>
  <w:style w:type="character" w:customStyle="1" w:styleId="EndnoteTextChar">
    <w:name w:val="Endnote Text Char"/>
    <w:basedOn w:val="DefaultParagraphFont"/>
    <w:link w:val="EndnoteText"/>
    <w:semiHidden/>
    <w:rsid w:val="002A237F"/>
    <w:rPr>
      <w:rFonts w:ascii="Arial" w:hAnsi="Arial"/>
      <w:sz w:val="20"/>
      <w:szCs w:val="20"/>
    </w:rPr>
  </w:style>
  <w:style w:type="character" w:styleId="EndnoteReference">
    <w:name w:val="endnote reference"/>
    <w:basedOn w:val="DefaultParagraphFont"/>
    <w:semiHidden/>
    <w:unhideWhenUsed/>
    <w:rsid w:val="002A237F"/>
    <w:rPr>
      <w:vertAlign w:val="superscript"/>
    </w:rPr>
  </w:style>
  <w:style w:type="paragraph" w:customStyle="1" w:styleId="Tableheaderrow">
    <w:name w:val="Table header row"/>
    <w:basedOn w:val="Normal"/>
    <w:uiPriority w:val="14"/>
    <w:qFormat/>
    <w:rsid w:val="007223A4"/>
    <w:pPr>
      <w:spacing w:after="0"/>
    </w:pPr>
    <w:rPr>
      <w:b/>
    </w:rPr>
  </w:style>
  <w:style w:type="table" w:customStyle="1" w:styleId="ACMAtablestyle">
    <w:name w:val="ACMA table style"/>
    <w:basedOn w:val="TableNormal"/>
    <w:uiPriority w:val="99"/>
    <w:rsid w:val="007223A4"/>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uiPriority w:val="13"/>
    <w:qFormat/>
    <w:rsid w:val="007223A4"/>
    <w:pPr>
      <w:keepNext/>
      <w:numPr>
        <w:numId w:val="5"/>
      </w:numPr>
      <w:spacing w:line="280" w:lineRule="atLeast"/>
    </w:pPr>
  </w:style>
  <w:style w:type="paragraph" w:customStyle="1" w:styleId="Tableorfigurenote">
    <w:name w:val="Table or figure note"/>
    <w:basedOn w:val="ACMANotes"/>
    <w:uiPriority w:val="17"/>
    <w:qFormat/>
    <w:rsid w:val="007223A4"/>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1405571987">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freqplan@acma.gov.au"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reqplan@acma.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 TargetMode="Externa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c.gov.au/inquiries/completed/radiocommunic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A55C92B42AA40BC1B2189E7B3C29C" ma:contentTypeVersion="8" ma:contentTypeDescription="Create a new document." ma:contentTypeScope="" ma:versionID="0374700fc91d98c6a7f49dcd97d3e0d8">
  <xsd:schema xmlns:xsd="http://www.w3.org/2001/XMLSchema" xmlns:xs="http://www.w3.org/2001/XMLSchema" xmlns:p="http://schemas.microsoft.com/office/2006/metadata/properties" xmlns:ns2="1d983eb4-33f7-44b0-aea1-cbdcf0c55136" targetNamespace="http://schemas.microsoft.com/office/2006/metadata/properties" ma:root="true" ma:fieldsID="cf02771e6317eee6a4b12743394788ff"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3NE2HDV7HD6D-1249937519-6500</_dlc_DocId>
    <_dlc_DocIdUrl xmlns="1d983eb4-33f7-44b0-aea1-cbdcf0c55136">
      <Url>http://collaboration/organisation/cid/speb/SNIP/_layouts/15/DocIdRedir.aspx?ID=3NE2HDV7HD6D-1249937519-6500</Url>
      <Description>3NE2HDV7HD6D-1249937519-6500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6F785-4A17-4325-807A-B4039FBC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045C6-A8DC-4384-9182-70A5BD1FBD73}">
  <ds:schemaRefs>
    <ds:schemaRef ds:uri="http://schemas.openxmlformats.org/officeDocument/2006/bibliography"/>
  </ds:schemaRefs>
</ds:datastoreItem>
</file>

<file path=customXml/itemProps3.xml><?xml version="1.0" encoding="utf-8"?>
<ds:datastoreItem xmlns:ds="http://schemas.openxmlformats.org/officeDocument/2006/customXml" ds:itemID="{A36907D3-D73F-4313-8938-846466E68BF1}">
  <ds:schemaRefs>
    <ds:schemaRef ds:uri="http://schemas.microsoft.com/office/2006/documentManagement/types"/>
    <ds:schemaRef ds:uri="http://purl.org/dc/terms/"/>
    <ds:schemaRef ds:uri="1d983eb4-33f7-44b0-aea1-cbdcf0c55136"/>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26266FC-DFC8-4D25-974F-098E77A24A5E}">
  <ds:schemaRefs>
    <ds:schemaRef ds:uri="http://schemas.microsoft.com/sharepoint/events"/>
  </ds:schemaRefs>
</ds:datastoreItem>
</file>

<file path=customXml/itemProps5.xml><?xml version="1.0" encoding="utf-8"?>
<ds:datastoreItem xmlns:ds="http://schemas.openxmlformats.org/officeDocument/2006/customXml" ds:itemID="{024CC6C8-78DC-4B27-9EF1-6CF6E092A37C}">
  <ds:schemaRefs>
    <ds:schemaRef ds:uri="http://schemas.microsoft.com/sharepoint/v3/contenttype/forms"/>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17</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16215</CharactersWithSpaces>
  <SharedDoc>false</SharedDoc>
  <HyperlinkBase/>
  <HLinks>
    <vt:vector size="264" baseType="variant">
      <vt:variant>
        <vt:i4>6750268</vt:i4>
      </vt:variant>
      <vt:variant>
        <vt:i4>222</vt:i4>
      </vt:variant>
      <vt:variant>
        <vt:i4>0</vt:i4>
      </vt:variant>
      <vt:variant>
        <vt:i4>5</vt:i4>
      </vt:variant>
      <vt:variant>
        <vt:lpwstr>http://search.itu.int/history/HistoryDigitalCollectionDocLibrary/1.43.48.en.102.pdf</vt:lpwstr>
      </vt:variant>
      <vt:variant>
        <vt:lpwstr/>
      </vt:variant>
      <vt:variant>
        <vt:i4>6750268</vt:i4>
      </vt:variant>
      <vt:variant>
        <vt:i4>219</vt:i4>
      </vt:variant>
      <vt:variant>
        <vt:i4>0</vt:i4>
      </vt:variant>
      <vt:variant>
        <vt:i4>5</vt:i4>
      </vt:variant>
      <vt:variant>
        <vt:lpwstr>http://search.itu.int/history/HistoryDigitalCollectionDocLibrary/1.43.48.en.102.pdf</vt:lpwstr>
      </vt:variant>
      <vt:variant>
        <vt:lpwstr/>
      </vt:variant>
      <vt:variant>
        <vt:i4>6750268</vt:i4>
      </vt:variant>
      <vt:variant>
        <vt:i4>216</vt:i4>
      </vt:variant>
      <vt:variant>
        <vt:i4>0</vt:i4>
      </vt:variant>
      <vt:variant>
        <vt:i4>5</vt:i4>
      </vt:variant>
      <vt:variant>
        <vt:lpwstr>http://search.itu.int/history/HistoryDigitalCollectionDocLibrary/1.43.48.en.102.pdf</vt:lpwstr>
      </vt:variant>
      <vt:variant>
        <vt:lpwstr/>
      </vt:variant>
      <vt:variant>
        <vt:i4>393290</vt:i4>
      </vt:variant>
      <vt:variant>
        <vt:i4>213</vt:i4>
      </vt:variant>
      <vt:variant>
        <vt:i4>0</vt:i4>
      </vt:variant>
      <vt:variant>
        <vt:i4>5</vt:i4>
      </vt:variant>
      <vt:variant>
        <vt:lpwstr>https://www.acma.gov.au/theACMA/rali-fx3-microwave-fixed-services-frequency-coordination</vt:lpwstr>
      </vt:variant>
      <vt:variant>
        <vt:lpwstr/>
      </vt:variant>
      <vt:variant>
        <vt:i4>6750268</vt:i4>
      </vt:variant>
      <vt:variant>
        <vt:i4>210</vt:i4>
      </vt:variant>
      <vt:variant>
        <vt:i4>0</vt:i4>
      </vt:variant>
      <vt:variant>
        <vt:i4>5</vt:i4>
      </vt:variant>
      <vt:variant>
        <vt:lpwstr>http://search.itu.int/history/HistoryDigitalCollectionDocLibrary/1.43.48.en.102.pdf</vt:lpwstr>
      </vt:variant>
      <vt:variant>
        <vt:lpwstr/>
      </vt:variant>
      <vt:variant>
        <vt:i4>8061033</vt:i4>
      </vt:variant>
      <vt:variant>
        <vt:i4>207</vt:i4>
      </vt:variant>
      <vt:variant>
        <vt:i4>0</vt:i4>
      </vt:variant>
      <vt:variant>
        <vt:i4>5</vt:i4>
      </vt:variant>
      <vt:variant>
        <vt:lpwstr>https://www.itu.int/pub/R-REG-RR/en</vt:lpwstr>
      </vt:variant>
      <vt:variant>
        <vt:lpwstr/>
      </vt:variant>
      <vt:variant>
        <vt:i4>4325416</vt:i4>
      </vt:variant>
      <vt:variant>
        <vt:i4>204</vt:i4>
      </vt:variant>
      <vt:variant>
        <vt:i4>0</vt:i4>
      </vt:variant>
      <vt:variant>
        <vt:i4>5</vt:i4>
      </vt:variant>
      <vt:variant>
        <vt:lpwstr>mailto:freqplan@acma.gov.au</vt:lpwstr>
      </vt:variant>
      <vt:variant>
        <vt:lpwstr/>
      </vt:variant>
      <vt:variant>
        <vt:i4>6422563</vt:i4>
      </vt:variant>
      <vt:variant>
        <vt:i4>201</vt:i4>
      </vt:variant>
      <vt:variant>
        <vt:i4>0</vt:i4>
      </vt:variant>
      <vt:variant>
        <vt:i4>5</vt:i4>
      </vt:variant>
      <vt:variant>
        <vt:lpwstr>https://www.acma.gov.au/Industry/Spectrum/Spectrum-planning/Current-APs-info-and-resources/frequency-assignment-requirements-spectrum-planning-acma</vt:lpwstr>
      </vt:variant>
      <vt:variant>
        <vt:lpwstr/>
      </vt:variant>
      <vt:variant>
        <vt:i4>2424868</vt:i4>
      </vt:variant>
      <vt:variant>
        <vt:i4>195</vt:i4>
      </vt:variant>
      <vt:variant>
        <vt:i4>0</vt:i4>
      </vt:variant>
      <vt:variant>
        <vt:i4>5</vt:i4>
      </vt:variant>
      <vt:variant>
        <vt:lpwstr>https://www.itu.int/rec/R-REC-S.465/en</vt:lpwstr>
      </vt:variant>
      <vt:variant>
        <vt:lpwstr/>
      </vt:variant>
      <vt:variant>
        <vt:i4>2162726</vt:i4>
      </vt:variant>
      <vt:variant>
        <vt:i4>192</vt:i4>
      </vt:variant>
      <vt:variant>
        <vt:i4>0</vt:i4>
      </vt:variant>
      <vt:variant>
        <vt:i4>5</vt:i4>
      </vt:variant>
      <vt:variant>
        <vt:lpwstr>https://www.itu.int/rec/R-REC-P.525/en</vt:lpwstr>
      </vt:variant>
      <vt:variant>
        <vt:lpwstr/>
      </vt:variant>
      <vt:variant>
        <vt:i4>2490400</vt:i4>
      </vt:variant>
      <vt:variant>
        <vt:i4>189</vt:i4>
      </vt:variant>
      <vt:variant>
        <vt:i4>0</vt:i4>
      </vt:variant>
      <vt:variant>
        <vt:i4>5</vt:i4>
      </vt:variant>
      <vt:variant>
        <vt:lpwstr>https://www.itu.int/rec/R-REC-P.452/en</vt:lpwstr>
      </vt:variant>
      <vt:variant>
        <vt:lpwstr/>
      </vt:variant>
      <vt:variant>
        <vt:i4>393290</vt:i4>
      </vt:variant>
      <vt:variant>
        <vt:i4>180</vt:i4>
      </vt:variant>
      <vt:variant>
        <vt:i4>0</vt:i4>
      </vt:variant>
      <vt:variant>
        <vt:i4>5</vt:i4>
      </vt:variant>
      <vt:variant>
        <vt:lpwstr>https://www.acma.gov.au/theACMA/rali-fx3-microwave-fixed-services-frequency-coordination</vt:lpwstr>
      </vt:variant>
      <vt:variant>
        <vt:lpwstr/>
      </vt:variant>
      <vt:variant>
        <vt:i4>6619234</vt:i4>
      </vt:variant>
      <vt:variant>
        <vt:i4>177</vt:i4>
      </vt:variant>
      <vt:variant>
        <vt:i4>0</vt:i4>
      </vt:variant>
      <vt:variant>
        <vt:i4>5</vt:i4>
      </vt:variant>
      <vt:variant>
        <vt:lpwstr>http://www.acma.gov.au/~/media/Spectrum Transformation and Government/Information/Word Document/BOP Earth Station docx.docx</vt:lpwstr>
      </vt:variant>
      <vt:variant>
        <vt:lpwstr/>
      </vt:variant>
      <vt:variant>
        <vt:i4>4325416</vt:i4>
      </vt:variant>
      <vt:variant>
        <vt:i4>174</vt:i4>
      </vt:variant>
      <vt:variant>
        <vt:i4>0</vt:i4>
      </vt:variant>
      <vt:variant>
        <vt:i4>5</vt:i4>
      </vt:variant>
      <vt:variant>
        <vt:lpwstr>mailto:freqplan@acma.gov.au</vt:lpwstr>
      </vt:variant>
      <vt:variant>
        <vt:lpwstr/>
      </vt:variant>
      <vt:variant>
        <vt:i4>4063273</vt:i4>
      </vt:variant>
      <vt:variant>
        <vt:i4>171</vt:i4>
      </vt:variant>
      <vt:variant>
        <vt:i4>0</vt:i4>
      </vt:variant>
      <vt:variant>
        <vt:i4>5</vt:i4>
      </vt:variant>
      <vt:variant>
        <vt:lpwstr>https://www.acma.gov.au/australian-radiofrequency-spectrum-plan</vt:lpwstr>
      </vt:variant>
      <vt:variant>
        <vt:lpwstr/>
      </vt:variant>
      <vt:variant>
        <vt:i4>1179700</vt:i4>
      </vt:variant>
      <vt:variant>
        <vt:i4>164</vt:i4>
      </vt:variant>
      <vt:variant>
        <vt:i4>0</vt:i4>
      </vt:variant>
      <vt:variant>
        <vt:i4>5</vt:i4>
      </vt:variant>
      <vt:variant>
        <vt:lpwstr/>
      </vt:variant>
      <vt:variant>
        <vt:lpwstr>_Toc108083566</vt:lpwstr>
      </vt:variant>
      <vt:variant>
        <vt:i4>1179700</vt:i4>
      </vt:variant>
      <vt:variant>
        <vt:i4>158</vt:i4>
      </vt:variant>
      <vt:variant>
        <vt:i4>0</vt:i4>
      </vt:variant>
      <vt:variant>
        <vt:i4>5</vt:i4>
      </vt:variant>
      <vt:variant>
        <vt:lpwstr/>
      </vt:variant>
      <vt:variant>
        <vt:lpwstr>_Toc108083565</vt:lpwstr>
      </vt:variant>
      <vt:variant>
        <vt:i4>1179700</vt:i4>
      </vt:variant>
      <vt:variant>
        <vt:i4>152</vt:i4>
      </vt:variant>
      <vt:variant>
        <vt:i4>0</vt:i4>
      </vt:variant>
      <vt:variant>
        <vt:i4>5</vt:i4>
      </vt:variant>
      <vt:variant>
        <vt:lpwstr/>
      </vt:variant>
      <vt:variant>
        <vt:lpwstr>_Toc108083564</vt:lpwstr>
      </vt:variant>
      <vt:variant>
        <vt:i4>1179700</vt:i4>
      </vt:variant>
      <vt:variant>
        <vt:i4>146</vt:i4>
      </vt:variant>
      <vt:variant>
        <vt:i4>0</vt:i4>
      </vt:variant>
      <vt:variant>
        <vt:i4>5</vt:i4>
      </vt:variant>
      <vt:variant>
        <vt:lpwstr/>
      </vt:variant>
      <vt:variant>
        <vt:lpwstr>_Toc108083563</vt:lpwstr>
      </vt:variant>
      <vt:variant>
        <vt:i4>1179700</vt:i4>
      </vt:variant>
      <vt:variant>
        <vt:i4>140</vt:i4>
      </vt:variant>
      <vt:variant>
        <vt:i4>0</vt:i4>
      </vt:variant>
      <vt:variant>
        <vt:i4>5</vt:i4>
      </vt:variant>
      <vt:variant>
        <vt:lpwstr/>
      </vt:variant>
      <vt:variant>
        <vt:lpwstr>_Toc108083562</vt:lpwstr>
      </vt:variant>
      <vt:variant>
        <vt:i4>1179700</vt:i4>
      </vt:variant>
      <vt:variant>
        <vt:i4>134</vt:i4>
      </vt:variant>
      <vt:variant>
        <vt:i4>0</vt:i4>
      </vt:variant>
      <vt:variant>
        <vt:i4>5</vt:i4>
      </vt:variant>
      <vt:variant>
        <vt:lpwstr/>
      </vt:variant>
      <vt:variant>
        <vt:lpwstr>_Toc108083561</vt:lpwstr>
      </vt:variant>
      <vt:variant>
        <vt:i4>1179700</vt:i4>
      </vt:variant>
      <vt:variant>
        <vt:i4>128</vt:i4>
      </vt:variant>
      <vt:variant>
        <vt:i4>0</vt:i4>
      </vt:variant>
      <vt:variant>
        <vt:i4>5</vt:i4>
      </vt:variant>
      <vt:variant>
        <vt:lpwstr/>
      </vt:variant>
      <vt:variant>
        <vt:lpwstr>_Toc108083560</vt:lpwstr>
      </vt:variant>
      <vt:variant>
        <vt:i4>1114164</vt:i4>
      </vt:variant>
      <vt:variant>
        <vt:i4>122</vt:i4>
      </vt:variant>
      <vt:variant>
        <vt:i4>0</vt:i4>
      </vt:variant>
      <vt:variant>
        <vt:i4>5</vt:i4>
      </vt:variant>
      <vt:variant>
        <vt:lpwstr/>
      </vt:variant>
      <vt:variant>
        <vt:lpwstr>_Toc108083559</vt:lpwstr>
      </vt:variant>
      <vt:variant>
        <vt:i4>1114164</vt:i4>
      </vt:variant>
      <vt:variant>
        <vt:i4>116</vt:i4>
      </vt:variant>
      <vt:variant>
        <vt:i4>0</vt:i4>
      </vt:variant>
      <vt:variant>
        <vt:i4>5</vt:i4>
      </vt:variant>
      <vt:variant>
        <vt:lpwstr/>
      </vt:variant>
      <vt:variant>
        <vt:lpwstr>_Toc108083558</vt:lpwstr>
      </vt:variant>
      <vt:variant>
        <vt:i4>1114164</vt:i4>
      </vt:variant>
      <vt:variant>
        <vt:i4>110</vt:i4>
      </vt:variant>
      <vt:variant>
        <vt:i4>0</vt:i4>
      </vt:variant>
      <vt:variant>
        <vt:i4>5</vt:i4>
      </vt:variant>
      <vt:variant>
        <vt:lpwstr/>
      </vt:variant>
      <vt:variant>
        <vt:lpwstr>_Toc108083557</vt:lpwstr>
      </vt:variant>
      <vt:variant>
        <vt:i4>1114164</vt:i4>
      </vt:variant>
      <vt:variant>
        <vt:i4>104</vt:i4>
      </vt:variant>
      <vt:variant>
        <vt:i4>0</vt:i4>
      </vt:variant>
      <vt:variant>
        <vt:i4>5</vt:i4>
      </vt:variant>
      <vt:variant>
        <vt:lpwstr/>
      </vt:variant>
      <vt:variant>
        <vt:lpwstr>_Toc108083556</vt:lpwstr>
      </vt:variant>
      <vt:variant>
        <vt:i4>1114164</vt:i4>
      </vt:variant>
      <vt:variant>
        <vt:i4>98</vt:i4>
      </vt:variant>
      <vt:variant>
        <vt:i4>0</vt:i4>
      </vt:variant>
      <vt:variant>
        <vt:i4>5</vt:i4>
      </vt:variant>
      <vt:variant>
        <vt:lpwstr/>
      </vt:variant>
      <vt:variant>
        <vt:lpwstr>_Toc108083555</vt:lpwstr>
      </vt:variant>
      <vt:variant>
        <vt:i4>1114164</vt:i4>
      </vt:variant>
      <vt:variant>
        <vt:i4>92</vt:i4>
      </vt:variant>
      <vt:variant>
        <vt:i4>0</vt:i4>
      </vt:variant>
      <vt:variant>
        <vt:i4>5</vt:i4>
      </vt:variant>
      <vt:variant>
        <vt:lpwstr/>
      </vt:variant>
      <vt:variant>
        <vt:lpwstr>_Toc108083554</vt:lpwstr>
      </vt:variant>
      <vt:variant>
        <vt:i4>1114164</vt:i4>
      </vt:variant>
      <vt:variant>
        <vt:i4>86</vt:i4>
      </vt:variant>
      <vt:variant>
        <vt:i4>0</vt:i4>
      </vt:variant>
      <vt:variant>
        <vt:i4>5</vt:i4>
      </vt:variant>
      <vt:variant>
        <vt:lpwstr/>
      </vt:variant>
      <vt:variant>
        <vt:lpwstr>_Toc108083553</vt:lpwstr>
      </vt:variant>
      <vt:variant>
        <vt:i4>1114164</vt:i4>
      </vt:variant>
      <vt:variant>
        <vt:i4>80</vt:i4>
      </vt:variant>
      <vt:variant>
        <vt:i4>0</vt:i4>
      </vt:variant>
      <vt:variant>
        <vt:i4>5</vt:i4>
      </vt:variant>
      <vt:variant>
        <vt:lpwstr/>
      </vt:variant>
      <vt:variant>
        <vt:lpwstr>_Toc108083552</vt:lpwstr>
      </vt:variant>
      <vt:variant>
        <vt:i4>1114164</vt:i4>
      </vt:variant>
      <vt:variant>
        <vt:i4>74</vt:i4>
      </vt:variant>
      <vt:variant>
        <vt:i4>0</vt:i4>
      </vt:variant>
      <vt:variant>
        <vt:i4>5</vt:i4>
      </vt:variant>
      <vt:variant>
        <vt:lpwstr/>
      </vt:variant>
      <vt:variant>
        <vt:lpwstr>_Toc108083551</vt:lpwstr>
      </vt:variant>
      <vt:variant>
        <vt:i4>1114164</vt:i4>
      </vt:variant>
      <vt:variant>
        <vt:i4>68</vt:i4>
      </vt:variant>
      <vt:variant>
        <vt:i4>0</vt:i4>
      </vt:variant>
      <vt:variant>
        <vt:i4>5</vt:i4>
      </vt:variant>
      <vt:variant>
        <vt:lpwstr/>
      </vt:variant>
      <vt:variant>
        <vt:lpwstr>_Toc108083550</vt:lpwstr>
      </vt:variant>
      <vt:variant>
        <vt:i4>1048628</vt:i4>
      </vt:variant>
      <vt:variant>
        <vt:i4>62</vt:i4>
      </vt:variant>
      <vt:variant>
        <vt:i4>0</vt:i4>
      </vt:variant>
      <vt:variant>
        <vt:i4>5</vt:i4>
      </vt:variant>
      <vt:variant>
        <vt:lpwstr/>
      </vt:variant>
      <vt:variant>
        <vt:lpwstr>_Toc108083549</vt:lpwstr>
      </vt:variant>
      <vt:variant>
        <vt:i4>1048628</vt:i4>
      </vt:variant>
      <vt:variant>
        <vt:i4>56</vt:i4>
      </vt:variant>
      <vt:variant>
        <vt:i4>0</vt:i4>
      </vt:variant>
      <vt:variant>
        <vt:i4>5</vt:i4>
      </vt:variant>
      <vt:variant>
        <vt:lpwstr/>
      </vt:variant>
      <vt:variant>
        <vt:lpwstr>_Toc108083548</vt:lpwstr>
      </vt:variant>
      <vt:variant>
        <vt:i4>1048628</vt:i4>
      </vt:variant>
      <vt:variant>
        <vt:i4>50</vt:i4>
      </vt:variant>
      <vt:variant>
        <vt:i4>0</vt:i4>
      </vt:variant>
      <vt:variant>
        <vt:i4>5</vt:i4>
      </vt:variant>
      <vt:variant>
        <vt:lpwstr/>
      </vt:variant>
      <vt:variant>
        <vt:lpwstr>_Toc108083547</vt:lpwstr>
      </vt:variant>
      <vt:variant>
        <vt:i4>1048628</vt:i4>
      </vt:variant>
      <vt:variant>
        <vt:i4>44</vt:i4>
      </vt:variant>
      <vt:variant>
        <vt:i4>0</vt:i4>
      </vt:variant>
      <vt:variant>
        <vt:i4>5</vt:i4>
      </vt:variant>
      <vt:variant>
        <vt:lpwstr/>
      </vt:variant>
      <vt:variant>
        <vt:lpwstr>_Toc108083546</vt:lpwstr>
      </vt:variant>
      <vt:variant>
        <vt:i4>1048628</vt:i4>
      </vt:variant>
      <vt:variant>
        <vt:i4>38</vt:i4>
      </vt:variant>
      <vt:variant>
        <vt:i4>0</vt:i4>
      </vt:variant>
      <vt:variant>
        <vt:i4>5</vt:i4>
      </vt:variant>
      <vt:variant>
        <vt:lpwstr/>
      </vt:variant>
      <vt:variant>
        <vt:lpwstr>_Toc108083544</vt:lpwstr>
      </vt:variant>
      <vt:variant>
        <vt:i4>1048628</vt:i4>
      </vt:variant>
      <vt:variant>
        <vt:i4>32</vt:i4>
      </vt:variant>
      <vt:variant>
        <vt:i4>0</vt:i4>
      </vt:variant>
      <vt:variant>
        <vt:i4>5</vt:i4>
      </vt:variant>
      <vt:variant>
        <vt:lpwstr/>
      </vt:variant>
      <vt:variant>
        <vt:lpwstr>_Toc108083543</vt:lpwstr>
      </vt:variant>
      <vt:variant>
        <vt:i4>1048628</vt:i4>
      </vt:variant>
      <vt:variant>
        <vt:i4>26</vt:i4>
      </vt:variant>
      <vt:variant>
        <vt:i4>0</vt:i4>
      </vt:variant>
      <vt:variant>
        <vt:i4>5</vt:i4>
      </vt:variant>
      <vt:variant>
        <vt:lpwstr/>
      </vt:variant>
      <vt:variant>
        <vt:lpwstr>_Toc108083542</vt:lpwstr>
      </vt:variant>
      <vt:variant>
        <vt:i4>1048628</vt:i4>
      </vt:variant>
      <vt:variant>
        <vt:i4>20</vt:i4>
      </vt:variant>
      <vt:variant>
        <vt:i4>0</vt:i4>
      </vt:variant>
      <vt:variant>
        <vt:i4>5</vt:i4>
      </vt:variant>
      <vt:variant>
        <vt:lpwstr/>
      </vt:variant>
      <vt:variant>
        <vt:lpwstr>_Toc108083541</vt:lpwstr>
      </vt:variant>
      <vt:variant>
        <vt:i4>1048628</vt:i4>
      </vt:variant>
      <vt:variant>
        <vt:i4>14</vt:i4>
      </vt:variant>
      <vt:variant>
        <vt:i4>0</vt:i4>
      </vt:variant>
      <vt:variant>
        <vt:i4>5</vt:i4>
      </vt:variant>
      <vt:variant>
        <vt:lpwstr/>
      </vt:variant>
      <vt:variant>
        <vt:lpwstr>_Toc108083540</vt:lpwstr>
      </vt:variant>
      <vt:variant>
        <vt:i4>1507380</vt:i4>
      </vt:variant>
      <vt:variant>
        <vt:i4>8</vt:i4>
      </vt:variant>
      <vt:variant>
        <vt:i4>0</vt:i4>
      </vt:variant>
      <vt:variant>
        <vt:i4>5</vt:i4>
      </vt:variant>
      <vt:variant>
        <vt:lpwstr/>
      </vt:variant>
      <vt:variant>
        <vt:lpwstr>_Toc108083539</vt:lpwstr>
      </vt:variant>
      <vt:variant>
        <vt:i4>4325416</vt:i4>
      </vt:variant>
      <vt:variant>
        <vt:i4>3</vt:i4>
      </vt:variant>
      <vt:variant>
        <vt:i4>0</vt:i4>
      </vt:variant>
      <vt:variant>
        <vt:i4>5</vt:i4>
      </vt:variant>
      <vt:variant>
        <vt:lpwstr>mailto:freqplan@acma.gov.au</vt:lpwstr>
      </vt:variant>
      <vt:variant>
        <vt:lpwstr/>
      </vt:variant>
      <vt:variant>
        <vt:i4>2031632</vt:i4>
      </vt:variant>
      <vt:variant>
        <vt:i4>0</vt:i4>
      </vt:variant>
      <vt:variant>
        <vt:i4>0</vt:i4>
      </vt:variant>
      <vt:variant>
        <vt:i4>5</vt:i4>
      </vt:variant>
      <vt:variant>
        <vt:lpwstr>https://webarchive.nla.gov.au/awa/20190808083057/https:/www.acma.gov.au/theACMA/proposed-new-rali-for-coordination-between-earth-stations-and-fixed-services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Saami Wallenius</dc:creator>
  <cp:keywords/>
  <dc:description/>
  <cp:lastModifiedBy>Peter Yates</cp:lastModifiedBy>
  <cp:revision>12</cp:revision>
  <dcterms:created xsi:type="dcterms:W3CDTF">2025-08-19T02:59:00Z</dcterms:created>
  <dcterms:modified xsi:type="dcterms:W3CDTF">2025-09-29T02:05:00Z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0x010100DC4A55C92B42AA40BC1B2189E7B3C29C</vt:lpwstr>
  </property>
  <property fmtid="{D5CDD505-2E9C-101B-9397-08002B2CF9AE}" pid="3" name="_dlc_DocIdItemGuid">
    <vt:lpwstr>f4030435-7345-4dc6-ae2f-8442d0fae85c</vt:lpwstr>
  </property>
  <property fmtid="{D5CDD505-2E9C-101B-9397-08002B2CF9AE}" pid="4" name="ClassificationContentMarkingHeaderShapeIds">
    <vt:lpwstr>3ac27ac7,13bfe2d5,2ab4cb01,1f3f0812,5e06a45c,76a547b9,8b2d6d7,22e9a68f,5c24f4e0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77f61a3e,31931c88,1aca5fa,4efcec75,5940637b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2025-09-08T02:29:31Z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77e16f52-2ae4-47c3-832b-768801626e65</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ies>
</file>