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0B30E" w14:textId="77777777" w:rsidR="00E22798" w:rsidRDefault="00E22798" w:rsidP="004F4F49">
      <w:pPr>
        <w:pStyle w:val="TITLEOFRALI"/>
      </w:pPr>
    </w:p>
    <w:p w14:paraId="7A51F799" w14:textId="77777777" w:rsidR="00E22798" w:rsidRDefault="00E22798" w:rsidP="004F4F49">
      <w:pPr>
        <w:pStyle w:val="TITLEOFRALI"/>
      </w:pPr>
    </w:p>
    <w:p w14:paraId="3594AEC8" w14:textId="77777777" w:rsidR="001F2A64" w:rsidRPr="00EB0571" w:rsidRDefault="001F2A64" w:rsidP="001F2A64">
      <w:pPr>
        <w:pStyle w:val="TITLEOFRALI"/>
        <w:rPr>
          <w:szCs w:val="40"/>
        </w:rPr>
      </w:pPr>
      <w:r>
        <w:rPr>
          <w:szCs w:val="40"/>
        </w:rPr>
        <w:t>COORDINATION</w:t>
      </w:r>
      <w:r w:rsidRPr="00EB0571">
        <w:rPr>
          <w:szCs w:val="40"/>
        </w:rPr>
        <w:t xml:space="preserve"> </w:t>
      </w:r>
    </w:p>
    <w:p w14:paraId="2401EE6C" w14:textId="77777777" w:rsidR="001F2A64" w:rsidRPr="00EB0571" w:rsidRDefault="001F2A64" w:rsidP="001F2A64">
      <w:pPr>
        <w:pStyle w:val="TITLEOFRALI"/>
        <w:rPr>
          <w:szCs w:val="40"/>
        </w:rPr>
      </w:pPr>
      <w:r>
        <w:rPr>
          <w:szCs w:val="40"/>
        </w:rPr>
        <w:t>OF</w:t>
      </w:r>
      <w:r w:rsidRPr="00EB0571">
        <w:rPr>
          <w:szCs w:val="40"/>
        </w:rPr>
        <w:t xml:space="preserve"> APPARATUS</w:t>
      </w:r>
      <w:r>
        <w:rPr>
          <w:szCs w:val="40"/>
        </w:rPr>
        <w:t xml:space="preserve"> </w:t>
      </w:r>
      <w:r w:rsidRPr="00EB0571">
        <w:rPr>
          <w:szCs w:val="40"/>
        </w:rPr>
        <w:t xml:space="preserve">LICENSED SERVICES </w:t>
      </w:r>
      <w:r>
        <w:rPr>
          <w:szCs w:val="40"/>
        </w:rPr>
        <w:t>WITHIN</w:t>
      </w:r>
    </w:p>
    <w:p w14:paraId="79246ED0" w14:textId="6A4B24F1" w:rsidR="001F2A64" w:rsidRDefault="001F2A64" w:rsidP="001F2A64">
      <w:pPr>
        <w:pStyle w:val="TITLEOFRALI"/>
      </w:pPr>
      <w:r>
        <w:t>THE AUSTRALIAN RADIO QUIET ZONE Western Australia</w:t>
      </w:r>
    </w:p>
    <w:p w14:paraId="05BC09A4" w14:textId="77777777" w:rsidR="001F2A64" w:rsidRDefault="001F2A64" w:rsidP="004F4F49">
      <w:pPr>
        <w:pStyle w:val="TITLEOFRALI"/>
      </w:pPr>
    </w:p>
    <w:p w14:paraId="19CA9798" w14:textId="77777777" w:rsidR="00E22798" w:rsidRDefault="00E22798" w:rsidP="004F4F49">
      <w:pPr>
        <w:pStyle w:val="TITLEOFRALI"/>
      </w:pPr>
    </w:p>
    <w:p w14:paraId="0C2672D8" w14:textId="77777777" w:rsidR="007954A2" w:rsidRPr="004F4F49" w:rsidRDefault="007954A2" w:rsidP="004F4F49">
      <w:pPr>
        <w:pStyle w:val="TITLEOFRALI"/>
        <w:rPr>
          <w:szCs w:val="40"/>
        </w:rPr>
        <w:sectPr w:rsidR="007954A2" w:rsidRPr="004F4F49" w:rsidSect="00873805">
          <w:headerReference w:type="even" r:id="rId8"/>
          <w:headerReference w:type="default" r:id="rId9"/>
          <w:pgSz w:w="11907" w:h="16840" w:code="9"/>
          <w:pgMar w:top="1134" w:right="1134" w:bottom="1134" w:left="1418" w:header="720" w:footer="720" w:gutter="0"/>
          <w:cols w:space="720"/>
          <w:vAlign w:val="center"/>
        </w:sectPr>
      </w:pPr>
    </w:p>
    <w:p w14:paraId="3A108D07" w14:textId="77777777" w:rsidR="00510CF9" w:rsidRDefault="00510CF9">
      <w:pPr>
        <w:jc w:val="center"/>
        <w:outlineLvl w:val="0"/>
        <w:rPr>
          <w:b/>
        </w:rPr>
      </w:pPr>
      <w:r>
        <w:rPr>
          <w:b/>
        </w:rPr>
        <w:lastRenderedPageBreak/>
        <w:t>RADIOCOMMUNICATIONS ASSIGNMENT AND LICENSING INSTRUCTIONS</w:t>
      </w:r>
    </w:p>
    <w:p w14:paraId="27FF271A" w14:textId="77777777" w:rsidR="00510CF9" w:rsidRDefault="00510CF9">
      <w:pPr>
        <w:jc w:val="center"/>
        <w:rPr>
          <w:b/>
        </w:rPr>
      </w:pPr>
    </w:p>
    <w:p w14:paraId="028BD6F5" w14:textId="77777777" w:rsidR="00510CF9" w:rsidRDefault="00510CF9">
      <w:pPr>
        <w:ind w:left="567" w:hanging="567"/>
        <w:jc w:val="center"/>
        <w:rPr>
          <w:b/>
        </w:rPr>
      </w:pPr>
    </w:p>
    <w:p w14:paraId="49C2258F" w14:textId="77777777" w:rsidR="00A20B06" w:rsidRDefault="00A20B06" w:rsidP="00A20B06">
      <w:pPr>
        <w:pBdr>
          <w:top w:val="single" w:sz="12" w:space="1" w:color="auto"/>
          <w:left w:val="single" w:sz="12" w:space="1" w:color="auto"/>
          <w:bottom w:val="single" w:sz="12" w:space="1" w:color="auto"/>
          <w:right w:val="single" w:sz="12" w:space="1" w:color="auto"/>
        </w:pBdr>
        <w:ind w:left="567" w:hanging="567"/>
        <w:jc w:val="center"/>
        <w:rPr>
          <w:b/>
        </w:rPr>
      </w:pPr>
    </w:p>
    <w:p w14:paraId="3827AD67" w14:textId="77777777" w:rsidR="00A20B06" w:rsidRDefault="00A20B06" w:rsidP="00A20B06">
      <w:pPr>
        <w:pBdr>
          <w:top w:val="single" w:sz="12" w:space="1" w:color="auto"/>
          <w:left w:val="single" w:sz="12" w:space="1" w:color="auto"/>
          <w:bottom w:val="single" w:sz="12" w:space="1" w:color="auto"/>
          <w:right w:val="single" w:sz="12" w:space="1" w:color="auto"/>
        </w:pBdr>
        <w:ind w:left="567" w:hanging="567"/>
        <w:jc w:val="center"/>
        <w:rPr>
          <w:b/>
        </w:rPr>
      </w:pPr>
      <w:r>
        <w:rPr>
          <w:b/>
        </w:rPr>
        <w:t>DISCLAIMER</w:t>
      </w:r>
    </w:p>
    <w:p w14:paraId="653419B7" w14:textId="77777777" w:rsidR="00A20B06" w:rsidRDefault="00A20B06" w:rsidP="00A20B06">
      <w:pPr>
        <w:pBdr>
          <w:top w:val="single" w:sz="12" w:space="1" w:color="auto"/>
          <w:left w:val="single" w:sz="12" w:space="1" w:color="auto"/>
          <w:bottom w:val="single" w:sz="12" w:space="1" w:color="auto"/>
          <w:right w:val="single" w:sz="12" w:space="1" w:color="auto"/>
        </w:pBdr>
        <w:ind w:left="284" w:hanging="284"/>
      </w:pPr>
      <w:r>
        <w:tab/>
        <w:t xml:space="preserve">The Australian Communications and Media Authority (ACMA) advises that these instructions reflect the current policies of </w:t>
      </w:r>
      <w:r w:rsidR="006A3571">
        <w:t xml:space="preserve">the </w:t>
      </w:r>
      <w:r>
        <w:t>ACMA.</w:t>
      </w:r>
    </w:p>
    <w:p w14:paraId="1ACB5E65" w14:textId="77777777" w:rsidR="00A20B06" w:rsidRDefault="00A20B06" w:rsidP="00A20B06">
      <w:pPr>
        <w:pBdr>
          <w:top w:val="single" w:sz="12" w:space="1" w:color="auto"/>
          <w:left w:val="single" w:sz="12" w:space="1" w:color="auto"/>
          <w:bottom w:val="single" w:sz="12" w:space="1" w:color="auto"/>
          <w:right w:val="single" w:sz="12" w:space="1" w:color="auto"/>
        </w:pBdr>
        <w:ind w:left="284" w:hanging="284"/>
      </w:pPr>
      <w:r>
        <w:tab/>
        <w:t xml:space="preserve">Prospective applicants for licences should take all necessary steps to ensure that they have access to appropriate technical and other specialist advice independently of </w:t>
      </w:r>
      <w:r w:rsidR="00351191">
        <w:t xml:space="preserve">the </w:t>
      </w:r>
      <w:r>
        <w:t xml:space="preserve">ACMA concerning their applications, the operation of </w:t>
      </w:r>
      <w:proofErr w:type="spellStart"/>
      <w:r>
        <w:t>radiocommunications</w:t>
      </w:r>
      <w:proofErr w:type="spellEnd"/>
      <w:r>
        <w:t xml:space="preserve"> equipment and services, and any other matters relevant to the operation of transmitters and services under the licences in question.</w:t>
      </w:r>
    </w:p>
    <w:p w14:paraId="06F1052A" w14:textId="77777777" w:rsidR="00A20B06" w:rsidRDefault="00A20B06" w:rsidP="00A20B06">
      <w:pPr>
        <w:pBdr>
          <w:top w:val="single" w:sz="12" w:space="1" w:color="auto"/>
          <w:left w:val="single" w:sz="12" w:space="1" w:color="auto"/>
          <w:bottom w:val="single" w:sz="12" w:space="1" w:color="auto"/>
          <w:right w:val="single" w:sz="12" w:space="1" w:color="auto"/>
        </w:pBdr>
        <w:ind w:left="284" w:hanging="284"/>
      </w:pPr>
      <w:r>
        <w:tab/>
        <w:t xml:space="preserve">The policies of </w:t>
      </w:r>
      <w:r w:rsidR="006A3571">
        <w:t xml:space="preserve">the </w:t>
      </w:r>
      <w:r>
        <w:t xml:space="preserve">ACMA and the laws of the Commonwealth may change from time to time, and prospective licensees should ensure that they have informed themselves of the current policies of </w:t>
      </w:r>
      <w:r w:rsidR="006A3571">
        <w:t xml:space="preserve">the </w:t>
      </w:r>
      <w:r>
        <w:t>ACMA and of any relevant legislation (including subordinate instruments). Prospective applicants for licences should not rely on statements made in these instructions about the policies that may be followed by other government authorities or entities, nor about the effect of legislation. These instructions are not a substitute for independent advice (legal or otherwise) tailored to the circumstances of individual applicants.</w:t>
      </w:r>
    </w:p>
    <w:p w14:paraId="675FBFC6" w14:textId="77777777" w:rsidR="00A20B06" w:rsidRDefault="00A20B06" w:rsidP="00A20B06">
      <w:pPr>
        <w:pBdr>
          <w:top w:val="single" w:sz="12" w:space="1" w:color="auto"/>
          <w:left w:val="single" w:sz="12" w:space="1" w:color="auto"/>
          <w:bottom w:val="single" w:sz="12" w:space="1" w:color="auto"/>
          <w:right w:val="single" w:sz="12" w:space="1" w:color="auto"/>
        </w:pBdr>
        <w:ind w:left="284" w:hanging="284"/>
      </w:pPr>
      <w:r>
        <w:tab/>
      </w:r>
      <w:proofErr w:type="spellStart"/>
      <w:r>
        <w:t>Radiocommunications</w:t>
      </w:r>
      <w:proofErr w:type="spellEnd"/>
      <w:r>
        <w:t xml:space="preserve"> Assignment and Licensing Instructions are subject to periodic review and are amended as </w:t>
      </w:r>
      <w:r w:rsidR="006A3571">
        <w:t xml:space="preserve">the </w:t>
      </w:r>
      <w:r>
        <w:t>ACMA considers necessary. To keep abreast of developments, it is important that users ensure that they are in possession of the latest edition.</w:t>
      </w:r>
    </w:p>
    <w:p w14:paraId="5F4CEC83" w14:textId="77777777" w:rsidR="00A20B06" w:rsidRDefault="00A20B06" w:rsidP="00A20B06">
      <w:pPr>
        <w:pBdr>
          <w:top w:val="single" w:sz="12" w:space="1" w:color="auto"/>
          <w:left w:val="single" w:sz="12" w:space="1" w:color="auto"/>
          <w:bottom w:val="single" w:sz="12" w:space="1" w:color="auto"/>
          <w:right w:val="single" w:sz="12" w:space="1" w:color="auto"/>
        </w:pBdr>
        <w:ind w:left="284" w:hanging="284"/>
      </w:pPr>
      <w:r>
        <w:tab/>
        <w:t xml:space="preserve">No liability is or will be accepted by the Minister or Department </w:t>
      </w:r>
      <w:r w:rsidR="00351191">
        <w:t>for Broadband,</w:t>
      </w:r>
      <w:r>
        <w:t xml:space="preserve"> Communications and the </w:t>
      </w:r>
      <w:r w:rsidR="00351191">
        <w:t>Digital Economy</w:t>
      </w:r>
      <w:r>
        <w:t xml:space="preserve">, </w:t>
      </w:r>
      <w:r w:rsidR="006A3571">
        <w:t xml:space="preserve">the </w:t>
      </w:r>
      <w:r>
        <w:t>ACMA, the Commonwealth of Australia, or its officers, servants or agents for any loss suffered, whether arising directly or indirectly, due to reliance on the accuracy or contents of these instructions.</w:t>
      </w:r>
    </w:p>
    <w:p w14:paraId="251A58C6" w14:textId="77777777" w:rsidR="00A20B06" w:rsidRDefault="00A20B06" w:rsidP="00A20B06">
      <w:pPr>
        <w:pBdr>
          <w:top w:val="single" w:sz="12" w:space="1" w:color="auto"/>
          <w:left w:val="single" w:sz="12" w:space="1" w:color="auto"/>
          <w:bottom w:val="single" w:sz="12" w:space="1" w:color="auto"/>
          <w:right w:val="single" w:sz="12" w:space="1" w:color="auto"/>
        </w:pBdr>
        <w:ind w:left="567" w:hanging="567"/>
      </w:pPr>
    </w:p>
    <w:p w14:paraId="7ECC6F14" w14:textId="77777777" w:rsidR="00510CF9" w:rsidRDefault="00510CF9"/>
    <w:p w14:paraId="03CE5997" w14:textId="77777777" w:rsidR="00510CF9" w:rsidRDefault="00510CF9">
      <w:r>
        <w:t xml:space="preserve">Suggestions for improvements to </w:t>
      </w:r>
      <w:proofErr w:type="spellStart"/>
      <w:r>
        <w:t>Radiocommunications</w:t>
      </w:r>
      <w:proofErr w:type="spellEnd"/>
      <w:r>
        <w:t xml:space="preserve"> Assignment and Licensing Instructions may be addressed to </w:t>
      </w:r>
      <w:r w:rsidR="0051067B">
        <w:t xml:space="preserve">The Manager, Spectrum Engineering, </w:t>
      </w:r>
      <w:r w:rsidR="009D1744">
        <w:t>ACMA</w:t>
      </w:r>
      <w:r>
        <w:t xml:space="preserve"> at </w:t>
      </w:r>
      <w:smartTag w:uri="urn:schemas-microsoft-com:office:smarttags" w:element="address">
        <w:smartTag w:uri="urn:schemas-microsoft-com:office:smarttags" w:element="Street">
          <w:r>
            <w:t>PO Box</w:t>
          </w:r>
        </w:smartTag>
        <w:r>
          <w:t xml:space="preserve"> 78</w:t>
        </w:r>
      </w:smartTag>
      <w:r>
        <w:t xml:space="preserve">, </w:t>
      </w:r>
      <w:proofErr w:type="spellStart"/>
      <w:r>
        <w:t>Belconnen</w:t>
      </w:r>
      <w:proofErr w:type="spellEnd"/>
      <w:r>
        <w:t xml:space="preserve">, ACT, 2616. It would be appreciated if notification to </w:t>
      </w:r>
      <w:r w:rsidR="006A3571">
        <w:t xml:space="preserve">the </w:t>
      </w:r>
      <w:r w:rsidR="009D1744">
        <w:t>ACMA</w:t>
      </w:r>
      <w:r>
        <w:t xml:space="preserve"> of any inaccuracy or ambiguity </w:t>
      </w:r>
      <w:r w:rsidR="001D478C">
        <w:t>found</w:t>
      </w:r>
      <w:r>
        <w:t xml:space="preserve"> be made without delay in order that the matter may be investigated and appropriate action taken. </w:t>
      </w:r>
    </w:p>
    <w:p w14:paraId="1E4FAB22" w14:textId="0259A52B" w:rsidR="00D80A1A" w:rsidRDefault="00D80A1A">
      <w:pPr>
        <w:widowControl/>
        <w:spacing w:after="0"/>
      </w:pPr>
      <w:r>
        <w:br w:type="page"/>
      </w:r>
    </w:p>
    <w:p w14:paraId="442206E3" w14:textId="686F0902" w:rsidR="00510CF9" w:rsidRDefault="00D80A1A" w:rsidP="00D80A1A">
      <w:pPr>
        <w:pStyle w:val="Heading4"/>
      </w:pPr>
      <w:r>
        <w:t>Amendment History</w:t>
      </w:r>
    </w:p>
    <w:tbl>
      <w:tblPr>
        <w:tblStyle w:val="TableGrid"/>
        <w:tblW w:w="0" w:type="auto"/>
        <w:tblLook w:val="04A0" w:firstRow="1" w:lastRow="0" w:firstColumn="1" w:lastColumn="0" w:noHBand="0" w:noVBand="1"/>
      </w:tblPr>
      <w:tblGrid>
        <w:gridCol w:w="1838"/>
        <w:gridCol w:w="7507"/>
      </w:tblGrid>
      <w:tr w:rsidR="00D80A1A" w14:paraId="0AA13A56" w14:textId="77777777" w:rsidTr="00D80A1A">
        <w:tc>
          <w:tcPr>
            <w:tcW w:w="1838" w:type="dxa"/>
            <w:shd w:val="clear" w:color="auto" w:fill="BFBFBF" w:themeFill="background1" w:themeFillShade="BF"/>
          </w:tcPr>
          <w:p w14:paraId="25072D38" w14:textId="3B4ADFCD" w:rsidR="00D80A1A" w:rsidRPr="00D80A1A" w:rsidRDefault="00D80A1A">
            <w:pPr>
              <w:tabs>
                <w:tab w:val="right" w:pos="9072"/>
              </w:tabs>
              <w:ind w:right="-1"/>
              <w:rPr>
                <w:b/>
              </w:rPr>
            </w:pPr>
            <w:r w:rsidRPr="00D80A1A">
              <w:rPr>
                <w:b/>
              </w:rPr>
              <w:t>Date</w:t>
            </w:r>
          </w:p>
        </w:tc>
        <w:tc>
          <w:tcPr>
            <w:tcW w:w="7507" w:type="dxa"/>
            <w:shd w:val="clear" w:color="auto" w:fill="BFBFBF" w:themeFill="background1" w:themeFillShade="BF"/>
          </w:tcPr>
          <w:p w14:paraId="1F5E95B0" w14:textId="50A993D4" w:rsidR="00D80A1A" w:rsidRPr="00D80A1A" w:rsidRDefault="00D80A1A">
            <w:pPr>
              <w:tabs>
                <w:tab w:val="right" w:pos="9072"/>
              </w:tabs>
              <w:ind w:right="-1"/>
              <w:rPr>
                <w:b/>
              </w:rPr>
            </w:pPr>
            <w:r w:rsidRPr="00D80A1A">
              <w:rPr>
                <w:b/>
              </w:rPr>
              <w:t>Comments</w:t>
            </w:r>
          </w:p>
        </w:tc>
      </w:tr>
      <w:tr w:rsidR="00D80A1A" w14:paraId="2C30D1B1" w14:textId="77777777" w:rsidTr="00D80A1A">
        <w:tc>
          <w:tcPr>
            <w:tcW w:w="1838" w:type="dxa"/>
          </w:tcPr>
          <w:p w14:paraId="6647ADF6" w14:textId="1498FBBE" w:rsidR="00D80A1A" w:rsidRDefault="00D80A1A">
            <w:pPr>
              <w:tabs>
                <w:tab w:val="right" w:pos="9072"/>
              </w:tabs>
              <w:ind w:right="-1"/>
            </w:pPr>
            <w:r>
              <w:t>September 2007</w:t>
            </w:r>
          </w:p>
        </w:tc>
        <w:tc>
          <w:tcPr>
            <w:tcW w:w="7507" w:type="dxa"/>
          </w:tcPr>
          <w:p w14:paraId="66E9A376" w14:textId="5231C446" w:rsidR="00D80A1A" w:rsidRDefault="00D80A1A" w:rsidP="00CA5AF1">
            <w:pPr>
              <w:tabs>
                <w:tab w:val="right" w:pos="9072"/>
              </w:tabs>
              <w:ind w:right="-1"/>
            </w:pPr>
            <w:r>
              <w:t xml:space="preserve">Initial </w:t>
            </w:r>
            <w:r w:rsidR="00CA5AF1">
              <w:t>version</w:t>
            </w:r>
            <w:r>
              <w:t xml:space="preserve"> covering 100 MHz to 25.25 GHz</w:t>
            </w:r>
          </w:p>
        </w:tc>
      </w:tr>
      <w:tr w:rsidR="00D80A1A" w14:paraId="5EA092CC" w14:textId="77777777" w:rsidTr="00D80A1A">
        <w:tc>
          <w:tcPr>
            <w:tcW w:w="1838" w:type="dxa"/>
          </w:tcPr>
          <w:p w14:paraId="67E93563" w14:textId="798FFD95" w:rsidR="00D80A1A" w:rsidRDefault="00D80A1A">
            <w:pPr>
              <w:tabs>
                <w:tab w:val="right" w:pos="9072"/>
              </w:tabs>
              <w:ind w:right="-1"/>
            </w:pPr>
            <w:r>
              <w:t>December 2014</w:t>
            </w:r>
          </w:p>
        </w:tc>
        <w:tc>
          <w:tcPr>
            <w:tcW w:w="7507" w:type="dxa"/>
          </w:tcPr>
          <w:p w14:paraId="78B1F8BE" w14:textId="06C3E6CD" w:rsidR="00D80A1A" w:rsidRDefault="00D80A1A" w:rsidP="00CA5AF1">
            <w:pPr>
              <w:tabs>
                <w:tab w:val="right" w:pos="9072"/>
              </w:tabs>
              <w:ind w:right="-1"/>
            </w:pPr>
            <w:r>
              <w:t xml:space="preserve">Incorporated changes </w:t>
            </w:r>
            <w:r w:rsidR="00CA5AF1">
              <w:t>to align with RQZ Band Plan and introduce 50 km radius criteria among other changes (see IFC 32/2013 consultation).</w:t>
            </w:r>
          </w:p>
        </w:tc>
      </w:tr>
      <w:tr w:rsidR="00D80A1A" w14:paraId="50D5F5FE" w14:textId="77777777" w:rsidTr="00D80A1A">
        <w:tc>
          <w:tcPr>
            <w:tcW w:w="1838" w:type="dxa"/>
          </w:tcPr>
          <w:p w14:paraId="512C8D07" w14:textId="77777777" w:rsidR="00D80A1A" w:rsidRDefault="00D80A1A">
            <w:pPr>
              <w:tabs>
                <w:tab w:val="right" w:pos="9072"/>
              </w:tabs>
              <w:ind w:right="-1"/>
            </w:pPr>
          </w:p>
        </w:tc>
        <w:tc>
          <w:tcPr>
            <w:tcW w:w="7507" w:type="dxa"/>
          </w:tcPr>
          <w:p w14:paraId="352B151E" w14:textId="77777777" w:rsidR="00D80A1A" w:rsidRDefault="00D80A1A">
            <w:pPr>
              <w:tabs>
                <w:tab w:val="right" w:pos="9072"/>
              </w:tabs>
              <w:ind w:right="-1"/>
            </w:pPr>
          </w:p>
        </w:tc>
      </w:tr>
    </w:tbl>
    <w:p w14:paraId="06B97AB4" w14:textId="77777777" w:rsidR="00D80A1A" w:rsidRDefault="00D80A1A">
      <w:pPr>
        <w:tabs>
          <w:tab w:val="right" w:pos="9072"/>
        </w:tabs>
        <w:ind w:right="-1"/>
      </w:pPr>
    </w:p>
    <w:p w14:paraId="7164F072" w14:textId="77777777" w:rsidR="00510CF9" w:rsidRDefault="00510CF9">
      <w:pPr>
        <w:tabs>
          <w:tab w:val="right" w:pos="9072"/>
        </w:tabs>
        <w:ind w:right="-1"/>
        <w:sectPr w:rsidR="00510CF9" w:rsidSect="00873805">
          <w:headerReference w:type="even" r:id="rId10"/>
          <w:headerReference w:type="default" r:id="rId11"/>
          <w:footerReference w:type="even" r:id="rId12"/>
          <w:footerReference w:type="default" r:id="rId13"/>
          <w:headerReference w:type="first" r:id="rId14"/>
          <w:pgSz w:w="11907" w:h="16840" w:code="9"/>
          <w:pgMar w:top="1134" w:right="1134" w:bottom="1134" w:left="1418" w:header="720" w:footer="720" w:gutter="0"/>
          <w:pgNumType w:fmt="lowerRoman" w:start="1"/>
          <w:cols w:space="720"/>
        </w:sectPr>
      </w:pPr>
    </w:p>
    <w:p w14:paraId="48692EFD" w14:textId="77777777" w:rsidR="00510CF9" w:rsidRDefault="00510CF9">
      <w:pPr>
        <w:pBdr>
          <w:bottom w:val="single" w:sz="18" w:space="1" w:color="auto"/>
        </w:pBdr>
        <w:jc w:val="right"/>
        <w:outlineLvl w:val="0"/>
        <w:rPr>
          <w:sz w:val="28"/>
        </w:rPr>
      </w:pPr>
      <w:r>
        <w:rPr>
          <w:b/>
          <w:sz w:val="28"/>
        </w:rPr>
        <w:t>Table of Contents</w:t>
      </w:r>
    </w:p>
    <w:p w14:paraId="063C7735" w14:textId="77777777" w:rsidR="00FE710B" w:rsidRDefault="00746E4D">
      <w:pPr>
        <w:pStyle w:val="TOC2"/>
        <w:rPr>
          <w:rFonts w:asciiTheme="minorHAnsi" w:eastAsiaTheme="minorEastAsia" w:hAnsiTheme="minorHAnsi" w:cstheme="minorBidi"/>
          <w:b w:val="0"/>
          <w:caps w:val="0"/>
          <w:noProof/>
          <w:sz w:val="22"/>
          <w:szCs w:val="22"/>
          <w:lang w:val="en-AU"/>
        </w:rPr>
      </w:pPr>
      <w:r>
        <w:rPr>
          <w:b w:val="0"/>
          <w:caps w:val="0"/>
        </w:rPr>
        <w:fldChar w:fldCharType="begin"/>
      </w:r>
      <w:r w:rsidR="00510CF9">
        <w:rPr>
          <w:b w:val="0"/>
          <w:caps w:val="0"/>
        </w:rPr>
        <w:instrText xml:space="preserve"> TOC \o "1-5" </w:instrText>
      </w:r>
      <w:r>
        <w:rPr>
          <w:b w:val="0"/>
          <w:caps w:val="0"/>
        </w:rPr>
        <w:fldChar w:fldCharType="separate"/>
      </w:r>
      <w:r w:rsidR="00FE710B">
        <w:rPr>
          <w:noProof/>
        </w:rPr>
        <w:t>COORDINATION OF APPARATUS-LICENSED SERVICES WITHIN THE AUSTRALIAN RADIO QUIET ZONE (WESTERN AUSTRALIA) - ARQZWA</w:t>
      </w:r>
      <w:r w:rsidR="00FE710B">
        <w:rPr>
          <w:noProof/>
        </w:rPr>
        <w:tab/>
      </w:r>
      <w:r>
        <w:rPr>
          <w:noProof/>
        </w:rPr>
        <w:fldChar w:fldCharType="begin"/>
      </w:r>
      <w:r w:rsidR="00FE710B">
        <w:rPr>
          <w:noProof/>
        </w:rPr>
        <w:instrText xml:space="preserve"> PAGEREF _Toc350438518 \h </w:instrText>
      </w:r>
      <w:r>
        <w:rPr>
          <w:noProof/>
        </w:rPr>
      </w:r>
      <w:r>
        <w:rPr>
          <w:noProof/>
        </w:rPr>
        <w:fldChar w:fldCharType="separate"/>
      </w:r>
      <w:r w:rsidR="00A3351B">
        <w:rPr>
          <w:noProof/>
        </w:rPr>
        <w:t>3</w:t>
      </w:r>
      <w:r>
        <w:rPr>
          <w:noProof/>
        </w:rPr>
        <w:fldChar w:fldCharType="end"/>
      </w:r>
    </w:p>
    <w:p w14:paraId="58B5D0D1" w14:textId="77777777" w:rsidR="00FE710B" w:rsidRDefault="00FE710B">
      <w:pPr>
        <w:pStyle w:val="TOC3"/>
        <w:tabs>
          <w:tab w:val="left" w:pos="1100"/>
        </w:tabs>
        <w:rPr>
          <w:rFonts w:asciiTheme="minorHAnsi" w:eastAsiaTheme="minorEastAsia" w:hAnsiTheme="minorHAnsi" w:cstheme="minorBidi"/>
          <w:caps w:val="0"/>
          <w:noProof/>
          <w:sz w:val="22"/>
          <w:szCs w:val="22"/>
          <w:lang w:val="en-AU"/>
        </w:rPr>
      </w:pPr>
      <w:r>
        <w:rPr>
          <w:noProof/>
        </w:rPr>
        <w:t>1.0</w:t>
      </w:r>
      <w:r>
        <w:rPr>
          <w:rFonts w:asciiTheme="minorHAnsi" w:eastAsiaTheme="minorEastAsia" w:hAnsiTheme="minorHAnsi" w:cstheme="minorBidi"/>
          <w:caps w:val="0"/>
          <w:noProof/>
          <w:sz w:val="22"/>
          <w:szCs w:val="22"/>
          <w:lang w:val="en-AU"/>
        </w:rPr>
        <w:tab/>
      </w:r>
      <w:r>
        <w:rPr>
          <w:noProof/>
        </w:rPr>
        <w:t>Introduction/Background</w:t>
      </w:r>
      <w:r>
        <w:rPr>
          <w:noProof/>
        </w:rPr>
        <w:tab/>
      </w:r>
      <w:r w:rsidR="00746E4D">
        <w:rPr>
          <w:noProof/>
        </w:rPr>
        <w:fldChar w:fldCharType="begin"/>
      </w:r>
      <w:r>
        <w:rPr>
          <w:noProof/>
        </w:rPr>
        <w:instrText xml:space="preserve"> PAGEREF _Toc350438519 \h </w:instrText>
      </w:r>
      <w:r w:rsidR="00746E4D">
        <w:rPr>
          <w:noProof/>
        </w:rPr>
      </w:r>
      <w:r w:rsidR="00746E4D">
        <w:rPr>
          <w:noProof/>
        </w:rPr>
        <w:fldChar w:fldCharType="separate"/>
      </w:r>
      <w:r w:rsidR="00A3351B">
        <w:rPr>
          <w:noProof/>
        </w:rPr>
        <w:t>3</w:t>
      </w:r>
      <w:r w:rsidR="00746E4D">
        <w:rPr>
          <w:noProof/>
        </w:rPr>
        <w:fldChar w:fldCharType="end"/>
      </w:r>
    </w:p>
    <w:p w14:paraId="5218D457" w14:textId="77777777" w:rsidR="00FE710B" w:rsidRDefault="00FE710B">
      <w:pPr>
        <w:pStyle w:val="TOC4"/>
        <w:rPr>
          <w:rFonts w:asciiTheme="minorHAnsi" w:eastAsiaTheme="minorEastAsia" w:hAnsiTheme="minorHAnsi" w:cstheme="minorBidi"/>
          <w:noProof/>
          <w:sz w:val="22"/>
          <w:szCs w:val="22"/>
          <w:lang w:val="en-AU"/>
        </w:rPr>
      </w:pPr>
      <w:r>
        <w:rPr>
          <w:noProof/>
        </w:rPr>
        <w:t>1.1  Background</w:t>
      </w:r>
      <w:r>
        <w:rPr>
          <w:noProof/>
        </w:rPr>
        <w:tab/>
      </w:r>
      <w:r w:rsidR="00746E4D">
        <w:rPr>
          <w:noProof/>
        </w:rPr>
        <w:fldChar w:fldCharType="begin"/>
      </w:r>
      <w:r>
        <w:rPr>
          <w:noProof/>
        </w:rPr>
        <w:instrText xml:space="preserve"> PAGEREF _Toc350438520 \h </w:instrText>
      </w:r>
      <w:r w:rsidR="00746E4D">
        <w:rPr>
          <w:noProof/>
        </w:rPr>
      </w:r>
      <w:r w:rsidR="00746E4D">
        <w:rPr>
          <w:noProof/>
        </w:rPr>
        <w:fldChar w:fldCharType="separate"/>
      </w:r>
      <w:r w:rsidR="00A3351B">
        <w:rPr>
          <w:noProof/>
        </w:rPr>
        <w:t>3</w:t>
      </w:r>
      <w:r w:rsidR="00746E4D">
        <w:rPr>
          <w:noProof/>
        </w:rPr>
        <w:fldChar w:fldCharType="end"/>
      </w:r>
    </w:p>
    <w:p w14:paraId="1D96F575" w14:textId="77777777" w:rsidR="00FE710B" w:rsidRDefault="00FE710B">
      <w:pPr>
        <w:pStyle w:val="TOC4"/>
        <w:rPr>
          <w:rFonts w:asciiTheme="minorHAnsi" w:eastAsiaTheme="minorEastAsia" w:hAnsiTheme="minorHAnsi" w:cstheme="minorBidi"/>
          <w:noProof/>
          <w:sz w:val="22"/>
          <w:szCs w:val="22"/>
          <w:lang w:val="en-AU"/>
        </w:rPr>
      </w:pPr>
      <w:r>
        <w:rPr>
          <w:noProof/>
        </w:rPr>
        <w:t>1.2  Radio Quiet Zones</w:t>
      </w:r>
      <w:r>
        <w:rPr>
          <w:noProof/>
        </w:rPr>
        <w:tab/>
      </w:r>
      <w:r w:rsidR="00746E4D">
        <w:rPr>
          <w:noProof/>
        </w:rPr>
        <w:fldChar w:fldCharType="begin"/>
      </w:r>
      <w:r>
        <w:rPr>
          <w:noProof/>
        </w:rPr>
        <w:instrText xml:space="preserve"> PAGEREF _Toc350438521 \h </w:instrText>
      </w:r>
      <w:r w:rsidR="00746E4D">
        <w:rPr>
          <w:noProof/>
        </w:rPr>
      </w:r>
      <w:r w:rsidR="00746E4D">
        <w:rPr>
          <w:noProof/>
        </w:rPr>
        <w:fldChar w:fldCharType="separate"/>
      </w:r>
      <w:r w:rsidR="00A3351B">
        <w:rPr>
          <w:noProof/>
        </w:rPr>
        <w:t>3</w:t>
      </w:r>
      <w:r w:rsidR="00746E4D">
        <w:rPr>
          <w:noProof/>
        </w:rPr>
        <w:fldChar w:fldCharType="end"/>
      </w:r>
    </w:p>
    <w:p w14:paraId="435359E7" w14:textId="77777777" w:rsidR="00FE710B" w:rsidRDefault="00FE710B">
      <w:pPr>
        <w:pStyle w:val="TOC4"/>
        <w:rPr>
          <w:rFonts w:asciiTheme="minorHAnsi" w:eastAsiaTheme="minorEastAsia" w:hAnsiTheme="minorHAnsi" w:cstheme="minorBidi"/>
          <w:noProof/>
          <w:sz w:val="22"/>
          <w:szCs w:val="22"/>
          <w:lang w:val="en-AU"/>
        </w:rPr>
      </w:pPr>
      <w:r>
        <w:rPr>
          <w:noProof/>
        </w:rPr>
        <w:t>1.3  The ARQZWA</w:t>
      </w:r>
      <w:r>
        <w:rPr>
          <w:noProof/>
        </w:rPr>
        <w:tab/>
      </w:r>
      <w:r w:rsidR="00746E4D">
        <w:rPr>
          <w:noProof/>
        </w:rPr>
        <w:fldChar w:fldCharType="begin"/>
      </w:r>
      <w:r>
        <w:rPr>
          <w:noProof/>
        </w:rPr>
        <w:instrText xml:space="preserve"> PAGEREF _Toc350438522 \h </w:instrText>
      </w:r>
      <w:r w:rsidR="00746E4D">
        <w:rPr>
          <w:noProof/>
        </w:rPr>
      </w:r>
      <w:r w:rsidR="00746E4D">
        <w:rPr>
          <w:noProof/>
        </w:rPr>
        <w:fldChar w:fldCharType="separate"/>
      </w:r>
      <w:r w:rsidR="00A3351B">
        <w:rPr>
          <w:noProof/>
        </w:rPr>
        <w:t>3</w:t>
      </w:r>
      <w:r w:rsidR="00746E4D">
        <w:rPr>
          <w:noProof/>
        </w:rPr>
        <w:fldChar w:fldCharType="end"/>
      </w:r>
    </w:p>
    <w:p w14:paraId="6FACC8EF" w14:textId="77777777" w:rsidR="00FE710B" w:rsidRDefault="00FE710B">
      <w:pPr>
        <w:pStyle w:val="TOC3"/>
        <w:rPr>
          <w:rFonts w:asciiTheme="minorHAnsi" w:eastAsiaTheme="minorEastAsia" w:hAnsiTheme="minorHAnsi" w:cstheme="minorBidi"/>
          <w:caps w:val="0"/>
          <w:noProof/>
          <w:sz w:val="22"/>
          <w:szCs w:val="22"/>
          <w:lang w:val="en-AU"/>
        </w:rPr>
      </w:pPr>
      <w:r>
        <w:rPr>
          <w:noProof/>
        </w:rPr>
        <w:t>2.0 PURPOSE and SCOPE</w:t>
      </w:r>
      <w:r>
        <w:rPr>
          <w:noProof/>
        </w:rPr>
        <w:tab/>
      </w:r>
      <w:r w:rsidR="00746E4D">
        <w:rPr>
          <w:noProof/>
        </w:rPr>
        <w:fldChar w:fldCharType="begin"/>
      </w:r>
      <w:r>
        <w:rPr>
          <w:noProof/>
        </w:rPr>
        <w:instrText xml:space="preserve"> PAGEREF _Toc350438523 \h </w:instrText>
      </w:r>
      <w:r w:rsidR="00746E4D">
        <w:rPr>
          <w:noProof/>
        </w:rPr>
      </w:r>
      <w:r w:rsidR="00746E4D">
        <w:rPr>
          <w:noProof/>
        </w:rPr>
        <w:fldChar w:fldCharType="separate"/>
      </w:r>
      <w:r w:rsidR="00A3351B">
        <w:rPr>
          <w:noProof/>
        </w:rPr>
        <w:t>4</w:t>
      </w:r>
      <w:r w:rsidR="00746E4D">
        <w:rPr>
          <w:noProof/>
        </w:rPr>
        <w:fldChar w:fldCharType="end"/>
      </w:r>
    </w:p>
    <w:p w14:paraId="52A566BE" w14:textId="77777777" w:rsidR="00FE710B" w:rsidRDefault="00FE710B">
      <w:pPr>
        <w:pStyle w:val="TOC4"/>
        <w:rPr>
          <w:rFonts w:asciiTheme="minorHAnsi" w:eastAsiaTheme="minorEastAsia" w:hAnsiTheme="minorHAnsi" w:cstheme="minorBidi"/>
          <w:noProof/>
          <w:sz w:val="22"/>
          <w:szCs w:val="22"/>
          <w:lang w:val="en-AU"/>
        </w:rPr>
      </w:pPr>
      <w:r>
        <w:rPr>
          <w:noProof/>
        </w:rPr>
        <w:t>2.1  PURPOSE</w:t>
      </w:r>
      <w:r>
        <w:rPr>
          <w:noProof/>
        </w:rPr>
        <w:tab/>
      </w:r>
      <w:r w:rsidR="00746E4D">
        <w:rPr>
          <w:noProof/>
        </w:rPr>
        <w:fldChar w:fldCharType="begin"/>
      </w:r>
      <w:r>
        <w:rPr>
          <w:noProof/>
        </w:rPr>
        <w:instrText xml:space="preserve"> PAGEREF _Toc350438524 \h </w:instrText>
      </w:r>
      <w:r w:rsidR="00746E4D">
        <w:rPr>
          <w:noProof/>
        </w:rPr>
      </w:r>
      <w:r w:rsidR="00746E4D">
        <w:rPr>
          <w:noProof/>
        </w:rPr>
        <w:fldChar w:fldCharType="separate"/>
      </w:r>
      <w:r w:rsidR="00A3351B">
        <w:rPr>
          <w:noProof/>
        </w:rPr>
        <w:t>4</w:t>
      </w:r>
      <w:r w:rsidR="00746E4D">
        <w:rPr>
          <w:noProof/>
        </w:rPr>
        <w:fldChar w:fldCharType="end"/>
      </w:r>
    </w:p>
    <w:p w14:paraId="2E6372D9" w14:textId="77777777" w:rsidR="00FE710B" w:rsidRDefault="00FE710B">
      <w:pPr>
        <w:pStyle w:val="TOC4"/>
        <w:rPr>
          <w:rFonts w:asciiTheme="minorHAnsi" w:eastAsiaTheme="minorEastAsia" w:hAnsiTheme="minorHAnsi" w:cstheme="minorBidi"/>
          <w:noProof/>
          <w:sz w:val="22"/>
          <w:szCs w:val="22"/>
          <w:lang w:val="en-AU"/>
        </w:rPr>
      </w:pPr>
      <w:r>
        <w:rPr>
          <w:noProof/>
        </w:rPr>
        <w:t>2.2  Scope</w:t>
      </w:r>
      <w:r>
        <w:rPr>
          <w:noProof/>
        </w:rPr>
        <w:tab/>
      </w:r>
      <w:r w:rsidR="00746E4D">
        <w:rPr>
          <w:noProof/>
        </w:rPr>
        <w:fldChar w:fldCharType="begin"/>
      </w:r>
      <w:r>
        <w:rPr>
          <w:noProof/>
        </w:rPr>
        <w:instrText xml:space="preserve"> PAGEREF _Toc350438525 \h </w:instrText>
      </w:r>
      <w:r w:rsidR="00746E4D">
        <w:rPr>
          <w:noProof/>
        </w:rPr>
      </w:r>
      <w:r w:rsidR="00746E4D">
        <w:rPr>
          <w:noProof/>
        </w:rPr>
        <w:fldChar w:fldCharType="separate"/>
      </w:r>
      <w:r w:rsidR="00A3351B">
        <w:rPr>
          <w:noProof/>
        </w:rPr>
        <w:t>4</w:t>
      </w:r>
      <w:r w:rsidR="00746E4D">
        <w:rPr>
          <w:noProof/>
        </w:rPr>
        <w:fldChar w:fldCharType="end"/>
      </w:r>
    </w:p>
    <w:p w14:paraId="3839B0EB" w14:textId="77777777" w:rsidR="00FE710B" w:rsidRDefault="00FE710B">
      <w:pPr>
        <w:pStyle w:val="TOC3"/>
        <w:rPr>
          <w:rFonts w:asciiTheme="minorHAnsi" w:eastAsiaTheme="minorEastAsia" w:hAnsiTheme="minorHAnsi" w:cstheme="minorBidi"/>
          <w:caps w:val="0"/>
          <w:noProof/>
          <w:sz w:val="22"/>
          <w:szCs w:val="22"/>
          <w:lang w:val="en-AU"/>
        </w:rPr>
      </w:pPr>
      <w:r>
        <w:rPr>
          <w:noProof/>
        </w:rPr>
        <w:t>3.0  Zones</w:t>
      </w:r>
      <w:r>
        <w:rPr>
          <w:noProof/>
        </w:rPr>
        <w:tab/>
      </w:r>
      <w:r w:rsidR="00746E4D">
        <w:rPr>
          <w:noProof/>
        </w:rPr>
        <w:fldChar w:fldCharType="begin"/>
      </w:r>
      <w:r>
        <w:rPr>
          <w:noProof/>
        </w:rPr>
        <w:instrText xml:space="preserve"> PAGEREF _Toc350438526 \h </w:instrText>
      </w:r>
      <w:r w:rsidR="00746E4D">
        <w:rPr>
          <w:noProof/>
        </w:rPr>
      </w:r>
      <w:r w:rsidR="00746E4D">
        <w:rPr>
          <w:noProof/>
        </w:rPr>
        <w:fldChar w:fldCharType="separate"/>
      </w:r>
      <w:r w:rsidR="00A3351B">
        <w:rPr>
          <w:noProof/>
        </w:rPr>
        <w:t>5</w:t>
      </w:r>
      <w:r w:rsidR="00746E4D">
        <w:rPr>
          <w:noProof/>
        </w:rPr>
        <w:fldChar w:fldCharType="end"/>
      </w:r>
    </w:p>
    <w:p w14:paraId="18450928" w14:textId="77777777" w:rsidR="00FE710B" w:rsidRDefault="00FE710B">
      <w:pPr>
        <w:pStyle w:val="TOC3"/>
        <w:rPr>
          <w:rFonts w:asciiTheme="minorHAnsi" w:eastAsiaTheme="minorEastAsia" w:hAnsiTheme="minorHAnsi" w:cstheme="minorBidi"/>
          <w:caps w:val="0"/>
          <w:noProof/>
          <w:sz w:val="22"/>
          <w:szCs w:val="22"/>
          <w:lang w:val="en-AU"/>
        </w:rPr>
      </w:pPr>
      <w:r>
        <w:rPr>
          <w:noProof/>
        </w:rPr>
        <w:t>4.0  Procedures</w:t>
      </w:r>
      <w:r>
        <w:rPr>
          <w:noProof/>
        </w:rPr>
        <w:tab/>
      </w:r>
      <w:r w:rsidR="00746E4D">
        <w:rPr>
          <w:noProof/>
        </w:rPr>
        <w:fldChar w:fldCharType="begin"/>
      </w:r>
      <w:r>
        <w:rPr>
          <w:noProof/>
        </w:rPr>
        <w:instrText xml:space="preserve"> PAGEREF _Toc350438527 \h </w:instrText>
      </w:r>
      <w:r w:rsidR="00746E4D">
        <w:rPr>
          <w:noProof/>
        </w:rPr>
      </w:r>
      <w:r w:rsidR="00746E4D">
        <w:rPr>
          <w:noProof/>
        </w:rPr>
        <w:fldChar w:fldCharType="separate"/>
      </w:r>
      <w:r w:rsidR="00A3351B">
        <w:rPr>
          <w:noProof/>
        </w:rPr>
        <w:t>5</w:t>
      </w:r>
      <w:r w:rsidR="00746E4D">
        <w:rPr>
          <w:noProof/>
        </w:rPr>
        <w:fldChar w:fldCharType="end"/>
      </w:r>
    </w:p>
    <w:p w14:paraId="2B7CF895" w14:textId="77777777" w:rsidR="00FE710B" w:rsidRDefault="00FE710B">
      <w:pPr>
        <w:pStyle w:val="TOC4"/>
        <w:rPr>
          <w:rFonts w:asciiTheme="minorHAnsi" w:eastAsiaTheme="minorEastAsia" w:hAnsiTheme="minorHAnsi" w:cstheme="minorBidi"/>
          <w:noProof/>
          <w:sz w:val="22"/>
          <w:szCs w:val="22"/>
          <w:lang w:val="en-AU"/>
        </w:rPr>
      </w:pPr>
      <w:r>
        <w:rPr>
          <w:noProof/>
        </w:rPr>
        <w:t>4.1 Interference protection criteria</w:t>
      </w:r>
      <w:r>
        <w:rPr>
          <w:noProof/>
        </w:rPr>
        <w:tab/>
      </w:r>
      <w:r w:rsidR="00746E4D">
        <w:rPr>
          <w:noProof/>
        </w:rPr>
        <w:fldChar w:fldCharType="begin"/>
      </w:r>
      <w:r>
        <w:rPr>
          <w:noProof/>
        </w:rPr>
        <w:instrText xml:space="preserve"> PAGEREF _Toc350438528 \h </w:instrText>
      </w:r>
      <w:r w:rsidR="00746E4D">
        <w:rPr>
          <w:noProof/>
        </w:rPr>
      </w:r>
      <w:r w:rsidR="00746E4D">
        <w:rPr>
          <w:noProof/>
        </w:rPr>
        <w:fldChar w:fldCharType="separate"/>
      </w:r>
      <w:r w:rsidR="00A3351B">
        <w:rPr>
          <w:noProof/>
        </w:rPr>
        <w:t>6</w:t>
      </w:r>
      <w:r w:rsidR="00746E4D">
        <w:rPr>
          <w:noProof/>
        </w:rPr>
        <w:fldChar w:fldCharType="end"/>
      </w:r>
    </w:p>
    <w:p w14:paraId="745936AE" w14:textId="77777777" w:rsidR="00FE710B" w:rsidRDefault="00FE710B">
      <w:pPr>
        <w:pStyle w:val="TOC4"/>
        <w:rPr>
          <w:rFonts w:asciiTheme="minorHAnsi" w:eastAsiaTheme="minorEastAsia" w:hAnsiTheme="minorHAnsi" w:cstheme="minorBidi"/>
          <w:noProof/>
          <w:sz w:val="22"/>
          <w:szCs w:val="22"/>
          <w:lang w:val="en-AU"/>
        </w:rPr>
      </w:pPr>
      <w:r>
        <w:rPr>
          <w:noProof/>
        </w:rPr>
        <w:t>4.2  Procedures Within the ARQZWA</w:t>
      </w:r>
      <w:r>
        <w:rPr>
          <w:noProof/>
        </w:rPr>
        <w:tab/>
      </w:r>
      <w:r w:rsidR="00746E4D">
        <w:rPr>
          <w:noProof/>
        </w:rPr>
        <w:fldChar w:fldCharType="begin"/>
      </w:r>
      <w:r>
        <w:rPr>
          <w:noProof/>
        </w:rPr>
        <w:instrText xml:space="preserve"> PAGEREF _Toc350438529 \h </w:instrText>
      </w:r>
      <w:r w:rsidR="00746E4D">
        <w:rPr>
          <w:noProof/>
        </w:rPr>
      </w:r>
      <w:r w:rsidR="00746E4D">
        <w:rPr>
          <w:noProof/>
        </w:rPr>
        <w:fldChar w:fldCharType="separate"/>
      </w:r>
      <w:r w:rsidR="00A3351B">
        <w:rPr>
          <w:noProof/>
        </w:rPr>
        <w:t>7</w:t>
      </w:r>
      <w:r w:rsidR="00746E4D">
        <w:rPr>
          <w:noProof/>
        </w:rPr>
        <w:fldChar w:fldCharType="end"/>
      </w:r>
    </w:p>
    <w:p w14:paraId="1D93A727" w14:textId="77777777" w:rsidR="00FE710B" w:rsidRDefault="00FE710B">
      <w:pPr>
        <w:pStyle w:val="TOC4"/>
        <w:rPr>
          <w:rFonts w:asciiTheme="minorHAnsi" w:eastAsiaTheme="minorEastAsia" w:hAnsiTheme="minorHAnsi" w:cstheme="minorBidi"/>
          <w:noProof/>
          <w:sz w:val="22"/>
          <w:szCs w:val="22"/>
          <w:lang w:val="en-AU"/>
        </w:rPr>
      </w:pPr>
      <w:r>
        <w:rPr>
          <w:noProof/>
        </w:rPr>
        <w:t>4.3  Procedures Outside the ARQZWA</w:t>
      </w:r>
      <w:r>
        <w:rPr>
          <w:noProof/>
        </w:rPr>
        <w:tab/>
      </w:r>
      <w:r w:rsidR="00746E4D">
        <w:rPr>
          <w:noProof/>
        </w:rPr>
        <w:fldChar w:fldCharType="begin"/>
      </w:r>
      <w:r>
        <w:rPr>
          <w:noProof/>
        </w:rPr>
        <w:instrText xml:space="preserve"> PAGEREF _Toc350438530 \h </w:instrText>
      </w:r>
      <w:r w:rsidR="00746E4D">
        <w:rPr>
          <w:noProof/>
        </w:rPr>
      </w:r>
      <w:r w:rsidR="00746E4D">
        <w:rPr>
          <w:noProof/>
        </w:rPr>
        <w:fldChar w:fldCharType="separate"/>
      </w:r>
      <w:r w:rsidR="00A3351B">
        <w:rPr>
          <w:noProof/>
        </w:rPr>
        <w:t>8</w:t>
      </w:r>
      <w:r w:rsidR="00746E4D">
        <w:rPr>
          <w:noProof/>
        </w:rPr>
        <w:fldChar w:fldCharType="end"/>
      </w:r>
    </w:p>
    <w:p w14:paraId="4480330C" w14:textId="77777777" w:rsidR="00FE710B" w:rsidRDefault="00FE710B">
      <w:pPr>
        <w:pStyle w:val="TOC4"/>
        <w:rPr>
          <w:rFonts w:asciiTheme="minorHAnsi" w:eastAsiaTheme="minorEastAsia" w:hAnsiTheme="minorHAnsi" w:cstheme="minorBidi"/>
          <w:noProof/>
          <w:sz w:val="22"/>
          <w:szCs w:val="22"/>
          <w:lang w:val="en-AU"/>
        </w:rPr>
      </w:pPr>
      <w:r>
        <w:rPr>
          <w:noProof/>
        </w:rPr>
        <w:t>4.4  Assessment</w:t>
      </w:r>
      <w:r>
        <w:rPr>
          <w:noProof/>
        </w:rPr>
        <w:tab/>
      </w:r>
      <w:r w:rsidR="00746E4D">
        <w:rPr>
          <w:noProof/>
        </w:rPr>
        <w:fldChar w:fldCharType="begin"/>
      </w:r>
      <w:r>
        <w:rPr>
          <w:noProof/>
        </w:rPr>
        <w:instrText xml:space="preserve"> PAGEREF _Toc350438531 \h </w:instrText>
      </w:r>
      <w:r w:rsidR="00746E4D">
        <w:rPr>
          <w:noProof/>
        </w:rPr>
      </w:r>
      <w:r w:rsidR="00746E4D">
        <w:rPr>
          <w:noProof/>
        </w:rPr>
        <w:fldChar w:fldCharType="separate"/>
      </w:r>
      <w:r w:rsidR="00A3351B">
        <w:rPr>
          <w:noProof/>
        </w:rPr>
        <w:t>8</w:t>
      </w:r>
      <w:r w:rsidR="00746E4D">
        <w:rPr>
          <w:noProof/>
        </w:rPr>
        <w:fldChar w:fldCharType="end"/>
      </w:r>
    </w:p>
    <w:p w14:paraId="05332FD3" w14:textId="77777777" w:rsidR="00FE710B" w:rsidRDefault="00FE710B">
      <w:pPr>
        <w:pStyle w:val="TOC4"/>
        <w:rPr>
          <w:rFonts w:asciiTheme="minorHAnsi" w:eastAsiaTheme="minorEastAsia" w:hAnsiTheme="minorHAnsi" w:cstheme="minorBidi"/>
          <w:noProof/>
          <w:sz w:val="22"/>
          <w:szCs w:val="22"/>
          <w:lang w:val="en-AU"/>
        </w:rPr>
      </w:pPr>
      <w:r>
        <w:rPr>
          <w:noProof/>
        </w:rPr>
        <w:t>4.5  Mitigation and Other Measures</w:t>
      </w:r>
      <w:r>
        <w:rPr>
          <w:noProof/>
        </w:rPr>
        <w:tab/>
      </w:r>
      <w:r w:rsidR="00746E4D">
        <w:rPr>
          <w:noProof/>
        </w:rPr>
        <w:fldChar w:fldCharType="begin"/>
      </w:r>
      <w:r>
        <w:rPr>
          <w:noProof/>
        </w:rPr>
        <w:instrText xml:space="preserve"> PAGEREF _Toc350438532 \h </w:instrText>
      </w:r>
      <w:r w:rsidR="00746E4D">
        <w:rPr>
          <w:noProof/>
        </w:rPr>
      </w:r>
      <w:r w:rsidR="00746E4D">
        <w:rPr>
          <w:noProof/>
        </w:rPr>
        <w:fldChar w:fldCharType="separate"/>
      </w:r>
      <w:r w:rsidR="00A3351B">
        <w:rPr>
          <w:noProof/>
        </w:rPr>
        <w:t>8</w:t>
      </w:r>
      <w:r w:rsidR="00746E4D">
        <w:rPr>
          <w:noProof/>
        </w:rPr>
        <w:fldChar w:fldCharType="end"/>
      </w:r>
    </w:p>
    <w:p w14:paraId="17BE6AAD" w14:textId="77777777" w:rsidR="00FE710B" w:rsidRDefault="00FE710B">
      <w:pPr>
        <w:pStyle w:val="TOC4"/>
        <w:rPr>
          <w:rFonts w:asciiTheme="minorHAnsi" w:eastAsiaTheme="minorEastAsia" w:hAnsiTheme="minorHAnsi" w:cstheme="minorBidi"/>
          <w:noProof/>
          <w:sz w:val="22"/>
          <w:szCs w:val="22"/>
          <w:lang w:val="en-AU"/>
        </w:rPr>
      </w:pPr>
      <w:r>
        <w:rPr>
          <w:noProof/>
        </w:rPr>
        <w:t>4.6 Licence applications and documentation</w:t>
      </w:r>
      <w:r>
        <w:rPr>
          <w:noProof/>
        </w:rPr>
        <w:tab/>
      </w:r>
      <w:r w:rsidR="00746E4D">
        <w:rPr>
          <w:noProof/>
        </w:rPr>
        <w:fldChar w:fldCharType="begin"/>
      </w:r>
      <w:r>
        <w:rPr>
          <w:noProof/>
        </w:rPr>
        <w:instrText xml:space="preserve"> PAGEREF _Toc350438533 \h </w:instrText>
      </w:r>
      <w:r w:rsidR="00746E4D">
        <w:rPr>
          <w:noProof/>
        </w:rPr>
      </w:r>
      <w:r w:rsidR="00746E4D">
        <w:rPr>
          <w:noProof/>
        </w:rPr>
        <w:fldChar w:fldCharType="separate"/>
      </w:r>
      <w:r w:rsidR="00A3351B">
        <w:rPr>
          <w:noProof/>
        </w:rPr>
        <w:t>8</w:t>
      </w:r>
      <w:r w:rsidR="00746E4D">
        <w:rPr>
          <w:noProof/>
        </w:rPr>
        <w:fldChar w:fldCharType="end"/>
      </w:r>
    </w:p>
    <w:p w14:paraId="7F0F2B16" w14:textId="77777777" w:rsidR="00FE710B" w:rsidRDefault="00FE710B">
      <w:pPr>
        <w:pStyle w:val="TOC3"/>
        <w:rPr>
          <w:rFonts w:asciiTheme="minorHAnsi" w:eastAsiaTheme="minorEastAsia" w:hAnsiTheme="minorHAnsi" w:cstheme="minorBidi"/>
          <w:caps w:val="0"/>
          <w:noProof/>
          <w:sz w:val="22"/>
          <w:szCs w:val="22"/>
          <w:lang w:val="en-AU"/>
        </w:rPr>
      </w:pPr>
      <w:r>
        <w:rPr>
          <w:noProof/>
        </w:rPr>
        <w:t>5.0  Exceptions</w:t>
      </w:r>
      <w:r>
        <w:rPr>
          <w:noProof/>
        </w:rPr>
        <w:tab/>
      </w:r>
      <w:r w:rsidR="00746E4D">
        <w:rPr>
          <w:noProof/>
        </w:rPr>
        <w:fldChar w:fldCharType="begin"/>
      </w:r>
      <w:r>
        <w:rPr>
          <w:noProof/>
        </w:rPr>
        <w:instrText xml:space="preserve"> PAGEREF _Toc350438534 \h </w:instrText>
      </w:r>
      <w:r w:rsidR="00746E4D">
        <w:rPr>
          <w:noProof/>
        </w:rPr>
      </w:r>
      <w:r w:rsidR="00746E4D">
        <w:rPr>
          <w:noProof/>
        </w:rPr>
        <w:fldChar w:fldCharType="separate"/>
      </w:r>
      <w:r w:rsidR="00A3351B">
        <w:rPr>
          <w:noProof/>
        </w:rPr>
        <w:t>9</w:t>
      </w:r>
      <w:r w:rsidR="00746E4D">
        <w:rPr>
          <w:noProof/>
        </w:rPr>
        <w:fldChar w:fldCharType="end"/>
      </w:r>
    </w:p>
    <w:p w14:paraId="03F4ECB2" w14:textId="77777777" w:rsidR="00FE710B" w:rsidRDefault="00FE710B">
      <w:pPr>
        <w:pStyle w:val="TOC3"/>
        <w:rPr>
          <w:rFonts w:asciiTheme="minorHAnsi" w:eastAsiaTheme="minorEastAsia" w:hAnsiTheme="minorHAnsi" w:cstheme="minorBidi"/>
          <w:caps w:val="0"/>
          <w:noProof/>
          <w:sz w:val="22"/>
          <w:szCs w:val="22"/>
          <w:lang w:val="en-AU"/>
        </w:rPr>
      </w:pPr>
      <w:r>
        <w:rPr>
          <w:noProof/>
        </w:rPr>
        <w:t>6.0  RALI Authorisation</w:t>
      </w:r>
      <w:r>
        <w:rPr>
          <w:noProof/>
        </w:rPr>
        <w:tab/>
      </w:r>
      <w:r w:rsidR="00746E4D">
        <w:rPr>
          <w:noProof/>
        </w:rPr>
        <w:fldChar w:fldCharType="begin"/>
      </w:r>
      <w:r>
        <w:rPr>
          <w:noProof/>
        </w:rPr>
        <w:instrText xml:space="preserve"> PAGEREF _Toc350438535 \h </w:instrText>
      </w:r>
      <w:r w:rsidR="00746E4D">
        <w:rPr>
          <w:noProof/>
        </w:rPr>
      </w:r>
      <w:r w:rsidR="00746E4D">
        <w:rPr>
          <w:noProof/>
        </w:rPr>
        <w:fldChar w:fldCharType="separate"/>
      </w:r>
      <w:r w:rsidR="00A3351B">
        <w:rPr>
          <w:noProof/>
        </w:rPr>
        <w:t>9</w:t>
      </w:r>
      <w:r w:rsidR="00746E4D">
        <w:rPr>
          <w:noProof/>
        </w:rPr>
        <w:fldChar w:fldCharType="end"/>
      </w:r>
    </w:p>
    <w:p w14:paraId="66292C53" w14:textId="77777777" w:rsidR="00FE710B" w:rsidRDefault="00FE710B">
      <w:pPr>
        <w:pStyle w:val="TOC3"/>
        <w:rPr>
          <w:noProof/>
        </w:rPr>
      </w:pPr>
      <w:r>
        <w:rPr>
          <w:noProof/>
        </w:rPr>
        <w:t>Glossary</w:t>
      </w:r>
      <w:r>
        <w:rPr>
          <w:noProof/>
        </w:rPr>
        <w:tab/>
      </w:r>
      <w:r w:rsidR="00746E4D">
        <w:rPr>
          <w:noProof/>
        </w:rPr>
        <w:fldChar w:fldCharType="begin"/>
      </w:r>
      <w:r>
        <w:rPr>
          <w:noProof/>
        </w:rPr>
        <w:instrText xml:space="preserve"> PAGEREF _Toc350438536 \h </w:instrText>
      </w:r>
      <w:r w:rsidR="00746E4D">
        <w:rPr>
          <w:noProof/>
        </w:rPr>
      </w:r>
      <w:r w:rsidR="00746E4D">
        <w:rPr>
          <w:noProof/>
        </w:rPr>
        <w:fldChar w:fldCharType="separate"/>
      </w:r>
      <w:r w:rsidR="00A3351B">
        <w:rPr>
          <w:noProof/>
        </w:rPr>
        <w:t>10</w:t>
      </w:r>
      <w:r w:rsidR="00746E4D">
        <w:rPr>
          <w:noProof/>
        </w:rPr>
        <w:fldChar w:fldCharType="end"/>
      </w:r>
    </w:p>
    <w:p w14:paraId="0E43A88E" w14:textId="7F7DCA49" w:rsidR="00803EF4" w:rsidRPr="007F6F80" w:rsidRDefault="00803EF4" w:rsidP="00803EF4">
      <w:pPr>
        <w:pStyle w:val="TOC2"/>
        <w:tabs>
          <w:tab w:val="right" w:leader="dot" w:pos="9180"/>
        </w:tabs>
        <w:ind w:left="540" w:right="-23" w:hanging="60"/>
        <w:rPr>
          <w:b w:val="0"/>
          <w:caps w:val="0"/>
          <w:lang w:val="en-AU"/>
        </w:rPr>
      </w:pPr>
      <w:r>
        <w:rPr>
          <w:b w:val="0"/>
          <w:caps w:val="0"/>
        </w:rPr>
        <w:t>ANNEX Interference Assessment Methods.........</w:t>
      </w:r>
      <w:r>
        <w:rPr>
          <w:b w:val="0"/>
          <w:caps w:val="0"/>
        </w:rPr>
        <w:tab/>
        <w:t>11</w:t>
      </w:r>
    </w:p>
    <w:p w14:paraId="4B5E60DB" w14:textId="77777777" w:rsidR="00803EF4" w:rsidRPr="00803EF4" w:rsidRDefault="00803EF4" w:rsidP="00803EF4">
      <w:pPr>
        <w:rPr>
          <w:rFonts w:eastAsiaTheme="minorEastAsia"/>
        </w:rPr>
      </w:pPr>
    </w:p>
    <w:p w14:paraId="549646D1" w14:textId="51F71093" w:rsidR="00510CF9" w:rsidRPr="007F6F80" w:rsidRDefault="00746E4D" w:rsidP="00303919">
      <w:pPr>
        <w:pStyle w:val="TOC2"/>
        <w:tabs>
          <w:tab w:val="right" w:leader="dot" w:pos="9180"/>
        </w:tabs>
        <w:ind w:left="540" w:right="562" w:hanging="60"/>
        <w:rPr>
          <w:b w:val="0"/>
          <w:caps w:val="0"/>
          <w:lang w:val="en-AU"/>
        </w:rPr>
      </w:pPr>
      <w:r>
        <w:rPr>
          <w:b w:val="0"/>
          <w:caps w:val="0"/>
        </w:rPr>
        <w:fldChar w:fldCharType="end"/>
      </w:r>
    </w:p>
    <w:p w14:paraId="24279186" w14:textId="77777777" w:rsidR="00510CF9" w:rsidRPr="007F6F80" w:rsidRDefault="00510CF9">
      <w:pPr>
        <w:spacing w:after="0"/>
        <w:ind w:left="567" w:hanging="567"/>
        <w:rPr>
          <w:lang w:val="en-AU"/>
        </w:rPr>
      </w:pPr>
    </w:p>
    <w:p w14:paraId="1D06941A" w14:textId="77777777" w:rsidR="00510CF9" w:rsidRPr="007F6F80" w:rsidRDefault="00510CF9">
      <w:pPr>
        <w:spacing w:after="0"/>
        <w:ind w:left="567" w:hanging="567"/>
        <w:rPr>
          <w:lang w:val="en-AU"/>
        </w:rPr>
      </w:pPr>
    </w:p>
    <w:p w14:paraId="206C7BCB" w14:textId="77777777" w:rsidR="00510CF9" w:rsidRPr="007F6F80" w:rsidRDefault="00510CF9">
      <w:pPr>
        <w:spacing w:after="0"/>
        <w:rPr>
          <w:snapToGrid w:val="0"/>
          <w:lang w:val="en-AU" w:eastAsia="en-US"/>
        </w:rPr>
      </w:pPr>
    </w:p>
    <w:p w14:paraId="7CD5E61F" w14:textId="77777777" w:rsidR="00510CF9" w:rsidRPr="007F6F80" w:rsidRDefault="00510CF9">
      <w:pPr>
        <w:pBdr>
          <w:bottom w:val="single" w:sz="4" w:space="0" w:color="auto"/>
        </w:pBdr>
        <w:spacing w:after="0"/>
        <w:rPr>
          <w:snapToGrid w:val="0"/>
          <w:lang w:val="en-AU" w:eastAsia="en-US"/>
        </w:rPr>
      </w:pPr>
    </w:p>
    <w:p w14:paraId="34EA2920" w14:textId="77777777" w:rsidR="00510CF9" w:rsidRPr="007F6F80" w:rsidRDefault="00510CF9">
      <w:pPr>
        <w:spacing w:after="0"/>
        <w:rPr>
          <w:snapToGrid w:val="0"/>
          <w:lang w:val="en-AU" w:eastAsia="en-US"/>
        </w:rPr>
      </w:pPr>
    </w:p>
    <w:p w14:paraId="16387FD4" w14:textId="77777777" w:rsidR="00510CF9" w:rsidRPr="007F6F80" w:rsidRDefault="00510CF9">
      <w:pPr>
        <w:spacing w:after="0"/>
        <w:rPr>
          <w:snapToGrid w:val="0"/>
          <w:lang w:val="en-AU" w:eastAsia="en-US"/>
        </w:rPr>
      </w:pPr>
    </w:p>
    <w:p w14:paraId="108C9B45" w14:textId="77777777" w:rsidR="00510CF9" w:rsidRPr="007F6F80" w:rsidRDefault="00510CF9">
      <w:pPr>
        <w:spacing w:after="0"/>
        <w:ind w:left="567" w:hanging="567"/>
        <w:rPr>
          <w:lang w:val="en-AU"/>
        </w:rPr>
      </w:pPr>
    </w:p>
    <w:p w14:paraId="7D2D62D4" w14:textId="77777777" w:rsidR="00510CF9" w:rsidRPr="007F6F80" w:rsidRDefault="00510CF9">
      <w:pPr>
        <w:ind w:left="567" w:hanging="567"/>
        <w:rPr>
          <w:lang w:val="en-AU"/>
        </w:rPr>
      </w:pPr>
    </w:p>
    <w:p w14:paraId="51356B21" w14:textId="77777777" w:rsidR="00510CF9" w:rsidRPr="007F6F80" w:rsidRDefault="00510CF9">
      <w:pPr>
        <w:ind w:left="567" w:hanging="567"/>
        <w:rPr>
          <w:lang w:val="en-AU"/>
        </w:rPr>
        <w:sectPr w:rsidR="00510CF9" w:rsidRPr="007F6F80" w:rsidSect="00873805">
          <w:headerReference w:type="even" r:id="rId15"/>
          <w:headerReference w:type="default" r:id="rId16"/>
          <w:footerReference w:type="default" r:id="rId17"/>
          <w:headerReference w:type="first" r:id="rId18"/>
          <w:pgSz w:w="11907" w:h="16840" w:code="9"/>
          <w:pgMar w:top="1134" w:right="2007" w:bottom="1134" w:left="1418" w:header="720" w:footer="720" w:gutter="0"/>
          <w:pgNumType w:fmt="lowerRoman"/>
          <w:cols w:space="720"/>
        </w:sectPr>
      </w:pPr>
    </w:p>
    <w:p w14:paraId="095BC49B" w14:textId="77777777" w:rsidR="00510CF9" w:rsidRPr="007F6F80" w:rsidRDefault="00510CF9">
      <w:pPr>
        <w:pBdr>
          <w:top w:val="single" w:sz="12" w:space="1" w:color="auto"/>
        </w:pBdr>
        <w:rPr>
          <w:sz w:val="18"/>
          <w:lang w:val="en-AU"/>
        </w:rPr>
      </w:pPr>
      <w:bookmarkStart w:id="0" w:name="_Toc354802996"/>
      <w:bookmarkStart w:id="1" w:name="_Toc354803045"/>
      <w:bookmarkStart w:id="2" w:name="_Toc379275821"/>
      <w:bookmarkStart w:id="3" w:name="_Toc379789489"/>
    </w:p>
    <w:p w14:paraId="20922C34" w14:textId="725A1FE8" w:rsidR="00EB0571" w:rsidRPr="00EB0571" w:rsidRDefault="004F4F49" w:rsidP="00EA2E9A">
      <w:pPr>
        <w:pStyle w:val="Heading2"/>
      </w:pPr>
      <w:bookmarkStart w:id="4" w:name="_Toc350438518"/>
      <w:bookmarkStart w:id="5" w:name="OLE_LINK18"/>
      <w:bookmarkStart w:id="6" w:name="OLE_LINK19"/>
      <w:bookmarkStart w:id="7" w:name="_Toc348860060"/>
      <w:bookmarkStart w:id="8" w:name="_Toc354802997"/>
      <w:bookmarkStart w:id="9" w:name="_Toc354803046"/>
      <w:bookmarkStart w:id="10" w:name="_Toc379275822"/>
      <w:bookmarkStart w:id="11" w:name="_Toc379275926"/>
      <w:bookmarkStart w:id="12" w:name="_Toc379789490"/>
      <w:bookmarkStart w:id="13" w:name="_Toc380902429"/>
      <w:bookmarkStart w:id="14" w:name="_Toc380910412"/>
      <w:bookmarkStart w:id="15" w:name="_Toc475864835"/>
      <w:bookmarkEnd w:id="0"/>
      <w:bookmarkEnd w:id="1"/>
      <w:bookmarkEnd w:id="2"/>
      <w:bookmarkEnd w:id="3"/>
      <w:r>
        <w:t>COORDINATION OF APPARAT</w:t>
      </w:r>
      <w:r w:rsidR="00A20B06">
        <w:t>US-</w:t>
      </w:r>
      <w:r>
        <w:t xml:space="preserve">LICENSED SERVICES WITHIN THE </w:t>
      </w:r>
      <w:r w:rsidR="0027052A">
        <w:t>AUSTRALIAN RADIO QUIET ZONE WESTERN AUSTRALIA</w:t>
      </w:r>
      <w:r w:rsidR="00C50E2C">
        <w:t xml:space="preserve"> </w:t>
      </w:r>
      <w:r w:rsidR="00F540E0">
        <w:t>(</w:t>
      </w:r>
      <w:r w:rsidR="00C50E2C">
        <w:t>ARQZWA</w:t>
      </w:r>
      <w:bookmarkEnd w:id="4"/>
      <w:r w:rsidR="00F540E0">
        <w:t>)</w:t>
      </w:r>
    </w:p>
    <w:p w14:paraId="22B67BB8" w14:textId="77777777" w:rsidR="005E568D" w:rsidRDefault="00D633DA">
      <w:pPr>
        <w:pStyle w:val="Heading3"/>
        <w:tabs>
          <w:tab w:val="left" w:pos="567"/>
        </w:tabs>
      </w:pPr>
      <w:bookmarkStart w:id="16" w:name="_Toc350438519"/>
      <w:bookmarkEnd w:id="5"/>
      <w:bookmarkEnd w:id="6"/>
      <w:r>
        <w:t>1.0</w:t>
      </w:r>
      <w:r>
        <w:tab/>
      </w:r>
      <w:r w:rsidR="00510CF9" w:rsidRPr="00395A31">
        <w:t>Introduction</w:t>
      </w:r>
      <w:bookmarkEnd w:id="7"/>
      <w:bookmarkEnd w:id="8"/>
      <w:bookmarkEnd w:id="9"/>
      <w:bookmarkEnd w:id="10"/>
      <w:bookmarkEnd w:id="11"/>
      <w:bookmarkEnd w:id="12"/>
      <w:bookmarkEnd w:id="13"/>
      <w:bookmarkEnd w:id="14"/>
      <w:bookmarkEnd w:id="15"/>
      <w:r w:rsidR="00590B3F">
        <w:t>/Background</w:t>
      </w:r>
      <w:bookmarkEnd w:id="16"/>
    </w:p>
    <w:p w14:paraId="4DB4F77E" w14:textId="77777777" w:rsidR="00AC4249" w:rsidRDefault="00AC4249" w:rsidP="00D633DA">
      <w:pPr>
        <w:pStyle w:val="Heading4"/>
      </w:pPr>
      <w:bookmarkStart w:id="17" w:name="_Toc350438520"/>
      <w:r>
        <w:t>1.1  Background</w:t>
      </w:r>
      <w:bookmarkEnd w:id="17"/>
    </w:p>
    <w:p w14:paraId="328778B6" w14:textId="77777777" w:rsidR="00AC4249" w:rsidRDefault="00AC4249" w:rsidP="00AC4249">
      <w:pPr>
        <w:spacing w:before="120"/>
      </w:pPr>
      <w:r>
        <w:t>The radio astronomy service uses extremely sensitive radio receiving systems to detect very weak signals of cosmic origin</w:t>
      </w:r>
      <w:r w:rsidRPr="00DA43BF">
        <w:t xml:space="preserve"> </w:t>
      </w:r>
      <w:r w:rsidRPr="004A63FA">
        <w:t xml:space="preserve">at much lower power levels than are generally used </w:t>
      </w:r>
      <w:r>
        <w:t>in</w:t>
      </w:r>
      <w:r w:rsidRPr="004A63FA">
        <w:t xml:space="preserve"> other </w:t>
      </w:r>
      <w:proofErr w:type="spellStart"/>
      <w:r w:rsidRPr="004A63FA">
        <w:t>radio</w:t>
      </w:r>
      <w:r>
        <w:t>communications</w:t>
      </w:r>
      <w:proofErr w:type="spellEnd"/>
      <w:r w:rsidRPr="004A63FA">
        <w:t xml:space="preserve"> services</w:t>
      </w:r>
      <w:r>
        <w:t xml:space="preserve">.  It is highly susceptible to interference from emissions by other </w:t>
      </w:r>
      <w:proofErr w:type="spellStart"/>
      <w:r>
        <w:t>radiocommunications</w:t>
      </w:r>
      <w:proofErr w:type="spellEnd"/>
      <w:r>
        <w:t xml:space="preserve"> services.  To minimise such interference, radio astronomy antennas and receivers are usually located in geographically remote locations and ideally within radio quiet zones.</w:t>
      </w:r>
    </w:p>
    <w:p w14:paraId="122EB317" w14:textId="77777777" w:rsidR="00AC4249" w:rsidRDefault="00AC4249" w:rsidP="00D633DA">
      <w:pPr>
        <w:pStyle w:val="Heading4"/>
      </w:pPr>
      <w:bookmarkStart w:id="18" w:name="_Toc350438521"/>
      <w:r>
        <w:t>1.2  Radio Quiet Zones</w:t>
      </w:r>
      <w:bookmarkEnd w:id="18"/>
      <w:r>
        <w:t xml:space="preserve"> </w:t>
      </w:r>
    </w:p>
    <w:p w14:paraId="24992C15" w14:textId="77777777" w:rsidR="00AC4249" w:rsidRDefault="00AC4249" w:rsidP="00AC4249">
      <w:pPr>
        <w:pStyle w:val="BodyText"/>
        <w:spacing w:before="120"/>
        <w:rPr>
          <w:lang w:val="en-US"/>
        </w:rPr>
      </w:pPr>
      <w:r>
        <w:rPr>
          <w:lang w:val="en-US"/>
        </w:rPr>
        <w:t xml:space="preserve">Generally, a radio quiet zone is a geographic area within which signal levels from </w:t>
      </w:r>
      <w:proofErr w:type="spellStart"/>
      <w:r>
        <w:rPr>
          <w:lang w:val="en-US"/>
        </w:rPr>
        <w:t>radiocommunications</w:t>
      </w:r>
      <w:proofErr w:type="spellEnd"/>
      <w:r>
        <w:rPr>
          <w:lang w:val="en-US"/>
        </w:rPr>
        <w:t xml:space="preserve"> transmitters are controlled in some way to </w:t>
      </w:r>
      <w:r>
        <w:t>minimise</w:t>
      </w:r>
      <w:r>
        <w:rPr>
          <w:lang w:val="en-US"/>
        </w:rPr>
        <w:t xml:space="preserve"> the strength of electromagnetic energy within the area.</w:t>
      </w:r>
    </w:p>
    <w:p w14:paraId="233CFA59" w14:textId="77777777" w:rsidR="00AC4249" w:rsidRDefault="00AC4249" w:rsidP="00AC4249">
      <w:pPr>
        <w:pStyle w:val="BodyText"/>
        <w:spacing w:before="120"/>
      </w:pPr>
      <w:r>
        <w:t>Radio quiet zones exist in other parts of the world.  For example, the United States of America established the National Radio Quiet Zone (NRQZ) in 1958, to minimise possible harmful interference to the National Radio Astronomy Observatory (NRAO) in Green Bank, West Virginia, and the radio receiving facilities for the United States Navy in Sugar Grove, West Virginia.  Rectangular in shape, the NRQZ has an area of approximately 33 000 square kilometres.</w:t>
      </w:r>
    </w:p>
    <w:p w14:paraId="755CDE34" w14:textId="77777777" w:rsidR="00AC4249" w:rsidRPr="00280AF0" w:rsidRDefault="00AC4249" w:rsidP="00AC4249">
      <w:pPr>
        <w:pStyle w:val="BodyText"/>
        <w:spacing w:before="120"/>
      </w:pPr>
      <w:r>
        <w:t xml:space="preserve">Another example is the radio quiet zone around the </w:t>
      </w:r>
      <w:r w:rsidRPr="00280AF0">
        <w:t>Arecibo Observatory</w:t>
      </w:r>
      <w:r>
        <w:t xml:space="preserve"> </w:t>
      </w:r>
      <w:r w:rsidRPr="00280AF0">
        <w:t xml:space="preserve">in Puerto Rico.  Licensees </w:t>
      </w:r>
      <w:r>
        <w:t xml:space="preserve">in the area </w:t>
      </w:r>
      <w:r w:rsidRPr="00280AF0">
        <w:t xml:space="preserve">must make </w:t>
      </w:r>
      <w:r>
        <w:t>“</w:t>
      </w:r>
      <w:r w:rsidRPr="00280AF0">
        <w:t>reasonable efforts</w:t>
      </w:r>
      <w:r>
        <w:t>”</w:t>
      </w:r>
      <w:r w:rsidRPr="00280AF0">
        <w:t xml:space="preserve"> to protect the Observatory from interference.</w:t>
      </w:r>
    </w:p>
    <w:p w14:paraId="06C561BD" w14:textId="77777777" w:rsidR="00AC4249" w:rsidRPr="00D633DA" w:rsidRDefault="001066B2" w:rsidP="00D633DA">
      <w:pPr>
        <w:pStyle w:val="Heading4"/>
      </w:pPr>
      <w:bookmarkStart w:id="19" w:name="_Toc350438522"/>
      <w:r w:rsidRPr="001066B2">
        <w:t>1.3  The ARQZWA</w:t>
      </w:r>
      <w:bookmarkEnd w:id="19"/>
      <w:r w:rsidRPr="001066B2">
        <w:t xml:space="preserve"> </w:t>
      </w:r>
    </w:p>
    <w:p w14:paraId="5D43320D" w14:textId="5C005CF9" w:rsidR="00AC4249" w:rsidRDefault="00AC4249" w:rsidP="00AC4249">
      <w:r w:rsidRPr="00AE4568">
        <w:rPr>
          <w:color w:val="000000"/>
          <w:lang w:val="en-AU"/>
        </w:rPr>
        <w:t xml:space="preserve">The </w:t>
      </w:r>
      <w:r>
        <w:rPr>
          <w:color w:val="000000"/>
          <w:lang w:val="en-AU"/>
        </w:rPr>
        <w:t xml:space="preserve">radio quiet zone addressed by this </w:t>
      </w:r>
      <w:proofErr w:type="spellStart"/>
      <w:r w:rsidR="00D633DA">
        <w:t>Radiocommunications</w:t>
      </w:r>
      <w:proofErr w:type="spellEnd"/>
      <w:r w:rsidR="00D633DA">
        <w:t xml:space="preserve"> Assignment and Licensing Instruction</w:t>
      </w:r>
      <w:r w:rsidR="00D633DA">
        <w:rPr>
          <w:color w:val="000000"/>
          <w:lang w:val="en-AU"/>
        </w:rPr>
        <w:t xml:space="preserve"> (</w:t>
      </w:r>
      <w:r>
        <w:rPr>
          <w:color w:val="000000"/>
          <w:lang w:val="en-AU"/>
        </w:rPr>
        <w:t>RALI</w:t>
      </w:r>
      <w:r w:rsidR="00D633DA">
        <w:rPr>
          <w:color w:val="000000"/>
          <w:lang w:val="en-AU"/>
        </w:rPr>
        <w:t>)</w:t>
      </w:r>
      <w:r>
        <w:rPr>
          <w:color w:val="000000"/>
          <w:lang w:val="en-AU"/>
        </w:rPr>
        <w:t xml:space="preserve"> is the Australian Radio Quiet Zone Western Australia</w:t>
      </w:r>
      <w:r w:rsidR="00F540E0">
        <w:rPr>
          <w:color w:val="000000"/>
          <w:lang w:val="en-AU"/>
        </w:rPr>
        <w:t xml:space="preserve"> (ARQZWA</w:t>
      </w:r>
      <w:r>
        <w:rPr>
          <w:color w:val="000000"/>
          <w:lang w:val="en-AU"/>
        </w:rPr>
        <w:t>)</w:t>
      </w:r>
      <w:r w:rsidRPr="00AE4568">
        <w:rPr>
          <w:color w:val="000000"/>
          <w:lang w:val="en-AU"/>
        </w:rPr>
        <w:t xml:space="preserve"> </w:t>
      </w:r>
      <w:r>
        <w:rPr>
          <w:color w:val="000000"/>
          <w:lang w:val="en-AU"/>
        </w:rPr>
        <w:t xml:space="preserve">and comprises </w:t>
      </w:r>
      <w:r w:rsidRPr="00DB6586">
        <w:rPr>
          <w:color w:val="000000"/>
          <w:lang w:val="en-AU"/>
        </w:rPr>
        <w:t xml:space="preserve">locations described in section 3.0. It provides interference protection for </w:t>
      </w:r>
      <w:r w:rsidR="0080507E" w:rsidRPr="0080507E">
        <w:rPr>
          <w:color w:val="000000"/>
          <w:lang w:val="en-AU"/>
        </w:rPr>
        <w:t>radio astronomy within a region</w:t>
      </w:r>
      <w:r w:rsidRPr="00DB6586">
        <w:rPr>
          <w:color w:val="000000"/>
          <w:lang w:val="en-AU"/>
        </w:rPr>
        <w:t xml:space="preserve"> in the </w:t>
      </w:r>
      <w:proofErr w:type="spellStart"/>
      <w:r w:rsidR="00FE710B">
        <w:rPr>
          <w:color w:val="000000"/>
          <w:lang w:val="en-AU"/>
        </w:rPr>
        <w:t>M</w:t>
      </w:r>
      <w:r w:rsidR="00FE710B" w:rsidRPr="00DB6586">
        <w:rPr>
          <w:color w:val="000000"/>
          <w:lang w:val="en-AU"/>
        </w:rPr>
        <w:t>id</w:t>
      </w:r>
      <w:r w:rsidR="00FE710B">
        <w:rPr>
          <w:color w:val="000000"/>
          <w:lang w:val="en-AU"/>
        </w:rPr>
        <w:t xml:space="preserve"> W</w:t>
      </w:r>
      <w:r w:rsidRPr="00DB6586">
        <w:rPr>
          <w:color w:val="000000"/>
          <w:lang w:val="en-AU"/>
        </w:rPr>
        <w:t>est</w:t>
      </w:r>
      <w:proofErr w:type="spellEnd"/>
      <w:r w:rsidRPr="00DB6586">
        <w:rPr>
          <w:color w:val="000000"/>
          <w:lang w:val="en-AU"/>
        </w:rPr>
        <w:t xml:space="preserve"> of Western Australia.  A site </w:t>
      </w:r>
      <w:r w:rsidR="0080507E" w:rsidRPr="0080507E">
        <w:rPr>
          <w:color w:val="000000"/>
          <w:lang w:val="en-AU"/>
        </w:rPr>
        <w:t>at its centre</w:t>
      </w:r>
      <w:r w:rsidRPr="00DB6586">
        <w:rPr>
          <w:color w:val="000000"/>
          <w:lang w:val="en-AU"/>
        </w:rPr>
        <w:t xml:space="preserve"> is being used for the purposes of radio astronomy and is the </w:t>
      </w:r>
      <w:r w:rsidR="00DB6586" w:rsidRPr="00DB6586">
        <w:rPr>
          <w:color w:val="000000"/>
          <w:lang w:val="en-AU"/>
        </w:rPr>
        <w:t xml:space="preserve">central </w:t>
      </w:r>
      <w:r w:rsidRPr="00DB6586">
        <w:rPr>
          <w:color w:val="000000"/>
          <w:lang w:val="en-AU"/>
        </w:rPr>
        <w:t xml:space="preserve">core of the Australian component of the </w:t>
      </w:r>
      <w:r w:rsidR="00DB6586" w:rsidRPr="00DB6586">
        <w:rPr>
          <w:color w:val="000000"/>
          <w:lang w:val="en-AU"/>
        </w:rPr>
        <w:t xml:space="preserve">geographically distributed </w:t>
      </w:r>
      <w:r w:rsidRPr="00DB6586">
        <w:rPr>
          <w:color w:val="000000"/>
          <w:lang w:val="en-AU"/>
        </w:rPr>
        <w:t>Square Kilometre Array (SKA) telescope</w:t>
      </w:r>
      <w:r w:rsidRPr="00DB6586">
        <w:rPr>
          <w:rStyle w:val="FootnoteReference"/>
          <w:color w:val="000000"/>
          <w:lang w:val="en-AU"/>
        </w:rPr>
        <w:footnoteReference w:id="1"/>
      </w:r>
      <w:r w:rsidRPr="00DB6586">
        <w:rPr>
          <w:color w:val="000000"/>
          <w:lang w:val="en-AU"/>
        </w:rPr>
        <w:t>. It is geographically</w:t>
      </w:r>
      <w:r w:rsidRPr="00AE4568">
        <w:rPr>
          <w:color w:val="000000"/>
          <w:lang w:val="en-AU"/>
        </w:rPr>
        <w:t xml:space="preserve"> isolated, </w:t>
      </w:r>
      <w:r>
        <w:rPr>
          <w:color w:val="000000"/>
          <w:lang w:val="en-AU"/>
        </w:rPr>
        <w:t xml:space="preserve">provides an </w:t>
      </w:r>
      <w:r w:rsidRPr="00AE4568">
        <w:rPr>
          <w:color w:val="000000"/>
          <w:lang w:val="en-AU"/>
        </w:rPr>
        <w:t xml:space="preserve">exceptionally radio-quiet </w:t>
      </w:r>
      <w:r>
        <w:rPr>
          <w:color w:val="000000"/>
          <w:lang w:val="en-AU"/>
        </w:rPr>
        <w:t xml:space="preserve">environment </w:t>
      </w:r>
      <w:r w:rsidRPr="00AE4568">
        <w:rPr>
          <w:color w:val="000000"/>
          <w:lang w:val="en-AU"/>
        </w:rPr>
        <w:t xml:space="preserve">and exhibits good </w:t>
      </w:r>
      <w:proofErr w:type="spellStart"/>
      <w:r w:rsidRPr="00AE4568">
        <w:rPr>
          <w:color w:val="000000"/>
          <w:lang w:val="en-AU"/>
        </w:rPr>
        <w:t>ionospheric</w:t>
      </w:r>
      <w:proofErr w:type="spellEnd"/>
      <w:r w:rsidRPr="00AE4568">
        <w:rPr>
          <w:color w:val="000000"/>
          <w:lang w:val="en-AU"/>
        </w:rPr>
        <w:t xml:space="preserve"> and tropospheric conditions for radio astronomy.</w:t>
      </w:r>
    </w:p>
    <w:p w14:paraId="75E404DF" w14:textId="77777777" w:rsidR="00AC4249" w:rsidRPr="00AC4249" w:rsidRDefault="00AC4249" w:rsidP="00AC4249"/>
    <w:p w14:paraId="479BCB48" w14:textId="77777777" w:rsidR="005E568D" w:rsidRDefault="00D633DA">
      <w:pPr>
        <w:pStyle w:val="Heading3"/>
      </w:pPr>
      <w:bookmarkStart w:id="20" w:name="_Toc350438523"/>
      <w:bookmarkStart w:id="21" w:name="_Toc348860061"/>
      <w:bookmarkStart w:id="22" w:name="_Toc354802998"/>
      <w:bookmarkStart w:id="23" w:name="_Toc354803047"/>
      <w:bookmarkStart w:id="24" w:name="_Toc379275823"/>
      <w:bookmarkStart w:id="25" w:name="_Toc379275927"/>
      <w:bookmarkStart w:id="26" w:name="_Toc379789491"/>
      <w:bookmarkStart w:id="27" w:name="_Toc380902430"/>
      <w:bookmarkStart w:id="28" w:name="_Toc380910413"/>
      <w:bookmarkStart w:id="29" w:name="_Toc475864836"/>
      <w:bookmarkStart w:id="30" w:name="_Toc177372084"/>
      <w:r w:rsidRPr="00AF4F8A">
        <w:t xml:space="preserve">2.0 </w:t>
      </w:r>
      <w:r w:rsidR="0043373B">
        <w:t>PURPOSE and SCOPE</w:t>
      </w:r>
      <w:bookmarkEnd w:id="20"/>
    </w:p>
    <w:p w14:paraId="3ED27521" w14:textId="77777777" w:rsidR="00510CF9" w:rsidRDefault="00590B3F" w:rsidP="00AF4F8A">
      <w:pPr>
        <w:pStyle w:val="Heading4"/>
      </w:pPr>
      <w:bookmarkStart w:id="31" w:name="_Toc350438524"/>
      <w:r>
        <w:t>2.1</w:t>
      </w:r>
      <w:r w:rsidR="00510CF9">
        <w:t xml:space="preserve">  </w:t>
      </w:r>
      <w:bookmarkEnd w:id="21"/>
      <w:bookmarkEnd w:id="22"/>
      <w:bookmarkEnd w:id="23"/>
      <w:bookmarkEnd w:id="24"/>
      <w:bookmarkEnd w:id="25"/>
      <w:bookmarkEnd w:id="26"/>
      <w:bookmarkEnd w:id="27"/>
      <w:bookmarkEnd w:id="28"/>
      <w:bookmarkEnd w:id="29"/>
      <w:bookmarkEnd w:id="30"/>
      <w:r w:rsidR="0043373B">
        <w:t>PURPOSE</w:t>
      </w:r>
      <w:bookmarkEnd w:id="31"/>
    </w:p>
    <w:p w14:paraId="2AE44303" w14:textId="77777777" w:rsidR="00590B3F" w:rsidRDefault="00590B3F" w:rsidP="00260912">
      <w:pPr>
        <w:tabs>
          <w:tab w:val="left" w:pos="8505"/>
          <w:tab w:val="right" w:pos="9356"/>
        </w:tabs>
        <w:spacing w:before="120"/>
      </w:pPr>
      <w:bookmarkStart w:id="32" w:name="_Toc8549159"/>
      <w:bookmarkStart w:id="33" w:name="_Toc96834901"/>
      <w:bookmarkStart w:id="34" w:name="_Ref336763427"/>
      <w:bookmarkStart w:id="35" w:name="_Ref336763467"/>
      <w:bookmarkStart w:id="36" w:name="_Toc345731175"/>
      <w:bookmarkStart w:id="37" w:name="_Toc347028501"/>
      <w:r w:rsidRPr="00DB6586">
        <w:rPr>
          <w:color w:val="000000"/>
          <w:lang w:val="en-AU"/>
        </w:rPr>
        <w:t>This</w:t>
      </w:r>
      <w:r w:rsidR="00182BAB" w:rsidRPr="00DB6586">
        <w:t xml:space="preserve"> </w:t>
      </w:r>
      <w:r w:rsidRPr="00DB6586">
        <w:rPr>
          <w:color w:val="000000"/>
          <w:lang w:val="en-AU"/>
        </w:rPr>
        <w:t xml:space="preserve">RALI is </w:t>
      </w:r>
      <w:r w:rsidR="009E1038" w:rsidRPr="00DB6586">
        <w:rPr>
          <w:color w:val="000000"/>
          <w:lang w:val="en-AU"/>
        </w:rPr>
        <w:t xml:space="preserve">intended </w:t>
      </w:r>
      <w:r w:rsidRPr="00DB6586">
        <w:rPr>
          <w:color w:val="000000"/>
          <w:lang w:val="en-AU"/>
        </w:rPr>
        <w:t xml:space="preserve">to provide a framework for the </w:t>
      </w:r>
      <w:r w:rsidR="00052104" w:rsidRPr="00DB6586">
        <w:rPr>
          <w:color w:val="000000"/>
          <w:lang w:val="en-AU"/>
        </w:rPr>
        <w:t xml:space="preserve">interference protection of </w:t>
      </w:r>
      <w:r w:rsidR="0080507E" w:rsidRPr="0080507E">
        <w:rPr>
          <w:color w:val="000000"/>
          <w:lang w:val="en-AU"/>
        </w:rPr>
        <w:t xml:space="preserve">radioastronomy activities sited within 50 km of </w:t>
      </w:r>
      <w:r w:rsidR="00204D64" w:rsidRPr="00DB6586">
        <w:rPr>
          <w:color w:val="000000"/>
          <w:lang w:val="en-AU"/>
        </w:rPr>
        <w:t>the centre of the ARQZWA</w:t>
      </w:r>
      <w:r w:rsidRPr="00DB6586">
        <w:rPr>
          <w:color w:val="000000"/>
          <w:lang w:val="en-AU"/>
        </w:rPr>
        <w:t>.</w:t>
      </w:r>
    </w:p>
    <w:p w14:paraId="11EBA3A2" w14:textId="77777777" w:rsidR="00FE710B" w:rsidRDefault="00FE710B" w:rsidP="00FE710B">
      <w:pPr>
        <w:ind w:left="360"/>
      </w:pPr>
      <w:r>
        <w:t xml:space="preserve">The provisions of this RALI need to be considered in conjunction with the </w:t>
      </w:r>
      <w:proofErr w:type="spellStart"/>
      <w:r w:rsidRPr="00C567E0">
        <w:rPr>
          <w:i/>
        </w:rPr>
        <w:t>Radiocommunications</w:t>
      </w:r>
      <w:proofErr w:type="spellEnd"/>
      <w:r w:rsidRPr="00C567E0">
        <w:rPr>
          <w:i/>
        </w:rPr>
        <w:t xml:space="preserve"> (Mid-West Radio Quiet Zone) Frequency Band Plan 2011</w:t>
      </w:r>
      <w:r>
        <w:t xml:space="preserve"> (RQZ Band Plan).</w:t>
      </w:r>
    </w:p>
    <w:p w14:paraId="17F133A7" w14:textId="77777777" w:rsidR="00260912" w:rsidRDefault="00260912" w:rsidP="00260912">
      <w:pPr>
        <w:tabs>
          <w:tab w:val="left" w:pos="8505"/>
          <w:tab w:val="right" w:pos="9356"/>
        </w:tabs>
        <w:spacing w:before="120"/>
      </w:pPr>
    </w:p>
    <w:p w14:paraId="1B57512E" w14:textId="77777777" w:rsidR="001147D4" w:rsidRDefault="00F85D44" w:rsidP="00810773">
      <w:pPr>
        <w:tabs>
          <w:tab w:val="left" w:pos="8505"/>
          <w:tab w:val="right" w:pos="9356"/>
        </w:tabs>
        <w:spacing w:before="120"/>
      </w:pPr>
      <w:r>
        <w:t>In particular, this RALI</w:t>
      </w:r>
      <w:r w:rsidR="00D633DA">
        <w:t xml:space="preserve"> specifies</w:t>
      </w:r>
      <w:r w:rsidR="001147D4">
        <w:t>:</w:t>
      </w:r>
    </w:p>
    <w:p w14:paraId="7FD21E6F" w14:textId="77777777" w:rsidR="005E568D" w:rsidRPr="00DB6586" w:rsidRDefault="001742DD">
      <w:pPr>
        <w:numPr>
          <w:ilvl w:val="0"/>
          <w:numId w:val="2"/>
        </w:numPr>
        <w:rPr>
          <w:lang w:val="en-AU"/>
        </w:rPr>
      </w:pPr>
      <w:r>
        <w:t xml:space="preserve">criteria and associated </w:t>
      </w:r>
      <w:r w:rsidR="009C6BC0">
        <w:t>processes for</w:t>
      </w:r>
      <w:r w:rsidR="00810773">
        <w:t xml:space="preserve"> coordination </w:t>
      </w:r>
      <w:r>
        <w:t xml:space="preserve">of prospective apparatus licensed </w:t>
      </w:r>
      <w:proofErr w:type="spellStart"/>
      <w:r w:rsidR="001066B2" w:rsidRPr="001066B2">
        <w:rPr>
          <w:lang w:val="en-AU"/>
        </w:rPr>
        <w:t>radiocommunications</w:t>
      </w:r>
      <w:proofErr w:type="spellEnd"/>
      <w:r w:rsidR="001066B2" w:rsidRPr="001066B2">
        <w:rPr>
          <w:lang w:val="en-AU"/>
        </w:rPr>
        <w:t xml:space="preserve"> transmitters within the ARQZWA with radioastronomy </w:t>
      </w:r>
      <w:r w:rsidR="001066B2" w:rsidRPr="00DB6586">
        <w:rPr>
          <w:lang w:val="en-AU"/>
        </w:rPr>
        <w:t xml:space="preserve">receivers </w:t>
      </w:r>
      <w:r w:rsidR="0080507E" w:rsidRPr="0080507E">
        <w:rPr>
          <w:color w:val="000000"/>
          <w:lang w:val="en-AU"/>
        </w:rPr>
        <w:t xml:space="preserve">sited within 50 km of </w:t>
      </w:r>
      <w:r w:rsidR="00DB6586" w:rsidRPr="00DB6586">
        <w:rPr>
          <w:color w:val="000000"/>
          <w:lang w:val="en-AU"/>
        </w:rPr>
        <w:t>the centre of the ARQZWA</w:t>
      </w:r>
    </w:p>
    <w:p w14:paraId="3AE68887" w14:textId="77777777" w:rsidR="005E568D" w:rsidRPr="00DB6586" w:rsidRDefault="001066B2" w:rsidP="00DB6586">
      <w:pPr>
        <w:numPr>
          <w:ilvl w:val="0"/>
          <w:numId w:val="2"/>
        </w:numPr>
        <w:tabs>
          <w:tab w:val="right" w:pos="9356"/>
        </w:tabs>
        <w:spacing w:before="120"/>
        <w:rPr>
          <w:lang w:val="en-AU"/>
        </w:rPr>
      </w:pPr>
      <w:r w:rsidRPr="00DB6586">
        <w:rPr>
          <w:lang w:val="en-AU"/>
        </w:rPr>
        <w:t xml:space="preserve">that the consultation required for coordination of prospective apparatus licensed </w:t>
      </w:r>
      <w:proofErr w:type="spellStart"/>
      <w:r w:rsidRPr="00DB6586">
        <w:rPr>
          <w:lang w:val="en-AU"/>
        </w:rPr>
        <w:t>radiocommunications</w:t>
      </w:r>
      <w:proofErr w:type="spellEnd"/>
      <w:r w:rsidRPr="00DB6586">
        <w:rPr>
          <w:lang w:val="en-AU"/>
        </w:rPr>
        <w:t xml:space="preserve"> transmitters within the ARQZWA with radioastronomy receivers should, in the first instance, be based on the interference threshold limits and interference determination and minimisation methods described in this RALI.  </w:t>
      </w:r>
    </w:p>
    <w:p w14:paraId="391074CA" w14:textId="77777777" w:rsidR="003A2869" w:rsidRDefault="003A2869" w:rsidP="00810773">
      <w:pPr>
        <w:tabs>
          <w:tab w:val="left" w:pos="8505"/>
          <w:tab w:val="right" w:pos="9356"/>
        </w:tabs>
        <w:spacing w:before="120"/>
      </w:pPr>
    </w:p>
    <w:p w14:paraId="475D49BE" w14:textId="20C0AD32" w:rsidR="00741E7E" w:rsidRDefault="00DC6350" w:rsidP="00810773">
      <w:pPr>
        <w:tabs>
          <w:tab w:val="left" w:pos="8505"/>
          <w:tab w:val="right" w:pos="9356"/>
        </w:tabs>
        <w:spacing w:before="120"/>
      </w:pPr>
      <w:r w:rsidRPr="002C12B6">
        <w:t xml:space="preserve">The geographic area </w:t>
      </w:r>
      <w:r w:rsidR="00117910">
        <w:t>a</w:t>
      </w:r>
      <w:r w:rsidRPr="002C12B6">
        <w:t xml:space="preserve">s addressed by this RALI is referred to as the </w:t>
      </w:r>
      <w:r w:rsidR="00117910">
        <w:t>Australian Radio Quiet Zone (Western Australia) – (ARQZWA)</w:t>
      </w:r>
      <w:r w:rsidR="000C35AC">
        <w:t xml:space="preserve">.  It comprises the zones of the RQZ Band Plan and </w:t>
      </w:r>
      <w:r w:rsidR="00117910">
        <w:t xml:space="preserve">frequency </w:t>
      </w:r>
      <w:r w:rsidR="005D3323">
        <w:t xml:space="preserve">dependent </w:t>
      </w:r>
      <w:r w:rsidR="00117910">
        <w:t>zones</w:t>
      </w:r>
      <w:r w:rsidR="000C35AC">
        <w:t xml:space="preserve"> extending from 150km to 260km from the centre point</w:t>
      </w:r>
      <w:r w:rsidR="00E56BA5">
        <w:t xml:space="preserve"> of the </w:t>
      </w:r>
      <w:r w:rsidR="005D3323">
        <w:t>ARQZWA</w:t>
      </w:r>
      <w:r w:rsidRPr="002C12B6">
        <w:t>.</w:t>
      </w:r>
      <w:bookmarkStart w:id="38" w:name="OLE_LINK9"/>
    </w:p>
    <w:p w14:paraId="60E2C820" w14:textId="77777777" w:rsidR="000772CB" w:rsidRDefault="009C6BC0" w:rsidP="00810773">
      <w:pPr>
        <w:tabs>
          <w:tab w:val="left" w:pos="8505"/>
          <w:tab w:val="right" w:pos="9356"/>
        </w:tabs>
        <w:spacing w:before="120"/>
      </w:pPr>
      <w:r w:rsidRPr="007614F3">
        <w:t>Prospective</w:t>
      </w:r>
      <w:r w:rsidR="00810773" w:rsidRPr="007614F3">
        <w:t xml:space="preserve"> frequency assignments</w:t>
      </w:r>
      <w:r w:rsidR="003F30B2" w:rsidRPr="007614F3">
        <w:t xml:space="preserve"> </w:t>
      </w:r>
      <w:bookmarkStart w:id="39" w:name="OLE_LINK10"/>
      <w:bookmarkStart w:id="40" w:name="OLE_LINK13"/>
      <w:r w:rsidR="003F30B2" w:rsidRPr="007614F3">
        <w:t xml:space="preserve">for transmitters </w:t>
      </w:r>
      <w:r w:rsidRPr="007614F3">
        <w:t>within</w:t>
      </w:r>
      <w:r w:rsidR="00810773" w:rsidRPr="007614F3">
        <w:t xml:space="preserve"> the </w:t>
      </w:r>
      <w:bookmarkEnd w:id="39"/>
      <w:bookmarkEnd w:id="40"/>
      <w:r w:rsidR="00117910">
        <w:t xml:space="preserve">ARQZWA </w:t>
      </w:r>
      <w:r w:rsidR="005B1D03" w:rsidRPr="007614F3">
        <w:t xml:space="preserve">need to be </w:t>
      </w:r>
      <w:r w:rsidR="00810773" w:rsidRPr="007614F3">
        <w:t xml:space="preserve">analysed to determine whether the use of </w:t>
      </w:r>
      <w:r w:rsidRPr="007614F3">
        <w:t>a</w:t>
      </w:r>
      <w:r w:rsidR="00810773" w:rsidRPr="007614F3">
        <w:t xml:space="preserve"> planned transmitter at </w:t>
      </w:r>
      <w:r w:rsidRPr="007614F3">
        <w:t>a</w:t>
      </w:r>
      <w:r w:rsidR="00810773" w:rsidRPr="007614F3">
        <w:t xml:space="preserve"> location </w:t>
      </w:r>
      <w:r w:rsidR="005B1D03" w:rsidRPr="007614F3">
        <w:t>would</w:t>
      </w:r>
      <w:r w:rsidR="00810773" w:rsidRPr="007614F3">
        <w:t xml:space="preserve"> </w:t>
      </w:r>
      <w:r w:rsidR="003F30B2" w:rsidRPr="007614F3">
        <w:t xml:space="preserve">produce signal levels </w:t>
      </w:r>
      <w:r w:rsidR="00AB5A04" w:rsidRPr="007614F3">
        <w:t xml:space="preserve">above prescribed </w:t>
      </w:r>
      <w:r w:rsidR="0007107E" w:rsidRPr="007614F3">
        <w:t xml:space="preserve">receiver </w:t>
      </w:r>
      <w:r w:rsidR="00AB5A04" w:rsidRPr="007614F3">
        <w:t>thresholds</w:t>
      </w:r>
      <w:r w:rsidR="00810773" w:rsidRPr="007614F3">
        <w:t>.</w:t>
      </w:r>
      <w:r w:rsidR="00810773">
        <w:t xml:space="preserve">  </w:t>
      </w:r>
      <w:r w:rsidR="003F30B2">
        <w:t xml:space="preserve">If the analysis </w:t>
      </w:r>
      <w:r w:rsidR="00741E7E">
        <w:t xml:space="preserve">finds that potential </w:t>
      </w:r>
      <w:r w:rsidR="003F30B2">
        <w:t>signals are above the prescribed threshold</w:t>
      </w:r>
      <w:r w:rsidR="0007107E">
        <w:t>s</w:t>
      </w:r>
      <w:r w:rsidR="003F30B2">
        <w:t xml:space="preserve"> then the </w:t>
      </w:r>
      <w:r w:rsidR="005B1D03">
        <w:t xml:space="preserve">prospective </w:t>
      </w:r>
      <w:r w:rsidR="003F30B2">
        <w:t xml:space="preserve">licensee must </w:t>
      </w:r>
      <w:r w:rsidR="00E540B5">
        <w:t>undertake</w:t>
      </w:r>
      <w:r w:rsidR="003F30B2">
        <w:t xml:space="preserve"> measures </w:t>
      </w:r>
      <w:r w:rsidR="00E56BA5">
        <w:t xml:space="preserve">such as those </w:t>
      </w:r>
      <w:r w:rsidR="001D2C32">
        <w:t xml:space="preserve">described in this RALI </w:t>
      </w:r>
      <w:r w:rsidR="0043373B">
        <w:t>(</w:t>
      </w:r>
      <w:r w:rsidR="0043373B" w:rsidRPr="005D3323">
        <w:t xml:space="preserve">see </w:t>
      </w:r>
      <w:r w:rsidR="00052104" w:rsidRPr="005D3323">
        <w:t>section 4.5</w:t>
      </w:r>
      <w:r w:rsidR="0043373B" w:rsidRPr="005D3323">
        <w:t xml:space="preserve">) </w:t>
      </w:r>
      <w:r w:rsidR="001D2C32" w:rsidRPr="005D3323">
        <w:t>including</w:t>
      </w:r>
      <w:r w:rsidR="001D2C32">
        <w:t xml:space="preserve"> those that would</w:t>
      </w:r>
      <w:r w:rsidR="003F30B2">
        <w:t xml:space="preserve"> reduce the signal </w:t>
      </w:r>
      <w:r w:rsidR="00C741E0">
        <w:t>level</w:t>
      </w:r>
      <w:r w:rsidR="00453496">
        <w:t xml:space="preserve"> to below the threshold</w:t>
      </w:r>
      <w:r w:rsidR="0007107E">
        <w:t>s</w:t>
      </w:r>
      <w:r w:rsidR="003F30B2">
        <w:t>.  For example, transmitter antennas may</w:t>
      </w:r>
      <w:r w:rsidR="00741E7E">
        <w:t xml:space="preserve"> be modified, alternative transmitter locations</w:t>
      </w:r>
      <w:r w:rsidR="003F30B2">
        <w:t xml:space="preserve"> may be used to take advantage of terrain shielding or transmitter EIRP may be reduced. </w:t>
      </w:r>
    </w:p>
    <w:p w14:paraId="7724661D" w14:textId="77777777" w:rsidR="005E568D" w:rsidRDefault="006F1AD2">
      <w:pPr>
        <w:pStyle w:val="Heading4"/>
      </w:pPr>
      <w:bookmarkStart w:id="41" w:name="_Toc354802999"/>
      <w:bookmarkStart w:id="42" w:name="_Toc354803048"/>
      <w:bookmarkStart w:id="43" w:name="_Toc379275824"/>
      <w:bookmarkStart w:id="44" w:name="_Toc379275928"/>
      <w:bookmarkStart w:id="45" w:name="_Toc379789492"/>
      <w:bookmarkStart w:id="46" w:name="_Toc380902431"/>
      <w:bookmarkStart w:id="47" w:name="_Toc380910414"/>
      <w:bookmarkStart w:id="48" w:name="_Toc475864837"/>
      <w:bookmarkStart w:id="49" w:name="_Toc177372088"/>
      <w:bookmarkStart w:id="50" w:name="_Toc350438525"/>
      <w:bookmarkEnd w:id="32"/>
      <w:bookmarkEnd w:id="33"/>
      <w:bookmarkEnd w:id="34"/>
      <w:bookmarkEnd w:id="35"/>
      <w:bookmarkEnd w:id="36"/>
      <w:bookmarkEnd w:id="37"/>
      <w:bookmarkEnd w:id="38"/>
      <w:r>
        <w:t>2.</w:t>
      </w:r>
      <w:r w:rsidR="00590B3F">
        <w:t>2</w:t>
      </w:r>
      <w:r>
        <w:t xml:space="preserve">  Scope</w:t>
      </w:r>
      <w:bookmarkEnd w:id="41"/>
      <w:bookmarkEnd w:id="42"/>
      <w:bookmarkEnd w:id="43"/>
      <w:bookmarkEnd w:id="44"/>
      <w:bookmarkEnd w:id="45"/>
      <w:bookmarkEnd w:id="46"/>
      <w:bookmarkEnd w:id="47"/>
      <w:bookmarkEnd w:id="48"/>
      <w:bookmarkEnd w:id="49"/>
      <w:bookmarkEnd w:id="50"/>
    </w:p>
    <w:p w14:paraId="4A6E555B" w14:textId="77777777" w:rsidR="00810773" w:rsidRDefault="00810773" w:rsidP="00810773">
      <w:pPr>
        <w:tabs>
          <w:tab w:val="left" w:pos="8505"/>
          <w:tab w:val="right" w:pos="9356"/>
        </w:tabs>
      </w:pPr>
      <w:r>
        <w:t xml:space="preserve">A potential </w:t>
      </w:r>
      <w:r w:rsidR="00163819">
        <w:t xml:space="preserve">frequency </w:t>
      </w:r>
      <w:r>
        <w:t>assignment falls within the scope of this RALI if -</w:t>
      </w:r>
    </w:p>
    <w:p w14:paraId="05CD506A" w14:textId="77777777" w:rsidR="00810773" w:rsidRPr="00F24D8F" w:rsidRDefault="00810773" w:rsidP="00F24D8F">
      <w:pPr>
        <w:numPr>
          <w:ilvl w:val="0"/>
          <w:numId w:val="2"/>
        </w:numPr>
        <w:rPr>
          <w:lang w:val="en-AU"/>
        </w:rPr>
      </w:pPr>
      <w:r w:rsidRPr="00F24D8F">
        <w:rPr>
          <w:lang w:val="en-AU"/>
        </w:rPr>
        <w:t xml:space="preserve">the assignment is for an </w:t>
      </w:r>
      <w:r w:rsidRPr="0093798E">
        <w:rPr>
          <w:lang w:val="en-AU"/>
        </w:rPr>
        <w:t>apparatus</w:t>
      </w:r>
      <w:r w:rsidR="00446C15">
        <w:rPr>
          <w:lang w:val="en-AU"/>
        </w:rPr>
        <w:t>-</w:t>
      </w:r>
      <w:r w:rsidRPr="0093798E">
        <w:rPr>
          <w:lang w:val="en-AU"/>
        </w:rPr>
        <w:t>licensed</w:t>
      </w:r>
      <w:r w:rsidR="00163819">
        <w:rPr>
          <w:lang w:val="en-AU"/>
        </w:rPr>
        <w:t xml:space="preserve"> transmitter of a</w:t>
      </w:r>
      <w:r w:rsidRPr="0093798E">
        <w:rPr>
          <w:lang w:val="en-AU"/>
        </w:rPr>
        <w:t xml:space="preserve"> coordinated terrestrial </w:t>
      </w:r>
      <w:r>
        <w:rPr>
          <w:lang w:val="en-AU"/>
        </w:rPr>
        <w:t xml:space="preserve">service </w:t>
      </w:r>
      <w:r w:rsidRPr="0093798E">
        <w:rPr>
          <w:lang w:val="en-AU"/>
        </w:rPr>
        <w:t xml:space="preserve">station </w:t>
      </w:r>
      <w:r>
        <w:rPr>
          <w:lang w:val="en-AU"/>
        </w:rPr>
        <w:t xml:space="preserve">or </w:t>
      </w:r>
      <w:r w:rsidRPr="0093798E">
        <w:rPr>
          <w:lang w:val="en-AU"/>
        </w:rPr>
        <w:t>earth station</w:t>
      </w:r>
      <w:r w:rsidR="00F24D8F">
        <w:rPr>
          <w:lang w:val="en-AU"/>
        </w:rPr>
        <w:t>;</w:t>
      </w:r>
      <w:r w:rsidRPr="00F24D8F">
        <w:rPr>
          <w:lang w:val="en-AU"/>
        </w:rPr>
        <w:t xml:space="preserve"> and</w:t>
      </w:r>
    </w:p>
    <w:p w14:paraId="3092A982" w14:textId="77777777" w:rsidR="00810773" w:rsidRPr="00A82211" w:rsidRDefault="00810773" w:rsidP="00F24D8F">
      <w:pPr>
        <w:numPr>
          <w:ilvl w:val="0"/>
          <w:numId w:val="2"/>
        </w:numPr>
        <w:rPr>
          <w:lang w:val="en-AU"/>
        </w:rPr>
      </w:pPr>
      <w:r w:rsidRPr="00F24D8F">
        <w:rPr>
          <w:lang w:val="en-AU"/>
        </w:rPr>
        <w:t xml:space="preserve">its frequency and geographical </w:t>
      </w:r>
      <w:r w:rsidR="0011514D">
        <w:rPr>
          <w:lang w:val="en-AU"/>
        </w:rPr>
        <w:t>location is</w:t>
      </w:r>
      <w:r w:rsidRPr="00F24D8F">
        <w:rPr>
          <w:lang w:val="en-AU"/>
        </w:rPr>
        <w:t xml:space="preserve"> within </w:t>
      </w:r>
      <w:r w:rsidR="00163819">
        <w:rPr>
          <w:lang w:val="en-AU"/>
        </w:rPr>
        <w:t xml:space="preserve">the </w:t>
      </w:r>
      <w:r w:rsidRPr="00F24D8F">
        <w:rPr>
          <w:lang w:val="en-AU"/>
        </w:rPr>
        <w:t xml:space="preserve"> </w:t>
      </w:r>
      <w:r w:rsidR="0011514D">
        <w:rPr>
          <w:lang w:val="en-AU"/>
        </w:rPr>
        <w:t>ARQZWA</w:t>
      </w:r>
    </w:p>
    <w:p w14:paraId="057DA025" w14:textId="77777777" w:rsidR="00D633DA" w:rsidRDefault="00D633DA" w:rsidP="009D4C6D">
      <w:pPr>
        <w:tabs>
          <w:tab w:val="left" w:pos="8505"/>
          <w:tab w:val="right" w:pos="9356"/>
        </w:tabs>
        <w:spacing w:before="120"/>
      </w:pPr>
      <w:bookmarkStart w:id="51" w:name="OLE_LINK11"/>
      <w:bookmarkStart w:id="52" w:name="OLE_LINK12"/>
    </w:p>
    <w:p w14:paraId="3F755C98" w14:textId="77777777" w:rsidR="009D4C6D" w:rsidRDefault="009D4C6D" w:rsidP="009D4C6D">
      <w:pPr>
        <w:tabs>
          <w:tab w:val="left" w:pos="8505"/>
          <w:tab w:val="right" w:pos="9356"/>
        </w:tabs>
        <w:spacing w:before="120"/>
      </w:pPr>
      <w:r>
        <w:t xml:space="preserve">This RALI does </w:t>
      </w:r>
      <w:r w:rsidRPr="002651AB">
        <w:rPr>
          <w:i/>
        </w:rPr>
        <w:t>not</w:t>
      </w:r>
      <w:r>
        <w:t xml:space="preserve"> apply to:</w:t>
      </w:r>
    </w:p>
    <w:p w14:paraId="146E130E" w14:textId="77777777" w:rsidR="005E568D" w:rsidRDefault="001066B2">
      <w:pPr>
        <w:numPr>
          <w:ilvl w:val="0"/>
          <w:numId w:val="2"/>
        </w:numPr>
        <w:rPr>
          <w:lang w:val="en-AU"/>
        </w:rPr>
      </w:pPr>
      <w:r w:rsidRPr="001066B2">
        <w:rPr>
          <w:lang w:val="en-AU"/>
        </w:rPr>
        <w:t xml:space="preserve">frequency assignments to </w:t>
      </w:r>
      <w:proofErr w:type="spellStart"/>
      <w:r w:rsidRPr="001066B2">
        <w:rPr>
          <w:lang w:val="en-AU"/>
        </w:rPr>
        <w:t>radiocommunications</w:t>
      </w:r>
      <w:proofErr w:type="spellEnd"/>
      <w:r w:rsidRPr="001066B2">
        <w:rPr>
          <w:lang w:val="en-AU"/>
        </w:rPr>
        <w:t xml:space="preserve"> systems that operate in an itinerant</w:t>
      </w:r>
      <w:r w:rsidR="00160823">
        <w:rPr>
          <w:rStyle w:val="FootnoteReference"/>
          <w:lang w:val="en-AU"/>
        </w:rPr>
        <w:footnoteReference w:id="2"/>
      </w:r>
      <w:r w:rsidRPr="001066B2">
        <w:rPr>
          <w:lang w:val="en-AU"/>
        </w:rPr>
        <w:t xml:space="preserve"> fashion, i.e. systems that have an area wide licence (e.g. Australia</w:t>
      </w:r>
      <w:r w:rsidR="00D633DA">
        <w:rPr>
          <w:lang w:val="en-AU"/>
        </w:rPr>
        <w:t>-</w:t>
      </w:r>
      <w:r w:rsidRPr="001066B2">
        <w:rPr>
          <w:lang w:val="en-AU"/>
        </w:rPr>
        <w:t>wide or airborne itinerant) and that may operate within the ARQZWA from time to time,</w:t>
      </w:r>
    </w:p>
    <w:p w14:paraId="5DDDBFC6" w14:textId="77777777" w:rsidR="005E568D" w:rsidRDefault="009D4C6D">
      <w:pPr>
        <w:numPr>
          <w:ilvl w:val="0"/>
          <w:numId w:val="2"/>
        </w:numPr>
        <w:rPr>
          <w:lang w:val="en-AU"/>
        </w:rPr>
      </w:pPr>
      <w:r w:rsidRPr="00EB0571">
        <w:rPr>
          <w:lang w:val="en-AU"/>
        </w:rPr>
        <w:t xml:space="preserve">existing transmitters </w:t>
      </w:r>
      <w:r>
        <w:rPr>
          <w:lang w:val="en-AU"/>
        </w:rPr>
        <w:t>authorised by apparatus licences,</w:t>
      </w:r>
      <w:r w:rsidRPr="00EB0571">
        <w:rPr>
          <w:lang w:val="en-AU"/>
        </w:rPr>
        <w:t xml:space="preserve"> </w:t>
      </w:r>
    </w:p>
    <w:p w14:paraId="1F12F7E8" w14:textId="77777777" w:rsidR="005E568D" w:rsidRDefault="00163819">
      <w:pPr>
        <w:numPr>
          <w:ilvl w:val="0"/>
          <w:numId w:val="2"/>
        </w:numPr>
        <w:rPr>
          <w:lang w:val="en-AU"/>
        </w:rPr>
      </w:pPr>
      <w:r w:rsidRPr="00A855D8">
        <w:rPr>
          <w:lang w:val="en-AU"/>
        </w:rPr>
        <w:t>unless otherwise annotated in licences</w:t>
      </w:r>
      <w:r>
        <w:rPr>
          <w:lang w:val="en-AU"/>
        </w:rPr>
        <w:t xml:space="preserve">, </w:t>
      </w:r>
      <w:r w:rsidR="009D4C6D" w:rsidRPr="00EB0571">
        <w:rPr>
          <w:lang w:val="en-AU"/>
        </w:rPr>
        <w:t>transmitters whose use is authorised by spectrum or</w:t>
      </w:r>
      <w:r w:rsidR="009D4C6D">
        <w:rPr>
          <w:lang w:val="en-AU"/>
        </w:rPr>
        <w:t xml:space="preserve"> class licences within the band </w:t>
      </w:r>
      <w:r>
        <w:rPr>
          <w:lang w:val="en-AU"/>
        </w:rPr>
        <w:t>70</w:t>
      </w:r>
      <w:r w:rsidR="00E65EE1">
        <w:rPr>
          <w:lang w:val="en-AU"/>
        </w:rPr>
        <w:t> </w:t>
      </w:r>
      <w:r w:rsidR="009D4C6D">
        <w:rPr>
          <w:lang w:val="en-AU"/>
        </w:rPr>
        <w:t>MHz to 25.25 GHz,</w:t>
      </w:r>
    </w:p>
    <w:p w14:paraId="35BD451E" w14:textId="77777777" w:rsidR="005E568D" w:rsidRDefault="006B096B">
      <w:pPr>
        <w:numPr>
          <w:ilvl w:val="0"/>
          <w:numId w:val="2"/>
        </w:numPr>
        <w:rPr>
          <w:lang w:val="en-AU"/>
        </w:rPr>
      </w:pPr>
      <w:r>
        <w:rPr>
          <w:lang w:val="en-AU"/>
        </w:rPr>
        <w:t xml:space="preserve">frequency </w:t>
      </w:r>
      <w:r w:rsidR="00C741E0">
        <w:rPr>
          <w:lang w:val="en-AU"/>
        </w:rPr>
        <w:t xml:space="preserve">assignments </w:t>
      </w:r>
      <w:r>
        <w:rPr>
          <w:lang w:val="en-AU"/>
        </w:rPr>
        <w:t>of</w:t>
      </w:r>
      <w:r w:rsidR="00C741E0">
        <w:rPr>
          <w:lang w:val="en-AU"/>
        </w:rPr>
        <w:t xml:space="preserve"> space licences.</w:t>
      </w:r>
    </w:p>
    <w:p w14:paraId="39114E77" w14:textId="77777777" w:rsidR="00462C9E" w:rsidRDefault="00462C9E" w:rsidP="00462C9E">
      <w:pPr>
        <w:ind w:left="360"/>
      </w:pPr>
      <w:bookmarkStart w:id="53" w:name="_Toc177372089"/>
      <w:bookmarkEnd w:id="51"/>
      <w:bookmarkEnd w:id="52"/>
    </w:p>
    <w:p w14:paraId="67FBF868" w14:textId="77777777" w:rsidR="00410ED1" w:rsidRPr="00AF4F8A" w:rsidRDefault="00410ED1" w:rsidP="00AF4F8A">
      <w:pPr>
        <w:pStyle w:val="Heading3"/>
      </w:pPr>
      <w:bookmarkStart w:id="54" w:name="_Toc350438526"/>
      <w:r w:rsidRPr="00AF4F8A">
        <w:t>3.0  Zones</w:t>
      </w:r>
      <w:bookmarkEnd w:id="53"/>
      <w:bookmarkEnd w:id="54"/>
    </w:p>
    <w:p w14:paraId="48758B11" w14:textId="77777777" w:rsidR="004B7C9B" w:rsidRDefault="004B7C9B" w:rsidP="00EB2010">
      <w:pPr>
        <w:spacing w:before="120"/>
      </w:pPr>
      <w:r>
        <w:t xml:space="preserve">The ARQZWA comprises </w:t>
      </w:r>
      <w:r w:rsidR="00D25C7E">
        <w:t xml:space="preserve">both of </w:t>
      </w:r>
      <w:r>
        <w:t>the following components and characteristics:</w:t>
      </w:r>
    </w:p>
    <w:p w14:paraId="6064EA7C" w14:textId="46861CE7" w:rsidR="00671617" w:rsidRDefault="00EB2010">
      <w:pPr>
        <w:numPr>
          <w:ilvl w:val="0"/>
          <w:numId w:val="6"/>
        </w:numPr>
        <w:spacing w:before="120"/>
      </w:pPr>
      <w:r>
        <w:t xml:space="preserve">The </w:t>
      </w:r>
      <w:proofErr w:type="spellStart"/>
      <w:r w:rsidR="004B7C9B" w:rsidRPr="00C567E0">
        <w:rPr>
          <w:i/>
        </w:rPr>
        <w:t>Radiocommunications</w:t>
      </w:r>
      <w:proofErr w:type="spellEnd"/>
      <w:r w:rsidR="004B7C9B" w:rsidRPr="00C567E0">
        <w:rPr>
          <w:i/>
        </w:rPr>
        <w:t xml:space="preserve"> (Mid-West Radio Quiet Zone) Frequency Band Plan 2011</w:t>
      </w:r>
      <w:r w:rsidR="004B7C9B">
        <w:t xml:space="preserve"> (RQZ Band Plan)</w:t>
      </w:r>
      <w:r w:rsidR="00AF4F8A">
        <w:t xml:space="preserve"> </w:t>
      </w:r>
      <w:r w:rsidR="008D63BD">
        <w:t>applies to</w:t>
      </w:r>
      <w:r w:rsidR="007F4AE6">
        <w:t xml:space="preserve"> two zones comprising</w:t>
      </w:r>
      <w:r w:rsidR="00EE325B">
        <w:t xml:space="preserve"> </w:t>
      </w:r>
      <w:r w:rsidR="0022321D">
        <w:t xml:space="preserve">the frequency range </w:t>
      </w:r>
      <w:r w:rsidR="0022321D">
        <w:rPr>
          <w:color w:val="000000"/>
          <w:lang w:val="en-AU"/>
        </w:rPr>
        <w:t>70 MHz to 25.25</w:t>
      </w:r>
      <w:r w:rsidR="004421E0">
        <w:rPr>
          <w:color w:val="000000"/>
          <w:lang w:val="en-AU"/>
        </w:rPr>
        <w:t> </w:t>
      </w:r>
      <w:r w:rsidR="0022321D">
        <w:rPr>
          <w:color w:val="000000"/>
          <w:lang w:val="en-AU"/>
        </w:rPr>
        <w:t>GHz</w:t>
      </w:r>
      <w:r w:rsidR="0022321D">
        <w:t xml:space="preserve"> and </w:t>
      </w:r>
      <w:r w:rsidR="00EE325B">
        <w:t xml:space="preserve">geographical areas specified </w:t>
      </w:r>
      <w:r w:rsidR="0022321D">
        <w:t xml:space="preserve">by </w:t>
      </w:r>
      <w:r w:rsidR="00D37DDB">
        <w:t xml:space="preserve">the following </w:t>
      </w:r>
      <w:r w:rsidR="00EE325B">
        <w:t xml:space="preserve">radii </w:t>
      </w:r>
      <w:r w:rsidR="00EE325B">
        <w:rPr>
          <w:color w:val="000000"/>
          <w:lang w:val="en-AU"/>
        </w:rPr>
        <w:t>around the geographical coordinates of Latitude 26.704167 South and Longitude 116.658889 East (GDA94 datum)</w:t>
      </w:r>
      <w:r w:rsidR="00EE325B">
        <w:t>:</w:t>
      </w:r>
    </w:p>
    <w:p w14:paraId="1A8472B0" w14:textId="77777777" w:rsidR="00671617" w:rsidRDefault="00EE325B">
      <w:pPr>
        <w:numPr>
          <w:ilvl w:val="0"/>
          <w:numId w:val="4"/>
        </w:numPr>
        <w:spacing w:before="120"/>
        <w:ind w:left="1080"/>
        <w:rPr>
          <w:color w:val="000000"/>
          <w:lang w:val="en-AU"/>
        </w:rPr>
      </w:pPr>
      <w:r>
        <w:rPr>
          <w:color w:val="000000"/>
          <w:lang w:val="en-AU"/>
        </w:rPr>
        <w:t xml:space="preserve">RQZ (inner) </w:t>
      </w:r>
      <w:r w:rsidR="00D37DDB">
        <w:rPr>
          <w:color w:val="000000"/>
          <w:lang w:val="en-AU"/>
        </w:rPr>
        <w:t xml:space="preserve">– the </w:t>
      </w:r>
      <w:r w:rsidR="00B90581">
        <w:rPr>
          <w:color w:val="000000"/>
          <w:lang w:val="en-AU"/>
        </w:rPr>
        <w:t>zone</w:t>
      </w:r>
      <w:r w:rsidR="00D37DDB">
        <w:rPr>
          <w:color w:val="000000"/>
          <w:lang w:val="en-AU"/>
        </w:rPr>
        <w:t xml:space="preserve"> within a radius of 70 kilometres</w:t>
      </w:r>
      <w:r>
        <w:rPr>
          <w:color w:val="000000"/>
          <w:lang w:val="en-AU"/>
        </w:rPr>
        <w:t>;</w:t>
      </w:r>
    </w:p>
    <w:p w14:paraId="66308308" w14:textId="77777777" w:rsidR="00671617" w:rsidRDefault="00EE325B">
      <w:pPr>
        <w:numPr>
          <w:ilvl w:val="0"/>
          <w:numId w:val="4"/>
        </w:numPr>
        <w:spacing w:before="120"/>
        <w:ind w:left="1080"/>
        <w:rPr>
          <w:color w:val="000000"/>
          <w:lang w:val="en-AU"/>
        </w:rPr>
      </w:pPr>
      <w:r>
        <w:rPr>
          <w:color w:val="000000"/>
          <w:lang w:val="en-AU"/>
        </w:rPr>
        <w:t xml:space="preserve">RQZ (outer) </w:t>
      </w:r>
      <w:r w:rsidR="002E73F7">
        <w:rPr>
          <w:color w:val="000000"/>
          <w:lang w:val="en-AU"/>
        </w:rPr>
        <w:t>–</w:t>
      </w:r>
      <w:r w:rsidR="00D37DDB">
        <w:rPr>
          <w:color w:val="000000"/>
          <w:lang w:val="en-AU"/>
        </w:rPr>
        <w:t xml:space="preserve"> </w:t>
      </w:r>
      <w:r w:rsidR="002E73F7">
        <w:rPr>
          <w:color w:val="000000"/>
          <w:lang w:val="en-AU"/>
        </w:rPr>
        <w:t xml:space="preserve">the </w:t>
      </w:r>
      <w:r w:rsidR="00B90581">
        <w:rPr>
          <w:color w:val="000000"/>
          <w:lang w:val="en-AU"/>
        </w:rPr>
        <w:t>zone comprising an annulus of inner radius 70 kilometres and outer radius 150 kilometres</w:t>
      </w:r>
      <w:r w:rsidR="00D97E04">
        <w:rPr>
          <w:color w:val="000000"/>
          <w:lang w:val="en-AU"/>
        </w:rPr>
        <w:t>.</w:t>
      </w:r>
    </w:p>
    <w:p w14:paraId="6E1FB37A" w14:textId="77777777" w:rsidR="00671617" w:rsidRDefault="00D97E04" w:rsidP="00AF4F8A">
      <w:pPr>
        <w:spacing w:before="120"/>
        <w:ind w:left="709"/>
      </w:pPr>
      <w:r>
        <w:t xml:space="preserve">The RQZ Band Plan provides that a </w:t>
      </w:r>
      <w:proofErr w:type="spellStart"/>
      <w:r>
        <w:t>radiocommunications</w:t>
      </w:r>
      <w:proofErr w:type="spellEnd"/>
      <w:r>
        <w:t xml:space="preserve"> transmitter in the RQZ (inner) zone is taken to be a secondary service in relation to radio astronomy services.</w:t>
      </w:r>
      <w:r w:rsidR="00417CA1">
        <w:t xml:space="preserve"> </w:t>
      </w:r>
    </w:p>
    <w:p w14:paraId="51354CE6" w14:textId="77777777" w:rsidR="00671617" w:rsidRDefault="008D63BD" w:rsidP="00AF4F8A">
      <w:pPr>
        <w:spacing w:before="120"/>
        <w:ind w:left="709"/>
      </w:pPr>
      <w:r>
        <w:t xml:space="preserve">The RQZ Band Plan provides that a potential applicant for a </w:t>
      </w:r>
      <w:proofErr w:type="spellStart"/>
      <w:r>
        <w:t>radiocommunications</w:t>
      </w:r>
      <w:proofErr w:type="spellEnd"/>
      <w:r>
        <w:t xml:space="preserve"> transmitter </w:t>
      </w:r>
      <w:r w:rsidR="00A418C6">
        <w:t xml:space="preserve">in its zones </w:t>
      </w:r>
      <w:r>
        <w:t xml:space="preserve">must consult with the MRO Entity before the licence application is considered by the ACMA.  The purpose of the consultation is to ensure that </w:t>
      </w:r>
      <w:r w:rsidR="006A4FFC">
        <w:t>radio astronomy receivers are protected from harmful interference while maximising the opportunities for other spectrum users to use the spectrum</w:t>
      </w:r>
      <w:r>
        <w:t>.</w:t>
      </w:r>
    </w:p>
    <w:p w14:paraId="04D3FDE2" w14:textId="77777777" w:rsidR="00810773" w:rsidRPr="00EB5EBB" w:rsidRDefault="008C32C2" w:rsidP="00D25C7E">
      <w:pPr>
        <w:numPr>
          <w:ilvl w:val="0"/>
          <w:numId w:val="6"/>
        </w:numPr>
      </w:pPr>
      <w:r>
        <w:t xml:space="preserve">Zones around the </w:t>
      </w:r>
      <w:r w:rsidR="005D3323">
        <w:t xml:space="preserve">ARQZWA </w:t>
      </w:r>
      <w:r>
        <w:t xml:space="preserve">centre described by the radii listed in Table 1 of the Annex </w:t>
      </w:r>
      <w:r w:rsidR="00A418C6">
        <w:t>to this RALI.</w:t>
      </w:r>
    </w:p>
    <w:p w14:paraId="53BF70E9" w14:textId="77777777" w:rsidR="00FD3347" w:rsidRPr="00AF4F8A" w:rsidRDefault="006F1AD2" w:rsidP="00AF4F8A">
      <w:pPr>
        <w:pStyle w:val="Heading3"/>
      </w:pPr>
      <w:bookmarkStart w:id="55" w:name="_Toc177372092"/>
      <w:bookmarkStart w:id="56" w:name="_Toc350438527"/>
      <w:r w:rsidRPr="00AF4F8A">
        <w:t>4</w:t>
      </w:r>
      <w:r w:rsidR="008E2CA2" w:rsidRPr="00AF4F8A">
        <w:t xml:space="preserve">.0  </w:t>
      </w:r>
      <w:r w:rsidR="00135B18" w:rsidRPr="00AF4F8A">
        <w:t>Procedure</w:t>
      </w:r>
      <w:r w:rsidR="00020C9E" w:rsidRPr="00AF4F8A">
        <w:t>s</w:t>
      </w:r>
      <w:bookmarkEnd w:id="55"/>
      <w:bookmarkEnd w:id="56"/>
    </w:p>
    <w:p w14:paraId="725B821E" w14:textId="220FA4F5" w:rsidR="005F6E6E" w:rsidRDefault="000C18BD" w:rsidP="000C18BD">
      <w:bookmarkStart w:id="57" w:name="_Toc177372093"/>
      <w:r w:rsidRPr="000C18BD">
        <w:t xml:space="preserve">The following </w:t>
      </w:r>
      <w:r>
        <w:t xml:space="preserve">outlines procedures and criteria for </w:t>
      </w:r>
      <w:r w:rsidR="00105DF6">
        <w:t xml:space="preserve">the </w:t>
      </w:r>
      <w:r>
        <w:t xml:space="preserve">coordination of prospective apparatus licensed transmitters with the </w:t>
      </w:r>
      <w:proofErr w:type="spellStart"/>
      <w:r w:rsidR="004A14BD">
        <w:t>radioastronomy</w:t>
      </w:r>
      <w:proofErr w:type="spellEnd"/>
      <w:r w:rsidR="004A14BD">
        <w:t xml:space="preserve"> service </w:t>
      </w:r>
      <w:r w:rsidR="00260077">
        <w:t xml:space="preserve">in the </w:t>
      </w:r>
      <w:r w:rsidR="00452917">
        <w:t>ARQZWA</w:t>
      </w:r>
      <w:r>
        <w:t xml:space="preserve">. It is based on providing interference protection </w:t>
      </w:r>
      <w:r w:rsidR="004A14BD">
        <w:t xml:space="preserve">to </w:t>
      </w:r>
      <w:r>
        <w:t xml:space="preserve">the </w:t>
      </w:r>
      <w:r w:rsidR="00260077">
        <w:t>radio astronomy service</w:t>
      </w:r>
      <w:r>
        <w:t xml:space="preserve"> </w:t>
      </w:r>
      <w:r w:rsidR="00105DF6">
        <w:t xml:space="preserve">while recognising that parties and the MRO </w:t>
      </w:r>
      <w:r w:rsidR="005F22E1">
        <w:t xml:space="preserve">entity </w:t>
      </w:r>
      <w:r w:rsidR="00105DF6">
        <w:t>may establish co-existence agreements in relation to the operation of transmitters.</w:t>
      </w:r>
    </w:p>
    <w:p w14:paraId="3B9BB32F" w14:textId="77777777" w:rsidR="005F6E6E" w:rsidRDefault="005F6E6E" w:rsidP="000C18BD">
      <w:r>
        <w:t>Such agreements are relevant considerations for the ACMA when deciding whether to issue an apparatus licence.</w:t>
      </w:r>
    </w:p>
    <w:p w14:paraId="5F35D655" w14:textId="77777777" w:rsidR="000C18BD" w:rsidRDefault="005D3323" w:rsidP="000C18BD">
      <w:r>
        <w:t>T</w:t>
      </w:r>
      <w:r w:rsidR="005F6E6E" w:rsidRPr="005D3323">
        <w:t xml:space="preserve">he </w:t>
      </w:r>
      <w:r w:rsidR="00052104" w:rsidRPr="005D3323">
        <w:t>ACMA is aware of the existence</w:t>
      </w:r>
      <w:r w:rsidR="005F6E6E">
        <w:t xml:space="preserve"> of </w:t>
      </w:r>
      <w:r>
        <w:t xml:space="preserve">various policy documents </w:t>
      </w:r>
      <w:r w:rsidR="0080507E" w:rsidRPr="0080507E">
        <w:t>agreed</w:t>
      </w:r>
      <w:r>
        <w:rPr>
          <w:i/>
        </w:rPr>
        <w:t xml:space="preserve"> </w:t>
      </w:r>
      <w:r w:rsidR="009D5CA3">
        <w:t xml:space="preserve">between the Commonwealth of Australia and the State of Western Australia </w:t>
      </w:r>
      <w:r>
        <w:t>regarding Radio Quiet Zone consultation procedures between industry and the MRO entity</w:t>
      </w:r>
      <w:r w:rsidR="00767F90">
        <w:t>.</w:t>
      </w:r>
      <w:r>
        <w:t xml:space="preserve">  These are also relevant considerations.</w:t>
      </w:r>
    </w:p>
    <w:p w14:paraId="2F6C66ED" w14:textId="77777777" w:rsidR="002B5171" w:rsidRDefault="008F3B58" w:rsidP="002B5171">
      <w:pPr>
        <w:tabs>
          <w:tab w:val="left" w:pos="8505"/>
          <w:tab w:val="right" w:pos="9356"/>
        </w:tabs>
        <w:spacing w:before="120"/>
      </w:pPr>
      <w:r w:rsidRPr="002E0CD4">
        <w:t>In cases where</w:t>
      </w:r>
      <w:r w:rsidR="002B5171" w:rsidRPr="002E0CD4">
        <w:t xml:space="preserve"> </w:t>
      </w:r>
      <w:r w:rsidR="001E6639" w:rsidRPr="002E0CD4">
        <w:t xml:space="preserve">the interference from the proposed transmitter would exceed the threshold levels specified in this RALI </w:t>
      </w:r>
      <w:r w:rsidR="002B5171" w:rsidRPr="002E0CD4">
        <w:t xml:space="preserve">the prospective licensee </w:t>
      </w:r>
      <w:r w:rsidR="00052104" w:rsidRPr="002E0CD4">
        <w:t>must undertake interference mitigation measures</w:t>
      </w:r>
      <w:r w:rsidR="001E6639" w:rsidRPr="002E0CD4">
        <w:t xml:space="preserve"> and </w:t>
      </w:r>
      <w:r w:rsidR="002B5171" w:rsidRPr="002E0CD4">
        <w:t>consult with the MRO entity</w:t>
      </w:r>
      <w:r w:rsidR="001E6639" w:rsidRPr="002E0CD4">
        <w:t xml:space="preserve"> for the purpose of reaching agreement on resolution of</w:t>
      </w:r>
      <w:r w:rsidR="001E6639">
        <w:t xml:space="preserve"> interference protection.</w:t>
      </w:r>
      <w:r w:rsidR="002B5171">
        <w:t xml:space="preserve"> </w:t>
      </w:r>
      <w:r w:rsidR="001E6639">
        <w:t xml:space="preserve">Such </w:t>
      </w:r>
      <w:r w:rsidR="002B5171">
        <w:t>agreement should be achieved within a timeframe agreed between the prospective licensee and the MRO entity.  Documents confirming and describing any agreement</w:t>
      </w:r>
      <w:r w:rsidR="005D2C3F">
        <w:rPr>
          <w:lang w:val="en-AU"/>
        </w:rPr>
        <w:t>, including the impact on radioastronomy of any potential interference,</w:t>
      </w:r>
      <w:r w:rsidR="005D2C3F" w:rsidRPr="00CF1C78">
        <w:rPr>
          <w:lang w:val="en-AU"/>
        </w:rPr>
        <w:t xml:space="preserve"> </w:t>
      </w:r>
      <w:r w:rsidR="002B5171">
        <w:t>shall accompany frequency assignment application</w:t>
      </w:r>
      <w:r w:rsidR="00BB3C59">
        <w:t>s</w:t>
      </w:r>
      <w:r w:rsidR="002B5171">
        <w:t>.</w:t>
      </w:r>
    </w:p>
    <w:p w14:paraId="6CB56916" w14:textId="77777777" w:rsidR="002B5171" w:rsidRDefault="002B5171" w:rsidP="002B5171">
      <w:pPr>
        <w:tabs>
          <w:tab w:val="left" w:pos="8505"/>
          <w:tab w:val="right" w:pos="9356"/>
        </w:tabs>
        <w:spacing w:before="120"/>
      </w:pPr>
      <w:r>
        <w:rPr>
          <w:color w:val="000000"/>
        </w:rPr>
        <w:t>If no agreement can be made then</w:t>
      </w:r>
      <w:r w:rsidRPr="005746A7">
        <w:rPr>
          <w:color w:val="000000"/>
        </w:rPr>
        <w:t xml:space="preserve"> </w:t>
      </w:r>
      <w:r>
        <w:rPr>
          <w:color w:val="000000"/>
        </w:rPr>
        <w:t xml:space="preserve">the ACMA will, in deciding whether to issue an apparatus licence, have regard to all matters that it considers relevant </w:t>
      </w:r>
      <w:r w:rsidR="00DB4863">
        <w:rPr>
          <w:color w:val="000000"/>
        </w:rPr>
        <w:t xml:space="preserve">and </w:t>
      </w:r>
      <w:r>
        <w:rPr>
          <w:color w:val="000000"/>
        </w:rPr>
        <w:t>taking into account the requirements of all stakeholders.  D</w:t>
      </w:r>
      <w:r>
        <w:t xml:space="preserve">ocuments describing the reasons why agreement </w:t>
      </w:r>
      <w:r w:rsidR="005D3323">
        <w:t xml:space="preserve">was </w:t>
      </w:r>
      <w:r>
        <w:t>not reached must be forwarded to the Manager, Spectrum Engineering Section, ACMA</w:t>
      </w:r>
      <w:r>
        <w:rPr>
          <w:rStyle w:val="FootnoteReference"/>
        </w:rPr>
        <w:footnoteReference w:id="3"/>
      </w:r>
      <w:r>
        <w:t>.</w:t>
      </w:r>
    </w:p>
    <w:p w14:paraId="068D6CC7" w14:textId="77777777" w:rsidR="002B5171" w:rsidRDefault="002B5171" w:rsidP="002B5171">
      <w:pPr>
        <w:tabs>
          <w:tab w:val="left" w:pos="8505"/>
          <w:tab w:val="right" w:pos="9356"/>
        </w:tabs>
        <w:spacing w:before="120"/>
      </w:pPr>
      <w:r>
        <w:t>Contact details for the MRO entity are:</w:t>
      </w:r>
    </w:p>
    <w:p w14:paraId="7A92C476" w14:textId="77777777" w:rsidR="002B5171" w:rsidRDefault="002B5171" w:rsidP="002B5171">
      <w:pPr>
        <w:tabs>
          <w:tab w:val="left" w:pos="8505"/>
          <w:tab w:val="right" w:pos="9356"/>
        </w:tabs>
        <w:spacing w:before="120"/>
      </w:pPr>
    </w:p>
    <w:p w14:paraId="6B87EF95" w14:textId="77777777" w:rsidR="002B5171" w:rsidRDefault="002B5171" w:rsidP="002B5171">
      <w:pPr>
        <w:jc w:val="center"/>
      </w:pPr>
      <w:r w:rsidRPr="003F2D42">
        <w:t xml:space="preserve">Email: </w:t>
      </w:r>
      <w:hyperlink r:id="rId19" w:history="1">
        <w:r w:rsidRPr="003F2D42">
          <w:rPr>
            <w:rStyle w:val="Hyperlink"/>
            <w:b/>
          </w:rPr>
          <w:t>atnf-spectrum@csiro.au</w:t>
        </w:r>
      </w:hyperlink>
    </w:p>
    <w:p w14:paraId="58FF05C3" w14:textId="77777777" w:rsidR="00AF4F8A" w:rsidRPr="003F2D42" w:rsidRDefault="00AF4F8A" w:rsidP="002B5171">
      <w:pPr>
        <w:jc w:val="center"/>
        <w:rPr>
          <w:b/>
        </w:rPr>
      </w:pPr>
    </w:p>
    <w:p w14:paraId="4A8CF390" w14:textId="77777777" w:rsidR="00C0782D" w:rsidRDefault="00C0782D" w:rsidP="00C0782D">
      <w:pPr>
        <w:pStyle w:val="Heading4"/>
      </w:pPr>
      <w:bookmarkStart w:id="58" w:name="_Toc350438528"/>
      <w:r>
        <w:t>4.</w:t>
      </w:r>
      <w:r w:rsidR="00767E2B">
        <w:t>1</w:t>
      </w:r>
      <w:r>
        <w:t xml:space="preserve"> Interference protection criteria</w:t>
      </w:r>
      <w:bookmarkEnd w:id="58"/>
    </w:p>
    <w:p w14:paraId="1C68C078" w14:textId="77777777" w:rsidR="00524A3C" w:rsidRDefault="0080507E" w:rsidP="00C0782D">
      <w:r w:rsidRPr="0080507E">
        <w:t xml:space="preserve">The first three columns of </w:t>
      </w:r>
      <w:r w:rsidR="00B44DC6">
        <w:t>Table 1 of the</w:t>
      </w:r>
      <w:r w:rsidR="00452917">
        <w:t xml:space="preserve"> </w:t>
      </w:r>
      <w:r w:rsidR="00BD00F9">
        <w:t>Annex</w:t>
      </w:r>
      <w:r w:rsidR="00452917">
        <w:t xml:space="preserve"> </w:t>
      </w:r>
      <w:r w:rsidR="002928CC">
        <w:t xml:space="preserve">describe </w:t>
      </w:r>
      <w:r w:rsidR="004A14BD">
        <w:t>thresholds and distances</w:t>
      </w:r>
      <w:r w:rsidR="00F413E6">
        <w:t xml:space="preserve"> that would </w:t>
      </w:r>
      <w:r w:rsidR="00524A3C">
        <w:t>provide</w:t>
      </w:r>
      <w:r w:rsidR="00F413E6">
        <w:t xml:space="preserve"> interference protection </w:t>
      </w:r>
      <w:r w:rsidR="00767E2B">
        <w:t xml:space="preserve">for the </w:t>
      </w:r>
      <w:r w:rsidR="005D2C3F">
        <w:t>centre</w:t>
      </w:r>
      <w:r w:rsidR="00452917">
        <w:t xml:space="preserve"> of the </w:t>
      </w:r>
      <w:r w:rsidR="005D2C3F">
        <w:t xml:space="preserve">ARQZWA </w:t>
      </w:r>
      <w:r w:rsidR="006E72BA">
        <w:t xml:space="preserve">for typically deployed </w:t>
      </w:r>
      <w:proofErr w:type="spellStart"/>
      <w:r w:rsidR="006E72BA">
        <w:t>radiocommunications</w:t>
      </w:r>
      <w:proofErr w:type="spellEnd"/>
      <w:r w:rsidR="006E72BA">
        <w:t xml:space="preserve"> transmitters</w:t>
      </w:r>
      <w:r w:rsidR="005F22E1">
        <w:t>.</w:t>
      </w:r>
    </w:p>
    <w:p w14:paraId="79AC774F" w14:textId="77777777" w:rsidR="00C0782D" w:rsidRDefault="005F22E1" w:rsidP="00C0782D">
      <w:r>
        <w:t>The</w:t>
      </w:r>
      <w:r w:rsidR="002928CC">
        <w:t>se</w:t>
      </w:r>
      <w:r w:rsidR="004A14BD">
        <w:t xml:space="preserve"> thresholds</w:t>
      </w:r>
      <w:r>
        <w:t xml:space="preserve"> are </w:t>
      </w:r>
      <w:r w:rsidR="00F413E6">
        <w:t>consistent with internationally agreed requirements for radio astronomy services</w:t>
      </w:r>
      <w:r w:rsidR="000C18BD">
        <w:t xml:space="preserve"> </w:t>
      </w:r>
      <w:r w:rsidR="001D5B3C">
        <w:t xml:space="preserve">and derived from criteria specified </w:t>
      </w:r>
      <w:r w:rsidR="00A855D8">
        <w:t>by</w:t>
      </w:r>
      <w:r w:rsidR="001D5B3C">
        <w:t xml:space="preserve"> the International Telecommunication Union (ITU)</w:t>
      </w:r>
      <w:r w:rsidR="00F413E6">
        <w:t xml:space="preserve">. In particular, received levels </w:t>
      </w:r>
      <w:r w:rsidR="00524A3C">
        <w:t xml:space="preserve">at or below the </w:t>
      </w:r>
      <w:r w:rsidR="0007107E">
        <w:t>T</w:t>
      </w:r>
      <w:r w:rsidR="00F413E6">
        <w:t xml:space="preserve">hreshold levels </w:t>
      </w:r>
      <w:r w:rsidR="002928CC">
        <w:t>in the third column of</w:t>
      </w:r>
      <w:r w:rsidR="00F413E6">
        <w:t xml:space="preserve"> Table 1 would </w:t>
      </w:r>
      <w:r w:rsidR="00052104" w:rsidRPr="005D2C3F">
        <w:t>provide adequate protection</w:t>
      </w:r>
      <w:r w:rsidR="00F413E6" w:rsidRPr="005D2C3F">
        <w:t xml:space="preserve"> for </w:t>
      </w:r>
      <w:r w:rsidR="00260077" w:rsidRPr="005D2C3F">
        <w:t>radio astronomy receivers</w:t>
      </w:r>
      <w:r w:rsidR="00F413E6" w:rsidRPr="005D2C3F">
        <w:t xml:space="preserve"> </w:t>
      </w:r>
      <w:r w:rsidR="005D2C3F" w:rsidRPr="005D2C3F">
        <w:t xml:space="preserve">at the ARQZWA centre </w:t>
      </w:r>
      <w:r w:rsidR="00F413E6" w:rsidRPr="005D2C3F">
        <w:t>for the</w:t>
      </w:r>
      <w:r w:rsidR="00F413E6">
        <w:t xml:space="preserve"> </w:t>
      </w:r>
      <w:r w:rsidR="00524A3C">
        <w:t xml:space="preserve">corresponding </w:t>
      </w:r>
      <w:r w:rsidR="00F413E6">
        <w:t>frequency range.</w:t>
      </w:r>
    </w:p>
    <w:p w14:paraId="686A08FC" w14:textId="2D4983FC" w:rsidR="00F413E6" w:rsidRDefault="00F413E6" w:rsidP="00C0782D">
      <w:r>
        <w:t xml:space="preserve">The </w:t>
      </w:r>
      <w:r w:rsidR="0009367B">
        <w:t xml:space="preserve">coordination radii </w:t>
      </w:r>
      <w:r>
        <w:t xml:space="preserve">specified </w:t>
      </w:r>
      <w:r w:rsidR="00524A3C">
        <w:t>in Table 1</w:t>
      </w:r>
      <w:r>
        <w:t xml:space="preserve"> are </w:t>
      </w:r>
      <w:r w:rsidR="00524A3C">
        <w:t xml:space="preserve">those </w:t>
      </w:r>
      <w:r w:rsidR="00A310D4">
        <w:t xml:space="preserve">distances </w:t>
      </w:r>
      <w:r w:rsidR="00E84293">
        <w:t>beyond which</w:t>
      </w:r>
      <w:r>
        <w:t xml:space="preserve"> the ACMA estimates, for typically deployed </w:t>
      </w:r>
      <w:proofErr w:type="spellStart"/>
      <w:r>
        <w:t>radiocommunications</w:t>
      </w:r>
      <w:proofErr w:type="spellEnd"/>
      <w:r>
        <w:t xml:space="preserve"> transmitters </w:t>
      </w:r>
      <w:r w:rsidR="00E84293">
        <w:t>(of</w:t>
      </w:r>
      <w:r>
        <w:t xml:space="preserve"> services to which the bands are allocated in the </w:t>
      </w:r>
      <w:r w:rsidRPr="00F413E6">
        <w:rPr>
          <w:i/>
        </w:rPr>
        <w:t>Australian Radiofrequency Spectrum Plan</w:t>
      </w:r>
      <w:r w:rsidR="00E84293">
        <w:rPr>
          <w:i/>
        </w:rPr>
        <w:t>)</w:t>
      </w:r>
      <w:r>
        <w:t xml:space="preserve">, </w:t>
      </w:r>
      <w:r w:rsidR="00E37F21">
        <w:t>interference levels would satisfy the protection criteria specified</w:t>
      </w:r>
      <w:r w:rsidR="00260077">
        <w:t xml:space="preserve"> in </w:t>
      </w:r>
      <w:r w:rsidR="002928CC">
        <w:t xml:space="preserve">the third column of </w:t>
      </w:r>
      <w:r w:rsidR="00260077">
        <w:t>Table 1</w:t>
      </w:r>
      <w:r w:rsidR="00E37F21" w:rsidRPr="00AE4568">
        <w:t>.</w:t>
      </w:r>
      <w:r w:rsidRPr="00AE4568">
        <w:t xml:space="preserve"> </w:t>
      </w:r>
      <w:r w:rsidR="00A310D4" w:rsidRPr="00AE4568">
        <w:t xml:space="preserve">For frequency bands above </w:t>
      </w:r>
      <w:r w:rsidR="00746E4D">
        <w:t>6</w:t>
      </w:r>
      <w:r w:rsidR="00746E4D" w:rsidRPr="00F827BC">
        <w:t>94</w:t>
      </w:r>
      <w:r w:rsidR="006D66CA" w:rsidRPr="00AE4568">
        <w:t xml:space="preserve"> </w:t>
      </w:r>
      <w:r w:rsidR="00A310D4" w:rsidRPr="00AE4568">
        <w:t>MHz, the</w:t>
      </w:r>
      <w:r w:rsidR="00D025DD">
        <w:t xml:space="preserve">re </w:t>
      </w:r>
      <w:r w:rsidR="00A310D4" w:rsidRPr="00AE4568">
        <w:t>are</w:t>
      </w:r>
      <w:r w:rsidR="00D025DD">
        <w:t xml:space="preserve"> Coordination Radii</w:t>
      </w:r>
      <w:r w:rsidR="00A310D4" w:rsidRPr="00AE4568">
        <w:t xml:space="preserve"> less than </w:t>
      </w:r>
      <w:r w:rsidR="00375B9D">
        <w:t>the 150 kilometre limit</w:t>
      </w:r>
      <w:r w:rsidR="00A310D4" w:rsidRPr="00AE4568">
        <w:t xml:space="preserve"> of the RQZ </w:t>
      </w:r>
      <w:r w:rsidR="00375B9D">
        <w:t>Band Plan</w:t>
      </w:r>
      <w:r w:rsidR="00A310D4" w:rsidRPr="00AE4568">
        <w:t>.</w:t>
      </w:r>
      <w:r w:rsidR="00375B9D">
        <w:t xml:space="preserve"> </w:t>
      </w:r>
      <w:r w:rsidR="00A469B6">
        <w:t xml:space="preserve">For these </w:t>
      </w:r>
      <w:r w:rsidR="00D025DD">
        <w:t>cases</w:t>
      </w:r>
      <w:r w:rsidR="00A469B6">
        <w:t>, w</w:t>
      </w:r>
      <w:r w:rsidR="00375B9D">
        <w:t xml:space="preserve">hile there would </w:t>
      </w:r>
      <w:r w:rsidR="00052104" w:rsidRPr="005D2C3F">
        <w:t>otherwise be a requirement to consult with the MRO entity</w:t>
      </w:r>
      <w:r w:rsidR="00A469B6" w:rsidRPr="005D2C3F">
        <w:t>,</w:t>
      </w:r>
      <w:r w:rsidR="00375B9D" w:rsidRPr="005D2C3F">
        <w:t xml:space="preserve"> </w:t>
      </w:r>
      <w:r w:rsidR="00167A86" w:rsidRPr="005D2C3F">
        <w:t xml:space="preserve">the ACMA advises that, </w:t>
      </w:r>
      <w:r w:rsidR="00DE6C63" w:rsidRPr="005D2C3F">
        <w:t xml:space="preserve">in consideration of 8(4) of the RQZ Band Plan, </w:t>
      </w:r>
      <w:r w:rsidR="00052104" w:rsidRPr="005D2C3F">
        <w:t>consultation with the MRO entity is not required</w:t>
      </w:r>
      <w:r w:rsidR="00DE6C63" w:rsidRPr="005D2C3F">
        <w:t xml:space="preserve"> where proposed locations are at distances greater than </w:t>
      </w:r>
      <w:r w:rsidR="00D025DD">
        <w:t>the Coordination Radii</w:t>
      </w:r>
      <w:r w:rsidR="00D025DD" w:rsidRPr="005D2C3F">
        <w:t xml:space="preserve"> </w:t>
      </w:r>
      <w:r w:rsidR="00DE6C63" w:rsidRPr="005D2C3F">
        <w:t>listed in Table 1.</w:t>
      </w:r>
      <w:r w:rsidR="00DE6C63">
        <w:t xml:space="preserve"> </w:t>
      </w:r>
      <w:r w:rsidR="00167A86">
        <w:t xml:space="preserve"> </w:t>
      </w:r>
      <w:r w:rsidR="00A310D4">
        <w:t xml:space="preserve"> </w:t>
      </w:r>
      <w:r>
        <w:t xml:space="preserve"> </w:t>
      </w:r>
    </w:p>
    <w:p w14:paraId="46E78BFB" w14:textId="77777777" w:rsidR="00C0782D" w:rsidRDefault="00B44DC6" w:rsidP="00C0782D">
      <w:r>
        <w:t xml:space="preserve">The fourth column of Table 1 of the Annex </w:t>
      </w:r>
      <w:r w:rsidR="0080507E" w:rsidRPr="0080507E">
        <w:t>defines</w:t>
      </w:r>
      <w:r>
        <w:t xml:space="preserve"> thresholds that would</w:t>
      </w:r>
      <w:r w:rsidR="0080507E" w:rsidRPr="0080507E">
        <w:t>, together with the protection provided to the central point,</w:t>
      </w:r>
      <w:r>
        <w:t xml:space="preserve"> provide interference protection for array stations outside the centre of the ARQZWA but within 50 km of the centre.  The coordination radii of Table 1 apply </w:t>
      </w:r>
      <w:r w:rsidR="00E27B22">
        <w:t xml:space="preserve">also </w:t>
      </w:r>
      <w:r>
        <w:t xml:space="preserve">to these thresholds; that is, stations within the </w:t>
      </w:r>
      <w:r w:rsidR="00E27B22">
        <w:t>radii</w:t>
      </w:r>
      <w:r>
        <w:t xml:space="preserve"> must be assessed against the requirements of the fourth column as well as the third column.</w:t>
      </w:r>
      <w:r w:rsidR="000C27A0">
        <w:t xml:space="preserve"> </w:t>
      </w:r>
    </w:p>
    <w:p w14:paraId="3BF1ED42" w14:textId="77777777" w:rsidR="0097169A" w:rsidRDefault="009B487E" w:rsidP="00EA2E9A">
      <w:pPr>
        <w:pStyle w:val="Heading4"/>
      </w:pPr>
      <w:bookmarkStart w:id="59" w:name="_Toc350438529"/>
      <w:r>
        <w:t>4.</w:t>
      </w:r>
      <w:r w:rsidR="00767E2B">
        <w:t>2</w:t>
      </w:r>
      <w:r>
        <w:t xml:space="preserve">  </w:t>
      </w:r>
      <w:bookmarkEnd w:id="57"/>
      <w:r w:rsidR="00EA0306">
        <w:t>Procedures W</w:t>
      </w:r>
      <w:r w:rsidR="00B941EE">
        <w:t xml:space="preserve">ithin the </w:t>
      </w:r>
      <w:r w:rsidR="0066159F">
        <w:t>ARQZWA</w:t>
      </w:r>
      <w:bookmarkEnd w:id="59"/>
    </w:p>
    <w:p w14:paraId="4B27C4FB" w14:textId="11F94E01" w:rsidR="004330A4" w:rsidRDefault="0066159F" w:rsidP="004330A4">
      <w:pPr>
        <w:rPr>
          <w:lang w:val="en-AU"/>
        </w:rPr>
      </w:pPr>
      <w:r>
        <w:rPr>
          <w:lang w:val="en-AU"/>
        </w:rPr>
        <w:t>T</w:t>
      </w:r>
      <w:r w:rsidR="007307CE">
        <w:rPr>
          <w:lang w:val="en-AU"/>
        </w:rPr>
        <w:t xml:space="preserve">he RQZ Band Plan </w:t>
      </w:r>
      <w:r>
        <w:rPr>
          <w:lang w:val="en-AU"/>
        </w:rPr>
        <w:t xml:space="preserve">requires that applicants </w:t>
      </w:r>
      <w:r w:rsidR="00FA2208">
        <w:rPr>
          <w:lang w:val="en-AU"/>
        </w:rPr>
        <w:t xml:space="preserve">proposing assignments within the RQZ </w:t>
      </w:r>
      <w:r>
        <w:rPr>
          <w:lang w:val="en-AU"/>
        </w:rPr>
        <w:t>consult with the MRO entity and</w:t>
      </w:r>
      <w:r w:rsidR="00FA2208">
        <w:rPr>
          <w:lang w:val="en-AU"/>
        </w:rPr>
        <w:t xml:space="preserve"> identifies </w:t>
      </w:r>
      <w:r>
        <w:rPr>
          <w:lang w:val="en-AU"/>
        </w:rPr>
        <w:t>that</w:t>
      </w:r>
      <w:r w:rsidR="00CA1921" w:rsidRPr="00CA1921">
        <w:rPr>
          <w:lang w:val="en-AU"/>
        </w:rPr>
        <w:t xml:space="preserve"> </w:t>
      </w:r>
      <w:proofErr w:type="spellStart"/>
      <w:r w:rsidR="00CA1921" w:rsidRPr="00CA1921">
        <w:rPr>
          <w:lang w:val="en-AU"/>
        </w:rPr>
        <w:t>radiocommunications</w:t>
      </w:r>
      <w:proofErr w:type="spellEnd"/>
      <w:r w:rsidR="00CA1921" w:rsidRPr="00CA1921">
        <w:rPr>
          <w:lang w:val="en-AU"/>
        </w:rPr>
        <w:t xml:space="preserve"> services located within the RQZ (inner) zone are taken to be secondary services in relation to radio astronomy services</w:t>
      </w:r>
      <w:r w:rsidR="00023CE4" w:rsidRPr="00023CE4">
        <w:rPr>
          <w:lang w:val="en-AU"/>
        </w:rPr>
        <w:t>.</w:t>
      </w:r>
      <w:r w:rsidR="004330A4">
        <w:rPr>
          <w:lang w:val="en-AU"/>
        </w:rPr>
        <w:t xml:space="preserve"> </w:t>
      </w:r>
    </w:p>
    <w:p w14:paraId="4FBCC060" w14:textId="78EDCE85" w:rsidR="007307CE" w:rsidRDefault="000250D8" w:rsidP="00CF1C78">
      <w:pPr>
        <w:rPr>
          <w:lang w:val="en-AU"/>
        </w:rPr>
      </w:pPr>
      <w:r>
        <w:rPr>
          <w:lang w:val="en-AU"/>
        </w:rPr>
        <w:t xml:space="preserve">In addition, within the RQZ (inner) zone, practical distance separations of potential </w:t>
      </w:r>
      <w:proofErr w:type="spellStart"/>
      <w:r>
        <w:rPr>
          <w:lang w:val="en-AU"/>
        </w:rPr>
        <w:t>radiocommunications</w:t>
      </w:r>
      <w:proofErr w:type="spellEnd"/>
      <w:r>
        <w:rPr>
          <w:lang w:val="en-AU"/>
        </w:rPr>
        <w:t xml:space="preserve"> from both the </w:t>
      </w:r>
      <w:r w:rsidR="005D2C3F">
        <w:rPr>
          <w:lang w:val="en-AU"/>
        </w:rPr>
        <w:t xml:space="preserve">ARQZWA </w:t>
      </w:r>
      <w:r>
        <w:rPr>
          <w:lang w:val="en-AU"/>
        </w:rPr>
        <w:t xml:space="preserve">centre and associated array stations </w:t>
      </w:r>
      <w:r w:rsidR="00831441">
        <w:rPr>
          <w:lang w:val="en-AU"/>
        </w:rPr>
        <w:t xml:space="preserve">are </w:t>
      </w:r>
      <w:r>
        <w:rPr>
          <w:lang w:val="en-AU"/>
        </w:rPr>
        <w:t xml:space="preserve">such that unacceptable levels of interference would be caused to radio astronomy. This means that it is unlikely that transmitters could be licensed in this zone. </w:t>
      </w:r>
      <w:r w:rsidR="007307CE">
        <w:rPr>
          <w:lang w:val="en-AU"/>
        </w:rPr>
        <w:t xml:space="preserve">Therefore, </w:t>
      </w:r>
      <w:r w:rsidR="00A8215E">
        <w:rPr>
          <w:lang w:val="en-AU"/>
        </w:rPr>
        <w:t xml:space="preserve">while similar interference criteria would apply regardless of the location of </w:t>
      </w:r>
      <w:r w:rsidR="00FA2208">
        <w:rPr>
          <w:lang w:val="en-AU"/>
        </w:rPr>
        <w:t>the proposed assignment</w:t>
      </w:r>
      <w:r w:rsidR="00A8215E">
        <w:rPr>
          <w:lang w:val="en-AU"/>
        </w:rPr>
        <w:t xml:space="preserve">, </w:t>
      </w:r>
      <w:r w:rsidR="007307CE">
        <w:rPr>
          <w:lang w:val="en-AU"/>
        </w:rPr>
        <w:t xml:space="preserve">considering </w:t>
      </w:r>
      <w:r w:rsidR="007307CE" w:rsidRPr="002E0CD4">
        <w:rPr>
          <w:lang w:val="en-AU"/>
        </w:rPr>
        <w:t xml:space="preserve">that it is unlikely that </w:t>
      </w:r>
      <w:proofErr w:type="spellStart"/>
      <w:r w:rsidR="007307CE" w:rsidRPr="002E0CD4">
        <w:rPr>
          <w:lang w:val="en-AU"/>
        </w:rPr>
        <w:t>radiocommunications</w:t>
      </w:r>
      <w:proofErr w:type="spellEnd"/>
      <w:r w:rsidR="00FA2208">
        <w:rPr>
          <w:lang w:val="en-AU"/>
        </w:rPr>
        <w:t xml:space="preserve"> assignments</w:t>
      </w:r>
      <w:r w:rsidR="007307CE" w:rsidRPr="002E0CD4">
        <w:rPr>
          <w:lang w:val="en-AU"/>
        </w:rPr>
        <w:t xml:space="preserve"> </w:t>
      </w:r>
      <w:r w:rsidR="00A8215E" w:rsidRPr="002E0CD4">
        <w:rPr>
          <w:lang w:val="en-AU"/>
        </w:rPr>
        <w:t xml:space="preserve">in the </w:t>
      </w:r>
      <w:r w:rsidR="000419C6" w:rsidRPr="002E0CD4">
        <w:rPr>
          <w:lang w:val="en-AU"/>
        </w:rPr>
        <w:t>RQZ (</w:t>
      </w:r>
      <w:r w:rsidR="00A8215E" w:rsidRPr="002E0CD4">
        <w:rPr>
          <w:lang w:val="en-AU"/>
        </w:rPr>
        <w:t>inner</w:t>
      </w:r>
      <w:r w:rsidR="000419C6" w:rsidRPr="002E0CD4">
        <w:rPr>
          <w:lang w:val="en-AU"/>
        </w:rPr>
        <w:t>)</w:t>
      </w:r>
      <w:r w:rsidR="00A8215E" w:rsidRPr="002E0CD4">
        <w:rPr>
          <w:lang w:val="en-AU"/>
        </w:rPr>
        <w:t xml:space="preserve"> zone </w:t>
      </w:r>
      <w:r w:rsidR="007307CE" w:rsidRPr="002E0CD4">
        <w:rPr>
          <w:lang w:val="en-AU"/>
        </w:rPr>
        <w:t xml:space="preserve">would be able to be approved, the </w:t>
      </w:r>
      <w:r w:rsidR="00052104" w:rsidRPr="002E0CD4">
        <w:rPr>
          <w:lang w:val="en-AU"/>
        </w:rPr>
        <w:t xml:space="preserve">following procedures apply only to prospective </w:t>
      </w:r>
      <w:proofErr w:type="spellStart"/>
      <w:r w:rsidR="00052104" w:rsidRPr="002E0CD4">
        <w:rPr>
          <w:lang w:val="en-AU"/>
        </w:rPr>
        <w:t>radiocommunications</w:t>
      </w:r>
      <w:proofErr w:type="spellEnd"/>
      <w:r w:rsidR="00052104" w:rsidRPr="002E0CD4">
        <w:rPr>
          <w:lang w:val="en-AU"/>
        </w:rPr>
        <w:t xml:space="preserve"> located outside</w:t>
      </w:r>
      <w:r w:rsidR="007307CE" w:rsidRPr="002E0CD4">
        <w:rPr>
          <w:lang w:val="en-AU"/>
        </w:rPr>
        <w:t xml:space="preserve"> of the RQZ </w:t>
      </w:r>
      <w:r w:rsidR="000419C6" w:rsidRPr="002E0CD4">
        <w:rPr>
          <w:lang w:val="en-AU"/>
        </w:rPr>
        <w:t>(</w:t>
      </w:r>
      <w:r w:rsidR="007307CE" w:rsidRPr="002E0CD4">
        <w:rPr>
          <w:lang w:val="en-AU"/>
        </w:rPr>
        <w:t>inner</w:t>
      </w:r>
      <w:r w:rsidR="000419C6" w:rsidRPr="002E0CD4">
        <w:rPr>
          <w:lang w:val="en-AU"/>
        </w:rPr>
        <w:t>)</w:t>
      </w:r>
      <w:r w:rsidR="007307CE" w:rsidRPr="002E0CD4">
        <w:rPr>
          <w:lang w:val="en-AU"/>
        </w:rPr>
        <w:t xml:space="preserve"> zone</w:t>
      </w:r>
      <w:r w:rsidR="00FA2208">
        <w:rPr>
          <w:lang w:val="en-AU"/>
        </w:rPr>
        <w:t xml:space="preserve"> and within the relevant </w:t>
      </w:r>
      <w:r w:rsidR="00865F3C">
        <w:rPr>
          <w:lang w:val="en-AU"/>
        </w:rPr>
        <w:t>C</w:t>
      </w:r>
      <w:r w:rsidR="00FA2208">
        <w:rPr>
          <w:lang w:val="en-AU"/>
        </w:rPr>
        <w:t xml:space="preserve">oordination </w:t>
      </w:r>
      <w:r w:rsidR="00865F3C">
        <w:rPr>
          <w:lang w:val="en-AU"/>
        </w:rPr>
        <w:t>R</w:t>
      </w:r>
      <w:r w:rsidR="00FA2208">
        <w:rPr>
          <w:lang w:val="en-AU"/>
        </w:rPr>
        <w:t>adius included in this RALI (Table 1 of the Annex)</w:t>
      </w:r>
      <w:r w:rsidR="007307CE" w:rsidRPr="002E0CD4">
        <w:rPr>
          <w:lang w:val="en-AU"/>
        </w:rPr>
        <w:t>.</w:t>
      </w:r>
      <w:r w:rsidR="007307CE">
        <w:rPr>
          <w:lang w:val="en-AU"/>
        </w:rPr>
        <w:t xml:space="preserve"> </w:t>
      </w:r>
    </w:p>
    <w:p w14:paraId="172D11FF" w14:textId="77777777" w:rsidR="008B3931" w:rsidRDefault="00CF1C78" w:rsidP="0097169A">
      <w:pPr>
        <w:rPr>
          <w:lang w:val="en-AU"/>
        </w:rPr>
      </w:pPr>
      <w:r>
        <w:rPr>
          <w:lang w:val="en-AU"/>
        </w:rPr>
        <w:t xml:space="preserve">For transmitters covered by the Scope </w:t>
      </w:r>
      <w:r w:rsidR="00B6593A">
        <w:rPr>
          <w:lang w:val="en-AU"/>
        </w:rPr>
        <w:t>of this RALI (</w:t>
      </w:r>
      <w:r>
        <w:rPr>
          <w:lang w:val="en-AU"/>
        </w:rPr>
        <w:t>section 2</w:t>
      </w:r>
      <w:r w:rsidR="00B6593A">
        <w:rPr>
          <w:lang w:val="en-AU"/>
        </w:rPr>
        <w:t>)</w:t>
      </w:r>
      <w:r>
        <w:rPr>
          <w:lang w:val="en-AU"/>
        </w:rPr>
        <w:t>, an assessment</w:t>
      </w:r>
      <w:r w:rsidRPr="00CF1C78">
        <w:rPr>
          <w:lang w:val="en-AU"/>
        </w:rPr>
        <w:t xml:space="preserve"> </w:t>
      </w:r>
      <w:r>
        <w:rPr>
          <w:lang w:val="en-AU"/>
        </w:rPr>
        <w:t xml:space="preserve">of the interference potential, as described in </w:t>
      </w:r>
      <w:r w:rsidR="000419C6">
        <w:rPr>
          <w:lang w:val="en-AU"/>
        </w:rPr>
        <w:t xml:space="preserve">Section </w:t>
      </w:r>
      <w:r>
        <w:rPr>
          <w:lang w:val="en-AU"/>
        </w:rPr>
        <w:t>4.4, must be performed.</w:t>
      </w:r>
    </w:p>
    <w:p w14:paraId="3718256D" w14:textId="3E064A10" w:rsidR="00344A3F" w:rsidRDefault="008B3931" w:rsidP="0097169A">
      <w:pPr>
        <w:rPr>
          <w:lang w:val="en-AU"/>
        </w:rPr>
      </w:pPr>
      <w:r>
        <w:rPr>
          <w:lang w:val="en-AU"/>
        </w:rPr>
        <w:t xml:space="preserve">In addition to the aforementioned requirement </w:t>
      </w:r>
      <w:r w:rsidR="00FA2208">
        <w:rPr>
          <w:lang w:val="en-AU"/>
        </w:rPr>
        <w:t xml:space="preserve">included in the RQZ Band Plan for applicants </w:t>
      </w:r>
      <w:r>
        <w:rPr>
          <w:lang w:val="en-AU"/>
        </w:rPr>
        <w:t>to consult with the MRO entity,</w:t>
      </w:r>
      <w:r w:rsidR="00CF1C78">
        <w:rPr>
          <w:lang w:val="en-AU"/>
        </w:rPr>
        <w:t xml:space="preserve"> </w:t>
      </w:r>
      <w:r>
        <w:rPr>
          <w:lang w:val="en-AU"/>
        </w:rPr>
        <w:t>i</w:t>
      </w:r>
      <w:r w:rsidR="00E50E11">
        <w:rPr>
          <w:lang w:val="en-AU"/>
        </w:rPr>
        <w:t xml:space="preserve">f </w:t>
      </w:r>
      <w:r w:rsidR="00CF1C78">
        <w:rPr>
          <w:lang w:val="en-AU"/>
        </w:rPr>
        <w:t xml:space="preserve">the </w:t>
      </w:r>
      <w:r w:rsidR="00E50E11">
        <w:rPr>
          <w:lang w:val="en-AU"/>
        </w:rPr>
        <w:t xml:space="preserve">assessment </w:t>
      </w:r>
      <w:r w:rsidR="00FA2208">
        <w:rPr>
          <w:lang w:val="en-AU"/>
        </w:rPr>
        <w:t xml:space="preserve">identifies that the </w:t>
      </w:r>
      <w:r w:rsidR="00E50E11">
        <w:rPr>
          <w:lang w:val="en-AU"/>
        </w:rPr>
        <w:t>interference signal level</w:t>
      </w:r>
      <w:r w:rsidR="00B53062">
        <w:rPr>
          <w:lang w:val="en-AU"/>
        </w:rPr>
        <w:t>s</w:t>
      </w:r>
      <w:r w:rsidR="00D15241">
        <w:rPr>
          <w:lang w:val="en-AU"/>
        </w:rPr>
        <w:t xml:space="preserve"> </w:t>
      </w:r>
      <w:r w:rsidR="00FA2208">
        <w:rPr>
          <w:lang w:val="en-AU"/>
        </w:rPr>
        <w:t xml:space="preserve">will </w:t>
      </w:r>
      <w:r w:rsidR="00B53062">
        <w:rPr>
          <w:lang w:val="en-AU"/>
        </w:rPr>
        <w:t xml:space="preserve">exceed the </w:t>
      </w:r>
      <w:r w:rsidR="0007107E">
        <w:rPr>
          <w:lang w:val="en-AU"/>
        </w:rPr>
        <w:t>Threshold</w:t>
      </w:r>
      <w:r w:rsidR="00B53062">
        <w:rPr>
          <w:lang w:val="en-AU"/>
        </w:rPr>
        <w:t xml:space="preserve"> level</w:t>
      </w:r>
      <w:r w:rsidR="00E865CA">
        <w:rPr>
          <w:lang w:val="en-AU"/>
        </w:rPr>
        <w:t>s</w:t>
      </w:r>
      <w:r w:rsidR="00B53062">
        <w:rPr>
          <w:lang w:val="en-AU"/>
        </w:rPr>
        <w:t xml:space="preserve"> specified in </w:t>
      </w:r>
      <w:r w:rsidR="009B7815">
        <w:rPr>
          <w:lang w:val="en-AU"/>
        </w:rPr>
        <w:t xml:space="preserve">column 3 and 4 of </w:t>
      </w:r>
      <w:r w:rsidR="00B53062">
        <w:rPr>
          <w:lang w:val="en-AU"/>
        </w:rPr>
        <w:t>Table 1 then</w:t>
      </w:r>
      <w:r w:rsidR="00344A3F">
        <w:rPr>
          <w:lang w:val="en-AU"/>
        </w:rPr>
        <w:t>:</w:t>
      </w:r>
    </w:p>
    <w:p w14:paraId="34608C82" w14:textId="77777777" w:rsidR="00B941EE" w:rsidRDefault="00B941EE" w:rsidP="00344A3F">
      <w:pPr>
        <w:numPr>
          <w:ilvl w:val="0"/>
          <w:numId w:val="2"/>
        </w:numPr>
        <w:rPr>
          <w:lang w:val="en-AU"/>
        </w:rPr>
      </w:pPr>
      <w:r>
        <w:rPr>
          <w:lang w:val="en-AU"/>
        </w:rPr>
        <w:t xml:space="preserve">unless otherwise decided by the ACMA, an applicant for apparatus licences for </w:t>
      </w:r>
      <w:r w:rsidR="00C11C95">
        <w:rPr>
          <w:lang w:val="en-AU"/>
        </w:rPr>
        <w:t xml:space="preserve">those </w:t>
      </w:r>
      <w:r>
        <w:rPr>
          <w:lang w:val="en-AU"/>
        </w:rPr>
        <w:t>services must consult with the MRO entity</w:t>
      </w:r>
      <w:r w:rsidR="00831441">
        <w:rPr>
          <w:lang w:val="en-AU"/>
        </w:rPr>
        <w:t xml:space="preserve"> and </w:t>
      </w:r>
      <w:r w:rsidR="008B3931">
        <w:rPr>
          <w:lang w:val="en-AU"/>
        </w:rPr>
        <w:t>reduce interference levels</w:t>
      </w:r>
      <w:r>
        <w:rPr>
          <w:lang w:val="en-AU"/>
        </w:rPr>
        <w:t xml:space="preserve"> before applying for  licence</w:t>
      </w:r>
      <w:r w:rsidR="00DC3C21">
        <w:rPr>
          <w:lang w:val="en-AU"/>
        </w:rPr>
        <w:t>s</w:t>
      </w:r>
      <w:r>
        <w:rPr>
          <w:lang w:val="en-AU"/>
        </w:rPr>
        <w:t>;</w:t>
      </w:r>
    </w:p>
    <w:p w14:paraId="76FB1CC2" w14:textId="77777777" w:rsidR="00B941EE" w:rsidRDefault="00B941EE" w:rsidP="00344A3F">
      <w:pPr>
        <w:numPr>
          <w:ilvl w:val="0"/>
          <w:numId w:val="2"/>
        </w:numPr>
        <w:rPr>
          <w:lang w:val="en-AU"/>
        </w:rPr>
      </w:pPr>
      <w:r>
        <w:rPr>
          <w:lang w:val="en-AU"/>
        </w:rPr>
        <w:t>unless otherwise decide</w:t>
      </w:r>
      <w:r w:rsidR="00D75BB7">
        <w:rPr>
          <w:lang w:val="en-AU"/>
        </w:rPr>
        <w:t xml:space="preserve">d by the ACMA, an applicant intending to vary </w:t>
      </w:r>
      <w:r>
        <w:rPr>
          <w:lang w:val="en-AU"/>
        </w:rPr>
        <w:t xml:space="preserve">apparatus licences for services must consult with the MRO entity about </w:t>
      </w:r>
      <w:r w:rsidR="00D75BB7">
        <w:rPr>
          <w:lang w:val="en-AU"/>
        </w:rPr>
        <w:t xml:space="preserve">the variation to </w:t>
      </w:r>
      <w:r>
        <w:rPr>
          <w:lang w:val="en-AU"/>
        </w:rPr>
        <w:t xml:space="preserve">those services before applying </w:t>
      </w:r>
      <w:r w:rsidR="00C11C95">
        <w:rPr>
          <w:lang w:val="en-AU"/>
        </w:rPr>
        <w:t>to</w:t>
      </w:r>
      <w:r>
        <w:rPr>
          <w:lang w:val="en-AU"/>
        </w:rPr>
        <w:t xml:space="preserve"> </w:t>
      </w:r>
      <w:r w:rsidR="00D75BB7">
        <w:rPr>
          <w:lang w:val="en-AU"/>
        </w:rPr>
        <w:t>var</w:t>
      </w:r>
      <w:r w:rsidR="00C11C95">
        <w:rPr>
          <w:lang w:val="en-AU"/>
        </w:rPr>
        <w:t>y</w:t>
      </w:r>
      <w:r w:rsidR="00D75BB7">
        <w:rPr>
          <w:lang w:val="en-AU"/>
        </w:rPr>
        <w:t xml:space="preserve"> those </w:t>
      </w:r>
      <w:r>
        <w:rPr>
          <w:lang w:val="en-AU"/>
        </w:rPr>
        <w:t>licence</w:t>
      </w:r>
      <w:r w:rsidR="00D75BB7">
        <w:rPr>
          <w:lang w:val="en-AU"/>
        </w:rPr>
        <w:t>s</w:t>
      </w:r>
      <w:r>
        <w:rPr>
          <w:lang w:val="en-AU"/>
        </w:rPr>
        <w:t>;</w:t>
      </w:r>
    </w:p>
    <w:p w14:paraId="1A8B2DE6" w14:textId="77777777" w:rsidR="004330A4" w:rsidRPr="004330A4" w:rsidRDefault="004330A4" w:rsidP="004330A4">
      <w:pPr>
        <w:numPr>
          <w:ilvl w:val="0"/>
          <w:numId w:val="2"/>
        </w:numPr>
        <w:rPr>
          <w:lang w:val="en-AU"/>
        </w:rPr>
      </w:pPr>
      <w:r w:rsidRPr="00CF1C78">
        <w:rPr>
          <w:lang w:val="en-AU"/>
        </w:rPr>
        <w:t>reasonable measures (examples provided below) shall be taken</w:t>
      </w:r>
      <w:r w:rsidR="0009367B">
        <w:rPr>
          <w:lang w:val="en-AU"/>
        </w:rPr>
        <w:t xml:space="preserve"> by the applicant</w:t>
      </w:r>
      <w:r w:rsidRPr="00CF1C78">
        <w:rPr>
          <w:lang w:val="en-AU"/>
        </w:rPr>
        <w:t xml:space="preserve"> to reduce the expected signal levels to below the Thresholds</w:t>
      </w:r>
      <w:r>
        <w:rPr>
          <w:lang w:val="en-AU"/>
        </w:rPr>
        <w:t xml:space="preserve">.  </w:t>
      </w:r>
      <w:r>
        <w:t>In cases where the potential signal level</w:t>
      </w:r>
      <w:r w:rsidR="005267B2">
        <w:t xml:space="preserve">s </w:t>
      </w:r>
      <w:r>
        <w:t>(as calculated by the method</w:t>
      </w:r>
      <w:r w:rsidR="00DB3C61">
        <w:t>s</w:t>
      </w:r>
      <w:r>
        <w:t xml:space="preserve"> prescribed in this RALI) cannot be reduced below the Thresholds, </w:t>
      </w:r>
      <w:r w:rsidR="005D2C3F">
        <w:t>the application may still be considered by the ACMA.  If a mutually satisfactory technical agreement has been reached with the MRO entity, this will be a relevant factor for the ACMA in its decision making</w:t>
      </w:r>
      <w:r>
        <w:rPr>
          <w:lang w:val="en-AU"/>
        </w:rPr>
        <w:t xml:space="preserve">; </w:t>
      </w:r>
    </w:p>
    <w:p w14:paraId="686C87ED" w14:textId="77777777" w:rsidR="0097169A" w:rsidRPr="00CF1C78" w:rsidRDefault="0097169A" w:rsidP="001B51E2">
      <w:pPr>
        <w:ind w:left="720"/>
        <w:rPr>
          <w:lang w:val="en-AU"/>
        </w:rPr>
      </w:pPr>
    </w:p>
    <w:p w14:paraId="26A771DB" w14:textId="77777777" w:rsidR="00E82CB2" w:rsidRDefault="00E82CB2" w:rsidP="00E82CB2">
      <w:pPr>
        <w:rPr>
          <w:lang w:val="en-AU"/>
        </w:rPr>
      </w:pPr>
      <w:r w:rsidRPr="00CF1C78">
        <w:rPr>
          <w:lang w:val="en-AU"/>
        </w:rPr>
        <w:t xml:space="preserve">The ACMA will </w:t>
      </w:r>
      <w:r w:rsidR="002C6D3E">
        <w:rPr>
          <w:lang w:val="en-AU"/>
        </w:rPr>
        <w:t>have regard to</w:t>
      </w:r>
      <w:r w:rsidRPr="00CF1C78">
        <w:rPr>
          <w:lang w:val="en-AU"/>
        </w:rPr>
        <w:t xml:space="preserve"> advice</w:t>
      </w:r>
      <w:r w:rsidR="0033562E">
        <w:rPr>
          <w:lang w:val="en-AU"/>
        </w:rPr>
        <w:t xml:space="preserve"> and technical information</w:t>
      </w:r>
      <w:r w:rsidR="00831441">
        <w:rPr>
          <w:lang w:val="en-AU"/>
        </w:rPr>
        <w:t>, including the impact on radioastronomy of any potential interference,</w:t>
      </w:r>
      <w:r w:rsidRPr="00CF1C78">
        <w:rPr>
          <w:lang w:val="en-AU"/>
        </w:rPr>
        <w:t xml:space="preserve"> resulting from consultation between licence applicants and the MRO </w:t>
      </w:r>
      <w:r w:rsidR="000B4403" w:rsidRPr="00CF1C78">
        <w:rPr>
          <w:lang w:val="en-AU"/>
        </w:rPr>
        <w:t xml:space="preserve">entity </w:t>
      </w:r>
      <w:r>
        <w:rPr>
          <w:lang w:val="en-AU"/>
        </w:rPr>
        <w:t xml:space="preserve">in deciding whether to issue apparatus licences for </w:t>
      </w:r>
      <w:proofErr w:type="spellStart"/>
      <w:r>
        <w:rPr>
          <w:lang w:val="en-AU"/>
        </w:rPr>
        <w:t>radiocommunications</w:t>
      </w:r>
      <w:proofErr w:type="spellEnd"/>
      <w:r>
        <w:rPr>
          <w:lang w:val="en-AU"/>
        </w:rPr>
        <w:t xml:space="preserve"> services and in relation to any conditions that may be applied to licences.</w:t>
      </w:r>
    </w:p>
    <w:p w14:paraId="00C7A179" w14:textId="4578509F" w:rsidR="00741108" w:rsidRDefault="00741108" w:rsidP="00E82CB2">
      <w:pPr>
        <w:rPr>
          <w:lang w:val="en-AU"/>
        </w:rPr>
      </w:pPr>
      <w:r>
        <w:rPr>
          <w:lang w:val="en-AU"/>
        </w:rPr>
        <w:t xml:space="preserve">Note that below </w:t>
      </w:r>
      <w:r w:rsidR="009D233C" w:rsidRPr="0051348D">
        <w:rPr>
          <w:lang w:val="en-AU"/>
        </w:rPr>
        <w:t>694</w:t>
      </w:r>
      <w:r w:rsidR="006D66CA">
        <w:rPr>
          <w:lang w:val="en-AU"/>
        </w:rPr>
        <w:t xml:space="preserve"> </w:t>
      </w:r>
      <w:r>
        <w:rPr>
          <w:lang w:val="en-AU"/>
        </w:rPr>
        <w:t>MHz the ARQZWA includes locations outside of the RQZ Band Plan zones. Considering the interference potential associated with those locations, and consistent with the procedures of the previous version of this RALI, interference assessments, as outlined above, continue to be required.</w:t>
      </w:r>
    </w:p>
    <w:p w14:paraId="058A5A4E" w14:textId="60E31F17" w:rsidR="005E568D" w:rsidRDefault="00741108">
      <w:pPr>
        <w:rPr>
          <w:lang w:val="en-AU"/>
        </w:rPr>
      </w:pPr>
      <w:r w:rsidRPr="00EB7BAE">
        <w:rPr>
          <w:lang w:val="en-AU"/>
        </w:rPr>
        <w:t xml:space="preserve">Also note that the interference protection criteria of Table 1 addresses the </w:t>
      </w:r>
      <w:r w:rsidR="00D6050A">
        <w:rPr>
          <w:lang w:val="en-AU"/>
        </w:rPr>
        <w:t xml:space="preserve">SKA Phase 1 </w:t>
      </w:r>
      <w:r w:rsidRPr="00EB7BAE">
        <w:rPr>
          <w:lang w:val="en-AU"/>
        </w:rPr>
        <w:t xml:space="preserve">array station deployment within 50 kilometres of the </w:t>
      </w:r>
      <w:r w:rsidR="00D6050A">
        <w:rPr>
          <w:lang w:val="en-AU"/>
        </w:rPr>
        <w:t>ARQZWA</w:t>
      </w:r>
      <w:r w:rsidR="00D6050A" w:rsidRPr="00EB7BAE">
        <w:rPr>
          <w:lang w:val="en-AU"/>
        </w:rPr>
        <w:t xml:space="preserve"> </w:t>
      </w:r>
      <w:r w:rsidRPr="00EB7BAE">
        <w:rPr>
          <w:lang w:val="en-AU"/>
        </w:rPr>
        <w:t xml:space="preserve">centre. </w:t>
      </w:r>
      <w:r w:rsidR="00AE39F2" w:rsidRPr="00EB7BAE">
        <w:rPr>
          <w:lang w:val="en-AU"/>
        </w:rPr>
        <w:t>It is intended that radio astronomy capability will be expanded beyond this initial stage and that consequential i</w:t>
      </w:r>
      <w:r w:rsidR="003E0E6A" w:rsidRPr="00EB7BAE">
        <w:rPr>
          <w:lang w:val="en-AU"/>
        </w:rPr>
        <w:t xml:space="preserve">nterference protection for future deployment beyond 50 kilometres </w:t>
      </w:r>
      <w:r w:rsidR="00FA2208">
        <w:rPr>
          <w:lang w:val="en-AU"/>
        </w:rPr>
        <w:t xml:space="preserve">will be considered in the future, most likely through </w:t>
      </w:r>
      <w:r w:rsidR="003E0E6A" w:rsidRPr="00EB7BAE">
        <w:rPr>
          <w:lang w:val="en-AU"/>
        </w:rPr>
        <w:t>a later version of this RALI.</w:t>
      </w:r>
    </w:p>
    <w:p w14:paraId="27B7106B" w14:textId="77777777" w:rsidR="005E568D" w:rsidRDefault="005E568D">
      <w:pPr>
        <w:rPr>
          <w:lang w:val="en-AU"/>
        </w:rPr>
      </w:pPr>
    </w:p>
    <w:p w14:paraId="34FDB30B" w14:textId="412CBEE7" w:rsidR="007C5DE6" w:rsidRDefault="00287226" w:rsidP="00EA2E9A">
      <w:pPr>
        <w:pStyle w:val="Heading4"/>
      </w:pPr>
      <w:bookmarkStart w:id="60" w:name="_Toc177372094"/>
      <w:bookmarkStart w:id="61" w:name="_Toc350438530"/>
      <w:r>
        <w:t>4.</w:t>
      </w:r>
      <w:r w:rsidR="00767E2B">
        <w:t>3</w:t>
      </w:r>
      <w:r w:rsidR="00655176">
        <w:t xml:space="preserve"> </w:t>
      </w:r>
      <w:r w:rsidR="007C5DE6">
        <w:t xml:space="preserve"> </w:t>
      </w:r>
      <w:bookmarkEnd w:id="60"/>
      <w:r w:rsidR="00EA0306">
        <w:t xml:space="preserve">Procedures </w:t>
      </w:r>
      <w:r w:rsidR="00B56350">
        <w:t xml:space="preserve">Outside </w:t>
      </w:r>
      <w:r w:rsidR="00D025DD">
        <w:t xml:space="preserve">the </w:t>
      </w:r>
      <w:bookmarkEnd w:id="61"/>
      <w:r w:rsidR="00D025DD">
        <w:t>Coordination Radius</w:t>
      </w:r>
    </w:p>
    <w:p w14:paraId="03CA8335" w14:textId="28D9A084" w:rsidR="007C5DE6" w:rsidRDefault="004330A4" w:rsidP="007C5DE6">
      <w:pPr>
        <w:ind w:left="1"/>
      </w:pPr>
      <w:r>
        <w:rPr>
          <w:lang w:val="en-AU"/>
        </w:rPr>
        <w:t>I</w:t>
      </w:r>
      <w:r w:rsidR="00FF6A2C">
        <w:rPr>
          <w:lang w:val="en-AU"/>
        </w:rPr>
        <w:t xml:space="preserve">f the proposed frequency assignment </w:t>
      </w:r>
      <w:r w:rsidR="005E568D">
        <w:rPr>
          <w:lang w:val="en-AU"/>
        </w:rPr>
        <w:t xml:space="preserve">is in accordance with the parameters of ACMA </w:t>
      </w:r>
      <w:proofErr w:type="spellStart"/>
      <w:r w:rsidR="005E568D">
        <w:rPr>
          <w:lang w:val="en-AU"/>
        </w:rPr>
        <w:t>radiocommunications</w:t>
      </w:r>
      <w:proofErr w:type="spellEnd"/>
      <w:r w:rsidR="005E568D">
        <w:rPr>
          <w:lang w:val="en-AU"/>
        </w:rPr>
        <w:t xml:space="preserve"> service models</w:t>
      </w:r>
      <w:r w:rsidR="005E568D">
        <w:rPr>
          <w:rStyle w:val="FootnoteReference"/>
          <w:lang w:val="en-AU"/>
        </w:rPr>
        <w:footnoteReference w:id="4"/>
      </w:r>
      <w:r w:rsidR="005E568D">
        <w:rPr>
          <w:lang w:val="en-AU"/>
        </w:rPr>
        <w:t xml:space="preserve"> and is </w:t>
      </w:r>
      <w:r w:rsidR="00FF6A2C">
        <w:rPr>
          <w:lang w:val="en-AU"/>
        </w:rPr>
        <w:t xml:space="preserve">beyond the </w:t>
      </w:r>
      <w:r w:rsidR="00FA2208">
        <w:rPr>
          <w:lang w:val="en-AU"/>
        </w:rPr>
        <w:t xml:space="preserve">relevant </w:t>
      </w:r>
      <w:r w:rsidR="00DD2979">
        <w:rPr>
          <w:lang w:val="en-AU"/>
        </w:rPr>
        <w:t>Coordination</w:t>
      </w:r>
      <w:r w:rsidR="00FF6A2C">
        <w:rPr>
          <w:lang w:val="en-AU"/>
        </w:rPr>
        <w:t xml:space="preserve"> Radius of Table 1, then the ACMA would accept that interference protection requirements for the </w:t>
      </w:r>
      <w:r w:rsidR="00D6050A">
        <w:rPr>
          <w:lang w:val="en-AU"/>
        </w:rPr>
        <w:t xml:space="preserve">ARQZWA </w:t>
      </w:r>
      <w:r w:rsidR="00FF6A2C">
        <w:rPr>
          <w:lang w:val="en-AU"/>
        </w:rPr>
        <w:t xml:space="preserve">have been satisfied and that consultation with the MRO entity is not required. </w:t>
      </w:r>
    </w:p>
    <w:p w14:paraId="0B1827B1" w14:textId="77777777" w:rsidR="00C50420" w:rsidRDefault="00C50420" w:rsidP="007C5DE6">
      <w:pPr>
        <w:ind w:left="1"/>
      </w:pPr>
      <w:r>
        <w:t>Coordination requirements for proposed frequency assignments at locations inside of a</w:t>
      </w:r>
      <w:r w:rsidR="00D6050A">
        <w:t>ny</w:t>
      </w:r>
      <w:r>
        <w:t xml:space="preserve"> supplementary RQZ </w:t>
      </w:r>
      <w:r w:rsidR="00D6050A">
        <w:t xml:space="preserve">required for the SKA Phase 2 </w:t>
      </w:r>
      <w:r>
        <w:t>are yet to be developed.</w:t>
      </w:r>
    </w:p>
    <w:p w14:paraId="38B75933" w14:textId="77777777" w:rsidR="003A06E5" w:rsidRDefault="003A06E5" w:rsidP="007C5DE6">
      <w:pPr>
        <w:ind w:left="1"/>
      </w:pPr>
    </w:p>
    <w:p w14:paraId="6CE5DBF1" w14:textId="77777777" w:rsidR="005E568D" w:rsidRDefault="00287226">
      <w:pPr>
        <w:pStyle w:val="Heading4"/>
      </w:pPr>
      <w:bookmarkStart w:id="62" w:name="_Toc177372095"/>
      <w:bookmarkStart w:id="63" w:name="_Toc350438531"/>
      <w:r>
        <w:t>4.</w:t>
      </w:r>
      <w:r w:rsidR="00767E2B">
        <w:t>4</w:t>
      </w:r>
      <w:r w:rsidR="007C5DE6">
        <w:t xml:space="preserve">  Assessment</w:t>
      </w:r>
      <w:bookmarkEnd w:id="62"/>
      <w:bookmarkEnd w:id="63"/>
    </w:p>
    <w:p w14:paraId="4933AFFA" w14:textId="3FEFBF18" w:rsidR="005E568D" w:rsidRDefault="007321E7">
      <w:r>
        <w:t xml:space="preserve">Methods for the assessment of interference are described in </w:t>
      </w:r>
      <w:r w:rsidR="009A2D5E">
        <w:t xml:space="preserve">the </w:t>
      </w:r>
      <w:r>
        <w:t xml:space="preserve">Annex. </w:t>
      </w:r>
      <w:r w:rsidR="00D40270">
        <w:t xml:space="preserve">The necessary potential interference assessments concern estimated levels of interference from prospective </w:t>
      </w:r>
      <w:proofErr w:type="spellStart"/>
      <w:r w:rsidR="00D40270">
        <w:t>radiocommunications</w:t>
      </w:r>
      <w:proofErr w:type="spellEnd"/>
      <w:r w:rsidR="00D40270">
        <w:t xml:space="preserve"> </w:t>
      </w:r>
      <w:r w:rsidR="00581DF8">
        <w:t>to</w:t>
      </w:r>
      <w:r w:rsidR="00D40270">
        <w:t xml:space="preserve"> the centre of the </w:t>
      </w:r>
      <w:r w:rsidR="00D6050A">
        <w:t xml:space="preserve">ARQZWA </w:t>
      </w:r>
      <w:r w:rsidR="00D40270">
        <w:t xml:space="preserve">and </w:t>
      </w:r>
      <w:r w:rsidR="00581DF8">
        <w:t>to</w:t>
      </w:r>
      <w:r w:rsidR="00D40270">
        <w:t xml:space="preserve"> </w:t>
      </w:r>
      <w:r w:rsidR="00D6050A">
        <w:t>the area within 50 km of the centre</w:t>
      </w:r>
      <w:r w:rsidR="00581DF8">
        <w:t>. The latter</w:t>
      </w:r>
      <w:r w:rsidR="00D40270">
        <w:t xml:space="preserve"> </w:t>
      </w:r>
      <w:r w:rsidR="00581DF8">
        <w:t xml:space="preserve">is intended to support establishment of array stations at any location within </w:t>
      </w:r>
      <w:r w:rsidR="00D6050A">
        <w:t>this area</w:t>
      </w:r>
      <w:r w:rsidR="00581DF8">
        <w:t xml:space="preserve"> and </w:t>
      </w:r>
      <w:r w:rsidR="00D40270">
        <w:t xml:space="preserve">considers </w:t>
      </w:r>
      <w:r w:rsidR="005813C9">
        <w:t xml:space="preserve">the propagation of </w:t>
      </w:r>
      <w:r w:rsidR="00581DF8">
        <w:t xml:space="preserve">interference </w:t>
      </w:r>
      <w:r w:rsidR="009A00FE">
        <w:t xml:space="preserve">from transmitters located outside of the RQZ </w:t>
      </w:r>
      <w:r>
        <w:t>(</w:t>
      </w:r>
      <w:r w:rsidR="009A00FE">
        <w:t>inner</w:t>
      </w:r>
      <w:r>
        <w:t>)</w:t>
      </w:r>
      <w:r w:rsidR="009A00FE">
        <w:t xml:space="preserve"> zone </w:t>
      </w:r>
      <w:r w:rsidR="005813C9">
        <w:t>in</w:t>
      </w:r>
      <w:r w:rsidR="00581DF8">
        <w:t xml:space="preserve">to </w:t>
      </w:r>
      <w:r w:rsidR="00D6050A">
        <w:t xml:space="preserve">this </w:t>
      </w:r>
      <w:r w:rsidR="00B03D06">
        <w:t>area</w:t>
      </w:r>
      <w:r w:rsidR="00581DF8">
        <w:t>.</w:t>
      </w:r>
      <w:r w:rsidR="006051A6">
        <w:t xml:space="preserve"> </w:t>
      </w:r>
    </w:p>
    <w:p w14:paraId="5EF2D45F" w14:textId="77777777" w:rsidR="00DA4FF5" w:rsidRDefault="00DA4FF5" w:rsidP="00DA4FF5">
      <w:pPr>
        <w:tabs>
          <w:tab w:val="left" w:pos="8505"/>
          <w:tab w:val="right" w:pos="9356"/>
        </w:tabs>
        <w:spacing w:before="120"/>
        <w:rPr>
          <w:color w:val="000000"/>
        </w:rPr>
      </w:pPr>
    </w:p>
    <w:p w14:paraId="24CA3673" w14:textId="77777777" w:rsidR="005E568D" w:rsidRDefault="00724FA2">
      <w:pPr>
        <w:pStyle w:val="Heading4"/>
      </w:pPr>
      <w:bookmarkStart w:id="64" w:name="_Toc350438532"/>
      <w:r>
        <w:t>4.</w:t>
      </w:r>
      <w:r w:rsidR="00444216">
        <w:t>5</w:t>
      </w:r>
      <w:r>
        <w:t xml:space="preserve">  </w:t>
      </w:r>
      <w:r w:rsidR="007D14B6">
        <w:t xml:space="preserve">Mitigation and </w:t>
      </w:r>
      <w:r w:rsidR="008F450B">
        <w:t>O</w:t>
      </w:r>
      <w:r w:rsidR="007D14B6">
        <w:t>ther</w:t>
      </w:r>
      <w:r>
        <w:t xml:space="preserve"> Measures</w:t>
      </w:r>
      <w:bookmarkEnd w:id="64"/>
    </w:p>
    <w:p w14:paraId="7C97AFDE" w14:textId="77777777" w:rsidR="003F3DF5" w:rsidRDefault="003F3DF5" w:rsidP="007321E7">
      <w:pPr>
        <w:rPr>
          <w:lang w:val="en-AU"/>
        </w:rPr>
      </w:pPr>
      <w:r>
        <w:rPr>
          <w:lang w:val="en-AU"/>
        </w:rPr>
        <w:t xml:space="preserve">Measures </w:t>
      </w:r>
      <w:r w:rsidR="00BD35C6" w:rsidRPr="00BD35C6">
        <w:rPr>
          <w:lang w:val="en-AU"/>
        </w:rPr>
        <w:t>such as power reduction, site relocation,</w:t>
      </w:r>
      <w:r>
        <w:rPr>
          <w:lang w:val="en-AU"/>
        </w:rPr>
        <w:t xml:space="preserve"> </w:t>
      </w:r>
      <w:r w:rsidR="00823F92">
        <w:rPr>
          <w:lang w:val="en-AU"/>
        </w:rPr>
        <w:t xml:space="preserve">advantageous use of </w:t>
      </w:r>
      <w:r>
        <w:rPr>
          <w:lang w:val="en-AU"/>
        </w:rPr>
        <w:t xml:space="preserve">antenna </w:t>
      </w:r>
      <w:r w:rsidR="00BD35C6" w:rsidRPr="00BD35C6">
        <w:rPr>
          <w:lang w:val="en-AU"/>
        </w:rPr>
        <w:t>directi</w:t>
      </w:r>
      <w:r>
        <w:rPr>
          <w:lang w:val="en-AU"/>
        </w:rPr>
        <w:t xml:space="preserve">vity </w:t>
      </w:r>
      <w:r w:rsidR="001E2247">
        <w:rPr>
          <w:lang w:val="en-AU"/>
        </w:rPr>
        <w:t>and pattern</w:t>
      </w:r>
      <w:r>
        <w:rPr>
          <w:lang w:val="en-AU"/>
        </w:rPr>
        <w:t xml:space="preserve"> notches</w:t>
      </w:r>
      <w:r w:rsidR="00BD35C6" w:rsidRPr="00BD35C6">
        <w:rPr>
          <w:lang w:val="en-AU"/>
        </w:rPr>
        <w:t xml:space="preserve"> </w:t>
      </w:r>
      <w:r>
        <w:rPr>
          <w:lang w:val="en-AU"/>
        </w:rPr>
        <w:t xml:space="preserve">are available </w:t>
      </w:r>
      <w:r w:rsidR="00BD35C6" w:rsidRPr="00BD35C6">
        <w:rPr>
          <w:lang w:val="en-AU"/>
        </w:rPr>
        <w:t xml:space="preserve">to </w:t>
      </w:r>
      <w:r>
        <w:rPr>
          <w:lang w:val="en-AU"/>
        </w:rPr>
        <w:t xml:space="preserve">reduce the signal in the direction of </w:t>
      </w:r>
      <w:r w:rsidR="00260077">
        <w:rPr>
          <w:lang w:val="en-AU"/>
        </w:rPr>
        <w:t>radio astronomy receivers</w:t>
      </w:r>
      <w:r>
        <w:rPr>
          <w:lang w:val="en-AU"/>
        </w:rPr>
        <w:t>.</w:t>
      </w:r>
      <w:r w:rsidR="002138AD">
        <w:rPr>
          <w:lang w:val="en-AU"/>
        </w:rPr>
        <w:t xml:space="preserve"> </w:t>
      </w:r>
      <w:r w:rsidR="00D6050A">
        <w:rPr>
          <w:lang w:val="en-AU"/>
        </w:rPr>
        <w:t xml:space="preserve"> </w:t>
      </w:r>
      <w:r w:rsidR="0019428B">
        <w:rPr>
          <w:lang w:val="en-AU"/>
        </w:rPr>
        <w:t xml:space="preserve">Antennas may be designed or modified to reduce interference to radioastronomy.  </w:t>
      </w:r>
      <w:r w:rsidR="002138AD">
        <w:rPr>
          <w:lang w:val="en-AU"/>
        </w:rPr>
        <w:t>Selection of frequencies already in use within</w:t>
      </w:r>
      <w:r w:rsidR="0033562E">
        <w:rPr>
          <w:lang w:val="en-AU"/>
        </w:rPr>
        <w:t xml:space="preserve"> </w:t>
      </w:r>
      <w:r w:rsidR="00927B41">
        <w:rPr>
          <w:lang w:val="en-AU"/>
        </w:rPr>
        <w:t xml:space="preserve">or adjacent </w:t>
      </w:r>
      <w:r w:rsidR="002138AD">
        <w:rPr>
          <w:lang w:val="en-AU"/>
        </w:rPr>
        <w:t xml:space="preserve">the </w:t>
      </w:r>
      <w:r w:rsidR="00927B41">
        <w:rPr>
          <w:lang w:val="en-AU"/>
        </w:rPr>
        <w:t>ARQZWA</w:t>
      </w:r>
      <w:r w:rsidR="0033562E">
        <w:rPr>
          <w:lang w:val="en-AU"/>
        </w:rPr>
        <w:t xml:space="preserve"> </w:t>
      </w:r>
      <w:r w:rsidR="002138AD">
        <w:rPr>
          <w:lang w:val="en-AU"/>
        </w:rPr>
        <w:t xml:space="preserve">would potentially </w:t>
      </w:r>
      <w:r w:rsidR="001B122D">
        <w:rPr>
          <w:lang w:val="en-AU"/>
        </w:rPr>
        <w:t>minimise any</w:t>
      </w:r>
      <w:r w:rsidR="002138AD">
        <w:rPr>
          <w:lang w:val="en-AU"/>
        </w:rPr>
        <w:t xml:space="preserve"> </w:t>
      </w:r>
      <w:r w:rsidR="001B122D">
        <w:rPr>
          <w:lang w:val="en-AU"/>
        </w:rPr>
        <w:t>additional</w:t>
      </w:r>
      <w:r w:rsidR="00927B41">
        <w:rPr>
          <w:lang w:val="en-AU"/>
        </w:rPr>
        <w:t xml:space="preserve"> impact of </w:t>
      </w:r>
      <w:r w:rsidR="002138AD">
        <w:rPr>
          <w:lang w:val="en-AU"/>
        </w:rPr>
        <w:t xml:space="preserve">interference to the </w:t>
      </w:r>
      <w:r w:rsidR="0033562E">
        <w:rPr>
          <w:lang w:val="en-AU"/>
        </w:rPr>
        <w:t>radio astronomy service</w:t>
      </w:r>
      <w:r w:rsidR="002138AD">
        <w:rPr>
          <w:lang w:val="en-AU"/>
        </w:rPr>
        <w:t>.</w:t>
      </w:r>
    </w:p>
    <w:p w14:paraId="6242CC89" w14:textId="77777777" w:rsidR="0019428B" w:rsidRDefault="0019428B" w:rsidP="0019428B">
      <w:r>
        <w:t xml:space="preserve">It may also be feasible for </w:t>
      </w:r>
      <w:r w:rsidR="00B75E32">
        <w:t xml:space="preserve">prospective </w:t>
      </w:r>
      <w:proofErr w:type="spellStart"/>
      <w:r>
        <w:t>radiocommunications</w:t>
      </w:r>
      <w:proofErr w:type="spellEnd"/>
      <w:r>
        <w:t xml:space="preserve"> users to use alternative communications carriage mechanisms, such as optical fibre.</w:t>
      </w:r>
    </w:p>
    <w:p w14:paraId="37AD8B65" w14:textId="77777777" w:rsidR="00BA3C1F" w:rsidRDefault="00BA3C1F" w:rsidP="007321E7">
      <w:r>
        <w:t xml:space="preserve">Operational agreements may also be </w:t>
      </w:r>
      <w:r w:rsidR="008F3B58">
        <w:t>negotiated between</w:t>
      </w:r>
      <w:r w:rsidR="00495CE8">
        <w:t xml:space="preserve"> the </w:t>
      </w:r>
      <w:r w:rsidR="001E2247">
        <w:t>MRO</w:t>
      </w:r>
      <w:r w:rsidR="005F4D9C">
        <w:t xml:space="preserve"> entity</w:t>
      </w:r>
      <w:r w:rsidR="008F3B58">
        <w:t xml:space="preserve"> and the applicant</w:t>
      </w:r>
      <w:r w:rsidR="00F80484">
        <w:t>.  For example</w:t>
      </w:r>
      <w:r w:rsidR="00A84D99">
        <w:t>,</w:t>
      </w:r>
      <w:r w:rsidR="00F80484">
        <w:t xml:space="preserve"> a licensee that requires </w:t>
      </w:r>
      <w:r w:rsidR="00927B41">
        <w:t xml:space="preserve">only </w:t>
      </w:r>
      <w:r w:rsidR="00F80484">
        <w:t xml:space="preserve">occasional use of a system may </w:t>
      </w:r>
      <w:r w:rsidR="008F3B58">
        <w:t xml:space="preserve">negotiate a procedure </w:t>
      </w:r>
      <w:r w:rsidR="00F80484">
        <w:t xml:space="preserve">whereby the </w:t>
      </w:r>
      <w:r w:rsidR="001E2247">
        <w:t>MRO</w:t>
      </w:r>
      <w:r w:rsidR="005F4D9C">
        <w:t xml:space="preserve"> entity</w:t>
      </w:r>
      <w:r w:rsidR="00FB3385">
        <w:t xml:space="preserve"> </w:t>
      </w:r>
      <w:r w:rsidR="00F80484">
        <w:t xml:space="preserve">is informed in advance of </w:t>
      </w:r>
      <w:r w:rsidR="00895208">
        <w:t xml:space="preserve">any use </w:t>
      </w:r>
      <w:r w:rsidR="008F3B58">
        <w:t xml:space="preserve">of </w:t>
      </w:r>
      <w:r w:rsidR="00895208">
        <w:t>the system.</w:t>
      </w:r>
    </w:p>
    <w:p w14:paraId="17C9838D" w14:textId="77777777" w:rsidR="00D665C3" w:rsidRDefault="00D665C3" w:rsidP="003F3DF5"/>
    <w:p w14:paraId="28C8743E" w14:textId="77777777" w:rsidR="005E568D" w:rsidRDefault="00D665C3">
      <w:pPr>
        <w:pStyle w:val="Heading4"/>
      </w:pPr>
      <w:bookmarkStart w:id="65" w:name="_Toc350438533"/>
      <w:r w:rsidRPr="007321E7">
        <w:t xml:space="preserve">4.6 </w:t>
      </w:r>
      <w:r w:rsidR="00586BA9" w:rsidRPr="007321E7">
        <w:t>Licence applications and d</w:t>
      </w:r>
      <w:r w:rsidRPr="007321E7">
        <w:t>ocumentation</w:t>
      </w:r>
      <w:bookmarkEnd w:id="65"/>
    </w:p>
    <w:p w14:paraId="2D2034F5" w14:textId="77777777" w:rsidR="00D665C3" w:rsidRDefault="00D665C3" w:rsidP="007321E7">
      <w:r>
        <w:t xml:space="preserve">Documents confirming and describing any </w:t>
      </w:r>
      <w:r w:rsidR="0019428B">
        <w:t xml:space="preserve">mutually agreed technical solution </w:t>
      </w:r>
      <w:r>
        <w:t xml:space="preserve">shall accompany applications for apparatus licences for </w:t>
      </w:r>
      <w:proofErr w:type="spellStart"/>
      <w:r>
        <w:t>radiocommunications</w:t>
      </w:r>
      <w:proofErr w:type="spellEnd"/>
      <w:r>
        <w:t xml:space="preserve"> services.</w:t>
      </w:r>
    </w:p>
    <w:p w14:paraId="479C6AF4" w14:textId="77777777" w:rsidR="00D665C3" w:rsidRDefault="00D665C3" w:rsidP="007321E7">
      <w:r>
        <w:t>The ACMA will decide whether</w:t>
      </w:r>
      <w:r w:rsidR="00C73923">
        <w:t>, and under what conditions,</w:t>
      </w:r>
      <w:r>
        <w:t xml:space="preserve"> to issue apparatus licences</w:t>
      </w:r>
      <w:r w:rsidR="00C73923">
        <w:t xml:space="preserve"> based on information provided with applications. In this respect</w:t>
      </w:r>
      <w:r w:rsidR="007321E7">
        <w:t>,</w:t>
      </w:r>
      <w:r w:rsidR="00C73923">
        <w:t xml:space="preserve"> section </w:t>
      </w:r>
      <w:r>
        <w:t xml:space="preserve">100(4) of the </w:t>
      </w:r>
      <w:proofErr w:type="spellStart"/>
      <w:r w:rsidRPr="005C2D84">
        <w:rPr>
          <w:i/>
        </w:rPr>
        <w:t>Radiocommunications</w:t>
      </w:r>
      <w:proofErr w:type="spellEnd"/>
      <w:r w:rsidRPr="005C2D84">
        <w:rPr>
          <w:i/>
        </w:rPr>
        <w:t xml:space="preserve"> Act 1992</w:t>
      </w:r>
      <w:r>
        <w:t xml:space="preserve"> requires that, in </w:t>
      </w:r>
      <w:r w:rsidR="005C2D84">
        <w:t>deciding</w:t>
      </w:r>
      <w:r>
        <w:t xml:space="preserve"> whether to issue apparatus licences, the ACMA must </w:t>
      </w:r>
      <w:r w:rsidR="005C2D84">
        <w:t xml:space="preserve">have regard to </w:t>
      </w:r>
      <w:r>
        <w:t>all matters</w:t>
      </w:r>
      <w:r w:rsidR="005C2D84">
        <w:t xml:space="preserve"> that it considers relevant</w:t>
      </w:r>
      <w:r w:rsidR="0019428B">
        <w:rPr>
          <w:lang w:val="en-AU"/>
        </w:rPr>
        <w:t>, including the impact on radioastronomy of any potential interference</w:t>
      </w:r>
      <w:r>
        <w:t xml:space="preserve">. Relevant matters </w:t>
      </w:r>
      <w:r w:rsidR="00C73923">
        <w:t xml:space="preserve">include confirmation and description of </w:t>
      </w:r>
      <w:r w:rsidR="0019428B">
        <w:t>mutually agreed technical solutions</w:t>
      </w:r>
      <w:r w:rsidR="0019428B" w:rsidDel="0019428B">
        <w:t xml:space="preserve"> </w:t>
      </w:r>
      <w:r w:rsidR="00C73923">
        <w:t xml:space="preserve">between applicants and the MRO </w:t>
      </w:r>
      <w:r w:rsidR="004D1902">
        <w:t xml:space="preserve">entity </w:t>
      </w:r>
      <w:r w:rsidR="00C73923">
        <w:t xml:space="preserve">or, where agreement </w:t>
      </w:r>
      <w:r w:rsidR="00692CBC">
        <w:t>cannot</w:t>
      </w:r>
      <w:r w:rsidR="00C73923">
        <w:t xml:space="preserve"> be reached, the basis of the disagreement, measures taken to resolve the disagreement and any matters that are agreed. </w:t>
      </w:r>
    </w:p>
    <w:p w14:paraId="56BFE536" w14:textId="77777777" w:rsidR="00F761F6" w:rsidRDefault="00F761F6" w:rsidP="003F3DF5"/>
    <w:p w14:paraId="1AC928E7" w14:textId="6B82DF12" w:rsidR="00746E4D" w:rsidRDefault="008055C7" w:rsidP="00F827BC">
      <w:pPr>
        <w:pStyle w:val="Heading4"/>
      </w:pPr>
      <w:r>
        <w:t>4.7</w:t>
      </w:r>
      <w:r>
        <w:tab/>
      </w:r>
      <w:r w:rsidR="00573B6D">
        <w:t>Licence Renewal procedure</w:t>
      </w:r>
    </w:p>
    <w:p w14:paraId="3232E90E" w14:textId="23827333" w:rsidR="00573B6D" w:rsidRDefault="00573B6D">
      <w:r>
        <w:t>Licences granted under a</w:t>
      </w:r>
      <w:r w:rsidR="00506005">
        <w:t xml:space="preserve"> licence</w:t>
      </w:r>
      <w:r>
        <w:t xml:space="preserve"> agreement between the MRO and a third party will be </w:t>
      </w:r>
      <w:r w:rsidR="00655383">
        <w:t xml:space="preserve">considered for </w:t>
      </w:r>
      <w:r>
        <w:t>renew</w:t>
      </w:r>
      <w:r w:rsidR="00655383">
        <w:t>al</w:t>
      </w:r>
      <w:r>
        <w:t xml:space="preserve"> </w:t>
      </w:r>
      <w:r w:rsidR="00655383">
        <w:t xml:space="preserve">consistent with the obligations under the </w:t>
      </w:r>
      <w:proofErr w:type="spellStart"/>
      <w:r w:rsidR="00655383">
        <w:rPr>
          <w:i/>
        </w:rPr>
        <w:t>Radiocommunications</w:t>
      </w:r>
      <w:proofErr w:type="spellEnd"/>
      <w:r w:rsidR="00655383">
        <w:rPr>
          <w:i/>
        </w:rPr>
        <w:t xml:space="preserve"> Act 1992 </w:t>
      </w:r>
      <w:r w:rsidR="00655383">
        <w:t>and</w:t>
      </w:r>
      <w:r>
        <w:t xml:space="preserve"> the ACMA’s apparatus licence renewal policy</w:t>
      </w:r>
      <w:r>
        <w:rPr>
          <w:rStyle w:val="FootnoteReference"/>
        </w:rPr>
        <w:footnoteReference w:id="5"/>
      </w:r>
      <w:r>
        <w:t>. Any agreements reached will not be required to be renegotiated at the time of licence renewal, unless stated in the agreement</w:t>
      </w:r>
      <w:r w:rsidR="00371DDE">
        <w:t xml:space="preserve"> or if the </w:t>
      </w:r>
      <w:r w:rsidR="00506005">
        <w:t xml:space="preserve">licence </w:t>
      </w:r>
      <w:r w:rsidR="00371DDE">
        <w:t>agreement has a limited time period</w:t>
      </w:r>
      <w:r>
        <w:t xml:space="preserve">. </w:t>
      </w:r>
    </w:p>
    <w:p w14:paraId="66238E55" w14:textId="6780F020" w:rsidR="00573B6D" w:rsidRDefault="00371DDE">
      <w:r>
        <w:t>In addition, any future changes to RALI MS 32 will not count as a reason for the ACMA to depart from the standard renewal practice (as outlined under ‘special cases’ in the ACMA’s apparatus licence renewal policy), nor will they result in a requirement to renew existing</w:t>
      </w:r>
      <w:r w:rsidR="0051443A">
        <w:t xml:space="preserve"> </w:t>
      </w:r>
      <w:r w:rsidR="00506005">
        <w:t xml:space="preserve">licence </w:t>
      </w:r>
      <w:r w:rsidR="0051443A">
        <w:t>agreements between a</w:t>
      </w:r>
      <w:r w:rsidR="00573B6D">
        <w:t xml:space="preserve"> third party and the MRO.</w:t>
      </w:r>
      <w:r w:rsidR="00D00C9D">
        <w:t xml:space="preserve"> </w:t>
      </w:r>
    </w:p>
    <w:p w14:paraId="7D184152" w14:textId="77777777" w:rsidR="008055C7" w:rsidRPr="008055C7" w:rsidRDefault="00694407">
      <w:r>
        <w:t xml:space="preserve">For licences to be renewed as described above, </w:t>
      </w:r>
      <w:r w:rsidR="00A44EFE" w:rsidRPr="00D15CEA">
        <w:t xml:space="preserve">the parameters of </w:t>
      </w:r>
      <w:r w:rsidR="00A44EFE">
        <w:t>transmitters</w:t>
      </w:r>
      <w:r w:rsidR="00A44EFE" w:rsidRPr="00D15CEA">
        <w:t xml:space="preserve"> operating under </w:t>
      </w:r>
      <w:r w:rsidR="00A44EFE">
        <w:t>existing apparatus</w:t>
      </w:r>
      <w:r w:rsidR="00A44EFE" w:rsidRPr="00D15CEA">
        <w:t xml:space="preserve"> licences shall not be modified in a way such that their potential to cause interference would increase</w:t>
      </w:r>
      <w:r w:rsidR="00A44EFE">
        <w:t>.</w:t>
      </w:r>
    </w:p>
    <w:p w14:paraId="268EDCF4" w14:textId="77777777" w:rsidR="0097169A" w:rsidRPr="007321E7" w:rsidRDefault="001066B2" w:rsidP="007321E7">
      <w:pPr>
        <w:pStyle w:val="Heading3"/>
      </w:pPr>
      <w:bookmarkStart w:id="68" w:name="_Toc350438534"/>
      <w:r w:rsidRPr="001066B2">
        <w:t>5.0  Exceptions</w:t>
      </w:r>
      <w:bookmarkEnd w:id="68"/>
    </w:p>
    <w:p w14:paraId="51BF4159" w14:textId="51BD979A" w:rsidR="00FD3347" w:rsidRDefault="0097169A">
      <w:pPr>
        <w:rPr>
          <w:lang w:val="en-AU"/>
        </w:rPr>
      </w:pPr>
      <w:r w:rsidRPr="0039312E">
        <w:rPr>
          <w:lang w:val="en-AU"/>
        </w:rPr>
        <w:t xml:space="preserve">Exceptions </w:t>
      </w:r>
      <w:r w:rsidR="00734991" w:rsidRPr="0039312E">
        <w:rPr>
          <w:lang w:val="en-AU"/>
        </w:rPr>
        <w:t xml:space="preserve">to the requirements of this RALI for prospective assignments </w:t>
      </w:r>
      <w:r w:rsidRPr="0039312E">
        <w:rPr>
          <w:lang w:val="en-AU"/>
        </w:rPr>
        <w:t>require case-by-case considera</w:t>
      </w:r>
      <w:r w:rsidR="00A01D4F" w:rsidRPr="0039312E">
        <w:rPr>
          <w:lang w:val="en-AU"/>
        </w:rPr>
        <w:t xml:space="preserve">tion by </w:t>
      </w:r>
      <w:r w:rsidRPr="0039312E">
        <w:rPr>
          <w:lang w:val="en-AU"/>
        </w:rPr>
        <w:t xml:space="preserve">the Manager, Spectrum </w:t>
      </w:r>
      <w:r w:rsidR="00A01D4F" w:rsidRPr="0039312E">
        <w:rPr>
          <w:lang w:val="en-AU"/>
        </w:rPr>
        <w:t>Engineering Section</w:t>
      </w:r>
      <w:r w:rsidR="006C3772" w:rsidRPr="0039312E">
        <w:rPr>
          <w:rStyle w:val="FootnoteReference"/>
        </w:rPr>
        <w:footnoteReference w:id="6"/>
      </w:r>
      <w:r w:rsidRPr="0039312E">
        <w:rPr>
          <w:lang w:val="en-AU"/>
        </w:rPr>
        <w:t>.</w:t>
      </w:r>
    </w:p>
    <w:p w14:paraId="313AE2D4" w14:textId="77777777" w:rsidR="00500E04" w:rsidRDefault="00500E04">
      <w:pPr>
        <w:rPr>
          <w:lang w:val="en-AU"/>
        </w:rPr>
      </w:pPr>
      <w:r>
        <w:rPr>
          <w:lang w:val="en-AU"/>
        </w:rPr>
        <w:t xml:space="preserve">A request for exemption from the requirements of this RALI </w:t>
      </w:r>
      <w:r w:rsidR="000B0692">
        <w:rPr>
          <w:lang w:val="en-AU"/>
        </w:rPr>
        <w:t>would need to be</w:t>
      </w:r>
      <w:r>
        <w:rPr>
          <w:lang w:val="en-AU"/>
        </w:rPr>
        <w:t xml:space="preserve"> </w:t>
      </w:r>
      <w:r w:rsidR="00946569">
        <w:rPr>
          <w:lang w:val="en-AU"/>
        </w:rPr>
        <w:t xml:space="preserve">accompanied </w:t>
      </w:r>
      <w:r w:rsidR="000B0692">
        <w:rPr>
          <w:lang w:val="en-AU"/>
        </w:rPr>
        <w:t>by</w:t>
      </w:r>
      <w:r w:rsidR="00946569">
        <w:rPr>
          <w:lang w:val="en-AU"/>
        </w:rPr>
        <w:t xml:space="preserve"> evidence of </w:t>
      </w:r>
      <w:r w:rsidR="005F15FF">
        <w:rPr>
          <w:lang w:val="en-AU"/>
        </w:rPr>
        <w:t>MRO</w:t>
      </w:r>
      <w:r w:rsidR="005F4D9C">
        <w:rPr>
          <w:lang w:val="en-AU"/>
        </w:rPr>
        <w:t xml:space="preserve"> entity</w:t>
      </w:r>
      <w:r>
        <w:rPr>
          <w:lang w:val="en-AU"/>
        </w:rPr>
        <w:t xml:space="preserve"> </w:t>
      </w:r>
      <w:r w:rsidR="00946569">
        <w:rPr>
          <w:lang w:val="en-AU"/>
        </w:rPr>
        <w:t>support</w:t>
      </w:r>
      <w:r>
        <w:rPr>
          <w:lang w:val="en-AU"/>
        </w:rPr>
        <w:t>.</w:t>
      </w:r>
    </w:p>
    <w:p w14:paraId="3B1C9D48" w14:textId="77777777" w:rsidR="007321E7" w:rsidRDefault="007321E7"/>
    <w:p w14:paraId="50F5A542" w14:textId="44ADD78A" w:rsidR="00510CF9" w:rsidRDefault="00184494" w:rsidP="00803EF4">
      <w:pPr>
        <w:pStyle w:val="Heading3"/>
      </w:pPr>
      <w:bookmarkStart w:id="69" w:name="_Toc454597306"/>
      <w:bookmarkStart w:id="70" w:name="_Toc475864871"/>
      <w:bookmarkStart w:id="71" w:name="_Toc350438535"/>
      <w:bookmarkStart w:id="72" w:name="_GoBack"/>
      <w:proofErr w:type="gramStart"/>
      <w:r w:rsidRPr="007321E7">
        <w:t xml:space="preserve">6.0  </w:t>
      </w:r>
      <w:r w:rsidR="00510CF9" w:rsidRPr="007321E7">
        <w:t>RALI</w:t>
      </w:r>
      <w:proofErr w:type="gramEnd"/>
      <w:r w:rsidR="00510CF9" w:rsidRPr="007321E7">
        <w:t xml:space="preserve"> Authorisation</w:t>
      </w:r>
      <w:bookmarkEnd w:id="69"/>
      <w:bookmarkEnd w:id="70"/>
      <w:bookmarkEnd w:id="71"/>
    </w:p>
    <w:p w14:paraId="302FA725" w14:textId="2F2BF6F5" w:rsidR="00803EF4" w:rsidRDefault="00803EF4">
      <w:r>
        <w:t>[</w:t>
      </w:r>
      <w:proofErr w:type="gramStart"/>
      <w:r>
        <w:t>signed</w:t>
      </w:r>
      <w:proofErr w:type="gramEnd"/>
      <w:r>
        <w:t xml:space="preserve"> – 19/12/2014]</w:t>
      </w:r>
    </w:p>
    <w:bookmarkEnd w:id="72"/>
    <w:p w14:paraId="5C32AE5C" w14:textId="77777777" w:rsidR="00803EF4" w:rsidRPr="00160331" w:rsidRDefault="00803EF4"/>
    <w:p w14:paraId="2D390759" w14:textId="77777777" w:rsidR="00803EF4" w:rsidRDefault="00803EF4" w:rsidP="00B51F43">
      <w:pPr>
        <w:rPr>
          <w:b/>
        </w:rPr>
      </w:pPr>
      <w:r>
        <w:rPr>
          <w:b/>
        </w:rPr>
        <w:t>Mark Arkell</w:t>
      </w:r>
    </w:p>
    <w:p w14:paraId="7C952048" w14:textId="77777777" w:rsidR="00803EF4" w:rsidRPr="00803EF4" w:rsidRDefault="00803EF4" w:rsidP="00803EF4">
      <w:pPr>
        <w:spacing w:after="0"/>
      </w:pPr>
      <w:r w:rsidRPr="00803EF4">
        <w:t>Manager</w:t>
      </w:r>
      <w:r w:rsidR="00510CF9" w:rsidRPr="00803EF4">
        <w:br/>
      </w:r>
      <w:r w:rsidRPr="00803EF4">
        <w:t>Spectrum Engineering Section</w:t>
      </w:r>
    </w:p>
    <w:p w14:paraId="5B8DBE2E" w14:textId="00046EA2" w:rsidR="00510CF9" w:rsidRPr="00803EF4" w:rsidRDefault="00F24D8F" w:rsidP="00803EF4">
      <w:pPr>
        <w:spacing w:after="0"/>
      </w:pPr>
      <w:r w:rsidRPr="00803EF4">
        <w:t xml:space="preserve">Spectrum </w:t>
      </w:r>
      <w:r w:rsidR="003E32CE" w:rsidRPr="00803EF4">
        <w:t xml:space="preserve">Planning and Engineering </w:t>
      </w:r>
      <w:r w:rsidR="002C36BE" w:rsidRPr="00803EF4">
        <w:t>Branch</w:t>
      </w:r>
      <w:r w:rsidR="00510CF9" w:rsidRPr="00803EF4">
        <w:br/>
        <w:t xml:space="preserve">Australian Communications </w:t>
      </w:r>
      <w:r w:rsidR="00FE67E5" w:rsidRPr="00803EF4">
        <w:t xml:space="preserve">and Media </w:t>
      </w:r>
      <w:r w:rsidR="00510CF9" w:rsidRPr="00803EF4">
        <w:t>Authority</w:t>
      </w:r>
    </w:p>
    <w:p w14:paraId="67C5CCF1" w14:textId="77777777" w:rsidR="00583721" w:rsidRDefault="00583721" w:rsidP="00583721">
      <w:pPr>
        <w:pStyle w:val="Heading3"/>
      </w:pPr>
      <w:r>
        <w:br w:type="page"/>
      </w:r>
      <w:bookmarkStart w:id="73" w:name="_Toc350438536"/>
      <w:r w:rsidRPr="00B26BA2">
        <w:t>Glossary</w:t>
      </w:r>
      <w:bookmarkEnd w:id="73"/>
    </w:p>
    <w:p w14:paraId="2A541869" w14:textId="77777777" w:rsidR="00583721" w:rsidRDefault="00583721" w:rsidP="00583721">
      <w:pPr>
        <w:rPr>
          <w:sz w:val="36"/>
          <w:szCs w:val="36"/>
        </w:rPr>
      </w:pPr>
    </w:p>
    <w:p w14:paraId="77394C55" w14:textId="77777777" w:rsidR="00154AF6" w:rsidRDefault="00154AF6" w:rsidP="007321E7">
      <w:pPr>
        <w:tabs>
          <w:tab w:val="left" w:pos="2410"/>
        </w:tabs>
        <w:ind w:left="2410" w:hanging="2410"/>
        <w:rPr>
          <w:szCs w:val="24"/>
        </w:rPr>
      </w:pPr>
      <w:r>
        <w:rPr>
          <w:szCs w:val="24"/>
        </w:rPr>
        <w:t>ARQZWA</w:t>
      </w:r>
      <w:r>
        <w:rPr>
          <w:szCs w:val="24"/>
        </w:rPr>
        <w:tab/>
        <w:t>Australian Radio Quiet Zone (Western Australia)</w:t>
      </w:r>
    </w:p>
    <w:p w14:paraId="6C325110" w14:textId="77777777" w:rsidR="00583721" w:rsidRDefault="00583721" w:rsidP="007321E7">
      <w:pPr>
        <w:tabs>
          <w:tab w:val="left" w:pos="2410"/>
        </w:tabs>
        <w:ind w:left="2410" w:hanging="2410"/>
        <w:rPr>
          <w:szCs w:val="24"/>
        </w:rPr>
      </w:pPr>
      <w:r>
        <w:rPr>
          <w:szCs w:val="24"/>
        </w:rPr>
        <w:t>EIRP</w:t>
      </w:r>
      <w:r>
        <w:rPr>
          <w:szCs w:val="24"/>
        </w:rPr>
        <w:tab/>
      </w:r>
      <w:r w:rsidR="001E2465">
        <w:rPr>
          <w:szCs w:val="24"/>
        </w:rPr>
        <w:t xml:space="preserve">Equivalent </w:t>
      </w:r>
      <w:proofErr w:type="spellStart"/>
      <w:r>
        <w:rPr>
          <w:szCs w:val="24"/>
        </w:rPr>
        <w:t>Isotropically</w:t>
      </w:r>
      <w:proofErr w:type="spellEnd"/>
      <w:r>
        <w:rPr>
          <w:szCs w:val="24"/>
        </w:rPr>
        <w:t xml:space="preserve"> Radiated Power</w:t>
      </w:r>
    </w:p>
    <w:p w14:paraId="615CBA23" w14:textId="77777777" w:rsidR="000413DD" w:rsidRDefault="000413DD" w:rsidP="007321E7">
      <w:pPr>
        <w:tabs>
          <w:tab w:val="left" w:pos="2410"/>
        </w:tabs>
        <w:ind w:left="2410" w:hanging="2410"/>
        <w:rPr>
          <w:szCs w:val="24"/>
        </w:rPr>
      </w:pPr>
      <w:r>
        <w:rPr>
          <w:szCs w:val="24"/>
        </w:rPr>
        <w:t>MRO</w:t>
      </w:r>
      <w:r>
        <w:rPr>
          <w:szCs w:val="24"/>
        </w:rPr>
        <w:tab/>
        <w:t xml:space="preserve">Murchison </w:t>
      </w:r>
      <w:proofErr w:type="spellStart"/>
      <w:r>
        <w:rPr>
          <w:szCs w:val="24"/>
        </w:rPr>
        <w:t>Radioastronomy</w:t>
      </w:r>
      <w:proofErr w:type="spellEnd"/>
      <w:r>
        <w:rPr>
          <w:szCs w:val="24"/>
        </w:rPr>
        <w:t xml:space="preserve"> Observatory</w:t>
      </w:r>
    </w:p>
    <w:p w14:paraId="3D5DBD23" w14:textId="77777777" w:rsidR="000413DD" w:rsidRDefault="000413DD" w:rsidP="007321E7">
      <w:pPr>
        <w:tabs>
          <w:tab w:val="left" w:pos="2410"/>
        </w:tabs>
        <w:ind w:left="2410" w:hanging="2410"/>
        <w:rPr>
          <w:szCs w:val="24"/>
        </w:rPr>
      </w:pPr>
      <w:r>
        <w:rPr>
          <w:szCs w:val="24"/>
        </w:rPr>
        <w:t>MRO entity</w:t>
      </w:r>
      <w:r>
        <w:rPr>
          <w:szCs w:val="24"/>
        </w:rPr>
        <w:tab/>
        <w:t>the entity responsible for operating the MRO</w:t>
      </w:r>
    </w:p>
    <w:p w14:paraId="502DBB2F" w14:textId="77777777" w:rsidR="00583721" w:rsidRDefault="00583721" w:rsidP="007321E7">
      <w:pPr>
        <w:tabs>
          <w:tab w:val="left" w:pos="2410"/>
        </w:tabs>
        <w:ind w:left="2410" w:hanging="2410"/>
        <w:rPr>
          <w:szCs w:val="24"/>
        </w:rPr>
      </w:pPr>
      <w:r>
        <w:rPr>
          <w:szCs w:val="24"/>
        </w:rPr>
        <w:t>NRQZ</w:t>
      </w:r>
      <w:r>
        <w:rPr>
          <w:szCs w:val="24"/>
        </w:rPr>
        <w:tab/>
        <w:t>National Radio Quiet Zone - United States of America</w:t>
      </w:r>
    </w:p>
    <w:p w14:paraId="0572E141" w14:textId="77777777" w:rsidR="00583721" w:rsidRDefault="00583721" w:rsidP="007321E7">
      <w:pPr>
        <w:tabs>
          <w:tab w:val="left" w:pos="1134"/>
          <w:tab w:val="left" w:pos="2410"/>
        </w:tabs>
        <w:ind w:left="2410" w:hanging="2410"/>
        <w:rPr>
          <w:szCs w:val="24"/>
        </w:rPr>
      </w:pPr>
      <w:r>
        <w:rPr>
          <w:szCs w:val="24"/>
        </w:rPr>
        <w:t>RALI</w:t>
      </w:r>
      <w:r>
        <w:rPr>
          <w:szCs w:val="24"/>
        </w:rPr>
        <w:tab/>
      </w:r>
      <w:r>
        <w:rPr>
          <w:szCs w:val="24"/>
        </w:rPr>
        <w:tab/>
      </w:r>
      <w:proofErr w:type="spellStart"/>
      <w:r>
        <w:rPr>
          <w:szCs w:val="24"/>
        </w:rPr>
        <w:t>Radiocommunications</w:t>
      </w:r>
      <w:proofErr w:type="spellEnd"/>
      <w:r>
        <w:rPr>
          <w:szCs w:val="24"/>
        </w:rPr>
        <w:t xml:space="preserve"> Assignment and Licensing Instruction</w:t>
      </w:r>
    </w:p>
    <w:p w14:paraId="233832A9" w14:textId="77777777" w:rsidR="000413DD" w:rsidRDefault="000413DD" w:rsidP="007321E7">
      <w:pPr>
        <w:tabs>
          <w:tab w:val="left" w:pos="2410"/>
        </w:tabs>
        <w:ind w:left="2410" w:hanging="2410"/>
        <w:rPr>
          <w:szCs w:val="24"/>
        </w:rPr>
      </w:pPr>
      <w:r>
        <w:t>RQZ Band Plan</w:t>
      </w:r>
      <w:r>
        <w:tab/>
      </w:r>
      <w:proofErr w:type="spellStart"/>
      <w:r w:rsidRPr="00510A45">
        <w:rPr>
          <w:i/>
        </w:rPr>
        <w:t>Radiocommunications</w:t>
      </w:r>
      <w:proofErr w:type="spellEnd"/>
      <w:r w:rsidRPr="00510A45">
        <w:rPr>
          <w:i/>
        </w:rPr>
        <w:t xml:space="preserve"> (Mid-West Radio Quiet Zone) Frequency Band Plan 2011</w:t>
      </w:r>
    </w:p>
    <w:p w14:paraId="3DFC5224" w14:textId="77777777" w:rsidR="00845004" w:rsidRDefault="00845004" w:rsidP="007321E7">
      <w:pPr>
        <w:tabs>
          <w:tab w:val="left" w:pos="2410"/>
        </w:tabs>
        <w:ind w:left="2410" w:hanging="2410"/>
        <w:rPr>
          <w:szCs w:val="24"/>
        </w:rPr>
      </w:pPr>
      <w:r>
        <w:rPr>
          <w:szCs w:val="24"/>
        </w:rPr>
        <w:t>SKA</w:t>
      </w:r>
      <w:r>
        <w:rPr>
          <w:szCs w:val="24"/>
        </w:rPr>
        <w:tab/>
        <w:t>Square Kilometre Array</w:t>
      </w:r>
    </w:p>
    <w:p w14:paraId="13E7F344" w14:textId="77777777" w:rsidR="00272B68" w:rsidRPr="00BB3293" w:rsidRDefault="00272B68" w:rsidP="007321E7">
      <w:pPr>
        <w:tabs>
          <w:tab w:val="left" w:pos="2410"/>
        </w:tabs>
        <w:ind w:left="2410" w:hanging="2410"/>
        <w:rPr>
          <w:szCs w:val="24"/>
        </w:rPr>
      </w:pPr>
      <w:r>
        <w:t>Supplementary RQZ</w:t>
      </w:r>
      <w:r>
        <w:tab/>
      </w:r>
      <w:r w:rsidR="005C3956">
        <w:t xml:space="preserve">a </w:t>
      </w:r>
      <w:r>
        <w:t>radio quiet zone as described in the RQZ Band Plan</w:t>
      </w:r>
    </w:p>
    <w:p w14:paraId="446C366B" w14:textId="77777777" w:rsidR="00AC4249" w:rsidRPr="0026422B" w:rsidRDefault="00AC4249" w:rsidP="00AC4249">
      <w:pPr>
        <w:keepNext/>
        <w:spacing w:before="120"/>
        <w:jc w:val="center"/>
        <w:rPr>
          <w:b/>
          <w:sz w:val="36"/>
          <w:szCs w:val="36"/>
        </w:rPr>
      </w:pPr>
      <w:r>
        <w:br w:type="page"/>
      </w:r>
      <w:r w:rsidRPr="0026422B">
        <w:rPr>
          <w:b/>
          <w:sz w:val="36"/>
          <w:szCs w:val="36"/>
        </w:rPr>
        <w:t>ANNEX</w:t>
      </w:r>
    </w:p>
    <w:p w14:paraId="067081FD" w14:textId="77777777" w:rsidR="003C6959" w:rsidRPr="003C6959" w:rsidRDefault="003C6959" w:rsidP="003C6959">
      <w:pPr>
        <w:keepNext/>
        <w:spacing w:before="120"/>
        <w:jc w:val="center"/>
        <w:rPr>
          <w:b/>
        </w:rPr>
      </w:pPr>
      <w:r w:rsidRPr="003C6959">
        <w:rPr>
          <w:b/>
        </w:rPr>
        <w:t>Interference assessment methods</w:t>
      </w:r>
    </w:p>
    <w:p w14:paraId="25377598" w14:textId="77777777" w:rsidR="00F9568B" w:rsidRPr="00F827BC" w:rsidRDefault="00F9568B" w:rsidP="00AC4249">
      <w:pPr>
        <w:keepNext/>
        <w:spacing w:before="120"/>
        <w:rPr>
          <w:b/>
          <w:i/>
        </w:rPr>
      </w:pPr>
      <w:r>
        <w:rPr>
          <w:b/>
          <w:i/>
        </w:rPr>
        <w:t>Centre threshold assessment</w:t>
      </w:r>
    </w:p>
    <w:p w14:paraId="5BA701EA" w14:textId="77777777" w:rsidR="00AC4249" w:rsidRDefault="00AC4249" w:rsidP="00AC4249">
      <w:pPr>
        <w:keepNext/>
        <w:spacing w:before="120"/>
      </w:pPr>
      <w:r>
        <w:t xml:space="preserve">For interference to the </w:t>
      </w:r>
      <w:r w:rsidR="00D45ED1">
        <w:t>ARQZWA</w:t>
      </w:r>
      <w:r>
        <w:t xml:space="preserve"> centre, assessment is based on the following method of determining the signal level from the proposed transmitter:</w:t>
      </w:r>
    </w:p>
    <w:p w14:paraId="3101429A" w14:textId="77777777" w:rsidR="00AC4249" w:rsidRDefault="00AC4249" w:rsidP="00AC4249">
      <w:pPr>
        <w:keepNext/>
        <w:spacing w:before="120"/>
      </w:pPr>
    </w:p>
    <w:p w14:paraId="1864EA8F" w14:textId="53A30619" w:rsidR="00AC4249" w:rsidRPr="003C628F" w:rsidRDefault="00AC4249" w:rsidP="00AC4249">
      <w:pPr>
        <w:spacing w:before="120"/>
        <w:jc w:val="center"/>
        <w:rPr>
          <w:b/>
          <w:bCs/>
        </w:rPr>
      </w:pPr>
      <w:proofErr w:type="spellStart"/>
      <w:r w:rsidRPr="003C628F">
        <w:rPr>
          <w:b/>
          <w:bCs/>
          <w:sz w:val="22"/>
          <w:szCs w:val="22"/>
        </w:rPr>
        <w:t>Tx</w:t>
      </w:r>
      <w:proofErr w:type="spellEnd"/>
      <w:r w:rsidRPr="003C628F">
        <w:rPr>
          <w:b/>
          <w:bCs/>
          <w:sz w:val="22"/>
          <w:szCs w:val="22"/>
        </w:rPr>
        <w:t xml:space="preserve"> PSD</w:t>
      </w:r>
      <w:r w:rsidRPr="003C628F">
        <w:rPr>
          <w:rFonts w:ascii="Times New (W1)" w:cs="Times New (W1)"/>
          <w:b/>
          <w:bCs/>
          <w:sz w:val="22"/>
          <w:szCs w:val="22"/>
          <w:vertAlign w:val="subscript"/>
        </w:rPr>
        <w:t>(</w:t>
      </w:r>
      <w:proofErr w:type="spellStart"/>
      <w:r w:rsidRPr="003C628F">
        <w:rPr>
          <w:rFonts w:ascii="Times New (W1)" w:cs="Times New (W1)"/>
          <w:b/>
          <w:bCs/>
          <w:sz w:val="22"/>
          <w:szCs w:val="22"/>
          <w:vertAlign w:val="subscript"/>
        </w:rPr>
        <w:t>dBm</w:t>
      </w:r>
      <w:proofErr w:type="spellEnd"/>
      <w:r w:rsidRPr="003C628F">
        <w:rPr>
          <w:rFonts w:ascii="Times New (W1)" w:cs="Times New (W1)"/>
          <w:b/>
          <w:bCs/>
          <w:sz w:val="22"/>
          <w:szCs w:val="22"/>
          <w:vertAlign w:val="subscript"/>
        </w:rPr>
        <w:t>/Hz)</w:t>
      </w:r>
      <w:r w:rsidR="00746E4D" w:rsidRPr="00F827BC">
        <w:rPr>
          <w:rFonts w:ascii="Times New (W1)" w:cs="Times New (W1)"/>
          <w:b/>
          <w:bCs/>
          <w:sz w:val="22"/>
          <w:szCs w:val="22"/>
        </w:rPr>
        <w:t xml:space="preserve"> </w:t>
      </w:r>
      <w:r w:rsidR="00D92A59">
        <w:rPr>
          <w:b/>
          <w:bCs/>
        </w:rPr>
        <w:t>–</w:t>
      </w:r>
      <w:r w:rsidRPr="003C628F">
        <w:rPr>
          <w:b/>
          <w:bCs/>
        </w:rPr>
        <w:t xml:space="preserve"> PPL</w:t>
      </w:r>
      <w:r>
        <w:rPr>
          <w:b/>
          <w:bCs/>
        </w:rPr>
        <w:t xml:space="preserve"> </w:t>
      </w:r>
      <w:r w:rsidR="00D92A59">
        <w:rPr>
          <w:b/>
          <w:bCs/>
        </w:rPr>
        <w:t>–</w:t>
      </w:r>
      <w:r>
        <w:rPr>
          <w:b/>
          <w:bCs/>
        </w:rPr>
        <w:t xml:space="preserve"> 3.9 </w:t>
      </w:r>
      <w:r w:rsidR="00831441">
        <w:rPr>
          <w:b/>
          <w:bCs/>
        </w:rPr>
        <w:t>≤</w:t>
      </w:r>
      <w:r w:rsidRPr="003C628F">
        <w:rPr>
          <w:b/>
          <w:bCs/>
        </w:rPr>
        <w:t xml:space="preserve"> </w:t>
      </w:r>
      <w:r w:rsidR="00C41036">
        <w:rPr>
          <w:b/>
          <w:bCs/>
        </w:rPr>
        <w:t xml:space="preserve">Threshold at </w:t>
      </w:r>
      <w:r w:rsidR="00D45ED1">
        <w:rPr>
          <w:b/>
          <w:bCs/>
        </w:rPr>
        <w:t>ARQZWA</w:t>
      </w:r>
      <w:r w:rsidR="00C41036">
        <w:rPr>
          <w:b/>
          <w:bCs/>
        </w:rPr>
        <w:t xml:space="preserve"> centre</w:t>
      </w:r>
    </w:p>
    <w:p w14:paraId="728736E7" w14:textId="721466BE" w:rsidR="00AC4249" w:rsidRDefault="00AC4249" w:rsidP="00AC4249">
      <w:pPr>
        <w:spacing w:before="120"/>
      </w:pPr>
      <w:r>
        <w:t>Where:</w:t>
      </w:r>
      <w:r>
        <w:br/>
      </w:r>
      <w:proofErr w:type="spellStart"/>
      <w:r>
        <w:t>T</w:t>
      </w:r>
      <w:r w:rsidRPr="008A550F">
        <w:rPr>
          <w:sz w:val="22"/>
          <w:szCs w:val="22"/>
        </w:rPr>
        <w:t>x</w:t>
      </w:r>
      <w:proofErr w:type="spellEnd"/>
      <w:r w:rsidRPr="008A550F">
        <w:rPr>
          <w:sz w:val="22"/>
          <w:szCs w:val="22"/>
        </w:rPr>
        <w:t xml:space="preserve"> PSD</w:t>
      </w:r>
      <w:r w:rsidRPr="008A550F">
        <w:rPr>
          <w:rFonts w:ascii="Times New (W1)" w:cs="Times New (W1)"/>
          <w:sz w:val="22"/>
          <w:szCs w:val="22"/>
          <w:vertAlign w:val="subscript"/>
        </w:rPr>
        <w:t>(</w:t>
      </w:r>
      <w:proofErr w:type="spellStart"/>
      <w:r w:rsidRPr="008A550F">
        <w:rPr>
          <w:rFonts w:ascii="Times New (W1)" w:cs="Times New (W1)"/>
          <w:sz w:val="22"/>
          <w:szCs w:val="22"/>
          <w:vertAlign w:val="subscript"/>
        </w:rPr>
        <w:t>dBm</w:t>
      </w:r>
      <w:proofErr w:type="spellEnd"/>
      <w:r w:rsidRPr="008A550F">
        <w:rPr>
          <w:rFonts w:ascii="Times New (W1)" w:cs="Times New (W1)"/>
          <w:sz w:val="22"/>
          <w:szCs w:val="22"/>
          <w:vertAlign w:val="subscript"/>
        </w:rPr>
        <w:t>/Hz)</w:t>
      </w:r>
      <w:r>
        <w:t xml:space="preserve"> = Transmitter power spectral density</w:t>
      </w:r>
      <w:r w:rsidR="00D92A59">
        <w:t xml:space="preserve"> (</w:t>
      </w:r>
      <w:proofErr w:type="spellStart"/>
      <w:r w:rsidR="00D92A59">
        <w:t>dBm</w:t>
      </w:r>
      <w:proofErr w:type="spellEnd"/>
      <w:r w:rsidR="00D92A59">
        <w:t>/Hz)</w:t>
      </w:r>
      <w:r>
        <w:rPr>
          <w:rStyle w:val="FootnoteReference"/>
        </w:rPr>
        <w:footnoteReference w:id="7"/>
      </w:r>
      <w:r>
        <w:br/>
        <w:t>PPL = Propagation Path Loss</w:t>
      </w:r>
      <w:r w:rsidR="00D92A59">
        <w:t xml:space="preserve"> (dB)</w:t>
      </w:r>
      <w:r>
        <w:br/>
        <w:t xml:space="preserve">Threshold at </w:t>
      </w:r>
      <w:r w:rsidR="00881FD3">
        <w:t xml:space="preserve">ARQZWA </w:t>
      </w:r>
      <w:r>
        <w:t>centre</w:t>
      </w:r>
      <w:r w:rsidR="00C41036">
        <w:t xml:space="preserve"> (</w:t>
      </w:r>
      <w:proofErr w:type="spellStart"/>
      <w:r w:rsidR="00C41036">
        <w:t>dBm</w:t>
      </w:r>
      <w:proofErr w:type="spellEnd"/>
      <w:r w:rsidR="00C41036">
        <w:t>/Hz): as given</w:t>
      </w:r>
      <w:r>
        <w:t xml:space="preserve"> in</w:t>
      </w:r>
      <w:r w:rsidR="00C41036">
        <w:t xml:space="preserve"> third column of</w:t>
      </w:r>
      <w:r>
        <w:t xml:space="preserve"> Table 1.</w:t>
      </w:r>
    </w:p>
    <w:p w14:paraId="48523CA5" w14:textId="77777777" w:rsidR="00AC4249" w:rsidRDefault="00AC4249" w:rsidP="00AC4249">
      <w:pPr>
        <w:keepNext/>
      </w:pPr>
      <w:r>
        <w:t>Transmitter power spectral density (</w:t>
      </w:r>
      <w:proofErr w:type="spellStart"/>
      <w:r>
        <w:t>Tx</w:t>
      </w:r>
      <w:proofErr w:type="spellEnd"/>
      <w:r>
        <w:t xml:space="preserve"> PSD</w:t>
      </w:r>
      <w:r w:rsidR="00CD18DE" w:rsidRPr="008A550F">
        <w:rPr>
          <w:rFonts w:ascii="Times New (W1)" w:cs="Times New (W1)"/>
          <w:sz w:val="22"/>
          <w:szCs w:val="22"/>
          <w:vertAlign w:val="subscript"/>
        </w:rPr>
        <w:t>(</w:t>
      </w:r>
      <w:proofErr w:type="spellStart"/>
      <w:r w:rsidR="00CD18DE" w:rsidRPr="008A550F">
        <w:rPr>
          <w:rFonts w:ascii="Times New (W1)" w:cs="Times New (W1)"/>
          <w:sz w:val="22"/>
          <w:szCs w:val="22"/>
          <w:vertAlign w:val="subscript"/>
        </w:rPr>
        <w:t>dBm</w:t>
      </w:r>
      <w:proofErr w:type="spellEnd"/>
      <w:r w:rsidR="00CD18DE" w:rsidRPr="008A550F">
        <w:rPr>
          <w:rFonts w:ascii="Times New (W1)" w:cs="Times New (W1)"/>
          <w:sz w:val="22"/>
          <w:szCs w:val="22"/>
          <w:vertAlign w:val="subscript"/>
        </w:rPr>
        <w:t>/Hz)</w:t>
      </w:r>
      <w:r>
        <w:t xml:space="preserve">) in the direction of the centre of the </w:t>
      </w:r>
      <w:r w:rsidR="005A7AB1">
        <w:t>A</w:t>
      </w:r>
      <w:r>
        <w:t>RQZ</w:t>
      </w:r>
      <w:r w:rsidR="005A7AB1">
        <w:t>WA</w:t>
      </w:r>
      <w:r>
        <w:t xml:space="preserve"> is determined by:</w:t>
      </w:r>
    </w:p>
    <w:p w14:paraId="15ED622E" w14:textId="77777777" w:rsidR="00AC4249" w:rsidRDefault="00AC4249" w:rsidP="00AC4249"/>
    <w:p w14:paraId="4EDC4930" w14:textId="77777777" w:rsidR="00AC4249" w:rsidRPr="003C628F" w:rsidRDefault="00AC4249" w:rsidP="00AC4249">
      <w:pPr>
        <w:keepLines/>
        <w:jc w:val="center"/>
        <w:rPr>
          <w:b/>
          <w:bCs/>
          <w:szCs w:val="24"/>
        </w:rPr>
      </w:pPr>
      <w:proofErr w:type="spellStart"/>
      <w:r w:rsidRPr="003C628F">
        <w:rPr>
          <w:b/>
          <w:bCs/>
          <w:szCs w:val="24"/>
        </w:rPr>
        <w:t>Tx</w:t>
      </w:r>
      <w:proofErr w:type="spellEnd"/>
      <w:r w:rsidRPr="003C628F">
        <w:rPr>
          <w:b/>
          <w:bCs/>
          <w:szCs w:val="24"/>
        </w:rPr>
        <w:t xml:space="preserve"> PSD</w:t>
      </w:r>
      <w:r w:rsidRPr="003C628F">
        <w:rPr>
          <w:rFonts w:ascii="Times New (W1)" w:cs="Times New (W1)"/>
          <w:b/>
          <w:bCs/>
          <w:szCs w:val="24"/>
          <w:vertAlign w:val="subscript"/>
        </w:rPr>
        <w:t>(</w:t>
      </w:r>
      <w:proofErr w:type="spellStart"/>
      <w:r w:rsidRPr="003C628F">
        <w:rPr>
          <w:rFonts w:ascii="Times New (W1)" w:cs="Times New (W1)"/>
          <w:b/>
          <w:bCs/>
          <w:szCs w:val="24"/>
          <w:vertAlign w:val="subscript"/>
        </w:rPr>
        <w:t>dBm</w:t>
      </w:r>
      <w:proofErr w:type="spellEnd"/>
      <w:r w:rsidRPr="003C628F">
        <w:rPr>
          <w:rFonts w:ascii="Times New (W1)" w:cs="Times New (W1)"/>
          <w:b/>
          <w:bCs/>
          <w:szCs w:val="24"/>
          <w:vertAlign w:val="subscript"/>
        </w:rPr>
        <w:t>/Hz)</w:t>
      </w:r>
      <w:r w:rsidRPr="003C628F">
        <w:rPr>
          <w:b/>
          <w:bCs/>
          <w:szCs w:val="24"/>
        </w:rPr>
        <w:t xml:space="preserve"> = </w:t>
      </w:r>
      <w:proofErr w:type="spellStart"/>
      <w:r w:rsidRPr="003C628F">
        <w:rPr>
          <w:b/>
          <w:bCs/>
          <w:szCs w:val="24"/>
        </w:rPr>
        <w:t>Tx</w:t>
      </w:r>
      <w:proofErr w:type="spellEnd"/>
      <w:r w:rsidRPr="003C628F">
        <w:rPr>
          <w:rFonts w:ascii="Times New (W1)" w:cs="Times New (W1)"/>
          <w:b/>
          <w:bCs/>
          <w:szCs w:val="24"/>
          <w:vertAlign w:val="subscript"/>
        </w:rPr>
        <w:t>(</w:t>
      </w:r>
      <w:proofErr w:type="spellStart"/>
      <w:r w:rsidRPr="003C628F">
        <w:rPr>
          <w:rFonts w:ascii="Times New (W1)" w:cs="Times New (W1)"/>
          <w:b/>
          <w:bCs/>
          <w:szCs w:val="24"/>
          <w:vertAlign w:val="subscript"/>
        </w:rPr>
        <w:t>dBm</w:t>
      </w:r>
      <w:proofErr w:type="spellEnd"/>
      <w:r w:rsidRPr="003C628F">
        <w:rPr>
          <w:rFonts w:ascii="Times New (W1)" w:cs="Times New (W1)"/>
          <w:b/>
          <w:bCs/>
          <w:szCs w:val="24"/>
          <w:vertAlign w:val="subscript"/>
        </w:rPr>
        <w:t xml:space="preserve">)  </w:t>
      </w:r>
      <w:r w:rsidRPr="003C628F">
        <w:rPr>
          <w:b/>
          <w:bCs/>
          <w:szCs w:val="24"/>
        </w:rPr>
        <w:t>– 10log(BW</w:t>
      </w:r>
      <w:r w:rsidRPr="003C628F">
        <w:rPr>
          <w:rFonts w:ascii="Times New (W1)" w:cs="Times New (W1)"/>
          <w:b/>
          <w:bCs/>
          <w:szCs w:val="24"/>
          <w:vertAlign w:val="subscript"/>
        </w:rPr>
        <w:t>(Hz)</w:t>
      </w:r>
      <w:r>
        <w:rPr>
          <w:b/>
          <w:bCs/>
          <w:szCs w:val="24"/>
        </w:rPr>
        <w:t xml:space="preserve">) + </w:t>
      </w:r>
      <w:r w:rsidRPr="003C628F">
        <w:rPr>
          <w:b/>
          <w:bCs/>
          <w:szCs w:val="24"/>
        </w:rPr>
        <w:t>G</w:t>
      </w:r>
      <w:r w:rsidRPr="003C628F">
        <w:rPr>
          <w:rFonts w:ascii="Times New (W1)" w:cs="Times New (W1)"/>
          <w:b/>
          <w:bCs/>
          <w:szCs w:val="24"/>
          <w:vertAlign w:val="subscript"/>
        </w:rPr>
        <w:t>(</w:t>
      </w:r>
      <w:proofErr w:type="spellStart"/>
      <w:r w:rsidRPr="003C628F">
        <w:rPr>
          <w:rFonts w:ascii="Times New (W1)" w:cs="Times New (W1)"/>
          <w:b/>
          <w:bCs/>
          <w:szCs w:val="24"/>
          <w:vertAlign w:val="subscript"/>
        </w:rPr>
        <w:t>dBi</w:t>
      </w:r>
      <w:proofErr w:type="spellEnd"/>
      <w:r w:rsidRPr="003C628F">
        <w:rPr>
          <w:rFonts w:ascii="Times New (W1)" w:cs="Times New (W1)"/>
          <w:b/>
          <w:bCs/>
          <w:szCs w:val="24"/>
          <w:vertAlign w:val="subscript"/>
        </w:rPr>
        <w:t>)</w:t>
      </w:r>
    </w:p>
    <w:p w14:paraId="73F0A567" w14:textId="6603E25B" w:rsidR="00AC4249" w:rsidRDefault="00AC4249" w:rsidP="00AC4249">
      <w:pPr>
        <w:keepLines/>
        <w:rPr>
          <w:szCs w:val="24"/>
        </w:rPr>
      </w:pPr>
      <w:r w:rsidRPr="003C628F">
        <w:t>Where:</w:t>
      </w:r>
      <w:r w:rsidRPr="003C628F">
        <w:br/>
      </w:r>
      <w:r w:rsidRPr="00CD18DE">
        <w:t>BW</w:t>
      </w:r>
      <w:r w:rsidR="001066B2" w:rsidRPr="001066B2">
        <w:rPr>
          <w:rFonts w:ascii="Times New (W1)" w:cs="Times New (W1)"/>
          <w:bCs/>
          <w:szCs w:val="24"/>
          <w:vertAlign w:val="subscript"/>
        </w:rPr>
        <w:t>(Hz)</w:t>
      </w:r>
      <w:r w:rsidRPr="003C628F">
        <w:t xml:space="preserve"> = </w:t>
      </w:r>
      <w:r w:rsidR="00AF6CAB" w:rsidRPr="00F827BC">
        <w:t>Channel b</w:t>
      </w:r>
      <w:r w:rsidRPr="003C628F">
        <w:t xml:space="preserve">andwidth </w:t>
      </w:r>
      <w:r w:rsidR="00D92A59">
        <w:t>(</w:t>
      </w:r>
      <w:r w:rsidRPr="003C628F">
        <w:t>Hz</w:t>
      </w:r>
      <w:r w:rsidR="00D92A59">
        <w:t>)</w:t>
      </w:r>
      <w:r>
        <w:br/>
      </w:r>
      <w:r w:rsidRPr="00CD18DE">
        <w:t>G</w:t>
      </w:r>
      <w:r w:rsidR="001066B2" w:rsidRPr="001066B2">
        <w:rPr>
          <w:rFonts w:ascii="Times New (W1)" w:cs="Times New (W1)"/>
          <w:bCs/>
          <w:szCs w:val="24"/>
          <w:vertAlign w:val="subscript"/>
        </w:rPr>
        <w:t>(</w:t>
      </w:r>
      <w:proofErr w:type="spellStart"/>
      <w:r w:rsidR="001066B2" w:rsidRPr="001066B2">
        <w:rPr>
          <w:rFonts w:ascii="Times New (W1)" w:cs="Times New (W1)"/>
          <w:bCs/>
          <w:szCs w:val="24"/>
          <w:vertAlign w:val="subscript"/>
        </w:rPr>
        <w:t>dBi</w:t>
      </w:r>
      <w:proofErr w:type="spellEnd"/>
      <w:r w:rsidR="001066B2" w:rsidRPr="001066B2">
        <w:rPr>
          <w:rFonts w:ascii="Times New (W1)" w:cs="Times New (W1)"/>
          <w:bCs/>
          <w:szCs w:val="24"/>
          <w:vertAlign w:val="subscript"/>
        </w:rPr>
        <w:t>)</w:t>
      </w:r>
      <w:r>
        <w:t xml:space="preserve"> = </w:t>
      </w:r>
      <w:r w:rsidRPr="003C628F">
        <w:t xml:space="preserve">Antenna Gain </w:t>
      </w:r>
      <w:r w:rsidR="00D92A59">
        <w:t>(</w:t>
      </w:r>
      <w:proofErr w:type="spellStart"/>
      <w:r w:rsidR="00D92A59">
        <w:t>dBi</w:t>
      </w:r>
      <w:proofErr w:type="spellEnd"/>
      <w:r w:rsidR="00D92A59">
        <w:t>)</w:t>
      </w:r>
      <w:r w:rsidRPr="003C628F">
        <w:t xml:space="preserve"> towards </w:t>
      </w:r>
      <w:r>
        <w:t xml:space="preserve">the centre of the </w:t>
      </w:r>
      <w:r w:rsidR="005A7AB1">
        <w:t>A</w:t>
      </w:r>
      <w:r>
        <w:t>RQZ</w:t>
      </w:r>
      <w:r w:rsidR="005A7AB1">
        <w:t>WA</w:t>
      </w:r>
      <w:r>
        <w:t xml:space="preserve"> </w:t>
      </w:r>
      <w:r>
        <w:br/>
      </w:r>
      <w:proofErr w:type="spellStart"/>
      <w:r w:rsidRPr="00CD18DE">
        <w:t>Tx</w:t>
      </w:r>
      <w:proofErr w:type="spellEnd"/>
      <w:r w:rsidR="001066B2" w:rsidRPr="001066B2">
        <w:rPr>
          <w:rFonts w:ascii="Times New (W1)" w:cs="Times New (W1)"/>
          <w:bCs/>
          <w:szCs w:val="24"/>
          <w:vertAlign w:val="subscript"/>
        </w:rPr>
        <w:t>(</w:t>
      </w:r>
      <w:proofErr w:type="spellStart"/>
      <w:r w:rsidR="001066B2" w:rsidRPr="001066B2">
        <w:rPr>
          <w:rFonts w:ascii="Times New (W1)" w:cs="Times New (W1)"/>
          <w:bCs/>
          <w:szCs w:val="24"/>
          <w:vertAlign w:val="subscript"/>
        </w:rPr>
        <w:t>dBm</w:t>
      </w:r>
      <w:proofErr w:type="spellEnd"/>
      <w:r w:rsidR="001066B2" w:rsidRPr="001066B2">
        <w:rPr>
          <w:rFonts w:ascii="Times New (W1)" w:cs="Times New (W1)"/>
          <w:bCs/>
          <w:szCs w:val="24"/>
          <w:vertAlign w:val="subscript"/>
        </w:rPr>
        <w:t>)</w:t>
      </w:r>
      <w:r w:rsidRPr="00CD18DE">
        <w:t xml:space="preserve"> = </w:t>
      </w:r>
      <w:r w:rsidRPr="00CD18DE">
        <w:rPr>
          <w:szCs w:val="24"/>
        </w:rPr>
        <w:t>Transmitter</w:t>
      </w:r>
      <w:r w:rsidRPr="003C628F">
        <w:rPr>
          <w:szCs w:val="24"/>
        </w:rPr>
        <w:t xml:space="preserve"> Power </w:t>
      </w:r>
      <w:r w:rsidR="00D92A59">
        <w:rPr>
          <w:szCs w:val="24"/>
        </w:rPr>
        <w:t>(</w:t>
      </w:r>
      <w:proofErr w:type="spellStart"/>
      <w:r w:rsidR="00D92A59">
        <w:rPr>
          <w:szCs w:val="24"/>
        </w:rPr>
        <w:t>dBm</w:t>
      </w:r>
      <w:proofErr w:type="spellEnd"/>
      <w:r w:rsidR="00D92A59">
        <w:rPr>
          <w:szCs w:val="24"/>
        </w:rPr>
        <w:t xml:space="preserve">) </w:t>
      </w:r>
      <w:r w:rsidRPr="003C628F">
        <w:rPr>
          <w:szCs w:val="24"/>
        </w:rPr>
        <w:t>into the antenna</w:t>
      </w:r>
      <w:r>
        <w:rPr>
          <w:szCs w:val="24"/>
        </w:rPr>
        <w:t xml:space="preserve"> </w:t>
      </w:r>
      <w:r>
        <w:t>(peak for pulsed transmitters)</w:t>
      </w:r>
    </w:p>
    <w:p w14:paraId="720660FE" w14:textId="77777777" w:rsidR="00AC4249" w:rsidRDefault="00AC4249" w:rsidP="00AC4249">
      <w:pPr>
        <w:keepLines/>
        <w:rPr>
          <w:szCs w:val="24"/>
        </w:rPr>
      </w:pPr>
    </w:p>
    <w:p w14:paraId="79C3E4C9" w14:textId="77777777" w:rsidR="00AC4249" w:rsidRDefault="00AC4249" w:rsidP="00AC4249">
      <w:pPr>
        <w:spacing w:before="120"/>
      </w:pPr>
      <w:r>
        <w:t>Propagation Path Loss is determined as follows (a “K factor” of 4/3 is assumed</w:t>
      </w:r>
      <w:r>
        <w:rPr>
          <w:rStyle w:val="FootnoteReference"/>
        </w:rPr>
        <w:footnoteReference w:id="8"/>
      </w:r>
      <w:r>
        <w:t xml:space="preserve">):  </w:t>
      </w:r>
    </w:p>
    <w:p w14:paraId="6B2CDE3D" w14:textId="77777777" w:rsidR="00AC4249" w:rsidRDefault="00AC4249" w:rsidP="00AC4249">
      <w:pPr>
        <w:numPr>
          <w:ilvl w:val="0"/>
          <w:numId w:val="3"/>
        </w:numPr>
        <w:spacing w:before="120"/>
      </w:pPr>
      <w:r>
        <w:t>For cases where the path is unobstructed:</w:t>
      </w:r>
    </w:p>
    <w:p w14:paraId="3356C7AB" w14:textId="77777777" w:rsidR="00AC4249" w:rsidRDefault="00AC4249" w:rsidP="00AC4249">
      <w:pPr>
        <w:spacing w:before="120"/>
      </w:pPr>
    </w:p>
    <w:p w14:paraId="2336A831" w14:textId="77777777" w:rsidR="00AC4249" w:rsidRDefault="00AC4249" w:rsidP="00AC4249">
      <w:pPr>
        <w:spacing w:before="120"/>
        <w:jc w:val="center"/>
        <w:rPr>
          <w:b/>
        </w:rPr>
      </w:pPr>
      <w:r w:rsidRPr="00DC0E44">
        <w:rPr>
          <w:b/>
        </w:rPr>
        <w:t>PPL = Free Space Loss + 10 dB</w:t>
      </w:r>
    </w:p>
    <w:p w14:paraId="02DF14B4" w14:textId="77777777" w:rsidR="00AC4249" w:rsidRPr="00DC0E44" w:rsidRDefault="00AC4249" w:rsidP="00AC4249">
      <w:pPr>
        <w:spacing w:before="120"/>
        <w:jc w:val="center"/>
        <w:rPr>
          <w:b/>
        </w:rPr>
      </w:pPr>
    </w:p>
    <w:p w14:paraId="4329FA02" w14:textId="77777777" w:rsidR="00AC4249" w:rsidRPr="0008769C" w:rsidRDefault="00AC4249" w:rsidP="00AC4249">
      <w:pPr>
        <w:numPr>
          <w:ilvl w:val="0"/>
          <w:numId w:val="3"/>
        </w:numPr>
        <w:spacing w:before="120"/>
        <w:rPr>
          <w:lang w:val="en-AU"/>
        </w:rPr>
      </w:pPr>
      <w:r>
        <w:t xml:space="preserve">For cases where the path is obstructed, PPL is determined by </w:t>
      </w:r>
      <w:r w:rsidRPr="00A855D8">
        <w:t xml:space="preserve">use of </w:t>
      </w:r>
      <w:r w:rsidRPr="00CA6EB6">
        <w:t>the</w:t>
      </w:r>
      <w:r w:rsidRPr="00A855D8">
        <w:t xml:space="preserve"> method described in section 4</w:t>
      </w:r>
      <w:r>
        <w:t>.5 (Method for a general terrestrial path)</w:t>
      </w:r>
      <w:r w:rsidRPr="00A855D8">
        <w:t xml:space="preserve"> of</w:t>
      </w:r>
      <w:r>
        <w:t xml:space="preserve"> Recommendation </w:t>
      </w:r>
      <w:r w:rsidRPr="00CA6EB6">
        <w:t>ITU-R P.526-12.</w:t>
      </w:r>
      <w:r>
        <w:t xml:space="preserve">  Other</w:t>
      </w:r>
      <w:r w:rsidRPr="0008769C">
        <w:rPr>
          <w:lang w:val="en-AU"/>
        </w:rPr>
        <w:t xml:space="preserve"> methods</w:t>
      </w:r>
      <w:r>
        <w:rPr>
          <w:lang w:val="en-AU"/>
        </w:rPr>
        <w:t xml:space="preserve"> for determining the propagation path loss may also be used with agreement of the MRO entity.</w:t>
      </w:r>
    </w:p>
    <w:p w14:paraId="3C68F68C" w14:textId="3956F850" w:rsidR="00AC4249" w:rsidRDefault="00AC4249" w:rsidP="00F827BC">
      <w:pPr>
        <w:widowControl/>
        <w:numPr>
          <w:ilvl w:val="0"/>
          <w:numId w:val="3"/>
        </w:numPr>
        <w:spacing w:before="120" w:after="0"/>
      </w:pPr>
      <w:r>
        <w:t xml:space="preserve">A 9 second digital elevation model </w:t>
      </w:r>
      <w:r w:rsidRPr="00203C9E">
        <w:t>(</w:t>
      </w:r>
      <w:r>
        <w:t xml:space="preserve">such as the </w:t>
      </w:r>
      <w:r w:rsidR="00746FB1" w:rsidRPr="00F827BC">
        <w:rPr>
          <w:i/>
        </w:rPr>
        <w:t>GEODATA 9 Second Digital Elevation Model (DEM-9S)</w:t>
      </w:r>
      <w:r w:rsidR="00746FB1" w:rsidRPr="00F827BC">
        <w:t>, available from www.ga.gov.au</w:t>
      </w:r>
      <w:r>
        <w:t xml:space="preserve">) or better should be used.  An antenna height of </w:t>
      </w:r>
      <w:r w:rsidRPr="00CA6EB6">
        <w:t>15 metres</w:t>
      </w:r>
      <w:r>
        <w:t xml:space="preserve"> (for frequencies greater than or equal to 300 MHz) or 1 metre (for frequencies below 300 MHz) shall be assumed</w:t>
      </w:r>
      <w:r w:rsidRPr="003E54DA">
        <w:t xml:space="preserve"> </w:t>
      </w:r>
      <w:r>
        <w:t xml:space="preserve">for radio astronomy facilities within the </w:t>
      </w:r>
      <w:r w:rsidR="000C27A0">
        <w:t>A</w:t>
      </w:r>
      <w:r>
        <w:t>RQZ</w:t>
      </w:r>
      <w:r w:rsidR="000C27A0">
        <w:t>WA</w:t>
      </w:r>
      <w:r>
        <w:t xml:space="preserve">.  </w:t>
      </w:r>
    </w:p>
    <w:p w14:paraId="21C71ED8" w14:textId="77777777" w:rsidR="00AC4249" w:rsidRDefault="00AC4249" w:rsidP="00AC4249"/>
    <w:p w14:paraId="6EF710F8" w14:textId="77777777" w:rsidR="00C41036" w:rsidRPr="00F827BC" w:rsidRDefault="00F9568B" w:rsidP="00AC4249">
      <w:pPr>
        <w:rPr>
          <w:b/>
          <w:i/>
        </w:rPr>
      </w:pPr>
      <w:r w:rsidRPr="00F827BC">
        <w:rPr>
          <w:b/>
          <w:i/>
        </w:rPr>
        <w:t>Area threshold assessment</w:t>
      </w:r>
    </w:p>
    <w:p w14:paraId="1752E565" w14:textId="77777777" w:rsidR="005A7AB1" w:rsidRDefault="00AC4249" w:rsidP="00AC4249">
      <w:r>
        <w:t xml:space="preserve">Assessment of potential interference to array stations beyond the </w:t>
      </w:r>
      <w:r w:rsidR="0050760F">
        <w:t xml:space="preserve">ARQZWA </w:t>
      </w:r>
      <w:r>
        <w:t xml:space="preserve">centre involves calculation of interference </w:t>
      </w:r>
      <w:r w:rsidR="00DB4024">
        <w:t xml:space="preserve">power </w:t>
      </w:r>
      <w:r>
        <w:t xml:space="preserve">levels </w:t>
      </w:r>
      <w:r w:rsidR="0050760F">
        <w:t xml:space="preserve">within </w:t>
      </w:r>
      <w:r>
        <w:t xml:space="preserve">50 kilometres </w:t>
      </w:r>
      <w:r w:rsidR="0050760F">
        <w:t xml:space="preserve">of </w:t>
      </w:r>
      <w:r>
        <w:t>the centre and comparison with the “</w:t>
      </w:r>
      <w:r w:rsidR="005A7AB1">
        <w:t xml:space="preserve">Maximum allowable power level </w:t>
      </w:r>
      <w:r w:rsidR="0050760F">
        <w:t xml:space="preserve">within </w:t>
      </w:r>
      <w:r>
        <w:t xml:space="preserve">50 kilometres” criteria in Table 1. </w:t>
      </w:r>
      <w:r w:rsidR="005A7AB1">
        <w:t xml:space="preserve">  The following method should be used:</w:t>
      </w:r>
    </w:p>
    <w:p w14:paraId="62370B5D" w14:textId="65096936" w:rsidR="005A7AB1" w:rsidRPr="003C628F" w:rsidRDefault="005A7AB1" w:rsidP="005A7AB1">
      <w:pPr>
        <w:spacing w:before="120"/>
        <w:jc w:val="center"/>
        <w:rPr>
          <w:b/>
          <w:bCs/>
        </w:rPr>
      </w:pPr>
      <w:proofErr w:type="spellStart"/>
      <w:r w:rsidRPr="003C628F">
        <w:rPr>
          <w:b/>
          <w:bCs/>
          <w:szCs w:val="24"/>
        </w:rPr>
        <w:t>Tx</w:t>
      </w:r>
      <w:proofErr w:type="spellEnd"/>
      <w:r w:rsidRPr="003C628F">
        <w:rPr>
          <w:rFonts w:ascii="Times New (W1)" w:cs="Times New (W1)"/>
          <w:b/>
          <w:bCs/>
          <w:szCs w:val="24"/>
          <w:vertAlign w:val="subscript"/>
        </w:rPr>
        <w:t>(</w:t>
      </w:r>
      <w:proofErr w:type="spellStart"/>
      <w:r w:rsidRPr="003C628F">
        <w:rPr>
          <w:rFonts w:ascii="Times New (W1)" w:cs="Times New (W1)"/>
          <w:b/>
          <w:bCs/>
          <w:szCs w:val="24"/>
          <w:vertAlign w:val="subscript"/>
        </w:rPr>
        <w:t>dBm</w:t>
      </w:r>
      <w:proofErr w:type="spellEnd"/>
      <w:r w:rsidRPr="003C628F">
        <w:rPr>
          <w:rFonts w:ascii="Times New (W1)" w:cs="Times New (W1)"/>
          <w:b/>
          <w:bCs/>
          <w:szCs w:val="24"/>
          <w:vertAlign w:val="subscript"/>
        </w:rPr>
        <w:t xml:space="preserve">)  </w:t>
      </w:r>
      <w:r>
        <w:rPr>
          <w:b/>
          <w:bCs/>
          <w:szCs w:val="24"/>
        </w:rPr>
        <w:t xml:space="preserve">+ </w:t>
      </w:r>
      <w:r w:rsidRPr="003C628F">
        <w:rPr>
          <w:b/>
          <w:bCs/>
          <w:szCs w:val="24"/>
        </w:rPr>
        <w:t>G</w:t>
      </w:r>
      <w:r w:rsidRPr="003C628F">
        <w:rPr>
          <w:rFonts w:ascii="Times New (W1)" w:cs="Times New (W1)"/>
          <w:b/>
          <w:bCs/>
          <w:szCs w:val="24"/>
          <w:vertAlign w:val="subscript"/>
        </w:rPr>
        <w:t>(</w:t>
      </w:r>
      <w:proofErr w:type="spellStart"/>
      <w:r w:rsidRPr="003C628F">
        <w:rPr>
          <w:rFonts w:ascii="Times New (W1)" w:cs="Times New (W1)"/>
          <w:b/>
          <w:bCs/>
          <w:szCs w:val="24"/>
          <w:vertAlign w:val="subscript"/>
        </w:rPr>
        <w:t>dBi</w:t>
      </w:r>
      <w:proofErr w:type="spellEnd"/>
      <w:r w:rsidRPr="003C628F">
        <w:rPr>
          <w:rFonts w:ascii="Times New (W1)" w:cs="Times New (W1)"/>
          <w:b/>
          <w:bCs/>
          <w:szCs w:val="24"/>
          <w:vertAlign w:val="subscript"/>
        </w:rPr>
        <w:t>)</w:t>
      </w:r>
      <w:r w:rsidR="00746E4D" w:rsidRPr="00F827BC">
        <w:rPr>
          <w:rFonts w:ascii="Times New (W1)" w:cs="Times New (W1)"/>
          <w:b/>
          <w:bCs/>
          <w:szCs w:val="24"/>
        </w:rPr>
        <w:t xml:space="preserve"> </w:t>
      </w:r>
      <w:r w:rsidR="00C41036">
        <w:rPr>
          <w:b/>
          <w:bCs/>
        </w:rPr>
        <w:t>–</w:t>
      </w:r>
      <w:r w:rsidRPr="003C628F">
        <w:rPr>
          <w:b/>
          <w:bCs/>
        </w:rPr>
        <w:t xml:space="preserve"> PPL</w:t>
      </w:r>
      <w:r>
        <w:rPr>
          <w:b/>
          <w:bCs/>
        </w:rPr>
        <w:t xml:space="preserve"> </w:t>
      </w:r>
      <w:r w:rsidR="00C41036">
        <w:rPr>
          <w:b/>
          <w:bCs/>
        </w:rPr>
        <w:t>–</w:t>
      </w:r>
      <w:r>
        <w:rPr>
          <w:b/>
          <w:bCs/>
        </w:rPr>
        <w:t xml:space="preserve"> 3.9 ≤</w:t>
      </w:r>
      <w:r w:rsidRPr="003C628F">
        <w:rPr>
          <w:b/>
          <w:bCs/>
        </w:rPr>
        <w:t xml:space="preserve"> </w:t>
      </w:r>
      <w:r w:rsidR="00DD2320">
        <w:rPr>
          <w:b/>
          <w:bCs/>
        </w:rPr>
        <w:t>Maximum allowable power level</w:t>
      </w:r>
    </w:p>
    <w:p w14:paraId="74BBC70C" w14:textId="3516164F" w:rsidR="00184DEC" w:rsidRDefault="005A7AB1">
      <w:pPr>
        <w:spacing w:before="120"/>
      </w:pPr>
      <w:r>
        <w:t>Where:</w:t>
      </w:r>
      <w:r>
        <w:br/>
      </w:r>
      <w:proofErr w:type="spellStart"/>
      <w:r w:rsidRPr="00CD18DE">
        <w:t>Tx</w:t>
      </w:r>
      <w:proofErr w:type="spellEnd"/>
      <w:r w:rsidRPr="001066B2">
        <w:rPr>
          <w:rFonts w:ascii="Times New (W1)" w:cs="Times New (W1)"/>
          <w:bCs/>
          <w:szCs w:val="24"/>
          <w:vertAlign w:val="subscript"/>
        </w:rPr>
        <w:t>(</w:t>
      </w:r>
      <w:proofErr w:type="spellStart"/>
      <w:r w:rsidRPr="001066B2">
        <w:rPr>
          <w:rFonts w:ascii="Times New (W1)" w:cs="Times New (W1)"/>
          <w:bCs/>
          <w:szCs w:val="24"/>
          <w:vertAlign w:val="subscript"/>
        </w:rPr>
        <w:t>dBm</w:t>
      </w:r>
      <w:proofErr w:type="spellEnd"/>
      <w:r w:rsidRPr="001066B2">
        <w:rPr>
          <w:rFonts w:ascii="Times New (W1)" w:cs="Times New (W1)"/>
          <w:bCs/>
          <w:szCs w:val="24"/>
          <w:vertAlign w:val="subscript"/>
        </w:rPr>
        <w:t>)</w:t>
      </w:r>
      <w:r w:rsidRPr="00CD18DE">
        <w:t xml:space="preserve"> = </w:t>
      </w:r>
      <w:r w:rsidRPr="00CD18DE">
        <w:rPr>
          <w:szCs w:val="24"/>
        </w:rPr>
        <w:t>Transmitter</w:t>
      </w:r>
      <w:r w:rsidRPr="003C628F">
        <w:rPr>
          <w:szCs w:val="24"/>
        </w:rPr>
        <w:t xml:space="preserve"> Power</w:t>
      </w:r>
      <w:r w:rsidR="00C41036">
        <w:rPr>
          <w:szCs w:val="24"/>
        </w:rPr>
        <w:t xml:space="preserve"> (</w:t>
      </w:r>
      <w:proofErr w:type="spellStart"/>
      <w:r w:rsidR="00C41036">
        <w:rPr>
          <w:szCs w:val="24"/>
        </w:rPr>
        <w:t>dBm</w:t>
      </w:r>
      <w:proofErr w:type="spellEnd"/>
      <w:r w:rsidR="00C41036">
        <w:rPr>
          <w:szCs w:val="24"/>
        </w:rPr>
        <w:t>)</w:t>
      </w:r>
      <w:r w:rsidRPr="003C628F">
        <w:rPr>
          <w:szCs w:val="24"/>
        </w:rPr>
        <w:t xml:space="preserve"> into the antenna</w:t>
      </w:r>
      <w:r>
        <w:rPr>
          <w:szCs w:val="24"/>
        </w:rPr>
        <w:t xml:space="preserve"> </w:t>
      </w:r>
      <w:r>
        <w:t>(peak for pulsed transmitters)</w:t>
      </w:r>
      <w:r>
        <w:br/>
      </w:r>
      <w:r w:rsidRPr="00CD18DE">
        <w:t>G</w:t>
      </w:r>
      <w:r w:rsidRPr="001066B2">
        <w:rPr>
          <w:rFonts w:ascii="Times New (W1)" w:cs="Times New (W1)"/>
          <w:bCs/>
          <w:szCs w:val="24"/>
          <w:vertAlign w:val="subscript"/>
        </w:rPr>
        <w:t>(</w:t>
      </w:r>
      <w:proofErr w:type="spellStart"/>
      <w:r w:rsidRPr="001066B2">
        <w:rPr>
          <w:rFonts w:ascii="Times New (W1)" w:cs="Times New (W1)"/>
          <w:bCs/>
          <w:szCs w:val="24"/>
          <w:vertAlign w:val="subscript"/>
        </w:rPr>
        <w:t>dBi</w:t>
      </w:r>
      <w:proofErr w:type="spellEnd"/>
      <w:r w:rsidRPr="001066B2">
        <w:rPr>
          <w:rFonts w:ascii="Times New (W1)" w:cs="Times New (W1)"/>
          <w:bCs/>
          <w:szCs w:val="24"/>
          <w:vertAlign w:val="subscript"/>
        </w:rPr>
        <w:t>)</w:t>
      </w:r>
      <w:r>
        <w:t xml:space="preserve"> = </w:t>
      </w:r>
      <w:r w:rsidRPr="003C628F">
        <w:t xml:space="preserve">Antenna Gain </w:t>
      </w:r>
      <w:r w:rsidR="00C41036">
        <w:t>(</w:t>
      </w:r>
      <w:proofErr w:type="spellStart"/>
      <w:r w:rsidR="00C41036">
        <w:t>dBi</w:t>
      </w:r>
      <w:proofErr w:type="spellEnd"/>
      <w:r w:rsidR="00C41036">
        <w:t>)</w:t>
      </w:r>
      <w:r w:rsidRPr="003C628F">
        <w:t xml:space="preserve"> towards </w:t>
      </w:r>
      <w:r>
        <w:t>the point under evaluation</w:t>
      </w:r>
      <w:r>
        <w:br/>
        <w:t>PPL = Propagation Path Loss</w:t>
      </w:r>
      <w:r w:rsidR="00C41036">
        <w:t xml:space="preserve"> (dB)</w:t>
      </w:r>
      <w:r>
        <w:br/>
      </w:r>
      <w:r w:rsidR="00DD2320">
        <w:t>Maximum allowable power level</w:t>
      </w:r>
      <w:r w:rsidR="00AF2756">
        <w:t xml:space="preserve"> (</w:t>
      </w:r>
      <w:proofErr w:type="spellStart"/>
      <w:r w:rsidR="00AF2756">
        <w:t>dBm</w:t>
      </w:r>
      <w:proofErr w:type="spellEnd"/>
      <w:r w:rsidR="00AF2756">
        <w:t>)</w:t>
      </w:r>
      <w:r>
        <w:t xml:space="preserve">: </w:t>
      </w:r>
      <w:r w:rsidR="00DD2320">
        <w:t xml:space="preserve">as given </w:t>
      </w:r>
      <w:r>
        <w:t>in</w:t>
      </w:r>
      <w:r w:rsidR="00F9568B">
        <w:t xml:space="preserve"> the</w:t>
      </w:r>
      <w:r>
        <w:t xml:space="preserve"> </w:t>
      </w:r>
      <w:r w:rsidR="00806B1B">
        <w:t xml:space="preserve">last column of </w:t>
      </w:r>
      <w:r>
        <w:t>Table 1.</w:t>
      </w:r>
      <w:r>
        <w:br/>
      </w:r>
    </w:p>
    <w:p w14:paraId="62D01683" w14:textId="007EBBF6" w:rsidR="00184DEC" w:rsidRDefault="0050760F">
      <w:pPr>
        <w:spacing w:before="120"/>
      </w:pPr>
      <w:r>
        <w:t xml:space="preserve">The same propagation loss methods, as described above, </w:t>
      </w:r>
      <w:r w:rsidR="00D768BC">
        <w:t>may</w:t>
      </w:r>
      <w:r>
        <w:t xml:space="preserve"> be used </w:t>
      </w:r>
      <w:r w:rsidR="005A7AB1">
        <w:t>in this calculation</w:t>
      </w:r>
      <w:r w:rsidR="00D768BC">
        <w:t xml:space="preserve"> if assessors have the capability to calculate </w:t>
      </w:r>
      <w:r w:rsidR="00DD2320">
        <w:t xml:space="preserve">propagation loss </w:t>
      </w:r>
      <w:r w:rsidR="003D71C7">
        <w:t xml:space="preserve">between the transmitter and points distributed </w:t>
      </w:r>
      <w:r w:rsidR="00DD2320">
        <w:t xml:space="preserve">over the </w:t>
      </w:r>
      <w:r w:rsidR="003D71C7">
        <w:t xml:space="preserve">area within </w:t>
      </w:r>
      <w:r w:rsidR="00DD2320">
        <w:t>50 km</w:t>
      </w:r>
      <w:r w:rsidR="003D71C7">
        <w:t xml:space="preserve"> of the ARQZWA centre</w:t>
      </w:r>
      <w:r>
        <w:t>.</w:t>
      </w:r>
      <w:r w:rsidR="00DD2320">
        <w:t xml:space="preserve"> </w:t>
      </w:r>
      <w:r w:rsidR="00D768BC">
        <w:t xml:space="preserve"> </w:t>
      </w:r>
      <w:r w:rsidR="00DD2320">
        <w:t>Other propagation prediction methods may be used if agreed by the MRO entity.</w:t>
      </w:r>
    </w:p>
    <w:p w14:paraId="63FC82DE" w14:textId="0645D471" w:rsidR="00184DEC" w:rsidRDefault="00D768BC">
      <w:pPr>
        <w:spacing w:before="120"/>
      </w:pPr>
      <w:r>
        <w:t xml:space="preserve">Alternatively, </w:t>
      </w:r>
      <w:r w:rsidR="00DD2320">
        <w:t>an</w:t>
      </w:r>
      <w:r>
        <w:t xml:space="preserve"> </w:t>
      </w:r>
      <w:r w:rsidR="00E23F64">
        <w:t xml:space="preserve">initial </w:t>
      </w:r>
      <w:r>
        <w:t xml:space="preserve">estimate may be obtained by calculation of the received level </w:t>
      </w:r>
      <w:r w:rsidR="0027771F">
        <w:t xml:space="preserve">at </w:t>
      </w:r>
      <w:r>
        <w:t xml:space="preserve">the </w:t>
      </w:r>
      <w:r w:rsidR="00746E4D" w:rsidRPr="00F827BC">
        <w:rPr>
          <w:i/>
        </w:rPr>
        <w:t>nearest point</w:t>
      </w:r>
      <w:r>
        <w:t xml:space="preserve"> on the boundary</w:t>
      </w:r>
      <w:r w:rsidR="003D71C7">
        <w:t xml:space="preserve"> of the </w:t>
      </w:r>
      <w:r w:rsidR="00A9177D">
        <w:t>area within 50 km of the ARQZWA centre</w:t>
      </w:r>
      <w:r>
        <w:t xml:space="preserve"> using</w:t>
      </w:r>
      <w:r w:rsidR="0027771F">
        <w:t xml:space="preserve"> the Smooth Earth propagation model</w:t>
      </w:r>
      <w:r w:rsidR="007A11D8">
        <w:t xml:space="preserve"> with appropriate adjustment factors as given below</w:t>
      </w:r>
      <w:r w:rsidR="0027771F">
        <w:t xml:space="preserve">. This model is described in </w:t>
      </w:r>
      <w:r w:rsidR="00C91034">
        <w:t>section 3 (</w:t>
      </w:r>
      <w:r w:rsidR="00C91034" w:rsidRPr="00C91034">
        <w:rPr>
          <w:bCs/>
          <w:szCs w:val="24"/>
          <w:lang w:val="en-AU"/>
        </w:rPr>
        <w:t>Diffraction over a spherical Earth</w:t>
      </w:r>
      <w:r w:rsidR="00C91034">
        <w:t>)</w:t>
      </w:r>
      <w:r w:rsidR="00C91034" w:rsidRPr="00A855D8">
        <w:t xml:space="preserve"> of</w:t>
      </w:r>
      <w:r w:rsidR="00C91034">
        <w:t xml:space="preserve"> Recommendation </w:t>
      </w:r>
      <w:r w:rsidR="00C91034" w:rsidRPr="00CA6EB6">
        <w:t>ITU-R P.526-12</w:t>
      </w:r>
      <w:r w:rsidR="0027771F">
        <w:t>.</w:t>
      </w:r>
    </w:p>
    <w:p w14:paraId="69357256" w14:textId="77777777" w:rsidR="00184DEC" w:rsidRDefault="007A11D8">
      <w:pPr>
        <w:spacing w:before="120"/>
      </w:pPr>
      <w:r>
        <w:t>If the Smooth Earth propagation model is used, then the propagation path loss is given by</w:t>
      </w:r>
    </w:p>
    <w:p w14:paraId="42703877" w14:textId="77777777" w:rsidR="00184DEC" w:rsidRPr="00F827BC" w:rsidRDefault="007A11D8">
      <w:pPr>
        <w:spacing w:before="120"/>
        <w:jc w:val="center"/>
        <w:rPr>
          <w:b/>
        </w:rPr>
      </w:pPr>
      <w:r w:rsidRPr="00F827BC">
        <w:rPr>
          <w:b/>
        </w:rPr>
        <w:t xml:space="preserve">PPL = </w:t>
      </w:r>
      <w:proofErr w:type="spellStart"/>
      <w:r w:rsidRPr="00F827BC">
        <w:rPr>
          <w:b/>
        </w:rPr>
        <w:t>L</w:t>
      </w:r>
      <w:r w:rsidRPr="00F827BC">
        <w:rPr>
          <w:b/>
          <w:vertAlign w:val="subscript"/>
        </w:rPr>
        <w:t>smooth</w:t>
      </w:r>
      <w:proofErr w:type="spellEnd"/>
      <w:r w:rsidRPr="00F827BC">
        <w:rPr>
          <w:b/>
        </w:rPr>
        <w:t xml:space="preserve"> – 30 dB     for f</w:t>
      </w:r>
      <w:r w:rsidR="00A9177D" w:rsidRPr="00F827BC">
        <w:rPr>
          <w:b/>
        </w:rPr>
        <w:t xml:space="preserve"> </w:t>
      </w:r>
      <w:r w:rsidRPr="00F827BC">
        <w:rPr>
          <w:b/>
        </w:rPr>
        <w:t>&lt;=</w:t>
      </w:r>
      <w:r w:rsidR="00A9177D" w:rsidRPr="00F827BC">
        <w:rPr>
          <w:b/>
        </w:rPr>
        <w:t xml:space="preserve"> </w:t>
      </w:r>
      <w:r w:rsidRPr="00F827BC">
        <w:rPr>
          <w:b/>
        </w:rPr>
        <w:t>300 MHz</w:t>
      </w:r>
    </w:p>
    <w:p w14:paraId="6633044C" w14:textId="77777777" w:rsidR="00184DEC" w:rsidRPr="00F827BC" w:rsidRDefault="007A11D8">
      <w:pPr>
        <w:spacing w:before="120"/>
        <w:jc w:val="center"/>
        <w:rPr>
          <w:b/>
          <w:vertAlign w:val="subscript"/>
        </w:rPr>
      </w:pPr>
      <w:r w:rsidRPr="00F827BC">
        <w:rPr>
          <w:b/>
        </w:rPr>
        <w:t xml:space="preserve">PPL = </w:t>
      </w:r>
      <w:proofErr w:type="spellStart"/>
      <w:r w:rsidRPr="00F827BC">
        <w:rPr>
          <w:b/>
        </w:rPr>
        <w:t>L</w:t>
      </w:r>
      <w:r w:rsidRPr="00F827BC">
        <w:rPr>
          <w:b/>
          <w:vertAlign w:val="subscript"/>
        </w:rPr>
        <w:t>smooth</w:t>
      </w:r>
      <w:proofErr w:type="spellEnd"/>
      <w:r w:rsidR="007428B5" w:rsidRPr="00F827BC">
        <w:rPr>
          <w:b/>
          <w:vertAlign w:val="subscript"/>
        </w:rPr>
        <w:t xml:space="preserve"> </w:t>
      </w:r>
      <w:r w:rsidRPr="00F827BC">
        <w:rPr>
          <w:b/>
          <w:vertAlign w:val="subscript"/>
        </w:rPr>
        <w:t xml:space="preserve"> </w:t>
      </w:r>
      <w:r w:rsidR="0080507E" w:rsidRPr="00F827BC">
        <w:rPr>
          <w:b/>
        </w:rPr>
        <w:softHyphen/>
      </w:r>
      <w:r w:rsidR="007428B5" w:rsidRPr="00F827BC">
        <w:rPr>
          <w:b/>
        </w:rPr>
        <w:t xml:space="preserve">– </w:t>
      </w:r>
      <w:r w:rsidR="0080507E" w:rsidRPr="00F827BC">
        <w:rPr>
          <w:b/>
        </w:rPr>
        <w:t>10 dB</w:t>
      </w:r>
      <w:r w:rsidRPr="00F827BC">
        <w:rPr>
          <w:b/>
        </w:rPr>
        <w:t xml:space="preserve">      for f &gt; 300 MHz</w:t>
      </w:r>
    </w:p>
    <w:p w14:paraId="4E38B3FF" w14:textId="3FF3B297" w:rsidR="00184DEC" w:rsidRDefault="00E23F64">
      <w:pPr>
        <w:spacing w:before="120"/>
      </w:pPr>
      <w:r>
        <w:t xml:space="preserve">Note that assessment </w:t>
      </w:r>
      <w:r w:rsidR="007A11D8">
        <w:t>at</w:t>
      </w:r>
      <w:r>
        <w:t xml:space="preserve"> the boundary </w:t>
      </w:r>
      <w:r w:rsidR="00A9177D">
        <w:t xml:space="preserve">of the area within 50 km of the ARQZWA centre </w:t>
      </w:r>
      <w:r>
        <w:t>may be used as an indicator of potential compatibility. More rigorous assessment to validate compatibility would need to be undertaken as part of the MRO consultation process.</w:t>
      </w:r>
    </w:p>
    <w:p w14:paraId="705E160D" w14:textId="031725E6" w:rsidR="00AC4249" w:rsidRDefault="00AC4249" w:rsidP="00AC4249">
      <w:r>
        <w:t xml:space="preserve">If the calculated value </w:t>
      </w:r>
      <w:r w:rsidR="005A7AB1">
        <w:t>at any point within 50 km of the ARQZWA</w:t>
      </w:r>
      <w:r w:rsidR="00A9177D">
        <w:t xml:space="preserve"> centre</w:t>
      </w:r>
      <w:r w:rsidR="005A7AB1">
        <w:t xml:space="preserve"> </w:t>
      </w:r>
      <w:r>
        <w:t xml:space="preserve">exceeds the relevant Threshold value then mitigation measures of section 4.5, or other relevant measures, are necessary. </w:t>
      </w:r>
    </w:p>
    <w:p w14:paraId="6480D773" w14:textId="77777777" w:rsidR="00F9568B" w:rsidRDefault="00F9568B">
      <w:pPr>
        <w:widowControl/>
        <w:spacing w:after="0"/>
      </w:pPr>
      <w:r>
        <w:br w:type="page"/>
      </w:r>
    </w:p>
    <w:p w14:paraId="3DD631D1" w14:textId="77777777" w:rsidR="00F9568B" w:rsidRPr="00F827BC" w:rsidRDefault="00F9568B" w:rsidP="00AC4249">
      <w:pPr>
        <w:rPr>
          <w:b/>
          <w:i/>
        </w:rPr>
      </w:pPr>
      <w:r>
        <w:rPr>
          <w:b/>
          <w:i/>
        </w:rPr>
        <w:t xml:space="preserve">Coordination zone parameters </w:t>
      </w:r>
    </w:p>
    <w:p w14:paraId="5D41ED00" w14:textId="77777777" w:rsidR="00AC4249" w:rsidRDefault="00AC4249" w:rsidP="00AC4249"/>
    <w:tbl>
      <w:tblPr>
        <w:tblW w:w="0" w:type="auto"/>
        <w:tblBorders>
          <w:top w:val="single" w:sz="4" w:space="0" w:color="auto"/>
          <w:left w:val="single" w:sz="12" w:space="0" w:color="auto"/>
          <w:bottom w:val="single" w:sz="4" w:space="0" w:color="auto"/>
          <w:right w:val="single" w:sz="12" w:space="0" w:color="auto"/>
          <w:insideH w:val="single" w:sz="6" w:space="0" w:color="000000"/>
          <w:insideV w:val="single" w:sz="6" w:space="0" w:color="000000"/>
        </w:tblBorders>
        <w:tblLayout w:type="fixed"/>
        <w:tblLook w:val="0020" w:firstRow="1" w:lastRow="0" w:firstColumn="0" w:lastColumn="0" w:noHBand="0" w:noVBand="0"/>
      </w:tblPr>
      <w:tblGrid>
        <w:gridCol w:w="2392"/>
        <w:gridCol w:w="2410"/>
        <w:gridCol w:w="1701"/>
        <w:gridCol w:w="1701"/>
      </w:tblGrid>
      <w:tr w:rsidR="00966455" w14:paraId="18A02A26" w14:textId="77777777" w:rsidTr="00671617">
        <w:tc>
          <w:tcPr>
            <w:tcW w:w="2392" w:type="dxa"/>
            <w:shd w:val="pct30" w:color="FFFF00" w:fill="FFFFFF"/>
          </w:tcPr>
          <w:p w14:paraId="452DFD2E" w14:textId="77777777" w:rsidR="00966455" w:rsidRDefault="00966455" w:rsidP="00671617">
            <w:pPr>
              <w:jc w:val="center"/>
              <w:rPr>
                <w:b/>
                <w:bCs/>
              </w:rPr>
            </w:pPr>
            <w:smartTag w:uri="urn:schemas-microsoft-com:office:smarttags" w:element="place">
              <w:smartTag w:uri="urn:schemas-microsoft-com:office:smarttags" w:element="PlaceName">
                <w:r>
                  <w:rPr>
                    <w:b/>
                    <w:bCs/>
                  </w:rPr>
                  <w:t>Frequency</w:t>
                </w:r>
              </w:smartTag>
              <w:r>
                <w:rPr>
                  <w:b/>
                  <w:bCs/>
                </w:rPr>
                <w:t xml:space="preserve"> </w:t>
              </w:r>
              <w:smartTag w:uri="urn:schemas-microsoft-com:office:smarttags" w:element="PlaceType">
                <w:r>
                  <w:rPr>
                    <w:b/>
                    <w:bCs/>
                  </w:rPr>
                  <w:t>Range</w:t>
                </w:r>
              </w:smartTag>
            </w:smartTag>
            <w:r>
              <w:rPr>
                <w:b/>
                <w:bCs/>
              </w:rPr>
              <w:t xml:space="preserve"> (MHz)</w:t>
            </w:r>
            <w:r>
              <w:rPr>
                <w:rStyle w:val="FootnoteReference"/>
                <w:b/>
                <w:bCs/>
              </w:rPr>
              <w:footnoteReference w:id="9"/>
            </w:r>
          </w:p>
        </w:tc>
        <w:tc>
          <w:tcPr>
            <w:tcW w:w="2410" w:type="dxa"/>
            <w:shd w:val="pct30" w:color="FFFF00" w:fill="FFFFFF"/>
          </w:tcPr>
          <w:p w14:paraId="1056A1EF" w14:textId="77777777" w:rsidR="00966455" w:rsidRDefault="00966455" w:rsidP="00671617">
            <w:pPr>
              <w:jc w:val="center"/>
              <w:rPr>
                <w:b/>
                <w:bCs/>
              </w:rPr>
            </w:pPr>
            <w:r>
              <w:rPr>
                <w:b/>
                <w:bCs/>
              </w:rPr>
              <w:t>Coordination Radius (km)</w:t>
            </w:r>
          </w:p>
        </w:tc>
        <w:tc>
          <w:tcPr>
            <w:tcW w:w="1701" w:type="dxa"/>
            <w:shd w:val="pct30" w:color="FFFF00" w:fill="FFFFFF"/>
          </w:tcPr>
          <w:p w14:paraId="668F0798" w14:textId="77777777" w:rsidR="00966455" w:rsidRDefault="00966455" w:rsidP="00DB4024">
            <w:pPr>
              <w:jc w:val="center"/>
              <w:rPr>
                <w:b/>
                <w:bCs/>
              </w:rPr>
            </w:pPr>
            <w:r>
              <w:rPr>
                <w:b/>
                <w:bCs/>
              </w:rPr>
              <w:t>Threshold at ARQZWA centre (</w:t>
            </w:r>
            <w:proofErr w:type="spellStart"/>
            <w:r>
              <w:rPr>
                <w:b/>
                <w:bCs/>
              </w:rPr>
              <w:t>dBm</w:t>
            </w:r>
            <w:proofErr w:type="spellEnd"/>
            <w:r>
              <w:rPr>
                <w:b/>
                <w:bCs/>
              </w:rPr>
              <w:t>/Hz)</w:t>
            </w:r>
          </w:p>
        </w:tc>
        <w:tc>
          <w:tcPr>
            <w:tcW w:w="1701" w:type="dxa"/>
            <w:shd w:val="pct30" w:color="FFFF00" w:fill="FFFFFF"/>
          </w:tcPr>
          <w:p w14:paraId="18232DC9" w14:textId="77777777" w:rsidR="00966455" w:rsidDel="0033562E" w:rsidRDefault="00966455" w:rsidP="00CA2EB7">
            <w:pPr>
              <w:jc w:val="center"/>
              <w:rPr>
                <w:b/>
                <w:bCs/>
              </w:rPr>
            </w:pPr>
            <w:r>
              <w:rPr>
                <w:b/>
                <w:bCs/>
              </w:rPr>
              <w:t>Maximum allowable power level</w:t>
            </w:r>
            <w:r w:rsidR="007428B5">
              <w:rPr>
                <w:b/>
                <w:bCs/>
              </w:rPr>
              <w:t xml:space="preserve"> </w:t>
            </w:r>
            <w:r>
              <w:rPr>
                <w:b/>
                <w:bCs/>
              </w:rPr>
              <w:t>within 50 kilometres (</w:t>
            </w:r>
            <w:proofErr w:type="spellStart"/>
            <w:r>
              <w:rPr>
                <w:b/>
                <w:bCs/>
              </w:rPr>
              <w:t>dBm</w:t>
            </w:r>
            <w:proofErr w:type="spellEnd"/>
            <w:r>
              <w:rPr>
                <w:b/>
                <w:bCs/>
              </w:rPr>
              <w:t>)</w:t>
            </w:r>
          </w:p>
        </w:tc>
      </w:tr>
      <w:tr w:rsidR="00966455" w14:paraId="01B6C944" w14:textId="77777777" w:rsidTr="00671617">
        <w:trPr>
          <w:trHeight w:val="255"/>
        </w:trPr>
        <w:tc>
          <w:tcPr>
            <w:tcW w:w="2392" w:type="dxa"/>
            <w:noWrap/>
            <w:vAlign w:val="center"/>
          </w:tcPr>
          <w:p w14:paraId="537DBB23" w14:textId="77777777" w:rsidR="00966455" w:rsidRDefault="00966455" w:rsidP="00671617">
            <w:pPr>
              <w:jc w:val="center"/>
            </w:pPr>
            <w:r>
              <w:t>70-100</w:t>
            </w:r>
          </w:p>
        </w:tc>
        <w:tc>
          <w:tcPr>
            <w:tcW w:w="2410" w:type="dxa"/>
          </w:tcPr>
          <w:p w14:paraId="1981048F" w14:textId="77777777" w:rsidR="00966455" w:rsidRDefault="00966455" w:rsidP="00671617">
            <w:pPr>
              <w:jc w:val="center"/>
              <w:rPr>
                <w:szCs w:val="24"/>
                <w:lang w:eastAsia="ja-JP"/>
              </w:rPr>
            </w:pPr>
            <w:r>
              <w:rPr>
                <w:szCs w:val="24"/>
                <w:lang w:eastAsia="ja-JP"/>
              </w:rPr>
              <w:t>260</w:t>
            </w:r>
          </w:p>
        </w:tc>
        <w:tc>
          <w:tcPr>
            <w:tcW w:w="1701" w:type="dxa"/>
            <w:noWrap/>
          </w:tcPr>
          <w:p w14:paraId="0598A96F" w14:textId="77777777" w:rsidR="00966455" w:rsidRDefault="00966455" w:rsidP="00671617">
            <w:pPr>
              <w:jc w:val="center"/>
              <w:rPr>
                <w:szCs w:val="24"/>
                <w:lang w:eastAsia="ja-JP"/>
              </w:rPr>
            </w:pPr>
            <w:r>
              <w:rPr>
                <w:szCs w:val="24"/>
                <w:lang w:eastAsia="ja-JP"/>
              </w:rPr>
              <w:t>-211</w:t>
            </w:r>
          </w:p>
        </w:tc>
        <w:tc>
          <w:tcPr>
            <w:tcW w:w="1701" w:type="dxa"/>
          </w:tcPr>
          <w:p w14:paraId="4CA8C5BD" w14:textId="77777777" w:rsidR="00966455" w:rsidRPr="00B42CFC" w:rsidRDefault="0080507E" w:rsidP="00671617">
            <w:pPr>
              <w:jc w:val="center"/>
              <w:rPr>
                <w:szCs w:val="24"/>
                <w:lang w:eastAsia="ja-JP"/>
              </w:rPr>
            </w:pPr>
            <w:r w:rsidRPr="0080507E">
              <w:rPr>
                <w:szCs w:val="24"/>
                <w:lang w:eastAsia="ja-JP"/>
              </w:rPr>
              <w:t>-90</w:t>
            </w:r>
          </w:p>
        </w:tc>
      </w:tr>
      <w:tr w:rsidR="00966455" w14:paraId="18DB6941" w14:textId="77777777" w:rsidTr="00671617">
        <w:trPr>
          <w:trHeight w:val="255"/>
        </w:trPr>
        <w:tc>
          <w:tcPr>
            <w:tcW w:w="2392" w:type="dxa"/>
            <w:noWrap/>
            <w:vAlign w:val="center"/>
          </w:tcPr>
          <w:p w14:paraId="5C53F4DE" w14:textId="77777777" w:rsidR="00966455" w:rsidRDefault="00966455" w:rsidP="00671617">
            <w:pPr>
              <w:jc w:val="center"/>
            </w:pPr>
            <w:r>
              <w:t>100-230</w:t>
            </w:r>
          </w:p>
        </w:tc>
        <w:tc>
          <w:tcPr>
            <w:tcW w:w="2410" w:type="dxa"/>
          </w:tcPr>
          <w:p w14:paraId="1BE5C736" w14:textId="77777777" w:rsidR="00966455" w:rsidRDefault="00966455" w:rsidP="00671617">
            <w:pPr>
              <w:jc w:val="center"/>
              <w:rPr>
                <w:szCs w:val="24"/>
                <w:lang w:eastAsia="ja-JP"/>
              </w:rPr>
            </w:pPr>
            <w:r>
              <w:rPr>
                <w:szCs w:val="24"/>
                <w:lang w:eastAsia="ja-JP"/>
              </w:rPr>
              <w:t>260</w:t>
            </w:r>
          </w:p>
        </w:tc>
        <w:tc>
          <w:tcPr>
            <w:tcW w:w="1701" w:type="dxa"/>
            <w:noWrap/>
          </w:tcPr>
          <w:p w14:paraId="591835F0" w14:textId="77777777" w:rsidR="00966455" w:rsidRDefault="00966455" w:rsidP="00671617">
            <w:pPr>
              <w:jc w:val="center"/>
              <w:rPr>
                <w:szCs w:val="24"/>
                <w:lang w:eastAsia="ja-JP"/>
              </w:rPr>
            </w:pPr>
            <w:r>
              <w:rPr>
                <w:szCs w:val="24"/>
                <w:lang w:eastAsia="ja-JP"/>
              </w:rPr>
              <w:t>-214</w:t>
            </w:r>
          </w:p>
        </w:tc>
        <w:tc>
          <w:tcPr>
            <w:tcW w:w="1701" w:type="dxa"/>
          </w:tcPr>
          <w:p w14:paraId="10DA116E" w14:textId="77777777" w:rsidR="00966455" w:rsidRPr="00B42CFC" w:rsidRDefault="0080507E" w:rsidP="00671617">
            <w:pPr>
              <w:jc w:val="center"/>
              <w:rPr>
                <w:szCs w:val="24"/>
                <w:lang w:eastAsia="ja-JP"/>
              </w:rPr>
            </w:pPr>
            <w:r w:rsidRPr="0080507E">
              <w:rPr>
                <w:szCs w:val="24"/>
                <w:lang w:eastAsia="ja-JP"/>
              </w:rPr>
              <w:t>-90</w:t>
            </w:r>
          </w:p>
        </w:tc>
      </w:tr>
      <w:tr w:rsidR="00966455" w14:paraId="18C179B2" w14:textId="77777777" w:rsidTr="00671617">
        <w:trPr>
          <w:trHeight w:val="255"/>
        </w:trPr>
        <w:tc>
          <w:tcPr>
            <w:tcW w:w="2392" w:type="dxa"/>
            <w:noWrap/>
            <w:vAlign w:val="center"/>
          </w:tcPr>
          <w:p w14:paraId="3461903F" w14:textId="77777777" w:rsidR="00966455" w:rsidRDefault="00966455" w:rsidP="00671617">
            <w:pPr>
              <w:jc w:val="center"/>
            </w:pPr>
            <w:r>
              <w:t>230–400</w:t>
            </w:r>
          </w:p>
        </w:tc>
        <w:tc>
          <w:tcPr>
            <w:tcW w:w="2410" w:type="dxa"/>
          </w:tcPr>
          <w:p w14:paraId="1DE78C1E" w14:textId="77777777" w:rsidR="00966455" w:rsidRDefault="00966455" w:rsidP="00671617">
            <w:pPr>
              <w:jc w:val="center"/>
              <w:rPr>
                <w:szCs w:val="24"/>
                <w:lang w:eastAsia="ja-JP"/>
              </w:rPr>
            </w:pPr>
            <w:r>
              <w:rPr>
                <w:szCs w:val="24"/>
                <w:lang w:eastAsia="ja-JP"/>
              </w:rPr>
              <w:t>180</w:t>
            </w:r>
          </w:p>
        </w:tc>
        <w:tc>
          <w:tcPr>
            <w:tcW w:w="1701" w:type="dxa"/>
            <w:noWrap/>
          </w:tcPr>
          <w:p w14:paraId="56F71C76" w14:textId="77777777" w:rsidR="00966455" w:rsidRDefault="00966455" w:rsidP="00671617">
            <w:pPr>
              <w:jc w:val="center"/>
              <w:rPr>
                <w:szCs w:val="24"/>
                <w:lang w:eastAsia="ja-JP"/>
              </w:rPr>
            </w:pPr>
            <w:r>
              <w:rPr>
                <w:szCs w:val="24"/>
                <w:lang w:eastAsia="ja-JP"/>
              </w:rPr>
              <w:t>-222</w:t>
            </w:r>
          </w:p>
        </w:tc>
        <w:tc>
          <w:tcPr>
            <w:tcW w:w="1701" w:type="dxa"/>
          </w:tcPr>
          <w:p w14:paraId="610BB23B" w14:textId="77777777" w:rsidR="00966455" w:rsidRPr="00B42CFC" w:rsidRDefault="0080507E" w:rsidP="00671617">
            <w:pPr>
              <w:jc w:val="center"/>
              <w:rPr>
                <w:szCs w:val="24"/>
                <w:lang w:eastAsia="ja-JP"/>
              </w:rPr>
            </w:pPr>
            <w:r w:rsidRPr="0080507E">
              <w:rPr>
                <w:szCs w:val="24"/>
                <w:lang w:eastAsia="ja-JP"/>
              </w:rPr>
              <w:t>-95</w:t>
            </w:r>
          </w:p>
        </w:tc>
      </w:tr>
      <w:tr w:rsidR="00966455" w14:paraId="6926F8D2" w14:textId="77777777" w:rsidTr="00671617">
        <w:trPr>
          <w:trHeight w:val="255"/>
        </w:trPr>
        <w:tc>
          <w:tcPr>
            <w:tcW w:w="2392" w:type="dxa"/>
            <w:noWrap/>
            <w:vAlign w:val="center"/>
          </w:tcPr>
          <w:p w14:paraId="51666998" w14:textId="77777777" w:rsidR="00966455" w:rsidRDefault="00966455" w:rsidP="00671617">
            <w:pPr>
              <w:jc w:val="center"/>
            </w:pPr>
            <w:r>
              <w:t>400–520</w:t>
            </w:r>
          </w:p>
        </w:tc>
        <w:tc>
          <w:tcPr>
            <w:tcW w:w="2410" w:type="dxa"/>
          </w:tcPr>
          <w:p w14:paraId="60EDD471" w14:textId="77777777" w:rsidR="00966455" w:rsidRDefault="00966455" w:rsidP="00671617">
            <w:pPr>
              <w:jc w:val="center"/>
              <w:rPr>
                <w:szCs w:val="24"/>
                <w:lang w:eastAsia="ja-JP"/>
              </w:rPr>
            </w:pPr>
            <w:r>
              <w:rPr>
                <w:szCs w:val="24"/>
                <w:lang w:eastAsia="ja-JP"/>
              </w:rPr>
              <w:t>165</w:t>
            </w:r>
          </w:p>
        </w:tc>
        <w:tc>
          <w:tcPr>
            <w:tcW w:w="1701" w:type="dxa"/>
            <w:noWrap/>
          </w:tcPr>
          <w:p w14:paraId="1EFBE64B" w14:textId="77777777" w:rsidR="00966455" w:rsidRDefault="00966455" w:rsidP="00671617">
            <w:pPr>
              <w:jc w:val="center"/>
              <w:rPr>
                <w:szCs w:val="24"/>
                <w:lang w:eastAsia="ja-JP"/>
              </w:rPr>
            </w:pPr>
            <w:r>
              <w:rPr>
                <w:szCs w:val="24"/>
                <w:lang w:eastAsia="ja-JP"/>
              </w:rPr>
              <w:t>-224</w:t>
            </w:r>
          </w:p>
        </w:tc>
        <w:tc>
          <w:tcPr>
            <w:tcW w:w="1701" w:type="dxa"/>
          </w:tcPr>
          <w:p w14:paraId="40BE8CA9" w14:textId="77777777" w:rsidR="00966455" w:rsidRPr="00B42CFC" w:rsidRDefault="0080507E" w:rsidP="00671617">
            <w:pPr>
              <w:jc w:val="center"/>
              <w:rPr>
                <w:szCs w:val="24"/>
                <w:lang w:eastAsia="ja-JP"/>
              </w:rPr>
            </w:pPr>
            <w:r w:rsidRPr="0080507E">
              <w:rPr>
                <w:szCs w:val="24"/>
                <w:lang w:eastAsia="ja-JP"/>
              </w:rPr>
              <w:t>-95</w:t>
            </w:r>
          </w:p>
        </w:tc>
      </w:tr>
      <w:tr w:rsidR="00966455" w14:paraId="749734FC" w14:textId="77777777" w:rsidTr="00671617">
        <w:trPr>
          <w:trHeight w:val="255"/>
        </w:trPr>
        <w:tc>
          <w:tcPr>
            <w:tcW w:w="2392" w:type="dxa"/>
            <w:noWrap/>
            <w:vAlign w:val="center"/>
          </w:tcPr>
          <w:p w14:paraId="172490CB" w14:textId="2A159045" w:rsidR="00966455" w:rsidRDefault="00966455" w:rsidP="00391F86">
            <w:pPr>
              <w:jc w:val="center"/>
            </w:pPr>
            <w:r>
              <w:t>520–</w:t>
            </w:r>
            <w:r w:rsidR="00391F86">
              <w:t>694</w:t>
            </w:r>
          </w:p>
        </w:tc>
        <w:tc>
          <w:tcPr>
            <w:tcW w:w="2410" w:type="dxa"/>
          </w:tcPr>
          <w:p w14:paraId="70D382ED" w14:textId="77777777" w:rsidR="00966455" w:rsidRDefault="00966455" w:rsidP="00671617">
            <w:pPr>
              <w:jc w:val="center"/>
              <w:rPr>
                <w:szCs w:val="24"/>
                <w:lang w:eastAsia="ja-JP"/>
              </w:rPr>
            </w:pPr>
            <w:r>
              <w:rPr>
                <w:szCs w:val="24"/>
                <w:lang w:eastAsia="ja-JP"/>
              </w:rPr>
              <w:t>190</w:t>
            </w:r>
          </w:p>
        </w:tc>
        <w:tc>
          <w:tcPr>
            <w:tcW w:w="1701" w:type="dxa"/>
            <w:noWrap/>
          </w:tcPr>
          <w:p w14:paraId="7D52AD5D" w14:textId="77777777" w:rsidR="00966455" w:rsidRDefault="00966455" w:rsidP="00671617">
            <w:pPr>
              <w:jc w:val="center"/>
              <w:rPr>
                <w:szCs w:val="24"/>
                <w:lang w:eastAsia="ja-JP"/>
              </w:rPr>
            </w:pPr>
            <w:r>
              <w:rPr>
                <w:szCs w:val="24"/>
                <w:lang w:eastAsia="ja-JP"/>
              </w:rPr>
              <w:t>-224</w:t>
            </w:r>
          </w:p>
        </w:tc>
        <w:tc>
          <w:tcPr>
            <w:tcW w:w="1701" w:type="dxa"/>
          </w:tcPr>
          <w:p w14:paraId="67D1BEF2" w14:textId="77777777" w:rsidR="00966455" w:rsidRPr="00B42CFC" w:rsidRDefault="0080507E" w:rsidP="00671617">
            <w:pPr>
              <w:jc w:val="center"/>
              <w:rPr>
                <w:szCs w:val="24"/>
                <w:lang w:eastAsia="ja-JP"/>
              </w:rPr>
            </w:pPr>
            <w:r w:rsidRPr="0080507E">
              <w:rPr>
                <w:szCs w:val="24"/>
                <w:lang w:eastAsia="ja-JP"/>
              </w:rPr>
              <w:t>-95</w:t>
            </w:r>
          </w:p>
        </w:tc>
      </w:tr>
      <w:tr w:rsidR="00966455" w14:paraId="259DA6E8" w14:textId="77777777" w:rsidTr="00671617">
        <w:trPr>
          <w:trHeight w:val="255"/>
        </w:trPr>
        <w:tc>
          <w:tcPr>
            <w:tcW w:w="2392" w:type="dxa"/>
            <w:noWrap/>
            <w:vAlign w:val="center"/>
          </w:tcPr>
          <w:p w14:paraId="67D8970A" w14:textId="184C64E3" w:rsidR="00966455" w:rsidRDefault="00391F86" w:rsidP="00391F86">
            <w:pPr>
              <w:jc w:val="center"/>
            </w:pPr>
            <w:r>
              <w:t>694</w:t>
            </w:r>
            <w:r w:rsidR="00966455">
              <w:t>–1000</w:t>
            </w:r>
          </w:p>
        </w:tc>
        <w:tc>
          <w:tcPr>
            <w:tcW w:w="2410" w:type="dxa"/>
          </w:tcPr>
          <w:p w14:paraId="7B273F42" w14:textId="77777777" w:rsidR="00966455" w:rsidRDefault="00966455" w:rsidP="00671617">
            <w:pPr>
              <w:jc w:val="center"/>
              <w:rPr>
                <w:szCs w:val="24"/>
                <w:lang w:eastAsia="ja-JP"/>
              </w:rPr>
            </w:pPr>
            <w:r>
              <w:rPr>
                <w:szCs w:val="24"/>
                <w:lang w:eastAsia="ja-JP"/>
              </w:rPr>
              <w:t>145</w:t>
            </w:r>
          </w:p>
        </w:tc>
        <w:tc>
          <w:tcPr>
            <w:tcW w:w="1701" w:type="dxa"/>
            <w:noWrap/>
          </w:tcPr>
          <w:p w14:paraId="2BB2C502" w14:textId="77777777" w:rsidR="00966455" w:rsidRDefault="00966455" w:rsidP="00671617">
            <w:pPr>
              <w:jc w:val="center"/>
              <w:rPr>
                <w:szCs w:val="24"/>
                <w:lang w:eastAsia="ja-JP"/>
              </w:rPr>
            </w:pPr>
            <w:r>
              <w:rPr>
                <w:szCs w:val="24"/>
                <w:lang w:eastAsia="ja-JP"/>
              </w:rPr>
              <w:t>-228</w:t>
            </w:r>
          </w:p>
        </w:tc>
        <w:tc>
          <w:tcPr>
            <w:tcW w:w="1701" w:type="dxa"/>
          </w:tcPr>
          <w:p w14:paraId="043CA549" w14:textId="77777777" w:rsidR="00966455" w:rsidRPr="00B42CFC" w:rsidRDefault="0080507E" w:rsidP="00671617">
            <w:pPr>
              <w:jc w:val="center"/>
              <w:rPr>
                <w:szCs w:val="24"/>
                <w:lang w:eastAsia="ja-JP"/>
              </w:rPr>
            </w:pPr>
            <w:r w:rsidRPr="0080507E">
              <w:rPr>
                <w:szCs w:val="24"/>
                <w:lang w:eastAsia="ja-JP"/>
              </w:rPr>
              <w:t>-95</w:t>
            </w:r>
          </w:p>
        </w:tc>
      </w:tr>
      <w:tr w:rsidR="00966455" w14:paraId="05749FB9" w14:textId="77777777" w:rsidTr="00671617">
        <w:trPr>
          <w:trHeight w:val="255"/>
        </w:trPr>
        <w:tc>
          <w:tcPr>
            <w:tcW w:w="2392" w:type="dxa"/>
            <w:noWrap/>
            <w:vAlign w:val="center"/>
          </w:tcPr>
          <w:p w14:paraId="2C18CD67" w14:textId="77777777" w:rsidR="00966455" w:rsidRDefault="00966455" w:rsidP="00671617">
            <w:pPr>
              <w:jc w:val="center"/>
            </w:pPr>
            <w:r>
              <w:t>1000–2300</w:t>
            </w:r>
          </w:p>
        </w:tc>
        <w:tc>
          <w:tcPr>
            <w:tcW w:w="2410" w:type="dxa"/>
          </w:tcPr>
          <w:p w14:paraId="4E8CA7F5" w14:textId="77777777" w:rsidR="00966455" w:rsidRDefault="00966455" w:rsidP="00671617">
            <w:pPr>
              <w:jc w:val="center"/>
              <w:rPr>
                <w:szCs w:val="24"/>
                <w:lang w:eastAsia="ja-JP"/>
              </w:rPr>
            </w:pPr>
            <w:r>
              <w:rPr>
                <w:szCs w:val="24"/>
                <w:lang w:eastAsia="ja-JP"/>
              </w:rPr>
              <w:t>140</w:t>
            </w:r>
          </w:p>
        </w:tc>
        <w:tc>
          <w:tcPr>
            <w:tcW w:w="1701" w:type="dxa"/>
            <w:noWrap/>
          </w:tcPr>
          <w:p w14:paraId="05143D0C" w14:textId="77777777" w:rsidR="00966455" w:rsidRDefault="00966455" w:rsidP="00671617">
            <w:pPr>
              <w:jc w:val="center"/>
              <w:rPr>
                <w:szCs w:val="24"/>
                <w:lang w:eastAsia="ja-JP"/>
              </w:rPr>
            </w:pPr>
            <w:r>
              <w:rPr>
                <w:szCs w:val="24"/>
                <w:lang w:eastAsia="ja-JP"/>
              </w:rPr>
              <w:t>-230</w:t>
            </w:r>
          </w:p>
        </w:tc>
        <w:tc>
          <w:tcPr>
            <w:tcW w:w="1701" w:type="dxa"/>
          </w:tcPr>
          <w:p w14:paraId="74769D12" w14:textId="77777777" w:rsidR="00966455" w:rsidRPr="00B42CFC" w:rsidRDefault="0080507E" w:rsidP="00671617">
            <w:pPr>
              <w:jc w:val="center"/>
              <w:rPr>
                <w:szCs w:val="24"/>
                <w:lang w:eastAsia="ja-JP"/>
              </w:rPr>
            </w:pPr>
            <w:r w:rsidRPr="0080507E">
              <w:rPr>
                <w:szCs w:val="24"/>
                <w:lang w:eastAsia="ja-JP"/>
              </w:rPr>
              <w:t>-95</w:t>
            </w:r>
          </w:p>
        </w:tc>
      </w:tr>
      <w:tr w:rsidR="00966455" w14:paraId="3EAF4422" w14:textId="77777777" w:rsidTr="00671617">
        <w:trPr>
          <w:trHeight w:val="255"/>
        </w:trPr>
        <w:tc>
          <w:tcPr>
            <w:tcW w:w="2392" w:type="dxa"/>
            <w:noWrap/>
            <w:vAlign w:val="center"/>
          </w:tcPr>
          <w:p w14:paraId="66202A23" w14:textId="77777777" w:rsidR="00966455" w:rsidRDefault="00966455" w:rsidP="00671617">
            <w:pPr>
              <w:jc w:val="center"/>
            </w:pPr>
            <w:r>
              <w:t>2300–6000</w:t>
            </w:r>
          </w:p>
        </w:tc>
        <w:tc>
          <w:tcPr>
            <w:tcW w:w="2410" w:type="dxa"/>
          </w:tcPr>
          <w:p w14:paraId="7AFD67D0" w14:textId="77777777" w:rsidR="00966455" w:rsidRDefault="00966455" w:rsidP="00671617">
            <w:pPr>
              <w:jc w:val="center"/>
              <w:rPr>
                <w:szCs w:val="24"/>
                <w:lang w:eastAsia="ja-JP"/>
              </w:rPr>
            </w:pPr>
            <w:r>
              <w:rPr>
                <w:szCs w:val="24"/>
                <w:lang w:eastAsia="ja-JP"/>
              </w:rPr>
              <w:t>120</w:t>
            </w:r>
          </w:p>
        </w:tc>
        <w:tc>
          <w:tcPr>
            <w:tcW w:w="1701" w:type="dxa"/>
            <w:noWrap/>
          </w:tcPr>
          <w:p w14:paraId="6684945D" w14:textId="77777777" w:rsidR="00966455" w:rsidRDefault="00966455" w:rsidP="00671617">
            <w:pPr>
              <w:jc w:val="center"/>
              <w:rPr>
                <w:szCs w:val="24"/>
                <w:lang w:eastAsia="ja-JP"/>
              </w:rPr>
            </w:pPr>
            <w:r>
              <w:rPr>
                <w:szCs w:val="24"/>
                <w:lang w:eastAsia="ja-JP"/>
              </w:rPr>
              <w:t>-232</w:t>
            </w:r>
          </w:p>
        </w:tc>
        <w:tc>
          <w:tcPr>
            <w:tcW w:w="1701" w:type="dxa"/>
          </w:tcPr>
          <w:p w14:paraId="073CB318" w14:textId="77777777" w:rsidR="00966455" w:rsidRPr="00B42CFC" w:rsidRDefault="0080507E" w:rsidP="00671617">
            <w:pPr>
              <w:jc w:val="center"/>
              <w:rPr>
                <w:szCs w:val="24"/>
                <w:lang w:eastAsia="ja-JP"/>
              </w:rPr>
            </w:pPr>
            <w:r w:rsidRPr="0080507E">
              <w:rPr>
                <w:szCs w:val="24"/>
                <w:lang w:eastAsia="ja-JP"/>
              </w:rPr>
              <w:t>-95</w:t>
            </w:r>
          </w:p>
        </w:tc>
      </w:tr>
      <w:tr w:rsidR="00966455" w14:paraId="0C7909F9" w14:textId="77777777" w:rsidTr="00671617">
        <w:trPr>
          <w:trHeight w:val="255"/>
        </w:trPr>
        <w:tc>
          <w:tcPr>
            <w:tcW w:w="2392" w:type="dxa"/>
            <w:noWrap/>
            <w:vAlign w:val="center"/>
          </w:tcPr>
          <w:p w14:paraId="64D5B0D4" w14:textId="77777777" w:rsidR="00966455" w:rsidRDefault="00966455" w:rsidP="00671617">
            <w:pPr>
              <w:jc w:val="center"/>
            </w:pPr>
            <w:r>
              <w:t>6000–10000</w:t>
            </w:r>
          </w:p>
        </w:tc>
        <w:tc>
          <w:tcPr>
            <w:tcW w:w="2410" w:type="dxa"/>
          </w:tcPr>
          <w:p w14:paraId="74EDA51B" w14:textId="77777777" w:rsidR="00966455" w:rsidRDefault="00966455" w:rsidP="00671617">
            <w:pPr>
              <w:jc w:val="center"/>
              <w:rPr>
                <w:szCs w:val="24"/>
                <w:lang w:eastAsia="ja-JP"/>
              </w:rPr>
            </w:pPr>
            <w:r>
              <w:rPr>
                <w:szCs w:val="24"/>
                <w:lang w:eastAsia="ja-JP"/>
              </w:rPr>
              <w:t>100</w:t>
            </w:r>
          </w:p>
        </w:tc>
        <w:tc>
          <w:tcPr>
            <w:tcW w:w="1701" w:type="dxa"/>
            <w:noWrap/>
          </w:tcPr>
          <w:p w14:paraId="5BE3F2D2" w14:textId="77777777" w:rsidR="00966455" w:rsidRDefault="00966455" w:rsidP="00671617">
            <w:pPr>
              <w:jc w:val="center"/>
              <w:rPr>
                <w:szCs w:val="24"/>
                <w:lang w:eastAsia="ja-JP"/>
              </w:rPr>
            </w:pPr>
            <w:r>
              <w:rPr>
                <w:szCs w:val="24"/>
                <w:lang w:eastAsia="ja-JP"/>
              </w:rPr>
              <w:t>-232</w:t>
            </w:r>
          </w:p>
        </w:tc>
        <w:tc>
          <w:tcPr>
            <w:tcW w:w="1701" w:type="dxa"/>
          </w:tcPr>
          <w:p w14:paraId="52E73F6D" w14:textId="77777777" w:rsidR="00966455" w:rsidRPr="00B42CFC" w:rsidRDefault="0080507E" w:rsidP="00671617">
            <w:pPr>
              <w:jc w:val="center"/>
              <w:rPr>
                <w:szCs w:val="24"/>
                <w:lang w:eastAsia="ja-JP"/>
              </w:rPr>
            </w:pPr>
            <w:r w:rsidRPr="0080507E">
              <w:rPr>
                <w:szCs w:val="24"/>
                <w:lang w:eastAsia="ja-JP"/>
              </w:rPr>
              <w:t>-95</w:t>
            </w:r>
          </w:p>
        </w:tc>
      </w:tr>
      <w:tr w:rsidR="00966455" w14:paraId="55F8BE43" w14:textId="77777777" w:rsidTr="00671617">
        <w:trPr>
          <w:trHeight w:val="255"/>
        </w:trPr>
        <w:tc>
          <w:tcPr>
            <w:tcW w:w="2392" w:type="dxa"/>
            <w:noWrap/>
            <w:vAlign w:val="center"/>
          </w:tcPr>
          <w:p w14:paraId="1A8052FA" w14:textId="77777777" w:rsidR="00966455" w:rsidRDefault="00966455" w:rsidP="00671617">
            <w:pPr>
              <w:jc w:val="center"/>
            </w:pPr>
            <w:r>
              <w:t>10000–25250</w:t>
            </w:r>
          </w:p>
        </w:tc>
        <w:tc>
          <w:tcPr>
            <w:tcW w:w="2410" w:type="dxa"/>
          </w:tcPr>
          <w:p w14:paraId="47FBF92B" w14:textId="77777777" w:rsidR="00966455" w:rsidRDefault="00966455" w:rsidP="00671617">
            <w:pPr>
              <w:jc w:val="center"/>
              <w:rPr>
                <w:szCs w:val="24"/>
                <w:lang w:eastAsia="ja-JP"/>
              </w:rPr>
            </w:pPr>
            <w:r>
              <w:rPr>
                <w:szCs w:val="24"/>
                <w:lang w:eastAsia="ja-JP"/>
              </w:rPr>
              <w:t>100</w:t>
            </w:r>
          </w:p>
        </w:tc>
        <w:tc>
          <w:tcPr>
            <w:tcW w:w="1701" w:type="dxa"/>
            <w:noWrap/>
          </w:tcPr>
          <w:p w14:paraId="2892B0E0" w14:textId="77777777" w:rsidR="00966455" w:rsidRDefault="00966455" w:rsidP="00671617">
            <w:pPr>
              <w:jc w:val="center"/>
              <w:rPr>
                <w:szCs w:val="24"/>
                <w:lang w:eastAsia="ja-JP"/>
              </w:rPr>
            </w:pPr>
            <w:r>
              <w:rPr>
                <w:szCs w:val="24"/>
                <w:lang w:eastAsia="ja-JP"/>
              </w:rPr>
              <w:t>-236</w:t>
            </w:r>
          </w:p>
        </w:tc>
        <w:tc>
          <w:tcPr>
            <w:tcW w:w="1701" w:type="dxa"/>
          </w:tcPr>
          <w:p w14:paraId="1E985B71" w14:textId="77777777" w:rsidR="00966455" w:rsidRPr="00B42CFC" w:rsidRDefault="0080507E" w:rsidP="00671617">
            <w:pPr>
              <w:jc w:val="center"/>
              <w:rPr>
                <w:szCs w:val="24"/>
                <w:lang w:eastAsia="ja-JP"/>
              </w:rPr>
            </w:pPr>
            <w:r w:rsidRPr="0080507E">
              <w:rPr>
                <w:szCs w:val="24"/>
                <w:lang w:eastAsia="ja-JP"/>
              </w:rPr>
              <w:t>-95</w:t>
            </w:r>
          </w:p>
        </w:tc>
      </w:tr>
    </w:tbl>
    <w:p w14:paraId="42A803BB" w14:textId="77777777" w:rsidR="00AC4249" w:rsidRDefault="00AC4249" w:rsidP="00AC4249">
      <w:pPr>
        <w:spacing w:before="120" w:after="240"/>
        <w:rPr>
          <w:b/>
          <w:bCs/>
        </w:rPr>
      </w:pPr>
      <w:r>
        <w:rPr>
          <w:b/>
          <w:bCs/>
        </w:rPr>
        <w:t>Table 1</w:t>
      </w:r>
      <w:r w:rsidRPr="00E34902">
        <w:rPr>
          <w:b/>
          <w:bCs/>
        </w:rPr>
        <w:t xml:space="preserve">: </w:t>
      </w:r>
      <w:r>
        <w:rPr>
          <w:b/>
          <w:bCs/>
        </w:rPr>
        <w:t xml:space="preserve">Coordination Zone Parameters </w:t>
      </w:r>
      <w:r w:rsidRPr="00A04A35">
        <w:rPr>
          <w:bCs/>
        </w:rPr>
        <w:t>(centre</w:t>
      </w:r>
      <w:r>
        <w:rPr>
          <w:b/>
          <w:bCs/>
        </w:rPr>
        <w:t xml:space="preserve"> </w:t>
      </w:r>
      <w:r w:rsidR="00B42CFC">
        <w:rPr>
          <w:color w:val="000000"/>
          <w:lang w:val="en-AU"/>
        </w:rPr>
        <w:t xml:space="preserve">latitude 26.704167 South and longitude 116.658889 East </w:t>
      </w:r>
      <w:r>
        <w:rPr>
          <w:lang w:val="en-AU"/>
        </w:rPr>
        <w:t>(</w:t>
      </w:r>
      <w:r>
        <w:t>GDA94 datum).</w:t>
      </w:r>
    </w:p>
    <w:p w14:paraId="42A3EC48" w14:textId="77777777" w:rsidR="00BB3293" w:rsidRPr="00BB3293" w:rsidRDefault="00BB3293" w:rsidP="00BB3293">
      <w:pPr>
        <w:pStyle w:val="Heading3"/>
      </w:pPr>
    </w:p>
    <w:sectPr w:rsidR="00BB3293" w:rsidRPr="00BB3293" w:rsidSect="00873805">
      <w:headerReference w:type="even" r:id="rId20"/>
      <w:headerReference w:type="default" r:id="rId21"/>
      <w:footerReference w:type="default" r:id="rId22"/>
      <w:headerReference w:type="first" r:id="rId23"/>
      <w:footnotePr>
        <w:numRestart w:val="eachSect"/>
      </w:footnotePr>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C171" w14:textId="77777777" w:rsidR="0032596C" w:rsidRDefault="0032596C">
      <w:r>
        <w:separator/>
      </w:r>
    </w:p>
  </w:endnote>
  <w:endnote w:type="continuationSeparator" w:id="0">
    <w:p w14:paraId="52B67500" w14:textId="77777777" w:rsidR="0032596C" w:rsidRDefault="0032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3DE5" w14:textId="77777777" w:rsidR="00184DEC" w:rsidRDefault="00746E4D">
    <w:pPr>
      <w:pStyle w:val="Footer"/>
      <w:framePr w:wrap="around" w:vAnchor="text" w:hAnchor="margin" w:xAlign="right"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17</w:t>
    </w:r>
    <w:r>
      <w:rPr>
        <w:rStyle w:val="PageNumber"/>
      </w:rPr>
      <w:fldChar w:fldCharType="end"/>
    </w:r>
  </w:p>
  <w:p w14:paraId="69186EED" w14:textId="77777777" w:rsidR="00184DEC" w:rsidRDefault="00184DEC">
    <w:pPr>
      <w:pStyle w:val="Footer"/>
      <w:ind w:right="36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EDE7" w14:textId="77777777" w:rsidR="00184DEC" w:rsidRDefault="00184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44D8" w14:textId="77777777" w:rsidR="00184DEC" w:rsidRDefault="00184D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7C5D1" w14:textId="75FB2292" w:rsidR="00184DEC" w:rsidRDefault="00184DEC" w:rsidP="00124EB3">
    <w:pPr>
      <w:pStyle w:val="Footer"/>
      <w:pBdr>
        <w:top w:val="single" w:sz="18" w:space="1" w:color="auto"/>
      </w:pBdr>
      <w:tabs>
        <w:tab w:val="left" w:pos="4320"/>
        <w:tab w:val="right" w:pos="9214"/>
      </w:tabs>
      <w:rPr>
        <w:sz w:val="20"/>
      </w:rPr>
    </w:pPr>
    <w:r>
      <w:rPr>
        <w:rFonts w:ascii="Times New (W1)" w:hAnsi="Times New (W1)"/>
        <w:sz w:val="20"/>
      </w:rPr>
      <w:t>MS32</w:t>
    </w:r>
    <w:r>
      <w:rPr>
        <w:sz w:val="20"/>
      </w:rPr>
      <w:tab/>
    </w:r>
    <w:r>
      <w:rPr>
        <w:sz w:val="20"/>
      </w:rPr>
      <w:tab/>
    </w:r>
    <w:r w:rsidR="00303919">
      <w:rPr>
        <w:sz w:val="20"/>
      </w:rPr>
      <w:t>December 2014</w:t>
    </w:r>
  </w:p>
  <w:p w14:paraId="4FECA3BD" w14:textId="77777777" w:rsidR="00184DEC" w:rsidRDefault="00184DEC" w:rsidP="006278AD">
    <w:pPr>
      <w:pStyle w:val="Footer"/>
      <w:pBdr>
        <w:top w:val="single" w:sz="18" w:space="1" w:color="auto"/>
      </w:pBdr>
      <w:tabs>
        <w:tab w:val="left" w:pos="4320"/>
        <w:tab w:val="right" w:pos="9214"/>
      </w:tabs>
      <w:rPr>
        <w:sz w:val="20"/>
      </w:rPr>
    </w:pPr>
    <w:r>
      <w:rPr>
        <w:sz w:val="20"/>
      </w:rPr>
      <w:tab/>
    </w:r>
    <w:r>
      <w:rPr>
        <w:sz w:val="20"/>
      </w:rPr>
      <w:tab/>
    </w:r>
    <w:r w:rsidR="00746E4D">
      <w:rPr>
        <w:rStyle w:val="PageNumber"/>
      </w:rPr>
      <w:fldChar w:fldCharType="begin"/>
    </w:r>
    <w:r>
      <w:rPr>
        <w:rStyle w:val="PageNumber"/>
      </w:rPr>
      <w:instrText xml:space="preserve"> PAGE </w:instrText>
    </w:r>
    <w:r w:rsidR="00746E4D">
      <w:rPr>
        <w:rStyle w:val="PageNumber"/>
      </w:rPr>
      <w:fldChar w:fldCharType="separate"/>
    </w:r>
    <w:r w:rsidR="00CA5AF1">
      <w:rPr>
        <w:rStyle w:val="PageNumber"/>
        <w:noProof/>
      </w:rPr>
      <w:t>14</w:t>
    </w:r>
    <w:r w:rsidR="00746E4D">
      <w:rPr>
        <w:rStyle w:val="PageNumber"/>
      </w:rPr>
      <w:fldChar w:fldCharType="end"/>
    </w:r>
  </w:p>
  <w:p w14:paraId="44526812" w14:textId="77777777" w:rsidR="00184DEC" w:rsidRPr="008568F2" w:rsidRDefault="00184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7F469" w14:textId="77777777" w:rsidR="0032596C" w:rsidRDefault="0032596C">
      <w:r>
        <w:separator/>
      </w:r>
    </w:p>
  </w:footnote>
  <w:footnote w:type="continuationSeparator" w:id="0">
    <w:p w14:paraId="3B8190E0" w14:textId="77777777" w:rsidR="0032596C" w:rsidRDefault="0032596C">
      <w:r>
        <w:continuationSeparator/>
      </w:r>
    </w:p>
  </w:footnote>
  <w:footnote w:id="1">
    <w:p w14:paraId="4E28892B" w14:textId="77777777" w:rsidR="00184DEC" w:rsidRPr="00031DAA" w:rsidRDefault="00184DEC" w:rsidP="00AC4249">
      <w:pPr>
        <w:rPr>
          <w:lang w:val="en-AU"/>
        </w:rPr>
      </w:pPr>
      <w:r>
        <w:rPr>
          <w:rStyle w:val="FootnoteReference"/>
        </w:rPr>
        <w:footnoteRef/>
      </w:r>
      <w:r>
        <w:t xml:space="preserve"> See </w:t>
      </w:r>
      <w:hyperlink r:id="rId1" w:history="1">
        <w:r w:rsidRPr="000964D8">
          <w:rPr>
            <w:rStyle w:val="Hyperlink"/>
            <w:i/>
            <w:sz w:val="18"/>
            <w:szCs w:val="18"/>
          </w:rPr>
          <w:t>http://www.ska.gov.au</w:t>
        </w:r>
      </w:hyperlink>
      <w:r>
        <w:t xml:space="preserve"> </w:t>
      </w:r>
      <w:r w:rsidRPr="000964D8">
        <w:rPr>
          <w:sz w:val="18"/>
          <w:szCs w:val="18"/>
        </w:rPr>
        <w:t>and</w:t>
      </w:r>
      <w:r>
        <w:t xml:space="preserve"> </w:t>
      </w:r>
      <w:hyperlink r:id="rId2" w:history="1">
        <w:r w:rsidRPr="000964D8">
          <w:rPr>
            <w:rStyle w:val="Hyperlink"/>
            <w:sz w:val="18"/>
            <w:szCs w:val="18"/>
          </w:rPr>
          <w:t>http://www.skatelescope.org</w:t>
        </w:r>
      </w:hyperlink>
    </w:p>
  </w:footnote>
  <w:footnote w:id="2">
    <w:p w14:paraId="04230B38" w14:textId="77777777" w:rsidR="00184DEC" w:rsidRPr="00C86852" w:rsidRDefault="00184DEC" w:rsidP="00160823">
      <w:pPr>
        <w:pStyle w:val="FootnoteText"/>
        <w:rPr>
          <w:szCs w:val="18"/>
          <w:lang w:val="en-AU"/>
        </w:rPr>
      </w:pPr>
      <w:r>
        <w:rPr>
          <w:rStyle w:val="FootnoteReference"/>
        </w:rPr>
        <w:footnoteRef/>
      </w:r>
      <w:r>
        <w:t xml:space="preserve"> </w:t>
      </w:r>
      <w:r w:rsidRPr="00C86852">
        <w:rPr>
          <w:szCs w:val="18"/>
          <w:lang w:val="en-AU"/>
        </w:rPr>
        <w:t xml:space="preserve">It is intended that these services are characterised by operation while in motion or on a transitory basis and at unspecified locations. It does not include operation that is other than such short-term use, or involves the establishment of </w:t>
      </w:r>
      <w:proofErr w:type="spellStart"/>
      <w:r w:rsidRPr="00C86852">
        <w:rPr>
          <w:szCs w:val="18"/>
          <w:lang w:val="en-AU"/>
        </w:rPr>
        <w:t>radiocommunications</w:t>
      </w:r>
      <w:proofErr w:type="spellEnd"/>
      <w:r w:rsidRPr="00C86852">
        <w:rPr>
          <w:szCs w:val="18"/>
          <w:lang w:val="en-AU"/>
        </w:rPr>
        <w:t xml:space="preserve"> facilities at a particular location.</w:t>
      </w:r>
    </w:p>
    <w:p w14:paraId="4F72273A" w14:textId="77777777" w:rsidR="00184DEC" w:rsidRPr="00160823" w:rsidRDefault="00184DEC">
      <w:pPr>
        <w:pStyle w:val="FootnoteText"/>
        <w:rPr>
          <w:lang w:val="en-AU"/>
        </w:rPr>
      </w:pPr>
    </w:p>
  </w:footnote>
  <w:footnote w:id="3">
    <w:p w14:paraId="6957CBA3" w14:textId="77777777" w:rsidR="00184DEC" w:rsidRPr="000D66D3" w:rsidRDefault="00184DEC" w:rsidP="002B5171">
      <w:pPr>
        <w:pStyle w:val="FootnoteText"/>
        <w:rPr>
          <w:lang w:val="en-AU"/>
        </w:rPr>
      </w:pPr>
      <w:r>
        <w:rPr>
          <w:rStyle w:val="FootnoteReference"/>
        </w:rPr>
        <w:footnoteRef/>
      </w:r>
      <w:r>
        <w:t xml:space="preserve"> </w:t>
      </w:r>
      <w:r>
        <w:rPr>
          <w:lang w:val="en-AU"/>
        </w:rPr>
        <w:t>Manager, Spectrum Engineering Section, ACMA, PO Box 78 Belconnen ACT 2616.</w:t>
      </w:r>
    </w:p>
  </w:footnote>
  <w:footnote w:id="4">
    <w:p w14:paraId="682C17CF" w14:textId="77777777" w:rsidR="00184DEC" w:rsidRPr="00F12373" w:rsidRDefault="00184DEC" w:rsidP="005E568D">
      <w:pPr>
        <w:pStyle w:val="FootnoteText"/>
        <w:rPr>
          <w:lang w:val="en-AU"/>
        </w:rPr>
      </w:pPr>
      <w:r>
        <w:rPr>
          <w:rStyle w:val="FootnoteReference"/>
        </w:rPr>
        <w:footnoteRef/>
      </w:r>
      <w:r>
        <w:t xml:space="preserve"> </w:t>
      </w:r>
      <w:r>
        <w:rPr>
          <w:lang w:val="en-AU"/>
        </w:rPr>
        <w:t>The ACMA models in this case are those specified in RALIs. The majority are in RALIs LM 8 and FX 3.</w:t>
      </w:r>
    </w:p>
    <w:p w14:paraId="7E9A5A1B" w14:textId="77777777" w:rsidR="00184DEC" w:rsidRPr="005E568D" w:rsidRDefault="00184DEC">
      <w:pPr>
        <w:pStyle w:val="FootnoteText"/>
        <w:rPr>
          <w:lang w:val="en-AU"/>
        </w:rPr>
      </w:pPr>
    </w:p>
  </w:footnote>
  <w:footnote w:id="5">
    <w:p w14:paraId="027FABF5" w14:textId="77777777" w:rsidR="00573B6D" w:rsidRPr="00F827BC" w:rsidRDefault="00573B6D">
      <w:pPr>
        <w:pStyle w:val="FootnoteText"/>
        <w:rPr>
          <w:lang w:val="en-US"/>
        </w:rPr>
      </w:pPr>
      <w:r>
        <w:rPr>
          <w:rStyle w:val="FootnoteReference"/>
        </w:rPr>
        <w:footnoteRef/>
      </w:r>
      <w:r>
        <w:t xml:space="preserve"> </w:t>
      </w:r>
      <w:bookmarkStart w:id="66" w:name="OLE_LINK1"/>
      <w:bookmarkStart w:id="67" w:name="OLE_LINK2"/>
      <w:r w:rsidR="0051443A" w:rsidRPr="006E60FD">
        <w:rPr>
          <w:rFonts w:ascii="Arial" w:hAnsi="Arial" w:cs="Arial"/>
        </w:rPr>
        <w:t>Policy on apparatus licence tenure</w:t>
      </w:r>
      <w:bookmarkEnd w:id="66"/>
      <w:bookmarkEnd w:id="67"/>
      <w:r w:rsidR="0051443A">
        <w:rPr>
          <w:rFonts w:ascii="Arial" w:hAnsi="Arial" w:cs="Arial"/>
        </w:rPr>
        <w:t>, ACMA 2011,</w:t>
      </w:r>
      <w:r w:rsidR="0051443A" w:rsidRPr="00573B6D">
        <w:rPr>
          <w:highlight w:val="yellow"/>
          <w:lang w:val="en-US"/>
        </w:rPr>
        <w:t xml:space="preserve"> </w:t>
      </w:r>
      <w:r w:rsidR="0051443A" w:rsidRPr="0051443A">
        <w:rPr>
          <w:lang w:val="en-US"/>
        </w:rPr>
        <w:t>http://www.acma.gov.au/webwr/_assets/main/lib312068/apparatus_licence_tenure_policy.doc</w:t>
      </w:r>
    </w:p>
  </w:footnote>
  <w:footnote w:id="6">
    <w:p w14:paraId="76F48A13" w14:textId="77777777" w:rsidR="00184DEC" w:rsidRPr="000D66D3" w:rsidRDefault="00184DEC" w:rsidP="006C3772">
      <w:pPr>
        <w:pStyle w:val="FootnoteText"/>
        <w:rPr>
          <w:lang w:val="en-AU"/>
        </w:rPr>
      </w:pPr>
      <w:r>
        <w:rPr>
          <w:rStyle w:val="FootnoteReference"/>
        </w:rPr>
        <w:footnoteRef/>
      </w:r>
      <w:r>
        <w:t xml:space="preserve"> </w:t>
      </w:r>
      <w:r>
        <w:rPr>
          <w:lang w:val="en-AU"/>
        </w:rPr>
        <w:t>Manager, Spectrum Engineering Section, ACMA, PO Box 78 Belconnen ACT 2616.</w:t>
      </w:r>
    </w:p>
  </w:footnote>
  <w:footnote w:id="7">
    <w:p w14:paraId="314CB3A7" w14:textId="77777777" w:rsidR="00184DEC" w:rsidRPr="004D06B6" w:rsidRDefault="00184DEC" w:rsidP="00AC4249">
      <w:pPr>
        <w:pStyle w:val="FootnoteText"/>
        <w:rPr>
          <w:lang w:val="en-AU"/>
        </w:rPr>
      </w:pPr>
      <w:r>
        <w:rPr>
          <w:rStyle w:val="FootnoteReference"/>
        </w:rPr>
        <w:footnoteRef/>
      </w:r>
      <w:r>
        <w:t xml:space="preserve"> A relatively uniform emission level is assumed.  For less uniform emissions (e.g. analogue television signal) refer to the MRO entity for advice.</w:t>
      </w:r>
    </w:p>
  </w:footnote>
  <w:footnote w:id="8">
    <w:p w14:paraId="6694DCCA" w14:textId="77777777" w:rsidR="00184DEC" w:rsidRPr="00E565FC" w:rsidRDefault="00184DEC" w:rsidP="00AC4249">
      <w:pPr>
        <w:pStyle w:val="FootnoteText"/>
        <w:rPr>
          <w:lang w:val="en-AU"/>
        </w:rPr>
      </w:pPr>
      <w:r>
        <w:rPr>
          <w:rStyle w:val="FootnoteReference"/>
        </w:rPr>
        <w:footnoteRef/>
      </w:r>
      <w:r>
        <w:t xml:space="preserve"> The ratio of the </w:t>
      </w:r>
      <w:r w:rsidRPr="00E565FC">
        <w:t>effective Earth radius</w:t>
      </w:r>
      <w:r>
        <w:t xml:space="preserve"> to the actual Earth radius.</w:t>
      </w:r>
    </w:p>
  </w:footnote>
  <w:footnote w:id="9">
    <w:p w14:paraId="77E72A64" w14:textId="77777777" w:rsidR="00184DEC" w:rsidRPr="00A821EE" w:rsidRDefault="00184DEC" w:rsidP="00AC4249">
      <w:pPr>
        <w:pStyle w:val="FootnoteText"/>
        <w:rPr>
          <w:lang w:val="en-AU"/>
        </w:rPr>
      </w:pPr>
      <w:r>
        <w:rPr>
          <w:rStyle w:val="FootnoteReference"/>
        </w:rPr>
        <w:footnoteRef/>
      </w:r>
      <w:r>
        <w:t xml:space="preserve"> </w:t>
      </w:r>
      <w:r>
        <w:rPr>
          <w:lang w:val="en-AU"/>
        </w:rPr>
        <w:t>Lower limit exclusive, upper limit inclusive.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AD4B" w14:textId="77777777" w:rsidR="00184DEC" w:rsidRDefault="00184DEC">
    <w:pPr>
      <w:pStyle w:val="Header"/>
      <w:ind w:right="-1"/>
    </w:pPr>
  </w:p>
  <w:p w14:paraId="20EEEE70" w14:textId="77777777" w:rsidR="00184DEC" w:rsidRDefault="00184DEC">
    <w:pPr>
      <w:pStyle w:val="Header"/>
      <w:ind w:right="-1"/>
    </w:pPr>
  </w:p>
  <w:p w14:paraId="093E1083" w14:textId="77777777" w:rsidR="00184DEC" w:rsidRDefault="00184DEC"/>
  <w:tbl>
    <w:tblPr>
      <w:tblW w:w="0" w:type="auto"/>
      <w:tblInd w:w="5495" w:type="dxa"/>
      <w:tblLayout w:type="fixed"/>
      <w:tblLook w:val="0000" w:firstRow="0" w:lastRow="0" w:firstColumn="0" w:lastColumn="0" w:noHBand="0" w:noVBand="0"/>
    </w:tblPr>
    <w:tblGrid>
      <w:gridCol w:w="2410"/>
      <w:gridCol w:w="23"/>
      <w:gridCol w:w="1536"/>
    </w:tblGrid>
    <w:tr w:rsidR="00184DEC" w14:paraId="31ECA88B" w14:textId="77777777">
      <w:trPr>
        <w:cantSplit/>
      </w:trPr>
      <w:tc>
        <w:tcPr>
          <w:tcW w:w="2433" w:type="dxa"/>
          <w:gridSpan w:val="2"/>
        </w:tcPr>
        <w:p w14:paraId="2D0C328E" w14:textId="77777777" w:rsidR="00184DEC" w:rsidRDefault="00184DEC">
          <w:pPr>
            <w:jc w:val="right"/>
            <w:rPr>
              <w:b/>
            </w:rPr>
          </w:pPr>
          <w:r>
            <w:rPr>
              <w:b/>
            </w:rPr>
            <w:t>RALI</w:t>
          </w:r>
        </w:p>
      </w:tc>
      <w:tc>
        <w:tcPr>
          <w:tcW w:w="1536" w:type="dxa"/>
        </w:tcPr>
        <w:p w14:paraId="47FC3792" w14:textId="77777777" w:rsidR="00184DEC" w:rsidRDefault="00184DEC">
          <w:pPr>
            <w:rPr>
              <w:b/>
            </w:rPr>
          </w:pPr>
          <w:r>
            <w:rPr>
              <w:b/>
            </w:rPr>
            <w:t>: MS 25</w:t>
          </w:r>
        </w:p>
      </w:tc>
    </w:tr>
    <w:tr w:rsidR="00184DEC" w14:paraId="6747CCE6" w14:textId="77777777">
      <w:trPr>
        <w:cantSplit/>
      </w:trPr>
      <w:tc>
        <w:tcPr>
          <w:tcW w:w="2410" w:type="dxa"/>
        </w:tcPr>
        <w:p w14:paraId="5F0AA16E" w14:textId="77777777" w:rsidR="00184DEC" w:rsidRDefault="00184DEC">
          <w:pPr>
            <w:jc w:val="right"/>
            <w:rPr>
              <w:b/>
            </w:rPr>
          </w:pPr>
          <w:r>
            <w:rPr>
              <w:b/>
            </w:rPr>
            <w:t>DATE OF EFFECT</w:t>
          </w:r>
        </w:p>
      </w:tc>
      <w:tc>
        <w:tcPr>
          <w:tcW w:w="1559" w:type="dxa"/>
          <w:gridSpan w:val="2"/>
        </w:tcPr>
        <w:p w14:paraId="35DFD6FF" w14:textId="77777777" w:rsidR="00184DEC" w:rsidRDefault="00184DEC">
          <w:pPr>
            <w:rPr>
              <w:b/>
            </w:rPr>
          </w:pPr>
          <w:r>
            <w:rPr>
              <w:b/>
            </w:rPr>
            <w:t>: XX/X/2000</w:t>
          </w:r>
        </w:p>
      </w:tc>
    </w:tr>
    <w:tr w:rsidR="00184DEC" w14:paraId="152EFFBA" w14:textId="77777777">
      <w:trPr>
        <w:cantSplit/>
      </w:trPr>
      <w:tc>
        <w:tcPr>
          <w:tcW w:w="2433" w:type="dxa"/>
          <w:gridSpan w:val="2"/>
        </w:tcPr>
        <w:p w14:paraId="488C92B5" w14:textId="77777777" w:rsidR="00184DEC" w:rsidRDefault="00184DEC">
          <w:pPr>
            <w:jc w:val="right"/>
            <w:rPr>
              <w:b/>
              <w:sz w:val="20"/>
            </w:rPr>
          </w:pPr>
        </w:p>
      </w:tc>
      <w:tc>
        <w:tcPr>
          <w:tcW w:w="1536" w:type="dxa"/>
        </w:tcPr>
        <w:p w14:paraId="53E50CF5" w14:textId="77777777" w:rsidR="00184DEC" w:rsidRDefault="00184DEC">
          <w:pPr>
            <w:rPr>
              <w:b/>
            </w:rPr>
          </w:pPr>
        </w:p>
      </w:tc>
    </w:tr>
    <w:tr w:rsidR="00184DEC" w14:paraId="1A429408" w14:textId="77777777">
      <w:trPr>
        <w:cantSplit/>
      </w:trPr>
      <w:tc>
        <w:tcPr>
          <w:tcW w:w="2433" w:type="dxa"/>
          <w:gridSpan w:val="2"/>
        </w:tcPr>
        <w:p w14:paraId="47154B8D" w14:textId="77777777" w:rsidR="00184DEC" w:rsidRDefault="00184DEC">
          <w:pPr>
            <w:jc w:val="right"/>
            <w:rPr>
              <w:b/>
              <w:sz w:val="20"/>
            </w:rPr>
          </w:pPr>
          <w:r>
            <w:rPr>
              <w:b/>
              <w:sz w:val="20"/>
            </w:rPr>
            <w:t>Sequence Number</w:t>
          </w:r>
        </w:p>
      </w:tc>
      <w:tc>
        <w:tcPr>
          <w:tcW w:w="1536" w:type="dxa"/>
        </w:tcPr>
        <w:p w14:paraId="170036EB" w14:textId="77777777" w:rsidR="00184DEC" w:rsidRDefault="00184DEC">
          <w:pPr>
            <w:rPr>
              <w:b/>
            </w:rPr>
          </w:pPr>
          <w:r>
            <w:rPr>
              <w:b/>
            </w:rPr>
            <w:t>: (XXX)</w:t>
          </w:r>
        </w:p>
        <w:p w14:paraId="7E478EEA" w14:textId="77777777" w:rsidR="00184DEC" w:rsidRDefault="00184DEC">
          <w:pPr>
            <w:rPr>
              <w:b/>
            </w:rPr>
          </w:pPr>
          <w:r>
            <w:rPr>
              <w:b/>
            </w:rPr>
            <w:t>(X) (X)</w:t>
          </w:r>
        </w:p>
      </w:tc>
    </w:tr>
  </w:tbl>
  <w:p w14:paraId="0735B57A" w14:textId="77777777" w:rsidR="00184DEC" w:rsidRDefault="00184DEC">
    <w:pPr>
      <w:pBdr>
        <w:bottom w:val="single" w:sz="48" w:space="1" w:color="auto"/>
      </w:pBdr>
    </w:pPr>
  </w:p>
  <w:p w14:paraId="327FB022" w14:textId="77777777" w:rsidR="00184DEC" w:rsidRDefault="00184DEC">
    <w:proofErr w:type="spellStart"/>
    <w:r>
      <w:rPr>
        <w:b/>
      </w:rPr>
      <w:t>Radiocommunications</w:t>
    </w:r>
    <w:proofErr w:type="spellEnd"/>
    <w:r>
      <w:rPr>
        <w:b/>
      </w:rPr>
      <w:t xml:space="preserve"> Assignment and Licensing Instruction</w:t>
    </w:r>
  </w:p>
  <w:p w14:paraId="6794E5A3" w14:textId="77777777" w:rsidR="00184DEC" w:rsidRDefault="00184DEC">
    <w:pPr>
      <w:pStyle w:val="Header"/>
      <w:ind w:right="-1"/>
      <w:jc w:val="center"/>
    </w:pPr>
  </w:p>
  <w:p w14:paraId="563A7D86" w14:textId="77777777" w:rsidR="00184DEC" w:rsidRDefault="00184DEC">
    <w:pPr>
      <w:pBdr>
        <w:bottom w:val="single" w:sz="48" w:space="1" w:color="auto"/>
      </w:pBdr>
      <w:rPr>
        <w:b/>
        <w:sz w:val="16"/>
      </w:rPr>
    </w:pPr>
    <w:r>
      <w:rPr>
        <w:b/>
        <w:sz w:val="16"/>
      </w:rPr>
      <w:t xml:space="preserve"> </w:t>
    </w:r>
  </w:p>
  <w:p w14:paraId="1CEE5952" w14:textId="77777777" w:rsidR="00184DEC" w:rsidRDefault="00184DEC">
    <w:pPr>
      <w:rPr>
        <w:b/>
        <w:i/>
        <w:sz w:val="22"/>
      </w:rPr>
    </w:pPr>
    <w:r>
      <w:rPr>
        <w:b/>
        <w:i/>
        <w:sz w:val="22"/>
      </w:rPr>
      <w:t>AUSTRALIAN COMMUNICATIONS AUTHORITY</w:t>
    </w:r>
  </w:p>
  <w:p w14:paraId="7EE557E2" w14:textId="77777777" w:rsidR="00184DEC" w:rsidRDefault="00184DEC">
    <w:pPr>
      <w:rPr>
        <w:b/>
        <w:sz w:val="22"/>
      </w:rPr>
    </w:pPr>
    <w:r>
      <w:rPr>
        <w:b/>
        <w:sz w:val="22"/>
      </w:rPr>
      <w:t>RADIOFREQUENCY PLANNING GROUP</w:t>
    </w:r>
  </w:p>
  <w:p w14:paraId="3F6962AD" w14:textId="77777777" w:rsidR="00184DEC" w:rsidRDefault="00184DEC">
    <w:pPr>
      <w:tabs>
        <w:tab w:val="right" w:pos="9356"/>
      </w:tabs>
      <w:spacing w:after="0"/>
      <w:rPr>
        <w:b/>
        <w:sz w:val="22"/>
      </w:rPr>
    </w:pPr>
    <w:smartTag w:uri="urn:schemas-microsoft-com:office:smarttags" w:element="City">
      <w:smartTag w:uri="urn:schemas-microsoft-com:office:smarttags" w:element="place">
        <w:r>
          <w:rPr>
            <w:b/>
            <w:sz w:val="22"/>
          </w:rPr>
          <w:t>CANBERRA</w:t>
        </w:r>
      </w:smartTag>
    </w:smartTag>
  </w:p>
  <w:p w14:paraId="48FB5E24" w14:textId="77777777" w:rsidR="00184DEC" w:rsidRDefault="00184DEC">
    <w:pPr>
      <w:pStyle w:val="Header"/>
      <w:ind w:right="-1"/>
      <w:jc w:val="center"/>
    </w:pPr>
  </w:p>
  <w:p w14:paraId="6E575601"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17</w:t>
    </w:r>
    <w:r>
      <w:rPr>
        <w:rStyle w:val="PageNumber"/>
      </w:rPr>
      <w:fldChar w:fldCharType="end"/>
    </w:r>
  </w:p>
  <w:p w14:paraId="278B56C8" w14:textId="77777777" w:rsidR="00184DEC" w:rsidRDefault="00184DEC">
    <w:pPr>
      <w:pStyle w:val="Header"/>
      <w:tabs>
        <w:tab w:val="center" w:pos="4536"/>
      </w:tabs>
      <w:ind w:right="360"/>
      <w:jc w:val="center"/>
      <w:rPr>
        <w:b/>
      </w:rPr>
    </w:pPr>
    <w:r>
      <w:rPr>
        <w:b/>
      </w:rPr>
      <w:t>DRAFT</w:t>
    </w:r>
  </w:p>
  <w:p w14:paraId="278CF838" w14:textId="77777777" w:rsidR="00184DEC" w:rsidRDefault="00184DEC">
    <w:pPr>
      <w:pStyle w:val="Header"/>
      <w:tabs>
        <w:tab w:val="center" w:pos="4536"/>
      </w:tabs>
      <w:ind w:right="-1"/>
      <w:jc w:val="center"/>
    </w:pPr>
  </w:p>
  <w:p w14:paraId="661B53B5" w14:textId="77777777" w:rsidR="00184DEC" w:rsidRDefault="00184DEC">
    <w:pPr>
      <w:pStyle w:val="Header"/>
      <w:ind w:right="360" w:firstLine="360"/>
      <w:jc w:val="center"/>
      <w:rPr>
        <w:b/>
      </w:rPr>
    </w:pPr>
  </w:p>
  <w:p w14:paraId="41673F04" w14:textId="77777777" w:rsidR="00184DEC" w:rsidRDefault="00184DEC">
    <w:pPr>
      <w:pStyle w:val="Header"/>
      <w:ind w:right="-1"/>
      <w:jc w:val="center"/>
    </w:pPr>
  </w:p>
  <w:p w14:paraId="30E94463" w14:textId="77777777" w:rsidR="00184DEC" w:rsidRDefault="00746E4D">
    <w:pPr>
      <w:pStyle w:val="Footer"/>
      <w:framePr w:wrap="around" w:vAnchor="text" w:hAnchor="margin" w:xAlign="right"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17</w:t>
    </w:r>
    <w:r>
      <w:rPr>
        <w:rStyle w:val="PageNumber"/>
      </w:rPr>
      <w:fldChar w:fldCharType="end"/>
    </w:r>
  </w:p>
  <w:p w14:paraId="7FF14BD3" w14:textId="77777777" w:rsidR="00184DEC" w:rsidRDefault="00184DEC">
    <w:pPr>
      <w:pStyle w:val="Footer"/>
      <w:ind w:right="360"/>
      <w:rPr>
        <w:b/>
      </w:rPr>
    </w:pPr>
  </w:p>
  <w:p w14:paraId="66F6D0E4" w14:textId="77777777" w:rsidR="00184DEC" w:rsidRDefault="00184DEC">
    <w:pPr>
      <w:pStyle w:val="Footer"/>
    </w:pPr>
  </w:p>
  <w:p w14:paraId="25B8A2C1" w14:textId="77777777" w:rsidR="00184DEC" w:rsidRDefault="00184DEC">
    <w:pPr>
      <w:pStyle w:val="Footer"/>
    </w:pPr>
  </w:p>
  <w:p w14:paraId="37489D7B" w14:textId="77777777" w:rsidR="00184DEC" w:rsidRDefault="00184DEC">
    <w:pPr>
      <w:pStyle w:val="Footer"/>
    </w:pPr>
  </w:p>
  <w:p w14:paraId="77CE4994"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iii</w:t>
    </w:r>
    <w:r>
      <w:rPr>
        <w:rStyle w:val="PageNumber"/>
      </w:rPr>
      <w:fldChar w:fldCharType="end"/>
    </w:r>
  </w:p>
  <w:p w14:paraId="3FE9A10F" w14:textId="77777777" w:rsidR="00184DEC" w:rsidRDefault="00184DEC">
    <w:pPr>
      <w:pStyle w:val="Header"/>
      <w:ind w:right="360" w:firstLine="360"/>
      <w:jc w:val="center"/>
      <w:rPr>
        <w:b/>
      </w:rPr>
    </w:pPr>
  </w:p>
  <w:p w14:paraId="00D4A4AE" w14:textId="77777777" w:rsidR="00184DEC" w:rsidRDefault="00184DEC">
    <w:pPr>
      <w:pStyle w:val="Header"/>
      <w:ind w:right="360" w:firstLine="360"/>
      <w:jc w:val="center"/>
      <w:rPr>
        <w:b/>
      </w:rPr>
    </w:pPr>
  </w:p>
  <w:p w14:paraId="78BE4DB9" w14:textId="77777777" w:rsidR="00184DEC" w:rsidRDefault="00184DEC"/>
  <w:p w14:paraId="37B899FC" w14:textId="77777777" w:rsidR="00184DEC" w:rsidRDefault="00184DEC">
    <w:pPr>
      <w:pStyle w:val="Footer"/>
    </w:pPr>
  </w:p>
  <w:p w14:paraId="3FF82D97" w14:textId="77777777" w:rsidR="00184DEC" w:rsidRDefault="00184DEC"/>
  <w:p w14:paraId="2EF9D9EA"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4</w:t>
    </w:r>
    <w:r>
      <w:rPr>
        <w:rStyle w:val="PageNumber"/>
      </w:rPr>
      <w:fldChar w:fldCharType="end"/>
    </w:r>
  </w:p>
  <w:p w14:paraId="4229BA9A" w14:textId="77777777" w:rsidR="00184DEC" w:rsidRDefault="00184DEC">
    <w:pPr>
      <w:pStyle w:val="Header"/>
      <w:ind w:right="360" w:firstLine="360"/>
      <w:jc w:val="center"/>
      <w:rPr>
        <w:b/>
      </w:rPr>
    </w:pPr>
  </w:p>
  <w:p w14:paraId="55E8828E" w14:textId="77777777" w:rsidR="00184DEC" w:rsidRDefault="00184DEC">
    <w:pPr>
      <w:pStyle w:val="Header"/>
      <w:ind w:right="360" w:firstLine="360"/>
      <w:jc w:val="center"/>
      <w:rPr>
        <w:b/>
      </w:rPr>
    </w:pPr>
  </w:p>
  <w:p w14:paraId="53E56EE8" w14:textId="77777777" w:rsidR="00184DEC" w:rsidRDefault="00184DEC"/>
  <w:p w14:paraId="23DC94A6" w14:textId="77777777" w:rsidR="00184DEC" w:rsidRDefault="00184DEC">
    <w:pPr>
      <w:pStyle w:val="Footer"/>
      <w:pBdr>
        <w:top w:val="single" w:sz="18" w:space="1" w:color="auto"/>
      </w:pBdr>
      <w:tabs>
        <w:tab w:val="right" w:pos="9214"/>
      </w:tabs>
      <w:rPr>
        <w:sz w:val="20"/>
      </w:rPr>
    </w:pPr>
    <w:r>
      <w:rPr>
        <w:sz w:val="20"/>
      </w:rPr>
      <w:t>MS 25 - Part 1</w:t>
    </w:r>
    <w:r>
      <w:rPr>
        <w:sz w:val="20"/>
      </w:rPr>
      <w:tab/>
      <w:t>February 2000</w:t>
    </w:r>
  </w:p>
  <w:p w14:paraId="603F5A07" w14:textId="77777777" w:rsidR="00184DEC" w:rsidRDefault="00184DEC"/>
  <w:p w14:paraId="796DA172"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9</w:t>
    </w:r>
    <w:r>
      <w:rPr>
        <w:rStyle w:val="PageNumber"/>
      </w:rPr>
      <w:fldChar w:fldCharType="end"/>
    </w:r>
  </w:p>
  <w:p w14:paraId="7DD7899F" w14:textId="77777777" w:rsidR="00184DEC" w:rsidRDefault="00184DEC">
    <w:pPr>
      <w:pStyle w:val="Header"/>
      <w:ind w:right="360" w:firstLine="360"/>
      <w:jc w:val="center"/>
      <w:rPr>
        <w:b/>
      </w:rPr>
    </w:pPr>
  </w:p>
  <w:p w14:paraId="50C798AA" w14:textId="77777777" w:rsidR="00184DEC" w:rsidRDefault="00184DEC">
    <w:pPr>
      <w:pStyle w:val="Header"/>
      <w:ind w:right="360" w:firstLine="360"/>
      <w:jc w:val="center"/>
      <w:rPr>
        <w:b/>
      </w:rPr>
    </w:pPr>
  </w:p>
  <w:p w14:paraId="14388DFF" w14:textId="77777777" w:rsidR="00184DEC" w:rsidRDefault="00184DEC"/>
  <w:p w14:paraId="58AC3A1D" w14:textId="77777777" w:rsidR="00184DEC" w:rsidRDefault="00184DEC">
    <w:pPr>
      <w:pStyle w:val="Footer"/>
      <w:pBdr>
        <w:top w:val="single" w:sz="18" w:space="1" w:color="auto"/>
      </w:pBdr>
      <w:tabs>
        <w:tab w:val="right" w:pos="9214"/>
      </w:tabs>
      <w:rPr>
        <w:sz w:val="20"/>
      </w:rPr>
    </w:pPr>
    <w:r>
      <w:rPr>
        <w:sz w:val="20"/>
      </w:rPr>
      <w:t>MS 25 - Part 2</w:t>
    </w:r>
    <w:r>
      <w:rPr>
        <w:sz w:val="20"/>
      </w:rPr>
      <w:tab/>
      <w:t>2000</w:t>
    </w:r>
  </w:p>
  <w:p w14:paraId="623E5981" w14:textId="77777777" w:rsidR="00184DEC" w:rsidRDefault="00184DEC"/>
  <w:p w14:paraId="0CFC8415"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29</w:t>
    </w:r>
    <w:r>
      <w:rPr>
        <w:rStyle w:val="PageNumber"/>
      </w:rPr>
      <w:fldChar w:fldCharType="end"/>
    </w:r>
  </w:p>
  <w:p w14:paraId="4E63C16A" w14:textId="77777777" w:rsidR="00184DEC" w:rsidRDefault="00184DEC">
    <w:pPr>
      <w:pStyle w:val="Header"/>
      <w:ind w:right="360" w:firstLine="360"/>
      <w:jc w:val="center"/>
      <w:rPr>
        <w:b/>
      </w:rPr>
    </w:pPr>
  </w:p>
  <w:p w14:paraId="63FFEAA7" w14:textId="77777777" w:rsidR="00184DEC" w:rsidRDefault="00184DEC">
    <w:pPr>
      <w:pStyle w:val="Header"/>
      <w:ind w:right="360" w:firstLine="360"/>
      <w:jc w:val="center"/>
      <w:rPr>
        <w:b/>
      </w:rPr>
    </w:pPr>
  </w:p>
  <w:p w14:paraId="6BD9FF21" w14:textId="77777777" w:rsidR="00184DEC" w:rsidRDefault="00184DEC"/>
  <w:p w14:paraId="251D757F" w14:textId="77777777" w:rsidR="00184DEC" w:rsidRDefault="00184DEC">
    <w:pPr>
      <w:pStyle w:val="Footer"/>
      <w:pBdr>
        <w:top w:val="single" w:sz="18" w:space="1" w:color="auto"/>
      </w:pBdr>
      <w:tabs>
        <w:tab w:val="right" w:pos="9214"/>
      </w:tabs>
      <w:rPr>
        <w:sz w:val="20"/>
      </w:rPr>
    </w:pPr>
    <w:r>
      <w:rPr>
        <w:sz w:val="20"/>
      </w:rPr>
      <w:t>MS 25 - Part 3</w:t>
    </w:r>
    <w:r>
      <w:rPr>
        <w:sz w:val="20"/>
      </w:rPr>
      <w:tab/>
      <w:t>2000</w:t>
    </w:r>
  </w:p>
  <w:p w14:paraId="7631612D" w14:textId="77777777" w:rsidR="00184DEC" w:rsidRDefault="00184DEC"/>
  <w:p w14:paraId="5F69E598" w14:textId="77777777" w:rsidR="00184DEC" w:rsidRDefault="00184DEC">
    <w:pPr>
      <w:pStyle w:val="Footer"/>
      <w:pBdr>
        <w:top w:val="single" w:sz="18" w:space="1" w:color="auto"/>
      </w:pBdr>
      <w:tabs>
        <w:tab w:val="right" w:pos="9214"/>
      </w:tabs>
      <w:rPr>
        <w:sz w:val="20"/>
      </w:rPr>
    </w:pPr>
    <w:r>
      <w:rPr>
        <w:sz w:val="20"/>
      </w:rPr>
      <w:t>MS 25 - Part 4</w:t>
    </w:r>
    <w:r>
      <w:rPr>
        <w:sz w:val="20"/>
      </w:rPr>
      <w:tab/>
      <w:t>2000</w:t>
    </w:r>
  </w:p>
  <w:p w14:paraId="7C99E7EF" w14:textId="77777777" w:rsidR="00184DEC" w:rsidRDefault="00184DEC"/>
  <w:p w14:paraId="3763B55C" w14:textId="77777777" w:rsidR="00184DEC" w:rsidRDefault="00184DEC">
    <w:pPr>
      <w:pStyle w:val="Footer"/>
      <w:pBdr>
        <w:top w:val="single" w:sz="18" w:space="1" w:color="auto"/>
      </w:pBdr>
      <w:tabs>
        <w:tab w:val="right" w:pos="9214"/>
      </w:tabs>
      <w:rPr>
        <w:sz w:val="20"/>
      </w:rPr>
    </w:pPr>
    <w:r>
      <w:rPr>
        <w:sz w:val="20"/>
      </w:rPr>
      <w:t>MS 25 - Part 4</w:t>
    </w:r>
    <w:r>
      <w:rPr>
        <w:sz w:val="20"/>
      </w:rPr>
      <w:tab/>
      <w:t>2000</w:t>
    </w:r>
  </w:p>
  <w:p w14:paraId="073155E1" w14:textId="77777777" w:rsidR="00184DEC" w:rsidRDefault="00184DEC"/>
  <w:p w14:paraId="0AB848D9" w14:textId="77777777" w:rsidR="00184DEC" w:rsidRDefault="00184DEC">
    <w:pPr>
      <w:pStyle w:val="Footer"/>
      <w:pBdr>
        <w:top w:val="single" w:sz="36" w:space="1" w:color="auto"/>
      </w:pBdr>
      <w:tabs>
        <w:tab w:val="right" w:pos="9356"/>
      </w:tabs>
      <w:spacing w:after="0"/>
      <w:rPr>
        <w:sz w:val="18"/>
      </w:rPr>
    </w:pPr>
    <w:r>
      <w:rPr>
        <w:sz w:val="18"/>
      </w:rPr>
      <w:t xml:space="preserve">Prepared by </w:t>
    </w:r>
    <w:smartTag w:uri="urn:schemas-microsoft-com:office:smarttags" w:element="State">
      <w:r>
        <w:rPr>
          <w:sz w:val="18"/>
        </w:rPr>
        <w:t>Spectrum Planning Team</w:t>
      </w:r>
    </w:smartTag>
    <w:r>
      <w:rPr>
        <w:sz w:val="18"/>
      </w:rPr>
      <w:t xml:space="preserve"> and </w:t>
    </w:r>
    <w:proofErr w:type="spellStart"/>
    <w:r>
      <w:rPr>
        <w:sz w:val="18"/>
      </w:rPr>
      <w:t>Radiocommunications</w:t>
    </w:r>
    <w:proofErr w:type="spellEnd"/>
    <w:r>
      <w:rPr>
        <w:sz w:val="18"/>
      </w:rPr>
      <w:t xml:space="preserve"> Licensing Policy Team</w:t>
    </w:r>
    <w:r>
      <w:rPr>
        <w:sz w:val="18"/>
      </w:rPr>
      <w:tab/>
      <w:t>File Ref:  X96/887</w:t>
    </w:r>
  </w:p>
  <w:p w14:paraId="5ACF5178" w14:textId="77777777" w:rsidR="00184DEC" w:rsidRDefault="00184DEC">
    <w:pPr>
      <w:pStyle w:val="Footer"/>
      <w:rPr>
        <w:sz w:val="20"/>
      </w:rPr>
    </w:pPr>
    <w:r>
      <w:rPr>
        <w:sz w:val="20"/>
      </w:rPr>
      <w:t>CANBERRA 2000</w:t>
    </w:r>
  </w:p>
  <w:p w14:paraId="5E7561FA" w14:textId="77777777" w:rsidR="00184DEC" w:rsidRDefault="00184DEC"/>
  <w:p w14:paraId="583C978C" w14:textId="77777777" w:rsidR="00184DEC" w:rsidRDefault="00184DEC">
    <w:pPr>
      <w:pStyle w:val="Footer"/>
      <w:pBdr>
        <w:top w:val="single" w:sz="18" w:space="1" w:color="auto"/>
      </w:pBdr>
      <w:tabs>
        <w:tab w:val="right" w:pos="9214"/>
      </w:tabs>
      <w:rPr>
        <w:sz w:val="20"/>
      </w:rPr>
    </w:pPr>
    <w:r>
      <w:rPr>
        <w:sz w:val="20"/>
      </w:rPr>
      <w:t>MS 25</w:t>
    </w:r>
    <w:r>
      <w:rPr>
        <w:sz w:val="20"/>
      </w:rPr>
      <w:tab/>
      <w:t>2000</w:t>
    </w:r>
  </w:p>
  <w:p w14:paraId="278ECCFF" w14:textId="77777777" w:rsidR="00184DEC" w:rsidRDefault="00184DEC"/>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2C3D" w14:textId="08457389" w:rsidR="00184DEC" w:rsidRDefault="00184DE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167B4" w14:textId="77777777" w:rsidR="00184DEC" w:rsidRDefault="00184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62AB" w14:textId="77777777" w:rsidR="00184DEC" w:rsidRDefault="00184DEC"/>
  <w:tbl>
    <w:tblPr>
      <w:tblW w:w="4310" w:type="dxa"/>
      <w:tblInd w:w="5495" w:type="dxa"/>
      <w:tblLayout w:type="fixed"/>
      <w:tblLook w:val="0000" w:firstRow="0" w:lastRow="0" w:firstColumn="0" w:lastColumn="0" w:noHBand="0" w:noVBand="0"/>
    </w:tblPr>
    <w:tblGrid>
      <w:gridCol w:w="2325"/>
      <w:gridCol w:w="1985"/>
    </w:tblGrid>
    <w:tr w:rsidR="00184DEC" w14:paraId="38564223" w14:textId="77777777">
      <w:trPr>
        <w:cantSplit/>
      </w:trPr>
      <w:tc>
        <w:tcPr>
          <w:tcW w:w="2325" w:type="dxa"/>
        </w:tcPr>
        <w:p w14:paraId="53520161" w14:textId="77777777" w:rsidR="00184DEC" w:rsidRDefault="00184DEC">
          <w:pPr>
            <w:jc w:val="right"/>
            <w:rPr>
              <w:b/>
            </w:rPr>
          </w:pPr>
          <w:r>
            <w:rPr>
              <w:b/>
            </w:rPr>
            <w:t>RALI</w:t>
          </w:r>
        </w:p>
      </w:tc>
      <w:tc>
        <w:tcPr>
          <w:tcW w:w="1985" w:type="dxa"/>
        </w:tcPr>
        <w:p w14:paraId="0C0BB61E" w14:textId="77777777" w:rsidR="00184DEC" w:rsidRDefault="00184DEC">
          <w:pPr>
            <w:rPr>
              <w:b/>
            </w:rPr>
          </w:pPr>
          <w:r>
            <w:rPr>
              <w:b/>
            </w:rPr>
            <w:t>: MS 32</w:t>
          </w:r>
        </w:p>
      </w:tc>
    </w:tr>
    <w:tr w:rsidR="00184DEC" w14:paraId="2B2446F3" w14:textId="77777777">
      <w:trPr>
        <w:cantSplit/>
      </w:trPr>
      <w:tc>
        <w:tcPr>
          <w:tcW w:w="2325" w:type="dxa"/>
        </w:tcPr>
        <w:p w14:paraId="60341D1E" w14:textId="77777777" w:rsidR="00184DEC" w:rsidRDefault="00184DEC">
          <w:pPr>
            <w:jc w:val="right"/>
            <w:rPr>
              <w:b/>
            </w:rPr>
          </w:pPr>
          <w:r>
            <w:rPr>
              <w:b/>
            </w:rPr>
            <w:t>DATE OF EFFECT</w:t>
          </w:r>
        </w:p>
      </w:tc>
      <w:tc>
        <w:tcPr>
          <w:tcW w:w="1985" w:type="dxa"/>
        </w:tcPr>
        <w:p w14:paraId="4A4DF106" w14:textId="6C57D9C4" w:rsidR="00184DEC" w:rsidRDefault="00184DEC" w:rsidP="00303919">
          <w:pPr>
            <w:rPr>
              <w:b/>
            </w:rPr>
          </w:pPr>
          <w:r>
            <w:rPr>
              <w:b/>
            </w:rPr>
            <w:t xml:space="preserve">: </w:t>
          </w:r>
          <w:r w:rsidR="00303919">
            <w:rPr>
              <w:b/>
            </w:rPr>
            <w:t>19</w:t>
          </w:r>
          <w:r w:rsidR="00DE2825">
            <w:rPr>
              <w:b/>
            </w:rPr>
            <w:t>/</w:t>
          </w:r>
          <w:r w:rsidR="00303919">
            <w:rPr>
              <w:b/>
            </w:rPr>
            <w:t>12</w:t>
          </w:r>
          <w:r w:rsidR="00DE2825">
            <w:rPr>
              <w:b/>
            </w:rPr>
            <w:t>/</w:t>
          </w:r>
          <w:r w:rsidR="00303919">
            <w:rPr>
              <w:b/>
            </w:rPr>
            <w:t>2014</w:t>
          </w:r>
        </w:p>
      </w:tc>
    </w:tr>
  </w:tbl>
  <w:p w14:paraId="76300DE3" w14:textId="77777777" w:rsidR="00184DEC" w:rsidRDefault="00184DEC">
    <w:pPr>
      <w:pBdr>
        <w:bottom w:val="single" w:sz="48" w:space="1" w:color="auto"/>
      </w:pBdr>
    </w:pPr>
  </w:p>
  <w:p w14:paraId="2C91C337" w14:textId="77777777" w:rsidR="00184DEC" w:rsidRDefault="00184DEC">
    <w:proofErr w:type="spellStart"/>
    <w:r>
      <w:rPr>
        <w:b/>
      </w:rPr>
      <w:t>Radiocommunications</w:t>
    </w:r>
    <w:proofErr w:type="spellEnd"/>
    <w:r>
      <w:rPr>
        <w:b/>
      </w:rPr>
      <w:t xml:space="preserve"> Assignment and Licensing Instruction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32EB"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184DEC">
      <w:rPr>
        <w:rStyle w:val="PageNumber"/>
        <w:noProof/>
      </w:rPr>
      <w:t>17</w:t>
    </w:r>
    <w:r>
      <w:rPr>
        <w:rStyle w:val="PageNumber"/>
      </w:rPr>
      <w:fldChar w:fldCharType="end"/>
    </w:r>
  </w:p>
  <w:p w14:paraId="4B7A20D6" w14:textId="77777777" w:rsidR="00184DEC" w:rsidRDefault="00184DEC">
    <w:pPr>
      <w:pStyle w:val="Header"/>
      <w:tabs>
        <w:tab w:val="center" w:pos="4536"/>
      </w:tabs>
      <w:ind w:right="360"/>
      <w:jc w:val="center"/>
      <w:rPr>
        <w:b/>
      </w:rPr>
    </w:pPr>
    <w:r>
      <w:rPr>
        <w:b/>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4EC2" w14:textId="77777777" w:rsidR="00184DEC" w:rsidRDefault="00184DEC">
    <w:pPr>
      <w:pStyle w:val="Header"/>
      <w:ind w:right="360" w:firstLine="360"/>
      <w:jc w:val="cent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26B3" w14:textId="77777777" w:rsidR="00184DEC" w:rsidRDefault="00184D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B347A" w14:textId="77777777" w:rsidR="00184DEC" w:rsidRDefault="00184D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9EE0" w14:textId="77777777" w:rsidR="00184DEC" w:rsidRDefault="00746E4D">
    <w:pPr>
      <w:pStyle w:val="Header"/>
      <w:framePr w:wrap="around" w:vAnchor="text" w:hAnchor="margin" w:xAlign="center" w:y="1"/>
      <w:rPr>
        <w:rStyle w:val="PageNumber"/>
      </w:rPr>
    </w:pPr>
    <w:r>
      <w:rPr>
        <w:rStyle w:val="PageNumber"/>
      </w:rPr>
      <w:fldChar w:fldCharType="begin"/>
    </w:r>
    <w:r w:rsidR="00184DEC">
      <w:rPr>
        <w:rStyle w:val="PageNumber"/>
      </w:rPr>
      <w:instrText xml:space="preserve">PAGE  </w:instrText>
    </w:r>
    <w:r>
      <w:rPr>
        <w:rStyle w:val="PageNumber"/>
      </w:rPr>
      <w:fldChar w:fldCharType="separate"/>
    </w:r>
    <w:r w:rsidR="00CA5AF1">
      <w:rPr>
        <w:rStyle w:val="PageNumber"/>
        <w:noProof/>
      </w:rPr>
      <w:t>iii</w:t>
    </w:r>
    <w:r>
      <w:rPr>
        <w:rStyle w:val="PageNumber"/>
      </w:rPr>
      <w:fldChar w:fldCharType="end"/>
    </w:r>
  </w:p>
  <w:p w14:paraId="2477DB42" w14:textId="77777777" w:rsidR="00184DEC" w:rsidRDefault="00184DEC">
    <w:pPr>
      <w:pStyle w:val="Header"/>
      <w:ind w:right="360" w:firstLine="360"/>
      <w:jc w:val="center"/>
      <w:rPr>
        <w:b/>
      </w:rPr>
    </w:pPr>
  </w:p>
  <w:p w14:paraId="25232B53" w14:textId="77777777" w:rsidR="00184DEC" w:rsidRDefault="00184DEC">
    <w:pPr>
      <w:pStyle w:val="Header"/>
      <w:ind w:right="360" w:firstLine="360"/>
      <w:jc w:val="center"/>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0E63" w14:textId="77777777" w:rsidR="00184DEC" w:rsidRDefault="00184DE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D39E" w14:textId="77777777" w:rsidR="00184DEC" w:rsidRDefault="00184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79B1"/>
    <w:multiLevelType w:val="hybridMultilevel"/>
    <w:tmpl w:val="9D22C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6BB652F"/>
    <w:multiLevelType w:val="multilevel"/>
    <w:tmpl w:val="F0D82CA4"/>
    <w:lvl w:ilvl="0">
      <w:start w:val="1"/>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56860F1C"/>
    <w:multiLevelType w:val="hybridMultilevel"/>
    <w:tmpl w:val="8ED8A0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642B155C"/>
    <w:multiLevelType w:val="hybridMultilevel"/>
    <w:tmpl w:val="2A28C804"/>
    <w:lvl w:ilvl="0" w:tplc="FFFFFFFF">
      <w:start w:val="1"/>
      <w:numFmt w:val="bullet"/>
      <w:lvlText w:val="•"/>
      <w:legacy w:legacy="1" w:legacySpace="0" w:legacyIndent="566"/>
      <w:lvlJc w:val="left"/>
      <w:pPr>
        <w:ind w:left="567" w:hanging="566"/>
      </w:pPr>
      <w:rPr>
        <w:rFonts w:ascii="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116145"/>
    <w:multiLevelType w:val="hybridMultilevel"/>
    <w:tmpl w:val="6220F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7845917"/>
    <w:multiLevelType w:val="hybridMultilevel"/>
    <w:tmpl w:val="0BA887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8AF1BAA"/>
    <w:multiLevelType w:val="hybridMultilevel"/>
    <w:tmpl w:val="E256A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A0C6C80"/>
    <w:multiLevelType w:val="hybridMultilevel"/>
    <w:tmpl w:val="8F44CA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D1"/>
    <w:rsid w:val="000031A8"/>
    <w:rsid w:val="00006D60"/>
    <w:rsid w:val="00007C2B"/>
    <w:rsid w:val="00013C82"/>
    <w:rsid w:val="00016807"/>
    <w:rsid w:val="00020C9E"/>
    <w:rsid w:val="00023CE4"/>
    <w:rsid w:val="000250D8"/>
    <w:rsid w:val="00025F0D"/>
    <w:rsid w:val="00027773"/>
    <w:rsid w:val="0002799D"/>
    <w:rsid w:val="00030DCE"/>
    <w:rsid w:val="00031DAA"/>
    <w:rsid w:val="00035CD1"/>
    <w:rsid w:val="00036FCD"/>
    <w:rsid w:val="000413DD"/>
    <w:rsid w:val="000419C6"/>
    <w:rsid w:val="00043BB5"/>
    <w:rsid w:val="00046F1B"/>
    <w:rsid w:val="00052104"/>
    <w:rsid w:val="000553DF"/>
    <w:rsid w:val="000645CD"/>
    <w:rsid w:val="000678D5"/>
    <w:rsid w:val="00067D71"/>
    <w:rsid w:val="0007107E"/>
    <w:rsid w:val="00072265"/>
    <w:rsid w:val="000723E1"/>
    <w:rsid w:val="000725C7"/>
    <w:rsid w:val="000728C6"/>
    <w:rsid w:val="00075194"/>
    <w:rsid w:val="000772CB"/>
    <w:rsid w:val="0007751C"/>
    <w:rsid w:val="000801F3"/>
    <w:rsid w:val="00081C9C"/>
    <w:rsid w:val="000856E0"/>
    <w:rsid w:val="00085718"/>
    <w:rsid w:val="00085ADB"/>
    <w:rsid w:val="0008769C"/>
    <w:rsid w:val="00090C01"/>
    <w:rsid w:val="00090D34"/>
    <w:rsid w:val="00093427"/>
    <w:rsid w:val="0009367B"/>
    <w:rsid w:val="000964D8"/>
    <w:rsid w:val="000A1182"/>
    <w:rsid w:val="000A39B1"/>
    <w:rsid w:val="000A3BE1"/>
    <w:rsid w:val="000A415A"/>
    <w:rsid w:val="000A59F5"/>
    <w:rsid w:val="000B0692"/>
    <w:rsid w:val="000B2850"/>
    <w:rsid w:val="000B2E00"/>
    <w:rsid w:val="000B3F44"/>
    <w:rsid w:val="000B429C"/>
    <w:rsid w:val="000B4403"/>
    <w:rsid w:val="000B48AC"/>
    <w:rsid w:val="000C09F2"/>
    <w:rsid w:val="000C18BD"/>
    <w:rsid w:val="000C245B"/>
    <w:rsid w:val="000C27A0"/>
    <w:rsid w:val="000C35AC"/>
    <w:rsid w:val="000C3D1A"/>
    <w:rsid w:val="000C3E13"/>
    <w:rsid w:val="000D48F8"/>
    <w:rsid w:val="000D66D3"/>
    <w:rsid w:val="000D7262"/>
    <w:rsid w:val="000E4E68"/>
    <w:rsid w:val="000E524E"/>
    <w:rsid w:val="000F0823"/>
    <w:rsid w:val="000F39F4"/>
    <w:rsid w:val="000F4FB2"/>
    <w:rsid w:val="000F5B27"/>
    <w:rsid w:val="000F6C6C"/>
    <w:rsid w:val="000F784D"/>
    <w:rsid w:val="001014C4"/>
    <w:rsid w:val="00101F91"/>
    <w:rsid w:val="0010261A"/>
    <w:rsid w:val="00105DF6"/>
    <w:rsid w:val="001060EC"/>
    <w:rsid w:val="001066B2"/>
    <w:rsid w:val="00106B6D"/>
    <w:rsid w:val="00107B87"/>
    <w:rsid w:val="00107D97"/>
    <w:rsid w:val="001103DB"/>
    <w:rsid w:val="001124A9"/>
    <w:rsid w:val="001147D4"/>
    <w:rsid w:val="0011514D"/>
    <w:rsid w:val="001162C0"/>
    <w:rsid w:val="00117910"/>
    <w:rsid w:val="00122AAA"/>
    <w:rsid w:val="00123224"/>
    <w:rsid w:val="001238FB"/>
    <w:rsid w:val="00124EB3"/>
    <w:rsid w:val="001272F2"/>
    <w:rsid w:val="00132CB3"/>
    <w:rsid w:val="00135B18"/>
    <w:rsid w:val="0014120B"/>
    <w:rsid w:val="001426C6"/>
    <w:rsid w:val="00147315"/>
    <w:rsid w:val="001503CE"/>
    <w:rsid w:val="0015066B"/>
    <w:rsid w:val="00150DAD"/>
    <w:rsid w:val="001546F9"/>
    <w:rsid w:val="00154AF6"/>
    <w:rsid w:val="00157590"/>
    <w:rsid w:val="00160331"/>
    <w:rsid w:val="00160823"/>
    <w:rsid w:val="00163819"/>
    <w:rsid w:val="00167A86"/>
    <w:rsid w:val="00167BC7"/>
    <w:rsid w:val="00170EDA"/>
    <w:rsid w:val="001742DD"/>
    <w:rsid w:val="0017442D"/>
    <w:rsid w:val="001754EB"/>
    <w:rsid w:val="00182BAB"/>
    <w:rsid w:val="00184494"/>
    <w:rsid w:val="00184B61"/>
    <w:rsid w:val="00184DEC"/>
    <w:rsid w:val="00185066"/>
    <w:rsid w:val="00185B6B"/>
    <w:rsid w:val="00185DF2"/>
    <w:rsid w:val="00192965"/>
    <w:rsid w:val="0019428B"/>
    <w:rsid w:val="00194C77"/>
    <w:rsid w:val="00197365"/>
    <w:rsid w:val="001A4150"/>
    <w:rsid w:val="001A6B56"/>
    <w:rsid w:val="001B122D"/>
    <w:rsid w:val="001B2698"/>
    <w:rsid w:val="001B3021"/>
    <w:rsid w:val="001B51E2"/>
    <w:rsid w:val="001C1649"/>
    <w:rsid w:val="001C6405"/>
    <w:rsid w:val="001C6CFD"/>
    <w:rsid w:val="001D152C"/>
    <w:rsid w:val="001D2C32"/>
    <w:rsid w:val="001D478C"/>
    <w:rsid w:val="001D570C"/>
    <w:rsid w:val="001D5B3C"/>
    <w:rsid w:val="001E0950"/>
    <w:rsid w:val="001E0DD8"/>
    <w:rsid w:val="001E2247"/>
    <w:rsid w:val="001E2465"/>
    <w:rsid w:val="001E27D2"/>
    <w:rsid w:val="001E3EA8"/>
    <w:rsid w:val="001E6639"/>
    <w:rsid w:val="001E7303"/>
    <w:rsid w:val="001F2250"/>
    <w:rsid w:val="001F2A64"/>
    <w:rsid w:val="001F2F15"/>
    <w:rsid w:val="001F5A2D"/>
    <w:rsid w:val="00200DEE"/>
    <w:rsid w:val="00201D7D"/>
    <w:rsid w:val="002027B7"/>
    <w:rsid w:val="00203C9E"/>
    <w:rsid w:val="00204D64"/>
    <w:rsid w:val="00206233"/>
    <w:rsid w:val="0021103D"/>
    <w:rsid w:val="002138AD"/>
    <w:rsid w:val="0021556F"/>
    <w:rsid w:val="00215CAF"/>
    <w:rsid w:val="00215ED2"/>
    <w:rsid w:val="00217CA2"/>
    <w:rsid w:val="002211DF"/>
    <w:rsid w:val="002223F6"/>
    <w:rsid w:val="0022321D"/>
    <w:rsid w:val="0022361F"/>
    <w:rsid w:val="00223B46"/>
    <w:rsid w:val="00224A16"/>
    <w:rsid w:val="002434BF"/>
    <w:rsid w:val="0024414F"/>
    <w:rsid w:val="00247B53"/>
    <w:rsid w:val="00247C23"/>
    <w:rsid w:val="0025357E"/>
    <w:rsid w:val="00256A4D"/>
    <w:rsid w:val="00260077"/>
    <w:rsid w:val="00260912"/>
    <w:rsid w:val="00260F0A"/>
    <w:rsid w:val="00263AA5"/>
    <w:rsid w:val="0026422B"/>
    <w:rsid w:val="00265F40"/>
    <w:rsid w:val="0027052A"/>
    <w:rsid w:val="00270874"/>
    <w:rsid w:val="00272B68"/>
    <w:rsid w:val="00276297"/>
    <w:rsid w:val="0027771F"/>
    <w:rsid w:val="00280BB2"/>
    <w:rsid w:val="00283225"/>
    <w:rsid w:val="00287226"/>
    <w:rsid w:val="00291512"/>
    <w:rsid w:val="00291F4E"/>
    <w:rsid w:val="002928CC"/>
    <w:rsid w:val="00295945"/>
    <w:rsid w:val="00296991"/>
    <w:rsid w:val="002A080C"/>
    <w:rsid w:val="002A1698"/>
    <w:rsid w:val="002A2AC4"/>
    <w:rsid w:val="002A2B82"/>
    <w:rsid w:val="002A68C6"/>
    <w:rsid w:val="002A6E8C"/>
    <w:rsid w:val="002A743A"/>
    <w:rsid w:val="002A7BB3"/>
    <w:rsid w:val="002B3F8F"/>
    <w:rsid w:val="002B46F6"/>
    <w:rsid w:val="002B5171"/>
    <w:rsid w:val="002B651B"/>
    <w:rsid w:val="002B7D8D"/>
    <w:rsid w:val="002C12B6"/>
    <w:rsid w:val="002C23FA"/>
    <w:rsid w:val="002C2C50"/>
    <w:rsid w:val="002C36BE"/>
    <w:rsid w:val="002C611A"/>
    <w:rsid w:val="002C6D3E"/>
    <w:rsid w:val="002C744E"/>
    <w:rsid w:val="002D0335"/>
    <w:rsid w:val="002D1060"/>
    <w:rsid w:val="002D2A9C"/>
    <w:rsid w:val="002D37A3"/>
    <w:rsid w:val="002D7074"/>
    <w:rsid w:val="002D758E"/>
    <w:rsid w:val="002E0CD4"/>
    <w:rsid w:val="002E1265"/>
    <w:rsid w:val="002E346F"/>
    <w:rsid w:val="002E4AA0"/>
    <w:rsid w:val="002E5F93"/>
    <w:rsid w:val="002E6BA4"/>
    <w:rsid w:val="002E73F7"/>
    <w:rsid w:val="002E7A86"/>
    <w:rsid w:val="002E7F3B"/>
    <w:rsid w:val="002F079C"/>
    <w:rsid w:val="002F0E3D"/>
    <w:rsid w:val="002F359B"/>
    <w:rsid w:val="002F3E71"/>
    <w:rsid w:val="00300FF0"/>
    <w:rsid w:val="003011C8"/>
    <w:rsid w:val="00303919"/>
    <w:rsid w:val="0030594B"/>
    <w:rsid w:val="00310816"/>
    <w:rsid w:val="0031240A"/>
    <w:rsid w:val="00320504"/>
    <w:rsid w:val="00324D96"/>
    <w:rsid w:val="0032596C"/>
    <w:rsid w:val="00326907"/>
    <w:rsid w:val="00332D50"/>
    <w:rsid w:val="0033562E"/>
    <w:rsid w:val="003411AC"/>
    <w:rsid w:val="00342DBA"/>
    <w:rsid w:val="00344A3F"/>
    <w:rsid w:val="00351191"/>
    <w:rsid w:val="00351609"/>
    <w:rsid w:val="00352EE4"/>
    <w:rsid w:val="0036243E"/>
    <w:rsid w:val="00364706"/>
    <w:rsid w:val="00371AAE"/>
    <w:rsid w:val="00371DDE"/>
    <w:rsid w:val="00375B9D"/>
    <w:rsid w:val="0037743C"/>
    <w:rsid w:val="0038280B"/>
    <w:rsid w:val="003840C6"/>
    <w:rsid w:val="00385436"/>
    <w:rsid w:val="00387C85"/>
    <w:rsid w:val="00391784"/>
    <w:rsid w:val="00391F86"/>
    <w:rsid w:val="00392FCD"/>
    <w:rsid w:val="0039312E"/>
    <w:rsid w:val="00394B77"/>
    <w:rsid w:val="00395A31"/>
    <w:rsid w:val="003962C0"/>
    <w:rsid w:val="00396A12"/>
    <w:rsid w:val="003A0469"/>
    <w:rsid w:val="003A06E5"/>
    <w:rsid w:val="003A2869"/>
    <w:rsid w:val="003A41A8"/>
    <w:rsid w:val="003A460C"/>
    <w:rsid w:val="003A5636"/>
    <w:rsid w:val="003B186C"/>
    <w:rsid w:val="003B2C10"/>
    <w:rsid w:val="003B347C"/>
    <w:rsid w:val="003B3DAA"/>
    <w:rsid w:val="003B43D4"/>
    <w:rsid w:val="003B48A2"/>
    <w:rsid w:val="003B5315"/>
    <w:rsid w:val="003B751C"/>
    <w:rsid w:val="003C1E1F"/>
    <w:rsid w:val="003C3B8D"/>
    <w:rsid w:val="003C628F"/>
    <w:rsid w:val="003C6959"/>
    <w:rsid w:val="003D004E"/>
    <w:rsid w:val="003D2F89"/>
    <w:rsid w:val="003D71C7"/>
    <w:rsid w:val="003D7F03"/>
    <w:rsid w:val="003E0E6A"/>
    <w:rsid w:val="003E32CE"/>
    <w:rsid w:val="003E54DA"/>
    <w:rsid w:val="003E6404"/>
    <w:rsid w:val="003E6E1F"/>
    <w:rsid w:val="003E770E"/>
    <w:rsid w:val="003F12E5"/>
    <w:rsid w:val="003F178C"/>
    <w:rsid w:val="003F2D42"/>
    <w:rsid w:val="003F30B2"/>
    <w:rsid w:val="003F38CC"/>
    <w:rsid w:val="003F3CF2"/>
    <w:rsid w:val="003F3DF5"/>
    <w:rsid w:val="003F4120"/>
    <w:rsid w:val="003F7B5D"/>
    <w:rsid w:val="00402E86"/>
    <w:rsid w:val="004057DC"/>
    <w:rsid w:val="004107D8"/>
    <w:rsid w:val="00410ED1"/>
    <w:rsid w:val="00411E76"/>
    <w:rsid w:val="00417CA1"/>
    <w:rsid w:val="00422879"/>
    <w:rsid w:val="00424503"/>
    <w:rsid w:val="004301E9"/>
    <w:rsid w:val="004305AE"/>
    <w:rsid w:val="004330A4"/>
    <w:rsid w:val="0043373B"/>
    <w:rsid w:val="00440851"/>
    <w:rsid w:val="004421E0"/>
    <w:rsid w:val="004426DB"/>
    <w:rsid w:val="00443E61"/>
    <w:rsid w:val="00444216"/>
    <w:rsid w:val="004443A4"/>
    <w:rsid w:val="004453E8"/>
    <w:rsid w:val="004457F0"/>
    <w:rsid w:val="00445936"/>
    <w:rsid w:val="00446C15"/>
    <w:rsid w:val="004501E4"/>
    <w:rsid w:val="00452917"/>
    <w:rsid w:val="00453496"/>
    <w:rsid w:val="0045467C"/>
    <w:rsid w:val="00456257"/>
    <w:rsid w:val="004572FD"/>
    <w:rsid w:val="0046055B"/>
    <w:rsid w:val="00461A39"/>
    <w:rsid w:val="00462C9E"/>
    <w:rsid w:val="00464A0C"/>
    <w:rsid w:val="00464FAE"/>
    <w:rsid w:val="004657FF"/>
    <w:rsid w:val="0047162E"/>
    <w:rsid w:val="00480007"/>
    <w:rsid w:val="0048045F"/>
    <w:rsid w:val="00481ABC"/>
    <w:rsid w:val="004838B9"/>
    <w:rsid w:val="00484EAE"/>
    <w:rsid w:val="00485420"/>
    <w:rsid w:val="00486A41"/>
    <w:rsid w:val="00486AE6"/>
    <w:rsid w:val="00486F82"/>
    <w:rsid w:val="00487CCC"/>
    <w:rsid w:val="00490508"/>
    <w:rsid w:val="00493F70"/>
    <w:rsid w:val="00494321"/>
    <w:rsid w:val="00495CE8"/>
    <w:rsid w:val="00496011"/>
    <w:rsid w:val="00497EE5"/>
    <w:rsid w:val="004A14BD"/>
    <w:rsid w:val="004A3585"/>
    <w:rsid w:val="004A7EE5"/>
    <w:rsid w:val="004B2AE4"/>
    <w:rsid w:val="004B686A"/>
    <w:rsid w:val="004B7C9B"/>
    <w:rsid w:val="004C059E"/>
    <w:rsid w:val="004C0FE3"/>
    <w:rsid w:val="004C2688"/>
    <w:rsid w:val="004C320D"/>
    <w:rsid w:val="004D06B6"/>
    <w:rsid w:val="004D1902"/>
    <w:rsid w:val="004D1F0C"/>
    <w:rsid w:val="004D37A4"/>
    <w:rsid w:val="004D5E83"/>
    <w:rsid w:val="004E1CA4"/>
    <w:rsid w:val="004E731E"/>
    <w:rsid w:val="004F2879"/>
    <w:rsid w:val="004F2A5C"/>
    <w:rsid w:val="004F4698"/>
    <w:rsid w:val="004F4F49"/>
    <w:rsid w:val="004F594A"/>
    <w:rsid w:val="00500E04"/>
    <w:rsid w:val="005015A0"/>
    <w:rsid w:val="005036E5"/>
    <w:rsid w:val="00506005"/>
    <w:rsid w:val="005062EC"/>
    <w:rsid w:val="0050760F"/>
    <w:rsid w:val="00507C36"/>
    <w:rsid w:val="0051067B"/>
    <w:rsid w:val="00510A45"/>
    <w:rsid w:val="00510CF9"/>
    <w:rsid w:val="0051348D"/>
    <w:rsid w:val="0051443A"/>
    <w:rsid w:val="00515912"/>
    <w:rsid w:val="0051722B"/>
    <w:rsid w:val="00517A6B"/>
    <w:rsid w:val="005210C0"/>
    <w:rsid w:val="00522C7F"/>
    <w:rsid w:val="005241F2"/>
    <w:rsid w:val="00524A3C"/>
    <w:rsid w:val="00524C4A"/>
    <w:rsid w:val="005267B2"/>
    <w:rsid w:val="0052733D"/>
    <w:rsid w:val="00532D0F"/>
    <w:rsid w:val="005352A3"/>
    <w:rsid w:val="0053755C"/>
    <w:rsid w:val="00544E30"/>
    <w:rsid w:val="00547604"/>
    <w:rsid w:val="00547D3D"/>
    <w:rsid w:val="00550BCE"/>
    <w:rsid w:val="00555BE3"/>
    <w:rsid w:val="005612B6"/>
    <w:rsid w:val="00562826"/>
    <w:rsid w:val="0056785A"/>
    <w:rsid w:val="0057243B"/>
    <w:rsid w:val="00573B6D"/>
    <w:rsid w:val="005746A7"/>
    <w:rsid w:val="00576678"/>
    <w:rsid w:val="00581007"/>
    <w:rsid w:val="005813C9"/>
    <w:rsid w:val="00581DF8"/>
    <w:rsid w:val="005831B2"/>
    <w:rsid w:val="00583721"/>
    <w:rsid w:val="00583E92"/>
    <w:rsid w:val="00586BA9"/>
    <w:rsid w:val="0058732D"/>
    <w:rsid w:val="0059013F"/>
    <w:rsid w:val="00590B3F"/>
    <w:rsid w:val="005968A8"/>
    <w:rsid w:val="005973CF"/>
    <w:rsid w:val="005A15B1"/>
    <w:rsid w:val="005A171D"/>
    <w:rsid w:val="005A57C3"/>
    <w:rsid w:val="005A7AB1"/>
    <w:rsid w:val="005B1D03"/>
    <w:rsid w:val="005B2229"/>
    <w:rsid w:val="005B34A1"/>
    <w:rsid w:val="005B6035"/>
    <w:rsid w:val="005B647F"/>
    <w:rsid w:val="005B6859"/>
    <w:rsid w:val="005B76F4"/>
    <w:rsid w:val="005B7D64"/>
    <w:rsid w:val="005C2D84"/>
    <w:rsid w:val="005C3956"/>
    <w:rsid w:val="005C4C44"/>
    <w:rsid w:val="005D2371"/>
    <w:rsid w:val="005D2C3F"/>
    <w:rsid w:val="005D3323"/>
    <w:rsid w:val="005D68A7"/>
    <w:rsid w:val="005D79E6"/>
    <w:rsid w:val="005E1084"/>
    <w:rsid w:val="005E11BC"/>
    <w:rsid w:val="005E2FA1"/>
    <w:rsid w:val="005E5669"/>
    <w:rsid w:val="005E568D"/>
    <w:rsid w:val="005E79B5"/>
    <w:rsid w:val="005F0245"/>
    <w:rsid w:val="005F15FF"/>
    <w:rsid w:val="005F1ADB"/>
    <w:rsid w:val="005F22E1"/>
    <w:rsid w:val="005F3527"/>
    <w:rsid w:val="005F4D9C"/>
    <w:rsid w:val="005F5C0D"/>
    <w:rsid w:val="005F6E6E"/>
    <w:rsid w:val="006051A6"/>
    <w:rsid w:val="00607EAF"/>
    <w:rsid w:val="00611D1F"/>
    <w:rsid w:val="00612312"/>
    <w:rsid w:val="006136AC"/>
    <w:rsid w:val="00613F5E"/>
    <w:rsid w:val="00614AD5"/>
    <w:rsid w:val="006162EC"/>
    <w:rsid w:val="00621A49"/>
    <w:rsid w:val="00622062"/>
    <w:rsid w:val="006269DE"/>
    <w:rsid w:val="006278AD"/>
    <w:rsid w:val="006310A3"/>
    <w:rsid w:val="00631447"/>
    <w:rsid w:val="00631D26"/>
    <w:rsid w:val="00634B25"/>
    <w:rsid w:val="00635A63"/>
    <w:rsid w:val="00640361"/>
    <w:rsid w:val="0064283D"/>
    <w:rsid w:val="00647D20"/>
    <w:rsid w:val="00650217"/>
    <w:rsid w:val="00650666"/>
    <w:rsid w:val="006507D1"/>
    <w:rsid w:val="00655176"/>
    <w:rsid w:val="00655383"/>
    <w:rsid w:val="006560DF"/>
    <w:rsid w:val="006563D2"/>
    <w:rsid w:val="00656F36"/>
    <w:rsid w:val="00657585"/>
    <w:rsid w:val="00660C46"/>
    <w:rsid w:val="00660EA4"/>
    <w:rsid w:val="0066159F"/>
    <w:rsid w:val="0066706C"/>
    <w:rsid w:val="00671617"/>
    <w:rsid w:val="0067277E"/>
    <w:rsid w:val="006757AA"/>
    <w:rsid w:val="006763BF"/>
    <w:rsid w:val="00677774"/>
    <w:rsid w:val="00681DF6"/>
    <w:rsid w:val="00690FC0"/>
    <w:rsid w:val="0069208B"/>
    <w:rsid w:val="00692CBC"/>
    <w:rsid w:val="00694407"/>
    <w:rsid w:val="00697371"/>
    <w:rsid w:val="006A2A54"/>
    <w:rsid w:val="006A3571"/>
    <w:rsid w:val="006A4B88"/>
    <w:rsid w:val="006A4FFC"/>
    <w:rsid w:val="006A7517"/>
    <w:rsid w:val="006B061E"/>
    <w:rsid w:val="006B096B"/>
    <w:rsid w:val="006B60A3"/>
    <w:rsid w:val="006B6401"/>
    <w:rsid w:val="006C0B60"/>
    <w:rsid w:val="006C1EEE"/>
    <w:rsid w:val="006C3772"/>
    <w:rsid w:val="006C7DFA"/>
    <w:rsid w:val="006D01A0"/>
    <w:rsid w:val="006D2635"/>
    <w:rsid w:val="006D541F"/>
    <w:rsid w:val="006D5466"/>
    <w:rsid w:val="006D66CA"/>
    <w:rsid w:val="006D6F20"/>
    <w:rsid w:val="006E1CC1"/>
    <w:rsid w:val="006E2C50"/>
    <w:rsid w:val="006E3B7E"/>
    <w:rsid w:val="006E72BA"/>
    <w:rsid w:val="006F1AD2"/>
    <w:rsid w:val="006F2C92"/>
    <w:rsid w:val="006F70FF"/>
    <w:rsid w:val="006F7531"/>
    <w:rsid w:val="00700AC9"/>
    <w:rsid w:val="0070786C"/>
    <w:rsid w:val="007112FD"/>
    <w:rsid w:val="00712F66"/>
    <w:rsid w:val="00713F40"/>
    <w:rsid w:val="00720CC3"/>
    <w:rsid w:val="00721BE8"/>
    <w:rsid w:val="00722C0A"/>
    <w:rsid w:val="00723640"/>
    <w:rsid w:val="00724470"/>
    <w:rsid w:val="00724FA2"/>
    <w:rsid w:val="007257BC"/>
    <w:rsid w:val="007307CE"/>
    <w:rsid w:val="007321E7"/>
    <w:rsid w:val="007340C8"/>
    <w:rsid w:val="00734991"/>
    <w:rsid w:val="00741108"/>
    <w:rsid w:val="00741E7E"/>
    <w:rsid w:val="00742879"/>
    <w:rsid w:val="007428B5"/>
    <w:rsid w:val="00742F67"/>
    <w:rsid w:val="00746E4D"/>
    <w:rsid w:val="00746FB1"/>
    <w:rsid w:val="007514F8"/>
    <w:rsid w:val="0075292F"/>
    <w:rsid w:val="00755671"/>
    <w:rsid w:val="00756A3C"/>
    <w:rsid w:val="007614F3"/>
    <w:rsid w:val="007638A3"/>
    <w:rsid w:val="00763D07"/>
    <w:rsid w:val="00767C5C"/>
    <w:rsid w:val="00767E2B"/>
    <w:rsid w:val="00767F90"/>
    <w:rsid w:val="00771D71"/>
    <w:rsid w:val="00774B1B"/>
    <w:rsid w:val="0078006E"/>
    <w:rsid w:val="0078075B"/>
    <w:rsid w:val="007807AE"/>
    <w:rsid w:val="0078180A"/>
    <w:rsid w:val="00783C3D"/>
    <w:rsid w:val="00784C6F"/>
    <w:rsid w:val="007878DD"/>
    <w:rsid w:val="00790EBB"/>
    <w:rsid w:val="007918FD"/>
    <w:rsid w:val="0079230E"/>
    <w:rsid w:val="007954A2"/>
    <w:rsid w:val="0079677D"/>
    <w:rsid w:val="007A0156"/>
    <w:rsid w:val="007A11D8"/>
    <w:rsid w:val="007A1D8C"/>
    <w:rsid w:val="007A23E5"/>
    <w:rsid w:val="007A3DE1"/>
    <w:rsid w:val="007A7483"/>
    <w:rsid w:val="007B0A9A"/>
    <w:rsid w:val="007B3A78"/>
    <w:rsid w:val="007B453B"/>
    <w:rsid w:val="007B494A"/>
    <w:rsid w:val="007B60DF"/>
    <w:rsid w:val="007C1B5D"/>
    <w:rsid w:val="007C4012"/>
    <w:rsid w:val="007C41BB"/>
    <w:rsid w:val="007C5DE6"/>
    <w:rsid w:val="007D14B6"/>
    <w:rsid w:val="007D3AB7"/>
    <w:rsid w:val="007D4C42"/>
    <w:rsid w:val="007F14C2"/>
    <w:rsid w:val="007F201C"/>
    <w:rsid w:val="007F2A18"/>
    <w:rsid w:val="007F4AE6"/>
    <w:rsid w:val="007F500B"/>
    <w:rsid w:val="007F6517"/>
    <w:rsid w:val="007F6F80"/>
    <w:rsid w:val="007F7488"/>
    <w:rsid w:val="00800AC6"/>
    <w:rsid w:val="00803EF4"/>
    <w:rsid w:val="0080507E"/>
    <w:rsid w:val="008053EE"/>
    <w:rsid w:val="008055C7"/>
    <w:rsid w:val="0080567D"/>
    <w:rsid w:val="00806B1B"/>
    <w:rsid w:val="008106C3"/>
    <w:rsid w:val="00810773"/>
    <w:rsid w:val="00821AAD"/>
    <w:rsid w:val="00823F92"/>
    <w:rsid w:val="00827578"/>
    <w:rsid w:val="00827C83"/>
    <w:rsid w:val="00831441"/>
    <w:rsid w:val="00831FDD"/>
    <w:rsid w:val="00832320"/>
    <w:rsid w:val="00832577"/>
    <w:rsid w:val="008361B1"/>
    <w:rsid w:val="00837FD6"/>
    <w:rsid w:val="00841299"/>
    <w:rsid w:val="00845004"/>
    <w:rsid w:val="00845990"/>
    <w:rsid w:val="00847C3B"/>
    <w:rsid w:val="00850763"/>
    <w:rsid w:val="00851C41"/>
    <w:rsid w:val="00853FEF"/>
    <w:rsid w:val="00854C46"/>
    <w:rsid w:val="008560F1"/>
    <w:rsid w:val="00856F7B"/>
    <w:rsid w:val="00865F3C"/>
    <w:rsid w:val="00870CE4"/>
    <w:rsid w:val="00873805"/>
    <w:rsid w:val="00873CF3"/>
    <w:rsid w:val="00873DB5"/>
    <w:rsid w:val="00874485"/>
    <w:rsid w:val="0087720B"/>
    <w:rsid w:val="00881FD3"/>
    <w:rsid w:val="0089158A"/>
    <w:rsid w:val="00891C84"/>
    <w:rsid w:val="00893B3F"/>
    <w:rsid w:val="00895208"/>
    <w:rsid w:val="00897EE4"/>
    <w:rsid w:val="008A3BAC"/>
    <w:rsid w:val="008A40A0"/>
    <w:rsid w:val="008A550F"/>
    <w:rsid w:val="008A6FEE"/>
    <w:rsid w:val="008B3931"/>
    <w:rsid w:val="008B4335"/>
    <w:rsid w:val="008C32C2"/>
    <w:rsid w:val="008C3933"/>
    <w:rsid w:val="008C5F58"/>
    <w:rsid w:val="008D0A2E"/>
    <w:rsid w:val="008D15E9"/>
    <w:rsid w:val="008D175E"/>
    <w:rsid w:val="008D63BD"/>
    <w:rsid w:val="008D6412"/>
    <w:rsid w:val="008E1484"/>
    <w:rsid w:val="008E2CA2"/>
    <w:rsid w:val="008E3E21"/>
    <w:rsid w:val="008E47CB"/>
    <w:rsid w:val="008E52F6"/>
    <w:rsid w:val="008E7CB3"/>
    <w:rsid w:val="008F089F"/>
    <w:rsid w:val="008F12F7"/>
    <w:rsid w:val="008F1B18"/>
    <w:rsid w:val="008F2344"/>
    <w:rsid w:val="008F3560"/>
    <w:rsid w:val="008F3B58"/>
    <w:rsid w:val="008F450B"/>
    <w:rsid w:val="008F6679"/>
    <w:rsid w:val="008F7CA1"/>
    <w:rsid w:val="00903B8D"/>
    <w:rsid w:val="0090510F"/>
    <w:rsid w:val="009148FB"/>
    <w:rsid w:val="0091513E"/>
    <w:rsid w:val="009207DC"/>
    <w:rsid w:val="00921C57"/>
    <w:rsid w:val="00927B41"/>
    <w:rsid w:val="00931F96"/>
    <w:rsid w:val="00933A12"/>
    <w:rsid w:val="0093798E"/>
    <w:rsid w:val="00941F5F"/>
    <w:rsid w:val="00946569"/>
    <w:rsid w:val="009521F2"/>
    <w:rsid w:val="009536A7"/>
    <w:rsid w:val="00957675"/>
    <w:rsid w:val="009612D5"/>
    <w:rsid w:val="00961426"/>
    <w:rsid w:val="00962D29"/>
    <w:rsid w:val="009632F1"/>
    <w:rsid w:val="00966455"/>
    <w:rsid w:val="00966C70"/>
    <w:rsid w:val="009708BD"/>
    <w:rsid w:val="00971685"/>
    <w:rsid w:val="0097169A"/>
    <w:rsid w:val="00973BF1"/>
    <w:rsid w:val="00974894"/>
    <w:rsid w:val="00985C5D"/>
    <w:rsid w:val="00985D74"/>
    <w:rsid w:val="00986242"/>
    <w:rsid w:val="00987AFD"/>
    <w:rsid w:val="00987B53"/>
    <w:rsid w:val="00990AB4"/>
    <w:rsid w:val="009964B5"/>
    <w:rsid w:val="009966F3"/>
    <w:rsid w:val="009A00FE"/>
    <w:rsid w:val="009A2D5E"/>
    <w:rsid w:val="009A2E53"/>
    <w:rsid w:val="009A5D3D"/>
    <w:rsid w:val="009B2EBD"/>
    <w:rsid w:val="009B487E"/>
    <w:rsid w:val="009B7815"/>
    <w:rsid w:val="009C01FD"/>
    <w:rsid w:val="009C3589"/>
    <w:rsid w:val="009C430F"/>
    <w:rsid w:val="009C5A05"/>
    <w:rsid w:val="009C6BC0"/>
    <w:rsid w:val="009C7A22"/>
    <w:rsid w:val="009D1118"/>
    <w:rsid w:val="009D1744"/>
    <w:rsid w:val="009D233C"/>
    <w:rsid w:val="009D2552"/>
    <w:rsid w:val="009D302A"/>
    <w:rsid w:val="009D49BA"/>
    <w:rsid w:val="009D4C6D"/>
    <w:rsid w:val="009D5CA3"/>
    <w:rsid w:val="009D7814"/>
    <w:rsid w:val="009D7CEA"/>
    <w:rsid w:val="009E1038"/>
    <w:rsid w:val="009E185B"/>
    <w:rsid w:val="009E311F"/>
    <w:rsid w:val="009F2D17"/>
    <w:rsid w:val="009F58B2"/>
    <w:rsid w:val="00A00D20"/>
    <w:rsid w:val="00A01D4F"/>
    <w:rsid w:val="00A04A35"/>
    <w:rsid w:val="00A076CB"/>
    <w:rsid w:val="00A12C63"/>
    <w:rsid w:val="00A173DA"/>
    <w:rsid w:val="00A20B06"/>
    <w:rsid w:val="00A22D61"/>
    <w:rsid w:val="00A310D4"/>
    <w:rsid w:val="00A3351B"/>
    <w:rsid w:val="00A3367A"/>
    <w:rsid w:val="00A35047"/>
    <w:rsid w:val="00A36CD7"/>
    <w:rsid w:val="00A36CF5"/>
    <w:rsid w:val="00A418C6"/>
    <w:rsid w:val="00A42467"/>
    <w:rsid w:val="00A42DF1"/>
    <w:rsid w:val="00A44EFE"/>
    <w:rsid w:val="00A44F1D"/>
    <w:rsid w:val="00A45B03"/>
    <w:rsid w:val="00A469B6"/>
    <w:rsid w:val="00A504BE"/>
    <w:rsid w:val="00A504CC"/>
    <w:rsid w:val="00A52486"/>
    <w:rsid w:val="00A53A18"/>
    <w:rsid w:val="00A551CD"/>
    <w:rsid w:val="00A55CAB"/>
    <w:rsid w:val="00A572DE"/>
    <w:rsid w:val="00A601D6"/>
    <w:rsid w:val="00A716B7"/>
    <w:rsid w:val="00A770A2"/>
    <w:rsid w:val="00A8215E"/>
    <w:rsid w:val="00A821EE"/>
    <w:rsid w:val="00A82211"/>
    <w:rsid w:val="00A83B46"/>
    <w:rsid w:val="00A8451F"/>
    <w:rsid w:val="00A84D99"/>
    <w:rsid w:val="00A8506B"/>
    <w:rsid w:val="00A855D8"/>
    <w:rsid w:val="00A9177D"/>
    <w:rsid w:val="00AA3394"/>
    <w:rsid w:val="00AA36A7"/>
    <w:rsid w:val="00AA60B5"/>
    <w:rsid w:val="00AB107C"/>
    <w:rsid w:val="00AB1ECE"/>
    <w:rsid w:val="00AB4C02"/>
    <w:rsid w:val="00AB503D"/>
    <w:rsid w:val="00AB5A04"/>
    <w:rsid w:val="00AB5EDD"/>
    <w:rsid w:val="00AB6BA9"/>
    <w:rsid w:val="00AB7B2C"/>
    <w:rsid w:val="00AC1935"/>
    <w:rsid w:val="00AC4249"/>
    <w:rsid w:val="00AC68C0"/>
    <w:rsid w:val="00AD1F73"/>
    <w:rsid w:val="00AE134F"/>
    <w:rsid w:val="00AE1854"/>
    <w:rsid w:val="00AE1D31"/>
    <w:rsid w:val="00AE1E53"/>
    <w:rsid w:val="00AE39F2"/>
    <w:rsid w:val="00AE4568"/>
    <w:rsid w:val="00AE5C49"/>
    <w:rsid w:val="00AE5CB4"/>
    <w:rsid w:val="00AE607F"/>
    <w:rsid w:val="00AF1B3F"/>
    <w:rsid w:val="00AF1CA9"/>
    <w:rsid w:val="00AF2573"/>
    <w:rsid w:val="00AF2756"/>
    <w:rsid w:val="00AF3D05"/>
    <w:rsid w:val="00AF44DC"/>
    <w:rsid w:val="00AF4F8A"/>
    <w:rsid w:val="00AF6CAB"/>
    <w:rsid w:val="00B0023E"/>
    <w:rsid w:val="00B02C14"/>
    <w:rsid w:val="00B03D06"/>
    <w:rsid w:val="00B07306"/>
    <w:rsid w:val="00B1071E"/>
    <w:rsid w:val="00B132B8"/>
    <w:rsid w:val="00B14F1B"/>
    <w:rsid w:val="00B22468"/>
    <w:rsid w:val="00B22D6D"/>
    <w:rsid w:val="00B25947"/>
    <w:rsid w:val="00B265A4"/>
    <w:rsid w:val="00B278E4"/>
    <w:rsid w:val="00B341BD"/>
    <w:rsid w:val="00B40A92"/>
    <w:rsid w:val="00B42CFC"/>
    <w:rsid w:val="00B44DC6"/>
    <w:rsid w:val="00B51B8B"/>
    <w:rsid w:val="00B51F43"/>
    <w:rsid w:val="00B53062"/>
    <w:rsid w:val="00B545E5"/>
    <w:rsid w:val="00B555C6"/>
    <w:rsid w:val="00B56350"/>
    <w:rsid w:val="00B56426"/>
    <w:rsid w:val="00B57769"/>
    <w:rsid w:val="00B60293"/>
    <w:rsid w:val="00B613D4"/>
    <w:rsid w:val="00B6593A"/>
    <w:rsid w:val="00B7105E"/>
    <w:rsid w:val="00B74EEF"/>
    <w:rsid w:val="00B75E32"/>
    <w:rsid w:val="00B771C0"/>
    <w:rsid w:val="00B81448"/>
    <w:rsid w:val="00B86BB3"/>
    <w:rsid w:val="00B90581"/>
    <w:rsid w:val="00B92B17"/>
    <w:rsid w:val="00B941EE"/>
    <w:rsid w:val="00B950E2"/>
    <w:rsid w:val="00B96266"/>
    <w:rsid w:val="00B97E2A"/>
    <w:rsid w:val="00BA178A"/>
    <w:rsid w:val="00BA2F2D"/>
    <w:rsid w:val="00BA316D"/>
    <w:rsid w:val="00BA3C1F"/>
    <w:rsid w:val="00BA77F0"/>
    <w:rsid w:val="00BB1428"/>
    <w:rsid w:val="00BB2053"/>
    <w:rsid w:val="00BB3293"/>
    <w:rsid w:val="00BB3C59"/>
    <w:rsid w:val="00BB4D95"/>
    <w:rsid w:val="00BB5D30"/>
    <w:rsid w:val="00BB63F5"/>
    <w:rsid w:val="00BB66EC"/>
    <w:rsid w:val="00BC017F"/>
    <w:rsid w:val="00BC06CB"/>
    <w:rsid w:val="00BC51FC"/>
    <w:rsid w:val="00BC63FE"/>
    <w:rsid w:val="00BC6E98"/>
    <w:rsid w:val="00BC71B5"/>
    <w:rsid w:val="00BD00F9"/>
    <w:rsid w:val="00BD0207"/>
    <w:rsid w:val="00BD1A29"/>
    <w:rsid w:val="00BD35C6"/>
    <w:rsid w:val="00BD7023"/>
    <w:rsid w:val="00BD7803"/>
    <w:rsid w:val="00BE109A"/>
    <w:rsid w:val="00BE11DC"/>
    <w:rsid w:val="00BE29B0"/>
    <w:rsid w:val="00BE4892"/>
    <w:rsid w:val="00BE520C"/>
    <w:rsid w:val="00BE52B1"/>
    <w:rsid w:val="00BE5A1A"/>
    <w:rsid w:val="00BF0783"/>
    <w:rsid w:val="00BF1082"/>
    <w:rsid w:val="00BF2AEF"/>
    <w:rsid w:val="00BF4E47"/>
    <w:rsid w:val="00BF69DE"/>
    <w:rsid w:val="00C0759B"/>
    <w:rsid w:val="00C0782D"/>
    <w:rsid w:val="00C10956"/>
    <w:rsid w:val="00C11C95"/>
    <w:rsid w:val="00C16537"/>
    <w:rsid w:val="00C218F8"/>
    <w:rsid w:val="00C23942"/>
    <w:rsid w:val="00C23E8A"/>
    <w:rsid w:val="00C2419B"/>
    <w:rsid w:val="00C27C7F"/>
    <w:rsid w:val="00C31704"/>
    <w:rsid w:val="00C32725"/>
    <w:rsid w:val="00C32ED3"/>
    <w:rsid w:val="00C34163"/>
    <w:rsid w:val="00C34ACD"/>
    <w:rsid w:val="00C352C4"/>
    <w:rsid w:val="00C41036"/>
    <w:rsid w:val="00C4296A"/>
    <w:rsid w:val="00C4400E"/>
    <w:rsid w:val="00C45693"/>
    <w:rsid w:val="00C467CE"/>
    <w:rsid w:val="00C46A24"/>
    <w:rsid w:val="00C500A5"/>
    <w:rsid w:val="00C50420"/>
    <w:rsid w:val="00C50E2C"/>
    <w:rsid w:val="00C567E0"/>
    <w:rsid w:val="00C63B05"/>
    <w:rsid w:val="00C647DB"/>
    <w:rsid w:val="00C648F0"/>
    <w:rsid w:val="00C66F3E"/>
    <w:rsid w:val="00C71357"/>
    <w:rsid w:val="00C71D4F"/>
    <w:rsid w:val="00C72D1F"/>
    <w:rsid w:val="00C72E60"/>
    <w:rsid w:val="00C73923"/>
    <w:rsid w:val="00C73EE3"/>
    <w:rsid w:val="00C741E0"/>
    <w:rsid w:val="00C74AB5"/>
    <w:rsid w:val="00C75E34"/>
    <w:rsid w:val="00C82231"/>
    <w:rsid w:val="00C853EC"/>
    <w:rsid w:val="00C85FA2"/>
    <w:rsid w:val="00C86940"/>
    <w:rsid w:val="00C87795"/>
    <w:rsid w:val="00C91034"/>
    <w:rsid w:val="00C934EE"/>
    <w:rsid w:val="00C9478B"/>
    <w:rsid w:val="00CA1921"/>
    <w:rsid w:val="00CA2EB7"/>
    <w:rsid w:val="00CA3634"/>
    <w:rsid w:val="00CA5048"/>
    <w:rsid w:val="00CA5AF1"/>
    <w:rsid w:val="00CA6EB6"/>
    <w:rsid w:val="00CA76A4"/>
    <w:rsid w:val="00CB0084"/>
    <w:rsid w:val="00CB0700"/>
    <w:rsid w:val="00CB20E2"/>
    <w:rsid w:val="00CB2C17"/>
    <w:rsid w:val="00CB2DC2"/>
    <w:rsid w:val="00CB4DCC"/>
    <w:rsid w:val="00CC373B"/>
    <w:rsid w:val="00CC5328"/>
    <w:rsid w:val="00CC540F"/>
    <w:rsid w:val="00CD0739"/>
    <w:rsid w:val="00CD18DE"/>
    <w:rsid w:val="00CD1E3D"/>
    <w:rsid w:val="00CD27A3"/>
    <w:rsid w:val="00CD4A59"/>
    <w:rsid w:val="00CD66EA"/>
    <w:rsid w:val="00CD7F86"/>
    <w:rsid w:val="00CE0F31"/>
    <w:rsid w:val="00CE0FC2"/>
    <w:rsid w:val="00CE4388"/>
    <w:rsid w:val="00CE4EF6"/>
    <w:rsid w:val="00CE72B8"/>
    <w:rsid w:val="00CF1C78"/>
    <w:rsid w:val="00CF75E3"/>
    <w:rsid w:val="00D00C9D"/>
    <w:rsid w:val="00D024D5"/>
    <w:rsid w:val="00D025DD"/>
    <w:rsid w:val="00D03679"/>
    <w:rsid w:val="00D1154A"/>
    <w:rsid w:val="00D12F08"/>
    <w:rsid w:val="00D138A9"/>
    <w:rsid w:val="00D15241"/>
    <w:rsid w:val="00D15AE3"/>
    <w:rsid w:val="00D21AB0"/>
    <w:rsid w:val="00D21C77"/>
    <w:rsid w:val="00D25C7E"/>
    <w:rsid w:val="00D25F76"/>
    <w:rsid w:val="00D31B4D"/>
    <w:rsid w:val="00D32003"/>
    <w:rsid w:val="00D3271A"/>
    <w:rsid w:val="00D32D6F"/>
    <w:rsid w:val="00D331E9"/>
    <w:rsid w:val="00D35C5A"/>
    <w:rsid w:val="00D36425"/>
    <w:rsid w:val="00D364C5"/>
    <w:rsid w:val="00D37DDB"/>
    <w:rsid w:val="00D40270"/>
    <w:rsid w:val="00D44351"/>
    <w:rsid w:val="00D45ED1"/>
    <w:rsid w:val="00D466AE"/>
    <w:rsid w:val="00D510BF"/>
    <w:rsid w:val="00D53B70"/>
    <w:rsid w:val="00D55740"/>
    <w:rsid w:val="00D564C3"/>
    <w:rsid w:val="00D56C75"/>
    <w:rsid w:val="00D6050A"/>
    <w:rsid w:val="00D60D82"/>
    <w:rsid w:val="00D62BB9"/>
    <w:rsid w:val="00D633DA"/>
    <w:rsid w:val="00D665C3"/>
    <w:rsid w:val="00D70CB7"/>
    <w:rsid w:val="00D70F85"/>
    <w:rsid w:val="00D70FC2"/>
    <w:rsid w:val="00D71835"/>
    <w:rsid w:val="00D74886"/>
    <w:rsid w:val="00D75BB7"/>
    <w:rsid w:val="00D768BC"/>
    <w:rsid w:val="00D77EBD"/>
    <w:rsid w:val="00D80A1A"/>
    <w:rsid w:val="00D80A22"/>
    <w:rsid w:val="00D858EE"/>
    <w:rsid w:val="00D87EBD"/>
    <w:rsid w:val="00D92A59"/>
    <w:rsid w:val="00D94E57"/>
    <w:rsid w:val="00D97E04"/>
    <w:rsid w:val="00DA023A"/>
    <w:rsid w:val="00DA2997"/>
    <w:rsid w:val="00DA404C"/>
    <w:rsid w:val="00DA4FF5"/>
    <w:rsid w:val="00DB3C61"/>
    <w:rsid w:val="00DB4024"/>
    <w:rsid w:val="00DB4863"/>
    <w:rsid w:val="00DB50B0"/>
    <w:rsid w:val="00DB6586"/>
    <w:rsid w:val="00DB6E4E"/>
    <w:rsid w:val="00DB748E"/>
    <w:rsid w:val="00DC0B9A"/>
    <w:rsid w:val="00DC0E44"/>
    <w:rsid w:val="00DC1667"/>
    <w:rsid w:val="00DC1772"/>
    <w:rsid w:val="00DC1B51"/>
    <w:rsid w:val="00DC3760"/>
    <w:rsid w:val="00DC3C21"/>
    <w:rsid w:val="00DC6350"/>
    <w:rsid w:val="00DD2320"/>
    <w:rsid w:val="00DD2979"/>
    <w:rsid w:val="00DD4944"/>
    <w:rsid w:val="00DD5410"/>
    <w:rsid w:val="00DD593E"/>
    <w:rsid w:val="00DD79AD"/>
    <w:rsid w:val="00DD7BFF"/>
    <w:rsid w:val="00DE2825"/>
    <w:rsid w:val="00DE300C"/>
    <w:rsid w:val="00DE50E7"/>
    <w:rsid w:val="00DE5E5A"/>
    <w:rsid w:val="00DE6A85"/>
    <w:rsid w:val="00DE6C63"/>
    <w:rsid w:val="00DE7CA8"/>
    <w:rsid w:val="00DF0D48"/>
    <w:rsid w:val="00DF257B"/>
    <w:rsid w:val="00E01046"/>
    <w:rsid w:val="00E030BD"/>
    <w:rsid w:val="00E03571"/>
    <w:rsid w:val="00E0473C"/>
    <w:rsid w:val="00E156C3"/>
    <w:rsid w:val="00E21DB6"/>
    <w:rsid w:val="00E22274"/>
    <w:rsid w:val="00E22798"/>
    <w:rsid w:val="00E23F64"/>
    <w:rsid w:val="00E27050"/>
    <w:rsid w:val="00E27171"/>
    <w:rsid w:val="00E27B22"/>
    <w:rsid w:val="00E303AE"/>
    <w:rsid w:val="00E303F4"/>
    <w:rsid w:val="00E308CE"/>
    <w:rsid w:val="00E34F9E"/>
    <w:rsid w:val="00E379B5"/>
    <w:rsid w:val="00E37F21"/>
    <w:rsid w:val="00E40332"/>
    <w:rsid w:val="00E4278E"/>
    <w:rsid w:val="00E4363E"/>
    <w:rsid w:val="00E4396D"/>
    <w:rsid w:val="00E43E8B"/>
    <w:rsid w:val="00E455F2"/>
    <w:rsid w:val="00E46096"/>
    <w:rsid w:val="00E476E8"/>
    <w:rsid w:val="00E50176"/>
    <w:rsid w:val="00E50E11"/>
    <w:rsid w:val="00E540B5"/>
    <w:rsid w:val="00E541C1"/>
    <w:rsid w:val="00E565FC"/>
    <w:rsid w:val="00E56BA5"/>
    <w:rsid w:val="00E60652"/>
    <w:rsid w:val="00E633E6"/>
    <w:rsid w:val="00E638C7"/>
    <w:rsid w:val="00E6397E"/>
    <w:rsid w:val="00E64919"/>
    <w:rsid w:val="00E65EE1"/>
    <w:rsid w:val="00E73D8A"/>
    <w:rsid w:val="00E741F0"/>
    <w:rsid w:val="00E75196"/>
    <w:rsid w:val="00E82CB2"/>
    <w:rsid w:val="00E83995"/>
    <w:rsid w:val="00E84293"/>
    <w:rsid w:val="00E85BD2"/>
    <w:rsid w:val="00E865CA"/>
    <w:rsid w:val="00E92F18"/>
    <w:rsid w:val="00E93CF5"/>
    <w:rsid w:val="00E9762C"/>
    <w:rsid w:val="00EA0306"/>
    <w:rsid w:val="00EA2E9A"/>
    <w:rsid w:val="00EA2F80"/>
    <w:rsid w:val="00EA69B3"/>
    <w:rsid w:val="00EA6FAA"/>
    <w:rsid w:val="00EA7B16"/>
    <w:rsid w:val="00EB011A"/>
    <w:rsid w:val="00EB0571"/>
    <w:rsid w:val="00EB2010"/>
    <w:rsid w:val="00EB31C3"/>
    <w:rsid w:val="00EB36D0"/>
    <w:rsid w:val="00EB50F3"/>
    <w:rsid w:val="00EB6B66"/>
    <w:rsid w:val="00EB7BAE"/>
    <w:rsid w:val="00EC0B0D"/>
    <w:rsid w:val="00EC4492"/>
    <w:rsid w:val="00EC5E3D"/>
    <w:rsid w:val="00ED031F"/>
    <w:rsid w:val="00ED1F16"/>
    <w:rsid w:val="00ED28B0"/>
    <w:rsid w:val="00ED3A91"/>
    <w:rsid w:val="00ED5D6E"/>
    <w:rsid w:val="00EE1A02"/>
    <w:rsid w:val="00EE2205"/>
    <w:rsid w:val="00EE227E"/>
    <w:rsid w:val="00EE325B"/>
    <w:rsid w:val="00EE36DE"/>
    <w:rsid w:val="00EE6A06"/>
    <w:rsid w:val="00EF3AFC"/>
    <w:rsid w:val="00EF64DC"/>
    <w:rsid w:val="00EF67A1"/>
    <w:rsid w:val="00EF6B83"/>
    <w:rsid w:val="00F01D80"/>
    <w:rsid w:val="00F0337C"/>
    <w:rsid w:val="00F03C58"/>
    <w:rsid w:val="00F16207"/>
    <w:rsid w:val="00F16DAF"/>
    <w:rsid w:val="00F17177"/>
    <w:rsid w:val="00F20432"/>
    <w:rsid w:val="00F24D8F"/>
    <w:rsid w:val="00F25466"/>
    <w:rsid w:val="00F30C48"/>
    <w:rsid w:val="00F314D0"/>
    <w:rsid w:val="00F350F7"/>
    <w:rsid w:val="00F41137"/>
    <w:rsid w:val="00F413E6"/>
    <w:rsid w:val="00F42AEF"/>
    <w:rsid w:val="00F42CD9"/>
    <w:rsid w:val="00F4459C"/>
    <w:rsid w:val="00F47B42"/>
    <w:rsid w:val="00F540E0"/>
    <w:rsid w:val="00F562E6"/>
    <w:rsid w:val="00F57E29"/>
    <w:rsid w:val="00F62580"/>
    <w:rsid w:val="00F6374A"/>
    <w:rsid w:val="00F65960"/>
    <w:rsid w:val="00F661B5"/>
    <w:rsid w:val="00F66732"/>
    <w:rsid w:val="00F72D28"/>
    <w:rsid w:val="00F733EA"/>
    <w:rsid w:val="00F761F6"/>
    <w:rsid w:val="00F80484"/>
    <w:rsid w:val="00F81C7D"/>
    <w:rsid w:val="00F827BC"/>
    <w:rsid w:val="00F82B02"/>
    <w:rsid w:val="00F85B98"/>
    <w:rsid w:val="00F85D44"/>
    <w:rsid w:val="00F8695D"/>
    <w:rsid w:val="00F87EF2"/>
    <w:rsid w:val="00F9568B"/>
    <w:rsid w:val="00F96205"/>
    <w:rsid w:val="00FA0C64"/>
    <w:rsid w:val="00FA1963"/>
    <w:rsid w:val="00FA1EBD"/>
    <w:rsid w:val="00FA2208"/>
    <w:rsid w:val="00FA3830"/>
    <w:rsid w:val="00FA451B"/>
    <w:rsid w:val="00FA5718"/>
    <w:rsid w:val="00FB1A21"/>
    <w:rsid w:val="00FB3385"/>
    <w:rsid w:val="00FC4A46"/>
    <w:rsid w:val="00FC6535"/>
    <w:rsid w:val="00FC70D0"/>
    <w:rsid w:val="00FD3347"/>
    <w:rsid w:val="00FD381D"/>
    <w:rsid w:val="00FD6BC6"/>
    <w:rsid w:val="00FD6E6C"/>
    <w:rsid w:val="00FD6EFF"/>
    <w:rsid w:val="00FE0261"/>
    <w:rsid w:val="00FE28A5"/>
    <w:rsid w:val="00FE37AB"/>
    <w:rsid w:val="00FE6759"/>
    <w:rsid w:val="00FE67E5"/>
    <w:rsid w:val="00FE710B"/>
    <w:rsid w:val="00FE7433"/>
    <w:rsid w:val="00FF186A"/>
    <w:rsid w:val="00FF4F9D"/>
    <w:rsid w:val="00FF565C"/>
    <w:rsid w:val="00FF68D6"/>
    <w:rsid w:val="00FF6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7678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F5"/>
    <w:pPr>
      <w:widowControl w:val="0"/>
      <w:spacing w:after="120"/>
    </w:pPr>
    <w:rPr>
      <w:sz w:val="24"/>
      <w:lang w:val="en-GB"/>
    </w:rPr>
  </w:style>
  <w:style w:type="paragraph" w:styleId="Heading1">
    <w:name w:val="heading 1"/>
    <w:basedOn w:val="Normal"/>
    <w:next w:val="Normal"/>
    <w:qFormat/>
    <w:rsid w:val="00256A4D"/>
    <w:pPr>
      <w:keepNext/>
      <w:tabs>
        <w:tab w:val="left" w:pos="8505"/>
        <w:tab w:val="right" w:pos="9356"/>
      </w:tabs>
      <w:spacing w:before="120"/>
      <w:jc w:val="center"/>
      <w:outlineLvl w:val="0"/>
    </w:pPr>
    <w:rPr>
      <w:b/>
    </w:rPr>
  </w:style>
  <w:style w:type="paragraph" w:styleId="Heading2">
    <w:name w:val="heading 2"/>
    <w:basedOn w:val="Normal"/>
    <w:next w:val="Normal"/>
    <w:qFormat/>
    <w:rsid w:val="00256A4D"/>
    <w:pPr>
      <w:keepNext/>
      <w:spacing w:before="120"/>
      <w:outlineLvl w:val="1"/>
    </w:pPr>
    <w:rPr>
      <w:b/>
      <w:sz w:val="32"/>
    </w:rPr>
  </w:style>
  <w:style w:type="paragraph" w:styleId="Heading3">
    <w:name w:val="heading 3"/>
    <w:basedOn w:val="Normal"/>
    <w:next w:val="Normal"/>
    <w:qFormat/>
    <w:rsid w:val="00256A4D"/>
    <w:pPr>
      <w:keepNext/>
      <w:spacing w:before="360" w:after="360"/>
      <w:outlineLvl w:val="2"/>
    </w:pPr>
    <w:rPr>
      <w:b/>
      <w:color w:val="000000"/>
      <w:sz w:val="30"/>
    </w:rPr>
  </w:style>
  <w:style w:type="paragraph" w:styleId="Heading4">
    <w:name w:val="heading 4"/>
    <w:basedOn w:val="Normal"/>
    <w:next w:val="Normal"/>
    <w:qFormat/>
    <w:rsid w:val="00256A4D"/>
    <w:pPr>
      <w:keepNext/>
      <w:spacing w:before="240" w:after="240"/>
      <w:outlineLvl w:val="3"/>
    </w:pPr>
    <w:rPr>
      <w:b/>
      <w:sz w:val="28"/>
    </w:rPr>
  </w:style>
  <w:style w:type="paragraph" w:styleId="Heading5">
    <w:name w:val="heading 5"/>
    <w:basedOn w:val="Normal"/>
    <w:next w:val="Normal"/>
    <w:qFormat/>
    <w:rsid w:val="00256A4D"/>
    <w:pPr>
      <w:keepNext/>
      <w:spacing w:before="120"/>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rsid w:val="00256A4D"/>
    <w:pPr>
      <w:tabs>
        <w:tab w:val="right" w:leader="dot" w:pos="9070"/>
      </w:tabs>
      <w:ind w:left="480"/>
    </w:pPr>
    <w:rPr>
      <w:caps/>
    </w:rPr>
  </w:style>
  <w:style w:type="paragraph" w:styleId="Footer">
    <w:name w:val="footer"/>
    <w:basedOn w:val="Normal"/>
    <w:link w:val="FooterChar"/>
    <w:uiPriority w:val="99"/>
    <w:rsid w:val="00256A4D"/>
  </w:style>
  <w:style w:type="character" w:styleId="FootnoteReference">
    <w:name w:val="footnote reference"/>
    <w:basedOn w:val="DefaultParagraphFont"/>
    <w:semiHidden/>
    <w:rsid w:val="00256A4D"/>
    <w:rPr>
      <w:vertAlign w:val="superscript"/>
    </w:rPr>
  </w:style>
  <w:style w:type="paragraph" w:styleId="FootnoteText">
    <w:name w:val="footnote text"/>
    <w:basedOn w:val="Normal"/>
    <w:link w:val="FootnoteTextChar"/>
    <w:semiHidden/>
    <w:rsid w:val="00256A4D"/>
    <w:rPr>
      <w:i/>
      <w:sz w:val="18"/>
    </w:rPr>
  </w:style>
  <w:style w:type="paragraph" w:styleId="Header">
    <w:name w:val="header"/>
    <w:basedOn w:val="Normal"/>
    <w:rsid w:val="00256A4D"/>
    <w:pPr>
      <w:tabs>
        <w:tab w:val="center" w:pos="4153"/>
        <w:tab w:val="right" w:pos="8306"/>
      </w:tabs>
    </w:pPr>
  </w:style>
  <w:style w:type="paragraph" w:styleId="ListBullet">
    <w:name w:val="List Bullet"/>
    <w:basedOn w:val="Normal"/>
    <w:rsid w:val="00256A4D"/>
    <w:pPr>
      <w:ind w:left="567" w:hanging="567"/>
    </w:pPr>
  </w:style>
  <w:style w:type="character" w:styleId="PageNumber">
    <w:name w:val="page number"/>
    <w:basedOn w:val="DefaultParagraphFont"/>
    <w:rsid w:val="00256A4D"/>
  </w:style>
  <w:style w:type="paragraph" w:styleId="TOC1">
    <w:name w:val="toc 1"/>
    <w:basedOn w:val="Normal"/>
    <w:next w:val="Normal"/>
    <w:semiHidden/>
    <w:rsid w:val="00256A4D"/>
    <w:pPr>
      <w:tabs>
        <w:tab w:val="right" w:leader="dot" w:pos="9070"/>
      </w:tabs>
    </w:pPr>
    <w:rPr>
      <w:b/>
      <w:caps/>
      <w:sz w:val="28"/>
    </w:rPr>
  </w:style>
  <w:style w:type="paragraph" w:styleId="TOC2">
    <w:name w:val="toc 2"/>
    <w:basedOn w:val="Normal"/>
    <w:next w:val="Normal"/>
    <w:uiPriority w:val="39"/>
    <w:rsid w:val="00256A4D"/>
    <w:pPr>
      <w:tabs>
        <w:tab w:val="right" w:leader="dot" w:pos="9070"/>
      </w:tabs>
      <w:ind w:left="240"/>
    </w:pPr>
    <w:rPr>
      <w:b/>
      <w:caps/>
    </w:rPr>
  </w:style>
  <w:style w:type="paragraph" w:styleId="TOC4">
    <w:name w:val="toc 4"/>
    <w:basedOn w:val="Normal"/>
    <w:next w:val="Normal"/>
    <w:uiPriority w:val="39"/>
    <w:rsid w:val="00256A4D"/>
    <w:pPr>
      <w:tabs>
        <w:tab w:val="right" w:leader="dot" w:pos="9070"/>
      </w:tabs>
      <w:ind w:left="720"/>
    </w:pPr>
  </w:style>
  <w:style w:type="paragraph" w:styleId="TOC5">
    <w:name w:val="toc 5"/>
    <w:basedOn w:val="Normal"/>
    <w:next w:val="Normal"/>
    <w:uiPriority w:val="39"/>
    <w:rsid w:val="00256A4D"/>
    <w:pPr>
      <w:tabs>
        <w:tab w:val="right" w:leader="dot" w:pos="9072"/>
      </w:tabs>
      <w:ind w:left="960"/>
    </w:pPr>
  </w:style>
  <w:style w:type="paragraph" w:customStyle="1" w:styleId="ListNumberSub">
    <w:name w:val="List Number  Sub"/>
    <w:basedOn w:val="Normal"/>
    <w:rsid w:val="00256A4D"/>
    <w:pPr>
      <w:ind w:left="1134" w:hanging="567"/>
    </w:pPr>
  </w:style>
  <w:style w:type="paragraph" w:customStyle="1" w:styleId="Note">
    <w:name w:val="Note"/>
    <w:basedOn w:val="Normal"/>
    <w:next w:val="Normal"/>
    <w:rsid w:val="00256A4D"/>
    <w:pPr>
      <w:tabs>
        <w:tab w:val="left" w:pos="851"/>
      </w:tabs>
      <w:spacing w:before="120"/>
    </w:pPr>
  </w:style>
  <w:style w:type="paragraph" w:customStyle="1" w:styleId="TITLEOFRALI">
    <w:name w:val="TITLE OF RALI"/>
    <w:basedOn w:val="Normal"/>
    <w:rsid w:val="00256A4D"/>
    <w:pPr>
      <w:shd w:val="clear" w:color="auto" w:fill="FFFFFF"/>
      <w:spacing w:after="0"/>
      <w:jc w:val="center"/>
    </w:pPr>
    <w:rPr>
      <w:b/>
      <w:caps/>
      <w:sz w:val="40"/>
    </w:rPr>
  </w:style>
  <w:style w:type="paragraph" w:styleId="BodyText">
    <w:name w:val="Body Text"/>
    <w:basedOn w:val="Normal"/>
    <w:rsid w:val="00256A4D"/>
  </w:style>
  <w:style w:type="paragraph" w:styleId="NormalIndent">
    <w:name w:val="Normal Indent"/>
    <w:basedOn w:val="Normal"/>
    <w:rsid w:val="00256A4D"/>
  </w:style>
  <w:style w:type="character" w:styleId="Strong">
    <w:name w:val="Strong"/>
    <w:basedOn w:val="DefaultParagraphFont"/>
    <w:qFormat/>
    <w:rsid w:val="00256A4D"/>
    <w:rPr>
      <w:b/>
    </w:rPr>
  </w:style>
  <w:style w:type="paragraph" w:styleId="NormalWeb">
    <w:name w:val="Normal (Web)"/>
    <w:basedOn w:val="Normal"/>
    <w:rsid w:val="00256A4D"/>
    <w:pPr>
      <w:widowControl/>
      <w:spacing w:before="100" w:beforeAutospacing="1" w:after="100" w:afterAutospacing="1"/>
    </w:pPr>
    <w:rPr>
      <w:szCs w:val="24"/>
      <w:lang w:val="en-AU"/>
    </w:rPr>
  </w:style>
  <w:style w:type="character" w:styleId="Emphasis">
    <w:name w:val="Emphasis"/>
    <w:basedOn w:val="DefaultParagraphFont"/>
    <w:qFormat/>
    <w:rsid w:val="00256A4D"/>
    <w:rPr>
      <w:i/>
      <w:iCs/>
    </w:rPr>
  </w:style>
  <w:style w:type="paragraph" w:styleId="BalloonText">
    <w:name w:val="Balloon Text"/>
    <w:basedOn w:val="Normal"/>
    <w:semiHidden/>
    <w:rsid w:val="00256A4D"/>
    <w:rPr>
      <w:rFonts w:ascii="Tahoma" w:hAnsi="Tahoma" w:cs="Tahoma"/>
      <w:sz w:val="16"/>
      <w:szCs w:val="16"/>
    </w:rPr>
  </w:style>
  <w:style w:type="paragraph" w:styleId="Caption">
    <w:name w:val="caption"/>
    <w:basedOn w:val="Normal"/>
    <w:next w:val="Normal"/>
    <w:qFormat/>
    <w:rsid w:val="00256A4D"/>
    <w:pPr>
      <w:spacing w:before="120"/>
      <w:jc w:val="center"/>
    </w:pPr>
    <w:rPr>
      <w:b/>
    </w:rPr>
  </w:style>
  <w:style w:type="paragraph" w:styleId="Date">
    <w:name w:val="Date"/>
    <w:basedOn w:val="Normal"/>
    <w:next w:val="Normal"/>
    <w:rsid w:val="00FD3347"/>
  </w:style>
  <w:style w:type="character" w:styleId="Hyperlink">
    <w:name w:val="Hyperlink"/>
    <w:basedOn w:val="DefaultParagraphFont"/>
    <w:rsid w:val="00DB50B0"/>
    <w:rPr>
      <w:color w:val="0000FF"/>
      <w:u w:val="single"/>
    </w:rPr>
  </w:style>
  <w:style w:type="table" w:styleId="TableGrid3">
    <w:name w:val="Table Grid 3"/>
    <w:basedOn w:val="TableNormal"/>
    <w:rsid w:val="008A40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
    <w:name w:val="Table Grid"/>
    <w:basedOn w:val="TableNormal"/>
    <w:rsid w:val="008D6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n1">
    <w:name w:val="fn1"/>
    <w:basedOn w:val="Normal"/>
    <w:rsid w:val="000723E1"/>
    <w:pPr>
      <w:keepLines/>
      <w:spacing w:before="120" w:after="0" w:line="-260" w:lineRule="auto"/>
      <w:ind w:left="964" w:hanging="964"/>
      <w:jc w:val="both"/>
    </w:pPr>
    <w:rPr>
      <w:sz w:val="26"/>
      <w:szCs w:val="26"/>
      <w:lang w:val="en-AU"/>
    </w:rPr>
  </w:style>
  <w:style w:type="character" w:styleId="CommentReference">
    <w:name w:val="annotation reference"/>
    <w:basedOn w:val="DefaultParagraphFont"/>
    <w:semiHidden/>
    <w:rsid w:val="00A20B06"/>
    <w:rPr>
      <w:sz w:val="16"/>
      <w:szCs w:val="16"/>
    </w:rPr>
  </w:style>
  <w:style w:type="paragraph" w:styleId="CommentText">
    <w:name w:val="annotation text"/>
    <w:basedOn w:val="Normal"/>
    <w:semiHidden/>
    <w:rsid w:val="00A20B06"/>
    <w:rPr>
      <w:sz w:val="20"/>
    </w:rPr>
  </w:style>
  <w:style w:type="paragraph" w:styleId="CommentSubject">
    <w:name w:val="annotation subject"/>
    <w:basedOn w:val="CommentText"/>
    <w:next w:val="CommentText"/>
    <w:semiHidden/>
    <w:rsid w:val="00A20B06"/>
    <w:rPr>
      <w:b/>
      <w:bCs/>
    </w:rPr>
  </w:style>
  <w:style w:type="character" w:styleId="FollowedHyperlink">
    <w:name w:val="FollowedHyperlink"/>
    <w:basedOn w:val="DefaultParagraphFont"/>
    <w:rsid w:val="005A15B1"/>
    <w:rPr>
      <w:color w:val="800080"/>
      <w:u w:val="single"/>
    </w:rPr>
  </w:style>
  <w:style w:type="character" w:customStyle="1" w:styleId="FooterChar">
    <w:name w:val="Footer Char"/>
    <w:basedOn w:val="DefaultParagraphFont"/>
    <w:link w:val="Footer"/>
    <w:uiPriority w:val="99"/>
    <w:rsid w:val="001272F2"/>
    <w:rPr>
      <w:sz w:val="24"/>
      <w:lang w:val="en-GB"/>
    </w:rPr>
  </w:style>
  <w:style w:type="paragraph" w:styleId="NoSpacing">
    <w:name w:val="No Spacing"/>
    <w:uiPriority w:val="1"/>
    <w:qFormat/>
    <w:rsid w:val="00486F82"/>
    <w:pPr>
      <w:widowControl w:val="0"/>
    </w:pPr>
    <w:rPr>
      <w:sz w:val="24"/>
      <w:lang w:val="en-GB"/>
    </w:rPr>
  </w:style>
  <w:style w:type="paragraph" w:styleId="Revision">
    <w:name w:val="Revision"/>
    <w:hidden/>
    <w:uiPriority w:val="99"/>
    <w:semiHidden/>
    <w:rsid w:val="00D633DA"/>
    <w:rPr>
      <w:sz w:val="24"/>
      <w:lang w:val="en-GB"/>
    </w:rPr>
  </w:style>
  <w:style w:type="character" w:customStyle="1" w:styleId="FootnoteTextChar">
    <w:name w:val="Footnote Text Char"/>
    <w:basedOn w:val="DefaultParagraphFont"/>
    <w:link w:val="FootnoteText"/>
    <w:semiHidden/>
    <w:rsid w:val="00160823"/>
    <w:rPr>
      <w:i/>
      <w:sz w:val="18"/>
      <w:lang w:val="en-GB"/>
    </w:rPr>
  </w:style>
  <w:style w:type="paragraph" w:styleId="DocumentMap">
    <w:name w:val="Document Map"/>
    <w:basedOn w:val="Normal"/>
    <w:link w:val="DocumentMapChar"/>
    <w:rsid w:val="008055C7"/>
    <w:pPr>
      <w:spacing w:after="0"/>
    </w:pPr>
    <w:rPr>
      <w:rFonts w:ascii="Tahoma" w:hAnsi="Tahoma" w:cs="Tahoma"/>
      <w:sz w:val="16"/>
      <w:szCs w:val="16"/>
    </w:rPr>
  </w:style>
  <w:style w:type="character" w:customStyle="1" w:styleId="DocumentMapChar">
    <w:name w:val="Document Map Char"/>
    <w:basedOn w:val="DefaultParagraphFont"/>
    <w:link w:val="DocumentMap"/>
    <w:rsid w:val="008055C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3457">
      <w:bodyDiv w:val="1"/>
      <w:marLeft w:val="0"/>
      <w:marRight w:val="0"/>
      <w:marTop w:val="0"/>
      <w:marBottom w:val="0"/>
      <w:divBdr>
        <w:top w:val="none" w:sz="0" w:space="0" w:color="auto"/>
        <w:left w:val="none" w:sz="0" w:space="0" w:color="auto"/>
        <w:bottom w:val="none" w:sz="0" w:space="0" w:color="auto"/>
        <w:right w:val="none" w:sz="0" w:space="0" w:color="auto"/>
      </w:divBdr>
    </w:div>
    <w:div w:id="4277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3.xml"/><Relationship Id="rId19" Type="http://schemas.openxmlformats.org/officeDocument/2006/relationships/hyperlink" Target="mailto:atnf-spectrum@csiro.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skatelescope.org" TargetMode="External"/><Relationship Id="rId1" Type="http://schemas.openxmlformats.org/officeDocument/2006/relationships/hyperlink" Target="http://www.sk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D0B2-2643-4C0A-8E6F-4C9918D7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3794</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25867</CharactersWithSpaces>
  <SharedDoc>false</SharedDoc>
  <HLinks>
    <vt:vector size="30" baseType="variant">
      <vt:variant>
        <vt:i4>4718624</vt:i4>
      </vt:variant>
      <vt:variant>
        <vt:i4>42</vt:i4>
      </vt:variant>
      <vt:variant>
        <vt:i4>0</vt:i4>
      </vt:variant>
      <vt:variant>
        <vt:i4>5</vt:i4>
      </vt:variant>
      <vt:variant>
        <vt:lpwstr>mailto:atnf-spectrum@csiro.au</vt:lpwstr>
      </vt:variant>
      <vt:variant>
        <vt:lpwstr/>
      </vt:variant>
      <vt:variant>
        <vt:i4>4718624</vt:i4>
      </vt:variant>
      <vt:variant>
        <vt:i4>39</vt:i4>
      </vt:variant>
      <vt:variant>
        <vt:i4>0</vt:i4>
      </vt:variant>
      <vt:variant>
        <vt:i4>5</vt:i4>
      </vt:variant>
      <vt:variant>
        <vt:lpwstr>mailto:atnf-spectrum@csiro.au</vt:lpwstr>
      </vt:variant>
      <vt:variant>
        <vt:lpwstr/>
      </vt:variant>
      <vt:variant>
        <vt:i4>5832786</vt:i4>
      </vt:variant>
      <vt:variant>
        <vt:i4>9</vt:i4>
      </vt:variant>
      <vt:variant>
        <vt:i4>0</vt:i4>
      </vt:variant>
      <vt:variant>
        <vt:i4>5</vt:i4>
      </vt:variant>
      <vt:variant>
        <vt:lpwstr>http://www.skatelescope.org/</vt:lpwstr>
      </vt:variant>
      <vt:variant>
        <vt:lpwstr/>
      </vt:variant>
      <vt:variant>
        <vt:i4>5832786</vt:i4>
      </vt:variant>
      <vt:variant>
        <vt:i4>3</vt:i4>
      </vt:variant>
      <vt:variant>
        <vt:i4>0</vt:i4>
      </vt:variant>
      <vt:variant>
        <vt:i4>5</vt:i4>
      </vt:variant>
      <vt:variant>
        <vt:lpwstr>http://www.skatelescope.org/</vt:lpwstr>
      </vt:variant>
      <vt:variant>
        <vt:lpwstr/>
      </vt:variant>
      <vt:variant>
        <vt:i4>6684705</vt:i4>
      </vt:variant>
      <vt:variant>
        <vt:i4>0</vt:i4>
      </vt:variant>
      <vt:variant>
        <vt:i4>0</vt:i4>
      </vt:variant>
      <vt:variant>
        <vt:i4>5</vt:i4>
      </vt:variant>
      <vt:variant>
        <vt:lpwstr>http://www.ska.gov.au/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2014-12-15T05:37:00Z</dcterms:created>
  <dcterms:modified xsi:type="dcterms:W3CDTF">2014-12-16T00:53:00Z</dcterms:modified>
</cp:coreProperties>
</file>