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B5AB41" w14:textId="75D17B56" w:rsidR="00F06E14" w:rsidRPr="00A17B1B" w:rsidRDefault="00DF31D3" w:rsidP="00F06E14">
      <w:pPr>
        <w:pStyle w:val="Reportsubtitle"/>
      </w:pPr>
      <w:r w:rsidRPr="00DF31D3">
        <w:rPr>
          <w:b/>
          <w:color w:val="auto"/>
        </w:rPr>
        <w:t>RALI review work program 2025–26</w:t>
      </w:r>
      <w:r>
        <w:rPr>
          <w:b/>
          <w:color w:val="auto"/>
        </w:rPr>
        <w:t xml:space="preserve"> </w:t>
      </w:r>
    </w:p>
    <w:p w14:paraId="2D77B2EF" w14:textId="0825C525" w:rsidR="00C97736" w:rsidRPr="00A17B1B" w:rsidRDefault="00DF31D3" w:rsidP="00EC2B68">
      <w:pPr>
        <w:pStyle w:val="Reportdate"/>
        <w:spacing w:after="720"/>
        <w:rPr>
          <w:rFonts w:cs="Arial"/>
        </w:rPr>
        <w:sectPr w:rsidR="00C97736" w:rsidRPr="00A17B1B" w:rsidSect="005A62E5">
          <w:headerReference w:type="default" r:id="rId8"/>
          <w:footerReference w:type="default" r:id="rId9"/>
          <w:headerReference w:type="first" r:id="rId10"/>
          <w:pgSz w:w="11906" w:h="16838" w:code="9"/>
          <w:pgMar w:top="3924" w:right="1418" w:bottom="1134" w:left="1418" w:header="850" w:footer="454" w:gutter="0"/>
          <w:cols w:space="708"/>
          <w:docGrid w:linePitch="360"/>
        </w:sectPr>
      </w:pPr>
      <w:r>
        <w:t xml:space="preserve">JULY </w:t>
      </w:r>
      <w:r w:rsidR="00BD4421" w:rsidRPr="00A17B1B">
        <w:t>20</w:t>
      </w:r>
      <w:r w:rsidR="000971BD" w:rsidRPr="00A17B1B">
        <w:t>2</w:t>
      </w:r>
      <w:r w:rsidR="001106BC">
        <w:t>5</w:t>
      </w:r>
    </w:p>
    <w:p w14:paraId="641837E4" w14:textId="77777777" w:rsidR="00284A74" w:rsidRPr="00A17B1B" w:rsidRDefault="00284A74" w:rsidP="00284A74">
      <w:pPr>
        <w:pStyle w:val="ACMACorporateAddressHeader"/>
      </w:pPr>
      <w:r w:rsidRPr="00A17B1B">
        <w:lastRenderedPageBreak/>
        <w:t>Canberra</w:t>
      </w:r>
    </w:p>
    <w:p w14:paraId="10250118" w14:textId="77777777" w:rsidR="00284A74" w:rsidRPr="00A17B1B" w:rsidRDefault="00181180" w:rsidP="00284A74">
      <w:pPr>
        <w:pStyle w:val="ACMACorporateAddresses"/>
      </w:pPr>
      <w:r>
        <w:t>Level 3</w:t>
      </w:r>
      <w:r>
        <w:br/>
        <w:t>40 Cameron Avenue</w:t>
      </w:r>
      <w:r w:rsidR="00284A74" w:rsidRPr="00A17B1B">
        <w:t xml:space="preserve"> </w:t>
      </w:r>
      <w:r w:rsidR="00284A74" w:rsidRPr="00A17B1B">
        <w:br/>
        <w:t>Belconnen ACT</w:t>
      </w:r>
    </w:p>
    <w:p w14:paraId="76A7B255" w14:textId="77777777" w:rsidR="00284A74" w:rsidRPr="00A17B1B" w:rsidRDefault="00284A74" w:rsidP="00284A74">
      <w:pPr>
        <w:pStyle w:val="ACMACorporateAddresses"/>
      </w:pPr>
      <w:r w:rsidRPr="00A17B1B">
        <w:t>PO Box 78</w:t>
      </w:r>
      <w:r w:rsidRPr="00A17B1B">
        <w:br/>
        <w:t>Belconnen ACT 2616</w:t>
      </w:r>
    </w:p>
    <w:p w14:paraId="1A716510" w14:textId="77777777" w:rsidR="00284A74" w:rsidRPr="00A17B1B" w:rsidRDefault="00284A74" w:rsidP="00284A74">
      <w:pPr>
        <w:pStyle w:val="ACMACorporateAddresses"/>
      </w:pPr>
      <w:r w:rsidRPr="00A17B1B">
        <w:t>T</w:t>
      </w:r>
      <w:r w:rsidRPr="00A17B1B">
        <w:tab/>
        <w:t>+61 2 6219 5555</w:t>
      </w:r>
      <w:r w:rsidRPr="00A17B1B">
        <w:br/>
        <w:t>F</w:t>
      </w:r>
      <w:r w:rsidRPr="00A17B1B">
        <w:tab/>
        <w:t>+61 2 6219 5353</w:t>
      </w:r>
    </w:p>
    <w:p w14:paraId="0B3EC5CC" w14:textId="77777777" w:rsidR="00284A74" w:rsidRPr="00A17B1B" w:rsidRDefault="00284A74" w:rsidP="00284A74">
      <w:pPr>
        <w:pStyle w:val="ACMACorporateAddressHeader"/>
      </w:pPr>
      <w:r w:rsidRPr="00A17B1B">
        <w:t>Melbourne</w:t>
      </w:r>
    </w:p>
    <w:p w14:paraId="0236D251" w14:textId="77777777" w:rsidR="00284A74" w:rsidRPr="00A17B1B" w:rsidRDefault="00284A74" w:rsidP="00284A74">
      <w:pPr>
        <w:pStyle w:val="ACMACorporateAddresses"/>
      </w:pPr>
      <w:r w:rsidRPr="00A17B1B">
        <w:t xml:space="preserve">Level 32 </w:t>
      </w:r>
      <w:r w:rsidRPr="00A17B1B">
        <w:br/>
        <w:t>Melbourne Central Tower</w:t>
      </w:r>
      <w:r w:rsidRPr="00A17B1B">
        <w:br/>
        <w:t xml:space="preserve">360 Elizabeth Street </w:t>
      </w:r>
      <w:r w:rsidRPr="00A17B1B">
        <w:br/>
        <w:t>Melbourne VIC</w:t>
      </w:r>
    </w:p>
    <w:p w14:paraId="0C2F318A" w14:textId="77777777" w:rsidR="00284A74" w:rsidRPr="00A17B1B" w:rsidRDefault="00284A74" w:rsidP="00284A74">
      <w:pPr>
        <w:pStyle w:val="ACMACorporateAddresses"/>
      </w:pPr>
      <w:r w:rsidRPr="00A17B1B">
        <w:t>PO Box 13112</w:t>
      </w:r>
      <w:r w:rsidRPr="00A17B1B">
        <w:br/>
        <w:t xml:space="preserve">Law Courts </w:t>
      </w:r>
      <w:r w:rsidRPr="00A17B1B">
        <w:br/>
        <w:t>Melbourne VIC 8010</w:t>
      </w:r>
    </w:p>
    <w:p w14:paraId="098C32E3" w14:textId="77777777" w:rsidR="00284A74" w:rsidRPr="00A17B1B" w:rsidRDefault="00284A74" w:rsidP="00284A74">
      <w:pPr>
        <w:pStyle w:val="ACMACorporateAddresses"/>
      </w:pPr>
      <w:r w:rsidRPr="00A17B1B">
        <w:t>T</w:t>
      </w:r>
      <w:r w:rsidRPr="00A17B1B">
        <w:tab/>
        <w:t>+61 3 9963 6800</w:t>
      </w:r>
      <w:r w:rsidRPr="00A17B1B">
        <w:br/>
        <w:t>F</w:t>
      </w:r>
      <w:r w:rsidRPr="00A17B1B">
        <w:tab/>
        <w:t>+61 3 9963 6899</w:t>
      </w:r>
    </w:p>
    <w:p w14:paraId="6288D7F7" w14:textId="77777777" w:rsidR="00284A74" w:rsidRPr="00A17B1B" w:rsidRDefault="00284A74" w:rsidP="00284A74">
      <w:pPr>
        <w:pStyle w:val="ACMACorporateAddressHeader"/>
      </w:pPr>
      <w:r w:rsidRPr="00A17B1B">
        <w:t>Sydney</w:t>
      </w:r>
    </w:p>
    <w:p w14:paraId="36D20171" w14:textId="77777777" w:rsidR="00284A74" w:rsidRPr="00A17B1B" w:rsidRDefault="00284A74" w:rsidP="00284A74">
      <w:pPr>
        <w:pStyle w:val="ACMACorporateAddresses"/>
      </w:pPr>
      <w:r w:rsidRPr="00A17B1B">
        <w:t xml:space="preserve">Level 5 </w:t>
      </w:r>
      <w:r w:rsidRPr="00A17B1B">
        <w:br/>
        <w:t>The Bay Centre</w:t>
      </w:r>
      <w:r w:rsidRPr="00A17B1B">
        <w:br/>
        <w:t xml:space="preserve">65 Pirrama Road </w:t>
      </w:r>
      <w:r w:rsidRPr="00A17B1B">
        <w:br/>
        <w:t>Pyrmont NSW</w:t>
      </w:r>
    </w:p>
    <w:p w14:paraId="318E0F6A" w14:textId="77777777" w:rsidR="00284A74" w:rsidRPr="00A17B1B" w:rsidRDefault="00284A74" w:rsidP="00284A74">
      <w:pPr>
        <w:pStyle w:val="ACMACorporateAddresses"/>
      </w:pPr>
      <w:r w:rsidRPr="00A17B1B">
        <w:t>PO Box Q500</w:t>
      </w:r>
      <w:r w:rsidRPr="00A17B1B">
        <w:br/>
        <w:t xml:space="preserve">Queen Victoria Building </w:t>
      </w:r>
      <w:r w:rsidRPr="00A17B1B">
        <w:br/>
        <w:t>NSW 1230</w:t>
      </w:r>
    </w:p>
    <w:p w14:paraId="31F2144D" w14:textId="77777777" w:rsidR="00284A74" w:rsidRPr="00A17B1B" w:rsidRDefault="00284A74" w:rsidP="00284A74">
      <w:pPr>
        <w:pStyle w:val="ACMACorporateAddresses"/>
      </w:pPr>
      <w:r w:rsidRPr="00A17B1B">
        <w:t>T</w:t>
      </w:r>
      <w:r w:rsidRPr="00A17B1B">
        <w:tab/>
        <w:t>+61 2 9334 7700</w:t>
      </w:r>
      <w:r w:rsidRPr="00A17B1B">
        <w:br/>
        <w:t>F</w:t>
      </w:r>
      <w:r w:rsidRPr="00A17B1B">
        <w:tab/>
        <w:t>+61 2 9334 7799</w:t>
      </w:r>
    </w:p>
    <w:p w14:paraId="2F0189B1" w14:textId="77777777" w:rsidR="00284A74" w:rsidRPr="00A17B1B" w:rsidRDefault="00284A74" w:rsidP="005A62E5">
      <w:pPr>
        <w:pStyle w:val="ACMACopyrightHeader"/>
        <w:spacing w:before="4200"/>
      </w:pPr>
      <w:r w:rsidRPr="00A17B1B">
        <w:t>Copyright notice</w:t>
      </w:r>
    </w:p>
    <w:p w14:paraId="690C1C39" w14:textId="77777777" w:rsidR="00284A74" w:rsidRPr="00A17B1B" w:rsidRDefault="00284A74" w:rsidP="00284A74">
      <w:pPr>
        <w:pStyle w:val="ACMACClogo"/>
      </w:pPr>
      <w:r w:rsidRPr="00A17B1B">
        <w:rPr>
          <w:noProof/>
        </w:rPr>
        <w:drawing>
          <wp:inline distT="0" distB="0" distL="0" distR="0" wp14:anchorId="6464ECE7" wp14:editId="0EE14FA2">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10A39725" w14:textId="77777777" w:rsidR="00284A74" w:rsidRPr="00A17B1B" w:rsidRDefault="00284A74" w:rsidP="00284A74">
      <w:pPr>
        <w:pStyle w:val="ACMACorporateAddresses"/>
        <w:rPr>
          <w:rStyle w:val="Hyperlink"/>
        </w:rPr>
      </w:pPr>
      <w:hyperlink r:id="rId13" w:history="1">
        <w:r w:rsidRPr="00A17B1B">
          <w:rPr>
            <w:rStyle w:val="Hyperlink"/>
          </w:rPr>
          <w:t>https://creativecommons.org/licenses/by/4.0/</w:t>
        </w:r>
      </w:hyperlink>
    </w:p>
    <w:p w14:paraId="6EEA1126" w14:textId="77777777" w:rsidR="00AA1F0B" w:rsidRPr="00E162C4" w:rsidRDefault="00AA1F0B" w:rsidP="00AA1F0B">
      <w:pPr>
        <w:pStyle w:val="ACMACorporateAddresses"/>
      </w:pPr>
      <w:r>
        <w:t>Except for the Commonwealth</w:t>
      </w:r>
      <w:r w:rsidRPr="00E162C4">
        <w:t xml:space="preserve"> </w:t>
      </w:r>
      <w:r>
        <w:t>C</w:t>
      </w:r>
      <w:r w:rsidRPr="00E162C4">
        <w:t xml:space="preserve">oat of </w:t>
      </w:r>
      <w:r>
        <w:t>A</w:t>
      </w:r>
      <w:r w:rsidRPr="00E162C4">
        <w:t xml:space="preserve">rms, logos, emblems, images, other third-party material or devices protected by a trademark, this content is made available under the terms of the Creative Commons Attribution 4.0 International (CC BY 4.0) licence. </w:t>
      </w:r>
    </w:p>
    <w:p w14:paraId="24A0CD2D" w14:textId="77777777" w:rsidR="00AA1F0B" w:rsidRPr="00E162C4" w:rsidRDefault="00AA1F0B" w:rsidP="00AA1F0B">
      <w:pPr>
        <w:pStyle w:val="ACMACorporateAddresses"/>
      </w:pPr>
      <w:r w:rsidRPr="00E162C4">
        <w:t>All other rights are reserved.</w:t>
      </w:r>
    </w:p>
    <w:p w14:paraId="47EC0041" w14:textId="77777777" w:rsidR="00AA1F0B" w:rsidRDefault="00AA1F0B" w:rsidP="00AA1F0B">
      <w:pPr>
        <w:pStyle w:val="ACMACorporateAddresses"/>
      </w:pPr>
      <w:r w:rsidRPr="00E162C4">
        <w:t>The Australian Communications and Media Authority has undertaken reasonable enquiries to identify material owned by third parties and secure permission for its reproduction. Permission may need to be obtained from third parties to re-use their material.</w:t>
      </w:r>
    </w:p>
    <w:p w14:paraId="43D28D56" w14:textId="77777777" w:rsidR="00AA1F0B" w:rsidRPr="00D04C32" w:rsidRDefault="00AA1F0B" w:rsidP="00AA1F0B">
      <w:pPr>
        <w:pStyle w:val="ACMACorporateAddresses"/>
        <w:rPr>
          <w:rStyle w:val="Hyperlink"/>
          <w:color w:val="auto"/>
          <w:u w:val="none"/>
        </w:rPr>
      </w:pPr>
      <w:r w:rsidRPr="00E162C4">
        <w:t>We request attribution as © Commonwealth of Australia (Australian Communications and Media Authority) 202</w:t>
      </w:r>
      <w:r w:rsidR="001106BC">
        <w:t>5</w:t>
      </w:r>
      <w:r w:rsidRPr="00E162C4">
        <w:t xml:space="preserve">. </w:t>
      </w:r>
    </w:p>
    <w:p w14:paraId="7F850045" w14:textId="77777777" w:rsidR="00D16FE3" w:rsidRPr="00A17B1B" w:rsidRDefault="00D16FE3" w:rsidP="00D16FE3">
      <w:pPr>
        <w:pStyle w:val="ACMACorporateAddresses"/>
        <w:sectPr w:rsidR="00D16FE3" w:rsidRPr="00A17B1B" w:rsidSect="005A62E5">
          <w:headerReference w:type="even" r:id="rId14"/>
          <w:headerReference w:type="default" r:id="rId15"/>
          <w:footerReference w:type="even" r:id="rId16"/>
          <w:footerReference w:type="default" r:id="rId17"/>
          <w:pgSz w:w="11906" w:h="16838" w:code="9"/>
          <w:pgMar w:top="3924" w:right="1418" w:bottom="1134" w:left="1418" w:header="709" w:footer="119" w:gutter="0"/>
          <w:cols w:space="708"/>
          <w:docGrid w:linePitch="360"/>
        </w:sectPr>
      </w:pPr>
    </w:p>
    <w:p w14:paraId="1E876A07" w14:textId="4FE5093D" w:rsidR="00597DA3" w:rsidRDefault="00DF0799">
      <w:pPr>
        <w:pStyle w:val="TOC1"/>
        <w:rPr>
          <w:rFonts w:asciiTheme="minorHAnsi" w:eastAsiaTheme="minorEastAsia" w:hAnsiTheme="minorHAnsi" w:cstheme="minorBidi"/>
          <w:b w:val="0"/>
          <w:spacing w:val="0"/>
          <w:kern w:val="2"/>
          <w:sz w:val="24"/>
          <w14:ligatures w14:val="standardContextual"/>
        </w:rPr>
      </w:pPr>
      <w:r w:rsidRPr="00A17B1B">
        <w:rPr>
          <w:rFonts w:cs="Arial"/>
        </w:rPr>
        <w:lastRenderedPageBreak/>
        <w:fldChar w:fldCharType="begin"/>
      </w:r>
      <w:r w:rsidRPr="00A17B1B">
        <w:rPr>
          <w:rFonts w:cs="Arial"/>
        </w:rPr>
        <w:instrText xml:space="preserve"> TOC \o "1-3" \h \z \t "Exec summary heading,1" </w:instrText>
      </w:r>
      <w:r w:rsidRPr="00A17B1B">
        <w:rPr>
          <w:rFonts w:cs="Arial"/>
        </w:rPr>
        <w:fldChar w:fldCharType="separate"/>
      </w:r>
      <w:hyperlink w:anchor="_Toc201586006" w:history="1">
        <w:r w:rsidR="00597DA3" w:rsidRPr="00785649">
          <w:rPr>
            <w:rStyle w:val="Hyperlink"/>
          </w:rPr>
          <w:t>Introduction</w:t>
        </w:r>
        <w:r w:rsidR="00597DA3">
          <w:rPr>
            <w:webHidden/>
          </w:rPr>
          <w:tab/>
        </w:r>
        <w:r w:rsidR="00597DA3">
          <w:rPr>
            <w:webHidden/>
          </w:rPr>
          <w:fldChar w:fldCharType="begin"/>
        </w:r>
        <w:r w:rsidR="00597DA3">
          <w:rPr>
            <w:webHidden/>
          </w:rPr>
          <w:instrText xml:space="preserve"> PAGEREF _Toc201586006 \h </w:instrText>
        </w:r>
        <w:r w:rsidR="00597DA3">
          <w:rPr>
            <w:webHidden/>
          </w:rPr>
        </w:r>
        <w:r w:rsidR="00597DA3">
          <w:rPr>
            <w:webHidden/>
          </w:rPr>
          <w:fldChar w:fldCharType="separate"/>
        </w:r>
        <w:r w:rsidR="00597DA3">
          <w:rPr>
            <w:webHidden/>
          </w:rPr>
          <w:t>1</w:t>
        </w:r>
        <w:r w:rsidR="00597DA3">
          <w:rPr>
            <w:webHidden/>
          </w:rPr>
          <w:fldChar w:fldCharType="end"/>
        </w:r>
      </w:hyperlink>
    </w:p>
    <w:p w14:paraId="4BFB4F81" w14:textId="187BDB0A" w:rsidR="00597DA3" w:rsidRDefault="00597DA3">
      <w:pPr>
        <w:pStyle w:val="TOC1"/>
        <w:rPr>
          <w:rFonts w:asciiTheme="minorHAnsi" w:eastAsiaTheme="minorEastAsia" w:hAnsiTheme="minorHAnsi" w:cstheme="minorBidi"/>
          <w:b w:val="0"/>
          <w:spacing w:val="0"/>
          <w:kern w:val="2"/>
          <w:sz w:val="24"/>
          <w14:ligatures w14:val="standardContextual"/>
        </w:rPr>
      </w:pPr>
      <w:hyperlink w:anchor="_Toc201586007" w:history="1">
        <w:r w:rsidRPr="00785649">
          <w:rPr>
            <w:rStyle w:val="Hyperlink"/>
          </w:rPr>
          <w:t>Program of review for 2025–26</w:t>
        </w:r>
        <w:r>
          <w:rPr>
            <w:webHidden/>
          </w:rPr>
          <w:tab/>
        </w:r>
        <w:r>
          <w:rPr>
            <w:webHidden/>
          </w:rPr>
          <w:fldChar w:fldCharType="begin"/>
        </w:r>
        <w:r>
          <w:rPr>
            <w:webHidden/>
          </w:rPr>
          <w:instrText xml:space="preserve"> PAGEREF _Toc201586007 \h </w:instrText>
        </w:r>
        <w:r>
          <w:rPr>
            <w:webHidden/>
          </w:rPr>
        </w:r>
        <w:r>
          <w:rPr>
            <w:webHidden/>
          </w:rPr>
          <w:fldChar w:fldCharType="separate"/>
        </w:r>
        <w:r>
          <w:rPr>
            <w:webHidden/>
          </w:rPr>
          <w:t>2</w:t>
        </w:r>
        <w:r>
          <w:rPr>
            <w:webHidden/>
          </w:rPr>
          <w:fldChar w:fldCharType="end"/>
        </w:r>
      </w:hyperlink>
    </w:p>
    <w:p w14:paraId="0325F437" w14:textId="5A723B98" w:rsidR="00597DA3" w:rsidRDefault="00597DA3">
      <w:pPr>
        <w:pStyle w:val="TOC2"/>
        <w:rPr>
          <w:rFonts w:asciiTheme="minorHAnsi" w:eastAsiaTheme="minorEastAsia" w:hAnsiTheme="minorHAnsi" w:cstheme="minorBidi"/>
          <w:spacing w:val="0"/>
          <w:kern w:val="2"/>
          <w:sz w:val="24"/>
          <w:szCs w:val="24"/>
          <w14:ligatures w14:val="standardContextual"/>
        </w:rPr>
      </w:pPr>
      <w:hyperlink w:anchor="_Toc201586008" w:history="1">
        <w:r w:rsidRPr="00785649">
          <w:rPr>
            <w:rStyle w:val="Hyperlink"/>
          </w:rPr>
          <w:t>Call for feedback</w:t>
        </w:r>
        <w:r>
          <w:rPr>
            <w:webHidden/>
          </w:rPr>
          <w:tab/>
        </w:r>
        <w:r>
          <w:rPr>
            <w:webHidden/>
          </w:rPr>
          <w:fldChar w:fldCharType="begin"/>
        </w:r>
        <w:r>
          <w:rPr>
            <w:webHidden/>
          </w:rPr>
          <w:instrText xml:space="preserve"> PAGEREF _Toc201586008 \h </w:instrText>
        </w:r>
        <w:r>
          <w:rPr>
            <w:webHidden/>
          </w:rPr>
        </w:r>
        <w:r>
          <w:rPr>
            <w:webHidden/>
          </w:rPr>
          <w:fldChar w:fldCharType="separate"/>
        </w:r>
        <w:r>
          <w:rPr>
            <w:webHidden/>
          </w:rPr>
          <w:t>2</w:t>
        </w:r>
        <w:r>
          <w:rPr>
            <w:webHidden/>
          </w:rPr>
          <w:fldChar w:fldCharType="end"/>
        </w:r>
      </w:hyperlink>
    </w:p>
    <w:p w14:paraId="6216881E" w14:textId="1E3F2471" w:rsidR="00597DA3" w:rsidRDefault="00597DA3">
      <w:pPr>
        <w:pStyle w:val="TOC2"/>
        <w:rPr>
          <w:rFonts w:asciiTheme="minorHAnsi" w:eastAsiaTheme="minorEastAsia" w:hAnsiTheme="minorHAnsi" w:cstheme="minorBidi"/>
          <w:spacing w:val="0"/>
          <w:kern w:val="2"/>
          <w:sz w:val="24"/>
          <w:szCs w:val="24"/>
          <w14:ligatures w14:val="standardContextual"/>
        </w:rPr>
      </w:pPr>
      <w:hyperlink w:anchor="_Toc201586009" w:history="1">
        <w:r w:rsidRPr="00785649">
          <w:rPr>
            <w:rStyle w:val="Hyperlink"/>
          </w:rPr>
          <w:t>Regulator Performance Guide</w:t>
        </w:r>
        <w:r>
          <w:rPr>
            <w:webHidden/>
          </w:rPr>
          <w:tab/>
        </w:r>
        <w:r>
          <w:rPr>
            <w:webHidden/>
          </w:rPr>
          <w:fldChar w:fldCharType="begin"/>
        </w:r>
        <w:r>
          <w:rPr>
            <w:webHidden/>
          </w:rPr>
          <w:instrText xml:space="preserve"> PAGEREF _Toc201586009 \h </w:instrText>
        </w:r>
        <w:r>
          <w:rPr>
            <w:webHidden/>
          </w:rPr>
        </w:r>
        <w:r>
          <w:rPr>
            <w:webHidden/>
          </w:rPr>
          <w:fldChar w:fldCharType="separate"/>
        </w:r>
        <w:r>
          <w:rPr>
            <w:webHidden/>
          </w:rPr>
          <w:t>2</w:t>
        </w:r>
        <w:r>
          <w:rPr>
            <w:webHidden/>
          </w:rPr>
          <w:fldChar w:fldCharType="end"/>
        </w:r>
      </w:hyperlink>
    </w:p>
    <w:p w14:paraId="1570D233" w14:textId="114F8DB2" w:rsidR="00597DA3" w:rsidRDefault="00597DA3">
      <w:pPr>
        <w:pStyle w:val="TOC2"/>
        <w:rPr>
          <w:rFonts w:asciiTheme="minorHAnsi" w:eastAsiaTheme="minorEastAsia" w:hAnsiTheme="minorHAnsi" w:cstheme="minorBidi"/>
          <w:spacing w:val="0"/>
          <w:kern w:val="2"/>
          <w:sz w:val="24"/>
          <w:szCs w:val="24"/>
          <w14:ligatures w14:val="standardContextual"/>
        </w:rPr>
      </w:pPr>
      <w:hyperlink w:anchor="_Toc201586010" w:history="1">
        <w:r w:rsidRPr="00785649">
          <w:rPr>
            <w:rStyle w:val="Hyperlink"/>
          </w:rPr>
          <w:t>Frequency coordination requirements (RALIs)</w:t>
        </w:r>
        <w:r>
          <w:rPr>
            <w:webHidden/>
          </w:rPr>
          <w:tab/>
        </w:r>
        <w:r>
          <w:rPr>
            <w:webHidden/>
          </w:rPr>
          <w:fldChar w:fldCharType="begin"/>
        </w:r>
        <w:r>
          <w:rPr>
            <w:webHidden/>
          </w:rPr>
          <w:instrText xml:space="preserve"> PAGEREF _Toc201586010 \h </w:instrText>
        </w:r>
        <w:r>
          <w:rPr>
            <w:webHidden/>
          </w:rPr>
        </w:r>
        <w:r>
          <w:rPr>
            <w:webHidden/>
          </w:rPr>
          <w:fldChar w:fldCharType="separate"/>
        </w:r>
        <w:r>
          <w:rPr>
            <w:webHidden/>
          </w:rPr>
          <w:t>6</w:t>
        </w:r>
        <w:r>
          <w:rPr>
            <w:webHidden/>
          </w:rPr>
          <w:fldChar w:fldCharType="end"/>
        </w:r>
      </w:hyperlink>
    </w:p>
    <w:p w14:paraId="3F8E7CB2" w14:textId="6B86DA5E" w:rsidR="00597DA3" w:rsidRDefault="00597DA3">
      <w:pPr>
        <w:pStyle w:val="TOC1"/>
        <w:rPr>
          <w:rFonts w:asciiTheme="minorHAnsi" w:eastAsiaTheme="minorEastAsia" w:hAnsiTheme="minorHAnsi" w:cstheme="minorBidi"/>
          <w:b w:val="0"/>
          <w:spacing w:val="0"/>
          <w:kern w:val="2"/>
          <w:sz w:val="24"/>
          <w14:ligatures w14:val="standardContextual"/>
        </w:rPr>
      </w:pPr>
      <w:hyperlink w:anchor="_Toc201586023" w:history="1">
        <w:r w:rsidRPr="00785649">
          <w:rPr>
            <w:rStyle w:val="Hyperlink"/>
          </w:rPr>
          <w:t>Completed RALI updates from 2023–24 review work program</w:t>
        </w:r>
        <w:r>
          <w:rPr>
            <w:webHidden/>
          </w:rPr>
          <w:tab/>
        </w:r>
        <w:r>
          <w:rPr>
            <w:webHidden/>
          </w:rPr>
          <w:fldChar w:fldCharType="begin"/>
        </w:r>
        <w:r>
          <w:rPr>
            <w:webHidden/>
          </w:rPr>
          <w:instrText xml:space="preserve"> PAGEREF _Toc201586023 \h </w:instrText>
        </w:r>
        <w:r>
          <w:rPr>
            <w:webHidden/>
          </w:rPr>
        </w:r>
        <w:r>
          <w:rPr>
            <w:webHidden/>
          </w:rPr>
          <w:fldChar w:fldCharType="separate"/>
        </w:r>
        <w:r>
          <w:rPr>
            <w:webHidden/>
          </w:rPr>
          <w:t>10</w:t>
        </w:r>
        <w:r>
          <w:rPr>
            <w:webHidden/>
          </w:rPr>
          <w:fldChar w:fldCharType="end"/>
        </w:r>
      </w:hyperlink>
    </w:p>
    <w:p w14:paraId="28332C45" w14:textId="1A04BF26" w:rsidR="00597DA3" w:rsidRDefault="00597DA3">
      <w:pPr>
        <w:pStyle w:val="TOC1"/>
        <w:rPr>
          <w:rFonts w:asciiTheme="minorHAnsi" w:eastAsiaTheme="minorEastAsia" w:hAnsiTheme="minorHAnsi" w:cstheme="minorBidi"/>
          <w:b w:val="0"/>
          <w:spacing w:val="0"/>
          <w:kern w:val="2"/>
          <w:sz w:val="24"/>
          <w14:ligatures w14:val="standardContextual"/>
        </w:rPr>
      </w:pPr>
      <w:hyperlink w:anchor="_Toc201586032" w:history="1">
        <w:r w:rsidRPr="00785649">
          <w:rPr>
            <w:rStyle w:val="Hyperlink"/>
          </w:rPr>
          <w:t>Appendix A: List of suppressed RALIs</w:t>
        </w:r>
        <w:r>
          <w:rPr>
            <w:webHidden/>
          </w:rPr>
          <w:tab/>
        </w:r>
        <w:r>
          <w:rPr>
            <w:webHidden/>
          </w:rPr>
          <w:fldChar w:fldCharType="begin"/>
        </w:r>
        <w:r>
          <w:rPr>
            <w:webHidden/>
          </w:rPr>
          <w:instrText xml:space="preserve"> PAGEREF _Toc201586032 \h </w:instrText>
        </w:r>
        <w:r>
          <w:rPr>
            <w:webHidden/>
          </w:rPr>
        </w:r>
        <w:r>
          <w:rPr>
            <w:webHidden/>
          </w:rPr>
          <w:fldChar w:fldCharType="separate"/>
        </w:r>
        <w:r>
          <w:rPr>
            <w:webHidden/>
          </w:rPr>
          <w:t>12</w:t>
        </w:r>
        <w:r>
          <w:rPr>
            <w:webHidden/>
          </w:rPr>
          <w:fldChar w:fldCharType="end"/>
        </w:r>
      </w:hyperlink>
    </w:p>
    <w:p w14:paraId="4E36209E" w14:textId="7D0B9C27" w:rsidR="00597DA3" w:rsidRDefault="00597DA3">
      <w:pPr>
        <w:pStyle w:val="TOC1"/>
        <w:rPr>
          <w:rFonts w:asciiTheme="minorHAnsi" w:eastAsiaTheme="minorEastAsia" w:hAnsiTheme="minorHAnsi" w:cstheme="minorBidi"/>
          <w:b w:val="0"/>
          <w:spacing w:val="0"/>
          <w:kern w:val="2"/>
          <w:sz w:val="24"/>
          <w14:ligatures w14:val="standardContextual"/>
        </w:rPr>
      </w:pPr>
      <w:hyperlink w:anchor="_Toc201586033" w:history="1">
        <w:r w:rsidRPr="00785649">
          <w:rPr>
            <w:rStyle w:val="Hyperlink"/>
          </w:rPr>
          <w:t>Appendix B: List of consultation submissions</w:t>
        </w:r>
        <w:r>
          <w:rPr>
            <w:webHidden/>
          </w:rPr>
          <w:tab/>
        </w:r>
        <w:r>
          <w:rPr>
            <w:webHidden/>
          </w:rPr>
          <w:fldChar w:fldCharType="begin"/>
        </w:r>
        <w:r>
          <w:rPr>
            <w:webHidden/>
          </w:rPr>
          <w:instrText xml:space="preserve"> PAGEREF _Toc201586033 \h </w:instrText>
        </w:r>
        <w:r>
          <w:rPr>
            <w:webHidden/>
          </w:rPr>
        </w:r>
        <w:r>
          <w:rPr>
            <w:webHidden/>
          </w:rPr>
          <w:fldChar w:fldCharType="separate"/>
        </w:r>
        <w:r>
          <w:rPr>
            <w:webHidden/>
          </w:rPr>
          <w:t>13</w:t>
        </w:r>
        <w:r>
          <w:rPr>
            <w:webHidden/>
          </w:rPr>
          <w:fldChar w:fldCharType="end"/>
        </w:r>
      </w:hyperlink>
    </w:p>
    <w:p w14:paraId="0D8E272A" w14:textId="1A0BB643" w:rsidR="00597DA3" w:rsidRDefault="00597DA3">
      <w:pPr>
        <w:pStyle w:val="TOC1"/>
        <w:rPr>
          <w:rFonts w:asciiTheme="minorHAnsi" w:eastAsiaTheme="minorEastAsia" w:hAnsiTheme="minorHAnsi" w:cstheme="minorBidi"/>
          <w:b w:val="0"/>
          <w:spacing w:val="0"/>
          <w:kern w:val="2"/>
          <w:sz w:val="24"/>
          <w14:ligatures w14:val="standardContextual"/>
        </w:rPr>
      </w:pPr>
      <w:hyperlink w:anchor="_Toc201586034" w:history="1">
        <w:r w:rsidRPr="00785649">
          <w:rPr>
            <w:rStyle w:val="Hyperlink"/>
          </w:rPr>
          <w:t>Appendix C: Response to submissions</w:t>
        </w:r>
        <w:r>
          <w:rPr>
            <w:webHidden/>
          </w:rPr>
          <w:tab/>
        </w:r>
        <w:r>
          <w:rPr>
            <w:webHidden/>
          </w:rPr>
          <w:fldChar w:fldCharType="begin"/>
        </w:r>
        <w:r>
          <w:rPr>
            <w:webHidden/>
          </w:rPr>
          <w:instrText xml:space="preserve"> PAGEREF _Toc201586034 \h </w:instrText>
        </w:r>
        <w:r>
          <w:rPr>
            <w:webHidden/>
          </w:rPr>
        </w:r>
        <w:r>
          <w:rPr>
            <w:webHidden/>
          </w:rPr>
          <w:fldChar w:fldCharType="separate"/>
        </w:r>
        <w:r>
          <w:rPr>
            <w:webHidden/>
          </w:rPr>
          <w:t>14</w:t>
        </w:r>
        <w:r>
          <w:rPr>
            <w:webHidden/>
          </w:rPr>
          <w:fldChar w:fldCharType="end"/>
        </w:r>
      </w:hyperlink>
    </w:p>
    <w:p w14:paraId="2AA7E295" w14:textId="06CCEF48" w:rsidR="004D56FF" w:rsidRPr="00A17B1B" w:rsidRDefault="00DF0799">
      <w:pPr>
        <w:rPr>
          <w:rFonts w:cs="Arial"/>
        </w:rPr>
        <w:sectPr w:rsidR="004D56FF" w:rsidRPr="00A17B1B" w:rsidSect="005A62E5">
          <w:headerReference w:type="even" r:id="rId18"/>
          <w:headerReference w:type="default" r:id="rId19"/>
          <w:footerReference w:type="even" r:id="rId20"/>
          <w:footerReference w:type="default" r:id="rId21"/>
          <w:footerReference w:type="first" r:id="rId22"/>
          <w:pgSz w:w="11906" w:h="16838" w:code="9"/>
          <w:pgMar w:top="1418" w:right="1418" w:bottom="1134" w:left="1418" w:header="709" w:footer="119" w:gutter="0"/>
          <w:pgNumType w:fmt="lowerRoman" w:start="3"/>
          <w:cols w:space="708"/>
          <w:titlePg/>
          <w:docGrid w:linePitch="360"/>
        </w:sectPr>
      </w:pPr>
      <w:r w:rsidRPr="00A17B1B">
        <w:rPr>
          <w:rFonts w:cs="Arial"/>
        </w:rPr>
        <w:fldChar w:fldCharType="end"/>
      </w:r>
    </w:p>
    <w:p w14:paraId="57EE3B68" w14:textId="2F1ADDA0" w:rsidR="004B2960" w:rsidRPr="00E162C4" w:rsidRDefault="004B2960" w:rsidP="004B2960">
      <w:pPr>
        <w:pStyle w:val="Heading1"/>
      </w:pPr>
      <w:bookmarkStart w:id="0" w:name="_Toc92265082"/>
      <w:bookmarkStart w:id="1" w:name="_Toc201586006"/>
      <w:r w:rsidRPr="00E162C4">
        <w:lastRenderedPageBreak/>
        <w:t>I</w:t>
      </w:r>
      <w:r w:rsidR="00DF31D3">
        <w:t>ntroduction</w:t>
      </w:r>
      <w:bookmarkEnd w:id="0"/>
      <w:bookmarkEnd w:id="1"/>
    </w:p>
    <w:p w14:paraId="1A872D36" w14:textId="6ED85B2B" w:rsidR="00DF31D3" w:rsidRDefault="00DF31D3" w:rsidP="00DF31D3">
      <w:pPr>
        <w:pStyle w:val="Paragraphbeforelist"/>
      </w:pPr>
      <w:r>
        <w:t>We are committed to reviewing spectrum planning technical frameworks to ensure they remain current and consistent with technologies and operational practices. Broadly, this comprises 2 workstreams:</w:t>
      </w:r>
    </w:p>
    <w:p w14:paraId="4EDE2B96" w14:textId="7B9DF592" w:rsidR="00DF31D3" w:rsidRDefault="00DF31D3" w:rsidP="00DF31D3">
      <w:pPr>
        <w:pStyle w:val="Bulletlevel1"/>
      </w:pPr>
      <w:r>
        <w:t xml:space="preserve">Ensuring that frequency coordination requirements for apparatus-licensed services are current, including consideration of the continuing appropriateness of spectrum embargoes. This material is recorded in administrative policy documents referred to as RALIs – radiocommunications assignment and licensing instructions. </w:t>
      </w:r>
    </w:p>
    <w:p w14:paraId="3C3AF175" w14:textId="03369AAD" w:rsidR="00DF31D3" w:rsidRDefault="00DF31D3" w:rsidP="00DF31D3">
      <w:pPr>
        <w:pStyle w:val="Bulletlevel1last"/>
      </w:pPr>
      <w:r>
        <w:t xml:space="preserve">Consideration of spectrum licence technical frameworks – our current work program for review of spectrum licence technical frameworks is available on the </w:t>
      </w:r>
      <w:hyperlink r:id="rId23" w:history="1">
        <w:r w:rsidRPr="00DF31D3">
          <w:rPr>
            <w:rStyle w:val="Hyperlink"/>
          </w:rPr>
          <w:t>ACMA website</w:t>
        </w:r>
      </w:hyperlink>
      <w:r>
        <w:t xml:space="preserve">. These reviews are outside the scope of this document.    </w:t>
      </w:r>
    </w:p>
    <w:p w14:paraId="3C4DF8C9" w14:textId="5F686D8B" w:rsidR="00DF31D3" w:rsidRDefault="00DF31D3" w:rsidP="00DF31D3">
      <w:pPr>
        <w:pStyle w:val="Paragraph"/>
      </w:pPr>
      <w:r>
        <w:t xml:space="preserve">The role of our spectrum planning framework is discussed further in the </w:t>
      </w:r>
      <w:hyperlink r:id="rId24" w:history="1">
        <w:r w:rsidRPr="00DF31D3">
          <w:rPr>
            <w:rStyle w:val="Hyperlink"/>
            <w:i/>
            <w:iCs/>
          </w:rPr>
          <w:t>Spectrum planning framework: Information paper</w:t>
        </w:r>
      </w:hyperlink>
      <w:r>
        <w:t>.</w:t>
      </w:r>
    </w:p>
    <w:p w14:paraId="4A098F31" w14:textId="4F0DD2F4" w:rsidR="00DF31D3" w:rsidRDefault="00DF31D3" w:rsidP="00DF31D3">
      <w:pPr>
        <w:pStyle w:val="Paragraph"/>
      </w:pPr>
      <w:r>
        <w:t xml:space="preserve">This document sets out the next set of planned RALI reviews, and follows on from our </w:t>
      </w:r>
      <w:hyperlink r:id="rId25" w:history="1">
        <w:r w:rsidRPr="00DF31D3">
          <w:rPr>
            <w:rStyle w:val="Hyperlink"/>
          </w:rPr>
          <w:t>RALI review work program for 2023–24</w:t>
        </w:r>
      </w:hyperlink>
      <w:r>
        <w:t xml:space="preserve">. It outlines our proposed work program for reviewing frequency coordination requirements over the coming 12–18 months. </w:t>
      </w:r>
    </w:p>
    <w:p w14:paraId="6BC721DD" w14:textId="77777777" w:rsidR="00DF31D3" w:rsidRDefault="00DF31D3" w:rsidP="00DF31D3">
      <w:pPr>
        <w:pStyle w:val="Paragraph"/>
      </w:pPr>
      <w:r>
        <w:t>This document also provides an update on progress against the previous work program, including a list of planning documents that have been suppressed (contained in Appendix A). We will aim to update this review work program regularly – ideally, on an annual basis, to provide ongoing transparency for stakeholders.</w:t>
      </w:r>
    </w:p>
    <w:p w14:paraId="10630D66" w14:textId="3F06EC6A" w:rsidR="00DF41D8" w:rsidRDefault="00DF41D8" w:rsidP="00DF31D3">
      <w:pPr>
        <w:pStyle w:val="Paragraph"/>
      </w:pPr>
      <w:r w:rsidRPr="00DF41D8">
        <w:t xml:space="preserve">We consulted on this work program in </w:t>
      </w:r>
      <w:r>
        <w:t>February</w:t>
      </w:r>
      <w:r w:rsidRPr="00DF41D8">
        <w:t>/</w:t>
      </w:r>
      <w:r>
        <w:t>March 2025</w:t>
      </w:r>
      <w:r w:rsidRPr="00DF41D8">
        <w:t xml:space="preserve">, with </w:t>
      </w:r>
      <w:r>
        <w:t>8</w:t>
      </w:r>
      <w:r w:rsidRPr="00DF41D8">
        <w:t xml:space="preserve"> responses received (listed in Appendix </w:t>
      </w:r>
      <w:r>
        <w:t>B</w:t>
      </w:r>
      <w:r w:rsidRPr="00DF41D8">
        <w:t xml:space="preserve">). </w:t>
      </w:r>
      <w:r>
        <w:t xml:space="preserve">A </w:t>
      </w:r>
      <w:r w:rsidR="00A32ABE">
        <w:t>‘s</w:t>
      </w:r>
      <w:r>
        <w:t xml:space="preserve">pectrum </w:t>
      </w:r>
      <w:r w:rsidR="00A32ABE">
        <w:t>t</w:t>
      </w:r>
      <w:r>
        <w:t>une-</w:t>
      </w:r>
      <w:r w:rsidR="00A32ABE">
        <w:t>u</w:t>
      </w:r>
      <w:r>
        <w:t>p</w:t>
      </w:r>
      <w:r w:rsidR="00A32ABE">
        <w:t>’</w:t>
      </w:r>
      <w:r>
        <w:t xml:space="preserve"> </w:t>
      </w:r>
      <w:r w:rsidR="00A32ABE">
        <w:t xml:space="preserve">event </w:t>
      </w:r>
      <w:r>
        <w:t xml:space="preserve">was also held on </w:t>
      </w:r>
      <w:r w:rsidR="00166988">
        <w:t xml:space="preserve">5 March 2025 </w:t>
      </w:r>
      <w:r w:rsidR="00166988" w:rsidRPr="00166988">
        <w:t xml:space="preserve">to discuss how the current frameworks operate and provide </w:t>
      </w:r>
      <w:r w:rsidR="00166988">
        <w:t xml:space="preserve">an opportunity for industry to contribute </w:t>
      </w:r>
      <w:r w:rsidR="00166988" w:rsidRPr="00166988">
        <w:t>feedback on potential improvements to our spectrum planning framework</w:t>
      </w:r>
      <w:r w:rsidR="00397880">
        <w:t>.</w:t>
      </w:r>
      <w:r w:rsidR="00166988" w:rsidRPr="00166988">
        <w:t xml:space="preserve"> </w:t>
      </w:r>
      <w:r w:rsidR="00397880">
        <w:t xml:space="preserve">A </w:t>
      </w:r>
      <w:r w:rsidRPr="00DF41D8">
        <w:t xml:space="preserve">summary and response to submissions is provided in Appendix </w:t>
      </w:r>
      <w:r>
        <w:t>C</w:t>
      </w:r>
      <w:r w:rsidRPr="00DF41D8">
        <w:t>.</w:t>
      </w:r>
    </w:p>
    <w:p w14:paraId="6969F805" w14:textId="516B1E09" w:rsidR="004B2960" w:rsidRPr="00E162C4" w:rsidRDefault="00DF31D3" w:rsidP="00DF31D3">
      <w:pPr>
        <w:pStyle w:val="Paragraph"/>
      </w:pPr>
      <w:r>
        <w:t>The review work program included in this document will guide us in undertaking this work. Importantly, in all cases, any proposed changes will be subject to further consultation. The timeframes provided are an indication of when we intend to undertake this work. However, exact timings will be influenced by broader priorities and any issues identified during the consultation and review process.</w:t>
      </w:r>
    </w:p>
    <w:p w14:paraId="7D621340" w14:textId="13A19F92" w:rsidR="005E250B" w:rsidRPr="00A17B1B" w:rsidRDefault="00DF31D3" w:rsidP="005E250B">
      <w:pPr>
        <w:pStyle w:val="Heading1"/>
      </w:pPr>
      <w:bookmarkStart w:id="2" w:name="_Toc201586007"/>
      <w:r>
        <w:lastRenderedPageBreak/>
        <w:t>P</w:t>
      </w:r>
      <w:r w:rsidRPr="00DF31D3">
        <w:t>rogram of review for 2025–26</w:t>
      </w:r>
      <w:bookmarkEnd w:id="2"/>
    </w:p>
    <w:p w14:paraId="09609E34" w14:textId="77777777" w:rsidR="00DF31D3" w:rsidRPr="005559D8" w:rsidRDefault="00DF31D3" w:rsidP="00DF31D3">
      <w:pPr>
        <w:pStyle w:val="Paragraph"/>
        <w:rPr>
          <w:szCs w:val="22"/>
        </w:rPr>
      </w:pPr>
      <w:bookmarkStart w:id="3" w:name="_Hlk68187456"/>
      <w:bookmarkStart w:id="4" w:name="_Hlk26868779"/>
      <w:bookmarkStart w:id="5" w:name="_Hlk26868934"/>
      <w:r w:rsidRPr="005559D8">
        <w:rPr>
          <w:szCs w:val="22"/>
        </w:rPr>
        <w:t>Table 1 sets out the program of work that we intend to undertake to update our suite of frequency assignment and coordination rules</w:t>
      </w:r>
      <w:bookmarkEnd w:id="3"/>
      <w:r w:rsidRPr="005559D8">
        <w:rPr>
          <w:szCs w:val="22"/>
        </w:rPr>
        <w:t xml:space="preserve">. For completeness, it includes activities already identified in the </w:t>
      </w:r>
      <w:hyperlink r:id="rId26" w:history="1">
        <w:r w:rsidRPr="005559D8">
          <w:rPr>
            <w:rStyle w:val="Hyperlink"/>
            <w:szCs w:val="22"/>
          </w:rPr>
          <w:t>Five-year spectrum outlook</w:t>
        </w:r>
      </w:hyperlink>
      <w:r w:rsidRPr="005559D8">
        <w:rPr>
          <w:szCs w:val="22"/>
        </w:rPr>
        <w:t xml:space="preserve"> (FYSO). </w:t>
      </w:r>
    </w:p>
    <w:p w14:paraId="5AA1F29A" w14:textId="77777777" w:rsidR="00DF31D3" w:rsidRPr="005559D8" w:rsidRDefault="00DF31D3" w:rsidP="00DF31D3">
      <w:pPr>
        <w:pStyle w:val="Paragraph"/>
        <w:rPr>
          <w:szCs w:val="22"/>
        </w:rPr>
      </w:pPr>
      <w:r w:rsidRPr="005559D8">
        <w:rPr>
          <w:szCs w:val="22"/>
        </w:rPr>
        <w:t xml:space="preserve">There are currently 26 documents, primarily RALIs, that contain frequency assignment and coordination instructions. Other RALIs that do not contain assignment and coordination instructions – for example, RALIs containing administrative band plans – are outside the scope of this review. </w:t>
      </w:r>
    </w:p>
    <w:p w14:paraId="11E4E340" w14:textId="29409E8B" w:rsidR="00DF31D3" w:rsidRDefault="00DF31D3" w:rsidP="00DF31D3">
      <w:pPr>
        <w:pStyle w:val="Paragraph"/>
      </w:pPr>
      <w:r w:rsidRPr="005559D8">
        <w:rPr>
          <w:szCs w:val="22"/>
        </w:rPr>
        <w:t>The proposed review timetable is listed in Table 1 below, including whether items are currently flagged for revision. The proposed revisions are discussed further below.</w:t>
      </w:r>
      <w:r w:rsidR="00B36964">
        <w:rPr>
          <w:szCs w:val="22"/>
        </w:rPr>
        <w:t xml:space="preserve"> Note that this work program was developed in </w:t>
      </w:r>
      <w:r w:rsidR="002E1603">
        <w:rPr>
          <w:szCs w:val="22"/>
        </w:rPr>
        <w:t>February</w:t>
      </w:r>
      <w:r w:rsidR="00B36964">
        <w:rPr>
          <w:szCs w:val="22"/>
        </w:rPr>
        <w:t xml:space="preserve"> 2025 and some work has been completed between the development of the draft work program and the release of the final work program</w:t>
      </w:r>
      <w:r w:rsidR="002E1603">
        <w:rPr>
          <w:szCs w:val="22"/>
        </w:rPr>
        <w:t xml:space="preserve"> in July 2025</w:t>
      </w:r>
      <w:r w:rsidR="00B36964">
        <w:rPr>
          <w:szCs w:val="22"/>
        </w:rPr>
        <w:t>. Where a work item has been completed</w:t>
      </w:r>
      <w:r w:rsidR="00DF41D8">
        <w:rPr>
          <w:szCs w:val="22"/>
        </w:rPr>
        <w:t xml:space="preserve"> between the release of the draft and final work program</w:t>
      </w:r>
      <w:r w:rsidR="00B36964">
        <w:rPr>
          <w:szCs w:val="22"/>
        </w:rPr>
        <w:t xml:space="preserve">, it is noted in Appendix C. </w:t>
      </w:r>
    </w:p>
    <w:p w14:paraId="3781698D" w14:textId="6619FD88" w:rsidR="00DF31D3" w:rsidRPr="005559D8" w:rsidRDefault="00DF31D3" w:rsidP="00DF31D3">
      <w:pPr>
        <w:pStyle w:val="Paragraph"/>
        <w:rPr>
          <w:szCs w:val="22"/>
        </w:rPr>
      </w:pPr>
      <w:r w:rsidRPr="005559D8">
        <w:rPr>
          <w:szCs w:val="22"/>
        </w:rPr>
        <w:t>While RALI MS03</w:t>
      </w:r>
      <w:r>
        <w:rPr>
          <w:szCs w:val="22"/>
        </w:rPr>
        <w:t>:</w:t>
      </w:r>
      <w:r w:rsidRPr="005559D8">
        <w:rPr>
          <w:szCs w:val="22"/>
        </w:rPr>
        <w:t xml:space="preserve"> Spectrum Embargoes is not included in Table 1, as part of our normal work we will review this document across the next 12</w:t>
      </w:r>
      <w:r>
        <w:rPr>
          <w:szCs w:val="22"/>
        </w:rPr>
        <w:t>–</w:t>
      </w:r>
      <w:r w:rsidRPr="005559D8">
        <w:rPr>
          <w:szCs w:val="22"/>
        </w:rPr>
        <w:t xml:space="preserve">18 months to ensure embargoes are still required and fit-for-purpose. </w:t>
      </w:r>
    </w:p>
    <w:p w14:paraId="756B52C5" w14:textId="77777777" w:rsidR="00DF31D3" w:rsidRDefault="00DF31D3" w:rsidP="00DF31D3">
      <w:pPr>
        <w:pStyle w:val="Heading2"/>
      </w:pPr>
      <w:bookmarkStart w:id="6" w:name="_Toc146800152"/>
      <w:bookmarkStart w:id="7" w:name="_Toc187234558"/>
      <w:bookmarkStart w:id="8" w:name="_Toc201586009"/>
      <w:r>
        <w:t>Regulator Performance Guide</w:t>
      </w:r>
      <w:bookmarkEnd w:id="6"/>
      <w:bookmarkEnd w:id="7"/>
      <w:bookmarkEnd w:id="8"/>
    </w:p>
    <w:p w14:paraId="31534295" w14:textId="77777777" w:rsidR="00DF31D3" w:rsidRPr="005559D8" w:rsidRDefault="00DF31D3" w:rsidP="00DF31D3">
      <w:pPr>
        <w:pStyle w:val="Paragraphbeforelist"/>
      </w:pPr>
      <w:r w:rsidRPr="005559D8">
        <w:t xml:space="preserve">The </w:t>
      </w:r>
      <w:hyperlink r:id="rId27" w:history="1">
        <w:r w:rsidRPr="005559D8">
          <w:rPr>
            <w:rStyle w:val="Hyperlink"/>
            <w:szCs w:val="22"/>
          </w:rPr>
          <w:t>Regulator Performance Guide</w:t>
        </w:r>
      </w:hyperlink>
      <w:r w:rsidRPr="005559D8">
        <w:t xml:space="preserve"> outlines the </w:t>
      </w:r>
      <w:r w:rsidRPr="00DF31D3">
        <w:t>principles</w:t>
      </w:r>
      <w:r w:rsidRPr="005559D8">
        <w:t xml:space="preserve"> of best practice that underpin the government’s expectations of regulators. The principles are:</w:t>
      </w:r>
    </w:p>
    <w:p w14:paraId="622E2113" w14:textId="77777777" w:rsidR="00DF31D3" w:rsidRPr="005559D8" w:rsidRDefault="00DF31D3" w:rsidP="00DF31D3">
      <w:pPr>
        <w:pStyle w:val="Bulletlevel1"/>
      </w:pPr>
      <w:r w:rsidRPr="005559D8">
        <w:rPr>
          <w:b/>
          <w:bCs/>
        </w:rPr>
        <w:t>Continuous improvement and building trust</w:t>
      </w:r>
      <w:r w:rsidRPr="005559D8">
        <w:t xml:space="preserve"> – regulators </w:t>
      </w:r>
      <w:r w:rsidRPr="00DF31D3">
        <w:t>adopt</w:t>
      </w:r>
      <w:r w:rsidRPr="005559D8">
        <w:t xml:space="preserve"> a whole-of-system perspective, continuously improving their performance, capability and culture to build trust and confidence in Australia’s regulatory settings.</w:t>
      </w:r>
    </w:p>
    <w:p w14:paraId="1EB7B2AA" w14:textId="77777777" w:rsidR="00DF31D3" w:rsidRPr="005559D8" w:rsidRDefault="00DF31D3" w:rsidP="00DF31D3">
      <w:pPr>
        <w:pStyle w:val="Bulletlevel1"/>
      </w:pPr>
      <w:r w:rsidRPr="005559D8">
        <w:rPr>
          <w:b/>
          <w:bCs/>
        </w:rPr>
        <w:t>Risk-based and data-driven</w:t>
      </w:r>
      <w:r w:rsidRPr="005559D8">
        <w:t xml:space="preserve"> – regulators manage risks </w:t>
      </w:r>
      <w:r w:rsidRPr="00DF31D3">
        <w:t>proportionately</w:t>
      </w:r>
      <w:r w:rsidRPr="005559D8">
        <w:t xml:space="preserve"> and maintain essential safeguards</w:t>
      </w:r>
      <w:r>
        <w:t>,</w:t>
      </w:r>
      <w:r w:rsidRPr="005559D8">
        <w:t xml:space="preserve"> while minimising regulatory burden and leveraging data and digital technology to support those they regulate to comply and grow.</w:t>
      </w:r>
    </w:p>
    <w:p w14:paraId="084DF8A8" w14:textId="77777777" w:rsidR="00DF31D3" w:rsidRPr="005559D8" w:rsidRDefault="00DF31D3" w:rsidP="00DF31D3">
      <w:pPr>
        <w:pStyle w:val="Bulletlevel1last"/>
      </w:pPr>
      <w:r w:rsidRPr="005559D8">
        <w:rPr>
          <w:b/>
          <w:bCs/>
        </w:rPr>
        <w:t>Collaboration and engagement</w:t>
      </w:r>
      <w:r w:rsidRPr="005559D8">
        <w:t xml:space="preserve"> – regulators are transparent and responsive communicators, implementing regulations in a modern and collaborative way.</w:t>
      </w:r>
    </w:p>
    <w:p w14:paraId="3248F0CA" w14:textId="77777777" w:rsidR="00DF31D3" w:rsidRDefault="00DF31D3" w:rsidP="00DF31D3">
      <w:pPr>
        <w:pStyle w:val="Paragraph"/>
        <w:rPr>
          <w:szCs w:val="22"/>
        </w:rPr>
      </w:pPr>
      <w:r w:rsidRPr="005559D8">
        <w:rPr>
          <w:szCs w:val="22"/>
        </w:rPr>
        <w:t>We will look to identify opportunities to improve our suite of frequency assignment and coordination documents as part of this review, in collaboration with stakeholders. The improved frameworks will support ongoing industry innovation, including by facilitating the adoption of the latest technologies.</w:t>
      </w:r>
    </w:p>
    <w:p w14:paraId="052267BE" w14:textId="77777777" w:rsidR="00DF31D3" w:rsidRPr="00DF31D3" w:rsidRDefault="00DF31D3" w:rsidP="00DF31D3">
      <w:pPr>
        <w:pStyle w:val="Tableheading"/>
      </w:pPr>
      <w:proofErr w:type="gramStart"/>
      <w:r w:rsidRPr="00DF31D3">
        <w:lastRenderedPageBreak/>
        <w:t>Current status</w:t>
      </w:r>
      <w:proofErr w:type="gramEnd"/>
      <w:r w:rsidRPr="00DF31D3">
        <w:t xml:space="preserve"> of frequency assignment and coordination documents</w:t>
      </w:r>
    </w:p>
    <w:tbl>
      <w:tblPr>
        <w:tblStyle w:val="ACMAtablestyle"/>
        <w:tblW w:w="8075" w:type="dxa"/>
        <w:tblLayout w:type="fixed"/>
        <w:tblLook w:val="01E0" w:firstRow="1" w:lastRow="1" w:firstColumn="1" w:lastColumn="1" w:noHBand="0" w:noVBand="0"/>
        <w:tblCaption w:val="Table title to go here"/>
        <w:tblDescription w:val="Table description to go here"/>
      </w:tblPr>
      <w:tblGrid>
        <w:gridCol w:w="1271"/>
        <w:gridCol w:w="2766"/>
        <w:gridCol w:w="1628"/>
        <w:gridCol w:w="2410"/>
      </w:tblGrid>
      <w:tr w:rsidR="00DF31D3" w:rsidRPr="006D46E5" w14:paraId="2761A5D8" w14:textId="77777777" w:rsidTr="00DF31D3">
        <w:trPr>
          <w:cnfStyle w:val="100000000000" w:firstRow="1" w:lastRow="0" w:firstColumn="0" w:lastColumn="0" w:oddVBand="0" w:evenVBand="0" w:oddHBand="0" w:evenHBand="0" w:firstRowFirstColumn="0" w:firstRowLastColumn="0" w:lastRowFirstColumn="0" w:lastRowLastColumn="0"/>
          <w:cantSplit/>
        </w:trPr>
        <w:tc>
          <w:tcPr>
            <w:tcW w:w="1271" w:type="dxa"/>
          </w:tcPr>
          <w:p w14:paraId="13F2848C" w14:textId="77777777" w:rsidR="00DF31D3" w:rsidRPr="00930510" w:rsidRDefault="00DF31D3" w:rsidP="004F42C1">
            <w:pPr>
              <w:pStyle w:val="Tableheaderrow"/>
            </w:pPr>
            <w:bookmarkStart w:id="9" w:name="_Hlk137107400"/>
            <w:r>
              <w:t>Identifier</w:t>
            </w:r>
          </w:p>
        </w:tc>
        <w:tc>
          <w:tcPr>
            <w:tcW w:w="2766" w:type="dxa"/>
          </w:tcPr>
          <w:p w14:paraId="59D39BE4" w14:textId="77777777" w:rsidR="00DF31D3" w:rsidRPr="00930510" w:rsidRDefault="00DF31D3" w:rsidP="004F42C1">
            <w:pPr>
              <w:pStyle w:val="Tableheaderrow"/>
            </w:pPr>
            <w:r>
              <w:t>Title</w:t>
            </w:r>
          </w:p>
        </w:tc>
        <w:tc>
          <w:tcPr>
            <w:tcW w:w="1628" w:type="dxa"/>
          </w:tcPr>
          <w:p w14:paraId="26105A0A" w14:textId="77777777" w:rsidR="00DF31D3" w:rsidRDefault="00DF31D3" w:rsidP="004F42C1">
            <w:pPr>
              <w:pStyle w:val="Tableheaderrow"/>
            </w:pPr>
            <w:r>
              <w:t>Review required?</w:t>
            </w:r>
          </w:p>
        </w:tc>
        <w:tc>
          <w:tcPr>
            <w:tcW w:w="2410" w:type="dxa"/>
          </w:tcPr>
          <w:p w14:paraId="5C5AEDCD" w14:textId="77777777" w:rsidR="00DF31D3" w:rsidRPr="00930510" w:rsidRDefault="00DF31D3" w:rsidP="004F42C1">
            <w:pPr>
              <w:pStyle w:val="Tableheaderrow"/>
            </w:pPr>
            <w:r>
              <w:t>Expected timeframe for undertaking revision</w:t>
            </w:r>
          </w:p>
        </w:tc>
      </w:tr>
      <w:tr w:rsidR="00DF31D3" w:rsidRPr="006D46E5" w14:paraId="27CD3A0C" w14:textId="77777777" w:rsidTr="00DF31D3">
        <w:trPr>
          <w:cnfStyle w:val="000000100000" w:firstRow="0" w:lastRow="0" w:firstColumn="0" w:lastColumn="0" w:oddVBand="0" w:evenVBand="0" w:oddHBand="1" w:evenHBand="0" w:firstRowFirstColumn="0" w:firstRowLastColumn="0" w:lastRowFirstColumn="0" w:lastRowLastColumn="0"/>
          <w:cantSplit/>
        </w:trPr>
        <w:tc>
          <w:tcPr>
            <w:tcW w:w="1271" w:type="dxa"/>
          </w:tcPr>
          <w:p w14:paraId="6824172C" w14:textId="77777777" w:rsidR="00DF31D3" w:rsidRPr="00930510" w:rsidRDefault="00DF31D3" w:rsidP="004F42C1">
            <w:pPr>
              <w:pStyle w:val="TableBody"/>
            </w:pPr>
            <w:r w:rsidRPr="00600DC3">
              <w:t>FX01</w:t>
            </w:r>
          </w:p>
        </w:tc>
        <w:tc>
          <w:tcPr>
            <w:tcW w:w="2766" w:type="dxa"/>
          </w:tcPr>
          <w:p w14:paraId="4B99ECAB" w14:textId="47D3A5C9" w:rsidR="00DF31D3" w:rsidRPr="00930510" w:rsidRDefault="00DF31D3" w:rsidP="004F42C1">
            <w:pPr>
              <w:pStyle w:val="TableBody"/>
            </w:pPr>
            <w:r w:rsidRPr="00600DC3">
              <w:t>Frequency assignment requirements for narrowband fixed and mobile services with wideband fixed services in the 403–420 MHz band</w:t>
            </w:r>
            <w:r>
              <w:t>.</w:t>
            </w:r>
          </w:p>
        </w:tc>
        <w:tc>
          <w:tcPr>
            <w:tcW w:w="1628" w:type="dxa"/>
          </w:tcPr>
          <w:p w14:paraId="6B19355C" w14:textId="77777777" w:rsidR="00DF31D3" w:rsidRDefault="00DF31D3" w:rsidP="004F42C1">
            <w:pPr>
              <w:pStyle w:val="TableBody"/>
            </w:pPr>
            <w:r>
              <w:t>No</w:t>
            </w:r>
          </w:p>
        </w:tc>
        <w:tc>
          <w:tcPr>
            <w:tcW w:w="2410" w:type="dxa"/>
          </w:tcPr>
          <w:p w14:paraId="4120F113" w14:textId="77777777" w:rsidR="00DF31D3" w:rsidRPr="00930510" w:rsidRDefault="00DF31D3" w:rsidP="004F42C1">
            <w:pPr>
              <w:pStyle w:val="TableBody"/>
            </w:pPr>
            <w:r>
              <w:t>–</w:t>
            </w:r>
          </w:p>
        </w:tc>
      </w:tr>
      <w:tr w:rsidR="00DF31D3" w:rsidRPr="006D46E5" w14:paraId="03F7A318" w14:textId="77777777" w:rsidTr="00DF31D3">
        <w:trPr>
          <w:cnfStyle w:val="000000010000" w:firstRow="0" w:lastRow="0" w:firstColumn="0" w:lastColumn="0" w:oddVBand="0" w:evenVBand="0" w:oddHBand="0" w:evenHBand="1" w:firstRowFirstColumn="0" w:firstRowLastColumn="0" w:lastRowFirstColumn="0" w:lastRowLastColumn="0"/>
          <w:cantSplit/>
        </w:trPr>
        <w:tc>
          <w:tcPr>
            <w:tcW w:w="1271" w:type="dxa"/>
          </w:tcPr>
          <w:p w14:paraId="0738B787" w14:textId="77777777" w:rsidR="00DF31D3" w:rsidRPr="001D7778" w:rsidRDefault="00DF31D3" w:rsidP="004F42C1">
            <w:pPr>
              <w:pStyle w:val="TableBody"/>
            </w:pPr>
            <w:r w:rsidRPr="001D7778">
              <w:t>FX03</w:t>
            </w:r>
          </w:p>
        </w:tc>
        <w:tc>
          <w:tcPr>
            <w:tcW w:w="2766" w:type="dxa"/>
          </w:tcPr>
          <w:p w14:paraId="25E56F5D" w14:textId="77777777" w:rsidR="00DF31D3" w:rsidRPr="001D7778" w:rsidRDefault="00DF31D3" w:rsidP="004F42C1">
            <w:pPr>
              <w:pStyle w:val="TableBody"/>
            </w:pPr>
            <w:r w:rsidRPr="001D7778">
              <w:t xml:space="preserve">Microwave fixed services frequency coordination including information </w:t>
            </w:r>
            <w:r w:rsidRPr="001D7778">
              <w:br/>
              <w:t>on RPE data files</w:t>
            </w:r>
            <w:r>
              <w:t>.</w:t>
            </w:r>
          </w:p>
        </w:tc>
        <w:tc>
          <w:tcPr>
            <w:tcW w:w="1628" w:type="dxa"/>
          </w:tcPr>
          <w:p w14:paraId="6DEE1AE6" w14:textId="77777777" w:rsidR="00DF31D3" w:rsidRPr="001D7778" w:rsidRDefault="00DF31D3" w:rsidP="004F42C1">
            <w:pPr>
              <w:pStyle w:val="TableBody"/>
            </w:pPr>
            <w:r w:rsidRPr="001D7778">
              <w:t>Yes</w:t>
            </w:r>
          </w:p>
        </w:tc>
        <w:tc>
          <w:tcPr>
            <w:tcW w:w="2410" w:type="dxa"/>
          </w:tcPr>
          <w:p w14:paraId="628ADAC5" w14:textId="4A2543A7" w:rsidR="00DF31D3" w:rsidRPr="001D7778" w:rsidRDefault="00DF31D3" w:rsidP="004F42C1">
            <w:pPr>
              <w:pStyle w:val="TableBody"/>
            </w:pPr>
            <w:r w:rsidRPr="001D7778">
              <w:t>Q</w:t>
            </w:r>
            <w:r>
              <w:t>1</w:t>
            </w:r>
            <w:r w:rsidRPr="001D7778">
              <w:t>–Q</w:t>
            </w:r>
            <w:r w:rsidR="008A26F1">
              <w:t>4</w:t>
            </w:r>
            <w:r w:rsidRPr="001D7778">
              <w:t xml:space="preserve"> 2025</w:t>
            </w:r>
          </w:p>
        </w:tc>
      </w:tr>
      <w:tr w:rsidR="00DF31D3" w:rsidRPr="006D46E5" w14:paraId="534BA034" w14:textId="77777777" w:rsidTr="00DF31D3">
        <w:trPr>
          <w:cnfStyle w:val="000000100000" w:firstRow="0" w:lastRow="0" w:firstColumn="0" w:lastColumn="0" w:oddVBand="0" w:evenVBand="0" w:oddHBand="1" w:evenHBand="0" w:firstRowFirstColumn="0" w:firstRowLastColumn="0" w:lastRowFirstColumn="0" w:lastRowLastColumn="0"/>
          <w:cantSplit/>
        </w:trPr>
        <w:tc>
          <w:tcPr>
            <w:tcW w:w="1271" w:type="dxa"/>
          </w:tcPr>
          <w:p w14:paraId="4E3875EF" w14:textId="77777777" w:rsidR="00DF31D3" w:rsidRPr="00930510" w:rsidRDefault="00DF31D3" w:rsidP="004F42C1">
            <w:pPr>
              <w:pStyle w:val="TableBody"/>
            </w:pPr>
            <w:r w:rsidRPr="00600DC3">
              <w:t>FX16</w:t>
            </w:r>
          </w:p>
        </w:tc>
        <w:tc>
          <w:tcPr>
            <w:tcW w:w="2766" w:type="dxa"/>
          </w:tcPr>
          <w:p w14:paraId="67111DB9" w14:textId="349FEB44" w:rsidR="00DF31D3" w:rsidRPr="00930510" w:rsidRDefault="00DF31D3" w:rsidP="004F42C1">
            <w:pPr>
              <w:pStyle w:val="TableBody"/>
            </w:pPr>
            <w:r w:rsidRPr="00600DC3">
              <w:t>Point</w:t>
            </w:r>
            <w:r>
              <w:t>-</w:t>
            </w:r>
            <w:r w:rsidRPr="00600DC3">
              <w:t>to</w:t>
            </w:r>
            <w:r>
              <w:t>-</w:t>
            </w:r>
            <w:r w:rsidRPr="00600DC3">
              <w:t>multipoint fixed services in the VHF high, 400 MHz and 800</w:t>
            </w:r>
            <w:r w:rsidR="00B36964">
              <w:t> </w:t>
            </w:r>
            <w:r w:rsidRPr="00600DC3">
              <w:t>MHz bands</w:t>
            </w:r>
            <w:r>
              <w:t>.</w:t>
            </w:r>
          </w:p>
        </w:tc>
        <w:tc>
          <w:tcPr>
            <w:tcW w:w="1628" w:type="dxa"/>
          </w:tcPr>
          <w:p w14:paraId="16AE427D" w14:textId="12A133D7" w:rsidR="00DF31D3" w:rsidRDefault="0022183A" w:rsidP="004F42C1">
            <w:pPr>
              <w:pStyle w:val="TableBody"/>
            </w:pPr>
            <w:r>
              <w:t>No</w:t>
            </w:r>
          </w:p>
        </w:tc>
        <w:tc>
          <w:tcPr>
            <w:tcW w:w="2410" w:type="dxa"/>
          </w:tcPr>
          <w:p w14:paraId="363967B0" w14:textId="4D4E6E3C" w:rsidR="00DF31D3" w:rsidRDefault="00DF31D3" w:rsidP="004F42C1">
            <w:pPr>
              <w:pStyle w:val="TableBody"/>
            </w:pPr>
          </w:p>
        </w:tc>
      </w:tr>
      <w:tr w:rsidR="00DF31D3" w:rsidRPr="006D46E5" w14:paraId="4D49B3F1" w14:textId="77777777" w:rsidTr="00DF31D3">
        <w:trPr>
          <w:cnfStyle w:val="000000010000" w:firstRow="0" w:lastRow="0" w:firstColumn="0" w:lastColumn="0" w:oddVBand="0" w:evenVBand="0" w:oddHBand="0" w:evenHBand="1" w:firstRowFirstColumn="0" w:firstRowLastColumn="0" w:lastRowFirstColumn="0" w:lastRowLastColumn="0"/>
          <w:cantSplit/>
        </w:trPr>
        <w:tc>
          <w:tcPr>
            <w:tcW w:w="1271" w:type="dxa"/>
          </w:tcPr>
          <w:p w14:paraId="174DDFDB" w14:textId="77777777" w:rsidR="00DF31D3" w:rsidRPr="00930510" w:rsidRDefault="00DF31D3" w:rsidP="004F42C1">
            <w:pPr>
              <w:pStyle w:val="TableBody"/>
            </w:pPr>
            <w:r w:rsidRPr="00600DC3">
              <w:t>FX17</w:t>
            </w:r>
          </w:p>
        </w:tc>
        <w:tc>
          <w:tcPr>
            <w:tcW w:w="2766" w:type="dxa"/>
          </w:tcPr>
          <w:p w14:paraId="21919CCB" w14:textId="0639CEE8" w:rsidR="00DF31D3" w:rsidRPr="00930510" w:rsidRDefault="00DF31D3" w:rsidP="004F42C1">
            <w:pPr>
              <w:pStyle w:val="TableBody"/>
            </w:pPr>
            <w:r w:rsidRPr="00600DC3">
              <w:t xml:space="preserve">Frequency assignment requirements for narrowband single channel </w:t>
            </w:r>
            <w:r>
              <w:t>2</w:t>
            </w:r>
            <w:r w:rsidRPr="00600DC3">
              <w:t xml:space="preserve"> frequency point</w:t>
            </w:r>
            <w:r>
              <w:t>-</w:t>
            </w:r>
            <w:r w:rsidRPr="00600DC3">
              <w:t>to</w:t>
            </w:r>
            <w:r>
              <w:t>-</w:t>
            </w:r>
            <w:r w:rsidRPr="00600DC3">
              <w:t>point services in the VHF high and 400 MHz bands</w:t>
            </w:r>
            <w:r>
              <w:t>.</w:t>
            </w:r>
          </w:p>
        </w:tc>
        <w:tc>
          <w:tcPr>
            <w:tcW w:w="1628" w:type="dxa"/>
          </w:tcPr>
          <w:p w14:paraId="6A38CF1E" w14:textId="77777777" w:rsidR="00DF31D3" w:rsidRDefault="00DF31D3" w:rsidP="004F42C1">
            <w:pPr>
              <w:pStyle w:val="TableBody"/>
            </w:pPr>
            <w:r w:rsidRPr="00E20E74">
              <w:t>No</w:t>
            </w:r>
          </w:p>
        </w:tc>
        <w:tc>
          <w:tcPr>
            <w:tcW w:w="2410" w:type="dxa"/>
          </w:tcPr>
          <w:p w14:paraId="206E94A8" w14:textId="77777777" w:rsidR="00DF31D3" w:rsidRDefault="00DF31D3" w:rsidP="004F42C1">
            <w:pPr>
              <w:pStyle w:val="TableBody"/>
            </w:pPr>
            <w:r>
              <w:t>–</w:t>
            </w:r>
          </w:p>
        </w:tc>
      </w:tr>
      <w:tr w:rsidR="00DF31D3" w:rsidRPr="006D46E5" w14:paraId="13FE9016" w14:textId="77777777" w:rsidTr="00DF31D3">
        <w:trPr>
          <w:cnfStyle w:val="000000100000" w:firstRow="0" w:lastRow="0" w:firstColumn="0" w:lastColumn="0" w:oddVBand="0" w:evenVBand="0" w:oddHBand="1" w:evenHBand="0" w:firstRowFirstColumn="0" w:firstRowLastColumn="0" w:lastRowFirstColumn="0" w:lastRowLastColumn="0"/>
          <w:cantSplit/>
        </w:trPr>
        <w:tc>
          <w:tcPr>
            <w:tcW w:w="1271" w:type="dxa"/>
          </w:tcPr>
          <w:p w14:paraId="1F890642" w14:textId="77777777" w:rsidR="00DF31D3" w:rsidRPr="00930510" w:rsidRDefault="00DF31D3" w:rsidP="004F42C1">
            <w:pPr>
              <w:pStyle w:val="TableBody"/>
            </w:pPr>
            <w:r w:rsidRPr="00600DC3">
              <w:t>FX19</w:t>
            </w:r>
          </w:p>
        </w:tc>
        <w:tc>
          <w:tcPr>
            <w:tcW w:w="2766" w:type="dxa"/>
          </w:tcPr>
          <w:p w14:paraId="66C1E66B" w14:textId="2B556614" w:rsidR="00DF31D3" w:rsidRPr="00930510" w:rsidRDefault="00DF31D3" w:rsidP="004F42C1">
            <w:pPr>
              <w:pStyle w:val="TableBody"/>
            </w:pPr>
            <w:r w:rsidRPr="00600DC3">
              <w:t>Frequency coordination and licensing procedures for apparatus licensed broadband wireless access services in the 1900–1920</w:t>
            </w:r>
            <w:r>
              <w:t xml:space="preserve"> MHz</w:t>
            </w:r>
            <w:r w:rsidRPr="00600DC3">
              <w:t xml:space="preserve"> and </w:t>
            </w:r>
            <w:r>
              <w:br/>
            </w:r>
            <w:r w:rsidRPr="00600DC3">
              <w:t>3575–3700 MHz bands</w:t>
            </w:r>
            <w:r>
              <w:t>.</w:t>
            </w:r>
          </w:p>
        </w:tc>
        <w:tc>
          <w:tcPr>
            <w:tcW w:w="1628" w:type="dxa"/>
          </w:tcPr>
          <w:p w14:paraId="37B18BE9" w14:textId="54E7D74D" w:rsidR="00DF31D3" w:rsidRPr="00974C46" w:rsidRDefault="00345729" w:rsidP="004F42C1">
            <w:pPr>
              <w:pStyle w:val="TableBody"/>
              <w:rPr>
                <w:sz w:val="18"/>
                <w:szCs w:val="18"/>
                <w:highlight w:val="green"/>
              </w:rPr>
            </w:pPr>
            <w:r>
              <w:t>Yes</w:t>
            </w:r>
          </w:p>
        </w:tc>
        <w:tc>
          <w:tcPr>
            <w:tcW w:w="2410" w:type="dxa"/>
          </w:tcPr>
          <w:p w14:paraId="315138D8" w14:textId="5D3B8734" w:rsidR="00DF31D3" w:rsidRPr="00974C46" w:rsidRDefault="00345729" w:rsidP="004F42C1">
            <w:pPr>
              <w:pStyle w:val="TableBody"/>
              <w:rPr>
                <w:highlight w:val="green"/>
              </w:rPr>
            </w:pPr>
            <w:r w:rsidRPr="001D7778">
              <w:t>Q</w:t>
            </w:r>
            <w:r>
              <w:t>3</w:t>
            </w:r>
            <w:r w:rsidRPr="001D7778">
              <w:t>–Q</w:t>
            </w:r>
            <w:r>
              <w:t>4</w:t>
            </w:r>
            <w:r w:rsidRPr="001D7778">
              <w:t xml:space="preserve"> 2025</w:t>
            </w:r>
          </w:p>
        </w:tc>
      </w:tr>
      <w:bookmarkEnd w:id="9"/>
      <w:tr w:rsidR="00DF31D3" w:rsidRPr="006D46E5" w14:paraId="1D80C96D" w14:textId="77777777" w:rsidTr="00DF31D3">
        <w:trPr>
          <w:cnfStyle w:val="000000010000" w:firstRow="0" w:lastRow="0" w:firstColumn="0" w:lastColumn="0" w:oddVBand="0" w:evenVBand="0" w:oddHBand="0" w:evenHBand="1" w:firstRowFirstColumn="0" w:firstRowLastColumn="0" w:lastRowFirstColumn="0" w:lastRowLastColumn="0"/>
          <w:cantSplit/>
        </w:trPr>
        <w:tc>
          <w:tcPr>
            <w:tcW w:w="1271" w:type="dxa"/>
          </w:tcPr>
          <w:p w14:paraId="27EA58C3" w14:textId="77777777" w:rsidR="00DF31D3" w:rsidRPr="00930510" w:rsidRDefault="00DF31D3" w:rsidP="004F42C1">
            <w:pPr>
              <w:pStyle w:val="TableBody"/>
            </w:pPr>
            <w:r w:rsidRPr="00600DC3">
              <w:t>FX20</w:t>
            </w:r>
          </w:p>
        </w:tc>
        <w:tc>
          <w:tcPr>
            <w:tcW w:w="2766" w:type="dxa"/>
          </w:tcPr>
          <w:p w14:paraId="645BF03A" w14:textId="77777777" w:rsidR="00DF31D3" w:rsidRPr="00930510" w:rsidRDefault="00DF31D3" w:rsidP="004F42C1">
            <w:pPr>
              <w:pStyle w:val="TableBody"/>
            </w:pPr>
            <w:r w:rsidRPr="00600DC3">
              <w:t>Millimetre wave point</w:t>
            </w:r>
            <w:r>
              <w:t>-</w:t>
            </w:r>
            <w:r w:rsidRPr="00600DC3">
              <w:t>to</w:t>
            </w:r>
            <w:r>
              <w:t>-</w:t>
            </w:r>
            <w:r w:rsidRPr="00600DC3">
              <w:t>point (self-coordinated) stations operating in the 58</w:t>
            </w:r>
            <w:r>
              <w:t> </w:t>
            </w:r>
            <w:r w:rsidRPr="00600DC3">
              <w:t>GHz, 75 GHz and 85 GHz bands</w:t>
            </w:r>
            <w:r>
              <w:t>.</w:t>
            </w:r>
          </w:p>
        </w:tc>
        <w:tc>
          <w:tcPr>
            <w:tcW w:w="1628" w:type="dxa"/>
          </w:tcPr>
          <w:p w14:paraId="361BD489" w14:textId="77777777" w:rsidR="00DF31D3" w:rsidRDefault="00DF31D3" w:rsidP="004F42C1">
            <w:pPr>
              <w:pStyle w:val="TableBody"/>
            </w:pPr>
            <w:r>
              <w:t>Yes</w:t>
            </w:r>
          </w:p>
        </w:tc>
        <w:tc>
          <w:tcPr>
            <w:tcW w:w="2410" w:type="dxa"/>
          </w:tcPr>
          <w:p w14:paraId="64B56216" w14:textId="0CAE6118" w:rsidR="00DF31D3" w:rsidRDefault="00DF31D3" w:rsidP="004F42C1">
            <w:pPr>
              <w:pStyle w:val="TableBody"/>
            </w:pPr>
            <w:r w:rsidRPr="008C4DEE">
              <w:t>Q1</w:t>
            </w:r>
            <w:r>
              <w:t>–</w:t>
            </w:r>
            <w:r w:rsidR="008A26F1">
              <w:t>Q3</w:t>
            </w:r>
            <w:r w:rsidRPr="008C4DEE">
              <w:t xml:space="preserve"> 2025</w:t>
            </w:r>
          </w:p>
        </w:tc>
      </w:tr>
      <w:tr w:rsidR="00DF31D3" w:rsidRPr="006D46E5" w14:paraId="539EB6FB" w14:textId="77777777" w:rsidTr="00DF31D3">
        <w:trPr>
          <w:cnfStyle w:val="000000100000" w:firstRow="0" w:lastRow="0" w:firstColumn="0" w:lastColumn="0" w:oddVBand="0" w:evenVBand="0" w:oddHBand="1" w:evenHBand="0" w:firstRowFirstColumn="0" w:firstRowLastColumn="0" w:lastRowFirstColumn="0" w:lastRowLastColumn="0"/>
          <w:cantSplit/>
        </w:trPr>
        <w:tc>
          <w:tcPr>
            <w:tcW w:w="1271" w:type="dxa"/>
          </w:tcPr>
          <w:p w14:paraId="70BC0F7F" w14:textId="77777777" w:rsidR="00DF31D3" w:rsidRPr="001D7778" w:rsidRDefault="00DF31D3" w:rsidP="004F42C1">
            <w:pPr>
              <w:pStyle w:val="TableBody"/>
            </w:pPr>
            <w:r w:rsidRPr="001D7778">
              <w:t>FX21</w:t>
            </w:r>
          </w:p>
        </w:tc>
        <w:tc>
          <w:tcPr>
            <w:tcW w:w="2766" w:type="dxa"/>
          </w:tcPr>
          <w:p w14:paraId="79AB5E1D" w14:textId="77777777" w:rsidR="00DF31D3" w:rsidRPr="001D7778" w:rsidRDefault="00DF31D3" w:rsidP="004F42C1">
            <w:pPr>
              <w:pStyle w:val="TableBody"/>
            </w:pPr>
            <w:bookmarkStart w:id="10" w:name="_Hlk67655165"/>
            <w:r w:rsidRPr="001D7778">
              <w:t xml:space="preserve">Television outside broadcasting services in the 1980–2110 MHz and </w:t>
            </w:r>
            <w:r w:rsidRPr="001D7778">
              <w:br/>
              <w:t>2170–2300 MHz</w:t>
            </w:r>
            <w:bookmarkEnd w:id="10"/>
            <w:r>
              <w:t xml:space="preserve"> bands.</w:t>
            </w:r>
          </w:p>
        </w:tc>
        <w:tc>
          <w:tcPr>
            <w:tcW w:w="1628" w:type="dxa"/>
          </w:tcPr>
          <w:p w14:paraId="3E467CCA" w14:textId="77777777" w:rsidR="00DF31D3" w:rsidRPr="008D51DB" w:rsidRDefault="00DF31D3" w:rsidP="004F42C1">
            <w:pPr>
              <w:pStyle w:val="TableBody"/>
              <w:rPr>
                <w:szCs w:val="20"/>
              </w:rPr>
            </w:pPr>
            <w:r w:rsidRPr="008D51DB">
              <w:rPr>
                <w:szCs w:val="20"/>
              </w:rPr>
              <w:t>Possible consequential updates due to the introduction of 2 GHz MSS services</w:t>
            </w:r>
          </w:p>
        </w:tc>
        <w:tc>
          <w:tcPr>
            <w:tcW w:w="2410" w:type="dxa"/>
          </w:tcPr>
          <w:p w14:paraId="312E2DC5" w14:textId="77777777" w:rsidR="00DF31D3" w:rsidRPr="001D7778" w:rsidRDefault="00DF31D3" w:rsidP="004F42C1">
            <w:pPr>
              <w:pStyle w:val="TableBody"/>
            </w:pPr>
            <w:r w:rsidRPr="001D7778">
              <w:t xml:space="preserve">No earlier than </w:t>
            </w:r>
            <w:r w:rsidRPr="001D7778">
              <w:br/>
              <w:t>Q</w:t>
            </w:r>
            <w:r>
              <w:t>3</w:t>
            </w:r>
            <w:r w:rsidRPr="001D7778">
              <w:t xml:space="preserve"> 2025 </w:t>
            </w:r>
          </w:p>
        </w:tc>
      </w:tr>
      <w:tr w:rsidR="00DF31D3" w:rsidRPr="006D46E5" w14:paraId="35D21611" w14:textId="77777777" w:rsidTr="00DF31D3">
        <w:trPr>
          <w:cnfStyle w:val="000000010000" w:firstRow="0" w:lastRow="0" w:firstColumn="0" w:lastColumn="0" w:oddVBand="0" w:evenVBand="0" w:oddHBand="0" w:evenHBand="1" w:firstRowFirstColumn="0" w:firstRowLastColumn="0" w:lastRowFirstColumn="0" w:lastRowLastColumn="0"/>
          <w:cantSplit/>
        </w:trPr>
        <w:tc>
          <w:tcPr>
            <w:tcW w:w="1271" w:type="dxa"/>
          </w:tcPr>
          <w:p w14:paraId="0ADEA1EA" w14:textId="77777777" w:rsidR="00DF31D3" w:rsidRPr="00930510" w:rsidRDefault="00DF31D3" w:rsidP="004F42C1">
            <w:pPr>
              <w:pStyle w:val="TableBody"/>
            </w:pPr>
            <w:r w:rsidRPr="00600DC3">
              <w:t>FX22</w:t>
            </w:r>
          </w:p>
        </w:tc>
        <w:tc>
          <w:tcPr>
            <w:tcW w:w="2766" w:type="dxa"/>
          </w:tcPr>
          <w:p w14:paraId="19F6429C" w14:textId="77777777" w:rsidR="00DF31D3" w:rsidRPr="00930510" w:rsidRDefault="00DF31D3" w:rsidP="004F42C1">
            <w:pPr>
              <w:pStyle w:val="TableBody"/>
            </w:pPr>
            <w:bookmarkStart w:id="11" w:name="_Hlk68000890"/>
            <w:r w:rsidRPr="00600DC3">
              <w:t>Frequency assignment requirements for the fixed service in the 800 MHz band</w:t>
            </w:r>
            <w:bookmarkEnd w:id="11"/>
            <w:r>
              <w:t>.</w:t>
            </w:r>
          </w:p>
        </w:tc>
        <w:tc>
          <w:tcPr>
            <w:tcW w:w="1628" w:type="dxa"/>
          </w:tcPr>
          <w:p w14:paraId="176621C8" w14:textId="77777777" w:rsidR="00DF31D3" w:rsidRDefault="00DF31D3" w:rsidP="004F42C1">
            <w:pPr>
              <w:pStyle w:val="TableBody"/>
            </w:pPr>
            <w:r w:rsidRPr="00E20E74">
              <w:t>No</w:t>
            </w:r>
          </w:p>
        </w:tc>
        <w:tc>
          <w:tcPr>
            <w:tcW w:w="2410" w:type="dxa"/>
          </w:tcPr>
          <w:p w14:paraId="442AB798" w14:textId="77777777" w:rsidR="00DF31D3" w:rsidRPr="00974C46" w:rsidRDefault="00DF31D3" w:rsidP="004F42C1">
            <w:pPr>
              <w:pStyle w:val="TableBody"/>
              <w:rPr>
                <w:highlight w:val="green"/>
              </w:rPr>
            </w:pPr>
            <w:r>
              <w:t>–</w:t>
            </w:r>
          </w:p>
        </w:tc>
      </w:tr>
      <w:tr w:rsidR="00DF31D3" w:rsidRPr="006D46E5" w14:paraId="3EB80A60" w14:textId="77777777" w:rsidTr="00DF31D3">
        <w:trPr>
          <w:cnfStyle w:val="000000100000" w:firstRow="0" w:lastRow="0" w:firstColumn="0" w:lastColumn="0" w:oddVBand="0" w:evenVBand="0" w:oddHBand="1" w:evenHBand="0" w:firstRowFirstColumn="0" w:firstRowLastColumn="0" w:lastRowFirstColumn="0" w:lastRowLastColumn="0"/>
          <w:cantSplit/>
        </w:trPr>
        <w:tc>
          <w:tcPr>
            <w:tcW w:w="1271" w:type="dxa"/>
          </w:tcPr>
          <w:p w14:paraId="57A54777" w14:textId="77777777" w:rsidR="00DF31D3" w:rsidRPr="00930510" w:rsidRDefault="00DF31D3" w:rsidP="004F42C1">
            <w:pPr>
              <w:pStyle w:val="TableBody"/>
            </w:pPr>
            <w:r w:rsidRPr="00600DC3">
              <w:lastRenderedPageBreak/>
              <w:t>FX23</w:t>
            </w:r>
          </w:p>
        </w:tc>
        <w:tc>
          <w:tcPr>
            <w:tcW w:w="2766" w:type="dxa"/>
          </w:tcPr>
          <w:p w14:paraId="7AB39065" w14:textId="77777777" w:rsidR="00DF31D3" w:rsidRPr="00930510" w:rsidRDefault="00DF31D3" w:rsidP="004F42C1">
            <w:pPr>
              <w:pStyle w:val="TableBody"/>
            </w:pPr>
            <w:r w:rsidRPr="00600DC3">
              <w:t>Frequency coordination and licensing procedures for point</w:t>
            </w:r>
            <w:r>
              <w:t>-</w:t>
            </w:r>
            <w:r w:rsidRPr="00600DC3">
              <w:t>to</w:t>
            </w:r>
            <w:r>
              <w:t>-</w:t>
            </w:r>
            <w:r w:rsidRPr="00600DC3">
              <w:t>multipoint services in the 5.6 GHz band</w:t>
            </w:r>
            <w:r>
              <w:t>.</w:t>
            </w:r>
          </w:p>
        </w:tc>
        <w:tc>
          <w:tcPr>
            <w:tcW w:w="1628" w:type="dxa"/>
          </w:tcPr>
          <w:p w14:paraId="55B76FAC" w14:textId="77777777" w:rsidR="00DF31D3" w:rsidRDefault="00DF31D3" w:rsidP="004F42C1">
            <w:pPr>
              <w:pStyle w:val="TableBody"/>
            </w:pPr>
            <w:r w:rsidRPr="00E20E74">
              <w:t>No</w:t>
            </w:r>
          </w:p>
        </w:tc>
        <w:tc>
          <w:tcPr>
            <w:tcW w:w="2410" w:type="dxa"/>
          </w:tcPr>
          <w:p w14:paraId="7943F26C" w14:textId="77777777" w:rsidR="00DF31D3" w:rsidRPr="00974C46" w:rsidRDefault="00DF31D3" w:rsidP="004F42C1">
            <w:pPr>
              <w:pStyle w:val="TableBody"/>
              <w:rPr>
                <w:highlight w:val="green"/>
              </w:rPr>
            </w:pPr>
            <w:r>
              <w:t>–</w:t>
            </w:r>
          </w:p>
        </w:tc>
      </w:tr>
      <w:tr w:rsidR="00DF31D3" w:rsidRPr="006D46E5" w14:paraId="0F90E83D" w14:textId="77777777" w:rsidTr="00DF31D3">
        <w:trPr>
          <w:cnfStyle w:val="000000010000" w:firstRow="0" w:lastRow="0" w:firstColumn="0" w:lastColumn="0" w:oddVBand="0" w:evenVBand="0" w:oddHBand="0" w:evenHBand="1" w:firstRowFirstColumn="0" w:firstRowLastColumn="0" w:lastRowFirstColumn="0" w:lastRowLastColumn="0"/>
          <w:cantSplit/>
        </w:trPr>
        <w:tc>
          <w:tcPr>
            <w:tcW w:w="1271" w:type="dxa"/>
          </w:tcPr>
          <w:p w14:paraId="3572E981" w14:textId="77777777" w:rsidR="00DF31D3" w:rsidRPr="00930510" w:rsidRDefault="00DF31D3" w:rsidP="004F42C1">
            <w:pPr>
              <w:pStyle w:val="TableBody"/>
            </w:pPr>
            <w:r w:rsidRPr="00600DC3">
              <w:t>LM02</w:t>
            </w:r>
          </w:p>
        </w:tc>
        <w:tc>
          <w:tcPr>
            <w:tcW w:w="2766" w:type="dxa"/>
          </w:tcPr>
          <w:p w14:paraId="1474D188" w14:textId="77777777" w:rsidR="00DF31D3" w:rsidRPr="00930510" w:rsidRDefault="00DF31D3" w:rsidP="004F42C1">
            <w:pPr>
              <w:pStyle w:val="TableBody"/>
            </w:pPr>
            <w:r w:rsidRPr="00600DC3">
              <w:t>Paging services</w:t>
            </w:r>
          </w:p>
        </w:tc>
        <w:tc>
          <w:tcPr>
            <w:tcW w:w="1628" w:type="dxa"/>
          </w:tcPr>
          <w:p w14:paraId="609715D0" w14:textId="77777777" w:rsidR="00DF31D3" w:rsidRDefault="00DF31D3" w:rsidP="004F42C1">
            <w:pPr>
              <w:pStyle w:val="TableBody"/>
            </w:pPr>
            <w:r w:rsidRPr="00E20E74">
              <w:t>No</w:t>
            </w:r>
          </w:p>
        </w:tc>
        <w:tc>
          <w:tcPr>
            <w:tcW w:w="2410" w:type="dxa"/>
          </w:tcPr>
          <w:p w14:paraId="1F2CAA60" w14:textId="77777777" w:rsidR="00DF31D3" w:rsidRDefault="00DF31D3" w:rsidP="004F42C1">
            <w:pPr>
              <w:pStyle w:val="TableBody"/>
            </w:pPr>
            <w:r>
              <w:t>–</w:t>
            </w:r>
          </w:p>
        </w:tc>
      </w:tr>
      <w:tr w:rsidR="00DF31D3" w:rsidRPr="006D46E5" w14:paraId="0131C07F" w14:textId="77777777" w:rsidTr="00DF31D3">
        <w:trPr>
          <w:cnfStyle w:val="000000100000" w:firstRow="0" w:lastRow="0" w:firstColumn="0" w:lastColumn="0" w:oddVBand="0" w:evenVBand="0" w:oddHBand="1" w:evenHBand="0" w:firstRowFirstColumn="0" w:firstRowLastColumn="0" w:lastRowFirstColumn="0" w:lastRowLastColumn="0"/>
          <w:cantSplit/>
        </w:trPr>
        <w:tc>
          <w:tcPr>
            <w:tcW w:w="1271" w:type="dxa"/>
          </w:tcPr>
          <w:p w14:paraId="452A2AF3" w14:textId="77777777" w:rsidR="00DF31D3" w:rsidRPr="001D7778" w:rsidRDefault="00DF31D3" w:rsidP="004F42C1">
            <w:pPr>
              <w:pStyle w:val="TableBody"/>
            </w:pPr>
            <w:r w:rsidRPr="001D7778">
              <w:t>LM05</w:t>
            </w:r>
          </w:p>
        </w:tc>
        <w:tc>
          <w:tcPr>
            <w:tcW w:w="2766" w:type="dxa"/>
          </w:tcPr>
          <w:p w14:paraId="7DBE8E5B" w14:textId="77777777" w:rsidR="00DF31D3" w:rsidRPr="001D7778" w:rsidRDefault="00DF31D3" w:rsidP="004F42C1">
            <w:pPr>
              <w:pStyle w:val="TableBody"/>
            </w:pPr>
            <w:r w:rsidRPr="001D7778">
              <w:t>Frequency assignment procedures for land mobile services adjacent to TV channels 2, 3 and 6</w:t>
            </w:r>
            <w:r>
              <w:t>.</w:t>
            </w:r>
          </w:p>
        </w:tc>
        <w:tc>
          <w:tcPr>
            <w:tcW w:w="1628" w:type="dxa"/>
          </w:tcPr>
          <w:p w14:paraId="12683059" w14:textId="77777777" w:rsidR="00DF31D3" w:rsidRPr="001D7778" w:rsidRDefault="00DF31D3" w:rsidP="004F42C1">
            <w:pPr>
              <w:pStyle w:val="TableBody"/>
            </w:pPr>
            <w:r w:rsidRPr="001D7778">
              <w:t>Yes</w:t>
            </w:r>
          </w:p>
        </w:tc>
        <w:tc>
          <w:tcPr>
            <w:tcW w:w="2410" w:type="dxa"/>
          </w:tcPr>
          <w:p w14:paraId="42138067" w14:textId="77777777" w:rsidR="00DF31D3" w:rsidRPr="001D7778" w:rsidRDefault="00DF31D3" w:rsidP="004F42C1">
            <w:pPr>
              <w:pStyle w:val="TableBody"/>
            </w:pPr>
            <w:r>
              <w:t>Review is required but not urgent, timeframe TBD</w:t>
            </w:r>
          </w:p>
        </w:tc>
      </w:tr>
      <w:tr w:rsidR="00DF31D3" w:rsidRPr="006D46E5" w14:paraId="54BADE37" w14:textId="77777777" w:rsidTr="00DF31D3">
        <w:trPr>
          <w:cnfStyle w:val="000000010000" w:firstRow="0" w:lastRow="0" w:firstColumn="0" w:lastColumn="0" w:oddVBand="0" w:evenVBand="0" w:oddHBand="0" w:evenHBand="1" w:firstRowFirstColumn="0" w:firstRowLastColumn="0" w:lastRowFirstColumn="0" w:lastRowLastColumn="0"/>
          <w:cantSplit/>
        </w:trPr>
        <w:tc>
          <w:tcPr>
            <w:tcW w:w="1271" w:type="dxa"/>
          </w:tcPr>
          <w:p w14:paraId="6CB269C7" w14:textId="77777777" w:rsidR="00DF31D3" w:rsidRPr="001D7778" w:rsidRDefault="00DF31D3" w:rsidP="004F42C1">
            <w:pPr>
              <w:pStyle w:val="TableBody"/>
            </w:pPr>
            <w:r w:rsidRPr="001D7778">
              <w:t>LM08</w:t>
            </w:r>
          </w:p>
        </w:tc>
        <w:tc>
          <w:tcPr>
            <w:tcW w:w="2766" w:type="dxa"/>
          </w:tcPr>
          <w:p w14:paraId="1390E67E" w14:textId="77777777" w:rsidR="00DF31D3" w:rsidRPr="001D7778" w:rsidRDefault="00DF31D3" w:rsidP="004F42C1">
            <w:pPr>
              <w:pStyle w:val="TableBody"/>
            </w:pPr>
            <w:r w:rsidRPr="001D7778">
              <w:t>Frequency assignment requirements for the land mobile service</w:t>
            </w:r>
            <w:r>
              <w:t>.</w:t>
            </w:r>
          </w:p>
        </w:tc>
        <w:tc>
          <w:tcPr>
            <w:tcW w:w="1628" w:type="dxa"/>
          </w:tcPr>
          <w:p w14:paraId="38E71DB5" w14:textId="77777777" w:rsidR="00DF31D3" w:rsidRPr="001D7778" w:rsidRDefault="00DF31D3" w:rsidP="004F42C1">
            <w:pPr>
              <w:pStyle w:val="TableBody"/>
            </w:pPr>
            <w:r w:rsidRPr="001D7778">
              <w:t>Yes</w:t>
            </w:r>
          </w:p>
        </w:tc>
        <w:tc>
          <w:tcPr>
            <w:tcW w:w="2410" w:type="dxa"/>
          </w:tcPr>
          <w:p w14:paraId="156B697F" w14:textId="77777777" w:rsidR="00DF31D3" w:rsidRPr="001D7778" w:rsidRDefault="00DF31D3" w:rsidP="004F42C1">
            <w:pPr>
              <w:pStyle w:val="TableBody"/>
            </w:pPr>
            <w:r w:rsidRPr="001D7778">
              <w:t>Potential public consultation Q3 2025 at the earliest</w:t>
            </w:r>
          </w:p>
        </w:tc>
      </w:tr>
      <w:tr w:rsidR="00DF31D3" w:rsidRPr="006D46E5" w14:paraId="063ED55A" w14:textId="77777777" w:rsidTr="00DF31D3">
        <w:trPr>
          <w:cnfStyle w:val="000000100000" w:firstRow="0" w:lastRow="0" w:firstColumn="0" w:lastColumn="0" w:oddVBand="0" w:evenVBand="0" w:oddHBand="1" w:evenHBand="0" w:firstRowFirstColumn="0" w:firstRowLastColumn="0" w:lastRowFirstColumn="0" w:lastRowLastColumn="0"/>
          <w:cantSplit/>
        </w:trPr>
        <w:tc>
          <w:tcPr>
            <w:tcW w:w="1271" w:type="dxa"/>
          </w:tcPr>
          <w:p w14:paraId="1FEBBCD9" w14:textId="77777777" w:rsidR="00DF31D3" w:rsidRPr="00930510" w:rsidRDefault="00DF31D3" w:rsidP="004F42C1">
            <w:pPr>
              <w:pStyle w:val="TableBody"/>
            </w:pPr>
            <w:r w:rsidRPr="00600DC3">
              <w:t>LM09</w:t>
            </w:r>
          </w:p>
        </w:tc>
        <w:tc>
          <w:tcPr>
            <w:tcW w:w="2766" w:type="dxa"/>
          </w:tcPr>
          <w:p w14:paraId="31B894A5" w14:textId="77777777" w:rsidR="00DF31D3" w:rsidRPr="00930510" w:rsidRDefault="00DF31D3" w:rsidP="004F42C1">
            <w:pPr>
              <w:pStyle w:val="TableBody"/>
            </w:pPr>
            <w:r w:rsidRPr="00600DC3">
              <w:t>Frequency assignment procedures for apparatus licensed wireless audio devices</w:t>
            </w:r>
            <w:r>
              <w:t>.</w:t>
            </w:r>
          </w:p>
        </w:tc>
        <w:tc>
          <w:tcPr>
            <w:tcW w:w="1628" w:type="dxa"/>
          </w:tcPr>
          <w:p w14:paraId="112B402E" w14:textId="77777777" w:rsidR="00DF31D3" w:rsidRDefault="00DF31D3" w:rsidP="004F42C1">
            <w:pPr>
              <w:pStyle w:val="TableBody"/>
            </w:pPr>
            <w:r w:rsidRPr="008A4BD8">
              <w:t>No</w:t>
            </w:r>
          </w:p>
        </w:tc>
        <w:tc>
          <w:tcPr>
            <w:tcW w:w="2410" w:type="dxa"/>
          </w:tcPr>
          <w:p w14:paraId="4349EE11" w14:textId="77777777" w:rsidR="00DF31D3" w:rsidRDefault="00DF31D3" w:rsidP="004F42C1">
            <w:pPr>
              <w:pStyle w:val="TableBody"/>
            </w:pPr>
            <w:r w:rsidRPr="008A4BD8">
              <w:t> </w:t>
            </w:r>
            <w:r>
              <w:t>–</w:t>
            </w:r>
          </w:p>
        </w:tc>
      </w:tr>
      <w:tr w:rsidR="00DF31D3" w:rsidRPr="006D46E5" w14:paraId="324B5230" w14:textId="77777777" w:rsidTr="00DF31D3">
        <w:trPr>
          <w:cnfStyle w:val="000000010000" w:firstRow="0" w:lastRow="0" w:firstColumn="0" w:lastColumn="0" w:oddVBand="0" w:evenVBand="0" w:oddHBand="0" w:evenHBand="1" w:firstRowFirstColumn="0" w:firstRowLastColumn="0" w:lastRowFirstColumn="0" w:lastRowLastColumn="0"/>
          <w:cantSplit/>
        </w:trPr>
        <w:tc>
          <w:tcPr>
            <w:tcW w:w="1271" w:type="dxa"/>
          </w:tcPr>
          <w:p w14:paraId="338B82A3" w14:textId="77777777" w:rsidR="00DF31D3" w:rsidRPr="001D7778" w:rsidRDefault="00DF31D3" w:rsidP="004F42C1">
            <w:pPr>
              <w:pStyle w:val="TableBody"/>
            </w:pPr>
            <w:r w:rsidRPr="001D7778">
              <w:t>MS31</w:t>
            </w:r>
          </w:p>
        </w:tc>
        <w:tc>
          <w:tcPr>
            <w:tcW w:w="2766" w:type="dxa"/>
          </w:tcPr>
          <w:p w14:paraId="0A1F6FC0" w14:textId="77777777" w:rsidR="00DF31D3" w:rsidRPr="001D7778" w:rsidRDefault="00DF31D3" w:rsidP="004F42C1">
            <w:pPr>
              <w:pStyle w:val="TableBody"/>
            </w:pPr>
            <w:r w:rsidRPr="001D7778">
              <w:t>Notification zones for apparatus licensed services around radio astronomy facilities</w:t>
            </w:r>
            <w:r>
              <w:t>.</w:t>
            </w:r>
          </w:p>
        </w:tc>
        <w:tc>
          <w:tcPr>
            <w:tcW w:w="1628" w:type="dxa"/>
          </w:tcPr>
          <w:p w14:paraId="730EC5A1" w14:textId="77777777" w:rsidR="00DF31D3" w:rsidRPr="001D7778" w:rsidRDefault="00DF31D3" w:rsidP="004F42C1">
            <w:pPr>
              <w:pStyle w:val="TableBody"/>
            </w:pPr>
            <w:r w:rsidRPr="001D7778">
              <w:t>Yes</w:t>
            </w:r>
          </w:p>
        </w:tc>
        <w:tc>
          <w:tcPr>
            <w:tcW w:w="2410" w:type="dxa"/>
          </w:tcPr>
          <w:p w14:paraId="18C0AA20" w14:textId="18CF7BDC" w:rsidR="00DF31D3" w:rsidRPr="00227608" w:rsidRDefault="00DF31D3" w:rsidP="004F42C1">
            <w:pPr>
              <w:pStyle w:val="TableBody"/>
            </w:pPr>
            <w:r w:rsidRPr="001D7778">
              <w:t>Q1</w:t>
            </w:r>
            <w:r>
              <w:t>–</w:t>
            </w:r>
            <w:r w:rsidR="008A26F1">
              <w:t>Q3</w:t>
            </w:r>
            <w:r w:rsidRPr="001D7778">
              <w:t xml:space="preserve"> 2025</w:t>
            </w:r>
          </w:p>
        </w:tc>
      </w:tr>
      <w:tr w:rsidR="00DF31D3" w:rsidRPr="006D46E5" w14:paraId="0595E8D2" w14:textId="77777777" w:rsidTr="00DF31D3">
        <w:trPr>
          <w:cnfStyle w:val="000000100000" w:firstRow="0" w:lastRow="0" w:firstColumn="0" w:lastColumn="0" w:oddVBand="0" w:evenVBand="0" w:oddHBand="1" w:evenHBand="0" w:firstRowFirstColumn="0" w:firstRowLastColumn="0" w:lastRowFirstColumn="0" w:lastRowLastColumn="0"/>
          <w:cantSplit/>
        </w:trPr>
        <w:tc>
          <w:tcPr>
            <w:tcW w:w="1271" w:type="dxa"/>
          </w:tcPr>
          <w:p w14:paraId="0E9CB6A2" w14:textId="77777777" w:rsidR="00DF31D3" w:rsidRPr="00930510" w:rsidRDefault="00DF31D3" w:rsidP="004F42C1">
            <w:pPr>
              <w:pStyle w:val="TableBody"/>
            </w:pPr>
            <w:r w:rsidRPr="00600DC3">
              <w:t>MS32</w:t>
            </w:r>
          </w:p>
        </w:tc>
        <w:tc>
          <w:tcPr>
            <w:tcW w:w="2766" w:type="dxa"/>
          </w:tcPr>
          <w:p w14:paraId="2D172B5C" w14:textId="77777777" w:rsidR="00DF31D3" w:rsidRPr="00930510" w:rsidRDefault="00DF31D3" w:rsidP="004F42C1">
            <w:pPr>
              <w:pStyle w:val="TableBody"/>
            </w:pPr>
            <w:r w:rsidRPr="00600DC3">
              <w:t>Coordination of apparatus licensed services within the ARQZWA</w:t>
            </w:r>
            <w:r>
              <w:t>.</w:t>
            </w:r>
          </w:p>
        </w:tc>
        <w:tc>
          <w:tcPr>
            <w:tcW w:w="1628" w:type="dxa"/>
          </w:tcPr>
          <w:p w14:paraId="6CE73F56" w14:textId="77777777" w:rsidR="00DF31D3" w:rsidRDefault="00DF31D3" w:rsidP="004F42C1">
            <w:pPr>
              <w:pStyle w:val="TableBody"/>
            </w:pPr>
            <w:r w:rsidRPr="008A4BD8">
              <w:t>No</w:t>
            </w:r>
          </w:p>
        </w:tc>
        <w:tc>
          <w:tcPr>
            <w:tcW w:w="2410" w:type="dxa"/>
          </w:tcPr>
          <w:p w14:paraId="7E75BB0D" w14:textId="77777777" w:rsidR="00DF31D3" w:rsidRDefault="00DF31D3" w:rsidP="004F42C1">
            <w:pPr>
              <w:pStyle w:val="TableBody"/>
            </w:pPr>
            <w:r w:rsidRPr="008A4BD8">
              <w:t> </w:t>
            </w:r>
            <w:r>
              <w:t>–</w:t>
            </w:r>
          </w:p>
        </w:tc>
      </w:tr>
      <w:tr w:rsidR="00DF31D3" w:rsidRPr="006D46E5" w14:paraId="627F0C2D" w14:textId="77777777" w:rsidTr="00DF31D3">
        <w:trPr>
          <w:cnfStyle w:val="000000010000" w:firstRow="0" w:lastRow="0" w:firstColumn="0" w:lastColumn="0" w:oddVBand="0" w:evenVBand="0" w:oddHBand="0" w:evenHBand="1" w:firstRowFirstColumn="0" w:firstRowLastColumn="0" w:lastRowFirstColumn="0" w:lastRowLastColumn="0"/>
          <w:cantSplit/>
        </w:trPr>
        <w:tc>
          <w:tcPr>
            <w:tcW w:w="1271" w:type="dxa"/>
          </w:tcPr>
          <w:p w14:paraId="631186F2" w14:textId="77777777" w:rsidR="00DF31D3" w:rsidRPr="00930510" w:rsidRDefault="00DF31D3" w:rsidP="004F42C1">
            <w:pPr>
              <w:pStyle w:val="TableBody"/>
            </w:pPr>
            <w:r w:rsidRPr="00600DC3">
              <w:t>MS33</w:t>
            </w:r>
          </w:p>
        </w:tc>
        <w:tc>
          <w:tcPr>
            <w:tcW w:w="2766" w:type="dxa"/>
          </w:tcPr>
          <w:p w14:paraId="3272D6C5" w14:textId="77777777" w:rsidR="00DF31D3" w:rsidRPr="00930510" w:rsidRDefault="00DF31D3" w:rsidP="004F42C1">
            <w:pPr>
              <w:pStyle w:val="TableBody"/>
            </w:pPr>
            <w:bookmarkStart w:id="12" w:name="_Hlk67656680"/>
            <w:r w:rsidRPr="00600DC3">
              <w:t>Frequency coordination and licensing procedures for apparatus licensed PTS in the</w:t>
            </w:r>
            <w:r>
              <w:t xml:space="preserve"> </w:t>
            </w:r>
            <w:r w:rsidRPr="00600DC3">
              <w:t>2</w:t>
            </w:r>
            <w:r>
              <w:t xml:space="preserve"> </w:t>
            </w:r>
            <w:r w:rsidRPr="00600DC3">
              <w:t>GHz band</w:t>
            </w:r>
            <w:bookmarkEnd w:id="12"/>
            <w:r>
              <w:t>.</w:t>
            </w:r>
          </w:p>
        </w:tc>
        <w:tc>
          <w:tcPr>
            <w:tcW w:w="1628" w:type="dxa"/>
          </w:tcPr>
          <w:p w14:paraId="7AA609C5" w14:textId="77777777" w:rsidR="00DF31D3" w:rsidRPr="00974C46" w:rsidRDefault="00DF31D3" w:rsidP="004F42C1">
            <w:pPr>
              <w:pStyle w:val="TableBody"/>
              <w:rPr>
                <w:highlight w:val="green"/>
              </w:rPr>
            </w:pPr>
            <w:r w:rsidRPr="008A4BD8">
              <w:t>No</w:t>
            </w:r>
          </w:p>
        </w:tc>
        <w:tc>
          <w:tcPr>
            <w:tcW w:w="2410" w:type="dxa"/>
          </w:tcPr>
          <w:p w14:paraId="4ED1D256" w14:textId="77777777" w:rsidR="00DF31D3" w:rsidRPr="00974C46" w:rsidRDefault="00DF31D3" w:rsidP="004F42C1">
            <w:pPr>
              <w:pStyle w:val="TableBody"/>
              <w:rPr>
                <w:highlight w:val="green"/>
              </w:rPr>
            </w:pPr>
            <w:r w:rsidRPr="008A4BD8">
              <w:t> </w:t>
            </w:r>
            <w:r>
              <w:t>–</w:t>
            </w:r>
          </w:p>
        </w:tc>
      </w:tr>
      <w:tr w:rsidR="00DF31D3" w:rsidRPr="006D46E5" w14:paraId="3698B516" w14:textId="77777777" w:rsidTr="00DF31D3">
        <w:trPr>
          <w:cnfStyle w:val="000000100000" w:firstRow="0" w:lastRow="0" w:firstColumn="0" w:lastColumn="0" w:oddVBand="0" w:evenVBand="0" w:oddHBand="1" w:evenHBand="0" w:firstRowFirstColumn="0" w:firstRowLastColumn="0" w:lastRowFirstColumn="0" w:lastRowLastColumn="0"/>
          <w:cantSplit/>
        </w:trPr>
        <w:tc>
          <w:tcPr>
            <w:tcW w:w="1271" w:type="dxa"/>
          </w:tcPr>
          <w:p w14:paraId="3F02F982" w14:textId="77777777" w:rsidR="00DF31D3" w:rsidRPr="00930510" w:rsidRDefault="00DF31D3" w:rsidP="004F42C1">
            <w:pPr>
              <w:pStyle w:val="TableBody"/>
            </w:pPr>
            <w:r w:rsidRPr="00600DC3">
              <w:t>MS34</w:t>
            </w:r>
          </w:p>
        </w:tc>
        <w:tc>
          <w:tcPr>
            <w:tcW w:w="2766" w:type="dxa"/>
          </w:tcPr>
          <w:p w14:paraId="702ABDED" w14:textId="77777777" w:rsidR="00DF31D3" w:rsidRPr="00930510" w:rsidRDefault="00DF31D3" w:rsidP="004F42C1">
            <w:pPr>
              <w:pStyle w:val="TableBody"/>
            </w:pPr>
            <w:r w:rsidRPr="00600DC3">
              <w:t>Frequency coordination and licensing procedures for apparatus licensed PTS in the 1800 MHz band</w:t>
            </w:r>
            <w:r>
              <w:t>.</w:t>
            </w:r>
          </w:p>
        </w:tc>
        <w:tc>
          <w:tcPr>
            <w:tcW w:w="1628" w:type="dxa"/>
          </w:tcPr>
          <w:p w14:paraId="32C514CD" w14:textId="77777777" w:rsidR="00DF31D3" w:rsidRPr="00974C46" w:rsidRDefault="00DF31D3" w:rsidP="004F42C1">
            <w:pPr>
              <w:pStyle w:val="TableBody"/>
              <w:rPr>
                <w:highlight w:val="green"/>
              </w:rPr>
            </w:pPr>
            <w:r w:rsidRPr="008A4BD8">
              <w:t>No</w:t>
            </w:r>
          </w:p>
        </w:tc>
        <w:tc>
          <w:tcPr>
            <w:tcW w:w="2410" w:type="dxa"/>
          </w:tcPr>
          <w:p w14:paraId="4DBBBEEF" w14:textId="77777777" w:rsidR="00DF31D3" w:rsidRPr="00974C46" w:rsidRDefault="00DF31D3" w:rsidP="004F42C1">
            <w:pPr>
              <w:pStyle w:val="TableBody"/>
              <w:rPr>
                <w:highlight w:val="green"/>
              </w:rPr>
            </w:pPr>
            <w:r w:rsidRPr="008A4BD8">
              <w:t> </w:t>
            </w:r>
            <w:r>
              <w:t>–</w:t>
            </w:r>
          </w:p>
        </w:tc>
      </w:tr>
      <w:tr w:rsidR="00DF31D3" w:rsidRPr="006D46E5" w14:paraId="1CA71BDA" w14:textId="77777777" w:rsidTr="00DF31D3">
        <w:trPr>
          <w:cnfStyle w:val="000000010000" w:firstRow="0" w:lastRow="0" w:firstColumn="0" w:lastColumn="0" w:oddVBand="0" w:evenVBand="0" w:oddHBand="0" w:evenHBand="1" w:firstRowFirstColumn="0" w:firstRowLastColumn="0" w:lastRowFirstColumn="0" w:lastRowLastColumn="0"/>
          <w:cantSplit/>
        </w:trPr>
        <w:tc>
          <w:tcPr>
            <w:tcW w:w="1271" w:type="dxa"/>
          </w:tcPr>
          <w:p w14:paraId="1B67D3CD" w14:textId="77777777" w:rsidR="00DF31D3" w:rsidRPr="001D7778" w:rsidRDefault="00DF31D3" w:rsidP="004F42C1">
            <w:pPr>
              <w:pStyle w:val="TableBody"/>
            </w:pPr>
            <w:r w:rsidRPr="001D7778">
              <w:t>MS35</w:t>
            </w:r>
          </w:p>
        </w:tc>
        <w:tc>
          <w:tcPr>
            <w:tcW w:w="2766" w:type="dxa"/>
          </w:tcPr>
          <w:p w14:paraId="79352BE5" w14:textId="0789057B" w:rsidR="00DF31D3" w:rsidRPr="001D7778" w:rsidRDefault="00DF31D3" w:rsidP="004F42C1">
            <w:pPr>
              <w:pStyle w:val="TableBody"/>
            </w:pPr>
            <w:r w:rsidRPr="001D7778">
              <w:t>Coordination of 2.5 GHz band spectrum licensed transmitters with radiodetermination stations operated by the Department of Defence in the 2700–2900 MHz band</w:t>
            </w:r>
            <w:r>
              <w:t>.</w:t>
            </w:r>
          </w:p>
        </w:tc>
        <w:tc>
          <w:tcPr>
            <w:tcW w:w="1628" w:type="dxa"/>
          </w:tcPr>
          <w:p w14:paraId="07E1FAE3" w14:textId="77777777" w:rsidR="00DF31D3" w:rsidRPr="001D7778" w:rsidRDefault="00DF31D3" w:rsidP="004F42C1">
            <w:pPr>
              <w:pStyle w:val="TableBody"/>
            </w:pPr>
            <w:r w:rsidRPr="001D7778">
              <w:t>Yes</w:t>
            </w:r>
          </w:p>
        </w:tc>
        <w:tc>
          <w:tcPr>
            <w:tcW w:w="2410" w:type="dxa"/>
          </w:tcPr>
          <w:p w14:paraId="03629256" w14:textId="72D1D7BD" w:rsidR="00DF31D3" w:rsidRPr="001D7778" w:rsidRDefault="007F2CC0" w:rsidP="004F42C1">
            <w:pPr>
              <w:pStyle w:val="TableBody"/>
            </w:pPr>
            <w:r>
              <w:t xml:space="preserve">Commencing </w:t>
            </w:r>
            <w:r w:rsidR="00DF31D3" w:rsidRPr="001D7778">
              <w:t>Q</w:t>
            </w:r>
            <w:r w:rsidR="001952AA">
              <w:t>3</w:t>
            </w:r>
            <w:r w:rsidR="00DF31D3" w:rsidRPr="001D7778">
              <w:t xml:space="preserve"> 202</w:t>
            </w:r>
            <w:r w:rsidR="00DF31D3">
              <w:t>5</w:t>
            </w:r>
            <w:r w:rsidR="00DF31D3" w:rsidRPr="001D7778">
              <w:rPr>
                <w:rStyle w:val="FootnoteReference"/>
              </w:rPr>
              <w:footnoteReference w:id="1"/>
            </w:r>
          </w:p>
          <w:p w14:paraId="7794A5BC" w14:textId="77777777" w:rsidR="00DF31D3" w:rsidRPr="001D7778" w:rsidRDefault="00DF31D3" w:rsidP="004F42C1">
            <w:pPr>
              <w:pStyle w:val="TableBody"/>
            </w:pPr>
          </w:p>
        </w:tc>
      </w:tr>
      <w:tr w:rsidR="00DF31D3" w:rsidRPr="006D46E5" w14:paraId="78935BEE" w14:textId="77777777" w:rsidTr="00DF31D3">
        <w:trPr>
          <w:cnfStyle w:val="000000100000" w:firstRow="0" w:lastRow="0" w:firstColumn="0" w:lastColumn="0" w:oddVBand="0" w:evenVBand="0" w:oddHBand="1" w:evenHBand="0" w:firstRowFirstColumn="0" w:firstRowLastColumn="0" w:lastRowFirstColumn="0" w:lastRowLastColumn="0"/>
          <w:cantSplit/>
        </w:trPr>
        <w:tc>
          <w:tcPr>
            <w:tcW w:w="1271" w:type="dxa"/>
          </w:tcPr>
          <w:p w14:paraId="51E44C17" w14:textId="77777777" w:rsidR="00DF31D3" w:rsidRPr="001D7778" w:rsidRDefault="00DF31D3" w:rsidP="004F42C1">
            <w:pPr>
              <w:pStyle w:val="TableBody"/>
            </w:pPr>
            <w:r w:rsidRPr="001D7778">
              <w:lastRenderedPageBreak/>
              <w:t>MS37</w:t>
            </w:r>
          </w:p>
        </w:tc>
        <w:tc>
          <w:tcPr>
            <w:tcW w:w="2766" w:type="dxa"/>
          </w:tcPr>
          <w:p w14:paraId="3E47FCA6" w14:textId="77777777" w:rsidR="00DF31D3" w:rsidRPr="001D7778" w:rsidRDefault="00DF31D3" w:rsidP="004F42C1">
            <w:pPr>
              <w:pStyle w:val="TableBody"/>
            </w:pPr>
            <w:r w:rsidRPr="001D7778">
              <w:t xml:space="preserve">Coordination of spectrum licensed devices operating in the 2.3 GHz </w:t>
            </w:r>
            <w:r w:rsidRPr="001D7778">
              <w:br/>
              <w:t xml:space="preserve">band with SRS earth stations in the </w:t>
            </w:r>
            <w:r w:rsidRPr="001D7778">
              <w:br/>
              <w:t>2290–2300 MHz band</w:t>
            </w:r>
            <w:r>
              <w:t>.</w:t>
            </w:r>
          </w:p>
        </w:tc>
        <w:tc>
          <w:tcPr>
            <w:tcW w:w="1628" w:type="dxa"/>
          </w:tcPr>
          <w:p w14:paraId="6AB45487" w14:textId="77777777" w:rsidR="00DF31D3" w:rsidRPr="001D7778" w:rsidRDefault="00DF31D3" w:rsidP="004F42C1">
            <w:pPr>
              <w:pStyle w:val="TableBody"/>
            </w:pPr>
            <w:r w:rsidRPr="001D7778">
              <w:t>Yes</w:t>
            </w:r>
          </w:p>
        </w:tc>
        <w:tc>
          <w:tcPr>
            <w:tcW w:w="2410" w:type="dxa"/>
          </w:tcPr>
          <w:p w14:paraId="231BB249" w14:textId="226A5711" w:rsidR="00DF31D3" w:rsidRPr="001D7778" w:rsidRDefault="007F2CC0" w:rsidP="004F42C1">
            <w:pPr>
              <w:pStyle w:val="TableBody"/>
            </w:pPr>
            <w:r>
              <w:t xml:space="preserve">Commencing </w:t>
            </w:r>
            <w:r w:rsidR="00DF31D3" w:rsidRPr="001D7778">
              <w:t>Q</w:t>
            </w:r>
            <w:r w:rsidR="001952AA">
              <w:t>3</w:t>
            </w:r>
            <w:r w:rsidR="00DF31D3" w:rsidRPr="001D7778">
              <w:t xml:space="preserve"> 202</w:t>
            </w:r>
            <w:r w:rsidR="00DF31D3">
              <w:t>5</w:t>
            </w:r>
            <w:r w:rsidR="00DF31D3" w:rsidRPr="001D7778">
              <w:rPr>
                <w:rStyle w:val="FootnoteReference"/>
              </w:rPr>
              <w:footnoteReference w:id="2"/>
            </w:r>
          </w:p>
        </w:tc>
      </w:tr>
      <w:tr w:rsidR="00DF31D3" w:rsidRPr="006D46E5" w14:paraId="07A10AAE" w14:textId="77777777" w:rsidTr="00DF31D3">
        <w:trPr>
          <w:cnfStyle w:val="000000010000" w:firstRow="0" w:lastRow="0" w:firstColumn="0" w:lastColumn="0" w:oddVBand="0" w:evenVBand="0" w:oddHBand="0" w:evenHBand="1" w:firstRowFirstColumn="0" w:firstRowLastColumn="0" w:lastRowFirstColumn="0" w:lastRowLastColumn="0"/>
          <w:cantSplit/>
        </w:trPr>
        <w:tc>
          <w:tcPr>
            <w:tcW w:w="1271" w:type="dxa"/>
          </w:tcPr>
          <w:p w14:paraId="483AA941" w14:textId="77777777" w:rsidR="00DF31D3" w:rsidRPr="006B734B" w:rsidRDefault="00DF31D3" w:rsidP="004F42C1">
            <w:pPr>
              <w:pStyle w:val="TableBody"/>
            </w:pPr>
            <w:r w:rsidRPr="006B734B">
              <w:t>MS43</w:t>
            </w:r>
          </w:p>
        </w:tc>
        <w:tc>
          <w:tcPr>
            <w:tcW w:w="2766" w:type="dxa"/>
          </w:tcPr>
          <w:p w14:paraId="0D7BFCC1" w14:textId="1D7845AF" w:rsidR="00DF31D3" w:rsidRPr="006B734B" w:rsidRDefault="00DF31D3" w:rsidP="004F42C1">
            <w:pPr>
              <w:pStyle w:val="TableBody"/>
            </w:pPr>
            <w:r w:rsidRPr="006B734B">
              <w:t>Coordination procedures between New Norcia and Tidbinbilla earth</w:t>
            </w:r>
            <w:r>
              <w:t xml:space="preserve"> </w:t>
            </w:r>
            <w:r w:rsidRPr="006B734B">
              <w:t>stations and other services in the bands: 7145–7235 MHz, 8400–8500 MHz, 22.55–23.15 GHz, 31.8–32.3 GHz, and 34.2–34.7 GHz</w:t>
            </w:r>
            <w:r>
              <w:t>.</w:t>
            </w:r>
          </w:p>
        </w:tc>
        <w:tc>
          <w:tcPr>
            <w:tcW w:w="1628" w:type="dxa"/>
          </w:tcPr>
          <w:p w14:paraId="689C3F4B" w14:textId="77777777" w:rsidR="00DF31D3" w:rsidRPr="006B734B" w:rsidRDefault="00DF31D3" w:rsidP="004F42C1">
            <w:pPr>
              <w:pStyle w:val="TableBody"/>
            </w:pPr>
            <w:r w:rsidRPr="006B734B">
              <w:t>No</w:t>
            </w:r>
          </w:p>
        </w:tc>
        <w:tc>
          <w:tcPr>
            <w:tcW w:w="2410" w:type="dxa"/>
          </w:tcPr>
          <w:p w14:paraId="4D350F84" w14:textId="77777777" w:rsidR="00DF31D3" w:rsidRDefault="00DF31D3" w:rsidP="004F42C1">
            <w:pPr>
              <w:pStyle w:val="TableBody"/>
            </w:pPr>
            <w:r>
              <w:t>–</w:t>
            </w:r>
          </w:p>
        </w:tc>
      </w:tr>
      <w:tr w:rsidR="00DF31D3" w:rsidRPr="006D46E5" w14:paraId="37CE0092" w14:textId="77777777" w:rsidTr="00DF31D3">
        <w:trPr>
          <w:cnfStyle w:val="000000100000" w:firstRow="0" w:lastRow="0" w:firstColumn="0" w:lastColumn="0" w:oddVBand="0" w:evenVBand="0" w:oddHBand="1" w:evenHBand="0" w:firstRowFirstColumn="0" w:firstRowLastColumn="0" w:lastRowFirstColumn="0" w:lastRowLastColumn="0"/>
          <w:cantSplit/>
        </w:trPr>
        <w:tc>
          <w:tcPr>
            <w:tcW w:w="1271" w:type="dxa"/>
          </w:tcPr>
          <w:p w14:paraId="482372E0" w14:textId="77777777" w:rsidR="00DF31D3" w:rsidRPr="006B734B" w:rsidRDefault="00DF31D3" w:rsidP="004F42C1">
            <w:pPr>
              <w:pStyle w:val="TableBody"/>
            </w:pPr>
            <w:r w:rsidRPr="006B734B">
              <w:t>MS44</w:t>
            </w:r>
          </w:p>
        </w:tc>
        <w:tc>
          <w:tcPr>
            <w:tcW w:w="2766" w:type="dxa"/>
          </w:tcPr>
          <w:p w14:paraId="12FAE806" w14:textId="77777777" w:rsidR="00DF31D3" w:rsidRPr="006B734B" w:rsidRDefault="00DF31D3" w:rsidP="004F42C1">
            <w:pPr>
              <w:pStyle w:val="TableBody"/>
            </w:pPr>
            <w:bookmarkStart w:id="13" w:name="_Hlk67657370"/>
            <w:r w:rsidRPr="006B734B">
              <w:t>Frequency coordination procedures for the earth station protection zones</w:t>
            </w:r>
            <w:bookmarkEnd w:id="13"/>
            <w:r>
              <w:t>.</w:t>
            </w:r>
          </w:p>
        </w:tc>
        <w:tc>
          <w:tcPr>
            <w:tcW w:w="1628" w:type="dxa"/>
          </w:tcPr>
          <w:p w14:paraId="3EA3F031" w14:textId="77777777" w:rsidR="00DF31D3" w:rsidRPr="006B734B" w:rsidRDefault="00DF31D3" w:rsidP="004F42C1">
            <w:pPr>
              <w:pStyle w:val="TableBody"/>
            </w:pPr>
            <w:r w:rsidRPr="006B734B">
              <w:t>No</w:t>
            </w:r>
          </w:p>
        </w:tc>
        <w:tc>
          <w:tcPr>
            <w:tcW w:w="2410" w:type="dxa"/>
          </w:tcPr>
          <w:p w14:paraId="3242629D" w14:textId="77777777" w:rsidR="00DF31D3" w:rsidRDefault="00DF31D3" w:rsidP="004F42C1">
            <w:pPr>
              <w:pStyle w:val="TableBody"/>
            </w:pPr>
            <w:r>
              <w:t>–</w:t>
            </w:r>
          </w:p>
        </w:tc>
      </w:tr>
      <w:tr w:rsidR="00DF31D3" w:rsidRPr="006D46E5" w14:paraId="1C2C142A" w14:textId="77777777" w:rsidTr="00DF31D3">
        <w:trPr>
          <w:cnfStyle w:val="000000010000" w:firstRow="0" w:lastRow="0" w:firstColumn="0" w:lastColumn="0" w:oddVBand="0" w:evenVBand="0" w:oddHBand="0" w:evenHBand="1" w:firstRowFirstColumn="0" w:firstRowLastColumn="0" w:lastRowFirstColumn="0" w:lastRowLastColumn="0"/>
          <w:cantSplit/>
        </w:trPr>
        <w:tc>
          <w:tcPr>
            <w:tcW w:w="1271" w:type="dxa"/>
          </w:tcPr>
          <w:p w14:paraId="74F8AB37" w14:textId="77777777" w:rsidR="00DF31D3" w:rsidRPr="001D7778" w:rsidRDefault="00DF31D3" w:rsidP="004F42C1">
            <w:pPr>
              <w:pStyle w:val="TableBody"/>
            </w:pPr>
            <w:r w:rsidRPr="001D7778">
              <w:t>MS45</w:t>
            </w:r>
          </w:p>
        </w:tc>
        <w:tc>
          <w:tcPr>
            <w:tcW w:w="2766" w:type="dxa"/>
          </w:tcPr>
          <w:p w14:paraId="02CD5671" w14:textId="77777777" w:rsidR="00DF31D3" w:rsidRPr="001D7778" w:rsidRDefault="00DF31D3" w:rsidP="004F42C1">
            <w:pPr>
              <w:pStyle w:val="TableBody"/>
            </w:pPr>
            <w:r w:rsidRPr="001D7778">
              <w:t>Frequency coordination requirements between microwave fixed point-to-point links and FSS earth stations</w:t>
            </w:r>
            <w:r>
              <w:t>.</w:t>
            </w:r>
          </w:p>
        </w:tc>
        <w:tc>
          <w:tcPr>
            <w:tcW w:w="1628" w:type="dxa"/>
          </w:tcPr>
          <w:p w14:paraId="1A79F177" w14:textId="77777777" w:rsidR="00DF31D3" w:rsidRPr="001D7778" w:rsidRDefault="00DF31D3" w:rsidP="004F42C1">
            <w:pPr>
              <w:pStyle w:val="TableBody"/>
            </w:pPr>
            <w:r w:rsidRPr="001D7778">
              <w:t>Yes</w:t>
            </w:r>
          </w:p>
        </w:tc>
        <w:tc>
          <w:tcPr>
            <w:tcW w:w="2410" w:type="dxa"/>
          </w:tcPr>
          <w:p w14:paraId="53310F7D" w14:textId="5534A016" w:rsidR="00DF31D3" w:rsidRPr="00227608" w:rsidRDefault="00DF31D3" w:rsidP="004F42C1">
            <w:pPr>
              <w:pStyle w:val="TableBody"/>
            </w:pPr>
            <w:r w:rsidRPr="001D7778">
              <w:t>Q1</w:t>
            </w:r>
            <w:r>
              <w:t>–</w:t>
            </w:r>
            <w:r w:rsidR="008A26F1">
              <w:t>Q3</w:t>
            </w:r>
            <w:r w:rsidRPr="001D7778">
              <w:t xml:space="preserve"> 2025</w:t>
            </w:r>
          </w:p>
        </w:tc>
      </w:tr>
      <w:tr w:rsidR="00DF31D3" w:rsidRPr="006D46E5" w14:paraId="1B322662" w14:textId="77777777" w:rsidTr="00DF31D3">
        <w:trPr>
          <w:cnfStyle w:val="000000100000" w:firstRow="0" w:lastRow="0" w:firstColumn="0" w:lastColumn="0" w:oddVBand="0" w:evenVBand="0" w:oddHBand="1" w:evenHBand="0" w:firstRowFirstColumn="0" w:firstRowLastColumn="0" w:lastRowFirstColumn="0" w:lastRowLastColumn="0"/>
          <w:cantSplit/>
        </w:trPr>
        <w:tc>
          <w:tcPr>
            <w:tcW w:w="1271" w:type="dxa"/>
          </w:tcPr>
          <w:p w14:paraId="620E5C5B" w14:textId="77777777" w:rsidR="00DF31D3" w:rsidRPr="00930510" w:rsidRDefault="00DF31D3" w:rsidP="004F42C1">
            <w:pPr>
              <w:pStyle w:val="TableBody"/>
            </w:pPr>
            <w:r w:rsidRPr="00600DC3">
              <w:t>MS46</w:t>
            </w:r>
          </w:p>
        </w:tc>
        <w:tc>
          <w:tcPr>
            <w:tcW w:w="2766" w:type="dxa"/>
          </w:tcPr>
          <w:p w14:paraId="5BFA0BBD" w14:textId="77777777" w:rsidR="00DF31D3" w:rsidRPr="00930510" w:rsidRDefault="00DF31D3" w:rsidP="004F42C1">
            <w:pPr>
              <w:pStyle w:val="TableBody"/>
            </w:pPr>
            <w:r w:rsidRPr="00600DC3">
              <w:t>Licensing and coordination procedures for area-wide apparatus licensed services in the 26/28</w:t>
            </w:r>
            <w:r>
              <w:t xml:space="preserve"> </w:t>
            </w:r>
            <w:r w:rsidRPr="00600DC3">
              <w:t>GHz bands</w:t>
            </w:r>
            <w:r>
              <w:t>.</w:t>
            </w:r>
          </w:p>
        </w:tc>
        <w:tc>
          <w:tcPr>
            <w:tcW w:w="1628" w:type="dxa"/>
          </w:tcPr>
          <w:p w14:paraId="22A13518" w14:textId="77777777" w:rsidR="00DF31D3" w:rsidRDefault="00DF31D3" w:rsidP="004F42C1">
            <w:pPr>
              <w:pStyle w:val="TableBody"/>
            </w:pPr>
            <w:r>
              <w:t>No</w:t>
            </w:r>
          </w:p>
        </w:tc>
        <w:tc>
          <w:tcPr>
            <w:tcW w:w="2410" w:type="dxa"/>
          </w:tcPr>
          <w:p w14:paraId="1D7E8E9F" w14:textId="77777777" w:rsidR="00DF31D3" w:rsidRDefault="00DF31D3" w:rsidP="004F42C1">
            <w:pPr>
              <w:pStyle w:val="TableBody"/>
            </w:pPr>
            <w:r>
              <w:t>–</w:t>
            </w:r>
          </w:p>
        </w:tc>
      </w:tr>
      <w:tr w:rsidR="00DF31D3" w:rsidRPr="006D46E5" w14:paraId="23B21EF5" w14:textId="77777777" w:rsidTr="00DF31D3">
        <w:trPr>
          <w:cnfStyle w:val="000000010000" w:firstRow="0" w:lastRow="0" w:firstColumn="0" w:lastColumn="0" w:oddVBand="0" w:evenVBand="0" w:oddHBand="0" w:evenHBand="1" w:firstRowFirstColumn="0" w:firstRowLastColumn="0" w:lastRowFirstColumn="0" w:lastRowLastColumn="0"/>
          <w:cantSplit/>
        </w:trPr>
        <w:tc>
          <w:tcPr>
            <w:tcW w:w="1271" w:type="dxa"/>
          </w:tcPr>
          <w:p w14:paraId="6DF72F0D" w14:textId="77777777" w:rsidR="00DF31D3" w:rsidRPr="00600DC3" w:rsidRDefault="00DF31D3" w:rsidP="004F42C1">
            <w:pPr>
              <w:pStyle w:val="TableBody"/>
            </w:pPr>
            <w:r>
              <w:t>MS47</w:t>
            </w:r>
          </w:p>
        </w:tc>
        <w:tc>
          <w:tcPr>
            <w:tcW w:w="2766" w:type="dxa"/>
          </w:tcPr>
          <w:p w14:paraId="3ED5016E" w14:textId="77777777" w:rsidR="00DF31D3" w:rsidRPr="00600DC3" w:rsidRDefault="00DF31D3" w:rsidP="004F42C1">
            <w:pPr>
              <w:pStyle w:val="TableBody"/>
            </w:pPr>
            <w:r>
              <w:t>Licensing and coordination procedures for area-wide apparatus licensed services in the 3400–4000 MHz band.</w:t>
            </w:r>
          </w:p>
        </w:tc>
        <w:tc>
          <w:tcPr>
            <w:tcW w:w="1628" w:type="dxa"/>
          </w:tcPr>
          <w:p w14:paraId="0CA4AE9C" w14:textId="77777777" w:rsidR="00DF31D3" w:rsidRDefault="00DF31D3" w:rsidP="004F42C1">
            <w:pPr>
              <w:pStyle w:val="TableBody"/>
            </w:pPr>
            <w:r>
              <w:t>Yes</w:t>
            </w:r>
          </w:p>
        </w:tc>
        <w:tc>
          <w:tcPr>
            <w:tcW w:w="2410" w:type="dxa"/>
          </w:tcPr>
          <w:p w14:paraId="24CB3B64" w14:textId="5EEE4DC6" w:rsidR="00DF31D3" w:rsidRDefault="00DF31D3" w:rsidP="004F42C1">
            <w:pPr>
              <w:pStyle w:val="TableBody"/>
            </w:pPr>
            <w:r>
              <w:t>Q</w:t>
            </w:r>
            <w:r w:rsidR="00345729">
              <w:t>3</w:t>
            </w:r>
            <w:r>
              <w:t xml:space="preserve"> 2025</w:t>
            </w:r>
          </w:p>
        </w:tc>
      </w:tr>
      <w:tr w:rsidR="00DF31D3" w:rsidRPr="006D46E5" w14:paraId="06B24788" w14:textId="77777777" w:rsidTr="00DF31D3">
        <w:trPr>
          <w:cnfStyle w:val="000000100000" w:firstRow="0" w:lastRow="0" w:firstColumn="0" w:lastColumn="0" w:oddVBand="0" w:evenVBand="0" w:oddHBand="1" w:evenHBand="0" w:firstRowFirstColumn="0" w:firstRowLastColumn="0" w:lastRowFirstColumn="0" w:lastRowLastColumn="0"/>
          <w:cantSplit/>
        </w:trPr>
        <w:tc>
          <w:tcPr>
            <w:tcW w:w="1271" w:type="dxa"/>
          </w:tcPr>
          <w:p w14:paraId="035A5641" w14:textId="77777777" w:rsidR="00DF31D3" w:rsidRDefault="00DF31D3" w:rsidP="004F42C1">
            <w:pPr>
              <w:pStyle w:val="TableBody"/>
            </w:pPr>
            <w:r>
              <w:t>MS48</w:t>
            </w:r>
          </w:p>
        </w:tc>
        <w:tc>
          <w:tcPr>
            <w:tcW w:w="2766" w:type="dxa"/>
          </w:tcPr>
          <w:p w14:paraId="3BABA666" w14:textId="2A16144E" w:rsidR="00DF31D3" w:rsidRDefault="00DF31D3" w:rsidP="004F42C1">
            <w:pPr>
              <w:pStyle w:val="TableBody"/>
            </w:pPr>
            <w:r>
              <w:t>Interim access to 5055–5065 MHz for line-of-sight remotely piloted aircraft systems control and non-payload communication links.</w:t>
            </w:r>
          </w:p>
        </w:tc>
        <w:tc>
          <w:tcPr>
            <w:tcW w:w="1628" w:type="dxa"/>
          </w:tcPr>
          <w:p w14:paraId="431B6607" w14:textId="77777777" w:rsidR="00DF31D3" w:rsidRDefault="00DF31D3" w:rsidP="004F42C1">
            <w:pPr>
              <w:pStyle w:val="TableBody"/>
            </w:pPr>
            <w:r>
              <w:t>No</w:t>
            </w:r>
          </w:p>
        </w:tc>
        <w:tc>
          <w:tcPr>
            <w:tcW w:w="2410" w:type="dxa"/>
          </w:tcPr>
          <w:p w14:paraId="0D26059E" w14:textId="77777777" w:rsidR="00DF31D3" w:rsidRDefault="00DF31D3" w:rsidP="004F42C1">
            <w:pPr>
              <w:pStyle w:val="TableBody"/>
            </w:pPr>
            <w:r>
              <w:t>Will be expanded to incorporate permanent arrangements – timeframe TBD (dependent on international factors)</w:t>
            </w:r>
          </w:p>
        </w:tc>
      </w:tr>
      <w:tr w:rsidR="00DF31D3" w:rsidRPr="006D46E5" w14:paraId="705DF58D" w14:textId="77777777" w:rsidTr="00DF31D3">
        <w:trPr>
          <w:cnfStyle w:val="000000010000" w:firstRow="0" w:lastRow="0" w:firstColumn="0" w:lastColumn="0" w:oddVBand="0" w:evenVBand="0" w:oddHBand="0" w:evenHBand="1" w:firstRowFirstColumn="0" w:firstRowLastColumn="0" w:lastRowFirstColumn="0" w:lastRowLastColumn="0"/>
          <w:cantSplit/>
        </w:trPr>
        <w:tc>
          <w:tcPr>
            <w:tcW w:w="1271" w:type="dxa"/>
          </w:tcPr>
          <w:p w14:paraId="006EEAAD" w14:textId="77777777" w:rsidR="00DF31D3" w:rsidRPr="001B4051" w:rsidRDefault="00DF31D3" w:rsidP="004F42C1">
            <w:pPr>
              <w:pStyle w:val="TableBody"/>
              <w:rPr>
                <w:rFonts w:cs="Arial"/>
                <w:szCs w:val="20"/>
              </w:rPr>
            </w:pPr>
            <w:r w:rsidRPr="008D51DB">
              <w:rPr>
                <w:rFonts w:cs="Arial"/>
                <w:color w:val="000000"/>
                <w:szCs w:val="20"/>
              </w:rPr>
              <w:t>draft MS49</w:t>
            </w:r>
          </w:p>
        </w:tc>
        <w:tc>
          <w:tcPr>
            <w:tcW w:w="2766" w:type="dxa"/>
          </w:tcPr>
          <w:p w14:paraId="3A2DA027" w14:textId="5A0C779B" w:rsidR="00DF31D3" w:rsidRPr="001B4051" w:rsidRDefault="00DF31D3" w:rsidP="004F42C1">
            <w:pPr>
              <w:pStyle w:val="TableBody"/>
              <w:rPr>
                <w:rFonts w:cs="Arial"/>
                <w:szCs w:val="20"/>
              </w:rPr>
            </w:pPr>
            <w:r w:rsidRPr="008D51DB">
              <w:rPr>
                <w:rFonts w:cs="Arial"/>
                <w:color w:val="000000"/>
                <w:szCs w:val="20"/>
              </w:rPr>
              <w:t>Registration and technical requirements for RNSS repeater devices – yet to be finalised (see ACMA website for more information)</w:t>
            </w:r>
          </w:p>
        </w:tc>
        <w:tc>
          <w:tcPr>
            <w:tcW w:w="1628" w:type="dxa"/>
          </w:tcPr>
          <w:p w14:paraId="0365BF94" w14:textId="77777777" w:rsidR="00DF31D3" w:rsidRPr="001B4051" w:rsidRDefault="00DF31D3" w:rsidP="004F42C1">
            <w:pPr>
              <w:pStyle w:val="TableBody"/>
              <w:rPr>
                <w:rFonts w:cs="Arial"/>
                <w:szCs w:val="20"/>
              </w:rPr>
            </w:pPr>
            <w:r w:rsidRPr="001B4051">
              <w:rPr>
                <w:rFonts w:cs="Arial"/>
                <w:szCs w:val="20"/>
              </w:rPr>
              <w:t>No</w:t>
            </w:r>
          </w:p>
        </w:tc>
        <w:tc>
          <w:tcPr>
            <w:tcW w:w="2410" w:type="dxa"/>
          </w:tcPr>
          <w:p w14:paraId="717353AD" w14:textId="77777777" w:rsidR="00DF31D3" w:rsidRPr="001B4051" w:rsidRDefault="00DF31D3" w:rsidP="004F42C1">
            <w:pPr>
              <w:pStyle w:val="TableBody"/>
              <w:rPr>
                <w:rFonts w:cs="Arial"/>
                <w:szCs w:val="20"/>
              </w:rPr>
            </w:pPr>
            <w:r w:rsidRPr="001B4051">
              <w:rPr>
                <w:rFonts w:cs="Arial"/>
                <w:szCs w:val="20"/>
              </w:rPr>
              <w:t>–</w:t>
            </w:r>
          </w:p>
        </w:tc>
      </w:tr>
      <w:tr w:rsidR="00DF31D3" w:rsidRPr="006D46E5" w14:paraId="51BC0265" w14:textId="77777777" w:rsidTr="00DF31D3">
        <w:trPr>
          <w:cnfStyle w:val="000000100000" w:firstRow="0" w:lastRow="0" w:firstColumn="0" w:lastColumn="0" w:oddVBand="0" w:evenVBand="0" w:oddHBand="1" w:evenHBand="0" w:firstRowFirstColumn="0" w:firstRowLastColumn="0" w:lastRowFirstColumn="0" w:lastRowLastColumn="0"/>
          <w:cantSplit/>
        </w:trPr>
        <w:tc>
          <w:tcPr>
            <w:tcW w:w="1271" w:type="dxa"/>
          </w:tcPr>
          <w:p w14:paraId="5FA21D07" w14:textId="77777777" w:rsidR="00DF31D3" w:rsidRPr="008D51DB" w:rsidRDefault="00DF31D3" w:rsidP="004F42C1">
            <w:pPr>
              <w:pStyle w:val="TableBody"/>
              <w:rPr>
                <w:rFonts w:cs="Arial"/>
                <w:color w:val="000000"/>
                <w:szCs w:val="20"/>
              </w:rPr>
            </w:pPr>
            <w:r w:rsidRPr="008D51DB">
              <w:rPr>
                <w:rFonts w:cs="Arial"/>
                <w:color w:val="000000"/>
                <w:szCs w:val="20"/>
              </w:rPr>
              <w:lastRenderedPageBreak/>
              <w:t>draft MS50</w:t>
            </w:r>
          </w:p>
        </w:tc>
        <w:tc>
          <w:tcPr>
            <w:tcW w:w="2766" w:type="dxa"/>
          </w:tcPr>
          <w:p w14:paraId="69408AA7" w14:textId="77777777" w:rsidR="00DF31D3" w:rsidRPr="008D51DB" w:rsidRDefault="00DF31D3" w:rsidP="004F42C1">
            <w:pPr>
              <w:pStyle w:val="TableBody"/>
              <w:rPr>
                <w:rFonts w:cs="Arial"/>
                <w:color w:val="000000"/>
                <w:szCs w:val="20"/>
              </w:rPr>
            </w:pPr>
            <w:r w:rsidRPr="008D51DB">
              <w:rPr>
                <w:rFonts w:cs="Arial"/>
                <w:color w:val="000000"/>
                <w:szCs w:val="20"/>
              </w:rPr>
              <w:t>Frequency coordination and licensing procedures for point-to-multipoint system licences in the 3400</w:t>
            </w:r>
            <w:r>
              <w:rPr>
                <w:rFonts w:cs="Arial"/>
                <w:color w:val="000000"/>
                <w:szCs w:val="20"/>
              </w:rPr>
              <w:t>–</w:t>
            </w:r>
            <w:r w:rsidRPr="008D51DB">
              <w:rPr>
                <w:rFonts w:cs="Arial"/>
                <w:color w:val="000000"/>
                <w:szCs w:val="20"/>
              </w:rPr>
              <w:t>3475 MHz and 3950</w:t>
            </w:r>
            <w:r>
              <w:rPr>
                <w:rFonts w:cs="Arial"/>
                <w:color w:val="000000"/>
                <w:szCs w:val="20"/>
              </w:rPr>
              <w:t>–</w:t>
            </w:r>
            <w:r w:rsidRPr="008D51DB">
              <w:rPr>
                <w:rFonts w:cs="Arial"/>
                <w:color w:val="000000"/>
                <w:szCs w:val="20"/>
              </w:rPr>
              <w:t>4000 MHz bands – yet to be finalised (see ACMA website for more information)</w:t>
            </w:r>
            <w:r>
              <w:rPr>
                <w:rFonts w:cs="Arial"/>
                <w:color w:val="000000"/>
                <w:szCs w:val="20"/>
              </w:rPr>
              <w:t>.</w:t>
            </w:r>
            <w:r w:rsidRPr="008D51DB">
              <w:rPr>
                <w:rFonts w:cs="Arial"/>
                <w:color w:val="000000"/>
                <w:szCs w:val="20"/>
              </w:rPr>
              <w:t xml:space="preserve"> </w:t>
            </w:r>
          </w:p>
        </w:tc>
        <w:tc>
          <w:tcPr>
            <w:tcW w:w="1628" w:type="dxa"/>
          </w:tcPr>
          <w:p w14:paraId="6C142532" w14:textId="77777777" w:rsidR="00DF31D3" w:rsidRPr="001B4051" w:rsidRDefault="00DF31D3" w:rsidP="004F42C1">
            <w:pPr>
              <w:pStyle w:val="TableBody"/>
              <w:rPr>
                <w:rFonts w:cs="Arial"/>
                <w:szCs w:val="20"/>
              </w:rPr>
            </w:pPr>
            <w:r w:rsidRPr="001B4051">
              <w:rPr>
                <w:rFonts w:cs="Arial"/>
                <w:szCs w:val="20"/>
              </w:rPr>
              <w:t>No</w:t>
            </w:r>
          </w:p>
        </w:tc>
        <w:tc>
          <w:tcPr>
            <w:tcW w:w="2410" w:type="dxa"/>
          </w:tcPr>
          <w:p w14:paraId="5BE3EB05" w14:textId="77777777" w:rsidR="00DF31D3" w:rsidRPr="001B4051" w:rsidRDefault="00DF31D3" w:rsidP="004F42C1">
            <w:pPr>
              <w:pStyle w:val="TableBody"/>
              <w:rPr>
                <w:rFonts w:cs="Arial"/>
                <w:szCs w:val="20"/>
              </w:rPr>
            </w:pPr>
            <w:r w:rsidRPr="001B4051">
              <w:rPr>
                <w:rFonts w:cs="Arial"/>
                <w:szCs w:val="20"/>
              </w:rPr>
              <w:t>–</w:t>
            </w:r>
          </w:p>
        </w:tc>
      </w:tr>
      <w:tr w:rsidR="00DF31D3" w:rsidRPr="006D46E5" w14:paraId="011A8261" w14:textId="77777777" w:rsidTr="00DF31D3">
        <w:trPr>
          <w:cnfStyle w:val="000000010000" w:firstRow="0" w:lastRow="0" w:firstColumn="0" w:lastColumn="0" w:oddVBand="0" w:evenVBand="0" w:oddHBand="0" w:evenHBand="1" w:firstRowFirstColumn="0" w:firstRowLastColumn="0" w:lastRowFirstColumn="0" w:lastRowLastColumn="0"/>
          <w:cantSplit/>
        </w:trPr>
        <w:tc>
          <w:tcPr>
            <w:tcW w:w="1271" w:type="dxa"/>
          </w:tcPr>
          <w:p w14:paraId="34B4C5E4" w14:textId="77777777" w:rsidR="00DF31D3" w:rsidRPr="001B4051" w:rsidRDefault="00DF31D3" w:rsidP="004F42C1">
            <w:pPr>
              <w:pStyle w:val="TableBody"/>
              <w:rPr>
                <w:rFonts w:cs="Arial"/>
                <w:szCs w:val="20"/>
              </w:rPr>
            </w:pPr>
            <w:r w:rsidRPr="001B4051">
              <w:rPr>
                <w:rFonts w:cs="Arial"/>
                <w:szCs w:val="20"/>
              </w:rPr>
              <w:t>SM26</w:t>
            </w:r>
          </w:p>
        </w:tc>
        <w:tc>
          <w:tcPr>
            <w:tcW w:w="2766" w:type="dxa"/>
          </w:tcPr>
          <w:p w14:paraId="16189692" w14:textId="77777777" w:rsidR="00DF31D3" w:rsidRPr="001B4051" w:rsidRDefault="00DF31D3" w:rsidP="004F42C1">
            <w:pPr>
              <w:pStyle w:val="TableBody"/>
              <w:rPr>
                <w:rFonts w:cs="Arial"/>
                <w:szCs w:val="20"/>
              </w:rPr>
            </w:pPr>
            <w:r w:rsidRPr="001B4051">
              <w:rPr>
                <w:rFonts w:cs="Arial"/>
                <w:szCs w:val="20"/>
              </w:rPr>
              <w:t>Restrictions on apparatus licensing in spectrum</w:t>
            </w:r>
            <w:r>
              <w:rPr>
                <w:rFonts w:cs="Arial"/>
                <w:szCs w:val="20"/>
              </w:rPr>
              <w:t>-</w:t>
            </w:r>
            <w:r w:rsidRPr="001B4051">
              <w:rPr>
                <w:rFonts w:cs="Arial"/>
                <w:szCs w:val="20"/>
              </w:rPr>
              <w:t>licensed spaces</w:t>
            </w:r>
            <w:r>
              <w:rPr>
                <w:rFonts w:cs="Arial"/>
                <w:szCs w:val="20"/>
              </w:rPr>
              <w:t>.</w:t>
            </w:r>
          </w:p>
        </w:tc>
        <w:tc>
          <w:tcPr>
            <w:tcW w:w="1628" w:type="dxa"/>
          </w:tcPr>
          <w:p w14:paraId="4855113E" w14:textId="77777777" w:rsidR="00DF31D3" w:rsidRPr="001B4051" w:rsidRDefault="00DF31D3" w:rsidP="004F42C1">
            <w:pPr>
              <w:pStyle w:val="TableBody"/>
              <w:rPr>
                <w:rFonts w:cs="Arial"/>
                <w:szCs w:val="20"/>
              </w:rPr>
            </w:pPr>
            <w:r w:rsidRPr="001B4051">
              <w:rPr>
                <w:rFonts w:cs="Arial"/>
                <w:szCs w:val="20"/>
              </w:rPr>
              <w:t>No</w:t>
            </w:r>
          </w:p>
        </w:tc>
        <w:tc>
          <w:tcPr>
            <w:tcW w:w="2410" w:type="dxa"/>
          </w:tcPr>
          <w:p w14:paraId="028345D4" w14:textId="77777777" w:rsidR="00DF31D3" w:rsidRPr="001B4051" w:rsidRDefault="00DF31D3" w:rsidP="004F42C1">
            <w:pPr>
              <w:pStyle w:val="TableBody"/>
              <w:rPr>
                <w:rFonts w:cs="Arial"/>
                <w:szCs w:val="20"/>
              </w:rPr>
            </w:pPr>
            <w:r w:rsidRPr="001B4051">
              <w:rPr>
                <w:rFonts w:cs="Arial"/>
                <w:szCs w:val="20"/>
              </w:rPr>
              <w:t>–</w:t>
            </w:r>
          </w:p>
        </w:tc>
      </w:tr>
    </w:tbl>
    <w:p w14:paraId="710864BB" w14:textId="77777777" w:rsidR="00DF31D3" w:rsidRDefault="00DF31D3" w:rsidP="00DF31D3">
      <w:pPr>
        <w:pStyle w:val="Heading2"/>
      </w:pPr>
      <w:bookmarkStart w:id="14" w:name="_Toc137814960"/>
      <w:bookmarkStart w:id="15" w:name="_Toc146800153"/>
      <w:bookmarkStart w:id="16" w:name="_Toc187234559"/>
      <w:bookmarkStart w:id="17" w:name="_Toc201586010"/>
      <w:r>
        <w:t>Frequency coordination requirements (RALIs)</w:t>
      </w:r>
      <w:bookmarkEnd w:id="14"/>
      <w:bookmarkEnd w:id="15"/>
      <w:bookmarkEnd w:id="16"/>
      <w:bookmarkEnd w:id="17"/>
    </w:p>
    <w:p w14:paraId="6A0D522F" w14:textId="77777777" w:rsidR="00DF31D3" w:rsidRPr="008D51DB" w:rsidRDefault="00DF31D3" w:rsidP="00DF31D3">
      <w:pPr>
        <w:pStyle w:val="Heading3"/>
        <w:rPr>
          <w:szCs w:val="22"/>
        </w:rPr>
      </w:pPr>
      <w:bookmarkStart w:id="18" w:name="_Toc201585295"/>
      <w:bookmarkStart w:id="19" w:name="_Toc201586011"/>
      <w:r w:rsidRPr="008D51DB">
        <w:rPr>
          <w:szCs w:val="22"/>
        </w:rPr>
        <w:t>FX03</w:t>
      </w:r>
      <w:bookmarkEnd w:id="18"/>
      <w:bookmarkEnd w:id="19"/>
    </w:p>
    <w:p w14:paraId="1C16D6A1" w14:textId="5E0C1845" w:rsidR="00DF31D3" w:rsidRPr="008D51DB" w:rsidRDefault="00DF31D3" w:rsidP="00DF31D3">
      <w:pPr>
        <w:pStyle w:val="Paragraphbeforelist"/>
      </w:pPr>
      <w:r w:rsidRPr="008D51DB">
        <w:t xml:space="preserve">RALI FX03 details frequency coordination arrangements for microwave fixed services. We intend to </w:t>
      </w:r>
      <w:r w:rsidRPr="00DF31D3">
        <w:t>undertake</w:t>
      </w:r>
      <w:r w:rsidRPr="008D51DB">
        <w:t xml:space="preserve"> a significant review of RALI FX03 arrangements between </w:t>
      </w:r>
      <w:r w:rsidRPr="008D51DB">
        <w:br/>
        <w:t>Q1</w:t>
      </w:r>
      <w:r>
        <w:t>–</w:t>
      </w:r>
      <w:r w:rsidR="0047237B">
        <w:t>4</w:t>
      </w:r>
      <w:r w:rsidR="0047237B" w:rsidRPr="008D51DB">
        <w:t xml:space="preserve"> </w:t>
      </w:r>
      <w:r w:rsidRPr="008D51DB">
        <w:t>2025. A consultation process will be conducted to consider a range of updates. The updates to be considered will include:</w:t>
      </w:r>
    </w:p>
    <w:p w14:paraId="33349423" w14:textId="77777777" w:rsidR="00DF31D3" w:rsidRPr="00DF31D3" w:rsidRDefault="00DF31D3" w:rsidP="00DF31D3">
      <w:pPr>
        <w:pStyle w:val="Bulletlevel1"/>
      </w:pPr>
      <w:r w:rsidRPr="00DF31D3">
        <w:t xml:space="preserve">New channel arrangements of 56 MHz and 112 MHz in the 14.5–15.35 GHz band </w:t>
      </w:r>
      <w:r w:rsidRPr="00DF31D3">
        <w:br/>
        <w:t>(the 15 GHz band) and consideration of arrangements for channel aggregation more broadly across point-to-point bands.</w:t>
      </w:r>
    </w:p>
    <w:p w14:paraId="0323DEA8" w14:textId="77777777" w:rsidR="00DF31D3" w:rsidRPr="00DF31D3" w:rsidRDefault="00DF31D3" w:rsidP="00DF31D3">
      <w:pPr>
        <w:pStyle w:val="Bulletlevel1"/>
      </w:pPr>
      <w:r w:rsidRPr="00DF31D3">
        <w:t>Review of the minimum front-to-back (F/B) ratio requirements and consideration of potential changes to the minimum antenna requirement framework.</w:t>
      </w:r>
    </w:p>
    <w:p w14:paraId="122181A4" w14:textId="77777777" w:rsidR="00DF31D3" w:rsidRPr="00DF31D3" w:rsidRDefault="00DF31D3" w:rsidP="00DF31D3">
      <w:pPr>
        <w:pStyle w:val="Bulletlevel1"/>
      </w:pPr>
      <w:r w:rsidRPr="00DF31D3">
        <w:t xml:space="preserve">Additional information regarding transmitter/antenna/polarisation diversity. </w:t>
      </w:r>
    </w:p>
    <w:p w14:paraId="2A77234F" w14:textId="77777777" w:rsidR="00DF31D3" w:rsidRPr="00DF31D3" w:rsidRDefault="00DF31D3" w:rsidP="00DF31D3">
      <w:pPr>
        <w:pStyle w:val="Bulletlevel1"/>
      </w:pPr>
      <w:r w:rsidRPr="00DF31D3">
        <w:t>Incorporation of non-binding reference (for purposes of guidance only) to relevant European Telecommunication Standards Institute (ETSI) standards and Federal Communication Commission (FCC) rules under Section 2.1.4 of RALI FX3.</w:t>
      </w:r>
    </w:p>
    <w:p w14:paraId="3792570E" w14:textId="77777777" w:rsidR="00DF31D3" w:rsidRPr="00DF31D3" w:rsidRDefault="00DF31D3" w:rsidP="00DF31D3">
      <w:pPr>
        <w:pStyle w:val="Bulletlevel1"/>
      </w:pPr>
      <w:r w:rsidRPr="00DF31D3">
        <w:t>Review of the existing approach to protection ratios and potential improvements to this coordination mechanism.</w:t>
      </w:r>
    </w:p>
    <w:p w14:paraId="04228743" w14:textId="77777777" w:rsidR="00DF31D3" w:rsidRPr="00DF31D3" w:rsidRDefault="00DF31D3" w:rsidP="00DF31D3">
      <w:pPr>
        <w:pStyle w:val="Bulletlevel1"/>
      </w:pPr>
      <w:r w:rsidRPr="00DF31D3">
        <w:t xml:space="preserve">Review of the current approach to minimum path lengths and potential changes to </w:t>
      </w:r>
      <w:r w:rsidRPr="00DF31D3">
        <w:br/>
        <w:t>that approach.</w:t>
      </w:r>
    </w:p>
    <w:p w14:paraId="3BABBA48" w14:textId="77777777" w:rsidR="00DF31D3" w:rsidRPr="008D51DB" w:rsidRDefault="00DF31D3" w:rsidP="00DF31D3">
      <w:pPr>
        <w:pStyle w:val="Bulletlevel1last"/>
      </w:pPr>
      <w:r>
        <w:t>U</w:t>
      </w:r>
      <w:r w:rsidRPr="008D51DB">
        <w:t xml:space="preserve">pdate of the information and requirements for coordination with earth stations </w:t>
      </w:r>
      <w:r>
        <w:br/>
      </w:r>
      <w:r w:rsidRPr="008D51DB">
        <w:t xml:space="preserve">(both transmit and receive) in bands that are shared by fixed services and </w:t>
      </w:r>
      <w:r w:rsidRPr="008D51DB">
        <w:br/>
        <w:t>earth stations.</w:t>
      </w:r>
    </w:p>
    <w:p w14:paraId="461624B0" w14:textId="57D54349" w:rsidR="00DF31D3" w:rsidRPr="008D51DB" w:rsidRDefault="00DF31D3" w:rsidP="00DF31D3">
      <w:pPr>
        <w:pStyle w:val="Paragraph"/>
      </w:pPr>
      <w:r w:rsidRPr="008D51DB">
        <w:t xml:space="preserve">As part of the review, the entire RALI will be considered to ensure it remains </w:t>
      </w:r>
      <w:r w:rsidRPr="008D51DB">
        <w:br/>
      </w:r>
      <w:proofErr w:type="gramStart"/>
      <w:r w:rsidRPr="008D51DB">
        <w:t>up-to-date</w:t>
      </w:r>
      <w:proofErr w:type="gramEnd"/>
      <w:r w:rsidRPr="008D51DB">
        <w:t>, including references to external documents such as International Telecommunications Union Radiocommunication Sector (ITU-R) recommendations and reports. This work has been delayed from the timings in the 2023–24 review work program and is now expected to occur in Q1–</w:t>
      </w:r>
      <w:r w:rsidR="0047237B">
        <w:t>4</w:t>
      </w:r>
      <w:r w:rsidR="0047237B" w:rsidRPr="008D51DB">
        <w:t xml:space="preserve"> </w:t>
      </w:r>
      <w:r w:rsidRPr="008D51DB">
        <w:t xml:space="preserve">2025 </w:t>
      </w:r>
    </w:p>
    <w:p w14:paraId="5A8A472E" w14:textId="772A8057" w:rsidR="00DF31D3" w:rsidRPr="008D51DB" w:rsidRDefault="00DF31D3" w:rsidP="00DF31D3">
      <w:pPr>
        <w:pStyle w:val="Paragraph"/>
      </w:pPr>
      <w:r w:rsidRPr="008D51DB">
        <w:t xml:space="preserve">In addition to the matters outlined above, we are at the final stages of reviewing the </w:t>
      </w:r>
      <w:r w:rsidRPr="008D51DB">
        <w:br/>
        <w:t xml:space="preserve">1880–1920 MHz band (see </w:t>
      </w:r>
      <w:hyperlink r:id="rId28" w:history="1">
        <w:r w:rsidRPr="008D51DB">
          <w:rPr>
            <w:rStyle w:val="Hyperlink"/>
            <w:szCs w:val="22"/>
          </w:rPr>
          <w:t>IFC 40/2021</w:t>
        </w:r>
      </w:hyperlink>
      <w:r w:rsidRPr="008D51DB">
        <w:t xml:space="preserve">). The </w:t>
      </w:r>
      <w:r w:rsidR="005A1A37">
        <w:t>1900</w:t>
      </w:r>
      <w:r w:rsidRPr="008D51DB">
        <w:t xml:space="preserve">–1920 MHz band </w:t>
      </w:r>
      <w:r w:rsidR="008E49FA" w:rsidRPr="008E49FA">
        <w:t>has been identified</w:t>
      </w:r>
      <w:r w:rsidRPr="008D51DB">
        <w:t xml:space="preserve"> for </w:t>
      </w:r>
      <w:r w:rsidRPr="008D51DB">
        <w:lastRenderedPageBreak/>
        <w:t>changes to support new technologies including DECT-2020</w:t>
      </w:r>
      <w:r w:rsidRPr="008D51DB">
        <w:rPr>
          <w:rStyle w:val="FootnoteReference"/>
          <w:szCs w:val="22"/>
        </w:rPr>
        <w:footnoteReference w:id="3"/>
      </w:r>
      <w:r w:rsidRPr="008D51DB">
        <w:t xml:space="preserve"> and future rail mobile communications systems. Consultation on the </w:t>
      </w:r>
      <w:r w:rsidR="001724F8" w:rsidRPr="001724F8">
        <w:t xml:space="preserve">implementation of the </w:t>
      </w:r>
      <w:r w:rsidRPr="008D51DB">
        <w:t>proposed arrangements in the 1900–1920 MHz frequency range is planned for Q</w:t>
      </w:r>
      <w:r w:rsidR="00CC057F">
        <w:t>3</w:t>
      </w:r>
      <w:r w:rsidRPr="008D51DB">
        <w:t xml:space="preserve"> 2025. This may result in future changes to RALI FX03.</w:t>
      </w:r>
    </w:p>
    <w:p w14:paraId="10C99862" w14:textId="6D378E90" w:rsidR="00345729" w:rsidRPr="008D51DB" w:rsidRDefault="00345729" w:rsidP="00345729">
      <w:pPr>
        <w:pStyle w:val="Heading3"/>
        <w:keepLines/>
        <w:rPr>
          <w:szCs w:val="22"/>
        </w:rPr>
      </w:pPr>
      <w:bookmarkStart w:id="20" w:name="_Ref187668032"/>
      <w:bookmarkStart w:id="21" w:name="_Toc201585297"/>
      <w:bookmarkStart w:id="22" w:name="_Toc201586013"/>
      <w:r w:rsidRPr="008D51DB">
        <w:rPr>
          <w:szCs w:val="22"/>
        </w:rPr>
        <w:t>FX1</w:t>
      </w:r>
      <w:r>
        <w:rPr>
          <w:szCs w:val="22"/>
        </w:rPr>
        <w:t>9</w:t>
      </w:r>
      <w:r w:rsidR="00B601CD">
        <w:rPr>
          <w:rStyle w:val="FootnoteReference"/>
          <w:szCs w:val="22"/>
        </w:rPr>
        <w:footnoteReference w:id="4"/>
      </w:r>
    </w:p>
    <w:p w14:paraId="20E79F80" w14:textId="61C5FADA" w:rsidR="00345729" w:rsidRDefault="00345729" w:rsidP="00345729">
      <w:pPr>
        <w:pStyle w:val="Paragraph"/>
      </w:pPr>
      <w:r w:rsidRPr="00376858">
        <w:t>RALI FX1</w:t>
      </w:r>
      <w:r>
        <w:t>9</w:t>
      </w:r>
      <w:r w:rsidRPr="00376858">
        <w:t xml:space="preserve"> provides</w:t>
      </w:r>
      <w:r>
        <w:t xml:space="preserve"> frequency coordination and licensing procedures for apparatus licensed broadband wireless access services in the 1900</w:t>
      </w:r>
      <w:r w:rsidR="00A32ABE">
        <w:t>–</w:t>
      </w:r>
      <w:r>
        <w:t>1920 MHz band.</w:t>
      </w:r>
    </w:p>
    <w:p w14:paraId="347D7E24" w14:textId="32A8EB4D" w:rsidR="00345729" w:rsidRDefault="00B601CD" w:rsidP="00CD07FE">
      <w:pPr>
        <w:pStyle w:val="Paragraph"/>
      </w:pPr>
      <w:r>
        <w:t xml:space="preserve">We are aiming to consult on changes to RALI FX19 to </w:t>
      </w:r>
      <w:r w:rsidR="00345729">
        <w:t>introduce provisions for indoor short-range wireless broadband services in the 1900</w:t>
      </w:r>
      <w:r w:rsidR="00A32ABE">
        <w:t>–</w:t>
      </w:r>
      <w:r w:rsidR="00345729">
        <w:t xml:space="preserve">1920 MHz frequency range. This follows </w:t>
      </w:r>
      <w:r w:rsidR="00A32ABE">
        <w:t xml:space="preserve">the </w:t>
      </w:r>
      <w:r w:rsidR="00345729">
        <w:t xml:space="preserve">release of an outcomes paper in November 2023 on the </w:t>
      </w:r>
      <w:hyperlink r:id="rId29" w:history="1">
        <w:r w:rsidR="00345729" w:rsidRPr="00376858">
          <w:rPr>
            <w:rStyle w:val="Hyperlink"/>
            <w:szCs w:val="22"/>
          </w:rPr>
          <w:t>future use of the 1.9 GHz band</w:t>
        </w:r>
      </w:hyperlink>
      <w:r w:rsidR="00345729">
        <w:t>.</w:t>
      </w:r>
      <w:r w:rsidR="00345729">
        <w:rPr>
          <w:rStyle w:val="FootnoteReference"/>
        </w:rPr>
        <w:footnoteReference w:id="5"/>
      </w:r>
      <w:r>
        <w:t xml:space="preserve"> Implementation of these new arrangements are planned for the period Q3</w:t>
      </w:r>
      <w:r w:rsidR="00A32ABE">
        <w:t>–</w:t>
      </w:r>
      <w:r>
        <w:t xml:space="preserve">Q4 2025. </w:t>
      </w:r>
    </w:p>
    <w:p w14:paraId="2D9ED6B1" w14:textId="3327192E" w:rsidR="00DF31D3" w:rsidRPr="008D51DB" w:rsidRDefault="00DF31D3" w:rsidP="00DF31D3">
      <w:pPr>
        <w:pStyle w:val="Heading3"/>
        <w:rPr>
          <w:szCs w:val="22"/>
        </w:rPr>
      </w:pPr>
      <w:r w:rsidRPr="008D51DB">
        <w:rPr>
          <w:szCs w:val="22"/>
        </w:rPr>
        <w:t>FX20</w:t>
      </w:r>
      <w:bookmarkEnd w:id="20"/>
      <w:bookmarkEnd w:id="21"/>
      <w:bookmarkEnd w:id="22"/>
    </w:p>
    <w:p w14:paraId="419F1A8B" w14:textId="77777777" w:rsidR="00DF31D3" w:rsidRPr="008D51DB" w:rsidRDefault="00DF31D3" w:rsidP="00DF31D3">
      <w:pPr>
        <w:pStyle w:val="Paragraph"/>
      </w:pPr>
      <w:r w:rsidRPr="008D51DB">
        <w:t xml:space="preserve">RALI FX20 details the frequency coordination and licensing procedures for </w:t>
      </w:r>
      <w:r w:rsidRPr="008D51DB">
        <w:br/>
        <w:t xml:space="preserve">self-coordinated point-to-point stations in the 58, 75 and 85 GHz bands. In feedback to the </w:t>
      </w:r>
      <w:hyperlink r:id="rId30" w:history="1">
        <w:r w:rsidRPr="008D51DB">
          <w:rPr>
            <w:rStyle w:val="Hyperlink"/>
            <w:szCs w:val="22"/>
          </w:rPr>
          <w:t>2022–27 FYSO</w:t>
        </w:r>
      </w:hyperlink>
      <w:r w:rsidRPr="008D51DB">
        <w:t xml:space="preserve">, industry indicated that the 71–76 GHz and 81–86 GHz frequency ranges are becoming important to support the increasing demand for high-speed satellite services and that </w:t>
      </w:r>
      <w:r>
        <w:t>we</w:t>
      </w:r>
      <w:r w:rsidRPr="008D51DB">
        <w:t xml:space="preserve"> should support the introduction of satellite communications services in these bands. </w:t>
      </w:r>
    </w:p>
    <w:p w14:paraId="0FCA22F6" w14:textId="1557BD6C" w:rsidR="00DF31D3" w:rsidRPr="008D51DB" w:rsidRDefault="00DF31D3" w:rsidP="00DF31D3">
      <w:pPr>
        <w:pStyle w:val="Paragraph"/>
      </w:pPr>
      <w:r w:rsidRPr="008D51DB">
        <w:t>We are currently considering arrangements to support satellite services on a coordinated basis with point-to-point links operating under RALI FX20, which will potentially require updates to this RALI</w:t>
      </w:r>
      <w:r w:rsidR="0032502A">
        <w:t xml:space="preserve">. In March/April 2025, we consulted on proposed changes to </w:t>
      </w:r>
      <w:hyperlink r:id="rId31" w:history="1">
        <w:r w:rsidR="0032502A" w:rsidRPr="0047237B">
          <w:rPr>
            <w:rStyle w:val="Hyperlink"/>
          </w:rPr>
          <w:t>RALI FX20</w:t>
        </w:r>
      </w:hyperlink>
      <w:r w:rsidR="0032502A">
        <w:t xml:space="preserve"> (</w:t>
      </w:r>
      <w:r w:rsidR="0032502A" w:rsidRPr="008D51DB">
        <w:t>in conjunction with possible updates of RALI MS31</w:t>
      </w:r>
      <w:r w:rsidR="0032502A">
        <w:t xml:space="preserve"> and RALI MS45) and plan to release an outcome in </w:t>
      </w:r>
      <w:r w:rsidR="0032502A" w:rsidRPr="008D51DB">
        <w:t>Q</w:t>
      </w:r>
      <w:r w:rsidR="00ED726D">
        <w:t>3</w:t>
      </w:r>
      <w:r w:rsidR="0032502A" w:rsidRPr="008D51DB">
        <w:t xml:space="preserve"> 2025</w:t>
      </w:r>
      <w:r w:rsidR="00A32ABE">
        <w:t>.</w:t>
      </w:r>
      <w:r w:rsidRPr="008D51DB">
        <w:t xml:space="preserve"> </w:t>
      </w:r>
    </w:p>
    <w:p w14:paraId="58ABF063" w14:textId="77777777" w:rsidR="00DF31D3" w:rsidRPr="008D51DB" w:rsidRDefault="00DF31D3" w:rsidP="00DF31D3">
      <w:pPr>
        <w:pStyle w:val="Heading3"/>
        <w:rPr>
          <w:szCs w:val="22"/>
        </w:rPr>
      </w:pPr>
      <w:bookmarkStart w:id="23" w:name="_Toc201585298"/>
      <w:bookmarkStart w:id="24" w:name="_Toc201586014"/>
      <w:r w:rsidRPr="008D51DB">
        <w:rPr>
          <w:szCs w:val="22"/>
        </w:rPr>
        <w:t>FX21</w:t>
      </w:r>
      <w:bookmarkEnd w:id="23"/>
      <w:bookmarkEnd w:id="24"/>
    </w:p>
    <w:p w14:paraId="5731E892" w14:textId="77777777" w:rsidR="00DF31D3" w:rsidRPr="008D51DB" w:rsidRDefault="00DF31D3" w:rsidP="00DF31D3">
      <w:pPr>
        <w:pStyle w:val="Paragraph"/>
      </w:pPr>
      <w:r w:rsidRPr="008D51DB">
        <w:t xml:space="preserve">RALI FX21 contains frequency coordination and licensing arrangements for Television Outside Broadcast (TOB) services in the bands 1980–2110 MHz and 2170–2300 </w:t>
      </w:r>
      <w:proofErr w:type="spellStart"/>
      <w:r w:rsidRPr="008D51DB">
        <w:t>MHz.</w:t>
      </w:r>
      <w:proofErr w:type="spellEnd"/>
      <w:r w:rsidRPr="008D51DB">
        <w:t xml:space="preserve"> This RALI was updated in August 2022 to reflect new arrangements for TOB services and the introduction of mobile satellite services (MSS) in 1980–2010 MHz and 2170–2200 MHz </w:t>
      </w:r>
      <w:r>
        <w:br/>
      </w:r>
      <w:r w:rsidRPr="008D51DB">
        <w:t xml:space="preserve">(see </w:t>
      </w:r>
      <w:hyperlink r:id="rId32" w:history="1">
        <w:r w:rsidRPr="00D72ECD">
          <w:rPr>
            <w:rStyle w:val="Hyperlink"/>
            <w:szCs w:val="22"/>
          </w:rPr>
          <w:t>RALI FX21: Television outside broadcast services</w:t>
        </w:r>
      </w:hyperlink>
      <w:r w:rsidRPr="008D51DB">
        <w:t xml:space="preserve">). </w:t>
      </w:r>
    </w:p>
    <w:p w14:paraId="30B40461" w14:textId="77777777" w:rsidR="00DF31D3" w:rsidRPr="008D51DB" w:rsidRDefault="00DF31D3" w:rsidP="00DF31D3">
      <w:pPr>
        <w:pStyle w:val="Paragraph"/>
      </w:pPr>
      <w:r w:rsidRPr="008D51DB">
        <w:t>As work to support the introduction of MSS continues, there are likely to be future consequential updates to FX21. At this stage no changes are envisaged until Q3 2025 or later</w:t>
      </w:r>
      <w:r>
        <w:t xml:space="preserve">. This </w:t>
      </w:r>
      <w:bookmarkStart w:id="25" w:name="_Hlk137128975"/>
      <w:r w:rsidRPr="008D51DB">
        <w:t xml:space="preserve">is when </w:t>
      </w:r>
      <w:r>
        <w:t xml:space="preserve">we plan to </w:t>
      </w:r>
      <w:r w:rsidRPr="008D51DB">
        <w:t>consult on</w:t>
      </w:r>
      <w:r w:rsidRPr="008D51DB">
        <w:rPr>
          <w:rFonts w:eastAsia="Arial"/>
        </w:rPr>
        <w:t xml:space="preserve"> the draft technical framework instruments supporting the allocation of licences for MSS</w:t>
      </w:r>
      <w:r w:rsidRPr="008D51DB">
        <w:t>.</w:t>
      </w:r>
      <w:bookmarkEnd w:id="25"/>
    </w:p>
    <w:p w14:paraId="0518C0D4" w14:textId="77777777" w:rsidR="00DF31D3" w:rsidRPr="008D51DB" w:rsidRDefault="00DF31D3" w:rsidP="00DF31D3">
      <w:pPr>
        <w:pStyle w:val="Heading3"/>
        <w:keepLines/>
        <w:rPr>
          <w:szCs w:val="22"/>
        </w:rPr>
      </w:pPr>
      <w:bookmarkStart w:id="26" w:name="_Toc201585299"/>
      <w:bookmarkStart w:id="27" w:name="_Toc201586015"/>
      <w:r w:rsidRPr="008D51DB">
        <w:rPr>
          <w:szCs w:val="22"/>
        </w:rPr>
        <w:t>LM05</w:t>
      </w:r>
      <w:bookmarkEnd w:id="26"/>
      <w:bookmarkEnd w:id="27"/>
    </w:p>
    <w:p w14:paraId="21AA3259" w14:textId="77777777" w:rsidR="00DF31D3" w:rsidRPr="008D51DB" w:rsidRDefault="00DF31D3" w:rsidP="00DF31D3">
      <w:pPr>
        <w:pStyle w:val="Paragraph"/>
      </w:pPr>
      <w:r w:rsidRPr="008D51DB">
        <w:t xml:space="preserve">RALI LM05 frequency assignment procedures for the </w:t>
      </w:r>
      <w:r>
        <w:t>l</w:t>
      </w:r>
      <w:r w:rsidRPr="008D51DB">
        <w:t xml:space="preserve">and </w:t>
      </w:r>
      <w:r>
        <w:t>m</w:t>
      </w:r>
      <w:r w:rsidRPr="008D51DB">
        <w:t xml:space="preserve">obile </w:t>
      </w:r>
      <w:r>
        <w:t>s</w:t>
      </w:r>
      <w:r w:rsidRPr="008D51DB">
        <w:t>ervice (LMS) in spectrum adjacent to television channels 2, 3 and 6. This RALI has been flagged for review for some time given the reduced/ceased use of TV channels 2, 3 and 6</w:t>
      </w:r>
      <w:r>
        <w:t>. H</w:t>
      </w:r>
      <w:r w:rsidRPr="008D51DB">
        <w:t>owever</w:t>
      </w:r>
      <w:r>
        <w:t>,</w:t>
      </w:r>
      <w:r w:rsidRPr="008D51DB">
        <w:t xml:space="preserve"> this review is not considered urgent and will be undertaken when resources permit in consideration of our other priorities. There is currently no set timeframe for reviewing this RALI.</w:t>
      </w:r>
    </w:p>
    <w:p w14:paraId="195A560D" w14:textId="77777777" w:rsidR="00DF31D3" w:rsidRPr="008D51DB" w:rsidRDefault="00DF31D3" w:rsidP="00DF31D3">
      <w:pPr>
        <w:pStyle w:val="Heading3"/>
        <w:keepLines/>
        <w:rPr>
          <w:szCs w:val="22"/>
        </w:rPr>
      </w:pPr>
      <w:bookmarkStart w:id="28" w:name="_Toc201585300"/>
      <w:bookmarkStart w:id="29" w:name="_Toc201586016"/>
      <w:r w:rsidRPr="008D51DB">
        <w:rPr>
          <w:szCs w:val="22"/>
        </w:rPr>
        <w:lastRenderedPageBreak/>
        <w:t>LM08</w:t>
      </w:r>
      <w:bookmarkEnd w:id="28"/>
      <w:bookmarkEnd w:id="29"/>
    </w:p>
    <w:p w14:paraId="39A402C5" w14:textId="77777777" w:rsidR="00DF31D3" w:rsidRPr="00DF31D3" w:rsidRDefault="00DF31D3" w:rsidP="00DF31D3">
      <w:pPr>
        <w:pStyle w:val="Paragraph"/>
        <w:keepNext/>
      </w:pPr>
      <w:hyperlink r:id="rId33" w:history="1">
        <w:r w:rsidRPr="00DF31D3">
          <w:rPr>
            <w:rStyle w:val="Hyperlink"/>
            <w:color w:val="auto"/>
            <w:u w:val="none"/>
          </w:rPr>
          <w:t>RALI LM08</w:t>
        </w:r>
      </w:hyperlink>
      <w:r w:rsidRPr="00DF31D3">
        <w:t xml:space="preserve"> contains frequency assignment requirements for the land mobile service. </w:t>
      </w:r>
    </w:p>
    <w:p w14:paraId="640B156F" w14:textId="77777777" w:rsidR="00DF31D3" w:rsidRPr="00DF31D3" w:rsidRDefault="00DF31D3" w:rsidP="00DF31D3">
      <w:pPr>
        <w:pStyle w:val="Paragraph"/>
      </w:pPr>
      <w:r w:rsidRPr="00DF31D3">
        <w:t xml:space="preserve">We intend to continue our internal review of the frequency/distance reuse constraints in the 400 MHz band. This work will evaluate the scale of benefits that revised reuse distances, based on modern propagation modelling, may have on the assignment efficiency for different types for land mobile and ambulatory systems. It will follow on from our initial internal study, which identified some opportunities to reduce the distance constraints through the application of the propagation model in Recommendation ITU-R P.1546-6. As mentioned in our response to submissions to the 2023–24 work program, </w:t>
      </w:r>
      <w:r w:rsidRPr="00D15C6E">
        <w:rPr>
          <w:i/>
          <w:iCs/>
        </w:rPr>
        <w:t>we have decided to continue reviewing the distance constraints in light of the increasing number of ambulatory services (which weren’t contemplated in our initial consideration of the matter).</w:t>
      </w:r>
      <w:r w:rsidRPr="00DF31D3">
        <w:t xml:space="preserve"> Depending on the findings of this internal review, we may commence public consultation on potential updates to RALI LM08, in Q3 2025 at the earliest.</w:t>
      </w:r>
    </w:p>
    <w:p w14:paraId="1842234F" w14:textId="77777777" w:rsidR="00DF31D3" w:rsidRPr="008D51DB" w:rsidRDefault="00DF31D3" w:rsidP="00DF31D3">
      <w:pPr>
        <w:pStyle w:val="Heading3"/>
        <w:rPr>
          <w:szCs w:val="22"/>
        </w:rPr>
      </w:pPr>
      <w:bookmarkStart w:id="30" w:name="_Toc201585301"/>
      <w:bookmarkStart w:id="31" w:name="_Toc201586017"/>
      <w:r w:rsidRPr="008D51DB">
        <w:rPr>
          <w:szCs w:val="22"/>
        </w:rPr>
        <w:t>MS31</w:t>
      </w:r>
      <w:bookmarkEnd w:id="30"/>
      <w:bookmarkEnd w:id="31"/>
    </w:p>
    <w:p w14:paraId="3C515B53" w14:textId="77777777" w:rsidR="00DF31D3" w:rsidRPr="008D51DB" w:rsidRDefault="00DF31D3" w:rsidP="00DF31D3">
      <w:pPr>
        <w:pStyle w:val="Paragraph"/>
      </w:pPr>
      <w:r w:rsidRPr="008D51DB">
        <w:t xml:space="preserve">RALI MS31 prescribes a process for notifying the Commonwealth Scientific and Industrial Research Organisation (CSIRO) of prospective frequency assignments to apparatus licensed services that might impede or degrade the operation of key radioastronomy facilities. </w:t>
      </w:r>
    </w:p>
    <w:p w14:paraId="18295FE3" w14:textId="1E85F867" w:rsidR="00DF31D3" w:rsidRPr="008D51DB" w:rsidRDefault="00DF31D3" w:rsidP="00DF31D3">
      <w:pPr>
        <w:pStyle w:val="Paragraph"/>
      </w:pPr>
      <w:r w:rsidRPr="008D51DB">
        <w:t xml:space="preserve">Currently, arrangements for coexistence with radioastronomy facilities in the 75 GHz and </w:t>
      </w:r>
      <w:r>
        <w:br/>
      </w:r>
      <w:r w:rsidRPr="008D51DB">
        <w:t xml:space="preserve">85 GHz bands are detailed in RALI FX20, which is limited to the notification about prospective fixed point-to-point stations. Given the proposed introduction of fixed satellite services into these bands (see proposed changes to RALI </w:t>
      </w:r>
      <w:r w:rsidRPr="008D51DB">
        <w:fldChar w:fldCharType="begin"/>
      </w:r>
      <w:r w:rsidRPr="008D51DB">
        <w:instrText xml:space="preserve"> REF _Ref187668032 \h </w:instrText>
      </w:r>
      <w:r>
        <w:instrText xml:space="preserve"> \* MERGEFORMAT </w:instrText>
      </w:r>
      <w:r w:rsidRPr="008D51DB">
        <w:fldChar w:fldCharType="separate"/>
      </w:r>
      <w:r w:rsidRPr="008D51DB">
        <w:t>FX20</w:t>
      </w:r>
      <w:r w:rsidRPr="008D51DB">
        <w:fldChar w:fldCharType="end"/>
      </w:r>
      <w:r w:rsidRPr="008D51DB">
        <w:t>), we are considering moving these notification requirements from RALI FX20 to RALI MS31 so that they apply to all service types in the band.</w:t>
      </w:r>
      <w:r w:rsidR="0032502A">
        <w:t xml:space="preserve"> In March/April 2025, we consulted on proposed changes</w:t>
      </w:r>
      <w:r w:rsidR="00A301D2">
        <w:t xml:space="preserve"> to</w:t>
      </w:r>
      <w:r w:rsidR="0032502A">
        <w:t xml:space="preserve"> </w:t>
      </w:r>
      <w:hyperlink r:id="rId34" w:history="1">
        <w:r w:rsidR="00A301D2">
          <w:rPr>
            <w:rStyle w:val="Hyperlink"/>
          </w:rPr>
          <w:t>RALI MS31</w:t>
        </w:r>
      </w:hyperlink>
      <w:r w:rsidR="0032502A">
        <w:t xml:space="preserve"> (</w:t>
      </w:r>
      <w:r w:rsidR="0032502A" w:rsidRPr="008D51DB">
        <w:t>in conjunction with possible updates of RALI FX20 and RALI MS</w:t>
      </w:r>
      <w:r w:rsidR="0032502A">
        <w:t xml:space="preserve">45) and plan to release an outcome in </w:t>
      </w:r>
      <w:r w:rsidR="0032502A" w:rsidRPr="008D51DB">
        <w:t>Q</w:t>
      </w:r>
      <w:r w:rsidR="00ED726D">
        <w:t>3</w:t>
      </w:r>
      <w:r w:rsidR="0032502A" w:rsidRPr="008D51DB">
        <w:t xml:space="preserve"> 2025</w:t>
      </w:r>
      <w:r w:rsidR="00A32ABE">
        <w:t>.</w:t>
      </w:r>
      <w:r w:rsidRPr="008D51DB">
        <w:t xml:space="preserve"> </w:t>
      </w:r>
    </w:p>
    <w:p w14:paraId="06504E0D" w14:textId="77777777" w:rsidR="00DF31D3" w:rsidRPr="008D51DB" w:rsidRDefault="00DF31D3" w:rsidP="00DF31D3">
      <w:pPr>
        <w:pStyle w:val="Heading3"/>
        <w:keepLines/>
        <w:rPr>
          <w:szCs w:val="22"/>
        </w:rPr>
      </w:pPr>
      <w:bookmarkStart w:id="32" w:name="_Toc201585302"/>
      <w:bookmarkStart w:id="33" w:name="_Toc201586018"/>
      <w:r w:rsidRPr="008D51DB">
        <w:rPr>
          <w:szCs w:val="22"/>
        </w:rPr>
        <w:t>MS35</w:t>
      </w:r>
      <w:bookmarkEnd w:id="32"/>
      <w:bookmarkEnd w:id="33"/>
    </w:p>
    <w:p w14:paraId="51CF003E" w14:textId="05E1DE27" w:rsidR="00DF31D3" w:rsidRPr="00DF31D3" w:rsidRDefault="00DF31D3" w:rsidP="00DF31D3">
      <w:pPr>
        <w:pStyle w:val="Paragraph"/>
      </w:pPr>
      <w:r w:rsidRPr="00DF31D3">
        <w:t xml:space="preserve">RALI MS35 contains the requirements for coordination of 2.5 GHz band spectrum licensed transmitters with radiodetermination stations operated by the Department of Defence in the 2700–2900 MHz band. A review of this RALI </w:t>
      </w:r>
      <w:r w:rsidR="007F2CC0">
        <w:t>may</w:t>
      </w:r>
      <w:r w:rsidRPr="00DF31D3">
        <w:t xml:space="preserve"> occur as part of the review of the 2.5 GHz spectrum licence technical framework. As part of this review, we will convene a 2.5 GHz </w:t>
      </w:r>
      <w:r w:rsidR="00131DE3">
        <w:t>technical liaison group (</w:t>
      </w:r>
      <w:r w:rsidRPr="00DF31D3">
        <w:t>TLG</w:t>
      </w:r>
      <w:r w:rsidR="00131DE3">
        <w:rPr>
          <w:rStyle w:val="FootnoteReference"/>
        </w:rPr>
        <w:footnoteReference w:id="6"/>
      </w:r>
      <w:r w:rsidR="00131DE3">
        <w:t>)</w:t>
      </w:r>
      <w:r w:rsidRPr="00DF31D3">
        <w:t>, which is expected to commence in Q</w:t>
      </w:r>
      <w:r w:rsidR="001952AA">
        <w:t>3</w:t>
      </w:r>
      <w:r w:rsidRPr="00DF31D3">
        <w:t xml:space="preserve"> 2025. </w:t>
      </w:r>
    </w:p>
    <w:p w14:paraId="0D493B38" w14:textId="77777777" w:rsidR="00DF31D3" w:rsidRPr="008D51DB" w:rsidRDefault="00DF31D3" w:rsidP="00DF31D3">
      <w:pPr>
        <w:pStyle w:val="Heading3"/>
        <w:keepLines/>
        <w:rPr>
          <w:szCs w:val="22"/>
        </w:rPr>
      </w:pPr>
      <w:bookmarkStart w:id="34" w:name="_Toc201585303"/>
      <w:bookmarkStart w:id="35" w:name="_Toc201586019"/>
      <w:r w:rsidRPr="008D51DB">
        <w:rPr>
          <w:szCs w:val="22"/>
        </w:rPr>
        <w:t>MS37</w:t>
      </w:r>
      <w:bookmarkEnd w:id="34"/>
      <w:bookmarkEnd w:id="35"/>
    </w:p>
    <w:p w14:paraId="4D718E03" w14:textId="7CA5A2F2" w:rsidR="00DF31D3" w:rsidRPr="008D51DB" w:rsidRDefault="00DF31D3" w:rsidP="00DF31D3">
      <w:pPr>
        <w:pStyle w:val="Paragraph"/>
      </w:pPr>
      <w:r w:rsidRPr="008D51DB">
        <w:t>RALI MS37 contains the requirements for coordination of 2.3 GHz band spectrum licensed devices with space research service earth stations in the 2290</w:t>
      </w:r>
      <w:r>
        <w:t>–</w:t>
      </w:r>
      <w:r w:rsidRPr="008D51DB">
        <w:t xml:space="preserve">2300 MHz band. 2.3 GHz spectrum-licensed devices may now also use advanced antenna systems. While it is unclear if this will impact coordination with earth stations in the 2290–2300 MHz band, there may be benefit in assessing whether any changes to this RALI are warranted. We </w:t>
      </w:r>
      <w:r w:rsidR="007F2CC0">
        <w:t>may</w:t>
      </w:r>
      <w:r w:rsidR="007F2CC0" w:rsidRPr="008D51DB">
        <w:t xml:space="preserve"> </w:t>
      </w:r>
      <w:r w:rsidRPr="008D51DB">
        <w:t>review this RALI in combination with the 2.5 GHz TLG</w:t>
      </w:r>
      <w:r>
        <w:t>,</w:t>
      </w:r>
      <w:r w:rsidRPr="008D51DB">
        <w:t xml:space="preserve"> which is expected to commence in Q</w:t>
      </w:r>
      <w:r w:rsidR="001952AA">
        <w:t>3</w:t>
      </w:r>
      <w:r w:rsidRPr="008D51DB">
        <w:t xml:space="preserve"> 2025.</w:t>
      </w:r>
    </w:p>
    <w:p w14:paraId="1861EB8C" w14:textId="77777777" w:rsidR="00DF31D3" w:rsidRPr="008D51DB" w:rsidRDefault="00DF31D3" w:rsidP="00DF31D3">
      <w:pPr>
        <w:pStyle w:val="Heading3"/>
        <w:keepLines/>
        <w:rPr>
          <w:szCs w:val="22"/>
        </w:rPr>
      </w:pPr>
      <w:bookmarkStart w:id="36" w:name="_Toc201585304"/>
      <w:bookmarkStart w:id="37" w:name="_Toc201586020"/>
      <w:r w:rsidRPr="008D51DB">
        <w:rPr>
          <w:szCs w:val="22"/>
        </w:rPr>
        <w:t>MS45</w:t>
      </w:r>
      <w:bookmarkEnd w:id="36"/>
      <w:bookmarkEnd w:id="37"/>
    </w:p>
    <w:p w14:paraId="7F962742" w14:textId="1548E2D9" w:rsidR="00DF31D3" w:rsidRPr="008D51DB" w:rsidRDefault="00DF31D3" w:rsidP="00DF31D3">
      <w:pPr>
        <w:pStyle w:val="Paragraph"/>
      </w:pPr>
      <w:r w:rsidRPr="008D51DB">
        <w:t xml:space="preserve">RALI MS45 sets out the requirements for coordination between microwave fixed point-to-point links and fixed-satellite service (FSS) earth stations. We </w:t>
      </w:r>
      <w:r w:rsidR="00CC4DB2">
        <w:t>are</w:t>
      </w:r>
      <w:r w:rsidRPr="008D51DB">
        <w:t xml:space="preserve"> consider</w:t>
      </w:r>
      <w:r w:rsidR="00CC4DB2">
        <w:t>ing</w:t>
      </w:r>
      <w:r w:rsidRPr="008D51DB">
        <w:t xml:space="preserve"> expanding the scope of this RALI to include coordination arrangements for FSS earth receive stations, </w:t>
      </w:r>
      <w:r w:rsidRPr="008D51DB">
        <w:lastRenderedPageBreak/>
        <w:t xml:space="preserve">along with adding frequency bands that are shared between fixed services and earth stations. </w:t>
      </w:r>
      <w:r w:rsidR="0032502A">
        <w:t xml:space="preserve">In March/April 2025, we consulted on proposed changes to </w:t>
      </w:r>
      <w:hyperlink r:id="rId35" w:history="1">
        <w:r w:rsidR="0032502A" w:rsidRPr="0047237B">
          <w:rPr>
            <w:rStyle w:val="Hyperlink"/>
          </w:rPr>
          <w:t>RALI MS45</w:t>
        </w:r>
      </w:hyperlink>
      <w:r w:rsidR="0032502A">
        <w:t xml:space="preserve"> (</w:t>
      </w:r>
      <w:r w:rsidRPr="008D51DB">
        <w:t>in conjunction with possible updates of RALI FX20 and RALI MS31</w:t>
      </w:r>
      <w:r w:rsidR="0032502A">
        <w:t xml:space="preserve">) and plan to release an outcome in </w:t>
      </w:r>
      <w:r w:rsidRPr="008D51DB">
        <w:t>Q</w:t>
      </w:r>
      <w:r w:rsidR="00ED726D">
        <w:t>3</w:t>
      </w:r>
      <w:r w:rsidRPr="008D51DB">
        <w:t xml:space="preserve"> 2025.</w:t>
      </w:r>
    </w:p>
    <w:p w14:paraId="3E6D012B" w14:textId="77777777" w:rsidR="00DF31D3" w:rsidRPr="008D51DB" w:rsidRDefault="00DF31D3" w:rsidP="00DF31D3">
      <w:pPr>
        <w:pStyle w:val="Heading3"/>
        <w:keepLines/>
        <w:rPr>
          <w:szCs w:val="22"/>
        </w:rPr>
      </w:pPr>
      <w:bookmarkStart w:id="38" w:name="_Toc201585305"/>
      <w:bookmarkStart w:id="39" w:name="_Toc201586021"/>
      <w:r w:rsidRPr="008D51DB">
        <w:rPr>
          <w:szCs w:val="22"/>
        </w:rPr>
        <w:t>MS47</w:t>
      </w:r>
      <w:bookmarkEnd w:id="38"/>
      <w:bookmarkEnd w:id="39"/>
    </w:p>
    <w:p w14:paraId="76D2A190" w14:textId="6C8F3CE1" w:rsidR="00DF31D3" w:rsidRPr="00DF31D3" w:rsidRDefault="00DF31D3" w:rsidP="00DF31D3">
      <w:pPr>
        <w:pStyle w:val="Paragraph"/>
      </w:pPr>
      <w:r w:rsidRPr="00DF31D3">
        <w:t xml:space="preserve">RALI MS47 details the licensing and coordination requirements for area-wide apparatus licensed services in the 3400–4000 MHz band. As arrangements have now been finalised in this band, consequential revisions to RALI MS47 will be made. In October 2024, a revision to RALI MS47 was proposed as part of the </w:t>
      </w:r>
      <w:hyperlink r:id="rId36" w:history="1">
        <w:r w:rsidRPr="0032502A">
          <w:rPr>
            <w:rStyle w:val="Hyperlink"/>
          </w:rPr>
          <w:t xml:space="preserve">consultation </w:t>
        </w:r>
        <w:r w:rsidRPr="00A301D2">
          <w:rPr>
            <w:rStyle w:val="Hyperlink"/>
          </w:rPr>
          <w:t>Remaking the Fixed Licence LCD and revised arrangements for the 3.4–4 GHz band</w:t>
        </w:r>
      </w:hyperlink>
      <w:r w:rsidRPr="00DF31D3">
        <w:t>. Updates are expected to occur in Q</w:t>
      </w:r>
      <w:r w:rsidR="00B601CD">
        <w:t>3</w:t>
      </w:r>
      <w:r w:rsidRPr="00DF31D3">
        <w:t xml:space="preserve"> 2025.</w:t>
      </w:r>
    </w:p>
    <w:p w14:paraId="098D1471" w14:textId="77777777" w:rsidR="00DF31D3" w:rsidRPr="008D51DB" w:rsidRDefault="00DF31D3" w:rsidP="00DF31D3">
      <w:pPr>
        <w:pStyle w:val="Heading3"/>
        <w:keepLines/>
        <w:rPr>
          <w:szCs w:val="22"/>
        </w:rPr>
      </w:pPr>
      <w:bookmarkStart w:id="40" w:name="_Toc201585306"/>
      <w:bookmarkStart w:id="41" w:name="_Toc201586022"/>
      <w:r w:rsidRPr="008D51DB">
        <w:rPr>
          <w:szCs w:val="22"/>
        </w:rPr>
        <w:t>MS48</w:t>
      </w:r>
      <w:bookmarkEnd w:id="40"/>
      <w:bookmarkEnd w:id="41"/>
    </w:p>
    <w:p w14:paraId="0455E1BC" w14:textId="77777777" w:rsidR="00DF31D3" w:rsidRPr="00AC7914" w:rsidRDefault="00DF31D3" w:rsidP="00DF31D3">
      <w:pPr>
        <w:pStyle w:val="Paragraph"/>
      </w:pPr>
      <w:hyperlink r:id="rId37" w:history="1">
        <w:r w:rsidRPr="008D51DB">
          <w:rPr>
            <w:rStyle w:val="Hyperlink"/>
            <w:szCs w:val="22"/>
          </w:rPr>
          <w:t>RALI MS48</w:t>
        </w:r>
      </w:hyperlink>
      <w:r w:rsidRPr="008D51DB">
        <w:rPr>
          <w:szCs w:val="22"/>
        </w:rPr>
        <w:t xml:space="preserve"> details interim licensing arrangements for Line of Sight (</w:t>
      </w:r>
      <w:proofErr w:type="spellStart"/>
      <w:r w:rsidRPr="008D51DB">
        <w:rPr>
          <w:szCs w:val="22"/>
        </w:rPr>
        <w:t>LoS</w:t>
      </w:r>
      <w:proofErr w:type="spellEnd"/>
      <w:r w:rsidRPr="008D51DB">
        <w:rPr>
          <w:szCs w:val="22"/>
        </w:rPr>
        <w:t>) Remotely Piloted Aircraft Systems (RPAS) Control and Non-Payload Communication (CNPC) links in the 5055–5065 MHz frequency band. We are monitoring international developments for RPAS in the 5.030–5.091 GHz frequency band, in particular, ongoing studies in the ITU-R towards a new recommendation as well as the recent developments in the US. We are likely to consider the establishment of permanent licensing arrangements when international arrangements have settled.</w:t>
      </w:r>
    </w:p>
    <w:p w14:paraId="6DC1A2FD" w14:textId="77777777" w:rsidR="00DF31D3" w:rsidRDefault="00DF31D3" w:rsidP="00DF31D3">
      <w:pPr>
        <w:pStyle w:val="Paragraph"/>
        <w:keepNext/>
        <w:keepLines/>
      </w:pPr>
    </w:p>
    <w:p w14:paraId="3896BEDE" w14:textId="77777777" w:rsidR="00DF31D3" w:rsidRPr="00E162C4" w:rsidRDefault="00DF31D3" w:rsidP="00DF31D3">
      <w:pPr>
        <w:pStyle w:val="Paragraph"/>
      </w:pPr>
    </w:p>
    <w:p w14:paraId="0A252757" w14:textId="0E892D74" w:rsidR="00DF31D3" w:rsidRPr="00743C8B" w:rsidRDefault="00DF31D3" w:rsidP="00EC7ECF">
      <w:pPr>
        <w:pStyle w:val="Heading1"/>
        <w:ind w:right="565"/>
      </w:pPr>
      <w:bookmarkStart w:id="42" w:name="_Toc137814961"/>
      <w:bookmarkStart w:id="43" w:name="_Toc146800154"/>
      <w:bookmarkStart w:id="44" w:name="_Toc187234560"/>
      <w:bookmarkStart w:id="45" w:name="_Toc201586023"/>
      <w:r>
        <w:lastRenderedPageBreak/>
        <w:t>Completed RALI updates from</w:t>
      </w:r>
      <w:r w:rsidR="00EC7ECF">
        <w:t xml:space="preserve"> </w:t>
      </w:r>
      <w:r>
        <w:t>2023–24 review work program</w:t>
      </w:r>
      <w:bookmarkEnd w:id="42"/>
      <w:bookmarkEnd w:id="43"/>
      <w:bookmarkEnd w:id="44"/>
      <w:bookmarkEnd w:id="45"/>
    </w:p>
    <w:p w14:paraId="4E62DC2B" w14:textId="77777777" w:rsidR="00DF31D3" w:rsidRPr="008D51DB" w:rsidRDefault="00DF31D3" w:rsidP="00DF31D3">
      <w:pPr>
        <w:pStyle w:val="Heading3"/>
        <w:rPr>
          <w:szCs w:val="22"/>
        </w:rPr>
      </w:pPr>
      <w:bookmarkStart w:id="46" w:name="_Toc201585308"/>
      <w:bookmarkStart w:id="47" w:name="_Toc201586024"/>
      <w:r w:rsidRPr="008D51DB">
        <w:rPr>
          <w:szCs w:val="22"/>
        </w:rPr>
        <w:t>FX16</w:t>
      </w:r>
      <w:bookmarkEnd w:id="46"/>
      <w:bookmarkEnd w:id="47"/>
    </w:p>
    <w:p w14:paraId="41A533DD" w14:textId="56D4D0BF" w:rsidR="00DF31D3" w:rsidRPr="008D51DB" w:rsidRDefault="00C441C3" w:rsidP="00DF31D3">
      <w:pPr>
        <w:pStyle w:val="Paragraph"/>
      </w:pPr>
      <w:r>
        <w:t>In March 2023, t</w:t>
      </w:r>
      <w:r w:rsidR="00DF31D3" w:rsidRPr="008D51DB">
        <w:t>he spectrum licence technical framework for the 700 MHz</w:t>
      </w:r>
      <w:r w:rsidR="00DF31D3" w:rsidRPr="008D51DB">
        <w:rPr>
          <w:rStyle w:val="FootnoteReference"/>
          <w:szCs w:val="22"/>
        </w:rPr>
        <w:footnoteReference w:id="7"/>
      </w:r>
      <w:r w:rsidR="00DF31D3" w:rsidRPr="008D51DB">
        <w:t xml:space="preserve"> was updated to include coexistence arrangements with services operating in the new spectrum allocation for </w:t>
      </w:r>
      <w:r w:rsidR="00DF31D3">
        <w:br/>
        <w:t>2</w:t>
      </w:r>
      <w:r w:rsidR="00DF31D3" w:rsidRPr="008D51DB">
        <w:t>-frequency fixed services.</w:t>
      </w:r>
      <w:r w:rsidR="00DF31D3" w:rsidRPr="008D51DB">
        <w:rPr>
          <w:rStyle w:val="FootnoteReference"/>
          <w:szCs w:val="22"/>
        </w:rPr>
        <w:footnoteReference w:id="8"/>
      </w:r>
      <w:r w:rsidR="00DF31D3" w:rsidRPr="008D51DB">
        <w:t xml:space="preserve"> </w:t>
      </w:r>
    </w:p>
    <w:p w14:paraId="79C381BE" w14:textId="77777777" w:rsidR="00DF31D3" w:rsidRPr="008D51DB" w:rsidRDefault="00DF31D3" w:rsidP="00DF31D3">
      <w:pPr>
        <w:pStyle w:val="Paragraph"/>
      </w:pPr>
      <w:r w:rsidRPr="008D51DB">
        <w:t>In May 2024</w:t>
      </w:r>
      <w:r>
        <w:t>,</w:t>
      </w:r>
      <w:r w:rsidRPr="008D51DB">
        <w:t xml:space="preserve"> updates were made to </w:t>
      </w:r>
      <w:hyperlink r:id="rId38" w:history="1">
        <w:r w:rsidRPr="008D51DB">
          <w:rPr>
            <w:rStyle w:val="Hyperlink"/>
            <w:szCs w:val="22"/>
          </w:rPr>
          <w:t>RALI FX16</w:t>
        </w:r>
      </w:hyperlink>
      <w:r w:rsidRPr="008D51DB">
        <w:t xml:space="preserve"> to reflect the new coexistence arrangements, as well as considering additional criteria and/or guidance to aid coordination between point-to-multipoint and 700 MHz spectrum</w:t>
      </w:r>
      <w:r>
        <w:t>-</w:t>
      </w:r>
      <w:r w:rsidRPr="008D51DB">
        <w:t xml:space="preserve">licensed services. </w:t>
      </w:r>
      <w:r>
        <w:t>You can access f</w:t>
      </w:r>
      <w:r w:rsidRPr="008D51DB">
        <w:t xml:space="preserve">urther details from the </w:t>
      </w:r>
      <w:hyperlink r:id="rId39" w:history="1">
        <w:r w:rsidRPr="008D51DB">
          <w:rPr>
            <w:rStyle w:val="Hyperlink"/>
            <w:szCs w:val="22"/>
          </w:rPr>
          <w:t>FX16 consultation paper</w:t>
        </w:r>
      </w:hyperlink>
      <w:r w:rsidRPr="008D51DB">
        <w:t xml:space="preserve"> released in October 2023.</w:t>
      </w:r>
    </w:p>
    <w:p w14:paraId="19BB9B8F" w14:textId="77777777" w:rsidR="00DF31D3" w:rsidRPr="008D51DB" w:rsidRDefault="00DF31D3" w:rsidP="00DF31D3">
      <w:pPr>
        <w:pStyle w:val="Heading3"/>
        <w:rPr>
          <w:szCs w:val="22"/>
        </w:rPr>
      </w:pPr>
      <w:bookmarkStart w:id="48" w:name="_Toc201585310"/>
      <w:bookmarkStart w:id="49" w:name="_Toc201586026"/>
      <w:r w:rsidRPr="008D51DB">
        <w:rPr>
          <w:szCs w:val="22"/>
        </w:rPr>
        <w:t>FX22</w:t>
      </w:r>
      <w:bookmarkEnd w:id="48"/>
      <w:bookmarkEnd w:id="49"/>
    </w:p>
    <w:p w14:paraId="4D4B8F4C" w14:textId="77777777" w:rsidR="00DF31D3" w:rsidRPr="008D51DB" w:rsidRDefault="00DF31D3" w:rsidP="00DF31D3">
      <w:pPr>
        <w:pStyle w:val="Paragraph"/>
      </w:pPr>
      <w:bookmarkStart w:id="50" w:name="_Hlk185473080"/>
      <w:r w:rsidRPr="008D51DB">
        <w:t xml:space="preserve">RALI FX22 contains frequency assignment requirements for the fixed service in the </w:t>
      </w:r>
      <w:r>
        <w:br/>
      </w:r>
      <w:r w:rsidRPr="008D51DB">
        <w:t xml:space="preserve">800 MHz band. </w:t>
      </w:r>
      <w:bookmarkEnd w:id="50"/>
    </w:p>
    <w:p w14:paraId="66C521FC" w14:textId="77777777" w:rsidR="00DF31D3" w:rsidRPr="008D51DB" w:rsidRDefault="00DF31D3" w:rsidP="00DF31D3">
      <w:pPr>
        <w:pStyle w:val="Paragraph"/>
      </w:pPr>
      <w:r w:rsidRPr="008D51DB">
        <w:t xml:space="preserve">Minor updates were made in May and June 2024 to </w:t>
      </w:r>
      <w:hyperlink r:id="rId40" w:history="1">
        <w:r w:rsidRPr="008D51DB">
          <w:rPr>
            <w:rStyle w:val="Hyperlink"/>
            <w:szCs w:val="22"/>
          </w:rPr>
          <w:t>RALI FX22</w:t>
        </w:r>
      </w:hyperlink>
      <w:r w:rsidRPr="008D51DB">
        <w:t xml:space="preserve"> to reflect the new coexistence arrangements with 700 MHz spectrum licensed services, as well as including additional criteria and guidance to aid coordination between point-to-point and spectrum licensed services. </w:t>
      </w:r>
      <w:r>
        <w:t>You can access f</w:t>
      </w:r>
      <w:r w:rsidRPr="008D51DB">
        <w:t xml:space="preserve">urther details from the </w:t>
      </w:r>
      <w:hyperlink r:id="rId41" w:history="1">
        <w:r w:rsidRPr="008D51DB">
          <w:rPr>
            <w:rStyle w:val="Hyperlink"/>
            <w:szCs w:val="22"/>
          </w:rPr>
          <w:t>FX22 consultation paper</w:t>
        </w:r>
      </w:hyperlink>
      <w:r w:rsidRPr="008D51DB">
        <w:t xml:space="preserve"> released in October 2023.</w:t>
      </w:r>
    </w:p>
    <w:p w14:paraId="33B5B669" w14:textId="77777777" w:rsidR="00DF31D3" w:rsidRPr="008D51DB" w:rsidRDefault="00DF31D3" w:rsidP="00DF31D3">
      <w:pPr>
        <w:pStyle w:val="Heading3"/>
        <w:rPr>
          <w:szCs w:val="22"/>
        </w:rPr>
      </w:pPr>
      <w:bookmarkStart w:id="51" w:name="_Toc201585311"/>
      <w:bookmarkStart w:id="52" w:name="_Toc201586027"/>
      <w:r w:rsidRPr="008D51DB">
        <w:rPr>
          <w:szCs w:val="22"/>
        </w:rPr>
        <w:t>FX23</w:t>
      </w:r>
      <w:bookmarkEnd w:id="51"/>
      <w:bookmarkEnd w:id="52"/>
    </w:p>
    <w:p w14:paraId="5D23A944" w14:textId="260FFCB8" w:rsidR="00DF31D3" w:rsidRPr="00DF31D3" w:rsidRDefault="00DF31D3" w:rsidP="00DF31D3">
      <w:pPr>
        <w:pStyle w:val="Paragraph"/>
      </w:pPr>
      <w:r w:rsidRPr="00DF31D3">
        <w:t xml:space="preserve">Frequency coordination and licensing procedures for point-to-multipoint services in the </w:t>
      </w:r>
      <w:r w:rsidRPr="00DF31D3">
        <w:br/>
        <w:t xml:space="preserve">5.6 GHz band are detailed in </w:t>
      </w:r>
      <w:hyperlink r:id="rId42" w:history="1">
        <w:r w:rsidRPr="00DF31D3">
          <w:rPr>
            <w:rStyle w:val="Hyperlink"/>
            <w:color w:val="auto"/>
            <w:u w:val="none"/>
          </w:rPr>
          <w:t>RALI FX23</w:t>
        </w:r>
      </w:hyperlink>
      <w:r w:rsidRPr="00DF31D3">
        <w:t>. We made editorial updates as well as updating Annex D, which contains the locations and parameter values for potential sites for future weather radars. These updates support the utilisation of the 5.6 GHz band to its full potential by ensuring coordination with incumbent services is based on the most up-to-date technical characteristics. You can access further details from the</w:t>
      </w:r>
      <w:r w:rsidR="00A301D2" w:rsidRPr="00A301D2">
        <w:rPr>
          <w:u w:color="0000FF"/>
        </w:rPr>
        <w:t xml:space="preserve"> </w:t>
      </w:r>
      <w:hyperlink r:id="rId43" w:history="1">
        <w:r w:rsidR="00A301D2" w:rsidRPr="00A301D2">
          <w:rPr>
            <w:rStyle w:val="Hyperlink"/>
          </w:rPr>
          <w:t>RALI FX23 consultation paper</w:t>
        </w:r>
      </w:hyperlink>
      <w:r w:rsidRPr="00DF31D3">
        <w:t xml:space="preserve"> released in September 2023.</w:t>
      </w:r>
    </w:p>
    <w:p w14:paraId="3C218EB6" w14:textId="77777777" w:rsidR="00DF31D3" w:rsidRPr="008D51DB" w:rsidRDefault="00DF31D3" w:rsidP="00DF31D3">
      <w:pPr>
        <w:pStyle w:val="Heading3"/>
        <w:rPr>
          <w:szCs w:val="22"/>
        </w:rPr>
      </w:pPr>
      <w:bookmarkStart w:id="53" w:name="_Toc201585312"/>
      <w:bookmarkStart w:id="54" w:name="_Toc201586028"/>
      <w:r w:rsidRPr="008D51DB">
        <w:rPr>
          <w:szCs w:val="22"/>
        </w:rPr>
        <w:t>LM08</w:t>
      </w:r>
      <w:bookmarkEnd w:id="53"/>
      <w:bookmarkEnd w:id="54"/>
    </w:p>
    <w:p w14:paraId="6E6CC35E" w14:textId="77777777" w:rsidR="00DF31D3" w:rsidRPr="00DF31D3" w:rsidRDefault="00DF31D3" w:rsidP="00DF31D3">
      <w:pPr>
        <w:pStyle w:val="Paragraph"/>
      </w:pPr>
      <w:r w:rsidRPr="00DF31D3">
        <w:t xml:space="preserve">Amendments to </w:t>
      </w:r>
      <w:hyperlink r:id="rId44" w:history="1">
        <w:r w:rsidRPr="00DF31D3">
          <w:rPr>
            <w:rStyle w:val="Hyperlink"/>
            <w:color w:val="auto"/>
            <w:u w:val="none"/>
          </w:rPr>
          <w:t>RALI LM08</w:t>
        </w:r>
      </w:hyperlink>
      <w:r w:rsidRPr="00DF31D3">
        <w:t xml:space="preserve"> were made in May 2024 to remove arrangements for the legacy 800 MHz trunked land mobile segment (820–825/865–870 MHz), in line with the final milestones identified from the 803–960 MHz band review. This was set out in the </w:t>
      </w:r>
      <w:hyperlink r:id="rId45" w:history="1">
        <w:r w:rsidRPr="00DF31D3">
          <w:rPr>
            <w:rStyle w:val="Hyperlink"/>
            <w:color w:val="auto"/>
            <w:u w:val="none"/>
          </w:rPr>
          <w:t>decision paper</w:t>
        </w:r>
      </w:hyperlink>
      <w:r w:rsidRPr="00DF31D3">
        <w:t xml:space="preserve"> published in 2015. In addition, minor factual updates were made to reflect the new coexistence arrangements with 700 MHz spectrum-licensed services, as well as additional criteria and guidance to aid coordination between the land mobile service and spectrum licensed services. You can access further details from the </w:t>
      </w:r>
      <w:hyperlink r:id="rId46" w:history="1">
        <w:r w:rsidRPr="00DF31D3">
          <w:rPr>
            <w:rStyle w:val="Hyperlink"/>
            <w:color w:val="auto"/>
            <w:u w:val="none"/>
          </w:rPr>
          <w:t>LM08 consultation paper</w:t>
        </w:r>
      </w:hyperlink>
      <w:r w:rsidRPr="00DF31D3">
        <w:t xml:space="preserve"> released in October 2023.</w:t>
      </w:r>
    </w:p>
    <w:p w14:paraId="5D8FD286" w14:textId="77777777" w:rsidR="00DF31D3" w:rsidRPr="008D51DB" w:rsidRDefault="00DF31D3" w:rsidP="00DF31D3">
      <w:pPr>
        <w:pStyle w:val="Heading3"/>
        <w:rPr>
          <w:szCs w:val="22"/>
        </w:rPr>
      </w:pPr>
      <w:bookmarkStart w:id="55" w:name="_Toc201585313"/>
      <w:bookmarkStart w:id="56" w:name="_Toc201586029"/>
      <w:r w:rsidRPr="008D51DB">
        <w:rPr>
          <w:szCs w:val="22"/>
        </w:rPr>
        <w:lastRenderedPageBreak/>
        <w:t>MS33</w:t>
      </w:r>
      <w:bookmarkEnd w:id="55"/>
      <w:bookmarkEnd w:id="56"/>
    </w:p>
    <w:p w14:paraId="718C55BD" w14:textId="77777777" w:rsidR="00DF31D3" w:rsidRPr="00DF31D3" w:rsidRDefault="00DF31D3" w:rsidP="00DF31D3">
      <w:pPr>
        <w:pStyle w:val="Paragraph"/>
      </w:pPr>
      <w:r w:rsidRPr="00DF31D3">
        <w:t xml:space="preserve">Frequency coordination and licensing procedures for apparatus-licensed public telecommunications services (PTS) in the 2 GHz band are detailed in </w:t>
      </w:r>
      <w:hyperlink r:id="rId47" w:history="1">
        <w:r w:rsidRPr="00DF31D3">
          <w:rPr>
            <w:rStyle w:val="Hyperlink"/>
            <w:color w:val="auto"/>
            <w:u w:val="none"/>
          </w:rPr>
          <w:t>RALI MS33</w:t>
        </w:r>
      </w:hyperlink>
      <w:r w:rsidRPr="00DF31D3">
        <w:t xml:space="preserve">. Minor updates to the special conditions were made in March 2024 to account for the sunsetting and remaking of the </w:t>
      </w:r>
      <w:hyperlink r:id="rId48" w:history="1">
        <w:r w:rsidRPr="00DF31D3">
          <w:rPr>
            <w:rStyle w:val="Hyperlink"/>
            <w:color w:val="auto"/>
            <w:u w:val="none"/>
          </w:rPr>
          <w:t>Public Telecommunication Services Licence Condition Determination and the Cellular Mobile Telecommunication Devices Class Licence</w:t>
        </w:r>
      </w:hyperlink>
      <w:r w:rsidRPr="00DF31D3">
        <w:t xml:space="preserve">. </w:t>
      </w:r>
    </w:p>
    <w:p w14:paraId="2FC2258D" w14:textId="77777777" w:rsidR="00DF31D3" w:rsidRPr="008D51DB" w:rsidRDefault="00DF31D3" w:rsidP="00DF31D3">
      <w:pPr>
        <w:pStyle w:val="Heading3"/>
        <w:rPr>
          <w:szCs w:val="22"/>
        </w:rPr>
      </w:pPr>
      <w:bookmarkStart w:id="57" w:name="_Toc201585314"/>
      <w:bookmarkStart w:id="58" w:name="_Toc201586030"/>
      <w:r w:rsidRPr="008D51DB">
        <w:rPr>
          <w:szCs w:val="22"/>
        </w:rPr>
        <w:t>MS34</w:t>
      </w:r>
      <w:bookmarkEnd w:id="57"/>
      <w:bookmarkEnd w:id="58"/>
    </w:p>
    <w:p w14:paraId="46276FA8" w14:textId="77777777" w:rsidR="00DF31D3" w:rsidRPr="00DF31D3" w:rsidRDefault="00DF31D3" w:rsidP="00DF31D3">
      <w:pPr>
        <w:pStyle w:val="Paragraph"/>
      </w:pPr>
      <w:r w:rsidRPr="00DF31D3">
        <w:t xml:space="preserve">Frequency coordination and licensing procedures for apparatus-licensed PTS in the </w:t>
      </w:r>
      <w:r w:rsidRPr="00DF31D3">
        <w:br/>
        <w:t xml:space="preserve">1800 MHz band are detailed in </w:t>
      </w:r>
      <w:hyperlink r:id="rId49" w:history="1">
        <w:r w:rsidRPr="00DF31D3">
          <w:rPr>
            <w:rStyle w:val="Hyperlink"/>
            <w:color w:val="auto"/>
            <w:u w:val="none"/>
          </w:rPr>
          <w:t>RALI MS34</w:t>
        </w:r>
      </w:hyperlink>
      <w:r w:rsidRPr="00DF31D3">
        <w:t xml:space="preserve">. Minor updates to the special conditions were made in March 2024 to account for the sunsetting and remaking of the </w:t>
      </w:r>
      <w:hyperlink r:id="rId50" w:history="1">
        <w:r w:rsidRPr="00DF31D3">
          <w:rPr>
            <w:rStyle w:val="Hyperlink"/>
            <w:color w:val="auto"/>
            <w:u w:val="none"/>
          </w:rPr>
          <w:t>Public Telecommunication Services Licence Condition Determination and the Cellular Mobile Telecommunication Devices Class Licence</w:t>
        </w:r>
      </w:hyperlink>
      <w:r w:rsidRPr="00DF31D3">
        <w:t>.</w:t>
      </w:r>
    </w:p>
    <w:p w14:paraId="71F36D46" w14:textId="77777777" w:rsidR="00DF31D3" w:rsidRPr="008D51DB" w:rsidRDefault="00DF31D3" w:rsidP="00DF31D3">
      <w:pPr>
        <w:pStyle w:val="Heading3"/>
        <w:keepLines/>
        <w:rPr>
          <w:szCs w:val="22"/>
        </w:rPr>
      </w:pPr>
      <w:bookmarkStart w:id="59" w:name="_Toc201585315"/>
      <w:bookmarkStart w:id="60" w:name="_Toc201586031"/>
      <w:r w:rsidRPr="008D51DB">
        <w:rPr>
          <w:szCs w:val="22"/>
        </w:rPr>
        <w:t>SP 4/93</w:t>
      </w:r>
      <w:bookmarkEnd w:id="59"/>
      <w:bookmarkEnd w:id="60"/>
    </w:p>
    <w:p w14:paraId="22B41031" w14:textId="77777777" w:rsidR="00DF31D3" w:rsidRPr="00DF31D3" w:rsidRDefault="00DF31D3" w:rsidP="00DF31D3">
      <w:pPr>
        <w:pStyle w:val="Paragraph"/>
      </w:pPr>
      <w:hyperlink r:id="rId51" w:history="1">
        <w:r w:rsidRPr="00DF31D3">
          <w:rPr>
            <w:rStyle w:val="Hyperlink"/>
            <w:color w:val="auto"/>
            <w:u w:val="none"/>
          </w:rPr>
          <w:t>SP 4/93</w:t>
        </w:r>
      </w:hyperlink>
      <w:r w:rsidRPr="00DF31D3">
        <w:t xml:space="preserve"> contained coordination procedures for the licensing of services sharing the </w:t>
      </w:r>
      <w:r w:rsidRPr="00DF31D3">
        <w:br/>
        <w:t xml:space="preserve">857–861 MHz band. This document was suppressed in June 2023 as part of the implementation of the review of the 803–960 MHz band. Assignment instructions for the relocated single frequency fixed links (that now operate in 845–849 MHz instead of </w:t>
      </w:r>
      <w:r w:rsidRPr="00DF31D3">
        <w:br/>
        <w:t xml:space="preserve">857–861 MHz) are now contained in </w:t>
      </w:r>
      <w:hyperlink r:id="rId52" w:history="1">
        <w:r w:rsidRPr="00DF31D3">
          <w:rPr>
            <w:rStyle w:val="Hyperlink"/>
            <w:color w:val="auto"/>
            <w:u w:val="none"/>
          </w:rPr>
          <w:t>RALI FX 22</w:t>
        </w:r>
      </w:hyperlink>
      <w:r w:rsidRPr="00DF31D3">
        <w:t xml:space="preserve">. You can access additional details from the </w:t>
      </w:r>
      <w:hyperlink r:id="rId53" w:history="1">
        <w:r w:rsidRPr="00DF31D3">
          <w:rPr>
            <w:rStyle w:val="Hyperlink"/>
            <w:color w:val="auto"/>
            <w:u w:val="none"/>
          </w:rPr>
          <w:t>FX22 consultation paper</w:t>
        </w:r>
      </w:hyperlink>
      <w:r w:rsidRPr="00DF31D3">
        <w:t xml:space="preserve"> released in October 2023.</w:t>
      </w:r>
    </w:p>
    <w:p w14:paraId="70DDE1B8" w14:textId="77777777" w:rsidR="00DF31D3" w:rsidRDefault="00DF31D3" w:rsidP="00DF31D3">
      <w:pPr>
        <w:pStyle w:val="Paragraph"/>
      </w:pPr>
    </w:p>
    <w:p w14:paraId="0B293959" w14:textId="77777777" w:rsidR="00DF31D3" w:rsidRDefault="00DF31D3" w:rsidP="00DF31D3">
      <w:pPr>
        <w:pStyle w:val="Paragraph"/>
      </w:pPr>
    </w:p>
    <w:p w14:paraId="3224946B" w14:textId="46F588F2" w:rsidR="00DF31D3" w:rsidRDefault="00DF31D3" w:rsidP="00DF31D3">
      <w:pPr>
        <w:pStyle w:val="Paragraph"/>
      </w:pPr>
    </w:p>
    <w:p w14:paraId="405EA117" w14:textId="77777777" w:rsidR="00DF31D3" w:rsidRDefault="00DF31D3" w:rsidP="00DF31D3">
      <w:pPr>
        <w:pStyle w:val="Heading1"/>
      </w:pPr>
      <w:bookmarkStart w:id="61" w:name="_Appendix_A:_List"/>
      <w:bookmarkStart w:id="62" w:name="_Toc76472234"/>
      <w:bookmarkStart w:id="63" w:name="_Toc137814962"/>
      <w:bookmarkStart w:id="64" w:name="_Toc146800155"/>
      <w:bookmarkStart w:id="65" w:name="_Toc187234563"/>
      <w:bookmarkStart w:id="66" w:name="_Toc201586032"/>
      <w:bookmarkEnd w:id="61"/>
      <w:r>
        <w:lastRenderedPageBreak/>
        <w:t xml:space="preserve">Appendix A: List of </w:t>
      </w:r>
      <w:bookmarkEnd w:id="62"/>
      <w:bookmarkEnd w:id="63"/>
      <w:bookmarkEnd w:id="64"/>
      <w:r>
        <w:t>suppressed RALIs</w:t>
      </w:r>
      <w:bookmarkEnd w:id="65"/>
      <w:bookmarkEnd w:id="66"/>
    </w:p>
    <w:p w14:paraId="0956CF7E" w14:textId="77777777" w:rsidR="00DF31D3" w:rsidRPr="008D51DB" w:rsidRDefault="00DF31D3" w:rsidP="00DF31D3">
      <w:pPr>
        <w:pStyle w:val="Paragraph"/>
      </w:pPr>
      <w:r w:rsidRPr="008D51DB">
        <w:t>This appendix provides a list of frequency assignment and coordination documents that have been suppressed since July 2022. Our intention is to continually update this list in future work programs.</w:t>
      </w:r>
    </w:p>
    <w:p w14:paraId="6262C9F9" w14:textId="77777777" w:rsidR="00DF31D3" w:rsidRPr="00DF31D3" w:rsidRDefault="00DF31D3" w:rsidP="00DF31D3">
      <w:pPr>
        <w:pStyle w:val="Tableheading"/>
      </w:pPr>
      <w:r w:rsidRPr="00DF31D3">
        <w:t>Suppression of frequency assignment and coordination documents since July 2022</w:t>
      </w:r>
    </w:p>
    <w:tbl>
      <w:tblPr>
        <w:tblStyle w:val="ACMAtablestyle"/>
        <w:tblW w:w="9249" w:type="dxa"/>
        <w:tblLook w:val="04A0" w:firstRow="1" w:lastRow="0" w:firstColumn="1" w:lastColumn="0" w:noHBand="0" w:noVBand="1"/>
      </w:tblPr>
      <w:tblGrid>
        <w:gridCol w:w="1920"/>
        <w:gridCol w:w="4666"/>
        <w:gridCol w:w="2663"/>
      </w:tblGrid>
      <w:tr w:rsidR="00DF31D3" w:rsidRPr="00CF03FA" w14:paraId="71FEFB6F" w14:textId="77777777" w:rsidTr="004F42C1">
        <w:trPr>
          <w:cnfStyle w:val="100000000000" w:firstRow="1" w:lastRow="0" w:firstColumn="0" w:lastColumn="0" w:oddVBand="0" w:evenVBand="0" w:oddHBand="0" w:evenHBand="0" w:firstRowFirstColumn="0" w:firstRowLastColumn="0" w:lastRowFirstColumn="0" w:lastRowLastColumn="0"/>
          <w:trHeight w:val="301"/>
        </w:trPr>
        <w:tc>
          <w:tcPr>
            <w:tcW w:w="0" w:type="dxa"/>
            <w:noWrap/>
            <w:hideMark/>
          </w:tcPr>
          <w:p w14:paraId="02EB2DF4" w14:textId="77777777" w:rsidR="00DF31D3" w:rsidRPr="00CF03FA" w:rsidRDefault="00DF31D3" w:rsidP="004F0FEF">
            <w:pPr>
              <w:pStyle w:val="Tableheaderrow"/>
            </w:pPr>
            <w:r w:rsidRPr="00CF03FA">
              <w:t>Identifie</w:t>
            </w:r>
            <w:r>
              <w:t>r</w:t>
            </w:r>
          </w:p>
        </w:tc>
        <w:tc>
          <w:tcPr>
            <w:tcW w:w="0" w:type="dxa"/>
            <w:noWrap/>
            <w:hideMark/>
          </w:tcPr>
          <w:p w14:paraId="134E8A9D" w14:textId="77777777" w:rsidR="00DF31D3" w:rsidRPr="00CF03FA" w:rsidRDefault="00DF31D3" w:rsidP="004F0FEF">
            <w:pPr>
              <w:pStyle w:val="Tableheaderrow"/>
            </w:pPr>
            <w:r w:rsidRPr="00CF03FA">
              <w:t>Title</w:t>
            </w:r>
          </w:p>
        </w:tc>
        <w:tc>
          <w:tcPr>
            <w:tcW w:w="0" w:type="dxa"/>
            <w:noWrap/>
            <w:hideMark/>
          </w:tcPr>
          <w:p w14:paraId="47285984" w14:textId="77777777" w:rsidR="00DF31D3" w:rsidRPr="00CF03FA" w:rsidRDefault="00DF31D3" w:rsidP="004F0FEF">
            <w:pPr>
              <w:pStyle w:val="Tableheaderrow"/>
            </w:pPr>
            <w:r w:rsidRPr="00CF03FA">
              <w:t>Suppression date</w:t>
            </w:r>
          </w:p>
        </w:tc>
      </w:tr>
      <w:tr w:rsidR="00DF31D3" w:rsidRPr="00CF03FA" w14:paraId="289BA04F" w14:textId="77777777" w:rsidTr="004F42C1">
        <w:trPr>
          <w:cnfStyle w:val="000000100000" w:firstRow="0" w:lastRow="0" w:firstColumn="0" w:lastColumn="0" w:oddVBand="0" w:evenVBand="0" w:oddHBand="1" w:evenHBand="0" w:firstRowFirstColumn="0" w:firstRowLastColumn="0" w:lastRowFirstColumn="0" w:lastRowLastColumn="0"/>
          <w:trHeight w:val="301"/>
        </w:trPr>
        <w:tc>
          <w:tcPr>
            <w:tcW w:w="0" w:type="dxa"/>
            <w:noWrap/>
            <w:hideMark/>
          </w:tcPr>
          <w:p w14:paraId="5E00D366" w14:textId="77777777" w:rsidR="00DF31D3" w:rsidRPr="00CF03FA" w:rsidRDefault="00DF31D3" w:rsidP="004F0FEF">
            <w:pPr>
              <w:pStyle w:val="TableBody"/>
            </w:pPr>
            <w:r w:rsidRPr="00CF03FA">
              <w:t>RALI FX14</w:t>
            </w:r>
          </w:p>
        </w:tc>
        <w:tc>
          <w:tcPr>
            <w:tcW w:w="0" w:type="dxa"/>
            <w:noWrap/>
            <w:hideMark/>
          </w:tcPr>
          <w:p w14:paraId="60BAD67B" w14:textId="57E1E1D1" w:rsidR="00DF31D3" w:rsidRPr="00CF03FA" w:rsidRDefault="00DF31D3" w:rsidP="004F0FEF">
            <w:pPr>
              <w:pStyle w:val="TableBody"/>
            </w:pPr>
            <w:r w:rsidRPr="00CF03FA">
              <w:t>Point to multipoint fixed services in specified parts of the 3.4–3.5 GHz band</w:t>
            </w:r>
            <w:r>
              <w:t>.</w:t>
            </w:r>
          </w:p>
        </w:tc>
        <w:tc>
          <w:tcPr>
            <w:tcW w:w="0" w:type="dxa"/>
            <w:noWrap/>
            <w:hideMark/>
          </w:tcPr>
          <w:p w14:paraId="7AC31222" w14:textId="77777777" w:rsidR="00DF31D3" w:rsidRPr="00CF03FA" w:rsidRDefault="00DF31D3" w:rsidP="004F0FEF">
            <w:pPr>
              <w:pStyle w:val="TableBody"/>
            </w:pPr>
            <w:r w:rsidRPr="00CF03FA">
              <w:t>Jun</w:t>
            </w:r>
            <w:r>
              <w:t>e 20</w:t>
            </w:r>
            <w:r w:rsidRPr="00CF03FA">
              <w:t>23</w:t>
            </w:r>
          </w:p>
        </w:tc>
      </w:tr>
      <w:tr w:rsidR="00DF31D3" w:rsidRPr="00CF03FA" w14:paraId="0AFE39C4" w14:textId="77777777" w:rsidTr="004F42C1">
        <w:trPr>
          <w:cnfStyle w:val="000000010000" w:firstRow="0" w:lastRow="0" w:firstColumn="0" w:lastColumn="0" w:oddVBand="0" w:evenVBand="0" w:oddHBand="0" w:evenHBand="1" w:firstRowFirstColumn="0" w:firstRowLastColumn="0" w:lastRowFirstColumn="0" w:lastRowLastColumn="0"/>
          <w:trHeight w:val="301"/>
        </w:trPr>
        <w:tc>
          <w:tcPr>
            <w:tcW w:w="0" w:type="dxa"/>
            <w:noWrap/>
            <w:hideMark/>
          </w:tcPr>
          <w:p w14:paraId="7561B736" w14:textId="77777777" w:rsidR="00DF31D3" w:rsidRPr="00CF03FA" w:rsidRDefault="00DF31D3" w:rsidP="004F0FEF">
            <w:pPr>
              <w:pStyle w:val="TableBody"/>
            </w:pPr>
            <w:r w:rsidRPr="00CF03FA">
              <w:t>SP 4/93</w:t>
            </w:r>
          </w:p>
        </w:tc>
        <w:tc>
          <w:tcPr>
            <w:tcW w:w="0" w:type="dxa"/>
            <w:noWrap/>
            <w:hideMark/>
          </w:tcPr>
          <w:p w14:paraId="40BE7B84" w14:textId="77777777" w:rsidR="00DF31D3" w:rsidRPr="00CF03FA" w:rsidRDefault="00DF31D3" w:rsidP="004F0FEF">
            <w:pPr>
              <w:pStyle w:val="TableBody"/>
            </w:pPr>
            <w:r w:rsidRPr="00CF03FA">
              <w:t>Coordination procedures for the licensing of services sharing the 857–861 MHz band</w:t>
            </w:r>
            <w:r>
              <w:t>.</w:t>
            </w:r>
          </w:p>
        </w:tc>
        <w:tc>
          <w:tcPr>
            <w:tcW w:w="0" w:type="dxa"/>
            <w:noWrap/>
            <w:hideMark/>
          </w:tcPr>
          <w:p w14:paraId="66955C2E" w14:textId="77777777" w:rsidR="00DF31D3" w:rsidRPr="00CF03FA" w:rsidRDefault="00DF31D3" w:rsidP="004F0FEF">
            <w:pPr>
              <w:pStyle w:val="TableBody"/>
            </w:pPr>
            <w:r>
              <w:t>May 2024</w:t>
            </w:r>
          </w:p>
        </w:tc>
      </w:tr>
      <w:tr w:rsidR="00DF31D3" w:rsidRPr="00CF03FA" w14:paraId="6E9E8EB7" w14:textId="77777777" w:rsidTr="004F42C1">
        <w:trPr>
          <w:cnfStyle w:val="000000100000" w:firstRow="0" w:lastRow="0" w:firstColumn="0" w:lastColumn="0" w:oddVBand="0" w:evenVBand="0" w:oddHBand="1" w:evenHBand="0" w:firstRowFirstColumn="0" w:firstRowLastColumn="0" w:lastRowFirstColumn="0" w:lastRowLastColumn="0"/>
          <w:trHeight w:val="362"/>
        </w:trPr>
        <w:tc>
          <w:tcPr>
            <w:tcW w:w="0" w:type="dxa"/>
            <w:noWrap/>
            <w:hideMark/>
          </w:tcPr>
          <w:p w14:paraId="55FABAA4" w14:textId="77777777" w:rsidR="00DF31D3" w:rsidRPr="00CF03FA" w:rsidRDefault="00DF31D3" w:rsidP="004F0FEF">
            <w:pPr>
              <w:pStyle w:val="TableBody"/>
            </w:pPr>
            <w:r w:rsidRPr="00CF03FA">
              <w:t>RALI MS38</w:t>
            </w:r>
          </w:p>
        </w:tc>
        <w:tc>
          <w:tcPr>
            <w:tcW w:w="0" w:type="dxa"/>
            <w:noWrap/>
            <w:hideMark/>
          </w:tcPr>
          <w:p w14:paraId="0ED70664" w14:textId="77777777" w:rsidR="00DF31D3" w:rsidRPr="00CF03FA" w:rsidRDefault="00DF31D3" w:rsidP="004F0FEF">
            <w:pPr>
              <w:pStyle w:val="TableBody"/>
            </w:pPr>
            <w:r w:rsidRPr="00CF03FA">
              <w:t>Coordination between earth station transmitters in the fixed-satellite service and other services in the 25.5-30 GHz band</w:t>
            </w:r>
            <w:r>
              <w:t>.</w:t>
            </w:r>
          </w:p>
        </w:tc>
        <w:tc>
          <w:tcPr>
            <w:tcW w:w="0" w:type="dxa"/>
            <w:noWrap/>
            <w:hideMark/>
          </w:tcPr>
          <w:p w14:paraId="6A1CD183" w14:textId="77777777" w:rsidR="00DF31D3" w:rsidRPr="00CF03FA" w:rsidRDefault="00DF31D3" w:rsidP="004F0FEF">
            <w:pPr>
              <w:pStyle w:val="TableBody"/>
            </w:pPr>
            <w:r w:rsidRPr="00CF03FA">
              <w:t>Jul</w:t>
            </w:r>
            <w:r>
              <w:t>y 20</w:t>
            </w:r>
            <w:r w:rsidRPr="00CF03FA">
              <w:t>22</w:t>
            </w:r>
          </w:p>
        </w:tc>
      </w:tr>
      <w:tr w:rsidR="00DF31D3" w:rsidRPr="00CF03FA" w14:paraId="69C021F3" w14:textId="77777777" w:rsidTr="004F42C1">
        <w:trPr>
          <w:cnfStyle w:val="000000010000" w:firstRow="0" w:lastRow="0" w:firstColumn="0" w:lastColumn="0" w:oddVBand="0" w:evenVBand="0" w:oddHBand="0" w:evenHBand="1" w:firstRowFirstColumn="0" w:firstRowLastColumn="0" w:lastRowFirstColumn="0" w:lastRowLastColumn="0"/>
          <w:trHeight w:val="301"/>
        </w:trPr>
        <w:tc>
          <w:tcPr>
            <w:tcW w:w="0" w:type="dxa"/>
            <w:noWrap/>
            <w:hideMark/>
          </w:tcPr>
          <w:p w14:paraId="53D5F38C" w14:textId="77777777" w:rsidR="00DF31D3" w:rsidRPr="00CF03FA" w:rsidRDefault="00DF31D3" w:rsidP="004F0FEF">
            <w:pPr>
              <w:pStyle w:val="TableBody"/>
            </w:pPr>
            <w:r w:rsidRPr="00CF03FA">
              <w:t>RALI MS39</w:t>
            </w:r>
          </w:p>
        </w:tc>
        <w:tc>
          <w:tcPr>
            <w:tcW w:w="0" w:type="dxa"/>
            <w:noWrap/>
            <w:hideMark/>
          </w:tcPr>
          <w:p w14:paraId="51ED1F72" w14:textId="77777777" w:rsidR="00DF31D3" w:rsidRPr="00CF03FA" w:rsidRDefault="00DF31D3" w:rsidP="004F0FEF">
            <w:pPr>
              <w:pStyle w:val="TableBody"/>
            </w:pPr>
            <w:r w:rsidRPr="00CF03FA">
              <w:t>Frequency coordination and licensing procedures for apparatus licensed public telecommunications services in the 3.5 GHz band</w:t>
            </w:r>
            <w:r>
              <w:t>.</w:t>
            </w:r>
          </w:p>
        </w:tc>
        <w:tc>
          <w:tcPr>
            <w:tcW w:w="0" w:type="dxa"/>
            <w:noWrap/>
            <w:hideMark/>
          </w:tcPr>
          <w:p w14:paraId="10DC2D3C" w14:textId="77777777" w:rsidR="00DF31D3" w:rsidRPr="00CF03FA" w:rsidRDefault="00DF31D3" w:rsidP="004F0FEF">
            <w:pPr>
              <w:pStyle w:val="TableBody"/>
            </w:pPr>
            <w:r w:rsidRPr="00CF03FA">
              <w:t>Jul</w:t>
            </w:r>
            <w:r>
              <w:t>y 20</w:t>
            </w:r>
            <w:r w:rsidRPr="00CF03FA">
              <w:t>22</w:t>
            </w:r>
          </w:p>
        </w:tc>
      </w:tr>
    </w:tbl>
    <w:p w14:paraId="0AE3483D" w14:textId="77777777" w:rsidR="00DF31D3" w:rsidRDefault="00DF31D3" w:rsidP="00DF31D3">
      <w:pPr>
        <w:spacing w:after="0" w:line="240" w:lineRule="auto"/>
      </w:pPr>
      <w:bookmarkStart w:id="67" w:name="_Appendix_A-_List"/>
      <w:bookmarkStart w:id="68" w:name="_Appendix_B-_Summary"/>
      <w:bookmarkStart w:id="69" w:name="_Appendix_B:_Response"/>
      <w:bookmarkStart w:id="70" w:name="_LM08"/>
      <w:bookmarkEnd w:id="67"/>
      <w:bookmarkEnd w:id="68"/>
      <w:bookmarkEnd w:id="69"/>
      <w:bookmarkEnd w:id="70"/>
    </w:p>
    <w:p w14:paraId="4C570149" w14:textId="77777777" w:rsidR="00DF31D3" w:rsidRDefault="00DF31D3" w:rsidP="00DF31D3">
      <w:pPr>
        <w:pStyle w:val="Heading1"/>
      </w:pPr>
      <w:bookmarkStart w:id="71" w:name="_Toc201586033"/>
      <w:r>
        <w:lastRenderedPageBreak/>
        <w:t>Appendix B: List of consultation submissions</w:t>
      </w:r>
      <w:bookmarkEnd w:id="71"/>
    </w:p>
    <w:p w14:paraId="40D91F0B" w14:textId="74FB44B0" w:rsidR="00DF31D3" w:rsidRDefault="00DF31D3" w:rsidP="00DF31D3">
      <w:pPr>
        <w:pStyle w:val="Paragraphbeforelist"/>
      </w:pPr>
      <w:r>
        <w:t xml:space="preserve">Eight submissions were received from the following organisations. Copies of the submissions are available on the </w:t>
      </w:r>
      <w:hyperlink r:id="rId54" w:history="1">
        <w:r w:rsidRPr="00A32ABE">
          <w:rPr>
            <w:rStyle w:val="Hyperlink"/>
          </w:rPr>
          <w:t>ACMA website</w:t>
        </w:r>
      </w:hyperlink>
      <w:r>
        <w:t>:</w:t>
      </w:r>
    </w:p>
    <w:p w14:paraId="6488B472" w14:textId="77777777" w:rsidR="00DF31D3" w:rsidRDefault="00DF31D3" w:rsidP="00DF31D3">
      <w:pPr>
        <w:pStyle w:val="Bulletlevel1"/>
      </w:pPr>
      <w:r>
        <w:t>Australian Mobile Telecommunications Association (AMTA)</w:t>
      </w:r>
    </w:p>
    <w:p w14:paraId="6B7F763E" w14:textId="77777777" w:rsidR="00DF31D3" w:rsidRDefault="00DF31D3" w:rsidP="00DF31D3">
      <w:pPr>
        <w:pStyle w:val="Bulletlevel1"/>
      </w:pPr>
      <w:r w:rsidRPr="005062A6">
        <w:t>Amazon Web Services, Inc</w:t>
      </w:r>
    </w:p>
    <w:p w14:paraId="13E819E5" w14:textId="77777777" w:rsidR="00DF31D3" w:rsidRDefault="00DF31D3" w:rsidP="00DF31D3">
      <w:pPr>
        <w:pStyle w:val="Bulletlevel1"/>
      </w:pPr>
      <w:r>
        <w:t>DB Telecommunications Pty Ltd</w:t>
      </w:r>
    </w:p>
    <w:p w14:paraId="4A3612EC" w14:textId="77777777" w:rsidR="00DF31D3" w:rsidRDefault="00DF31D3" w:rsidP="00DF31D3">
      <w:pPr>
        <w:pStyle w:val="Bulletlevel1"/>
      </w:pPr>
      <w:r>
        <w:t>Department of Defence</w:t>
      </w:r>
    </w:p>
    <w:p w14:paraId="1780D26F" w14:textId="77777777" w:rsidR="00DF31D3" w:rsidRDefault="00DF31D3" w:rsidP="00DF31D3">
      <w:pPr>
        <w:pStyle w:val="Bulletlevel1"/>
      </w:pPr>
      <w:r>
        <w:t>Intelsat</w:t>
      </w:r>
    </w:p>
    <w:p w14:paraId="4415B8FA" w14:textId="77777777" w:rsidR="00DF31D3" w:rsidRDefault="00DF31D3" w:rsidP="00DF31D3">
      <w:pPr>
        <w:pStyle w:val="Bulletlevel1"/>
      </w:pPr>
      <w:r>
        <w:t>Open Spectrum</w:t>
      </w:r>
    </w:p>
    <w:p w14:paraId="106621B2" w14:textId="77777777" w:rsidR="00DF31D3" w:rsidRDefault="00DF31D3" w:rsidP="00DF31D3">
      <w:pPr>
        <w:pStyle w:val="Bulletlevel1"/>
      </w:pPr>
      <w:r>
        <w:t>Telstra</w:t>
      </w:r>
    </w:p>
    <w:p w14:paraId="39275918" w14:textId="77777777" w:rsidR="00DF31D3" w:rsidRDefault="00DF31D3" w:rsidP="00DF31D3">
      <w:pPr>
        <w:pStyle w:val="Bulletlevel1last"/>
      </w:pPr>
      <w:r>
        <w:t xml:space="preserve">Wireless Institute of Australia </w:t>
      </w:r>
    </w:p>
    <w:p w14:paraId="54315601" w14:textId="762DD42C" w:rsidR="004F0FEF" w:rsidRDefault="004F0FEF" w:rsidP="004F0FEF">
      <w:pPr>
        <w:pStyle w:val="Heading1"/>
      </w:pPr>
      <w:bookmarkStart w:id="72" w:name="_Toc201586034"/>
      <w:r>
        <w:lastRenderedPageBreak/>
        <w:t>Appendix C: Response to submissions</w:t>
      </w:r>
      <w:bookmarkEnd w:id="72"/>
    </w:p>
    <w:p w14:paraId="536C446B" w14:textId="79D899E2" w:rsidR="004F0FEF" w:rsidRDefault="004F0FEF" w:rsidP="004F0FEF">
      <w:pPr>
        <w:pStyle w:val="Paragraph"/>
      </w:pPr>
      <w:r>
        <w:t>A summary and response to submissions related to each RALI is provided below. Where a RALI is not included, no comments were received in relation to the document in submissions.</w:t>
      </w:r>
    </w:p>
    <w:p w14:paraId="3591C6BC" w14:textId="6AA95BCB" w:rsidR="00DF31D3" w:rsidRDefault="004F0FEF" w:rsidP="004F0FEF">
      <w:pPr>
        <w:pStyle w:val="Paragraph"/>
      </w:pPr>
      <w:r>
        <w:t xml:space="preserve">Some submissions expressed a desire to be involved in the review of </w:t>
      </w:r>
      <w:proofErr w:type="gramStart"/>
      <w:r>
        <w:t>particular RALIs</w:t>
      </w:r>
      <w:proofErr w:type="gramEnd"/>
      <w:r>
        <w:t xml:space="preserve"> (or spectrum embargos). This has been noted by the ACMA but not explicitly commented on below. All reviews of RALIs will be subject to public consultation which will provide the opportunity for submitters to participate in the review.</w:t>
      </w:r>
    </w:p>
    <w:p w14:paraId="5EC3DCCF" w14:textId="77777777" w:rsidR="00EC7ECF" w:rsidRDefault="00EC7ECF" w:rsidP="00EC7ECF">
      <w:pPr>
        <w:pStyle w:val="Heading2"/>
      </w:pPr>
      <w:bookmarkStart w:id="73" w:name="_Toc201586035"/>
      <w:r>
        <w:t>FX03</w:t>
      </w:r>
      <w:bookmarkEnd w:id="73"/>
    </w:p>
    <w:p w14:paraId="1AFAEBB6" w14:textId="620A978C" w:rsidR="00EC7ECF" w:rsidRDefault="00EC7ECF" w:rsidP="00EC7ECF">
      <w:pPr>
        <w:pStyle w:val="Heading3"/>
      </w:pPr>
      <w:bookmarkStart w:id="74" w:name="_Toc201586036"/>
      <w:r>
        <w:t xml:space="preserve">Summary of </w:t>
      </w:r>
      <w:r w:rsidR="00A32ABE">
        <w:t>s</w:t>
      </w:r>
      <w:r>
        <w:t>ubmissions</w:t>
      </w:r>
      <w:bookmarkEnd w:id="74"/>
    </w:p>
    <w:p w14:paraId="273157EC" w14:textId="0A80B354" w:rsidR="00EC7ECF" w:rsidRDefault="00EC7ECF" w:rsidP="00EC7ECF">
      <w:pPr>
        <w:pStyle w:val="Paragraph"/>
      </w:pPr>
      <w:r>
        <w:t xml:space="preserve">Two submitters requested for RALI FX03 </w:t>
      </w:r>
      <w:r w:rsidR="00A32ABE">
        <w:t xml:space="preserve">to </w:t>
      </w:r>
      <w:r>
        <w:t xml:space="preserve">include a directive requiring new fixed point-to-point microwave links to coordinate with existing earth stations. </w:t>
      </w:r>
    </w:p>
    <w:p w14:paraId="2B06B20E" w14:textId="4B64C25B" w:rsidR="00EC7ECF" w:rsidRDefault="00EC7ECF" w:rsidP="00EC7ECF">
      <w:pPr>
        <w:pStyle w:val="Paragraph"/>
      </w:pPr>
      <w:r>
        <w:t>Two other submitters proposed updates to RALI FX03, including revisions to protection ratio assumptions, equipment rules, appendices, minimum path lengths and antenna requirements. One submitter supported introducing channel aggregation.</w:t>
      </w:r>
    </w:p>
    <w:p w14:paraId="3AE99B34" w14:textId="35A3A631" w:rsidR="00EC7ECF" w:rsidRDefault="00EC7ECF" w:rsidP="00EC7ECF">
      <w:pPr>
        <w:pStyle w:val="Paragraph"/>
      </w:pPr>
      <w:r>
        <w:t xml:space="preserve">Another submission referenced the </w:t>
      </w:r>
      <w:r w:rsidR="00A32ABE">
        <w:t>s</w:t>
      </w:r>
      <w:r>
        <w:t xml:space="preserve">pectrum </w:t>
      </w:r>
      <w:r w:rsidR="00A32ABE">
        <w:t>t</w:t>
      </w:r>
      <w:r>
        <w:t xml:space="preserve">une-up discussion held in March 2025. They provided comments </w:t>
      </w:r>
      <w:r w:rsidR="00166988">
        <w:t xml:space="preserve">on </w:t>
      </w:r>
      <w:r>
        <w:t>the proposed licensing approaches</w:t>
      </w:r>
      <w:r w:rsidR="00166988">
        <w:t xml:space="preserve"> from other countries</w:t>
      </w:r>
      <w:r>
        <w:t xml:space="preserve"> introduced during the discussion. The</w:t>
      </w:r>
      <w:r w:rsidR="00166988">
        <w:t xml:space="preserve">y highlighted the </w:t>
      </w:r>
      <w:r>
        <w:t xml:space="preserve">challenges for the negotiation-based processes </w:t>
      </w:r>
      <w:r w:rsidR="00166988">
        <w:t xml:space="preserve">undertaken in other countries </w:t>
      </w:r>
      <w:r>
        <w:t>and the risk of coordination failures due to relaxed protection levels tied to lower licence fees.</w:t>
      </w:r>
    </w:p>
    <w:p w14:paraId="2EF3E4BF" w14:textId="622B84BC" w:rsidR="00EC7ECF" w:rsidRDefault="00EC7ECF" w:rsidP="00EC7ECF">
      <w:pPr>
        <w:pStyle w:val="Heading3"/>
      </w:pPr>
      <w:bookmarkStart w:id="75" w:name="_Toc201586037"/>
      <w:r>
        <w:t xml:space="preserve">ACMA </w:t>
      </w:r>
      <w:r w:rsidR="00A32ABE">
        <w:t>r</w:t>
      </w:r>
      <w:r>
        <w:t>esponse</w:t>
      </w:r>
      <w:bookmarkEnd w:id="75"/>
    </w:p>
    <w:p w14:paraId="5D9B3878" w14:textId="3CF80486" w:rsidR="00EC7ECF" w:rsidRDefault="006B3B12" w:rsidP="00EC7ECF">
      <w:pPr>
        <w:pStyle w:val="Paragraph"/>
      </w:pPr>
      <w:r>
        <w:t xml:space="preserve">Our preference is for </w:t>
      </w:r>
      <w:r w:rsidR="00EC7ECF">
        <w:t xml:space="preserve">RALI FX03 </w:t>
      </w:r>
      <w:r>
        <w:t>to remain primarily</w:t>
      </w:r>
      <w:r w:rsidR="00EC7ECF">
        <w:t xml:space="preserve"> focused on intra-service coordination</w:t>
      </w:r>
      <w:r>
        <w:t xml:space="preserve"> between fixed links. However, as mentioned above</w:t>
      </w:r>
      <w:r w:rsidR="00A32ABE">
        <w:t>,</w:t>
      </w:r>
      <w:r w:rsidR="00EC7ECF">
        <w:t xml:space="preserve"> the current review </w:t>
      </w:r>
      <w:r>
        <w:t xml:space="preserve">will </w:t>
      </w:r>
      <w:r w:rsidR="00166988">
        <w:t xml:space="preserve">consider </w:t>
      </w:r>
      <w:r>
        <w:t xml:space="preserve">updating </w:t>
      </w:r>
      <w:r w:rsidR="00166988">
        <w:t>information</w:t>
      </w:r>
      <w:r w:rsidR="00EC7ECF">
        <w:t xml:space="preserve"> regarding</w:t>
      </w:r>
      <w:r>
        <w:t xml:space="preserve"> coexistence arrangements between</w:t>
      </w:r>
      <w:r w:rsidR="00EC7ECF">
        <w:t xml:space="preserve"> </w:t>
      </w:r>
      <w:r>
        <w:t xml:space="preserve">fixed links and </w:t>
      </w:r>
      <w:r w:rsidR="00EC7ECF">
        <w:t>earth station</w:t>
      </w:r>
      <w:r>
        <w:t>s</w:t>
      </w:r>
      <w:r w:rsidR="00EC7ECF">
        <w:t>.</w:t>
      </w:r>
    </w:p>
    <w:p w14:paraId="26D23F91" w14:textId="3A8FFF75" w:rsidR="00EC7ECF" w:rsidRDefault="00EC7ECF" w:rsidP="00EC7ECF">
      <w:pPr>
        <w:pStyle w:val="Paragraph"/>
      </w:pPr>
      <w:r>
        <w:t>The current review is considering technical aspects, including protection ratios, equipment rules, appendices, path lengths and antenna requirements. The benefits of these changes will be weighed against the complexity they may introduce.</w:t>
      </w:r>
    </w:p>
    <w:p w14:paraId="6ADD6DB2" w14:textId="4147F934" w:rsidR="00EC7ECF" w:rsidRDefault="00EC7ECF" w:rsidP="00EC7ECF">
      <w:pPr>
        <w:pStyle w:val="Paragraph"/>
      </w:pPr>
      <w:r>
        <w:t>At this stage</w:t>
      </w:r>
      <w:r w:rsidR="00A32ABE">
        <w:t>,</w:t>
      </w:r>
      <w:r>
        <w:t xml:space="preserve"> the </w:t>
      </w:r>
      <w:r w:rsidR="00166988">
        <w:t xml:space="preserve">use </w:t>
      </w:r>
      <w:r w:rsidR="00A32ABE">
        <w:t xml:space="preserve">of </w:t>
      </w:r>
      <w:r>
        <w:t>negotiation-based process</w:t>
      </w:r>
      <w:r w:rsidR="00166988">
        <w:t>es</w:t>
      </w:r>
      <w:r>
        <w:t xml:space="preserve"> and relaxed protection levels </w:t>
      </w:r>
      <w:r w:rsidR="00A32ABE">
        <w:t xml:space="preserve">is </w:t>
      </w:r>
      <w:r>
        <w:t xml:space="preserve">being considered against other possible approaches. </w:t>
      </w:r>
      <w:r w:rsidR="00166988">
        <w:t>A</w:t>
      </w:r>
      <w:r>
        <w:t xml:space="preserve">ny proposals </w:t>
      </w:r>
      <w:r w:rsidR="00166988">
        <w:t xml:space="preserve">for changes </w:t>
      </w:r>
      <w:r>
        <w:t xml:space="preserve">will be </w:t>
      </w:r>
      <w:r w:rsidR="00166988">
        <w:t xml:space="preserve">subject to public consultation. </w:t>
      </w:r>
    </w:p>
    <w:p w14:paraId="4BC64591" w14:textId="29BFA0AA" w:rsidR="00EC7ECF" w:rsidRDefault="00EC7ECF" w:rsidP="00EC7ECF">
      <w:pPr>
        <w:pStyle w:val="Paragraph"/>
      </w:pPr>
      <w:r>
        <w:t>Out-of-policy exemptions remain available where complex coordination demonstrates assignment viability. Broader issues, such as equipment standards, may fall outside RALI</w:t>
      </w:r>
      <w:r w:rsidR="00166988">
        <w:t> </w:t>
      </w:r>
      <w:r>
        <w:t xml:space="preserve">FX03’s scope </w:t>
      </w:r>
      <w:r w:rsidR="00166988">
        <w:t>but will be considered in our review of the RALI, where appropriate</w:t>
      </w:r>
      <w:r>
        <w:t>.</w:t>
      </w:r>
    </w:p>
    <w:p w14:paraId="5C34CB9C" w14:textId="4628F844" w:rsidR="00166988" w:rsidRDefault="00166988" w:rsidP="00EC7ECF">
      <w:pPr>
        <w:pStyle w:val="Paragraph"/>
      </w:pPr>
      <w:r>
        <w:t xml:space="preserve">Noting the </w:t>
      </w:r>
      <w:r w:rsidR="00383DEA">
        <w:t>current</w:t>
      </w:r>
      <w:r>
        <w:t xml:space="preserve"> review of RALI FX03, no changes to the text in this work program ha</w:t>
      </w:r>
      <w:r w:rsidR="00383DEA">
        <w:t>s</w:t>
      </w:r>
      <w:r>
        <w:t xml:space="preserve"> been made. </w:t>
      </w:r>
    </w:p>
    <w:p w14:paraId="73A1867C" w14:textId="77777777" w:rsidR="00EC7ECF" w:rsidRDefault="00EC7ECF" w:rsidP="00EC7ECF">
      <w:pPr>
        <w:pStyle w:val="Heading2"/>
      </w:pPr>
      <w:bookmarkStart w:id="76" w:name="_Toc201586038"/>
      <w:r>
        <w:lastRenderedPageBreak/>
        <w:t>FX16</w:t>
      </w:r>
      <w:bookmarkEnd w:id="76"/>
    </w:p>
    <w:p w14:paraId="16B13205" w14:textId="01302798" w:rsidR="00EC7ECF" w:rsidRDefault="00EC7ECF" w:rsidP="00EC7ECF">
      <w:pPr>
        <w:pStyle w:val="Heading3"/>
      </w:pPr>
      <w:bookmarkStart w:id="77" w:name="_Toc201586039"/>
      <w:r>
        <w:t xml:space="preserve">Summary of </w:t>
      </w:r>
      <w:r w:rsidR="00A32ABE">
        <w:t>s</w:t>
      </w:r>
      <w:r>
        <w:t>ubmissions</w:t>
      </w:r>
      <w:bookmarkEnd w:id="77"/>
    </w:p>
    <w:p w14:paraId="26D89DBE" w14:textId="65B11215" w:rsidR="00EC7ECF" w:rsidRDefault="00EC7ECF" w:rsidP="00EC7ECF">
      <w:pPr>
        <w:pStyle w:val="Paragraph"/>
      </w:pPr>
      <w:r>
        <w:t>Two submitters reiterated concerns</w:t>
      </w:r>
      <w:r w:rsidR="00383DEA">
        <w:t xml:space="preserve"> previously</w:t>
      </w:r>
      <w:r>
        <w:t xml:space="preserve"> </w:t>
      </w:r>
      <w:r w:rsidR="00383DEA">
        <w:t>highlighted in response to our October 2023</w:t>
      </w:r>
      <w:r>
        <w:t xml:space="preserve"> </w:t>
      </w:r>
      <w:r w:rsidR="00166988">
        <w:t>RALI </w:t>
      </w:r>
      <w:r>
        <w:t xml:space="preserve">FX16 consultation, </w:t>
      </w:r>
      <w:proofErr w:type="gramStart"/>
      <w:r w:rsidR="00383DEA">
        <w:t xml:space="preserve">in </w:t>
      </w:r>
      <w:r>
        <w:t>particular</w:t>
      </w:r>
      <w:r w:rsidR="00383DEA">
        <w:t xml:space="preserve"> proposing</w:t>
      </w:r>
      <w:proofErr w:type="gramEnd"/>
      <w:r w:rsidR="00383DEA">
        <w:t xml:space="preserve"> </w:t>
      </w:r>
      <w:r>
        <w:t>the cancellation of fixed point-to-multipoint (PMP) arrangements in the 805.5–806 MHz band.</w:t>
      </w:r>
    </w:p>
    <w:p w14:paraId="5F285724" w14:textId="2F6BB4AE" w:rsidR="00EC7ECF" w:rsidRDefault="00EC7ECF" w:rsidP="00EC7ECF">
      <w:pPr>
        <w:pStyle w:val="Heading3"/>
      </w:pPr>
      <w:bookmarkStart w:id="78" w:name="_Toc201586040"/>
      <w:r>
        <w:t xml:space="preserve">ACMA </w:t>
      </w:r>
      <w:r w:rsidR="00A32ABE">
        <w:t>r</w:t>
      </w:r>
      <w:r>
        <w:t>esponse</w:t>
      </w:r>
      <w:bookmarkEnd w:id="78"/>
    </w:p>
    <w:p w14:paraId="29A3E71B" w14:textId="689512F2" w:rsidR="00EC7ECF" w:rsidRDefault="00166988" w:rsidP="00EC7ECF">
      <w:pPr>
        <w:pStyle w:val="Paragraph"/>
      </w:pPr>
      <w:r>
        <w:t xml:space="preserve">RALI </w:t>
      </w:r>
      <w:r w:rsidR="00EC7ECF">
        <w:t xml:space="preserve">FX16 was </w:t>
      </w:r>
      <w:r>
        <w:t>updated on 25 March 2025</w:t>
      </w:r>
      <w:r w:rsidR="00B601CD" w:rsidRPr="00B601CD">
        <w:t xml:space="preserve"> </w:t>
      </w:r>
      <w:r w:rsidR="00B601CD" w:rsidRPr="008D51DB">
        <w:t>to aid coordination between point-to-multipoint and 700 MHz spectrum</w:t>
      </w:r>
      <w:r w:rsidR="00B601CD">
        <w:t>-</w:t>
      </w:r>
      <w:r w:rsidR="00B601CD" w:rsidRPr="008D51DB">
        <w:t>licensed services</w:t>
      </w:r>
      <w:r>
        <w:t>.</w:t>
      </w:r>
      <w:r w:rsidR="00B601CD">
        <w:t xml:space="preserve"> We note comments from </w:t>
      </w:r>
      <w:proofErr w:type="gramStart"/>
      <w:r w:rsidR="00B601CD">
        <w:t>submitters,</w:t>
      </w:r>
      <w:proofErr w:type="gramEnd"/>
      <w:r w:rsidR="00B601CD">
        <w:t xml:space="preserve"> however</w:t>
      </w:r>
      <w:r w:rsidR="00A32ABE">
        <w:t>,</w:t>
      </w:r>
      <w:r w:rsidR="00B601CD">
        <w:t xml:space="preserve"> </w:t>
      </w:r>
      <w:r w:rsidR="000D087E">
        <w:t xml:space="preserve">we are not proposing </w:t>
      </w:r>
      <w:r w:rsidR="00B601CD">
        <w:t xml:space="preserve">further review of RALI FX16 </w:t>
      </w:r>
      <w:r w:rsidR="00383DEA">
        <w:t xml:space="preserve">or planning arrangements for PMP services in this band </w:t>
      </w:r>
      <w:proofErr w:type="gramStart"/>
      <w:r w:rsidR="000D087E">
        <w:t>at this time</w:t>
      </w:r>
      <w:proofErr w:type="gramEnd"/>
      <w:r w:rsidR="000D087E">
        <w:t>.</w:t>
      </w:r>
      <w:r w:rsidR="00B601CD">
        <w:t xml:space="preserve"> </w:t>
      </w:r>
    </w:p>
    <w:p w14:paraId="0FE5C749" w14:textId="77777777" w:rsidR="00EC7ECF" w:rsidRDefault="00EC7ECF" w:rsidP="00EC7ECF">
      <w:pPr>
        <w:pStyle w:val="Heading2"/>
      </w:pPr>
      <w:bookmarkStart w:id="79" w:name="_Toc201586041"/>
      <w:r>
        <w:t>FX22</w:t>
      </w:r>
      <w:bookmarkEnd w:id="79"/>
    </w:p>
    <w:p w14:paraId="7D1AF224" w14:textId="51FF5579" w:rsidR="00EC7ECF" w:rsidRDefault="00EC7ECF" w:rsidP="00EC7ECF">
      <w:pPr>
        <w:pStyle w:val="Heading3"/>
      </w:pPr>
      <w:bookmarkStart w:id="80" w:name="_Toc201586042"/>
      <w:r>
        <w:t xml:space="preserve">Summary of </w:t>
      </w:r>
      <w:r w:rsidR="00A32ABE">
        <w:t>s</w:t>
      </w:r>
      <w:r>
        <w:t>ubmission</w:t>
      </w:r>
      <w:bookmarkEnd w:id="80"/>
    </w:p>
    <w:p w14:paraId="0DC838E1" w14:textId="5BC86CD1" w:rsidR="00EC7ECF" w:rsidRDefault="00EC7ECF" w:rsidP="00EC7ECF">
      <w:pPr>
        <w:pStyle w:val="Paragraph"/>
      </w:pPr>
      <w:r>
        <w:t xml:space="preserve">One submission requested that RALI FX22 </w:t>
      </w:r>
      <w:r w:rsidR="00A305D4">
        <w:t xml:space="preserve">be updated to </w:t>
      </w:r>
      <w:r>
        <w:t>include specific filtering requirements for 800</w:t>
      </w:r>
      <w:r w:rsidR="00166988">
        <w:t> </w:t>
      </w:r>
      <w:r>
        <w:t>MHz fixed point-to-point (PTP) links</w:t>
      </w:r>
      <w:r w:rsidR="00A32ABE">
        <w:t xml:space="preserve"> – </w:t>
      </w:r>
      <w:r w:rsidR="00A305D4">
        <w:t xml:space="preserve">to apply at frequencies </w:t>
      </w:r>
      <w:r>
        <w:t>below 803 MHz</w:t>
      </w:r>
      <w:r w:rsidR="00A32ABE">
        <w:t xml:space="preserve"> – </w:t>
      </w:r>
      <w:r>
        <w:t xml:space="preserve">to support effective sharing between </w:t>
      </w:r>
      <w:r w:rsidR="00A305D4">
        <w:t>PTP links</w:t>
      </w:r>
      <w:r>
        <w:t xml:space="preserve"> and spectrum-licensed services. Specific edits to RALI FX22 were proposed to address this.</w:t>
      </w:r>
    </w:p>
    <w:p w14:paraId="553AD57F" w14:textId="7628B2A9" w:rsidR="00EC7ECF" w:rsidRDefault="00EC7ECF" w:rsidP="00EC7ECF">
      <w:pPr>
        <w:pStyle w:val="Heading3"/>
      </w:pPr>
      <w:bookmarkStart w:id="81" w:name="_Toc201586043"/>
      <w:r>
        <w:t xml:space="preserve">ACMA </w:t>
      </w:r>
      <w:r w:rsidR="004C5FAB">
        <w:t>r</w:t>
      </w:r>
      <w:r>
        <w:t>esponse</w:t>
      </w:r>
      <w:bookmarkEnd w:id="81"/>
    </w:p>
    <w:p w14:paraId="4D1D4719" w14:textId="72451BEF" w:rsidR="00EC7ECF" w:rsidRDefault="00EC7ECF" w:rsidP="00EC7ECF">
      <w:pPr>
        <w:pStyle w:val="Paragraph"/>
      </w:pPr>
      <w:r>
        <w:t xml:space="preserve">RALI FX22 is not part of the current review cycle. However, </w:t>
      </w:r>
      <w:r w:rsidR="002020A4">
        <w:t>we</w:t>
      </w:r>
      <w:r>
        <w:t xml:space="preserve"> will continue monitoring the sharing environment between </w:t>
      </w:r>
      <w:r w:rsidR="00A305D4">
        <w:t>PTP links</w:t>
      </w:r>
      <w:r>
        <w:t xml:space="preserve"> and spectrum-licensed services. The need for </w:t>
      </w:r>
      <w:r w:rsidR="00A305D4">
        <w:t>amended</w:t>
      </w:r>
      <w:r>
        <w:t xml:space="preserve"> filtering requirements in the 800 MHz band </w:t>
      </w:r>
      <w:r w:rsidR="00166988">
        <w:t xml:space="preserve">may </w:t>
      </w:r>
      <w:r>
        <w:t>be considered in a future review.</w:t>
      </w:r>
    </w:p>
    <w:p w14:paraId="285ADA88" w14:textId="407262C8" w:rsidR="00B575F6" w:rsidRPr="00830500" w:rsidRDefault="00B575F6" w:rsidP="00B575F6">
      <w:pPr>
        <w:pStyle w:val="Paragraph"/>
        <w:rPr>
          <w:b/>
          <w:bCs/>
          <w:iCs/>
          <w:sz w:val="28"/>
          <w:szCs w:val="28"/>
        </w:rPr>
      </w:pPr>
      <w:r w:rsidRPr="00830500">
        <w:rPr>
          <w:b/>
          <w:bCs/>
          <w:iCs/>
          <w:sz w:val="28"/>
          <w:szCs w:val="28"/>
        </w:rPr>
        <w:t>LM0</w:t>
      </w:r>
      <w:r>
        <w:rPr>
          <w:b/>
          <w:bCs/>
          <w:iCs/>
          <w:sz w:val="28"/>
          <w:szCs w:val="28"/>
        </w:rPr>
        <w:t>5</w:t>
      </w:r>
    </w:p>
    <w:p w14:paraId="5F46562C" w14:textId="330362F8" w:rsidR="00B575F6" w:rsidRDefault="00B575F6" w:rsidP="00B575F6">
      <w:pPr>
        <w:pStyle w:val="Heading3"/>
      </w:pPr>
      <w:r>
        <w:t xml:space="preserve">Summary of </w:t>
      </w:r>
      <w:r w:rsidR="00A32ABE">
        <w:t>s</w:t>
      </w:r>
      <w:r>
        <w:t>ubmission</w:t>
      </w:r>
    </w:p>
    <w:p w14:paraId="77798842" w14:textId="085A5D99" w:rsidR="00B575F6" w:rsidRPr="00B575F6" w:rsidRDefault="00B575F6" w:rsidP="00B575F6">
      <w:pPr>
        <w:pStyle w:val="Paragraph"/>
      </w:pPr>
      <w:r w:rsidRPr="00B575F6">
        <w:t xml:space="preserve">One submission </w:t>
      </w:r>
      <w:r w:rsidR="007A2B15">
        <w:t xml:space="preserve">indicated a preference that we commence the </w:t>
      </w:r>
      <w:r w:rsidRPr="00B575F6">
        <w:t xml:space="preserve">review of RALI LM05 </w:t>
      </w:r>
      <w:r w:rsidR="007A2B15">
        <w:t xml:space="preserve">in a timely manner </w:t>
      </w:r>
      <w:r w:rsidRPr="00B575F6">
        <w:t>as they</w:t>
      </w:r>
      <w:r w:rsidR="007A2B15">
        <w:t xml:space="preserve"> have a</w:t>
      </w:r>
      <w:r w:rsidRPr="00B575F6">
        <w:t xml:space="preserve"> need to</w:t>
      </w:r>
      <w:r w:rsidR="007A2B15">
        <w:t xml:space="preserve"> occasionally</w:t>
      </w:r>
      <w:r w:rsidRPr="00B575F6">
        <w:t xml:space="preserve"> coordinate services</w:t>
      </w:r>
      <w:r w:rsidR="007A2B15">
        <w:t xml:space="preserve"> within scope of this RALI</w:t>
      </w:r>
      <w:r w:rsidRPr="00B575F6">
        <w:t>.</w:t>
      </w:r>
    </w:p>
    <w:p w14:paraId="7365D2E2" w14:textId="23F8A427" w:rsidR="00B575F6" w:rsidRDefault="00B575F6" w:rsidP="00B575F6">
      <w:pPr>
        <w:pStyle w:val="Heading3"/>
      </w:pPr>
      <w:r>
        <w:t xml:space="preserve">ACMA </w:t>
      </w:r>
      <w:r w:rsidR="00A32ABE">
        <w:t>r</w:t>
      </w:r>
      <w:r>
        <w:t>esponse</w:t>
      </w:r>
    </w:p>
    <w:p w14:paraId="095EBAE8" w14:textId="78D21435" w:rsidR="00830500" w:rsidRDefault="009653BC" w:rsidP="00B575F6">
      <w:pPr>
        <w:pStyle w:val="Paragraph"/>
      </w:pPr>
      <w:r w:rsidRPr="009653BC">
        <w:t>RALI LM05 is not included in the current review cycle. While it is not considered a high priority for immediate review, it is to be addressed at a future date.</w:t>
      </w:r>
    </w:p>
    <w:p w14:paraId="773D5B60" w14:textId="77777777" w:rsidR="00EC7ECF" w:rsidRDefault="00EC7ECF" w:rsidP="00EC7ECF">
      <w:pPr>
        <w:pStyle w:val="Heading2"/>
      </w:pPr>
      <w:bookmarkStart w:id="82" w:name="_Toc201586044"/>
      <w:r>
        <w:t>LM08</w:t>
      </w:r>
      <w:bookmarkEnd w:id="82"/>
    </w:p>
    <w:p w14:paraId="07E77527" w14:textId="14BE40C4" w:rsidR="00EC7ECF" w:rsidRDefault="00EC7ECF" w:rsidP="00EC7ECF">
      <w:pPr>
        <w:pStyle w:val="Heading3"/>
      </w:pPr>
      <w:bookmarkStart w:id="83" w:name="_Toc201586045"/>
      <w:r>
        <w:t xml:space="preserve">Summary of </w:t>
      </w:r>
      <w:r w:rsidR="00A32ABE">
        <w:t>s</w:t>
      </w:r>
      <w:r>
        <w:t>ubmissions</w:t>
      </w:r>
      <w:bookmarkEnd w:id="83"/>
    </w:p>
    <w:p w14:paraId="558615A2" w14:textId="61C75573" w:rsidR="00EC7ECF" w:rsidRDefault="00EC7ECF" w:rsidP="00EC7ECF">
      <w:pPr>
        <w:pStyle w:val="Paragraph"/>
      </w:pPr>
      <w:r>
        <w:t>Three submissions were received regarding RALI LM08. The first submission requested that terrain factors be incorporated into the coordination process, that frequency-distance constraints be removed and that coverage area be used instead.</w:t>
      </w:r>
    </w:p>
    <w:p w14:paraId="13F8D819" w14:textId="2E5E39BB" w:rsidR="00EC7ECF" w:rsidRDefault="00EC7ECF" w:rsidP="00EC7ECF">
      <w:pPr>
        <w:pStyle w:val="Paragraph"/>
      </w:pPr>
      <w:r>
        <w:t xml:space="preserve">The second submission supported the proposed review of RALI LM08 and called for a thorough assessment of the frequency-distance constraints. They provided a supporting Excel file and suggested that </w:t>
      </w:r>
      <w:r w:rsidR="002020A4">
        <w:t>we</w:t>
      </w:r>
      <w:r>
        <w:t xml:space="preserve"> examine parameters associated with the Enclosed Service model contained in the RALI.</w:t>
      </w:r>
    </w:p>
    <w:p w14:paraId="4C86EE4E" w14:textId="6FD973CD" w:rsidR="00EC7ECF" w:rsidRDefault="00EC7ECF" w:rsidP="00EC7ECF">
      <w:pPr>
        <w:pStyle w:val="Paragraph"/>
      </w:pPr>
      <w:r>
        <w:t xml:space="preserve">The third submission expressed concerns about increased interference from </w:t>
      </w:r>
      <w:r w:rsidR="000E369A">
        <w:t xml:space="preserve">a </w:t>
      </w:r>
      <w:r>
        <w:t>growing</w:t>
      </w:r>
      <w:r w:rsidR="000E369A">
        <w:t xml:space="preserve"> number</w:t>
      </w:r>
      <w:r>
        <w:t xml:space="preserve"> commercial and government land mobile services</w:t>
      </w:r>
      <w:r w:rsidR="000E369A">
        <w:t xml:space="preserve"> in the VHF band</w:t>
      </w:r>
      <w:r>
        <w:t xml:space="preserve">, which they </w:t>
      </w:r>
      <w:r>
        <w:lastRenderedPageBreak/>
        <w:t>stated was adversely affecting amateur VHF repeaters. They proposed changes to RALI LM08’s technical coordination guidelines to mitigate future interference in the 144–148 MHz band and requested an amendment to Annex D to enhance intermodulation checks.</w:t>
      </w:r>
    </w:p>
    <w:p w14:paraId="6F70FB27" w14:textId="37260A19" w:rsidR="00EC7ECF" w:rsidRDefault="00EC7ECF" w:rsidP="00EC7ECF">
      <w:pPr>
        <w:pStyle w:val="Heading3"/>
      </w:pPr>
      <w:bookmarkStart w:id="84" w:name="_Toc201586046"/>
      <w:r>
        <w:t xml:space="preserve">ACMA </w:t>
      </w:r>
      <w:r w:rsidR="00A32ABE">
        <w:t>r</w:t>
      </w:r>
      <w:r>
        <w:t>esponse</w:t>
      </w:r>
      <w:bookmarkEnd w:id="84"/>
    </w:p>
    <w:p w14:paraId="07E5B82F" w14:textId="3F1B6080" w:rsidR="0035678D" w:rsidRPr="00D15C6E" w:rsidRDefault="0035678D" w:rsidP="0035678D">
      <w:pPr>
        <w:spacing w:after="160" w:line="259" w:lineRule="auto"/>
        <w:rPr>
          <w:sz w:val="22"/>
          <w:szCs w:val="22"/>
        </w:rPr>
      </w:pPr>
      <w:r w:rsidRPr="00D15C6E">
        <w:rPr>
          <w:sz w:val="22"/>
          <w:szCs w:val="22"/>
        </w:rPr>
        <w:t>As part of our ongoing internal review, we will consider suggestions to update coordination methodologies</w:t>
      </w:r>
      <w:r w:rsidR="00A32ABE">
        <w:rPr>
          <w:sz w:val="22"/>
          <w:szCs w:val="22"/>
        </w:rPr>
        <w:t>,</w:t>
      </w:r>
      <w:r w:rsidRPr="00D15C6E">
        <w:rPr>
          <w:sz w:val="22"/>
          <w:szCs w:val="22"/>
        </w:rPr>
        <w:t xml:space="preserve"> such as frequency-distance constraints and terrain or coverage-based assessments</w:t>
      </w:r>
      <w:r w:rsidR="00A32ABE">
        <w:rPr>
          <w:sz w:val="22"/>
          <w:szCs w:val="22"/>
        </w:rPr>
        <w:t>,</w:t>
      </w:r>
      <w:r w:rsidRPr="00D15C6E">
        <w:rPr>
          <w:sz w:val="22"/>
          <w:szCs w:val="22"/>
        </w:rPr>
        <w:t xml:space="preserve"> in line with current priorities. While concerns about interference to amateur services are noted, any amendments to Annex D to support amateur use in the 144</w:t>
      </w:r>
      <w:r w:rsidR="00A32ABE">
        <w:rPr>
          <w:sz w:val="22"/>
          <w:szCs w:val="22"/>
        </w:rPr>
        <w:t>–</w:t>
      </w:r>
      <w:r w:rsidR="00A32ABE" w:rsidRPr="00D15C6E">
        <w:rPr>
          <w:sz w:val="22"/>
          <w:szCs w:val="22"/>
        </w:rPr>
        <w:t>148</w:t>
      </w:r>
      <w:r w:rsidR="00A32ABE">
        <w:rPr>
          <w:sz w:val="22"/>
          <w:szCs w:val="22"/>
        </w:rPr>
        <w:t> </w:t>
      </w:r>
      <w:r w:rsidRPr="00D15C6E">
        <w:rPr>
          <w:sz w:val="22"/>
          <w:szCs w:val="22"/>
        </w:rPr>
        <w:t>MHz band will also be assessed against these priorities.</w:t>
      </w:r>
    </w:p>
    <w:p w14:paraId="12D785B2" w14:textId="1851F168" w:rsidR="0035678D" w:rsidRPr="00D15C6E" w:rsidRDefault="0035678D" w:rsidP="0035678D">
      <w:pPr>
        <w:spacing w:after="160" w:line="259" w:lineRule="auto"/>
        <w:rPr>
          <w:sz w:val="22"/>
          <w:szCs w:val="22"/>
        </w:rPr>
      </w:pPr>
      <w:r w:rsidRPr="00D15C6E">
        <w:rPr>
          <w:sz w:val="22"/>
          <w:szCs w:val="22"/>
        </w:rPr>
        <w:t>All input will be reviewed under the 2025</w:t>
      </w:r>
      <w:r w:rsidR="00A32ABE">
        <w:rPr>
          <w:sz w:val="22"/>
          <w:szCs w:val="22"/>
        </w:rPr>
        <w:t>–</w:t>
      </w:r>
      <w:r w:rsidRPr="00D15C6E">
        <w:rPr>
          <w:sz w:val="22"/>
          <w:szCs w:val="22"/>
        </w:rPr>
        <w:t>26 RALI LM08 work program, with implementation feasibility evaluated against broader spectrum planning goals and potential impacts on existing services.</w:t>
      </w:r>
    </w:p>
    <w:p w14:paraId="2A4315CC" w14:textId="4A0E9F7B" w:rsidR="00EC7ECF" w:rsidRDefault="00EC7ECF" w:rsidP="00EC7ECF">
      <w:pPr>
        <w:pStyle w:val="Heading2"/>
      </w:pPr>
      <w:bookmarkStart w:id="85" w:name="_Toc201586050"/>
      <w:r>
        <w:t xml:space="preserve">MS44 </w:t>
      </w:r>
      <w:bookmarkEnd w:id="85"/>
    </w:p>
    <w:p w14:paraId="6AA7F21F" w14:textId="1AA6F3A2" w:rsidR="00EC7ECF" w:rsidRDefault="00EC7ECF" w:rsidP="00EC7ECF">
      <w:pPr>
        <w:pStyle w:val="Heading3"/>
      </w:pPr>
      <w:bookmarkStart w:id="86" w:name="_Toc201586051"/>
      <w:r>
        <w:t xml:space="preserve">Summary of </w:t>
      </w:r>
      <w:r w:rsidR="00A32ABE">
        <w:t>s</w:t>
      </w:r>
      <w:r>
        <w:t>ubmissions</w:t>
      </w:r>
      <w:bookmarkEnd w:id="86"/>
    </w:p>
    <w:p w14:paraId="0110180F" w14:textId="6D855054" w:rsidR="00EC7ECF" w:rsidRDefault="00397880" w:rsidP="00EC7ECF">
      <w:pPr>
        <w:pStyle w:val="Paragraph"/>
      </w:pPr>
      <w:r>
        <w:t>T</w:t>
      </w:r>
      <w:r w:rsidR="00EC7ECF">
        <w:t>wo submitters requested a formal review and update of RALI MS44 to ensure continued protection measures</w:t>
      </w:r>
      <w:r>
        <w:t xml:space="preserve"> and offered</w:t>
      </w:r>
      <w:r w:rsidR="00EC7ECF">
        <w:t xml:space="preserve"> specific proposals for improvement.</w:t>
      </w:r>
    </w:p>
    <w:p w14:paraId="617795DE" w14:textId="11DD40F5" w:rsidR="00EC7ECF" w:rsidRDefault="00EC7ECF" w:rsidP="00EC7ECF">
      <w:pPr>
        <w:pStyle w:val="Heading3"/>
      </w:pPr>
      <w:bookmarkStart w:id="87" w:name="_Toc201586052"/>
      <w:r>
        <w:t xml:space="preserve">ACMA </w:t>
      </w:r>
      <w:r w:rsidR="00A32ABE">
        <w:t>r</w:t>
      </w:r>
      <w:r>
        <w:t>esponse</w:t>
      </w:r>
      <w:bookmarkEnd w:id="87"/>
    </w:p>
    <w:p w14:paraId="52838A25" w14:textId="0BF48C1D" w:rsidR="00EC7ECF" w:rsidRDefault="00EC7ECF" w:rsidP="00EC7ECF">
      <w:pPr>
        <w:pStyle w:val="Paragraph"/>
      </w:pPr>
      <w:r>
        <w:t>RALI MS44 has not been included in this round of RALI updates however we will continue to monitor for potential review.</w:t>
      </w:r>
    </w:p>
    <w:p w14:paraId="3A668878" w14:textId="77777777" w:rsidR="00EC7ECF" w:rsidRDefault="00EC7ECF" w:rsidP="00EC7ECF">
      <w:pPr>
        <w:pStyle w:val="Heading2"/>
      </w:pPr>
      <w:bookmarkStart w:id="88" w:name="_Toc201586053"/>
      <w:r>
        <w:t>MS46</w:t>
      </w:r>
      <w:bookmarkEnd w:id="88"/>
    </w:p>
    <w:p w14:paraId="0A8E278F" w14:textId="7011A5D5" w:rsidR="00EC7ECF" w:rsidRDefault="00EC7ECF" w:rsidP="00EC7ECF">
      <w:pPr>
        <w:pStyle w:val="Heading3"/>
      </w:pPr>
      <w:bookmarkStart w:id="89" w:name="_Toc201586054"/>
      <w:r>
        <w:t xml:space="preserve">Summary of </w:t>
      </w:r>
      <w:r w:rsidR="00A32ABE">
        <w:t>s</w:t>
      </w:r>
      <w:r>
        <w:t>ubmissions</w:t>
      </w:r>
      <w:bookmarkEnd w:id="89"/>
    </w:p>
    <w:p w14:paraId="067517C6" w14:textId="504EC0C5" w:rsidR="00EC7ECF" w:rsidRDefault="00EC7ECF" w:rsidP="00EC7ECF">
      <w:pPr>
        <w:pStyle w:val="Paragraph"/>
      </w:pPr>
      <w:r>
        <w:t xml:space="preserve">A submission requested that </w:t>
      </w:r>
      <w:r w:rsidR="00047912">
        <w:t>we</w:t>
      </w:r>
      <w:r>
        <w:t xml:space="preserve"> consider </w:t>
      </w:r>
      <w:r w:rsidR="00312057">
        <w:t>introducing arrangements</w:t>
      </w:r>
      <w:r>
        <w:t xml:space="preserve"> to support future Ka-band Space Research Service (SRS) and EESS earth stations</w:t>
      </w:r>
      <w:r w:rsidR="00047912">
        <w:t xml:space="preserve"> in the range 25.5–27 GHz outside of the 3 locations currently supported by RALI MS46</w:t>
      </w:r>
      <w:r>
        <w:t xml:space="preserve">. </w:t>
      </w:r>
    </w:p>
    <w:p w14:paraId="551DBCBA" w14:textId="7013CA5F" w:rsidR="00EC7ECF" w:rsidRDefault="00EC7ECF" w:rsidP="00EC7ECF">
      <w:pPr>
        <w:pStyle w:val="Heading3"/>
      </w:pPr>
      <w:bookmarkStart w:id="90" w:name="_Toc201586055"/>
      <w:r>
        <w:t xml:space="preserve">ACMA </w:t>
      </w:r>
      <w:r w:rsidR="00A32ABE">
        <w:t>r</w:t>
      </w:r>
      <w:r>
        <w:t>esponse</w:t>
      </w:r>
      <w:bookmarkEnd w:id="90"/>
    </w:p>
    <w:p w14:paraId="70DE1571" w14:textId="4247913A" w:rsidR="00EC7ECF" w:rsidRDefault="00EC7ECF" w:rsidP="00EC7ECF">
      <w:pPr>
        <w:pStyle w:val="Paragraph"/>
      </w:pPr>
      <w:r>
        <w:t>RALI MS46 currently support</w:t>
      </w:r>
      <w:r w:rsidR="00047912">
        <w:t>s</w:t>
      </w:r>
      <w:r>
        <w:t xml:space="preserve"> Ka-band earth stations </w:t>
      </w:r>
      <w:r w:rsidR="00397880">
        <w:t>via</w:t>
      </w:r>
      <w:r>
        <w:t xml:space="preserve"> </w:t>
      </w:r>
      <w:r w:rsidR="000D087E">
        <w:t xml:space="preserve">a combination of </w:t>
      </w:r>
      <w:r>
        <w:t>exclusion zones</w:t>
      </w:r>
      <w:r w:rsidR="000D087E">
        <w:t xml:space="preserve"> and coordination requirements for new AWL transmitters. These arrangements</w:t>
      </w:r>
      <w:r w:rsidR="00312057">
        <w:t xml:space="preserve"> are</w:t>
      </w:r>
      <w:r w:rsidR="000D087E">
        <w:t xml:space="preserve"> currently </w:t>
      </w:r>
      <w:r w:rsidR="00312057">
        <w:t>limited to</w:t>
      </w:r>
      <w:r w:rsidR="000D087E">
        <w:t xml:space="preserve"> the operation of earth receive stations at </w:t>
      </w:r>
      <w:r w:rsidR="00A32ABE">
        <w:t xml:space="preserve">3 </w:t>
      </w:r>
      <w:r w:rsidR="000D087E">
        <w:t xml:space="preserve">locations. </w:t>
      </w:r>
      <w:hyperlink r:id="rId55" w:anchor="applications-for-new-earth-receive-stations-in-the-255%E2%80%9327-ghz-frequency-range" w:history="1">
        <w:r w:rsidR="000D087E" w:rsidRPr="00F33800">
          <w:rPr>
            <w:rStyle w:val="Hyperlink"/>
          </w:rPr>
          <w:t>Our website</w:t>
        </w:r>
      </w:hyperlink>
      <w:r w:rsidR="000D087E">
        <w:t xml:space="preserve"> contains information about applications for new earth receive stations, including at locations not currently supported by RALI MS47.</w:t>
      </w:r>
      <w:r>
        <w:t xml:space="preserve"> </w:t>
      </w:r>
    </w:p>
    <w:p w14:paraId="705A00C5" w14:textId="4E9B3B81" w:rsidR="00397880" w:rsidRDefault="00EC7ECF" w:rsidP="00397880">
      <w:pPr>
        <w:pStyle w:val="Paragraph"/>
      </w:pPr>
      <w:r>
        <w:t xml:space="preserve">RALI MS46 is not part of </w:t>
      </w:r>
      <w:r w:rsidR="00047912">
        <w:t xml:space="preserve">our </w:t>
      </w:r>
      <w:r w:rsidR="000D087E">
        <w:t>2025</w:t>
      </w:r>
      <w:r w:rsidR="00A32ABE">
        <w:t>–</w:t>
      </w:r>
      <w:r w:rsidR="000D087E">
        <w:t xml:space="preserve">26 </w:t>
      </w:r>
      <w:r>
        <w:t xml:space="preserve">RALI review </w:t>
      </w:r>
      <w:r w:rsidR="000D087E">
        <w:t xml:space="preserve">work </w:t>
      </w:r>
      <w:r>
        <w:t>program</w:t>
      </w:r>
      <w:r w:rsidR="000D087E">
        <w:t>, however w</w:t>
      </w:r>
      <w:r w:rsidR="00397880">
        <w:t xml:space="preserve">e will continue to monitor </w:t>
      </w:r>
      <w:r w:rsidR="000D087E">
        <w:t xml:space="preserve">the interest </w:t>
      </w:r>
      <w:r w:rsidR="00047912">
        <w:t xml:space="preserve">in </w:t>
      </w:r>
      <w:r w:rsidR="000D087E">
        <w:t>operati</w:t>
      </w:r>
      <w:r w:rsidR="00047912">
        <w:t xml:space="preserve">ng </w:t>
      </w:r>
      <w:r w:rsidR="000D087E">
        <w:t>earth receive station</w:t>
      </w:r>
      <w:r w:rsidR="00047912">
        <w:t>s</w:t>
      </w:r>
      <w:r w:rsidR="000D087E">
        <w:t xml:space="preserve"> at locations not currently supported by the RALI</w:t>
      </w:r>
      <w:r w:rsidR="00397880">
        <w:t>.</w:t>
      </w:r>
    </w:p>
    <w:bookmarkEnd w:id="4"/>
    <w:bookmarkEnd w:id="5"/>
    <w:p w14:paraId="0C15A6E4" w14:textId="77777777" w:rsidR="00FF1BEE" w:rsidRDefault="00FF1BEE" w:rsidP="00FF1BEE">
      <w:pPr>
        <w:pStyle w:val="Heading2"/>
      </w:pPr>
      <w:r>
        <w:t>MS47</w:t>
      </w:r>
    </w:p>
    <w:p w14:paraId="35B02E07" w14:textId="2E13792E" w:rsidR="00FF1BEE" w:rsidRDefault="00FF1BEE" w:rsidP="00FF1BEE">
      <w:pPr>
        <w:pStyle w:val="Heading3"/>
      </w:pPr>
      <w:r>
        <w:t xml:space="preserve">Summary of </w:t>
      </w:r>
      <w:r w:rsidR="00A32ABE">
        <w:t>s</w:t>
      </w:r>
      <w:r>
        <w:t>ubmissions</w:t>
      </w:r>
    </w:p>
    <w:p w14:paraId="42E29B09" w14:textId="77777777" w:rsidR="00FF1BEE" w:rsidRDefault="00FF1BEE" w:rsidP="00FF1BEE">
      <w:pPr>
        <w:pStyle w:val="Paragraph"/>
      </w:pPr>
      <w:r>
        <w:t xml:space="preserve">One submitter supported incorporating outcomes from the TLG on </w:t>
      </w:r>
      <w:proofErr w:type="gramStart"/>
      <w:r>
        <w:t>highly-localised</w:t>
      </w:r>
      <w:proofErr w:type="gramEnd"/>
      <w:r>
        <w:t xml:space="preserve"> wireless broadband (HL WBB) into RALI MS47 and MS50, </w:t>
      </w:r>
      <w:proofErr w:type="gramStart"/>
      <w:r>
        <w:t>in particular relating</w:t>
      </w:r>
      <w:proofErr w:type="gramEnd"/>
      <w:r>
        <w:t xml:space="preserve"> coexistence between HL WBB services and earth receive stations.</w:t>
      </w:r>
    </w:p>
    <w:p w14:paraId="0A626F9B" w14:textId="3C1CA324" w:rsidR="00FF1BEE" w:rsidRDefault="00FF1BEE" w:rsidP="00FF1BEE">
      <w:pPr>
        <w:pStyle w:val="Heading3"/>
      </w:pPr>
      <w:r>
        <w:lastRenderedPageBreak/>
        <w:t xml:space="preserve">ACMA </w:t>
      </w:r>
      <w:r w:rsidR="00A32ABE">
        <w:t>r</w:t>
      </w:r>
      <w:r>
        <w:t>esponse</w:t>
      </w:r>
    </w:p>
    <w:p w14:paraId="4EE0DBDA" w14:textId="342ED29D" w:rsidR="00EC7ECF" w:rsidRDefault="00FF1BEE" w:rsidP="00397880">
      <w:pPr>
        <w:pStyle w:val="Paragraph"/>
      </w:pPr>
      <w:r>
        <w:t xml:space="preserve">We are planning to release the update of RALI MS47 in Q3 2025, that takes into consideration stakeholder feedback to our </w:t>
      </w:r>
      <w:hyperlink r:id="rId56" w:history="1">
        <w:r w:rsidRPr="00F33800">
          <w:rPr>
            <w:rStyle w:val="Hyperlink"/>
          </w:rPr>
          <w:t>October 2024 consultation process</w:t>
        </w:r>
      </w:hyperlink>
    </w:p>
    <w:sectPr w:rsidR="00EC7ECF" w:rsidSect="005A62E5">
      <w:headerReference w:type="even" r:id="rId57"/>
      <w:headerReference w:type="default" r:id="rId58"/>
      <w:footerReference w:type="even" r:id="rId59"/>
      <w:footerReference w:type="default" r:id="rId60"/>
      <w:pgSz w:w="11906" w:h="16838" w:code="9"/>
      <w:pgMar w:top="1418" w:right="1418" w:bottom="1134" w:left="1418"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942A3B3" w14:textId="77777777" w:rsidR="008017E1" w:rsidRDefault="008017E1">
      <w:r>
        <w:separator/>
      </w:r>
    </w:p>
  </w:endnote>
  <w:endnote w:type="continuationSeparator" w:id="0">
    <w:p w14:paraId="1F220055" w14:textId="77777777" w:rsidR="008017E1" w:rsidRDefault="008017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HelveticaNeueLT Std">
    <w:altName w:val="Arial"/>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344B12" w14:textId="77777777" w:rsidR="005E250B" w:rsidRDefault="005E250B" w:rsidP="005E250B">
    <w:pPr>
      <w:pStyle w:val="Footer"/>
      <w:jc w:val="right"/>
    </w:pPr>
    <w:r w:rsidRPr="005E250B">
      <w:rPr>
        <w:noProof/>
        <w:vertAlign w:val="subscript"/>
      </w:rPr>
      <w:drawing>
        <wp:inline distT="0" distB="0" distL="0" distR="0" wp14:anchorId="22A10093" wp14:editId="159FCC1D">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BF3758"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DC5DB4"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4641CD"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49574005"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3D004E"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00418562"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45CA34" w14:textId="77777777" w:rsidR="00C053A1" w:rsidRPr="005A62E5" w:rsidRDefault="005A62E5" w:rsidP="005A62E5">
    <w:pPr>
      <w:pStyle w:val="Header"/>
      <w:tabs>
        <w:tab w:val="clear" w:pos="4153"/>
        <w:tab w:val="clear" w:pos="8306"/>
        <w:tab w:val="right" w:pos="9072"/>
      </w:tabs>
      <w:rPr>
        <w:noProof/>
        <w:sz w:val="20"/>
      </w:rPr>
    </w:pPr>
    <w:r>
      <w:rPr>
        <w:color w:val="505050"/>
      </w:rPr>
      <w:t>Australian Communications and Media Authority</w:t>
    </w:r>
    <w:r>
      <w:rPr>
        <w:color w:val="505050"/>
      </w:rPr>
      <w:tab/>
    </w:r>
    <w:r w:rsidRPr="005A62E5">
      <w:rPr>
        <w:color w:val="505050"/>
      </w:rPr>
      <w:fldChar w:fldCharType="begin"/>
    </w:r>
    <w:r w:rsidRPr="005A62E5">
      <w:rPr>
        <w:color w:val="505050"/>
      </w:rPr>
      <w:instrText xml:space="preserve"> PAGE   \* MERGEFORMAT </w:instrText>
    </w:r>
    <w:r w:rsidRPr="005A62E5">
      <w:rPr>
        <w:color w:val="505050"/>
      </w:rPr>
      <w:fldChar w:fldCharType="separate"/>
    </w:r>
    <w:r w:rsidRPr="005A62E5">
      <w:rPr>
        <w:noProof/>
        <w:color w:val="505050"/>
      </w:rPr>
      <w:t>1</w:t>
    </w:r>
    <w:r w:rsidRPr="005A62E5">
      <w:rPr>
        <w:noProof/>
        <w:color w:val="505050"/>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5CA09B" w14:textId="77777777" w:rsidR="00C053A1" w:rsidRPr="005A62E5" w:rsidRDefault="005A62E5" w:rsidP="005A62E5">
    <w:pPr>
      <w:pStyle w:val="Header"/>
      <w:tabs>
        <w:tab w:val="clear" w:pos="4153"/>
        <w:tab w:val="clear" w:pos="8306"/>
        <w:tab w:val="left" w:pos="5445"/>
        <w:tab w:val="right" w:pos="9072"/>
      </w:tabs>
      <w:rPr>
        <w:noProof/>
        <w:sz w:val="20"/>
      </w:rPr>
    </w:pPr>
    <w:r>
      <w:rPr>
        <w:color w:val="505050"/>
      </w:rPr>
      <w:t>Australian Communications and Media Authority</w:t>
    </w:r>
    <w:r>
      <w:rPr>
        <w:color w:val="505050"/>
      </w:rPr>
      <w:tab/>
    </w:r>
    <w:r>
      <w:rPr>
        <w:color w:val="505050"/>
      </w:rPr>
      <w:tab/>
    </w:r>
    <w:sdt>
      <w:sdtPr>
        <w:id w:val="-305168851"/>
        <w:docPartObj>
          <w:docPartGallery w:val="Page Numbers (Top of Page)"/>
          <w:docPartUnique/>
        </w:docPartObj>
      </w:sdtPr>
      <w:sdtEndPr>
        <w:rPr>
          <w:noProof/>
        </w:rPr>
      </w:sdtEndPr>
      <w:sdtContent>
        <w:r>
          <w:fldChar w:fldCharType="begin"/>
        </w:r>
        <w:r>
          <w:instrText xml:space="preserve"> PAGE   \* MERGEFORMAT </w:instrText>
        </w:r>
        <w:r>
          <w:fldChar w:fldCharType="separate"/>
        </w:r>
        <w:r>
          <w:t>1</w:t>
        </w:r>
        <w:r>
          <w:rPr>
            <w:noProof/>
          </w:rPr>
          <w:fldChar w:fldCharType="end"/>
        </w:r>
      </w:sdtContent>
    </w:sdt>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60CC10" w14:textId="77777777" w:rsidR="00C053A1" w:rsidRPr="005A62E5" w:rsidRDefault="005A62E5" w:rsidP="005A62E5">
    <w:pPr>
      <w:pStyle w:val="Header"/>
      <w:tabs>
        <w:tab w:val="clear" w:pos="4153"/>
        <w:tab w:val="clear" w:pos="8306"/>
        <w:tab w:val="left" w:pos="5445"/>
        <w:tab w:val="right" w:pos="9072"/>
      </w:tabs>
      <w:rPr>
        <w:noProof/>
        <w:sz w:val="20"/>
      </w:rPr>
    </w:pPr>
    <w:r>
      <w:rPr>
        <w:color w:val="505050"/>
      </w:rPr>
      <w:t>Australian Communications and Media Authority</w:t>
    </w:r>
    <w:r>
      <w:rPr>
        <w:color w:val="505050"/>
      </w:rPr>
      <w:tab/>
    </w:r>
    <w:r>
      <w:rPr>
        <w:color w:val="505050"/>
      </w:rPr>
      <w:tab/>
    </w:r>
    <w:sdt>
      <w:sdtPr>
        <w:id w:val="726493579"/>
        <w:docPartObj>
          <w:docPartGallery w:val="Page Numbers (Top of Page)"/>
          <w:docPartUnique/>
        </w:docPartObj>
      </w:sdtPr>
      <w:sdtEndPr>
        <w:rPr>
          <w:noProof/>
        </w:rPr>
      </w:sdtEndPr>
      <w:sdtContent>
        <w:r>
          <w:fldChar w:fldCharType="begin"/>
        </w:r>
        <w:r>
          <w:instrText xml:space="preserve"> PAGE   \* MERGEFORMAT </w:instrText>
        </w:r>
        <w:r>
          <w:fldChar w:fldCharType="separate"/>
        </w:r>
        <w:r>
          <w:t>1</w:t>
        </w:r>
        <w:r>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AA86324" w14:textId="77777777" w:rsidR="008017E1" w:rsidRDefault="008017E1" w:rsidP="00DB3A64">
      <w:pPr>
        <w:spacing w:after="0"/>
      </w:pPr>
      <w:r>
        <w:separator/>
      </w:r>
    </w:p>
  </w:footnote>
  <w:footnote w:type="continuationSeparator" w:id="0">
    <w:p w14:paraId="7273C87D" w14:textId="77777777" w:rsidR="008017E1" w:rsidRDefault="008017E1">
      <w:r>
        <w:continuationSeparator/>
      </w:r>
    </w:p>
  </w:footnote>
  <w:footnote w:id="1">
    <w:p w14:paraId="3481EC0B" w14:textId="3165CE80" w:rsidR="00DF31D3" w:rsidRDefault="00DF31D3" w:rsidP="00DF31D3">
      <w:pPr>
        <w:pStyle w:val="FootnoteText"/>
      </w:pPr>
      <w:r>
        <w:rPr>
          <w:rStyle w:val="FootnoteReference"/>
        </w:rPr>
        <w:footnoteRef/>
      </w:r>
      <w:r>
        <w:t xml:space="preserve"> </w:t>
      </w:r>
      <w:r w:rsidR="00CC4DB2">
        <w:t>Possible revision may be</w:t>
      </w:r>
      <w:r>
        <w:t xml:space="preserve"> considered as part of 2.5 GHz spectrum licence technical framework review.</w:t>
      </w:r>
    </w:p>
  </w:footnote>
  <w:footnote w:id="2">
    <w:p w14:paraId="7749425A" w14:textId="29AFDA12" w:rsidR="00DF31D3" w:rsidRDefault="00DF31D3" w:rsidP="00DF31D3">
      <w:pPr>
        <w:pStyle w:val="FootnoteText"/>
      </w:pPr>
      <w:r>
        <w:rPr>
          <w:rStyle w:val="FootnoteReference"/>
        </w:rPr>
        <w:footnoteRef/>
      </w:r>
      <w:r>
        <w:t xml:space="preserve"> </w:t>
      </w:r>
      <w:r w:rsidR="00CC4DB2">
        <w:t>Possible revision may be</w:t>
      </w:r>
      <w:r>
        <w:t xml:space="preserve"> considered in combination with the 2.5 GHz spectrum licence technical framework review.</w:t>
      </w:r>
    </w:p>
  </w:footnote>
  <w:footnote w:id="3">
    <w:p w14:paraId="50836729" w14:textId="77777777" w:rsidR="00DF31D3" w:rsidRDefault="00DF31D3" w:rsidP="00DF31D3">
      <w:pPr>
        <w:pStyle w:val="FootnoteText"/>
      </w:pPr>
      <w:r>
        <w:rPr>
          <w:rStyle w:val="FootnoteReference"/>
        </w:rPr>
        <w:footnoteRef/>
      </w:r>
      <w:r>
        <w:t xml:space="preserve"> DECT-2020 is the new development in the digital enhanced cordless telecommunications (DECT) technology standard.</w:t>
      </w:r>
    </w:p>
  </w:footnote>
  <w:footnote w:id="4">
    <w:p w14:paraId="076529EB" w14:textId="3F8EE215" w:rsidR="00B601CD" w:rsidRDefault="00B601CD">
      <w:pPr>
        <w:pStyle w:val="FootnoteText"/>
      </w:pPr>
      <w:r>
        <w:rPr>
          <w:rStyle w:val="FootnoteReference"/>
        </w:rPr>
        <w:footnoteRef/>
      </w:r>
      <w:r>
        <w:t xml:space="preserve"> Reference to the planned revision of RALI FX19 was erroneously omitted for the draft RALI review work program 2025-26.</w:t>
      </w:r>
    </w:p>
  </w:footnote>
  <w:footnote w:id="5">
    <w:p w14:paraId="62586171" w14:textId="3F8E3A89" w:rsidR="00345729" w:rsidRDefault="00345729">
      <w:pPr>
        <w:pStyle w:val="FootnoteText"/>
      </w:pPr>
      <w:r>
        <w:rPr>
          <w:rStyle w:val="FootnoteReference"/>
        </w:rPr>
        <w:footnoteRef/>
      </w:r>
      <w:r>
        <w:t xml:space="preserve"> In our 1900-1920 MHz band review, we also decided to introduce arrangements for rail mobile communications systems in 1900-1910 MHz. We are aiming to consult on these new arrangements in Q3 2025 which may be contained in a new RALI.</w:t>
      </w:r>
    </w:p>
  </w:footnote>
  <w:footnote w:id="6">
    <w:p w14:paraId="4514388A" w14:textId="3154B198" w:rsidR="00131DE3" w:rsidRDefault="00131DE3">
      <w:pPr>
        <w:pStyle w:val="FootnoteText"/>
      </w:pPr>
      <w:r>
        <w:rPr>
          <w:rStyle w:val="FootnoteReference"/>
        </w:rPr>
        <w:footnoteRef/>
      </w:r>
      <w:r>
        <w:t xml:space="preserve"> TLG</w:t>
      </w:r>
      <w:r w:rsidRPr="00131DE3">
        <w:t>s assist the ACMA in making and managing technical frameworks for spectrum and apparatus licences</w:t>
      </w:r>
      <w:r>
        <w:t xml:space="preserve">, see our </w:t>
      </w:r>
      <w:hyperlink r:id="rId1" w:history="1">
        <w:r w:rsidRPr="00131DE3">
          <w:rPr>
            <w:rStyle w:val="Hyperlink"/>
          </w:rPr>
          <w:t>website</w:t>
        </w:r>
      </w:hyperlink>
      <w:r>
        <w:t xml:space="preserve"> for more details.</w:t>
      </w:r>
    </w:p>
  </w:footnote>
  <w:footnote w:id="7">
    <w:p w14:paraId="5C198275" w14:textId="5A4DA8A6" w:rsidR="00DF31D3" w:rsidRDefault="00DF31D3" w:rsidP="00DF31D3">
      <w:pPr>
        <w:pStyle w:val="FootnoteText"/>
      </w:pPr>
      <w:r>
        <w:rPr>
          <w:rStyle w:val="FootnoteReference"/>
        </w:rPr>
        <w:footnoteRef/>
      </w:r>
      <w:r>
        <w:t xml:space="preserve"> These arrangements are contained in the </w:t>
      </w:r>
      <w:hyperlink r:id="rId2" w:history="1">
        <w:r w:rsidRPr="009C2855">
          <w:rPr>
            <w:rStyle w:val="Hyperlink"/>
          </w:rPr>
          <w:t>Radiocommunications Advisory Guidelines (Managing Interference from Transmitters – 700 MHz band) 2023</w:t>
        </w:r>
      </w:hyperlink>
      <w:r>
        <w:t>.</w:t>
      </w:r>
    </w:p>
  </w:footnote>
  <w:footnote w:id="8">
    <w:p w14:paraId="59AEB84A" w14:textId="77777777" w:rsidR="00DF31D3" w:rsidRDefault="00DF31D3" w:rsidP="00DF31D3">
      <w:pPr>
        <w:pStyle w:val="FootnoteText"/>
      </w:pPr>
      <w:r>
        <w:rPr>
          <w:rStyle w:val="FootnoteReference"/>
        </w:rPr>
        <w:footnoteRef/>
      </w:r>
      <w:r>
        <w:t xml:space="preserve"> An outcome of the 803–960 MHz review was a change in spectrum allocation for 2-frequency fixed services from </w:t>
      </w:r>
      <w:r>
        <w:br/>
        <w:t>852–857/928–933 MHz to 804–809/849–851 MHz.</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376FD4" w14:textId="77777777" w:rsidR="00C053A1" w:rsidRPr="005A62E5" w:rsidRDefault="005A62E5" w:rsidP="005A62E5">
    <w:pPr>
      <w:pStyle w:val="Header"/>
    </w:pPr>
    <w:r>
      <w:rPr>
        <w:noProof/>
      </w:rPr>
      <w:drawing>
        <wp:inline distT="0" distB="0" distL="0" distR="0" wp14:anchorId="131685F4" wp14:editId="621D8C6C">
          <wp:extent cx="3229598" cy="381000"/>
          <wp:effectExtent l="0" t="0" r="9525"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a:stretch>
                    <a:fillRect/>
                  </a:stretch>
                </pic:blipFill>
                <pic:spPr>
                  <a:xfrm>
                    <a:off x="0" y="0"/>
                    <a:ext cx="3300801" cy="3894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F080C4"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939A41"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95C3E0"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03A1CC1C" w14:textId="77777777" w:rsidTr="003B0421">
      <w:trPr>
        <w:trHeight w:hRule="exact" w:val="988"/>
      </w:trPr>
      <w:tc>
        <w:tcPr>
          <w:tcW w:w="7678" w:type="dxa"/>
          <w:shd w:val="clear" w:color="auto" w:fill="auto"/>
        </w:tcPr>
        <w:p w14:paraId="7574244E" w14:textId="77777777" w:rsidR="00971914" w:rsidRDefault="00971914" w:rsidP="00971914">
          <w:pPr>
            <w:pStyle w:val="Header"/>
          </w:pPr>
        </w:p>
      </w:tc>
    </w:tr>
    <w:tr w:rsidR="00971914" w14:paraId="74AF862E" w14:textId="77777777" w:rsidTr="003B0421">
      <w:tc>
        <w:tcPr>
          <w:tcW w:w="7678" w:type="dxa"/>
          <w:shd w:val="clear" w:color="auto" w:fill="auto"/>
        </w:tcPr>
        <w:p w14:paraId="712006BD" w14:textId="77777777" w:rsidR="00971914" w:rsidRDefault="00971914" w:rsidP="00971914">
          <w:pPr>
            <w:pStyle w:val="GridTable31"/>
          </w:pPr>
          <w:r>
            <w:t xml:space="preserve">Contents </w:t>
          </w:r>
          <w:r w:rsidRPr="00915B1C">
            <w:rPr>
              <w:b w:val="0"/>
              <w:spacing w:val="0"/>
              <w:sz w:val="28"/>
              <w:szCs w:val="28"/>
            </w:rPr>
            <w:t>(Continued)</w:t>
          </w:r>
        </w:p>
      </w:tc>
    </w:tr>
    <w:tr w:rsidR="00971914" w14:paraId="11340173" w14:textId="77777777" w:rsidTr="003B0421">
      <w:trPr>
        <w:trHeight w:val="1220"/>
      </w:trPr>
      <w:tc>
        <w:tcPr>
          <w:tcW w:w="7678" w:type="dxa"/>
          <w:shd w:val="clear" w:color="auto" w:fill="auto"/>
        </w:tcPr>
        <w:p w14:paraId="0CBB86EE" w14:textId="77777777" w:rsidR="00971914" w:rsidRDefault="00971914" w:rsidP="00971914"/>
      </w:tc>
    </w:tr>
  </w:tbl>
  <w:p w14:paraId="132859F8"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72A9D5F9" w14:textId="77777777" w:rsidTr="003B0421">
      <w:trPr>
        <w:trHeight w:hRule="exact" w:val="988"/>
      </w:trPr>
      <w:tc>
        <w:tcPr>
          <w:tcW w:w="7678" w:type="dxa"/>
          <w:shd w:val="clear" w:color="auto" w:fill="auto"/>
        </w:tcPr>
        <w:p w14:paraId="1E991AE7" w14:textId="77777777" w:rsidR="00971914" w:rsidRDefault="00971914" w:rsidP="00971914">
          <w:pPr>
            <w:pStyle w:val="Header"/>
          </w:pPr>
        </w:p>
      </w:tc>
    </w:tr>
    <w:tr w:rsidR="00971914" w14:paraId="47F21D35" w14:textId="77777777" w:rsidTr="003B0421">
      <w:tc>
        <w:tcPr>
          <w:tcW w:w="7678" w:type="dxa"/>
          <w:shd w:val="clear" w:color="auto" w:fill="auto"/>
        </w:tcPr>
        <w:p w14:paraId="7882AB4A" w14:textId="77777777" w:rsidR="00971914" w:rsidRDefault="00971914" w:rsidP="00971914">
          <w:pPr>
            <w:pStyle w:val="GridTable31"/>
          </w:pPr>
          <w:r>
            <w:t xml:space="preserve">Contents </w:t>
          </w:r>
          <w:r w:rsidRPr="00915B1C">
            <w:rPr>
              <w:b w:val="0"/>
              <w:spacing w:val="0"/>
              <w:sz w:val="28"/>
              <w:szCs w:val="28"/>
            </w:rPr>
            <w:t>(Continued)</w:t>
          </w:r>
        </w:p>
      </w:tc>
    </w:tr>
    <w:tr w:rsidR="00971914" w14:paraId="6A0ACE51" w14:textId="77777777" w:rsidTr="003B0421">
      <w:trPr>
        <w:trHeight w:val="1220"/>
      </w:trPr>
      <w:tc>
        <w:tcPr>
          <w:tcW w:w="7678" w:type="dxa"/>
          <w:shd w:val="clear" w:color="auto" w:fill="auto"/>
        </w:tcPr>
        <w:p w14:paraId="2E5766AD" w14:textId="77777777" w:rsidR="00971914" w:rsidRDefault="00971914" w:rsidP="00971914"/>
      </w:tc>
    </w:tr>
  </w:tbl>
  <w:p w14:paraId="3B99E09A"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8327DD"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3783E3"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93C0CEB6"/>
    <w:lvl w:ilvl="0">
      <w:start w:val="1"/>
      <w:numFmt w:val="decimal"/>
      <w:pStyle w:val="ListNumber"/>
      <w:lvlText w:val="%1."/>
      <w:lvlJc w:val="left"/>
      <w:pPr>
        <w:ind w:left="360" w:hanging="360"/>
      </w:pPr>
      <w:rPr>
        <w:rFonts w:hint="default"/>
        <w:b w:val="0"/>
        <w:bCs/>
        <w:caps/>
        <w:sz w:val="22"/>
        <w:szCs w:val="28"/>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1AD521D"/>
    <w:multiLevelType w:val="hybridMultilevel"/>
    <w:tmpl w:val="B108FD84"/>
    <w:lvl w:ilvl="0" w:tplc="DD00C67E">
      <w:start w:val="1"/>
      <w:numFmt w:val="bullet"/>
      <w:pStyle w:val="Bulletlevel2"/>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6"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7" w15:restartNumberingAfterBreak="0">
    <w:nsid w:val="3435097D"/>
    <w:multiLevelType w:val="hybridMultilevel"/>
    <w:tmpl w:val="7326FCDC"/>
    <w:lvl w:ilvl="0" w:tplc="8DFEE398">
      <w:start w:val="1"/>
      <w:numFmt w:val="bullet"/>
      <w:pStyle w:val="Bulletlevel2last"/>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8" w15:restartNumberingAfterBreak="0">
    <w:nsid w:val="39A8103B"/>
    <w:multiLevelType w:val="hybridMultilevel"/>
    <w:tmpl w:val="B8BEC9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FBB41DC"/>
    <w:multiLevelType w:val="hybridMultilevel"/>
    <w:tmpl w:val="B9C441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62E1A81"/>
    <w:multiLevelType w:val="hybridMultilevel"/>
    <w:tmpl w:val="D8885FB6"/>
    <w:lvl w:ilvl="0" w:tplc="1026004E">
      <w:start w:val="1"/>
      <w:numFmt w:val="bullet"/>
      <w:pStyle w:val="Bulletlevel1las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78BC098E"/>
    <w:multiLevelType w:val="hybridMultilevel"/>
    <w:tmpl w:val="2E386898"/>
    <w:lvl w:ilvl="0" w:tplc="BD340FDA">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617521768">
    <w:abstractNumId w:val="3"/>
  </w:num>
  <w:num w:numId="2" w16cid:durableId="969045093">
    <w:abstractNumId w:val="1"/>
  </w:num>
  <w:num w:numId="3" w16cid:durableId="1714190328">
    <w:abstractNumId w:val="2"/>
  </w:num>
  <w:num w:numId="4" w16cid:durableId="1292904938">
    <w:abstractNumId w:val="0"/>
  </w:num>
  <w:num w:numId="5" w16cid:durableId="1192914688">
    <w:abstractNumId w:val="6"/>
  </w:num>
  <w:num w:numId="6" w16cid:durableId="818768531">
    <w:abstractNumId w:val="12"/>
  </w:num>
  <w:num w:numId="7" w16cid:durableId="636617026">
    <w:abstractNumId w:val="9"/>
  </w:num>
  <w:num w:numId="8" w16cid:durableId="227307242">
    <w:abstractNumId w:val="11"/>
  </w:num>
  <w:num w:numId="9" w16cid:durableId="1325478460">
    <w:abstractNumId w:val="13"/>
  </w:num>
  <w:num w:numId="10" w16cid:durableId="26877423">
    <w:abstractNumId w:val="4"/>
  </w:num>
  <w:num w:numId="11" w16cid:durableId="529613017">
    <w:abstractNumId w:val="2"/>
    <w:lvlOverride w:ilvl="0">
      <w:startOverride w:val="1"/>
    </w:lvlOverride>
  </w:num>
  <w:num w:numId="12" w16cid:durableId="506287035">
    <w:abstractNumId w:val="2"/>
    <w:lvlOverride w:ilvl="0">
      <w:startOverride w:val="1"/>
    </w:lvlOverride>
  </w:num>
  <w:num w:numId="13" w16cid:durableId="44449778">
    <w:abstractNumId w:val="15"/>
  </w:num>
  <w:num w:numId="14" w16cid:durableId="319240718">
    <w:abstractNumId w:val="14"/>
  </w:num>
  <w:num w:numId="15" w16cid:durableId="1091731347">
    <w:abstractNumId w:val="5"/>
  </w:num>
  <w:num w:numId="16" w16cid:durableId="1733236431">
    <w:abstractNumId w:val="7"/>
  </w:num>
  <w:num w:numId="17" w16cid:durableId="1480268017">
    <w:abstractNumId w:val="2"/>
    <w:lvlOverride w:ilvl="0">
      <w:startOverride w:val="1"/>
    </w:lvlOverride>
  </w:num>
  <w:num w:numId="18" w16cid:durableId="964309664">
    <w:abstractNumId w:val="2"/>
    <w:lvlOverride w:ilvl="0">
      <w:startOverride w:val="1"/>
    </w:lvlOverride>
  </w:num>
  <w:num w:numId="19" w16cid:durableId="1025836865">
    <w:abstractNumId w:val="2"/>
    <w:lvlOverride w:ilvl="0">
      <w:startOverride w:val="1"/>
    </w:lvlOverride>
  </w:num>
  <w:num w:numId="20" w16cid:durableId="1678726611">
    <w:abstractNumId w:val="2"/>
    <w:lvlOverride w:ilvl="0">
      <w:startOverride w:val="1"/>
    </w:lvlOverride>
  </w:num>
  <w:num w:numId="21" w16cid:durableId="475730963">
    <w:abstractNumId w:val="2"/>
    <w:lvlOverride w:ilvl="0">
      <w:startOverride w:val="1"/>
    </w:lvlOverride>
  </w:num>
  <w:num w:numId="22" w16cid:durableId="1304847979">
    <w:abstractNumId w:val="2"/>
    <w:lvlOverride w:ilvl="0">
      <w:startOverride w:val="1"/>
    </w:lvlOverride>
  </w:num>
  <w:num w:numId="23" w16cid:durableId="1972704606">
    <w:abstractNumId w:val="10"/>
  </w:num>
  <w:num w:numId="24" w16cid:durableId="1646467231">
    <w:abstractNumId w:val="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31D3"/>
    <w:rsid w:val="00002899"/>
    <w:rsid w:val="00010667"/>
    <w:rsid w:val="000129D5"/>
    <w:rsid w:val="00015AE7"/>
    <w:rsid w:val="00016E21"/>
    <w:rsid w:val="0001719C"/>
    <w:rsid w:val="0002224E"/>
    <w:rsid w:val="000245E5"/>
    <w:rsid w:val="00026F91"/>
    <w:rsid w:val="000473F6"/>
    <w:rsid w:val="0004764C"/>
    <w:rsid w:val="00047912"/>
    <w:rsid w:val="0005011A"/>
    <w:rsid w:val="0005045A"/>
    <w:rsid w:val="00051C1E"/>
    <w:rsid w:val="000539F9"/>
    <w:rsid w:val="00054C27"/>
    <w:rsid w:val="00055EC3"/>
    <w:rsid w:val="000563CE"/>
    <w:rsid w:val="0005773B"/>
    <w:rsid w:val="000659B6"/>
    <w:rsid w:val="0006686F"/>
    <w:rsid w:val="0006722A"/>
    <w:rsid w:val="000732CF"/>
    <w:rsid w:val="00075B96"/>
    <w:rsid w:val="0008196A"/>
    <w:rsid w:val="000915ED"/>
    <w:rsid w:val="0009209D"/>
    <w:rsid w:val="0009463C"/>
    <w:rsid w:val="000969BD"/>
    <w:rsid w:val="000969BF"/>
    <w:rsid w:val="000971BD"/>
    <w:rsid w:val="000A0C22"/>
    <w:rsid w:val="000A1400"/>
    <w:rsid w:val="000A3C43"/>
    <w:rsid w:val="000A4A51"/>
    <w:rsid w:val="000A5D2B"/>
    <w:rsid w:val="000B4664"/>
    <w:rsid w:val="000B5DE3"/>
    <w:rsid w:val="000C0A57"/>
    <w:rsid w:val="000C230C"/>
    <w:rsid w:val="000C6AB4"/>
    <w:rsid w:val="000D04BB"/>
    <w:rsid w:val="000D087E"/>
    <w:rsid w:val="000D2802"/>
    <w:rsid w:val="000D71D9"/>
    <w:rsid w:val="000D76E0"/>
    <w:rsid w:val="000D7E8B"/>
    <w:rsid w:val="000E369A"/>
    <w:rsid w:val="000E4449"/>
    <w:rsid w:val="000E6097"/>
    <w:rsid w:val="000F3E76"/>
    <w:rsid w:val="0010267F"/>
    <w:rsid w:val="00103829"/>
    <w:rsid w:val="001106BC"/>
    <w:rsid w:val="00111FCE"/>
    <w:rsid w:val="00113F84"/>
    <w:rsid w:val="00120B74"/>
    <w:rsid w:val="001229A5"/>
    <w:rsid w:val="00122C4C"/>
    <w:rsid w:val="0012489B"/>
    <w:rsid w:val="00130017"/>
    <w:rsid w:val="00130F91"/>
    <w:rsid w:val="00131DE3"/>
    <w:rsid w:val="001349ED"/>
    <w:rsid w:val="00137424"/>
    <w:rsid w:val="00140318"/>
    <w:rsid w:val="00141AD9"/>
    <w:rsid w:val="00146CE6"/>
    <w:rsid w:val="00152903"/>
    <w:rsid w:val="00153FD5"/>
    <w:rsid w:val="0015614F"/>
    <w:rsid w:val="00156D1F"/>
    <w:rsid w:val="001577C2"/>
    <w:rsid w:val="001633C4"/>
    <w:rsid w:val="00166988"/>
    <w:rsid w:val="001704D5"/>
    <w:rsid w:val="00171591"/>
    <w:rsid w:val="001724F8"/>
    <w:rsid w:val="001737DC"/>
    <w:rsid w:val="00173981"/>
    <w:rsid w:val="0017719D"/>
    <w:rsid w:val="00181180"/>
    <w:rsid w:val="00183FD7"/>
    <w:rsid w:val="00185CAB"/>
    <w:rsid w:val="001875B7"/>
    <w:rsid w:val="00187CB3"/>
    <w:rsid w:val="0019050A"/>
    <w:rsid w:val="001910D4"/>
    <w:rsid w:val="001952AA"/>
    <w:rsid w:val="001976E3"/>
    <w:rsid w:val="001A44EC"/>
    <w:rsid w:val="001B28D9"/>
    <w:rsid w:val="001B3226"/>
    <w:rsid w:val="001B58AA"/>
    <w:rsid w:val="001B7E48"/>
    <w:rsid w:val="001C17CE"/>
    <w:rsid w:val="001C36CA"/>
    <w:rsid w:val="001C44D1"/>
    <w:rsid w:val="001C6AEE"/>
    <w:rsid w:val="001C7630"/>
    <w:rsid w:val="001D4DD0"/>
    <w:rsid w:val="001D6D15"/>
    <w:rsid w:val="001F7558"/>
    <w:rsid w:val="002020A4"/>
    <w:rsid w:val="00204DB2"/>
    <w:rsid w:val="00205B57"/>
    <w:rsid w:val="002157E0"/>
    <w:rsid w:val="00216A57"/>
    <w:rsid w:val="00217448"/>
    <w:rsid w:val="0022183A"/>
    <w:rsid w:val="0022334F"/>
    <w:rsid w:val="00226819"/>
    <w:rsid w:val="00233101"/>
    <w:rsid w:val="00233817"/>
    <w:rsid w:val="002367FF"/>
    <w:rsid w:val="00240CE9"/>
    <w:rsid w:val="002434BA"/>
    <w:rsid w:val="00246089"/>
    <w:rsid w:val="00246093"/>
    <w:rsid w:val="00246702"/>
    <w:rsid w:val="002478E7"/>
    <w:rsid w:val="00247C59"/>
    <w:rsid w:val="00247F2E"/>
    <w:rsid w:val="00250ADC"/>
    <w:rsid w:val="00250B07"/>
    <w:rsid w:val="00257553"/>
    <w:rsid w:val="00260FB2"/>
    <w:rsid w:val="00262128"/>
    <w:rsid w:val="00262946"/>
    <w:rsid w:val="0027165D"/>
    <w:rsid w:val="00273CEB"/>
    <w:rsid w:val="00281C89"/>
    <w:rsid w:val="0028282F"/>
    <w:rsid w:val="00284A74"/>
    <w:rsid w:val="0029593B"/>
    <w:rsid w:val="00297FC5"/>
    <w:rsid w:val="002A0417"/>
    <w:rsid w:val="002A16D8"/>
    <w:rsid w:val="002A1BC8"/>
    <w:rsid w:val="002A3EF2"/>
    <w:rsid w:val="002B0DED"/>
    <w:rsid w:val="002B19A2"/>
    <w:rsid w:val="002B381A"/>
    <w:rsid w:val="002B4FCC"/>
    <w:rsid w:val="002B7408"/>
    <w:rsid w:val="002B7CFD"/>
    <w:rsid w:val="002C210F"/>
    <w:rsid w:val="002D3600"/>
    <w:rsid w:val="002E1603"/>
    <w:rsid w:val="002E4DDC"/>
    <w:rsid w:val="00302480"/>
    <w:rsid w:val="00302758"/>
    <w:rsid w:val="00303B76"/>
    <w:rsid w:val="00306491"/>
    <w:rsid w:val="003076C8"/>
    <w:rsid w:val="00312057"/>
    <w:rsid w:val="003125DD"/>
    <w:rsid w:val="0031559D"/>
    <w:rsid w:val="003165E6"/>
    <w:rsid w:val="003215B5"/>
    <w:rsid w:val="003221CF"/>
    <w:rsid w:val="003233ED"/>
    <w:rsid w:val="00324D9F"/>
    <w:rsid w:val="0032502A"/>
    <w:rsid w:val="00327948"/>
    <w:rsid w:val="0033000F"/>
    <w:rsid w:val="00330520"/>
    <w:rsid w:val="00332011"/>
    <w:rsid w:val="00332518"/>
    <w:rsid w:val="00332925"/>
    <w:rsid w:val="003332ED"/>
    <w:rsid w:val="003348E1"/>
    <w:rsid w:val="003368DC"/>
    <w:rsid w:val="00345729"/>
    <w:rsid w:val="00345927"/>
    <w:rsid w:val="00350584"/>
    <w:rsid w:val="00351857"/>
    <w:rsid w:val="003545E8"/>
    <w:rsid w:val="0035466C"/>
    <w:rsid w:val="0035678D"/>
    <w:rsid w:val="003610E1"/>
    <w:rsid w:val="003671BE"/>
    <w:rsid w:val="00367AFF"/>
    <w:rsid w:val="00372485"/>
    <w:rsid w:val="00373200"/>
    <w:rsid w:val="00375EF5"/>
    <w:rsid w:val="003767A5"/>
    <w:rsid w:val="00381D15"/>
    <w:rsid w:val="00383AA2"/>
    <w:rsid w:val="00383DEA"/>
    <w:rsid w:val="00385254"/>
    <w:rsid w:val="00397880"/>
    <w:rsid w:val="003A04DB"/>
    <w:rsid w:val="003A5F5B"/>
    <w:rsid w:val="003A789A"/>
    <w:rsid w:val="003B12EC"/>
    <w:rsid w:val="003C22EC"/>
    <w:rsid w:val="003C4631"/>
    <w:rsid w:val="003C77E0"/>
    <w:rsid w:val="003D17D7"/>
    <w:rsid w:val="003D2678"/>
    <w:rsid w:val="003D71A3"/>
    <w:rsid w:val="003E2B8A"/>
    <w:rsid w:val="003F10EE"/>
    <w:rsid w:val="003F16F6"/>
    <w:rsid w:val="003F1B47"/>
    <w:rsid w:val="003F4DC7"/>
    <w:rsid w:val="003F5235"/>
    <w:rsid w:val="004027E4"/>
    <w:rsid w:val="00403649"/>
    <w:rsid w:val="0041071D"/>
    <w:rsid w:val="00414AFC"/>
    <w:rsid w:val="004151A7"/>
    <w:rsid w:val="00415310"/>
    <w:rsid w:val="00417E32"/>
    <w:rsid w:val="00421709"/>
    <w:rsid w:val="00423763"/>
    <w:rsid w:val="004267B6"/>
    <w:rsid w:val="0042762F"/>
    <w:rsid w:val="00427DC7"/>
    <w:rsid w:val="00431613"/>
    <w:rsid w:val="00431792"/>
    <w:rsid w:val="0043297A"/>
    <w:rsid w:val="00432EB2"/>
    <w:rsid w:val="0043714F"/>
    <w:rsid w:val="004438B5"/>
    <w:rsid w:val="00445644"/>
    <w:rsid w:val="00447037"/>
    <w:rsid w:val="004511C5"/>
    <w:rsid w:val="0045124D"/>
    <w:rsid w:val="00454596"/>
    <w:rsid w:val="0045605D"/>
    <w:rsid w:val="0046135B"/>
    <w:rsid w:val="00461D47"/>
    <w:rsid w:val="00463A82"/>
    <w:rsid w:val="00464738"/>
    <w:rsid w:val="004718CC"/>
    <w:rsid w:val="0047237B"/>
    <w:rsid w:val="00481695"/>
    <w:rsid w:val="0049418B"/>
    <w:rsid w:val="00495A96"/>
    <w:rsid w:val="00495BB3"/>
    <w:rsid w:val="004962DC"/>
    <w:rsid w:val="004A56BB"/>
    <w:rsid w:val="004A70D6"/>
    <w:rsid w:val="004B1751"/>
    <w:rsid w:val="004B224A"/>
    <w:rsid w:val="004B2960"/>
    <w:rsid w:val="004C0253"/>
    <w:rsid w:val="004C5FAB"/>
    <w:rsid w:val="004D200D"/>
    <w:rsid w:val="004D56FF"/>
    <w:rsid w:val="004E39D3"/>
    <w:rsid w:val="004E508A"/>
    <w:rsid w:val="004E616D"/>
    <w:rsid w:val="004F0FEF"/>
    <w:rsid w:val="004F1BDE"/>
    <w:rsid w:val="004F2CEE"/>
    <w:rsid w:val="004F3A5A"/>
    <w:rsid w:val="004F556E"/>
    <w:rsid w:val="004F591C"/>
    <w:rsid w:val="004F7F44"/>
    <w:rsid w:val="00500FDE"/>
    <w:rsid w:val="005037B4"/>
    <w:rsid w:val="005079BF"/>
    <w:rsid w:val="0051269A"/>
    <w:rsid w:val="005144FA"/>
    <w:rsid w:val="005219E7"/>
    <w:rsid w:val="00521ED4"/>
    <w:rsid w:val="00525B37"/>
    <w:rsid w:val="00531B9A"/>
    <w:rsid w:val="00531D15"/>
    <w:rsid w:val="00537604"/>
    <w:rsid w:val="00542377"/>
    <w:rsid w:val="005476EB"/>
    <w:rsid w:val="00551782"/>
    <w:rsid w:val="00563240"/>
    <w:rsid w:val="00563EF1"/>
    <w:rsid w:val="00566AB4"/>
    <w:rsid w:val="00575AC5"/>
    <w:rsid w:val="0057605D"/>
    <w:rsid w:val="00581347"/>
    <w:rsid w:val="00581AC9"/>
    <w:rsid w:val="005849F8"/>
    <w:rsid w:val="005938DF"/>
    <w:rsid w:val="00594E9C"/>
    <w:rsid w:val="00597DA3"/>
    <w:rsid w:val="005A099B"/>
    <w:rsid w:val="005A1A37"/>
    <w:rsid w:val="005A2D9C"/>
    <w:rsid w:val="005A55FE"/>
    <w:rsid w:val="005A62E5"/>
    <w:rsid w:val="005A6A11"/>
    <w:rsid w:val="005B4EA8"/>
    <w:rsid w:val="005D0903"/>
    <w:rsid w:val="005D2502"/>
    <w:rsid w:val="005D40BB"/>
    <w:rsid w:val="005D47F3"/>
    <w:rsid w:val="005D49BF"/>
    <w:rsid w:val="005D4AA5"/>
    <w:rsid w:val="005D6F4E"/>
    <w:rsid w:val="005D7C73"/>
    <w:rsid w:val="005E250B"/>
    <w:rsid w:val="005E3966"/>
    <w:rsid w:val="005E3ACD"/>
    <w:rsid w:val="005E70F2"/>
    <w:rsid w:val="005E7226"/>
    <w:rsid w:val="005E7A57"/>
    <w:rsid w:val="005F24B0"/>
    <w:rsid w:val="00601B57"/>
    <w:rsid w:val="00604315"/>
    <w:rsid w:val="00604E26"/>
    <w:rsid w:val="0060523F"/>
    <w:rsid w:val="006052CF"/>
    <w:rsid w:val="00607B8D"/>
    <w:rsid w:val="00611F5C"/>
    <w:rsid w:val="00616287"/>
    <w:rsid w:val="00616E09"/>
    <w:rsid w:val="00622A3B"/>
    <w:rsid w:val="00622EEA"/>
    <w:rsid w:val="0062396C"/>
    <w:rsid w:val="00623FF9"/>
    <w:rsid w:val="00627D4E"/>
    <w:rsid w:val="00631C9E"/>
    <w:rsid w:val="00632B89"/>
    <w:rsid w:val="0063346D"/>
    <w:rsid w:val="00634478"/>
    <w:rsid w:val="00644373"/>
    <w:rsid w:val="00645915"/>
    <w:rsid w:val="006519C3"/>
    <w:rsid w:val="00652B30"/>
    <w:rsid w:val="00656345"/>
    <w:rsid w:val="00656DC6"/>
    <w:rsid w:val="00657E54"/>
    <w:rsid w:val="00660EC6"/>
    <w:rsid w:val="00664110"/>
    <w:rsid w:val="00664D17"/>
    <w:rsid w:val="00666520"/>
    <w:rsid w:val="00667C5B"/>
    <w:rsid w:val="00691EB8"/>
    <w:rsid w:val="00692CDE"/>
    <w:rsid w:val="00693073"/>
    <w:rsid w:val="00696EE9"/>
    <w:rsid w:val="006977FF"/>
    <w:rsid w:val="006A01FA"/>
    <w:rsid w:val="006A0E9E"/>
    <w:rsid w:val="006A25C7"/>
    <w:rsid w:val="006A4AAD"/>
    <w:rsid w:val="006A6DA2"/>
    <w:rsid w:val="006A7AB2"/>
    <w:rsid w:val="006B3B12"/>
    <w:rsid w:val="006B52DE"/>
    <w:rsid w:val="006B5717"/>
    <w:rsid w:val="006B582F"/>
    <w:rsid w:val="006B5EB2"/>
    <w:rsid w:val="006C0CEB"/>
    <w:rsid w:val="006C1631"/>
    <w:rsid w:val="006C3B1E"/>
    <w:rsid w:val="006C47FD"/>
    <w:rsid w:val="006C5C19"/>
    <w:rsid w:val="006C70A0"/>
    <w:rsid w:val="006D27CB"/>
    <w:rsid w:val="006D2F08"/>
    <w:rsid w:val="006D576C"/>
    <w:rsid w:val="006D5865"/>
    <w:rsid w:val="006E4B1B"/>
    <w:rsid w:val="006E5445"/>
    <w:rsid w:val="006E7D93"/>
    <w:rsid w:val="007029A3"/>
    <w:rsid w:val="00702C11"/>
    <w:rsid w:val="00702EA1"/>
    <w:rsid w:val="00706E4E"/>
    <w:rsid w:val="0070791C"/>
    <w:rsid w:val="00710185"/>
    <w:rsid w:val="00711ACA"/>
    <w:rsid w:val="0071383C"/>
    <w:rsid w:val="007141A7"/>
    <w:rsid w:val="00714A7A"/>
    <w:rsid w:val="007152CD"/>
    <w:rsid w:val="00715722"/>
    <w:rsid w:val="00721032"/>
    <w:rsid w:val="00721B55"/>
    <w:rsid w:val="00725007"/>
    <w:rsid w:val="00726CE4"/>
    <w:rsid w:val="00734143"/>
    <w:rsid w:val="00737E47"/>
    <w:rsid w:val="00740612"/>
    <w:rsid w:val="00740EAC"/>
    <w:rsid w:val="00744956"/>
    <w:rsid w:val="00745A5C"/>
    <w:rsid w:val="0074605F"/>
    <w:rsid w:val="00747E94"/>
    <w:rsid w:val="00750DF3"/>
    <w:rsid w:val="00754C83"/>
    <w:rsid w:val="00761E5C"/>
    <w:rsid w:val="00765DF8"/>
    <w:rsid w:val="00766749"/>
    <w:rsid w:val="00767C1B"/>
    <w:rsid w:val="007714A9"/>
    <w:rsid w:val="00774F88"/>
    <w:rsid w:val="00774FDB"/>
    <w:rsid w:val="007775FC"/>
    <w:rsid w:val="00777BA2"/>
    <w:rsid w:val="00781408"/>
    <w:rsid w:val="00784F7F"/>
    <w:rsid w:val="007878BD"/>
    <w:rsid w:val="00796F25"/>
    <w:rsid w:val="007A2B15"/>
    <w:rsid w:val="007A2E98"/>
    <w:rsid w:val="007A3BA3"/>
    <w:rsid w:val="007A6CC0"/>
    <w:rsid w:val="007A7FEC"/>
    <w:rsid w:val="007B1499"/>
    <w:rsid w:val="007B1BBF"/>
    <w:rsid w:val="007B2960"/>
    <w:rsid w:val="007B355D"/>
    <w:rsid w:val="007B4F91"/>
    <w:rsid w:val="007B5371"/>
    <w:rsid w:val="007B7980"/>
    <w:rsid w:val="007C0DEF"/>
    <w:rsid w:val="007C5D5A"/>
    <w:rsid w:val="007C607F"/>
    <w:rsid w:val="007C6820"/>
    <w:rsid w:val="007C6E44"/>
    <w:rsid w:val="007C79DD"/>
    <w:rsid w:val="007D1A97"/>
    <w:rsid w:val="007D2CD6"/>
    <w:rsid w:val="007D3063"/>
    <w:rsid w:val="007D3CEB"/>
    <w:rsid w:val="007D5ABA"/>
    <w:rsid w:val="007E3375"/>
    <w:rsid w:val="007E7683"/>
    <w:rsid w:val="007F2CC0"/>
    <w:rsid w:val="007F49FA"/>
    <w:rsid w:val="007F54C4"/>
    <w:rsid w:val="007F6E9A"/>
    <w:rsid w:val="007F7904"/>
    <w:rsid w:val="00800CCD"/>
    <w:rsid w:val="008017E1"/>
    <w:rsid w:val="008044D4"/>
    <w:rsid w:val="00810AB4"/>
    <w:rsid w:val="00817B56"/>
    <w:rsid w:val="00821A88"/>
    <w:rsid w:val="0082495D"/>
    <w:rsid w:val="00830500"/>
    <w:rsid w:val="008318F2"/>
    <w:rsid w:val="00831AC3"/>
    <w:rsid w:val="00836FCE"/>
    <w:rsid w:val="008408FF"/>
    <w:rsid w:val="00850A89"/>
    <w:rsid w:val="00851F3F"/>
    <w:rsid w:val="0085618F"/>
    <w:rsid w:val="00856EDC"/>
    <w:rsid w:val="008623B5"/>
    <w:rsid w:val="00865D3F"/>
    <w:rsid w:val="00870ABA"/>
    <w:rsid w:val="008710E1"/>
    <w:rsid w:val="008716E5"/>
    <w:rsid w:val="00881CA9"/>
    <w:rsid w:val="0088339A"/>
    <w:rsid w:val="00883628"/>
    <w:rsid w:val="00885544"/>
    <w:rsid w:val="0088634E"/>
    <w:rsid w:val="00886459"/>
    <w:rsid w:val="00893AB8"/>
    <w:rsid w:val="008A0174"/>
    <w:rsid w:val="008A04C8"/>
    <w:rsid w:val="008A26F1"/>
    <w:rsid w:val="008A6913"/>
    <w:rsid w:val="008B70F3"/>
    <w:rsid w:val="008B71C4"/>
    <w:rsid w:val="008B76DF"/>
    <w:rsid w:val="008C10F4"/>
    <w:rsid w:val="008C65F7"/>
    <w:rsid w:val="008E4767"/>
    <w:rsid w:val="008E49FA"/>
    <w:rsid w:val="008E7A8C"/>
    <w:rsid w:val="0090203B"/>
    <w:rsid w:val="00902432"/>
    <w:rsid w:val="00903285"/>
    <w:rsid w:val="00906F40"/>
    <w:rsid w:val="0090731E"/>
    <w:rsid w:val="00915B1C"/>
    <w:rsid w:val="009174F3"/>
    <w:rsid w:val="0091797D"/>
    <w:rsid w:val="00923CBA"/>
    <w:rsid w:val="009242EB"/>
    <w:rsid w:val="00926703"/>
    <w:rsid w:val="00927691"/>
    <w:rsid w:val="00927A5F"/>
    <w:rsid w:val="00930510"/>
    <w:rsid w:val="00935B63"/>
    <w:rsid w:val="0094078F"/>
    <w:rsid w:val="00940FA3"/>
    <w:rsid w:val="00941FB0"/>
    <w:rsid w:val="009426D4"/>
    <w:rsid w:val="00947F25"/>
    <w:rsid w:val="00950159"/>
    <w:rsid w:val="0095490B"/>
    <w:rsid w:val="00960A33"/>
    <w:rsid w:val="00961DE8"/>
    <w:rsid w:val="009653BC"/>
    <w:rsid w:val="00970424"/>
    <w:rsid w:val="00971914"/>
    <w:rsid w:val="00974363"/>
    <w:rsid w:val="00981898"/>
    <w:rsid w:val="0099577C"/>
    <w:rsid w:val="009B0C9B"/>
    <w:rsid w:val="009B24A5"/>
    <w:rsid w:val="009B2601"/>
    <w:rsid w:val="009B4E9E"/>
    <w:rsid w:val="009B6078"/>
    <w:rsid w:val="009C1690"/>
    <w:rsid w:val="009C6881"/>
    <w:rsid w:val="009C7759"/>
    <w:rsid w:val="009D043D"/>
    <w:rsid w:val="009D07C8"/>
    <w:rsid w:val="009D1D05"/>
    <w:rsid w:val="009D2529"/>
    <w:rsid w:val="009D6C71"/>
    <w:rsid w:val="009E0631"/>
    <w:rsid w:val="009E16D0"/>
    <w:rsid w:val="009E2051"/>
    <w:rsid w:val="009E38FD"/>
    <w:rsid w:val="009F13D6"/>
    <w:rsid w:val="009F4C6B"/>
    <w:rsid w:val="009F78A8"/>
    <w:rsid w:val="00A02AD6"/>
    <w:rsid w:val="00A07096"/>
    <w:rsid w:val="00A07318"/>
    <w:rsid w:val="00A11370"/>
    <w:rsid w:val="00A17B1B"/>
    <w:rsid w:val="00A224CE"/>
    <w:rsid w:val="00A22522"/>
    <w:rsid w:val="00A2440D"/>
    <w:rsid w:val="00A24882"/>
    <w:rsid w:val="00A24AFD"/>
    <w:rsid w:val="00A24F5C"/>
    <w:rsid w:val="00A301D2"/>
    <w:rsid w:val="00A305D4"/>
    <w:rsid w:val="00A32ABE"/>
    <w:rsid w:val="00A32F96"/>
    <w:rsid w:val="00A40871"/>
    <w:rsid w:val="00A412AB"/>
    <w:rsid w:val="00A4193E"/>
    <w:rsid w:val="00A440E0"/>
    <w:rsid w:val="00A442EF"/>
    <w:rsid w:val="00A51D1A"/>
    <w:rsid w:val="00A5418D"/>
    <w:rsid w:val="00A5474E"/>
    <w:rsid w:val="00A64234"/>
    <w:rsid w:val="00A70ADF"/>
    <w:rsid w:val="00A71466"/>
    <w:rsid w:val="00A74B5E"/>
    <w:rsid w:val="00A81BED"/>
    <w:rsid w:val="00A81EC4"/>
    <w:rsid w:val="00A824E8"/>
    <w:rsid w:val="00A967FD"/>
    <w:rsid w:val="00A968ED"/>
    <w:rsid w:val="00AA1F0B"/>
    <w:rsid w:val="00AA2DE5"/>
    <w:rsid w:val="00AB156C"/>
    <w:rsid w:val="00AB5A0D"/>
    <w:rsid w:val="00AB6814"/>
    <w:rsid w:val="00AC04BA"/>
    <w:rsid w:val="00AC08EC"/>
    <w:rsid w:val="00AC0E39"/>
    <w:rsid w:val="00AC537E"/>
    <w:rsid w:val="00AD0490"/>
    <w:rsid w:val="00AD3082"/>
    <w:rsid w:val="00AD32B4"/>
    <w:rsid w:val="00AD4AD0"/>
    <w:rsid w:val="00AD5436"/>
    <w:rsid w:val="00AD60CD"/>
    <w:rsid w:val="00AD6C8C"/>
    <w:rsid w:val="00AE091D"/>
    <w:rsid w:val="00AE3B60"/>
    <w:rsid w:val="00AE53A1"/>
    <w:rsid w:val="00AF2484"/>
    <w:rsid w:val="00AF63E7"/>
    <w:rsid w:val="00AF6E17"/>
    <w:rsid w:val="00B0165D"/>
    <w:rsid w:val="00B01B60"/>
    <w:rsid w:val="00B031F3"/>
    <w:rsid w:val="00B052A4"/>
    <w:rsid w:val="00B125DE"/>
    <w:rsid w:val="00B13FDD"/>
    <w:rsid w:val="00B22EB2"/>
    <w:rsid w:val="00B27442"/>
    <w:rsid w:val="00B31167"/>
    <w:rsid w:val="00B32660"/>
    <w:rsid w:val="00B329D8"/>
    <w:rsid w:val="00B32BB9"/>
    <w:rsid w:val="00B33AE1"/>
    <w:rsid w:val="00B36964"/>
    <w:rsid w:val="00B37C38"/>
    <w:rsid w:val="00B4288C"/>
    <w:rsid w:val="00B43262"/>
    <w:rsid w:val="00B44100"/>
    <w:rsid w:val="00B46CBA"/>
    <w:rsid w:val="00B46F94"/>
    <w:rsid w:val="00B575F6"/>
    <w:rsid w:val="00B6003C"/>
    <w:rsid w:val="00B601CD"/>
    <w:rsid w:val="00B61F03"/>
    <w:rsid w:val="00B626E4"/>
    <w:rsid w:val="00B62F23"/>
    <w:rsid w:val="00B67B29"/>
    <w:rsid w:val="00B72F4A"/>
    <w:rsid w:val="00B743A8"/>
    <w:rsid w:val="00B83C27"/>
    <w:rsid w:val="00B84BC3"/>
    <w:rsid w:val="00B84BDD"/>
    <w:rsid w:val="00B92812"/>
    <w:rsid w:val="00BA0C5A"/>
    <w:rsid w:val="00BB45A1"/>
    <w:rsid w:val="00BB7686"/>
    <w:rsid w:val="00BC23F9"/>
    <w:rsid w:val="00BC3421"/>
    <w:rsid w:val="00BC732C"/>
    <w:rsid w:val="00BD4421"/>
    <w:rsid w:val="00BD7249"/>
    <w:rsid w:val="00BE2580"/>
    <w:rsid w:val="00BE266D"/>
    <w:rsid w:val="00BE35CB"/>
    <w:rsid w:val="00BE3938"/>
    <w:rsid w:val="00BE4C11"/>
    <w:rsid w:val="00BE6805"/>
    <w:rsid w:val="00BE71C0"/>
    <w:rsid w:val="00BF610C"/>
    <w:rsid w:val="00C0060B"/>
    <w:rsid w:val="00C01A6C"/>
    <w:rsid w:val="00C0277D"/>
    <w:rsid w:val="00C053A1"/>
    <w:rsid w:val="00C16198"/>
    <w:rsid w:val="00C2083D"/>
    <w:rsid w:val="00C24A53"/>
    <w:rsid w:val="00C34A05"/>
    <w:rsid w:val="00C35CCE"/>
    <w:rsid w:val="00C4032F"/>
    <w:rsid w:val="00C44047"/>
    <w:rsid w:val="00C441C3"/>
    <w:rsid w:val="00C45155"/>
    <w:rsid w:val="00C5498F"/>
    <w:rsid w:val="00C55235"/>
    <w:rsid w:val="00C55D36"/>
    <w:rsid w:val="00C64CD0"/>
    <w:rsid w:val="00C6684F"/>
    <w:rsid w:val="00C70E70"/>
    <w:rsid w:val="00C75F8D"/>
    <w:rsid w:val="00C77380"/>
    <w:rsid w:val="00C82940"/>
    <w:rsid w:val="00C87E8A"/>
    <w:rsid w:val="00C92973"/>
    <w:rsid w:val="00C97736"/>
    <w:rsid w:val="00CA345A"/>
    <w:rsid w:val="00CA4044"/>
    <w:rsid w:val="00CB1E82"/>
    <w:rsid w:val="00CB4BA8"/>
    <w:rsid w:val="00CB52D7"/>
    <w:rsid w:val="00CB7B48"/>
    <w:rsid w:val="00CC057F"/>
    <w:rsid w:val="00CC4DB2"/>
    <w:rsid w:val="00CC6732"/>
    <w:rsid w:val="00CD07FE"/>
    <w:rsid w:val="00CE0BB5"/>
    <w:rsid w:val="00CE3C96"/>
    <w:rsid w:val="00CE51A8"/>
    <w:rsid w:val="00CF369B"/>
    <w:rsid w:val="00D00E28"/>
    <w:rsid w:val="00D0269E"/>
    <w:rsid w:val="00D035DE"/>
    <w:rsid w:val="00D05D6C"/>
    <w:rsid w:val="00D0778A"/>
    <w:rsid w:val="00D15810"/>
    <w:rsid w:val="00D15C6E"/>
    <w:rsid w:val="00D16D4E"/>
    <w:rsid w:val="00D16FE3"/>
    <w:rsid w:val="00D27F41"/>
    <w:rsid w:val="00D36441"/>
    <w:rsid w:val="00D37AB9"/>
    <w:rsid w:val="00D4064E"/>
    <w:rsid w:val="00D414E9"/>
    <w:rsid w:val="00D42EF0"/>
    <w:rsid w:val="00D4323D"/>
    <w:rsid w:val="00D44E9B"/>
    <w:rsid w:val="00D45FD2"/>
    <w:rsid w:val="00D47AEB"/>
    <w:rsid w:val="00D50DB9"/>
    <w:rsid w:val="00D51302"/>
    <w:rsid w:val="00D52C43"/>
    <w:rsid w:val="00D60571"/>
    <w:rsid w:val="00D6507F"/>
    <w:rsid w:val="00D730BC"/>
    <w:rsid w:val="00D73912"/>
    <w:rsid w:val="00D85226"/>
    <w:rsid w:val="00D87B94"/>
    <w:rsid w:val="00D919D9"/>
    <w:rsid w:val="00D91B1C"/>
    <w:rsid w:val="00D92D49"/>
    <w:rsid w:val="00D92EC1"/>
    <w:rsid w:val="00D96DEA"/>
    <w:rsid w:val="00DA4E41"/>
    <w:rsid w:val="00DB117A"/>
    <w:rsid w:val="00DB3A64"/>
    <w:rsid w:val="00DB5173"/>
    <w:rsid w:val="00DB7873"/>
    <w:rsid w:val="00DC187B"/>
    <w:rsid w:val="00DC7DEF"/>
    <w:rsid w:val="00DD1A43"/>
    <w:rsid w:val="00DD73C2"/>
    <w:rsid w:val="00DD7758"/>
    <w:rsid w:val="00DE319B"/>
    <w:rsid w:val="00DF0799"/>
    <w:rsid w:val="00DF2237"/>
    <w:rsid w:val="00DF31D3"/>
    <w:rsid w:val="00DF34FE"/>
    <w:rsid w:val="00DF41D8"/>
    <w:rsid w:val="00DF56AA"/>
    <w:rsid w:val="00DF56AF"/>
    <w:rsid w:val="00DF78E7"/>
    <w:rsid w:val="00E110E0"/>
    <w:rsid w:val="00E11E68"/>
    <w:rsid w:val="00E15371"/>
    <w:rsid w:val="00E23372"/>
    <w:rsid w:val="00E24104"/>
    <w:rsid w:val="00E302D0"/>
    <w:rsid w:val="00E35707"/>
    <w:rsid w:val="00E36AA1"/>
    <w:rsid w:val="00E41ECB"/>
    <w:rsid w:val="00E42676"/>
    <w:rsid w:val="00E54FDB"/>
    <w:rsid w:val="00E55AB9"/>
    <w:rsid w:val="00E5617D"/>
    <w:rsid w:val="00E563D7"/>
    <w:rsid w:val="00E663F4"/>
    <w:rsid w:val="00E66601"/>
    <w:rsid w:val="00E666F2"/>
    <w:rsid w:val="00E66DD4"/>
    <w:rsid w:val="00E748CC"/>
    <w:rsid w:val="00E75415"/>
    <w:rsid w:val="00E775B1"/>
    <w:rsid w:val="00E8152A"/>
    <w:rsid w:val="00E93629"/>
    <w:rsid w:val="00E93B5C"/>
    <w:rsid w:val="00E94CEC"/>
    <w:rsid w:val="00EA04EF"/>
    <w:rsid w:val="00EA6F19"/>
    <w:rsid w:val="00EB7090"/>
    <w:rsid w:val="00EC1BBE"/>
    <w:rsid w:val="00EC2B68"/>
    <w:rsid w:val="00EC3AEF"/>
    <w:rsid w:val="00EC5CD7"/>
    <w:rsid w:val="00EC7ECF"/>
    <w:rsid w:val="00ED1769"/>
    <w:rsid w:val="00ED4847"/>
    <w:rsid w:val="00ED726D"/>
    <w:rsid w:val="00EE5FB3"/>
    <w:rsid w:val="00EE7F79"/>
    <w:rsid w:val="00EF715A"/>
    <w:rsid w:val="00F01BC3"/>
    <w:rsid w:val="00F04366"/>
    <w:rsid w:val="00F06E14"/>
    <w:rsid w:val="00F07D28"/>
    <w:rsid w:val="00F179D4"/>
    <w:rsid w:val="00F26009"/>
    <w:rsid w:val="00F33C56"/>
    <w:rsid w:val="00F347C7"/>
    <w:rsid w:val="00F34848"/>
    <w:rsid w:val="00F35DA2"/>
    <w:rsid w:val="00F42D46"/>
    <w:rsid w:val="00F4496C"/>
    <w:rsid w:val="00F44F3A"/>
    <w:rsid w:val="00F45DD5"/>
    <w:rsid w:val="00F51F10"/>
    <w:rsid w:val="00F529A5"/>
    <w:rsid w:val="00F60F00"/>
    <w:rsid w:val="00F614C0"/>
    <w:rsid w:val="00F61C77"/>
    <w:rsid w:val="00F64EB7"/>
    <w:rsid w:val="00F7077C"/>
    <w:rsid w:val="00F7389C"/>
    <w:rsid w:val="00F74F7F"/>
    <w:rsid w:val="00F83848"/>
    <w:rsid w:val="00F902AB"/>
    <w:rsid w:val="00F975E9"/>
    <w:rsid w:val="00FA1B7D"/>
    <w:rsid w:val="00FB55CD"/>
    <w:rsid w:val="00FC07B9"/>
    <w:rsid w:val="00FC4E21"/>
    <w:rsid w:val="00FC5F6D"/>
    <w:rsid w:val="00FD0107"/>
    <w:rsid w:val="00FD2C2F"/>
    <w:rsid w:val="00FD3B31"/>
    <w:rsid w:val="00FE1823"/>
    <w:rsid w:val="00FE487A"/>
    <w:rsid w:val="00FF0569"/>
    <w:rsid w:val="00FF1BEE"/>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650DE6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4B2960"/>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711ACA"/>
    <w:pPr>
      <w:keepNext/>
      <w:spacing w:before="320" w:after="60" w:line="280" w:lineRule="atLeast"/>
      <w:outlineLvl w:val="1"/>
    </w:pPr>
    <w:rPr>
      <w:rFonts w:cs="Arial"/>
      <w:b/>
      <w:bCs/>
      <w:iCs/>
      <w:sz w:val="28"/>
      <w:szCs w:val="28"/>
    </w:rPr>
  </w:style>
  <w:style w:type="paragraph" w:styleId="Heading3">
    <w:name w:val="heading 3"/>
    <w:basedOn w:val="Normal"/>
    <w:next w:val="Normal"/>
    <w:link w:val="Heading3Char"/>
    <w:uiPriority w:val="2"/>
    <w:qFormat/>
    <w:rsid w:val="00711ACA"/>
    <w:pPr>
      <w:keepNext/>
      <w:spacing w:before="60" w:after="60" w:line="280" w:lineRule="atLeast"/>
      <w:outlineLvl w:val="2"/>
    </w:pPr>
    <w:rPr>
      <w:rFonts w:cs="Arial"/>
      <w:b/>
      <w:bCs/>
      <w:sz w:val="22"/>
      <w:szCs w:val="26"/>
    </w:rPr>
  </w:style>
  <w:style w:type="paragraph" w:styleId="Heading4">
    <w:name w:val="heading 4"/>
    <w:basedOn w:val="BodySubHeader"/>
    <w:next w:val="Normal"/>
    <w:uiPriority w:val="2"/>
    <w:qFormat/>
    <w:rsid w:val="00711ACA"/>
    <w:pPr>
      <w:spacing w:line="280" w:lineRule="atLeast"/>
      <w:outlineLvl w:val="3"/>
    </w:pPr>
    <w:rPr>
      <w:rFonts w:cs="Arial"/>
      <w:sz w:val="22"/>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4267B6"/>
    <w:pPr>
      <w:spacing w:after="0"/>
    </w:pPr>
    <w:rPr>
      <w:b/>
      <w:sz w:val="22"/>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4B2960"/>
    <w:pPr>
      <w:numPr>
        <w:numId w:val="3"/>
      </w:numPr>
      <w:spacing w:after="80" w:line="260" w:lineRule="atLeast"/>
      <w:ind w:left="284" w:hanging="284"/>
    </w:pPr>
    <w:rPr>
      <w:sz w:val="22"/>
    </w:r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E66601"/>
    <w:pPr>
      <w:pageBreakBefore/>
      <w:spacing w:after="36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D60571"/>
    <w:pPr>
      <w:tabs>
        <w:tab w:val="right" w:pos="9072"/>
      </w:tabs>
      <w:spacing w:before="280" w:after="80" w:line="320" w:lineRule="exact"/>
    </w:pPr>
    <w:rPr>
      <w:b/>
      <w:noProof/>
      <w:spacing w:val="-14"/>
      <w:sz w:val="28"/>
    </w:rPr>
  </w:style>
  <w:style w:type="paragraph" w:styleId="TOC2">
    <w:name w:val="toc 2"/>
    <w:basedOn w:val="Normal"/>
    <w:next w:val="Normal"/>
    <w:uiPriority w:val="39"/>
    <w:qFormat/>
    <w:rsid w:val="00D60571"/>
    <w:pPr>
      <w:tabs>
        <w:tab w:val="right" w:pos="9072"/>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D60571"/>
    <w:pPr>
      <w:tabs>
        <w:tab w:val="right" w:pos="9072"/>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A17B1B"/>
    <w:pPr>
      <w:spacing w:after="0" w:line="200" w:lineRule="atLeast"/>
    </w:pPr>
    <w:rPr>
      <w:sz w:val="16"/>
      <w:szCs w:val="16"/>
    </w:rPr>
  </w:style>
  <w:style w:type="paragraph" w:customStyle="1" w:styleId="TableBody">
    <w:name w:val="Table Body"/>
    <w:basedOn w:val="Normal"/>
    <w:uiPriority w:val="15"/>
    <w:qFormat/>
    <w:rsid w:val="004267B6"/>
    <w:pPr>
      <w:spacing w:after="0" w:line="240" w:lineRule="auto"/>
    </w:pPr>
    <w:rPr>
      <w:sz w:val="22"/>
    </w:r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711ACA"/>
    <w:pPr>
      <w:numPr>
        <w:numId w:val="13"/>
      </w:numPr>
      <w:spacing w:line="280" w:lineRule="atLeast"/>
      <w:ind w:left="284" w:hanging="284"/>
    </w:pPr>
    <w:rPr>
      <w:rFonts w:cs="Arial"/>
      <w:sz w:val="22"/>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711ACA"/>
    <w:pPr>
      <w:spacing w:line="280" w:lineRule="atLeast"/>
    </w:pPr>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CE0BB5"/>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711ACA"/>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711ACA"/>
    <w:rPr>
      <w:rFonts w:ascii="Arial" w:hAnsi="Arial" w:cs="Arial"/>
      <w:b/>
      <w:bCs/>
      <w:sz w:val="22"/>
      <w:szCs w:val="26"/>
    </w:rPr>
  </w:style>
  <w:style w:type="paragraph" w:customStyle="1" w:styleId="Paragraph">
    <w:name w:val="Paragraph"/>
    <w:basedOn w:val="Normal"/>
    <w:qFormat/>
    <w:rsid w:val="00711ACA"/>
    <w:pPr>
      <w:spacing w:line="280" w:lineRule="atLeast"/>
    </w:pPr>
    <w:rPr>
      <w:rFonts w:cs="Arial"/>
      <w:sz w:val="22"/>
    </w:rPr>
  </w:style>
  <w:style w:type="paragraph" w:customStyle="1" w:styleId="Bulletlevel2">
    <w:name w:val="Bullet level 2"/>
    <w:basedOn w:val="ListBullet2"/>
    <w:uiPriority w:val="7"/>
    <w:qFormat/>
    <w:rsid w:val="00711ACA"/>
    <w:pPr>
      <w:numPr>
        <w:numId w:val="15"/>
      </w:numPr>
      <w:tabs>
        <w:tab w:val="left" w:pos="295"/>
      </w:tabs>
      <w:spacing w:line="280" w:lineRule="atLeast"/>
      <w:ind w:left="568" w:hanging="284"/>
    </w:pPr>
    <w:rPr>
      <w:rFonts w:cs="Arial"/>
      <w:sz w:val="22"/>
    </w:rPr>
  </w:style>
  <w:style w:type="paragraph" w:customStyle="1" w:styleId="Bulletlevel1last">
    <w:name w:val="Bullet level 1 last"/>
    <w:basedOn w:val="ListBulletLast"/>
    <w:uiPriority w:val="6"/>
    <w:qFormat/>
    <w:rsid w:val="00711ACA"/>
    <w:pPr>
      <w:numPr>
        <w:numId w:val="14"/>
      </w:numPr>
      <w:spacing w:line="280" w:lineRule="atLeast"/>
      <w:ind w:left="284" w:hanging="284"/>
    </w:pPr>
    <w:rPr>
      <w:sz w:val="22"/>
    </w:rPr>
  </w:style>
  <w:style w:type="paragraph" w:customStyle="1" w:styleId="Numberlistlevel2">
    <w:name w:val="Number list level 2"/>
    <w:basedOn w:val="ListNumber2"/>
    <w:uiPriority w:val="11"/>
    <w:qFormat/>
    <w:rsid w:val="00711ACA"/>
    <w:pPr>
      <w:spacing w:line="280" w:lineRule="atLeast"/>
      <w:ind w:left="738" w:hanging="284"/>
    </w:pPr>
    <w:rPr>
      <w:sz w:val="22"/>
    </w:rPr>
  </w:style>
  <w:style w:type="paragraph" w:customStyle="1" w:styleId="Numberlistlast">
    <w:name w:val="Number list last"/>
    <w:basedOn w:val="ListNumberLast"/>
    <w:uiPriority w:val="10"/>
    <w:qFormat/>
    <w:rsid w:val="00711ACA"/>
    <w:pPr>
      <w:spacing w:line="280" w:lineRule="atLeast"/>
      <w:ind w:left="284" w:hanging="284"/>
    </w:pPr>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5A62E5"/>
    <w:pPr>
      <w:numPr>
        <w:numId w:val="16"/>
      </w:numPr>
      <w:spacing w:after="240"/>
      <w:ind w:left="568" w:hanging="284"/>
    </w:pPr>
  </w:style>
  <w:style w:type="table" w:customStyle="1" w:styleId="ACMAtablestyle">
    <w:name w:val="ACMA table style"/>
    <w:basedOn w:val="TableNormal"/>
    <w:uiPriority w:val="99"/>
    <w:rsid w:val="00F04366"/>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tc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uiPriority w:val="13"/>
    <w:qFormat/>
    <w:rsid w:val="00711ACA"/>
    <w:pPr>
      <w:keepNext/>
      <w:spacing w:line="280" w:lineRule="atLeast"/>
    </w:pPr>
    <w:rPr>
      <w:sz w:val="22"/>
    </w:r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711ACA"/>
    <w:pPr>
      <w:keepNext/>
      <w:spacing w:line="280" w:lineRule="atLeast"/>
    </w:pPr>
    <w:rPr>
      <w:sz w:val="22"/>
    </w:r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4511C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4511C5"/>
    <w:rPr>
      <w:rFonts w:ascii="Segoe UI" w:hAnsi="Segoe UI" w:cs="Segoe UI"/>
      <w:sz w:val="18"/>
      <w:szCs w:val="18"/>
    </w:rPr>
  </w:style>
  <w:style w:type="paragraph" w:styleId="Revision">
    <w:name w:val="Revision"/>
    <w:hidden/>
    <w:semiHidden/>
    <w:rsid w:val="004511C5"/>
    <w:rPr>
      <w:rFonts w:ascii="Arial" w:hAnsi="Arial"/>
      <w:sz w:val="20"/>
    </w:rPr>
  </w:style>
  <w:style w:type="paragraph" w:customStyle="1" w:styleId="Executivesummarysubheading">
    <w:name w:val="Executive summary subheading"/>
    <w:basedOn w:val="Heading4"/>
    <w:uiPriority w:val="3"/>
    <w:qFormat/>
    <w:rsid w:val="00711ACA"/>
    <w:pPr>
      <w:spacing w:after="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686757889">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26169342">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header" Target="header5.xml"/><Relationship Id="rId26" Type="http://schemas.openxmlformats.org/officeDocument/2006/relationships/hyperlink" Target="https://www.acma.gov.au/five-year-spectrum-outlook" TargetMode="External"/><Relationship Id="rId39" Type="http://schemas.openxmlformats.org/officeDocument/2006/relationships/hyperlink" Target="https://www.acma.gov.au/consultations/2023-10/proposed-updates-ralis-lm08-fx16-and-fx22" TargetMode="External"/><Relationship Id="rId21" Type="http://schemas.openxmlformats.org/officeDocument/2006/relationships/footer" Target="footer5.xml"/><Relationship Id="rId34" Type="http://schemas.openxmlformats.org/officeDocument/2006/relationships/hyperlink" Target="https://www.acma.gov.au/consultations/2025-02/updating-earth-station-and-ptp-coordination-rules" TargetMode="External"/><Relationship Id="rId42" Type="http://schemas.openxmlformats.org/officeDocument/2006/relationships/hyperlink" Target="https://www.acma.gov.au/publications/2019-08/instruction/frequency-coordination-and-licensing-procedures-point-multipoint-services-56-ghz-band" TargetMode="External"/><Relationship Id="rId47" Type="http://schemas.openxmlformats.org/officeDocument/2006/relationships/hyperlink" Target="https://www.acma.gov.au/publications/2019-08/instruction/rali-ms33-frequency-coordination-and-licensing-procedures-apparatus-licensed-pts-2-ghz-bands" TargetMode="External"/><Relationship Id="rId50" Type="http://schemas.openxmlformats.org/officeDocument/2006/relationships/hyperlink" Target="https://www.acma.gov.au/consultations/2023-10/proposal-remake-public-telecommunication-services-licence-condition-determination-and-cellular-mobile-telecommunication-devices-class-licence" TargetMode="External"/><Relationship Id="rId55" Type="http://schemas.openxmlformats.org/officeDocument/2006/relationships/hyperlink" Target="https://www.acma.gov.au/26-ghz-band"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footer" Target="footer2.xml"/><Relationship Id="rId29" Type="http://schemas.openxmlformats.org/officeDocument/2006/relationships/hyperlink" Target="https://www.acma.gov.au/consultations/2021-11/exploring-future-use-19-ghz-band-consultation-402021" TargetMode="External"/><Relationship Id="rId11" Type="http://schemas.openxmlformats.org/officeDocument/2006/relationships/hyperlink" Target="http://i.creativecommons.org/l/by/3.0/88x31.png" TargetMode="External"/><Relationship Id="rId24" Type="http://schemas.openxmlformats.org/officeDocument/2006/relationships/hyperlink" Target="https://www.acma.gov.au/our-role-manage-spectrum" TargetMode="External"/><Relationship Id="rId32" Type="http://schemas.openxmlformats.org/officeDocument/2006/relationships/hyperlink" Target="https://www.acma.gov.au/publications/2019-09/instruction/rali-fx21-television-outside-broadcasting-services" TargetMode="External"/><Relationship Id="rId37" Type="http://schemas.openxmlformats.org/officeDocument/2006/relationships/hyperlink" Target="https://www.acma.gov.au/publications/2022-08/instruction/rali-ms48-interim-access-5055-5065-mhz-line-sight-remotely-piloted-aircraft-systems-control-and-non-payload-communication-links" TargetMode="External"/><Relationship Id="rId40" Type="http://schemas.openxmlformats.org/officeDocument/2006/relationships/hyperlink" Target="https://www.acma.gov.au/publications/2019-08/instruction/rali-fx22-frequency-assignment-requirements-fixed-service-800-mhz-band" TargetMode="External"/><Relationship Id="rId45" Type="http://schemas.openxmlformats.org/officeDocument/2006/relationships/hyperlink" Target="https://www.acma.gov.au/publications/2015-12/report/acmas-long-term-strategy-803-960-mhz-band-decision-paper" TargetMode="External"/><Relationship Id="rId53" Type="http://schemas.openxmlformats.org/officeDocument/2006/relationships/hyperlink" Target="https://www.acma.gov.au/consultations/2023-10/proposed-updates-ralis-lm08-fx16-and-fx22" TargetMode="External"/><Relationship Id="rId58" Type="http://schemas.openxmlformats.org/officeDocument/2006/relationships/header" Target="header8.xml"/><Relationship Id="rId5" Type="http://schemas.openxmlformats.org/officeDocument/2006/relationships/webSettings" Target="webSettings.xml"/><Relationship Id="rId61" Type="http://schemas.openxmlformats.org/officeDocument/2006/relationships/fontTable" Target="fontTable.xml"/><Relationship Id="rId19" Type="http://schemas.openxmlformats.org/officeDocument/2006/relationships/header" Target="header6.xml"/><Relationship Id="rId14" Type="http://schemas.openxmlformats.org/officeDocument/2006/relationships/header" Target="header3.xml"/><Relationship Id="rId22" Type="http://schemas.openxmlformats.org/officeDocument/2006/relationships/footer" Target="footer6.xml"/><Relationship Id="rId27" Type="http://schemas.openxmlformats.org/officeDocument/2006/relationships/hyperlink" Target="https://www.finance.gov.au/government/managing-commonwealth-resources/regulator-performance-rmg-128" TargetMode="External"/><Relationship Id="rId30" Type="http://schemas.openxmlformats.org/officeDocument/2006/relationships/hyperlink" Target="https://www.acma.gov.au/publications/2022-09/plan/five-year-spectrum-outlook-2022-27" TargetMode="External"/><Relationship Id="rId35" Type="http://schemas.openxmlformats.org/officeDocument/2006/relationships/hyperlink" Target="https://www.acma.gov.au/consultations/2025-02/updating-earth-station-and-ptp-coordination-rules" TargetMode="External"/><Relationship Id="rId43" Type="http://schemas.openxmlformats.org/officeDocument/2006/relationships/hyperlink" Target="https://www.acma.gov.au/consultations/2023-09/proposed-updates-rali-fx23" TargetMode="External"/><Relationship Id="rId48" Type="http://schemas.openxmlformats.org/officeDocument/2006/relationships/hyperlink" Target="https://www.acma.gov.au/consultations/2023-10/proposal-remake-public-telecommunication-services-licence-condition-determination-and-cellular-mobile-telecommunication-devices-class-licence" TargetMode="External"/><Relationship Id="rId56" Type="http://schemas.openxmlformats.org/officeDocument/2006/relationships/hyperlink" Target="https://www.acma.gov.au/consultations/2024-10/remaking-fixed-licence-lcd-and-revised-arrangements-34-4-ghz-band" TargetMode="External"/><Relationship Id="rId8" Type="http://schemas.openxmlformats.org/officeDocument/2006/relationships/header" Target="header1.xml"/><Relationship Id="rId51" Type="http://schemas.openxmlformats.org/officeDocument/2006/relationships/hyperlink" Target="https://www.acma.gov.au/sites/default/files/2019-08/SP-4-93.pdf" TargetMode="Externa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footer" Target="footer3.xml"/><Relationship Id="rId25" Type="http://schemas.openxmlformats.org/officeDocument/2006/relationships/hyperlink" Target="https://www.acma.gov.au/ralis-frequency-coordination" TargetMode="External"/><Relationship Id="rId33" Type="http://schemas.openxmlformats.org/officeDocument/2006/relationships/hyperlink" Target="https://www.acma.gov.au/publications/2019-09/instruction/rali-lm08-land-mobile-service" TargetMode="External"/><Relationship Id="rId38" Type="http://schemas.openxmlformats.org/officeDocument/2006/relationships/hyperlink" Target="https://www.acma.gov.au/publications/2018-05/publication/frequency-assignment-requirements-point-multipoint-service-vhf-high-400-mhz-and-800-mhz-bands" TargetMode="External"/><Relationship Id="rId46" Type="http://schemas.openxmlformats.org/officeDocument/2006/relationships/hyperlink" Target="https://www.acma.gov.au/consultations/2023-10/proposed-updates-ralis-lm08-fx16-and-fx22" TargetMode="External"/><Relationship Id="rId59" Type="http://schemas.openxmlformats.org/officeDocument/2006/relationships/footer" Target="footer7.xml"/><Relationship Id="rId20" Type="http://schemas.openxmlformats.org/officeDocument/2006/relationships/footer" Target="footer4.xml"/><Relationship Id="rId41" Type="http://schemas.openxmlformats.org/officeDocument/2006/relationships/hyperlink" Target="https://www.acma.gov.au/consultations/2023-10/proposed-updates-ralis-lm08-fx16-and-fx22" TargetMode="External"/><Relationship Id="rId54" Type="http://schemas.openxmlformats.org/officeDocument/2006/relationships/hyperlink" Target="https://www.acma.gov.au/consultations/2025-02/draft-rali-review-work-program-2025-26" TargetMode="External"/><Relationship Id="rId6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4.xml"/><Relationship Id="rId23" Type="http://schemas.openxmlformats.org/officeDocument/2006/relationships/hyperlink" Target="https://www.acma.gov.au/spectrum-licence-technical-framework-review" TargetMode="External"/><Relationship Id="rId28" Type="http://schemas.openxmlformats.org/officeDocument/2006/relationships/hyperlink" Target="https://www.acma.gov.au/consultations/2021-11/exploring-future-use-19-ghz-band-consultation-402021" TargetMode="External"/><Relationship Id="rId36" Type="http://schemas.openxmlformats.org/officeDocument/2006/relationships/hyperlink" Target="https://www.acma.gov.au/consultations/2024-10/remaking-fixed-licence-lcd-and-revised-arrangements-34-4-ghz-band" TargetMode="External"/><Relationship Id="rId49" Type="http://schemas.openxmlformats.org/officeDocument/2006/relationships/hyperlink" Target="https://www.acma.gov.au/publications/2019-08/instruction/frequency-coordination-and-licensing-procedures-apparatus-licensed-pts-1800-mhz-bands" TargetMode="External"/><Relationship Id="rId57" Type="http://schemas.openxmlformats.org/officeDocument/2006/relationships/header" Target="header7.xml"/><Relationship Id="rId10" Type="http://schemas.openxmlformats.org/officeDocument/2006/relationships/header" Target="header2.xml"/><Relationship Id="rId31" Type="http://schemas.openxmlformats.org/officeDocument/2006/relationships/hyperlink" Target="https://www.acma.gov.au/consultations/2025-02/updating-earth-station-and-ptp-coordination-rules" TargetMode="External"/><Relationship Id="rId44" Type="http://schemas.openxmlformats.org/officeDocument/2006/relationships/hyperlink" Target="https://www.acma.gov.au/publications/2019-09/instruction/rali-lm08-land-mobile-service" TargetMode="External"/><Relationship Id="rId52" Type="http://schemas.openxmlformats.org/officeDocument/2006/relationships/hyperlink" Target="https://www.acma.gov.au/publications/2019-08/instruction/rali-fx22-frequency-assignment-requirements-fixed-service-800-mhz-band" TargetMode="External"/><Relationship Id="rId60" Type="http://schemas.openxmlformats.org/officeDocument/2006/relationships/footer" Target="footer8.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www.acma.gov.au/700-mhz-technical-framework" TargetMode="External"/><Relationship Id="rId1" Type="http://schemas.openxmlformats.org/officeDocument/2006/relationships/hyperlink" Target="https://www.acma.gov.au/spectrum-and-apparatus-licence-technical-liaison-group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Custom 1">
      <a:dk1>
        <a:srgbClr val="000000"/>
      </a:dk1>
      <a:lt1>
        <a:sysClr val="window" lastClr="FFFFFF"/>
      </a:lt1>
      <a:dk2>
        <a:srgbClr val="000000"/>
      </a:dk2>
      <a:lt2>
        <a:srgbClr val="FFFFFF"/>
      </a:lt2>
      <a:accent1>
        <a:srgbClr val="00A0A4"/>
      </a:accent1>
      <a:accent2>
        <a:srgbClr val="7C426F"/>
      </a:accent2>
      <a:accent3>
        <a:srgbClr val="39457C"/>
      </a:accent3>
      <a:accent4>
        <a:srgbClr val="85BEC2"/>
      </a:accent4>
      <a:accent5>
        <a:srgbClr val="CBB6CA"/>
      </a:accent5>
      <a:accent6>
        <a:srgbClr val="D3E5E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C86DBA-C773-4DAC-958D-07E48CB3DC9A}">
  <ds:schemaRefs>
    <ds:schemaRef ds:uri="http://schemas.openxmlformats.org/officeDocument/2006/bibliography"/>
  </ds:schemaRefs>
</ds:datastoreItem>
</file>

<file path=docMetadata/LabelInfo.xml><?xml version="1.0" encoding="utf-8"?>
<clbl:labelList xmlns:clbl="http://schemas.microsoft.com/office/2020/mipLabelMetadata">
  <clbl:label id="{0dac7f39-d20c-4e71-8af3-71ee7e268a2b}" enabled="0" method="" siteId="{0dac7f39-d20c-4e71-8af3-71ee7e268a2b}" removed="1"/>
</clbl:labelList>
</file>

<file path=docProps/app.xml><?xml version="1.0" encoding="utf-8"?>
<Properties xmlns="http://schemas.openxmlformats.org/officeDocument/2006/extended-properties" xmlns:vt="http://schemas.openxmlformats.org/officeDocument/2006/docPropsVTypes">
  <Template>Normal.dotm</Template>
  <TotalTime>0</TotalTime>
  <Pages>21</Pages>
  <Words>5381</Words>
  <Characters>30352</Characters>
  <Application>Microsoft Office Word</Application>
  <DocSecurity>0</DocSecurity>
  <Lines>820</Lines>
  <Paragraphs>388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35345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2025-07-16T00:41:00Z</dcterms:created>
  <dcterms:modified xsi:type="dcterms:W3CDTF">2025-07-16T00:41:00Z</dcterms:modified>
  <cp:category/>
</cp:coreProperties>
</file>