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65FF" w14:textId="4766DE66" w:rsidR="00F06E14" w:rsidRPr="00A17B1B" w:rsidRDefault="005117AF" w:rsidP="00A51D1A">
      <w:pPr>
        <w:pStyle w:val="Reporttitle"/>
      </w:pPr>
      <w:r>
        <w:t>Allocation</w:t>
      </w:r>
      <w:r w:rsidDel="003F36F3">
        <w:t xml:space="preserve"> design</w:t>
      </w:r>
      <w:r w:rsidR="00E07015" w:rsidDel="003F36F3">
        <w:t xml:space="preserve"> and technical</w:t>
      </w:r>
      <w:r w:rsidDel="003F36F3">
        <w:t xml:space="preserve"> matters for </w:t>
      </w:r>
      <w:r>
        <w:t>the 2 GHz MSS band</w:t>
      </w:r>
    </w:p>
    <w:p w14:paraId="6101C106" w14:textId="773F0A0F" w:rsidR="00F06E14" w:rsidRPr="00A17B1B" w:rsidRDefault="00ED1769" w:rsidP="00F06E14">
      <w:pPr>
        <w:pStyle w:val="Reportsubtitle"/>
      </w:pPr>
      <w:r>
        <w:t>Consultation</w:t>
      </w:r>
      <w:r w:rsidR="00BD4421" w:rsidRPr="00A17B1B">
        <w:t xml:space="preserve"> </w:t>
      </w:r>
      <w:r w:rsidR="005117AF">
        <w:t>paper</w:t>
      </w:r>
    </w:p>
    <w:p w14:paraId="1B56F7C5" w14:textId="1A09B1F4" w:rsidR="00C97736" w:rsidRPr="00A17B1B" w:rsidRDefault="007D2FAE" w:rsidP="00EC2B68">
      <w:pPr>
        <w:pStyle w:val="Reportdate"/>
        <w:spacing w:after="720"/>
        <w:rPr>
          <w:rFonts w:cs="Arial"/>
        </w:rPr>
        <w:sectPr w:rsidR="00C97736" w:rsidRPr="00A17B1B" w:rsidSect="005A62E5">
          <w:headerReference w:type="default" r:id="rId11"/>
          <w:footerReference w:type="default" r:id="rId12"/>
          <w:headerReference w:type="first" r:id="rId13"/>
          <w:pgSz w:w="11906" w:h="16838" w:code="9"/>
          <w:pgMar w:top="3924" w:right="1418" w:bottom="1134" w:left="1418" w:header="850" w:footer="454" w:gutter="0"/>
          <w:cols w:space="708"/>
          <w:docGrid w:linePitch="360"/>
        </w:sectPr>
      </w:pPr>
      <w:r w:rsidRPr="007D2FAE">
        <w:t xml:space="preserve">July </w:t>
      </w:r>
      <w:r w:rsidR="00BD4421" w:rsidRPr="007D2FAE">
        <w:t>20</w:t>
      </w:r>
      <w:r w:rsidR="000971BD" w:rsidRPr="007D2FAE">
        <w:t>2</w:t>
      </w:r>
      <w:r w:rsidR="001106BC" w:rsidRPr="007D2FAE">
        <w:t>5</w:t>
      </w:r>
    </w:p>
    <w:p w14:paraId="726C0C51" w14:textId="77777777" w:rsidR="00284A74" w:rsidRPr="00A17B1B" w:rsidRDefault="00284A74" w:rsidP="00284A74">
      <w:pPr>
        <w:pStyle w:val="ACMACorporateAddressHeader"/>
      </w:pPr>
      <w:r w:rsidRPr="00A17B1B">
        <w:lastRenderedPageBreak/>
        <w:t>Canberra</w:t>
      </w:r>
    </w:p>
    <w:p w14:paraId="362171C4"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3C164D3C" w14:textId="77777777" w:rsidR="00284A74" w:rsidRPr="00A17B1B" w:rsidRDefault="00284A74" w:rsidP="00284A74">
      <w:pPr>
        <w:pStyle w:val="ACMACorporateAddresses"/>
      </w:pPr>
      <w:r w:rsidRPr="00A17B1B">
        <w:t>PO Box 78</w:t>
      </w:r>
      <w:r w:rsidRPr="00A17B1B">
        <w:br/>
        <w:t>Belconnen ACT 2616</w:t>
      </w:r>
    </w:p>
    <w:p w14:paraId="3E9DD941"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48A46004" w14:textId="77777777" w:rsidR="00284A74" w:rsidRPr="00A17B1B" w:rsidRDefault="00284A74" w:rsidP="00284A74">
      <w:pPr>
        <w:pStyle w:val="ACMACorporateAddressHeader"/>
      </w:pPr>
      <w:r w:rsidRPr="00A17B1B">
        <w:t>Melbourne</w:t>
      </w:r>
    </w:p>
    <w:p w14:paraId="65044547"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6FE2AE19"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663DF834"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7267DE4B" w14:textId="77777777" w:rsidR="00284A74" w:rsidRPr="00A17B1B" w:rsidRDefault="00284A74" w:rsidP="00284A74">
      <w:pPr>
        <w:pStyle w:val="ACMACorporateAddressHeader"/>
      </w:pPr>
      <w:r w:rsidRPr="00A17B1B">
        <w:t>Sydney</w:t>
      </w:r>
    </w:p>
    <w:p w14:paraId="15C7E9AC"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315C19DE"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35591DD6"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36DA5975" w14:textId="77777777" w:rsidR="00284A74" w:rsidRPr="00A17B1B" w:rsidRDefault="00284A74" w:rsidP="005A62E5">
      <w:pPr>
        <w:pStyle w:val="ACMACopyrightHeader"/>
        <w:spacing w:before="4200"/>
      </w:pPr>
      <w:r w:rsidRPr="00A17B1B">
        <w:t>Copyright notice</w:t>
      </w:r>
    </w:p>
    <w:p w14:paraId="71A6B89D" w14:textId="77777777" w:rsidR="00284A74" w:rsidRPr="00A17B1B" w:rsidRDefault="00284A74" w:rsidP="00284A74">
      <w:pPr>
        <w:pStyle w:val="ACMACClogo"/>
      </w:pPr>
      <w:r w:rsidRPr="00A17B1B">
        <w:rPr>
          <w:noProof/>
        </w:rPr>
        <w:drawing>
          <wp:inline distT="0" distB="0" distL="0" distR="0" wp14:anchorId="6235C84F" wp14:editId="44526EB8">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24055A72" w14:textId="77777777" w:rsidR="00284A74" w:rsidRPr="00A17B1B" w:rsidRDefault="00284A74" w:rsidP="00284A74">
      <w:pPr>
        <w:pStyle w:val="ACMACorporateAddresses"/>
        <w:rPr>
          <w:rStyle w:val="Hyperlink"/>
        </w:rPr>
      </w:pPr>
      <w:hyperlink r:id="rId16" w:history="1">
        <w:r w:rsidRPr="00A17B1B">
          <w:rPr>
            <w:rStyle w:val="Hyperlink"/>
          </w:rPr>
          <w:t>https://creativecommons.org/licenses/by/4.0/</w:t>
        </w:r>
      </w:hyperlink>
    </w:p>
    <w:p w14:paraId="7C6B812E" w14:textId="77777777" w:rsidR="00AA1F0B" w:rsidRPr="00E162C4" w:rsidRDefault="00AA1F0B" w:rsidP="00AA1F0B">
      <w:pPr>
        <w:pStyle w:val="ACMACorporateAddresses"/>
      </w:pPr>
      <w:r>
        <w:t>Except for the Commonwealth</w:t>
      </w:r>
      <w:r w:rsidRPr="00E162C4">
        <w:t xml:space="preserve"> </w:t>
      </w:r>
      <w:r>
        <w:t>C</w:t>
      </w:r>
      <w:r w:rsidRPr="00E162C4">
        <w:t xml:space="preserve">oat of </w:t>
      </w:r>
      <w:r>
        <w:t>A</w:t>
      </w:r>
      <w:r w:rsidRPr="00E162C4">
        <w:t xml:space="preserve">rms, logos, emblems, images, other third-party material or devices protected by a trademark, this content is made available under the terms of the Creative Commons Attribution 4.0 International (CC BY 4.0) licence. </w:t>
      </w:r>
    </w:p>
    <w:p w14:paraId="4347C3A3" w14:textId="77777777" w:rsidR="00AA1F0B" w:rsidRPr="00E162C4" w:rsidRDefault="00AA1F0B" w:rsidP="00AA1F0B">
      <w:pPr>
        <w:pStyle w:val="ACMACorporateAddresses"/>
      </w:pPr>
      <w:r w:rsidRPr="00E162C4">
        <w:t>All other rights are reserved.</w:t>
      </w:r>
    </w:p>
    <w:p w14:paraId="33291CDB" w14:textId="77777777" w:rsidR="00AA1F0B" w:rsidRDefault="00AA1F0B" w:rsidP="00AA1F0B">
      <w:pPr>
        <w:pStyle w:val="ACMACorporateAddresses"/>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4B44D2D4" w14:textId="77777777" w:rsidR="00AA1F0B" w:rsidRPr="00D04C32" w:rsidRDefault="00AA1F0B" w:rsidP="00AA1F0B">
      <w:pPr>
        <w:pStyle w:val="ACMACorporateAddresses"/>
        <w:rPr>
          <w:rStyle w:val="Hyperlink"/>
          <w:color w:val="auto"/>
          <w:u w:val="none"/>
        </w:rPr>
      </w:pPr>
      <w:r w:rsidRPr="00E162C4">
        <w:t>We request attribution as © Commonwealth of Australia (Australian Communications and Media Authority) 202</w:t>
      </w:r>
      <w:r w:rsidR="001106BC">
        <w:t>5</w:t>
      </w:r>
      <w:r w:rsidRPr="00E162C4">
        <w:t xml:space="preserve">. </w:t>
      </w:r>
    </w:p>
    <w:p w14:paraId="2A58DD9E" w14:textId="77777777" w:rsidR="00D16FE3" w:rsidRPr="00A17B1B" w:rsidRDefault="00D16FE3" w:rsidP="00D16FE3">
      <w:pPr>
        <w:pStyle w:val="ACMACorporateAddresses"/>
        <w:sectPr w:rsidR="00D16FE3" w:rsidRPr="00A17B1B" w:rsidSect="005A62E5">
          <w:headerReference w:type="even" r:id="rId17"/>
          <w:headerReference w:type="default" r:id="rId18"/>
          <w:footerReference w:type="even" r:id="rId19"/>
          <w:footerReference w:type="default" r:id="rId20"/>
          <w:pgSz w:w="11906" w:h="16838" w:code="9"/>
          <w:pgMar w:top="3924" w:right="1418" w:bottom="1134" w:left="1418" w:header="709" w:footer="119" w:gutter="0"/>
          <w:cols w:space="708"/>
          <w:docGrid w:linePitch="360"/>
        </w:sectPr>
      </w:pPr>
    </w:p>
    <w:p w14:paraId="6BE4C2D4" w14:textId="24CA2289" w:rsidR="00023D5D" w:rsidRDefault="00DF0799">
      <w:pPr>
        <w:pStyle w:val="TOC1"/>
        <w:rPr>
          <w:rFonts w:asciiTheme="minorHAnsi" w:eastAsiaTheme="minorEastAsia" w:hAnsiTheme="minorHAnsi" w:cstheme="minorBidi"/>
          <w:b w:val="0"/>
          <w:spacing w:val="0"/>
          <w:kern w:val="2"/>
          <w:sz w:val="24"/>
          <w14:ligatures w14:val="standardContextual"/>
        </w:rPr>
      </w:pPr>
      <w:r w:rsidRPr="00A17B1B">
        <w:rPr>
          <w:rFonts w:cs="Arial"/>
        </w:rPr>
        <w:lastRenderedPageBreak/>
        <w:fldChar w:fldCharType="begin"/>
      </w:r>
      <w:r w:rsidRPr="00A17B1B">
        <w:rPr>
          <w:rFonts w:cs="Arial"/>
        </w:rPr>
        <w:instrText xml:space="preserve"> TOC \o "1-3" \h \z \t "Exec summary heading,1" </w:instrText>
      </w:r>
      <w:r w:rsidRPr="00A17B1B">
        <w:rPr>
          <w:rFonts w:cs="Arial"/>
        </w:rPr>
        <w:fldChar w:fldCharType="separate"/>
      </w:r>
      <w:hyperlink w:anchor="_Toc202867800" w:history="1">
        <w:r w:rsidR="00023D5D" w:rsidRPr="000E038D">
          <w:rPr>
            <w:rStyle w:val="Hyperlink"/>
          </w:rPr>
          <w:t>Executive summary</w:t>
        </w:r>
        <w:r w:rsidR="00023D5D">
          <w:rPr>
            <w:webHidden/>
          </w:rPr>
          <w:tab/>
        </w:r>
        <w:r w:rsidR="00023D5D">
          <w:rPr>
            <w:webHidden/>
          </w:rPr>
          <w:fldChar w:fldCharType="begin"/>
        </w:r>
        <w:r w:rsidR="00023D5D">
          <w:rPr>
            <w:webHidden/>
          </w:rPr>
          <w:instrText xml:space="preserve"> PAGEREF _Toc202867800 \h </w:instrText>
        </w:r>
        <w:r w:rsidR="00023D5D">
          <w:rPr>
            <w:webHidden/>
          </w:rPr>
        </w:r>
        <w:r w:rsidR="00023D5D">
          <w:rPr>
            <w:webHidden/>
          </w:rPr>
          <w:fldChar w:fldCharType="separate"/>
        </w:r>
        <w:r w:rsidR="00023D5D">
          <w:rPr>
            <w:webHidden/>
          </w:rPr>
          <w:t>1</w:t>
        </w:r>
        <w:r w:rsidR="00023D5D">
          <w:rPr>
            <w:webHidden/>
          </w:rPr>
          <w:fldChar w:fldCharType="end"/>
        </w:r>
      </w:hyperlink>
    </w:p>
    <w:p w14:paraId="42132CC9" w14:textId="25308440"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01" w:history="1">
        <w:r w:rsidRPr="000E038D">
          <w:rPr>
            <w:rStyle w:val="Hyperlink"/>
          </w:rPr>
          <w:t>Issues for comment</w:t>
        </w:r>
        <w:r>
          <w:rPr>
            <w:webHidden/>
          </w:rPr>
          <w:tab/>
        </w:r>
        <w:r>
          <w:rPr>
            <w:webHidden/>
          </w:rPr>
          <w:fldChar w:fldCharType="begin"/>
        </w:r>
        <w:r>
          <w:rPr>
            <w:webHidden/>
          </w:rPr>
          <w:instrText xml:space="preserve"> PAGEREF _Toc202867801 \h </w:instrText>
        </w:r>
        <w:r>
          <w:rPr>
            <w:webHidden/>
          </w:rPr>
        </w:r>
        <w:r>
          <w:rPr>
            <w:webHidden/>
          </w:rPr>
          <w:fldChar w:fldCharType="separate"/>
        </w:r>
        <w:r>
          <w:rPr>
            <w:webHidden/>
          </w:rPr>
          <w:t>6</w:t>
        </w:r>
        <w:r>
          <w:rPr>
            <w:webHidden/>
          </w:rPr>
          <w:fldChar w:fldCharType="end"/>
        </w:r>
      </w:hyperlink>
    </w:p>
    <w:p w14:paraId="74A9F8E7" w14:textId="0A48BE49"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02" w:history="1">
        <w:r w:rsidRPr="000E038D">
          <w:rPr>
            <w:rStyle w:val="Hyperlink"/>
          </w:rPr>
          <w:t>Introduction</w:t>
        </w:r>
        <w:r>
          <w:rPr>
            <w:webHidden/>
          </w:rPr>
          <w:tab/>
        </w:r>
        <w:r>
          <w:rPr>
            <w:webHidden/>
          </w:rPr>
          <w:fldChar w:fldCharType="begin"/>
        </w:r>
        <w:r>
          <w:rPr>
            <w:webHidden/>
          </w:rPr>
          <w:instrText xml:space="preserve"> PAGEREF _Toc202867802 \h </w:instrText>
        </w:r>
        <w:r>
          <w:rPr>
            <w:webHidden/>
          </w:rPr>
        </w:r>
        <w:r>
          <w:rPr>
            <w:webHidden/>
          </w:rPr>
          <w:fldChar w:fldCharType="separate"/>
        </w:r>
        <w:r>
          <w:rPr>
            <w:webHidden/>
          </w:rPr>
          <w:t>8</w:t>
        </w:r>
        <w:r>
          <w:rPr>
            <w:webHidden/>
          </w:rPr>
          <w:fldChar w:fldCharType="end"/>
        </w:r>
      </w:hyperlink>
    </w:p>
    <w:p w14:paraId="37BEA69C" w14:textId="7FF8B8D4"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03" w:history="1">
        <w:r w:rsidRPr="000E038D">
          <w:rPr>
            <w:rStyle w:val="Hyperlink"/>
          </w:rPr>
          <w:t>Background</w:t>
        </w:r>
        <w:r>
          <w:rPr>
            <w:webHidden/>
          </w:rPr>
          <w:tab/>
        </w:r>
        <w:r>
          <w:rPr>
            <w:webHidden/>
          </w:rPr>
          <w:fldChar w:fldCharType="begin"/>
        </w:r>
        <w:r>
          <w:rPr>
            <w:webHidden/>
          </w:rPr>
          <w:instrText xml:space="preserve"> PAGEREF _Toc202867803 \h </w:instrText>
        </w:r>
        <w:r>
          <w:rPr>
            <w:webHidden/>
          </w:rPr>
        </w:r>
        <w:r>
          <w:rPr>
            <w:webHidden/>
          </w:rPr>
          <w:fldChar w:fldCharType="separate"/>
        </w:r>
        <w:r>
          <w:rPr>
            <w:webHidden/>
          </w:rPr>
          <w:t>8</w:t>
        </w:r>
        <w:r>
          <w:rPr>
            <w:webHidden/>
          </w:rPr>
          <w:fldChar w:fldCharType="end"/>
        </w:r>
      </w:hyperlink>
    </w:p>
    <w:p w14:paraId="280A8FB5" w14:textId="0B3E4151"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04" w:history="1">
        <w:r w:rsidRPr="000E038D">
          <w:rPr>
            <w:rStyle w:val="Hyperlink"/>
          </w:rPr>
          <w:t>Legislative guidance</w:t>
        </w:r>
        <w:r>
          <w:rPr>
            <w:webHidden/>
          </w:rPr>
          <w:tab/>
        </w:r>
        <w:r>
          <w:rPr>
            <w:webHidden/>
          </w:rPr>
          <w:fldChar w:fldCharType="begin"/>
        </w:r>
        <w:r>
          <w:rPr>
            <w:webHidden/>
          </w:rPr>
          <w:instrText xml:space="preserve"> PAGEREF _Toc202867804 \h </w:instrText>
        </w:r>
        <w:r>
          <w:rPr>
            <w:webHidden/>
          </w:rPr>
        </w:r>
        <w:r>
          <w:rPr>
            <w:webHidden/>
          </w:rPr>
          <w:fldChar w:fldCharType="separate"/>
        </w:r>
        <w:r>
          <w:rPr>
            <w:webHidden/>
          </w:rPr>
          <w:t>9</w:t>
        </w:r>
        <w:r>
          <w:rPr>
            <w:webHidden/>
          </w:rPr>
          <w:fldChar w:fldCharType="end"/>
        </w:r>
      </w:hyperlink>
    </w:p>
    <w:p w14:paraId="3837CED9" w14:textId="4A09AD55"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05" w:history="1">
        <w:r w:rsidRPr="000E038D">
          <w:rPr>
            <w:rStyle w:val="Hyperlink"/>
          </w:rPr>
          <w:t>Allocation design</w:t>
        </w:r>
        <w:r>
          <w:rPr>
            <w:webHidden/>
          </w:rPr>
          <w:tab/>
        </w:r>
        <w:r>
          <w:rPr>
            <w:webHidden/>
          </w:rPr>
          <w:fldChar w:fldCharType="begin"/>
        </w:r>
        <w:r>
          <w:rPr>
            <w:webHidden/>
          </w:rPr>
          <w:instrText xml:space="preserve"> PAGEREF _Toc202867805 \h </w:instrText>
        </w:r>
        <w:r>
          <w:rPr>
            <w:webHidden/>
          </w:rPr>
        </w:r>
        <w:r>
          <w:rPr>
            <w:webHidden/>
          </w:rPr>
          <w:fldChar w:fldCharType="separate"/>
        </w:r>
        <w:r>
          <w:rPr>
            <w:webHidden/>
          </w:rPr>
          <w:t>11</w:t>
        </w:r>
        <w:r>
          <w:rPr>
            <w:webHidden/>
          </w:rPr>
          <w:fldChar w:fldCharType="end"/>
        </w:r>
      </w:hyperlink>
    </w:p>
    <w:p w14:paraId="5007283B" w14:textId="3C2141B0"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06" w:history="1">
        <w:r w:rsidRPr="000E038D">
          <w:rPr>
            <w:rStyle w:val="Hyperlink"/>
          </w:rPr>
          <w:t>Licensing approach</w:t>
        </w:r>
        <w:r>
          <w:rPr>
            <w:webHidden/>
          </w:rPr>
          <w:tab/>
        </w:r>
        <w:r>
          <w:rPr>
            <w:webHidden/>
          </w:rPr>
          <w:fldChar w:fldCharType="begin"/>
        </w:r>
        <w:r>
          <w:rPr>
            <w:webHidden/>
          </w:rPr>
          <w:instrText xml:space="preserve"> PAGEREF _Toc202867806 \h </w:instrText>
        </w:r>
        <w:r>
          <w:rPr>
            <w:webHidden/>
          </w:rPr>
        </w:r>
        <w:r>
          <w:rPr>
            <w:webHidden/>
          </w:rPr>
          <w:fldChar w:fldCharType="separate"/>
        </w:r>
        <w:r>
          <w:rPr>
            <w:webHidden/>
          </w:rPr>
          <w:t>12</w:t>
        </w:r>
        <w:r>
          <w:rPr>
            <w:webHidden/>
          </w:rPr>
          <w:fldChar w:fldCharType="end"/>
        </w:r>
      </w:hyperlink>
    </w:p>
    <w:p w14:paraId="3D9F51A0" w14:textId="0B9B16AA" w:rsidR="00023D5D" w:rsidRDefault="00023D5D">
      <w:pPr>
        <w:pStyle w:val="TOC3"/>
        <w:rPr>
          <w:rFonts w:asciiTheme="minorHAnsi" w:eastAsiaTheme="minorEastAsia" w:hAnsiTheme="minorHAnsi" w:cstheme="minorBidi"/>
          <w:kern w:val="2"/>
          <w:sz w:val="24"/>
          <w:szCs w:val="24"/>
          <w14:ligatures w14:val="standardContextual"/>
        </w:rPr>
      </w:pPr>
      <w:hyperlink w:anchor="_Toc202867807" w:history="1">
        <w:r w:rsidRPr="000E038D">
          <w:rPr>
            <w:rStyle w:val="Hyperlink"/>
          </w:rPr>
          <w:t>Licensing framework</w:t>
        </w:r>
        <w:r>
          <w:rPr>
            <w:webHidden/>
          </w:rPr>
          <w:tab/>
        </w:r>
        <w:r>
          <w:rPr>
            <w:webHidden/>
          </w:rPr>
          <w:fldChar w:fldCharType="begin"/>
        </w:r>
        <w:r>
          <w:rPr>
            <w:webHidden/>
          </w:rPr>
          <w:instrText xml:space="preserve"> PAGEREF _Toc202867807 \h </w:instrText>
        </w:r>
        <w:r>
          <w:rPr>
            <w:webHidden/>
          </w:rPr>
        </w:r>
        <w:r>
          <w:rPr>
            <w:webHidden/>
          </w:rPr>
          <w:fldChar w:fldCharType="separate"/>
        </w:r>
        <w:r>
          <w:rPr>
            <w:webHidden/>
          </w:rPr>
          <w:t>12</w:t>
        </w:r>
        <w:r>
          <w:rPr>
            <w:webHidden/>
          </w:rPr>
          <w:fldChar w:fldCharType="end"/>
        </w:r>
      </w:hyperlink>
    </w:p>
    <w:p w14:paraId="240B3A13" w14:textId="274B2CAE" w:rsidR="00023D5D" w:rsidRDefault="00023D5D">
      <w:pPr>
        <w:pStyle w:val="TOC3"/>
        <w:rPr>
          <w:rFonts w:asciiTheme="minorHAnsi" w:eastAsiaTheme="minorEastAsia" w:hAnsiTheme="minorHAnsi" w:cstheme="minorBidi"/>
          <w:kern w:val="2"/>
          <w:sz w:val="24"/>
          <w:szCs w:val="24"/>
          <w14:ligatures w14:val="standardContextual"/>
        </w:rPr>
      </w:pPr>
      <w:hyperlink w:anchor="_Toc202867808" w:history="1">
        <w:r w:rsidRPr="000E038D">
          <w:rPr>
            <w:rStyle w:val="Hyperlink"/>
          </w:rPr>
          <w:t>Issue for comment 1</w:t>
        </w:r>
        <w:r>
          <w:rPr>
            <w:webHidden/>
          </w:rPr>
          <w:tab/>
        </w:r>
        <w:r>
          <w:rPr>
            <w:webHidden/>
          </w:rPr>
          <w:fldChar w:fldCharType="begin"/>
        </w:r>
        <w:r>
          <w:rPr>
            <w:webHidden/>
          </w:rPr>
          <w:instrText xml:space="preserve"> PAGEREF _Toc202867808 \h </w:instrText>
        </w:r>
        <w:r>
          <w:rPr>
            <w:webHidden/>
          </w:rPr>
        </w:r>
        <w:r>
          <w:rPr>
            <w:webHidden/>
          </w:rPr>
          <w:fldChar w:fldCharType="separate"/>
        </w:r>
        <w:r>
          <w:rPr>
            <w:webHidden/>
          </w:rPr>
          <w:t>13</w:t>
        </w:r>
        <w:r>
          <w:rPr>
            <w:webHidden/>
          </w:rPr>
          <w:fldChar w:fldCharType="end"/>
        </w:r>
      </w:hyperlink>
    </w:p>
    <w:p w14:paraId="5DBFA14C" w14:textId="47365C77"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09" w:history="1">
        <w:r w:rsidRPr="000E038D">
          <w:rPr>
            <w:rStyle w:val="Hyperlink"/>
          </w:rPr>
          <w:t>Licence term, commencement and renewals</w:t>
        </w:r>
        <w:r>
          <w:rPr>
            <w:webHidden/>
          </w:rPr>
          <w:tab/>
        </w:r>
        <w:r>
          <w:rPr>
            <w:webHidden/>
          </w:rPr>
          <w:fldChar w:fldCharType="begin"/>
        </w:r>
        <w:r>
          <w:rPr>
            <w:webHidden/>
          </w:rPr>
          <w:instrText xml:space="preserve"> PAGEREF _Toc202867809 \h </w:instrText>
        </w:r>
        <w:r>
          <w:rPr>
            <w:webHidden/>
          </w:rPr>
        </w:r>
        <w:r>
          <w:rPr>
            <w:webHidden/>
          </w:rPr>
          <w:fldChar w:fldCharType="separate"/>
        </w:r>
        <w:r>
          <w:rPr>
            <w:webHidden/>
          </w:rPr>
          <w:t>13</w:t>
        </w:r>
        <w:r>
          <w:rPr>
            <w:webHidden/>
          </w:rPr>
          <w:fldChar w:fldCharType="end"/>
        </w:r>
      </w:hyperlink>
    </w:p>
    <w:p w14:paraId="1B9BDBDE" w14:textId="2D7187B3" w:rsidR="00023D5D" w:rsidRDefault="00023D5D">
      <w:pPr>
        <w:pStyle w:val="TOC3"/>
        <w:rPr>
          <w:rFonts w:asciiTheme="minorHAnsi" w:eastAsiaTheme="minorEastAsia" w:hAnsiTheme="minorHAnsi" w:cstheme="minorBidi"/>
          <w:kern w:val="2"/>
          <w:sz w:val="24"/>
          <w:szCs w:val="24"/>
          <w14:ligatures w14:val="standardContextual"/>
        </w:rPr>
      </w:pPr>
      <w:hyperlink w:anchor="_Toc202867810" w:history="1">
        <w:r w:rsidRPr="000E038D">
          <w:rPr>
            <w:rStyle w:val="Hyperlink"/>
          </w:rPr>
          <w:t>Licence term</w:t>
        </w:r>
        <w:r>
          <w:rPr>
            <w:webHidden/>
          </w:rPr>
          <w:tab/>
        </w:r>
        <w:r>
          <w:rPr>
            <w:webHidden/>
          </w:rPr>
          <w:fldChar w:fldCharType="begin"/>
        </w:r>
        <w:r>
          <w:rPr>
            <w:webHidden/>
          </w:rPr>
          <w:instrText xml:space="preserve"> PAGEREF _Toc202867810 \h </w:instrText>
        </w:r>
        <w:r>
          <w:rPr>
            <w:webHidden/>
          </w:rPr>
        </w:r>
        <w:r>
          <w:rPr>
            <w:webHidden/>
          </w:rPr>
          <w:fldChar w:fldCharType="separate"/>
        </w:r>
        <w:r>
          <w:rPr>
            <w:webHidden/>
          </w:rPr>
          <w:t>13</w:t>
        </w:r>
        <w:r>
          <w:rPr>
            <w:webHidden/>
          </w:rPr>
          <w:fldChar w:fldCharType="end"/>
        </w:r>
      </w:hyperlink>
    </w:p>
    <w:p w14:paraId="454EA5C5" w14:textId="7AFC19A1" w:rsidR="00023D5D" w:rsidRDefault="00023D5D">
      <w:pPr>
        <w:pStyle w:val="TOC3"/>
        <w:rPr>
          <w:rFonts w:asciiTheme="minorHAnsi" w:eastAsiaTheme="minorEastAsia" w:hAnsiTheme="minorHAnsi" w:cstheme="minorBidi"/>
          <w:kern w:val="2"/>
          <w:sz w:val="24"/>
          <w:szCs w:val="24"/>
          <w14:ligatures w14:val="standardContextual"/>
        </w:rPr>
      </w:pPr>
      <w:hyperlink w:anchor="_Toc202867811" w:history="1">
        <w:r w:rsidRPr="000E038D">
          <w:rPr>
            <w:rStyle w:val="Hyperlink"/>
          </w:rPr>
          <w:t>Licence commencement</w:t>
        </w:r>
        <w:r>
          <w:rPr>
            <w:webHidden/>
          </w:rPr>
          <w:tab/>
        </w:r>
        <w:r>
          <w:rPr>
            <w:webHidden/>
          </w:rPr>
          <w:fldChar w:fldCharType="begin"/>
        </w:r>
        <w:r>
          <w:rPr>
            <w:webHidden/>
          </w:rPr>
          <w:instrText xml:space="preserve"> PAGEREF _Toc202867811 \h </w:instrText>
        </w:r>
        <w:r>
          <w:rPr>
            <w:webHidden/>
          </w:rPr>
        </w:r>
        <w:r>
          <w:rPr>
            <w:webHidden/>
          </w:rPr>
          <w:fldChar w:fldCharType="separate"/>
        </w:r>
        <w:r>
          <w:rPr>
            <w:webHidden/>
          </w:rPr>
          <w:t>13</w:t>
        </w:r>
        <w:r>
          <w:rPr>
            <w:webHidden/>
          </w:rPr>
          <w:fldChar w:fldCharType="end"/>
        </w:r>
      </w:hyperlink>
    </w:p>
    <w:p w14:paraId="753A5366" w14:textId="2A614353" w:rsidR="00023D5D" w:rsidRDefault="00023D5D">
      <w:pPr>
        <w:pStyle w:val="TOC3"/>
        <w:rPr>
          <w:rFonts w:asciiTheme="minorHAnsi" w:eastAsiaTheme="minorEastAsia" w:hAnsiTheme="minorHAnsi" w:cstheme="minorBidi"/>
          <w:kern w:val="2"/>
          <w:sz w:val="24"/>
          <w:szCs w:val="24"/>
          <w14:ligatures w14:val="standardContextual"/>
        </w:rPr>
      </w:pPr>
      <w:hyperlink w:anchor="_Toc202867812" w:history="1">
        <w:r w:rsidRPr="000E038D">
          <w:rPr>
            <w:rStyle w:val="Hyperlink"/>
          </w:rPr>
          <w:t>Licence renewal</w:t>
        </w:r>
        <w:r>
          <w:rPr>
            <w:webHidden/>
          </w:rPr>
          <w:tab/>
        </w:r>
        <w:r>
          <w:rPr>
            <w:webHidden/>
          </w:rPr>
          <w:fldChar w:fldCharType="begin"/>
        </w:r>
        <w:r>
          <w:rPr>
            <w:webHidden/>
          </w:rPr>
          <w:instrText xml:space="preserve"> PAGEREF _Toc202867812 \h </w:instrText>
        </w:r>
        <w:r>
          <w:rPr>
            <w:webHidden/>
          </w:rPr>
        </w:r>
        <w:r>
          <w:rPr>
            <w:webHidden/>
          </w:rPr>
          <w:fldChar w:fldCharType="separate"/>
        </w:r>
        <w:r>
          <w:rPr>
            <w:webHidden/>
          </w:rPr>
          <w:t>14</w:t>
        </w:r>
        <w:r>
          <w:rPr>
            <w:webHidden/>
          </w:rPr>
          <w:fldChar w:fldCharType="end"/>
        </w:r>
      </w:hyperlink>
    </w:p>
    <w:p w14:paraId="599E7247" w14:textId="54CF85F5" w:rsidR="00023D5D" w:rsidRDefault="00023D5D">
      <w:pPr>
        <w:pStyle w:val="TOC3"/>
        <w:rPr>
          <w:rFonts w:asciiTheme="minorHAnsi" w:eastAsiaTheme="minorEastAsia" w:hAnsiTheme="minorHAnsi" w:cstheme="minorBidi"/>
          <w:kern w:val="2"/>
          <w:sz w:val="24"/>
          <w:szCs w:val="24"/>
          <w14:ligatures w14:val="standardContextual"/>
        </w:rPr>
      </w:pPr>
      <w:hyperlink w:anchor="_Toc202867813" w:history="1">
        <w:r w:rsidRPr="000E038D">
          <w:rPr>
            <w:rStyle w:val="Hyperlink"/>
          </w:rPr>
          <w:t>Issue for comment 2</w:t>
        </w:r>
        <w:r>
          <w:rPr>
            <w:webHidden/>
          </w:rPr>
          <w:tab/>
        </w:r>
        <w:r>
          <w:rPr>
            <w:webHidden/>
          </w:rPr>
          <w:fldChar w:fldCharType="begin"/>
        </w:r>
        <w:r>
          <w:rPr>
            <w:webHidden/>
          </w:rPr>
          <w:instrText xml:space="preserve"> PAGEREF _Toc202867813 \h </w:instrText>
        </w:r>
        <w:r>
          <w:rPr>
            <w:webHidden/>
          </w:rPr>
        </w:r>
        <w:r>
          <w:rPr>
            <w:webHidden/>
          </w:rPr>
          <w:fldChar w:fldCharType="separate"/>
        </w:r>
        <w:r>
          <w:rPr>
            <w:webHidden/>
          </w:rPr>
          <w:t>15</w:t>
        </w:r>
        <w:r>
          <w:rPr>
            <w:webHidden/>
          </w:rPr>
          <w:fldChar w:fldCharType="end"/>
        </w:r>
      </w:hyperlink>
    </w:p>
    <w:p w14:paraId="2E93024F" w14:textId="7BB93CB3"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14" w:history="1">
        <w:r w:rsidRPr="000E038D">
          <w:rPr>
            <w:rStyle w:val="Hyperlink"/>
          </w:rPr>
          <w:t>Lot configuration</w:t>
        </w:r>
        <w:r>
          <w:rPr>
            <w:webHidden/>
          </w:rPr>
          <w:tab/>
        </w:r>
        <w:r>
          <w:rPr>
            <w:webHidden/>
          </w:rPr>
          <w:fldChar w:fldCharType="begin"/>
        </w:r>
        <w:r>
          <w:rPr>
            <w:webHidden/>
          </w:rPr>
          <w:instrText xml:space="preserve"> PAGEREF _Toc202867814 \h </w:instrText>
        </w:r>
        <w:r>
          <w:rPr>
            <w:webHidden/>
          </w:rPr>
        </w:r>
        <w:r>
          <w:rPr>
            <w:webHidden/>
          </w:rPr>
          <w:fldChar w:fldCharType="separate"/>
        </w:r>
        <w:r>
          <w:rPr>
            <w:webHidden/>
          </w:rPr>
          <w:t>15</w:t>
        </w:r>
        <w:r>
          <w:rPr>
            <w:webHidden/>
          </w:rPr>
          <w:fldChar w:fldCharType="end"/>
        </w:r>
      </w:hyperlink>
    </w:p>
    <w:p w14:paraId="58CC557B" w14:textId="33905E31" w:rsidR="00023D5D" w:rsidRDefault="00023D5D">
      <w:pPr>
        <w:pStyle w:val="TOC3"/>
        <w:rPr>
          <w:rFonts w:asciiTheme="minorHAnsi" w:eastAsiaTheme="minorEastAsia" w:hAnsiTheme="minorHAnsi" w:cstheme="minorBidi"/>
          <w:kern w:val="2"/>
          <w:sz w:val="24"/>
          <w:szCs w:val="24"/>
          <w14:ligatures w14:val="standardContextual"/>
        </w:rPr>
      </w:pPr>
      <w:hyperlink w:anchor="_Toc202867815" w:history="1">
        <w:r w:rsidRPr="000E038D">
          <w:rPr>
            <w:rStyle w:val="Hyperlink"/>
          </w:rPr>
          <w:t>Option 1: 2 x 15 MHz and 2 x 10 MHz at fixed frequency locations</w:t>
        </w:r>
        <w:r>
          <w:rPr>
            <w:webHidden/>
          </w:rPr>
          <w:tab/>
        </w:r>
        <w:r>
          <w:rPr>
            <w:webHidden/>
          </w:rPr>
          <w:fldChar w:fldCharType="begin"/>
        </w:r>
        <w:r>
          <w:rPr>
            <w:webHidden/>
          </w:rPr>
          <w:instrText xml:space="preserve"> PAGEREF _Toc202867815 \h </w:instrText>
        </w:r>
        <w:r>
          <w:rPr>
            <w:webHidden/>
          </w:rPr>
        </w:r>
        <w:r>
          <w:rPr>
            <w:webHidden/>
          </w:rPr>
          <w:fldChar w:fldCharType="separate"/>
        </w:r>
        <w:r>
          <w:rPr>
            <w:webHidden/>
          </w:rPr>
          <w:t>16</w:t>
        </w:r>
        <w:r>
          <w:rPr>
            <w:webHidden/>
          </w:rPr>
          <w:fldChar w:fldCharType="end"/>
        </w:r>
      </w:hyperlink>
    </w:p>
    <w:p w14:paraId="31F84625" w14:textId="25FC2D39" w:rsidR="00023D5D" w:rsidRDefault="00023D5D">
      <w:pPr>
        <w:pStyle w:val="TOC3"/>
        <w:rPr>
          <w:rFonts w:asciiTheme="minorHAnsi" w:eastAsiaTheme="minorEastAsia" w:hAnsiTheme="minorHAnsi" w:cstheme="minorBidi"/>
          <w:kern w:val="2"/>
          <w:sz w:val="24"/>
          <w:szCs w:val="24"/>
          <w14:ligatures w14:val="standardContextual"/>
        </w:rPr>
      </w:pPr>
      <w:hyperlink w:anchor="_Toc202867816" w:history="1">
        <w:r w:rsidRPr="000E038D">
          <w:rPr>
            <w:rStyle w:val="Hyperlink"/>
          </w:rPr>
          <w:t>Option 2: 5 generic 2 x 5 MHz lots</w:t>
        </w:r>
        <w:r>
          <w:rPr>
            <w:webHidden/>
          </w:rPr>
          <w:tab/>
        </w:r>
        <w:r>
          <w:rPr>
            <w:webHidden/>
          </w:rPr>
          <w:fldChar w:fldCharType="begin"/>
        </w:r>
        <w:r>
          <w:rPr>
            <w:webHidden/>
          </w:rPr>
          <w:instrText xml:space="preserve"> PAGEREF _Toc202867816 \h </w:instrText>
        </w:r>
        <w:r>
          <w:rPr>
            <w:webHidden/>
          </w:rPr>
        </w:r>
        <w:r>
          <w:rPr>
            <w:webHidden/>
          </w:rPr>
          <w:fldChar w:fldCharType="separate"/>
        </w:r>
        <w:r>
          <w:rPr>
            <w:webHidden/>
          </w:rPr>
          <w:t>17</w:t>
        </w:r>
        <w:r>
          <w:rPr>
            <w:webHidden/>
          </w:rPr>
          <w:fldChar w:fldCharType="end"/>
        </w:r>
      </w:hyperlink>
    </w:p>
    <w:p w14:paraId="1CA7D9F4" w14:textId="0969A5B8" w:rsidR="00023D5D" w:rsidRDefault="00023D5D">
      <w:pPr>
        <w:pStyle w:val="TOC3"/>
        <w:rPr>
          <w:rFonts w:asciiTheme="minorHAnsi" w:eastAsiaTheme="minorEastAsia" w:hAnsiTheme="minorHAnsi" w:cstheme="minorBidi"/>
          <w:kern w:val="2"/>
          <w:sz w:val="24"/>
          <w:szCs w:val="24"/>
          <w14:ligatures w14:val="standardContextual"/>
        </w:rPr>
      </w:pPr>
      <w:hyperlink w:anchor="_Toc202867817" w:history="1">
        <w:r w:rsidRPr="000E038D">
          <w:rPr>
            <w:rStyle w:val="Hyperlink"/>
          </w:rPr>
          <w:t>Issue for comment 3</w:t>
        </w:r>
        <w:r>
          <w:rPr>
            <w:webHidden/>
          </w:rPr>
          <w:tab/>
        </w:r>
        <w:r>
          <w:rPr>
            <w:webHidden/>
          </w:rPr>
          <w:fldChar w:fldCharType="begin"/>
        </w:r>
        <w:r>
          <w:rPr>
            <w:webHidden/>
          </w:rPr>
          <w:instrText xml:space="preserve"> PAGEREF _Toc202867817 \h </w:instrText>
        </w:r>
        <w:r>
          <w:rPr>
            <w:webHidden/>
          </w:rPr>
        </w:r>
        <w:r>
          <w:rPr>
            <w:webHidden/>
          </w:rPr>
          <w:fldChar w:fldCharType="separate"/>
        </w:r>
        <w:r>
          <w:rPr>
            <w:webHidden/>
          </w:rPr>
          <w:t>17</w:t>
        </w:r>
        <w:r>
          <w:rPr>
            <w:webHidden/>
          </w:rPr>
          <w:fldChar w:fldCharType="end"/>
        </w:r>
      </w:hyperlink>
    </w:p>
    <w:p w14:paraId="6E611751" w14:textId="30CEC2D0"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18" w:history="1">
        <w:r w:rsidRPr="000E038D">
          <w:rPr>
            <w:rStyle w:val="Hyperlink"/>
          </w:rPr>
          <w:t>Allocation methodology</w:t>
        </w:r>
        <w:r>
          <w:rPr>
            <w:webHidden/>
          </w:rPr>
          <w:tab/>
        </w:r>
        <w:r>
          <w:rPr>
            <w:webHidden/>
          </w:rPr>
          <w:fldChar w:fldCharType="begin"/>
        </w:r>
        <w:r>
          <w:rPr>
            <w:webHidden/>
          </w:rPr>
          <w:instrText xml:space="preserve"> PAGEREF _Toc202867818 \h </w:instrText>
        </w:r>
        <w:r>
          <w:rPr>
            <w:webHidden/>
          </w:rPr>
        </w:r>
        <w:r>
          <w:rPr>
            <w:webHidden/>
          </w:rPr>
          <w:fldChar w:fldCharType="separate"/>
        </w:r>
        <w:r>
          <w:rPr>
            <w:webHidden/>
          </w:rPr>
          <w:t>17</w:t>
        </w:r>
        <w:r>
          <w:rPr>
            <w:webHidden/>
          </w:rPr>
          <w:fldChar w:fldCharType="end"/>
        </w:r>
      </w:hyperlink>
    </w:p>
    <w:p w14:paraId="1DC868AD" w14:textId="7093AB65" w:rsidR="00023D5D" w:rsidRDefault="00023D5D">
      <w:pPr>
        <w:pStyle w:val="TOC3"/>
        <w:rPr>
          <w:rFonts w:asciiTheme="minorHAnsi" w:eastAsiaTheme="minorEastAsia" w:hAnsiTheme="minorHAnsi" w:cstheme="minorBidi"/>
          <w:kern w:val="2"/>
          <w:sz w:val="24"/>
          <w:szCs w:val="24"/>
          <w14:ligatures w14:val="standardContextual"/>
        </w:rPr>
      </w:pPr>
      <w:hyperlink w:anchor="_Toc202867819" w:history="1">
        <w:r w:rsidRPr="000E038D">
          <w:rPr>
            <w:rStyle w:val="Hyperlink"/>
          </w:rPr>
          <w:t>Option 1: Administrative allocation</w:t>
        </w:r>
        <w:r>
          <w:rPr>
            <w:webHidden/>
          </w:rPr>
          <w:tab/>
        </w:r>
        <w:r>
          <w:rPr>
            <w:webHidden/>
          </w:rPr>
          <w:fldChar w:fldCharType="begin"/>
        </w:r>
        <w:r>
          <w:rPr>
            <w:webHidden/>
          </w:rPr>
          <w:instrText xml:space="preserve"> PAGEREF _Toc202867819 \h </w:instrText>
        </w:r>
        <w:r>
          <w:rPr>
            <w:webHidden/>
          </w:rPr>
        </w:r>
        <w:r>
          <w:rPr>
            <w:webHidden/>
          </w:rPr>
          <w:fldChar w:fldCharType="separate"/>
        </w:r>
        <w:r>
          <w:rPr>
            <w:webHidden/>
          </w:rPr>
          <w:t>18</w:t>
        </w:r>
        <w:r>
          <w:rPr>
            <w:webHidden/>
          </w:rPr>
          <w:fldChar w:fldCharType="end"/>
        </w:r>
      </w:hyperlink>
    </w:p>
    <w:p w14:paraId="2C647E34" w14:textId="6BF6FFB9" w:rsidR="00023D5D" w:rsidRDefault="00023D5D">
      <w:pPr>
        <w:pStyle w:val="TOC3"/>
        <w:rPr>
          <w:rFonts w:asciiTheme="minorHAnsi" w:eastAsiaTheme="minorEastAsia" w:hAnsiTheme="minorHAnsi" w:cstheme="minorBidi"/>
          <w:kern w:val="2"/>
          <w:sz w:val="24"/>
          <w:szCs w:val="24"/>
          <w14:ligatures w14:val="standardContextual"/>
        </w:rPr>
      </w:pPr>
      <w:hyperlink w:anchor="_Toc202867820" w:history="1">
        <w:r w:rsidRPr="000E038D">
          <w:rPr>
            <w:rStyle w:val="Hyperlink"/>
          </w:rPr>
          <w:t>Option 2: Price-based allocation via auction or pre-determined price mechanism</w:t>
        </w:r>
        <w:r>
          <w:rPr>
            <w:webHidden/>
          </w:rPr>
          <w:tab/>
        </w:r>
        <w:r>
          <w:rPr>
            <w:webHidden/>
          </w:rPr>
          <w:fldChar w:fldCharType="begin"/>
        </w:r>
        <w:r>
          <w:rPr>
            <w:webHidden/>
          </w:rPr>
          <w:instrText xml:space="preserve"> PAGEREF _Toc202867820 \h </w:instrText>
        </w:r>
        <w:r>
          <w:rPr>
            <w:webHidden/>
          </w:rPr>
        </w:r>
        <w:r>
          <w:rPr>
            <w:webHidden/>
          </w:rPr>
          <w:fldChar w:fldCharType="separate"/>
        </w:r>
        <w:r>
          <w:rPr>
            <w:webHidden/>
          </w:rPr>
          <w:t>18</w:t>
        </w:r>
        <w:r>
          <w:rPr>
            <w:webHidden/>
          </w:rPr>
          <w:fldChar w:fldCharType="end"/>
        </w:r>
      </w:hyperlink>
    </w:p>
    <w:p w14:paraId="264A6410" w14:textId="5869B51C" w:rsidR="00023D5D" w:rsidRDefault="00023D5D">
      <w:pPr>
        <w:pStyle w:val="TOC3"/>
        <w:rPr>
          <w:rFonts w:asciiTheme="minorHAnsi" w:eastAsiaTheme="minorEastAsia" w:hAnsiTheme="minorHAnsi" w:cstheme="minorBidi"/>
          <w:kern w:val="2"/>
          <w:sz w:val="24"/>
          <w:szCs w:val="24"/>
          <w14:ligatures w14:val="standardContextual"/>
        </w:rPr>
      </w:pPr>
      <w:hyperlink w:anchor="_Toc202867821" w:history="1">
        <w:r w:rsidRPr="000E038D">
          <w:rPr>
            <w:rStyle w:val="Hyperlink"/>
          </w:rPr>
          <w:t>Issue for comment 4</w:t>
        </w:r>
        <w:r>
          <w:rPr>
            <w:webHidden/>
          </w:rPr>
          <w:tab/>
        </w:r>
        <w:r>
          <w:rPr>
            <w:webHidden/>
          </w:rPr>
          <w:fldChar w:fldCharType="begin"/>
        </w:r>
        <w:r>
          <w:rPr>
            <w:webHidden/>
          </w:rPr>
          <w:instrText xml:space="preserve"> PAGEREF _Toc202867821 \h </w:instrText>
        </w:r>
        <w:r>
          <w:rPr>
            <w:webHidden/>
          </w:rPr>
        </w:r>
        <w:r>
          <w:rPr>
            <w:webHidden/>
          </w:rPr>
          <w:fldChar w:fldCharType="separate"/>
        </w:r>
        <w:r>
          <w:rPr>
            <w:webHidden/>
          </w:rPr>
          <w:t>19</w:t>
        </w:r>
        <w:r>
          <w:rPr>
            <w:webHidden/>
          </w:rPr>
          <w:fldChar w:fldCharType="end"/>
        </w:r>
      </w:hyperlink>
    </w:p>
    <w:p w14:paraId="0EED851E" w14:textId="1FB9CEF9"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22" w:history="1">
        <w:r w:rsidRPr="000E038D">
          <w:rPr>
            <w:rStyle w:val="Hyperlink"/>
          </w:rPr>
          <w:t>Taxes, charges and winning prices</w:t>
        </w:r>
        <w:r>
          <w:rPr>
            <w:webHidden/>
          </w:rPr>
          <w:tab/>
        </w:r>
        <w:r>
          <w:rPr>
            <w:webHidden/>
          </w:rPr>
          <w:fldChar w:fldCharType="begin"/>
        </w:r>
        <w:r>
          <w:rPr>
            <w:webHidden/>
          </w:rPr>
          <w:instrText xml:space="preserve"> PAGEREF _Toc202867822 \h </w:instrText>
        </w:r>
        <w:r>
          <w:rPr>
            <w:webHidden/>
          </w:rPr>
        </w:r>
        <w:r>
          <w:rPr>
            <w:webHidden/>
          </w:rPr>
          <w:fldChar w:fldCharType="separate"/>
        </w:r>
        <w:r>
          <w:rPr>
            <w:webHidden/>
          </w:rPr>
          <w:t>19</w:t>
        </w:r>
        <w:r>
          <w:rPr>
            <w:webHidden/>
          </w:rPr>
          <w:fldChar w:fldCharType="end"/>
        </w:r>
      </w:hyperlink>
    </w:p>
    <w:p w14:paraId="4918986E" w14:textId="27189A29"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23" w:history="1">
        <w:r w:rsidRPr="000E038D">
          <w:rPr>
            <w:rStyle w:val="Hyperlink"/>
          </w:rPr>
          <w:t>Auction format</w:t>
        </w:r>
        <w:r>
          <w:rPr>
            <w:webHidden/>
          </w:rPr>
          <w:tab/>
        </w:r>
        <w:r>
          <w:rPr>
            <w:webHidden/>
          </w:rPr>
          <w:fldChar w:fldCharType="begin"/>
        </w:r>
        <w:r>
          <w:rPr>
            <w:webHidden/>
          </w:rPr>
          <w:instrText xml:space="preserve"> PAGEREF _Toc202867823 \h </w:instrText>
        </w:r>
        <w:r>
          <w:rPr>
            <w:webHidden/>
          </w:rPr>
        </w:r>
        <w:r>
          <w:rPr>
            <w:webHidden/>
          </w:rPr>
          <w:fldChar w:fldCharType="separate"/>
        </w:r>
        <w:r>
          <w:rPr>
            <w:webHidden/>
          </w:rPr>
          <w:t>20</w:t>
        </w:r>
        <w:r>
          <w:rPr>
            <w:webHidden/>
          </w:rPr>
          <w:fldChar w:fldCharType="end"/>
        </w:r>
      </w:hyperlink>
    </w:p>
    <w:p w14:paraId="4F9C8735" w14:textId="3AA023A0" w:rsidR="00023D5D" w:rsidRDefault="00023D5D">
      <w:pPr>
        <w:pStyle w:val="TOC3"/>
        <w:rPr>
          <w:rFonts w:asciiTheme="minorHAnsi" w:eastAsiaTheme="minorEastAsia" w:hAnsiTheme="minorHAnsi" w:cstheme="minorBidi"/>
          <w:kern w:val="2"/>
          <w:sz w:val="24"/>
          <w:szCs w:val="24"/>
          <w14:ligatures w14:val="standardContextual"/>
        </w:rPr>
      </w:pPr>
      <w:hyperlink w:anchor="_Toc202867824" w:history="1">
        <w:r w:rsidRPr="000E038D">
          <w:rPr>
            <w:rStyle w:val="Hyperlink"/>
          </w:rPr>
          <w:t>Options for auction format</w:t>
        </w:r>
        <w:r>
          <w:rPr>
            <w:webHidden/>
          </w:rPr>
          <w:tab/>
        </w:r>
        <w:r>
          <w:rPr>
            <w:webHidden/>
          </w:rPr>
          <w:fldChar w:fldCharType="begin"/>
        </w:r>
        <w:r>
          <w:rPr>
            <w:webHidden/>
          </w:rPr>
          <w:instrText xml:space="preserve"> PAGEREF _Toc202867824 \h </w:instrText>
        </w:r>
        <w:r>
          <w:rPr>
            <w:webHidden/>
          </w:rPr>
        </w:r>
        <w:r>
          <w:rPr>
            <w:webHidden/>
          </w:rPr>
          <w:fldChar w:fldCharType="separate"/>
        </w:r>
        <w:r>
          <w:rPr>
            <w:webHidden/>
          </w:rPr>
          <w:t>22</w:t>
        </w:r>
        <w:r>
          <w:rPr>
            <w:webHidden/>
          </w:rPr>
          <w:fldChar w:fldCharType="end"/>
        </w:r>
      </w:hyperlink>
    </w:p>
    <w:p w14:paraId="42FBCE86" w14:textId="36EC662F" w:rsidR="00023D5D" w:rsidRDefault="00023D5D">
      <w:pPr>
        <w:pStyle w:val="TOC3"/>
        <w:rPr>
          <w:rFonts w:asciiTheme="minorHAnsi" w:eastAsiaTheme="minorEastAsia" w:hAnsiTheme="minorHAnsi" w:cstheme="minorBidi"/>
          <w:kern w:val="2"/>
          <w:sz w:val="24"/>
          <w:szCs w:val="24"/>
          <w14:ligatures w14:val="standardContextual"/>
        </w:rPr>
      </w:pPr>
      <w:hyperlink w:anchor="_Toc202867825" w:history="1">
        <w:r w:rsidRPr="000E038D">
          <w:rPr>
            <w:rStyle w:val="Hyperlink"/>
          </w:rPr>
          <w:t>Issue for comment 5</w:t>
        </w:r>
        <w:r>
          <w:rPr>
            <w:webHidden/>
          </w:rPr>
          <w:tab/>
        </w:r>
        <w:r>
          <w:rPr>
            <w:webHidden/>
          </w:rPr>
          <w:fldChar w:fldCharType="begin"/>
        </w:r>
        <w:r>
          <w:rPr>
            <w:webHidden/>
          </w:rPr>
          <w:instrText xml:space="preserve"> PAGEREF _Toc202867825 \h </w:instrText>
        </w:r>
        <w:r>
          <w:rPr>
            <w:webHidden/>
          </w:rPr>
        </w:r>
        <w:r>
          <w:rPr>
            <w:webHidden/>
          </w:rPr>
          <w:fldChar w:fldCharType="separate"/>
        </w:r>
        <w:r>
          <w:rPr>
            <w:webHidden/>
          </w:rPr>
          <w:t>24</w:t>
        </w:r>
        <w:r>
          <w:rPr>
            <w:webHidden/>
          </w:rPr>
          <w:fldChar w:fldCharType="end"/>
        </w:r>
      </w:hyperlink>
    </w:p>
    <w:p w14:paraId="512ED574" w14:textId="4DEBF4CE"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26" w:history="1">
        <w:r w:rsidRPr="000E038D">
          <w:rPr>
            <w:rStyle w:val="Hyperlink"/>
          </w:rPr>
          <w:t>CGC and DA2GC licensing and allocation arrangements</w:t>
        </w:r>
        <w:r>
          <w:rPr>
            <w:webHidden/>
          </w:rPr>
          <w:tab/>
        </w:r>
        <w:r>
          <w:rPr>
            <w:webHidden/>
          </w:rPr>
          <w:fldChar w:fldCharType="begin"/>
        </w:r>
        <w:r>
          <w:rPr>
            <w:webHidden/>
          </w:rPr>
          <w:instrText xml:space="preserve"> PAGEREF _Toc202867826 \h </w:instrText>
        </w:r>
        <w:r>
          <w:rPr>
            <w:webHidden/>
          </w:rPr>
        </w:r>
        <w:r>
          <w:rPr>
            <w:webHidden/>
          </w:rPr>
          <w:fldChar w:fldCharType="separate"/>
        </w:r>
        <w:r>
          <w:rPr>
            <w:webHidden/>
          </w:rPr>
          <w:t>24</w:t>
        </w:r>
        <w:r>
          <w:rPr>
            <w:webHidden/>
          </w:rPr>
          <w:fldChar w:fldCharType="end"/>
        </w:r>
      </w:hyperlink>
    </w:p>
    <w:p w14:paraId="0CBF96C4" w14:textId="771089AD" w:rsidR="00023D5D" w:rsidRDefault="00023D5D">
      <w:pPr>
        <w:pStyle w:val="TOC3"/>
        <w:rPr>
          <w:rFonts w:asciiTheme="minorHAnsi" w:eastAsiaTheme="minorEastAsia" w:hAnsiTheme="minorHAnsi" w:cstheme="minorBidi"/>
          <w:kern w:val="2"/>
          <w:sz w:val="24"/>
          <w:szCs w:val="24"/>
          <w14:ligatures w14:val="standardContextual"/>
        </w:rPr>
      </w:pPr>
      <w:hyperlink w:anchor="_Toc202867827" w:history="1">
        <w:r w:rsidRPr="000E038D">
          <w:rPr>
            <w:rStyle w:val="Hyperlink"/>
          </w:rPr>
          <w:t>Licensing arrangements</w:t>
        </w:r>
        <w:r>
          <w:rPr>
            <w:webHidden/>
          </w:rPr>
          <w:tab/>
        </w:r>
        <w:r>
          <w:rPr>
            <w:webHidden/>
          </w:rPr>
          <w:fldChar w:fldCharType="begin"/>
        </w:r>
        <w:r>
          <w:rPr>
            <w:webHidden/>
          </w:rPr>
          <w:instrText xml:space="preserve"> PAGEREF _Toc202867827 \h </w:instrText>
        </w:r>
        <w:r>
          <w:rPr>
            <w:webHidden/>
          </w:rPr>
        </w:r>
        <w:r>
          <w:rPr>
            <w:webHidden/>
          </w:rPr>
          <w:fldChar w:fldCharType="separate"/>
        </w:r>
        <w:r>
          <w:rPr>
            <w:webHidden/>
          </w:rPr>
          <w:t>24</w:t>
        </w:r>
        <w:r>
          <w:rPr>
            <w:webHidden/>
          </w:rPr>
          <w:fldChar w:fldCharType="end"/>
        </w:r>
      </w:hyperlink>
    </w:p>
    <w:p w14:paraId="2D078597" w14:textId="454C4C9D" w:rsidR="00023D5D" w:rsidRDefault="00023D5D">
      <w:pPr>
        <w:pStyle w:val="TOC3"/>
        <w:rPr>
          <w:rFonts w:asciiTheme="minorHAnsi" w:eastAsiaTheme="minorEastAsia" w:hAnsiTheme="minorHAnsi" w:cstheme="minorBidi"/>
          <w:kern w:val="2"/>
          <w:sz w:val="24"/>
          <w:szCs w:val="24"/>
          <w14:ligatures w14:val="standardContextual"/>
        </w:rPr>
      </w:pPr>
      <w:hyperlink w:anchor="_Toc202867828" w:history="1">
        <w:r w:rsidRPr="000E038D">
          <w:rPr>
            <w:rStyle w:val="Hyperlink"/>
          </w:rPr>
          <w:t>Licence type</w:t>
        </w:r>
        <w:r>
          <w:rPr>
            <w:webHidden/>
          </w:rPr>
          <w:tab/>
        </w:r>
        <w:r>
          <w:rPr>
            <w:webHidden/>
          </w:rPr>
          <w:fldChar w:fldCharType="begin"/>
        </w:r>
        <w:r>
          <w:rPr>
            <w:webHidden/>
          </w:rPr>
          <w:instrText xml:space="preserve"> PAGEREF _Toc202867828 \h </w:instrText>
        </w:r>
        <w:r>
          <w:rPr>
            <w:webHidden/>
          </w:rPr>
        </w:r>
        <w:r>
          <w:rPr>
            <w:webHidden/>
          </w:rPr>
          <w:fldChar w:fldCharType="separate"/>
        </w:r>
        <w:r>
          <w:rPr>
            <w:webHidden/>
          </w:rPr>
          <w:t>25</w:t>
        </w:r>
        <w:r>
          <w:rPr>
            <w:webHidden/>
          </w:rPr>
          <w:fldChar w:fldCharType="end"/>
        </w:r>
      </w:hyperlink>
    </w:p>
    <w:p w14:paraId="149CC807" w14:textId="35C371BA" w:rsidR="00023D5D" w:rsidRDefault="00023D5D">
      <w:pPr>
        <w:pStyle w:val="TOC3"/>
        <w:rPr>
          <w:rFonts w:asciiTheme="minorHAnsi" w:eastAsiaTheme="minorEastAsia" w:hAnsiTheme="minorHAnsi" w:cstheme="minorBidi"/>
          <w:kern w:val="2"/>
          <w:sz w:val="24"/>
          <w:szCs w:val="24"/>
          <w14:ligatures w14:val="standardContextual"/>
        </w:rPr>
      </w:pPr>
      <w:hyperlink w:anchor="_Toc202867829" w:history="1">
        <w:r w:rsidRPr="000E038D">
          <w:rPr>
            <w:rStyle w:val="Hyperlink"/>
          </w:rPr>
          <w:t>Issue for comment 6</w:t>
        </w:r>
        <w:r>
          <w:rPr>
            <w:webHidden/>
          </w:rPr>
          <w:tab/>
        </w:r>
        <w:r>
          <w:rPr>
            <w:webHidden/>
          </w:rPr>
          <w:fldChar w:fldCharType="begin"/>
        </w:r>
        <w:r>
          <w:rPr>
            <w:webHidden/>
          </w:rPr>
          <w:instrText xml:space="preserve"> PAGEREF _Toc202867829 \h </w:instrText>
        </w:r>
        <w:r>
          <w:rPr>
            <w:webHidden/>
          </w:rPr>
        </w:r>
        <w:r>
          <w:rPr>
            <w:webHidden/>
          </w:rPr>
          <w:fldChar w:fldCharType="separate"/>
        </w:r>
        <w:r>
          <w:rPr>
            <w:webHidden/>
          </w:rPr>
          <w:t>25</w:t>
        </w:r>
        <w:r>
          <w:rPr>
            <w:webHidden/>
          </w:rPr>
          <w:fldChar w:fldCharType="end"/>
        </w:r>
      </w:hyperlink>
    </w:p>
    <w:p w14:paraId="5DB263AC" w14:textId="2C2A0BDF" w:rsidR="00023D5D" w:rsidRDefault="00023D5D">
      <w:pPr>
        <w:pStyle w:val="TOC1"/>
        <w:rPr>
          <w:rFonts w:asciiTheme="minorHAnsi" w:eastAsiaTheme="minorEastAsia" w:hAnsiTheme="minorHAnsi" w:cstheme="minorBidi"/>
          <w:b w:val="0"/>
          <w:spacing w:val="0"/>
          <w:kern w:val="2"/>
          <w:sz w:val="24"/>
          <w14:ligatures w14:val="standardContextual"/>
        </w:rPr>
      </w:pPr>
      <w:r>
        <w:rPr>
          <w:rStyle w:val="Hyperlink"/>
        </w:rPr>
        <w:br/>
      </w:r>
      <w:r>
        <w:rPr>
          <w:rStyle w:val="Hyperlink"/>
        </w:rPr>
        <w:br/>
      </w:r>
      <w:r>
        <w:rPr>
          <w:rStyle w:val="Hyperlink"/>
        </w:rPr>
        <w:br/>
      </w:r>
      <w:r>
        <w:rPr>
          <w:rStyle w:val="Hyperlink"/>
        </w:rPr>
        <w:lastRenderedPageBreak/>
        <w:br/>
      </w:r>
      <w:hyperlink w:anchor="_Toc202867830" w:history="1">
        <w:r w:rsidRPr="000E038D">
          <w:rPr>
            <w:rStyle w:val="Hyperlink"/>
          </w:rPr>
          <w:t>Space regulatory matters</w:t>
        </w:r>
        <w:r>
          <w:rPr>
            <w:webHidden/>
          </w:rPr>
          <w:tab/>
        </w:r>
        <w:r>
          <w:rPr>
            <w:webHidden/>
          </w:rPr>
          <w:fldChar w:fldCharType="begin"/>
        </w:r>
        <w:r>
          <w:rPr>
            <w:webHidden/>
          </w:rPr>
          <w:instrText xml:space="preserve"> PAGEREF _Toc202867830 \h </w:instrText>
        </w:r>
        <w:r>
          <w:rPr>
            <w:webHidden/>
          </w:rPr>
        </w:r>
        <w:r>
          <w:rPr>
            <w:webHidden/>
          </w:rPr>
          <w:fldChar w:fldCharType="separate"/>
        </w:r>
        <w:r>
          <w:rPr>
            <w:webHidden/>
          </w:rPr>
          <w:t>26</w:t>
        </w:r>
        <w:r>
          <w:rPr>
            <w:webHidden/>
          </w:rPr>
          <w:fldChar w:fldCharType="end"/>
        </w:r>
      </w:hyperlink>
    </w:p>
    <w:p w14:paraId="1FA6A0FE" w14:textId="760DFE1E" w:rsidR="00023D5D" w:rsidRDefault="00023D5D">
      <w:pPr>
        <w:pStyle w:val="TOC3"/>
        <w:rPr>
          <w:rFonts w:asciiTheme="minorHAnsi" w:eastAsiaTheme="minorEastAsia" w:hAnsiTheme="minorHAnsi" w:cstheme="minorBidi"/>
          <w:kern w:val="2"/>
          <w:sz w:val="24"/>
          <w:szCs w:val="24"/>
          <w14:ligatures w14:val="standardContextual"/>
        </w:rPr>
      </w:pPr>
      <w:hyperlink w:anchor="_Toc202867831" w:history="1">
        <w:r w:rsidRPr="000E038D">
          <w:rPr>
            <w:rStyle w:val="Hyperlink"/>
          </w:rPr>
          <w:t>Issue for comment 7(i)</w:t>
        </w:r>
        <w:r>
          <w:rPr>
            <w:webHidden/>
          </w:rPr>
          <w:tab/>
        </w:r>
        <w:r>
          <w:rPr>
            <w:webHidden/>
          </w:rPr>
          <w:fldChar w:fldCharType="begin"/>
        </w:r>
        <w:r>
          <w:rPr>
            <w:webHidden/>
          </w:rPr>
          <w:instrText xml:space="preserve"> PAGEREF _Toc202867831 \h </w:instrText>
        </w:r>
        <w:r>
          <w:rPr>
            <w:webHidden/>
          </w:rPr>
        </w:r>
        <w:r>
          <w:rPr>
            <w:webHidden/>
          </w:rPr>
          <w:fldChar w:fldCharType="separate"/>
        </w:r>
        <w:r>
          <w:rPr>
            <w:webHidden/>
          </w:rPr>
          <w:t>28</w:t>
        </w:r>
        <w:r>
          <w:rPr>
            <w:webHidden/>
          </w:rPr>
          <w:fldChar w:fldCharType="end"/>
        </w:r>
      </w:hyperlink>
    </w:p>
    <w:p w14:paraId="567AEC24" w14:textId="09FDC4EF" w:rsidR="00023D5D" w:rsidRDefault="00023D5D">
      <w:pPr>
        <w:pStyle w:val="TOC3"/>
        <w:rPr>
          <w:rFonts w:asciiTheme="minorHAnsi" w:eastAsiaTheme="minorEastAsia" w:hAnsiTheme="minorHAnsi" w:cstheme="minorBidi"/>
          <w:kern w:val="2"/>
          <w:sz w:val="24"/>
          <w:szCs w:val="24"/>
          <w14:ligatures w14:val="standardContextual"/>
        </w:rPr>
      </w:pPr>
      <w:hyperlink w:anchor="_Toc202867832" w:history="1">
        <w:r w:rsidRPr="000E038D">
          <w:rPr>
            <w:rStyle w:val="Hyperlink"/>
          </w:rPr>
          <w:t>Mobile earth station power and consistency with ITU satellite filing</w:t>
        </w:r>
        <w:r>
          <w:rPr>
            <w:webHidden/>
          </w:rPr>
          <w:tab/>
        </w:r>
        <w:r>
          <w:rPr>
            <w:webHidden/>
          </w:rPr>
          <w:fldChar w:fldCharType="begin"/>
        </w:r>
        <w:r>
          <w:rPr>
            <w:webHidden/>
          </w:rPr>
          <w:instrText xml:space="preserve"> PAGEREF _Toc202867832 \h </w:instrText>
        </w:r>
        <w:r>
          <w:rPr>
            <w:webHidden/>
          </w:rPr>
        </w:r>
        <w:r>
          <w:rPr>
            <w:webHidden/>
          </w:rPr>
          <w:fldChar w:fldCharType="separate"/>
        </w:r>
        <w:r>
          <w:rPr>
            <w:webHidden/>
          </w:rPr>
          <w:t>28</w:t>
        </w:r>
        <w:r>
          <w:rPr>
            <w:webHidden/>
          </w:rPr>
          <w:fldChar w:fldCharType="end"/>
        </w:r>
      </w:hyperlink>
    </w:p>
    <w:p w14:paraId="44C1FFF0" w14:textId="7AE2547D" w:rsidR="00023D5D" w:rsidRDefault="00023D5D">
      <w:pPr>
        <w:pStyle w:val="TOC3"/>
        <w:rPr>
          <w:rFonts w:asciiTheme="minorHAnsi" w:eastAsiaTheme="minorEastAsia" w:hAnsiTheme="minorHAnsi" w:cstheme="minorBidi"/>
          <w:kern w:val="2"/>
          <w:sz w:val="24"/>
          <w:szCs w:val="24"/>
          <w14:ligatures w14:val="standardContextual"/>
        </w:rPr>
      </w:pPr>
      <w:hyperlink w:anchor="_Toc202867833" w:history="1">
        <w:r w:rsidRPr="000E038D">
          <w:rPr>
            <w:rStyle w:val="Hyperlink"/>
          </w:rPr>
          <w:t>Issue for comment 7(ii)</w:t>
        </w:r>
        <w:r>
          <w:rPr>
            <w:webHidden/>
          </w:rPr>
          <w:tab/>
        </w:r>
        <w:r>
          <w:rPr>
            <w:webHidden/>
          </w:rPr>
          <w:fldChar w:fldCharType="begin"/>
        </w:r>
        <w:r>
          <w:rPr>
            <w:webHidden/>
          </w:rPr>
          <w:instrText xml:space="preserve"> PAGEREF _Toc202867833 \h </w:instrText>
        </w:r>
        <w:r>
          <w:rPr>
            <w:webHidden/>
          </w:rPr>
        </w:r>
        <w:r>
          <w:rPr>
            <w:webHidden/>
          </w:rPr>
          <w:fldChar w:fldCharType="separate"/>
        </w:r>
        <w:r>
          <w:rPr>
            <w:webHidden/>
          </w:rPr>
          <w:t>28</w:t>
        </w:r>
        <w:r>
          <w:rPr>
            <w:webHidden/>
          </w:rPr>
          <w:fldChar w:fldCharType="end"/>
        </w:r>
      </w:hyperlink>
    </w:p>
    <w:p w14:paraId="61847260" w14:textId="14C6659D"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34" w:history="1">
        <w:r w:rsidRPr="000E038D">
          <w:rPr>
            <w:rStyle w:val="Hyperlink"/>
          </w:rPr>
          <w:t>Technical matters</w:t>
        </w:r>
        <w:r>
          <w:rPr>
            <w:webHidden/>
          </w:rPr>
          <w:tab/>
        </w:r>
        <w:r>
          <w:rPr>
            <w:webHidden/>
          </w:rPr>
          <w:fldChar w:fldCharType="begin"/>
        </w:r>
        <w:r>
          <w:rPr>
            <w:webHidden/>
          </w:rPr>
          <w:instrText xml:space="preserve"> PAGEREF _Toc202867834 \h </w:instrText>
        </w:r>
        <w:r>
          <w:rPr>
            <w:webHidden/>
          </w:rPr>
        </w:r>
        <w:r>
          <w:rPr>
            <w:webHidden/>
          </w:rPr>
          <w:fldChar w:fldCharType="separate"/>
        </w:r>
        <w:r>
          <w:rPr>
            <w:webHidden/>
          </w:rPr>
          <w:t>29</w:t>
        </w:r>
        <w:r>
          <w:rPr>
            <w:webHidden/>
          </w:rPr>
          <w:fldChar w:fldCharType="end"/>
        </w:r>
      </w:hyperlink>
    </w:p>
    <w:p w14:paraId="3124C510" w14:textId="60271D64"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35" w:history="1">
        <w:r w:rsidRPr="000E038D">
          <w:rPr>
            <w:rStyle w:val="Hyperlink"/>
          </w:rPr>
          <w:t>Mobile earth stations and CGC</w:t>
        </w:r>
        <w:r>
          <w:rPr>
            <w:webHidden/>
          </w:rPr>
          <w:tab/>
        </w:r>
        <w:r>
          <w:rPr>
            <w:webHidden/>
          </w:rPr>
          <w:fldChar w:fldCharType="begin"/>
        </w:r>
        <w:r>
          <w:rPr>
            <w:webHidden/>
          </w:rPr>
          <w:instrText xml:space="preserve"> PAGEREF _Toc202867835 \h </w:instrText>
        </w:r>
        <w:r>
          <w:rPr>
            <w:webHidden/>
          </w:rPr>
        </w:r>
        <w:r>
          <w:rPr>
            <w:webHidden/>
          </w:rPr>
          <w:fldChar w:fldCharType="separate"/>
        </w:r>
        <w:r>
          <w:rPr>
            <w:webHidden/>
          </w:rPr>
          <w:t>29</w:t>
        </w:r>
        <w:r>
          <w:rPr>
            <w:webHidden/>
          </w:rPr>
          <w:fldChar w:fldCharType="end"/>
        </w:r>
      </w:hyperlink>
    </w:p>
    <w:p w14:paraId="6AA8B7C6" w14:textId="5BEB37C5" w:rsidR="00023D5D" w:rsidRDefault="00023D5D">
      <w:pPr>
        <w:pStyle w:val="TOC3"/>
        <w:rPr>
          <w:rFonts w:asciiTheme="minorHAnsi" w:eastAsiaTheme="minorEastAsia" w:hAnsiTheme="minorHAnsi" w:cstheme="minorBidi"/>
          <w:kern w:val="2"/>
          <w:sz w:val="24"/>
          <w:szCs w:val="24"/>
          <w14:ligatures w14:val="standardContextual"/>
        </w:rPr>
      </w:pPr>
      <w:hyperlink w:anchor="_Toc202867836" w:history="1">
        <w:r w:rsidRPr="000E038D">
          <w:rPr>
            <w:rStyle w:val="Hyperlink"/>
          </w:rPr>
          <w:t>Issue for comment 8(i)</w:t>
        </w:r>
        <w:r>
          <w:rPr>
            <w:webHidden/>
          </w:rPr>
          <w:tab/>
        </w:r>
        <w:r>
          <w:rPr>
            <w:webHidden/>
          </w:rPr>
          <w:fldChar w:fldCharType="begin"/>
        </w:r>
        <w:r>
          <w:rPr>
            <w:webHidden/>
          </w:rPr>
          <w:instrText xml:space="preserve"> PAGEREF _Toc202867836 \h </w:instrText>
        </w:r>
        <w:r>
          <w:rPr>
            <w:webHidden/>
          </w:rPr>
        </w:r>
        <w:r>
          <w:rPr>
            <w:webHidden/>
          </w:rPr>
          <w:fldChar w:fldCharType="separate"/>
        </w:r>
        <w:r>
          <w:rPr>
            <w:webHidden/>
          </w:rPr>
          <w:t>32</w:t>
        </w:r>
        <w:r>
          <w:rPr>
            <w:webHidden/>
          </w:rPr>
          <w:fldChar w:fldCharType="end"/>
        </w:r>
      </w:hyperlink>
    </w:p>
    <w:p w14:paraId="659F1346" w14:textId="641638FC"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37" w:history="1">
        <w:r w:rsidRPr="000E038D">
          <w:rPr>
            <w:rStyle w:val="Hyperlink"/>
          </w:rPr>
          <w:t xml:space="preserve">Review of 2 GHz narrowband MSS arrangements (2005–2010 MHz and </w:t>
        </w:r>
        <w:r>
          <w:rPr>
            <w:rStyle w:val="Hyperlink"/>
          </w:rPr>
          <w:br/>
        </w:r>
        <w:r w:rsidRPr="000E038D">
          <w:rPr>
            <w:rStyle w:val="Hyperlink"/>
          </w:rPr>
          <w:t>2195–2200 MHz)</w:t>
        </w:r>
        <w:r>
          <w:rPr>
            <w:webHidden/>
          </w:rPr>
          <w:tab/>
        </w:r>
        <w:r>
          <w:rPr>
            <w:webHidden/>
          </w:rPr>
          <w:fldChar w:fldCharType="begin"/>
        </w:r>
        <w:r>
          <w:rPr>
            <w:webHidden/>
          </w:rPr>
          <w:instrText xml:space="preserve"> PAGEREF _Toc202867837 \h </w:instrText>
        </w:r>
        <w:r>
          <w:rPr>
            <w:webHidden/>
          </w:rPr>
        </w:r>
        <w:r>
          <w:rPr>
            <w:webHidden/>
          </w:rPr>
          <w:fldChar w:fldCharType="separate"/>
        </w:r>
        <w:r>
          <w:rPr>
            <w:webHidden/>
          </w:rPr>
          <w:t>32</w:t>
        </w:r>
        <w:r>
          <w:rPr>
            <w:webHidden/>
          </w:rPr>
          <w:fldChar w:fldCharType="end"/>
        </w:r>
      </w:hyperlink>
    </w:p>
    <w:p w14:paraId="22B3574C" w14:textId="6C51E117" w:rsidR="00023D5D" w:rsidRDefault="00023D5D">
      <w:pPr>
        <w:pStyle w:val="TOC3"/>
        <w:rPr>
          <w:rFonts w:asciiTheme="minorHAnsi" w:eastAsiaTheme="minorEastAsia" w:hAnsiTheme="minorHAnsi" w:cstheme="minorBidi"/>
          <w:kern w:val="2"/>
          <w:sz w:val="24"/>
          <w:szCs w:val="24"/>
          <w14:ligatures w14:val="standardContextual"/>
        </w:rPr>
      </w:pPr>
      <w:hyperlink w:anchor="_Toc202867838" w:history="1">
        <w:r w:rsidRPr="000E038D">
          <w:rPr>
            <w:rStyle w:val="Hyperlink"/>
          </w:rPr>
          <w:t>Issue for comment 8(ii)</w:t>
        </w:r>
        <w:r>
          <w:rPr>
            <w:webHidden/>
          </w:rPr>
          <w:tab/>
        </w:r>
        <w:r>
          <w:rPr>
            <w:webHidden/>
          </w:rPr>
          <w:fldChar w:fldCharType="begin"/>
        </w:r>
        <w:r>
          <w:rPr>
            <w:webHidden/>
          </w:rPr>
          <w:instrText xml:space="preserve"> PAGEREF _Toc202867838 \h </w:instrText>
        </w:r>
        <w:r>
          <w:rPr>
            <w:webHidden/>
          </w:rPr>
        </w:r>
        <w:r>
          <w:rPr>
            <w:webHidden/>
          </w:rPr>
          <w:fldChar w:fldCharType="separate"/>
        </w:r>
        <w:r>
          <w:rPr>
            <w:webHidden/>
          </w:rPr>
          <w:t>32</w:t>
        </w:r>
        <w:r>
          <w:rPr>
            <w:webHidden/>
          </w:rPr>
          <w:fldChar w:fldCharType="end"/>
        </w:r>
      </w:hyperlink>
    </w:p>
    <w:p w14:paraId="5528C38B" w14:textId="1A0AB112"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39" w:history="1">
        <w:r w:rsidRPr="000E038D">
          <w:rPr>
            <w:rStyle w:val="Hyperlink"/>
          </w:rPr>
          <w:t>Next steps</w:t>
        </w:r>
        <w:r>
          <w:rPr>
            <w:webHidden/>
          </w:rPr>
          <w:tab/>
        </w:r>
        <w:r>
          <w:rPr>
            <w:webHidden/>
          </w:rPr>
          <w:fldChar w:fldCharType="begin"/>
        </w:r>
        <w:r>
          <w:rPr>
            <w:webHidden/>
          </w:rPr>
          <w:instrText xml:space="preserve"> PAGEREF _Toc202867839 \h </w:instrText>
        </w:r>
        <w:r>
          <w:rPr>
            <w:webHidden/>
          </w:rPr>
        </w:r>
        <w:r>
          <w:rPr>
            <w:webHidden/>
          </w:rPr>
          <w:fldChar w:fldCharType="separate"/>
        </w:r>
        <w:r>
          <w:rPr>
            <w:webHidden/>
          </w:rPr>
          <w:t>33</w:t>
        </w:r>
        <w:r>
          <w:rPr>
            <w:webHidden/>
          </w:rPr>
          <w:fldChar w:fldCharType="end"/>
        </w:r>
      </w:hyperlink>
    </w:p>
    <w:p w14:paraId="17E28989" w14:textId="1EF4D4DB"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40" w:history="1">
        <w:r w:rsidRPr="000E038D">
          <w:rPr>
            <w:rStyle w:val="Hyperlink"/>
          </w:rPr>
          <w:t>Invitation to comment</w:t>
        </w:r>
        <w:r>
          <w:rPr>
            <w:webHidden/>
          </w:rPr>
          <w:tab/>
        </w:r>
        <w:r>
          <w:rPr>
            <w:webHidden/>
          </w:rPr>
          <w:fldChar w:fldCharType="begin"/>
        </w:r>
        <w:r>
          <w:rPr>
            <w:webHidden/>
          </w:rPr>
          <w:instrText xml:space="preserve"> PAGEREF _Toc202867840 \h </w:instrText>
        </w:r>
        <w:r>
          <w:rPr>
            <w:webHidden/>
          </w:rPr>
        </w:r>
        <w:r>
          <w:rPr>
            <w:webHidden/>
          </w:rPr>
          <w:fldChar w:fldCharType="separate"/>
        </w:r>
        <w:r>
          <w:rPr>
            <w:webHidden/>
          </w:rPr>
          <w:t>34</w:t>
        </w:r>
        <w:r>
          <w:rPr>
            <w:webHidden/>
          </w:rPr>
          <w:fldChar w:fldCharType="end"/>
        </w:r>
      </w:hyperlink>
    </w:p>
    <w:p w14:paraId="68C2FEAB" w14:textId="50281A21" w:rsidR="00023D5D" w:rsidRDefault="00023D5D">
      <w:pPr>
        <w:pStyle w:val="TOC2"/>
        <w:rPr>
          <w:rFonts w:asciiTheme="minorHAnsi" w:eastAsiaTheme="minorEastAsia" w:hAnsiTheme="minorHAnsi" w:cstheme="minorBidi"/>
          <w:spacing w:val="0"/>
          <w:kern w:val="2"/>
          <w:sz w:val="24"/>
          <w:szCs w:val="24"/>
          <w14:ligatures w14:val="standardContextual"/>
        </w:rPr>
      </w:pPr>
      <w:hyperlink w:anchor="_Toc202867841" w:history="1">
        <w:r w:rsidRPr="000E038D">
          <w:rPr>
            <w:rStyle w:val="Hyperlink"/>
          </w:rPr>
          <w:t>Making a submission</w:t>
        </w:r>
        <w:r>
          <w:rPr>
            <w:webHidden/>
          </w:rPr>
          <w:tab/>
        </w:r>
        <w:r>
          <w:rPr>
            <w:webHidden/>
          </w:rPr>
          <w:fldChar w:fldCharType="begin"/>
        </w:r>
        <w:r>
          <w:rPr>
            <w:webHidden/>
          </w:rPr>
          <w:instrText xml:space="preserve"> PAGEREF _Toc202867841 \h </w:instrText>
        </w:r>
        <w:r>
          <w:rPr>
            <w:webHidden/>
          </w:rPr>
        </w:r>
        <w:r>
          <w:rPr>
            <w:webHidden/>
          </w:rPr>
          <w:fldChar w:fldCharType="separate"/>
        </w:r>
        <w:r>
          <w:rPr>
            <w:webHidden/>
          </w:rPr>
          <w:t>34</w:t>
        </w:r>
        <w:r>
          <w:rPr>
            <w:webHidden/>
          </w:rPr>
          <w:fldChar w:fldCharType="end"/>
        </w:r>
      </w:hyperlink>
    </w:p>
    <w:p w14:paraId="1BB0E547" w14:textId="3ED8F023" w:rsidR="00023D5D" w:rsidRDefault="00023D5D">
      <w:pPr>
        <w:pStyle w:val="TOC3"/>
        <w:rPr>
          <w:rFonts w:asciiTheme="minorHAnsi" w:eastAsiaTheme="minorEastAsia" w:hAnsiTheme="minorHAnsi" w:cstheme="minorBidi"/>
          <w:kern w:val="2"/>
          <w:sz w:val="24"/>
          <w:szCs w:val="24"/>
          <w14:ligatures w14:val="standardContextual"/>
        </w:rPr>
      </w:pPr>
      <w:hyperlink w:anchor="_Toc202867842" w:history="1">
        <w:r w:rsidRPr="000E038D">
          <w:rPr>
            <w:rStyle w:val="Hyperlink"/>
          </w:rPr>
          <w:t>Publication of submissions</w:t>
        </w:r>
        <w:r>
          <w:rPr>
            <w:webHidden/>
          </w:rPr>
          <w:tab/>
        </w:r>
        <w:r>
          <w:rPr>
            <w:webHidden/>
          </w:rPr>
          <w:fldChar w:fldCharType="begin"/>
        </w:r>
        <w:r>
          <w:rPr>
            <w:webHidden/>
          </w:rPr>
          <w:instrText xml:space="preserve"> PAGEREF _Toc202867842 \h </w:instrText>
        </w:r>
        <w:r>
          <w:rPr>
            <w:webHidden/>
          </w:rPr>
        </w:r>
        <w:r>
          <w:rPr>
            <w:webHidden/>
          </w:rPr>
          <w:fldChar w:fldCharType="separate"/>
        </w:r>
        <w:r>
          <w:rPr>
            <w:webHidden/>
          </w:rPr>
          <w:t>34</w:t>
        </w:r>
        <w:r>
          <w:rPr>
            <w:webHidden/>
          </w:rPr>
          <w:fldChar w:fldCharType="end"/>
        </w:r>
      </w:hyperlink>
    </w:p>
    <w:p w14:paraId="6C5891A2" w14:textId="3C83A860" w:rsidR="00023D5D" w:rsidRDefault="00023D5D">
      <w:pPr>
        <w:pStyle w:val="TOC3"/>
        <w:rPr>
          <w:rFonts w:asciiTheme="minorHAnsi" w:eastAsiaTheme="minorEastAsia" w:hAnsiTheme="minorHAnsi" w:cstheme="minorBidi"/>
          <w:kern w:val="2"/>
          <w:sz w:val="24"/>
          <w:szCs w:val="24"/>
          <w14:ligatures w14:val="standardContextual"/>
        </w:rPr>
      </w:pPr>
      <w:hyperlink w:anchor="_Toc202867843" w:history="1">
        <w:r w:rsidRPr="000E038D">
          <w:rPr>
            <w:rStyle w:val="Hyperlink"/>
          </w:rPr>
          <w:t>Privacy</w:t>
        </w:r>
        <w:r>
          <w:rPr>
            <w:webHidden/>
          </w:rPr>
          <w:tab/>
        </w:r>
        <w:r>
          <w:rPr>
            <w:webHidden/>
          </w:rPr>
          <w:fldChar w:fldCharType="begin"/>
        </w:r>
        <w:r>
          <w:rPr>
            <w:webHidden/>
          </w:rPr>
          <w:instrText xml:space="preserve"> PAGEREF _Toc202867843 \h </w:instrText>
        </w:r>
        <w:r>
          <w:rPr>
            <w:webHidden/>
          </w:rPr>
        </w:r>
        <w:r>
          <w:rPr>
            <w:webHidden/>
          </w:rPr>
          <w:fldChar w:fldCharType="separate"/>
        </w:r>
        <w:r>
          <w:rPr>
            <w:webHidden/>
          </w:rPr>
          <w:t>34</w:t>
        </w:r>
        <w:r>
          <w:rPr>
            <w:webHidden/>
          </w:rPr>
          <w:fldChar w:fldCharType="end"/>
        </w:r>
      </w:hyperlink>
    </w:p>
    <w:p w14:paraId="1CD7E093" w14:textId="4ABE9496" w:rsidR="00023D5D" w:rsidRDefault="00023D5D">
      <w:pPr>
        <w:pStyle w:val="TOC1"/>
        <w:rPr>
          <w:rFonts w:asciiTheme="minorHAnsi" w:eastAsiaTheme="minorEastAsia" w:hAnsiTheme="minorHAnsi" w:cstheme="minorBidi"/>
          <w:b w:val="0"/>
          <w:spacing w:val="0"/>
          <w:kern w:val="2"/>
          <w:sz w:val="24"/>
          <w14:ligatures w14:val="standardContextual"/>
        </w:rPr>
      </w:pPr>
      <w:hyperlink w:anchor="_Toc202867844" w:history="1">
        <w:r w:rsidRPr="000E038D">
          <w:rPr>
            <w:rStyle w:val="Hyperlink"/>
          </w:rPr>
          <w:t>Appendix A: Overview of the 2SC auction format</w:t>
        </w:r>
        <w:r>
          <w:rPr>
            <w:webHidden/>
          </w:rPr>
          <w:tab/>
        </w:r>
        <w:r>
          <w:rPr>
            <w:webHidden/>
          </w:rPr>
          <w:fldChar w:fldCharType="begin"/>
        </w:r>
        <w:r>
          <w:rPr>
            <w:webHidden/>
          </w:rPr>
          <w:instrText xml:space="preserve"> PAGEREF _Toc202867844 \h </w:instrText>
        </w:r>
        <w:r>
          <w:rPr>
            <w:webHidden/>
          </w:rPr>
        </w:r>
        <w:r>
          <w:rPr>
            <w:webHidden/>
          </w:rPr>
          <w:fldChar w:fldCharType="separate"/>
        </w:r>
        <w:r>
          <w:rPr>
            <w:webHidden/>
          </w:rPr>
          <w:t>35</w:t>
        </w:r>
        <w:r>
          <w:rPr>
            <w:webHidden/>
          </w:rPr>
          <w:fldChar w:fldCharType="end"/>
        </w:r>
      </w:hyperlink>
    </w:p>
    <w:p w14:paraId="0CC533A5" w14:textId="20CF3076" w:rsidR="004D56FF" w:rsidRPr="00A17B1B" w:rsidRDefault="00DF0799">
      <w:pPr>
        <w:rPr>
          <w:rFonts w:cs="Arial"/>
        </w:rPr>
        <w:sectPr w:rsidR="004D56FF" w:rsidRPr="00A17B1B" w:rsidSect="005A62E5">
          <w:headerReference w:type="even" r:id="rId21"/>
          <w:headerReference w:type="default" r:id="rId22"/>
          <w:footerReference w:type="even" r:id="rId23"/>
          <w:footerReference w:type="default" r:id="rId24"/>
          <w:footerReference w:type="first" r:id="rId25"/>
          <w:pgSz w:w="11906" w:h="16838" w:code="9"/>
          <w:pgMar w:top="1418" w:right="1418" w:bottom="1134" w:left="1418" w:header="709" w:footer="119" w:gutter="0"/>
          <w:pgNumType w:fmt="lowerRoman" w:start="3"/>
          <w:cols w:space="708"/>
          <w:titlePg/>
          <w:docGrid w:linePitch="360"/>
        </w:sectPr>
      </w:pPr>
      <w:r w:rsidRPr="00A17B1B">
        <w:rPr>
          <w:rFonts w:cs="Arial"/>
        </w:rPr>
        <w:fldChar w:fldCharType="end"/>
      </w:r>
    </w:p>
    <w:p w14:paraId="2D0143F3" w14:textId="274DFEDD" w:rsidR="005117AF" w:rsidRDefault="009D6C71" w:rsidP="005117AF">
      <w:pPr>
        <w:pStyle w:val="Execsummaryheading"/>
      </w:pPr>
      <w:bookmarkStart w:id="0" w:name="_Toc202867800"/>
      <w:r w:rsidRPr="00A17B1B">
        <w:lastRenderedPageBreak/>
        <w:t>Executive summary</w:t>
      </w:r>
      <w:bookmarkEnd w:id="0"/>
    </w:p>
    <w:p w14:paraId="76FBB46D" w14:textId="4B34F541" w:rsidR="00042EFC" w:rsidRDefault="00564B1C" w:rsidP="0025381C">
      <w:pPr>
        <w:pStyle w:val="Paragraph"/>
      </w:pPr>
      <w:r>
        <w:t xml:space="preserve">This paper </w:t>
      </w:r>
      <w:r w:rsidR="00D83BBE">
        <w:t>seeks comments on</w:t>
      </w:r>
      <w:r>
        <w:t xml:space="preserve"> our proposed approach to allocation design and certain technical matters for the </w:t>
      </w:r>
      <w:r w:rsidR="00D83BBE">
        <w:t>2</w:t>
      </w:r>
      <w:r w:rsidR="003F36F3">
        <w:t xml:space="preserve"> </w:t>
      </w:r>
      <w:r w:rsidR="00D83BBE">
        <w:t>x</w:t>
      </w:r>
      <w:r w:rsidR="003F36F3">
        <w:t xml:space="preserve"> </w:t>
      </w:r>
      <w:r w:rsidR="00D83BBE">
        <w:t>25 MHz of spectrum in the 2 GHz band (1980–2005 MHz and 2170–2195 MHz), referred to in this paper as the ‘2 GHz MSS band’</w:t>
      </w:r>
      <w:r w:rsidR="00C86B8D">
        <w:t>, to support mobile-satellite services (MSS)</w:t>
      </w:r>
      <w:r>
        <w:t>.</w:t>
      </w:r>
    </w:p>
    <w:p w14:paraId="0D1264E1" w14:textId="01320523" w:rsidR="00D517EC" w:rsidRDefault="00042EFC" w:rsidP="0025381C">
      <w:pPr>
        <w:pStyle w:val="Paragraph"/>
      </w:pPr>
      <w:r>
        <w:t xml:space="preserve">Submissions to this consultation will help inform the drafting of legislative instruments, including the allocation and technical instruments that will outline allocation rules and </w:t>
      </w:r>
      <w:r w:rsidRPr="0017517E">
        <w:t>technical</w:t>
      </w:r>
      <w:r>
        <w:t xml:space="preserve"> parameters, along with other policy documents.</w:t>
      </w:r>
    </w:p>
    <w:p w14:paraId="3A0B2009" w14:textId="4DEF2905" w:rsidR="003B5017" w:rsidRDefault="003B5017" w:rsidP="0025381C">
      <w:pPr>
        <w:pStyle w:val="Paragraph"/>
      </w:pPr>
      <w:r w:rsidRPr="000D135F">
        <w:t>Issues for comment</w:t>
      </w:r>
      <w:r>
        <w:t xml:space="preserve"> are summarised </w:t>
      </w:r>
      <w:r w:rsidRPr="007D2FAE">
        <w:t xml:space="preserve">in the </w:t>
      </w:r>
      <w:hyperlink w:anchor="_Issues_for_comment" w:history="1">
        <w:r w:rsidR="003F36F3" w:rsidRPr="003F36F3">
          <w:rPr>
            <w:rStyle w:val="Hyperlink"/>
          </w:rPr>
          <w:t>I</w:t>
        </w:r>
        <w:r w:rsidRPr="003F36F3">
          <w:rPr>
            <w:rStyle w:val="Hyperlink"/>
          </w:rPr>
          <w:t>ssues for comment</w:t>
        </w:r>
      </w:hyperlink>
      <w:r w:rsidRPr="007D2FAE">
        <w:t xml:space="preserve"> section</w:t>
      </w:r>
      <w:r w:rsidR="352A29D2" w:rsidRPr="007D2FAE">
        <w:t xml:space="preserve">, with </w:t>
      </w:r>
      <w:r w:rsidR="55E13C84" w:rsidRPr="007D2FAE">
        <w:t>detail</w:t>
      </w:r>
      <w:r w:rsidR="64CAC156" w:rsidRPr="007D2FAE">
        <w:t>ed analysis and discussion</w:t>
      </w:r>
      <w:r w:rsidRPr="007D2FAE">
        <w:t xml:space="preserve"> in the </w:t>
      </w:r>
      <w:hyperlink w:anchor="_Allocation_design" w:history="1">
        <w:r w:rsidRPr="003F36F3">
          <w:rPr>
            <w:rStyle w:val="Hyperlink"/>
          </w:rPr>
          <w:t>Allocation design</w:t>
        </w:r>
      </w:hyperlink>
      <w:r w:rsidRPr="007D2FAE">
        <w:t xml:space="preserve"> and</w:t>
      </w:r>
      <w:r w:rsidR="007A4644">
        <w:t xml:space="preserve"> </w:t>
      </w:r>
      <w:hyperlink w:anchor="_Space_regulatory_matters" w:history="1">
        <w:r w:rsidR="007A4644" w:rsidRPr="003F36F3">
          <w:rPr>
            <w:rStyle w:val="Hyperlink"/>
          </w:rPr>
          <w:t>Space regulatory matters</w:t>
        </w:r>
      </w:hyperlink>
      <w:r w:rsidRPr="007D2FAE">
        <w:t xml:space="preserve"> sections.</w:t>
      </w:r>
    </w:p>
    <w:p w14:paraId="26227CF5" w14:textId="3A48C3F3" w:rsidR="00014592" w:rsidRPr="00014592" w:rsidRDefault="00014592" w:rsidP="00EA3235">
      <w:pPr>
        <w:pStyle w:val="Executivesummarysubheading"/>
      </w:pPr>
      <w:r>
        <w:t>Background</w:t>
      </w:r>
    </w:p>
    <w:p w14:paraId="4A8CFD1F" w14:textId="61D6B3B7" w:rsidR="005117AF" w:rsidRDefault="005117AF" w:rsidP="005117AF">
      <w:pPr>
        <w:pStyle w:val="Paragraphbeforelist"/>
      </w:pPr>
      <w:r>
        <w:t xml:space="preserve">In January 2021, we announced the outcome of the review of the 2 GHz band </w:t>
      </w:r>
      <w:r>
        <w:br/>
        <w:t>(</w:t>
      </w:r>
      <w:r w:rsidRPr="00006462">
        <w:t>1980</w:t>
      </w:r>
      <w:r>
        <w:t>–</w:t>
      </w:r>
      <w:r w:rsidRPr="00006462">
        <w:t>2010</w:t>
      </w:r>
      <w:r w:rsidR="00C73163">
        <w:t xml:space="preserve"> MHz</w:t>
      </w:r>
      <w:r w:rsidR="006D5A2E">
        <w:t xml:space="preserve"> and </w:t>
      </w:r>
      <w:r w:rsidRPr="00006462">
        <w:t>2170</w:t>
      </w:r>
      <w:r>
        <w:t>–</w:t>
      </w:r>
      <w:r w:rsidRPr="00006462">
        <w:t>2200 MHz)</w:t>
      </w:r>
      <w:r>
        <w:t>,</w:t>
      </w:r>
      <w:r>
        <w:rPr>
          <w:rStyle w:val="FootnoteReference"/>
        </w:rPr>
        <w:footnoteReference w:id="2"/>
      </w:r>
      <w:r>
        <w:t xml:space="preserve"> and the decision to replan the band for </w:t>
      </w:r>
      <w:r w:rsidR="00C238AC">
        <w:t>MSS</w:t>
      </w:r>
      <w:r>
        <w:t>. This would enable:</w:t>
      </w:r>
    </w:p>
    <w:p w14:paraId="1DD77CC9" w14:textId="02B84373" w:rsidR="005117AF" w:rsidRDefault="005117AF" w:rsidP="002C096F">
      <w:pPr>
        <w:pStyle w:val="Bulletlevel1"/>
        <w:numPr>
          <w:ilvl w:val="0"/>
          <w:numId w:val="13"/>
        </w:numPr>
        <w:ind w:left="284" w:hanging="284"/>
      </w:pPr>
      <w:r>
        <w:t>2</w:t>
      </w:r>
      <w:r w:rsidR="003F36F3">
        <w:t xml:space="preserve"> </w:t>
      </w:r>
      <w:r>
        <w:t>x</w:t>
      </w:r>
      <w:r w:rsidR="003F36F3">
        <w:t xml:space="preserve"> </w:t>
      </w:r>
      <w:r>
        <w:t>25 MHz (1980–2005 MHz and 2170–2195 MHz) for Australia-wide MSS, with support for deployment of a complementary ground component (CGC) including direct air-to-ground communications services (</w:t>
      </w:r>
      <w:r w:rsidR="00736DDE">
        <w:t>DA2GC</w:t>
      </w:r>
      <w:r>
        <w:t xml:space="preserve">), where a licensee wishes to supplement its </w:t>
      </w:r>
      <w:r w:rsidR="00A9241E">
        <w:t xml:space="preserve">MSS. </w:t>
      </w:r>
    </w:p>
    <w:p w14:paraId="6EDADB6C" w14:textId="49E641BD" w:rsidR="005117AF" w:rsidRDefault="000B0FB9" w:rsidP="00D42CE6">
      <w:pPr>
        <w:pStyle w:val="Bulletlevel1last"/>
        <w:ind w:left="284" w:hanging="284"/>
      </w:pPr>
      <w:r>
        <w:t>2</w:t>
      </w:r>
      <w:r w:rsidR="003F36F3">
        <w:t xml:space="preserve"> </w:t>
      </w:r>
      <w:r>
        <w:t>x</w:t>
      </w:r>
      <w:r w:rsidR="003F36F3">
        <w:t xml:space="preserve"> </w:t>
      </w:r>
      <w:r>
        <w:t>5</w:t>
      </w:r>
      <w:r w:rsidR="005117AF">
        <w:t xml:space="preserve"> MHz (2005–2010 MHz and 2195–2200 MHz) for shared narrowband MSS</w:t>
      </w:r>
      <w:r w:rsidR="007E0BB8" w:rsidRPr="00F904C2">
        <w:t>,</w:t>
      </w:r>
      <w:r w:rsidR="005117AF">
        <w:t xml:space="preserve"> including telemetry, short messaging, and low-data-rate services such as satellite IoT (internet of things) application.</w:t>
      </w:r>
      <w:r w:rsidR="0037415C">
        <w:rPr>
          <w:rStyle w:val="FootnoteReference"/>
        </w:rPr>
        <w:footnoteReference w:id="3"/>
      </w:r>
    </w:p>
    <w:p w14:paraId="60FBDADC" w14:textId="59309B3B" w:rsidR="00820356" w:rsidRDefault="004426AC" w:rsidP="006E7B42">
      <w:pPr>
        <w:pStyle w:val="Paragraph"/>
      </w:pPr>
      <w:r>
        <w:t>In</w:t>
      </w:r>
      <w:r w:rsidR="00FE69BF">
        <w:t xml:space="preserve"> accordance with the planning decision, in</w:t>
      </w:r>
      <w:r>
        <w:t xml:space="preserve"> July 2022 we introduced arrangements </w:t>
      </w:r>
      <w:r w:rsidR="002B1533">
        <w:t xml:space="preserve">in </w:t>
      </w:r>
      <w:r w:rsidR="00581FE0">
        <w:t xml:space="preserve">the </w:t>
      </w:r>
      <w:r w:rsidR="003F36F3">
        <w:br/>
      </w:r>
      <w:r w:rsidR="00FE69BF">
        <w:t>2</w:t>
      </w:r>
      <w:r w:rsidR="003F36F3">
        <w:t xml:space="preserve"> </w:t>
      </w:r>
      <w:r w:rsidR="00FE69BF">
        <w:t>x</w:t>
      </w:r>
      <w:r w:rsidR="003F36F3">
        <w:t xml:space="preserve"> </w:t>
      </w:r>
      <w:r w:rsidR="00FE69BF">
        <w:t>5 </w:t>
      </w:r>
      <w:r w:rsidR="002B1533">
        <w:t xml:space="preserve">MHz </w:t>
      </w:r>
      <w:r w:rsidR="00581FE0">
        <w:t>portion</w:t>
      </w:r>
      <w:r w:rsidR="002B1533">
        <w:t xml:space="preserve"> o</w:t>
      </w:r>
      <w:r w:rsidR="00AE48EC">
        <w:t>f the 2 GHz band</w:t>
      </w:r>
      <w:r w:rsidR="00FE69BF">
        <w:t xml:space="preserve"> to</w:t>
      </w:r>
      <w:r w:rsidR="00AE48EC">
        <w:t xml:space="preserve"> </w:t>
      </w:r>
      <w:r w:rsidRPr="007D2FAE">
        <w:t>support narrowband MSS systems</w:t>
      </w:r>
      <w:r w:rsidR="00FE69BF" w:rsidRPr="007D2FAE">
        <w:t>,</w:t>
      </w:r>
      <w:r w:rsidRPr="007D2FAE">
        <w:t xml:space="preserve"> with </w:t>
      </w:r>
      <w:r w:rsidR="00C9160E" w:rsidRPr="007D2FAE">
        <w:t>apparatus</w:t>
      </w:r>
      <w:r w:rsidRPr="007D2FAE">
        <w:t xml:space="preserve"> licences issued to </w:t>
      </w:r>
      <w:r w:rsidR="00D61D5B" w:rsidRPr="007D2FAE">
        <w:t>5</w:t>
      </w:r>
      <w:r w:rsidRPr="007D2FAE">
        <w:t xml:space="preserve"> organisations.</w:t>
      </w:r>
      <w:r w:rsidR="00F04F82" w:rsidRPr="007D2FAE">
        <w:rPr>
          <w:rStyle w:val="FootnoteReference"/>
        </w:rPr>
        <w:footnoteReference w:id="4"/>
      </w:r>
    </w:p>
    <w:p w14:paraId="499E84DF" w14:textId="259A79C8" w:rsidR="003F36F3" w:rsidRDefault="00C54D86" w:rsidP="003C152B">
      <w:pPr>
        <w:pStyle w:val="Paragraph"/>
      </w:pPr>
      <w:r>
        <w:t xml:space="preserve">The focus is now on </w:t>
      </w:r>
      <w:r w:rsidR="00BC063D">
        <w:t>develop</w:t>
      </w:r>
      <w:r>
        <w:t>ing</w:t>
      </w:r>
      <w:r w:rsidR="00BC063D">
        <w:t xml:space="preserve"> </w:t>
      </w:r>
      <w:r w:rsidR="004426AC">
        <w:t xml:space="preserve">arrangements to support MSS in </w:t>
      </w:r>
      <w:r w:rsidR="00900679">
        <w:t xml:space="preserve">the remaining </w:t>
      </w:r>
      <w:r w:rsidR="004426AC">
        <w:t>2</w:t>
      </w:r>
      <w:r w:rsidR="003F36F3">
        <w:t xml:space="preserve"> </w:t>
      </w:r>
      <w:r w:rsidR="004426AC">
        <w:t>x</w:t>
      </w:r>
      <w:r w:rsidR="003F36F3">
        <w:t xml:space="preserve"> </w:t>
      </w:r>
      <w:r w:rsidR="004426AC">
        <w:t>25 MHz</w:t>
      </w:r>
      <w:r w:rsidR="00900679">
        <w:t xml:space="preserve"> of spectrum in the 2 GHz band</w:t>
      </w:r>
      <w:r w:rsidR="004426AC">
        <w:t xml:space="preserve"> (1980–2005 MHz and 2170–2195 MHz). </w:t>
      </w:r>
      <w:r w:rsidR="00DD26F3">
        <w:t xml:space="preserve">In November 2023, we </w:t>
      </w:r>
      <w:r w:rsidR="00B93596">
        <w:t xml:space="preserve">released the </w:t>
      </w:r>
      <w:hyperlink r:id="rId26" w:history="1">
        <w:r w:rsidR="00B93596">
          <w:rPr>
            <w:rStyle w:val="Hyperlink"/>
          </w:rPr>
          <w:t>Technical design features and allocation considerations for the 2 GHz MSS band discussion paper</w:t>
        </w:r>
      </w:hyperlink>
      <w:r w:rsidR="00B93596">
        <w:t xml:space="preserve"> (November 2023 </w:t>
      </w:r>
      <w:r w:rsidR="003F36F3">
        <w:t>d</w:t>
      </w:r>
      <w:r w:rsidR="00B93596">
        <w:t>iscussion paper)</w:t>
      </w:r>
      <w:r w:rsidR="00E267F3">
        <w:t xml:space="preserve">. </w:t>
      </w:r>
    </w:p>
    <w:p w14:paraId="3686C9DD" w14:textId="0F832A7D" w:rsidR="00373B33" w:rsidRDefault="00E267F3" w:rsidP="003C152B">
      <w:pPr>
        <w:pStyle w:val="Paragraph"/>
      </w:pPr>
      <w:r>
        <w:t xml:space="preserve">In </w:t>
      </w:r>
      <w:r w:rsidR="00D9670C">
        <w:t>that</w:t>
      </w:r>
      <w:r>
        <w:t xml:space="preserve"> paper, w</w:t>
      </w:r>
      <w:r w:rsidR="00DD26F3">
        <w:t xml:space="preserve">e consulted on </w:t>
      </w:r>
      <w:r w:rsidR="00EB7025" w:rsidRPr="00EB7025">
        <w:t>draft technical parameters and coordination requirements to support MSS (including the use of CGC)</w:t>
      </w:r>
      <w:r w:rsidR="00B436F5">
        <w:t xml:space="preserve">, as well as </w:t>
      </w:r>
      <w:r w:rsidR="00057C41">
        <w:t>some preliminary allocation design matters</w:t>
      </w:r>
      <w:r w:rsidR="003F36F3">
        <w:t>.</w:t>
      </w:r>
      <w:r w:rsidR="00DD26F3">
        <w:rPr>
          <w:rStyle w:val="FootnoteReference"/>
        </w:rPr>
        <w:footnoteReference w:id="5"/>
      </w:r>
      <w:r w:rsidR="00DD26F3">
        <w:t xml:space="preserve"> </w:t>
      </w:r>
      <w:r w:rsidR="007C1ED8" w:rsidRPr="007C1ED8">
        <w:t>We have also consulted on the 2 GHz MSS band as part of our forward allocation work program in the 2024</w:t>
      </w:r>
      <w:r w:rsidR="003F36F3">
        <w:t>–</w:t>
      </w:r>
      <w:r w:rsidR="007C1ED8" w:rsidRPr="007C1ED8">
        <w:t>29 and 2025</w:t>
      </w:r>
      <w:r w:rsidR="003F36F3">
        <w:t>–</w:t>
      </w:r>
      <w:r w:rsidR="007C1ED8" w:rsidRPr="007C1ED8">
        <w:t>30</w:t>
      </w:r>
      <w:r w:rsidR="00B24EC5">
        <w:t xml:space="preserve"> </w:t>
      </w:r>
      <w:r w:rsidR="00603390">
        <w:t>Five-</w:t>
      </w:r>
      <w:r w:rsidR="003F36F3">
        <w:t>y</w:t>
      </w:r>
      <w:r w:rsidR="00B24EC5">
        <w:t xml:space="preserve">ear </w:t>
      </w:r>
      <w:r w:rsidR="003F36F3">
        <w:t>s</w:t>
      </w:r>
      <w:r w:rsidR="00B24EC5">
        <w:t xml:space="preserve">pectrum </w:t>
      </w:r>
      <w:r w:rsidR="003F36F3">
        <w:t>o</w:t>
      </w:r>
      <w:r w:rsidR="00B24EC5">
        <w:t>utlook</w:t>
      </w:r>
      <w:r w:rsidR="008573AD">
        <w:t xml:space="preserve"> (FYSO</w:t>
      </w:r>
      <w:r w:rsidR="00952E69">
        <w:t>)</w:t>
      </w:r>
      <w:r w:rsidR="003F36F3">
        <w:t>.</w:t>
      </w:r>
      <w:r w:rsidR="00100AE1">
        <w:rPr>
          <w:rStyle w:val="FootnoteReference"/>
        </w:rPr>
        <w:footnoteReference w:id="6"/>
      </w:r>
      <w:r w:rsidR="00B24EC5">
        <w:t xml:space="preserve"> </w:t>
      </w:r>
    </w:p>
    <w:p w14:paraId="01A48074" w14:textId="77777777" w:rsidR="00C76FDC" w:rsidRPr="002947C4" w:rsidRDefault="00C76FDC" w:rsidP="00F268DF">
      <w:pPr>
        <w:pStyle w:val="Executivesummarysubheading"/>
        <w:keepNext/>
        <w:keepLines/>
      </w:pPr>
      <w:bookmarkStart w:id="1" w:name="_Hlk189055651"/>
      <w:r w:rsidRPr="00455D35">
        <w:lastRenderedPageBreak/>
        <w:t>Licensing approach</w:t>
      </w:r>
    </w:p>
    <w:p w14:paraId="1EE08655" w14:textId="613C8AB1" w:rsidR="00C76FDC" w:rsidRDefault="00C76FDC" w:rsidP="00F268DF">
      <w:pPr>
        <w:pStyle w:val="Paragraph"/>
        <w:keepNext/>
        <w:keepLines/>
      </w:pPr>
      <w:r>
        <w:t>F</w:t>
      </w:r>
      <w:r w:rsidRPr="001533DF">
        <w:t xml:space="preserve">or satellite systems with numerous or </w:t>
      </w:r>
      <w:r w:rsidRPr="00EC3EC7">
        <w:t xml:space="preserve">ubiquitous earth stations, the ACMA’s usual licensing approach involves a combination of </w:t>
      </w:r>
      <w:r w:rsidR="0056025E">
        <w:t>apparatus licences (</w:t>
      </w:r>
      <w:r w:rsidRPr="00EC3EC7">
        <w:t>space and space receive licen</w:t>
      </w:r>
      <w:r w:rsidR="00791321" w:rsidRPr="00EC3EC7">
        <w:t>ces</w:t>
      </w:r>
      <w:r w:rsidR="0056025E">
        <w:t>)</w:t>
      </w:r>
      <w:r w:rsidRPr="00EC3EC7">
        <w:t xml:space="preserve">, and </w:t>
      </w:r>
      <w:r w:rsidR="00A62478">
        <w:t xml:space="preserve">a </w:t>
      </w:r>
      <w:r w:rsidRPr="00EC3EC7">
        <w:t>class licen</w:t>
      </w:r>
      <w:r w:rsidR="00A12E4F" w:rsidRPr="00EC3EC7">
        <w:t>ce</w:t>
      </w:r>
      <w:r w:rsidR="002E65F4" w:rsidRPr="00EC3EC7">
        <w:t xml:space="preserve"> for earth and earth receive stations</w:t>
      </w:r>
      <w:r w:rsidRPr="00EC3EC7">
        <w:t>. This approach provides an efficient means of licensing a large number of earth stations</w:t>
      </w:r>
      <w:r w:rsidR="009716D6" w:rsidRPr="00EC3EC7">
        <w:t xml:space="preserve"> and earth receive stations</w:t>
      </w:r>
      <w:r w:rsidRPr="00EC3EC7">
        <w:t>, avoiding the need to obtain a</w:t>
      </w:r>
      <w:r w:rsidR="009716D6" w:rsidRPr="00EC3EC7">
        <w:t xml:space="preserve">n </w:t>
      </w:r>
      <w:r w:rsidR="006F38E0" w:rsidRPr="00EC3EC7">
        <w:t>apparatus</w:t>
      </w:r>
      <w:r w:rsidRPr="00EC3EC7">
        <w:t xml:space="preserve"> licence for every earth station </w:t>
      </w:r>
      <w:r w:rsidR="00207087" w:rsidRPr="00EC3EC7">
        <w:t xml:space="preserve">and earth receive station </w:t>
      </w:r>
      <w:r w:rsidRPr="00EC3EC7">
        <w:t>in a satellite system.</w:t>
      </w:r>
      <w:r>
        <w:t xml:space="preserve"> </w:t>
      </w:r>
    </w:p>
    <w:p w14:paraId="268E3A75" w14:textId="119B0E06" w:rsidR="00C76FDC" w:rsidRDefault="00C76FDC" w:rsidP="00C76FDC">
      <w:pPr>
        <w:pStyle w:val="Paragraph"/>
      </w:pPr>
      <w:r>
        <w:t xml:space="preserve">Our preliminary view is to use this </w:t>
      </w:r>
      <w:r w:rsidR="00C87C0C" w:rsidRPr="00EC3EC7">
        <w:t>usual licensing approach</w:t>
      </w:r>
      <w:r>
        <w:t xml:space="preserve"> </w:t>
      </w:r>
      <w:r w:rsidR="006D08B8">
        <w:t xml:space="preserve">for </w:t>
      </w:r>
      <w:r>
        <w:t xml:space="preserve">MSS in the 2 GHz MSS band. </w:t>
      </w:r>
    </w:p>
    <w:p w14:paraId="3EE66FD7" w14:textId="45F9336B" w:rsidR="005B1B7E" w:rsidRDefault="005B1B7E" w:rsidP="005B1B7E">
      <w:pPr>
        <w:pStyle w:val="Paragraph"/>
      </w:pPr>
      <w:bookmarkStart w:id="2" w:name="_Hlk198126854"/>
      <w:r w:rsidRPr="00EB6D49">
        <w:t xml:space="preserve">The space stations and space receive stations to be authorised by a space licence or space receive licence need to be </w:t>
      </w:r>
      <w:r w:rsidR="00186524">
        <w:t xml:space="preserve">on board a space object that is </w:t>
      </w:r>
      <w:r w:rsidRPr="00EB6D49">
        <w:t xml:space="preserve">owned, controlled or operated by a person named in the </w:t>
      </w:r>
      <w:hyperlink r:id="rId27" w:history="1">
        <w:r w:rsidR="00882F28" w:rsidRPr="00B41581">
          <w:rPr>
            <w:rStyle w:val="Hyperlink"/>
          </w:rPr>
          <w:t>Radiocommunications (Australian Space Objects) Determination 2025</w:t>
        </w:r>
      </w:hyperlink>
      <w:r w:rsidR="00882F28" w:rsidRPr="00B41581">
        <w:t xml:space="preserve"> (</w:t>
      </w:r>
      <w:r w:rsidRPr="00EB6D49">
        <w:t>ASOD</w:t>
      </w:r>
      <w:r w:rsidR="00882F28" w:rsidRPr="00B41581">
        <w:t>)</w:t>
      </w:r>
      <w:r w:rsidRPr="00EB6D49">
        <w:t xml:space="preserve"> or the </w:t>
      </w:r>
      <w:hyperlink r:id="rId28" w:history="1">
        <w:r w:rsidR="00882F28" w:rsidRPr="00B41581">
          <w:rPr>
            <w:rStyle w:val="Hyperlink"/>
          </w:rPr>
          <w:t>Radiocommunications (Foreign Space Objects) Determination 2025</w:t>
        </w:r>
      </w:hyperlink>
      <w:r w:rsidR="00882F28" w:rsidRPr="00B41581">
        <w:t xml:space="preserve"> (</w:t>
      </w:r>
      <w:r w:rsidRPr="00EB6D49">
        <w:t>FSOD</w:t>
      </w:r>
      <w:r w:rsidR="00882F28" w:rsidRPr="00B41581">
        <w:t>)</w:t>
      </w:r>
      <w:r w:rsidR="00EA16B2">
        <w:t>.</w:t>
      </w:r>
      <w:r w:rsidR="00967F3F">
        <w:rPr>
          <w:rStyle w:val="FootnoteReference"/>
        </w:rPr>
        <w:footnoteReference w:id="7"/>
      </w:r>
      <w:r w:rsidRPr="00EB6D49">
        <w:t xml:space="preserve"> </w:t>
      </w:r>
      <w:r w:rsidR="000108C0">
        <w:t>I</w:t>
      </w:r>
      <w:r w:rsidR="00406542" w:rsidRPr="00406542">
        <w:t>nclusion</w:t>
      </w:r>
      <w:r w:rsidR="00186524">
        <w:t xml:space="preserve"> of the space object</w:t>
      </w:r>
      <w:r w:rsidR="00406542" w:rsidRPr="00406542">
        <w:t xml:space="preserve"> </w:t>
      </w:r>
      <w:r w:rsidR="000108C0">
        <w:t>in the ASOD or FSOD</w:t>
      </w:r>
      <w:r w:rsidR="00406542" w:rsidRPr="00406542">
        <w:t xml:space="preserve"> is a necessary prerequisite that must be in place before a space or space receive licence can be issued</w:t>
      </w:r>
      <w:r w:rsidR="00406542" w:rsidRPr="00406542" w:rsidDel="001B76BF">
        <w:t>.</w:t>
      </w:r>
      <w:r w:rsidR="00951E95" w:rsidDel="001B76BF">
        <w:t xml:space="preserve"> </w:t>
      </w:r>
      <w:r w:rsidR="000D1DEB">
        <w:t>For this allocation process</w:t>
      </w:r>
      <w:r w:rsidR="00E925B0">
        <w:t>,</w:t>
      </w:r>
      <w:r w:rsidR="001A1362">
        <w:t xml:space="preserve"> </w:t>
      </w:r>
      <w:r w:rsidR="00965549">
        <w:t>this means the ACMA will need to consider whether to amend those legislative instruments.</w:t>
      </w:r>
    </w:p>
    <w:bookmarkEnd w:id="2"/>
    <w:p w14:paraId="7F96EA77" w14:textId="14261037" w:rsidR="00C76FDC" w:rsidRPr="002947C4" w:rsidRDefault="00C76FDC" w:rsidP="00636582">
      <w:pPr>
        <w:pStyle w:val="Executivesummarysubheading"/>
      </w:pPr>
      <w:r w:rsidRPr="00795B31">
        <w:t>Licence term, commencement and renewal</w:t>
      </w:r>
    </w:p>
    <w:p w14:paraId="5BADE598" w14:textId="6F419478" w:rsidR="00C76FDC" w:rsidRPr="005F62F0" w:rsidRDefault="00E156FF" w:rsidP="00F268DF">
      <w:pPr>
        <w:pStyle w:val="Paragraphbeforelist"/>
        <w:rPr>
          <w:b/>
          <w:bCs/>
        </w:rPr>
      </w:pPr>
      <w:r>
        <w:t xml:space="preserve">Under </w:t>
      </w:r>
      <w:r w:rsidR="006A70B9">
        <w:rPr>
          <w:rFonts w:eastAsia="Arial"/>
        </w:rPr>
        <w:t xml:space="preserve">the </w:t>
      </w:r>
      <w:r w:rsidR="006A70B9" w:rsidRPr="00317627">
        <w:rPr>
          <w:rFonts w:eastAsia="Arial"/>
          <w:szCs w:val="22"/>
        </w:rPr>
        <w:t xml:space="preserve">Act, </w:t>
      </w:r>
      <w:r>
        <w:t xml:space="preserve">apparatus licences can be issued for any term up to </w:t>
      </w:r>
      <w:r w:rsidR="001354DD">
        <w:t>2</w:t>
      </w:r>
      <w:r>
        <w:t xml:space="preserve">0 years. </w:t>
      </w:r>
      <w:r w:rsidR="00C76FDC" w:rsidRPr="002053A1">
        <w:t>In determining licence term, we balance a range of factors</w:t>
      </w:r>
      <w:r w:rsidR="00F853ED">
        <w:t>,</w:t>
      </w:r>
      <w:r w:rsidR="00C76FDC" w:rsidRPr="002053A1">
        <w:t xml:space="preserve"> including investment confidence requirements of licensees, current and planned uses of spectrum</w:t>
      </w:r>
      <w:r w:rsidR="00160081">
        <w:t>,</w:t>
      </w:r>
      <w:r w:rsidR="00C76FDC" w:rsidRPr="002053A1">
        <w:t xml:space="preserve"> and efficient use of spectrum.</w:t>
      </w:r>
      <w:r w:rsidR="00C76FDC">
        <w:t xml:space="preserve"> We propose 3 options for licence term: </w:t>
      </w:r>
    </w:p>
    <w:p w14:paraId="394DD68E" w14:textId="77777777" w:rsidR="00C76FDC" w:rsidRPr="00E02566" w:rsidRDefault="00C76FDC" w:rsidP="00C76FDC">
      <w:pPr>
        <w:pStyle w:val="Numberedparagraph"/>
        <w:spacing w:after="80" w:line="280" w:lineRule="atLeast"/>
        <w:ind w:left="284" w:hanging="284"/>
      </w:pPr>
      <w:r w:rsidRPr="00E02566">
        <w:t>5 years</w:t>
      </w:r>
    </w:p>
    <w:p w14:paraId="7A2CD35C" w14:textId="77777777" w:rsidR="00C76FDC" w:rsidRPr="00E02566" w:rsidRDefault="00C76FDC" w:rsidP="00C76FDC">
      <w:pPr>
        <w:pStyle w:val="Numberedparagraph"/>
        <w:spacing w:after="80" w:line="280" w:lineRule="atLeast"/>
        <w:ind w:left="284" w:hanging="284"/>
      </w:pPr>
      <w:r w:rsidRPr="00E02566">
        <w:t>10 years</w:t>
      </w:r>
    </w:p>
    <w:p w14:paraId="24B55F18" w14:textId="61DC6F00" w:rsidR="00C76FDC" w:rsidRDefault="00C76FDC" w:rsidP="00C76FDC">
      <w:pPr>
        <w:pStyle w:val="Numberedparagraph"/>
        <w:spacing w:after="240" w:line="280" w:lineRule="atLeast"/>
        <w:ind w:left="284" w:hanging="284"/>
      </w:pPr>
      <w:r>
        <w:t>Greater than 10 years, up to 20</w:t>
      </w:r>
      <w:r w:rsidR="00EA2125">
        <w:t xml:space="preserve"> </w:t>
      </w:r>
      <w:r>
        <w:t>years.</w:t>
      </w:r>
    </w:p>
    <w:p w14:paraId="5D0DDA22" w14:textId="5BD00DA4" w:rsidR="00C76FDC" w:rsidRDefault="00C76FDC" w:rsidP="00C76FDC">
      <w:pPr>
        <w:pStyle w:val="Paragraph"/>
      </w:pPr>
      <w:r>
        <w:t xml:space="preserve">Our preliminary view is to allocate </w:t>
      </w:r>
      <w:r w:rsidR="00EB0262" w:rsidRPr="00A300D4">
        <w:t>transmitter</w:t>
      </w:r>
      <w:r>
        <w:t xml:space="preserve"> licences with a 5 or 10-year term, commencing as soon as possible after the</w:t>
      </w:r>
      <w:r w:rsidR="005C3FD8">
        <w:t>y are</w:t>
      </w:r>
      <w:r>
        <w:t xml:space="preserve"> issue</w:t>
      </w:r>
      <w:r w:rsidR="005C3FD8">
        <w:t>d</w:t>
      </w:r>
      <w:r>
        <w:t xml:space="preserve">. We propose that no renewal statements are included in licences. </w:t>
      </w:r>
      <w:r w:rsidR="00FC26E5">
        <w:t xml:space="preserve">This will allow </w:t>
      </w:r>
      <w:r w:rsidR="00EA16B2">
        <w:t>us</w:t>
      </w:r>
      <w:r w:rsidR="007447ED">
        <w:t xml:space="preserve"> </w:t>
      </w:r>
      <w:r w:rsidR="00314F50">
        <w:t>to</w:t>
      </w:r>
      <w:r w:rsidR="007447ED">
        <w:t xml:space="preserve"> renew the licences at our </w:t>
      </w:r>
      <w:r w:rsidR="006842EB">
        <w:t>discretion.</w:t>
      </w:r>
      <w:r>
        <w:t xml:space="preserve"> </w:t>
      </w:r>
      <w:r w:rsidR="0044501D">
        <w:t>If matters arise out of the consultation process</w:t>
      </w:r>
      <w:r w:rsidR="00733A70">
        <w:t xml:space="preserve"> where we consider that it would</w:t>
      </w:r>
      <w:r w:rsidR="00111D50">
        <w:t xml:space="preserve"> be</w:t>
      </w:r>
      <w:r w:rsidR="00733A70">
        <w:t xml:space="preserve"> </w:t>
      </w:r>
      <w:r w:rsidR="008603CF">
        <w:t xml:space="preserve">beneficial to do so, </w:t>
      </w:r>
      <w:r w:rsidR="00BA59F7">
        <w:t>w</w:t>
      </w:r>
      <w:r>
        <w:t>e</w:t>
      </w:r>
      <w:r w:rsidRPr="009F4998">
        <w:t xml:space="preserve"> </w:t>
      </w:r>
      <w:r w:rsidR="00BA59F7">
        <w:t>may</w:t>
      </w:r>
      <w:r w:rsidRPr="009F4998">
        <w:t xml:space="preserve"> place an advisory note on each licence that </w:t>
      </w:r>
      <w:r w:rsidR="00BA59F7">
        <w:t>would</w:t>
      </w:r>
      <w:r w:rsidR="00BA59F7" w:rsidRPr="009F4998">
        <w:t xml:space="preserve"> </w:t>
      </w:r>
      <w:r w:rsidRPr="009F4998">
        <w:t>outlin</w:t>
      </w:r>
      <w:r>
        <w:t>e</w:t>
      </w:r>
      <w:r w:rsidRPr="009F4998">
        <w:t xml:space="preserve"> the</w:t>
      </w:r>
      <w:r>
        <w:t xml:space="preserve"> factors</w:t>
      </w:r>
      <w:r w:rsidRPr="009F4998">
        <w:t xml:space="preserve"> that </w:t>
      </w:r>
      <w:r w:rsidR="00EA16B2">
        <w:t>we</w:t>
      </w:r>
      <w:r>
        <w:t xml:space="preserve"> may consider</w:t>
      </w:r>
      <w:r w:rsidRPr="009F4998">
        <w:t xml:space="preserve"> when deciding whether to renew a licence</w:t>
      </w:r>
      <w:r>
        <w:t>.</w:t>
      </w:r>
    </w:p>
    <w:p w14:paraId="32D8D4AE" w14:textId="77777777" w:rsidR="00717920" w:rsidRPr="00347E69" w:rsidRDefault="00717920" w:rsidP="00717920">
      <w:pPr>
        <w:pStyle w:val="Executivesummarysubheading"/>
      </w:pPr>
      <w:r w:rsidRPr="00455D35">
        <w:t>Lot configuration</w:t>
      </w:r>
    </w:p>
    <w:p w14:paraId="4363F82B" w14:textId="1D8B7964" w:rsidR="00717920" w:rsidRPr="007165BC" w:rsidRDefault="00717920" w:rsidP="00717920">
      <w:pPr>
        <w:pStyle w:val="Paragraph"/>
        <w:spacing w:after="80"/>
      </w:pPr>
      <w:r>
        <w:t>We have considered a range of factors i</w:t>
      </w:r>
      <w:r w:rsidRPr="00341B42">
        <w:t xml:space="preserve">n deciding the </w:t>
      </w:r>
      <w:r>
        <w:t xml:space="preserve">proposed </w:t>
      </w:r>
      <w:r w:rsidRPr="00341B42">
        <w:t xml:space="preserve">frequency bandwidth </w:t>
      </w:r>
      <w:r w:rsidRPr="00D41159">
        <w:t xml:space="preserve">configuration for </w:t>
      </w:r>
      <w:r>
        <w:t xml:space="preserve">the </w:t>
      </w:r>
      <w:r w:rsidRPr="00D41159">
        <w:t>apparatus licences to allocate</w:t>
      </w:r>
      <w:r>
        <w:t>. These</w:t>
      </w:r>
      <w:r w:rsidRPr="00D41159">
        <w:t xml:space="preserve"> includ</w:t>
      </w:r>
      <w:r>
        <w:t>e</w:t>
      </w:r>
      <w:r w:rsidRPr="00D41159">
        <w:t xml:space="preserve"> the level of demand </w:t>
      </w:r>
      <w:r>
        <w:t xml:space="preserve">for – </w:t>
      </w:r>
      <w:r w:rsidRPr="00D41159">
        <w:t xml:space="preserve">and technical characteristics of </w:t>
      </w:r>
      <w:r>
        <w:t xml:space="preserve">– </w:t>
      </w:r>
      <w:r w:rsidRPr="00D41159">
        <w:t xml:space="preserve">the </w:t>
      </w:r>
      <w:r>
        <w:t>2 GHz MSS band</w:t>
      </w:r>
      <w:r w:rsidRPr="00D41159">
        <w:t xml:space="preserve">, as well as promoting competition, the range of possible use-cases, and efficient use of the spectrum. </w:t>
      </w:r>
      <w:r w:rsidR="005B6D39">
        <w:t>W</w:t>
      </w:r>
      <w:r w:rsidRPr="00D41159">
        <w:t xml:space="preserve">e are considering </w:t>
      </w:r>
      <w:r w:rsidR="005B6D39">
        <w:br/>
      </w:r>
      <w:r w:rsidRPr="00D41159">
        <w:t>2 options for lot configuration for the allocation of apparatus licences:</w:t>
      </w:r>
    </w:p>
    <w:p w14:paraId="6D34651B" w14:textId="09A3D777" w:rsidR="00717920" w:rsidRPr="00E02566" w:rsidRDefault="00717920" w:rsidP="00717920">
      <w:pPr>
        <w:pStyle w:val="ListNumber"/>
        <w:numPr>
          <w:ilvl w:val="0"/>
          <w:numId w:val="58"/>
        </w:numPr>
        <w:spacing w:line="280" w:lineRule="atLeast"/>
        <w:ind w:left="284" w:hanging="284"/>
      </w:pPr>
      <w:r>
        <w:t>Two</w:t>
      </w:r>
      <w:r w:rsidRPr="00E02566">
        <w:t xml:space="preserve"> frequency-specific lots, one 2</w:t>
      </w:r>
      <w:r w:rsidR="005B6D39">
        <w:t xml:space="preserve"> </w:t>
      </w:r>
      <w:r w:rsidRPr="00E02566">
        <w:t>x</w:t>
      </w:r>
      <w:r w:rsidR="005B6D39">
        <w:t xml:space="preserve"> </w:t>
      </w:r>
      <w:r w:rsidRPr="00E02566">
        <w:t>15 MHz (1980</w:t>
      </w:r>
      <w:r w:rsidR="005B6D39">
        <w:t>–</w:t>
      </w:r>
      <w:r w:rsidRPr="00E02566">
        <w:t>1995 MHz and 2170</w:t>
      </w:r>
      <w:r w:rsidR="005B6D39">
        <w:t>–</w:t>
      </w:r>
      <w:r w:rsidRPr="00E02566">
        <w:t>2185 MHz) and one 2</w:t>
      </w:r>
      <w:r w:rsidR="005B6D39">
        <w:t xml:space="preserve"> </w:t>
      </w:r>
      <w:r w:rsidRPr="00E02566">
        <w:t>x</w:t>
      </w:r>
      <w:r w:rsidR="005B6D39">
        <w:t xml:space="preserve"> </w:t>
      </w:r>
      <w:r w:rsidRPr="00E02566">
        <w:t>10 MHz (1995</w:t>
      </w:r>
      <w:r w:rsidR="005B6D39">
        <w:t>–</w:t>
      </w:r>
      <w:r w:rsidRPr="00E02566">
        <w:t>2005 MHz and 2185</w:t>
      </w:r>
      <w:r w:rsidR="005B6D39">
        <w:t>–</w:t>
      </w:r>
      <w:r w:rsidRPr="00E02566">
        <w:t>2195 MHz).</w:t>
      </w:r>
    </w:p>
    <w:p w14:paraId="0E17B4B2" w14:textId="796C9BA9" w:rsidR="00717920" w:rsidRDefault="00717920" w:rsidP="00717920">
      <w:pPr>
        <w:pStyle w:val="Numberlistlast"/>
      </w:pPr>
      <w:r>
        <w:t>Five</w:t>
      </w:r>
      <w:r w:rsidRPr="00E02566">
        <w:t xml:space="preserve"> generic lots, each 2</w:t>
      </w:r>
      <w:r w:rsidR="005B6D39">
        <w:t xml:space="preserve"> </w:t>
      </w:r>
      <w:r w:rsidRPr="00E02566">
        <w:t>x</w:t>
      </w:r>
      <w:r w:rsidR="005B6D39">
        <w:t xml:space="preserve"> </w:t>
      </w:r>
      <w:r w:rsidRPr="00E02566">
        <w:t>5 MHz.</w:t>
      </w:r>
    </w:p>
    <w:p w14:paraId="3E7BDC1E" w14:textId="519DAEB7" w:rsidR="00717920" w:rsidRDefault="00717920" w:rsidP="00717920">
      <w:pPr>
        <w:pStyle w:val="Paragraph"/>
      </w:pPr>
      <w:r>
        <w:lastRenderedPageBreak/>
        <w:t xml:space="preserve">Our preliminary view </w:t>
      </w:r>
      <w:r w:rsidRPr="00D41159">
        <w:t xml:space="preserve">is to </w:t>
      </w:r>
      <w:r>
        <w:t>allocate licences according to</w:t>
      </w:r>
      <w:r w:rsidRPr="00D41159">
        <w:t xml:space="preserve"> </w:t>
      </w:r>
      <w:r>
        <w:t>the lot configuration described in option 1.</w:t>
      </w:r>
    </w:p>
    <w:p w14:paraId="77762FF4" w14:textId="77777777" w:rsidR="00C76FDC" w:rsidRPr="005049D1" w:rsidRDefault="00C76FDC" w:rsidP="00636582">
      <w:pPr>
        <w:pStyle w:val="Executivesummarysubheading"/>
      </w:pPr>
      <w:r w:rsidRPr="00795B31">
        <w:t>Allocation methodology</w:t>
      </w:r>
    </w:p>
    <w:p w14:paraId="0C1A892C" w14:textId="1B1E1B46" w:rsidR="00C76FDC" w:rsidRPr="00E41135" w:rsidRDefault="00C76FDC" w:rsidP="00C76FDC">
      <w:pPr>
        <w:pStyle w:val="Paragraph"/>
        <w:spacing w:after="80"/>
        <w:rPr>
          <w:b/>
          <w:bCs/>
        </w:rPr>
      </w:pPr>
      <w:r w:rsidRPr="009932B8">
        <w:t>Under the Act, there</w:t>
      </w:r>
      <w:r w:rsidRPr="009932B8" w:rsidDel="00B53F5E">
        <w:t xml:space="preserve"> are 2 possible methods of allocating </w:t>
      </w:r>
      <w:r w:rsidR="00B7635C" w:rsidRPr="001A6DB6">
        <w:t>transmitter</w:t>
      </w:r>
      <w:r w:rsidR="00B7635C" w:rsidRPr="009932B8">
        <w:t xml:space="preserve"> </w:t>
      </w:r>
      <w:r w:rsidRPr="009932B8">
        <w:t>licences</w:t>
      </w:r>
      <w:r>
        <w:t>:</w:t>
      </w:r>
      <w:r w:rsidR="00A7631C">
        <w:t xml:space="preserve"> </w:t>
      </w:r>
      <w:r w:rsidRPr="009932B8">
        <w:t xml:space="preserve">administrative </w:t>
      </w:r>
      <w:r w:rsidRPr="009932B8" w:rsidDel="00827099">
        <w:t xml:space="preserve">allocation </w:t>
      </w:r>
      <w:r w:rsidRPr="009932B8">
        <w:t xml:space="preserve">or price-based </w:t>
      </w:r>
      <w:r w:rsidRPr="009932B8" w:rsidDel="00453C45">
        <w:t>allocation</w:t>
      </w:r>
      <w:r w:rsidRPr="009932B8">
        <w:t xml:space="preserve">. Price-based allocation includes allocation by auction. </w:t>
      </w:r>
      <w:r>
        <w:t xml:space="preserve">We are considering </w:t>
      </w:r>
      <w:r w:rsidR="00045050">
        <w:t xml:space="preserve">2 </w:t>
      </w:r>
      <w:r>
        <w:t>options for allocation method</w:t>
      </w:r>
      <w:r w:rsidR="00016E5D">
        <w:t xml:space="preserve"> </w:t>
      </w:r>
      <w:r w:rsidR="00016E5D" w:rsidRPr="0048096F">
        <w:t>for space licences</w:t>
      </w:r>
      <w:r>
        <w:t>:</w:t>
      </w:r>
    </w:p>
    <w:p w14:paraId="710D1541" w14:textId="77777777" w:rsidR="00C76FDC" w:rsidRPr="00E02566" w:rsidRDefault="00C76FDC" w:rsidP="00C76FDC">
      <w:pPr>
        <w:pStyle w:val="ListNumber"/>
        <w:numPr>
          <w:ilvl w:val="0"/>
          <w:numId w:val="57"/>
        </w:numPr>
        <w:spacing w:line="280" w:lineRule="atLeast"/>
        <w:ind w:left="284" w:hanging="284"/>
      </w:pPr>
      <w:r w:rsidRPr="00E02566">
        <w:t>An administrative allocation.</w:t>
      </w:r>
    </w:p>
    <w:p w14:paraId="65E210AC" w14:textId="3A63D3BF" w:rsidR="00C76FDC" w:rsidRDefault="00C76FDC" w:rsidP="00C76FDC">
      <w:pPr>
        <w:pStyle w:val="Numberlistlast"/>
      </w:pPr>
      <w:r w:rsidRPr="00E02566">
        <w:t xml:space="preserve">A price-based allocation </w:t>
      </w:r>
      <w:r>
        <w:t xml:space="preserve">via auction, </w:t>
      </w:r>
      <w:r w:rsidRPr="00E02566">
        <w:t xml:space="preserve">with </w:t>
      </w:r>
      <w:r>
        <w:t xml:space="preserve">allocation for </w:t>
      </w:r>
      <w:r w:rsidRPr="00E02566">
        <w:t>a pre-determined price</w:t>
      </w:r>
      <w:r w:rsidR="00A436C6">
        <w:t>, where possible,</w:t>
      </w:r>
      <w:r w:rsidRPr="00E02566">
        <w:t xml:space="preserve"> if the demand does not exceed supply.</w:t>
      </w:r>
    </w:p>
    <w:p w14:paraId="2CA68AA0" w14:textId="1B8667CE" w:rsidR="00C76FDC" w:rsidRDefault="00C76FDC" w:rsidP="00C76FDC">
      <w:pPr>
        <w:pStyle w:val="Paragraph"/>
      </w:pPr>
      <w:r>
        <w:t xml:space="preserve">Our </w:t>
      </w:r>
      <w:r w:rsidRPr="00805F64">
        <w:t xml:space="preserve">preliminary view </w:t>
      </w:r>
      <w:r>
        <w:t>is a</w:t>
      </w:r>
      <w:r w:rsidRPr="005944B1">
        <w:t xml:space="preserve"> price-based allocation </w:t>
      </w:r>
      <w:r>
        <w:t xml:space="preserve">of space licences </w:t>
      </w:r>
      <w:r w:rsidRPr="005944B1">
        <w:t>via auction, with allocation for a pre-determined price if the demand does not exceed supply</w:t>
      </w:r>
      <w:r w:rsidRPr="00435DE5">
        <w:t>.</w:t>
      </w:r>
      <w:r>
        <w:t xml:space="preserve"> Following the allocation of space licences, winning bidders can apply to the ACMA for space receive licences, which would be allocated administrative</w:t>
      </w:r>
      <w:r w:rsidR="0053156F">
        <w:t>ly</w:t>
      </w:r>
      <w:r>
        <w:t xml:space="preserve">. </w:t>
      </w:r>
    </w:p>
    <w:p w14:paraId="0C20E46F" w14:textId="77777777" w:rsidR="00C76FDC" w:rsidRDefault="00C76FDC" w:rsidP="00C76FDC">
      <w:pPr>
        <w:pStyle w:val="Paragraph"/>
      </w:pPr>
      <w:r w:rsidRPr="00571A04">
        <w:t xml:space="preserve">We have not yet formed a view on </w:t>
      </w:r>
      <w:r>
        <w:t>the auction format that would be used. We are seeking stakeholder views on this matter, noting a preference for a particular lot configuration may impact the auction format options available.</w:t>
      </w:r>
    </w:p>
    <w:p w14:paraId="00915E37" w14:textId="3EDF0B6B" w:rsidR="00B27A3D" w:rsidRDefault="00B27A3D" w:rsidP="00C76FDC">
      <w:pPr>
        <w:pStyle w:val="Paragraph"/>
      </w:pPr>
      <w:r w:rsidRPr="00B27A3D">
        <w:t>In addition, the ACMA may also consider whether to apply allocation limits and will consult the ACCC on such matters.</w:t>
      </w:r>
    </w:p>
    <w:p w14:paraId="64E834AA" w14:textId="77777777" w:rsidR="00C76FDC" w:rsidRPr="001B275E" w:rsidRDefault="00C76FDC" w:rsidP="00636582">
      <w:pPr>
        <w:pStyle w:val="Executivesummarysubheading"/>
      </w:pPr>
      <w:r w:rsidRPr="00816444">
        <w:t>CGC and DA2GC arrangements</w:t>
      </w:r>
    </w:p>
    <w:p w14:paraId="3B393C65" w14:textId="77777777" w:rsidR="00C76FDC" w:rsidRPr="009D5F59" w:rsidRDefault="00C76FDC" w:rsidP="00C76FDC">
      <w:pPr>
        <w:pStyle w:val="Paragraph"/>
        <w:rPr>
          <w:b/>
          <w:bCs/>
        </w:rPr>
      </w:pPr>
      <w:r>
        <w:t>We have not yet formed a view on licensing arrangements and other matters associated with CGC/DA2GC. We are seeking further information from stakeholders looking to provide MSS about their level of interest in CGC or DA2GC, possible use-cases, and the arrangements needed to support those use-cases.</w:t>
      </w:r>
    </w:p>
    <w:bookmarkEnd w:id="1"/>
    <w:p w14:paraId="24DA133C" w14:textId="2944738E" w:rsidR="008B5ECD" w:rsidRDefault="008B5ECD" w:rsidP="008B5ECD">
      <w:pPr>
        <w:pStyle w:val="Executivesummarysubheading"/>
      </w:pPr>
      <w:r>
        <w:t>Space regulatory matters</w:t>
      </w:r>
    </w:p>
    <w:p w14:paraId="5D20BC16" w14:textId="6F118590" w:rsidR="008B5ECD" w:rsidRDefault="008B5ECD" w:rsidP="008B5ECD">
      <w:pPr>
        <w:pStyle w:val="Paragraph"/>
      </w:pPr>
      <w:r w:rsidRPr="009A7F58">
        <w:t xml:space="preserve">We are exploring options to identify entities that may wish to operate in the 2 GHz MSS band and their associated </w:t>
      </w:r>
      <w:r w:rsidR="007E410C" w:rsidRPr="007E410C">
        <w:t>International Telecommunication Union</w:t>
      </w:r>
      <w:r w:rsidR="000F261B">
        <w:t xml:space="preserve"> (</w:t>
      </w:r>
      <w:r w:rsidRPr="009A7F58">
        <w:t>ITU</w:t>
      </w:r>
      <w:r w:rsidR="000F261B">
        <w:t>)</w:t>
      </w:r>
      <w:r w:rsidRPr="009A7F58">
        <w:t xml:space="preserve"> satellite filings, ahead of commencing an allocation process.</w:t>
      </w:r>
      <w:r w:rsidR="00FB2507">
        <w:t xml:space="preserve"> </w:t>
      </w:r>
      <w:r w:rsidR="00660CF4">
        <w:t xml:space="preserve">Such information is required to assist us in understanding matters that could influence our allocation design considerations </w:t>
      </w:r>
      <w:r w:rsidR="00774299">
        <w:t xml:space="preserve">such as </w:t>
      </w:r>
      <w:r w:rsidR="00F07B97">
        <w:t>the prerequisite</w:t>
      </w:r>
      <w:r w:rsidR="00660CF4">
        <w:t xml:space="preserve"> requirement to be included in the ASOD/FSOD </w:t>
      </w:r>
      <w:r w:rsidR="00660CF4" w:rsidRPr="00406542">
        <w:t>before a space or space receive licence can be issued</w:t>
      </w:r>
      <w:r w:rsidR="00660CF4" w:rsidRPr="00406542" w:rsidDel="001B76BF">
        <w:t>.</w:t>
      </w:r>
      <w:r w:rsidR="00BE0762">
        <w:t xml:space="preserve"> </w:t>
      </w:r>
    </w:p>
    <w:p w14:paraId="4BDC8949" w14:textId="455C23DF" w:rsidR="008B5ECD" w:rsidRPr="00364FE9" w:rsidRDefault="008B5ECD" w:rsidP="008B5ECD">
      <w:pPr>
        <w:pStyle w:val="Paragraph"/>
      </w:pPr>
      <w:r w:rsidRPr="00364FE9">
        <w:t xml:space="preserve">When considering updating the ASOD and FSOD </w:t>
      </w:r>
      <w:r w:rsidR="007E40E3">
        <w:t>f</w:t>
      </w:r>
      <w:r w:rsidR="0093757F">
        <w:t>or</w:t>
      </w:r>
      <w:r w:rsidR="00674276">
        <w:t xml:space="preserve"> inclusion of persons requiring</w:t>
      </w:r>
      <w:r w:rsidR="0093757F">
        <w:t xml:space="preserve"> </w:t>
      </w:r>
      <w:r w:rsidRPr="00364FE9">
        <w:t>space and space receive licences there are a number of matters that we consider.</w:t>
      </w:r>
      <w:r w:rsidRPr="00364FE9">
        <w:rPr>
          <w:rStyle w:val="FootnoteReference"/>
        </w:rPr>
        <w:footnoteReference w:id="8"/>
      </w:r>
      <w:r w:rsidRPr="00364FE9">
        <w:t xml:space="preserve"> In addition, we </w:t>
      </w:r>
      <w:r w:rsidR="00624F5A">
        <w:t xml:space="preserve">may </w:t>
      </w:r>
      <w:r w:rsidRPr="00364FE9">
        <w:t xml:space="preserve">consider requirements </w:t>
      </w:r>
      <w:r w:rsidR="00F4083B" w:rsidRPr="00364FE9">
        <w:t xml:space="preserve">specifically for the 2 GHz MSS band </w:t>
      </w:r>
      <w:r w:rsidRPr="00364FE9">
        <w:t>to facilitate the use of the spectrum in a timely manner</w:t>
      </w:r>
      <w:r w:rsidR="00F4083B">
        <w:t>. These include</w:t>
      </w:r>
      <w:r w:rsidRPr="00364FE9">
        <w:t xml:space="preserve"> requir</w:t>
      </w:r>
      <w:r w:rsidR="00F4083B">
        <w:t xml:space="preserve">ing </w:t>
      </w:r>
      <w:r w:rsidR="0038212D">
        <w:t>an operator’s</w:t>
      </w:r>
      <w:r w:rsidRPr="00364FE9">
        <w:t xml:space="preserve"> satellite system to have been </w:t>
      </w:r>
      <w:bookmarkStart w:id="3" w:name="_Hlk200534376"/>
      <w:r w:rsidRPr="00364FE9">
        <w:t xml:space="preserve">brought into use in the 2 GHz MSS band </w:t>
      </w:r>
      <w:bookmarkEnd w:id="3"/>
      <w:r w:rsidRPr="00364FE9">
        <w:t>for a service area that includes Australia.</w:t>
      </w:r>
      <w:r w:rsidRPr="00364FE9">
        <w:rPr>
          <w:rStyle w:val="FootnoteReference"/>
        </w:rPr>
        <w:footnoteReference w:id="9"/>
      </w:r>
      <w:r w:rsidRPr="00364FE9">
        <w:t xml:space="preserve"> The purpose </w:t>
      </w:r>
      <w:r w:rsidR="00E22F25">
        <w:t xml:space="preserve">of these requirements would be </w:t>
      </w:r>
      <w:r w:rsidRPr="00364FE9">
        <w:t xml:space="preserve">to minimise any delay in the public benefit being </w:t>
      </w:r>
      <w:r w:rsidRPr="00364FE9">
        <w:lastRenderedPageBreak/>
        <w:t xml:space="preserve">derived from the use of the spectrum. </w:t>
      </w:r>
      <w:r w:rsidR="00966CA5">
        <w:t>S</w:t>
      </w:r>
      <w:r w:rsidR="00A83D9A" w:rsidRPr="00A83D9A">
        <w:t>ince we made the planning decision in January 2021, we want to re-test the market to understand how many providers have brought satellite systems into use, or are in the process of doing so</w:t>
      </w:r>
      <w:r w:rsidR="007A7ED9">
        <w:t>.</w:t>
      </w:r>
      <w:r w:rsidRPr="00364FE9">
        <w:t xml:space="preserve"> </w:t>
      </w:r>
    </w:p>
    <w:p w14:paraId="10F6A5E5" w14:textId="638BA5DD" w:rsidR="008B5ECD" w:rsidRPr="00364FE9" w:rsidRDefault="008B5ECD" w:rsidP="008B5ECD">
      <w:pPr>
        <w:pStyle w:val="Paragraph"/>
      </w:pPr>
      <w:r w:rsidRPr="00364FE9">
        <w:t xml:space="preserve">While we still consider inclusion in the ASOD or FSOD as a prerequisite that must be in place before a space or space receive licence can be issued, we need to further consider what are appropriate </w:t>
      </w:r>
      <w:r w:rsidR="008C1971">
        <w:t>measures</w:t>
      </w:r>
      <w:r w:rsidR="008C1971" w:rsidRPr="00364FE9">
        <w:t xml:space="preserve"> </w:t>
      </w:r>
      <w:r w:rsidRPr="00364FE9">
        <w:t xml:space="preserve">to ensure that all relevant matters </w:t>
      </w:r>
      <w:r w:rsidR="00006725">
        <w:t xml:space="preserve">to participate in the allocation process </w:t>
      </w:r>
      <w:r w:rsidRPr="00364FE9">
        <w:t>have been considered before commencement of an allocation process. Our preliminary view on what are relevant matter</w:t>
      </w:r>
      <w:r w:rsidRPr="00CB3F5E">
        <w:t xml:space="preserve">s are set out in </w:t>
      </w:r>
      <w:r w:rsidR="004647BA" w:rsidRPr="00CB3F5E">
        <w:t xml:space="preserve">the </w:t>
      </w:r>
      <w:r w:rsidRPr="00CB3F5E">
        <w:t>section on Technical and space regulatory matters</w:t>
      </w:r>
      <w:r w:rsidR="00364FE9" w:rsidRPr="00CB3F5E">
        <w:t>.</w:t>
      </w:r>
    </w:p>
    <w:p w14:paraId="6146EC39" w14:textId="28B8FB58" w:rsidR="008B5ECD" w:rsidRPr="00BA1BBE" w:rsidRDefault="008B5ECD" w:rsidP="008B5ECD">
      <w:pPr>
        <w:pStyle w:val="Paragraph"/>
      </w:pPr>
      <w:r w:rsidRPr="00364FE9">
        <w:t>We are seeking stakeholder views on these matters. Stakeholders should be aware that depending on how these requirements are implemented that additional information may be required even for entities already listed in the ASOD and FSOD.</w:t>
      </w:r>
      <w:r w:rsidRPr="001619F9">
        <w:t xml:space="preserve"> </w:t>
      </w:r>
    </w:p>
    <w:p w14:paraId="5760D378" w14:textId="25F353D1" w:rsidR="00BA1BBE" w:rsidRPr="00BA1BBE" w:rsidRDefault="00BA1BBE" w:rsidP="00BA0C43">
      <w:pPr>
        <w:pStyle w:val="Executivesummarysubheading"/>
      </w:pPr>
      <w:r w:rsidRPr="00BA1BBE">
        <w:t>Technical matters</w:t>
      </w:r>
    </w:p>
    <w:p w14:paraId="389D9A08" w14:textId="46C31926" w:rsidR="00BA1BBE" w:rsidRPr="00BA1BBE" w:rsidRDefault="00BA1BBE" w:rsidP="00342019">
      <w:pPr>
        <w:pStyle w:val="Paragraphbeforelist"/>
      </w:pPr>
      <w:r w:rsidRPr="00BA1BBE">
        <w:t xml:space="preserve">As outlined in our November 2023 </w:t>
      </w:r>
      <w:r w:rsidR="005B6D39">
        <w:t>d</w:t>
      </w:r>
      <w:r w:rsidR="00696406">
        <w:t>iscussion paper</w:t>
      </w:r>
      <w:r w:rsidR="00126347">
        <w:t>, w</w:t>
      </w:r>
      <w:r w:rsidR="0055137B">
        <w:t>e propose</w:t>
      </w:r>
      <w:r w:rsidR="001A04E3">
        <w:t xml:space="preserve"> w</w:t>
      </w:r>
      <w:r w:rsidR="00CD683D">
        <w:t>h</w:t>
      </w:r>
      <w:r w:rsidR="001A04E3">
        <w:t>ere possible</w:t>
      </w:r>
      <w:r w:rsidR="0055137B">
        <w:t xml:space="preserve"> to align technical parameter</w:t>
      </w:r>
      <w:r w:rsidR="0009256F">
        <w:t>s</w:t>
      </w:r>
      <w:r w:rsidR="0055137B">
        <w:t xml:space="preserve"> with those of the adjacent 2 GHz spectrum licensing technical framework. </w:t>
      </w:r>
      <w:r w:rsidR="006D564C">
        <w:t>O</w:t>
      </w:r>
      <w:r w:rsidR="006D564C" w:rsidRPr="00BA1BBE">
        <w:t xml:space="preserve">ur </w:t>
      </w:r>
      <w:r w:rsidR="006D7048">
        <w:t xml:space="preserve">proposed </w:t>
      </w:r>
      <w:r w:rsidRPr="00BA1BBE">
        <w:t xml:space="preserve">broad approach to developing a technical framework for </w:t>
      </w:r>
      <w:r w:rsidR="00CE7CE8">
        <w:t xml:space="preserve">the </w:t>
      </w:r>
      <w:r w:rsidR="005B6D39">
        <w:br/>
      </w:r>
      <w:r w:rsidRPr="00BA1BBE">
        <w:t xml:space="preserve">2 GHz MSS </w:t>
      </w:r>
      <w:r w:rsidR="00CE7CE8">
        <w:t>band</w:t>
      </w:r>
      <w:r w:rsidRPr="00BA1BBE">
        <w:t xml:space="preserve"> is </w:t>
      </w:r>
      <w:r w:rsidR="00744C0C">
        <w:t>as follows</w:t>
      </w:r>
      <w:r w:rsidRPr="00BA1BBE">
        <w:t>:</w:t>
      </w:r>
    </w:p>
    <w:p w14:paraId="112AECEA" w14:textId="2AF206AC" w:rsidR="00BA1BBE" w:rsidRPr="00BA1BBE" w:rsidRDefault="00920833" w:rsidP="00DF5510">
      <w:pPr>
        <w:pStyle w:val="Paragraph"/>
        <w:numPr>
          <w:ilvl w:val="0"/>
          <w:numId w:val="72"/>
        </w:numPr>
        <w:spacing w:after="80"/>
        <w:ind w:left="284" w:hanging="284"/>
      </w:pPr>
      <w:r>
        <w:t>To h</w:t>
      </w:r>
      <w:r w:rsidRPr="00BA1BBE">
        <w:t>ave</w:t>
      </w:r>
      <w:r w:rsidR="00BA1BBE" w:rsidRPr="00BA1BBE">
        <w:t xml:space="preserve"> regard to ITU requirements for the satellite component of IMT-2020,</w:t>
      </w:r>
      <w:r w:rsidR="00BA1BBE" w:rsidRPr="00BA1BBE">
        <w:rPr>
          <w:vertAlign w:val="superscript"/>
        </w:rPr>
        <w:footnoteReference w:id="10"/>
      </w:r>
      <w:r w:rsidR="00BA1BBE" w:rsidRPr="00BA1BBE">
        <w:t xml:space="preserve"> 3GPP </w:t>
      </w:r>
      <w:r w:rsidR="005B6D39">
        <w:br/>
      </w:r>
      <w:r w:rsidR="00BA1BBE" w:rsidRPr="00BA1BBE">
        <w:t xml:space="preserve">work on 2 GHz non-terrestrial network and European arrangements for 2 GHz MSS (including CGC). </w:t>
      </w:r>
    </w:p>
    <w:p w14:paraId="36CF95D7" w14:textId="0F72DAA0" w:rsidR="00BA1BBE" w:rsidRPr="00BA1BBE" w:rsidRDefault="00BA1BBE" w:rsidP="00DF5510">
      <w:pPr>
        <w:pStyle w:val="Paragraph"/>
        <w:numPr>
          <w:ilvl w:val="0"/>
          <w:numId w:val="72"/>
        </w:numPr>
        <w:spacing w:after="80"/>
        <w:ind w:left="284" w:hanging="284"/>
      </w:pPr>
      <w:r w:rsidRPr="00BA1BBE">
        <w:t xml:space="preserve">Where possible, to facilitate coexistence with adjacent 2 GHz spectrum </w:t>
      </w:r>
      <w:r w:rsidR="0065029E">
        <w:t>licences</w:t>
      </w:r>
      <w:r w:rsidRPr="00BA1BBE">
        <w:t>, the technical framework for</w:t>
      </w:r>
      <w:r w:rsidR="00702607">
        <w:t xml:space="preserve"> the</w:t>
      </w:r>
      <w:r w:rsidRPr="00BA1BBE">
        <w:t xml:space="preserve"> 2 GHz MSS band should align with the 2 GHz spectrum licensing framework</w:t>
      </w:r>
      <w:r w:rsidR="00622A13">
        <w:t>.</w:t>
      </w:r>
    </w:p>
    <w:p w14:paraId="54B421DC" w14:textId="1FDEE4DB" w:rsidR="00BA1BBE" w:rsidRPr="00BA1BBE" w:rsidRDefault="00BA1BBE" w:rsidP="00DF5510">
      <w:pPr>
        <w:pStyle w:val="Paragraph"/>
        <w:numPr>
          <w:ilvl w:val="0"/>
          <w:numId w:val="72"/>
        </w:numPr>
        <w:spacing w:after="80"/>
        <w:ind w:left="284" w:hanging="284"/>
      </w:pPr>
      <w:r w:rsidRPr="00BA1BBE">
        <w:t>Coordination requirements with other spectrum uses (such as television outside broadcasting</w:t>
      </w:r>
      <w:r w:rsidR="0069787A">
        <w:t xml:space="preserve"> (TOB)</w:t>
      </w:r>
      <w:r w:rsidRPr="00BA1BBE">
        <w:t xml:space="preserve">, earth </w:t>
      </w:r>
      <w:r w:rsidR="0065029E">
        <w:t>receive</w:t>
      </w:r>
      <w:r w:rsidRPr="00BA1BBE">
        <w:t xml:space="preserve"> station, existing fixed point-to-point links, </w:t>
      </w:r>
      <w:r w:rsidR="00C25E17">
        <w:t xml:space="preserve">or </w:t>
      </w:r>
      <w:r w:rsidRPr="00BA1BBE">
        <w:t xml:space="preserve">the </w:t>
      </w:r>
      <w:r w:rsidR="00C25E17">
        <w:t>Australian R</w:t>
      </w:r>
      <w:r w:rsidRPr="00BA1BBE">
        <w:t xml:space="preserve">adio </w:t>
      </w:r>
      <w:r w:rsidR="00C25E17">
        <w:t>Q</w:t>
      </w:r>
      <w:r w:rsidRPr="00BA1BBE">
        <w:t xml:space="preserve">uiet </w:t>
      </w:r>
      <w:r w:rsidR="00C25E17">
        <w:t>Z</w:t>
      </w:r>
      <w:r w:rsidRPr="00BA1BBE">
        <w:t>one</w:t>
      </w:r>
      <w:r w:rsidR="00C25E17">
        <w:t xml:space="preserve"> – Western Australia</w:t>
      </w:r>
      <w:r w:rsidR="0054679C">
        <w:t xml:space="preserve"> (</w:t>
      </w:r>
      <w:r w:rsidR="008F3580">
        <w:t>A</w:t>
      </w:r>
      <w:r w:rsidR="0054679C">
        <w:t>RQZ</w:t>
      </w:r>
      <w:r w:rsidR="008F3580">
        <w:t>WA</w:t>
      </w:r>
      <w:r w:rsidR="0054679C">
        <w:t>)</w:t>
      </w:r>
      <w:r w:rsidRPr="00BA1BBE">
        <w:t>) may result in additional obligations (for example</w:t>
      </w:r>
      <w:r w:rsidR="00E81D0E">
        <w:t>,</w:t>
      </w:r>
      <w:r w:rsidRPr="00BA1BBE">
        <w:t xml:space="preserve"> more stringent out of band emission limits).</w:t>
      </w:r>
    </w:p>
    <w:p w14:paraId="1D83DD13" w14:textId="0BF3EBE0" w:rsidR="00BA1BBE" w:rsidRDefault="00BA1BBE" w:rsidP="00DF5510">
      <w:pPr>
        <w:pStyle w:val="Paragraph"/>
        <w:numPr>
          <w:ilvl w:val="0"/>
          <w:numId w:val="72"/>
        </w:numPr>
        <w:spacing w:after="80"/>
        <w:ind w:left="284" w:hanging="284"/>
      </w:pPr>
      <w:r w:rsidRPr="00BA1BBE">
        <w:t>Where possible</w:t>
      </w:r>
      <w:r w:rsidR="008729F4">
        <w:t>,</w:t>
      </w:r>
      <w:r w:rsidRPr="00BA1BBE">
        <w:t xml:space="preserve"> </w:t>
      </w:r>
      <w:r w:rsidR="008F3580">
        <w:t xml:space="preserve">we will </w:t>
      </w:r>
      <w:r w:rsidRPr="00BA1BBE">
        <w:t xml:space="preserve">design a technical framework </w:t>
      </w:r>
      <w:r w:rsidR="00E46154">
        <w:t>that</w:t>
      </w:r>
      <w:r w:rsidRPr="00BA1BBE">
        <w:t xml:space="preserve"> is capable of supporting equipment operating in accordance </w:t>
      </w:r>
      <w:r w:rsidR="008F3580">
        <w:t>with</w:t>
      </w:r>
      <w:r w:rsidRPr="00BA1BBE">
        <w:t xml:space="preserve"> requirements for 3GPP band n256 (non-terrestrial networks supporting MSS) and band 65/n65 for terrestrial networks </w:t>
      </w:r>
      <w:r w:rsidR="005B6D39">
        <w:br/>
      </w:r>
      <w:r w:rsidRPr="00BA1BBE">
        <w:t>(supporting CGC).</w:t>
      </w:r>
      <w:r w:rsidRPr="00BA1BBE">
        <w:rPr>
          <w:vertAlign w:val="superscript"/>
        </w:rPr>
        <w:footnoteReference w:id="11"/>
      </w:r>
    </w:p>
    <w:p w14:paraId="2A005393" w14:textId="76412B4F" w:rsidR="00126347" w:rsidRPr="00BA1BBE" w:rsidRDefault="00126347" w:rsidP="00DF5510">
      <w:pPr>
        <w:pStyle w:val="Paragraph"/>
        <w:numPr>
          <w:ilvl w:val="0"/>
          <w:numId w:val="72"/>
        </w:numPr>
        <w:ind w:left="284" w:hanging="284"/>
      </w:pPr>
      <w:r>
        <w:t>Mobile earth station</w:t>
      </w:r>
      <w:r w:rsidR="00640DF6">
        <w:t>s</w:t>
      </w:r>
      <w:r>
        <w:t xml:space="preserve"> (operating in the frequency range 1980</w:t>
      </w:r>
      <w:r w:rsidR="005B6D39">
        <w:t>–</w:t>
      </w:r>
      <w:r>
        <w:t xml:space="preserve">2005 MHz) </w:t>
      </w:r>
      <w:r w:rsidR="008F3580">
        <w:t xml:space="preserve">will </w:t>
      </w:r>
      <w:r>
        <w:t xml:space="preserve">have a </w:t>
      </w:r>
      <w:r w:rsidRPr="00716374">
        <w:t>total radiated power less than or equal to 25 dBm per occupied bandwidth</w:t>
      </w:r>
      <w:r>
        <w:t xml:space="preserve">. </w:t>
      </w:r>
    </w:p>
    <w:p w14:paraId="21651C13" w14:textId="14B0F9CA" w:rsidR="002F4235" w:rsidRDefault="00BA1BBE" w:rsidP="00BA1BBE">
      <w:pPr>
        <w:pStyle w:val="Paragraph"/>
      </w:pPr>
      <w:r w:rsidRPr="00BA1BBE">
        <w:t xml:space="preserve">As we have not formed a view on </w:t>
      </w:r>
      <w:r w:rsidR="00E96CDB">
        <w:t xml:space="preserve">how best </w:t>
      </w:r>
      <w:r w:rsidR="000519F1">
        <w:t xml:space="preserve">to </w:t>
      </w:r>
      <w:r w:rsidRPr="00BA1BBE">
        <w:t>support CGC/DA2GC</w:t>
      </w:r>
      <w:r w:rsidR="00CB31C3">
        <w:t>,</w:t>
      </w:r>
      <w:r w:rsidRPr="00BA1BBE">
        <w:t xml:space="preserve"> we have not further </w:t>
      </w:r>
      <w:r w:rsidR="00974FA7">
        <w:t>developed</w:t>
      </w:r>
      <w:r w:rsidRPr="00BA1BBE">
        <w:t xml:space="preserve"> requirement</w:t>
      </w:r>
      <w:r w:rsidR="00974FA7">
        <w:t>s</w:t>
      </w:r>
      <w:r w:rsidRPr="00BA1BBE">
        <w:t xml:space="preserve"> for CGC/DA2GC beyond what we </w:t>
      </w:r>
      <w:r w:rsidR="00DC0FEF">
        <w:t>set out</w:t>
      </w:r>
      <w:r w:rsidR="00DC0FEF" w:rsidRPr="00BA1BBE">
        <w:t xml:space="preserve"> </w:t>
      </w:r>
      <w:r w:rsidRPr="00BA1BBE">
        <w:t xml:space="preserve">in the November 2023 </w:t>
      </w:r>
      <w:r w:rsidR="005B6D39">
        <w:t>d</w:t>
      </w:r>
      <w:r w:rsidR="00EE6280">
        <w:t>iscussion paper</w:t>
      </w:r>
      <w:r w:rsidRPr="00BA1BBE">
        <w:t xml:space="preserve">. </w:t>
      </w:r>
      <w:r w:rsidR="00A54729">
        <w:t>Similarly,</w:t>
      </w:r>
      <w:r w:rsidR="00A07BF5">
        <w:t xml:space="preserve"> a</w:t>
      </w:r>
      <w:r w:rsidR="002F4235">
        <w:t xml:space="preserve">s </w:t>
      </w:r>
      <w:r w:rsidR="002931A7">
        <w:t xml:space="preserve">coordination </w:t>
      </w:r>
      <w:r w:rsidR="001C603F">
        <w:t xml:space="preserve">requirements proposed </w:t>
      </w:r>
      <w:r w:rsidR="00A07BF5">
        <w:t xml:space="preserve">in the </w:t>
      </w:r>
      <w:r w:rsidR="00044846">
        <w:t xml:space="preserve">paper </w:t>
      </w:r>
      <w:r w:rsidR="001C603F">
        <w:t xml:space="preserve">are predominately about </w:t>
      </w:r>
      <w:r w:rsidR="001C603F" w:rsidRPr="00BA1BBE">
        <w:t>CGC/DA2GC</w:t>
      </w:r>
      <w:r w:rsidR="00ED15E3">
        <w:t>,</w:t>
      </w:r>
      <w:r w:rsidR="001C603F">
        <w:t xml:space="preserve"> </w:t>
      </w:r>
      <w:r w:rsidR="00A54729">
        <w:t>we have not progress</w:t>
      </w:r>
      <w:r w:rsidR="00ED15E3">
        <w:t>ed</w:t>
      </w:r>
      <w:r w:rsidR="00A54729">
        <w:t xml:space="preserve"> work on developing coordination requirements beyond </w:t>
      </w:r>
      <w:r w:rsidR="00A54729" w:rsidRPr="00BA1BBE">
        <w:t>w</w:t>
      </w:r>
      <w:r w:rsidR="00A54729">
        <w:t>hat w</w:t>
      </w:r>
      <w:r w:rsidR="00A54729" w:rsidRPr="00BA1BBE">
        <w:t xml:space="preserve">e </w:t>
      </w:r>
      <w:r w:rsidR="00A54729">
        <w:t>set out</w:t>
      </w:r>
      <w:r w:rsidR="00A54729" w:rsidRPr="00BA1BBE">
        <w:t xml:space="preserve"> in the </w:t>
      </w:r>
      <w:r w:rsidR="005B6D39">
        <w:t>d</w:t>
      </w:r>
      <w:r w:rsidR="007562A2">
        <w:t>iscussion paper</w:t>
      </w:r>
      <w:r w:rsidR="00A54729">
        <w:t>.</w:t>
      </w:r>
    </w:p>
    <w:p w14:paraId="66C4E7CF" w14:textId="6EED85E9" w:rsidR="00BA1BBE" w:rsidRDefault="00450266" w:rsidP="00BA1BBE">
      <w:pPr>
        <w:pStyle w:val="Paragraph"/>
      </w:pPr>
      <w:r>
        <w:t>Those</w:t>
      </w:r>
      <w:r w:rsidR="00BA1BBE" w:rsidRPr="00BA1BBE">
        <w:t xml:space="preserve"> </w:t>
      </w:r>
      <w:r w:rsidR="001E0BCA">
        <w:t>proposed</w:t>
      </w:r>
      <w:r w:rsidR="001E0BCA" w:rsidRPr="00BA1BBE">
        <w:t xml:space="preserve"> </w:t>
      </w:r>
      <w:r w:rsidR="00BA1BBE" w:rsidRPr="00BA1BBE">
        <w:t xml:space="preserve">requirements are </w:t>
      </w:r>
      <w:r w:rsidR="001E0BCA">
        <w:t>outlined</w:t>
      </w:r>
      <w:r w:rsidR="001E0BCA" w:rsidRPr="00BA1BBE">
        <w:t xml:space="preserve"> </w:t>
      </w:r>
      <w:r w:rsidR="00BA1BBE" w:rsidRPr="00BA1BBE">
        <w:t xml:space="preserve">in this paper to assist stakeholders considering </w:t>
      </w:r>
      <w:r w:rsidR="008F0E09" w:rsidRPr="008F0E09">
        <w:t>possible deployment of</w:t>
      </w:r>
      <w:r w:rsidR="009260F8">
        <w:t xml:space="preserve"> </w:t>
      </w:r>
      <w:r w:rsidR="00BA1BBE" w:rsidRPr="00BA1BBE">
        <w:t>CGC/DA2GC</w:t>
      </w:r>
      <w:r w:rsidR="008F0E09">
        <w:t xml:space="preserve"> services</w:t>
      </w:r>
      <w:r w:rsidR="00BA1BBE" w:rsidRPr="00BA1BBE">
        <w:t>.</w:t>
      </w:r>
    </w:p>
    <w:p w14:paraId="2AFDDC19" w14:textId="4B57578F" w:rsidR="00BA1BBE" w:rsidRPr="00DE6281" w:rsidRDefault="00BA1BBE" w:rsidP="00342019">
      <w:pPr>
        <w:pStyle w:val="Executivesummarysubheading"/>
        <w:keepNext/>
        <w:keepLines/>
      </w:pPr>
      <w:r w:rsidRPr="00DE6281">
        <w:lastRenderedPageBreak/>
        <w:t>Review of 2 GHz narrowband MSS arrangements</w:t>
      </w:r>
      <w:r w:rsidR="002000B5">
        <w:t xml:space="preserve"> </w:t>
      </w:r>
      <w:r w:rsidR="002000B5" w:rsidRPr="002000B5">
        <w:t>(2005</w:t>
      </w:r>
      <w:r w:rsidR="005B6D39">
        <w:t>–</w:t>
      </w:r>
      <w:r w:rsidR="002000B5" w:rsidRPr="002000B5">
        <w:t>2010 MHz and 2195</w:t>
      </w:r>
      <w:r w:rsidR="005B6D39">
        <w:t>–</w:t>
      </w:r>
      <w:r w:rsidR="002000B5" w:rsidRPr="002000B5">
        <w:t>2200 MHz)</w:t>
      </w:r>
    </w:p>
    <w:p w14:paraId="67F17423" w14:textId="60BE82B4" w:rsidR="00BA1BBE" w:rsidRPr="00BA1BBE" w:rsidRDefault="00BA1BBE" w:rsidP="00342019">
      <w:pPr>
        <w:pStyle w:val="Paragraph"/>
        <w:keepNext/>
        <w:keepLines/>
      </w:pPr>
      <w:r w:rsidRPr="00BA1BBE">
        <w:t xml:space="preserve">In the November 2023 </w:t>
      </w:r>
      <w:r w:rsidR="005E3077">
        <w:t xml:space="preserve">discussion </w:t>
      </w:r>
      <w:r w:rsidR="00DE6281">
        <w:t>paper,</w:t>
      </w:r>
      <w:r w:rsidR="00DE6281" w:rsidRPr="00BA1BBE">
        <w:t xml:space="preserve"> </w:t>
      </w:r>
      <w:r w:rsidRPr="00BA1BBE">
        <w:t>we proposed reconsideration of 2</w:t>
      </w:r>
      <w:r w:rsidR="00DE6281">
        <w:t> </w:t>
      </w:r>
      <w:r w:rsidRPr="00BA1BBE">
        <w:t>GHz MSS narrowband requirements (20</w:t>
      </w:r>
      <w:r w:rsidR="00CC5EED">
        <w:t>0</w:t>
      </w:r>
      <w:r w:rsidRPr="00BA1BBE">
        <w:t>5</w:t>
      </w:r>
      <w:r w:rsidR="005E3077">
        <w:t>–</w:t>
      </w:r>
      <w:r w:rsidRPr="00BA1BBE">
        <w:t>2010</w:t>
      </w:r>
      <w:r w:rsidR="00DE6281">
        <w:t xml:space="preserve"> MHz and </w:t>
      </w:r>
      <w:r w:rsidRPr="00BA1BBE">
        <w:t>2195</w:t>
      </w:r>
      <w:r w:rsidR="005E3077">
        <w:t>–</w:t>
      </w:r>
      <w:r w:rsidRPr="00BA1BBE">
        <w:t xml:space="preserve">2200 MHz) with a proposal </w:t>
      </w:r>
      <w:r w:rsidR="009E59A4">
        <w:t>that</w:t>
      </w:r>
      <w:r w:rsidRPr="00BA1BBE">
        <w:t xml:space="preserve"> the emission limit </w:t>
      </w:r>
      <w:r w:rsidR="008F0E27">
        <w:t>for earth station transmitter</w:t>
      </w:r>
      <w:r w:rsidR="00382BB1">
        <w:t>s</w:t>
      </w:r>
      <w:r w:rsidR="00EC72BA">
        <w:t xml:space="preserve"> </w:t>
      </w:r>
      <w:r w:rsidR="0002459B">
        <w:rPr>
          <w:rStyle w:val="FootnoteReference"/>
        </w:rPr>
        <w:footnoteReference w:id="12"/>
      </w:r>
      <w:r w:rsidR="00115C26">
        <w:t xml:space="preserve"> </w:t>
      </w:r>
      <w:r w:rsidRPr="00BA1BBE">
        <w:t xml:space="preserve">at the 2010 MHz boundary be </w:t>
      </w:r>
      <w:r w:rsidR="00175BEE">
        <w:t>changed</w:t>
      </w:r>
      <w:r w:rsidRPr="00BA1BBE">
        <w:t xml:space="preserve"> from </w:t>
      </w:r>
      <w:r w:rsidR="005E3077">
        <w:br/>
      </w:r>
      <w:r w:rsidRPr="00BA1BBE">
        <w:t xml:space="preserve">-6 to -60 dBW/MHz </w:t>
      </w:r>
      <w:r w:rsidR="00CE6E2A">
        <w:rPr>
          <w:rFonts w:eastAsiaTheme="majorEastAsia"/>
        </w:rPr>
        <w:t>equivalent isotropically radiated power (</w:t>
      </w:r>
      <w:r w:rsidRPr="00BA1BBE">
        <w:t>EIRP</w:t>
      </w:r>
      <w:r w:rsidR="00CE6E2A">
        <w:t>)</w:t>
      </w:r>
      <w:r w:rsidRPr="00BA1BBE">
        <w:t xml:space="preserve">. </w:t>
      </w:r>
      <w:r w:rsidR="00857552">
        <w:t>We propose</w:t>
      </w:r>
      <w:r w:rsidRPr="00BA1BBE">
        <w:t xml:space="preserve"> to make this change</w:t>
      </w:r>
      <w:r w:rsidR="00857552">
        <w:t xml:space="preserve"> </w:t>
      </w:r>
      <w:r w:rsidRPr="00BA1BBE">
        <w:t xml:space="preserve">when updates are considered to </w:t>
      </w:r>
      <w:r w:rsidR="00D730D3">
        <w:t xml:space="preserve">the </w:t>
      </w:r>
      <w:r w:rsidR="00F8343A" w:rsidRPr="009145A4">
        <w:t>class licence</w:t>
      </w:r>
      <w:r w:rsidR="00F8343A">
        <w:t xml:space="preserve"> </w:t>
      </w:r>
      <w:r w:rsidRPr="00BA1BBE">
        <w:t>to support 2 GHz MSS.</w:t>
      </w:r>
    </w:p>
    <w:p w14:paraId="3659A36B" w14:textId="14E2718F" w:rsidR="004B2960" w:rsidRPr="00E162C4" w:rsidRDefault="004B2960" w:rsidP="004B2960">
      <w:pPr>
        <w:pStyle w:val="Heading1"/>
      </w:pPr>
      <w:bookmarkStart w:id="4" w:name="_Issues_for_comment"/>
      <w:bookmarkStart w:id="5" w:name="_Toc92265082"/>
      <w:bookmarkStart w:id="6" w:name="_Toc202867801"/>
      <w:bookmarkEnd w:id="4"/>
      <w:r w:rsidRPr="00FD611D">
        <w:lastRenderedPageBreak/>
        <w:t>Issues for comment</w:t>
      </w:r>
      <w:bookmarkEnd w:id="5"/>
      <w:bookmarkEnd w:id="6"/>
    </w:p>
    <w:p w14:paraId="324C6AEC" w14:textId="77777777" w:rsidR="004B2960" w:rsidRPr="007604C7" w:rsidRDefault="004B2960" w:rsidP="004B2960">
      <w:pPr>
        <w:pStyle w:val="Paragraphbeforelist"/>
      </w:pPr>
      <w:r w:rsidRPr="007604C7">
        <w:t>We invite comments on the issues set out in this paper:</w:t>
      </w:r>
    </w:p>
    <w:p w14:paraId="447E017E" w14:textId="12C4B51D" w:rsidR="00876DA0" w:rsidRDefault="00CB6E3E" w:rsidP="002E13B8">
      <w:pPr>
        <w:pStyle w:val="ListNumber"/>
        <w:numPr>
          <w:ilvl w:val="0"/>
          <w:numId w:val="82"/>
        </w:numPr>
        <w:spacing w:line="280" w:lineRule="atLeast"/>
        <w:ind w:left="284" w:hanging="284"/>
      </w:pPr>
      <w:r w:rsidRPr="002C0E9D">
        <w:rPr>
          <w:b/>
          <w:bCs/>
        </w:rPr>
        <w:t>Licen</w:t>
      </w:r>
      <w:r w:rsidR="00A40DC9" w:rsidRPr="002C0E9D">
        <w:rPr>
          <w:b/>
          <w:bCs/>
        </w:rPr>
        <w:t>s</w:t>
      </w:r>
      <w:r w:rsidR="004A35FC" w:rsidRPr="002C0E9D">
        <w:rPr>
          <w:b/>
          <w:bCs/>
        </w:rPr>
        <w:t>ing approach</w:t>
      </w:r>
      <w:r w:rsidRPr="002C0E9D">
        <w:rPr>
          <w:b/>
          <w:bCs/>
        </w:rPr>
        <w:t>.</w:t>
      </w:r>
      <w:r>
        <w:t xml:space="preserve"> </w:t>
      </w:r>
      <w:r w:rsidR="00D0382C">
        <w:t>Our</w:t>
      </w:r>
      <w:r>
        <w:t xml:space="preserve"> preference</w:t>
      </w:r>
      <w:r w:rsidRPr="008A3167">
        <w:t xml:space="preserve"> is to </w:t>
      </w:r>
      <w:r w:rsidRPr="0018705F">
        <w:t>support MSS by issuing space licences for the downlink an</w:t>
      </w:r>
      <w:r w:rsidRPr="00BA5822">
        <w:t xml:space="preserve">d space receive licences for the uplink, </w:t>
      </w:r>
      <w:r w:rsidRPr="000613DD">
        <w:t>with class licensing to authorise the earth stations</w:t>
      </w:r>
      <w:r w:rsidRPr="00BA5822">
        <w:t xml:space="preserve"> </w:t>
      </w:r>
      <w:r w:rsidR="002C6B86" w:rsidRPr="004911DB">
        <w:t>and earth receive stations</w:t>
      </w:r>
      <w:r w:rsidR="002C6B86" w:rsidRPr="002C6B86">
        <w:t xml:space="preserve"> </w:t>
      </w:r>
      <w:r w:rsidRPr="00BA5822">
        <w:t>in</w:t>
      </w:r>
      <w:r>
        <w:t xml:space="preserve"> the network</w:t>
      </w:r>
      <w:r w:rsidRPr="0018705F">
        <w:t>.</w:t>
      </w:r>
      <w:r>
        <w:t xml:space="preserve"> </w:t>
      </w:r>
      <w:r w:rsidRPr="00CB6E3E" w:rsidDel="00876DA0">
        <w:t>We invite comments on th</w:t>
      </w:r>
      <w:r w:rsidDel="00876DA0">
        <w:t>is</w:t>
      </w:r>
      <w:r w:rsidRPr="00CB6E3E" w:rsidDel="00876DA0">
        <w:t xml:space="preserve"> proposed licensing approach for MSS</w:t>
      </w:r>
      <w:r w:rsidR="00826EFC">
        <w:t xml:space="preserve"> and </w:t>
      </w:r>
      <w:r w:rsidRPr="00CB6E3E" w:rsidDel="00876DA0">
        <w:t>whether it is suitable for the provision of MSS</w:t>
      </w:r>
      <w:r w:rsidR="001A60E9" w:rsidRPr="001A60E9">
        <w:t>.</w:t>
      </w:r>
    </w:p>
    <w:p w14:paraId="5070A872" w14:textId="1703824F" w:rsidR="00F9240F" w:rsidRDefault="005E58D0" w:rsidP="002E13B8">
      <w:pPr>
        <w:pStyle w:val="Numberlistlevel1"/>
        <w:ind w:left="284" w:hanging="284"/>
      </w:pPr>
      <w:r>
        <w:rPr>
          <w:b/>
          <w:bCs/>
        </w:rPr>
        <w:t>Licence ter</w:t>
      </w:r>
      <w:r w:rsidR="001D73DF">
        <w:rPr>
          <w:b/>
          <w:bCs/>
        </w:rPr>
        <w:t>m, commencement and renewals.</w:t>
      </w:r>
      <w:r w:rsidR="001D73DF">
        <w:t xml:space="preserve"> </w:t>
      </w:r>
      <w:r w:rsidR="00D0382C">
        <w:t>Our</w:t>
      </w:r>
      <w:r w:rsidR="008A34FC">
        <w:t xml:space="preserve"> preference for a licence term of 5 or 10 years, </w:t>
      </w:r>
      <w:r w:rsidR="007B4F52">
        <w:t xml:space="preserve">with licences </w:t>
      </w:r>
      <w:r w:rsidR="008A34FC">
        <w:t xml:space="preserve">commencing </w:t>
      </w:r>
      <w:r w:rsidR="00720ABC" w:rsidRPr="00720ABC">
        <w:t>as soon as possible after they are allocated and issued</w:t>
      </w:r>
      <w:r w:rsidR="00720ABC">
        <w:t xml:space="preserve">. </w:t>
      </w:r>
      <w:r w:rsidR="00EB3ACC">
        <w:t>Our</w:t>
      </w:r>
      <w:r w:rsidR="000633D0" w:rsidRPr="000633D0">
        <w:t xml:space="preserve"> preliminary view is not </w:t>
      </w:r>
      <w:r w:rsidR="00C1368E">
        <w:t xml:space="preserve">to </w:t>
      </w:r>
      <w:r w:rsidR="000633D0" w:rsidRPr="000633D0">
        <w:t>include a renewal statement on licences.</w:t>
      </w:r>
      <w:r w:rsidR="00ED4D7C">
        <w:t xml:space="preserve"> </w:t>
      </w:r>
      <w:r w:rsidR="00ED4D7C" w:rsidRPr="00ED4D7C">
        <w:t xml:space="preserve">We are seeking views on the proposed licence term, commencement and renewal arrangements for 2 GHz MSS </w:t>
      </w:r>
      <w:r w:rsidR="003D335A">
        <w:t>space and space receive</w:t>
      </w:r>
      <w:r w:rsidR="00ED4D7C" w:rsidRPr="00ED4D7C">
        <w:t xml:space="preserve"> licences. We seek information about </w:t>
      </w:r>
      <w:r w:rsidR="00E0166B" w:rsidRPr="004911DB">
        <w:t>likely</w:t>
      </w:r>
      <w:r w:rsidR="00E0166B">
        <w:t xml:space="preserve"> </w:t>
      </w:r>
      <w:r w:rsidR="00ED4D7C" w:rsidRPr="00ED4D7C">
        <w:t xml:space="preserve">deployment timeframes, where possible. </w:t>
      </w:r>
      <w:r w:rsidR="00E9543B" w:rsidRPr="00E9543B">
        <w:t>If licence terms of greater than 10 years are preferred, please include reasons supporting the extended licence term.</w:t>
      </w:r>
    </w:p>
    <w:p w14:paraId="7A7E36D8" w14:textId="59BD07F2" w:rsidR="00FA64CA" w:rsidRDefault="00FA64CA" w:rsidP="006C2650">
      <w:pPr>
        <w:pStyle w:val="ListNumber"/>
      </w:pPr>
      <w:r w:rsidRPr="00975D88">
        <w:rPr>
          <w:b/>
          <w:bCs/>
        </w:rPr>
        <w:t>Lot configuration.</w:t>
      </w:r>
      <w:r>
        <w:t xml:space="preserve"> The ACMA’s preference</w:t>
      </w:r>
      <w:r w:rsidRPr="008556B1">
        <w:t xml:space="preserve"> is to allocate spectrum in a 2</w:t>
      </w:r>
      <w:r w:rsidR="00D0382C">
        <w:t xml:space="preserve"> </w:t>
      </w:r>
      <w:r w:rsidRPr="008556B1">
        <w:t>x</w:t>
      </w:r>
      <w:r w:rsidR="00D0382C">
        <w:t xml:space="preserve"> </w:t>
      </w:r>
      <w:r w:rsidRPr="008556B1">
        <w:t>15 MHz and 2</w:t>
      </w:r>
      <w:r w:rsidR="00D0382C">
        <w:t xml:space="preserve"> </w:t>
      </w:r>
      <w:r w:rsidRPr="008556B1">
        <w:t>x</w:t>
      </w:r>
      <w:r w:rsidR="00D0382C">
        <w:t xml:space="preserve"> </w:t>
      </w:r>
      <w:r w:rsidRPr="008556B1">
        <w:t>10 MHz configuration</w:t>
      </w:r>
      <w:r>
        <w:t xml:space="preserve"> in fixed frequency ranges</w:t>
      </w:r>
      <w:r w:rsidRPr="008556B1">
        <w:t>.</w:t>
      </w:r>
      <w:r w:rsidRPr="00522AAF">
        <w:t xml:space="preserve"> We invite comments from stakeholders on </w:t>
      </w:r>
      <w:r>
        <w:t>this</w:t>
      </w:r>
      <w:r w:rsidRPr="00522AAF">
        <w:t xml:space="preserve"> preliminary view, and whether fixed frequency ranges for </w:t>
      </w:r>
      <w:r>
        <w:t>the configuration</w:t>
      </w:r>
      <w:r w:rsidRPr="00522AAF">
        <w:t xml:space="preserve"> </w:t>
      </w:r>
      <w:r w:rsidRPr="009D719B">
        <w:t>is</w:t>
      </w:r>
      <w:r w:rsidRPr="00522AAF">
        <w:t xml:space="preserve"> suitable. In relation to 2</w:t>
      </w:r>
      <w:r w:rsidR="00D0382C">
        <w:t xml:space="preserve"> </w:t>
      </w:r>
      <w:r w:rsidRPr="00522AAF">
        <w:t>x</w:t>
      </w:r>
      <w:r w:rsidR="00D0382C">
        <w:t xml:space="preserve"> </w:t>
      </w:r>
      <w:r w:rsidRPr="00522AAF">
        <w:t>5 MHz lots, we seek feedback on the level of interest in single 2</w:t>
      </w:r>
      <w:r w:rsidR="00D0382C">
        <w:t xml:space="preserve"> </w:t>
      </w:r>
      <w:r w:rsidRPr="00522AAF">
        <w:t>x</w:t>
      </w:r>
      <w:r w:rsidR="00D0382C">
        <w:t xml:space="preserve"> </w:t>
      </w:r>
      <w:r w:rsidRPr="00522AAF">
        <w:t>5 MHz lots and the intended use-case for a single 2</w:t>
      </w:r>
      <w:r w:rsidR="00D0382C">
        <w:t xml:space="preserve"> </w:t>
      </w:r>
      <w:r w:rsidRPr="00522AAF">
        <w:t>x</w:t>
      </w:r>
      <w:r w:rsidR="00D0382C">
        <w:t xml:space="preserve"> </w:t>
      </w:r>
      <w:r w:rsidRPr="00522AAF">
        <w:t>5 MHz lot.</w:t>
      </w:r>
      <w:r w:rsidRPr="008556B1">
        <w:t xml:space="preserve"> </w:t>
      </w:r>
    </w:p>
    <w:p w14:paraId="1BBB2925" w14:textId="5D165668" w:rsidR="002A1C09" w:rsidRDefault="008B0AB8" w:rsidP="002E13B8">
      <w:pPr>
        <w:pStyle w:val="Numberlistlevel1"/>
        <w:ind w:left="284" w:hanging="284"/>
      </w:pPr>
      <w:r>
        <w:rPr>
          <w:b/>
          <w:bCs/>
        </w:rPr>
        <w:t xml:space="preserve">Allocation methodology. </w:t>
      </w:r>
      <w:r w:rsidR="00D0382C">
        <w:t>Our</w:t>
      </w:r>
      <w:r w:rsidRPr="008B0AB8">
        <w:t xml:space="preserve"> preliminary view is to allocate transmitter licences by price-based allocation via auction, or for pre-determined price where demand does not exceed supply</w:t>
      </w:r>
      <w:r w:rsidR="007B4351">
        <w:t xml:space="preserve">. </w:t>
      </w:r>
      <w:r w:rsidR="007B4351" w:rsidRPr="007B4351">
        <w:t>We invite comments on the proposed allocation methodology</w:t>
      </w:r>
      <w:r w:rsidR="007B4351">
        <w:t>.</w:t>
      </w:r>
    </w:p>
    <w:p w14:paraId="1468B18B" w14:textId="69C519AC" w:rsidR="007B4351" w:rsidRDefault="00F67302" w:rsidP="002E13B8">
      <w:pPr>
        <w:pStyle w:val="Numberlistlevel1"/>
        <w:ind w:left="284" w:hanging="284"/>
      </w:pPr>
      <w:r>
        <w:rPr>
          <w:b/>
          <w:bCs/>
        </w:rPr>
        <w:t xml:space="preserve">Auction format. </w:t>
      </w:r>
      <w:r w:rsidR="00975928">
        <w:t>W</w:t>
      </w:r>
      <w:r w:rsidR="003D0F2F">
        <w:t xml:space="preserve">e propose </w:t>
      </w:r>
      <w:r w:rsidR="003970BC">
        <w:t>2</w:t>
      </w:r>
      <w:r w:rsidR="003D0F2F">
        <w:t xml:space="preserve"> auction format</w:t>
      </w:r>
      <w:r w:rsidR="001D6D81">
        <w:t xml:space="preserve"> option</w:t>
      </w:r>
      <w:r w:rsidR="003D0F2F">
        <w:t xml:space="preserve">s </w:t>
      </w:r>
      <w:r w:rsidR="005E3CEF">
        <w:t>for a 2</w:t>
      </w:r>
      <w:r w:rsidR="00D0382C">
        <w:t xml:space="preserve"> </w:t>
      </w:r>
      <w:r w:rsidR="000661A3">
        <w:t>x</w:t>
      </w:r>
      <w:r w:rsidR="00D0382C">
        <w:t xml:space="preserve"> </w:t>
      </w:r>
      <w:r w:rsidR="005E3CEF">
        <w:t>15</w:t>
      </w:r>
      <w:r w:rsidR="002159E2">
        <w:t> MHz</w:t>
      </w:r>
      <w:r w:rsidR="002929AA">
        <w:t xml:space="preserve"> and </w:t>
      </w:r>
      <w:r w:rsidR="002159E2">
        <w:t>2</w:t>
      </w:r>
      <w:r w:rsidR="00D0382C">
        <w:t xml:space="preserve"> </w:t>
      </w:r>
      <w:r w:rsidR="002159E2">
        <w:t>x</w:t>
      </w:r>
      <w:r w:rsidR="00D0382C">
        <w:t xml:space="preserve"> </w:t>
      </w:r>
      <w:r w:rsidR="002159E2">
        <w:t>10 </w:t>
      </w:r>
      <w:r w:rsidR="005E3CEF">
        <w:t xml:space="preserve">MHz lot </w:t>
      </w:r>
      <w:r w:rsidR="008E29A0">
        <w:t>configuration</w:t>
      </w:r>
      <w:r w:rsidR="002929AA">
        <w:t xml:space="preserve"> with fixed frequency ranges</w:t>
      </w:r>
      <w:r w:rsidR="008E29A0">
        <w:t xml:space="preserve">, and one auction format </w:t>
      </w:r>
      <w:r w:rsidR="001D6D81">
        <w:t xml:space="preserve">option </w:t>
      </w:r>
      <w:r w:rsidR="008E29A0">
        <w:t xml:space="preserve">for </w:t>
      </w:r>
      <w:r w:rsidR="000510EE">
        <w:t xml:space="preserve">5 generic lots of </w:t>
      </w:r>
      <w:r w:rsidR="008E29A0">
        <w:t>a 2</w:t>
      </w:r>
      <w:r w:rsidR="00D0382C">
        <w:t xml:space="preserve"> </w:t>
      </w:r>
      <w:r w:rsidR="008E29A0">
        <w:t>x</w:t>
      </w:r>
      <w:r w:rsidR="00D0382C">
        <w:t xml:space="preserve"> </w:t>
      </w:r>
      <w:r w:rsidR="008E29A0">
        <w:t xml:space="preserve">5 MHz lot configuration. We have no </w:t>
      </w:r>
      <w:r w:rsidR="00DF6294">
        <w:t xml:space="preserve">preference </w:t>
      </w:r>
      <w:r w:rsidR="007943FB">
        <w:t>for a particular</w:t>
      </w:r>
      <w:r w:rsidR="00EA7AA6">
        <w:t xml:space="preserve"> auction format</w:t>
      </w:r>
      <w:r w:rsidR="00DF6294">
        <w:t>,</w:t>
      </w:r>
      <w:r w:rsidR="002159E2">
        <w:t xml:space="preserve"> </w:t>
      </w:r>
      <w:r w:rsidR="008E29A0">
        <w:t xml:space="preserve">and seek </w:t>
      </w:r>
      <w:r w:rsidR="00DC4C51">
        <w:t>stakeholder views.</w:t>
      </w:r>
    </w:p>
    <w:p w14:paraId="4852CB02" w14:textId="4F751F4A" w:rsidR="004C1428" w:rsidRPr="004C1428" w:rsidRDefault="00DE2F08" w:rsidP="002E13B8">
      <w:pPr>
        <w:pStyle w:val="Numberlistlevel1"/>
        <w:ind w:left="284" w:hanging="284"/>
      </w:pPr>
      <w:r>
        <w:rPr>
          <w:b/>
          <w:bCs/>
        </w:rPr>
        <w:t>CGC/DA2GC</w:t>
      </w:r>
      <w:r w:rsidR="004C1428">
        <w:rPr>
          <w:b/>
          <w:bCs/>
        </w:rPr>
        <w:t xml:space="preserve">. </w:t>
      </w:r>
      <w:r w:rsidR="004C1428" w:rsidRPr="004C1428">
        <w:t>We have not formed a preliminary view on licensing arrangements for CGC/DA2GC. We are seeking comment</w:t>
      </w:r>
      <w:r w:rsidR="00C35406">
        <w:t>s</w:t>
      </w:r>
      <w:r w:rsidR="004C1428" w:rsidRPr="004C1428">
        <w:t xml:space="preserve"> from parties interested in MSS licences on:</w:t>
      </w:r>
    </w:p>
    <w:p w14:paraId="2B42E92A" w14:textId="4862B42D" w:rsidR="004C1428" w:rsidRPr="002B05F5" w:rsidRDefault="000144B1" w:rsidP="002E13B8">
      <w:pPr>
        <w:pStyle w:val="ListNumber2"/>
        <w:numPr>
          <w:ilvl w:val="0"/>
          <w:numId w:val="69"/>
        </w:numPr>
        <w:spacing w:line="280" w:lineRule="atLeast"/>
        <w:ind w:left="738" w:hanging="284"/>
        <w:rPr>
          <w:szCs w:val="22"/>
        </w:rPr>
      </w:pPr>
      <w:r>
        <w:rPr>
          <w:sz w:val="22"/>
          <w:szCs w:val="22"/>
        </w:rPr>
        <w:t>D</w:t>
      </w:r>
      <w:r w:rsidR="004C1428" w:rsidRPr="00636582">
        <w:rPr>
          <w:sz w:val="22"/>
          <w:szCs w:val="22"/>
        </w:rPr>
        <w:t xml:space="preserve">emand for a licence </w:t>
      </w:r>
      <w:r w:rsidR="004C1428" w:rsidRPr="0047089C">
        <w:rPr>
          <w:sz w:val="22"/>
          <w:szCs w:val="22"/>
        </w:rPr>
        <w:t xml:space="preserve">authorising </w:t>
      </w:r>
      <w:r w:rsidR="000E4EA5" w:rsidRPr="0047089C">
        <w:rPr>
          <w:sz w:val="22"/>
          <w:szCs w:val="22"/>
        </w:rPr>
        <w:t>stations for</w:t>
      </w:r>
      <w:r w:rsidR="000E4EA5">
        <w:rPr>
          <w:sz w:val="22"/>
          <w:szCs w:val="22"/>
        </w:rPr>
        <w:t xml:space="preserve"> </w:t>
      </w:r>
      <w:r w:rsidR="004C1428" w:rsidRPr="00636582">
        <w:rPr>
          <w:sz w:val="22"/>
          <w:szCs w:val="22"/>
        </w:rPr>
        <w:t>CGC or DA2GC, and timing for implementation.</w:t>
      </w:r>
    </w:p>
    <w:p w14:paraId="40F7B724" w14:textId="1E38F22C" w:rsidR="004C1428" w:rsidRPr="004C1428" w:rsidRDefault="004C1428" w:rsidP="002E13B8">
      <w:pPr>
        <w:pStyle w:val="Numberlistlevel2"/>
        <w:ind w:left="738" w:hanging="284"/>
      </w:pPr>
      <w:r w:rsidRPr="004C1428">
        <w:t>Intended use cases</w:t>
      </w:r>
      <w:r w:rsidR="000E4EA5" w:rsidRPr="00A0515D">
        <w:t>,</w:t>
      </w:r>
      <w:r w:rsidRPr="004C1428">
        <w:t xml:space="preserve"> including the </w:t>
      </w:r>
      <w:r w:rsidRPr="0047089C">
        <w:t xml:space="preserve">number of </w:t>
      </w:r>
      <w:r w:rsidR="00FE593F" w:rsidRPr="0047089C">
        <w:t>stations to be authorised</w:t>
      </w:r>
      <w:r w:rsidRPr="0047089C">
        <w:t>.</w:t>
      </w:r>
    </w:p>
    <w:p w14:paraId="7A39B378" w14:textId="77777777" w:rsidR="004C1428" w:rsidRPr="004C1428" w:rsidRDefault="004C1428" w:rsidP="00636582">
      <w:pPr>
        <w:pStyle w:val="Numberlistlevel2"/>
        <w:ind w:left="738" w:hanging="284"/>
      </w:pPr>
      <w:r w:rsidRPr="004C1428">
        <w:t>Preferred licensing approach, if there is one.</w:t>
      </w:r>
    </w:p>
    <w:p w14:paraId="45EE14DD" w14:textId="3F47558B" w:rsidR="00B02180" w:rsidRDefault="004C1428" w:rsidP="002E13B8">
      <w:pPr>
        <w:pStyle w:val="Numberlistlevel2"/>
        <w:ind w:left="738" w:hanging="284"/>
      </w:pPr>
      <w:r w:rsidRPr="004C1428">
        <w:t>Whether the intended use requires an entity other than the 2 GHz MSS licensee to be the licensee for CGC/DA2GC</w:t>
      </w:r>
      <w:r w:rsidR="0049594F">
        <w:t>.</w:t>
      </w:r>
    </w:p>
    <w:p w14:paraId="3757DE5A" w14:textId="77777777" w:rsidR="00EF6855" w:rsidRDefault="00EF6855" w:rsidP="002E13B8">
      <w:pPr>
        <w:pStyle w:val="Numberlistlevel1"/>
        <w:ind w:left="284" w:hanging="284"/>
      </w:pPr>
      <w:bookmarkStart w:id="7" w:name="_Ref199343959"/>
      <w:r w:rsidRPr="00E307B9">
        <w:rPr>
          <w:b/>
          <w:bCs/>
        </w:rPr>
        <w:t>Space regulatory matters.</w:t>
      </w:r>
      <w:r w:rsidRPr="00EF6855">
        <w:t xml:space="preserve"> We seek comment on</w:t>
      </w:r>
      <w:r>
        <w:t>:</w:t>
      </w:r>
    </w:p>
    <w:p w14:paraId="27F7B1E8" w14:textId="783A43DE" w:rsidR="00EF6855" w:rsidRPr="00E307B9" w:rsidRDefault="00B97349" w:rsidP="002E13B8">
      <w:pPr>
        <w:pStyle w:val="ListNumber2"/>
        <w:numPr>
          <w:ilvl w:val="0"/>
          <w:numId w:val="86"/>
        </w:numPr>
        <w:spacing w:line="280" w:lineRule="atLeast"/>
        <w:ind w:left="738" w:hanging="284"/>
        <w:rPr>
          <w:sz w:val="22"/>
          <w:szCs w:val="22"/>
        </w:rPr>
      </w:pPr>
      <w:r>
        <w:rPr>
          <w:sz w:val="22"/>
          <w:szCs w:val="22"/>
        </w:rPr>
        <w:t>T</w:t>
      </w:r>
      <w:r w:rsidR="00EF6855" w:rsidRPr="00E307B9">
        <w:rPr>
          <w:sz w:val="22"/>
          <w:szCs w:val="22"/>
        </w:rPr>
        <w:t>he information proposed to be required to update the ASOD or FSOD</w:t>
      </w:r>
      <w:r w:rsidR="00B80472" w:rsidRPr="00B432B8">
        <w:rPr>
          <w:sz w:val="22"/>
          <w:szCs w:val="22"/>
        </w:rPr>
        <w:t xml:space="preserve">, and </w:t>
      </w:r>
      <w:r w:rsidR="00EF6855" w:rsidRPr="00E307B9">
        <w:rPr>
          <w:sz w:val="22"/>
          <w:szCs w:val="22"/>
        </w:rPr>
        <w:t>the ACMA’s view that</w:t>
      </w:r>
      <w:r w:rsidR="00F307A5">
        <w:rPr>
          <w:sz w:val="22"/>
          <w:szCs w:val="22"/>
        </w:rPr>
        <w:t xml:space="preserve">, </w:t>
      </w:r>
      <w:r w:rsidR="00F307A5" w:rsidRPr="00E307B9">
        <w:rPr>
          <w:sz w:val="22"/>
          <w:szCs w:val="22"/>
        </w:rPr>
        <w:t>in order to participate in an allocation process</w:t>
      </w:r>
      <w:r w:rsidR="00F307A5">
        <w:rPr>
          <w:sz w:val="22"/>
          <w:szCs w:val="22"/>
        </w:rPr>
        <w:t>,</w:t>
      </w:r>
      <w:r w:rsidR="00EF6855" w:rsidRPr="00E307B9">
        <w:rPr>
          <w:sz w:val="22"/>
          <w:szCs w:val="22"/>
        </w:rPr>
        <w:t xml:space="preserve"> prospective licensees have access to an ITU satellite filing for the 2 GHz MSS band in relation to Australia that meets certain requirements</w:t>
      </w:r>
      <w:r w:rsidR="00970065">
        <w:rPr>
          <w:sz w:val="22"/>
          <w:szCs w:val="22"/>
        </w:rPr>
        <w:t xml:space="preserve"> </w:t>
      </w:r>
      <w:r w:rsidR="000207AE">
        <w:rPr>
          <w:sz w:val="22"/>
          <w:szCs w:val="22"/>
        </w:rPr>
        <w:t>such as the</w:t>
      </w:r>
      <w:r w:rsidR="001C20EE">
        <w:rPr>
          <w:sz w:val="22"/>
          <w:szCs w:val="22"/>
        </w:rPr>
        <w:t xml:space="preserve"> satellite filing </w:t>
      </w:r>
      <w:r w:rsidR="00861ED0">
        <w:rPr>
          <w:sz w:val="22"/>
          <w:szCs w:val="22"/>
        </w:rPr>
        <w:t xml:space="preserve">has </w:t>
      </w:r>
      <w:r w:rsidR="00152C61">
        <w:rPr>
          <w:sz w:val="22"/>
          <w:szCs w:val="22"/>
        </w:rPr>
        <w:t xml:space="preserve">been brought into use in accordance </w:t>
      </w:r>
      <w:r w:rsidR="00152C61" w:rsidRPr="00F1243E">
        <w:rPr>
          <w:sz w:val="22"/>
          <w:szCs w:val="22"/>
        </w:rPr>
        <w:t xml:space="preserve">with </w:t>
      </w:r>
      <w:r w:rsidR="009F26BF">
        <w:rPr>
          <w:sz w:val="22"/>
          <w:szCs w:val="22"/>
        </w:rPr>
        <w:t xml:space="preserve">ITU requirements </w:t>
      </w:r>
      <w:r w:rsidR="00152C61">
        <w:rPr>
          <w:sz w:val="22"/>
          <w:szCs w:val="22"/>
        </w:rPr>
        <w:t xml:space="preserve">(refer </w:t>
      </w:r>
      <w:r w:rsidR="00970065">
        <w:rPr>
          <w:sz w:val="22"/>
          <w:szCs w:val="22"/>
        </w:rPr>
        <w:t>section</w:t>
      </w:r>
      <w:r w:rsidR="000207AE">
        <w:rPr>
          <w:sz w:val="22"/>
          <w:szCs w:val="22"/>
        </w:rPr>
        <w:t xml:space="preserve"> on</w:t>
      </w:r>
      <w:r w:rsidR="00092327">
        <w:rPr>
          <w:sz w:val="22"/>
          <w:szCs w:val="22"/>
        </w:rPr>
        <w:t xml:space="preserve"> Space regulatory matters</w:t>
      </w:r>
      <w:r w:rsidR="001F721B">
        <w:rPr>
          <w:sz w:val="22"/>
          <w:szCs w:val="22"/>
        </w:rPr>
        <w:t>)</w:t>
      </w:r>
      <w:r w:rsidR="00EF6855" w:rsidRPr="00E307B9">
        <w:rPr>
          <w:sz w:val="22"/>
          <w:szCs w:val="22"/>
        </w:rPr>
        <w:t>.</w:t>
      </w:r>
    </w:p>
    <w:p w14:paraId="5875EDAC" w14:textId="464E49BD" w:rsidR="00EF6855" w:rsidRPr="00233B02" w:rsidRDefault="00B97349" w:rsidP="002E13B8">
      <w:pPr>
        <w:pStyle w:val="ListNumber2"/>
        <w:spacing w:line="280" w:lineRule="atLeast"/>
        <w:ind w:left="738" w:hanging="284"/>
        <w:rPr>
          <w:sz w:val="22"/>
          <w:szCs w:val="22"/>
        </w:rPr>
      </w:pPr>
      <w:r>
        <w:rPr>
          <w:sz w:val="22"/>
          <w:szCs w:val="22"/>
        </w:rPr>
        <w:t>P</w:t>
      </w:r>
      <w:r w:rsidR="00EF6855" w:rsidRPr="00233B02">
        <w:rPr>
          <w:sz w:val="22"/>
          <w:szCs w:val="22"/>
        </w:rPr>
        <w:t>roposals for mobile earth station total radiated power levels, requirements for consistency with ITU satellite filings and potential for considering lower total radiated power levels than specified in a filing.</w:t>
      </w:r>
    </w:p>
    <w:p w14:paraId="0116C145" w14:textId="6572B1CF" w:rsidR="00D9513E" w:rsidRDefault="00F11E4B" w:rsidP="00625A3D">
      <w:pPr>
        <w:pStyle w:val="Numberlistlevel1"/>
        <w:keepNext/>
        <w:keepLines/>
        <w:ind w:left="284" w:hanging="284"/>
      </w:pPr>
      <w:r w:rsidRPr="00C43B1A">
        <w:rPr>
          <w:b/>
        </w:rPr>
        <w:lastRenderedPageBreak/>
        <w:t xml:space="preserve">Technical matters. </w:t>
      </w:r>
      <w:r w:rsidRPr="00075AC3">
        <w:t>We seek views on</w:t>
      </w:r>
      <w:r w:rsidR="00307A09">
        <w:t>:</w:t>
      </w:r>
    </w:p>
    <w:p w14:paraId="006B9B25" w14:textId="205CC81B" w:rsidR="00891F6F" w:rsidRPr="00266865" w:rsidRDefault="00891F6F" w:rsidP="00625A3D">
      <w:pPr>
        <w:pStyle w:val="ListNumber2"/>
        <w:keepNext/>
        <w:keepLines/>
        <w:numPr>
          <w:ilvl w:val="0"/>
          <w:numId w:val="87"/>
        </w:numPr>
        <w:spacing w:line="280" w:lineRule="atLeast"/>
        <w:ind w:left="738" w:hanging="284"/>
        <w:rPr>
          <w:szCs w:val="22"/>
        </w:rPr>
      </w:pPr>
      <w:r>
        <w:rPr>
          <w:sz w:val="22"/>
          <w:szCs w:val="22"/>
        </w:rPr>
        <w:t xml:space="preserve">Our </w:t>
      </w:r>
      <w:r w:rsidR="00C2169D" w:rsidRPr="009E2F5F">
        <w:rPr>
          <w:sz w:val="22"/>
          <w:szCs w:val="22"/>
        </w:rPr>
        <w:t xml:space="preserve">proposed </w:t>
      </w:r>
      <w:r w:rsidR="00EF6855" w:rsidRPr="009E2F5F">
        <w:rPr>
          <w:sz w:val="22"/>
          <w:szCs w:val="22"/>
        </w:rPr>
        <w:t>technical parameters and coordination requirements</w:t>
      </w:r>
      <w:r w:rsidR="00680AF0">
        <w:rPr>
          <w:sz w:val="22"/>
          <w:szCs w:val="22"/>
        </w:rPr>
        <w:t xml:space="preserve"> for 2</w:t>
      </w:r>
      <w:r w:rsidR="009E2F5F">
        <w:rPr>
          <w:sz w:val="22"/>
          <w:szCs w:val="22"/>
        </w:rPr>
        <w:t xml:space="preserve"> </w:t>
      </w:r>
      <w:r w:rsidR="00680AF0">
        <w:rPr>
          <w:sz w:val="22"/>
          <w:szCs w:val="22"/>
        </w:rPr>
        <w:t>GHz MSS</w:t>
      </w:r>
      <w:r w:rsidR="00D0382C">
        <w:rPr>
          <w:sz w:val="22"/>
          <w:szCs w:val="22"/>
        </w:rPr>
        <w:t>,</w:t>
      </w:r>
      <w:r w:rsidR="00680AF0">
        <w:rPr>
          <w:sz w:val="22"/>
          <w:szCs w:val="22"/>
        </w:rPr>
        <w:t xml:space="preserve"> including CGC</w:t>
      </w:r>
      <w:r w:rsidR="00EF6855" w:rsidRPr="00D77BE6">
        <w:rPr>
          <w:sz w:val="22"/>
          <w:szCs w:val="22"/>
        </w:rPr>
        <w:t xml:space="preserve">. </w:t>
      </w:r>
      <w:bookmarkEnd w:id="7"/>
    </w:p>
    <w:p w14:paraId="4254BDBF" w14:textId="406062A9" w:rsidR="00A0515D" w:rsidRPr="005E7A2C" w:rsidRDefault="003C3233" w:rsidP="00625A3D">
      <w:pPr>
        <w:pStyle w:val="ListNumber2"/>
        <w:keepNext/>
        <w:keepLines/>
        <w:numPr>
          <w:ilvl w:val="0"/>
          <w:numId w:val="87"/>
        </w:numPr>
        <w:spacing w:line="280" w:lineRule="atLeast"/>
        <w:ind w:left="738" w:hanging="284"/>
        <w:rPr>
          <w:sz w:val="22"/>
          <w:szCs w:val="22"/>
        </w:rPr>
      </w:pPr>
      <w:r>
        <w:rPr>
          <w:sz w:val="22"/>
          <w:szCs w:val="22"/>
        </w:rPr>
        <w:t>I</w:t>
      </w:r>
      <w:r w:rsidR="00C43097" w:rsidRPr="009E2F5F">
        <w:rPr>
          <w:sz w:val="22"/>
          <w:szCs w:val="22"/>
        </w:rPr>
        <w:t>mplement</w:t>
      </w:r>
      <w:r w:rsidR="00C2169D" w:rsidRPr="009E2F5F">
        <w:rPr>
          <w:sz w:val="22"/>
          <w:szCs w:val="22"/>
        </w:rPr>
        <w:t>ing</w:t>
      </w:r>
      <w:r w:rsidR="003D7746" w:rsidRPr="009E2F5F">
        <w:rPr>
          <w:sz w:val="22"/>
          <w:szCs w:val="22"/>
        </w:rPr>
        <w:t xml:space="preserve"> our prop</w:t>
      </w:r>
      <w:r w:rsidR="00C43097" w:rsidRPr="009E2F5F">
        <w:rPr>
          <w:sz w:val="22"/>
          <w:szCs w:val="22"/>
        </w:rPr>
        <w:t xml:space="preserve">osal as </w:t>
      </w:r>
      <w:r w:rsidR="003D7746" w:rsidRPr="009E2F5F">
        <w:rPr>
          <w:sz w:val="22"/>
          <w:szCs w:val="22"/>
        </w:rPr>
        <w:t xml:space="preserve">set </w:t>
      </w:r>
      <w:r w:rsidR="000C713E" w:rsidRPr="009E2F5F">
        <w:rPr>
          <w:sz w:val="22"/>
          <w:szCs w:val="22"/>
        </w:rPr>
        <w:t xml:space="preserve">in our November 2023 </w:t>
      </w:r>
      <w:r w:rsidR="005E3077">
        <w:rPr>
          <w:sz w:val="22"/>
          <w:szCs w:val="22"/>
        </w:rPr>
        <w:t>d</w:t>
      </w:r>
      <w:r w:rsidR="009E2F5F">
        <w:rPr>
          <w:sz w:val="22"/>
          <w:szCs w:val="22"/>
        </w:rPr>
        <w:t xml:space="preserve">iscussion </w:t>
      </w:r>
      <w:r w:rsidR="000C713E" w:rsidRPr="009E2F5F">
        <w:rPr>
          <w:sz w:val="22"/>
          <w:szCs w:val="22"/>
        </w:rPr>
        <w:t>paper, that for 2</w:t>
      </w:r>
      <w:r w:rsidR="009E2F5F">
        <w:rPr>
          <w:sz w:val="22"/>
          <w:szCs w:val="22"/>
        </w:rPr>
        <w:t> </w:t>
      </w:r>
      <w:r w:rsidR="000C713E" w:rsidRPr="009E2F5F">
        <w:rPr>
          <w:sz w:val="22"/>
          <w:szCs w:val="22"/>
        </w:rPr>
        <w:t>GHz MSS narrowband requirements</w:t>
      </w:r>
      <w:r w:rsidR="00C43097" w:rsidRPr="009E2F5F">
        <w:rPr>
          <w:sz w:val="22"/>
          <w:szCs w:val="22"/>
        </w:rPr>
        <w:t xml:space="preserve">, </w:t>
      </w:r>
      <w:r w:rsidR="000C713E" w:rsidRPr="009E2F5F">
        <w:rPr>
          <w:sz w:val="22"/>
          <w:szCs w:val="22"/>
        </w:rPr>
        <w:t xml:space="preserve">the emission limit </w:t>
      </w:r>
      <w:r w:rsidR="002055B1">
        <w:rPr>
          <w:sz w:val="22"/>
          <w:szCs w:val="22"/>
        </w:rPr>
        <w:t xml:space="preserve">for earth station transmitters </w:t>
      </w:r>
      <w:r w:rsidR="000C713E" w:rsidRPr="009E2F5F">
        <w:rPr>
          <w:sz w:val="22"/>
          <w:szCs w:val="22"/>
        </w:rPr>
        <w:t xml:space="preserve">at the 2010 MHz boundary </w:t>
      </w:r>
      <w:r w:rsidR="00C43097" w:rsidRPr="009E2F5F">
        <w:rPr>
          <w:sz w:val="22"/>
          <w:szCs w:val="22"/>
        </w:rPr>
        <w:t xml:space="preserve">can </w:t>
      </w:r>
      <w:r w:rsidR="000C713E" w:rsidRPr="009E2F5F">
        <w:rPr>
          <w:sz w:val="22"/>
          <w:szCs w:val="22"/>
        </w:rPr>
        <w:t xml:space="preserve">be </w:t>
      </w:r>
      <w:r w:rsidR="002055B1">
        <w:rPr>
          <w:sz w:val="22"/>
          <w:szCs w:val="22"/>
        </w:rPr>
        <w:t>change</w:t>
      </w:r>
      <w:r w:rsidR="0006625D">
        <w:rPr>
          <w:sz w:val="22"/>
          <w:szCs w:val="22"/>
        </w:rPr>
        <w:t>d</w:t>
      </w:r>
      <w:r w:rsidR="002055B1" w:rsidRPr="009E2F5F">
        <w:rPr>
          <w:sz w:val="22"/>
          <w:szCs w:val="22"/>
        </w:rPr>
        <w:t xml:space="preserve"> </w:t>
      </w:r>
      <w:r w:rsidR="000C713E" w:rsidRPr="009E2F5F">
        <w:rPr>
          <w:sz w:val="22"/>
          <w:szCs w:val="22"/>
        </w:rPr>
        <w:t>from -66 to -60 dBW/MHz EIRP</w:t>
      </w:r>
      <w:r w:rsidR="000C713E" w:rsidRPr="005E7A2C">
        <w:rPr>
          <w:sz w:val="22"/>
          <w:szCs w:val="22"/>
        </w:rPr>
        <w:t xml:space="preserve">. </w:t>
      </w:r>
    </w:p>
    <w:p w14:paraId="5F2437B6" w14:textId="5BF47635" w:rsidR="007B0261" w:rsidRPr="0045541E" w:rsidRDefault="007B0261" w:rsidP="00786D7F">
      <w:pPr>
        <w:pStyle w:val="Heading1"/>
      </w:pPr>
      <w:bookmarkStart w:id="8" w:name="_Toc150510345"/>
      <w:bookmarkStart w:id="9" w:name="_Toc151469330"/>
      <w:bookmarkStart w:id="10" w:name="_Toc202867802"/>
      <w:r w:rsidRPr="0045541E">
        <w:lastRenderedPageBreak/>
        <w:t>Introduction</w:t>
      </w:r>
      <w:bookmarkEnd w:id="8"/>
      <w:bookmarkEnd w:id="9"/>
      <w:bookmarkEnd w:id="10"/>
    </w:p>
    <w:p w14:paraId="0B7A3C74" w14:textId="641CF11E" w:rsidR="007B0261" w:rsidRPr="0045541E" w:rsidRDefault="007B0261" w:rsidP="00786D7F">
      <w:pPr>
        <w:pStyle w:val="Heading2"/>
      </w:pPr>
      <w:bookmarkStart w:id="11" w:name="_Toc136591905"/>
      <w:bookmarkStart w:id="12" w:name="_Toc150510346"/>
      <w:bookmarkStart w:id="13" w:name="_Toc151469331"/>
      <w:bookmarkStart w:id="14" w:name="_Toc202867803"/>
      <w:r w:rsidRPr="0045541E">
        <w:t>Background</w:t>
      </w:r>
      <w:bookmarkEnd w:id="11"/>
      <w:bookmarkEnd w:id="12"/>
      <w:bookmarkEnd w:id="13"/>
      <w:bookmarkEnd w:id="14"/>
      <w:r w:rsidRPr="0045541E">
        <w:t xml:space="preserve"> </w:t>
      </w:r>
    </w:p>
    <w:p w14:paraId="370CD728" w14:textId="0AE2CB38" w:rsidR="001D574E" w:rsidRDefault="001D574E" w:rsidP="001D574E">
      <w:pPr>
        <w:pStyle w:val="Paragraphbeforelist"/>
      </w:pPr>
      <w:r>
        <w:t>In January 2021, we announced the outcome of the review of the 2 GHz band</w:t>
      </w:r>
      <w:r>
        <w:rPr>
          <w:rStyle w:val="FootnoteReference"/>
        </w:rPr>
        <w:footnoteReference w:id="13"/>
      </w:r>
      <w:r>
        <w:t xml:space="preserve"> and the decision to replan the band for </w:t>
      </w:r>
      <w:r w:rsidR="00D430B7">
        <w:t>MSS</w:t>
      </w:r>
      <w:r>
        <w:t>. This would enable:</w:t>
      </w:r>
    </w:p>
    <w:p w14:paraId="70F1ADBA" w14:textId="1BA1C8B5" w:rsidR="006B5DE2" w:rsidRDefault="006B5DE2" w:rsidP="00786D7F">
      <w:pPr>
        <w:pStyle w:val="Bulletlevel1"/>
        <w:numPr>
          <w:ilvl w:val="0"/>
          <w:numId w:val="13"/>
        </w:numPr>
        <w:ind w:left="284" w:hanging="284"/>
      </w:pPr>
      <w:r>
        <w:t>2</w:t>
      </w:r>
      <w:r w:rsidR="00D677EA">
        <w:t xml:space="preserve"> </w:t>
      </w:r>
      <w:r>
        <w:t>x</w:t>
      </w:r>
      <w:r w:rsidR="00D677EA">
        <w:t xml:space="preserve"> </w:t>
      </w:r>
      <w:r>
        <w:t>25 MHz (1980–2005 MHz and 2170–2195 MHz</w:t>
      </w:r>
      <w:r w:rsidR="000B2594">
        <w:t>, the 2 GHz MSS band</w:t>
      </w:r>
      <w:r>
        <w:t>) for Australia-wide MSS, with support for deployment of a CGC including DA2GC</w:t>
      </w:r>
      <w:r w:rsidR="00B55576">
        <w:t xml:space="preserve"> </w:t>
      </w:r>
      <w:r w:rsidR="00B55576" w:rsidRPr="00EE6BB2">
        <w:t>services</w:t>
      </w:r>
      <w:r>
        <w:t>, where a licensee wishes to supplement its MSS.</w:t>
      </w:r>
      <w:r>
        <w:rPr>
          <w:rStyle w:val="FootnoteReference"/>
        </w:rPr>
        <w:footnoteReference w:id="14"/>
      </w:r>
      <w:r>
        <w:t xml:space="preserve"> </w:t>
      </w:r>
    </w:p>
    <w:p w14:paraId="02A2A0E0" w14:textId="312648F9" w:rsidR="006B5DE2" w:rsidRDefault="006B5DE2" w:rsidP="002244B8">
      <w:pPr>
        <w:pStyle w:val="Bulletlevel1last"/>
        <w:ind w:left="284" w:hanging="284"/>
      </w:pPr>
      <w:r>
        <w:t>2</w:t>
      </w:r>
      <w:r w:rsidR="00D677EA">
        <w:t xml:space="preserve"> </w:t>
      </w:r>
      <w:r>
        <w:t>x</w:t>
      </w:r>
      <w:r w:rsidR="00D677EA">
        <w:t xml:space="preserve"> </w:t>
      </w:r>
      <w:r>
        <w:t>5 MHz (2005–2010 MHz and 2195–2200 MHz) for shared narrowband MSS including telemetry, short messaging, and low-data-rate services such as satellite IoT (internet of things) application</w:t>
      </w:r>
      <w:r w:rsidR="002851CD">
        <w:t>s</w:t>
      </w:r>
      <w:r>
        <w:t>.</w:t>
      </w:r>
      <w:r w:rsidR="00691645">
        <w:rPr>
          <w:rStyle w:val="FootnoteReference"/>
        </w:rPr>
        <w:footnoteReference w:id="15"/>
      </w:r>
    </w:p>
    <w:p w14:paraId="119F0E21" w14:textId="7744252E" w:rsidR="00E22AF8" w:rsidRDefault="002319CB" w:rsidP="00153DC9">
      <w:pPr>
        <w:pStyle w:val="Paragraphbeforelist"/>
        <w:spacing w:after="240"/>
      </w:pPr>
      <w:r>
        <w:t xml:space="preserve">In accordance with the planning decision, in July 2022 we introduced arrangements in the </w:t>
      </w:r>
      <w:r w:rsidR="005A2BE7">
        <w:t>2 </w:t>
      </w:r>
      <w:r>
        <w:t xml:space="preserve">GHz band to support narrowband MSS systems, with licences </w:t>
      </w:r>
      <w:r w:rsidRPr="00092327">
        <w:t xml:space="preserve">issued to </w:t>
      </w:r>
      <w:r w:rsidR="00D61D5B" w:rsidRPr="00092327">
        <w:t>5</w:t>
      </w:r>
      <w:r w:rsidRPr="00092327">
        <w:t xml:space="preserve"> organisations.</w:t>
      </w:r>
      <w:r w:rsidRPr="00092327">
        <w:rPr>
          <w:rStyle w:val="FootnoteReference"/>
        </w:rPr>
        <w:t xml:space="preserve"> </w:t>
      </w:r>
      <w:r w:rsidR="001537CA" w:rsidRPr="00092327">
        <w:rPr>
          <w:rStyle w:val="FootnoteReference"/>
        </w:rPr>
        <w:footnoteReference w:id="16"/>
      </w:r>
      <w:r>
        <w:t xml:space="preserve"> </w:t>
      </w:r>
    </w:p>
    <w:p w14:paraId="2656DFD6" w14:textId="77259F5D" w:rsidR="00E22AF8" w:rsidRPr="00A30060" w:rsidRDefault="005C15DD" w:rsidP="00E22AF8">
      <w:pPr>
        <w:pStyle w:val="Paragraph"/>
        <w:spacing w:after="80"/>
        <w:rPr>
          <w:b/>
          <w:bCs/>
        </w:rPr>
      </w:pPr>
      <w:r>
        <w:t xml:space="preserve">The focus is now on developing arrangements </w:t>
      </w:r>
      <w:r w:rsidR="000704D4">
        <w:t>to support a</w:t>
      </w:r>
      <w:r w:rsidR="00E22AF8">
        <w:t xml:space="preserve"> system model for MSS </w:t>
      </w:r>
      <w:r w:rsidR="00CE54AD">
        <w:t xml:space="preserve">in the </w:t>
      </w:r>
      <w:r w:rsidR="003C6CD7">
        <w:t>2 </w:t>
      </w:r>
      <w:r w:rsidR="00CE54AD">
        <w:t xml:space="preserve">GHz MSS band </w:t>
      </w:r>
      <w:r w:rsidR="000162FC">
        <w:t>as</w:t>
      </w:r>
      <w:r w:rsidR="00E22AF8">
        <w:t xml:space="preserve"> </w:t>
      </w:r>
      <w:r w:rsidR="00E22AF8" w:rsidRPr="00092327">
        <w:t>illustrated in Figure 1. The</w:t>
      </w:r>
      <w:r w:rsidR="00E22AF8">
        <w:t xml:space="preserve"> model consists of:</w:t>
      </w:r>
    </w:p>
    <w:p w14:paraId="6DD5CEBC" w14:textId="3D1C61AF" w:rsidR="00E22AF8" w:rsidRDefault="00E22AF8" w:rsidP="00E22AF8">
      <w:pPr>
        <w:pStyle w:val="Bulletlevel1last"/>
        <w:spacing w:after="80"/>
        <w:ind w:left="284" w:hanging="284"/>
      </w:pPr>
      <w:r>
        <w:t>MSS (space station</w:t>
      </w:r>
      <w:r w:rsidR="002851CD">
        <w:t>s</w:t>
      </w:r>
      <w:r w:rsidR="008C3118" w:rsidRPr="008C3118">
        <w:t xml:space="preserve"> </w:t>
      </w:r>
      <w:r>
        <w:t>and mobile earth stations)</w:t>
      </w:r>
    </w:p>
    <w:p w14:paraId="3E68F2C4" w14:textId="77777777" w:rsidR="00E22AF8" w:rsidRDefault="00E22AF8" w:rsidP="00E22AF8">
      <w:pPr>
        <w:pStyle w:val="Bulletlevel1last"/>
        <w:spacing w:after="80"/>
        <w:ind w:left="284" w:hanging="284"/>
      </w:pPr>
      <w:r>
        <w:t>CGC that is deployed to supplement mobile-satellite coverage</w:t>
      </w:r>
    </w:p>
    <w:p w14:paraId="5B361567" w14:textId="77777777" w:rsidR="00E22AF8" w:rsidRDefault="00E22AF8" w:rsidP="00E22AF8">
      <w:pPr>
        <w:pStyle w:val="Bulletlevel1last"/>
        <w:ind w:left="284" w:hanging="284"/>
      </w:pPr>
      <w:r>
        <w:t>CGC as a DA2GC system with aircraft terminals communicating with a base station (or potentially a space station).</w:t>
      </w:r>
    </w:p>
    <w:p w14:paraId="44E00635" w14:textId="610C81E0" w:rsidR="00E22AF8" w:rsidRPr="00CB5180" w:rsidRDefault="00E22AF8" w:rsidP="00E22AF8">
      <w:pPr>
        <w:pStyle w:val="Figureheading"/>
      </w:pPr>
      <w:r w:rsidRPr="00CB5180">
        <w:lastRenderedPageBreak/>
        <w:t>2 GHz MSS system model</w:t>
      </w:r>
    </w:p>
    <w:p w14:paraId="615AE768" w14:textId="1C51EC6C" w:rsidR="00E22AF8" w:rsidRDefault="00464389" w:rsidP="00E22AF8">
      <w:pPr>
        <w:pStyle w:val="Bulletlevel2last"/>
        <w:numPr>
          <w:ilvl w:val="0"/>
          <w:numId w:val="0"/>
        </w:numPr>
      </w:pPr>
      <w:r w:rsidRPr="00464389">
        <w:t xml:space="preserve"> </w:t>
      </w:r>
      <w:r>
        <w:rPr>
          <w:noProof/>
        </w:rPr>
        <w:drawing>
          <wp:inline distT="0" distB="0" distL="0" distR="0" wp14:anchorId="00BCEDE1" wp14:editId="764352C4">
            <wp:extent cx="5906539" cy="4738256"/>
            <wp:effectExtent l="0" t="0" r="0" b="5715"/>
            <wp:docPr id="447735745" name="Picture 1" descr="A model diagram of how mobile-satellite service communication could operate. The model consists of MSS (space stations and mobile earth stations) and CGC (base stations and users/aeronautical terminals) deployed to supplement  mobile satellite coverage. Mobile earth stations have a transmitting  frequency  range of 1980-2005 MHz and a receiving frequency range of 2170-2195 MHz. The model also consists of a CGC and DA2GC system with aircraft communicating with a base station or a space station. Base stations  in CGC and DA2GC system transmits a frequency of 2170-2195 MHz to aircraft terminals and receives in the 1980-2005 MHz frequency range. The aircraft terminals transmit in the  1980-2005 MHz frequency range to a base station or a space station and receives a frequency range of 2170-2195 MH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5745" name="Picture 1" descr="A model diagram of how mobile-satellite service communication could operate. The model consists of MSS (space stations and mobile earth stations) and CGC (base stations and users/aeronautical terminals) deployed to supplement  mobile satellite coverage. Mobile earth stations have a transmitting  frequency  range of 1980-2005 MHz and a receiving frequency range of 2170-2195 MHz. The model also consists of a CGC and DA2GC system with aircraft communicating with a base station or a space station. Base stations  in CGC and DA2GC system transmits a frequency of 2170-2195 MHz to aircraft terminals and receives in the 1980-2005 MHz frequency range. The aircraft terminals transmit in the  1980-2005 MHz frequency range to a base station or a space station and receives a frequency range of 2170-2195 MHz.&#10;"/>
                    <pic:cNvPicPr/>
                  </pic:nvPicPr>
                  <pic:blipFill>
                    <a:blip r:embed="rId29">
                      <a:extLst>
                        <a:ext uri="{28A0092B-C50C-407E-A947-70E740481C1C}">
                          <a14:useLocalDpi xmlns:a14="http://schemas.microsoft.com/office/drawing/2010/main" val="0"/>
                        </a:ext>
                      </a:extLst>
                    </a:blip>
                    <a:stretch>
                      <a:fillRect/>
                    </a:stretch>
                  </pic:blipFill>
                  <pic:spPr>
                    <a:xfrm>
                      <a:off x="0" y="0"/>
                      <a:ext cx="5906539" cy="4738256"/>
                    </a:xfrm>
                    <a:prstGeom prst="rect">
                      <a:avLst/>
                    </a:prstGeom>
                  </pic:spPr>
                </pic:pic>
              </a:graphicData>
            </a:graphic>
          </wp:inline>
        </w:drawing>
      </w:r>
    </w:p>
    <w:p w14:paraId="57CB0A20" w14:textId="75441384" w:rsidR="00157E70" w:rsidRDefault="0054380A" w:rsidP="00153DC9">
      <w:pPr>
        <w:pStyle w:val="Paragraphbeforelist"/>
        <w:spacing w:after="240"/>
      </w:pPr>
      <w:r>
        <w:t>W</w:t>
      </w:r>
      <w:r w:rsidR="00A1282D">
        <w:t xml:space="preserve">e released the </w:t>
      </w:r>
      <w:r w:rsidR="00885A02">
        <w:t xml:space="preserve">November 2023 </w:t>
      </w:r>
      <w:r w:rsidR="005E3077">
        <w:t>d</w:t>
      </w:r>
      <w:r w:rsidR="009F6114">
        <w:t>iscussion paper</w:t>
      </w:r>
      <w:r w:rsidR="00213D99">
        <w:t>, which included preliminary discussion on certain elements of licence allocation</w:t>
      </w:r>
      <w:r w:rsidR="001A498E">
        <w:t xml:space="preserve"> </w:t>
      </w:r>
      <w:r w:rsidR="00A43EB2">
        <w:t>design</w:t>
      </w:r>
      <w:r w:rsidR="001A498E">
        <w:t xml:space="preserve"> </w:t>
      </w:r>
      <w:r w:rsidR="00552F55">
        <w:t>and sought updated information from stakeholders</w:t>
      </w:r>
      <w:r w:rsidR="00213D99">
        <w:t>.</w:t>
      </w:r>
      <w:r w:rsidR="00E37C9C">
        <w:t xml:space="preserve"> </w:t>
      </w:r>
      <w:r w:rsidR="00F0712E" w:rsidRPr="007C1ED8">
        <w:t>We have also consulted on the 2 GHz MSS band as part of our forward allocation work program in the 2024</w:t>
      </w:r>
      <w:r w:rsidR="004E2C18">
        <w:t>–</w:t>
      </w:r>
      <w:r w:rsidR="00F0712E" w:rsidRPr="007C1ED8">
        <w:t>29 and 2025</w:t>
      </w:r>
      <w:r w:rsidR="004E2C18">
        <w:t>–</w:t>
      </w:r>
      <w:r w:rsidR="00F0712E" w:rsidRPr="007C1ED8">
        <w:t>30</w:t>
      </w:r>
      <w:r w:rsidR="00F0712E">
        <w:t xml:space="preserve"> FYSO</w:t>
      </w:r>
      <w:r w:rsidR="00E37C9C">
        <w:t xml:space="preserve">. </w:t>
      </w:r>
    </w:p>
    <w:p w14:paraId="677224E9" w14:textId="00E430CC" w:rsidR="00E433C2" w:rsidRPr="005B338A" w:rsidRDefault="009B4495" w:rsidP="005B338A">
      <w:pPr>
        <w:pStyle w:val="Paragraph"/>
      </w:pPr>
      <w:r w:rsidRPr="005B338A">
        <w:t>We have considered submissions to the</w:t>
      </w:r>
      <w:r w:rsidR="000704D4" w:rsidRPr="005B338A">
        <w:t xml:space="preserve">se </w:t>
      </w:r>
      <w:r w:rsidRPr="005B338A">
        <w:t>consultations in forming the preliminary views set out in this paper.</w:t>
      </w:r>
      <w:r w:rsidR="00994863" w:rsidRPr="005B338A">
        <w:t xml:space="preserve"> </w:t>
      </w:r>
      <w:r w:rsidR="005919B7" w:rsidRPr="005B338A">
        <w:t xml:space="preserve">We will consider submissions to this consultation in </w:t>
      </w:r>
      <w:r w:rsidR="00623293" w:rsidRPr="005B338A">
        <w:t>finalising our views on matters raised in this paper.</w:t>
      </w:r>
    </w:p>
    <w:p w14:paraId="77765F76" w14:textId="3E97C2A6" w:rsidR="001455DA" w:rsidRPr="00402D86" w:rsidRDefault="008219B7" w:rsidP="001C43D0">
      <w:pPr>
        <w:pStyle w:val="Heading2"/>
      </w:pPr>
      <w:bookmarkStart w:id="15" w:name="_Toc202867804"/>
      <w:r>
        <w:t>Legislative guidance</w:t>
      </w:r>
      <w:bookmarkEnd w:id="15"/>
    </w:p>
    <w:p w14:paraId="575F552F" w14:textId="5D057757" w:rsidR="003F597A" w:rsidRDefault="004E2C18" w:rsidP="00625A3D">
      <w:pPr>
        <w:pStyle w:val="Paragraphbeforelist"/>
        <w:rPr>
          <w:rFonts w:eastAsia="Arial"/>
        </w:rPr>
      </w:pPr>
      <w:r>
        <w:rPr>
          <w:rFonts w:eastAsia="Arial"/>
        </w:rPr>
        <w:t>Our</w:t>
      </w:r>
      <w:r w:rsidR="00317627" w:rsidRPr="00317627">
        <w:rPr>
          <w:rFonts w:eastAsia="Arial"/>
        </w:rPr>
        <w:t xml:space="preserve"> spectrum management decisions are guided by the object of the </w:t>
      </w:r>
      <w:r w:rsidR="00317627" w:rsidRPr="0091744C">
        <w:rPr>
          <w:rFonts w:eastAsia="Arial"/>
        </w:rPr>
        <w:t>Act,</w:t>
      </w:r>
      <w:r w:rsidR="00317627" w:rsidRPr="00317627">
        <w:rPr>
          <w:rFonts w:eastAsia="Arial"/>
        </w:rPr>
        <w:t xml:space="preserve"> which is to promote the long-term public interest derived from the use of the spectrum</w:t>
      </w:r>
      <w:r w:rsidR="003F597A" w:rsidRPr="003F597A">
        <w:rPr>
          <w:szCs w:val="20"/>
        </w:rPr>
        <w:t xml:space="preserve"> </w:t>
      </w:r>
      <w:r w:rsidR="003F597A" w:rsidRPr="003F597A">
        <w:rPr>
          <w:rFonts w:eastAsia="Arial"/>
        </w:rPr>
        <w:t>by providing for the management of the spectrum in a manner that:</w:t>
      </w:r>
    </w:p>
    <w:p w14:paraId="5091E875" w14:textId="77777777" w:rsidR="00552987" w:rsidRPr="00552987" w:rsidRDefault="00552987" w:rsidP="00180D7C">
      <w:pPr>
        <w:numPr>
          <w:ilvl w:val="0"/>
          <w:numId w:val="42"/>
        </w:numPr>
        <w:spacing w:after="80" w:line="280" w:lineRule="atLeast"/>
        <w:ind w:left="284" w:hanging="284"/>
        <w:textAlignment w:val="baseline"/>
        <w:rPr>
          <w:rFonts w:cs="Arial"/>
          <w:sz w:val="22"/>
          <w:szCs w:val="22"/>
        </w:rPr>
      </w:pPr>
      <w:r w:rsidRPr="00552987">
        <w:rPr>
          <w:rFonts w:cs="Arial"/>
          <w:sz w:val="22"/>
          <w:szCs w:val="22"/>
        </w:rPr>
        <w:t>facilitates the efficient planning, allocation and use of the spectrum </w:t>
      </w:r>
    </w:p>
    <w:p w14:paraId="088FAE51" w14:textId="77777777" w:rsidR="00552987" w:rsidRPr="00552987" w:rsidRDefault="00552987" w:rsidP="00180D7C">
      <w:pPr>
        <w:numPr>
          <w:ilvl w:val="0"/>
          <w:numId w:val="42"/>
        </w:numPr>
        <w:spacing w:after="80" w:line="280" w:lineRule="atLeast"/>
        <w:ind w:left="284" w:hanging="284"/>
        <w:textAlignment w:val="baseline"/>
        <w:rPr>
          <w:rFonts w:cs="Arial"/>
          <w:sz w:val="22"/>
          <w:szCs w:val="22"/>
        </w:rPr>
      </w:pPr>
      <w:r w:rsidRPr="00552987">
        <w:rPr>
          <w:rFonts w:cs="Arial"/>
          <w:sz w:val="22"/>
          <w:szCs w:val="22"/>
        </w:rPr>
        <w:t>facilitates the use of the spectrum for: </w:t>
      </w:r>
    </w:p>
    <w:p w14:paraId="0B1F1CCA" w14:textId="77777777" w:rsidR="00552987" w:rsidRPr="00552987" w:rsidRDefault="00552987" w:rsidP="005E4132">
      <w:pPr>
        <w:numPr>
          <w:ilvl w:val="1"/>
          <w:numId w:val="43"/>
        </w:numPr>
        <w:spacing w:after="80" w:line="280" w:lineRule="atLeast"/>
        <w:ind w:left="738" w:hanging="284"/>
        <w:textAlignment w:val="baseline"/>
        <w:rPr>
          <w:rFonts w:cs="Arial"/>
          <w:sz w:val="22"/>
          <w:szCs w:val="22"/>
        </w:rPr>
      </w:pPr>
      <w:r w:rsidRPr="00552987">
        <w:rPr>
          <w:rFonts w:cs="Arial"/>
          <w:sz w:val="22"/>
          <w:szCs w:val="22"/>
        </w:rPr>
        <w:t>commercial purposes </w:t>
      </w:r>
    </w:p>
    <w:p w14:paraId="43A0302C" w14:textId="77777777" w:rsidR="00552987" w:rsidRPr="00552987" w:rsidRDefault="00552987" w:rsidP="005E4132">
      <w:pPr>
        <w:numPr>
          <w:ilvl w:val="1"/>
          <w:numId w:val="43"/>
        </w:numPr>
        <w:spacing w:after="80" w:line="280" w:lineRule="atLeast"/>
        <w:ind w:left="738" w:hanging="284"/>
        <w:textAlignment w:val="baseline"/>
        <w:rPr>
          <w:rFonts w:cs="Arial"/>
          <w:sz w:val="22"/>
          <w:szCs w:val="22"/>
        </w:rPr>
      </w:pPr>
      <w:r w:rsidRPr="00552987">
        <w:rPr>
          <w:rFonts w:cs="Arial"/>
          <w:sz w:val="22"/>
          <w:szCs w:val="22"/>
        </w:rPr>
        <w:t>defence purposes, national security purposes and other non-commercial purposes (including public safety and community purposes) </w:t>
      </w:r>
    </w:p>
    <w:p w14:paraId="7364EA10" w14:textId="3AA7CC67" w:rsidR="00552987" w:rsidRPr="00552987" w:rsidRDefault="00552987" w:rsidP="00180D7C">
      <w:pPr>
        <w:numPr>
          <w:ilvl w:val="0"/>
          <w:numId w:val="42"/>
        </w:numPr>
        <w:spacing w:line="280" w:lineRule="atLeast"/>
        <w:ind w:left="284" w:hanging="284"/>
        <w:textAlignment w:val="baseline"/>
        <w:rPr>
          <w:rFonts w:cs="Arial"/>
          <w:sz w:val="22"/>
          <w:szCs w:val="22"/>
        </w:rPr>
      </w:pPr>
      <w:r w:rsidRPr="00552987">
        <w:rPr>
          <w:rFonts w:cs="Arial"/>
          <w:sz w:val="22"/>
          <w:szCs w:val="22"/>
        </w:rPr>
        <w:t xml:space="preserve">supports the communications policy objectives of the </w:t>
      </w:r>
      <w:r w:rsidR="00B94FC0">
        <w:rPr>
          <w:rFonts w:cs="Arial"/>
          <w:sz w:val="22"/>
          <w:szCs w:val="22"/>
        </w:rPr>
        <w:t>Commonwealth</w:t>
      </w:r>
      <w:r w:rsidR="00B94FC0" w:rsidRPr="00552987">
        <w:rPr>
          <w:rFonts w:cs="Arial"/>
          <w:sz w:val="22"/>
          <w:szCs w:val="22"/>
        </w:rPr>
        <w:t xml:space="preserve"> </w:t>
      </w:r>
      <w:r w:rsidRPr="00552987">
        <w:rPr>
          <w:rFonts w:cs="Arial"/>
          <w:sz w:val="22"/>
          <w:szCs w:val="22"/>
        </w:rPr>
        <w:t>Government. </w:t>
      </w:r>
    </w:p>
    <w:p w14:paraId="52604D28" w14:textId="386EC1A3" w:rsidR="00317627" w:rsidRPr="00317627" w:rsidRDefault="00944853" w:rsidP="00E468FE">
      <w:pPr>
        <w:spacing w:line="280" w:lineRule="atLeast"/>
        <w:rPr>
          <w:rFonts w:eastAsia="Arial" w:cs="Arial"/>
          <w:sz w:val="22"/>
          <w:szCs w:val="22"/>
        </w:rPr>
      </w:pPr>
      <w:r>
        <w:rPr>
          <w:rFonts w:eastAsia="Arial" w:cs="Arial"/>
          <w:sz w:val="22"/>
          <w:szCs w:val="22"/>
        </w:rPr>
        <w:lastRenderedPageBreak/>
        <w:t xml:space="preserve">We are also guided by </w:t>
      </w:r>
      <w:r w:rsidR="00120A70" w:rsidRPr="00120A70">
        <w:rPr>
          <w:rFonts w:eastAsia="Arial" w:cs="Arial"/>
          <w:sz w:val="22"/>
          <w:szCs w:val="22"/>
        </w:rPr>
        <w:t xml:space="preserve">the </w:t>
      </w:r>
      <w:hyperlink r:id="rId30">
        <w:r w:rsidR="00120A70" w:rsidRPr="00120A70">
          <w:rPr>
            <w:rStyle w:val="Hyperlink"/>
            <w:rFonts w:eastAsia="Arial" w:cs="Arial"/>
            <w:sz w:val="22"/>
            <w:szCs w:val="22"/>
          </w:rPr>
          <w:t>statement of expectations for the ACMA</w:t>
        </w:r>
      </w:hyperlink>
      <w:r w:rsidR="00120A70" w:rsidRPr="00120A70">
        <w:rPr>
          <w:rFonts w:eastAsia="Arial" w:cs="Arial"/>
          <w:sz w:val="22"/>
          <w:szCs w:val="22"/>
        </w:rPr>
        <w:t xml:space="preserve"> (SoE)</w:t>
      </w:r>
      <w:r w:rsidR="001760AD">
        <w:rPr>
          <w:rFonts w:eastAsia="Arial" w:cs="Arial"/>
          <w:sz w:val="22"/>
          <w:szCs w:val="22"/>
        </w:rPr>
        <w:t>.</w:t>
      </w:r>
      <w:r w:rsidR="002C3EC9">
        <w:rPr>
          <w:rFonts w:eastAsia="Arial" w:cs="Arial"/>
          <w:sz w:val="22"/>
          <w:szCs w:val="22"/>
        </w:rPr>
        <w:t xml:space="preserve"> </w:t>
      </w:r>
      <w:r w:rsidR="00F45659">
        <w:rPr>
          <w:rFonts w:eastAsia="Arial" w:cs="Arial"/>
          <w:sz w:val="22"/>
          <w:szCs w:val="22"/>
        </w:rPr>
        <w:t>This includes</w:t>
      </w:r>
      <w:r w:rsidR="00520857">
        <w:rPr>
          <w:rFonts w:eastAsia="Arial" w:cs="Arial"/>
          <w:sz w:val="22"/>
          <w:szCs w:val="22"/>
        </w:rPr>
        <w:t xml:space="preserve">, </w:t>
      </w:r>
      <w:r w:rsidR="00504827" w:rsidRPr="00504827">
        <w:rPr>
          <w:rFonts w:eastAsia="Arial" w:cs="Arial"/>
          <w:sz w:val="22"/>
          <w:szCs w:val="22"/>
        </w:rPr>
        <w:t>promoting technology neutral</w:t>
      </w:r>
      <w:r w:rsidR="00504827">
        <w:rPr>
          <w:rFonts w:eastAsia="Arial" w:cs="Arial"/>
          <w:sz w:val="22"/>
          <w:szCs w:val="22"/>
        </w:rPr>
        <w:t xml:space="preserve"> </w:t>
      </w:r>
      <w:r w:rsidR="00504827" w:rsidRPr="00504827">
        <w:rPr>
          <w:rFonts w:eastAsia="Arial" w:cs="Arial"/>
          <w:sz w:val="22"/>
          <w:szCs w:val="22"/>
        </w:rPr>
        <w:t>frameworks that facilitate early adoption of new and emerging technologies</w:t>
      </w:r>
      <w:r w:rsidR="00504827">
        <w:rPr>
          <w:rFonts w:eastAsia="Arial" w:cs="Arial"/>
          <w:sz w:val="22"/>
          <w:szCs w:val="22"/>
        </w:rPr>
        <w:t xml:space="preserve"> </w:t>
      </w:r>
      <w:r w:rsidR="00A83843">
        <w:rPr>
          <w:rFonts w:eastAsia="Arial" w:cs="Arial"/>
          <w:sz w:val="22"/>
          <w:szCs w:val="22"/>
        </w:rPr>
        <w:t>(</w:t>
      </w:r>
      <w:r w:rsidR="000D00B9">
        <w:rPr>
          <w:rFonts w:eastAsia="Arial" w:cs="Arial"/>
          <w:sz w:val="22"/>
          <w:szCs w:val="22"/>
        </w:rPr>
        <w:t xml:space="preserve">such as </w:t>
      </w:r>
      <w:r w:rsidR="00240DE5">
        <w:rPr>
          <w:rFonts w:eastAsia="Arial" w:cs="Arial"/>
          <w:sz w:val="22"/>
          <w:szCs w:val="22"/>
        </w:rPr>
        <w:t>direct to device technologies</w:t>
      </w:r>
      <w:r w:rsidR="00A83843">
        <w:rPr>
          <w:rFonts w:eastAsia="Arial" w:cs="Arial"/>
          <w:sz w:val="22"/>
          <w:szCs w:val="22"/>
        </w:rPr>
        <w:t xml:space="preserve">), </w:t>
      </w:r>
      <w:r w:rsidR="0039147C">
        <w:rPr>
          <w:rFonts w:eastAsia="Arial" w:cs="Arial"/>
          <w:sz w:val="22"/>
          <w:szCs w:val="22"/>
        </w:rPr>
        <w:t>s</w:t>
      </w:r>
      <w:r w:rsidR="0039147C" w:rsidRPr="0039147C">
        <w:rPr>
          <w:rFonts w:eastAsia="Arial" w:cs="Arial"/>
          <w:sz w:val="22"/>
          <w:szCs w:val="22"/>
        </w:rPr>
        <w:t xml:space="preserve">upporting </w:t>
      </w:r>
      <w:r w:rsidR="004E2C18">
        <w:rPr>
          <w:rFonts w:eastAsia="Arial" w:cs="Arial"/>
          <w:sz w:val="22"/>
          <w:szCs w:val="22"/>
        </w:rPr>
        <w:t>g</w:t>
      </w:r>
      <w:r w:rsidR="0039147C" w:rsidRPr="0039147C">
        <w:rPr>
          <w:rFonts w:eastAsia="Arial" w:cs="Arial"/>
          <w:sz w:val="22"/>
          <w:szCs w:val="22"/>
        </w:rPr>
        <w:t>overnment policies related to regional, rural and remote Australia</w:t>
      </w:r>
      <w:r w:rsidR="0039147C">
        <w:rPr>
          <w:rFonts w:eastAsia="Arial" w:cs="Arial"/>
          <w:sz w:val="22"/>
          <w:szCs w:val="22"/>
        </w:rPr>
        <w:t xml:space="preserve">, </w:t>
      </w:r>
      <w:r w:rsidR="00157178">
        <w:rPr>
          <w:rFonts w:eastAsia="Arial" w:cs="Arial"/>
          <w:sz w:val="22"/>
          <w:szCs w:val="22"/>
        </w:rPr>
        <w:t xml:space="preserve">and </w:t>
      </w:r>
      <w:r w:rsidR="00157178" w:rsidRPr="00157178">
        <w:rPr>
          <w:rFonts w:eastAsia="Arial" w:cs="Arial"/>
          <w:sz w:val="22"/>
          <w:szCs w:val="22"/>
        </w:rPr>
        <w:t>promoting the long-term public interest derived from spectrum</w:t>
      </w:r>
      <w:r w:rsidR="00157178">
        <w:rPr>
          <w:rFonts w:eastAsia="Arial" w:cs="Arial"/>
          <w:sz w:val="22"/>
          <w:szCs w:val="22"/>
        </w:rPr>
        <w:t xml:space="preserve">. </w:t>
      </w:r>
    </w:p>
    <w:p w14:paraId="41FC3051" w14:textId="5CF99F87" w:rsidR="006E2102" w:rsidRPr="00402D86" w:rsidRDefault="00583414" w:rsidP="00795B31">
      <w:pPr>
        <w:pStyle w:val="Heading1"/>
      </w:pPr>
      <w:bookmarkStart w:id="16" w:name="_Allocation_design"/>
      <w:bookmarkStart w:id="17" w:name="_Toc202867805"/>
      <w:bookmarkEnd w:id="16"/>
      <w:r w:rsidRPr="00402D86">
        <w:lastRenderedPageBreak/>
        <w:t>Allocation design</w:t>
      </w:r>
      <w:bookmarkEnd w:id="17"/>
    </w:p>
    <w:p w14:paraId="748CFAD3" w14:textId="47E5269B" w:rsidR="00503DC6" w:rsidRDefault="00BD253A" w:rsidP="00231246">
      <w:pPr>
        <w:pStyle w:val="Paragraph"/>
        <w:spacing w:after="80"/>
      </w:pPr>
      <w:r>
        <w:t xml:space="preserve">Submissions are invited on a range of matters relating to allocation design for the </w:t>
      </w:r>
      <w:r w:rsidR="004E2C18">
        <w:br/>
      </w:r>
      <w:r>
        <w:t>2 GHz MSS band</w:t>
      </w:r>
      <w:r w:rsidR="001E236E">
        <w:t xml:space="preserve">. </w:t>
      </w:r>
      <w:r>
        <w:t>These matters include</w:t>
      </w:r>
      <w:r w:rsidR="00503DC6">
        <w:t>:</w:t>
      </w:r>
    </w:p>
    <w:p w14:paraId="2826AB83" w14:textId="7BF48543" w:rsidR="00503DC6" w:rsidRPr="008E1C4C" w:rsidRDefault="00355DEE" w:rsidP="00FB65AF">
      <w:pPr>
        <w:pStyle w:val="Bulletlevel1"/>
        <w:numPr>
          <w:ilvl w:val="0"/>
          <w:numId w:val="13"/>
        </w:numPr>
        <w:ind w:left="284" w:hanging="284"/>
      </w:pPr>
      <w:r>
        <w:t>Lot</w:t>
      </w:r>
      <w:r w:rsidR="00BD253A">
        <w:t xml:space="preserve"> configuration</w:t>
      </w:r>
      <w:r w:rsidR="004E2C18">
        <w:t>.</w:t>
      </w:r>
    </w:p>
    <w:p w14:paraId="138E5DBB" w14:textId="047F190F" w:rsidR="008E1C4C" w:rsidRPr="008E1C4C" w:rsidRDefault="00355DEE" w:rsidP="00FB65AF">
      <w:pPr>
        <w:pStyle w:val="Bulletlevel1"/>
        <w:numPr>
          <w:ilvl w:val="0"/>
          <w:numId w:val="13"/>
        </w:numPr>
        <w:ind w:left="284" w:hanging="284"/>
      </w:pPr>
      <w:r>
        <w:t>L</w:t>
      </w:r>
      <w:r w:rsidRPr="008E1C4C">
        <w:t>icensing</w:t>
      </w:r>
      <w:r w:rsidR="00066B11">
        <w:t xml:space="preserve"> approach including licence type, licence term</w:t>
      </w:r>
      <w:r w:rsidR="00695ACB" w:rsidRPr="008E1C4C">
        <w:t>,</w:t>
      </w:r>
      <w:r w:rsidR="00066B11">
        <w:t xml:space="preserve"> commencement</w:t>
      </w:r>
      <w:r w:rsidR="00695ACB" w:rsidRPr="008E1C4C">
        <w:t xml:space="preserve"> and renewa</w:t>
      </w:r>
      <w:r w:rsidR="008E1C4C" w:rsidRPr="008E1C4C">
        <w:t>l</w:t>
      </w:r>
      <w:r w:rsidR="00B059AD">
        <w:t xml:space="preserve"> </w:t>
      </w:r>
      <w:r w:rsidR="00B059AD" w:rsidRPr="00637791">
        <w:t>statements</w:t>
      </w:r>
      <w:r w:rsidR="004E2C18">
        <w:t>.</w:t>
      </w:r>
    </w:p>
    <w:p w14:paraId="54A67A4F" w14:textId="6CF2DB9C" w:rsidR="008E1C4C" w:rsidRPr="008E1C4C" w:rsidRDefault="00355DEE" w:rsidP="00FB65AF">
      <w:pPr>
        <w:pStyle w:val="Bulletlevel1"/>
        <w:numPr>
          <w:ilvl w:val="0"/>
          <w:numId w:val="13"/>
        </w:numPr>
        <w:ind w:left="284" w:hanging="284"/>
      </w:pPr>
      <w:r>
        <w:t>Allocation</w:t>
      </w:r>
      <w:r w:rsidR="00BD253A">
        <w:t xml:space="preserve"> methodology</w:t>
      </w:r>
      <w:r w:rsidR="00BD253A" w:rsidDel="00066B11">
        <w:t xml:space="preserve"> </w:t>
      </w:r>
      <w:r w:rsidR="00BD253A">
        <w:t xml:space="preserve">and </w:t>
      </w:r>
      <w:r w:rsidR="008E1C4C" w:rsidRPr="008E1C4C">
        <w:t>auction format</w:t>
      </w:r>
      <w:r w:rsidR="004E2C18">
        <w:t>.</w:t>
      </w:r>
    </w:p>
    <w:p w14:paraId="0EC64CF3" w14:textId="0E549519" w:rsidR="008E1C4C" w:rsidRPr="008E1C4C" w:rsidRDefault="00355DEE" w:rsidP="00305E33">
      <w:pPr>
        <w:pStyle w:val="Bulletlevel1last"/>
        <w:ind w:left="284" w:hanging="284"/>
      </w:pPr>
      <w:r>
        <w:t>Arrangements</w:t>
      </w:r>
      <w:r w:rsidR="00BD253A">
        <w:t xml:space="preserve"> for CGC and DA2GC. </w:t>
      </w:r>
    </w:p>
    <w:p w14:paraId="7FBA7C0A" w14:textId="591A6A62" w:rsidR="00BD253A" w:rsidRDefault="00BD253A" w:rsidP="00BD253A">
      <w:pPr>
        <w:pStyle w:val="Paragraph"/>
      </w:pPr>
      <w:r>
        <w:t>We are also seeking an indication of demand and use-cases for the 2 GHz MSS band more generally.</w:t>
      </w:r>
    </w:p>
    <w:p w14:paraId="089A2966" w14:textId="23045A46" w:rsidR="008C0C76" w:rsidRPr="00E50E21" w:rsidRDefault="008B7FD6" w:rsidP="00FB65AF">
      <w:pPr>
        <w:pStyle w:val="Paragraph"/>
      </w:pPr>
      <w:r>
        <w:t>I</w:t>
      </w:r>
      <w:r w:rsidR="008C0C76" w:rsidRPr="00E50E21">
        <w:t xml:space="preserve">n determining </w:t>
      </w:r>
      <w:r w:rsidR="00BB77C6">
        <w:t xml:space="preserve">aspects of </w:t>
      </w:r>
      <w:r w:rsidR="008C0C76" w:rsidRPr="00E50E21">
        <w:t xml:space="preserve">allocation </w:t>
      </w:r>
      <w:r w:rsidR="00AD2C2E">
        <w:t>design</w:t>
      </w:r>
      <w:r w:rsidR="00F92186">
        <w:t xml:space="preserve"> </w:t>
      </w:r>
      <w:r>
        <w:t>we consider</w:t>
      </w:r>
      <w:r w:rsidR="00804FB2">
        <w:t xml:space="preserve"> </w:t>
      </w:r>
      <w:r w:rsidR="00AA0DAE">
        <w:t xml:space="preserve">supporting competition and </w:t>
      </w:r>
      <w:r w:rsidR="00F92186" w:rsidRPr="00F92186">
        <w:t>promoting the long-term public interest derived from spectrum, including the benefits of technological developments that improve spectrum use and efficiency</w:t>
      </w:r>
      <w:r w:rsidR="003B2A27">
        <w:t xml:space="preserve">. </w:t>
      </w:r>
      <w:r w:rsidR="006E2A60">
        <w:t xml:space="preserve">In </w:t>
      </w:r>
      <w:r w:rsidR="008E4D71">
        <w:t>meeting</w:t>
      </w:r>
      <w:r w:rsidR="00E34775">
        <w:t xml:space="preserve"> these objectives</w:t>
      </w:r>
      <w:r w:rsidR="00990616" w:rsidRPr="00637791">
        <w:t>,</w:t>
      </w:r>
      <w:r w:rsidR="00BB77C6">
        <w:t xml:space="preserve"> </w:t>
      </w:r>
      <w:r w:rsidR="008E4D71">
        <w:t xml:space="preserve">an important factor </w:t>
      </w:r>
      <w:r w:rsidR="008402EE">
        <w:t>to consider</w:t>
      </w:r>
      <w:r w:rsidR="008C0C76" w:rsidRPr="00E50E21">
        <w:t xml:space="preserve"> is demand for the spectrum. </w:t>
      </w:r>
    </w:p>
    <w:p w14:paraId="1D32D2B2" w14:textId="094268AF" w:rsidR="008C0C76" w:rsidRPr="00E50E21" w:rsidRDefault="00D3675F" w:rsidP="008C0C76">
      <w:pPr>
        <w:pStyle w:val="Numberedparagraph"/>
        <w:numPr>
          <w:ilvl w:val="0"/>
          <w:numId w:val="0"/>
        </w:numPr>
        <w:spacing w:after="240" w:line="280" w:lineRule="atLeast"/>
      </w:pPr>
      <w:r>
        <w:t>S</w:t>
      </w:r>
      <w:r w:rsidR="008C0C76" w:rsidRPr="00E50E21">
        <w:t>upply of spectrum in this allocation is limited. This is due to both the bandwidth available, and that MSS is best support</w:t>
      </w:r>
      <w:r w:rsidR="008C0C76" w:rsidRPr="00A31E67">
        <w:t xml:space="preserve">ed by </w:t>
      </w:r>
      <w:r w:rsidR="00F36AC5" w:rsidRPr="00A31E67">
        <w:t>a licensing regime that allows MSS to be provided throughout Australia</w:t>
      </w:r>
      <w:r w:rsidR="008C0C76" w:rsidRPr="00A31E67">
        <w:t xml:space="preserve">. </w:t>
      </w:r>
      <w:r w:rsidR="00116640">
        <w:t>In these circumstances</w:t>
      </w:r>
      <w:r w:rsidR="008C0C76" w:rsidRPr="00E50E21">
        <w:t>, the threshold for demand to meet supply is relatively low.</w:t>
      </w:r>
    </w:p>
    <w:p w14:paraId="622B63A8" w14:textId="33E0E350" w:rsidR="008E7A89" w:rsidRPr="00C174A1" w:rsidRDefault="008E7A89" w:rsidP="008E7A89">
      <w:pPr>
        <w:pStyle w:val="Numberedparagraph"/>
        <w:numPr>
          <w:ilvl w:val="0"/>
          <w:numId w:val="0"/>
        </w:numPr>
        <w:spacing w:after="240" w:line="280" w:lineRule="atLeast"/>
      </w:pPr>
      <w:r w:rsidRPr="00C174A1">
        <w:t xml:space="preserve">As set out in the </w:t>
      </w:r>
      <w:r w:rsidRPr="00DD0EF0">
        <w:t xml:space="preserve">January 2021 </w:t>
      </w:r>
      <w:hyperlink r:id="rId31" w:history="1">
        <w:r w:rsidRPr="00DD0EF0">
          <w:rPr>
            <w:rStyle w:val="Hyperlink"/>
          </w:rPr>
          <w:t xml:space="preserve">Replanning the 2 GHz band (1980–2010 and 2170–2200 MHz) </w:t>
        </w:r>
        <w:r w:rsidR="004E2C18">
          <w:rPr>
            <w:rStyle w:val="Hyperlink"/>
          </w:rPr>
          <w:t>o</w:t>
        </w:r>
        <w:r w:rsidRPr="00DD0EF0">
          <w:rPr>
            <w:rStyle w:val="Hyperlink"/>
          </w:rPr>
          <w:t>utcomes paper</w:t>
        </w:r>
      </w:hyperlink>
      <w:r w:rsidRPr="00DD0EF0">
        <w:t xml:space="preserve"> (</w:t>
      </w:r>
      <w:r>
        <w:t xml:space="preserve">January 2021 </w:t>
      </w:r>
      <w:r w:rsidR="004E2C18">
        <w:t>o</w:t>
      </w:r>
      <w:r w:rsidRPr="00DD0EF0">
        <w:t>utcomes paper)</w:t>
      </w:r>
      <w:r w:rsidRPr="00C174A1">
        <w:t xml:space="preserve">, </w:t>
      </w:r>
      <w:r w:rsidR="004E2C18">
        <w:t>we</w:t>
      </w:r>
      <w:r w:rsidRPr="00C174A1">
        <w:t xml:space="preserve"> concluded </w:t>
      </w:r>
      <w:r w:rsidR="00ED44C0" w:rsidRPr="00425E04">
        <w:t>that</w:t>
      </w:r>
      <w:r w:rsidR="00ED44C0">
        <w:t xml:space="preserve"> </w:t>
      </w:r>
      <w:r w:rsidRPr="00C174A1">
        <w:t xml:space="preserve">arrangements that enable mobile satellite use of the band (including CGC) are expected to maximise the overall public benefit derived from use of the band. A key planning decision was to introduce apparatus licensing </w:t>
      </w:r>
      <w:r w:rsidRPr="00373C8F">
        <w:t>arrangements to support introduction of MSS Australia-wide on an exclusive basis</w:t>
      </w:r>
      <w:r w:rsidRPr="00C174A1">
        <w:t xml:space="preserve"> in the 2 GHz</w:t>
      </w:r>
      <w:r w:rsidR="00E12476">
        <w:t xml:space="preserve"> MSS</w:t>
      </w:r>
      <w:r w:rsidRPr="00C174A1">
        <w:t xml:space="preserve"> band. </w:t>
      </w:r>
      <w:r w:rsidR="00760FCC">
        <w:t xml:space="preserve">That is, </w:t>
      </w:r>
      <w:r w:rsidR="00E30FF4">
        <w:t>it</w:t>
      </w:r>
      <w:r w:rsidR="00AA07F3">
        <w:t xml:space="preserve"> i</w:t>
      </w:r>
      <w:r w:rsidR="00E30FF4">
        <w:t>s our</w:t>
      </w:r>
      <w:r w:rsidR="00D76DFA">
        <w:t xml:space="preserve"> </w:t>
      </w:r>
      <w:r w:rsidR="00E30FF4">
        <w:t xml:space="preserve">intention to </w:t>
      </w:r>
      <w:r w:rsidR="00760FCC">
        <w:t xml:space="preserve">allocate a </w:t>
      </w:r>
      <w:r w:rsidR="004B6FAD">
        <w:t>space</w:t>
      </w:r>
      <w:r w:rsidR="00022815">
        <w:t xml:space="preserve"> </w:t>
      </w:r>
      <w:r w:rsidR="00760FCC">
        <w:t>licence</w:t>
      </w:r>
      <w:r w:rsidR="004C6E6F">
        <w:t xml:space="preserve"> to</w:t>
      </w:r>
      <w:r w:rsidR="00D05A0E">
        <w:t xml:space="preserve"> a</w:t>
      </w:r>
      <w:r w:rsidR="004C6E6F">
        <w:t xml:space="preserve"> </w:t>
      </w:r>
      <w:r w:rsidR="00317011">
        <w:t>person</w:t>
      </w:r>
      <w:r w:rsidR="007E7108">
        <w:t xml:space="preserve"> for a particular frequency range</w:t>
      </w:r>
      <w:r w:rsidR="006D0CC3">
        <w:t xml:space="preserve"> in the 2 GHz MSS band</w:t>
      </w:r>
      <w:r w:rsidR="007E7108">
        <w:t xml:space="preserve">, </w:t>
      </w:r>
      <w:r w:rsidR="005E6DC9">
        <w:t>so that</w:t>
      </w:r>
      <w:r w:rsidR="001319D5">
        <w:t xml:space="preserve"> </w:t>
      </w:r>
      <w:r w:rsidR="006E6B68">
        <w:t xml:space="preserve">a </w:t>
      </w:r>
      <w:r w:rsidR="004B6FAD">
        <w:t>space</w:t>
      </w:r>
      <w:r w:rsidR="006E6B68">
        <w:t xml:space="preserve"> licence for </w:t>
      </w:r>
      <w:r w:rsidR="007E7108">
        <w:t>that same frequency range will not be allocated to any</w:t>
      </w:r>
      <w:r w:rsidR="00317011">
        <w:t xml:space="preserve"> other person</w:t>
      </w:r>
      <w:r w:rsidR="007E7108">
        <w:t xml:space="preserve">. </w:t>
      </w:r>
      <w:r w:rsidRPr="00C174A1">
        <w:t>Th</w:t>
      </w:r>
      <w:r w:rsidR="00983148">
        <w:t>e</w:t>
      </w:r>
      <w:r w:rsidRPr="00C174A1">
        <w:t xml:space="preserve"> planning decision includes developing apparatus licensing arrangements to facilitate deployment of CGC (including </w:t>
      </w:r>
      <w:r>
        <w:t>DA2G</w:t>
      </w:r>
      <w:r w:rsidRPr="00C174A1">
        <w:t xml:space="preserve">C) in the 2 GHz </w:t>
      </w:r>
      <w:r w:rsidR="00CC366C">
        <w:t xml:space="preserve">MSS </w:t>
      </w:r>
      <w:r w:rsidRPr="00C174A1">
        <w:t>band</w:t>
      </w:r>
      <w:r w:rsidR="002E45DA" w:rsidRPr="00E872DE">
        <w:t>,</w:t>
      </w:r>
      <w:r w:rsidRPr="00C174A1">
        <w:t xml:space="preserve"> where a mobile-satellite licensee wishes to supplement its MSS.</w:t>
      </w:r>
    </w:p>
    <w:p w14:paraId="359B0EF4" w14:textId="7B19D144" w:rsidR="008E7A89" w:rsidRDefault="00BF0DBD" w:rsidP="008E7A89">
      <w:pPr>
        <w:pStyle w:val="Numberedparagraph"/>
        <w:numPr>
          <w:ilvl w:val="0"/>
          <w:numId w:val="0"/>
        </w:numPr>
        <w:spacing w:after="240" w:line="280" w:lineRule="atLeast"/>
      </w:pPr>
      <w:r>
        <w:t>D</w:t>
      </w:r>
      <w:r w:rsidR="008E7A89" w:rsidRPr="00C174A1">
        <w:t xml:space="preserve">emand for </w:t>
      </w:r>
      <w:r w:rsidR="002E45DA" w:rsidRPr="00E41835">
        <w:t>apparatus</w:t>
      </w:r>
      <w:r w:rsidR="002E45DA">
        <w:t xml:space="preserve"> </w:t>
      </w:r>
      <w:r w:rsidR="009238BA">
        <w:t xml:space="preserve">licences </w:t>
      </w:r>
      <w:r w:rsidR="00D57167">
        <w:t xml:space="preserve">in the 2 GHz MSS band </w:t>
      </w:r>
      <w:r w:rsidR="008E7A89" w:rsidRPr="00C174A1">
        <w:t xml:space="preserve">will </w:t>
      </w:r>
      <w:r w:rsidR="00BC2287">
        <w:t xml:space="preserve">likely </w:t>
      </w:r>
      <w:r w:rsidR="008E7A89" w:rsidRPr="00C174A1">
        <w:t xml:space="preserve">come predominately from those seeking to provide </w:t>
      </w:r>
      <w:r w:rsidR="008E7A89" w:rsidRPr="0025040B">
        <w:t>MSS. Some demand has also been expressed from those seeking to deliver CGC services, for example DA2GC</w:t>
      </w:r>
      <w:r w:rsidR="00E441CE" w:rsidRPr="0025040B">
        <w:t>,</w:t>
      </w:r>
      <w:r w:rsidR="008E7A89" w:rsidRPr="0025040B">
        <w:t xml:space="preserve"> without </w:t>
      </w:r>
      <w:r w:rsidR="003250B6">
        <w:t>providing</w:t>
      </w:r>
      <w:r w:rsidR="004C5885">
        <w:t xml:space="preserve"> an MSS service</w:t>
      </w:r>
      <w:r w:rsidR="008E7A89" w:rsidRPr="0025040B">
        <w:t>.</w:t>
      </w:r>
      <w:r w:rsidR="00240BBB">
        <w:t xml:space="preserve"> </w:t>
      </w:r>
      <w:r w:rsidR="008B4595">
        <w:t>The</w:t>
      </w:r>
      <w:r w:rsidR="002A3901">
        <w:t xml:space="preserve"> </w:t>
      </w:r>
      <w:r w:rsidR="008E7A89" w:rsidRPr="0025040B">
        <w:t>provision</w:t>
      </w:r>
      <w:r w:rsidR="008E7A89" w:rsidRPr="00C174A1">
        <w:t xml:space="preserve"> of CGC</w:t>
      </w:r>
      <w:r w:rsidR="003B77EA">
        <w:t xml:space="preserve"> or DA2GC</w:t>
      </w:r>
      <w:r w:rsidR="008E7A89" w:rsidRPr="00C174A1">
        <w:t xml:space="preserve"> without </w:t>
      </w:r>
      <w:r w:rsidR="005471F6" w:rsidRPr="0001340B">
        <w:t>also providing</w:t>
      </w:r>
      <w:r w:rsidR="005471F6" w:rsidRPr="00C174A1">
        <w:t xml:space="preserve"> </w:t>
      </w:r>
      <w:r w:rsidR="008E7A89" w:rsidRPr="00C174A1">
        <w:t>MSS is contrary to the ACMA’s planning decision. CGC/</w:t>
      </w:r>
      <w:r w:rsidR="008E7A89">
        <w:t>DA2G</w:t>
      </w:r>
      <w:r w:rsidR="008E7A89" w:rsidRPr="00C174A1">
        <w:t xml:space="preserve">C licensing is discussed </w:t>
      </w:r>
      <w:r w:rsidR="009C7396">
        <w:t>belo</w:t>
      </w:r>
      <w:r w:rsidR="009C7396" w:rsidRPr="00481B1B">
        <w:t>w</w:t>
      </w:r>
      <w:r w:rsidR="008E7A89" w:rsidRPr="00481B1B">
        <w:t xml:space="preserve"> </w:t>
      </w:r>
      <w:r w:rsidR="00C87B84" w:rsidRPr="00481B1B">
        <w:t>at</w:t>
      </w:r>
      <w:r w:rsidR="008E7A89" w:rsidRPr="00481B1B">
        <w:t xml:space="preserve"> </w:t>
      </w:r>
      <w:r w:rsidR="009C7396" w:rsidRPr="00481B1B">
        <w:t>‘</w:t>
      </w:r>
      <w:r w:rsidR="007604C7" w:rsidRPr="00481B1B">
        <w:t>CGC and DA2GC licensing and allocation arrangements</w:t>
      </w:r>
      <w:r w:rsidR="009C7396" w:rsidRPr="00481B1B">
        <w:t>’</w:t>
      </w:r>
      <w:r w:rsidR="008E7A89" w:rsidRPr="00481B1B">
        <w:t>.</w:t>
      </w:r>
    </w:p>
    <w:p w14:paraId="3962680B" w14:textId="0410D504" w:rsidR="00E927AC" w:rsidRDefault="008C0C76" w:rsidP="008C0C76">
      <w:pPr>
        <w:pStyle w:val="Numberedparagraph"/>
        <w:numPr>
          <w:ilvl w:val="0"/>
          <w:numId w:val="0"/>
        </w:numPr>
        <w:spacing w:after="240" w:line="280" w:lineRule="atLeast"/>
      </w:pPr>
      <w:r w:rsidRPr="00281083">
        <w:t xml:space="preserve">In </w:t>
      </w:r>
      <w:r w:rsidRPr="003D2023">
        <w:t xml:space="preserve">the November 2023 </w:t>
      </w:r>
      <w:r w:rsidR="005E3077">
        <w:t>d</w:t>
      </w:r>
      <w:r w:rsidR="00E456F3" w:rsidRPr="003D2023">
        <w:t xml:space="preserve">iscussion </w:t>
      </w:r>
      <w:r w:rsidRPr="003D2023">
        <w:t>paper</w:t>
      </w:r>
      <w:r w:rsidR="004A5C11" w:rsidRPr="003D2023">
        <w:t xml:space="preserve">, </w:t>
      </w:r>
      <w:r w:rsidR="00E456F3" w:rsidRPr="003D2023">
        <w:t>we sought</w:t>
      </w:r>
      <w:r w:rsidR="004A5C11" w:rsidRPr="003D2023">
        <w:t xml:space="preserve"> feedback</w:t>
      </w:r>
      <w:r w:rsidR="004A5C11">
        <w:t xml:space="preserve"> </w:t>
      </w:r>
      <w:r>
        <w:t xml:space="preserve">from stakeholders to </w:t>
      </w:r>
      <w:r w:rsidRPr="00F155DD">
        <w:t xml:space="preserve">better understand the likely demand for </w:t>
      </w:r>
      <w:r w:rsidR="00206BFC" w:rsidRPr="00B90BCC">
        <w:t>the</w:t>
      </w:r>
      <w:r w:rsidRPr="00B90BCC">
        <w:t xml:space="preserve"> </w:t>
      </w:r>
      <w:r w:rsidR="00A548FF" w:rsidRPr="00B90BCC">
        <w:t>2 GHz MSS band</w:t>
      </w:r>
      <w:r w:rsidRPr="00B90BCC">
        <w:t>,</w:t>
      </w:r>
      <w:r w:rsidRPr="00F155DD">
        <w:t xml:space="preserve"> the availability of suitable equipment</w:t>
      </w:r>
      <w:r w:rsidR="00A548FF" w:rsidRPr="00425E04">
        <w:t>,</w:t>
      </w:r>
      <w:r w:rsidRPr="00F155DD">
        <w:t xml:space="preserve"> and </w:t>
      </w:r>
      <w:r>
        <w:t>uses and</w:t>
      </w:r>
      <w:r w:rsidRPr="00F155DD">
        <w:t xml:space="preserve"> use-cases</w:t>
      </w:r>
      <w:r>
        <w:t xml:space="preserve"> for the spectrum</w:t>
      </w:r>
      <w:r w:rsidRPr="00F155DD">
        <w:t>.</w:t>
      </w:r>
      <w:r>
        <w:t xml:space="preserve"> </w:t>
      </w:r>
      <w:r w:rsidR="00E74C0A">
        <w:t>S</w:t>
      </w:r>
      <w:r w:rsidR="00CC66BC">
        <w:t>ubmissions indicated that g</w:t>
      </w:r>
      <w:r>
        <w:t>eneral interest in the spectrum appears to be high.</w:t>
      </w:r>
      <w:r w:rsidR="00D80778" w:rsidRPr="00D80778">
        <w:t xml:space="preserve"> </w:t>
      </w:r>
    </w:p>
    <w:p w14:paraId="522C9239" w14:textId="37397E38" w:rsidR="00916903" w:rsidRDefault="00CC66BC" w:rsidP="008C0C76">
      <w:pPr>
        <w:pStyle w:val="Numberedparagraph"/>
        <w:numPr>
          <w:ilvl w:val="0"/>
          <w:numId w:val="0"/>
        </w:numPr>
        <w:spacing w:after="240" w:line="280" w:lineRule="atLeast"/>
      </w:pPr>
      <w:r>
        <w:t>However, t</w:t>
      </w:r>
      <w:r w:rsidR="008C0C76">
        <w:t xml:space="preserve">here is </w:t>
      </w:r>
      <w:r w:rsidR="00C31A8A">
        <w:t xml:space="preserve">still </w:t>
      </w:r>
      <w:r w:rsidR="008C0C76">
        <w:t xml:space="preserve">some uncertainty around demand. </w:t>
      </w:r>
      <w:r w:rsidR="00E50A04" w:rsidRPr="00E50A04">
        <w:t xml:space="preserve">Advancements in technology may make MSS more commercially viable as time goes on, increasing demand. For example, </w:t>
      </w:r>
      <w:r w:rsidR="00E50A04" w:rsidRPr="00E50A04">
        <w:lastRenderedPageBreak/>
        <w:t>smartphones with MSS connectivity included are becoming more common.</w:t>
      </w:r>
      <w:r w:rsidR="00E7042C">
        <w:t xml:space="preserve"> </w:t>
      </w:r>
      <w:r w:rsidR="008C0C76" w:rsidRPr="00ED282C">
        <w:t>The market structure of the satellite industry may continue to change, as it has in the past, b</w:t>
      </w:r>
      <w:r w:rsidR="008C0C76" w:rsidRPr="00312D94">
        <w:t xml:space="preserve">etween the </w:t>
      </w:r>
      <w:r w:rsidR="00B44EED" w:rsidRPr="00312D94">
        <w:t xml:space="preserve">time we design the </w:t>
      </w:r>
      <w:r w:rsidR="008C0C76" w:rsidRPr="00312D94">
        <w:t xml:space="preserve">allocation </w:t>
      </w:r>
      <w:r w:rsidR="00B44EED" w:rsidRPr="00312D94">
        <w:t xml:space="preserve">process </w:t>
      </w:r>
      <w:r w:rsidR="008C0C76" w:rsidRPr="00312D94">
        <w:t xml:space="preserve">and the </w:t>
      </w:r>
      <w:r w:rsidR="00CF7593" w:rsidRPr="00312D94">
        <w:t xml:space="preserve">time we conduct the </w:t>
      </w:r>
      <w:r w:rsidR="008C0C76" w:rsidRPr="00312D94">
        <w:t>allocation process</w:t>
      </w:r>
      <w:r w:rsidR="008C0C76" w:rsidRPr="00ED282C">
        <w:t>, which could affect demand</w:t>
      </w:r>
      <w:r w:rsidR="008C0C76">
        <w:t>.</w:t>
      </w:r>
      <w:r w:rsidR="00487C30">
        <w:t xml:space="preserve"> </w:t>
      </w:r>
    </w:p>
    <w:p w14:paraId="14FB9713" w14:textId="2FA56AB5" w:rsidR="00FD2C01" w:rsidRPr="00DF13F8" w:rsidRDefault="00C67BF9" w:rsidP="00146CE8">
      <w:pPr>
        <w:pStyle w:val="Numberedparagraph"/>
        <w:numPr>
          <w:ilvl w:val="0"/>
          <w:numId w:val="0"/>
        </w:numPr>
        <w:spacing w:after="240" w:line="280" w:lineRule="atLeast"/>
        <w:rPr>
          <w:lang w:val="en-US"/>
        </w:rPr>
      </w:pPr>
      <w:r>
        <w:t>In February 2025</w:t>
      </w:r>
      <w:r w:rsidR="008D30AE">
        <w:t>,</w:t>
      </w:r>
      <w:r w:rsidR="00E336AD">
        <w:t xml:space="preserve"> </w:t>
      </w:r>
      <w:r>
        <w:t xml:space="preserve">the government </w:t>
      </w:r>
      <w:r w:rsidR="00A64F65">
        <w:t>proposed</w:t>
      </w:r>
      <w:r w:rsidR="00F710B1">
        <w:t xml:space="preserve"> </w:t>
      </w:r>
      <w:r w:rsidR="008B2C71">
        <w:t>a new</w:t>
      </w:r>
      <w:r w:rsidR="007154E7">
        <w:t xml:space="preserve"> </w:t>
      </w:r>
      <w:hyperlink r:id="rId32" w:history="1">
        <w:r w:rsidR="00BF5DC5" w:rsidRPr="0060154D">
          <w:rPr>
            <w:rStyle w:val="Hyperlink"/>
          </w:rPr>
          <w:t>Universal Outdoor Mobile Obligation</w:t>
        </w:r>
      </w:hyperlink>
      <w:r w:rsidR="00BD6FC0">
        <w:t xml:space="preserve">. </w:t>
      </w:r>
      <w:r w:rsidR="00A7115E" w:rsidRPr="00A7115E">
        <w:t xml:space="preserve">The </w:t>
      </w:r>
      <w:r w:rsidR="006B0ACD">
        <w:t>proposed</w:t>
      </w:r>
      <w:r w:rsidR="00D27A01">
        <w:t xml:space="preserve"> </w:t>
      </w:r>
      <w:r w:rsidR="00A7115E" w:rsidRPr="00A7115E">
        <w:t>new obligation will require mobile operators to provide equitable access to baseline outdoor mobile coverage across Australia.</w:t>
      </w:r>
      <w:r w:rsidR="0019235E">
        <w:t xml:space="preserve"> </w:t>
      </w:r>
      <w:r w:rsidR="001B08CE">
        <w:t>It is proposed that</w:t>
      </w:r>
      <w:r w:rsidR="00CF7593" w:rsidRPr="009140BB">
        <w:t>,</w:t>
      </w:r>
      <w:r w:rsidR="001B08CE">
        <w:t xml:space="preserve"> t</w:t>
      </w:r>
      <w:r w:rsidR="000A38B1" w:rsidRPr="000A38B1">
        <w:t>o meet the obligation, mobile operators will use their existing mobile coverage, as well as emerging</w:t>
      </w:r>
      <w:r w:rsidR="00034EFE">
        <w:t xml:space="preserve"> </w:t>
      </w:r>
      <w:r w:rsidR="00034EFE" w:rsidRPr="00034EFE">
        <w:t>satellite direct-to-mobile services provided by low-Earth-orbit (LEO) satellites</w:t>
      </w:r>
      <w:r w:rsidR="00034EFE">
        <w:t>.</w:t>
      </w:r>
      <w:r w:rsidR="00BF42B5">
        <w:rPr>
          <w:rStyle w:val="FootnoteReference"/>
        </w:rPr>
        <w:footnoteReference w:id="17"/>
      </w:r>
      <w:r w:rsidR="00034EFE">
        <w:t xml:space="preserve"> </w:t>
      </w:r>
      <w:r w:rsidR="00606258">
        <w:t xml:space="preserve">This proposed </w:t>
      </w:r>
      <w:r w:rsidR="001B364E">
        <w:t>obligation</w:t>
      </w:r>
      <w:r w:rsidR="00E269D0">
        <w:t xml:space="preserve"> </w:t>
      </w:r>
      <w:r w:rsidR="0019235E">
        <w:t xml:space="preserve">may </w:t>
      </w:r>
      <w:r w:rsidR="0084452E">
        <w:t>impact</w:t>
      </w:r>
      <w:r w:rsidR="00D1435F">
        <w:t xml:space="preserve"> the demand</w:t>
      </w:r>
      <w:r w:rsidR="001539AF">
        <w:t xml:space="preserve"> for </w:t>
      </w:r>
      <w:r w:rsidR="00326517">
        <w:t>spectrum</w:t>
      </w:r>
      <w:r w:rsidR="00236F08">
        <w:t xml:space="preserve"> </w:t>
      </w:r>
      <w:r w:rsidR="0019235E">
        <w:t>in the 2 GHz MSS</w:t>
      </w:r>
      <w:r w:rsidR="00996E89">
        <w:t xml:space="preserve"> band</w:t>
      </w:r>
      <w:r w:rsidR="00A8616B">
        <w:t>.</w:t>
      </w:r>
      <w:r w:rsidR="00560BC0">
        <w:t xml:space="preserve"> </w:t>
      </w:r>
    </w:p>
    <w:p w14:paraId="2D8A4457" w14:textId="51A5C6FE" w:rsidR="00CF23AD" w:rsidRPr="00402D86" w:rsidRDefault="00CF23AD" w:rsidP="00A36FED">
      <w:pPr>
        <w:pStyle w:val="Heading2"/>
      </w:pPr>
      <w:bookmarkStart w:id="18" w:name="_Toc202867806"/>
      <w:r w:rsidRPr="00402D86">
        <w:t>Licensing approach</w:t>
      </w:r>
      <w:bookmarkEnd w:id="18"/>
    </w:p>
    <w:p w14:paraId="57629326" w14:textId="692D0F53" w:rsidR="006F12F9" w:rsidRDefault="000855DF" w:rsidP="00A61120">
      <w:pPr>
        <w:pStyle w:val="Paragraph"/>
      </w:pPr>
      <w:r>
        <w:t xml:space="preserve">In the November 2023 </w:t>
      </w:r>
      <w:r w:rsidR="005E3077">
        <w:t>d</w:t>
      </w:r>
      <w:r w:rsidR="00885A02">
        <w:t>iscussion</w:t>
      </w:r>
      <w:r>
        <w:t xml:space="preserve"> paper, we </w:t>
      </w:r>
      <w:r w:rsidR="00BD53B5">
        <w:t xml:space="preserve">described the licensing method typically used </w:t>
      </w:r>
      <w:r w:rsidR="00173BDF" w:rsidRPr="00173BDF">
        <w:t>for satellite systems with numerous or ubiquitous earth station</w:t>
      </w:r>
      <w:r w:rsidR="00173BDF">
        <w:t>s</w:t>
      </w:r>
      <w:r w:rsidR="00FB2CC3" w:rsidRPr="00FB2CC3">
        <w:t xml:space="preserve"> </w:t>
      </w:r>
      <w:r w:rsidR="00D00A57">
        <w:t>(</w:t>
      </w:r>
      <w:r w:rsidR="008A13F8">
        <w:t>transmitters/receivers)</w:t>
      </w:r>
      <w:r w:rsidR="00173BDF">
        <w:t xml:space="preserve">, </w:t>
      </w:r>
      <w:r w:rsidR="009658B7">
        <w:t xml:space="preserve">which include </w:t>
      </w:r>
      <w:r w:rsidR="00A61120">
        <w:t>s</w:t>
      </w:r>
      <w:r w:rsidR="00A26762">
        <w:t>pace licences for the downlink</w:t>
      </w:r>
      <w:r w:rsidR="00A07B81">
        <w:t xml:space="preserve">, </w:t>
      </w:r>
      <w:r w:rsidR="00A26762">
        <w:t>space receive licences for the uplink</w:t>
      </w:r>
      <w:r w:rsidR="009658B7">
        <w:t>,</w:t>
      </w:r>
      <w:r w:rsidR="00A07B81">
        <w:t xml:space="preserve"> </w:t>
      </w:r>
      <w:r w:rsidR="0053794C">
        <w:t>and</w:t>
      </w:r>
      <w:r w:rsidR="00685DF4">
        <w:t xml:space="preserve"> earth stations </w:t>
      </w:r>
      <w:r w:rsidR="0053794C">
        <w:t>(transmitter/receivers)</w:t>
      </w:r>
      <w:r w:rsidR="00685DF4">
        <w:t xml:space="preserve"> licensed under </w:t>
      </w:r>
      <w:r w:rsidR="00976B89">
        <w:t xml:space="preserve">a </w:t>
      </w:r>
      <w:r w:rsidR="00685DF4">
        <w:t xml:space="preserve">class </w:t>
      </w:r>
      <w:r w:rsidR="00A07B81">
        <w:t>licence</w:t>
      </w:r>
      <w:r w:rsidR="00A26762">
        <w:t>.</w:t>
      </w:r>
      <w:r w:rsidR="00AD495D">
        <w:t xml:space="preserve"> </w:t>
      </w:r>
      <w:r w:rsidR="008E340F">
        <w:t>This remains our preferred licensing approach</w:t>
      </w:r>
      <w:r w:rsidR="00EA41BC">
        <w:t xml:space="preserve">, and </w:t>
      </w:r>
      <w:r w:rsidR="004B2CA7">
        <w:t>have set out further details below</w:t>
      </w:r>
      <w:r w:rsidR="008E340F">
        <w:t>.</w:t>
      </w:r>
      <w:r w:rsidR="00A46F13" w:rsidRPr="00A46F13">
        <w:t xml:space="preserve"> </w:t>
      </w:r>
    </w:p>
    <w:p w14:paraId="37E2E8AD" w14:textId="298AC21D" w:rsidR="00CD73D9" w:rsidRPr="00714B89" w:rsidRDefault="000728BB" w:rsidP="00A36FED">
      <w:pPr>
        <w:pStyle w:val="Heading3"/>
      </w:pPr>
      <w:bookmarkStart w:id="19" w:name="_Toc202867807"/>
      <w:r>
        <w:t>L</w:t>
      </w:r>
      <w:r w:rsidR="008E340F" w:rsidRPr="00714B89">
        <w:t>icensing framework</w:t>
      </w:r>
      <w:bookmarkEnd w:id="19"/>
    </w:p>
    <w:p w14:paraId="173D578B" w14:textId="1706CF68" w:rsidR="00CD5F91" w:rsidRDefault="00A46F13" w:rsidP="00491938">
      <w:pPr>
        <w:pStyle w:val="Paragraph"/>
      </w:pPr>
      <w:r w:rsidRPr="00D60D5A">
        <w:t xml:space="preserve">Under </w:t>
      </w:r>
      <w:r w:rsidR="000728BB">
        <w:t xml:space="preserve">our </w:t>
      </w:r>
      <w:r w:rsidR="008B5FC1">
        <w:t>proposed</w:t>
      </w:r>
      <w:r w:rsidRPr="00D60D5A">
        <w:t xml:space="preserve"> </w:t>
      </w:r>
      <w:r w:rsidR="009C23E9">
        <w:t>approach</w:t>
      </w:r>
      <w:r w:rsidRPr="00D60D5A">
        <w:t xml:space="preserve">, </w:t>
      </w:r>
      <w:r w:rsidR="00F4454C" w:rsidRPr="00D60D5A">
        <w:t>a person would be allocated a space licen</w:t>
      </w:r>
      <w:r w:rsidR="00F4454C" w:rsidRPr="00DF4FCA">
        <w:t>ce</w:t>
      </w:r>
      <w:r w:rsidR="001A26FB" w:rsidRPr="00DF4FCA">
        <w:t xml:space="preserve"> </w:t>
      </w:r>
      <w:r w:rsidR="006621AE" w:rsidRPr="00DF4FCA">
        <w:t xml:space="preserve">(a type of transmitter licence) </w:t>
      </w:r>
      <w:r w:rsidR="001A26FB" w:rsidRPr="00DF4FCA">
        <w:t xml:space="preserve">and </w:t>
      </w:r>
      <w:r w:rsidR="006621AE" w:rsidRPr="00DF4FCA">
        <w:t>a</w:t>
      </w:r>
      <w:r w:rsidR="00AD16D9" w:rsidRPr="00DF4FCA">
        <w:t xml:space="preserve"> space receive licence</w:t>
      </w:r>
      <w:r w:rsidR="008F2910" w:rsidRPr="00DF4FCA">
        <w:t xml:space="preserve"> (a type of receiver licence)</w:t>
      </w:r>
      <w:r w:rsidR="00AD16D9" w:rsidRPr="00DF4FCA">
        <w:t xml:space="preserve">. </w:t>
      </w:r>
      <w:r w:rsidR="0048799B" w:rsidRPr="00DF4FCA">
        <w:t xml:space="preserve">These </w:t>
      </w:r>
      <w:r w:rsidR="00F56601" w:rsidRPr="00DF4FCA">
        <w:t xml:space="preserve">licences would together authorise the </w:t>
      </w:r>
      <w:r w:rsidR="00CC1BB1" w:rsidRPr="00DF4FCA">
        <w:t>oper</w:t>
      </w:r>
      <w:r w:rsidR="00A526C0" w:rsidRPr="00DF4FCA">
        <w:t xml:space="preserve">ation </w:t>
      </w:r>
      <w:r w:rsidR="00254546" w:rsidRPr="00DF4FCA">
        <w:t xml:space="preserve">of a space station </w:t>
      </w:r>
      <w:r w:rsidR="00377431" w:rsidRPr="00DF4FCA">
        <w:t xml:space="preserve">and space receive station, respectively, </w:t>
      </w:r>
      <w:r w:rsidR="00254546" w:rsidRPr="00DF4FCA">
        <w:t xml:space="preserve">on a </w:t>
      </w:r>
      <w:r w:rsidR="00F56601" w:rsidRPr="00DF4FCA">
        <w:t>space object</w:t>
      </w:r>
      <w:r w:rsidR="00393516" w:rsidRPr="00DF4FCA">
        <w:t xml:space="preserve"> in the MSS network</w:t>
      </w:r>
      <w:r w:rsidR="00385512" w:rsidRPr="00DF4FCA">
        <w:t xml:space="preserve"> to communicate w</w:t>
      </w:r>
      <w:r w:rsidR="001B21F4" w:rsidRPr="00DF4FCA">
        <w:t>ith earth stations</w:t>
      </w:r>
      <w:r w:rsidR="00D346A1" w:rsidRPr="00DF4FCA">
        <w:t xml:space="preserve"> and earth receive stations</w:t>
      </w:r>
      <w:r w:rsidR="00F56601" w:rsidRPr="00DF4FCA">
        <w:t>.</w:t>
      </w:r>
      <w:r w:rsidR="002C2EE3" w:rsidRPr="00DF4FCA">
        <w:rPr>
          <w:rStyle w:val="FootnoteReference"/>
        </w:rPr>
        <w:footnoteReference w:id="18"/>
      </w:r>
      <w:r w:rsidR="00AD16D9" w:rsidRPr="00DF4FCA">
        <w:t xml:space="preserve"> </w:t>
      </w:r>
      <w:r w:rsidR="001D479B" w:rsidRPr="00DF4FCA">
        <w:t xml:space="preserve">Operation of earth stations and earth receive stations </w:t>
      </w:r>
      <w:r w:rsidR="00F56601" w:rsidRPr="00DF4FCA">
        <w:t>(for example, mobile devices)</w:t>
      </w:r>
      <w:r w:rsidRPr="00DF4FCA">
        <w:t xml:space="preserve"> in the MSS network </w:t>
      </w:r>
      <w:r w:rsidR="008534CC" w:rsidRPr="00DF4FCA">
        <w:t xml:space="preserve">would be </w:t>
      </w:r>
      <w:r w:rsidRPr="00DF4FCA">
        <w:t xml:space="preserve">authorised under </w:t>
      </w:r>
      <w:r w:rsidR="00D06083" w:rsidRPr="00DF4FCA">
        <w:t xml:space="preserve">a </w:t>
      </w:r>
      <w:r w:rsidRPr="00DF4FCA">
        <w:t>class licence</w:t>
      </w:r>
      <w:r w:rsidR="00D06083" w:rsidRPr="00DF4FCA">
        <w:t xml:space="preserve">. We expect to </w:t>
      </w:r>
      <w:r w:rsidR="00275C39" w:rsidRPr="00DF4FCA">
        <w:t xml:space="preserve">vary </w:t>
      </w:r>
      <w:r w:rsidR="00656C45" w:rsidRPr="00DF4FCA">
        <w:t>the</w:t>
      </w:r>
      <w:r w:rsidRPr="009145A4">
        <w:t xml:space="preserve"> class licence</w:t>
      </w:r>
      <w:r w:rsidR="00F73517">
        <w:t xml:space="preserve"> </w:t>
      </w:r>
      <w:r w:rsidR="00CF476D" w:rsidRPr="009145A4">
        <w:t>to</w:t>
      </w:r>
      <w:r w:rsidR="00A54A32">
        <w:t xml:space="preserve"> include the 2 GHz MSS band as part of </w:t>
      </w:r>
      <w:r w:rsidR="00D432A2">
        <w:t xml:space="preserve">developing technical requirements for 2 GHz MSS </w:t>
      </w:r>
      <w:r w:rsidR="00772A20">
        <w:t xml:space="preserve">to support </w:t>
      </w:r>
      <w:r w:rsidR="00D61CBF" w:rsidRPr="004B5E57">
        <w:t>authoris</w:t>
      </w:r>
      <w:r w:rsidR="00DD5A93" w:rsidRPr="004B5E57">
        <w:t>ing</w:t>
      </w:r>
      <w:r w:rsidR="00D61CBF" w:rsidRPr="004B5E57">
        <w:t xml:space="preserve"> the operation of earth stations and earth receive stations in </w:t>
      </w:r>
      <w:r w:rsidR="00CF476D" w:rsidRPr="004B5E57">
        <w:t>the</w:t>
      </w:r>
      <w:r w:rsidR="00CF476D" w:rsidRPr="009145A4">
        <w:t xml:space="preserve"> 2 GHz MSS band</w:t>
      </w:r>
      <w:r w:rsidR="00937935" w:rsidRPr="009145A4">
        <w:t xml:space="preserve">. </w:t>
      </w:r>
    </w:p>
    <w:p w14:paraId="68699A3F" w14:textId="26F8DED8" w:rsidR="00625705" w:rsidRDefault="00540C76" w:rsidP="00762ED3">
      <w:pPr>
        <w:pStyle w:val="Paragraph"/>
      </w:pPr>
      <w:r w:rsidRPr="00DF4FCA">
        <w:t xml:space="preserve">The Act applies outside Australia in relation to Australian space objects (which are those space objects determined by the ACMA to be Australian space objects), and in relation to foreign space objects in circumstances specified in a determination made by the ACMA. Both Australian space objects and the circumstances in which the Act applies to foreign space objects are determined by reference to the person who owns, controls or operates the space object </w:t>
      </w:r>
      <w:r w:rsidR="00283B57" w:rsidRPr="00DF4FCA">
        <w:t xml:space="preserve">in a frequency range listed in the class licence </w:t>
      </w:r>
      <w:r w:rsidRPr="00DF4FCA">
        <w:t>(see the ASOD and the FSOD).</w:t>
      </w:r>
      <w:r w:rsidR="00195B61">
        <w:t xml:space="preserve"> </w:t>
      </w:r>
    </w:p>
    <w:p w14:paraId="34A8952A" w14:textId="6F17356D" w:rsidR="00762ED3" w:rsidRDefault="00762ED3" w:rsidP="00762ED3">
      <w:pPr>
        <w:pStyle w:val="Paragraph"/>
        <w:rPr>
          <w:highlight w:val="cyan"/>
        </w:rPr>
      </w:pPr>
      <w:r w:rsidRPr="004B5E57">
        <w:t xml:space="preserve">The space stations and space receive stations to be authorised by a space licence or space receive licence need to be owned, controlled or operated by a person named in the ASOD or the FSOD. </w:t>
      </w:r>
    </w:p>
    <w:p w14:paraId="0991F34C" w14:textId="4CF73771" w:rsidR="00BB2935" w:rsidRDefault="001B3D0A" w:rsidP="00A36FED">
      <w:pPr>
        <w:pStyle w:val="Paragraph"/>
        <w:rPr>
          <w:szCs w:val="22"/>
        </w:rPr>
      </w:pPr>
      <w:r w:rsidRPr="00602FE8">
        <w:t>Most</w:t>
      </w:r>
      <w:r w:rsidR="000E1131" w:rsidRPr="00602FE8">
        <w:t xml:space="preserve"> submissions on this </w:t>
      </w:r>
      <w:r w:rsidR="000E1131" w:rsidRPr="00DC0729">
        <w:t xml:space="preserve">issue </w:t>
      </w:r>
      <w:r w:rsidR="00735CD5" w:rsidRPr="00DC0729">
        <w:t>broadly</w:t>
      </w:r>
      <w:r w:rsidR="00735CD5">
        <w:t xml:space="preserve"> </w:t>
      </w:r>
      <w:r w:rsidR="000E1131" w:rsidRPr="00602FE8">
        <w:t>supported this approach.</w:t>
      </w:r>
      <w:r w:rsidR="007D7F4C">
        <w:t xml:space="preserve"> However, </w:t>
      </w:r>
      <w:r w:rsidR="00FB34C1">
        <w:t>one</w:t>
      </w:r>
      <w:r w:rsidR="003611C0" w:rsidRPr="00AD495D">
        <w:t xml:space="preserve"> submission</w:t>
      </w:r>
      <w:r w:rsidR="003611C0" w:rsidRPr="000E1131" w:rsidDel="00AA7B05">
        <w:t xml:space="preserve"> </w:t>
      </w:r>
      <w:r w:rsidR="003611C0" w:rsidRPr="000E1131">
        <w:t>advocated</w:t>
      </w:r>
      <w:r w:rsidR="003611C0">
        <w:t xml:space="preserve"> for a spectrum licensing model, stating that </w:t>
      </w:r>
      <w:r w:rsidR="003611C0" w:rsidRPr="00602FE8">
        <w:t>the terrestrial part of the spectrum should be spectrum licen</w:t>
      </w:r>
      <w:r w:rsidR="00D6060B">
        <w:t>s</w:t>
      </w:r>
      <w:r w:rsidR="003611C0" w:rsidRPr="00602FE8">
        <w:t xml:space="preserve">ed </w:t>
      </w:r>
      <w:r w:rsidRPr="00602FE8">
        <w:t>to</w:t>
      </w:r>
      <w:r w:rsidR="003611C0" w:rsidRPr="00602FE8">
        <w:t xml:space="preserve"> support consumer mobile services.</w:t>
      </w:r>
      <w:r w:rsidR="00021E3B">
        <w:t xml:space="preserve"> </w:t>
      </w:r>
      <w:r>
        <w:t>Our</w:t>
      </w:r>
      <w:r w:rsidR="003611C0">
        <w:t xml:space="preserve"> view is that </w:t>
      </w:r>
      <w:r w:rsidR="00982E9C">
        <w:t>direct</w:t>
      </w:r>
      <w:r w:rsidR="00835D67">
        <w:t>-to-mobile</w:t>
      </w:r>
      <w:r w:rsidR="00CE4B01">
        <w:t xml:space="preserve"> </w:t>
      </w:r>
      <w:r w:rsidR="003611C0">
        <w:t xml:space="preserve">services are </w:t>
      </w:r>
      <w:r w:rsidR="003611C0" w:rsidRPr="008D174E">
        <w:t>satellite-based services, therefore, the space/space receive licensing approach is an appropriate licensing option.</w:t>
      </w:r>
      <w:r w:rsidR="003611C0">
        <w:t xml:space="preserve"> This option also supports other MSS such as </w:t>
      </w:r>
      <w:r w:rsidR="003611C0">
        <w:lastRenderedPageBreak/>
        <w:t xml:space="preserve">IoT. </w:t>
      </w:r>
      <w:r w:rsidR="004573A8" w:rsidRPr="004573A8">
        <w:t xml:space="preserve">Another submission </w:t>
      </w:r>
      <w:r w:rsidR="00A67D59" w:rsidRPr="005D4145">
        <w:rPr>
          <w:szCs w:val="22"/>
        </w:rPr>
        <w:t xml:space="preserve">raised concerns around </w:t>
      </w:r>
      <w:r w:rsidR="00A676F3">
        <w:rPr>
          <w:szCs w:val="22"/>
        </w:rPr>
        <w:t>adjacent band</w:t>
      </w:r>
      <w:r w:rsidR="00A67D59" w:rsidRPr="005D4145">
        <w:rPr>
          <w:szCs w:val="22"/>
        </w:rPr>
        <w:t xml:space="preserve"> interference </w:t>
      </w:r>
      <w:r w:rsidR="000747C6">
        <w:rPr>
          <w:szCs w:val="22"/>
        </w:rPr>
        <w:t xml:space="preserve">management </w:t>
      </w:r>
      <w:r w:rsidR="00A67D59" w:rsidRPr="005D4145">
        <w:rPr>
          <w:szCs w:val="22"/>
        </w:rPr>
        <w:t xml:space="preserve">and </w:t>
      </w:r>
      <w:r w:rsidR="00234DCF">
        <w:rPr>
          <w:szCs w:val="22"/>
        </w:rPr>
        <w:t xml:space="preserve">difficulty of </w:t>
      </w:r>
      <w:r w:rsidR="00A67D59" w:rsidRPr="005D4145">
        <w:rPr>
          <w:szCs w:val="22"/>
        </w:rPr>
        <w:t xml:space="preserve">identifying sources of interference due to class licensing. </w:t>
      </w:r>
      <w:r w:rsidR="00A676F3">
        <w:rPr>
          <w:szCs w:val="22"/>
        </w:rPr>
        <w:t>Th</w:t>
      </w:r>
      <w:r w:rsidR="00D864E0">
        <w:rPr>
          <w:szCs w:val="22"/>
        </w:rPr>
        <w:t>is</w:t>
      </w:r>
      <w:r w:rsidR="00A676F3">
        <w:rPr>
          <w:szCs w:val="22"/>
        </w:rPr>
        <w:t xml:space="preserve"> </w:t>
      </w:r>
      <w:r w:rsidR="00780988">
        <w:rPr>
          <w:szCs w:val="22"/>
        </w:rPr>
        <w:t>mat</w:t>
      </w:r>
      <w:r w:rsidR="00D864E0">
        <w:rPr>
          <w:szCs w:val="22"/>
        </w:rPr>
        <w:t>t</w:t>
      </w:r>
      <w:r w:rsidR="00780988">
        <w:rPr>
          <w:szCs w:val="22"/>
        </w:rPr>
        <w:t xml:space="preserve">er </w:t>
      </w:r>
      <w:r w:rsidR="00D864E0">
        <w:rPr>
          <w:szCs w:val="22"/>
        </w:rPr>
        <w:t>ha</w:t>
      </w:r>
      <w:r w:rsidR="00A0311D">
        <w:rPr>
          <w:szCs w:val="22"/>
        </w:rPr>
        <w:t>d</w:t>
      </w:r>
      <w:r w:rsidR="00D864E0">
        <w:rPr>
          <w:szCs w:val="22"/>
        </w:rPr>
        <w:t xml:space="preserve"> been </w:t>
      </w:r>
      <w:r w:rsidR="00142B92">
        <w:rPr>
          <w:szCs w:val="22"/>
        </w:rPr>
        <w:t>considered</w:t>
      </w:r>
      <w:r w:rsidR="00D864E0">
        <w:rPr>
          <w:szCs w:val="22"/>
        </w:rPr>
        <w:t xml:space="preserve"> in</w:t>
      </w:r>
      <w:r w:rsidR="00A47375">
        <w:rPr>
          <w:szCs w:val="22"/>
        </w:rPr>
        <w:t xml:space="preserve"> develop</w:t>
      </w:r>
      <w:r w:rsidR="00512F67">
        <w:rPr>
          <w:szCs w:val="22"/>
        </w:rPr>
        <w:t>ing</w:t>
      </w:r>
      <w:r w:rsidR="00A47375">
        <w:rPr>
          <w:szCs w:val="22"/>
        </w:rPr>
        <w:t xml:space="preserve"> the </w:t>
      </w:r>
      <w:r w:rsidR="00095358">
        <w:rPr>
          <w:szCs w:val="22"/>
        </w:rPr>
        <w:t xml:space="preserve">technical proposals in our </w:t>
      </w:r>
      <w:r w:rsidR="00095358" w:rsidRPr="00BA1BBE">
        <w:t xml:space="preserve">November 2023 </w:t>
      </w:r>
      <w:r w:rsidR="005E3077">
        <w:t>d</w:t>
      </w:r>
      <w:r w:rsidR="00095358">
        <w:t>iscussion paper</w:t>
      </w:r>
      <w:r w:rsidR="00512F67">
        <w:rPr>
          <w:szCs w:val="22"/>
        </w:rPr>
        <w:t xml:space="preserve">. </w:t>
      </w:r>
      <w:r w:rsidR="00846C74">
        <w:rPr>
          <w:szCs w:val="22"/>
        </w:rPr>
        <w:t>We</w:t>
      </w:r>
      <w:r w:rsidR="001E2491">
        <w:rPr>
          <w:szCs w:val="22"/>
        </w:rPr>
        <w:t xml:space="preserve"> </w:t>
      </w:r>
      <w:r w:rsidR="00846C74">
        <w:rPr>
          <w:szCs w:val="22"/>
        </w:rPr>
        <w:t>consider our</w:t>
      </w:r>
      <w:r w:rsidR="00CE722E">
        <w:rPr>
          <w:szCs w:val="22"/>
        </w:rPr>
        <w:t xml:space="preserve"> current proposals </w:t>
      </w:r>
      <w:r w:rsidR="00174AA1">
        <w:rPr>
          <w:szCs w:val="22"/>
        </w:rPr>
        <w:t>address</w:t>
      </w:r>
      <w:r w:rsidR="008042C9">
        <w:rPr>
          <w:szCs w:val="22"/>
        </w:rPr>
        <w:t xml:space="preserve"> </w:t>
      </w:r>
      <w:r w:rsidR="00846C74">
        <w:rPr>
          <w:szCs w:val="22"/>
        </w:rPr>
        <w:t xml:space="preserve">this </w:t>
      </w:r>
      <w:r w:rsidR="00D567B7">
        <w:rPr>
          <w:szCs w:val="22"/>
        </w:rPr>
        <w:t>issue</w:t>
      </w:r>
      <w:r w:rsidR="00191E8F">
        <w:rPr>
          <w:szCs w:val="22"/>
        </w:rPr>
        <w:t>.</w:t>
      </w:r>
    </w:p>
    <w:p w14:paraId="14929999" w14:textId="30F953D2" w:rsidR="005F000E" w:rsidRPr="00E00E42" w:rsidRDefault="00607A16" w:rsidP="00520C24">
      <w:pPr>
        <w:pStyle w:val="Executivesummarysubheading"/>
        <w:keepNext/>
        <w:spacing w:after="0"/>
      </w:pPr>
      <w:r w:rsidRPr="00607A16">
        <w:t>ACMA’s preliminary view</w:t>
      </w:r>
      <w:r w:rsidR="005F000E" w:rsidRPr="00E00E42">
        <w:t>: Licensing approach</w:t>
      </w:r>
    </w:p>
    <w:p w14:paraId="1F544095" w14:textId="048BC55B" w:rsidR="00754668" w:rsidRDefault="005F000E" w:rsidP="00492920">
      <w:pPr>
        <w:pStyle w:val="Paragraphbeforelist"/>
        <w:spacing w:after="240"/>
      </w:pPr>
      <w:r w:rsidRPr="008A3167">
        <w:t xml:space="preserve">Our preliminary view is to </w:t>
      </w:r>
      <w:r w:rsidRPr="0018705F">
        <w:t>support MSS by issuing space licences for the downlink an</w:t>
      </w:r>
      <w:r w:rsidRPr="00BA5822">
        <w:t xml:space="preserve">d space receive licences for the uplink, </w:t>
      </w:r>
      <w:r w:rsidRPr="000613DD">
        <w:t>with class licensing to authorise the earth station</w:t>
      </w:r>
      <w:r w:rsidRPr="00E2188C">
        <w:t xml:space="preserve">s </w:t>
      </w:r>
      <w:r w:rsidR="00EB2032" w:rsidRPr="00E2188C">
        <w:t>and earth receive stations</w:t>
      </w:r>
      <w:r w:rsidRPr="00E2188C">
        <w:t>.</w:t>
      </w:r>
      <w:r>
        <w:t xml:space="preserve"> </w:t>
      </w:r>
    </w:p>
    <w:p w14:paraId="7355933A" w14:textId="211C6CA2" w:rsidR="00047861" w:rsidRPr="00E162C4" w:rsidRDefault="009D0268" w:rsidP="00047861">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20" w:name="_Toc202867808"/>
      <w:r w:rsidRPr="00272A8B">
        <w:t xml:space="preserve">Issue for comment </w:t>
      </w:r>
      <w:r w:rsidR="00C223EE">
        <w:t>1</w:t>
      </w:r>
      <w:bookmarkEnd w:id="20"/>
    </w:p>
    <w:p w14:paraId="42E26CB3" w14:textId="66CA8C6B" w:rsidR="00047861" w:rsidRDefault="00047861" w:rsidP="00047861">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21" w:name="_Hlk194673163"/>
      <w:r w:rsidRPr="00047861">
        <w:t xml:space="preserve">We invite comments on the proposed licensing approach for MSS, and whether it is suitable for </w:t>
      </w:r>
      <w:r w:rsidRPr="00AC5EBE">
        <w:t xml:space="preserve">the </w:t>
      </w:r>
      <w:r w:rsidR="00826EFC">
        <w:t xml:space="preserve">provision of </w:t>
      </w:r>
      <w:r w:rsidRPr="00AC5EBE">
        <w:t>MSS</w:t>
      </w:r>
      <w:r w:rsidRPr="001F38A5">
        <w:t>.</w:t>
      </w:r>
    </w:p>
    <w:p w14:paraId="126C1467" w14:textId="227981D3" w:rsidR="00CF23AD" w:rsidRPr="00402D86" w:rsidRDefault="00CF23AD" w:rsidP="00E8776C">
      <w:pPr>
        <w:pStyle w:val="Heading2"/>
      </w:pPr>
      <w:bookmarkStart w:id="22" w:name="_Licence_term,_commencement"/>
      <w:bookmarkStart w:id="23" w:name="_Toc202867809"/>
      <w:bookmarkEnd w:id="21"/>
      <w:bookmarkEnd w:id="22"/>
      <w:r w:rsidRPr="00402D86">
        <w:t>Licence term</w:t>
      </w:r>
      <w:r w:rsidR="009F1810" w:rsidRPr="00402D86">
        <w:t xml:space="preserve">, </w:t>
      </w:r>
      <w:r w:rsidRPr="00402D86">
        <w:t>commencement</w:t>
      </w:r>
      <w:r w:rsidR="009F1810" w:rsidRPr="00402D86">
        <w:t xml:space="preserve"> and renewals</w:t>
      </w:r>
      <w:bookmarkEnd w:id="23"/>
    </w:p>
    <w:p w14:paraId="17CB1DB1" w14:textId="543BE60B" w:rsidR="00BA1329" w:rsidRDefault="00A94F0F" w:rsidP="007E368B">
      <w:pPr>
        <w:pStyle w:val="Paragraph"/>
        <w:rPr>
          <w:b/>
        </w:rPr>
      </w:pPr>
      <w:r w:rsidRPr="00A94F0F">
        <w:t xml:space="preserve">Licence </w:t>
      </w:r>
      <w:r w:rsidRPr="00F31737">
        <w:t xml:space="preserve">tenure – </w:t>
      </w:r>
      <w:r w:rsidR="0083164E" w:rsidRPr="00F31737">
        <w:t>licence term, commencement</w:t>
      </w:r>
      <w:r w:rsidRPr="00F31737">
        <w:t xml:space="preserve"> and</w:t>
      </w:r>
      <w:r w:rsidRPr="00A94F0F">
        <w:t xml:space="preserve"> renewal arrangements – </w:t>
      </w:r>
      <w:r>
        <w:t>is</w:t>
      </w:r>
      <w:r w:rsidRPr="007E368B">
        <w:t xml:space="preserve"> </w:t>
      </w:r>
      <w:r w:rsidR="007E368B" w:rsidRPr="007E368B">
        <w:t>a key tool in balanc</w:t>
      </w:r>
      <w:r w:rsidR="004A4C93">
        <w:t>ing</w:t>
      </w:r>
      <w:r w:rsidR="007E368B" w:rsidRPr="007E368B">
        <w:t xml:space="preserve"> the provision of investment and service predictability to licensees</w:t>
      </w:r>
      <w:r w:rsidR="00544777">
        <w:t xml:space="preserve"> with</w:t>
      </w:r>
      <w:r w:rsidR="007E368B" w:rsidRPr="007E368B">
        <w:t xml:space="preserve"> </w:t>
      </w:r>
      <w:r w:rsidR="00D10C38">
        <w:t xml:space="preserve">the requirement </w:t>
      </w:r>
      <w:r w:rsidR="007E368B" w:rsidRPr="007E368B">
        <w:t xml:space="preserve">to efficiently manage the spectrum through replanning, allocation and </w:t>
      </w:r>
      <w:r w:rsidR="001B3D0A">
        <w:br/>
      </w:r>
      <w:r w:rsidR="007E368B" w:rsidRPr="007E368B">
        <w:t>re-allocation to promote the long-term public interest</w:t>
      </w:r>
      <w:r w:rsidR="006524FF">
        <w:t>.</w:t>
      </w:r>
    </w:p>
    <w:p w14:paraId="57273E0D" w14:textId="0790501B" w:rsidR="00CF23AD" w:rsidRDefault="00CC5588" w:rsidP="0000115E">
      <w:pPr>
        <w:pStyle w:val="Heading3"/>
      </w:pPr>
      <w:bookmarkStart w:id="24" w:name="_Toc202867810"/>
      <w:r>
        <w:t>Licence term</w:t>
      </w:r>
      <w:bookmarkEnd w:id="24"/>
    </w:p>
    <w:p w14:paraId="4F6BCFD4" w14:textId="5DB1B1AF" w:rsidR="00B6611D" w:rsidRDefault="0082088D" w:rsidP="00231246">
      <w:pPr>
        <w:pStyle w:val="Paragraph"/>
        <w:spacing w:after="80"/>
      </w:pPr>
      <w:r>
        <w:t xml:space="preserve">We are considering </w:t>
      </w:r>
      <w:r w:rsidR="00E57377">
        <w:t>3</w:t>
      </w:r>
      <w:r>
        <w:t xml:space="preserve"> options for licence term:</w:t>
      </w:r>
    </w:p>
    <w:p w14:paraId="433A83B1" w14:textId="338A9661" w:rsidR="0082088D" w:rsidRPr="00E02566" w:rsidRDefault="0082088D" w:rsidP="00231246">
      <w:pPr>
        <w:pStyle w:val="ListNumber"/>
        <w:numPr>
          <w:ilvl w:val="0"/>
          <w:numId w:val="61"/>
        </w:numPr>
        <w:spacing w:line="280" w:lineRule="atLeast"/>
        <w:ind w:left="284" w:hanging="284"/>
      </w:pPr>
      <w:r w:rsidRPr="00E02566">
        <w:t>5 years</w:t>
      </w:r>
    </w:p>
    <w:p w14:paraId="36DAF92A" w14:textId="4320C626" w:rsidR="0082088D" w:rsidRPr="00E02566" w:rsidRDefault="0082088D" w:rsidP="00231246">
      <w:pPr>
        <w:pStyle w:val="Numberlistlevel1"/>
        <w:ind w:left="284" w:hanging="284"/>
      </w:pPr>
      <w:r w:rsidRPr="00E02566">
        <w:t>10 years</w:t>
      </w:r>
    </w:p>
    <w:p w14:paraId="69B9A2BE" w14:textId="00116ED6" w:rsidR="006D79B2" w:rsidRDefault="00ED2323" w:rsidP="00AC7C70">
      <w:pPr>
        <w:pStyle w:val="Numberlistlevel1"/>
        <w:ind w:left="284" w:hanging="284"/>
      </w:pPr>
      <w:r>
        <w:t>Greater than 10, up to 20 years</w:t>
      </w:r>
      <w:r w:rsidR="00206EAB">
        <w:t>.</w:t>
      </w:r>
    </w:p>
    <w:p w14:paraId="67C56BCD" w14:textId="2709A6A4" w:rsidR="00DD4EBE" w:rsidRDefault="008C197D" w:rsidP="00741F36">
      <w:pPr>
        <w:pStyle w:val="Paragraph"/>
      </w:pPr>
      <w:r w:rsidRPr="00BB31CB">
        <w:t>Consistent with</w:t>
      </w:r>
      <w:r w:rsidR="00DD4EBE">
        <w:t xml:space="preserve"> </w:t>
      </w:r>
      <w:hyperlink r:id="rId33" w:history="1">
        <w:r w:rsidR="00DD4EBE" w:rsidRPr="004150F2">
          <w:rPr>
            <w:rStyle w:val="Hyperlink"/>
          </w:rPr>
          <w:t>Our approach to radiocommunications licensing and allocation 2025</w:t>
        </w:r>
      </w:hyperlink>
      <w:r w:rsidR="00AB042F">
        <w:t xml:space="preserve"> (licensing paper)</w:t>
      </w:r>
      <w:r w:rsidR="00DD4EBE">
        <w:t>, w</w:t>
      </w:r>
      <w:r w:rsidR="00DD4EBE" w:rsidRPr="0088606A">
        <w:t xml:space="preserve">e tailor licensing arrangements depending on the investment </w:t>
      </w:r>
      <w:r w:rsidR="00DD4EBE">
        <w:t>confidence</w:t>
      </w:r>
      <w:r w:rsidR="00DD4EBE" w:rsidRPr="0088606A">
        <w:t xml:space="preserve"> requirements of licensees and current and planned uses of spectrum</w:t>
      </w:r>
      <w:r w:rsidR="00DD4EBE">
        <w:t>.</w:t>
      </w:r>
    </w:p>
    <w:p w14:paraId="63D2FA5D" w14:textId="3D58A293" w:rsidR="00505ED2" w:rsidRDefault="008C12D4" w:rsidP="00B975EF">
      <w:pPr>
        <w:pStyle w:val="Paragraph"/>
      </w:pPr>
      <w:r w:rsidRPr="008B4506">
        <w:t>Given current trends</w:t>
      </w:r>
      <w:r w:rsidR="008B775A" w:rsidRPr="008B4506">
        <w:t xml:space="preserve"> in MSS technology</w:t>
      </w:r>
      <w:r w:rsidR="00555769">
        <w:t xml:space="preserve"> and</w:t>
      </w:r>
      <w:r w:rsidR="004618DE" w:rsidRPr="00AC38F5">
        <w:t xml:space="preserve"> </w:t>
      </w:r>
      <w:r w:rsidRPr="008B4506">
        <w:t xml:space="preserve">interest in MSS in the 2 GHz band globally, </w:t>
      </w:r>
      <w:r w:rsidR="008B775A">
        <w:t xml:space="preserve">we </w:t>
      </w:r>
      <w:r w:rsidRPr="008C12D4">
        <w:t xml:space="preserve">do not expect a </w:t>
      </w:r>
      <w:r w:rsidR="008B775A">
        <w:t xml:space="preserve">significant </w:t>
      </w:r>
      <w:r w:rsidRPr="008C12D4">
        <w:t>change in the use of the band in the foreseeable future.</w:t>
      </w:r>
      <w:r w:rsidR="00414332">
        <w:t xml:space="preserve"> </w:t>
      </w:r>
      <w:r w:rsidR="00C95882">
        <w:t>W</w:t>
      </w:r>
      <w:r w:rsidR="00414332" w:rsidRPr="00414332">
        <w:t>e expect the deployment of MSS may require time and investment</w:t>
      </w:r>
      <w:r w:rsidR="00414332">
        <w:t xml:space="preserve">, and a longer </w:t>
      </w:r>
      <w:r w:rsidR="00C561DD">
        <w:t xml:space="preserve">licence </w:t>
      </w:r>
      <w:r w:rsidR="006F6FC8">
        <w:t xml:space="preserve">term </w:t>
      </w:r>
      <w:r w:rsidR="00414332">
        <w:t xml:space="preserve">may </w:t>
      </w:r>
      <w:r w:rsidR="00C67269">
        <w:t xml:space="preserve">provide </w:t>
      </w:r>
      <w:r w:rsidR="00DA024C">
        <w:t>investment confidence.</w:t>
      </w:r>
      <w:r w:rsidR="00814033">
        <w:t xml:space="preserve"> </w:t>
      </w:r>
    </w:p>
    <w:p w14:paraId="156B6FCE" w14:textId="639D3317" w:rsidR="00DA024C" w:rsidRDefault="00EE62A7" w:rsidP="00B975EF">
      <w:pPr>
        <w:pStyle w:val="Paragraph"/>
      </w:pPr>
      <w:r>
        <w:t xml:space="preserve">However, there are </w:t>
      </w:r>
      <w:r w:rsidR="009446B1">
        <w:t xml:space="preserve">relevant </w:t>
      </w:r>
      <w:r>
        <w:t xml:space="preserve">factors </w:t>
      </w:r>
      <w:r w:rsidR="00FC7F37">
        <w:t xml:space="preserve">suggesting </w:t>
      </w:r>
      <w:r>
        <w:t xml:space="preserve">a shorter licence </w:t>
      </w:r>
      <w:r w:rsidR="006F6FC8">
        <w:t xml:space="preserve">term </w:t>
      </w:r>
      <w:r w:rsidR="002710B5">
        <w:t>may</w:t>
      </w:r>
      <w:r w:rsidR="00FC7F37">
        <w:t xml:space="preserve"> be appropriate</w:t>
      </w:r>
      <w:r>
        <w:t xml:space="preserve">. </w:t>
      </w:r>
      <w:r w:rsidR="006B247F">
        <w:t>Licence underuse has been a concern</w:t>
      </w:r>
      <w:r w:rsidR="0039195D">
        <w:t xml:space="preserve"> internationally</w:t>
      </w:r>
      <w:r w:rsidR="006B247F">
        <w:t xml:space="preserve"> in this band</w:t>
      </w:r>
      <w:r w:rsidR="00FB15F5">
        <w:t>.</w:t>
      </w:r>
      <w:r w:rsidR="00470F27">
        <w:t xml:space="preserve"> A</w:t>
      </w:r>
      <w:r w:rsidR="000F65C5">
        <w:t xml:space="preserve"> </w:t>
      </w:r>
      <w:r w:rsidR="0079454D">
        <w:t>shorter</w:t>
      </w:r>
      <w:r w:rsidR="0079454D" w:rsidDel="00944D8A">
        <w:t xml:space="preserve"> </w:t>
      </w:r>
      <w:r w:rsidR="006F6FC8">
        <w:t>ter</w:t>
      </w:r>
      <w:r w:rsidR="00266307">
        <w:t>m</w:t>
      </w:r>
      <w:r w:rsidR="00944D8A">
        <w:t xml:space="preserve"> </w:t>
      </w:r>
      <w:r w:rsidR="00DB653F" w:rsidRPr="00DB653F">
        <w:t xml:space="preserve">provides </w:t>
      </w:r>
      <w:r w:rsidR="00C95882">
        <w:t>us</w:t>
      </w:r>
      <w:r w:rsidR="00DB653F" w:rsidRPr="00DB653F">
        <w:t xml:space="preserve"> with the ability to return the licence to market sooner if</w:t>
      </w:r>
      <w:r w:rsidR="00F47B63">
        <w:t>, for example</w:t>
      </w:r>
      <w:r w:rsidR="00055B90">
        <w:t>,</w:t>
      </w:r>
      <w:r w:rsidR="004357B5">
        <w:t xml:space="preserve"> </w:t>
      </w:r>
      <w:r w:rsidR="00055B90">
        <w:t>i</w:t>
      </w:r>
      <w:r w:rsidR="00487D8A">
        <w:t xml:space="preserve">t was </w:t>
      </w:r>
      <w:r w:rsidR="001B44E9">
        <w:t xml:space="preserve">to </w:t>
      </w:r>
      <w:r w:rsidR="00487D8A">
        <w:t>consider that the spectrum was not being used efficiently</w:t>
      </w:r>
      <w:r w:rsidR="00F00734">
        <w:t>, and</w:t>
      </w:r>
      <w:r w:rsidR="006270CE">
        <w:t xml:space="preserve"> provides an opportunity for the MSS market to mature before </w:t>
      </w:r>
      <w:r w:rsidR="00483DEB">
        <w:t>setting</w:t>
      </w:r>
      <w:r w:rsidR="006270CE">
        <w:t xml:space="preserve"> longer term arrangement</w:t>
      </w:r>
      <w:r w:rsidR="00631499">
        <w:t>s</w:t>
      </w:r>
      <w:r w:rsidR="00483DEB">
        <w:t xml:space="preserve"> in the band</w:t>
      </w:r>
      <w:r w:rsidR="00F00734">
        <w:t xml:space="preserve">. </w:t>
      </w:r>
    </w:p>
    <w:p w14:paraId="63A86FA5" w14:textId="5BAA4D79" w:rsidR="00952878" w:rsidRDefault="00952878" w:rsidP="007C74DA">
      <w:pPr>
        <w:pStyle w:val="Heading3"/>
      </w:pPr>
      <w:bookmarkStart w:id="25" w:name="_Toc202867811"/>
      <w:r>
        <w:t>Licence commencement</w:t>
      </w:r>
      <w:bookmarkEnd w:id="25"/>
    </w:p>
    <w:p w14:paraId="2DEEC521" w14:textId="6CCA1F37" w:rsidR="00AD672F" w:rsidRDefault="00645F11" w:rsidP="00550AEE">
      <w:pPr>
        <w:pStyle w:val="Paragraph"/>
      </w:pPr>
      <w:r w:rsidRPr="00645F11">
        <w:t xml:space="preserve">Typically, we seek to commence licences soon after they are </w:t>
      </w:r>
      <w:r w:rsidR="00FE6DAA" w:rsidRPr="00AC6C2E">
        <w:t>issued</w:t>
      </w:r>
      <w:r w:rsidR="00FE6DAA" w:rsidRPr="00645F11">
        <w:t xml:space="preserve"> </w:t>
      </w:r>
      <w:r w:rsidRPr="00645F11">
        <w:t xml:space="preserve">to facilitate the use of </w:t>
      </w:r>
      <w:r w:rsidR="008B6DCA">
        <w:t>the spectrum</w:t>
      </w:r>
      <w:r w:rsidRPr="00645F11">
        <w:t>.</w:t>
      </w:r>
      <w:r>
        <w:t xml:space="preserve"> </w:t>
      </w:r>
      <w:r w:rsidR="004B1D2A">
        <w:t xml:space="preserve">However, we consider </w:t>
      </w:r>
      <w:r w:rsidR="00752B67">
        <w:t>incumbent holdings in determining the appropriate commencement date.</w:t>
      </w:r>
      <w:r w:rsidR="00AD672F">
        <w:t xml:space="preserve"> </w:t>
      </w:r>
      <w:r w:rsidR="00EA113F">
        <w:t xml:space="preserve">There are </w:t>
      </w:r>
      <w:r w:rsidR="00CF77C8">
        <w:t xml:space="preserve">2 </w:t>
      </w:r>
      <w:r w:rsidR="00EA113F">
        <w:t>current uses of</w:t>
      </w:r>
      <w:r w:rsidR="00F97044">
        <w:t xml:space="preserve"> the 2 GHz </w:t>
      </w:r>
      <w:r w:rsidR="00550AEE">
        <w:t xml:space="preserve">MSS </w:t>
      </w:r>
      <w:r w:rsidR="00F97044">
        <w:t xml:space="preserve">band, </w:t>
      </w:r>
      <w:r w:rsidR="008A2F38">
        <w:t xml:space="preserve">and </w:t>
      </w:r>
      <w:r w:rsidR="00F97044">
        <w:t xml:space="preserve">we do not expect </w:t>
      </w:r>
      <w:r w:rsidR="00E26F54">
        <w:t xml:space="preserve">these </w:t>
      </w:r>
      <w:r w:rsidR="00F97044">
        <w:t>incumbent holdings</w:t>
      </w:r>
      <w:r w:rsidR="0065473D" w:rsidRPr="0065473D">
        <w:t xml:space="preserve"> to significantly impact </w:t>
      </w:r>
      <w:r w:rsidR="00550AEE">
        <w:t xml:space="preserve">MSS </w:t>
      </w:r>
      <w:r w:rsidR="0065473D" w:rsidRPr="0065473D">
        <w:t xml:space="preserve">licence use and the start date of </w:t>
      </w:r>
      <w:r w:rsidR="00550AEE">
        <w:t xml:space="preserve">MSS </w:t>
      </w:r>
      <w:r w:rsidR="0065473D" w:rsidRPr="0065473D">
        <w:t xml:space="preserve">licences. </w:t>
      </w:r>
    </w:p>
    <w:p w14:paraId="4992974F" w14:textId="7C8E236B" w:rsidR="0065473D" w:rsidRPr="0065473D" w:rsidRDefault="0065473D" w:rsidP="00101D43">
      <w:pPr>
        <w:pStyle w:val="Paragraph"/>
      </w:pPr>
      <w:r w:rsidRPr="0065473D">
        <w:lastRenderedPageBreak/>
        <w:t xml:space="preserve">The 2 GHz </w:t>
      </w:r>
      <w:r w:rsidR="003F3245">
        <w:t xml:space="preserve">MSS </w:t>
      </w:r>
      <w:r w:rsidRPr="0065473D">
        <w:t xml:space="preserve">band is currently being used for </w:t>
      </w:r>
      <w:r w:rsidRPr="001035D2">
        <w:t>TOB</w:t>
      </w:r>
      <w:r w:rsidRPr="0065473D">
        <w:t xml:space="preserve"> services. </w:t>
      </w:r>
      <w:r w:rsidRPr="00796F45">
        <w:t xml:space="preserve">Broadly, </w:t>
      </w:r>
      <w:r w:rsidRPr="00BC7E67">
        <w:t>the</w:t>
      </w:r>
      <w:r w:rsidR="00B259B0">
        <w:t xml:space="preserve"> </w:t>
      </w:r>
      <w:r w:rsidR="000051C4" w:rsidRPr="002B41A9">
        <w:rPr>
          <w:u w:color="0000FF"/>
        </w:rPr>
        <w:t xml:space="preserve">MSS </w:t>
      </w:r>
      <w:r w:rsidR="00641DD1">
        <w:rPr>
          <w:u w:color="0000FF"/>
        </w:rPr>
        <w:t>B</w:t>
      </w:r>
      <w:r w:rsidR="000051C4" w:rsidRPr="002B41A9">
        <w:rPr>
          <w:u w:color="0000FF"/>
        </w:rPr>
        <w:t xml:space="preserve">and </w:t>
      </w:r>
      <w:r w:rsidR="00641DD1">
        <w:rPr>
          <w:u w:color="0000FF"/>
        </w:rPr>
        <w:t>P</w:t>
      </w:r>
      <w:r w:rsidR="000051C4" w:rsidRPr="002B41A9">
        <w:rPr>
          <w:u w:color="0000FF"/>
        </w:rPr>
        <w:t>lan</w:t>
      </w:r>
      <w:r w:rsidR="00B259B0" w:rsidRPr="00D8663A">
        <w:t xml:space="preserve"> provides that the 2 GHz MSS band will no longer be able to be used for TOB services by </w:t>
      </w:r>
      <w:r w:rsidR="00E449A8" w:rsidRPr="00D8663A">
        <w:t>1</w:t>
      </w:r>
      <w:r w:rsidR="00E449A8">
        <w:t> </w:t>
      </w:r>
      <w:r w:rsidR="00B259B0" w:rsidRPr="00D8663A">
        <w:t>March 2026</w:t>
      </w:r>
      <w:r w:rsidR="00B259B0" w:rsidRPr="00A80A05">
        <w:t>.</w:t>
      </w:r>
    </w:p>
    <w:p w14:paraId="4D402EC0" w14:textId="0D57AA24" w:rsidR="00D73A0F" w:rsidRDefault="00522986" w:rsidP="00E66037">
      <w:pPr>
        <w:pStyle w:val="Paragraph"/>
      </w:pPr>
      <w:r>
        <w:t>T</w:t>
      </w:r>
      <w:r w:rsidR="0065473D" w:rsidRPr="0065473D">
        <w:t xml:space="preserve">here are </w:t>
      </w:r>
      <w:r w:rsidR="00A3385E" w:rsidRPr="00217B1A">
        <w:t>apparatus licences authorising the oper</w:t>
      </w:r>
      <w:r w:rsidR="00A3385E" w:rsidRPr="00CB3F5E">
        <w:t>ation of</w:t>
      </w:r>
      <w:r w:rsidR="0065473D" w:rsidRPr="00CB3F5E">
        <w:t xml:space="preserve"> 4 fixed point-to-point links in the </w:t>
      </w:r>
      <w:r w:rsidR="003671F7" w:rsidRPr="00CB3F5E">
        <w:t>2 </w:t>
      </w:r>
      <w:r w:rsidR="0065473D" w:rsidRPr="00CB3F5E">
        <w:t xml:space="preserve">GHz </w:t>
      </w:r>
      <w:r w:rsidR="0071688F" w:rsidRPr="00CB3F5E">
        <w:t xml:space="preserve">MSS </w:t>
      </w:r>
      <w:r w:rsidR="0065473D" w:rsidRPr="00CB3F5E">
        <w:t>band in regional and remote areas</w:t>
      </w:r>
      <w:r w:rsidR="00AA31C1" w:rsidRPr="00CB3F5E">
        <w:t>. E</w:t>
      </w:r>
      <w:r w:rsidR="0065473D" w:rsidRPr="00CB3F5E">
        <w:t>xisting</w:t>
      </w:r>
      <w:r w:rsidR="0065473D" w:rsidRPr="0065473D">
        <w:t xml:space="preserve"> fixed </w:t>
      </w:r>
      <w:r w:rsidR="00A3385E" w:rsidRPr="00077F31">
        <w:t>devices</w:t>
      </w:r>
      <w:r w:rsidR="00A3385E" w:rsidRPr="0065473D">
        <w:t xml:space="preserve"> </w:t>
      </w:r>
      <w:r w:rsidR="0065473D" w:rsidRPr="0065473D">
        <w:t xml:space="preserve">may continue to </w:t>
      </w:r>
      <w:r w:rsidR="00A3385E" w:rsidRPr="00217B1A">
        <w:t>be</w:t>
      </w:r>
      <w:r w:rsidR="0065473D" w:rsidRPr="0065473D">
        <w:t xml:space="preserve"> operate</w:t>
      </w:r>
      <w:r w:rsidR="00A3385E" w:rsidRPr="00217B1A">
        <w:t>d</w:t>
      </w:r>
      <w:r w:rsidR="0065473D" w:rsidRPr="0065473D">
        <w:t xml:space="preserve"> in the band subject to licence renewal. </w:t>
      </w:r>
      <w:r w:rsidR="00866282">
        <w:t xml:space="preserve">We propose to include requirements in </w:t>
      </w:r>
      <w:r w:rsidR="00C95882">
        <w:br/>
      </w:r>
      <w:r w:rsidR="00866282">
        <w:t>the 2</w:t>
      </w:r>
      <w:r w:rsidR="001A5D7C">
        <w:t> </w:t>
      </w:r>
      <w:r w:rsidR="00866282">
        <w:t>GHz MSS technical framework to protect</w:t>
      </w:r>
      <w:r w:rsidR="00866282" w:rsidRPr="005B4EA5">
        <w:t xml:space="preserve"> </w:t>
      </w:r>
      <w:r w:rsidR="003356ED">
        <w:t>these</w:t>
      </w:r>
      <w:r w:rsidR="00484AA7">
        <w:t xml:space="preserve"> </w:t>
      </w:r>
      <w:r w:rsidR="00866282" w:rsidRPr="005B4EA5">
        <w:t>existing fixed point-to-point links</w:t>
      </w:r>
      <w:r w:rsidR="00866282">
        <w:t xml:space="preserve"> </w:t>
      </w:r>
      <w:r w:rsidR="00C95882">
        <w:br/>
      </w:r>
      <w:r w:rsidR="00866282">
        <w:t xml:space="preserve">from interference caused </w:t>
      </w:r>
      <w:r w:rsidR="007E14EE" w:rsidRPr="00AB6A47">
        <w:t>by</w:t>
      </w:r>
      <w:r w:rsidR="00866282" w:rsidRPr="00AB6A47">
        <w:t xml:space="preserve"> 2 GHz MSS transmitting station</w:t>
      </w:r>
      <w:r w:rsidR="00BB38F9" w:rsidRPr="00AB6A47">
        <w:t>s</w:t>
      </w:r>
      <w:r w:rsidR="00866282" w:rsidRPr="00AB6A47">
        <w:t xml:space="preserve">. </w:t>
      </w:r>
      <w:r w:rsidR="00BB38F9" w:rsidRPr="00AB6A47">
        <w:t>2 GHz MSS r</w:t>
      </w:r>
      <w:r w:rsidR="00866282" w:rsidRPr="00AB6A47">
        <w:t xml:space="preserve">eceiving </w:t>
      </w:r>
      <w:r w:rsidR="00C95882">
        <w:br/>
      </w:r>
      <w:r w:rsidR="00866282" w:rsidRPr="00AB6A47">
        <w:t xml:space="preserve">stations would also not receive any protection from interference </w:t>
      </w:r>
      <w:r w:rsidR="007E14EE" w:rsidRPr="00AB6A47">
        <w:t xml:space="preserve">from </w:t>
      </w:r>
      <w:r w:rsidR="00866282" w:rsidRPr="00AB6A47">
        <w:t xml:space="preserve">existing fixed </w:t>
      </w:r>
      <w:r w:rsidR="00C95882">
        <w:br/>
      </w:r>
      <w:r w:rsidR="00866282" w:rsidRPr="00AB6A47">
        <w:t>point-to-point links</w:t>
      </w:r>
      <w:r w:rsidR="00F47C89" w:rsidRPr="00AB6A47">
        <w:fldChar w:fldCharType="begin"/>
      </w:r>
      <w:r w:rsidR="00F47C89" w:rsidRPr="00AB6A47">
        <w:instrText xml:space="preserve"> REF _Ref199850700 \h </w:instrText>
      </w:r>
      <w:r w:rsidR="00256CA2" w:rsidRPr="00AB6A47">
        <w:instrText xml:space="preserve"> \* MERGEFORMAT </w:instrText>
      </w:r>
      <w:r w:rsidR="00F47C89" w:rsidRPr="00AB6A47">
        <w:fldChar w:fldCharType="separate"/>
      </w:r>
      <w:r w:rsidR="00F47C89" w:rsidRPr="00AB6A47">
        <w:fldChar w:fldCharType="end"/>
      </w:r>
      <w:r w:rsidR="00853AB8" w:rsidRPr="00AB6A47">
        <w:t>.</w:t>
      </w:r>
    </w:p>
    <w:p w14:paraId="336FF7A8" w14:textId="54D6633F" w:rsidR="00797929" w:rsidRDefault="00117047" w:rsidP="00E66037">
      <w:pPr>
        <w:pStyle w:val="Paragraph"/>
      </w:pPr>
      <w:r>
        <w:t>Similarly</w:t>
      </w:r>
      <w:r w:rsidR="00356593">
        <w:t>,</w:t>
      </w:r>
      <w:r>
        <w:t xml:space="preserve"> we would propose to include requirements concerning the CGC </w:t>
      </w:r>
      <w:r w:rsidR="008C2147">
        <w:t>licensing arrangements to protect existing fixed point-to-point links from interference.</w:t>
      </w:r>
    </w:p>
    <w:p w14:paraId="1D5A1DC7" w14:textId="5D22E12A" w:rsidR="00BA1329" w:rsidRPr="00D272B3" w:rsidRDefault="00BA1329" w:rsidP="00BA1329">
      <w:pPr>
        <w:pStyle w:val="Heading3"/>
      </w:pPr>
      <w:bookmarkStart w:id="26" w:name="_Toc202867812"/>
      <w:r w:rsidRPr="00D272B3">
        <w:t>Licence renewal</w:t>
      </w:r>
      <w:bookmarkEnd w:id="26"/>
    </w:p>
    <w:p w14:paraId="4CEC203C" w14:textId="2BA9641B" w:rsidR="00176D1C" w:rsidRDefault="00BA1329" w:rsidP="00BA1329">
      <w:pPr>
        <w:pStyle w:val="Paragraph"/>
      </w:pPr>
      <w:r w:rsidRPr="00D272B3">
        <w:t xml:space="preserve">Subsection 103A(1) of the Act provides that apparatus licences may include a renewal statement to the effect that the licence cannot be renewed, or that the licence may be renewed at the discretion of the ACMA so long as specified circumstances exist. </w:t>
      </w:r>
      <w:r w:rsidR="00C95882">
        <w:t>We</w:t>
      </w:r>
      <w:r w:rsidR="00D272B3" w:rsidRPr="009F4998">
        <w:t xml:space="preserve"> cannot</w:t>
      </w:r>
      <w:r w:rsidRPr="00D272B3">
        <w:t xml:space="preserve"> guarantee renewal under the Act.</w:t>
      </w:r>
      <w:r w:rsidR="004E3F20" w:rsidRPr="004E3F20">
        <w:t xml:space="preserve"> </w:t>
      </w:r>
    </w:p>
    <w:p w14:paraId="253529D2" w14:textId="395A2D33" w:rsidR="00BA1329" w:rsidRPr="00D272B3" w:rsidRDefault="00C95882" w:rsidP="00BA1329">
      <w:pPr>
        <w:pStyle w:val="Paragraph"/>
      </w:pPr>
      <w:r>
        <w:t>We</w:t>
      </w:r>
      <w:r w:rsidR="004E3F20" w:rsidRPr="004E3F20">
        <w:t xml:space="preserve"> may also decide not </w:t>
      </w:r>
      <w:r w:rsidR="007015B0">
        <w:t>to</w:t>
      </w:r>
      <w:r w:rsidR="004E3F20" w:rsidRPr="004E3F20">
        <w:t xml:space="preserve"> include a renewal statement</w:t>
      </w:r>
      <w:r w:rsidR="00426BBF" w:rsidRPr="00546C5F">
        <w:t>, in which case the ACMA has a discretion whether to renew, on application for renewal from the licensee</w:t>
      </w:r>
      <w:r w:rsidR="004E3F20" w:rsidRPr="00546C5F">
        <w:t>.</w:t>
      </w:r>
      <w:r w:rsidR="004E3F20" w:rsidRPr="004E3F20">
        <w:t xml:space="preserve"> </w:t>
      </w:r>
    </w:p>
    <w:p w14:paraId="725AFC6F" w14:textId="540E9DE4" w:rsidR="00F84A29" w:rsidRDefault="00607A16" w:rsidP="004743D3">
      <w:pPr>
        <w:pStyle w:val="Executivesummarysubheading"/>
        <w:spacing w:after="0"/>
      </w:pPr>
      <w:r w:rsidRPr="00607A16">
        <w:t xml:space="preserve">ACMA’s preliminary view: </w:t>
      </w:r>
      <w:r w:rsidR="009A32B0" w:rsidRPr="00607A16">
        <w:t>Licence term, commencement and renewal</w:t>
      </w:r>
    </w:p>
    <w:p w14:paraId="42A03772" w14:textId="39209982" w:rsidR="00FC0564" w:rsidRDefault="00C109C4" w:rsidP="00C109C4">
      <w:pPr>
        <w:pStyle w:val="Paragraph"/>
      </w:pPr>
      <w:r w:rsidRPr="00A70DC3">
        <w:t>On balance, our preliminary view is to issue licences for 5 or 10 years</w:t>
      </w:r>
      <w:r w:rsidR="00667442">
        <w:t>,</w:t>
      </w:r>
      <w:r w:rsidR="00B11EE9" w:rsidRPr="00667442">
        <w:t xml:space="preserve"> with</w:t>
      </w:r>
      <w:r w:rsidR="00B11EE9">
        <w:t xml:space="preserve"> licences commencing as soon as possible after they are </w:t>
      </w:r>
      <w:r w:rsidR="00975448">
        <w:t>issued</w:t>
      </w:r>
      <w:r>
        <w:t xml:space="preserve">. </w:t>
      </w:r>
      <w:r w:rsidR="000D4A9A">
        <w:t xml:space="preserve">This is consistent with </w:t>
      </w:r>
      <w:r w:rsidR="00C95882">
        <w:t>our</w:t>
      </w:r>
      <w:r w:rsidR="000D4A9A">
        <w:t xml:space="preserve"> planning decision set out in the</w:t>
      </w:r>
      <w:r w:rsidR="00CD5694">
        <w:t xml:space="preserve"> January 2021</w:t>
      </w:r>
      <w:r w:rsidR="000D4A9A">
        <w:t xml:space="preserve"> </w:t>
      </w:r>
      <w:r w:rsidR="00C95882">
        <w:t>o</w:t>
      </w:r>
      <w:r w:rsidR="000D4A9A">
        <w:t xml:space="preserve">utcomes paper </w:t>
      </w:r>
      <w:r w:rsidR="00C674A7">
        <w:t>and</w:t>
      </w:r>
      <w:r w:rsidR="000D4A9A">
        <w:t xml:space="preserve"> </w:t>
      </w:r>
      <w:r w:rsidR="000D4A9A" w:rsidRPr="005C25CB">
        <w:t>will best maximise the overall public benefit derived from use of the 2 GHz band in the medium term</w:t>
      </w:r>
      <w:r w:rsidR="000D4A9A">
        <w:t>.</w:t>
      </w:r>
      <w:r w:rsidR="000D4A9A">
        <w:rPr>
          <w:rStyle w:val="FootnoteReference"/>
        </w:rPr>
        <w:footnoteReference w:id="19"/>
      </w:r>
      <w:r w:rsidR="0027013B">
        <w:t xml:space="preserve"> </w:t>
      </w:r>
      <w:r w:rsidR="004B0178">
        <w:t>We propose to apply t</w:t>
      </w:r>
      <w:r w:rsidR="0051721D">
        <w:t xml:space="preserve">he </w:t>
      </w:r>
      <w:r w:rsidR="004B0178">
        <w:t>same licence</w:t>
      </w:r>
      <w:r w:rsidR="0051721D">
        <w:t xml:space="preserve"> term </w:t>
      </w:r>
      <w:r w:rsidR="0051721D" w:rsidRPr="006D79B2">
        <w:t xml:space="preserve">to </w:t>
      </w:r>
      <w:r w:rsidR="00C23C50">
        <w:t xml:space="preserve">all </w:t>
      </w:r>
      <w:r w:rsidR="00893F77">
        <w:t>space</w:t>
      </w:r>
      <w:r w:rsidR="0051721D" w:rsidRPr="006D79B2">
        <w:t xml:space="preserve"> licences</w:t>
      </w:r>
      <w:r w:rsidR="00893F77">
        <w:t xml:space="preserve"> in the first instance</w:t>
      </w:r>
      <w:r w:rsidR="006A2720">
        <w:t xml:space="preserve">, </w:t>
      </w:r>
      <w:r w:rsidR="00C23C50">
        <w:t>so that they have</w:t>
      </w:r>
      <w:r w:rsidR="00D31515">
        <w:t xml:space="preserve"> a common expiry date</w:t>
      </w:r>
      <w:r w:rsidR="0051721D" w:rsidRPr="006D79B2">
        <w:t>.</w:t>
      </w:r>
      <w:r w:rsidR="0051721D" w:rsidRPr="0051721D">
        <w:t xml:space="preserve"> </w:t>
      </w:r>
      <w:r w:rsidR="00C23C50">
        <w:t>We also propose to issue a</w:t>
      </w:r>
      <w:r w:rsidR="00C23C50" w:rsidRPr="00B22875">
        <w:t>ny</w:t>
      </w:r>
      <w:r w:rsidR="00A11643">
        <w:t xml:space="preserve"> </w:t>
      </w:r>
      <w:r w:rsidR="0051721D">
        <w:t xml:space="preserve">associated </w:t>
      </w:r>
      <w:r w:rsidR="00BA229A">
        <w:t xml:space="preserve">space </w:t>
      </w:r>
      <w:r w:rsidR="0051721D">
        <w:t>r</w:t>
      </w:r>
      <w:r w:rsidR="0051721D" w:rsidRPr="006D79B2">
        <w:t>eceive licence</w:t>
      </w:r>
      <w:r w:rsidR="0051721D">
        <w:t>s with the same</w:t>
      </w:r>
      <w:r w:rsidR="0051721D" w:rsidRPr="006D79B2">
        <w:t xml:space="preserve"> expiry </w:t>
      </w:r>
      <w:r w:rsidR="0051721D">
        <w:t>date as the</w:t>
      </w:r>
      <w:r w:rsidR="0003501A">
        <w:t xml:space="preserve"> space </w:t>
      </w:r>
      <w:r w:rsidR="0051721D" w:rsidRPr="006D79B2">
        <w:t>licence</w:t>
      </w:r>
      <w:r w:rsidR="0003501A">
        <w:t>s</w:t>
      </w:r>
      <w:r w:rsidR="0051721D">
        <w:t xml:space="preserve">. </w:t>
      </w:r>
    </w:p>
    <w:p w14:paraId="22693506" w14:textId="4DABA302" w:rsidR="00C109C4" w:rsidRDefault="00012316" w:rsidP="00C109C4">
      <w:pPr>
        <w:pStyle w:val="Paragraph"/>
      </w:pPr>
      <w:r>
        <w:t>We propose</w:t>
      </w:r>
      <w:r w:rsidR="0003501A">
        <w:t xml:space="preserve"> </w:t>
      </w:r>
      <w:r w:rsidR="0040021D" w:rsidRPr="00B22875">
        <w:t>that the</w:t>
      </w:r>
      <w:r w:rsidR="0040021D">
        <w:t xml:space="preserve"> </w:t>
      </w:r>
      <w:r w:rsidR="0003501A">
        <w:t>licences</w:t>
      </w:r>
      <w:r>
        <w:t xml:space="preserve"> commence as soon as possible after they are issued. </w:t>
      </w:r>
      <w:r w:rsidR="0051721D">
        <w:t>T</w:t>
      </w:r>
      <w:r w:rsidR="0051721D" w:rsidRPr="0051721D">
        <w:t xml:space="preserve">his will support </w:t>
      </w:r>
      <w:r w:rsidR="00347E56">
        <w:t xml:space="preserve">immediate </w:t>
      </w:r>
      <w:r w:rsidR="0051721D" w:rsidRPr="0051721D">
        <w:t>deployment</w:t>
      </w:r>
      <w:r w:rsidR="00347E56">
        <w:t>, where possible,</w:t>
      </w:r>
      <w:r w:rsidR="0051721D" w:rsidRPr="0051721D">
        <w:t xml:space="preserve"> in areas that are likely to benefit the most from new services, for example in regional and remote areas. </w:t>
      </w:r>
    </w:p>
    <w:p w14:paraId="0049EC36" w14:textId="74E41469" w:rsidR="00E807D3" w:rsidRDefault="0095304D" w:rsidP="00BA1329">
      <w:pPr>
        <w:pStyle w:val="Paragraph"/>
      </w:pPr>
      <w:r>
        <w:t>Our</w:t>
      </w:r>
      <w:r w:rsidR="00E639E5">
        <w:t xml:space="preserve"> preliminary view is to</w:t>
      </w:r>
      <w:r w:rsidR="0051721D">
        <w:t xml:space="preserve"> </w:t>
      </w:r>
      <w:r w:rsidR="00E639E5">
        <w:t>not</w:t>
      </w:r>
      <w:r w:rsidR="0051721D">
        <w:t xml:space="preserve"> include a renewal statement on licences.</w:t>
      </w:r>
      <w:r w:rsidR="004A0FAA">
        <w:t xml:space="preserve"> We consider this arrangement will </w:t>
      </w:r>
      <w:r w:rsidR="004A0FAA" w:rsidRPr="00FF7B22">
        <w:t xml:space="preserve">provide the greatest flexibility </w:t>
      </w:r>
      <w:r w:rsidR="00284356">
        <w:t>when</w:t>
      </w:r>
      <w:r w:rsidR="00284356" w:rsidRPr="00FF7B22">
        <w:t xml:space="preserve"> </w:t>
      </w:r>
      <w:r w:rsidR="004A0FAA" w:rsidRPr="00FF7B22">
        <w:t>decid</w:t>
      </w:r>
      <w:r w:rsidR="00284356">
        <w:t>ing</w:t>
      </w:r>
      <w:r w:rsidR="004A0FAA" w:rsidRPr="00FF7B22">
        <w:t xml:space="preserve"> whether to renew a licence in the 2</w:t>
      </w:r>
      <w:r w:rsidR="00347E56">
        <w:t> </w:t>
      </w:r>
      <w:r w:rsidR="004A0FAA" w:rsidRPr="00FF7B22">
        <w:t xml:space="preserve">GHz MSS band. </w:t>
      </w:r>
      <w:r w:rsidR="000774C0">
        <w:t xml:space="preserve">It </w:t>
      </w:r>
      <w:r w:rsidR="0088275C">
        <w:t xml:space="preserve">also allows </w:t>
      </w:r>
      <w:r w:rsidR="00A64DD6">
        <w:t xml:space="preserve">arrangements </w:t>
      </w:r>
      <w:r w:rsidR="004F526C">
        <w:t xml:space="preserve">to be adapted to market and technological trends </w:t>
      </w:r>
      <w:r w:rsidR="00D9076A">
        <w:t>i</w:t>
      </w:r>
      <w:r w:rsidR="004F526C">
        <w:t>n the longer term.</w:t>
      </w:r>
      <w:r w:rsidR="004A0FAA" w:rsidRPr="00FF7B22">
        <w:t xml:space="preserve"> </w:t>
      </w:r>
      <w:r w:rsidR="00AE64C5">
        <w:t>If matters arise out of the consultation process where we consider that it would beneficial to do so, we</w:t>
      </w:r>
      <w:r w:rsidR="00AE64C5" w:rsidRPr="009F4998">
        <w:t xml:space="preserve"> </w:t>
      </w:r>
      <w:r w:rsidR="00AE64C5">
        <w:t>may</w:t>
      </w:r>
      <w:r w:rsidR="00AE64C5" w:rsidRPr="009F4998">
        <w:t xml:space="preserve"> place an advisory note on each licence that </w:t>
      </w:r>
      <w:r w:rsidR="00AE64C5">
        <w:t>would</w:t>
      </w:r>
      <w:r w:rsidR="00AE64C5" w:rsidRPr="009F4998">
        <w:t xml:space="preserve"> outlin</w:t>
      </w:r>
      <w:r w:rsidR="00AE64C5">
        <w:t>e</w:t>
      </w:r>
      <w:r w:rsidR="00AE64C5" w:rsidRPr="009F4998">
        <w:t xml:space="preserve"> the</w:t>
      </w:r>
      <w:r w:rsidR="00AE64C5">
        <w:t xml:space="preserve"> factors</w:t>
      </w:r>
      <w:r w:rsidR="00AE64C5" w:rsidRPr="009F4998">
        <w:t xml:space="preserve"> that </w:t>
      </w:r>
      <w:r w:rsidR="00C95882">
        <w:t>we</w:t>
      </w:r>
      <w:r w:rsidR="00AE64C5">
        <w:t xml:space="preserve"> may consider</w:t>
      </w:r>
      <w:r w:rsidR="00AE64C5" w:rsidRPr="009F4998">
        <w:t xml:space="preserve"> when deciding whether to renew a licence</w:t>
      </w:r>
      <w:r w:rsidR="00626C11" w:rsidRPr="009F4998">
        <w:t xml:space="preserve">. </w:t>
      </w:r>
      <w:r w:rsidR="004F65BE" w:rsidRPr="00FA020F">
        <w:t>However, the ACMA is not obliged to consider any matters listed in the advisory note, and may also consider other relevant matters not included in the advisory note.</w:t>
      </w:r>
    </w:p>
    <w:p w14:paraId="09B9BC44" w14:textId="03FC0ADB" w:rsidR="0046174F" w:rsidRDefault="00EE1534" w:rsidP="00493788">
      <w:pPr>
        <w:pStyle w:val="Heading3"/>
        <w:keepLines/>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27" w:name="_Toc202867813"/>
      <w:r w:rsidRPr="00272A8B">
        <w:lastRenderedPageBreak/>
        <w:t xml:space="preserve">Issue for comment </w:t>
      </w:r>
      <w:r w:rsidR="00C223EE">
        <w:t>2</w:t>
      </w:r>
      <w:bookmarkEnd w:id="27"/>
    </w:p>
    <w:p w14:paraId="61DFD1AB" w14:textId="63E0BC7B" w:rsidR="008921E9" w:rsidRPr="00E162C4" w:rsidRDefault="001D4E66" w:rsidP="00493788">
      <w:pPr>
        <w:pStyle w:val="Paragraph"/>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1D4E66">
        <w:t xml:space="preserve">We are seeking views on the proposed licence term, commencement and renewal arrangements for 2 GHz MSS </w:t>
      </w:r>
      <w:r w:rsidR="00EE1534" w:rsidRPr="003A1E44">
        <w:t>band</w:t>
      </w:r>
      <w:r w:rsidR="00EE1534">
        <w:t xml:space="preserve"> </w:t>
      </w:r>
      <w:r w:rsidRPr="001D4E66">
        <w:t xml:space="preserve">licences. We seek information about </w:t>
      </w:r>
      <w:r w:rsidR="002726AF">
        <w:t xml:space="preserve">likely </w:t>
      </w:r>
      <w:r w:rsidRPr="001D4E66">
        <w:t>deployment timeframes, where possible. If licence terms of greater than 10 years are preferred, please include reasons supporting the extended licence term.</w:t>
      </w:r>
    </w:p>
    <w:p w14:paraId="67255813" w14:textId="77777777" w:rsidR="00C223EE" w:rsidRDefault="00C223EE" w:rsidP="00493788">
      <w:pPr>
        <w:pStyle w:val="Heading2"/>
        <w:keepLines/>
      </w:pPr>
      <w:bookmarkStart w:id="28" w:name="_Toc202867814"/>
      <w:r>
        <w:t>Lot configuration</w:t>
      </w:r>
      <w:bookmarkEnd w:id="28"/>
    </w:p>
    <w:p w14:paraId="1EB0AF8A" w14:textId="77777777" w:rsidR="00C223EE" w:rsidRDefault="00C223EE" w:rsidP="00C223EE">
      <w:pPr>
        <w:pStyle w:val="Numberedparagraph"/>
        <w:numPr>
          <w:ilvl w:val="0"/>
          <w:numId w:val="0"/>
        </w:numPr>
        <w:spacing w:after="240" w:line="280" w:lineRule="atLeast"/>
      </w:pPr>
      <w:r w:rsidRPr="002D1197">
        <w:t>Consistent with the</w:t>
      </w:r>
      <w:r>
        <w:t xml:space="preserve"> object of the Act,</w:t>
      </w:r>
      <w:r w:rsidRPr="00DD7032">
        <w:t xml:space="preserve"> </w:t>
      </w:r>
      <w:r>
        <w:t xml:space="preserve">a key concern in </w:t>
      </w:r>
      <w:r w:rsidRPr="00DD7032">
        <w:t xml:space="preserve">lot configuration is </w:t>
      </w:r>
      <w:r>
        <w:t>facilitating the efficient allocation</w:t>
      </w:r>
      <w:r w:rsidRPr="00DD7032">
        <w:t xml:space="preserve"> and use of the spectrum</w:t>
      </w:r>
      <w:r>
        <w:t xml:space="preserve">. In </w:t>
      </w:r>
      <w:r w:rsidRPr="00BE4F6C">
        <w:t>fac</w:t>
      </w:r>
      <w:r w:rsidRPr="006E67AD">
        <w:t xml:space="preserve">ilitating this, we </w:t>
      </w:r>
      <w:r w:rsidRPr="002D1197">
        <w:t>try to</w:t>
      </w:r>
      <w:r w:rsidRPr="006E67AD">
        <w:t xml:space="preserve"> ensure that the lot configuration does not unduly limit or dictate market outcomes or hinder competition between auction participants, </w:t>
      </w:r>
      <w:r w:rsidRPr="002D1197">
        <w:t>but does support</w:t>
      </w:r>
      <w:r w:rsidRPr="006E67AD">
        <w:t xml:space="preserve"> efficient use of</w:t>
      </w:r>
      <w:r>
        <w:t xml:space="preserve"> spectrum</w:t>
      </w:r>
      <w:r w:rsidRPr="00BE4F6C">
        <w:t>.</w:t>
      </w:r>
      <w:r>
        <w:t xml:space="preserve"> W</w:t>
      </w:r>
      <w:r w:rsidRPr="00C04BAF">
        <w:t>e</w:t>
      </w:r>
      <w:r>
        <w:t xml:space="preserve"> also</w:t>
      </w:r>
      <w:r w:rsidRPr="00C04BAF">
        <w:t xml:space="preserve"> consider a range of </w:t>
      </w:r>
      <w:r>
        <w:t xml:space="preserve">other </w:t>
      </w:r>
      <w:r w:rsidRPr="00C04BAF">
        <w:t>factors, including the level of demand and the technical characteristics of the spectrum.</w:t>
      </w:r>
    </w:p>
    <w:p w14:paraId="7B4B046A" w14:textId="41CF7060" w:rsidR="00C223EE" w:rsidRDefault="00C223EE" w:rsidP="00C223EE">
      <w:pPr>
        <w:pStyle w:val="Numberedparagraph"/>
        <w:numPr>
          <w:ilvl w:val="0"/>
          <w:numId w:val="0"/>
        </w:numPr>
        <w:spacing w:after="240" w:line="280" w:lineRule="atLeast"/>
      </w:pPr>
      <w:r>
        <w:t xml:space="preserve">In our November 2023 </w:t>
      </w:r>
      <w:r w:rsidR="005E3077">
        <w:t>d</w:t>
      </w:r>
      <w:r>
        <w:t>iscussion paper</w:t>
      </w:r>
      <w:r w:rsidR="00C95882">
        <w:t>,</w:t>
      </w:r>
      <w:r>
        <w:t xml:space="preserve"> we set out broad objectives for developing a technical framework for 2 GHz MSS. Considering those objectives, the proposed 2 GHz MSS technical framework is being developed based on a minimum channel bandwidth of 5 MHz.  </w:t>
      </w:r>
    </w:p>
    <w:p w14:paraId="07F55B0F" w14:textId="12EE942A" w:rsidR="00C223EE" w:rsidRDefault="00C223EE" w:rsidP="00C223EE">
      <w:pPr>
        <w:pStyle w:val="Numberedparagraph"/>
        <w:numPr>
          <w:ilvl w:val="0"/>
          <w:numId w:val="0"/>
        </w:numPr>
        <w:spacing w:after="80" w:line="280" w:lineRule="atLeast"/>
      </w:pPr>
      <w:r>
        <w:t xml:space="preserve">In the </w:t>
      </w:r>
      <w:r w:rsidR="005E3077">
        <w:t>d</w:t>
      </w:r>
      <w:r>
        <w:t xml:space="preserve">iscussion paper, we suggested 2 options for lot configuration, both of which facilitate deployment of 4G and 5G networks, </w:t>
      </w:r>
      <w:r w:rsidRPr="00092327">
        <w:t>depicted in Figure 2.</w:t>
      </w:r>
    </w:p>
    <w:p w14:paraId="6AB30E5C" w14:textId="5C598EAE" w:rsidR="00C223EE" w:rsidRPr="00E02566" w:rsidRDefault="00C223EE" w:rsidP="00C223EE">
      <w:pPr>
        <w:pStyle w:val="ListNumber"/>
        <w:numPr>
          <w:ilvl w:val="0"/>
          <w:numId w:val="59"/>
        </w:numPr>
        <w:spacing w:line="280" w:lineRule="atLeast"/>
        <w:ind w:left="284" w:hanging="284"/>
      </w:pPr>
      <w:r>
        <w:t>A</w:t>
      </w:r>
      <w:r w:rsidRPr="00E02566">
        <w:t xml:space="preserve"> 2</w:t>
      </w:r>
      <w:r w:rsidR="00C95882">
        <w:t xml:space="preserve"> </w:t>
      </w:r>
      <w:r w:rsidRPr="00E02566">
        <w:t>x</w:t>
      </w:r>
      <w:r w:rsidR="00C95882">
        <w:t xml:space="preserve"> </w:t>
      </w:r>
      <w:r w:rsidRPr="00E02566">
        <w:t xml:space="preserve">15 MHz </w:t>
      </w:r>
      <w:r>
        <w:t xml:space="preserve">lot </w:t>
      </w:r>
      <w:r w:rsidRPr="00E02566">
        <w:t>(</w:t>
      </w:r>
      <w:r>
        <w:t xml:space="preserve">frequency ranges </w:t>
      </w:r>
      <w:r w:rsidRPr="00E02566">
        <w:t>1980</w:t>
      </w:r>
      <w:r w:rsidR="00C95882">
        <w:t>–</w:t>
      </w:r>
      <w:r w:rsidRPr="00E02566">
        <w:t xml:space="preserve">1995 MHz </w:t>
      </w:r>
      <w:r>
        <w:t xml:space="preserve">for the uplink </w:t>
      </w:r>
      <w:r w:rsidRPr="00E02566">
        <w:t>and 2170</w:t>
      </w:r>
      <w:r w:rsidR="00C95882">
        <w:t>–</w:t>
      </w:r>
      <w:r w:rsidRPr="00E02566">
        <w:t>2185 MHz</w:t>
      </w:r>
      <w:r>
        <w:t xml:space="preserve"> for the downlink</w:t>
      </w:r>
      <w:r w:rsidRPr="00E02566">
        <w:t>) and a 2</w:t>
      </w:r>
      <w:r w:rsidR="00C95882">
        <w:t xml:space="preserve"> </w:t>
      </w:r>
      <w:r w:rsidRPr="00E02566">
        <w:t>x</w:t>
      </w:r>
      <w:r w:rsidR="00C95882">
        <w:t xml:space="preserve"> </w:t>
      </w:r>
      <w:r w:rsidRPr="00E02566">
        <w:t>10</w:t>
      </w:r>
      <w:r>
        <w:t> </w:t>
      </w:r>
      <w:r w:rsidRPr="00E02566">
        <w:t xml:space="preserve">MHz </w:t>
      </w:r>
      <w:r>
        <w:t xml:space="preserve">lot </w:t>
      </w:r>
      <w:r w:rsidRPr="00E02566">
        <w:t>(</w:t>
      </w:r>
      <w:r>
        <w:t xml:space="preserve">frequency ranges </w:t>
      </w:r>
      <w:r w:rsidRPr="00E02566">
        <w:t>1995</w:t>
      </w:r>
      <w:r w:rsidR="00C95882">
        <w:t>–</w:t>
      </w:r>
      <w:r w:rsidRPr="00E02566">
        <w:t xml:space="preserve">2005 MHz </w:t>
      </w:r>
      <w:r>
        <w:t xml:space="preserve">for the uplink </w:t>
      </w:r>
      <w:r w:rsidRPr="00E02566">
        <w:t>and 2185</w:t>
      </w:r>
      <w:r w:rsidR="00C95882">
        <w:t>–</w:t>
      </w:r>
      <w:r w:rsidRPr="00E02566">
        <w:t>2195 MHz</w:t>
      </w:r>
      <w:r>
        <w:t xml:space="preserve"> for the downlink</w:t>
      </w:r>
      <w:r w:rsidRPr="00E02566">
        <w:t xml:space="preserve">) </w:t>
      </w:r>
    </w:p>
    <w:p w14:paraId="723ADD4C" w14:textId="3B76D422" w:rsidR="00C223EE" w:rsidRDefault="00C223EE" w:rsidP="00C223EE">
      <w:pPr>
        <w:pStyle w:val="Numberlistlast"/>
      </w:pPr>
      <w:r>
        <w:t>Five</w:t>
      </w:r>
      <w:r w:rsidRPr="00E02566">
        <w:t xml:space="preserve"> generic 2</w:t>
      </w:r>
      <w:r w:rsidR="00C95882">
        <w:t xml:space="preserve"> </w:t>
      </w:r>
      <w:r w:rsidRPr="00E02566">
        <w:t>x</w:t>
      </w:r>
      <w:r w:rsidR="00C95882">
        <w:t xml:space="preserve"> </w:t>
      </w:r>
      <w:r w:rsidRPr="00E02566">
        <w:t>5 MHz lot</w:t>
      </w:r>
      <w:r>
        <w:t>s (including an uplink and a downlink).</w:t>
      </w:r>
    </w:p>
    <w:p w14:paraId="5748B2CE" w14:textId="714D12C5" w:rsidR="00C223EE" w:rsidRDefault="00C223EE" w:rsidP="00C223EE">
      <w:pPr>
        <w:pStyle w:val="Figureheading"/>
      </w:pPr>
      <w:r>
        <w:t>Lot configuration options</w:t>
      </w:r>
    </w:p>
    <w:p w14:paraId="1B006EF7" w14:textId="34D601FC" w:rsidR="00C223EE" w:rsidRDefault="00C223EE" w:rsidP="00C223EE">
      <w:pPr>
        <w:pStyle w:val="Numberedparagraph"/>
        <w:numPr>
          <w:ilvl w:val="0"/>
          <w:numId w:val="0"/>
        </w:numPr>
        <w:spacing w:after="240" w:line="280" w:lineRule="atLeast"/>
      </w:pPr>
      <w:r>
        <w:rPr>
          <w:noProof/>
        </w:rPr>
        <w:drawing>
          <wp:inline distT="0" distB="0" distL="0" distR="0" wp14:anchorId="3CCD5FD2" wp14:editId="0AE96CC8">
            <wp:extent cx="5509896" cy="1864360"/>
            <wp:effectExtent l="0" t="0" r="14605" b="2540"/>
            <wp:docPr id="894735974" name="Picture 2" descr="Two lot configuration options. Option 1 presents a 2x15 MHz lot with frequency ranges 1980-1995 for the uplink and 2170-2185 MHz for the downlink, and a 2x10 MHz lot with frequency ranges of 1995-2005 MHz for the uplink and 2185-2195 MHz for the downlink. Option 2 presents five generic 2x5 MHz lots (including an uplink and down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35974" name="Picture 2" descr="Two lot configuration options. Option 1 presents a 2x15 MHz lot with frequency ranges 1980-1995 for the uplink and 2170-2185 MHz for the downlink, and a 2x10 MHz lot with frequency ranges of 1995-2005 MHz for the uplink and 2185-2195 MHz for the downlink. Option 2 presents five generic 2x5 MHz lots (including an uplink and downlink). "/>
                    <pic:cNvPicPr/>
                  </pic:nvPicPr>
                  <pic:blipFill>
                    <a:blip r:embed="rId34">
                      <a:extLst>
                        <a:ext uri="{28A0092B-C50C-407E-A947-70E740481C1C}">
                          <a14:useLocalDpi xmlns:a14="http://schemas.microsoft.com/office/drawing/2010/main" val="0"/>
                        </a:ext>
                      </a:extLst>
                    </a:blip>
                    <a:stretch>
                      <a:fillRect/>
                    </a:stretch>
                  </pic:blipFill>
                  <pic:spPr>
                    <a:xfrm>
                      <a:off x="0" y="0"/>
                      <a:ext cx="5509896" cy="1864360"/>
                    </a:xfrm>
                    <a:prstGeom prst="rect">
                      <a:avLst/>
                    </a:prstGeom>
                  </pic:spPr>
                </pic:pic>
              </a:graphicData>
            </a:graphic>
          </wp:inline>
        </w:drawing>
      </w:r>
    </w:p>
    <w:p w14:paraId="7AADC34F" w14:textId="5E2642AC" w:rsidR="00C223EE" w:rsidRDefault="00C223EE" w:rsidP="00C223EE">
      <w:pPr>
        <w:pStyle w:val="Numberedparagraph"/>
        <w:numPr>
          <w:ilvl w:val="0"/>
          <w:numId w:val="0"/>
        </w:numPr>
        <w:spacing w:after="240" w:line="280" w:lineRule="atLeast"/>
      </w:pPr>
      <w:r>
        <w:t>As set out above, space receive licences are proposed to be issued in the 1980</w:t>
      </w:r>
      <w:r w:rsidR="00C95882">
        <w:t>–</w:t>
      </w:r>
      <w:r>
        <w:t>2005 MHz frequency range, and space licences are proposed to be allocated in the 2170</w:t>
      </w:r>
      <w:r w:rsidR="00C95882">
        <w:t>–</w:t>
      </w:r>
      <w:r>
        <w:t>2195 MHz frequency range. W</w:t>
      </w:r>
      <w:r w:rsidRPr="00A37268">
        <w:t>e can allocate space licences though an administrative or price-based allocations, but we can only allocate space receive licences administratively. For the purposes of this discussion, we have described the spectrum as paired and explain options for dealing with this issue later</w:t>
      </w:r>
      <w:r>
        <w:t xml:space="preserve"> in this consultation paper.</w:t>
      </w:r>
    </w:p>
    <w:p w14:paraId="772A95C6" w14:textId="77777777" w:rsidR="00C223EE" w:rsidRDefault="00C223EE" w:rsidP="00C223EE">
      <w:pPr>
        <w:pStyle w:val="Numberedparagraph"/>
        <w:numPr>
          <w:ilvl w:val="0"/>
          <w:numId w:val="0"/>
        </w:numPr>
        <w:spacing w:after="240" w:line="280" w:lineRule="atLeast"/>
      </w:pPr>
      <w:r>
        <w:t xml:space="preserve">We are still considering which of these 2 options is the most appropriate lot configuration. </w:t>
      </w:r>
    </w:p>
    <w:p w14:paraId="37C0B24F" w14:textId="35ED238A" w:rsidR="00C223EE" w:rsidRDefault="00C223EE" w:rsidP="00C223EE">
      <w:pPr>
        <w:pStyle w:val="Numberedparagraph"/>
        <w:numPr>
          <w:ilvl w:val="0"/>
          <w:numId w:val="0"/>
        </w:numPr>
        <w:spacing w:after="240" w:line="280" w:lineRule="atLeast"/>
      </w:pPr>
      <w:r>
        <w:t xml:space="preserve">In response to previous consultation, most stakeholders showed some support for one of the options, with a majority supporting option 1. </w:t>
      </w:r>
    </w:p>
    <w:p w14:paraId="76855165" w14:textId="555C2A45" w:rsidR="00C223EE" w:rsidRPr="00E80CA9" w:rsidRDefault="00C223EE" w:rsidP="00C95882">
      <w:pPr>
        <w:pStyle w:val="Paragraph"/>
      </w:pPr>
      <w:r>
        <w:lastRenderedPageBreak/>
        <w:t>In addition to the options presented, one submission suggested 2</w:t>
      </w:r>
      <w:r w:rsidR="00C95882">
        <w:t xml:space="preserve"> </w:t>
      </w:r>
      <w:r>
        <w:t>x</w:t>
      </w:r>
      <w:r w:rsidR="00C95882">
        <w:t xml:space="preserve"> </w:t>
      </w:r>
      <w:r>
        <w:t>1 MHz lots for a portion of the band, stating that this will be useful for IoT and similar use-cases that require a small bandwidth. There appears to be little demand for this configuration among stakeholders. While it may support low bandwidth IoT applications, 2</w:t>
      </w:r>
      <w:r w:rsidR="00C95882">
        <w:t xml:space="preserve"> </w:t>
      </w:r>
      <w:r>
        <w:t>x</w:t>
      </w:r>
      <w:r w:rsidR="00C95882">
        <w:t xml:space="preserve"> </w:t>
      </w:r>
      <w:r>
        <w:t xml:space="preserve">1 MHz lots are unlikely to support other MSS applications. </w:t>
      </w:r>
      <w:r w:rsidR="00C95882">
        <w:t>O</w:t>
      </w:r>
      <w:r>
        <w:t>ne of our design objectives is to align</w:t>
      </w:r>
      <w:r w:rsidRPr="00E311CC">
        <w:t xml:space="preserve"> </w:t>
      </w:r>
      <w:r w:rsidRPr="00BA1BBE">
        <w:t>the technical framework for</w:t>
      </w:r>
      <w:r>
        <w:t xml:space="preserve"> the</w:t>
      </w:r>
      <w:r w:rsidRPr="00BA1BBE">
        <w:t xml:space="preserve"> 2 GHz MSS band with the</w:t>
      </w:r>
      <w:r>
        <w:t xml:space="preserve"> adjacent</w:t>
      </w:r>
      <w:r w:rsidRPr="00BA1BBE">
        <w:t xml:space="preserve"> 2 GHz spectrum licensing framework</w:t>
      </w:r>
      <w:r>
        <w:t xml:space="preserve"> wh</w:t>
      </w:r>
      <w:r w:rsidRPr="00BA1BBE">
        <w:t>ere possible</w:t>
      </w:r>
      <w:r>
        <w:t xml:space="preserve"> to</w:t>
      </w:r>
      <w:r w:rsidRPr="00BA1BBE">
        <w:t xml:space="preserve"> facilitate coexistence with adjacent 2 GHz spectrum licensed services</w:t>
      </w:r>
      <w:r>
        <w:t xml:space="preserve">. We consider that this requires a minimum channel bandwidth of 5 MHz and so do not see a need for lot sizes of less than 5 </w:t>
      </w:r>
      <w:r w:rsidDel="00CF6AB1">
        <w:t>MHz</w:t>
      </w:r>
      <w:r w:rsidDel="00544D39">
        <w:t>.</w:t>
      </w:r>
    </w:p>
    <w:p w14:paraId="73908194" w14:textId="4B721222" w:rsidR="00C223EE" w:rsidRPr="002E426D" w:rsidRDefault="00C223EE" w:rsidP="00C223EE">
      <w:pPr>
        <w:pStyle w:val="Numberedparagraph"/>
        <w:numPr>
          <w:ilvl w:val="0"/>
          <w:numId w:val="0"/>
        </w:numPr>
        <w:spacing w:after="240" w:line="280" w:lineRule="atLeast"/>
      </w:pPr>
      <w:r w:rsidRPr="002E426D">
        <w:t xml:space="preserve">Some submissions also advocated for shared use of the spectrum. Consistent with </w:t>
      </w:r>
      <w:r w:rsidR="00BC0E71">
        <w:t>our</w:t>
      </w:r>
      <w:r w:rsidRPr="002E426D">
        <w:t xml:space="preserve"> planning decision, we are not contemplating shared use for the 2 GHz MSS band. ‘Shared’ use in this context refers to multiple apparatus licences authorising the operation of stations on the same, or very close, frequencies. This is due to the way that 2 GHz MSS work. </w:t>
      </w:r>
    </w:p>
    <w:p w14:paraId="09C80E91" w14:textId="77777777" w:rsidR="00C223EE" w:rsidRPr="002E426D" w:rsidRDefault="00C223EE" w:rsidP="00C223EE">
      <w:pPr>
        <w:pStyle w:val="Numberedparagraph"/>
        <w:numPr>
          <w:ilvl w:val="0"/>
          <w:numId w:val="0"/>
        </w:numPr>
        <w:spacing w:after="240" w:line="280" w:lineRule="atLeast"/>
      </w:pPr>
      <w:r w:rsidRPr="002E426D">
        <w:t>The way user terminals in 2 GHz MSS typically operate is by using omni-directional antennas. This means that user terminals can receive signals from other satellite systems operating on the same frequency, and similarly, satellite receivers can receive signals from user terminals transmitting in other satellite systems operating on the same frequency. Consequently, interference management between MSS systems is largely focused on band segmentation (segmenting the band between different operators).</w:t>
      </w:r>
    </w:p>
    <w:p w14:paraId="5AE397A2" w14:textId="67EEE0C8" w:rsidR="00C223EE" w:rsidRDefault="00BC0E71" w:rsidP="00C223EE">
      <w:pPr>
        <w:pStyle w:val="Numberedparagraph"/>
        <w:numPr>
          <w:ilvl w:val="0"/>
          <w:numId w:val="0"/>
        </w:numPr>
        <w:spacing w:after="240" w:line="280" w:lineRule="atLeast"/>
      </w:pPr>
      <w:r>
        <w:t>W</w:t>
      </w:r>
      <w:r w:rsidR="00C223EE" w:rsidRPr="002E426D">
        <w:t>e propose to issue licences to authorise the operation of space stations on unique frequencies, rather than on a shared basis using common frequencies. We have already introduced arrangements for a segment of the 2 GHz band to be used on a shared basis to support operation of stations Australia-wide for narrowband MSS in 2005–2010 MHz and 2195–2200 MHz (a bandwidth of 2</w:t>
      </w:r>
      <w:r>
        <w:t xml:space="preserve"> </w:t>
      </w:r>
      <w:r w:rsidR="00C223EE" w:rsidRPr="002E426D">
        <w:t>x</w:t>
      </w:r>
      <w:r>
        <w:t xml:space="preserve"> </w:t>
      </w:r>
      <w:r w:rsidR="00C223EE" w:rsidRPr="002E426D">
        <w:t xml:space="preserve">5 MHz). This is for use by services such as telemetry, short messaging, and </w:t>
      </w:r>
      <w:r w:rsidR="00C223EE" w:rsidRPr="002E426D" w:rsidDel="002E6627">
        <w:t>low</w:t>
      </w:r>
      <w:r w:rsidR="00C223EE" w:rsidRPr="002E426D">
        <w:t>-data-rate services (for example</w:t>
      </w:r>
      <w:r>
        <w:t>,</w:t>
      </w:r>
      <w:r w:rsidR="00C223EE" w:rsidRPr="002E426D">
        <w:t xml:space="preserve"> satellite IoT applications). </w:t>
      </w:r>
    </w:p>
    <w:p w14:paraId="683CFC37" w14:textId="7DD80230" w:rsidR="00C223EE" w:rsidRDefault="00C223EE" w:rsidP="00C223EE">
      <w:pPr>
        <w:pStyle w:val="Paragraph"/>
      </w:pPr>
      <w:r>
        <w:t xml:space="preserve">Lot configuration will inform the auction format for the space licences. In preparing submissions on preferred lot configuration, stakeholders may wish to consider the </w:t>
      </w:r>
      <w:r w:rsidR="00BC0E71">
        <w:br/>
      </w:r>
      <w:r w:rsidRPr="0064694C">
        <w:t>auction</w:t>
      </w:r>
      <w:r>
        <w:t xml:space="preserve"> formats that may be used. The </w:t>
      </w:r>
      <w:hyperlink w:anchor="_Auction_format" w:history="1">
        <w:r w:rsidRPr="00BC0E71">
          <w:rPr>
            <w:rStyle w:val="Hyperlink"/>
          </w:rPr>
          <w:t>auction format</w:t>
        </w:r>
      </w:hyperlink>
      <w:r>
        <w:t xml:space="preserve"> options are </w:t>
      </w:r>
      <w:r w:rsidRPr="000F5081">
        <w:t>discussed below.</w:t>
      </w:r>
      <w:r>
        <w:t xml:space="preserve"> </w:t>
      </w:r>
    </w:p>
    <w:p w14:paraId="06A4A612" w14:textId="69B264D4" w:rsidR="00C223EE" w:rsidRDefault="00C223EE" w:rsidP="00C223EE">
      <w:pPr>
        <w:pStyle w:val="Heading3"/>
      </w:pPr>
      <w:bookmarkStart w:id="29" w:name="_Toc202867815"/>
      <w:r>
        <w:t>Option 1: 2</w:t>
      </w:r>
      <w:r w:rsidR="00BC0E71">
        <w:t xml:space="preserve"> </w:t>
      </w:r>
      <w:r>
        <w:t>x</w:t>
      </w:r>
      <w:r w:rsidR="00BC0E71">
        <w:t xml:space="preserve"> </w:t>
      </w:r>
      <w:r>
        <w:t>15 MHz and 2</w:t>
      </w:r>
      <w:r w:rsidR="00BC0E71">
        <w:t xml:space="preserve"> </w:t>
      </w:r>
      <w:r>
        <w:t>x</w:t>
      </w:r>
      <w:r w:rsidR="00BC0E71">
        <w:t xml:space="preserve"> </w:t>
      </w:r>
      <w:r>
        <w:t>10 MHz at fixed frequency locations</w:t>
      </w:r>
      <w:bookmarkEnd w:id="29"/>
    </w:p>
    <w:p w14:paraId="7583BD14" w14:textId="1CD648F7" w:rsidR="00C223EE" w:rsidRDefault="00C223EE" w:rsidP="00C223EE">
      <w:pPr>
        <w:pStyle w:val="Numberedparagraph"/>
        <w:numPr>
          <w:ilvl w:val="0"/>
          <w:numId w:val="0"/>
        </w:numPr>
        <w:spacing w:after="240" w:line="280" w:lineRule="atLeast"/>
      </w:pPr>
      <w:r>
        <w:t xml:space="preserve">This option reflects the views expressed in </w:t>
      </w:r>
      <w:r w:rsidR="00BC0E71">
        <w:t>most</w:t>
      </w:r>
      <w:r>
        <w:t xml:space="preserve"> submissions. Some submissions indicated that </w:t>
      </w:r>
      <w:r w:rsidRPr="00720669">
        <w:t>a minimum of 2</w:t>
      </w:r>
      <w:r w:rsidR="00BC0E71">
        <w:t xml:space="preserve"> </w:t>
      </w:r>
      <w:r w:rsidRPr="00720669">
        <w:t>x</w:t>
      </w:r>
      <w:r w:rsidR="00BC0E71">
        <w:t xml:space="preserve"> </w:t>
      </w:r>
      <w:r w:rsidRPr="00720669">
        <w:t>10</w:t>
      </w:r>
      <w:r>
        <w:t> </w:t>
      </w:r>
      <w:r w:rsidRPr="00720669">
        <w:t>MHz would be required</w:t>
      </w:r>
      <w:r>
        <w:t xml:space="preserve"> to make MSS viable, and some stated further that 2</w:t>
      </w:r>
      <w:r w:rsidR="00BC0E71">
        <w:t xml:space="preserve"> </w:t>
      </w:r>
      <w:r>
        <w:t>x</w:t>
      </w:r>
      <w:r w:rsidR="00BC0E71">
        <w:t xml:space="preserve"> </w:t>
      </w:r>
      <w:r>
        <w:t xml:space="preserve">15 MHz would be needed to meet </w:t>
      </w:r>
      <w:r w:rsidRPr="002407FD">
        <w:t xml:space="preserve">future </w:t>
      </w:r>
      <w:r>
        <w:t>requirements for MSS as demand increases. This option inhibits this spectrum from being configured in a way that may not be optimal for MSS and may better support a wider range of MSS use-cases, particularly those that require larger bandwidths. It is also consistent with current international arrangements in the band (although we note this is under review in Europe and the United Kingdom), in which the 2</w:t>
      </w:r>
      <w:r w:rsidR="00BC0E71">
        <w:t xml:space="preserve"> </w:t>
      </w:r>
      <w:r>
        <w:t>x</w:t>
      </w:r>
      <w:r w:rsidR="00BC0E71">
        <w:t xml:space="preserve"> </w:t>
      </w:r>
      <w:r>
        <w:t xml:space="preserve">15 MHz lot occupies the lower part of the 2 GHz </w:t>
      </w:r>
      <w:r w:rsidRPr="00B1638F">
        <w:t>MSS</w:t>
      </w:r>
      <w:r>
        <w:t xml:space="preserve"> band and the 2</w:t>
      </w:r>
      <w:r w:rsidR="00BC0E71">
        <w:t xml:space="preserve"> </w:t>
      </w:r>
      <w:r>
        <w:t>x</w:t>
      </w:r>
      <w:r w:rsidR="00BC0E71">
        <w:t xml:space="preserve"> </w:t>
      </w:r>
      <w:r>
        <w:t>10 MHz lot occupies the upper parts.</w:t>
      </w:r>
    </w:p>
    <w:p w14:paraId="59F99F7A" w14:textId="58E4BE1F" w:rsidR="00C223EE" w:rsidRDefault="00C223EE" w:rsidP="00C223EE">
      <w:pPr>
        <w:pStyle w:val="Numberedparagraph"/>
        <w:numPr>
          <w:ilvl w:val="0"/>
          <w:numId w:val="0"/>
        </w:numPr>
        <w:spacing w:after="240" w:line="280" w:lineRule="atLeast"/>
      </w:pPr>
      <w:r>
        <w:t xml:space="preserve">In the event of a price-based allocation, this option allows for the simplest </w:t>
      </w:r>
      <w:hyperlink w:anchor="_Auction_format" w:history="1">
        <w:r w:rsidRPr="00BC0E71">
          <w:rPr>
            <w:rStyle w:val="Hyperlink"/>
          </w:rPr>
          <w:t>auction format</w:t>
        </w:r>
      </w:hyperlink>
      <w:r>
        <w:t xml:space="preserve">, </w:t>
      </w:r>
      <w:r w:rsidRPr="000F5081">
        <w:t xml:space="preserve">and best facilitates a possible pre-determined price allocation (see </w:t>
      </w:r>
      <w:hyperlink w:anchor="_Allocation_methodology" w:history="1">
        <w:r w:rsidRPr="00BC0E71">
          <w:rPr>
            <w:rStyle w:val="Hyperlink"/>
          </w:rPr>
          <w:t>Allocation methodology</w:t>
        </w:r>
      </w:hyperlink>
      <w:r w:rsidRPr="000F5081">
        <w:t xml:space="preserve"> below</w:t>
      </w:r>
      <w:r>
        <w:t>).</w:t>
      </w:r>
    </w:p>
    <w:p w14:paraId="5867E4DC" w14:textId="1ED9945C" w:rsidR="00C223EE" w:rsidRPr="007129CF" w:rsidRDefault="00C223EE" w:rsidP="00C223EE">
      <w:pPr>
        <w:pStyle w:val="Numberedparagraph"/>
        <w:numPr>
          <w:ilvl w:val="0"/>
          <w:numId w:val="0"/>
        </w:numPr>
        <w:spacing w:after="240" w:line="280" w:lineRule="atLeast"/>
      </w:pPr>
      <w:r>
        <w:t>Under this option, only 2 lots would be available</w:t>
      </w:r>
      <w:r w:rsidRPr="00400E60">
        <w:t xml:space="preserve"> </w:t>
      </w:r>
      <w:r w:rsidRPr="00C05402">
        <w:t>in the allocation process</w:t>
      </w:r>
      <w:r>
        <w:t xml:space="preserve">. </w:t>
      </w:r>
      <w:r w:rsidR="00BC0E71">
        <w:t>T</w:t>
      </w:r>
      <w:r>
        <w:t xml:space="preserve">his option would only accommodate up to 2 </w:t>
      </w:r>
      <w:r w:rsidRPr="00C05402">
        <w:t>transmitter</w:t>
      </w:r>
      <w:r>
        <w:t xml:space="preserve"> licensees under the space licences in the 2 GHz MSS </w:t>
      </w:r>
      <w:r>
        <w:lastRenderedPageBreak/>
        <w:t>band.</w:t>
      </w:r>
      <w:r>
        <w:rPr>
          <w:rStyle w:val="FootnoteReference"/>
        </w:rPr>
        <w:footnoteReference w:id="20"/>
      </w:r>
      <w:r>
        <w:t xml:space="preserve"> This configuration would make it likely that spectrum would be fully allocated, reducing the risk of spectrum going fallow. However, this comes at </w:t>
      </w:r>
      <w:r w:rsidRPr="00AC232B">
        <w:t>the expense of smaller lots, which might be more desirable to a broader range of users</w:t>
      </w:r>
      <w:r>
        <w:t xml:space="preserve">. </w:t>
      </w:r>
    </w:p>
    <w:p w14:paraId="24C3A816" w14:textId="5FA4E78F" w:rsidR="00C223EE" w:rsidRDefault="00C223EE" w:rsidP="00C223EE">
      <w:pPr>
        <w:pStyle w:val="Heading3"/>
      </w:pPr>
      <w:bookmarkStart w:id="30" w:name="_Toc202867816"/>
      <w:r>
        <w:t>Option 2: 5 generic 2</w:t>
      </w:r>
      <w:r w:rsidR="00BC0E71">
        <w:t xml:space="preserve"> </w:t>
      </w:r>
      <w:r>
        <w:t>x</w:t>
      </w:r>
      <w:r w:rsidR="00BC0E71">
        <w:t xml:space="preserve"> </w:t>
      </w:r>
      <w:r>
        <w:t>5 MHz lots</w:t>
      </w:r>
      <w:bookmarkEnd w:id="30"/>
    </w:p>
    <w:p w14:paraId="01141782" w14:textId="77777777" w:rsidR="00C223EE" w:rsidRDefault="00C223EE" w:rsidP="00C223EE">
      <w:pPr>
        <w:pStyle w:val="Numberedparagraph"/>
        <w:numPr>
          <w:ilvl w:val="0"/>
          <w:numId w:val="0"/>
        </w:numPr>
        <w:spacing w:after="240" w:line="280" w:lineRule="atLeast"/>
      </w:pPr>
      <w:r w:rsidRPr="00E04945">
        <w:t xml:space="preserve">This option reflects the views expressed in </w:t>
      </w:r>
      <w:r>
        <w:t>a portion</w:t>
      </w:r>
      <w:r w:rsidRPr="00E04945">
        <w:t xml:space="preserve"> of submissions</w:t>
      </w:r>
      <w:r w:rsidRPr="00326BF1">
        <w:t>. Some of these submitters preferred shared use in part of the band or had an interest in smaller bandwidths. By</w:t>
      </w:r>
      <w:r>
        <w:t xml:space="preserve"> providing for more lots, this option promotes competition and allows for a variety of use-cases that larger lots may not be needed for. It also </w:t>
      </w:r>
      <w:r w:rsidRPr="00682446">
        <w:t>provides flexibility in expressing different levels of demand</w:t>
      </w:r>
      <w:r>
        <w:t xml:space="preserve"> and allows the market to decide the optimal configuration</w:t>
      </w:r>
      <w:r w:rsidRPr="00682446">
        <w:t xml:space="preserve">. </w:t>
      </w:r>
    </w:p>
    <w:p w14:paraId="7AD67C96" w14:textId="7BF79966" w:rsidR="00C223EE" w:rsidRDefault="00C223EE" w:rsidP="00C223EE">
      <w:pPr>
        <w:pStyle w:val="Numberedparagraph"/>
        <w:numPr>
          <w:ilvl w:val="0"/>
          <w:numId w:val="0"/>
        </w:numPr>
        <w:spacing w:after="240" w:line="280" w:lineRule="atLeast"/>
      </w:pPr>
      <w:r>
        <w:t xml:space="preserve">This configuration provides for up to 5 </w:t>
      </w:r>
      <w:r w:rsidRPr="00C35B20">
        <w:t>transmitter</w:t>
      </w:r>
      <w:r>
        <w:t xml:space="preserve"> licensees under space licences </w:t>
      </w:r>
      <w:r w:rsidRPr="00C35B20">
        <w:t>in the 2</w:t>
      </w:r>
      <w:r>
        <w:t> </w:t>
      </w:r>
      <w:r w:rsidRPr="00C35B20">
        <w:t>GHz MSS band</w:t>
      </w:r>
      <w:r>
        <w:t>.</w:t>
      </w:r>
      <w:r>
        <w:rPr>
          <w:rStyle w:val="FootnoteReference"/>
        </w:rPr>
        <w:footnoteReference w:id="21"/>
      </w:r>
      <w:r>
        <w:t xml:space="preserve"> </w:t>
      </w:r>
      <w:r w:rsidRPr="00220FFA">
        <w:t xml:space="preserve">If the </w:t>
      </w:r>
      <w:r>
        <w:t>space</w:t>
      </w:r>
      <w:r w:rsidRPr="00220FFA">
        <w:t xml:space="preserve"> licences are allocated by auction, bidders </w:t>
      </w:r>
      <w:r w:rsidRPr="00682446">
        <w:t>can express demand for</w:t>
      </w:r>
      <w:r>
        <w:t>,</w:t>
      </w:r>
      <w:r w:rsidRPr="00682446">
        <w:t xml:space="preserve"> and </w:t>
      </w:r>
      <w:r w:rsidRPr="00F538D9">
        <w:t>potentially be issued</w:t>
      </w:r>
      <w:r>
        <w:t>,</w:t>
      </w:r>
      <w:r w:rsidRPr="00682446">
        <w:t xml:space="preserve"> licences for any quantity of spectrum in 5</w:t>
      </w:r>
      <w:r>
        <w:t> </w:t>
      </w:r>
      <w:r w:rsidRPr="00682446">
        <w:t>MHz increments</w:t>
      </w:r>
      <w:r>
        <w:t xml:space="preserve">, including 10 MHz or 15 MHz as described in option 1, that may be needed to support their use-case. Additionally, a bidder may avoid </w:t>
      </w:r>
      <w:r w:rsidRPr="00220FFA">
        <w:t>being issued a licence for</w:t>
      </w:r>
      <w:r>
        <w:t xml:space="preserve"> only 5 MHz if it is uneconomical for their use-case by using the minimum spectrum requirement (MSR) feature in an auction (</w:t>
      </w:r>
      <w:r w:rsidRPr="000F5081">
        <w:t xml:space="preserve">see </w:t>
      </w:r>
      <w:hyperlink w:anchor="_Auction_format" w:history="1">
        <w:r w:rsidRPr="00BC0E71">
          <w:rPr>
            <w:rStyle w:val="Hyperlink"/>
          </w:rPr>
          <w:t>Auction format</w:t>
        </w:r>
      </w:hyperlink>
      <w:r w:rsidRPr="000F5081">
        <w:t>). Further</w:t>
      </w:r>
      <w:r>
        <w:t>, i</w:t>
      </w:r>
      <w:r w:rsidRPr="00947B5B">
        <w:t xml:space="preserve">n running an auction process, </w:t>
      </w:r>
      <w:r w:rsidRPr="00BF4CD8">
        <w:t xml:space="preserve">we typically </w:t>
      </w:r>
      <w:r w:rsidR="00BC0E71" w:rsidRPr="00BF4CD8">
        <w:t>prefer</w:t>
      </w:r>
      <w:r w:rsidRPr="00BF4CD8">
        <w:t xml:space="preserve"> lots to have an equal bandwidth. </w:t>
      </w:r>
    </w:p>
    <w:p w14:paraId="07E14497" w14:textId="325D6D6B" w:rsidR="00C223EE" w:rsidRDefault="00C223EE" w:rsidP="00C223EE">
      <w:pPr>
        <w:pStyle w:val="Numberedparagraph"/>
        <w:numPr>
          <w:ilvl w:val="0"/>
          <w:numId w:val="0"/>
        </w:numPr>
        <w:spacing w:after="240" w:line="280" w:lineRule="atLeast"/>
      </w:pPr>
      <w:r>
        <w:t>There are uncertainties around demand for a single 2</w:t>
      </w:r>
      <w:r w:rsidR="00BC0E71">
        <w:t xml:space="preserve"> </w:t>
      </w:r>
      <w:r>
        <w:t>x</w:t>
      </w:r>
      <w:r w:rsidR="00BC0E71">
        <w:t xml:space="preserve"> </w:t>
      </w:r>
      <w:r>
        <w:t xml:space="preserve">5 MHz lot. As such, this option </w:t>
      </w:r>
      <w:r w:rsidRPr="004F299C">
        <w:t>carries a higher risk of unsold lots</w:t>
      </w:r>
      <w:r>
        <w:t>, which may be inconsistent with the objects of the Act</w:t>
      </w:r>
      <w:r w:rsidRPr="004F299C">
        <w:t>.</w:t>
      </w:r>
      <w:r>
        <w:t xml:space="preserve"> </w:t>
      </w:r>
      <w:r w:rsidR="00BC0E71">
        <w:t>It</w:t>
      </w:r>
      <w:r>
        <w:t xml:space="preserve"> may not promote the long-term public interest.</w:t>
      </w:r>
      <w:r w:rsidRPr="004F299C">
        <w:t xml:space="preserve"> </w:t>
      </w:r>
    </w:p>
    <w:p w14:paraId="68110A21" w14:textId="77777777" w:rsidR="00C223EE" w:rsidRPr="00607A16" w:rsidRDefault="00C223EE" w:rsidP="00C223EE">
      <w:pPr>
        <w:pStyle w:val="Executivesummarysubheading"/>
        <w:spacing w:after="0"/>
      </w:pPr>
      <w:r w:rsidRPr="00607A16">
        <w:t>ACMA’s preliminary view: Lot configuration</w:t>
      </w:r>
    </w:p>
    <w:p w14:paraId="70BE7372" w14:textId="42EF7DF1" w:rsidR="00C223EE" w:rsidRDefault="00C223EE" w:rsidP="00C223EE">
      <w:pPr>
        <w:pStyle w:val="Paragraph"/>
      </w:pPr>
      <w:r w:rsidRPr="008556B1">
        <w:t>O</w:t>
      </w:r>
      <w:r>
        <w:t>n balance, o</w:t>
      </w:r>
      <w:r w:rsidRPr="008556B1">
        <w:t>ur preliminary view is to allocate the spectrum in a 2</w:t>
      </w:r>
      <w:r w:rsidR="00BC0E71">
        <w:t xml:space="preserve"> </w:t>
      </w:r>
      <w:r w:rsidRPr="008556B1">
        <w:t>x</w:t>
      </w:r>
      <w:r w:rsidR="00BC0E71">
        <w:t xml:space="preserve"> </w:t>
      </w:r>
      <w:r w:rsidRPr="008556B1">
        <w:t>15 MHz and 2</w:t>
      </w:r>
      <w:r w:rsidR="00BC0E71">
        <w:t xml:space="preserve"> </w:t>
      </w:r>
      <w:r w:rsidRPr="008556B1">
        <w:t>x</w:t>
      </w:r>
      <w:r w:rsidR="00BC0E71">
        <w:t xml:space="preserve"> </w:t>
      </w:r>
      <w:r w:rsidRPr="008556B1">
        <w:t>10 MHz configuration</w:t>
      </w:r>
      <w:r>
        <w:t xml:space="preserve"> in fixed frequency ranges</w:t>
      </w:r>
      <w:r w:rsidRPr="008556B1">
        <w:t xml:space="preserve">. </w:t>
      </w:r>
    </w:p>
    <w:p w14:paraId="555FC5FD" w14:textId="5FB88122" w:rsidR="00C223EE" w:rsidRPr="00272A8B" w:rsidRDefault="00C223EE" w:rsidP="00C223EE">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31" w:name="_Toc202867817"/>
      <w:r w:rsidRPr="00272A8B">
        <w:t xml:space="preserve">Issue for comment </w:t>
      </w:r>
      <w:r>
        <w:t>3</w:t>
      </w:r>
      <w:bookmarkEnd w:id="31"/>
    </w:p>
    <w:p w14:paraId="563B5233" w14:textId="0E57B9B2" w:rsidR="00C223EE" w:rsidRDefault="00C223EE" w:rsidP="00C223EE">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1F38A5">
        <w:t>We invite comments from stakeholders on our preliminary view, and whether fixed frequency ranges for option 1 remain suitable. In relation to 2</w:t>
      </w:r>
      <w:r w:rsidR="00BC0E71">
        <w:t xml:space="preserve"> </w:t>
      </w:r>
      <w:r w:rsidRPr="001F38A5">
        <w:t>x</w:t>
      </w:r>
      <w:r w:rsidR="00BC0E71">
        <w:t xml:space="preserve"> </w:t>
      </w:r>
      <w:r w:rsidRPr="001F38A5">
        <w:t>5 MHz lots, we seek feedback on the level of interest in single 2</w:t>
      </w:r>
      <w:r w:rsidR="00BC0E71">
        <w:t xml:space="preserve"> </w:t>
      </w:r>
      <w:r w:rsidRPr="001F38A5">
        <w:t>x</w:t>
      </w:r>
      <w:r w:rsidR="00BC0E71">
        <w:t xml:space="preserve"> </w:t>
      </w:r>
      <w:r w:rsidRPr="001F38A5">
        <w:t>5 MHz lots and the intended use-case for a single 2</w:t>
      </w:r>
      <w:r w:rsidR="00BC0E71">
        <w:t xml:space="preserve"> </w:t>
      </w:r>
      <w:r w:rsidRPr="001F38A5">
        <w:t>x</w:t>
      </w:r>
      <w:r w:rsidR="00BC0E71">
        <w:t xml:space="preserve"> </w:t>
      </w:r>
      <w:r w:rsidRPr="001F38A5">
        <w:t>5 MHz lot.</w:t>
      </w:r>
    </w:p>
    <w:p w14:paraId="50C482A7" w14:textId="0C171A95" w:rsidR="008F7C8F" w:rsidRPr="00402D86" w:rsidRDefault="008F7C8F" w:rsidP="008F7C8F">
      <w:pPr>
        <w:pStyle w:val="Heading2"/>
      </w:pPr>
      <w:bookmarkStart w:id="32" w:name="_Allocation_methodology"/>
      <w:bookmarkStart w:id="33" w:name="_Toc202867818"/>
      <w:bookmarkEnd w:id="32"/>
      <w:r w:rsidRPr="00402D86">
        <w:t>Allocation methodology</w:t>
      </w:r>
      <w:bookmarkEnd w:id="33"/>
    </w:p>
    <w:p w14:paraId="1DD514F7" w14:textId="6A7BC6FB" w:rsidR="008F7C8F" w:rsidRDefault="008F7C8F" w:rsidP="008F7C8F">
      <w:pPr>
        <w:pStyle w:val="Numberedparagraph"/>
        <w:numPr>
          <w:ilvl w:val="0"/>
          <w:numId w:val="0"/>
        </w:numPr>
        <w:spacing w:after="240" w:line="280" w:lineRule="atLeast"/>
      </w:pPr>
      <w:r>
        <w:t xml:space="preserve">Under the Act, there are 2 possible methods of allocating </w:t>
      </w:r>
      <w:r w:rsidR="005E604C" w:rsidRPr="00CC287D">
        <w:t>transmitter</w:t>
      </w:r>
      <w:r w:rsidR="005E604C">
        <w:t xml:space="preserve"> </w:t>
      </w:r>
      <w:r>
        <w:t>licences in the 2 GHz MSS band: administrative allocation under section 100 of the Act or price-based allocation under section 106 of the Act. Price-based allocation includes allocation by auction</w:t>
      </w:r>
      <w:r w:rsidR="008E5CB2">
        <w:t xml:space="preserve"> and pre-determined price</w:t>
      </w:r>
      <w:r>
        <w:t>.</w:t>
      </w:r>
    </w:p>
    <w:p w14:paraId="12920879" w14:textId="576F5F4A" w:rsidR="008F7C8F" w:rsidRDefault="008F7C8F" w:rsidP="008F7C8F">
      <w:pPr>
        <w:pStyle w:val="Numberedparagraph"/>
        <w:numPr>
          <w:ilvl w:val="0"/>
          <w:numId w:val="0"/>
        </w:numPr>
        <w:spacing w:after="240" w:line="280" w:lineRule="atLeast"/>
      </w:pPr>
      <w:r w:rsidRPr="001E325B">
        <w:t xml:space="preserve">Submissions </w:t>
      </w:r>
      <w:r w:rsidR="00106794" w:rsidRPr="001E325B">
        <w:t xml:space="preserve">about allocation methodology have been </w:t>
      </w:r>
      <w:r w:rsidRPr="001E325B">
        <w:t>mixed</w:t>
      </w:r>
      <w:r w:rsidR="00A039E5" w:rsidRPr="001E325B">
        <w:t xml:space="preserve">. </w:t>
      </w:r>
      <w:r w:rsidR="00D524DE" w:rsidRPr="001E325B">
        <w:t xml:space="preserve">Some </w:t>
      </w:r>
      <w:r w:rsidR="00CB58D3" w:rsidRPr="001E325B">
        <w:t>support</w:t>
      </w:r>
      <w:r w:rsidR="007D3CDA" w:rsidRPr="001E325B">
        <w:t xml:space="preserve"> </w:t>
      </w:r>
      <w:r w:rsidR="00D13EA4" w:rsidRPr="001E325B">
        <w:t>allocation by</w:t>
      </w:r>
      <w:r w:rsidRPr="001E325B" w:rsidDel="00D13EA4">
        <w:t xml:space="preserve"> </w:t>
      </w:r>
      <w:r w:rsidR="008B7DA9">
        <w:t xml:space="preserve">a </w:t>
      </w:r>
      <w:r w:rsidRPr="001E325B">
        <w:t>price-based method</w:t>
      </w:r>
      <w:r w:rsidR="00D13EA4" w:rsidRPr="001E325B">
        <w:t>,</w:t>
      </w:r>
      <w:r w:rsidRPr="001E325B">
        <w:t xml:space="preserve"> and others</w:t>
      </w:r>
      <w:r w:rsidR="009D2C34" w:rsidRPr="001E325B">
        <w:t xml:space="preserve">, </w:t>
      </w:r>
      <w:r w:rsidR="00C7688D" w:rsidRPr="001E325B">
        <w:t xml:space="preserve">mostly those </w:t>
      </w:r>
      <w:r w:rsidR="00BF4E73">
        <w:t>that</w:t>
      </w:r>
      <w:r w:rsidR="00BF4E73" w:rsidRPr="001E325B">
        <w:t xml:space="preserve"> </w:t>
      </w:r>
      <w:r w:rsidR="00C7688D" w:rsidRPr="001E325B">
        <w:t>also prefer shared use of parts of the spectrum</w:t>
      </w:r>
      <w:r w:rsidR="009B2DDF" w:rsidRPr="001E325B">
        <w:t xml:space="preserve"> </w:t>
      </w:r>
      <w:r w:rsidR="0084686F" w:rsidRPr="001E325B">
        <w:t>and generally</w:t>
      </w:r>
      <w:r w:rsidR="009B2DDF" w:rsidRPr="001E325B">
        <w:t xml:space="preserve"> those in the satellite industry</w:t>
      </w:r>
      <w:r w:rsidR="00C7688D" w:rsidRPr="001E325B">
        <w:t>,</w:t>
      </w:r>
      <w:r w:rsidRPr="001E325B">
        <w:t xml:space="preserve"> prefer an administrative allocation.</w:t>
      </w:r>
    </w:p>
    <w:p w14:paraId="075BBB0A" w14:textId="2B23CB79" w:rsidR="008F7C8F" w:rsidRDefault="008F7C8F" w:rsidP="008F7C8F">
      <w:pPr>
        <w:pStyle w:val="Numberedparagraph"/>
        <w:numPr>
          <w:ilvl w:val="0"/>
          <w:numId w:val="0"/>
        </w:numPr>
        <w:spacing w:after="240" w:line="280" w:lineRule="atLeast"/>
      </w:pPr>
      <w:r>
        <w:t xml:space="preserve">The following discussion relates only to the allocation of </w:t>
      </w:r>
      <w:r w:rsidR="00892FA1">
        <w:t>space licence</w:t>
      </w:r>
      <w:r w:rsidR="00E10ABC">
        <w:t>s</w:t>
      </w:r>
      <w:r>
        <w:t>. Under section 106</w:t>
      </w:r>
      <w:r w:rsidR="00EB70E2">
        <w:t xml:space="preserve"> of</w:t>
      </w:r>
      <w:r>
        <w:t xml:space="preserve"> the Act, only transmitter licences may be allocated by price-based method. </w:t>
      </w:r>
      <w:r w:rsidR="00A6273A">
        <w:t>We</w:t>
      </w:r>
      <w:r w:rsidRPr="008A1190">
        <w:t xml:space="preserve"> indicated in the </w:t>
      </w:r>
      <w:r w:rsidRPr="007032D8">
        <w:t xml:space="preserve">January 2021 </w:t>
      </w:r>
      <w:r w:rsidR="00A6273A">
        <w:t>o</w:t>
      </w:r>
      <w:r w:rsidRPr="007032D8">
        <w:t>utcomes paper</w:t>
      </w:r>
      <w:r>
        <w:t xml:space="preserve"> </w:t>
      </w:r>
      <w:r w:rsidRPr="008A1190">
        <w:t xml:space="preserve">a preliminary view that </w:t>
      </w:r>
      <w:r w:rsidR="00E26DFF" w:rsidRPr="00453CAD">
        <w:t>it would adopt a policy of issuing</w:t>
      </w:r>
      <w:r w:rsidR="00E26DFF" w:rsidRPr="00E26DFF">
        <w:t xml:space="preserve"> </w:t>
      </w:r>
      <w:r w:rsidRPr="008A1190">
        <w:t>an associated space receive licence in the paired uplink band (1980</w:t>
      </w:r>
      <w:r w:rsidR="00A6273A">
        <w:t>–</w:t>
      </w:r>
      <w:r w:rsidRPr="008A1190">
        <w:t xml:space="preserve">2005 MHz frequency </w:t>
      </w:r>
      <w:r w:rsidRPr="008A1190">
        <w:lastRenderedPageBreak/>
        <w:t xml:space="preserve">range) to winning bidders of a space licence in </w:t>
      </w:r>
      <w:r w:rsidR="00E26DFF" w:rsidRPr="00786CDB">
        <w:t>a</w:t>
      </w:r>
      <w:r w:rsidR="00E26DFF" w:rsidRPr="008A1190">
        <w:t xml:space="preserve"> </w:t>
      </w:r>
      <w:r w:rsidRPr="008A1190">
        <w:t>price-based allocation process.</w:t>
      </w:r>
      <w:r>
        <w:t xml:space="preserve"> </w:t>
      </w:r>
      <w:r w:rsidR="008D4D26">
        <w:t>W</w:t>
      </w:r>
      <w:r>
        <w:t>inn</w:t>
      </w:r>
      <w:r w:rsidR="008D4D26">
        <w:t>ing bidd</w:t>
      </w:r>
      <w:r>
        <w:t>ers would</w:t>
      </w:r>
      <w:r w:rsidR="008D4D26">
        <w:t xml:space="preserve"> need</w:t>
      </w:r>
      <w:r>
        <w:t xml:space="preserve"> </w:t>
      </w:r>
      <w:r w:rsidR="00964393">
        <w:t>to</w:t>
      </w:r>
      <w:r>
        <w:t xml:space="preserve"> apply to the </w:t>
      </w:r>
      <w:r w:rsidRPr="00115DE6">
        <w:t xml:space="preserve">ACMA for </w:t>
      </w:r>
      <w:r w:rsidR="00DB6501" w:rsidRPr="00115DE6">
        <w:t xml:space="preserve">a </w:t>
      </w:r>
      <w:r w:rsidR="0001746B">
        <w:t xml:space="preserve">paired </w:t>
      </w:r>
      <w:r w:rsidR="00720DEC" w:rsidRPr="00115DE6">
        <w:t>space</w:t>
      </w:r>
      <w:r w:rsidRPr="00115DE6">
        <w:t xml:space="preserve"> receive licence. </w:t>
      </w:r>
      <w:r w:rsidR="009435FD" w:rsidRPr="00115DE6">
        <w:t xml:space="preserve">Under the proposed </w:t>
      </w:r>
      <w:r w:rsidRPr="00115DE6">
        <w:t>policy</w:t>
      </w:r>
      <w:r w:rsidR="009435FD" w:rsidRPr="00115DE6">
        <w:t xml:space="preserve">, </w:t>
      </w:r>
      <w:r w:rsidR="00156935" w:rsidRPr="00115DE6">
        <w:t>generally no person other than those issued the space licences in the 2</w:t>
      </w:r>
      <w:r w:rsidR="001E4BFC">
        <w:t> </w:t>
      </w:r>
      <w:r w:rsidR="00156935" w:rsidRPr="00115DE6">
        <w:t>GHz MSS band would be issued space receive licences in the band</w:t>
      </w:r>
      <w:r w:rsidRPr="00115DE6">
        <w:t>.</w:t>
      </w:r>
    </w:p>
    <w:p w14:paraId="65232122" w14:textId="06D7F5BB" w:rsidR="008F7C8F" w:rsidRDefault="00394B0E" w:rsidP="008F7C8F">
      <w:pPr>
        <w:pStyle w:val="Numberedparagraph"/>
        <w:numPr>
          <w:ilvl w:val="0"/>
          <w:numId w:val="0"/>
        </w:numPr>
        <w:spacing w:after="240" w:line="280" w:lineRule="atLeast"/>
      </w:pPr>
      <w:r>
        <w:t>G</w:t>
      </w:r>
      <w:r w:rsidR="008F7C8F">
        <w:t>iven the limited spectrum available in the 2 GHz MSS band and the amount of activity in the MSS sector, we expect demand for spectrum in the 2 GHz MSS band to exceed supply. However, there is still some uncertainty around demand.</w:t>
      </w:r>
    </w:p>
    <w:p w14:paraId="0FBAFF87" w14:textId="301195D4" w:rsidR="008F7C8F" w:rsidRDefault="008F7C8F" w:rsidP="00493788">
      <w:pPr>
        <w:pStyle w:val="Paragraphbeforelist"/>
      </w:pPr>
      <w:r>
        <w:t xml:space="preserve">Accordingly, we are considering the following allocation methods </w:t>
      </w:r>
      <w:r w:rsidR="0026048B">
        <w:t xml:space="preserve">options </w:t>
      </w:r>
      <w:r>
        <w:t>for transmitter licences:</w:t>
      </w:r>
    </w:p>
    <w:p w14:paraId="13E9A048" w14:textId="42E411A1" w:rsidR="008F7C8F" w:rsidRPr="00E02566" w:rsidRDefault="008F7C8F" w:rsidP="00F92958">
      <w:pPr>
        <w:pStyle w:val="ListNumber"/>
        <w:numPr>
          <w:ilvl w:val="0"/>
          <w:numId w:val="11"/>
        </w:numPr>
        <w:spacing w:line="280" w:lineRule="atLeast"/>
        <w:ind w:left="284" w:hanging="284"/>
      </w:pPr>
      <w:r w:rsidRPr="00E02566">
        <w:t>Administrative allocation</w:t>
      </w:r>
      <w:r w:rsidR="00F36C38">
        <w:t>.</w:t>
      </w:r>
    </w:p>
    <w:p w14:paraId="70117BC2" w14:textId="73F6232A" w:rsidR="008F7C8F" w:rsidRDefault="008F7C8F" w:rsidP="00EB3179">
      <w:pPr>
        <w:pStyle w:val="Numberlistlast"/>
      </w:pPr>
      <w:bookmarkStart w:id="34" w:name="_Hlk189233019"/>
      <w:r w:rsidRPr="00E02566">
        <w:t>Price-based allocation via auction or pre-determined price mechanism</w:t>
      </w:r>
      <w:bookmarkEnd w:id="34"/>
      <w:r>
        <w:t>.</w:t>
      </w:r>
    </w:p>
    <w:p w14:paraId="69C5B324" w14:textId="77777777" w:rsidR="008F7C8F" w:rsidRDefault="008F7C8F" w:rsidP="008F7C8F">
      <w:pPr>
        <w:pStyle w:val="Heading3"/>
      </w:pPr>
      <w:bookmarkStart w:id="35" w:name="_Toc202867819"/>
      <w:r>
        <w:t>Option 1: Administrative allocation</w:t>
      </w:r>
      <w:bookmarkEnd w:id="35"/>
    </w:p>
    <w:p w14:paraId="60765B0C" w14:textId="1D132CBA" w:rsidR="008F7C8F" w:rsidRDefault="008F7C8F" w:rsidP="008F7C8F">
      <w:pPr>
        <w:pStyle w:val="Numberedparagraph"/>
        <w:numPr>
          <w:ilvl w:val="0"/>
          <w:numId w:val="0"/>
        </w:numPr>
        <w:spacing w:after="240" w:line="280" w:lineRule="atLeast"/>
        <w:rPr>
          <w:rFonts w:asciiTheme="minorHAnsi" w:eastAsiaTheme="minorHAnsi" w:hAnsiTheme="minorHAnsi" w:cstheme="minorBidi"/>
          <w:szCs w:val="22"/>
          <w:lang w:eastAsia="en-US"/>
        </w:rPr>
      </w:pPr>
      <w:r w:rsidRPr="0050372F">
        <w:t xml:space="preserve">Generally, </w:t>
      </w:r>
      <w:r w:rsidR="00F36C38">
        <w:t>we</w:t>
      </w:r>
      <w:r w:rsidRPr="00115DE6">
        <w:t xml:space="preserve"> </w:t>
      </w:r>
      <w:r w:rsidR="007C2170" w:rsidRPr="00115DE6">
        <w:t>consider</w:t>
      </w:r>
      <w:r w:rsidR="007C2170" w:rsidRPr="0050372F">
        <w:t xml:space="preserve"> </w:t>
      </w:r>
      <w:r w:rsidRPr="0050372F">
        <w:t>apparatus licence applications in the order in which they are received (that is, on a first-in-time basis).</w:t>
      </w:r>
      <w:r>
        <w:t xml:space="preserve"> This is suitable where demand for spectrum is unlikely to exceed supply.</w:t>
      </w:r>
    </w:p>
    <w:p w14:paraId="378FB593" w14:textId="79438607" w:rsidR="008F7C8F" w:rsidRDefault="008F7C8F" w:rsidP="008F7C8F">
      <w:pPr>
        <w:pStyle w:val="Numberedparagraph"/>
        <w:numPr>
          <w:ilvl w:val="0"/>
          <w:numId w:val="0"/>
        </w:numPr>
        <w:spacing w:after="240" w:line="280" w:lineRule="atLeast"/>
      </w:pPr>
      <w:r w:rsidRPr="001D772D">
        <w:t xml:space="preserve">Recently, </w:t>
      </w:r>
      <w:r w:rsidR="00F36C38">
        <w:t>we have</w:t>
      </w:r>
      <w:r w:rsidRPr="001D772D">
        <w:t xml:space="preserve"> also adopted the use of an application window to process apparatus licence applications</w:t>
      </w:r>
      <w:r>
        <w:t xml:space="preserve"> where demand may exceed supply</w:t>
      </w:r>
      <w:r w:rsidRPr="001D772D">
        <w:t>. Under this approach, applications made during th</w:t>
      </w:r>
      <w:r>
        <w:t>e window</w:t>
      </w:r>
      <w:r w:rsidR="00812AA6">
        <w:t xml:space="preserve"> </w:t>
      </w:r>
      <w:r w:rsidR="00DE21EC">
        <w:t>period</w:t>
      </w:r>
      <w:r w:rsidR="00812AA6">
        <w:t xml:space="preserve"> </w:t>
      </w:r>
      <w:r w:rsidRPr="001D772D">
        <w:t>are assessed against decision-making principles after the window</w:t>
      </w:r>
      <w:r>
        <w:t xml:space="preserve"> closes</w:t>
      </w:r>
      <w:r w:rsidRPr="001D772D">
        <w:t>.</w:t>
      </w:r>
      <w:r>
        <w:t xml:space="preserve"> </w:t>
      </w:r>
      <w:r w:rsidR="00F36C38">
        <w:t>We</w:t>
      </w:r>
      <w:r w:rsidR="00191CD1" w:rsidRPr="00191CD1">
        <w:t xml:space="preserve"> then decide who is allocated a licence, which may involve liaison with th</w:t>
      </w:r>
      <w:r w:rsidR="00191CD1" w:rsidRPr="00115DE6">
        <w:t xml:space="preserve">e </w:t>
      </w:r>
      <w:r w:rsidR="007C2170" w:rsidRPr="00115DE6">
        <w:t>applicant</w:t>
      </w:r>
      <w:r w:rsidR="00443422">
        <w:t>s</w:t>
      </w:r>
      <w:r w:rsidR="00191CD1" w:rsidRPr="00191CD1">
        <w:t xml:space="preserve">. The licence allocated is for spectrum determined by the ACMA, and may be for different </w:t>
      </w:r>
      <w:r w:rsidR="00191CD1">
        <w:t>bandwidths</w:t>
      </w:r>
      <w:r w:rsidR="00191CD1" w:rsidRPr="00191CD1">
        <w:t xml:space="preserve">, frequency ranges or areas than what was applied for. </w:t>
      </w:r>
      <w:r w:rsidR="00504CA4">
        <w:t>In some cases, a licence may not be issued to an applicant.</w:t>
      </w:r>
    </w:p>
    <w:p w14:paraId="65DD8A5E" w14:textId="20CF847E" w:rsidR="008F7C8F" w:rsidRDefault="000838EE" w:rsidP="008F7C8F">
      <w:pPr>
        <w:pStyle w:val="Numberedparagraph"/>
        <w:numPr>
          <w:ilvl w:val="0"/>
          <w:numId w:val="0"/>
        </w:numPr>
        <w:spacing w:after="240" w:line="280" w:lineRule="atLeast"/>
      </w:pPr>
      <w:r w:rsidRPr="004B32C2">
        <w:t xml:space="preserve">As </w:t>
      </w:r>
      <w:r w:rsidR="000162F8" w:rsidRPr="004B32C2">
        <w:t xml:space="preserve">set out in this paper, </w:t>
      </w:r>
      <w:r w:rsidR="0046606E" w:rsidRPr="004B32C2">
        <w:t xml:space="preserve">shared </w:t>
      </w:r>
      <w:r w:rsidR="0046606E" w:rsidRPr="00115DE6">
        <w:t xml:space="preserve">use </w:t>
      </w:r>
      <w:r w:rsidR="00685D5F" w:rsidRPr="00115DE6">
        <w:t xml:space="preserve">of the 2 GHz MSS band </w:t>
      </w:r>
      <w:r w:rsidR="0046606E" w:rsidRPr="00115DE6">
        <w:t>is not being contemplated</w:t>
      </w:r>
      <w:r w:rsidR="000162F8" w:rsidRPr="00115DE6">
        <w:t xml:space="preserve">. </w:t>
      </w:r>
      <w:r w:rsidR="003D62B1" w:rsidRPr="00115DE6">
        <w:t xml:space="preserve">Given </w:t>
      </w:r>
      <w:r w:rsidR="00685D5F" w:rsidRPr="00115DE6">
        <w:t>all licences</w:t>
      </w:r>
      <w:r w:rsidR="003D62B1" w:rsidRPr="00115DE6">
        <w:t xml:space="preserve"> would </w:t>
      </w:r>
      <w:r w:rsidR="00BE2C19" w:rsidRPr="00115DE6">
        <w:t>support MSS</w:t>
      </w:r>
      <w:r w:rsidR="006D02DC" w:rsidRPr="00115DE6">
        <w:t>,</w:t>
      </w:r>
      <w:r w:rsidR="00BE2C19" w:rsidRPr="00115DE6">
        <w:t xml:space="preserve"> it may be difficult to </w:t>
      </w:r>
      <w:r w:rsidR="00157192" w:rsidRPr="00115DE6">
        <w:t xml:space="preserve">distinguish </w:t>
      </w:r>
      <w:r w:rsidR="005F44F6" w:rsidRPr="00115DE6">
        <w:t>between the use cases of applicants</w:t>
      </w:r>
      <w:r w:rsidR="00340C27">
        <w:t>. In these circumstances,</w:t>
      </w:r>
      <w:r w:rsidR="00340C27" w:rsidRPr="00115DE6">
        <w:t xml:space="preserve"> </w:t>
      </w:r>
      <w:r w:rsidR="00B76BF9" w:rsidRPr="00115DE6">
        <w:t>it may be difficult to identify the most appropriate decision-making principles to guide an administrative allocation process</w:t>
      </w:r>
      <w:r w:rsidR="008B187C" w:rsidRPr="00115DE6">
        <w:t xml:space="preserve"> using an application window. </w:t>
      </w:r>
      <w:r w:rsidR="008F7C8F" w:rsidRPr="00115DE6">
        <w:t xml:space="preserve">Therefore, even with a relatively low amount of interest, </w:t>
      </w:r>
      <w:r w:rsidR="00F36C38">
        <w:t>we</w:t>
      </w:r>
      <w:r w:rsidR="008F7C8F" w:rsidRPr="00115DE6">
        <w:t xml:space="preserve"> may not be able to </w:t>
      </w:r>
      <w:r w:rsidR="002A6F99" w:rsidRPr="00115DE6">
        <w:t xml:space="preserve">issue </w:t>
      </w:r>
      <w:r w:rsidR="00DE21EC">
        <w:t xml:space="preserve">space and space receive </w:t>
      </w:r>
      <w:r w:rsidR="002A6F99" w:rsidRPr="00115DE6">
        <w:t>licences in a way that</w:t>
      </w:r>
      <w:r w:rsidR="008F7C8F" w:rsidRPr="00115DE6">
        <w:t xml:space="preserve"> ensure</w:t>
      </w:r>
      <w:r w:rsidR="002A6F99" w:rsidRPr="00115DE6">
        <w:t>s</w:t>
      </w:r>
      <w:r w:rsidR="008F7C8F" w:rsidRPr="00115DE6">
        <w:t xml:space="preserve"> that all applicants are accommodated in the final licensing decision.</w:t>
      </w:r>
      <w:r w:rsidR="008F7C8F" w:rsidRPr="00795033">
        <w:t xml:space="preserve"> </w:t>
      </w:r>
    </w:p>
    <w:p w14:paraId="7F122E9B" w14:textId="6F585C27" w:rsidR="008F7C8F" w:rsidRPr="000F11E2" w:rsidRDefault="008F7C8F" w:rsidP="008F7C8F">
      <w:pPr>
        <w:pStyle w:val="Numberedparagraph"/>
        <w:numPr>
          <w:ilvl w:val="0"/>
          <w:numId w:val="0"/>
        </w:numPr>
        <w:spacing w:after="240" w:line="280" w:lineRule="atLeast"/>
      </w:pPr>
      <w:r w:rsidRPr="00846456">
        <w:t xml:space="preserve">However, a benefit of an administrative allocation approach is that it </w:t>
      </w:r>
      <w:r w:rsidR="005B37EA" w:rsidRPr="00846456">
        <w:t xml:space="preserve">would </w:t>
      </w:r>
      <w:r w:rsidR="00ED72B5" w:rsidRPr="00846456">
        <w:t xml:space="preserve">have similarities with existing processes for allocation </w:t>
      </w:r>
      <w:r w:rsidR="00980EA7" w:rsidRPr="00846456">
        <w:t xml:space="preserve">of </w:t>
      </w:r>
      <w:r w:rsidR="00ED72B5" w:rsidRPr="00846456">
        <w:t xml:space="preserve">space and space receive licences, and therefore </w:t>
      </w:r>
      <w:r w:rsidR="006A06F8" w:rsidRPr="00846456">
        <w:t>the process would be more familiar to existing licensees</w:t>
      </w:r>
      <w:r w:rsidR="00ED72B5" w:rsidRPr="00846456">
        <w:t xml:space="preserve">. </w:t>
      </w:r>
      <w:r w:rsidRPr="009F0413">
        <w:t>Further, the ACMA could also allocate both transmit</w:t>
      </w:r>
      <w:r w:rsidR="002A6F99" w:rsidRPr="009F0413">
        <w:t>ter</w:t>
      </w:r>
      <w:r w:rsidRPr="009F0413">
        <w:t xml:space="preserve"> and receive</w:t>
      </w:r>
      <w:r w:rsidR="002A6F99" w:rsidRPr="009F0413">
        <w:t>r</w:t>
      </w:r>
      <w:r w:rsidRPr="009F0413">
        <w:t xml:space="preserve"> licences in a single process.</w:t>
      </w:r>
    </w:p>
    <w:p w14:paraId="7792F72D" w14:textId="4A3335F4" w:rsidR="008F7C8F" w:rsidRDefault="008F7C8F" w:rsidP="008F7C8F">
      <w:pPr>
        <w:pStyle w:val="Heading3"/>
      </w:pPr>
      <w:bookmarkStart w:id="36" w:name="_Toc202867820"/>
      <w:r>
        <w:t xml:space="preserve">Option 2: Price-based allocation via </w:t>
      </w:r>
      <w:r w:rsidRPr="00115DE6">
        <w:t>auction</w:t>
      </w:r>
      <w:r w:rsidR="003A2B5B" w:rsidRPr="00115DE6">
        <w:t xml:space="preserve"> or pre-determined price mechanism</w:t>
      </w:r>
      <w:bookmarkEnd w:id="36"/>
    </w:p>
    <w:p w14:paraId="5C2177C0" w14:textId="04BD035E" w:rsidR="008F7C8F" w:rsidRDefault="008F7C8F" w:rsidP="008F7C8F">
      <w:pPr>
        <w:pStyle w:val="Numberedparagraph"/>
        <w:numPr>
          <w:ilvl w:val="0"/>
          <w:numId w:val="0"/>
        </w:numPr>
        <w:spacing w:after="240" w:line="280" w:lineRule="atLeast"/>
      </w:pPr>
      <w:r>
        <w:t xml:space="preserve">In our January 2021 </w:t>
      </w:r>
      <w:r w:rsidR="00F36C38">
        <w:t>o</w:t>
      </w:r>
      <w:r>
        <w:t xml:space="preserve">utcomes paper, we indicated a preliminary view that a price-based allocation was appropriate, </w:t>
      </w:r>
      <w:r w:rsidR="00462E5F">
        <w:t>given</w:t>
      </w:r>
      <w:r>
        <w:t xml:space="preserve"> that demand </w:t>
      </w:r>
      <w:r w:rsidR="008364A8">
        <w:t>was</w:t>
      </w:r>
      <w:r w:rsidR="00234C8F">
        <w:t xml:space="preserve"> likely to </w:t>
      </w:r>
      <w:r>
        <w:t xml:space="preserve">exceed supply. Generally, when demand for spectrum is expected to exceed supply, we resolve competing demand via price-based mechanisms. </w:t>
      </w:r>
      <w:r w:rsidRPr="006D2974">
        <w:t xml:space="preserve">An auction is an open, transparent approach to allocating </w:t>
      </w:r>
      <w:r w:rsidRPr="004B61C6">
        <w:t>licences. Further, given the bids in an auction are a proxy for the value that can be generated by bidders, auctions support the efficiency of allocation and use of the spectrum and promote competition and therefore benefit downstream markets and end users</w:t>
      </w:r>
      <w:r w:rsidR="00540769" w:rsidRPr="004B61C6">
        <w:t>.</w:t>
      </w:r>
      <w:r>
        <w:t xml:space="preserve"> </w:t>
      </w:r>
    </w:p>
    <w:p w14:paraId="0AFBEB14" w14:textId="193FDB73" w:rsidR="008F7C8F" w:rsidRDefault="008F7C8F" w:rsidP="008F7C8F">
      <w:pPr>
        <w:pStyle w:val="Numberedparagraph"/>
        <w:numPr>
          <w:ilvl w:val="0"/>
          <w:numId w:val="0"/>
        </w:numPr>
        <w:spacing w:after="240" w:line="280" w:lineRule="atLeast"/>
      </w:pPr>
      <w:r w:rsidRPr="009D570A">
        <w:t xml:space="preserve">Auctions can be conducted using a range of formats. Auction format options will depend on the lot configuration. The </w:t>
      </w:r>
      <w:hyperlink w:anchor="_Auction_format" w:history="1">
        <w:r w:rsidRPr="000B5DF2">
          <w:rPr>
            <w:rStyle w:val="Hyperlink"/>
          </w:rPr>
          <w:t>format options</w:t>
        </w:r>
      </w:hyperlink>
      <w:r w:rsidRPr="009D570A">
        <w:t xml:space="preserve"> are described below.</w:t>
      </w:r>
    </w:p>
    <w:p w14:paraId="7D760812" w14:textId="789B6441" w:rsidR="008F7C8F" w:rsidRDefault="008F7C8F" w:rsidP="008F7C8F">
      <w:pPr>
        <w:pStyle w:val="Numberedparagraph"/>
        <w:numPr>
          <w:ilvl w:val="0"/>
          <w:numId w:val="0"/>
        </w:numPr>
        <w:spacing w:after="240" w:line="280" w:lineRule="atLeast"/>
      </w:pPr>
      <w:r w:rsidRPr="006D2974">
        <w:lastRenderedPageBreak/>
        <w:t xml:space="preserve">Even in a </w:t>
      </w:r>
      <w:r w:rsidRPr="00115DE6">
        <w:t xml:space="preserve">low-demand scenario, a price-based allocation enables the market to determine the </w:t>
      </w:r>
      <w:r w:rsidR="003A2B5B" w:rsidRPr="00115DE6">
        <w:t xml:space="preserve">licence </w:t>
      </w:r>
      <w:r w:rsidRPr="00115DE6">
        <w:t>allocated to each bidder</w:t>
      </w:r>
      <w:r w:rsidR="003A2B5B" w:rsidRPr="00115DE6">
        <w:t>,</w:t>
      </w:r>
      <w:r w:rsidRPr="00115DE6">
        <w:t xml:space="preserve"> rather</w:t>
      </w:r>
      <w:r w:rsidRPr="006D2974">
        <w:t xml:space="preserve"> than the ACMA</w:t>
      </w:r>
      <w:r w:rsidR="00115DE6">
        <w:t>.</w:t>
      </w:r>
    </w:p>
    <w:p w14:paraId="65807A06" w14:textId="43C04EBA" w:rsidR="008F7C8F" w:rsidRDefault="008F7C8F" w:rsidP="00A11C70">
      <w:pPr>
        <w:pStyle w:val="Numberedparagraph"/>
        <w:numPr>
          <w:ilvl w:val="0"/>
          <w:numId w:val="0"/>
        </w:numPr>
        <w:spacing w:after="240" w:line="280" w:lineRule="atLeast"/>
      </w:pPr>
      <w:r>
        <w:t xml:space="preserve">However, </w:t>
      </w:r>
      <w:r w:rsidR="00C1238D">
        <w:t>a</w:t>
      </w:r>
      <w:r w:rsidRPr="00DC2C85">
        <w:t>uction</w:t>
      </w:r>
      <w:r>
        <w:t>s</w:t>
      </w:r>
      <w:r w:rsidRPr="00DC2C85">
        <w:t xml:space="preserve"> can be relatively complex, time</w:t>
      </w:r>
      <w:r w:rsidR="000B5DF2">
        <w:t>-</w:t>
      </w:r>
      <w:r w:rsidRPr="00DC2C85">
        <w:t>consuming and resource</w:t>
      </w:r>
      <w:r w:rsidR="000B5DF2">
        <w:t>-</w:t>
      </w:r>
      <w:r w:rsidRPr="00DC2C85">
        <w:t xml:space="preserve">intensive. </w:t>
      </w:r>
      <w:r>
        <w:t xml:space="preserve">A submission noted </w:t>
      </w:r>
      <w:r w:rsidRPr="00264840">
        <w:t xml:space="preserve">satellite spectrum in Europe was allocated by a price-based mechanism in 2009 and </w:t>
      </w:r>
      <w:r w:rsidR="006B5EBF">
        <w:t>the spectrum</w:t>
      </w:r>
      <w:r w:rsidRPr="00264840">
        <w:t xml:space="preserve"> was subsequently underutilised. We </w:t>
      </w:r>
      <w:r>
        <w:t xml:space="preserve">consider licence underuse is more appropriately addressed through licence term and renewal policies, discussed </w:t>
      </w:r>
      <w:r w:rsidR="00AF23A8">
        <w:t xml:space="preserve">above </w:t>
      </w:r>
      <w:r>
        <w:t xml:space="preserve">at </w:t>
      </w:r>
      <w:hyperlink w:anchor="_Licence_term,_commencement" w:history="1">
        <w:r w:rsidRPr="000B5DF2">
          <w:rPr>
            <w:rStyle w:val="Hyperlink"/>
          </w:rPr>
          <w:t>Licence term, commencement and renewal</w:t>
        </w:r>
        <w:r w:rsidR="00AF23A8" w:rsidRPr="000B5DF2">
          <w:rPr>
            <w:rStyle w:val="Hyperlink"/>
          </w:rPr>
          <w:t>s</w:t>
        </w:r>
      </w:hyperlink>
      <w:r w:rsidRPr="000F5081">
        <w:t>.</w:t>
      </w:r>
    </w:p>
    <w:p w14:paraId="0CD6201C" w14:textId="67FE479C" w:rsidR="008F7C8F" w:rsidRPr="004473BE" w:rsidRDefault="008F7C8F" w:rsidP="008F7C8F">
      <w:pPr>
        <w:pStyle w:val="Numberedparagraph"/>
        <w:numPr>
          <w:ilvl w:val="0"/>
          <w:numId w:val="0"/>
        </w:numPr>
        <w:spacing w:after="240" w:line="280" w:lineRule="atLeast"/>
      </w:pPr>
      <w:r w:rsidRPr="004473BE">
        <w:t xml:space="preserve">Under this option, </w:t>
      </w:r>
      <w:r w:rsidR="00347671">
        <w:t>we</w:t>
      </w:r>
      <w:r w:rsidRPr="004473BE">
        <w:t xml:space="preserve"> would plan for an auction</w:t>
      </w:r>
      <w:r>
        <w:t>. During the application process</w:t>
      </w:r>
      <w:r w:rsidR="00EA617B">
        <w:t xml:space="preserve">, </w:t>
      </w:r>
      <w:r w:rsidR="00347671">
        <w:t>we</w:t>
      </w:r>
      <w:r w:rsidR="00EA617B">
        <w:t xml:space="preserve"> will ask </w:t>
      </w:r>
      <w:r>
        <w:t xml:space="preserve">applicants </w:t>
      </w:r>
      <w:r w:rsidR="00EA617B">
        <w:t>to</w:t>
      </w:r>
      <w:r>
        <w:t xml:space="preserve"> make a binding nomination of their </w:t>
      </w:r>
      <w:r w:rsidR="002A730A">
        <w:t xml:space="preserve">spectrum </w:t>
      </w:r>
      <w:r>
        <w:t>dema</w:t>
      </w:r>
      <w:r w:rsidRPr="009A190F">
        <w:t>nd. If the nominated demand of all applicants exceeds supply, the auction would proceed</w:t>
      </w:r>
      <w:r w:rsidRPr="004473BE">
        <w:t xml:space="preserve"> as planned. If </w:t>
      </w:r>
      <w:r w:rsidR="00FD03F1">
        <w:t xml:space="preserve">nominated </w:t>
      </w:r>
      <w:r w:rsidRPr="004473BE">
        <w:t>demand</w:t>
      </w:r>
      <w:r w:rsidRPr="004473BE" w:rsidDel="00FD03F1">
        <w:t xml:space="preserve"> </w:t>
      </w:r>
      <w:r w:rsidRPr="004473BE">
        <w:t xml:space="preserve">does not exceed supply, then </w:t>
      </w:r>
      <w:r w:rsidR="003A26F5" w:rsidRPr="001D4574">
        <w:t>it may be possible for</w:t>
      </w:r>
      <w:r w:rsidR="003A26F5">
        <w:t xml:space="preserve"> </w:t>
      </w:r>
      <w:r w:rsidRPr="00034664">
        <w:t xml:space="preserve">applicants </w:t>
      </w:r>
      <w:r w:rsidR="003A26F5" w:rsidRPr="00034664">
        <w:t xml:space="preserve">to </w:t>
      </w:r>
      <w:r w:rsidR="008E5ACE" w:rsidRPr="00034664">
        <w:t xml:space="preserve">be allocated </w:t>
      </w:r>
      <w:r w:rsidRPr="00034664">
        <w:t xml:space="preserve">their desired </w:t>
      </w:r>
      <w:r w:rsidR="008E5ACE" w:rsidRPr="00034664">
        <w:t>licences</w:t>
      </w:r>
      <w:r w:rsidR="0075149E" w:rsidRPr="00034664">
        <w:t xml:space="preserve"> </w:t>
      </w:r>
      <w:r w:rsidRPr="00034664">
        <w:t xml:space="preserve">for </w:t>
      </w:r>
      <w:r w:rsidR="008E5ACE" w:rsidRPr="00034664">
        <w:t xml:space="preserve">a </w:t>
      </w:r>
      <w:r w:rsidRPr="00034664">
        <w:t>pre-determined price (a specified set price</w:t>
      </w:r>
      <w:r w:rsidR="00C07203">
        <w:t>;</w:t>
      </w:r>
      <w:r w:rsidRPr="00034664">
        <w:t xml:space="preserve"> for example, the starting auction price) without proceeding to auction</w:t>
      </w:r>
      <w:r w:rsidR="00937C1A" w:rsidRPr="00034664">
        <w:t xml:space="preserve"> in certain circumstances</w:t>
      </w:r>
      <w:r w:rsidRPr="00034664">
        <w:t xml:space="preserve">. </w:t>
      </w:r>
      <w:r w:rsidR="008F37B2" w:rsidRPr="00034664">
        <w:t>This would most likely be possible where frequency assignment has been pre-determined.</w:t>
      </w:r>
    </w:p>
    <w:p w14:paraId="7BA7273E" w14:textId="6A676A4A" w:rsidR="008F7C8F" w:rsidRDefault="006067A9" w:rsidP="008F7C8F">
      <w:pPr>
        <w:pStyle w:val="Numberedparagraph"/>
        <w:numPr>
          <w:ilvl w:val="0"/>
          <w:numId w:val="0"/>
        </w:numPr>
        <w:spacing w:after="240" w:line="280" w:lineRule="atLeast"/>
      </w:pPr>
      <w:r>
        <w:t>A pre-determined price allocation</w:t>
      </w:r>
      <w:r w:rsidR="008F7C8F" w:rsidRPr="003D0B5B">
        <w:t xml:space="preserve"> </w:t>
      </w:r>
      <w:r>
        <w:t>would</w:t>
      </w:r>
      <w:r w:rsidR="008F7C8F">
        <w:t xml:space="preserve"> </w:t>
      </w:r>
      <w:r w:rsidR="008F7C8F" w:rsidRPr="003D0B5B">
        <w:t>reduce some of the</w:t>
      </w:r>
      <w:r w:rsidR="007517E7">
        <w:t xml:space="preserve"> </w:t>
      </w:r>
      <w:r w:rsidR="008F7C8F" w:rsidRPr="003D0B5B">
        <w:t>complexity and administrative overhead of an auction process</w:t>
      </w:r>
      <w:r w:rsidR="008F7C8F">
        <w:t xml:space="preserve"> (</w:t>
      </w:r>
      <w:r w:rsidR="008F7C8F" w:rsidRPr="00F0252B">
        <w:t xml:space="preserve">such as </w:t>
      </w:r>
      <w:r w:rsidR="008F7C8F">
        <w:t>auction</w:t>
      </w:r>
      <w:r w:rsidR="008F7C8F" w:rsidRPr="00F0252B">
        <w:t xml:space="preserve"> system onboarding and training, mock auctions, and </w:t>
      </w:r>
      <w:r w:rsidR="008F7C8F">
        <w:t>participating in</w:t>
      </w:r>
      <w:r w:rsidR="008F7C8F" w:rsidRPr="00F0252B">
        <w:t xml:space="preserve"> the auction itself</w:t>
      </w:r>
      <w:r w:rsidR="008F7C8F">
        <w:t>)</w:t>
      </w:r>
      <w:r w:rsidR="00835EC4">
        <w:t xml:space="preserve">, if </w:t>
      </w:r>
      <w:r w:rsidR="003678F4">
        <w:t>there was no need for an auction</w:t>
      </w:r>
      <w:r w:rsidR="008F7C8F">
        <w:t xml:space="preserve">. </w:t>
      </w:r>
      <w:r w:rsidR="00923CD9" w:rsidRPr="00923CD9">
        <w:t>However, bidders will still need to be prepared to participate in an auction</w:t>
      </w:r>
      <w:r w:rsidR="00481381">
        <w:t>,</w:t>
      </w:r>
      <w:r w:rsidR="00923CD9" w:rsidRPr="00923CD9">
        <w:t xml:space="preserve"> if </w:t>
      </w:r>
      <w:r w:rsidR="00923CD9">
        <w:t>necessary</w:t>
      </w:r>
      <w:r w:rsidR="004F31B2">
        <w:t xml:space="preserve">, </w:t>
      </w:r>
      <w:r w:rsidR="00B47AD1">
        <w:t>shortly after the</w:t>
      </w:r>
      <w:r w:rsidR="004F31B2">
        <w:t xml:space="preserve"> </w:t>
      </w:r>
      <w:r w:rsidR="003A45E7">
        <w:t>need for an auction is identified</w:t>
      </w:r>
      <w:r w:rsidR="00923CD9">
        <w:t>.</w:t>
      </w:r>
      <w:r w:rsidR="007C42C1">
        <w:t xml:space="preserve"> This </w:t>
      </w:r>
      <w:r w:rsidR="003677D6">
        <w:t>may create some uncertainty for bidders</w:t>
      </w:r>
      <w:r w:rsidR="00923CD9">
        <w:t>.</w:t>
      </w:r>
    </w:p>
    <w:p w14:paraId="6612305B" w14:textId="26E10AE3" w:rsidR="008F7C8F" w:rsidRPr="00607A16" w:rsidRDefault="008F7C8F" w:rsidP="00A6374F">
      <w:pPr>
        <w:pStyle w:val="Executivesummarysubheading"/>
        <w:spacing w:after="0"/>
      </w:pPr>
      <w:r w:rsidRPr="00607A16">
        <w:t>ACMA’s preliminary view: Allocation methodology</w:t>
      </w:r>
    </w:p>
    <w:p w14:paraId="62D6138F" w14:textId="6CBFA763" w:rsidR="008F7C8F" w:rsidRDefault="008F7C8F" w:rsidP="008F7C8F">
      <w:pPr>
        <w:pStyle w:val="Numberedparagraph"/>
        <w:numPr>
          <w:ilvl w:val="0"/>
          <w:numId w:val="0"/>
        </w:numPr>
        <w:spacing w:after="240" w:line="280" w:lineRule="atLeast"/>
      </w:pPr>
      <w:r w:rsidRPr="00A34C72">
        <w:t>Our preliminary view is</w:t>
      </w:r>
      <w:r>
        <w:t xml:space="preserve"> to</w:t>
      </w:r>
      <w:r w:rsidRPr="00A34C72">
        <w:t xml:space="preserve"> </w:t>
      </w:r>
      <w:r>
        <w:t>allocate transmitter licences by</w:t>
      </w:r>
      <w:r w:rsidRPr="00A34C72">
        <w:t xml:space="preserve"> price-based allocation via </w:t>
      </w:r>
      <w:r w:rsidR="00347671">
        <w:br/>
      </w:r>
      <w:r w:rsidRPr="00A34C72">
        <w:t xml:space="preserve">auction, or for </w:t>
      </w:r>
      <w:r w:rsidR="002B1A84">
        <w:t>a</w:t>
      </w:r>
      <w:r w:rsidRPr="00A34C72">
        <w:t xml:space="preserve"> pre-determined price where demand does not exceed suppl</w:t>
      </w:r>
      <w:r>
        <w:t xml:space="preserve">y, as described in option </w:t>
      </w:r>
      <w:r w:rsidR="00A0797E" w:rsidRPr="00077F31">
        <w:t>2</w:t>
      </w:r>
      <w:r w:rsidRPr="00077F31">
        <w:t>.</w:t>
      </w:r>
      <w:r>
        <w:t xml:space="preserve"> </w:t>
      </w:r>
      <w:r w:rsidRPr="00D06069">
        <w:t>By providing for flexibility in allocation methodology until demand is nominated, this option would allow the allocation to adapt to changing market conditions</w:t>
      </w:r>
      <w:r w:rsidR="00E62D27">
        <w:t xml:space="preserve">. </w:t>
      </w:r>
      <w:r w:rsidR="006C0706">
        <w:t>I</w:t>
      </w:r>
      <w:r>
        <w:t>n past auctions, the ACMA has provided support to auction applicants ahead of an auction process</w:t>
      </w:r>
      <w:r w:rsidR="00AE0D88">
        <w:t>,</w:t>
      </w:r>
      <w:r>
        <w:t xml:space="preserve"> including an auction guide</w:t>
      </w:r>
      <w:r w:rsidR="002127D9">
        <w:t>,</w:t>
      </w:r>
      <w:r>
        <w:t xml:space="preserve"> auction system training</w:t>
      </w:r>
      <w:r w:rsidR="00D26858">
        <w:t xml:space="preserve"> and </w:t>
      </w:r>
      <w:r w:rsidR="0091755A">
        <w:t xml:space="preserve">an </w:t>
      </w:r>
      <w:r w:rsidR="00DE4609">
        <w:t xml:space="preserve">auction </w:t>
      </w:r>
      <w:r w:rsidR="00D26858">
        <w:t xml:space="preserve">user </w:t>
      </w:r>
      <w:r w:rsidR="00AF66E6">
        <w:t>manual</w:t>
      </w:r>
      <w:r w:rsidR="00D26858">
        <w:t>.</w:t>
      </w:r>
      <w:r w:rsidR="009451BD">
        <w:t xml:space="preserve"> </w:t>
      </w:r>
      <w:r w:rsidR="00F00C6D">
        <w:t xml:space="preserve">Registered bidders are also </w:t>
      </w:r>
      <w:r w:rsidR="00D96F5C">
        <w:t>provided with</w:t>
      </w:r>
      <w:r w:rsidR="009451BD">
        <w:t xml:space="preserve"> </w:t>
      </w:r>
      <w:r w:rsidR="003D161E" w:rsidRPr="003D161E">
        <w:t>mock auction opportunities prior to the live auction commencing</w:t>
      </w:r>
      <w:r>
        <w:t xml:space="preserve">. We expect to provide similar support if transmitter licences are allocated by auction. We propose to </w:t>
      </w:r>
      <w:r w:rsidR="00AE6AD7">
        <w:t xml:space="preserve">issue </w:t>
      </w:r>
      <w:r>
        <w:t xml:space="preserve">space receive licences by administrative method after the end of the auction to winning bidders, following an application being submitted by </w:t>
      </w:r>
      <w:r w:rsidR="00673132">
        <w:t>a</w:t>
      </w:r>
      <w:r>
        <w:t xml:space="preserve"> winning bidder to the ACMA for assessment. </w:t>
      </w:r>
    </w:p>
    <w:p w14:paraId="23D8A3AC" w14:textId="75E22F8E" w:rsidR="006C6D8F" w:rsidRDefault="00A26223" w:rsidP="006C6D8F">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37" w:name="_Toc202867821"/>
      <w:r w:rsidRPr="00272A8B">
        <w:t xml:space="preserve">Issue for comment </w:t>
      </w:r>
      <w:r w:rsidR="002726AF">
        <w:t>4</w:t>
      </w:r>
      <w:bookmarkEnd w:id="37"/>
    </w:p>
    <w:p w14:paraId="50067C67" w14:textId="3A9B05AE" w:rsidR="006C6D8F" w:rsidRPr="00665261" w:rsidRDefault="006C6D8F" w:rsidP="00307737">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6C6D8F">
        <w:t xml:space="preserve">We invite comments on the proposed allocation </w:t>
      </w:r>
      <w:r w:rsidRPr="00031DDD">
        <w:t>methodology.</w:t>
      </w:r>
    </w:p>
    <w:p w14:paraId="7C3089CC" w14:textId="49B21C18" w:rsidR="00961A06" w:rsidRPr="00025201" w:rsidRDefault="00961A06" w:rsidP="00961A06">
      <w:pPr>
        <w:pStyle w:val="Heading2"/>
      </w:pPr>
      <w:bookmarkStart w:id="38" w:name="_Toc202867822"/>
      <w:r w:rsidRPr="00025201">
        <w:t>Taxes, charges and winning prices</w:t>
      </w:r>
      <w:bookmarkEnd w:id="38"/>
      <w:r w:rsidRPr="00025201">
        <w:t xml:space="preserve"> </w:t>
      </w:r>
    </w:p>
    <w:p w14:paraId="6D23567C" w14:textId="77777777" w:rsidR="00961A06" w:rsidRPr="00025201" w:rsidRDefault="00961A06" w:rsidP="00493788">
      <w:pPr>
        <w:pStyle w:val="Paragraphbeforelist"/>
      </w:pPr>
      <w:r w:rsidRPr="00025201">
        <w:t xml:space="preserve">Under the </w:t>
      </w:r>
      <w:r w:rsidRPr="00025201">
        <w:rPr>
          <w:i/>
        </w:rPr>
        <w:t xml:space="preserve">Radiocommunications (Receiver Licence Tax) Act 1983 </w:t>
      </w:r>
      <w:r w:rsidRPr="00025201">
        <w:t xml:space="preserve">and the </w:t>
      </w:r>
      <w:r w:rsidRPr="00025201">
        <w:rPr>
          <w:i/>
        </w:rPr>
        <w:t>Radiocommunications (Transmitter Licence Tax) Act 1983</w:t>
      </w:r>
      <w:r w:rsidRPr="00025201">
        <w:t>, apparatus licence tax is imposed in relation to apparatus licences. Under those Acts, unless the ACMA makes a determination otherwise, licensees may elect for tax to be imposed:</w:t>
      </w:r>
    </w:p>
    <w:p w14:paraId="7FB9CB27" w14:textId="4BD07FCB" w:rsidR="00961A06" w:rsidRPr="00025201" w:rsidRDefault="00CE3D54" w:rsidP="009A64D1">
      <w:pPr>
        <w:pStyle w:val="Paragraph"/>
        <w:numPr>
          <w:ilvl w:val="0"/>
          <w:numId w:val="73"/>
        </w:numPr>
        <w:spacing w:after="80"/>
        <w:ind w:left="284" w:hanging="284"/>
      </w:pPr>
      <w:r>
        <w:t>A</w:t>
      </w:r>
      <w:r w:rsidR="00961A06" w:rsidRPr="00025201">
        <w:t>nnually, on the issue of the apparatus licence and on each anniversary of the day the licence came into force</w:t>
      </w:r>
      <w:r w:rsidR="00347671">
        <w:t>.</w:t>
      </w:r>
    </w:p>
    <w:p w14:paraId="15B39DF8" w14:textId="2522C26F" w:rsidR="00961A06" w:rsidRPr="00025201" w:rsidRDefault="00CE3D54" w:rsidP="009A64D1">
      <w:pPr>
        <w:pStyle w:val="Paragraph"/>
        <w:numPr>
          <w:ilvl w:val="0"/>
          <w:numId w:val="73"/>
        </w:numPr>
        <w:ind w:left="284" w:hanging="284"/>
      </w:pPr>
      <w:r>
        <w:t>O</w:t>
      </w:r>
      <w:r w:rsidR="00961A06" w:rsidRPr="00025201">
        <w:t xml:space="preserve">nce, on the issue of apparatus licences. </w:t>
      </w:r>
    </w:p>
    <w:p w14:paraId="26BFDDE1" w14:textId="77777777" w:rsidR="00961A06" w:rsidRPr="00025201" w:rsidRDefault="00961A06" w:rsidP="00961A06">
      <w:pPr>
        <w:pStyle w:val="Paragraph"/>
      </w:pPr>
      <w:r w:rsidRPr="00025201">
        <w:t>The ACMA may make determinations that, for particular licences, only one of those options is available.</w:t>
      </w:r>
    </w:p>
    <w:p w14:paraId="29AFCFB7" w14:textId="77777777" w:rsidR="00961A06" w:rsidRPr="00025201" w:rsidRDefault="00961A06" w:rsidP="00961A06">
      <w:pPr>
        <w:pStyle w:val="Paragraph"/>
      </w:pPr>
      <w:r w:rsidRPr="00025201">
        <w:lastRenderedPageBreak/>
        <w:t xml:space="preserve">If a transmitter licence is allocated by a price-based method, then the ‘winning price’ that determines who the licence is allocated to must also be paid. </w:t>
      </w:r>
    </w:p>
    <w:p w14:paraId="58C06430" w14:textId="77777777" w:rsidR="00961A06" w:rsidRPr="00025201" w:rsidRDefault="00961A06" w:rsidP="00961A06">
      <w:pPr>
        <w:pStyle w:val="Paragraphbeforelist"/>
      </w:pPr>
      <w:r w:rsidRPr="00025201">
        <w:t>While these matters have not yet been considered, we have preliminary views on payment of such amounts:</w:t>
      </w:r>
    </w:p>
    <w:p w14:paraId="67D074EE" w14:textId="17BBB0B6" w:rsidR="00961A06" w:rsidRPr="00025201" w:rsidRDefault="00CE3D54" w:rsidP="009A64D1">
      <w:pPr>
        <w:pStyle w:val="Paragraph"/>
        <w:numPr>
          <w:ilvl w:val="0"/>
          <w:numId w:val="73"/>
        </w:numPr>
        <w:spacing w:after="80"/>
        <w:ind w:left="284" w:hanging="284"/>
      </w:pPr>
      <w:r>
        <w:t>I</w:t>
      </w:r>
      <w:r w:rsidR="00961A06" w:rsidRPr="00025201">
        <w:t>n relation to apparatus licence tax, we do not currently propose to make a determination restricting the ability of the licensee to elect to pay once, or annually</w:t>
      </w:r>
      <w:r w:rsidR="00347671">
        <w:t>.</w:t>
      </w:r>
    </w:p>
    <w:p w14:paraId="4322B317" w14:textId="5F62F83B" w:rsidR="00961A06" w:rsidRPr="00025201" w:rsidRDefault="004449DD" w:rsidP="009A64D1">
      <w:pPr>
        <w:pStyle w:val="Paragraph"/>
        <w:numPr>
          <w:ilvl w:val="0"/>
          <w:numId w:val="73"/>
        </w:numPr>
        <w:ind w:left="284" w:hanging="284"/>
      </w:pPr>
      <w:r>
        <w:t>I</w:t>
      </w:r>
      <w:r w:rsidR="00961A06" w:rsidRPr="00025201">
        <w:t xml:space="preserve">n relation to winning prices, we consider these should be paid upfront in full. Upfront payment of winning prices following an allocation process is consistent with our historical preference, aligning with recommendation 6 of the </w:t>
      </w:r>
      <w:hyperlink r:id="rId35" w:history="1">
        <w:r w:rsidR="00961A06" w:rsidRPr="00025201">
          <w:rPr>
            <w:rStyle w:val="Hyperlink"/>
          </w:rPr>
          <w:t>Spectrum Pricing Review</w:t>
        </w:r>
      </w:hyperlink>
      <w:r w:rsidR="00961A06" w:rsidRPr="00025201">
        <w:t xml:space="preserve">. </w:t>
      </w:r>
    </w:p>
    <w:p w14:paraId="46A34552" w14:textId="7C9A66AE" w:rsidR="009D3C63" w:rsidRDefault="003B6C3A" w:rsidP="00B35A19">
      <w:pPr>
        <w:pStyle w:val="Paragraph"/>
      </w:pPr>
      <w:r>
        <w:t>An entry fee to partic</w:t>
      </w:r>
      <w:r w:rsidR="004F7B44">
        <w:t xml:space="preserve">ipate in </w:t>
      </w:r>
      <w:r w:rsidR="00763162">
        <w:t>a price</w:t>
      </w:r>
      <w:r w:rsidR="00347671">
        <w:t>-</w:t>
      </w:r>
      <w:r w:rsidR="00763162">
        <w:t>based allocation may also apply</w:t>
      </w:r>
      <w:r w:rsidR="00C30910">
        <w:t>.</w:t>
      </w:r>
    </w:p>
    <w:p w14:paraId="2B90105B" w14:textId="5310CD5D" w:rsidR="00B9657D" w:rsidRDefault="00B9657D" w:rsidP="00B35A19">
      <w:pPr>
        <w:pStyle w:val="Paragraph"/>
      </w:pPr>
      <w:r>
        <w:t>More information</w:t>
      </w:r>
      <w:r w:rsidR="009D3CE0">
        <w:t xml:space="preserve"> about </w:t>
      </w:r>
      <w:r w:rsidR="009243D2">
        <w:t>payment arrangements</w:t>
      </w:r>
      <w:r>
        <w:t xml:space="preserve"> is available at </w:t>
      </w:r>
      <w:hyperlink r:id="rId36" w:history="1">
        <w:r w:rsidRPr="004150F2">
          <w:rPr>
            <w:rStyle w:val="Hyperlink"/>
          </w:rPr>
          <w:t>Our approach to radiocommunications licensing and allocation 2025</w:t>
        </w:r>
      </w:hyperlink>
      <w:r w:rsidR="00FC7871">
        <w:t>.</w:t>
      </w:r>
    </w:p>
    <w:p w14:paraId="29FB55CA" w14:textId="5618D842" w:rsidR="00304F90" w:rsidRPr="00665261" w:rsidRDefault="00961A06" w:rsidP="00B35A19">
      <w:pPr>
        <w:pStyle w:val="Paragraph"/>
        <w:rPr>
          <w:b/>
        </w:rPr>
      </w:pPr>
      <w:r w:rsidRPr="00025201">
        <w:t>The ACMA may also impose cost-recovery charges in relation to, among other things, applying for, issuing and renewing apparatus licences.</w:t>
      </w:r>
    </w:p>
    <w:p w14:paraId="14D234B9" w14:textId="04E8D483" w:rsidR="008F7C8F" w:rsidRPr="000264FB" w:rsidRDefault="008F7C8F" w:rsidP="008F7C8F">
      <w:pPr>
        <w:pStyle w:val="Heading2"/>
      </w:pPr>
      <w:bookmarkStart w:id="39" w:name="_Auction_format"/>
      <w:bookmarkStart w:id="40" w:name="_Toc202867823"/>
      <w:bookmarkEnd w:id="39"/>
      <w:r>
        <w:t>Auction format</w:t>
      </w:r>
      <w:bookmarkEnd w:id="40"/>
    </w:p>
    <w:p w14:paraId="4F6B16B9" w14:textId="5BD67F25" w:rsidR="00744538" w:rsidRDefault="008F7C8F" w:rsidP="0010048F">
      <w:pPr>
        <w:pStyle w:val="Numberedparagraph"/>
        <w:numPr>
          <w:ilvl w:val="0"/>
          <w:numId w:val="0"/>
        </w:numPr>
        <w:spacing w:after="240" w:line="280" w:lineRule="atLeast"/>
      </w:pPr>
      <w:r>
        <w:t xml:space="preserve">Auctions can be conducted </w:t>
      </w:r>
      <w:r w:rsidR="00D9215E">
        <w:t xml:space="preserve">online </w:t>
      </w:r>
      <w:r>
        <w:t xml:space="preserve">using a range of formats. </w:t>
      </w:r>
      <w:r w:rsidR="004F5B5F">
        <w:t xml:space="preserve">A summary of </w:t>
      </w:r>
      <w:r w:rsidR="00744538">
        <w:t xml:space="preserve">the auction formats </w:t>
      </w:r>
      <w:r w:rsidR="009A7B85">
        <w:t>we have</w:t>
      </w:r>
      <w:r w:rsidR="00744538">
        <w:t xml:space="preserve"> used in the past</w:t>
      </w:r>
      <w:r w:rsidR="00B2224D">
        <w:t>, along with</w:t>
      </w:r>
      <w:r w:rsidR="00E52F0C">
        <w:t xml:space="preserve"> links to </w:t>
      </w:r>
      <w:r w:rsidR="00816641">
        <w:t>recent</w:t>
      </w:r>
      <w:r w:rsidR="00E6745F">
        <w:t xml:space="preserve"> </w:t>
      </w:r>
      <w:r w:rsidR="00E52F0C">
        <w:t xml:space="preserve">allocations </w:t>
      </w:r>
      <w:r w:rsidR="00C80911">
        <w:t xml:space="preserve">that </w:t>
      </w:r>
      <w:r w:rsidR="003364CF">
        <w:t xml:space="preserve">have </w:t>
      </w:r>
      <w:r w:rsidR="00C80911">
        <w:t>used each of the formats,</w:t>
      </w:r>
      <w:r w:rsidR="000D2197">
        <w:t xml:space="preserve"> </w:t>
      </w:r>
      <w:r w:rsidR="00744538">
        <w:t xml:space="preserve">can be found on </w:t>
      </w:r>
      <w:hyperlink r:id="rId37" w:history="1">
        <w:r w:rsidR="00D063FF">
          <w:rPr>
            <w:rStyle w:val="Hyperlink"/>
          </w:rPr>
          <w:t>our w</w:t>
        </w:r>
        <w:r w:rsidR="00744538" w:rsidRPr="002510BD">
          <w:rPr>
            <w:rStyle w:val="Hyperlink"/>
          </w:rPr>
          <w:t>e</w:t>
        </w:r>
        <w:bookmarkStart w:id="41" w:name="_Hlt199924412"/>
        <w:bookmarkStart w:id="42" w:name="_Hlt199924413"/>
        <w:bookmarkEnd w:id="41"/>
        <w:bookmarkEnd w:id="42"/>
        <w:r w:rsidR="00744538" w:rsidRPr="002510BD">
          <w:rPr>
            <w:rStyle w:val="Hyperlink"/>
          </w:rPr>
          <w:t>bsite</w:t>
        </w:r>
      </w:hyperlink>
      <w:r w:rsidR="00744538">
        <w:t>.</w:t>
      </w:r>
      <w:r w:rsidR="00B23A5A">
        <w:rPr>
          <w:rStyle w:val="FootnoteReference"/>
        </w:rPr>
        <w:footnoteReference w:id="22"/>
      </w:r>
    </w:p>
    <w:p w14:paraId="5F3D5ADF" w14:textId="6F5A3F07" w:rsidR="008F7C8F" w:rsidRDefault="008F7C8F" w:rsidP="0010048F">
      <w:pPr>
        <w:pStyle w:val="Numberedparagraph"/>
        <w:numPr>
          <w:ilvl w:val="0"/>
          <w:numId w:val="0"/>
        </w:numPr>
        <w:spacing w:after="240" w:line="280" w:lineRule="atLeast"/>
      </w:pPr>
      <w:r>
        <w:t xml:space="preserve">For the auction of transmitter licences in the 2 GHz MSS band, we are </w:t>
      </w:r>
      <w:r w:rsidR="001D6E2F">
        <w:t xml:space="preserve">broadly </w:t>
      </w:r>
      <w:r>
        <w:t xml:space="preserve">considering </w:t>
      </w:r>
      <w:r w:rsidR="00D063FF">
        <w:br/>
      </w:r>
      <w:r w:rsidR="00F47DA6">
        <w:t xml:space="preserve">2 </w:t>
      </w:r>
      <w:r>
        <w:t>possible formats</w:t>
      </w:r>
      <w:r w:rsidR="00170AEA">
        <w:t xml:space="preserve">: </w:t>
      </w:r>
      <w:r w:rsidR="00DD5E13">
        <w:t xml:space="preserve">a </w:t>
      </w:r>
      <w:r w:rsidR="00656F43">
        <w:t xml:space="preserve">Simple </w:t>
      </w:r>
      <w:r w:rsidR="00D92F8E">
        <w:t>C</w:t>
      </w:r>
      <w:r w:rsidR="00656F43">
        <w:t xml:space="preserve">lock </w:t>
      </w:r>
      <w:r w:rsidR="00D92F8E">
        <w:t>Au</w:t>
      </w:r>
      <w:r w:rsidR="00656F43">
        <w:t xml:space="preserve">ction (SCA) and </w:t>
      </w:r>
      <w:r w:rsidR="009D4C4F">
        <w:t>a</w:t>
      </w:r>
      <w:r w:rsidR="00656F43">
        <w:t xml:space="preserve"> </w:t>
      </w:r>
      <w:r w:rsidR="00177314">
        <w:t>Two-</w:t>
      </w:r>
      <w:r w:rsidR="00D92F8E">
        <w:t>S</w:t>
      </w:r>
      <w:r w:rsidR="00177314">
        <w:t xml:space="preserve">tage </w:t>
      </w:r>
      <w:r w:rsidR="00D92F8E">
        <w:t>C</w:t>
      </w:r>
      <w:r w:rsidR="00177314">
        <w:t xml:space="preserve">lock (2SC) </w:t>
      </w:r>
      <w:r w:rsidR="009B04B5" w:rsidRPr="004B580B">
        <w:t>format</w:t>
      </w:r>
      <w:r w:rsidRPr="004B580B">
        <w:t>.</w:t>
      </w:r>
    </w:p>
    <w:p w14:paraId="4FD409A8" w14:textId="7871D166" w:rsidR="008F7C8F" w:rsidRDefault="00170AEA" w:rsidP="005070BC">
      <w:pPr>
        <w:pStyle w:val="Numberedparagraph"/>
        <w:numPr>
          <w:ilvl w:val="0"/>
          <w:numId w:val="0"/>
        </w:numPr>
        <w:spacing w:before="60" w:after="60" w:line="280" w:lineRule="atLeast"/>
        <w:outlineLvl w:val="2"/>
        <w:rPr>
          <w:b/>
          <w:bCs/>
        </w:rPr>
      </w:pPr>
      <w:r>
        <w:rPr>
          <w:b/>
          <w:bCs/>
        </w:rPr>
        <w:t xml:space="preserve">SCA </w:t>
      </w:r>
      <w:r w:rsidR="008F7C8F" w:rsidRPr="00323902">
        <w:rPr>
          <w:b/>
          <w:bCs/>
        </w:rPr>
        <w:t>format</w:t>
      </w:r>
    </w:p>
    <w:p w14:paraId="044DDEA6" w14:textId="6541062C" w:rsidR="004E5364" w:rsidRDefault="008F7C8F" w:rsidP="00723986">
      <w:pPr>
        <w:pStyle w:val="Numberedparagraph"/>
        <w:numPr>
          <w:ilvl w:val="0"/>
          <w:numId w:val="0"/>
        </w:numPr>
        <w:spacing w:after="240" w:line="280" w:lineRule="atLeast"/>
      </w:pPr>
      <w:r w:rsidRPr="00586298">
        <w:t xml:space="preserve">The </w:t>
      </w:r>
      <w:r>
        <w:t>SCA format</w:t>
      </w:r>
      <w:r w:rsidRPr="00D94907">
        <w:rPr>
          <w:rStyle w:val="FootnoteReference"/>
        </w:rPr>
        <w:footnoteReference w:id="23"/>
      </w:r>
      <w:r w:rsidR="00520C0D">
        <w:t xml:space="preserve"> </w:t>
      </w:r>
      <w:r w:rsidR="00973271" w:rsidRPr="00973271">
        <w:t xml:space="preserve">uses a </w:t>
      </w:r>
      <w:r w:rsidR="0020350D">
        <w:t xml:space="preserve">simple ascending-bid </w:t>
      </w:r>
      <w:r w:rsidR="003E013D">
        <w:t>process</w:t>
      </w:r>
      <w:r w:rsidR="0020350D">
        <w:t xml:space="preserve"> to</w:t>
      </w:r>
      <w:r w:rsidR="00153943">
        <w:t xml:space="preserve"> auction single </w:t>
      </w:r>
      <w:r w:rsidR="005757D5">
        <w:t xml:space="preserve">lots </w:t>
      </w:r>
      <w:r w:rsidR="00153943">
        <w:t>independent of one another</w:t>
      </w:r>
      <w:r w:rsidR="006F4DAD">
        <w:t>.</w:t>
      </w:r>
      <w:r w:rsidR="00973271" w:rsidRPr="00973271">
        <w:t xml:space="preserve"> </w:t>
      </w:r>
      <w:r w:rsidR="00A162F2">
        <w:t>Each round, b</w:t>
      </w:r>
      <w:r w:rsidR="00973271" w:rsidRPr="00973271">
        <w:t xml:space="preserve">idders </w:t>
      </w:r>
      <w:r w:rsidR="000D0CDD">
        <w:t>typically</w:t>
      </w:r>
      <w:r w:rsidR="00973271" w:rsidRPr="00973271">
        <w:t xml:space="preserve"> place bids by expressing demand for the </w:t>
      </w:r>
      <w:r w:rsidR="00E23837">
        <w:t xml:space="preserve">lot </w:t>
      </w:r>
      <w:r w:rsidR="00973271" w:rsidRPr="00973271">
        <w:t xml:space="preserve">at the price set by the auction manager, rather than </w:t>
      </w:r>
      <w:r w:rsidR="000E45D8">
        <w:t>placing bids at</w:t>
      </w:r>
      <w:r w:rsidR="00973271" w:rsidRPr="00973271">
        <w:t xml:space="preserve"> price</w:t>
      </w:r>
      <w:r w:rsidR="00857D59">
        <w:t xml:space="preserve"> points</w:t>
      </w:r>
      <w:r w:rsidR="005A4E7A">
        <w:t xml:space="preserve"> they devise themselves, although they can set their own maximum price for the lot</w:t>
      </w:r>
      <w:r w:rsidR="00973271" w:rsidRPr="00973271">
        <w:t xml:space="preserve">. </w:t>
      </w:r>
    </w:p>
    <w:p w14:paraId="14835A69" w14:textId="0992FCEE" w:rsidR="008F7C8F" w:rsidRDefault="00973271" w:rsidP="00532261">
      <w:pPr>
        <w:pStyle w:val="Numberedparagraph"/>
        <w:numPr>
          <w:ilvl w:val="0"/>
          <w:numId w:val="0"/>
        </w:numPr>
        <w:spacing w:after="80" w:line="280" w:lineRule="atLeast"/>
      </w:pPr>
      <w:r w:rsidRPr="00973271">
        <w:t>The way the SCA format works in practice on a round-by-round basis is as follows</w:t>
      </w:r>
      <w:r w:rsidR="00F01421">
        <w:t xml:space="preserve"> for each lot in the auction</w:t>
      </w:r>
      <w:r w:rsidR="009D4D2B">
        <w:t>:</w:t>
      </w:r>
    </w:p>
    <w:p w14:paraId="5209CB06" w14:textId="1A0E5DC1" w:rsidR="009D4D2B" w:rsidRDefault="00D341CC" w:rsidP="007B1F28">
      <w:pPr>
        <w:pStyle w:val="Bulletlevel1"/>
        <w:numPr>
          <w:ilvl w:val="0"/>
          <w:numId w:val="14"/>
        </w:numPr>
        <w:ind w:left="284" w:hanging="284"/>
      </w:pPr>
      <w:r>
        <w:t>Before each round</w:t>
      </w:r>
      <w:r w:rsidR="00763150">
        <w:t>,</w:t>
      </w:r>
      <w:r>
        <w:t xml:space="preserve"> t</w:t>
      </w:r>
      <w:r w:rsidR="00640DA6" w:rsidRPr="00640DA6">
        <w:t xml:space="preserve">he auction manager announces the price that bidders must meet to continue bidding in the next round. This is the </w:t>
      </w:r>
      <w:r w:rsidR="00BD780A">
        <w:t>‘</w:t>
      </w:r>
      <w:r w:rsidR="00640DA6" w:rsidRPr="00640DA6">
        <w:t>continue price</w:t>
      </w:r>
      <w:r w:rsidR="00BD780A">
        <w:t>’</w:t>
      </w:r>
      <w:r w:rsidR="00640DA6" w:rsidRPr="00640DA6">
        <w:t>.</w:t>
      </w:r>
    </w:p>
    <w:p w14:paraId="68AF6B35" w14:textId="03A04C9D" w:rsidR="006179A6" w:rsidRDefault="00C069DE" w:rsidP="007B1F28">
      <w:pPr>
        <w:pStyle w:val="Bulletlevel1"/>
        <w:numPr>
          <w:ilvl w:val="0"/>
          <w:numId w:val="14"/>
        </w:numPr>
        <w:ind w:left="284" w:hanging="284"/>
      </w:pPr>
      <w:r w:rsidRPr="00C069DE">
        <w:t xml:space="preserve">Bidders that are willing to pay the continue price, or higher, can place a </w:t>
      </w:r>
      <w:r w:rsidR="00763150">
        <w:t>‘</w:t>
      </w:r>
      <w:r w:rsidRPr="00C069DE">
        <w:t>continue bid</w:t>
      </w:r>
      <w:r w:rsidR="00763150">
        <w:t>’</w:t>
      </w:r>
      <w:r w:rsidRPr="00C069DE">
        <w:t xml:space="preserve"> to keep participating in the auction </w:t>
      </w:r>
      <w:r w:rsidR="006A71A7">
        <w:t xml:space="preserve">for that lot </w:t>
      </w:r>
      <w:r w:rsidRPr="00C069DE">
        <w:t>in subsequent rounds.</w:t>
      </w:r>
    </w:p>
    <w:p w14:paraId="76E44F1A" w14:textId="51A8CE4D" w:rsidR="00C069DE" w:rsidRDefault="0074328C" w:rsidP="007B1F28">
      <w:pPr>
        <w:pStyle w:val="Bulletlevel1"/>
        <w:numPr>
          <w:ilvl w:val="0"/>
          <w:numId w:val="14"/>
        </w:numPr>
        <w:ind w:left="284" w:hanging="284"/>
      </w:pPr>
      <w:r w:rsidRPr="0074328C">
        <w:t xml:space="preserve">Bidders that are not willing to pay the continue price can place an </w:t>
      </w:r>
      <w:r w:rsidR="00763150">
        <w:t>‘</w:t>
      </w:r>
      <w:r w:rsidRPr="0074328C">
        <w:t>exit bid</w:t>
      </w:r>
      <w:r w:rsidR="00763150">
        <w:t>’</w:t>
      </w:r>
      <w:r w:rsidRPr="0074328C">
        <w:t xml:space="preserve"> at any </w:t>
      </w:r>
      <w:r w:rsidR="002A35A6" w:rsidRPr="004E126F">
        <w:t>amount</w:t>
      </w:r>
      <w:r w:rsidR="002A35A6" w:rsidRPr="0074328C">
        <w:t xml:space="preserve"> </w:t>
      </w:r>
      <w:r w:rsidRPr="0074328C">
        <w:t>between the round opening price (</w:t>
      </w:r>
      <w:r w:rsidR="00576E71">
        <w:t xml:space="preserve">the </w:t>
      </w:r>
      <w:r w:rsidRPr="0074328C">
        <w:t xml:space="preserve">continue price from the previous round or the starting price for the first round) and the continue price. Bidders cannot re-enter the auction for a </w:t>
      </w:r>
      <w:r w:rsidR="008248DB">
        <w:t xml:space="preserve">lot </w:t>
      </w:r>
      <w:r w:rsidRPr="0074328C">
        <w:t>in later rounds after placing an exit bid for it in an earlier round</w:t>
      </w:r>
      <w:r w:rsidR="002D4A8E">
        <w:t>.</w:t>
      </w:r>
    </w:p>
    <w:p w14:paraId="31FDA69E" w14:textId="59832C93" w:rsidR="004C3CDB" w:rsidRDefault="0010275B" w:rsidP="003B0DE5">
      <w:pPr>
        <w:pStyle w:val="Bulletlevel1"/>
        <w:numPr>
          <w:ilvl w:val="0"/>
          <w:numId w:val="14"/>
        </w:numPr>
        <w:ind w:left="284" w:hanging="284"/>
      </w:pPr>
      <w:r w:rsidRPr="0010275B">
        <w:lastRenderedPageBreak/>
        <w:t xml:space="preserve">The auction concludes </w:t>
      </w:r>
      <w:r w:rsidR="00EF2755">
        <w:t>for a lot</w:t>
      </w:r>
      <w:r w:rsidRPr="0010275B">
        <w:t xml:space="preserve"> when there is </w:t>
      </w:r>
      <w:r w:rsidR="000D463C">
        <w:t>no more than one</w:t>
      </w:r>
      <w:r w:rsidRPr="0010275B">
        <w:t xml:space="preserve"> bidder </w:t>
      </w:r>
      <w:r w:rsidR="00AE3792">
        <w:t xml:space="preserve">with </w:t>
      </w:r>
      <w:r w:rsidR="000D463C">
        <w:t xml:space="preserve">a </w:t>
      </w:r>
      <w:r w:rsidR="00AE3792">
        <w:t>continue bid</w:t>
      </w:r>
      <w:r w:rsidRPr="0010275B">
        <w:t xml:space="preserve"> </w:t>
      </w:r>
      <w:r w:rsidR="00AE3792">
        <w:t xml:space="preserve">for that lot </w:t>
      </w:r>
      <w:r w:rsidRPr="0010275B">
        <w:t xml:space="preserve">at the end of a round. </w:t>
      </w:r>
    </w:p>
    <w:p w14:paraId="199BC5B3" w14:textId="12AD68BE" w:rsidR="004C3CDB" w:rsidRDefault="005343B0" w:rsidP="00136C45">
      <w:pPr>
        <w:pStyle w:val="Bulletlevel2"/>
        <w:ind w:left="568" w:hanging="284"/>
      </w:pPr>
      <w:r>
        <w:t xml:space="preserve">If there </w:t>
      </w:r>
      <w:r w:rsidR="00D53A86">
        <w:t>is</w:t>
      </w:r>
      <w:r w:rsidR="00F17305">
        <w:t xml:space="preserve"> </w:t>
      </w:r>
      <w:r w:rsidR="00662417">
        <w:t xml:space="preserve">one </w:t>
      </w:r>
      <w:r w:rsidR="0077776D">
        <w:t xml:space="preserve">such </w:t>
      </w:r>
      <w:r w:rsidR="00662417">
        <w:t xml:space="preserve">bidder with </w:t>
      </w:r>
      <w:r>
        <w:t xml:space="preserve">a continue bid, they win and pay the price of </w:t>
      </w:r>
      <w:r w:rsidR="00662417">
        <w:t xml:space="preserve">the highest exit bid </w:t>
      </w:r>
      <w:r>
        <w:t xml:space="preserve">in the final round. </w:t>
      </w:r>
    </w:p>
    <w:p w14:paraId="1C4505BE" w14:textId="1468206F" w:rsidR="004C3CDB" w:rsidRDefault="005343B0" w:rsidP="00136C45">
      <w:pPr>
        <w:pStyle w:val="Bulletlevel2"/>
        <w:ind w:left="568" w:hanging="284"/>
      </w:pPr>
      <w:r>
        <w:t>If</w:t>
      </w:r>
      <w:r w:rsidR="00662417">
        <w:t xml:space="preserve"> there are </w:t>
      </w:r>
      <w:r w:rsidR="0077776D">
        <w:t>no</w:t>
      </w:r>
      <w:r w:rsidR="00662417">
        <w:t xml:space="preserve"> bidders </w:t>
      </w:r>
      <w:r>
        <w:t>with continue bids</w:t>
      </w:r>
      <w:r w:rsidR="0077776D">
        <w:t xml:space="preserve"> remaining</w:t>
      </w:r>
      <w:r>
        <w:t xml:space="preserve">, </w:t>
      </w:r>
      <w:r w:rsidR="00662417">
        <w:t xml:space="preserve">the bidder with the highest exit bid </w:t>
      </w:r>
      <w:r w:rsidR="0077776D">
        <w:t xml:space="preserve">price </w:t>
      </w:r>
      <w:r>
        <w:t xml:space="preserve">wins, and pays the price of the second-highest exit bid in the final round. </w:t>
      </w:r>
    </w:p>
    <w:p w14:paraId="34207B63" w14:textId="5B8C3FF1" w:rsidR="002D4A8E" w:rsidRDefault="002A09A3" w:rsidP="00136C45">
      <w:pPr>
        <w:pStyle w:val="Bulletlevel2"/>
        <w:spacing w:after="240"/>
        <w:ind w:left="568" w:hanging="284"/>
      </w:pPr>
      <w:r>
        <w:t>In each case,</w:t>
      </w:r>
      <w:r w:rsidR="00835ABE">
        <w:t xml:space="preserve"> </w:t>
      </w:r>
      <w:r w:rsidR="00AA40CE">
        <w:t>the winn</w:t>
      </w:r>
      <w:r w:rsidR="00835ABE">
        <w:t>er</w:t>
      </w:r>
      <w:r w:rsidR="00AA40CE">
        <w:t xml:space="preserve"> </w:t>
      </w:r>
      <w:r>
        <w:t xml:space="preserve">is </w:t>
      </w:r>
      <w:r w:rsidR="00835ABE">
        <w:t>pay</w:t>
      </w:r>
      <w:r w:rsidR="00125CC4">
        <w:t>ing the</w:t>
      </w:r>
      <w:r w:rsidR="00AA40CE">
        <w:t xml:space="preserve"> </w:t>
      </w:r>
      <w:r w:rsidR="00835ABE">
        <w:t>second-highest bidder</w:t>
      </w:r>
      <w:r w:rsidR="00125CC4">
        <w:t xml:space="preserve">’s exit </w:t>
      </w:r>
      <w:r w:rsidR="0001648F">
        <w:t xml:space="preserve">bid price, </w:t>
      </w:r>
      <w:r w:rsidR="00DE0910">
        <w:t>as</w:t>
      </w:r>
      <w:r w:rsidR="0001648F">
        <w:t xml:space="preserve"> the </w:t>
      </w:r>
      <w:r w:rsidR="00DE0910">
        <w:t>SCA format</w:t>
      </w:r>
      <w:r w:rsidR="0001648F">
        <w:t xml:space="preserve"> uses a second-price rule</w:t>
      </w:r>
      <w:r w:rsidR="0010275B" w:rsidRPr="0010275B">
        <w:t>.</w:t>
      </w:r>
      <w:r w:rsidR="009E522E">
        <w:t xml:space="preserve"> </w:t>
      </w:r>
      <w:r w:rsidR="009E522E" w:rsidRPr="009E522E">
        <w:t>This ensures that the winner never pays more than necessary to win</w:t>
      </w:r>
      <w:r w:rsidR="003F1FF3">
        <w:t xml:space="preserve">, </w:t>
      </w:r>
      <w:r w:rsidR="00D72FE4">
        <w:t xml:space="preserve">which encourages </w:t>
      </w:r>
      <w:r w:rsidR="00540CF9">
        <w:t xml:space="preserve">truthful </w:t>
      </w:r>
      <w:r w:rsidR="00D72FE4">
        <w:t>bidding</w:t>
      </w:r>
      <w:r w:rsidR="009E522E" w:rsidRPr="009E522E">
        <w:t>.</w:t>
      </w:r>
    </w:p>
    <w:p w14:paraId="0E302299" w14:textId="2BAAE988" w:rsidR="008F7C8F" w:rsidRDefault="00050C0D" w:rsidP="005070BC">
      <w:pPr>
        <w:pStyle w:val="Numberedparagraph"/>
        <w:keepNext/>
        <w:numPr>
          <w:ilvl w:val="0"/>
          <w:numId w:val="0"/>
        </w:numPr>
        <w:spacing w:before="60" w:after="60" w:line="280" w:lineRule="atLeast"/>
        <w:outlineLvl w:val="2"/>
        <w:rPr>
          <w:b/>
          <w:bCs/>
        </w:rPr>
      </w:pPr>
      <w:r>
        <w:rPr>
          <w:b/>
          <w:bCs/>
        </w:rPr>
        <w:t xml:space="preserve">2SC </w:t>
      </w:r>
      <w:r w:rsidR="008F7C8F">
        <w:rPr>
          <w:b/>
          <w:bCs/>
        </w:rPr>
        <w:t>format</w:t>
      </w:r>
    </w:p>
    <w:p w14:paraId="67AC00C0" w14:textId="178A88D2" w:rsidR="008F7C8F" w:rsidRDefault="008F7C8F" w:rsidP="008F7C8F">
      <w:pPr>
        <w:pStyle w:val="Numberedparagraph"/>
        <w:numPr>
          <w:ilvl w:val="0"/>
          <w:numId w:val="0"/>
        </w:numPr>
        <w:spacing w:after="240" w:line="280" w:lineRule="atLeast"/>
        <w:rPr>
          <w:szCs w:val="24"/>
          <w:highlight w:val="cyan"/>
        </w:rPr>
      </w:pPr>
      <w:r>
        <w:t>The 2SC format</w:t>
      </w:r>
      <w:r w:rsidRPr="00972956">
        <w:rPr>
          <w:rStyle w:val="FootnoteReference"/>
        </w:rPr>
        <w:footnoteReference w:id="24"/>
      </w:r>
      <w:r>
        <w:t xml:space="preserve"> </w:t>
      </w:r>
      <w:r w:rsidRPr="008E02E2">
        <w:t xml:space="preserve">generally involves 2 main stages: </w:t>
      </w:r>
      <w:r>
        <w:t xml:space="preserve">a </w:t>
      </w:r>
      <w:r w:rsidR="00A60C9D">
        <w:t>‘</w:t>
      </w:r>
      <w:r>
        <w:t>clock stage</w:t>
      </w:r>
      <w:r w:rsidR="00A60C9D">
        <w:t>’</w:t>
      </w:r>
      <w:r>
        <w:t xml:space="preserve"> </w:t>
      </w:r>
      <w:r w:rsidRPr="00643ED4">
        <w:t>to determine the quantity of generic lots won</w:t>
      </w:r>
      <w:r>
        <w:t>,</w:t>
      </w:r>
      <w:r w:rsidRPr="00643ED4">
        <w:t xml:space="preserve"> followed by an ‘assignment stage’ to determine the </w:t>
      </w:r>
      <w:r w:rsidR="00DE66CB">
        <w:t xml:space="preserve">specific </w:t>
      </w:r>
      <w:r w:rsidRPr="00643ED4">
        <w:t>frequency position of those lots</w:t>
      </w:r>
      <w:r w:rsidRPr="00793E98">
        <w:t>.</w:t>
      </w:r>
      <w:r w:rsidR="00E64325" w:rsidRPr="00E64325">
        <w:t xml:space="preserve"> </w:t>
      </w:r>
      <w:r w:rsidR="00E64325">
        <w:t xml:space="preserve">The clock stage has often been divided into ‘primary </w:t>
      </w:r>
      <w:r w:rsidR="00184B7E">
        <w:t xml:space="preserve">stage </w:t>
      </w:r>
      <w:r w:rsidR="00E64325">
        <w:t xml:space="preserve">rounds’ and ‘secondary </w:t>
      </w:r>
      <w:r w:rsidR="00184B7E">
        <w:t xml:space="preserve">stage </w:t>
      </w:r>
      <w:r w:rsidR="00E64325">
        <w:t>rounds’ (which use the SCA format, and which are not always required) in the ACMA’s previous 2SC format auctions.</w:t>
      </w:r>
      <w:r w:rsidR="008C65DE">
        <w:t xml:space="preserve"> A diagram outlining the </w:t>
      </w:r>
      <w:r w:rsidR="008C65DE" w:rsidRPr="00A63789">
        <w:t xml:space="preserve">2SC </w:t>
      </w:r>
      <w:r w:rsidR="008C65DE">
        <w:t xml:space="preserve">format is at </w:t>
      </w:r>
      <w:hyperlink w:anchor="_Appendix_A:_Overview" w:history="1">
        <w:r w:rsidR="008C65DE" w:rsidRPr="00D063FF">
          <w:rPr>
            <w:rStyle w:val="Hyperlink"/>
          </w:rPr>
          <w:t>Appendix A</w:t>
        </w:r>
      </w:hyperlink>
      <w:r w:rsidR="008C65DE" w:rsidRPr="00A44483">
        <w:t>.</w:t>
      </w:r>
    </w:p>
    <w:p w14:paraId="16683169" w14:textId="53575F54" w:rsidR="0068455D" w:rsidRPr="006129A6" w:rsidRDefault="0068455D" w:rsidP="004E2A1D">
      <w:pPr>
        <w:pStyle w:val="Paragraph"/>
        <w:spacing w:before="240" w:after="0"/>
        <w:outlineLvl w:val="3"/>
        <w:rPr>
          <w:b/>
          <w:bCs/>
          <w:i/>
          <w:iCs/>
        </w:rPr>
      </w:pPr>
      <w:r w:rsidRPr="006129A6">
        <w:rPr>
          <w:b/>
          <w:bCs/>
          <w:i/>
          <w:iCs/>
        </w:rPr>
        <w:t>Clock stage</w:t>
      </w:r>
    </w:p>
    <w:p w14:paraId="2478C32F" w14:textId="479F2DF0" w:rsidR="00647043" w:rsidRDefault="00992832" w:rsidP="009019FF">
      <w:pPr>
        <w:pStyle w:val="Paragraph"/>
      </w:pPr>
      <w:r>
        <w:t>The spectrum is configured into one or more products containing one or more</w:t>
      </w:r>
      <w:r w:rsidRPr="0068455D">
        <w:t xml:space="preserve"> generic lots</w:t>
      </w:r>
      <w:r>
        <w:t xml:space="preserve"> that do not have defined frequency positions. </w:t>
      </w:r>
    </w:p>
    <w:p w14:paraId="363C3D98" w14:textId="4F647FF3" w:rsidR="0068455D" w:rsidRPr="0068455D" w:rsidRDefault="0068455D" w:rsidP="009019FF">
      <w:pPr>
        <w:pStyle w:val="Paragraph"/>
      </w:pPr>
      <w:r w:rsidRPr="0068455D">
        <w:t xml:space="preserve">The clock stage is a </w:t>
      </w:r>
      <w:r w:rsidR="006A6A14">
        <w:t>series</w:t>
      </w:r>
      <w:r w:rsidR="00DD0B8D">
        <w:t xml:space="preserve"> of </w:t>
      </w:r>
      <w:r w:rsidR="00132652">
        <w:t xml:space="preserve">timed </w:t>
      </w:r>
      <w:r w:rsidR="00DD0B8D">
        <w:t xml:space="preserve">bidding rounds </w:t>
      </w:r>
      <w:r w:rsidR="001013B4">
        <w:t>i</w:t>
      </w:r>
      <w:r w:rsidR="004959D4" w:rsidRPr="004959D4">
        <w:t>n which the prices of products with excess demand increase</w:t>
      </w:r>
      <w:r w:rsidR="00BF7575">
        <w:t>.</w:t>
      </w:r>
      <w:r w:rsidR="00A844E3">
        <w:t xml:space="preserve"> </w:t>
      </w:r>
      <w:r w:rsidR="00413E18">
        <w:t>A</w:t>
      </w:r>
      <w:r w:rsidRPr="0068455D">
        <w:t xml:space="preserve">ll lots are offered </w:t>
      </w:r>
      <w:r w:rsidR="00132652">
        <w:t>simultaneously</w:t>
      </w:r>
      <w:r w:rsidR="003E2783">
        <w:t>,</w:t>
      </w:r>
      <w:r w:rsidR="00132652">
        <w:t xml:space="preserve"> </w:t>
      </w:r>
      <w:r w:rsidR="00E44298">
        <w:t>and bidders</w:t>
      </w:r>
      <w:r w:rsidR="009F79E8">
        <w:t xml:space="preserve"> can bid on any number of lots </w:t>
      </w:r>
      <w:r w:rsidR="00D063FF">
        <w:t xml:space="preserve">– </w:t>
      </w:r>
      <w:r w:rsidR="009F79E8">
        <w:t xml:space="preserve">subject to </w:t>
      </w:r>
      <w:r w:rsidR="000C4F66">
        <w:t>restrictions like allocation limits</w:t>
      </w:r>
      <w:r w:rsidR="00AE7E75">
        <w:t>, if any,</w:t>
      </w:r>
      <w:r w:rsidR="000C4F66">
        <w:t xml:space="preserve"> or </w:t>
      </w:r>
      <w:r w:rsidR="007E5CD7" w:rsidRPr="00676224">
        <w:t>an ‘</w:t>
      </w:r>
      <w:r w:rsidR="000C4F66" w:rsidRPr="00676224">
        <w:t>activity rule</w:t>
      </w:r>
      <w:r w:rsidR="007E5CD7" w:rsidRPr="00676224">
        <w:t xml:space="preserve">’ </w:t>
      </w:r>
      <w:r w:rsidR="007E5CD7" w:rsidRPr="00C75569">
        <w:t>(see below</w:t>
      </w:r>
      <w:r w:rsidR="000C4F66">
        <w:t>)</w:t>
      </w:r>
      <w:r w:rsidRPr="0068455D">
        <w:t xml:space="preserve">. </w:t>
      </w:r>
    </w:p>
    <w:p w14:paraId="5B9EE5C8" w14:textId="3CA74D88" w:rsidR="0068455D" w:rsidRDefault="00384316" w:rsidP="00350CB2">
      <w:pPr>
        <w:pStyle w:val="Paragraph"/>
      </w:pPr>
      <w:r w:rsidRPr="00384316">
        <w:t>In each round, the auction manager increases the price of each product with excess demand</w:t>
      </w:r>
      <w:r w:rsidR="0009113A">
        <w:t xml:space="preserve">. This continues </w:t>
      </w:r>
      <w:r w:rsidRPr="00384316">
        <w:t xml:space="preserve">until rising prices cause demand to fall equal </w:t>
      </w:r>
      <w:r w:rsidR="00A623FA">
        <w:t xml:space="preserve">to </w:t>
      </w:r>
      <w:r w:rsidRPr="00384316">
        <w:t xml:space="preserve">supply </w:t>
      </w:r>
      <w:r w:rsidR="00AB471F">
        <w:t>of the product</w:t>
      </w:r>
      <w:r w:rsidRPr="00384316">
        <w:t xml:space="preserve"> (</w:t>
      </w:r>
      <w:r w:rsidR="0040289F">
        <w:t xml:space="preserve">measured by </w:t>
      </w:r>
      <w:r w:rsidRPr="00384316">
        <w:t xml:space="preserve">the number of generic lots). When demand no longer exceeds supply for any product, the clock stage concludes, and bidders will have won the generic lots </w:t>
      </w:r>
      <w:r w:rsidR="00E045F3">
        <w:t xml:space="preserve">for which </w:t>
      </w:r>
      <w:r w:rsidRPr="00384316">
        <w:t>they still have demand in given products.</w:t>
      </w:r>
    </w:p>
    <w:p w14:paraId="2A60F00F" w14:textId="306A2A13" w:rsidR="00194B5B" w:rsidRDefault="00D63F90" w:rsidP="00194B5B">
      <w:pPr>
        <w:pStyle w:val="Paragraph"/>
      </w:pPr>
      <w:r w:rsidRPr="002B0155">
        <w:t xml:space="preserve">This stage typically utilises an ‘activity rule’, which </w:t>
      </w:r>
      <w:r w:rsidR="0046200B" w:rsidRPr="002B0155">
        <w:t xml:space="preserve">can </w:t>
      </w:r>
      <w:r w:rsidR="00A0159E" w:rsidRPr="002B0155">
        <w:t>improve</w:t>
      </w:r>
      <w:r w:rsidRPr="002B0155">
        <w:t xml:space="preserve"> price discovery</w:t>
      </w:r>
      <w:r w:rsidR="00F82342" w:rsidRPr="002B0155">
        <w:t xml:space="preserve"> and maintain auction progress</w:t>
      </w:r>
      <w:r w:rsidR="00114C31" w:rsidRPr="002B0155">
        <w:t xml:space="preserve">. </w:t>
      </w:r>
      <w:r w:rsidR="00194B5B">
        <w:t>A bidder’s activity is defined as the total eligibility points for the products for which they have expressed demand</w:t>
      </w:r>
      <w:r w:rsidR="00663E1D">
        <w:t>,</w:t>
      </w:r>
      <w:r w:rsidR="00663E1D" w:rsidRPr="00663E1D">
        <w:t xml:space="preserve"> </w:t>
      </w:r>
      <w:r w:rsidR="00663E1D" w:rsidRPr="002B0155">
        <w:t>with the number of eligibility points for each lot determined by a ‘lot rating’ given to the product that the lot falls within</w:t>
      </w:r>
      <w:r w:rsidR="00194B5B">
        <w:t xml:space="preserve">. </w:t>
      </w:r>
      <w:r w:rsidR="00C47D7C">
        <w:t>E</w:t>
      </w:r>
      <w:r w:rsidR="00194B5B">
        <w:t xml:space="preserve">ligibility points can only be maintained or decreased as the </w:t>
      </w:r>
      <w:r w:rsidR="00717143">
        <w:t>clock</w:t>
      </w:r>
      <w:r w:rsidR="00194B5B">
        <w:t xml:space="preserve"> stage progresses. Once decreased, eligibility points cannot be regained in future </w:t>
      </w:r>
      <w:r w:rsidR="00DD27C4">
        <w:t>clock</w:t>
      </w:r>
      <w:r w:rsidR="002F06EE">
        <w:t xml:space="preserve"> </w:t>
      </w:r>
      <w:r w:rsidR="00194B5B">
        <w:t>rounds.</w:t>
      </w:r>
    </w:p>
    <w:p w14:paraId="5546A13C" w14:textId="77777777" w:rsidR="00746F42" w:rsidRDefault="00194B5B" w:rsidP="00194B5B">
      <w:pPr>
        <w:pStyle w:val="Paragraph"/>
      </w:pPr>
      <w:r>
        <w:t>The activity rule restricts a bidder’s current set of bids to be no larger (in an ‘eligibility point’ sense) than any of its previous sets of bids. Each bidder must therefore maintain a level of bidding activity if it wants to continue with that level of eligibility later in the auction. In doing this, the activity rule promotes meaningful bidding and price discovery.</w:t>
      </w:r>
    </w:p>
    <w:p w14:paraId="6713B483" w14:textId="72D9C5AC" w:rsidR="000D1961" w:rsidRPr="0068455D" w:rsidRDefault="004F7770" w:rsidP="00350CB2">
      <w:pPr>
        <w:pStyle w:val="Paragraph"/>
      </w:pPr>
      <w:r w:rsidRPr="004F7770">
        <w:t xml:space="preserve">When bidders change their demand, their bids can either be fully applied, partially applied or rejected. </w:t>
      </w:r>
      <w:r w:rsidR="0029469D">
        <w:t>F</w:t>
      </w:r>
      <w:r w:rsidR="00CF0A23">
        <w:t>or example</w:t>
      </w:r>
      <w:r w:rsidR="00214842">
        <w:t>,</w:t>
      </w:r>
      <w:r w:rsidRPr="004F7770">
        <w:t xml:space="preserve"> </w:t>
      </w:r>
      <w:r w:rsidR="00C35379">
        <w:t>a decrease bid</w:t>
      </w:r>
      <w:r w:rsidR="0029469D">
        <w:t xml:space="preserve"> </w:t>
      </w:r>
      <w:r w:rsidRPr="004F7770">
        <w:t xml:space="preserve">from 2 lots to zero may </w:t>
      </w:r>
      <w:r w:rsidR="00A56567">
        <w:t xml:space="preserve">only </w:t>
      </w:r>
      <w:r w:rsidRPr="004F7770">
        <w:t xml:space="preserve">be partially applied </w:t>
      </w:r>
      <w:r w:rsidR="00A600A4">
        <w:lastRenderedPageBreak/>
        <w:t>where,</w:t>
      </w:r>
      <w:r w:rsidRPr="004F7770">
        <w:t xml:space="preserve"> if </w:t>
      </w:r>
      <w:r w:rsidR="00A600A4">
        <w:t>it were</w:t>
      </w:r>
      <w:r w:rsidRPr="004F7770">
        <w:t xml:space="preserve"> fully </w:t>
      </w:r>
      <w:r w:rsidR="00A600A4">
        <w:t>applied</w:t>
      </w:r>
      <w:r w:rsidR="00D31D13">
        <w:t>,</w:t>
      </w:r>
      <w:r w:rsidR="009321CA">
        <w:t xml:space="preserve"> </w:t>
      </w:r>
      <w:r w:rsidRPr="004F7770">
        <w:t>the bid would cause demand to be lower than supply</w:t>
      </w:r>
      <w:r w:rsidR="00FE02B2">
        <w:t xml:space="preserve"> and</w:t>
      </w:r>
      <w:r w:rsidRPr="004F7770">
        <w:t>,</w:t>
      </w:r>
      <w:r w:rsidR="002F6200">
        <w:t xml:space="preserve"> therefore</w:t>
      </w:r>
      <w:r w:rsidR="00014A95">
        <w:t>,</w:t>
      </w:r>
      <w:r w:rsidRPr="004F7770">
        <w:t xml:space="preserve"> would </w:t>
      </w:r>
      <w:r w:rsidR="00014A95">
        <w:t>result in</w:t>
      </w:r>
      <w:r w:rsidR="00EB7F0A">
        <w:t xml:space="preserve"> </w:t>
      </w:r>
      <w:r w:rsidRPr="004F7770">
        <w:t>unsold lots</w:t>
      </w:r>
      <w:r>
        <w:t>.</w:t>
      </w:r>
    </w:p>
    <w:p w14:paraId="06856268" w14:textId="2FE6AC03" w:rsidR="002D2140" w:rsidRDefault="001A38B9" w:rsidP="004B7D90">
      <w:pPr>
        <w:pStyle w:val="Paragraph"/>
      </w:pPr>
      <w:r w:rsidRPr="001A38B9">
        <w:t xml:space="preserve">To mitigate the risk of bidders obtaining </w:t>
      </w:r>
      <w:r w:rsidR="00003F89">
        <w:t xml:space="preserve">too little </w:t>
      </w:r>
      <w:r w:rsidRPr="001A38B9">
        <w:t xml:space="preserve">spectrum due to a partially applied bid, </w:t>
      </w:r>
      <w:r w:rsidR="00003F89">
        <w:t xml:space="preserve">the clock stage can include </w:t>
      </w:r>
      <w:r w:rsidRPr="001A38B9">
        <w:t>the MSR</w:t>
      </w:r>
      <w:r w:rsidR="00003F89">
        <w:t xml:space="preserve"> feature</w:t>
      </w:r>
      <w:r w:rsidRPr="001A38B9">
        <w:t xml:space="preserve">. The MSR allows a bidder to set </w:t>
      </w:r>
      <w:r w:rsidR="00003F89">
        <w:t>the</w:t>
      </w:r>
      <w:r w:rsidRPr="001A38B9">
        <w:t xml:space="preserve"> minimum amount of spectrum that they are willing to win. For example, if </w:t>
      </w:r>
      <w:r w:rsidR="000979AC">
        <w:t>a bidder sets</w:t>
      </w:r>
      <w:r w:rsidR="00282731">
        <w:t xml:space="preserve"> an MSR of </w:t>
      </w:r>
      <w:r w:rsidR="00D063FF">
        <w:br/>
      </w:r>
      <w:r w:rsidR="00282731">
        <w:t>2 lots and</w:t>
      </w:r>
      <w:r w:rsidRPr="001A38B9">
        <w:t xml:space="preserve"> wants to reduce demand from 2 lots to zero, the bid would be fully applied</w:t>
      </w:r>
      <w:r w:rsidR="00282731">
        <w:t xml:space="preserve"> even if </w:t>
      </w:r>
      <w:r w:rsidR="00EC287F">
        <w:t xml:space="preserve">it leads to demand falling below supply and risking unsold lots. </w:t>
      </w:r>
    </w:p>
    <w:p w14:paraId="061BA83C" w14:textId="27C874D3" w:rsidR="00194E40" w:rsidRPr="007F4FFD" w:rsidRDefault="00395C08" w:rsidP="00FD139A">
      <w:pPr>
        <w:pStyle w:val="Paragraph"/>
      </w:pPr>
      <w:r>
        <w:t>Should th</w:t>
      </w:r>
      <w:r w:rsidR="0044657E">
        <w:t>e</w:t>
      </w:r>
      <w:r w:rsidR="00B76690">
        <w:t xml:space="preserve"> MSR </w:t>
      </w:r>
      <w:r w:rsidR="00DE7109">
        <w:t>feature</w:t>
      </w:r>
      <w:r w:rsidR="00B76690">
        <w:t xml:space="preserve"> be available</w:t>
      </w:r>
      <w:r w:rsidRPr="00395C08">
        <w:t xml:space="preserve">, the clock stage of the 2SC format may be separated into </w:t>
      </w:r>
      <w:r w:rsidRPr="00804BEB">
        <w:t xml:space="preserve">‘primary stage </w:t>
      </w:r>
      <w:r w:rsidR="00AA0CEB" w:rsidRPr="00804BEB">
        <w:t xml:space="preserve">rounds’ </w:t>
      </w:r>
      <w:r w:rsidRPr="00804BEB">
        <w:t>and ‘secondary stage</w:t>
      </w:r>
      <w:r w:rsidR="000F5918" w:rsidRPr="00804BEB">
        <w:t xml:space="preserve"> </w:t>
      </w:r>
      <w:r w:rsidR="00AA0CEB" w:rsidRPr="00804BEB">
        <w:t>rounds’</w:t>
      </w:r>
      <w:r w:rsidR="00EC287F" w:rsidRPr="00804BEB">
        <w:t>.</w:t>
      </w:r>
      <w:r w:rsidR="00257440" w:rsidDel="00257440">
        <w:rPr>
          <w:rStyle w:val="FootnoteReference"/>
        </w:rPr>
        <w:t xml:space="preserve"> </w:t>
      </w:r>
      <w:r w:rsidR="00EC287F" w:rsidRPr="00804BEB">
        <w:t xml:space="preserve"> T</w:t>
      </w:r>
      <w:r w:rsidRPr="00804BEB">
        <w:t>he</w:t>
      </w:r>
      <w:r w:rsidRPr="00395C08">
        <w:t xml:space="preserve"> secondary </w:t>
      </w:r>
      <w:r w:rsidRPr="00804BEB">
        <w:t xml:space="preserve">stage </w:t>
      </w:r>
      <w:r w:rsidR="00AA0CEB" w:rsidRPr="00804BEB">
        <w:t>rounds</w:t>
      </w:r>
      <w:r w:rsidR="00AA0CEB" w:rsidRPr="00395C08">
        <w:t xml:space="preserve"> </w:t>
      </w:r>
      <w:r w:rsidR="00194E40" w:rsidRPr="00804BEB">
        <w:t>use</w:t>
      </w:r>
      <w:r w:rsidRPr="00395C08">
        <w:t xml:space="preserve"> the SCA format </w:t>
      </w:r>
      <w:r w:rsidR="00054B4F">
        <w:t>to allocate any unsold lots</w:t>
      </w:r>
      <w:r w:rsidR="004235C5">
        <w:t xml:space="preserve"> </w:t>
      </w:r>
      <w:r w:rsidR="00F351AE">
        <w:t>resulting from the use of</w:t>
      </w:r>
      <w:r w:rsidR="004235C5">
        <w:t xml:space="preserve"> </w:t>
      </w:r>
      <w:r w:rsidR="00CF5B17">
        <w:t xml:space="preserve">the MSR in the primary </w:t>
      </w:r>
      <w:r w:rsidR="00CF5B17" w:rsidRPr="00804BEB">
        <w:t>stage</w:t>
      </w:r>
      <w:r w:rsidR="00476980" w:rsidRPr="00804BEB">
        <w:t xml:space="preserve"> </w:t>
      </w:r>
      <w:r w:rsidR="00AA0CEB" w:rsidRPr="00804BEB">
        <w:t>rounds</w:t>
      </w:r>
      <w:r w:rsidR="008C6323" w:rsidRPr="00804BEB">
        <w:t>.</w:t>
      </w:r>
      <w:r w:rsidR="00F8454B" w:rsidRPr="00804BEB">
        <w:rPr>
          <w:rStyle w:val="FootnoteReference"/>
        </w:rPr>
        <w:footnoteReference w:id="25"/>
      </w:r>
      <w:r w:rsidR="00194E40" w:rsidRPr="00031DDD">
        <w:t xml:space="preserve"> </w:t>
      </w:r>
    </w:p>
    <w:p w14:paraId="5062495A" w14:textId="567753D0" w:rsidR="004A0B6C" w:rsidRPr="007F4FFD" w:rsidRDefault="00717B41" w:rsidP="00FD139A">
      <w:pPr>
        <w:pStyle w:val="Paragraph"/>
      </w:pPr>
      <w:r w:rsidRPr="0086054E">
        <w:t>A</w:t>
      </w:r>
      <w:r w:rsidR="000A778C">
        <w:t xml:space="preserve"> bidder may participate in the secondary </w:t>
      </w:r>
      <w:r w:rsidR="000A778C" w:rsidRPr="0086054E">
        <w:t xml:space="preserve">stage </w:t>
      </w:r>
      <w:r w:rsidRPr="0086054E">
        <w:t>rounds</w:t>
      </w:r>
      <w:r>
        <w:t xml:space="preserve"> </w:t>
      </w:r>
      <w:r w:rsidR="000A778C">
        <w:t xml:space="preserve">of </w:t>
      </w:r>
      <w:r w:rsidRPr="0086054E">
        <w:t>the clock stage</w:t>
      </w:r>
      <w:r w:rsidR="000A778C">
        <w:t xml:space="preserve"> for a product </w:t>
      </w:r>
      <w:r w:rsidR="00B15F39">
        <w:t xml:space="preserve">if </w:t>
      </w:r>
      <w:r w:rsidR="000A778C">
        <w:t xml:space="preserve">winning the unallocated lot would not result in an outcome that was not possible in the primary </w:t>
      </w:r>
      <w:r w:rsidR="0086054E" w:rsidRPr="0086054E">
        <w:t xml:space="preserve">stage </w:t>
      </w:r>
      <w:r w:rsidR="0054692E" w:rsidRPr="0086054E">
        <w:t xml:space="preserve">rounds of the clock </w:t>
      </w:r>
      <w:r w:rsidR="000A778C" w:rsidRPr="0086054E" w:rsidDel="0054692E">
        <w:t>stage</w:t>
      </w:r>
      <w:r w:rsidR="00446BD6">
        <w:t xml:space="preserve">. For example, </w:t>
      </w:r>
      <w:r w:rsidR="00B15F39">
        <w:t xml:space="preserve">a </w:t>
      </w:r>
      <w:r w:rsidR="00446BD6">
        <w:t xml:space="preserve">bidder </w:t>
      </w:r>
      <w:r w:rsidR="00B15F39" w:rsidRPr="0086054E">
        <w:t>cannot</w:t>
      </w:r>
      <w:r w:rsidR="00B15F39">
        <w:t xml:space="preserve"> win less </w:t>
      </w:r>
      <w:r w:rsidR="000A778C">
        <w:t xml:space="preserve">than their MSR or greater than </w:t>
      </w:r>
      <w:r w:rsidR="0054692E" w:rsidRPr="0086054E">
        <w:t>any</w:t>
      </w:r>
      <w:r w:rsidR="0054692E">
        <w:t xml:space="preserve"> </w:t>
      </w:r>
      <w:r w:rsidR="000A778C">
        <w:t>allocation limit</w:t>
      </w:r>
      <w:r w:rsidR="008F6AD8">
        <w:t xml:space="preserve"> in the secondary </w:t>
      </w:r>
      <w:r w:rsidR="0086054E" w:rsidRPr="0086054E">
        <w:t xml:space="preserve">stage </w:t>
      </w:r>
      <w:r w:rsidR="008C0346" w:rsidRPr="0086054E">
        <w:t>rounds</w:t>
      </w:r>
      <w:r w:rsidR="000A778C" w:rsidRPr="0086054E">
        <w:t>.</w:t>
      </w:r>
    </w:p>
    <w:p w14:paraId="10B3E6C3" w14:textId="260DAACE" w:rsidR="0068455D" w:rsidRPr="007F4FFD" w:rsidRDefault="0068455D" w:rsidP="00D65248">
      <w:pPr>
        <w:pStyle w:val="Paragraph"/>
        <w:spacing w:before="240" w:after="0"/>
        <w:outlineLvl w:val="3"/>
        <w:rPr>
          <w:b/>
          <w:bCs/>
          <w:i/>
          <w:iCs/>
        </w:rPr>
      </w:pPr>
      <w:r w:rsidRPr="007F4FFD">
        <w:rPr>
          <w:b/>
          <w:bCs/>
          <w:i/>
          <w:iCs/>
        </w:rPr>
        <w:t>Assignment stage</w:t>
      </w:r>
    </w:p>
    <w:p w14:paraId="1E5055F2" w14:textId="7A48FBBA" w:rsidR="00723F50" w:rsidRDefault="00616429" w:rsidP="00FD139A">
      <w:pPr>
        <w:pStyle w:val="Paragraph"/>
      </w:pPr>
      <w:r w:rsidRPr="007F4FFD">
        <w:t>The lots won by each bidder in the clock stage</w:t>
      </w:r>
      <w:r w:rsidRPr="00616429">
        <w:t xml:space="preserve"> are guaranteed to be frequency contiguous. The assignment stage gives bidders the opportunity to bid on specific frequency assignments for each product via a sealed-bid process. The winning combination of assignment bids is the one that maximises the value of the bids.</w:t>
      </w:r>
      <w:r w:rsidR="00BE7455">
        <w:t xml:space="preserve"> </w:t>
      </w:r>
    </w:p>
    <w:p w14:paraId="43726541" w14:textId="14F8866E" w:rsidR="002A7E19" w:rsidRDefault="00723F50" w:rsidP="00FD139A">
      <w:pPr>
        <w:pStyle w:val="Paragraph"/>
      </w:pPr>
      <w:r w:rsidRPr="00723F50">
        <w:t xml:space="preserve">Winning assignment bidders pay prices based on a particular pricing rule. The ACMA has typically used the nearest-Vickrey core pricing rule, which is a second-price rule that has the effect of each individual bidder (or group of bidders) paying </w:t>
      </w:r>
      <w:r w:rsidRPr="00397911">
        <w:t xml:space="preserve">at least as much as what is willing to be paid by another individual bidder (or group of bidders) </w:t>
      </w:r>
      <w:r w:rsidR="00BC358B" w:rsidRPr="00397911">
        <w:t>for a particular</w:t>
      </w:r>
      <w:r w:rsidRPr="00397911">
        <w:t xml:space="preserve"> frequency assignment.</w:t>
      </w:r>
      <w:r w:rsidR="00F9727A" w:rsidRPr="00397911">
        <w:t xml:space="preserve"> </w:t>
      </w:r>
      <w:r w:rsidR="003C335C" w:rsidRPr="00397911">
        <w:t>If a bidder does not have a preferred frequency range</w:t>
      </w:r>
      <w:r w:rsidR="003C335C" w:rsidRPr="003C335C">
        <w:t xml:space="preserve"> for a product, then the bidder does not need to place a bid.</w:t>
      </w:r>
    </w:p>
    <w:p w14:paraId="4CA5B64B" w14:textId="683E2A01" w:rsidR="008F7C8F" w:rsidRPr="006106C7" w:rsidRDefault="008F7C8F" w:rsidP="00C6798E">
      <w:pPr>
        <w:pStyle w:val="Heading3"/>
        <w:rPr>
          <w:szCs w:val="22"/>
        </w:rPr>
      </w:pPr>
      <w:bookmarkStart w:id="43" w:name="_Toc202867824"/>
      <w:r w:rsidRPr="006106C7">
        <w:rPr>
          <w:szCs w:val="22"/>
        </w:rPr>
        <w:t>Options for auction format</w:t>
      </w:r>
      <w:bookmarkEnd w:id="43"/>
    </w:p>
    <w:p w14:paraId="0C4F2E58" w14:textId="29E209A7" w:rsidR="008F7C8F" w:rsidRDefault="008F7C8F" w:rsidP="008F7C8F">
      <w:pPr>
        <w:pStyle w:val="Numberedparagraph"/>
        <w:numPr>
          <w:ilvl w:val="0"/>
          <w:numId w:val="0"/>
        </w:numPr>
        <w:spacing w:after="240" w:line="280" w:lineRule="atLeast"/>
      </w:pPr>
      <w:r w:rsidRPr="003066EC">
        <w:t xml:space="preserve">The auction formats available will depend partially on lot configuration. As such, we have identified 3 possible options for auction format. </w:t>
      </w:r>
      <w:r w:rsidR="00AD295E">
        <w:t>For</w:t>
      </w:r>
      <w:r w:rsidR="00CE0BC0">
        <w:t xml:space="preserve"> </w:t>
      </w:r>
      <w:r w:rsidR="0024561E">
        <w:t xml:space="preserve">lot </w:t>
      </w:r>
      <w:r w:rsidR="00AD295E">
        <w:t>confi</w:t>
      </w:r>
      <w:r w:rsidR="0024561E">
        <w:t>guration</w:t>
      </w:r>
      <w:r w:rsidR="00CE0BC0">
        <w:t xml:space="preserve"> option 1</w:t>
      </w:r>
      <w:r w:rsidR="006346E1">
        <w:t xml:space="preserve"> </w:t>
      </w:r>
      <w:r w:rsidR="00D063FF">
        <w:t>–</w:t>
      </w:r>
      <w:r w:rsidR="00CE0BC0" w:rsidRPr="003066EC">
        <w:t xml:space="preserve"> </w:t>
      </w:r>
      <w:r w:rsidRPr="003066EC">
        <w:t>2</w:t>
      </w:r>
      <w:r w:rsidR="00D063FF">
        <w:t xml:space="preserve"> </w:t>
      </w:r>
      <w:r w:rsidRPr="003066EC">
        <w:t>x</w:t>
      </w:r>
      <w:r w:rsidR="00D063FF">
        <w:t xml:space="preserve"> </w:t>
      </w:r>
      <w:r w:rsidRPr="003066EC">
        <w:t>15</w:t>
      </w:r>
      <w:r>
        <w:t> </w:t>
      </w:r>
      <w:r w:rsidRPr="003066EC">
        <w:t>MHz</w:t>
      </w:r>
      <w:r w:rsidR="002D79F8">
        <w:t xml:space="preserve"> and </w:t>
      </w:r>
      <w:r w:rsidRPr="003066EC">
        <w:t>2</w:t>
      </w:r>
      <w:r w:rsidR="00D063FF">
        <w:t xml:space="preserve"> </w:t>
      </w:r>
      <w:r w:rsidRPr="003066EC">
        <w:t>x</w:t>
      </w:r>
      <w:r w:rsidR="00D063FF">
        <w:t xml:space="preserve"> </w:t>
      </w:r>
      <w:r w:rsidRPr="003066EC">
        <w:t>10 MHz</w:t>
      </w:r>
      <w:r w:rsidR="00AD295E">
        <w:t xml:space="preserve">, there are </w:t>
      </w:r>
      <w:r w:rsidR="00130BE3">
        <w:t>2</w:t>
      </w:r>
      <w:r w:rsidR="00AD295E">
        <w:t xml:space="preserve"> </w:t>
      </w:r>
      <w:r w:rsidR="0024561E">
        <w:t>options available to allocate licences</w:t>
      </w:r>
      <w:r w:rsidRPr="003066EC">
        <w:t xml:space="preserve"> </w:t>
      </w:r>
      <w:r>
        <w:t xml:space="preserve">(option </w:t>
      </w:r>
      <w:r w:rsidR="007522ED">
        <w:t xml:space="preserve">A </w:t>
      </w:r>
      <w:r>
        <w:t xml:space="preserve">and option </w:t>
      </w:r>
      <w:r w:rsidR="007522ED">
        <w:t>B</w:t>
      </w:r>
      <w:r w:rsidR="0024561E">
        <w:t>). For</w:t>
      </w:r>
      <w:r w:rsidR="0024561E" w:rsidRPr="003066EC">
        <w:t xml:space="preserve"> </w:t>
      </w:r>
      <w:r w:rsidR="006346E1" w:rsidRPr="003066EC">
        <w:t>lot configuration</w:t>
      </w:r>
      <w:r w:rsidR="006346E1">
        <w:t xml:space="preserve"> </w:t>
      </w:r>
      <w:r w:rsidR="00A93B6E">
        <w:t>option 2</w:t>
      </w:r>
      <w:r w:rsidR="006F2460">
        <w:t>,5 generic</w:t>
      </w:r>
      <w:r w:rsidR="00A93B6E">
        <w:t xml:space="preserve"> </w:t>
      </w:r>
      <w:r w:rsidRPr="003066EC">
        <w:t>2</w:t>
      </w:r>
      <w:r w:rsidR="00D063FF">
        <w:t xml:space="preserve"> </w:t>
      </w:r>
      <w:r w:rsidRPr="003066EC">
        <w:t>x</w:t>
      </w:r>
      <w:r w:rsidR="00D063FF">
        <w:t xml:space="preserve"> </w:t>
      </w:r>
      <w:r w:rsidRPr="003066EC">
        <w:t>5 MHz lots</w:t>
      </w:r>
      <w:r w:rsidR="0024561E">
        <w:t>, there is only one allocation option</w:t>
      </w:r>
      <w:r w:rsidRPr="003066EC">
        <w:t xml:space="preserve"> </w:t>
      </w:r>
      <w:r>
        <w:t xml:space="preserve">(option </w:t>
      </w:r>
      <w:r w:rsidR="007522ED">
        <w:t>C</w:t>
      </w:r>
      <w:r>
        <w:t>).</w:t>
      </w:r>
      <w:r w:rsidR="006E4BAC">
        <w:t xml:space="preserve"> The below options refer to </w:t>
      </w:r>
      <w:r w:rsidR="00E61B97">
        <w:t xml:space="preserve">paired </w:t>
      </w:r>
      <w:r w:rsidR="004612E2">
        <w:t>spectrum</w:t>
      </w:r>
      <w:r w:rsidR="00CF7C27">
        <w:t xml:space="preserve"> to </w:t>
      </w:r>
      <w:r w:rsidR="00D373BB">
        <w:t xml:space="preserve">align with interested parties understanding of </w:t>
      </w:r>
      <w:r w:rsidR="00B0799B">
        <w:t xml:space="preserve">how </w:t>
      </w:r>
      <w:r w:rsidR="00D373BB">
        <w:t xml:space="preserve">the </w:t>
      </w:r>
      <w:r w:rsidR="00233B80">
        <w:t>service operates</w:t>
      </w:r>
      <w:r w:rsidR="000817BC">
        <w:t>. How</w:t>
      </w:r>
      <w:r w:rsidR="00135910">
        <w:t>e</w:t>
      </w:r>
      <w:r w:rsidR="000817BC">
        <w:t>ver</w:t>
      </w:r>
      <w:r w:rsidR="00D063FF">
        <w:t>,</w:t>
      </w:r>
      <w:r w:rsidR="00E61B97">
        <w:t xml:space="preserve"> as stated above, a</w:t>
      </w:r>
      <w:r w:rsidR="00390BC5">
        <w:t xml:space="preserve"> </w:t>
      </w:r>
      <w:r w:rsidR="00A44483">
        <w:t>price-based</w:t>
      </w:r>
      <w:r w:rsidR="00390BC5">
        <w:t xml:space="preserve"> allocation</w:t>
      </w:r>
      <w:r w:rsidR="00E61B97">
        <w:t xml:space="preserve"> would only be used to allocate </w:t>
      </w:r>
      <w:r w:rsidR="00583838">
        <w:t xml:space="preserve">the transmit portion of each paired </w:t>
      </w:r>
      <w:r w:rsidR="004612E2">
        <w:t>spectrum</w:t>
      </w:r>
      <w:r w:rsidR="00583838">
        <w:t>, with the receive portion allocated administratively</w:t>
      </w:r>
      <w:r w:rsidR="00597A06">
        <w:t xml:space="preserve"> through a separate process</w:t>
      </w:r>
      <w:r w:rsidR="00583838">
        <w:t>.</w:t>
      </w:r>
    </w:p>
    <w:p w14:paraId="54B1AA4D" w14:textId="1D23FECC" w:rsidR="008F7C8F" w:rsidRPr="00760C7E" w:rsidRDefault="008F7C8F" w:rsidP="000670CC">
      <w:pPr>
        <w:pStyle w:val="Executivesummarysubheading"/>
        <w:keepNext/>
        <w:spacing w:after="0"/>
      </w:pPr>
      <w:r w:rsidRPr="00760C7E">
        <w:t xml:space="preserve">Option </w:t>
      </w:r>
      <w:r w:rsidR="007522ED">
        <w:t>A</w:t>
      </w:r>
      <w:r w:rsidRPr="00760C7E">
        <w:t xml:space="preserve">: Sequential auctions using the </w:t>
      </w:r>
      <w:bookmarkStart w:id="44" w:name="_Hlk193719677"/>
      <w:r w:rsidRPr="00760C7E">
        <w:t>SCA format</w:t>
      </w:r>
      <w:bookmarkEnd w:id="44"/>
      <w:r>
        <w:t xml:space="preserve"> (</w:t>
      </w:r>
      <w:r w:rsidRPr="001937E0">
        <w:t>2</w:t>
      </w:r>
      <w:r w:rsidR="00D063FF">
        <w:t xml:space="preserve"> </w:t>
      </w:r>
      <w:r w:rsidRPr="001937E0">
        <w:t>x</w:t>
      </w:r>
      <w:r w:rsidR="00D063FF">
        <w:t xml:space="preserve"> </w:t>
      </w:r>
      <w:r w:rsidRPr="001937E0">
        <w:t>15 MHz</w:t>
      </w:r>
      <w:r w:rsidR="009412E2">
        <w:t xml:space="preserve"> and </w:t>
      </w:r>
      <w:r w:rsidRPr="001937E0">
        <w:t>2</w:t>
      </w:r>
      <w:r w:rsidR="00D063FF">
        <w:t xml:space="preserve"> </w:t>
      </w:r>
      <w:r w:rsidRPr="001937E0">
        <w:t>x</w:t>
      </w:r>
      <w:r w:rsidR="00D063FF">
        <w:t xml:space="preserve"> </w:t>
      </w:r>
      <w:r w:rsidRPr="001937E0">
        <w:t>10 MHz lot</w:t>
      </w:r>
      <w:r>
        <w:t>s)</w:t>
      </w:r>
    </w:p>
    <w:p w14:paraId="3EDF3EFD" w14:textId="0E1E7316" w:rsidR="008F7C8F" w:rsidRDefault="001321F5" w:rsidP="008F7C8F">
      <w:pPr>
        <w:pStyle w:val="Paragraph"/>
      </w:pPr>
      <w:r>
        <w:t xml:space="preserve">Under this option, </w:t>
      </w:r>
      <w:r w:rsidR="00D063FF">
        <w:t>we</w:t>
      </w:r>
      <w:r w:rsidR="00DD0D87">
        <w:t xml:space="preserve"> will run 2 auctions</w:t>
      </w:r>
      <w:r w:rsidR="001540E1">
        <w:t>,</w:t>
      </w:r>
      <w:r w:rsidR="00DD0D87">
        <w:t xml:space="preserve"> </w:t>
      </w:r>
      <w:r w:rsidR="001540E1">
        <w:t xml:space="preserve">each </w:t>
      </w:r>
      <w:r w:rsidR="00DD0D87">
        <w:t>using the</w:t>
      </w:r>
      <w:r w:rsidR="008F7C8F">
        <w:t xml:space="preserve"> SCA </w:t>
      </w:r>
      <w:r w:rsidR="00C00BE7">
        <w:t>format</w:t>
      </w:r>
      <w:r w:rsidR="00DD0D87">
        <w:t>. The first auction will be</w:t>
      </w:r>
      <w:r w:rsidR="00C00BE7">
        <w:t xml:space="preserve"> </w:t>
      </w:r>
      <w:r w:rsidR="008F7C8F">
        <w:t>for the 15 MHz lot</w:t>
      </w:r>
      <w:r w:rsidR="001540E1">
        <w:t xml:space="preserve">. </w:t>
      </w:r>
      <w:r w:rsidR="007F72C3">
        <w:t xml:space="preserve">Shortly after, </w:t>
      </w:r>
      <w:r w:rsidR="00D063FF">
        <w:t>we</w:t>
      </w:r>
      <w:r w:rsidR="007F72C3">
        <w:t xml:space="preserve"> will run t</w:t>
      </w:r>
      <w:r w:rsidR="001540E1">
        <w:t>he second auction</w:t>
      </w:r>
      <w:r w:rsidR="00882ADC">
        <w:t xml:space="preserve"> </w:t>
      </w:r>
      <w:r w:rsidR="008F7C8F">
        <w:t xml:space="preserve">for the </w:t>
      </w:r>
      <w:r w:rsidR="00B71142">
        <w:t>10 </w:t>
      </w:r>
      <w:r w:rsidR="008F7C8F">
        <w:t>MHz lot.</w:t>
      </w:r>
    </w:p>
    <w:p w14:paraId="158042C9" w14:textId="111D01FE" w:rsidR="008F7C8F" w:rsidRDefault="008F7C8F" w:rsidP="008F7C8F">
      <w:pPr>
        <w:pStyle w:val="Paragraph"/>
      </w:pPr>
      <w:r>
        <w:lastRenderedPageBreak/>
        <w:t xml:space="preserve">This approach is relatively simple, as it allows bidders to focus on one </w:t>
      </w:r>
      <w:r w:rsidR="00A53303">
        <w:t xml:space="preserve">lot </w:t>
      </w:r>
      <w:r>
        <w:t xml:space="preserve">at a time. </w:t>
      </w:r>
      <w:r w:rsidRPr="000374F1">
        <w:t>The price continues to rise, and bidders can remain in the auction until the price gets too high for them, at which point they can place an exit bid.</w:t>
      </w:r>
    </w:p>
    <w:p w14:paraId="748EC872" w14:textId="11E19F1F" w:rsidR="008F7C8F" w:rsidRDefault="008F7C8F" w:rsidP="00A05EA8">
      <w:pPr>
        <w:pStyle w:val="Paragraph"/>
      </w:pPr>
      <w:r>
        <w:t xml:space="preserve">However, an SCA format limits flexibility, in that bidders cannot switch demand between the </w:t>
      </w:r>
      <w:r w:rsidR="00573601">
        <w:t>2</w:t>
      </w:r>
      <w:r>
        <w:t xml:space="preserve"> </w:t>
      </w:r>
      <w:r w:rsidR="00B304B7" w:rsidRPr="00BE4F41">
        <w:t>lots</w:t>
      </w:r>
      <w:r w:rsidRPr="00BE4F41">
        <w:t>.</w:t>
      </w:r>
      <w:r>
        <w:t xml:space="preserve"> </w:t>
      </w:r>
      <w:r w:rsidRPr="001F4467">
        <w:t xml:space="preserve">Bidders will therefore have to rely on their own private valuations as they are unable to gain an understanding of the market value </w:t>
      </w:r>
      <w:r w:rsidR="00A33DDC">
        <w:t xml:space="preserve">of </w:t>
      </w:r>
      <w:r w:rsidRPr="001F4467">
        <w:t xml:space="preserve">the </w:t>
      </w:r>
      <w:r>
        <w:t>other</w:t>
      </w:r>
      <w:r w:rsidRPr="001F4467">
        <w:t xml:space="preserve"> lot</w:t>
      </w:r>
      <w:r w:rsidR="005F05B5">
        <w:t xml:space="preserve"> </w:t>
      </w:r>
      <w:r w:rsidR="003765A5">
        <w:t>in real time</w:t>
      </w:r>
      <w:r w:rsidRPr="001F4467">
        <w:t xml:space="preserve">, which may </w:t>
      </w:r>
      <w:r>
        <w:t>inhibit</w:t>
      </w:r>
      <w:r w:rsidRPr="001F4467">
        <w:t xml:space="preserve"> an efficient allocation of spectrum</w:t>
      </w:r>
      <w:r>
        <w:t>.</w:t>
      </w:r>
    </w:p>
    <w:p w14:paraId="24ACBCCB" w14:textId="2E1403F1" w:rsidR="008F7C8F" w:rsidRPr="003537A4" w:rsidRDefault="008F7C8F" w:rsidP="00BE0384">
      <w:pPr>
        <w:pStyle w:val="Executivesummarysubheading"/>
        <w:keepNext/>
        <w:spacing w:after="0"/>
        <w:rPr>
          <w:szCs w:val="22"/>
        </w:rPr>
      </w:pPr>
      <w:r w:rsidRPr="003537A4">
        <w:rPr>
          <w:szCs w:val="22"/>
        </w:rPr>
        <w:t xml:space="preserve">Option </w:t>
      </w:r>
      <w:r w:rsidR="007522ED" w:rsidRPr="003537A4">
        <w:rPr>
          <w:szCs w:val="22"/>
        </w:rPr>
        <w:t>B</w:t>
      </w:r>
      <w:r w:rsidRPr="003537A4">
        <w:rPr>
          <w:szCs w:val="22"/>
        </w:rPr>
        <w:t xml:space="preserve">: Simultaneous auction using </w:t>
      </w:r>
      <w:r w:rsidR="009051E4">
        <w:rPr>
          <w:szCs w:val="22"/>
        </w:rPr>
        <w:t xml:space="preserve">a </w:t>
      </w:r>
      <w:r w:rsidR="005C418C" w:rsidRPr="003537A4">
        <w:rPr>
          <w:szCs w:val="22"/>
        </w:rPr>
        <w:t>S</w:t>
      </w:r>
      <w:r w:rsidR="00500055">
        <w:rPr>
          <w:szCs w:val="22"/>
        </w:rPr>
        <w:t>ingle-</w:t>
      </w:r>
      <w:r w:rsidR="005C418C" w:rsidRPr="003537A4">
        <w:rPr>
          <w:szCs w:val="22"/>
        </w:rPr>
        <w:t>S</w:t>
      </w:r>
      <w:r w:rsidR="00500055">
        <w:rPr>
          <w:szCs w:val="22"/>
        </w:rPr>
        <w:t xml:space="preserve">tage </w:t>
      </w:r>
      <w:r w:rsidR="005C418C" w:rsidRPr="003537A4">
        <w:rPr>
          <w:szCs w:val="22"/>
        </w:rPr>
        <w:t>C</w:t>
      </w:r>
      <w:r w:rsidR="00500055">
        <w:rPr>
          <w:szCs w:val="22"/>
        </w:rPr>
        <w:t>lock (</w:t>
      </w:r>
      <w:r w:rsidR="005C418C" w:rsidRPr="003537A4">
        <w:rPr>
          <w:szCs w:val="22"/>
        </w:rPr>
        <w:t>SSC</w:t>
      </w:r>
      <w:r w:rsidR="00500055">
        <w:rPr>
          <w:szCs w:val="22"/>
        </w:rPr>
        <w:t>)</w:t>
      </w:r>
      <w:r w:rsidR="00500055" w:rsidRPr="00500055">
        <w:rPr>
          <w:rStyle w:val="FootnoteReference"/>
        </w:rPr>
        <w:t xml:space="preserve"> </w:t>
      </w:r>
      <w:r w:rsidR="00500055">
        <w:rPr>
          <w:rStyle w:val="FootnoteReference"/>
        </w:rPr>
        <w:footnoteReference w:id="26"/>
      </w:r>
      <w:r w:rsidRPr="003537A4">
        <w:rPr>
          <w:szCs w:val="22"/>
        </w:rPr>
        <w:t xml:space="preserve"> format </w:t>
      </w:r>
      <w:r w:rsidR="00D063FF">
        <w:rPr>
          <w:szCs w:val="22"/>
        </w:rPr>
        <w:br/>
      </w:r>
      <w:r w:rsidRPr="003537A4">
        <w:rPr>
          <w:szCs w:val="22"/>
        </w:rPr>
        <w:t>(2</w:t>
      </w:r>
      <w:r w:rsidR="00D063FF">
        <w:rPr>
          <w:szCs w:val="22"/>
        </w:rPr>
        <w:t xml:space="preserve"> </w:t>
      </w:r>
      <w:r w:rsidRPr="003537A4">
        <w:rPr>
          <w:szCs w:val="22"/>
        </w:rPr>
        <w:t>x</w:t>
      </w:r>
      <w:r w:rsidR="00D063FF">
        <w:rPr>
          <w:szCs w:val="22"/>
        </w:rPr>
        <w:t xml:space="preserve"> </w:t>
      </w:r>
      <w:r w:rsidRPr="003537A4">
        <w:rPr>
          <w:szCs w:val="22"/>
        </w:rPr>
        <w:t>15 MHz</w:t>
      </w:r>
      <w:r w:rsidR="00C70B3F">
        <w:rPr>
          <w:szCs w:val="22"/>
        </w:rPr>
        <w:t xml:space="preserve"> and </w:t>
      </w:r>
      <w:r w:rsidRPr="003537A4">
        <w:rPr>
          <w:szCs w:val="22"/>
        </w:rPr>
        <w:t>2</w:t>
      </w:r>
      <w:r w:rsidR="00D063FF">
        <w:rPr>
          <w:szCs w:val="22"/>
        </w:rPr>
        <w:t xml:space="preserve"> </w:t>
      </w:r>
      <w:r w:rsidRPr="003537A4">
        <w:rPr>
          <w:szCs w:val="22"/>
        </w:rPr>
        <w:t>x</w:t>
      </w:r>
      <w:r w:rsidR="00D063FF">
        <w:rPr>
          <w:szCs w:val="22"/>
        </w:rPr>
        <w:t xml:space="preserve"> </w:t>
      </w:r>
      <w:r w:rsidRPr="003537A4">
        <w:rPr>
          <w:szCs w:val="22"/>
        </w:rPr>
        <w:t>10 MHz lots)</w:t>
      </w:r>
    </w:p>
    <w:p w14:paraId="16D9752A" w14:textId="4E786A39" w:rsidR="0025204A" w:rsidRDefault="006C091D" w:rsidP="008F7C8F">
      <w:pPr>
        <w:pStyle w:val="Paragraph"/>
      </w:pPr>
      <w:r>
        <w:t>B</w:t>
      </w:r>
      <w:r w:rsidR="008F7C8F">
        <w:t xml:space="preserve">oth lots </w:t>
      </w:r>
      <w:r>
        <w:t xml:space="preserve">will be auctioned </w:t>
      </w:r>
      <w:r w:rsidR="008F7C8F">
        <w:t>at the same time</w:t>
      </w:r>
      <w:r w:rsidR="009544DE">
        <w:t xml:space="preserve">, </w:t>
      </w:r>
      <w:r>
        <w:t xml:space="preserve">allowing </w:t>
      </w:r>
      <w:r w:rsidR="008F7C8F" w:rsidRPr="00FB7B7B">
        <w:t xml:space="preserve">bidders </w:t>
      </w:r>
      <w:r>
        <w:t xml:space="preserve">to </w:t>
      </w:r>
      <w:r w:rsidR="008F7C8F" w:rsidRPr="00FB7B7B">
        <w:t>switch their demand between</w:t>
      </w:r>
      <w:r w:rsidR="00755189">
        <w:t xml:space="preserve"> </w:t>
      </w:r>
      <w:r w:rsidR="00C61D8A">
        <w:t>the</w:t>
      </w:r>
      <w:r w:rsidR="007069BD">
        <w:t xml:space="preserve"> lots </w:t>
      </w:r>
      <w:r w:rsidR="00E67135">
        <w:t>in the clock stage</w:t>
      </w:r>
      <w:r w:rsidR="009544DE">
        <w:t xml:space="preserve"> </w:t>
      </w:r>
      <w:r w:rsidR="00755189">
        <w:t>(subject to allocation limits</w:t>
      </w:r>
      <w:r w:rsidR="000B0129">
        <w:t>, if any</w:t>
      </w:r>
      <w:r w:rsidR="00755189">
        <w:t>)</w:t>
      </w:r>
      <w:r w:rsidR="008F7C8F">
        <w:t>, with no secondary</w:t>
      </w:r>
      <w:r w:rsidR="00760F1E">
        <w:t xml:space="preserve"> stage</w:t>
      </w:r>
      <w:r w:rsidR="008F7C8F">
        <w:t xml:space="preserve"> </w:t>
      </w:r>
      <w:r w:rsidR="00452F68" w:rsidRPr="00300CE4">
        <w:t>rounds</w:t>
      </w:r>
      <w:r w:rsidR="00452F68">
        <w:t xml:space="preserve"> </w:t>
      </w:r>
      <w:r w:rsidR="008F7C8F">
        <w:t>or assignment stage required.</w:t>
      </w:r>
      <w:r w:rsidR="0025204A">
        <w:t xml:space="preserve"> </w:t>
      </w:r>
      <w:r w:rsidR="008F7C8F">
        <w:t>This option allows bidders to switch demand a</w:t>
      </w:r>
      <w:r w:rsidR="008F7C8F" w:rsidRPr="00B01025">
        <w:t xml:space="preserve">s they gain </w:t>
      </w:r>
      <w:r w:rsidR="007250CA">
        <w:t xml:space="preserve">insight into the relative </w:t>
      </w:r>
      <w:r w:rsidR="008F7C8F" w:rsidRPr="00B01025">
        <w:t xml:space="preserve">market value of </w:t>
      </w:r>
      <w:r w:rsidR="00414A59">
        <w:t xml:space="preserve">each </w:t>
      </w:r>
      <w:r w:rsidR="007250CA">
        <w:t>lot</w:t>
      </w:r>
      <w:r w:rsidR="008F7C8F" w:rsidRPr="00B01025">
        <w:t xml:space="preserve"> through the auction</w:t>
      </w:r>
      <w:r w:rsidR="00D976C8">
        <w:t xml:space="preserve"> process</w:t>
      </w:r>
      <w:r w:rsidR="008F7C8F" w:rsidRPr="00B01025">
        <w:t>.</w:t>
      </w:r>
      <w:r w:rsidR="008F7C8F">
        <w:t xml:space="preserve"> </w:t>
      </w:r>
    </w:p>
    <w:p w14:paraId="7B4E8721" w14:textId="430C84DE" w:rsidR="008F7C8F" w:rsidRPr="00FB7B7B" w:rsidRDefault="008F7C8F" w:rsidP="008F7C8F">
      <w:pPr>
        <w:pStyle w:val="Paragraph"/>
      </w:pPr>
      <w:r>
        <w:t>However</w:t>
      </w:r>
      <w:r w:rsidR="001127A8">
        <w:t>,</w:t>
      </w:r>
      <w:r>
        <w:t xml:space="preserve"> </w:t>
      </w:r>
      <w:r w:rsidR="00F42286">
        <w:t xml:space="preserve">whether a bidder’s bids </w:t>
      </w:r>
      <w:r>
        <w:t xml:space="preserve">to switch demand between </w:t>
      </w:r>
      <w:r w:rsidR="00C13040">
        <w:t>lots</w:t>
      </w:r>
      <w:r>
        <w:t xml:space="preserve"> </w:t>
      </w:r>
      <w:r w:rsidR="00223564">
        <w:t xml:space="preserve">are </w:t>
      </w:r>
      <w:r w:rsidR="005078BC">
        <w:t xml:space="preserve">able to be </w:t>
      </w:r>
      <w:r w:rsidR="00223564">
        <w:t xml:space="preserve">applied </w:t>
      </w:r>
      <w:r>
        <w:t xml:space="preserve">will </w:t>
      </w:r>
      <w:r w:rsidR="00D976C8">
        <w:t xml:space="preserve">depend </w:t>
      </w:r>
      <w:r>
        <w:t xml:space="preserve">on the level of demand. </w:t>
      </w:r>
      <w:r w:rsidRPr="00E2705A">
        <w:t xml:space="preserve">For example, if </w:t>
      </w:r>
      <w:r w:rsidR="00AA16F3">
        <w:t xml:space="preserve">a </w:t>
      </w:r>
      <w:r w:rsidRPr="00E2705A">
        <w:t xml:space="preserve">bidder </w:t>
      </w:r>
      <w:r w:rsidR="00695289">
        <w:t>submits bids to switch from</w:t>
      </w:r>
      <w:r w:rsidRPr="00E2705A">
        <w:t xml:space="preserve"> </w:t>
      </w:r>
      <w:r w:rsidR="00E00490">
        <w:t>the 10 MHz</w:t>
      </w:r>
      <w:r w:rsidRPr="00E2705A">
        <w:t xml:space="preserve"> </w:t>
      </w:r>
      <w:r w:rsidR="00C13040">
        <w:t>lot</w:t>
      </w:r>
      <w:r w:rsidRPr="00E2705A">
        <w:t xml:space="preserve"> </w:t>
      </w:r>
      <w:r w:rsidR="00695289">
        <w:t>to the 15 MHz lot</w:t>
      </w:r>
      <w:r w:rsidR="003F0688">
        <w:t xml:space="preserve"> and no other bidder has bid on the 10 MHz lot</w:t>
      </w:r>
      <w:r w:rsidR="00731980">
        <w:t xml:space="preserve"> </w:t>
      </w:r>
      <w:r w:rsidR="004245E5">
        <w:t xml:space="preserve">in </w:t>
      </w:r>
      <w:r w:rsidR="00731980">
        <w:t>that</w:t>
      </w:r>
      <w:r w:rsidR="004245E5">
        <w:t xml:space="preserve"> round</w:t>
      </w:r>
      <w:r w:rsidR="00A63745">
        <w:t xml:space="preserve">, </w:t>
      </w:r>
      <w:r w:rsidR="00C50E7B">
        <w:t>then these bids w</w:t>
      </w:r>
      <w:r w:rsidR="008B1221">
        <w:t xml:space="preserve">ill not be applied </w:t>
      </w:r>
      <w:r w:rsidRPr="00E2705A">
        <w:t xml:space="preserve">as the auction rules will prevent the </w:t>
      </w:r>
      <w:r>
        <w:t>1</w:t>
      </w:r>
      <w:r w:rsidRPr="00E2705A">
        <w:t xml:space="preserve">0 MHz </w:t>
      </w:r>
      <w:r w:rsidR="00C13040">
        <w:t>lot</w:t>
      </w:r>
      <w:r w:rsidR="00110F4B">
        <w:t>’s</w:t>
      </w:r>
      <w:r w:rsidRPr="00E2705A">
        <w:t xml:space="preserve"> demand from falling below supply</w:t>
      </w:r>
      <w:r w:rsidR="00E00490">
        <w:t xml:space="preserve"> (from one </w:t>
      </w:r>
      <w:r w:rsidR="004C282E">
        <w:t xml:space="preserve">lot </w:t>
      </w:r>
      <w:r w:rsidR="00E00490">
        <w:t>to zero)</w:t>
      </w:r>
      <w:r w:rsidRPr="00E2705A">
        <w:t>.</w:t>
      </w:r>
      <w:r w:rsidR="00D61CBB">
        <w:t xml:space="preserve"> The </w:t>
      </w:r>
      <w:r w:rsidR="003F79B3">
        <w:t xml:space="preserve">bidder </w:t>
      </w:r>
      <w:r w:rsidR="00273DBB">
        <w:t xml:space="preserve">therefore can attempt to switch </w:t>
      </w:r>
      <w:r w:rsidR="00F125C1">
        <w:t xml:space="preserve">their </w:t>
      </w:r>
      <w:r w:rsidR="00273DBB">
        <w:t xml:space="preserve">demand </w:t>
      </w:r>
      <w:r w:rsidR="00F125C1">
        <w:t xml:space="preserve">from one lot </w:t>
      </w:r>
      <w:r w:rsidR="003E3241">
        <w:t xml:space="preserve">to the other, </w:t>
      </w:r>
      <w:r w:rsidR="00273DBB">
        <w:t xml:space="preserve">but </w:t>
      </w:r>
      <w:r w:rsidR="00B8686B">
        <w:t xml:space="preserve">the level of </w:t>
      </w:r>
      <w:r w:rsidR="00273DBB">
        <w:t xml:space="preserve">demand </w:t>
      </w:r>
      <w:r w:rsidR="00B8686B">
        <w:t xml:space="preserve">from other bidders </w:t>
      </w:r>
      <w:r w:rsidR="00273DBB">
        <w:t>may constrain them from doing so.</w:t>
      </w:r>
    </w:p>
    <w:p w14:paraId="06BF1F5E" w14:textId="3E517F39" w:rsidR="0029548C" w:rsidRPr="00FB7B7B" w:rsidRDefault="00847A89" w:rsidP="008F7C8F">
      <w:pPr>
        <w:pStyle w:val="Paragraph"/>
      </w:pPr>
      <w:r>
        <w:t>Allowing</w:t>
      </w:r>
      <w:r w:rsidR="007E245A">
        <w:t xml:space="preserve"> switching between lots requires </w:t>
      </w:r>
      <w:r w:rsidR="00F72815">
        <w:t xml:space="preserve">treating </w:t>
      </w:r>
      <w:r w:rsidR="00986A69">
        <w:t xml:space="preserve">both lots </w:t>
      </w:r>
      <w:r w:rsidR="00F72815">
        <w:t xml:space="preserve">as </w:t>
      </w:r>
      <w:r>
        <w:t xml:space="preserve">the same </w:t>
      </w:r>
      <w:r w:rsidR="00801C4F">
        <w:t>in the</w:t>
      </w:r>
      <w:r w:rsidR="00F72815">
        <w:t xml:space="preserve"> auction</w:t>
      </w:r>
      <w:r w:rsidR="00017F09">
        <w:t xml:space="preserve"> despite their uneven </w:t>
      </w:r>
      <w:r w:rsidR="003E7AB8">
        <w:t>bandwidth</w:t>
      </w:r>
      <w:r w:rsidR="00017F09">
        <w:t xml:space="preserve">. This </w:t>
      </w:r>
      <w:r w:rsidR="00234C85">
        <w:t xml:space="preserve">can increase the </w:t>
      </w:r>
      <w:r w:rsidR="00017F09">
        <w:t xml:space="preserve">risk of bid parking, where </w:t>
      </w:r>
      <w:r w:rsidR="00C6139E">
        <w:t>bidders</w:t>
      </w:r>
      <w:r w:rsidR="00177D35">
        <w:t xml:space="preserve"> place demand on lots </w:t>
      </w:r>
      <w:r w:rsidR="00886F3E">
        <w:t xml:space="preserve">they do not intend to win </w:t>
      </w:r>
      <w:r w:rsidR="00E24E03">
        <w:t xml:space="preserve">and which typically have lower financial liability, </w:t>
      </w:r>
      <w:r w:rsidR="00886F3E">
        <w:t xml:space="preserve">with the intent of maintaining eligibility or </w:t>
      </w:r>
      <w:r w:rsidR="006118E3">
        <w:t xml:space="preserve">delaying competition for their desired lot(s). </w:t>
      </w:r>
      <w:r w:rsidR="00345BD1">
        <w:t xml:space="preserve">However, </w:t>
      </w:r>
      <w:r w:rsidR="00E24E03">
        <w:t xml:space="preserve">with </w:t>
      </w:r>
      <w:r w:rsidR="00345BD1">
        <w:t xml:space="preserve">only 2 lots in this </w:t>
      </w:r>
      <w:r w:rsidR="00DF2591">
        <w:t>auction</w:t>
      </w:r>
      <w:r w:rsidR="00345BD1">
        <w:t xml:space="preserve"> </w:t>
      </w:r>
      <w:r w:rsidR="00270066">
        <w:t>format option</w:t>
      </w:r>
      <w:r w:rsidR="000F3186">
        <w:t>, plus</w:t>
      </w:r>
      <w:r w:rsidR="00345BD1">
        <w:t xml:space="preserve"> constraints on switching </w:t>
      </w:r>
      <w:r w:rsidR="00DF2591">
        <w:t xml:space="preserve">between lots </w:t>
      </w:r>
      <w:r w:rsidR="009B4484">
        <w:t xml:space="preserve">if </w:t>
      </w:r>
      <w:r w:rsidR="00345BD1">
        <w:t xml:space="preserve">demand </w:t>
      </w:r>
      <w:r w:rsidR="009B4484">
        <w:t>is low</w:t>
      </w:r>
      <w:r w:rsidR="00345BD1">
        <w:t xml:space="preserve">, we expect </w:t>
      </w:r>
      <w:r w:rsidR="00C24BDC">
        <w:t>the risks involved</w:t>
      </w:r>
      <w:r w:rsidR="00B564F8">
        <w:t xml:space="preserve"> </w:t>
      </w:r>
      <w:r w:rsidR="00D52CE8">
        <w:t xml:space="preserve">with bid parking are </w:t>
      </w:r>
      <w:r w:rsidR="00DF2591">
        <w:t>minimal, and are</w:t>
      </w:r>
      <w:r w:rsidR="00D52CE8">
        <w:t xml:space="preserve"> outweighed by the </w:t>
      </w:r>
      <w:r w:rsidR="009934D2">
        <w:t>potential</w:t>
      </w:r>
      <w:r w:rsidR="00D52CE8">
        <w:t xml:space="preserve"> benefits of demand </w:t>
      </w:r>
      <w:r w:rsidR="009B4484">
        <w:t>flexibility</w:t>
      </w:r>
      <w:r w:rsidR="00D52CE8">
        <w:t>.</w:t>
      </w:r>
    </w:p>
    <w:p w14:paraId="0EA2ED76" w14:textId="77112824" w:rsidR="008F7C8F" w:rsidRPr="00760C7E" w:rsidRDefault="008F7C8F" w:rsidP="00816163">
      <w:pPr>
        <w:pStyle w:val="Executivesummarysubheading"/>
        <w:spacing w:after="0"/>
      </w:pPr>
      <w:r w:rsidRPr="00760C7E">
        <w:t xml:space="preserve">Option </w:t>
      </w:r>
      <w:r w:rsidR="007522ED">
        <w:t>C</w:t>
      </w:r>
      <w:r w:rsidRPr="00760C7E">
        <w:t xml:space="preserve">: Simultaneous auction using 2SC and </w:t>
      </w:r>
      <w:r>
        <w:t>SCA</w:t>
      </w:r>
      <w:r w:rsidRPr="00760C7E">
        <w:t xml:space="preserve"> formats</w:t>
      </w:r>
      <w:r>
        <w:t xml:space="preserve"> (</w:t>
      </w:r>
      <w:r w:rsidR="007B6377">
        <w:t>5</w:t>
      </w:r>
      <w:r w:rsidR="003169D4">
        <w:t xml:space="preserve"> </w:t>
      </w:r>
      <w:r w:rsidR="003169D4" w:rsidRPr="001937E0">
        <w:t xml:space="preserve">generic </w:t>
      </w:r>
      <w:r w:rsidRPr="001937E0">
        <w:t>2</w:t>
      </w:r>
      <w:r w:rsidR="00D063FF">
        <w:t xml:space="preserve"> </w:t>
      </w:r>
      <w:r w:rsidRPr="001937E0">
        <w:t>x</w:t>
      </w:r>
      <w:r w:rsidR="00D063FF">
        <w:t xml:space="preserve"> </w:t>
      </w:r>
      <w:r w:rsidRPr="001937E0">
        <w:t>5 MHz lots</w:t>
      </w:r>
      <w:r>
        <w:t>)</w:t>
      </w:r>
      <w:r w:rsidR="006409A0">
        <w:rPr>
          <w:rStyle w:val="FootnoteReference"/>
        </w:rPr>
        <w:footnoteReference w:id="27"/>
      </w:r>
    </w:p>
    <w:p w14:paraId="1FC13FBB" w14:textId="6B98A2AD" w:rsidR="00D96EDB" w:rsidRDefault="008F7C8F" w:rsidP="008F7C8F">
      <w:pPr>
        <w:pStyle w:val="Paragraph"/>
      </w:pPr>
      <w:r>
        <w:t xml:space="preserve">This auction will start with </w:t>
      </w:r>
      <w:r w:rsidR="007F646B">
        <w:t xml:space="preserve">the </w:t>
      </w:r>
      <w:r w:rsidR="00C35277" w:rsidRPr="001327AD">
        <w:t xml:space="preserve">primary </w:t>
      </w:r>
      <w:r w:rsidR="007118A3" w:rsidRPr="001327AD">
        <w:t xml:space="preserve">stage </w:t>
      </w:r>
      <w:r w:rsidR="00C35277" w:rsidRPr="001327AD">
        <w:t>rounds of the</w:t>
      </w:r>
      <w:r w:rsidR="00C35277">
        <w:t xml:space="preserve"> </w:t>
      </w:r>
      <w:r w:rsidR="004851BD">
        <w:t xml:space="preserve">clock </w:t>
      </w:r>
      <w:r>
        <w:t xml:space="preserve">stage </w:t>
      </w:r>
      <w:r w:rsidR="00654703">
        <w:t xml:space="preserve">of the </w:t>
      </w:r>
      <w:r w:rsidRPr="008502CB">
        <w:t>2SC format</w:t>
      </w:r>
      <w:r w:rsidR="00A46073">
        <w:t xml:space="preserve">, in which </w:t>
      </w:r>
      <w:r>
        <w:t xml:space="preserve">the </w:t>
      </w:r>
      <w:r w:rsidRPr="008502CB">
        <w:t>5 generic 5 MHz lots</w:t>
      </w:r>
      <w:r>
        <w:t xml:space="preserve"> will be allocated.</w:t>
      </w:r>
      <w:r w:rsidRPr="008502CB">
        <w:t xml:space="preserve"> </w:t>
      </w:r>
      <w:r w:rsidR="0034025B">
        <w:t>W</w:t>
      </w:r>
      <w:r w:rsidR="0034025B" w:rsidRPr="0034025B">
        <w:t>e expect the MSR would be capped at 2</w:t>
      </w:r>
      <w:r w:rsidR="00D04A63">
        <w:t> </w:t>
      </w:r>
      <w:r w:rsidR="0034025B" w:rsidRPr="0034025B">
        <w:t>lots (or 10 MHz)</w:t>
      </w:r>
      <w:r w:rsidR="00940B37">
        <w:t>.</w:t>
      </w:r>
    </w:p>
    <w:p w14:paraId="57FC0771" w14:textId="105B8C8C" w:rsidR="00AB7308" w:rsidRDefault="001F7638" w:rsidP="008F7C8F">
      <w:pPr>
        <w:pStyle w:val="Paragraph"/>
      </w:pPr>
      <w:r>
        <w:t>T</w:t>
      </w:r>
      <w:r w:rsidR="005D7903">
        <w:t xml:space="preserve">his stage will </w:t>
      </w:r>
      <w:r w:rsidR="00E80505">
        <w:t xml:space="preserve">progress provided demand exceeds the supply of 5 lots, and will </w:t>
      </w:r>
      <w:r w:rsidR="005D7903">
        <w:t xml:space="preserve">end when demand </w:t>
      </w:r>
      <w:r w:rsidR="00130BA5">
        <w:t>no longer exceeds</w:t>
      </w:r>
      <w:r w:rsidR="005D7903">
        <w:t xml:space="preserve"> the supply, such as </w:t>
      </w:r>
      <w:r w:rsidR="001F4D15">
        <w:t xml:space="preserve">when </w:t>
      </w:r>
      <w:r w:rsidR="005D7903">
        <w:t>2 remaining bidders express</w:t>
      </w:r>
      <w:r w:rsidR="001F4D15">
        <w:t xml:space="preserve"> </w:t>
      </w:r>
      <w:r w:rsidR="005D7903">
        <w:t>demand for 3 lots and 2 lots</w:t>
      </w:r>
      <w:r w:rsidR="00175C09">
        <w:t xml:space="preserve"> </w:t>
      </w:r>
      <w:r w:rsidR="001F4D15">
        <w:t xml:space="preserve">each, or 5 remaining bidders express demand for </w:t>
      </w:r>
      <w:r w:rsidR="00D063FF">
        <w:t xml:space="preserve">one </w:t>
      </w:r>
      <w:r w:rsidR="001F4D15">
        <w:t>lot each</w:t>
      </w:r>
      <w:r w:rsidR="005D7903">
        <w:t>.</w:t>
      </w:r>
    </w:p>
    <w:p w14:paraId="1B7C6DB5" w14:textId="60A080C7" w:rsidR="008F7C8F" w:rsidRDefault="001F7638" w:rsidP="008F7C8F">
      <w:pPr>
        <w:pStyle w:val="Paragraph"/>
      </w:pPr>
      <w:r>
        <w:t>I</w:t>
      </w:r>
      <w:r w:rsidR="008F7C8F" w:rsidRPr="00384B51">
        <w:t xml:space="preserve">f a single </w:t>
      </w:r>
      <w:r w:rsidR="00175C09">
        <w:t xml:space="preserve">lot remains </w:t>
      </w:r>
      <w:r w:rsidR="008F7C8F" w:rsidRPr="00384B51">
        <w:t xml:space="preserve">unallocated, secondary </w:t>
      </w:r>
      <w:r w:rsidR="008F7C8F">
        <w:t>stage</w:t>
      </w:r>
      <w:r w:rsidR="008F7C8F" w:rsidRPr="00384B51">
        <w:t xml:space="preserve"> </w:t>
      </w:r>
      <w:r w:rsidR="00BB3C6D">
        <w:t>round</w:t>
      </w:r>
      <w:r w:rsidR="00A56277">
        <w:t>s</w:t>
      </w:r>
      <w:r w:rsidR="00BB3C6D" w:rsidRPr="00384B51">
        <w:t xml:space="preserve"> </w:t>
      </w:r>
      <w:r w:rsidR="002266CB">
        <w:t xml:space="preserve">will be held </w:t>
      </w:r>
      <w:r w:rsidR="008F7C8F" w:rsidRPr="00384B51">
        <w:t xml:space="preserve">using the SCA format </w:t>
      </w:r>
      <w:r w:rsidR="002266CB">
        <w:t xml:space="preserve">to </w:t>
      </w:r>
      <w:r w:rsidR="00C06EE7">
        <w:t xml:space="preserve">allocate </w:t>
      </w:r>
      <w:r w:rsidR="008F7C8F" w:rsidRPr="00384B51">
        <w:t xml:space="preserve">the </w:t>
      </w:r>
      <w:r w:rsidR="008F7C8F">
        <w:t xml:space="preserve">remaining </w:t>
      </w:r>
      <w:r w:rsidR="008F7C8F" w:rsidRPr="00384B51">
        <w:t>lot</w:t>
      </w:r>
      <w:r w:rsidR="008F7C8F">
        <w:t xml:space="preserve">. Finally, </w:t>
      </w:r>
      <w:r w:rsidR="00F44B9A">
        <w:t>the</w:t>
      </w:r>
      <w:r w:rsidR="008F7C8F">
        <w:t xml:space="preserve"> </w:t>
      </w:r>
      <w:r w:rsidR="008F7C8F" w:rsidRPr="00786393">
        <w:t xml:space="preserve">assignment stage of </w:t>
      </w:r>
      <w:r w:rsidR="00F71564">
        <w:t>the</w:t>
      </w:r>
      <w:r w:rsidR="00F71564" w:rsidRPr="00786393">
        <w:t xml:space="preserve"> </w:t>
      </w:r>
      <w:r w:rsidR="008F7C8F" w:rsidRPr="00786393">
        <w:t>2SC format</w:t>
      </w:r>
      <w:r w:rsidR="007E508F">
        <w:t xml:space="preserve"> will </w:t>
      </w:r>
      <w:r w:rsidR="00C55EB4">
        <w:t>take place</w:t>
      </w:r>
      <w:r w:rsidR="0079394A">
        <w:t>,</w:t>
      </w:r>
      <w:r w:rsidR="008F7C8F" w:rsidRPr="00786393">
        <w:t xml:space="preserve"> </w:t>
      </w:r>
      <w:r w:rsidR="00502FE7">
        <w:t xml:space="preserve">which is </w:t>
      </w:r>
      <w:r w:rsidR="008F7C8F">
        <w:t xml:space="preserve">a </w:t>
      </w:r>
      <w:r w:rsidR="008F7C8F" w:rsidRPr="00786393">
        <w:t xml:space="preserve">sealed bid </w:t>
      </w:r>
      <w:r w:rsidR="00343806">
        <w:t>process to assign the</w:t>
      </w:r>
      <w:r w:rsidR="008F7C8F" w:rsidRPr="00786393">
        <w:t xml:space="preserve"> frequency </w:t>
      </w:r>
      <w:r w:rsidR="001F4D15">
        <w:t>range</w:t>
      </w:r>
      <w:r w:rsidR="00CB486F" w:rsidRPr="00D85E04">
        <w:t xml:space="preserve">. We are considering whether </w:t>
      </w:r>
      <w:r w:rsidR="008F7C8F" w:rsidRPr="00D85E04">
        <w:t xml:space="preserve">frequencies </w:t>
      </w:r>
      <w:r w:rsidR="00CB486F" w:rsidRPr="00D85E04">
        <w:t>should</w:t>
      </w:r>
      <w:r w:rsidR="007E508F" w:rsidRPr="00D85E04">
        <w:t xml:space="preserve"> be </w:t>
      </w:r>
      <w:r w:rsidR="008F7C8F" w:rsidRPr="00D85E04">
        <w:t xml:space="preserve">automatically assigned if the </w:t>
      </w:r>
      <w:r w:rsidR="00E472FE" w:rsidRPr="00D85E04">
        <w:t xml:space="preserve">clock </w:t>
      </w:r>
      <w:r w:rsidR="008F7C8F" w:rsidRPr="00D85E04">
        <w:t xml:space="preserve">stage outcome is 15 MHz </w:t>
      </w:r>
      <w:r w:rsidR="00E25501">
        <w:t>for one bidder</w:t>
      </w:r>
      <w:r w:rsidR="008F7C8F" w:rsidRPr="00D85E04">
        <w:t xml:space="preserve"> and 10</w:t>
      </w:r>
      <w:r w:rsidR="003D72AC" w:rsidRPr="00D85E04">
        <w:t> </w:t>
      </w:r>
      <w:r w:rsidR="008F7C8F" w:rsidRPr="00D85E04">
        <w:t>MHz</w:t>
      </w:r>
      <w:r w:rsidR="00E25501">
        <w:t xml:space="preserve"> for a second bidder</w:t>
      </w:r>
      <w:r w:rsidR="008F7C8F" w:rsidRPr="00D85E04">
        <w:t>.</w:t>
      </w:r>
      <w:r w:rsidR="008F7C8F">
        <w:t xml:space="preserve"> </w:t>
      </w:r>
    </w:p>
    <w:p w14:paraId="473C4C62" w14:textId="7FB40679" w:rsidR="008F7C8F" w:rsidRPr="003658B3" w:rsidRDefault="008F7C8F" w:rsidP="008F7C8F">
      <w:pPr>
        <w:pStyle w:val="Paragraph"/>
        <w:rPr>
          <w:szCs w:val="22"/>
        </w:rPr>
      </w:pPr>
      <w:r w:rsidRPr="003658B3">
        <w:rPr>
          <w:szCs w:val="22"/>
        </w:rPr>
        <w:lastRenderedPageBreak/>
        <w:t xml:space="preserve">This option allows for the most demand flexibility, </w:t>
      </w:r>
      <w:r w:rsidR="00465120">
        <w:rPr>
          <w:szCs w:val="22"/>
        </w:rPr>
        <w:t xml:space="preserve">as bidders can express demand for </w:t>
      </w:r>
      <w:r w:rsidR="00A9575E">
        <w:rPr>
          <w:szCs w:val="22"/>
        </w:rPr>
        <w:t xml:space="preserve">15 MHz or 10 MHz </w:t>
      </w:r>
      <w:r w:rsidR="00E472FE">
        <w:rPr>
          <w:szCs w:val="22"/>
        </w:rPr>
        <w:t xml:space="preserve">like </w:t>
      </w:r>
      <w:r w:rsidR="00744784">
        <w:rPr>
          <w:szCs w:val="22"/>
        </w:rPr>
        <w:t xml:space="preserve">in Options A and B, </w:t>
      </w:r>
      <w:r w:rsidR="00E472FE">
        <w:rPr>
          <w:szCs w:val="22"/>
        </w:rPr>
        <w:t xml:space="preserve">as well as </w:t>
      </w:r>
      <w:r w:rsidR="00A9575E">
        <w:rPr>
          <w:szCs w:val="22"/>
        </w:rPr>
        <w:t>5 MHz</w:t>
      </w:r>
      <w:r w:rsidR="00E7529F">
        <w:rPr>
          <w:szCs w:val="22"/>
        </w:rPr>
        <w:t xml:space="preserve">. </w:t>
      </w:r>
      <w:r w:rsidR="005A4A3E">
        <w:rPr>
          <w:szCs w:val="22"/>
        </w:rPr>
        <w:t xml:space="preserve">It </w:t>
      </w:r>
      <w:r w:rsidR="00E7529F">
        <w:rPr>
          <w:szCs w:val="22"/>
        </w:rPr>
        <w:t>also provides</w:t>
      </w:r>
      <w:r w:rsidRPr="003658B3">
        <w:rPr>
          <w:szCs w:val="22"/>
        </w:rPr>
        <w:t xml:space="preserve"> the greatest degree of transparency of the market value of the spectrum</w:t>
      </w:r>
      <w:r w:rsidR="00E7529F">
        <w:rPr>
          <w:szCs w:val="22"/>
        </w:rPr>
        <w:t>,</w:t>
      </w:r>
      <w:r w:rsidRPr="003658B3">
        <w:rPr>
          <w:szCs w:val="22"/>
        </w:rPr>
        <w:t xml:space="preserve"> since the lots on offer will be uniform in size and price. However, this option </w:t>
      </w:r>
      <w:r w:rsidR="00B33071">
        <w:rPr>
          <w:szCs w:val="22"/>
        </w:rPr>
        <w:t xml:space="preserve">increases the risk of </w:t>
      </w:r>
      <w:r w:rsidRPr="003658B3">
        <w:rPr>
          <w:szCs w:val="22"/>
        </w:rPr>
        <w:t xml:space="preserve">unsold lots and introduces </w:t>
      </w:r>
      <w:r w:rsidR="00DD260F">
        <w:rPr>
          <w:szCs w:val="22"/>
        </w:rPr>
        <w:t xml:space="preserve">more </w:t>
      </w:r>
      <w:r w:rsidRPr="003658B3">
        <w:rPr>
          <w:szCs w:val="22"/>
        </w:rPr>
        <w:t>complexity</w:t>
      </w:r>
      <w:r w:rsidR="005A4A3E">
        <w:rPr>
          <w:szCs w:val="22"/>
        </w:rPr>
        <w:t>. B</w:t>
      </w:r>
      <w:r w:rsidRPr="003658B3">
        <w:rPr>
          <w:szCs w:val="22"/>
        </w:rPr>
        <w:t xml:space="preserve">idders </w:t>
      </w:r>
      <w:r w:rsidR="005A4A3E">
        <w:rPr>
          <w:szCs w:val="22"/>
        </w:rPr>
        <w:t xml:space="preserve">must </w:t>
      </w:r>
      <w:r w:rsidRPr="003658B3">
        <w:rPr>
          <w:szCs w:val="22"/>
        </w:rPr>
        <w:t>manage the</w:t>
      </w:r>
      <w:r w:rsidR="00A56474" w:rsidRPr="003658B3">
        <w:rPr>
          <w:szCs w:val="22"/>
        </w:rPr>
        <w:t>ir</w:t>
      </w:r>
      <w:r w:rsidRPr="003658B3">
        <w:rPr>
          <w:szCs w:val="22"/>
        </w:rPr>
        <w:t xml:space="preserve"> MSR</w:t>
      </w:r>
      <w:r w:rsidR="00365906" w:rsidRPr="003658B3">
        <w:rPr>
          <w:szCs w:val="22"/>
        </w:rPr>
        <w:t xml:space="preserve">, </w:t>
      </w:r>
      <w:r w:rsidR="00B33071">
        <w:rPr>
          <w:szCs w:val="22"/>
        </w:rPr>
        <w:t xml:space="preserve">comply with any </w:t>
      </w:r>
      <w:r w:rsidR="00365906" w:rsidRPr="003658B3">
        <w:rPr>
          <w:szCs w:val="22"/>
        </w:rPr>
        <w:t>allocation limits</w:t>
      </w:r>
      <w:r w:rsidR="00694F7D">
        <w:rPr>
          <w:szCs w:val="22"/>
        </w:rPr>
        <w:t>,</w:t>
      </w:r>
      <w:r w:rsidR="006146C3" w:rsidRPr="003658B3">
        <w:rPr>
          <w:szCs w:val="22"/>
        </w:rPr>
        <w:t xml:space="preserve"> </w:t>
      </w:r>
      <w:r w:rsidR="00312F17" w:rsidRPr="003658B3">
        <w:rPr>
          <w:szCs w:val="22"/>
        </w:rPr>
        <w:t xml:space="preserve">consider </w:t>
      </w:r>
      <w:r w:rsidR="001820A6" w:rsidRPr="003658B3">
        <w:rPr>
          <w:szCs w:val="22"/>
        </w:rPr>
        <w:t>bid</w:t>
      </w:r>
      <w:r w:rsidR="00B33071">
        <w:rPr>
          <w:szCs w:val="22"/>
        </w:rPr>
        <w:t xml:space="preserve"> </w:t>
      </w:r>
      <w:r w:rsidR="001820A6" w:rsidRPr="003658B3">
        <w:rPr>
          <w:szCs w:val="22"/>
        </w:rPr>
        <w:t>process</w:t>
      </w:r>
      <w:r w:rsidR="00B33071">
        <w:rPr>
          <w:szCs w:val="22"/>
        </w:rPr>
        <w:t>ing rules</w:t>
      </w:r>
      <w:r w:rsidR="002B1EA4">
        <w:rPr>
          <w:szCs w:val="22"/>
        </w:rPr>
        <w:t>,</w:t>
      </w:r>
      <w:r w:rsidRPr="003658B3">
        <w:rPr>
          <w:szCs w:val="22"/>
        </w:rPr>
        <w:t xml:space="preserve"> </w:t>
      </w:r>
      <w:r w:rsidR="00B33071">
        <w:rPr>
          <w:szCs w:val="22"/>
        </w:rPr>
        <w:t xml:space="preserve">and </w:t>
      </w:r>
      <w:r w:rsidRPr="003658B3">
        <w:rPr>
          <w:szCs w:val="22"/>
        </w:rPr>
        <w:t>potential</w:t>
      </w:r>
      <w:r w:rsidR="00AC0A77" w:rsidRPr="003658B3">
        <w:rPr>
          <w:szCs w:val="22"/>
        </w:rPr>
        <w:t>ly participat</w:t>
      </w:r>
      <w:r w:rsidR="00B33071">
        <w:rPr>
          <w:szCs w:val="22"/>
        </w:rPr>
        <w:t>e</w:t>
      </w:r>
      <w:r w:rsidR="00AC0A77" w:rsidRPr="003658B3">
        <w:rPr>
          <w:szCs w:val="22"/>
        </w:rPr>
        <w:t xml:space="preserve"> in </w:t>
      </w:r>
      <w:r w:rsidRPr="003658B3">
        <w:rPr>
          <w:szCs w:val="22"/>
        </w:rPr>
        <w:t>secondar</w:t>
      </w:r>
      <w:r w:rsidRPr="00E547B2">
        <w:rPr>
          <w:szCs w:val="22"/>
        </w:rPr>
        <w:t xml:space="preserve">y </w:t>
      </w:r>
      <w:r w:rsidR="00715160">
        <w:rPr>
          <w:szCs w:val="22"/>
        </w:rPr>
        <w:t xml:space="preserve">stage </w:t>
      </w:r>
      <w:r w:rsidR="00B0415C" w:rsidRPr="00E547B2">
        <w:rPr>
          <w:szCs w:val="22"/>
        </w:rPr>
        <w:t xml:space="preserve">rounds in the clock </w:t>
      </w:r>
      <w:r w:rsidRPr="00E547B2">
        <w:rPr>
          <w:szCs w:val="22"/>
        </w:rPr>
        <w:t>stage.</w:t>
      </w:r>
      <w:r w:rsidRPr="003658B3">
        <w:rPr>
          <w:szCs w:val="22"/>
        </w:rPr>
        <w:t xml:space="preserve"> </w:t>
      </w:r>
    </w:p>
    <w:p w14:paraId="6F4B3480" w14:textId="77777777" w:rsidR="008F7C8F" w:rsidRDefault="008F7C8F" w:rsidP="004A62BD">
      <w:pPr>
        <w:pStyle w:val="Executivesummarysubheading"/>
        <w:spacing w:after="0"/>
      </w:pPr>
      <w:r w:rsidRPr="00607A16">
        <w:t>ACMA’s preliminary view:</w:t>
      </w:r>
      <w:r>
        <w:t xml:space="preserve"> Auction format</w:t>
      </w:r>
    </w:p>
    <w:p w14:paraId="3BAEC9BC" w14:textId="50847B6B" w:rsidR="008F7C8F" w:rsidRDefault="008F7C8F" w:rsidP="00BA1329">
      <w:pPr>
        <w:pStyle w:val="Paragraph"/>
      </w:pPr>
      <w:r>
        <w:t xml:space="preserve">We </w:t>
      </w:r>
      <w:r w:rsidRPr="00355C1B">
        <w:t xml:space="preserve">do not </w:t>
      </w:r>
      <w:r w:rsidR="00B74146" w:rsidRPr="00355C1B">
        <w:t>currently</w:t>
      </w:r>
      <w:r w:rsidRPr="00355C1B">
        <w:t xml:space="preserve"> have a preferred auction format for the allocation of licences in the </w:t>
      </w:r>
      <w:r w:rsidR="00D063FF">
        <w:br/>
      </w:r>
      <w:r w:rsidRPr="00355C1B">
        <w:t>2</w:t>
      </w:r>
      <w:r w:rsidR="00D063FF">
        <w:t xml:space="preserve"> </w:t>
      </w:r>
      <w:r w:rsidRPr="00355C1B">
        <w:t>x</w:t>
      </w:r>
      <w:r w:rsidR="00D063FF">
        <w:t xml:space="preserve"> </w:t>
      </w:r>
      <w:r w:rsidRPr="00355C1B">
        <w:t>15 MHz</w:t>
      </w:r>
      <w:r w:rsidR="00F12E84">
        <w:t xml:space="preserve"> and </w:t>
      </w:r>
      <w:r w:rsidRPr="00355C1B">
        <w:t>2</w:t>
      </w:r>
      <w:r w:rsidR="00D063FF">
        <w:t xml:space="preserve"> </w:t>
      </w:r>
      <w:r w:rsidRPr="00355C1B">
        <w:t>x</w:t>
      </w:r>
      <w:r w:rsidR="00D063FF">
        <w:t xml:space="preserve"> </w:t>
      </w:r>
      <w:r w:rsidRPr="00355C1B">
        <w:t xml:space="preserve">10MHz lot configuration. For </w:t>
      </w:r>
      <w:r w:rsidR="00A21F6F">
        <w:t xml:space="preserve">the </w:t>
      </w:r>
      <w:r w:rsidR="007063B7">
        <w:t>5 generic</w:t>
      </w:r>
      <w:r w:rsidRPr="00355C1B">
        <w:t xml:space="preserve"> 2</w:t>
      </w:r>
      <w:r w:rsidR="00D063FF">
        <w:t xml:space="preserve"> </w:t>
      </w:r>
      <w:r w:rsidRPr="00355C1B">
        <w:t>x</w:t>
      </w:r>
      <w:r w:rsidR="00D063FF">
        <w:t xml:space="preserve"> </w:t>
      </w:r>
      <w:r w:rsidRPr="00355C1B">
        <w:t>5 MHz lot</w:t>
      </w:r>
      <w:r w:rsidR="00233D45">
        <w:t>s</w:t>
      </w:r>
      <w:r w:rsidRPr="00355C1B">
        <w:t xml:space="preserve"> configuration, we propose only </w:t>
      </w:r>
      <w:r w:rsidR="00772EED" w:rsidRPr="00355C1B">
        <w:t xml:space="preserve">the 2SC format (using the SCA format for the secondary </w:t>
      </w:r>
      <w:r w:rsidR="00715160">
        <w:t xml:space="preserve">stage </w:t>
      </w:r>
      <w:r w:rsidR="00772EED" w:rsidRPr="00355C1B">
        <w:t>rounds, if any are held)</w:t>
      </w:r>
      <w:r w:rsidRPr="00355C1B">
        <w:t>.</w:t>
      </w:r>
      <w:r>
        <w:t xml:space="preserve"> </w:t>
      </w:r>
    </w:p>
    <w:p w14:paraId="380BB0B5" w14:textId="64F446C9" w:rsidR="00174EEC" w:rsidRDefault="00484EC8" w:rsidP="00174EEC">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45" w:name="_Toc202867825"/>
      <w:r>
        <w:t>Issue for comment</w:t>
      </w:r>
      <w:r w:rsidRPr="00E162C4">
        <w:t xml:space="preserve"> </w:t>
      </w:r>
      <w:r w:rsidR="00B35A19">
        <w:t>5</w:t>
      </w:r>
      <w:bookmarkEnd w:id="45"/>
    </w:p>
    <w:p w14:paraId="644CCC79" w14:textId="14C76B58" w:rsidR="00174EEC" w:rsidRPr="00961F07" w:rsidRDefault="008069B4" w:rsidP="00307737">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8069B4">
        <w:t>We are seeking stakeholder views on the preferred auction format</w:t>
      </w:r>
      <w:r w:rsidR="00174EEC" w:rsidRPr="008069B4">
        <w:rPr>
          <w:b/>
        </w:rPr>
        <w:t>.</w:t>
      </w:r>
    </w:p>
    <w:p w14:paraId="59764B17" w14:textId="62C49229" w:rsidR="00641754" w:rsidRPr="00402D86" w:rsidRDefault="00CF23AD" w:rsidP="00E87BDC">
      <w:pPr>
        <w:pStyle w:val="Heading2"/>
      </w:pPr>
      <w:bookmarkStart w:id="46" w:name="_Toc202867826"/>
      <w:r w:rsidRPr="00402D86">
        <w:t xml:space="preserve">CGC and </w:t>
      </w:r>
      <w:r w:rsidR="00736DDE" w:rsidRPr="00402D86">
        <w:t>DA2GC</w:t>
      </w:r>
      <w:r w:rsidRPr="00402D86">
        <w:t xml:space="preserve"> </w:t>
      </w:r>
      <w:r w:rsidR="005C117E" w:rsidRPr="00402D86">
        <w:t xml:space="preserve">licensing and allocation </w:t>
      </w:r>
      <w:r w:rsidR="00AF0E15" w:rsidRPr="00402D86">
        <w:t>arrangements</w:t>
      </w:r>
      <w:bookmarkEnd w:id="46"/>
    </w:p>
    <w:p w14:paraId="22C8190E" w14:textId="36AB41F7" w:rsidR="00095DD4" w:rsidRPr="00D22055" w:rsidRDefault="00095DD4" w:rsidP="00095DD4">
      <w:pPr>
        <w:pStyle w:val="Paragraph"/>
      </w:pPr>
      <w:r>
        <w:t xml:space="preserve">In January 2021, </w:t>
      </w:r>
      <w:r w:rsidR="00D063FF">
        <w:t>we</w:t>
      </w:r>
      <w:r>
        <w:t xml:space="preserve"> made a </w:t>
      </w:r>
      <w:r w:rsidRPr="002333A3">
        <w:t xml:space="preserve">planning decision to develop apparatus licensing arrangements to facilitate deployment of a CGC (including DA2GC) in the 2 GHz </w:t>
      </w:r>
      <w:r w:rsidR="00DD49D5">
        <w:t xml:space="preserve">MSS </w:t>
      </w:r>
      <w:r w:rsidRPr="002333A3">
        <w:t>band wh</w:t>
      </w:r>
      <w:r w:rsidRPr="00D22055">
        <w:t xml:space="preserve">ere a </w:t>
      </w:r>
      <w:r w:rsidR="00CC0E95" w:rsidRPr="00D22055">
        <w:t>space</w:t>
      </w:r>
      <w:r w:rsidRPr="00D22055">
        <w:t xml:space="preserve"> licensee wishes to supplement its MSS.</w:t>
      </w:r>
    </w:p>
    <w:p w14:paraId="5EE7664D" w14:textId="46BBE7DF" w:rsidR="00C87B01" w:rsidRDefault="00F94602" w:rsidP="00C87B01">
      <w:pPr>
        <w:pStyle w:val="Paragraph"/>
        <w:rPr>
          <w:szCs w:val="22"/>
        </w:rPr>
      </w:pPr>
      <w:r w:rsidRPr="00D22055">
        <w:rPr>
          <w:szCs w:val="22"/>
        </w:rPr>
        <w:t>CGC enables</w:t>
      </w:r>
      <w:r w:rsidR="00DF7656" w:rsidRPr="00D22055">
        <w:rPr>
          <w:szCs w:val="22"/>
        </w:rPr>
        <w:t xml:space="preserve"> </w:t>
      </w:r>
      <w:r w:rsidR="00CC0E95" w:rsidRPr="00D22055">
        <w:rPr>
          <w:szCs w:val="22"/>
        </w:rPr>
        <w:t xml:space="preserve">space </w:t>
      </w:r>
      <w:r w:rsidRPr="00D22055">
        <w:rPr>
          <w:szCs w:val="22"/>
        </w:rPr>
        <w:t>licensees</w:t>
      </w:r>
      <w:r w:rsidR="00CC0E95" w:rsidRPr="00D22055">
        <w:rPr>
          <w:szCs w:val="22"/>
        </w:rPr>
        <w:t xml:space="preserve"> providing MSS</w:t>
      </w:r>
      <w:r w:rsidRPr="00612480">
        <w:rPr>
          <w:szCs w:val="22"/>
        </w:rPr>
        <w:t xml:space="preserve"> to supplement satellite-based services with terrestrial infill services in areas where satellite services are ineffective or unviable, or where greater capacity is required.</w:t>
      </w:r>
      <w:r>
        <w:rPr>
          <w:szCs w:val="22"/>
        </w:rPr>
        <w:t xml:space="preserve"> </w:t>
      </w:r>
      <w:r w:rsidRPr="008F2880">
        <w:rPr>
          <w:szCs w:val="22"/>
        </w:rPr>
        <w:t xml:space="preserve">The CGC </w:t>
      </w:r>
      <w:r w:rsidR="00A074F4">
        <w:rPr>
          <w:szCs w:val="22"/>
        </w:rPr>
        <w:t>related to</w:t>
      </w:r>
      <w:r w:rsidRPr="00BC61C6">
        <w:rPr>
          <w:szCs w:val="22"/>
        </w:rPr>
        <w:t xml:space="preserve"> </w:t>
      </w:r>
      <w:r w:rsidRPr="002E40BA">
        <w:rPr>
          <w:szCs w:val="22"/>
        </w:rPr>
        <w:t>a</w:t>
      </w:r>
      <w:r w:rsidR="00CC0E95" w:rsidRPr="002E40BA">
        <w:rPr>
          <w:szCs w:val="22"/>
        </w:rPr>
        <w:t>n</w:t>
      </w:r>
      <w:r w:rsidRPr="008F2880">
        <w:rPr>
          <w:szCs w:val="22"/>
        </w:rPr>
        <w:t xml:space="preserve"> MSS is in many respects similar to a wide area wireless broadband (WBB) service. </w:t>
      </w:r>
      <w:r w:rsidR="00E706B4">
        <w:t>DA2GC is a subset of CGC</w:t>
      </w:r>
      <w:r w:rsidR="00B663EF">
        <w:t xml:space="preserve">. It </w:t>
      </w:r>
      <w:r w:rsidR="00B663EF" w:rsidRPr="008F2880">
        <w:rPr>
          <w:szCs w:val="22"/>
        </w:rPr>
        <w:t>is a technology that extends WBB services to aircraft</w:t>
      </w:r>
      <w:r w:rsidR="008E12CD">
        <w:rPr>
          <w:szCs w:val="22"/>
        </w:rPr>
        <w:t>. It is</w:t>
      </w:r>
      <w:r w:rsidR="00B663EF">
        <w:t xml:space="preserve"> </w:t>
      </w:r>
      <w:r w:rsidR="00E706B4">
        <w:t xml:space="preserve">used to provide communications </w:t>
      </w:r>
      <w:r w:rsidR="00E706B4" w:rsidRPr="00690870">
        <w:t>between ground stations and aircraft</w:t>
      </w:r>
      <w:r w:rsidR="00E706B4">
        <w:t>, often for onboard communications services.</w:t>
      </w:r>
      <w:r w:rsidR="00E706B4" w:rsidRPr="008F2880" w:rsidDel="008E12CD">
        <w:rPr>
          <w:szCs w:val="22"/>
        </w:rPr>
        <w:t xml:space="preserve"> </w:t>
      </w:r>
      <w:r w:rsidR="00C87B01" w:rsidRPr="008F2880">
        <w:rPr>
          <w:szCs w:val="22"/>
        </w:rPr>
        <w:t xml:space="preserve"> </w:t>
      </w:r>
    </w:p>
    <w:p w14:paraId="0D4CA0F8" w14:textId="2A0F32F3" w:rsidR="00190080" w:rsidRDefault="002F6410" w:rsidP="00C87B01">
      <w:pPr>
        <w:pStyle w:val="Paragraph"/>
      </w:pPr>
      <w:r w:rsidRPr="0002599E">
        <w:rPr>
          <w:szCs w:val="22"/>
        </w:rPr>
        <w:t>S</w:t>
      </w:r>
      <w:r w:rsidR="00CC3DA8" w:rsidRPr="0002599E">
        <w:rPr>
          <w:szCs w:val="22"/>
        </w:rPr>
        <w:t>ubmission</w:t>
      </w:r>
      <w:r w:rsidR="00C01C37" w:rsidRPr="0002599E">
        <w:rPr>
          <w:szCs w:val="22"/>
        </w:rPr>
        <w:t>s</w:t>
      </w:r>
      <w:r w:rsidR="00190080" w:rsidRPr="0002599E">
        <w:rPr>
          <w:szCs w:val="22"/>
        </w:rPr>
        <w:t xml:space="preserve"> to the November 2023 </w:t>
      </w:r>
      <w:r w:rsidR="005E3077">
        <w:rPr>
          <w:szCs w:val="22"/>
        </w:rPr>
        <w:t>d</w:t>
      </w:r>
      <w:r w:rsidR="007751BA" w:rsidRPr="0002599E">
        <w:rPr>
          <w:szCs w:val="22"/>
        </w:rPr>
        <w:t xml:space="preserve">iscussion </w:t>
      </w:r>
      <w:r w:rsidR="00190080" w:rsidRPr="0002599E">
        <w:rPr>
          <w:szCs w:val="22"/>
        </w:rPr>
        <w:t>paper</w:t>
      </w:r>
      <w:r w:rsidR="00CC3DA8" w:rsidRPr="0002599E">
        <w:rPr>
          <w:szCs w:val="22"/>
        </w:rPr>
        <w:t xml:space="preserve"> </w:t>
      </w:r>
      <w:r w:rsidRPr="0002599E">
        <w:rPr>
          <w:szCs w:val="22"/>
        </w:rPr>
        <w:t xml:space="preserve">do not appear to strongly </w:t>
      </w:r>
      <w:r w:rsidR="00A677DA" w:rsidRPr="0002599E">
        <w:rPr>
          <w:szCs w:val="22"/>
        </w:rPr>
        <w:t>oppose</w:t>
      </w:r>
      <w:r w:rsidR="00CE0136" w:rsidRPr="0002599E">
        <w:rPr>
          <w:szCs w:val="22"/>
        </w:rPr>
        <w:t xml:space="preserve"> CGC in the 2 GHz MSS band</w:t>
      </w:r>
      <w:r w:rsidR="00A643E5" w:rsidRPr="0002599E">
        <w:rPr>
          <w:szCs w:val="22"/>
        </w:rPr>
        <w:t xml:space="preserve">. </w:t>
      </w:r>
      <w:r w:rsidR="008B65D0" w:rsidRPr="0002599E">
        <w:rPr>
          <w:szCs w:val="22"/>
        </w:rPr>
        <w:t>W</w:t>
      </w:r>
      <w:r w:rsidR="00320B72" w:rsidRPr="0002599E">
        <w:rPr>
          <w:szCs w:val="22"/>
        </w:rPr>
        <w:t xml:space="preserve">e are </w:t>
      </w:r>
      <w:r w:rsidR="00963B57" w:rsidRPr="0002599E">
        <w:rPr>
          <w:szCs w:val="22"/>
        </w:rPr>
        <w:t>therefore looking</w:t>
      </w:r>
      <w:r w:rsidR="00320B72" w:rsidRPr="0002599E">
        <w:rPr>
          <w:szCs w:val="22"/>
        </w:rPr>
        <w:t xml:space="preserve"> to understand </w:t>
      </w:r>
      <w:r w:rsidR="00463248" w:rsidRPr="0002599E">
        <w:rPr>
          <w:szCs w:val="22"/>
        </w:rPr>
        <w:t xml:space="preserve">the </w:t>
      </w:r>
      <w:r w:rsidR="00320B72" w:rsidRPr="0002599E">
        <w:rPr>
          <w:szCs w:val="22"/>
        </w:rPr>
        <w:t>demand for</w:t>
      </w:r>
      <w:r w:rsidR="00387BEC" w:rsidRPr="0002599E">
        <w:rPr>
          <w:szCs w:val="22"/>
        </w:rPr>
        <w:t xml:space="preserve"> licences to support CGC</w:t>
      </w:r>
      <w:r w:rsidR="00320B72" w:rsidRPr="0002599E">
        <w:rPr>
          <w:szCs w:val="22"/>
        </w:rPr>
        <w:t xml:space="preserve">, </w:t>
      </w:r>
      <w:r w:rsidR="00A62531" w:rsidRPr="0002599E">
        <w:rPr>
          <w:szCs w:val="22"/>
        </w:rPr>
        <w:t>and if so, the types</w:t>
      </w:r>
      <w:r w:rsidR="00760AB3" w:rsidRPr="0002599E">
        <w:rPr>
          <w:szCs w:val="22"/>
        </w:rPr>
        <w:t xml:space="preserve"> of service or coverage area that would be required. </w:t>
      </w:r>
      <w:r w:rsidR="00B258EB" w:rsidRPr="0002599E">
        <w:rPr>
          <w:szCs w:val="22"/>
        </w:rPr>
        <w:t>This will inform the licensing arrangements for such services in the 2</w:t>
      </w:r>
      <w:r w:rsidR="00C84040" w:rsidRPr="0002599E">
        <w:rPr>
          <w:szCs w:val="22"/>
        </w:rPr>
        <w:t> </w:t>
      </w:r>
      <w:r w:rsidR="00B258EB" w:rsidRPr="0002599E">
        <w:rPr>
          <w:szCs w:val="22"/>
        </w:rPr>
        <w:t>GHz MSS band.</w:t>
      </w:r>
    </w:p>
    <w:p w14:paraId="6946686C" w14:textId="177AD9B4" w:rsidR="00D9610B" w:rsidRPr="00641754" w:rsidRDefault="00D9610B" w:rsidP="00641754">
      <w:pPr>
        <w:pStyle w:val="Paragraph"/>
      </w:pPr>
      <w:r>
        <w:t xml:space="preserve">The ACMA is still considering licensing and allocation arrangements for CGC and </w:t>
      </w:r>
      <w:r w:rsidR="00736DDE">
        <w:t>DA2GC</w:t>
      </w:r>
      <w:r>
        <w:t>.</w:t>
      </w:r>
    </w:p>
    <w:p w14:paraId="4854B907" w14:textId="50D178C4" w:rsidR="00317035" w:rsidRPr="00D00E3B" w:rsidRDefault="00747643" w:rsidP="00317035">
      <w:pPr>
        <w:pStyle w:val="Heading3"/>
      </w:pPr>
      <w:bookmarkStart w:id="47" w:name="_Toc202867827"/>
      <w:r>
        <w:t>Licensing arrangements</w:t>
      </w:r>
      <w:bookmarkEnd w:id="47"/>
    </w:p>
    <w:p w14:paraId="3BC19F34" w14:textId="75769578" w:rsidR="00751E37" w:rsidRDefault="00D669F3" w:rsidP="004370A2">
      <w:pPr>
        <w:pStyle w:val="Paragraph"/>
      </w:pPr>
      <w:r>
        <w:t xml:space="preserve">In the January 2021 </w:t>
      </w:r>
      <w:r w:rsidR="00D063FF">
        <w:t>o</w:t>
      </w:r>
      <w:r>
        <w:t>utcomes paper, w</w:t>
      </w:r>
      <w:r w:rsidR="0010016D">
        <w:t>e</w:t>
      </w:r>
      <w:r w:rsidR="00317035">
        <w:t xml:space="preserve"> expressed a view that some form of obligation should be established to require licensees to deploy MSS before operation of a CGC or DA2GC is permitted.</w:t>
      </w:r>
      <w:r w:rsidR="00EC5186">
        <w:t xml:space="preserve"> </w:t>
      </w:r>
      <w:r w:rsidR="002F522C">
        <w:t>This</w:t>
      </w:r>
      <w:r w:rsidR="00EC5186">
        <w:t xml:space="preserve"> is intended to </w:t>
      </w:r>
      <w:r w:rsidR="000B205D" w:rsidRPr="000B205D">
        <w:t xml:space="preserve">encourage the prioritisation of </w:t>
      </w:r>
      <w:r w:rsidR="000B205D">
        <w:t>MSS</w:t>
      </w:r>
      <w:r w:rsidR="000B205D" w:rsidRPr="000B205D">
        <w:t xml:space="preserve"> over terrestrial service</w:t>
      </w:r>
      <w:r w:rsidR="000B205D">
        <w:t>s</w:t>
      </w:r>
      <w:r w:rsidR="00CA451A">
        <w:t xml:space="preserve">. </w:t>
      </w:r>
      <w:r w:rsidR="000D687A">
        <w:t xml:space="preserve">We are considering </w:t>
      </w:r>
      <w:r w:rsidR="00C573D9">
        <w:t>options</w:t>
      </w:r>
      <w:r w:rsidR="00C573D9" w:rsidDel="005E2391">
        <w:t xml:space="preserve"> </w:t>
      </w:r>
      <w:r w:rsidR="005E2391">
        <w:t xml:space="preserve">to </w:t>
      </w:r>
      <w:r w:rsidR="00C573D9">
        <w:t>giv</w:t>
      </w:r>
      <w:r w:rsidR="005E2391">
        <w:t>e</w:t>
      </w:r>
      <w:r w:rsidR="00C573D9">
        <w:t xml:space="preserve"> effect t</w:t>
      </w:r>
      <w:r w:rsidR="000B12AC">
        <w:t xml:space="preserve">o </w:t>
      </w:r>
      <w:r w:rsidR="00C573D9">
        <w:t>t</w:t>
      </w:r>
      <w:r w:rsidR="00611991">
        <w:t>his</w:t>
      </w:r>
      <w:r w:rsidR="00B51385">
        <w:t>, including whether it would be appropriate to apply</w:t>
      </w:r>
      <w:r w:rsidR="00CE2B20">
        <w:t xml:space="preserve"> such considerations</w:t>
      </w:r>
      <w:r w:rsidR="00B51385">
        <w:t xml:space="preserve"> at the time </w:t>
      </w:r>
      <w:r w:rsidR="00092440">
        <w:t xml:space="preserve">CGC </w:t>
      </w:r>
      <w:r w:rsidR="00B51385">
        <w:t>licence</w:t>
      </w:r>
      <w:r w:rsidR="003364B0">
        <w:t xml:space="preserve"> applications are</w:t>
      </w:r>
      <w:r w:rsidR="00B51385">
        <w:t xml:space="preserve"> assessed, whether </w:t>
      </w:r>
      <w:r w:rsidR="00317035">
        <w:t xml:space="preserve">licence conditions </w:t>
      </w:r>
      <w:r w:rsidR="00751E37">
        <w:t>would be preferable</w:t>
      </w:r>
      <w:r w:rsidR="007B47E3">
        <w:t xml:space="preserve"> to </w:t>
      </w:r>
      <w:r w:rsidR="00AD4647">
        <w:t xml:space="preserve">limit </w:t>
      </w:r>
      <w:r w:rsidR="007B47E3" w:rsidRPr="00D22055">
        <w:t xml:space="preserve">use of </w:t>
      </w:r>
      <w:r w:rsidR="00DC2782" w:rsidRPr="00D22055">
        <w:t>apparatus licences for</w:t>
      </w:r>
      <w:r w:rsidR="00DC2782">
        <w:t xml:space="preserve"> </w:t>
      </w:r>
      <w:r w:rsidR="00182F10">
        <w:t xml:space="preserve">CGC/DA2GC </w:t>
      </w:r>
      <w:r w:rsidR="00AD4647">
        <w:t>to support an MSS service</w:t>
      </w:r>
      <w:r w:rsidR="00842257">
        <w:t>,</w:t>
      </w:r>
      <w:r w:rsidR="003364B0">
        <w:t xml:space="preserve"> or a combination of the </w:t>
      </w:r>
      <w:r w:rsidR="00573601">
        <w:t>2</w:t>
      </w:r>
      <w:r w:rsidR="003364B0">
        <w:t xml:space="preserve"> approaches</w:t>
      </w:r>
      <w:r w:rsidR="00317035">
        <w:t>.</w:t>
      </w:r>
    </w:p>
    <w:p w14:paraId="56904E8F" w14:textId="247EFC71" w:rsidR="004370A2" w:rsidRPr="004370A2" w:rsidRDefault="003364B0" w:rsidP="004370A2">
      <w:pPr>
        <w:pStyle w:val="Paragraph"/>
      </w:pPr>
      <w:r>
        <w:t>Given CGC/DA2GC is intended to complement M</w:t>
      </w:r>
      <w:r w:rsidRPr="00833A30">
        <w:t xml:space="preserve">SS, </w:t>
      </w:r>
      <w:r w:rsidR="0080445A" w:rsidRPr="00833A30">
        <w:t>the ACMA intends to issue apparatus</w:t>
      </w:r>
      <w:r w:rsidRPr="00833A30">
        <w:t xml:space="preserve"> licences for CGC/DA2GC with a</w:t>
      </w:r>
      <w:r w:rsidR="00A0412F" w:rsidRPr="00833A30">
        <w:t xml:space="preserve">n expiry date of no later than the expiry of the </w:t>
      </w:r>
      <w:r w:rsidR="00317035" w:rsidRPr="00833A30">
        <w:t xml:space="preserve">associated </w:t>
      </w:r>
      <w:r w:rsidR="0080445A" w:rsidRPr="00833A30">
        <w:t>space</w:t>
      </w:r>
      <w:r w:rsidR="00317035" w:rsidRPr="00833A30">
        <w:t xml:space="preserve"> licences</w:t>
      </w:r>
      <w:r w:rsidR="00317035">
        <w:t>.</w:t>
      </w:r>
    </w:p>
    <w:p w14:paraId="1E6AB7DF" w14:textId="5B19B9C1" w:rsidR="00F00D03" w:rsidRPr="00402D86" w:rsidRDefault="00784E6C" w:rsidP="00464367">
      <w:pPr>
        <w:pStyle w:val="Heading3"/>
      </w:pPr>
      <w:bookmarkStart w:id="48" w:name="_Toc202867828"/>
      <w:r w:rsidRPr="00402D86">
        <w:lastRenderedPageBreak/>
        <w:t>Licence type</w:t>
      </w:r>
      <w:bookmarkEnd w:id="48"/>
    </w:p>
    <w:p w14:paraId="09059F97" w14:textId="3D37579C" w:rsidR="003464AB" w:rsidRPr="00874171" w:rsidRDefault="003464AB" w:rsidP="003464AB">
      <w:pPr>
        <w:pStyle w:val="Paragraph"/>
        <w:rPr>
          <w:szCs w:val="22"/>
        </w:rPr>
      </w:pPr>
      <w:r w:rsidRPr="008C3B44">
        <w:rPr>
          <w:szCs w:val="22"/>
        </w:rPr>
        <w:t xml:space="preserve">In the </w:t>
      </w:r>
      <w:r>
        <w:rPr>
          <w:szCs w:val="22"/>
        </w:rPr>
        <w:t xml:space="preserve">January 2021 </w:t>
      </w:r>
      <w:r w:rsidR="00D063FF">
        <w:rPr>
          <w:szCs w:val="22"/>
        </w:rPr>
        <w:t>o</w:t>
      </w:r>
      <w:r w:rsidRPr="008C3B44">
        <w:rPr>
          <w:szCs w:val="22"/>
        </w:rPr>
        <w:t xml:space="preserve">utcomes paper, </w:t>
      </w:r>
      <w:r w:rsidR="00D063FF">
        <w:rPr>
          <w:szCs w:val="22"/>
        </w:rPr>
        <w:t>we</w:t>
      </w:r>
      <w:r w:rsidRPr="008C3B44">
        <w:rPr>
          <w:szCs w:val="22"/>
        </w:rPr>
        <w:t xml:space="preserve"> indicated </w:t>
      </w:r>
      <w:r w:rsidR="00D063FF">
        <w:rPr>
          <w:szCs w:val="22"/>
        </w:rPr>
        <w:t>our</w:t>
      </w:r>
      <w:r w:rsidRPr="008C3B44">
        <w:rPr>
          <w:szCs w:val="22"/>
        </w:rPr>
        <w:t xml:space="preserve"> preliminary view that CGC is more appropriately supported under an</w:t>
      </w:r>
      <w:r w:rsidR="00BB2817">
        <w:rPr>
          <w:szCs w:val="22"/>
        </w:rPr>
        <w:t xml:space="preserve"> area-wide licence (</w:t>
      </w:r>
      <w:r w:rsidRPr="008C3B44">
        <w:rPr>
          <w:szCs w:val="22"/>
        </w:rPr>
        <w:t>AWL</w:t>
      </w:r>
      <w:r w:rsidR="00BB2817">
        <w:rPr>
          <w:szCs w:val="22"/>
        </w:rPr>
        <w:t>)</w:t>
      </w:r>
      <w:r w:rsidRPr="008C3B44">
        <w:rPr>
          <w:szCs w:val="22"/>
        </w:rPr>
        <w:t>, and that the area-wide licensing type may be an appropriate licensing mechanism to provide flexibility in network deployment.</w:t>
      </w:r>
    </w:p>
    <w:p w14:paraId="7893B945" w14:textId="69520D94" w:rsidR="00874171" w:rsidRDefault="00885A02" w:rsidP="00874171">
      <w:pPr>
        <w:pStyle w:val="Paragraph"/>
      </w:pPr>
      <w:r>
        <w:t>One</w:t>
      </w:r>
      <w:r w:rsidR="002C6D29">
        <w:t xml:space="preserve"> submitter to the November 2023 </w:t>
      </w:r>
      <w:r w:rsidR="005E3077">
        <w:t>d</w:t>
      </w:r>
      <w:r>
        <w:t xml:space="preserve">iscussion </w:t>
      </w:r>
      <w:r w:rsidR="002C6D29">
        <w:t xml:space="preserve">paper </w:t>
      </w:r>
      <w:r w:rsidR="005F719C">
        <w:t>noted that spectrum licen</w:t>
      </w:r>
      <w:r w:rsidR="00E877C4">
        <w:t>sing</w:t>
      </w:r>
      <w:r w:rsidR="005F719C">
        <w:t xml:space="preserve"> is appropriate as </w:t>
      </w:r>
      <w:r w:rsidR="005802DB">
        <w:t xml:space="preserve">there is no </w:t>
      </w:r>
      <w:r w:rsidR="005802DB" w:rsidRPr="00833A30">
        <w:t xml:space="preserve">existing </w:t>
      </w:r>
      <w:r w:rsidR="00D571DF" w:rsidRPr="00833A30">
        <w:t>apparatus</w:t>
      </w:r>
      <w:r w:rsidR="005802DB" w:rsidRPr="00833A30">
        <w:t xml:space="preserve"> licence</w:t>
      </w:r>
      <w:r w:rsidR="005802DB">
        <w:t xml:space="preserve"> type for CGC</w:t>
      </w:r>
      <w:r w:rsidR="00741905">
        <w:t>.</w:t>
      </w:r>
      <w:r w:rsidR="00AA17E0">
        <w:t xml:space="preserve"> </w:t>
      </w:r>
      <w:r w:rsidR="009C32D8">
        <w:t xml:space="preserve">We consider AWL may be </w:t>
      </w:r>
      <w:r w:rsidR="00F14771">
        <w:t>one suitable licensing option</w:t>
      </w:r>
      <w:r w:rsidR="00E76E43">
        <w:t>, but also note that</w:t>
      </w:r>
      <w:r w:rsidR="00CD45B4">
        <w:t xml:space="preserve"> mobile or fixed licence types</w:t>
      </w:r>
      <w:r w:rsidR="003812A6">
        <w:t xml:space="preserve"> may also be appropriate</w:t>
      </w:r>
      <w:r w:rsidR="00F14771">
        <w:t xml:space="preserve">. </w:t>
      </w:r>
      <w:r w:rsidR="003C28BB" w:rsidRPr="003C28BB">
        <w:t>Unlike ‘service-specific’ apparatus licence types, which typically align with specific uses and purposes, the AWL type may be used for a wide range of purposes, uses, services, applications, and technologies. This flexibility is intended to allow the licensee to tailor the spectrum capacity and geographic reach of the licence to specific use-cases, including smaller-scale and/or bespoke deployments.</w:t>
      </w:r>
      <w:r w:rsidR="0098763E" w:rsidDel="0098763E">
        <w:t xml:space="preserve"> </w:t>
      </w:r>
    </w:p>
    <w:p w14:paraId="2867D839" w14:textId="09F64613" w:rsidR="002C6D29" w:rsidRPr="00784E6C" w:rsidRDefault="00D063FF" w:rsidP="00736DDE">
      <w:pPr>
        <w:pStyle w:val="Paragraph"/>
      </w:pPr>
      <w:r>
        <w:t>We are</w:t>
      </w:r>
      <w:r w:rsidR="008224D0">
        <w:t xml:space="preserve"> considering</w:t>
      </w:r>
      <w:r w:rsidR="009811C2">
        <w:t xml:space="preserve"> alternative apparatus </w:t>
      </w:r>
      <w:r w:rsidR="008224D0">
        <w:t>licensing options for CGC.</w:t>
      </w:r>
      <w:r w:rsidR="00F36FBD">
        <w:t xml:space="preserve"> The ACMA is interested in stakeholder views on the intended use-cases of a CGC</w:t>
      </w:r>
      <w:r w:rsidR="00592FA2">
        <w:t xml:space="preserve">, whether </w:t>
      </w:r>
      <w:r w:rsidR="00592FA2" w:rsidRPr="00833A30">
        <w:t xml:space="preserve">the </w:t>
      </w:r>
      <w:r w:rsidR="00D04414" w:rsidRPr="00833A30">
        <w:t>relevant apparatus</w:t>
      </w:r>
      <w:r w:rsidR="00592FA2" w:rsidRPr="00833A30">
        <w:t xml:space="preserve"> licence would cover the entire area of Australia or a specific geographic</w:t>
      </w:r>
      <w:r w:rsidR="00592FA2">
        <w:t xml:space="preserve"> area,</w:t>
      </w:r>
      <w:r w:rsidR="00F36FBD">
        <w:t xml:space="preserve"> </w:t>
      </w:r>
      <w:r w:rsidR="00396060">
        <w:t xml:space="preserve">and </w:t>
      </w:r>
      <w:r w:rsidR="00F73F18">
        <w:t xml:space="preserve">what </w:t>
      </w:r>
      <w:r w:rsidR="00E32794">
        <w:t xml:space="preserve">your </w:t>
      </w:r>
      <w:r w:rsidR="00F73F18">
        <w:t>preferred method of</w:t>
      </w:r>
      <w:r w:rsidR="00396060">
        <w:t xml:space="preserve"> licensing </w:t>
      </w:r>
      <w:r w:rsidR="00F73F18">
        <w:t>is, if any.</w:t>
      </w:r>
    </w:p>
    <w:p w14:paraId="07499B32" w14:textId="21FC92ED" w:rsidR="0031728F" w:rsidRPr="00607A16" w:rsidRDefault="005137F8" w:rsidP="00E841AF">
      <w:pPr>
        <w:pStyle w:val="Executivesummarysubheading"/>
        <w:keepNext/>
        <w:spacing w:after="0"/>
      </w:pPr>
      <w:r w:rsidRPr="00607A16">
        <w:t xml:space="preserve">ACMA’s preliminary view: </w:t>
      </w:r>
      <w:r w:rsidR="009A32B0" w:rsidRPr="00607A16">
        <w:t>CGC/DA2GC</w:t>
      </w:r>
    </w:p>
    <w:p w14:paraId="3FE672EE" w14:textId="49F0D6D6" w:rsidR="0029351E" w:rsidRDefault="0029351E" w:rsidP="009A32B0">
      <w:pPr>
        <w:pStyle w:val="Paragraph"/>
      </w:pPr>
      <w:r>
        <w:t xml:space="preserve">Broadly, we remain of the view that </w:t>
      </w:r>
      <w:r w:rsidR="00DA1806">
        <w:t>t</w:t>
      </w:r>
      <w:r w:rsidR="00DA1806" w:rsidRPr="00DA1806">
        <w:t xml:space="preserve">hose successful in the </w:t>
      </w:r>
      <w:r w:rsidR="00942A4D">
        <w:t xml:space="preserve">2 GHz MSS band </w:t>
      </w:r>
      <w:r w:rsidR="00BB59DA">
        <w:t xml:space="preserve">licence </w:t>
      </w:r>
      <w:r w:rsidR="00942A4D">
        <w:t xml:space="preserve">allocation </w:t>
      </w:r>
      <w:r w:rsidR="00BD60F1">
        <w:t xml:space="preserve">will have the </w:t>
      </w:r>
      <w:r w:rsidR="00DA1806" w:rsidRPr="00DA1806">
        <w:t>option of applying for a separate apparatus licence to support CGC or DA2GC.</w:t>
      </w:r>
      <w:r w:rsidR="00942A4D">
        <w:t xml:space="preserve"> The licence ought to be used to supplement the MSS service</w:t>
      </w:r>
      <w:r w:rsidR="00CD7DD1">
        <w:t>.</w:t>
      </w:r>
    </w:p>
    <w:p w14:paraId="516B747B" w14:textId="4D88F7C1" w:rsidR="00473D4E" w:rsidRDefault="00A91B99" w:rsidP="00473D4E">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49" w:name="_Toc202867829"/>
      <w:r w:rsidRPr="00484EC8">
        <w:t xml:space="preserve">Issue for comment </w:t>
      </w:r>
      <w:r w:rsidR="002910CF">
        <w:t>6</w:t>
      </w:r>
      <w:bookmarkEnd w:id="49"/>
    </w:p>
    <w:p w14:paraId="32401258" w14:textId="1BCB5331" w:rsidR="00473D4E" w:rsidRPr="00473D4E" w:rsidRDefault="00473D4E" w:rsidP="0029531C">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80"/>
        <w:rPr>
          <w:b/>
        </w:rPr>
      </w:pPr>
      <w:r w:rsidRPr="00473D4E">
        <w:t>We have not formed a preliminary view on licensing arrangements for CGC/DA2GC</w:t>
      </w:r>
      <w:r w:rsidR="00B12D17">
        <w:t xml:space="preserve"> at this stage</w:t>
      </w:r>
      <w:r w:rsidRPr="00473D4E">
        <w:t>. We are seeking comment from parties interested in MSS licences on:</w:t>
      </w:r>
    </w:p>
    <w:p w14:paraId="5F0C996D" w14:textId="53317AF8" w:rsidR="00473D4E" w:rsidRPr="008D648E" w:rsidRDefault="00473D4E" w:rsidP="0029531C">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80"/>
        <w:ind w:left="284" w:hanging="284"/>
        <w:rPr>
          <w:b/>
        </w:rPr>
      </w:pPr>
      <w:r w:rsidRPr="00473D4E">
        <w:t>•</w:t>
      </w:r>
      <w:r w:rsidRPr="00473D4E">
        <w:tab/>
      </w:r>
      <w:r w:rsidR="00DC152C">
        <w:t>D</w:t>
      </w:r>
      <w:r w:rsidRPr="00473D4E">
        <w:t xml:space="preserve">emand for a licence </w:t>
      </w:r>
      <w:r w:rsidRPr="008D648E">
        <w:t xml:space="preserve">authorising </w:t>
      </w:r>
      <w:r w:rsidR="002910CF">
        <w:t>stati</w:t>
      </w:r>
      <w:r w:rsidR="006D75FD">
        <w:t>ons</w:t>
      </w:r>
      <w:r w:rsidR="00FE0740" w:rsidRPr="008D648E">
        <w:t xml:space="preserve"> for </w:t>
      </w:r>
      <w:r w:rsidRPr="008D648E">
        <w:t>CGC or DA2GC, and timing for implementation.</w:t>
      </w:r>
    </w:p>
    <w:p w14:paraId="0166D42D" w14:textId="7DCE7254" w:rsidR="00473D4E" w:rsidRPr="008D648E" w:rsidRDefault="00473D4E" w:rsidP="0029531C">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80"/>
        <w:ind w:left="284" w:hanging="284"/>
        <w:rPr>
          <w:b/>
        </w:rPr>
      </w:pPr>
      <w:r w:rsidRPr="008D648E">
        <w:t>•</w:t>
      </w:r>
      <w:r w:rsidRPr="008D648E">
        <w:tab/>
        <w:t xml:space="preserve">Intended use cases including the number of </w:t>
      </w:r>
      <w:r w:rsidR="0073729A" w:rsidRPr="0073729A">
        <w:t>stations to be authorised</w:t>
      </w:r>
      <w:r w:rsidRPr="008D648E">
        <w:t>.</w:t>
      </w:r>
    </w:p>
    <w:p w14:paraId="5E607D84" w14:textId="77777777" w:rsidR="001D4E66" w:rsidRPr="008D648E" w:rsidRDefault="00473D4E" w:rsidP="0029531C">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80"/>
        <w:ind w:left="284" w:hanging="284"/>
      </w:pPr>
      <w:r w:rsidRPr="008D648E">
        <w:t>•</w:t>
      </w:r>
      <w:r w:rsidRPr="008D648E">
        <w:tab/>
        <w:t>Preferred licensing approach, if there is one.</w:t>
      </w:r>
      <w:r w:rsidR="001D4E66" w:rsidRPr="008D648E">
        <w:t xml:space="preserve"> </w:t>
      </w:r>
    </w:p>
    <w:p w14:paraId="4126E523" w14:textId="1828B55B" w:rsidR="008F00F1" w:rsidRPr="001D4E66" w:rsidRDefault="001D4E66" w:rsidP="0029531C">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b/>
        </w:rPr>
      </w:pPr>
      <w:r w:rsidRPr="008D648E">
        <w:t>•</w:t>
      </w:r>
      <w:r w:rsidRPr="008D648E">
        <w:tab/>
        <w:t xml:space="preserve">Whether the intended use requires an entity other than the </w:t>
      </w:r>
      <w:r w:rsidR="00A87FC4" w:rsidRPr="008D648E">
        <w:t>space</w:t>
      </w:r>
      <w:r w:rsidRPr="008D648E">
        <w:t xml:space="preserve"> licensee</w:t>
      </w:r>
      <w:r w:rsidRPr="001D4E66">
        <w:t xml:space="preserve"> to be the licensee for CGC/DA2GC</w:t>
      </w:r>
      <w:r w:rsidR="00C830D2">
        <w:t>.</w:t>
      </w:r>
    </w:p>
    <w:p w14:paraId="41C5591B" w14:textId="089100D1" w:rsidR="00F00D03" w:rsidRPr="00E75D12" w:rsidRDefault="008B5ECD" w:rsidP="00E75D12">
      <w:pPr>
        <w:pStyle w:val="Heading1"/>
      </w:pPr>
      <w:bookmarkStart w:id="50" w:name="_Space_regulatory_matters"/>
      <w:bookmarkStart w:id="51" w:name="_Ref199344144"/>
      <w:bookmarkStart w:id="52" w:name="_Ref199924206"/>
      <w:bookmarkStart w:id="53" w:name="_Toc202867830"/>
      <w:bookmarkEnd w:id="50"/>
      <w:r w:rsidRPr="00E75D12">
        <w:lastRenderedPageBreak/>
        <w:t>S</w:t>
      </w:r>
      <w:r w:rsidR="00751356" w:rsidRPr="00E75D12">
        <w:t xml:space="preserve">pace regulatory </w:t>
      </w:r>
      <w:r w:rsidR="00F00D03" w:rsidRPr="00E75D12">
        <w:t>matters</w:t>
      </w:r>
      <w:bookmarkEnd w:id="51"/>
      <w:bookmarkEnd w:id="52"/>
      <w:bookmarkEnd w:id="53"/>
    </w:p>
    <w:p w14:paraId="6BE8D863" w14:textId="77FBD0CE" w:rsidR="007A7809" w:rsidRDefault="00D36A75" w:rsidP="007A7809">
      <w:pPr>
        <w:pStyle w:val="Paragraph"/>
      </w:pPr>
      <w:r w:rsidRPr="00B971F8">
        <w:t>A key requirement</w:t>
      </w:r>
      <w:r>
        <w:t xml:space="preserve"> of our </w:t>
      </w:r>
      <w:r w:rsidRPr="00B971F8">
        <w:t xml:space="preserve">approach to licensing </w:t>
      </w:r>
      <w:r>
        <w:t xml:space="preserve">of space-based communications system is that </w:t>
      </w:r>
      <w:r w:rsidR="007A7809">
        <w:t>b</w:t>
      </w:r>
      <w:r w:rsidR="007A7809" w:rsidRPr="00050CE2">
        <w:t xml:space="preserve">efore operating a satellite system to provide services to Australia, </w:t>
      </w:r>
      <w:r w:rsidR="00951D44" w:rsidRPr="00951D44">
        <w:t>a national administration must file</w:t>
      </w:r>
      <w:r w:rsidR="007A7809" w:rsidRPr="00050CE2">
        <w:t xml:space="preserve"> the technical details of the system with the ITU for </w:t>
      </w:r>
      <w:r w:rsidR="00204E76">
        <w:t>ultimate</w:t>
      </w:r>
      <w:r w:rsidR="007A7809" w:rsidRPr="00050CE2">
        <w:t xml:space="preserve"> inclusion in the Master International Frequency Register. Satellite systems may be filed </w:t>
      </w:r>
      <w:r w:rsidR="00844068">
        <w:t>by</w:t>
      </w:r>
      <w:r w:rsidR="00844068" w:rsidRPr="00050CE2">
        <w:t xml:space="preserve"> </w:t>
      </w:r>
      <w:r w:rsidR="007A7809" w:rsidRPr="00050CE2">
        <w:t>any national administration recognised by the ITU.</w:t>
      </w:r>
    </w:p>
    <w:p w14:paraId="4129B620" w14:textId="511BA7F5" w:rsidR="00203C0F" w:rsidRDefault="00203C0F" w:rsidP="007A7809">
      <w:pPr>
        <w:pStyle w:val="Paragraph"/>
      </w:pPr>
      <w:r>
        <w:t xml:space="preserve">For </w:t>
      </w:r>
      <w:r w:rsidR="00744026">
        <w:t>a</w:t>
      </w:r>
      <w:r>
        <w:t xml:space="preserve"> space and space receive licence, space stations in the satellite system need to be </w:t>
      </w:r>
      <w:r w:rsidRPr="00EB6D49">
        <w:t xml:space="preserve">owned, controlled or operated by a person named in the ASOD </w:t>
      </w:r>
      <w:r w:rsidRPr="004A43C6">
        <w:t xml:space="preserve">or the FSOD. As such the licensee </w:t>
      </w:r>
      <w:r w:rsidR="00091494">
        <w:t xml:space="preserve">generally </w:t>
      </w:r>
      <w:r w:rsidRPr="004A43C6">
        <w:t>needs to be an entity listed in the ASOD/FSOD.</w:t>
      </w:r>
      <w:r>
        <w:t xml:space="preserve"> </w:t>
      </w:r>
    </w:p>
    <w:p w14:paraId="0AE0CD7D" w14:textId="4677F0F4" w:rsidR="0074659E" w:rsidRDefault="005E10AF" w:rsidP="00E36A78">
      <w:pPr>
        <w:pStyle w:val="Paragraph"/>
      </w:pPr>
      <w:r w:rsidRPr="00E36A78">
        <w:t xml:space="preserve">We remain of the view </w:t>
      </w:r>
      <w:r w:rsidR="00216E4A">
        <w:t>this</w:t>
      </w:r>
      <w:r w:rsidRPr="00E36A78">
        <w:t xml:space="preserve"> </w:t>
      </w:r>
      <w:r w:rsidR="007A7809">
        <w:t xml:space="preserve">approach should </w:t>
      </w:r>
      <w:r w:rsidR="001F05C3">
        <w:t xml:space="preserve">also apply </w:t>
      </w:r>
      <w:r w:rsidR="00B075D9">
        <w:t>for 2 GHz MSS</w:t>
      </w:r>
      <w:r w:rsidR="00216E4A">
        <w:t xml:space="preserve">. </w:t>
      </w:r>
      <w:r w:rsidR="00735587">
        <w:t xml:space="preserve">Before we consider issuing a licence, </w:t>
      </w:r>
      <w:r w:rsidRPr="00E36A78">
        <w:t>there</w:t>
      </w:r>
      <w:r w:rsidR="00B96C5E">
        <w:t xml:space="preserve"> </w:t>
      </w:r>
      <w:r w:rsidR="00F07CDA">
        <w:t xml:space="preserve">would need to be </w:t>
      </w:r>
      <w:r w:rsidRPr="00E36A78">
        <w:t xml:space="preserve">an existing 2 GHz MSS band satellite filing </w:t>
      </w:r>
      <w:r w:rsidR="00F2118D" w:rsidRPr="00E36A78">
        <w:t>in relation to</w:t>
      </w:r>
      <w:r w:rsidRPr="00E36A78">
        <w:t xml:space="preserve"> Australia for which the </w:t>
      </w:r>
      <w:r w:rsidRPr="00A357FA">
        <w:t>applicant</w:t>
      </w:r>
      <w:r w:rsidRPr="00E36A78">
        <w:t xml:space="preserve"> is the</w:t>
      </w:r>
      <w:r w:rsidRPr="00DA4E76">
        <w:t xml:space="preserve"> responsible entity</w:t>
      </w:r>
      <w:r w:rsidR="00FF1243">
        <w:t xml:space="preserve"> (the entity listed</w:t>
      </w:r>
      <w:r w:rsidR="009919B5">
        <w:t xml:space="preserve"> </w:t>
      </w:r>
      <w:r w:rsidR="00FF1243">
        <w:t>in the ASOD/FSOD)</w:t>
      </w:r>
      <w:r w:rsidRPr="00DA4E76">
        <w:t xml:space="preserve">, or </w:t>
      </w:r>
      <w:r w:rsidRPr="00662943">
        <w:t>in relation to which the applicant</w:t>
      </w:r>
      <w:r w:rsidRPr="00275730">
        <w:t xml:space="preserve"> </w:t>
      </w:r>
      <w:r w:rsidRPr="00DA4E76">
        <w:t xml:space="preserve">has an agreement to access. </w:t>
      </w:r>
      <w:r>
        <w:t xml:space="preserve">One submission from a respondent </w:t>
      </w:r>
      <w:r w:rsidR="00B47DAB">
        <w:t xml:space="preserve">in our November 2023 </w:t>
      </w:r>
      <w:r w:rsidR="005E3077">
        <w:t>d</w:t>
      </w:r>
      <w:r w:rsidR="00B47DAB">
        <w:t xml:space="preserve">iscussion </w:t>
      </w:r>
      <w:r w:rsidR="005E3077">
        <w:t>p</w:t>
      </w:r>
      <w:r w:rsidR="00B47DAB">
        <w:t xml:space="preserve">aper </w:t>
      </w:r>
      <w:r>
        <w:t xml:space="preserve">stated that relying </w:t>
      </w:r>
      <w:r w:rsidRPr="002D2FB6">
        <w:t>on the status of an ITU filing as the only method of determining who can use this frequency band</w:t>
      </w:r>
      <w:r>
        <w:t xml:space="preserve"> </w:t>
      </w:r>
      <w:r w:rsidRPr="00CE6F84">
        <w:t>is too simplistic and prevents use of the band reaching its full potential</w:t>
      </w:r>
      <w:r>
        <w:t xml:space="preserve">. </w:t>
      </w:r>
      <w:r w:rsidR="008D5D83">
        <w:t>This</w:t>
      </w:r>
      <w:r>
        <w:t xml:space="preserve"> view is contra</w:t>
      </w:r>
      <w:r w:rsidR="0077153F">
        <w:t>ry</w:t>
      </w:r>
      <w:r>
        <w:t xml:space="preserve"> to our approach to satellite </w:t>
      </w:r>
      <w:r w:rsidR="00253763">
        <w:t>licensing arrangement</w:t>
      </w:r>
      <w:r w:rsidR="005B0EDC">
        <w:t xml:space="preserve">s </w:t>
      </w:r>
    </w:p>
    <w:p w14:paraId="64C830C8" w14:textId="3E17AA29" w:rsidR="004F2EC5" w:rsidRDefault="00A242FE" w:rsidP="000522D5">
      <w:pPr>
        <w:pStyle w:val="Paragraph"/>
      </w:pPr>
      <w:r w:rsidRPr="00DA4E76">
        <w:t>Previously, we considered applicants sh</w:t>
      </w:r>
      <w:r>
        <w:t xml:space="preserve">ould </w:t>
      </w:r>
      <w:r w:rsidRPr="00A8330D">
        <w:t>provide evidence of deployment, or a contract to build and develop a satellite system consistent with the ITU filing</w:t>
      </w:r>
      <w:r>
        <w:t xml:space="preserve">. We now propose the satellite system should have been </w:t>
      </w:r>
      <w:r w:rsidR="005B29F9">
        <w:t>‘</w:t>
      </w:r>
      <w:r>
        <w:t>brought into use</w:t>
      </w:r>
      <w:r w:rsidR="005B29F9">
        <w:t>’</w:t>
      </w:r>
      <w:r>
        <w:t xml:space="preserve"> as defined by the ITU </w:t>
      </w:r>
      <w:r w:rsidR="004F4D03">
        <w:t xml:space="preserve">in the Radio Regulations </w:t>
      </w:r>
      <w:r w:rsidR="00C04351">
        <w:t>and</w:t>
      </w:r>
      <w:r w:rsidR="00585CFA">
        <w:t xml:space="preserve"> </w:t>
      </w:r>
      <w:r w:rsidR="00DC1034">
        <w:t xml:space="preserve">that </w:t>
      </w:r>
      <w:r w:rsidR="00C04351">
        <w:t xml:space="preserve">the system </w:t>
      </w:r>
      <w:r w:rsidR="00DC1034">
        <w:t>meet</w:t>
      </w:r>
      <w:r w:rsidR="00C04351">
        <w:t>s</w:t>
      </w:r>
      <w:r w:rsidR="00DC1034">
        <w:t xml:space="preserve"> the satellite regulatory requirements for the 2 GHz MSS band</w:t>
      </w:r>
      <w:r w:rsidR="00B31874">
        <w:t xml:space="preserve">. </w:t>
      </w:r>
      <w:r w:rsidR="009F0CF4">
        <w:t>I</w:t>
      </w:r>
      <w:r w:rsidR="00225F1A">
        <w:t xml:space="preserve">n </w:t>
      </w:r>
      <w:r w:rsidR="00F60ADB">
        <w:t xml:space="preserve">an </w:t>
      </w:r>
      <w:r w:rsidR="006B6D6B">
        <w:t>administrative</w:t>
      </w:r>
      <w:r w:rsidR="00F60ADB">
        <w:t xml:space="preserve"> </w:t>
      </w:r>
      <w:r w:rsidR="009F0CF4">
        <w:t>process,</w:t>
      </w:r>
      <w:r w:rsidR="00F60ADB">
        <w:t xml:space="preserve"> these matter</w:t>
      </w:r>
      <w:r w:rsidR="00BA0BC7">
        <w:t>s</w:t>
      </w:r>
      <w:r w:rsidR="00F60ADB">
        <w:t xml:space="preserve"> would be </w:t>
      </w:r>
      <w:r w:rsidR="004C0316">
        <w:t xml:space="preserve">assessed </w:t>
      </w:r>
      <w:r w:rsidR="006B6D6B">
        <w:t xml:space="preserve">on receipt of a licence </w:t>
      </w:r>
      <w:r w:rsidR="000B7A7B">
        <w:t>application</w:t>
      </w:r>
      <w:r w:rsidR="009F0CF4">
        <w:t>. I</w:t>
      </w:r>
      <w:r w:rsidR="0093480A">
        <w:t>n a price-based allocation process</w:t>
      </w:r>
      <w:r w:rsidR="006B6D6B">
        <w:t>,</w:t>
      </w:r>
      <w:r w:rsidR="000B7A7B">
        <w:t xml:space="preserve"> </w:t>
      </w:r>
      <w:r w:rsidR="0093480A">
        <w:t>we</w:t>
      </w:r>
      <w:r w:rsidR="0093480A" w:rsidDel="00540E57">
        <w:t xml:space="preserve"> </w:t>
      </w:r>
      <w:r w:rsidR="00540E57">
        <w:t>consider</w:t>
      </w:r>
      <w:r w:rsidR="0093480A">
        <w:t xml:space="preserve"> that they should be assessed before commencement of the licence allocation process </w:t>
      </w:r>
      <w:r w:rsidR="008F4906">
        <w:t>to provide certainty for those entities intend</w:t>
      </w:r>
      <w:r w:rsidR="00902523">
        <w:t>ing</w:t>
      </w:r>
      <w:r w:rsidR="008F4906">
        <w:t xml:space="preserve"> to participate </w:t>
      </w:r>
      <w:r w:rsidR="00902523">
        <w:t xml:space="preserve">in </w:t>
      </w:r>
      <w:r w:rsidR="003D66AC">
        <w:t>the</w:t>
      </w:r>
      <w:r w:rsidR="00902523">
        <w:t xml:space="preserve"> process</w:t>
      </w:r>
      <w:r w:rsidR="0093480A">
        <w:t>.</w:t>
      </w:r>
    </w:p>
    <w:p w14:paraId="30991CC8" w14:textId="3F17D42A" w:rsidR="00EF4EFF" w:rsidRDefault="0073679D" w:rsidP="000522D5">
      <w:pPr>
        <w:pStyle w:val="Paragraph"/>
      </w:pPr>
      <w:r>
        <w:t>To facilitate spectrum being used in a timely manner</w:t>
      </w:r>
      <w:r w:rsidR="007B2453">
        <w:t xml:space="preserve"> and </w:t>
      </w:r>
      <w:r w:rsidR="007B2453" w:rsidRPr="00EF6855">
        <w:t>to minimise any delay in the public benefit being derived from the use of the spectrum</w:t>
      </w:r>
      <w:r>
        <w:t>, o</w:t>
      </w:r>
      <w:r w:rsidR="00DC1034">
        <w:t xml:space="preserve">ur preliminary </w:t>
      </w:r>
      <w:r w:rsidR="00CC72D5">
        <w:t xml:space="preserve">view </w:t>
      </w:r>
      <w:r w:rsidR="000330C3">
        <w:t xml:space="preserve">is that </w:t>
      </w:r>
      <w:r>
        <w:t xml:space="preserve">we will need </w:t>
      </w:r>
      <w:r w:rsidR="000330C3">
        <w:t>requirements</w:t>
      </w:r>
      <w:r w:rsidR="00E73141">
        <w:t xml:space="preserve"> beyond those we </w:t>
      </w:r>
      <w:r w:rsidR="00215109">
        <w:t>normally</w:t>
      </w:r>
      <w:r w:rsidR="00E73141">
        <w:t xml:space="preserve"> use to assess requests for inclusion in the ASOD or FSOD</w:t>
      </w:r>
      <w:r w:rsidR="009374AE">
        <w:t>.</w:t>
      </w:r>
      <w:r w:rsidR="00FC2D03">
        <w:rPr>
          <w:rStyle w:val="FootnoteReference"/>
        </w:rPr>
        <w:footnoteReference w:id="28"/>
      </w:r>
      <w:r w:rsidR="00683B35">
        <w:t xml:space="preserve"> </w:t>
      </w:r>
      <w:r w:rsidR="009374AE">
        <w:t>W</w:t>
      </w:r>
      <w:r w:rsidR="00683B35">
        <w:t>e propose to require</w:t>
      </w:r>
      <w:r w:rsidR="00940210">
        <w:t xml:space="preserve"> evidence that the satellite filing has been brought into use in accordance with ITU </w:t>
      </w:r>
      <w:r w:rsidR="00623174">
        <w:t>requirements</w:t>
      </w:r>
      <w:r w:rsidR="007D3486">
        <w:t xml:space="preserve">. </w:t>
      </w:r>
      <w:r w:rsidR="00A24D42">
        <w:t>Generally,</w:t>
      </w:r>
      <w:r w:rsidR="007D3486">
        <w:t xml:space="preserve"> it takes </w:t>
      </w:r>
      <w:r w:rsidR="009374AE">
        <w:t>several</w:t>
      </w:r>
      <w:r w:rsidR="007D3486">
        <w:t xml:space="preserve"> years to develop </w:t>
      </w:r>
      <w:r w:rsidR="00B119AF">
        <w:t xml:space="preserve">and launch a </w:t>
      </w:r>
      <w:r w:rsidR="007D3486">
        <w:t>satellite system</w:t>
      </w:r>
      <w:r w:rsidR="00913D9D">
        <w:t xml:space="preserve">. </w:t>
      </w:r>
      <w:r w:rsidR="00A24D42">
        <w:t xml:space="preserve">Therefore, </w:t>
      </w:r>
      <w:r w:rsidR="00913D9D">
        <w:t>i</w:t>
      </w:r>
      <w:r w:rsidR="007D3486">
        <w:t xml:space="preserve">f a satellite system is not ready to operate now </w:t>
      </w:r>
      <w:r w:rsidR="00045DBD">
        <w:t>(o</w:t>
      </w:r>
      <w:r w:rsidR="00FC2C22">
        <w:t>r</w:t>
      </w:r>
      <w:r w:rsidR="00045DBD">
        <w:t xml:space="preserve"> </w:t>
      </w:r>
      <w:r w:rsidR="00494508">
        <w:t xml:space="preserve">not </w:t>
      </w:r>
      <w:r w:rsidR="00045DBD">
        <w:t>in the final stages</w:t>
      </w:r>
      <w:r w:rsidR="004C2103">
        <w:t xml:space="preserve"> </w:t>
      </w:r>
      <w:r w:rsidR="00654914">
        <w:t>before</w:t>
      </w:r>
      <w:r w:rsidR="004C2103">
        <w:t xml:space="preserve"> operation</w:t>
      </w:r>
      <w:r w:rsidR="00045DBD">
        <w:t>)</w:t>
      </w:r>
      <w:r w:rsidR="00FC2C22">
        <w:t>,</w:t>
      </w:r>
      <w:r w:rsidR="00045DBD">
        <w:t xml:space="preserve"> </w:t>
      </w:r>
      <w:r w:rsidR="007D3486">
        <w:t xml:space="preserve">it could be </w:t>
      </w:r>
      <w:r w:rsidR="004C2103">
        <w:t xml:space="preserve">a </w:t>
      </w:r>
      <w:r w:rsidR="007D3486">
        <w:t xml:space="preserve">considerable </w:t>
      </w:r>
      <w:r w:rsidR="009374AE">
        <w:t>period</w:t>
      </w:r>
      <w:r w:rsidR="007D3486">
        <w:t xml:space="preserve"> (</w:t>
      </w:r>
      <w:r w:rsidR="004C2103">
        <w:t>potentially</w:t>
      </w:r>
      <w:r w:rsidR="007D3486">
        <w:t xml:space="preserve"> greater than 5 years) before any services are provided to Australia</w:t>
      </w:r>
      <w:r w:rsidR="002A0055">
        <w:t>.</w:t>
      </w:r>
      <w:r w:rsidR="007D3486">
        <w:t xml:space="preserve"> </w:t>
      </w:r>
    </w:p>
    <w:p w14:paraId="74197A57" w14:textId="48554780" w:rsidR="00DC1034" w:rsidRDefault="009374AE" w:rsidP="00DC69CF">
      <w:pPr>
        <w:pStyle w:val="Paragraph"/>
        <w:spacing w:after="80"/>
      </w:pPr>
      <w:r>
        <w:t>I</w:t>
      </w:r>
      <w:r w:rsidR="00116B2B">
        <w:t xml:space="preserve">t is our view that </w:t>
      </w:r>
      <w:r w:rsidR="00DC1034">
        <w:t xml:space="preserve">prospective licensees </w:t>
      </w:r>
      <w:r w:rsidR="00132B74">
        <w:t xml:space="preserve">should </w:t>
      </w:r>
      <w:r w:rsidR="00DC1034">
        <w:t xml:space="preserve">have access to an ITU satellite filing for the </w:t>
      </w:r>
      <w:r>
        <w:br/>
      </w:r>
      <w:r w:rsidR="00DC1034">
        <w:t xml:space="preserve">2 GHz MSS band </w:t>
      </w:r>
      <w:r w:rsidR="00F877AC">
        <w:t xml:space="preserve">that </w:t>
      </w:r>
      <w:r w:rsidR="00DC1034">
        <w:t>meet</w:t>
      </w:r>
      <w:r w:rsidR="00F877AC">
        <w:t>s</w:t>
      </w:r>
      <w:r w:rsidR="00DC1034">
        <w:t xml:space="preserve"> the following requirements:</w:t>
      </w:r>
    </w:p>
    <w:p w14:paraId="1077427C" w14:textId="61F6C672" w:rsidR="00DC1034" w:rsidRDefault="00DC1034" w:rsidP="00DC69CF">
      <w:pPr>
        <w:pStyle w:val="Paragraph"/>
        <w:numPr>
          <w:ilvl w:val="0"/>
          <w:numId w:val="77"/>
        </w:numPr>
        <w:spacing w:after="80"/>
        <w:ind w:left="284" w:hanging="284"/>
      </w:pPr>
      <w:r>
        <w:t>Class of station: For the frequencies of the satellite system</w:t>
      </w:r>
      <w:r w:rsidR="00E04304">
        <w:t>,</w:t>
      </w:r>
      <w:r>
        <w:t xml:space="preserve"> the class of station must contain </w:t>
      </w:r>
      <w:r w:rsidR="00E04304">
        <w:t>MSS</w:t>
      </w:r>
      <w:r>
        <w:t>.</w:t>
      </w:r>
    </w:p>
    <w:p w14:paraId="4A3E51A8" w14:textId="09D5C78A" w:rsidR="00DC1034" w:rsidRDefault="00DC1034" w:rsidP="00DC69CF">
      <w:pPr>
        <w:pStyle w:val="Paragraph"/>
        <w:numPr>
          <w:ilvl w:val="0"/>
          <w:numId w:val="77"/>
        </w:numPr>
        <w:spacing w:after="80"/>
        <w:ind w:left="284" w:hanging="284"/>
      </w:pPr>
      <w:r>
        <w:t>Service area: For the frequencies of the satellite system</w:t>
      </w:r>
      <w:r w:rsidR="00E04304">
        <w:t>,</w:t>
      </w:r>
      <w:r>
        <w:t xml:space="preserve"> the service area must include Australia</w:t>
      </w:r>
      <w:r w:rsidR="009374AE">
        <w:t>.</w:t>
      </w:r>
      <w:r w:rsidR="00265493">
        <w:rPr>
          <w:rStyle w:val="FootnoteReference"/>
        </w:rPr>
        <w:footnoteReference w:id="29"/>
      </w:r>
    </w:p>
    <w:p w14:paraId="53CF863A" w14:textId="1D85563B" w:rsidR="00DC1034" w:rsidRDefault="00DC1034" w:rsidP="00DC69CF">
      <w:pPr>
        <w:pStyle w:val="Paragraph"/>
        <w:numPr>
          <w:ilvl w:val="0"/>
          <w:numId w:val="77"/>
        </w:numPr>
        <w:spacing w:after="80"/>
        <w:ind w:left="284" w:hanging="284"/>
      </w:pPr>
      <w:r>
        <w:lastRenderedPageBreak/>
        <w:t xml:space="preserve">Conformity with </w:t>
      </w:r>
      <w:r w:rsidR="004A73CD">
        <w:t>ITU</w:t>
      </w:r>
      <w:r>
        <w:t xml:space="preserve"> Radio Regulations: For the frequencies of the satellite system</w:t>
      </w:r>
      <w:r w:rsidR="00E04304">
        <w:t>,</w:t>
      </w:r>
      <w:r>
        <w:t xml:space="preserve"> the frequency assignments must be published as being in conformity with </w:t>
      </w:r>
      <w:r w:rsidR="0087446A">
        <w:t>the</w:t>
      </w:r>
      <w:r>
        <w:t xml:space="preserve"> Radio Regulations and must not identify use under No. 4.4 of the Radio Regulations.</w:t>
      </w:r>
      <w:r w:rsidR="00ED13B7">
        <w:rPr>
          <w:rStyle w:val="FootnoteReference"/>
        </w:rPr>
        <w:footnoteReference w:id="30"/>
      </w:r>
    </w:p>
    <w:p w14:paraId="5B5D43FF" w14:textId="23B82BA5" w:rsidR="00DC1034" w:rsidRDefault="00DC1034" w:rsidP="00DC69CF">
      <w:pPr>
        <w:pStyle w:val="Paragraph"/>
        <w:numPr>
          <w:ilvl w:val="0"/>
          <w:numId w:val="77"/>
        </w:numPr>
        <w:spacing w:after="80"/>
        <w:ind w:left="284" w:hanging="284"/>
      </w:pPr>
      <w:r>
        <w:t>Operating agency: For the frequencies of the satellite system</w:t>
      </w:r>
      <w:r w:rsidR="00C15245">
        <w:t>,</w:t>
      </w:r>
      <w:r>
        <w:t xml:space="preserve"> the </w:t>
      </w:r>
      <w:r w:rsidR="00E42096">
        <w:t xml:space="preserve">prospective licensee </w:t>
      </w:r>
      <w:r w:rsidR="00CF7940">
        <w:t xml:space="preserve">must be </w:t>
      </w:r>
      <w:r>
        <w:t>the responsible entity or ha</w:t>
      </w:r>
      <w:r w:rsidR="000E09A4">
        <w:t>ve</w:t>
      </w:r>
      <w:r>
        <w:t xml:space="preserve"> an agreement to access the satellite system. This can be demonstrated </w:t>
      </w:r>
      <w:r w:rsidR="00604639">
        <w:t xml:space="preserve">where </w:t>
      </w:r>
      <w:r>
        <w:t>either:</w:t>
      </w:r>
    </w:p>
    <w:p w14:paraId="2406812E" w14:textId="7366E796" w:rsidR="00DC1034" w:rsidRDefault="00DC1034" w:rsidP="00DC69CF">
      <w:pPr>
        <w:pStyle w:val="Paragraph"/>
        <w:numPr>
          <w:ilvl w:val="1"/>
          <w:numId w:val="88"/>
        </w:numPr>
        <w:spacing w:after="80"/>
        <w:ind w:left="568" w:hanging="284"/>
      </w:pPr>
      <w:r>
        <w:t xml:space="preserve">The operating </w:t>
      </w:r>
      <w:r w:rsidR="00E42096">
        <w:t xml:space="preserve">agency </w:t>
      </w:r>
      <w:r>
        <w:t xml:space="preserve">of the satellite system </w:t>
      </w:r>
      <w:r w:rsidR="00CF7940">
        <w:t xml:space="preserve">is </w:t>
      </w:r>
      <w:r>
        <w:t xml:space="preserve">the </w:t>
      </w:r>
      <w:r w:rsidR="007F7952" w:rsidRPr="007F7952">
        <w:t>prospective licensee</w:t>
      </w:r>
      <w:r w:rsidR="009374AE">
        <w:t>.</w:t>
      </w:r>
      <w:r>
        <w:t xml:space="preserve"> </w:t>
      </w:r>
    </w:p>
    <w:p w14:paraId="289678A3" w14:textId="5895C740" w:rsidR="00DC1034" w:rsidRDefault="00DC1034" w:rsidP="00DC239C">
      <w:pPr>
        <w:pStyle w:val="Paragraph"/>
        <w:numPr>
          <w:ilvl w:val="1"/>
          <w:numId w:val="88"/>
        </w:numPr>
        <w:spacing w:after="80"/>
        <w:ind w:left="568" w:hanging="284"/>
      </w:pPr>
      <w:r>
        <w:t xml:space="preserve">The responsible administration for the satellite system confirms in writing the link between </w:t>
      </w:r>
      <w:r w:rsidR="007F7952" w:rsidRPr="007F7952">
        <w:t xml:space="preserve">prospective licensee </w:t>
      </w:r>
      <w:r>
        <w:t xml:space="preserve">and </w:t>
      </w:r>
      <w:r w:rsidR="00422CB1">
        <w:t>the</w:t>
      </w:r>
      <w:r>
        <w:t xml:space="preserve"> ITU-filed satellite system.</w:t>
      </w:r>
    </w:p>
    <w:p w14:paraId="2F9EBE29" w14:textId="1446DAC6" w:rsidR="00DC1034" w:rsidRDefault="00DC1034" w:rsidP="00BF2395">
      <w:pPr>
        <w:pStyle w:val="Paragraph"/>
        <w:numPr>
          <w:ilvl w:val="0"/>
          <w:numId w:val="77"/>
        </w:numPr>
        <w:spacing w:after="80"/>
        <w:ind w:left="284" w:hanging="284"/>
      </w:pPr>
      <w:r>
        <w:t>Brought into use: For the frequencies of the satellite system</w:t>
      </w:r>
      <w:r w:rsidR="007F7952">
        <w:t>,</w:t>
      </w:r>
      <w:r>
        <w:t xml:space="preserve"> the frequency assignments are either:</w:t>
      </w:r>
    </w:p>
    <w:p w14:paraId="77F20687" w14:textId="159031D0" w:rsidR="00DC1034" w:rsidRDefault="00DC239C" w:rsidP="007D5A34">
      <w:pPr>
        <w:pStyle w:val="Paragraph"/>
        <w:numPr>
          <w:ilvl w:val="1"/>
          <w:numId w:val="88"/>
        </w:numPr>
        <w:spacing w:after="80"/>
        <w:ind w:left="568" w:hanging="284"/>
      </w:pPr>
      <w:r>
        <w:t>C</w:t>
      </w:r>
      <w:r w:rsidR="00DC1034">
        <w:t xml:space="preserve">onfirmed as brought into use, </w:t>
      </w:r>
      <w:r w:rsidR="00422CB1">
        <w:t>as defined by the Radio Regulations</w:t>
      </w:r>
      <w:r w:rsidR="009374AE">
        <w:t>.</w:t>
      </w:r>
    </w:p>
    <w:p w14:paraId="1AF16EDE" w14:textId="1BA35BAC" w:rsidR="00DC1034" w:rsidRDefault="00DC1034" w:rsidP="007D5A34">
      <w:pPr>
        <w:pStyle w:val="Paragraph"/>
        <w:numPr>
          <w:ilvl w:val="1"/>
          <w:numId w:val="88"/>
        </w:numPr>
        <w:ind w:left="568" w:hanging="284"/>
      </w:pPr>
      <w:r>
        <w:t>Submitted to</w:t>
      </w:r>
      <w:r w:rsidDel="00D75A62">
        <w:t xml:space="preserve"> </w:t>
      </w:r>
      <w:r w:rsidR="00D75A62">
        <w:t xml:space="preserve">ITU </w:t>
      </w:r>
      <w:r>
        <w:t>in a notification and published ‘</w:t>
      </w:r>
      <w:hyperlink r:id="rId38" w:history="1">
        <w:r w:rsidRPr="00951D18">
          <w:rPr>
            <w:rStyle w:val="Hyperlink"/>
            <w:rFonts w:cs="Times New Roman"/>
            <w:szCs w:val="22"/>
          </w:rPr>
          <w:t>as received</w:t>
        </w:r>
        <w:r w:rsidRPr="007D5A34">
          <w:t>’</w:t>
        </w:r>
      </w:hyperlink>
      <w:r w:rsidR="007F7952">
        <w:t>.</w:t>
      </w:r>
    </w:p>
    <w:p w14:paraId="3517AEF0" w14:textId="4F0FA772" w:rsidR="00F712EC" w:rsidRDefault="00F712EC" w:rsidP="008E02AD">
      <w:pPr>
        <w:pStyle w:val="Paragraph"/>
        <w:spacing w:after="80"/>
      </w:pPr>
      <w:r>
        <w:t>In addition to the above information about the ITU satellite filing</w:t>
      </w:r>
      <w:r w:rsidR="00720177">
        <w:t>,</w:t>
      </w:r>
      <w:r>
        <w:t xml:space="preserve"> the following more general information is </w:t>
      </w:r>
      <w:r w:rsidR="00720177">
        <w:t xml:space="preserve">proposed to be </w:t>
      </w:r>
      <w:r>
        <w:t>required to assess a request for inclusion in the ASOD or FSOD</w:t>
      </w:r>
      <w:r w:rsidR="00DE5C39">
        <w:t xml:space="preserve"> for the 2 GHz MSS band</w:t>
      </w:r>
      <w:r>
        <w:t>:</w:t>
      </w:r>
    </w:p>
    <w:p w14:paraId="32777126" w14:textId="163D8C4B" w:rsidR="00066363" w:rsidRDefault="00F712EC" w:rsidP="008E02AD">
      <w:pPr>
        <w:pStyle w:val="Bulletlevel1"/>
        <w:numPr>
          <w:ilvl w:val="0"/>
          <w:numId w:val="81"/>
        </w:numPr>
        <w:ind w:left="284" w:hanging="284"/>
      </w:pPr>
      <w:r w:rsidRPr="00066363">
        <w:t>Timeframe</w:t>
      </w:r>
      <w:r>
        <w:t xml:space="preserve"> information regarding deployment of the satellite and terrestrial components and </w:t>
      </w:r>
      <w:r w:rsidR="00083736">
        <w:t>g</w:t>
      </w:r>
      <w:r>
        <w:t>eneral information on the service to be delivered, potential customers, etc.</w:t>
      </w:r>
    </w:p>
    <w:p w14:paraId="41C0F676" w14:textId="4C9D37E9" w:rsidR="00066363" w:rsidRDefault="00F712EC" w:rsidP="008E02AD">
      <w:pPr>
        <w:pStyle w:val="Bulletlevel1"/>
        <w:numPr>
          <w:ilvl w:val="0"/>
          <w:numId w:val="81"/>
        </w:numPr>
        <w:ind w:left="284" w:hanging="284"/>
      </w:pPr>
      <w:r>
        <w:t xml:space="preserve">In the case of the </w:t>
      </w:r>
      <w:r w:rsidR="00447F8D">
        <w:t>FSOD</w:t>
      </w:r>
      <w:r>
        <w:t xml:space="preserve">, information explaining why inclusion of the relevant entity in the </w:t>
      </w:r>
      <w:r w:rsidR="00D616FE">
        <w:t>FSOD</w:t>
      </w:r>
      <w:r>
        <w:t xml:space="preserve"> is in the Australian interest.</w:t>
      </w:r>
      <w:r w:rsidR="00066363">
        <w:t xml:space="preserve"> </w:t>
      </w:r>
    </w:p>
    <w:p w14:paraId="11FAF627" w14:textId="65A7C807" w:rsidR="00066363" w:rsidRDefault="00F712EC" w:rsidP="008E02AD">
      <w:pPr>
        <w:pStyle w:val="Bulletlevel1"/>
        <w:numPr>
          <w:ilvl w:val="0"/>
          <w:numId w:val="81"/>
        </w:numPr>
        <w:ind w:left="284" w:hanging="284"/>
      </w:pPr>
      <w:r>
        <w:t xml:space="preserve">The correct name of the </w:t>
      </w:r>
      <w:r w:rsidR="00411E72">
        <w:t>entity</w:t>
      </w:r>
      <w:r>
        <w:t xml:space="preserve"> to be included in the </w:t>
      </w:r>
      <w:r w:rsidR="007A45F6">
        <w:t>ASOD or FSOD</w:t>
      </w:r>
      <w:r>
        <w:t xml:space="preserve"> (in the same format as others listed in the </w:t>
      </w:r>
      <w:r w:rsidR="00851B18">
        <w:t>relevant determination</w:t>
      </w:r>
      <w:r>
        <w:t>)</w:t>
      </w:r>
      <w:r w:rsidR="00066363">
        <w:t xml:space="preserve"> </w:t>
      </w:r>
    </w:p>
    <w:p w14:paraId="1BC763E9" w14:textId="2154CDA5" w:rsidR="00066363" w:rsidRDefault="00F712EC" w:rsidP="008E02AD">
      <w:pPr>
        <w:pStyle w:val="Bulletlevel1"/>
        <w:numPr>
          <w:ilvl w:val="0"/>
          <w:numId w:val="81"/>
        </w:numPr>
        <w:ind w:left="284" w:hanging="284"/>
      </w:pPr>
      <w:r>
        <w:t xml:space="preserve">Where the request involves multiple parties, evidence that there is an authorisation/agreement/request from the relevant entities for inclusion or contractual agreement between </w:t>
      </w:r>
      <w:r w:rsidR="00270D4C">
        <w:t>the parties</w:t>
      </w:r>
      <w:r>
        <w:t xml:space="preserve"> indicating that such request is necessary.</w:t>
      </w:r>
    </w:p>
    <w:p w14:paraId="3ED4BA16" w14:textId="6F805A33" w:rsidR="00066363" w:rsidRDefault="00F712EC" w:rsidP="008E02AD">
      <w:pPr>
        <w:pStyle w:val="Bulletlevel1"/>
        <w:numPr>
          <w:ilvl w:val="0"/>
          <w:numId w:val="81"/>
        </w:numPr>
        <w:ind w:left="284" w:hanging="284"/>
      </w:pPr>
      <w:r>
        <w:t xml:space="preserve">Information that demonstrates the proposed inclusion would meet the classifications in the </w:t>
      </w:r>
      <w:r w:rsidR="00D1582B">
        <w:t xml:space="preserve">relevant </w:t>
      </w:r>
      <w:r>
        <w:t xml:space="preserve">determination </w:t>
      </w:r>
      <w:r w:rsidR="000D79E8">
        <w:t xml:space="preserve">(under the assumption that the 2 GHz MSS band will be included </w:t>
      </w:r>
      <w:r w:rsidR="006E686B">
        <w:t xml:space="preserve">in </w:t>
      </w:r>
      <w:r w:rsidR="000D79E8">
        <w:t>the class licence</w:t>
      </w:r>
      <w:r w:rsidR="001D3B4D">
        <w:t>)</w:t>
      </w:r>
      <w:r>
        <w:t>.</w:t>
      </w:r>
    </w:p>
    <w:p w14:paraId="5B8A30D7" w14:textId="77777777" w:rsidR="00066363" w:rsidRDefault="00F712EC" w:rsidP="008E02AD">
      <w:pPr>
        <w:pStyle w:val="Bulletlevel1"/>
        <w:numPr>
          <w:ilvl w:val="0"/>
          <w:numId w:val="81"/>
        </w:numPr>
        <w:ind w:left="284" w:hanging="284"/>
      </w:pPr>
      <w:r>
        <w:t>Evidence that the person making the request is authorised to do so.</w:t>
      </w:r>
    </w:p>
    <w:p w14:paraId="45F4CC6F" w14:textId="4D62074F" w:rsidR="00F712EC" w:rsidRDefault="00F712EC" w:rsidP="008E02AD">
      <w:pPr>
        <w:pStyle w:val="Bulletlevel1"/>
        <w:numPr>
          <w:ilvl w:val="0"/>
          <w:numId w:val="81"/>
        </w:numPr>
        <w:spacing w:after="240"/>
        <w:ind w:left="284" w:hanging="284"/>
      </w:pPr>
      <w:r>
        <w:t xml:space="preserve">In the case of the </w:t>
      </w:r>
      <w:r w:rsidR="00041884">
        <w:t>FSOD</w:t>
      </w:r>
      <w:r>
        <w:t xml:space="preserve">, information on the ITU satellite filing, which administration it was filed by, and evidence that </w:t>
      </w:r>
      <w:r w:rsidR="00494190">
        <w:t xml:space="preserve">the </w:t>
      </w:r>
      <w:r>
        <w:t>company</w:t>
      </w:r>
      <w:r w:rsidR="00494190">
        <w:t xml:space="preserve"> intending to be</w:t>
      </w:r>
      <w:r>
        <w:t xml:space="preserve"> listed controls the company that has the filings and has the ability to </w:t>
      </w:r>
      <w:r w:rsidR="00494190">
        <w:t>ensure cessation of</w:t>
      </w:r>
      <w:r>
        <w:t xml:space="preserve"> transmissions to Australia if requested to by the ACMA.</w:t>
      </w:r>
    </w:p>
    <w:p w14:paraId="336E38FF" w14:textId="0286DBEC" w:rsidR="00F712EC" w:rsidRDefault="00D24A3D" w:rsidP="004D083D">
      <w:pPr>
        <w:pStyle w:val="Paragraph"/>
      </w:pPr>
      <w:r>
        <w:t>D</w:t>
      </w:r>
      <w:r w:rsidR="00F712EC">
        <w:t xml:space="preserve">ecisions on whether to update the ASOD </w:t>
      </w:r>
      <w:r>
        <w:t>or</w:t>
      </w:r>
      <w:r w:rsidR="00F712EC">
        <w:t xml:space="preserve"> FSOD are matters for the ACMA</w:t>
      </w:r>
      <w:r w:rsidR="00D37297">
        <w:t xml:space="preserve">, </w:t>
      </w:r>
      <w:r w:rsidR="00EA2F3B">
        <w:t>and subject to public consultation</w:t>
      </w:r>
      <w:r w:rsidR="00F712EC">
        <w:t xml:space="preserve">. </w:t>
      </w:r>
      <w:r w:rsidR="009374AE">
        <w:t>T</w:t>
      </w:r>
      <w:r w:rsidR="00F712EC">
        <w:t xml:space="preserve">he information supplied needs to be of </w:t>
      </w:r>
      <w:r w:rsidR="00494190">
        <w:t xml:space="preserve">a </w:t>
      </w:r>
      <w:r w:rsidR="00F712EC">
        <w:t xml:space="preserve">standard that would be appropriate for consideration by the </w:t>
      </w:r>
      <w:r>
        <w:t>ACMA</w:t>
      </w:r>
      <w:r w:rsidR="00F712EC">
        <w:t>.</w:t>
      </w:r>
    </w:p>
    <w:p w14:paraId="3CFB7D0D" w14:textId="1A0E38E8" w:rsidR="00F61049" w:rsidRDefault="00F61049" w:rsidP="00F61049">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54" w:name="_Toc202867831"/>
      <w:r>
        <w:lastRenderedPageBreak/>
        <w:t>Issue for comment</w:t>
      </w:r>
      <w:r w:rsidRPr="00E162C4">
        <w:t xml:space="preserve"> </w:t>
      </w:r>
      <w:r w:rsidR="00C830D2">
        <w:t>7</w:t>
      </w:r>
      <w:r w:rsidR="00285ECE">
        <w:t>(</w:t>
      </w:r>
      <w:r w:rsidR="002D3CB3">
        <w:t>i</w:t>
      </w:r>
      <w:r w:rsidR="00285ECE">
        <w:t>)</w:t>
      </w:r>
      <w:bookmarkEnd w:id="54"/>
    </w:p>
    <w:p w14:paraId="16F93DF5" w14:textId="684CA1F9" w:rsidR="00F61049" w:rsidRPr="00961F07" w:rsidRDefault="00F61049" w:rsidP="00F61049">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102050">
        <w:t xml:space="preserve">We seek </w:t>
      </w:r>
      <w:r w:rsidR="002F022D">
        <w:t xml:space="preserve">comment on the </w:t>
      </w:r>
      <w:r w:rsidR="00D60000">
        <w:t>information proposed to be required to update the ASOD or FSOD</w:t>
      </w:r>
      <w:r w:rsidR="004F502F">
        <w:t xml:space="preserve"> for 2 GHz MSS purposes</w:t>
      </w:r>
      <w:r w:rsidR="00D60000" w:rsidRPr="00102050">
        <w:t>.</w:t>
      </w:r>
      <w:r w:rsidR="00D60000">
        <w:t xml:space="preserve"> We also seek comment on the</w:t>
      </w:r>
      <w:r w:rsidR="00D60000" w:rsidRPr="00102050">
        <w:t xml:space="preserve"> </w:t>
      </w:r>
      <w:r w:rsidR="002F022D">
        <w:t xml:space="preserve">ACMA’s view that </w:t>
      </w:r>
      <w:r w:rsidR="002F022D" w:rsidRPr="002F022D">
        <w:t xml:space="preserve">prospective licensees </w:t>
      </w:r>
      <w:r w:rsidR="004F502F">
        <w:t xml:space="preserve">must </w:t>
      </w:r>
      <w:r w:rsidR="002F022D" w:rsidRPr="002F022D">
        <w:t xml:space="preserve">have access to an ITU satellite filing for the 2 GHz MSS band </w:t>
      </w:r>
      <w:r w:rsidR="00852385">
        <w:t xml:space="preserve">in relation to Australia </w:t>
      </w:r>
      <w:r w:rsidR="002F022D" w:rsidRPr="002F022D">
        <w:t xml:space="preserve">that meets </w:t>
      </w:r>
      <w:r w:rsidR="002F022D">
        <w:t>certain</w:t>
      </w:r>
      <w:r w:rsidR="002F022D" w:rsidRPr="002F022D">
        <w:t xml:space="preserve"> requirements </w:t>
      </w:r>
      <w:r w:rsidR="002F022D">
        <w:t>in order to participate in an allocation process</w:t>
      </w:r>
      <w:r w:rsidR="005F545D">
        <w:t>.</w:t>
      </w:r>
    </w:p>
    <w:p w14:paraId="2EAABB98" w14:textId="4BE58D85" w:rsidR="00F712EC" w:rsidRPr="00C060E0" w:rsidRDefault="00A11D8C" w:rsidP="0066638F">
      <w:pPr>
        <w:pStyle w:val="Heading3"/>
        <w:rPr>
          <w:b w:val="0"/>
        </w:rPr>
      </w:pPr>
      <w:bookmarkStart w:id="55" w:name="_Toc202867832"/>
      <w:r w:rsidRPr="00C060E0">
        <w:t>Mobile earth station power and consistency with ITU satellite filing</w:t>
      </w:r>
      <w:bookmarkEnd w:id="55"/>
    </w:p>
    <w:p w14:paraId="3B36FE02" w14:textId="535256B7" w:rsidR="00DC1034" w:rsidRDefault="00DC1034" w:rsidP="00C060E0">
      <w:pPr>
        <w:pStyle w:val="Paragraph"/>
        <w:keepNext/>
        <w:rPr>
          <w:rFonts w:eastAsiaTheme="majorEastAsia"/>
        </w:rPr>
      </w:pPr>
      <w:r>
        <w:t xml:space="preserve">Our expectation is that the satellite filing would also support a mobile earth station </w:t>
      </w:r>
      <w:r w:rsidR="004F502F">
        <w:t xml:space="preserve">with a </w:t>
      </w:r>
      <w:r>
        <w:t xml:space="preserve">total radiated power of </w:t>
      </w:r>
      <w:r>
        <w:rPr>
          <w:rFonts w:eastAsiaTheme="majorEastAsia"/>
        </w:rPr>
        <w:t xml:space="preserve">less than or equal to 25 dBm per occupied bandwidth. </w:t>
      </w:r>
      <w:r w:rsidR="00AA6259">
        <w:rPr>
          <w:rFonts w:eastAsiaTheme="majorEastAsia"/>
        </w:rPr>
        <w:t>However</w:t>
      </w:r>
      <w:r w:rsidR="00DB5E5D">
        <w:rPr>
          <w:rFonts w:eastAsiaTheme="majorEastAsia"/>
        </w:rPr>
        <w:t>,</w:t>
      </w:r>
      <w:r w:rsidR="00AA6259">
        <w:rPr>
          <w:rFonts w:eastAsiaTheme="majorEastAsia"/>
        </w:rPr>
        <w:t xml:space="preserve"> o</w:t>
      </w:r>
      <w:r>
        <w:rPr>
          <w:rFonts w:eastAsiaTheme="majorEastAsia"/>
        </w:rPr>
        <w:t>ur review of some filing</w:t>
      </w:r>
      <w:r w:rsidR="00BE765A">
        <w:rPr>
          <w:rFonts w:eastAsiaTheme="majorEastAsia"/>
        </w:rPr>
        <w:t>s</w:t>
      </w:r>
      <w:r>
        <w:rPr>
          <w:rFonts w:eastAsiaTheme="majorEastAsia"/>
        </w:rPr>
        <w:t xml:space="preserve"> suggests </w:t>
      </w:r>
      <w:r w:rsidR="00AC0CA6">
        <w:rPr>
          <w:rFonts w:eastAsiaTheme="majorEastAsia"/>
        </w:rPr>
        <w:t xml:space="preserve">that </w:t>
      </w:r>
      <w:r>
        <w:rPr>
          <w:rFonts w:eastAsiaTheme="majorEastAsia"/>
        </w:rPr>
        <w:t>this may not always be the case</w:t>
      </w:r>
      <w:r w:rsidR="00E010D4">
        <w:rPr>
          <w:rFonts w:eastAsiaTheme="majorEastAsia"/>
        </w:rPr>
        <w:t>, as</w:t>
      </w:r>
      <w:r>
        <w:rPr>
          <w:rFonts w:eastAsiaTheme="majorEastAsia"/>
        </w:rPr>
        <w:t xml:space="preserve"> the minimum power in </w:t>
      </w:r>
      <w:r w:rsidR="003D7B6E">
        <w:rPr>
          <w:rFonts w:eastAsiaTheme="majorEastAsia"/>
        </w:rPr>
        <w:t xml:space="preserve">some ITU satellite </w:t>
      </w:r>
      <w:r>
        <w:rPr>
          <w:rFonts w:eastAsiaTheme="majorEastAsia"/>
        </w:rPr>
        <w:t>filing</w:t>
      </w:r>
      <w:r w:rsidR="003D7B6E">
        <w:rPr>
          <w:rFonts w:eastAsiaTheme="majorEastAsia"/>
        </w:rPr>
        <w:t>s</w:t>
      </w:r>
      <w:r>
        <w:rPr>
          <w:rFonts w:eastAsiaTheme="majorEastAsia"/>
        </w:rPr>
        <w:t xml:space="preserve"> </w:t>
      </w:r>
      <w:r w:rsidR="000933CC">
        <w:rPr>
          <w:rFonts w:eastAsiaTheme="majorEastAsia"/>
        </w:rPr>
        <w:t>is</w:t>
      </w:r>
      <w:r w:rsidR="00616B10">
        <w:rPr>
          <w:rFonts w:eastAsiaTheme="majorEastAsia"/>
        </w:rPr>
        <w:t xml:space="preserve"> </w:t>
      </w:r>
      <w:r>
        <w:rPr>
          <w:rFonts w:eastAsiaTheme="majorEastAsia"/>
        </w:rPr>
        <w:t xml:space="preserve">greater than 25 dBm. </w:t>
      </w:r>
      <w:r w:rsidR="00E010D4">
        <w:rPr>
          <w:rFonts w:eastAsiaTheme="majorEastAsia"/>
        </w:rPr>
        <w:t>O</w:t>
      </w:r>
      <w:r>
        <w:rPr>
          <w:rFonts w:eastAsiaTheme="majorEastAsia"/>
        </w:rPr>
        <w:t xml:space="preserve">ur normal practice </w:t>
      </w:r>
      <w:r w:rsidR="00217A69">
        <w:rPr>
          <w:rFonts w:eastAsiaTheme="majorEastAsia"/>
        </w:rPr>
        <w:t xml:space="preserve">would be </w:t>
      </w:r>
      <w:r>
        <w:rPr>
          <w:rFonts w:eastAsiaTheme="majorEastAsia"/>
        </w:rPr>
        <w:t xml:space="preserve">to require operation </w:t>
      </w:r>
      <w:r w:rsidR="00704407">
        <w:rPr>
          <w:rFonts w:eastAsiaTheme="majorEastAsia"/>
        </w:rPr>
        <w:t>of earth station</w:t>
      </w:r>
      <w:r>
        <w:rPr>
          <w:rFonts w:eastAsiaTheme="majorEastAsia"/>
        </w:rPr>
        <w:t xml:space="preserve"> to be consistent with the filing and request </w:t>
      </w:r>
      <w:r w:rsidR="003D7B6E">
        <w:rPr>
          <w:rFonts w:eastAsiaTheme="majorEastAsia"/>
        </w:rPr>
        <w:t xml:space="preserve">that the </w:t>
      </w:r>
      <w:r>
        <w:rPr>
          <w:rFonts w:eastAsiaTheme="majorEastAsia"/>
        </w:rPr>
        <w:t>satellite filing be updated to reflect mobile earth station power</w:t>
      </w:r>
      <w:r w:rsidR="00217A69">
        <w:rPr>
          <w:rFonts w:eastAsiaTheme="majorEastAsia"/>
        </w:rPr>
        <w:t>. However</w:t>
      </w:r>
      <w:r>
        <w:rPr>
          <w:rFonts w:eastAsiaTheme="majorEastAsia"/>
        </w:rPr>
        <w:t xml:space="preserve">, we acknowledge that such a change </w:t>
      </w:r>
      <w:r w:rsidR="006313CB">
        <w:rPr>
          <w:rFonts w:eastAsiaTheme="majorEastAsia"/>
        </w:rPr>
        <w:t>may</w:t>
      </w:r>
      <w:r>
        <w:rPr>
          <w:rFonts w:eastAsiaTheme="majorEastAsia"/>
        </w:rPr>
        <w:t xml:space="preserve"> not </w:t>
      </w:r>
      <w:r w:rsidR="006313CB">
        <w:rPr>
          <w:rFonts w:eastAsiaTheme="majorEastAsia"/>
        </w:rPr>
        <w:t xml:space="preserve">be </w:t>
      </w:r>
      <w:r>
        <w:rPr>
          <w:rFonts w:eastAsiaTheme="majorEastAsia"/>
        </w:rPr>
        <w:t>a simple matter in th</w:t>
      </w:r>
      <w:r w:rsidR="006313CB">
        <w:rPr>
          <w:rFonts w:eastAsiaTheme="majorEastAsia"/>
        </w:rPr>
        <w:t>e</w:t>
      </w:r>
      <w:r>
        <w:rPr>
          <w:rFonts w:eastAsiaTheme="majorEastAsia"/>
        </w:rPr>
        <w:t xml:space="preserve"> case</w:t>
      </w:r>
      <w:r w:rsidR="006313CB">
        <w:rPr>
          <w:rFonts w:eastAsiaTheme="majorEastAsia"/>
        </w:rPr>
        <w:t xml:space="preserve"> of 2 GHz MSS</w:t>
      </w:r>
      <w:r>
        <w:rPr>
          <w:rFonts w:eastAsiaTheme="majorEastAsia"/>
        </w:rPr>
        <w:t>. Modifications of a</w:t>
      </w:r>
      <w:r w:rsidR="006A4CC5">
        <w:rPr>
          <w:rFonts w:eastAsiaTheme="majorEastAsia"/>
        </w:rPr>
        <w:t>n ITU</w:t>
      </w:r>
      <w:r>
        <w:rPr>
          <w:rFonts w:eastAsiaTheme="majorEastAsia"/>
        </w:rPr>
        <w:t xml:space="preserve"> satellite filing normally</w:t>
      </w:r>
      <w:r w:rsidR="00DD5333">
        <w:rPr>
          <w:rFonts w:eastAsiaTheme="majorEastAsia"/>
        </w:rPr>
        <w:t xml:space="preserve"> (</w:t>
      </w:r>
      <w:r>
        <w:rPr>
          <w:rFonts w:eastAsiaTheme="majorEastAsia"/>
        </w:rPr>
        <w:t>ex</w:t>
      </w:r>
      <w:r w:rsidR="003D7B6E">
        <w:rPr>
          <w:rFonts w:eastAsiaTheme="majorEastAsia"/>
        </w:rPr>
        <w:t>cept</w:t>
      </w:r>
      <w:r>
        <w:rPr>
          <w:rFonts w:eastAsiaTheme="majorEastAsia"/>
        </w:rPr>
        <w:t xml:space="preserve"> when ITU Rules of Procedure for ITU RR 9.27 apply) result in a change of the date of receipt which will impact the </w:t>
      </w:r>
      <w:r w:rsidR="003D7B6E">
        <w:rPr>
          <w:rFonts w:eastAsiaTheme="majorEastAsia"/>
        </w:rPr>
        <w:t xml:space="preserve">satellite filing </w:t>
      </w:r>
      <w:r>
        <w:rPr>
          <w:rFonts w:eastAsiaTheme="majorEastAsia"/>
        </w:rPr>
        <w:t xml:space="preserve">coordination status in the ITU satellite coordination process. </w:t>
      </w:r>
      <w:r w:rsidR="006C47B0">
        <w:rPr>
          <w:rFonts w:eastAsiaTheme="majorEastAsia"/>
        </w:rPr>
        <w:t>As operating</w:t>
      </w:r>
      <w:r w:rsidR="00090375">
        <w:rPr>
          <w:rFonts w:eastAsiaTheme="majorEastAsia"/>
        </w:rPr>
        <w:t xml:space="preserve"> at </w:t>
      </w:r>
      <w:r>
        <w:rPr>
          <w:rFonts w:eastAsiaTheme="majorEastAsia"/>
        </w:rPr>
        <w:t>lower power than that specified in a filing would not impact other satellite operators (</w:t>
      </w:r>
      <w:r w:rsidR="0053490E">
        <w:rPr>
          <w:rFonts w:eastAsiaTheme="majorEastAsia"/>
        </w:rPr>
        <w:t xml:space="preserve">as </w:t>
      </w:r>
      <w:r>
        <w:rPr>
          <w:rFonts w:eastAsiaTheme="majorEastAsia"/>
        </w:rPr>
        <w:t xml:space="preserve">it reduces levels of interference to other satellite system), we are open to considering </w:t>
      </w:r>
      <w:r w:rsidR="00EE2E70">
        <w:rPr>
          <w:rFonts w:eastAsiaTheme="majorEastAsia"/>
        </w:rPr>
        <w:t xml:space="preserve">filings with </w:t>
      </w:r>
      <w:r w:rsidR="00535798">
        <w:rPr>
          <w:rFonts w:eastAsiaTheme="majorEastAsia"/>
        </w:rPr>
        <w:t xml:space="preserve">specified minimum </w:t>
      </w:r>
      <w:r w:rsidR="00087E1D">
        <w:rPr>
          <w:rFonts w:eastAsiaTheme="majorEastAsia"/>
        </w:rPr>
        <w:t>power levels</w:t>
      </w:r>
      <w:r w:rsidR="0090445D" w:rsidRPr="0090445D">
        <w:rPr>
          <w:rFonts w:eastAsiaTheme="majorEastAsia"/>
        </w:rPr>
        <w:t xml:space="preserve"> </w:t>
      </w:r>
      <w:r w:rsidR="0090445D">
        <w:rPr>
          <w:rFonts w:eastAsiaTheme="majorEastAsia"/>
        </w:rPr>
        <w:t xml:space="preserve">higher than </w:t>
      </w:r>
      <w:r w:rsidR="00C35543">
        <w:rPr>
          <w:rFonts w:eastAsiaTheme="majorEastAsia"/>
        </w:rPr>
        <w:t xml:space="preserve">the proposed </w:t>
      </w:r>
      <w:r w:rsidR="005D4287">
        <w:rPr>
          <w:rFonts w:eastAsiaTheme="majorEastAsia"/>
        </w:rPr>
        <w:t xml:space="preserve">a </w:t>
      </w:r>
      <w:r w:rsidR="0032709A">
        <w:rPr>
          <w:rFonts w:eastAsiaTheme="majorEastAsia"/>
        </w:rPr>
        <w:t xml:space="preserve">total </w:t>
      </w:r>
      <w:r w:rsidR="002B4926" w:rsidRPr="002B4926">
        <w:rPr>
          <w:rFonts w:eastAsiaTheme="majorEastAsia"/>
        </w:rPr>
        <w:t>radiated power of less than or equal to 25 dBm per occupied bandwidth</w:t>
      </w:r>
      <w:r w:rsidR="00A4798B">
        <w:rPr>
          <w:rFonts w:eastAsiaTheme="majorEastAsia"/>
        </w:rPr>
        <w:t xml:space="preserve"> for mobile earth station</w:t>
      </w:r>
      <w:r w:rsidR="004B2550">
        <w:rPr>
          <w:rFonts w:eastAsiaTheme="majorEastAsia"/>
        </w:rPr>
        <w:t>s</w:t>
      </w:r>
      <w:r w:rsidR="005F46A3">
        <w:rPr>
          <w:rFonts w:eastAsiaTheme="majorEastAsia"/>
        </w:rPr>
        <w:t>.</w:t>
      </w:r>
    </w:p>
    <w:p w14:paraId="1329D07F" w14:textId="4382EF1F" w:rsidR="0075565D" w:rsidRDefault="0075565D" w:rsidP="0075565D">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56" w:name="_Toc202867833"/>
      <w:r>
        <w:t>Issue for comment</w:t>
      </w:r>
      <w:r w:rsidRPr="00E162C4">
        <w:t xml:space="preserve"> </w:t>
      </w:r>
      <w:r w:rsidR="00C830D2">
        <w:t>7</w:t>
      </w:r>
      <w:r w:rsidR="00285ECE">
        <w:t>(</w:t>
      </w:r>
      <w:r w:rsidR="002D3CB3">
        <w:t>ii</w:t>
      </w:r>
      <w:r w:rsidR="00285ECE">
        <w:t>)</w:t>
      </w:r>
      <w:bookmarkEnd w:id="56"/>
    </w:p>
    <w:p w14:paraId="2A411E6E" w14:textId="5AA0FB59" w:rsidR="005A7311" w:rsidRPr="004A71E0" w:rsidRDefault="0075565D" w:rsidP="004A71E0">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102050">
        <w:t xml:space="preserve">We seek </w:t>
      </w:r>
      <w:r>
        <w:t xml:space="preserve">comment on </w:t>
      </w:r>
      <w:r w:rsidR="002C1105">
        <w:t xml:space="preserve">proposals for </w:t>
      </w:r>
      <w:r w:rsidR="00EE7CD4">
        <w:t>mobile earth station</w:t>
      </w:r>
      <w:r w:rsidR="005F46A3">
        <w:t xml:space="preserve"> </w:t>
      </w:r>
      <w:r w:rsidR="0051104E">
        <w:t xml:space="preserve">total radiated </w:t>
      </w:r>
      <w:r w:rsidR="00EE7CD4">
        <w:t>power levels</w:t>
      </w:r>
      <w:r w:rsidR="001103E7">
        <w:t xml:space="preserve">, </w:t>
      </w:r>
      <w:r w:rsidR="00EE7CD4">
        <w:t>requirements for consistency with ITU satellite filing</w:t>
      </w:r>
      <w:r w:rsidR="005E3C13">
        <w:t>s</w:t>
      </w:r>
      <w:r w:rsidR="001103E7">
        <w:t xml:space="preserve"> and potential for considering </w:t>
      </w:r>
      <w:r w:rsidR="00761A89">
        <w:t xml:space="preserve">lower </w:t>
      </w:r>
      <w:r w:rsidR="0051104E">
        <w:t xml:space="preserve">total radiated </w:t>
      </w:r>
      <w:r w:rsidR="00761A89">
        <w:t xml:space="preserve">power </w:t>
      </w:r>
      <w:r w:rsidR="006A517D">
        <w:t xml:space="preserve">levels </w:t>
      </w:r>
      <w:r w:rsidR="00761A89">
        <w:t>than specified in</w:t>
      </w:r>
      <w:r w:rsidR="00F50699">
        <w:t xml:space="preserve"> a filing</w:t>
      </w:r>
      <w:r w:rsidR="00EE7CD4">
        <w:t>.</w:t>
      </w:r>
    </w:p>
    <w:p w14:paraId="48FF58FB" w14:textId="7D836C96" w:rsidR="00DC1034" w:rsidRDefault="00112832" w:rsidP="001D3B4D">
      <w:pPr>
        <w:pStyle w:val="Heading1"/>
      </w:pPr>
      <w:bookmarkStart w:id="57" w:name="_Toc202867834"/>
      <w:r>
        <w:lastRenderedPageBreak/>
        <w:t>Technical matters</w:t>
      </w:r>
      <w:bookmarkEnd w:id="57"/>
      <w:r w:rsidR="00062D32">
        <w:t xml:space="preserve"> </w:t>
      </w:r>
    </w:p>
    <w:p w14:paraId="42145BBA" w14:textId="12F64112" w:rsidR="008B1DF8" w:rsidRPr="008B1DF8" w:rsidRDefault="008B1DF8" w:rsidP="008B1DF8">
      <w:pPr>
        <w:pStyle w:val="Heading2"/>
      </w:pPr>
      <w:bookmarkStart w:id="58" w:name="_Toc202867835"/>
      <w:r>
        <w:t>Mobile earth stations and CGC</w:t>
      </w:r>
      <w:bookmarkEnd w:id="58"/>
    </w:p>
    <w:p w14:paraId="1FE22286" w14:textId="799A9740" w:rsidR="00477505" w:rsidRDefault="00DC1034" w:rsidP="00DC1034">
      <w:pPr>
        <w:pStyle w:val="Paragraph"/>
      </w:pPr>
      <w:r>
        <w:t xml:space="preserve">Proposed 2 GHz MSS technical parameters and coordination requirements for 2 GHz MSS earth stations and </w:t>
      </w:r>
      <w:r w:rsidR="00791752">
        <w:t>CGC</w:t>
      </w:r>
      <w:r>
        <w:t xml:space="preserve"> stations (if support</w:t>
      </w:r>
      <w:r w:rsidR="00224656">
        <w:t>ed</w:t>
      </w:r>
      <w:r>
        <w:t xml:space="preserve">) were discussed in the November 2023 </w:t>
      </w:r>
      <w:r w:rsidR="005E3077">
        <w:t>d</w:t>
      </w:r>
      <w:r w:rsidR="001521F4">
        <w:t xml:space="preserve">iscussion </w:t>
      </w:r>
      <w:r>
        <w:t>paper. Overall</w:t>
      </w:r>
      <w:r w:rsidR="001521F4">
        <w:t>,</w:t>
      </w:r>
      <w:r>
        <w:t xml:space="preserve"> </w:t>
      </w:r>
      <w:r w:rsidR="00C82D19">
        <w:t>submissions</w:t>
      </w:r>
      <w:r>
        <w:t xml:space="preserve"> </w:t>
      </w:r>
      <w:r w:rsidR="001C3C6E">
        <w:t xml:space="preserve">indicate that </w:t>
      </w:r>
      <w:r>
        <w:t xml:space="preserve">industry </w:t>
      </w:r>
      <w:r w:rsidR="001C3C6E">
        <w:t>is</w:t>
      </w:r>
      <w:r>
        <w:t xml:space="preserve"> supportive of align</w:t>
      </w:r>
      <w:r w:rsidR="00593284">
        <w:t>ing</w:t>
      </w:r>
      <w:r>
        <w:t xml:space="preserve"> </w:t>
      </w:r>
      <w:r w:rsidR="00606F54">
        <w:t xml:space="preserve">the </w:t>
      </w:r>
      <w:r>
        <w:t>technical parameter</w:t>
      </w:r>
      <w:r w:rsidR="00593284">
        <w:t>s</w:t>
      </w:r>
      <w:r>
        <w:t xml:space="preserve"> </w:t>
      </w:r>
      <w:r w:rsidR="006F35FC">
        <w:t>for</w:t>
      </w:r>
      <w:r w:rsidR="00606F54">
        <w:t xml:space="preserve"> the 2 GHz MSS band with the technical parameters in the adjacent </w:t>
      </w:r>
      <w:r w:rsidR="00A95A45">
        <w:t xml:space="preserve">spectrum-licenced </w:t>
      </w:r>
      <w:r w:rsidR="00606F54">
        <w:t>band</w:t>
      </w:r>
      <w:r w:rsidR="00006C67">
        <w:t>.</w:t>
      </w:r>
    </w:p>
    <w:p w14:paraId="07057279" w14:textId="4373CEE4" w:rsidR="00DC1034" w:rsidRDefault="0075525C" w:rsidP="00DC1034">
      <w:pPr>
        <w:pStyle w:val="Paragraph"/>
      </w:pPr>
      <w:r w:rsidRPr="00BA1BBE">
        <w:t>As we have not formed a view on whether support is required for CGC/DA2GC</w:t>
      </w:r>
      <w:r>
        <w:t>,</w:t>
      </w:r>
      <w:r w:rsidRPr="00BA1BBE">
        <w:t xml:space="preserve"> we have not further </w:t>
      </w:r>
      <w:r>
        <w:t>developed</w:t>
      </w:r>
      <w:r w:rsidRPr="00BA1BBE">
        <w:t xml:space="preserve"> requirement</w:t>
      </w:r>
      <w:r>
        <w:t>s</w:t>
      </w:r>
      <w:r w:rsidRPr="00BA1BBE">
        <w:t xml:space="preserve"> for CGC/DA2GC beyond what we </w:t>
      </w:r>
      <w:r>
        <w:t>set out</w:t>
      </w:r>
      <w:r w:rsidRPr="00BA1BBE">
        <w:t xml:space="preserve"> in the November 2023 </w:t>
      </w:r>
      <w:r w:rsidR="005E3077">
        <w:t>d</w:t>
      </w:r>
      <w:r>
        <w:t>iscussion paper</w:t>
      </w:r>
      <w:r w:rsidRPr="00BA1BBE">
        <w:t xml:space="preserve">. </w:t>
      </w:r>
      <w:r>
        <w:t xml:space="preserve">Similarly, as coordination requirements are predominately about </w:t>
      </w:r>
      <w:r w:rsidR="00783DAF">
        <w:t>coordination</w:t>
      </w:r>
      <w:r w:rsidR="002C2F28">
        <w:t xml:space="preserve"> of </w:t>
      </w:r>
      <w:r w:rsidRPr="00BA1BBE">
        <w:t>CGC/DA2GC</w:t>
      </w:r>
      <w:r w:rsidR="002C2F28">
        <w:t xml:space="preserve"> with other services </w:t>
      </w:r>
      <w:r>
        <w:t xml:space="preserve">we </w:t>
      </w:r>
      <w:r w:rsidR="007011E4">
        <w:t>decided not to</w:t>
      </w:r>
      <w:r>
        <w:t xml:space="preserve"> </w:t>
      </w:r>
      <w:r w:rsidR="00B910E6">
        <w:t>progress</w:t>
      </w:r>
      <w:r>
        <w:t xml:space="preserve"> work on developing coordination requirements beyond </w:t>
      </w:r>
      <w:r w:rsidRPr="00BA1BBE">
        <w:t>w</w:t>
      </w:r>
      <w:r>
        <w:t>hat w</w:t>
      </w:r>
      <w:r w:rsidRPr="00BA1BBE">
        <w:t xml:space="preserve">e </w:t>
      </w:r>
      <w:r>
        <w:t>set out</w:t>
      </w:r>
      <w:r w:rsidRPr="00BA1BBE">
        <w:t xml:space="preserve"> in the November 2023</w:t>
      </w:r>
      <w:r w:rsidR="00DC1034">
        <w:t>.</w:t>
      </w:r>
    </w:p>
    <w:p w14:paraId="770544E6" w14:textId="71D0D6DD" w:rsidR="00DC1034" w:rsidRDefault="00DC1034" w:rsidP="00DC1034">
      <w:pPr>
        <w:pStyle w:val="Paragraph"/>
      </w:pPr>
      <w:r>
        <w:t>The</w:t>
      </w:r>
      <w:r w:rsidR="00102050">
        <w:t xml:space="preserve"> proposed</w:t>
      </w:r>
      <w:r>
        <w:t xml:space="preserve"> </w:t>
      </w:r>
      <w:r w:rsidR="00C56FC0">
        <w:t>requirements</w:t>
      </w:r>
      <w:r w:rsidR="008A3A0D">
        <w:t xml:space="preserve"> </w:t>
      </w:r>
      <w:r w:rsidR="00E02A02">
        <w:t>set out in</w:t>
      </w:r>
      <w:r w:rsidR="00C6489C">
        <w:t xml:space="preserve"> our November 2023 </w:t>
      </w:r>
      <w:r w:rsidR="005E3077">
        <w:t>d</w:t>
      </w:r>
      <w:r w:rsidR="00C6489C">
        <w:t xml:space="preserve">iscussion paper </w:t>
      </w:r>
      <w:r>
        <w:t>are summaris</w:t>
      </w:r>
      <w:r w:rsidR="00C64E57">
        <w:t>ed</w:t>
      </w:r>
      <w:r>
        <w:t xml:space="preserve"> in table 1 and </w:t>
      </w:r>
      <w:r w:rsidR="00B449AD">
        <w:t xml:space="preserve">table </w:t>
      </w:r>
      <w:r>
        <w:t>2</w:t>
      </w:r>
      <w:r w:rsidR="00B449AD">
        <w:t>,</w:t>
      </w:r>
      <w:r>
        <w:t xml:space="preserve"> below</w:t>
      </w:r>
      <w:r w:rsidR="00697841">
        <w:t>,</w:t>
      </w:r>
      <w:r w:rsidR="00C6489C">
        <w:t xml:space="preserve"> </w:t>
      </w:r>
      <w:r w:rsidR="00AA455E" w:rsidRPr="00BA1BBE">
        <w:t>to assist</w:t>
      </w:r>
      <w:r w:rsidR="00C6489C">
        <w:t xml:space="preserve"> </w:t>
      </w:r>
      <w:r w:rsidR="00C6489C" w:rsidRPr="00BA1BBE">
        <w:t xml:space="preserve">stakeholders </w:t>
      </w:r>
      <w:r w:rsidR="00AA455E" w:rsidRPr="00BA1BBE">
        <w:t>considering requirements for</w:t>
      </w:r>
      <w:r w:rsidR="00C6489C">
        <w:t xml:space="preserve"> </w:t>
      </w:r>
      <w:r w:rsidR="00C6489C" w:rsidRPr="00BA1BBE">
        <w:t>CGC/DA2GC</w:t>
      </w:r>
      <w:r w:rsidR="00AA455E" w:rsidRPr="00BA1BBE">
        <w:t>.</w:t>
      </w:r>
    </w:p>
    <w:p w14:paraId="57D96A6C" w14:textId="1512741E" w:rsidR="00316E40" w:rsidRDefault="00316E40" w:rsidP="00DC1034">
      <w:pPr>
        <w:pStyle w:val="Paragraph"/>
      </w:pPr>
      <w:r>
        <w:t>Note</w:t>
      </w:r>
      <w:r w:rsidR="00E02A02">
        <w:t xml:space="preserve"> that</w:t>
      </w:r>
      <w:r>
        <w:t xml:space="preserve"> no </w:t>
      </w:r>
      <w:r w:rsidR="009E71DD">
        <w:t>t</w:t>
      </w:r>
      <w:r w:rsidRPr="00E36A78">
        <w:t xml:space="preserve">echnical requirements for space stations </w:t>
      </w:r>
      <w:r w:rsidR="00951BB2">
        <w:t>are specified</w:t>
      </w:r>
      <w:r w:rsidR="00697841">
        <w:t>.</w:t>
      </w:r>
    </w:p>
    <w:p w14:paraId="20312D8F" w14:textId="77777777" w:rsidR="00DC1034" w:rsidRDefault="00DC1034" w:rsidP="00DC1034">
      <w:pPr>
        <w:pStyle w:val="Tableheading"/>
        <w:numPr>
          <w:ilvl w:val="0"/>
          <w:numId w:val="76"/>
        </w:numPr>
      </w:pPr>
      <w:r>
        <w:t xml:space="preserve">Key 2 GHz MSS technical parameters </w:t>
      </w:r>
    </w:p>
    <w:tbl>
      <w:tblPr>
        <w:tblStyle w:val="ACMAtablestyle"/>
        <w:tblW w:w="8640" w:type="dxa"/>
        <w:tblLayout w:type="fixed"/>
        <w:tblLook w:val="01E0" w:firstRow="1" w:lastRow="1" w:firstColumn="1" w:lastColumn="1" w:noHBand="0" w:noVBand="0"/>
        <w:tblCaption w:val="Table title to go here"/>
        <w:tblDescription w:val="Table description to go here"/>
      </w:tblPr>
      <w:tblGrid>
        <w:gridCol w:w="8640"/>
      </w:tblGrid>
      <w:tr w:rsidR="00DC1034" w14:paraId="3018EF71" w14:textId="77777777" w:rsidTr="00DC1034">
        <w:trPr>
          <w:cnfStyle w:val="100000000000" w:firstRow="1" w:lastRow="0" w:firstColumn="0" w:lastColumn="0" w:oddVBand="0" w:evenVBand="0" w:oddHBand="0" w:evenHBand="0" w:firstRowFirstColumn="0" w:firstRowLastColumn="0" w:lastRowFirstColumn="0" w:lastRowLastColumn="0"/>
        </w:trPr>
        <w:tc>
          <w:tcPr>
            <w:tcW w:w="8642" w:type="dxa"/>
            <w:hideMark/>
          </w:tcPr>
          <w:p w14:paraId="19AD801F" w14:textId="7D7278B8" w:rsidR="00DC1034" w:rsidRDefault="00DC1034">
            <w:pPr>
              <w:pStyle w:val="Tableheaderrow"/>
              <w:keepNext/>
              <w:spacing w:line="240" w:lineRule="auto"/>
            </w:pPr>
            <w:r>
              <w:t xml:space="preserve">Mobile earth stations </w:t>
            </w:r>
            <w:r w:rsidR="009113DB">
              <w:t>and mobile earth recei</w:t>
            </w:r>
            <w:r w:rsidR="00E17FCE">
              <w:t>ve stations</w:t>
            </w:r>
          </w:p>
        </w:tc>
      </w:tr>
      <w:tr w:rsidR="00DC1034" w14:paraId="5CB49723"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47A69525" w14:textId="7FFD5EC3" w:rsidR="00DC1034" w:rsidRDefault="00DC1034" w:rsidP="00D27B07">
            <w:pPr>
              <w:pStyle w:val="Bulletlevel1"/>
              <w:keepNext/>
              <w:tabs>
                <w:tab w:val="left" w:pos="720"/>
              </w:tabs>
              <w:spacing w:after="0"/>
              <w:ind w:left="284" w:hanging="284"/>
              <w:rPr>
                <w:b/>
                <w:bCs/>
              </w:rPr>
            </w:pPr>
            <w:r>
              <w:rPr>
                <w:b/>
                <w:bCs/>
              </w:rPr>
              <w:t>Mobile earth station (1980–2005 MHz)</w:t>
            </w:r>
          </w:p>
        </w:tc>
      </w:tr>
      <w:tr w:rsidR="00DC1034" w14:paraId="220698A2"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17170CBC" w14:textId="77777777" w:rsidR="00DC1034" w:rsidRDefault="00DC1034" w:rsidP="00DC1034">
            <w:pPr>
              <w:pStyle w:val="Bulletlevel1"/>
              <w:numPr>
                <w:ilvl w:val="0"/>
                <w:numId w:val="75"/>
              </w:numPr>
              <w:tabs>
                <w:tab w:val="num" w:pos="579"/>
              </w:tabs>
              <w:ind w:left="284" w:hanging="284"/>
              <w:rPr>
                <w:rFonts w:eastAsiaTheme="majorEastAsia"/>
              </w:rPr>
            </w:pPr>
            <w:r>
              <w:t xml:space="preserve">total radiated power of </w:t>
            </w:r>
            <w:r>
              <w:rPr>
                <w:rFonts w:eastAsiaTheme="majorEastAsia"/>
              </w:rPr>
              <w:t>less than or equal to 25 dBm per occupied bandwidth</w:t>
            </w:r>
          </w:p>
          <w:p w14:paraId="6A5034CD" w14:textId="6CDFD0C8" w:rsidR="00DC1034" w:rsidRDefault="00DC1034" w:rsidP="00DC1034">
            <w:pPr>
              <w:pStyle w:val="Bulletlevel1"/>
              <w:numPr>
                <w:ilvl w:val="0"/>
                <w:numId w:val="75"/>
              </w:numPr>
              <w:tabs>
                <w:tab w:val="left" w:pos="720"/>
              </w:tabs>
              <w:ind w:left="284" w:hanging="284"/>
            </w:pPr>
            <w:r>
              <w:rPr>
                <w:rFonts w:eastAsiaTheme="majorEastAsia"/>
              </w:rPr>
              <w:t xml:space="preserve">unwanted emissions limits as included in the 2 GHz spectrum licence technical framework for transmitters in the 1920–1980 MHz band, except for the unwanted emission limits above 2010 MHz of -60 dBW/MHz EIRP which has been developed considering protection requirements for TOB receivers. </w:t>
            </w:r>
          </w:p>
        </w:tc>
      </w:tr>
      <w:tr w:rsidR="00DC1034" w14:paraId="71E9F39B"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721A3180" w14:textId="36296410" w:rsidR="00DC1034" w:rsidRDefault="00DC1034" w:rsidP="00D27B07">
            <w:pPr>
              <w:pStyle w:val="Bulletlevel1"/>
              <w:keepNext/>
              <w:tabs>
                <w:tab w:val="left" w:pos="720"/>
              </w:tabs>
              <w:spacing w:after="0"/>
              <w:ind w:left="284" w:hanging="284"/>
              <w:rPr>
                <w:b/>
                <w:bCs/>
              </w:rPr>
            </w:pPr>
            <w:r>
              <w:rPr>
                <w:b/>
                <w:bCs/>
              </w:rPr>
              <w:t xml:space="preserve">Mobile earth </w:t>
            </w:r>
            <w:r w:rsidR="00E17FCE">
              <w:rPr>
                <w:b/>
                <w:bCs/>
              </w:rPr>
              <w:t xml:space="preserve">receive </w:t>
            </w:r>
            <w:r>
              <w:rPr>
                <w:b/>
                <w:bCs/>
              </w:rPr>
              <w:t>station (2170–2195 MHz)</w:t>
            </w:r>
          </w:p>
        </w:tc>
      </w:tr>
      <w:tr w:rsidR="00DC1034" w14:paraId="4EF944F5"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3733881B" w14:textId="0938BF66" w:rsidR="00DC1034" w:rsidRDefault="00DC1034" w:rsidP="00DC1034">
            <w:pPr>
              <w:pStyle w:val="Bulletlevel1"/>
              <w:numPr>
                <w:ilvl w:val="0"/>
                <w:numId w:val="75"/>
              </w:numPr>
              <w:tabs>
                <w:tab w:val="num" w:pos="579"/>
              </w:tabs>
              <w:ind w:left="284" w:hanging="284"/>
            </w:pPr>
            <w:r>
              <w:rPr>
                <w:rFonts w:eastAsiaTheme="majorEastAsia"/>
              </w:rPr>
              <w:t>unwanted emissions limits as included in the 2 GHz spectrum licence technical framework for receivers in the 2110–2170 MHz band (user terminal receivers).</w:t>
            </w:r>
          </w:p>
        </w:tc>
      </w:tr>
      <w:tr w:rsidR="00DC1034" w14:paraId="1AD816E5"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shd w:val="clear" w:color="auto" w:fill="000000" w:themeFill="text1"/>
            <w:hideMark/>
          </w:tcPr>
          <w:p w14:paraId="4BD739FA" w14:textId="1070AA3D" w:rsidR="00DC1034" w:rsidRDefault="002D0C40">
            <w:pPr>
              <w:pStyle w:val="Tableheaderrow"/>
              <w:keepNext/>
              <w:spacing w:line="240" w:lineRule="auto"/>
            </w:pPr>
            <w:r>
              <w:t>CGC</w:t>
            </w:r>
          </w:p>
        </w:tc>
      </w:tr>
      <w:tr w:rsidR="00DC1034" w14:paraId="7EF8E66A"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6EF31852" w14:textId="77777777" w:rsidR="00DC1034" w:rsidRDefault="00DC1034" w:rsidP="00D27B07">
            <w:pPr>
              <w:pStyle w:val="Bulletlevel1"/>
              <w:keepNext/>
              <w:tabs>
                <w:tab w:val="left" w:pos="720"/>
              </w:tabs>
              <w:spacing w:after="0"/>
              <w:ind w:left="284" w:hanging="284"/>
              <w:rPr>
                <w:b/>
                <w:bCs/>
              </w:rPr>
            </w:pPr>
            <w:r>
              <w:rPr>
                <w:b/>
                <w:bCs/>
              </w:rPr>
              <w:t>User equipment: transmitters (1980–2005 MHz)</w:t>
            </w:r>
          </w:p>
        </w:tc>
      </w:tr>
      <w:tr w:rsidR="00DC1034" w14:paraId="7289435E"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2DAC6E9D" w14:textId="70FDCD40" w:rsidR="00DC1034" w:rsidRDefault="00DC1034">
            <w:pPr>
              <w:pStyle w:val="Bulletlevel1"/>
              <w:tabs>
                <w:tab w:val="left" w:pos="720"/>
              </w:tabs>
              <w:rPr>
                <w:rFonts w:eastAsiaTheme="majorEastAsia"/>
              </w:rPr>
            </w:pPr>
            <w:r>
              <w:t>Same parameters as for mobile earth station</w:t>
            </w:r>
            <w:r w:rsidR="00D40AB4">
              <w:t>s</w:t>
            </w:r>
            <w:r>
              <w:t xml:space="preserve"> in </w:t>
            </w:r>
            <w:r w:rsidR="00D40AB4">
              <w:t xml:space="preserve">the </w:t>
            </w:r>
            <w:r>
              <w:t xml:space="preserve">1980–2005 MHz </w:t>
            </w:r>
            <w:r w:rsidR="00D40AB4">
              <w:t>band</w:t>
            </w:r>
            <w:r>
              <w:t>:</w:t>
            </w:r>
          </w:p>
          <w:p w14:paraId="4B1C4B7C" w14:textId="77777777" w:rsidR="00DC1034" w:rsidRDefault="00DC1034" w:rsidP="00DC1034">
            <w:pPr>
              <w:pStyle w:val="Bulletlevel1"/>
              <w:numPr>
                <w:ilvl w:val="0"/>
                <w:numId w:val="75"/>
              </w:numPr>
              <w:tabs>
                <w:tab w:val="num" w:pos="579"/>
              </w:tabs>
              <w:ind w:left="284" w:hanging="284"/>
              <w:rPr>
                <w:rFonts w:eastAsiaTheme="majorEastAsia"/>
              </w:rPr>
            </w:pPr>
            <w:r>
              <w:t xml:space="preserve">total radiated power of </w:t>
            </w:r>
            <w:r>
              <w:rPr>
                <w:rFonts w:eastAsiaTheme="majorEastAsia"/>
              </w:rPr>
              <w:t>less than or equal to 25 dBm per occupied bandwidth</w:t>
            </w:r>
          </w:p>
          <w:p w14:paraId="1788B4B5" w14:textId="53E24D96" w:rsidR="00DC1034" w:rsidRDefault="00DC1034" w:rsidP="00DC1034">
            <w:pPr>
              <w:pStyle w:val="Bulletlevel1"/>
              <w:numPr>
                <w:ilvl w:val="0"/>
                <w:numId w:val="75"/>
              </w:numPr>
              <w:tabs>
                <w:tab w:val="num" w:pos="579"/>
              </w:tabs>
              <w:ind w:left="284" w:hanging="284"/>
            </w:pPr>
            <w:r>
              <w:rPr>
                <w:rFonts w:eastAsiaTheme="majorEastAsia"/>
              </w:rPr>
              <w:t>unwanted emissions limits as included in the 2 GHz spectrum licence technical framework for transmitters in the 1920–1980 MHz band, except for the unwanted emission limit above 2010 MHz of -60 dBW/MHz EIRP which has been developed considering protection requirements for TOB receiver</w:t>
            </w:r>
            <w:r w:rsidR="009F3424">
              <w:rPr>
                <w:rFonts w:eastAsiaTheme="majorEastAsia"/>
              </w:rPr>
              <w:t>s</w:t>
            </w:r>
            <w:r>
              <w:rPr>
                <w:rFonts w:eastAsiaTheme="majorEastAsia"/>
              </w:rPr>
              <w:t>.</w:t>
            </w:r>
          </w:p>
        </w:tc>
      </w:tr>
      <w:tr w:rsidR="00DC1034" w14:paraId="35EB7B7D"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16EA4F28" w14:textId="77777777" w:rsidR="00DC1034" w:rsidRDefault="00DC1034" w:rsidP="00D27B07">
            <w:pPr>
              <w:pStyle w:val="Bulletlevel1"/>
              <w:keepNext/>
              <w:tabs>
                <w:tab w:val="left" w:pos="720"/>
              </w:tabs>
              <w:spacing w:after="0"/>
              <w:ind w:left="284" w:hanging="284"/>
              <w:rPr>
                <w:b/>
                <w:bCs/>
              </w:rPr>
            </w:pPr>
            <w:r>
              <w:rPr>
                <w:b/>
                <w:bCs/>
              </w:rPr>
              <w:lastRenderedPageBreak/>
              <w:t>User equipment: receivers (2170–2195 MHz)</w:t>
            </w:r>
          </w:p>
        </w:tc>
      </w:tr>
      <w:tr w:rsidR="00DC1034" w14:paraId="163B6CA5"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25ED289A" w14:textId="77777777" w:rsidR="00DC1034" w:rsidRDefault="00DC1034" w:rsidP="00DC1034">
            <w:pPr>
              <w:pStyle w:val="Bulletlevel1"/>
              <w:numPr>
                <w:ilvl w:val="0"/>
                <w:numId w:val="75"/>
              </w:numPr>
              <w:tabs>
                <w:tab w:val="num" w:pos="579"/>
              </w:tabs>
              <w:ind w:left="284" w:hanging="284"/>
            </w:pPr>
            <w:r>
              <w:rPr>
                <w:rFonts w:eastAsiaTheme="majorEastAsia"/>
              </w:rPr>
              <w:t xml:space="preserve">unwanted emissions limits as included in the 2 GHz spectrum licence technical framework for receivers in the 2110–2170 MHz band. </w:t>
            </w:r>
          </w:p>
        </w:tc>
      </w:tr>
      <w:tr w:rsidR="00DC1034" w14:paraId="70E1F607"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00C3C179" w14:textId="77777777" w:rsidR="00DC1034" w:rsidRDefault="00DC1034" w:rsidP="00D27B07">
            <w:pPr>
              <w:pStyle w:val="Bulletlevel1"/>
              <w:keepNext/>
              <w:tabs>
                <w:tab w:val="left" w:pos="720"/>
              </w:tabs>
              <w:spacing w:after="0"/>
              <w:ind w:left="284" w:hanging="284"/>
              <w:rPr>
                <w:b/>
                <w:bCs/>
              </w:rPr>
            </w:pPr>
            <w:r>
              <w:rPr>
                <w:b/>
                <w:bCs/>
              </w:rPr>
              <w:t>Aeronautical transmitters (1980–2005 MHz)</w:t>
            </w:r>
          </w:p>
        </w:tc>
      </w:tr>
      <w:tr w:rsidR="00DC1034" w14:paraId="35846596"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27A857CB" w14:textId="77777777" w:rsidR="00DC1034" w:rsidRDefault="00DC1034" w:rsidP="00DC1034">
            <w:pPr>
              <w:pStyle w:val="Bulletlevel1"/>
              <w:numPr>
                <w:ilvl w:val="0"/>
                <w:numId w:val="75"/>
              </w:numPr>
              <w:tabs>
                <w:tab w:val="num" w:pos="579"/>
              </w:tabs>
              <w:ind w:left="284" w:hanging="284"/>
            </w:pPr>
            <w:r>
              <w:t>maximum EIRP of 40 dBm per occupied bandwidth</w:t>
            </w:r>
          </w:p>
          <w:p w14:paraId="003CBF52" w14:textId="77777777" w:rsidR="00DC1034" w:rsidRDefault="00DC1034" w:rsidP="00DC1034">
            <w:pPr>
              <w:pStyle w:val="Bulletlevel1"/>
              <w:numPr>
                <w:ilvl w:val="0"/>
                <w:numId w:val="75"/>
              </w:numPr>
              <w:tabs>
                <w:tab w:val="num" w:pos="579"/>
              </w:tabs>
              <w:ind w:left="284" w:hanging="284"/>
            </w:pPr>
            <w:r>
              <w:t>out-of-band power flux density limits based on ECC report 233.</w:t>
            </w:r>
          </w:p>
        </w:tc>
      </w:tr>
      <w:tr w:rsidR="00DC1034" w14:paraId="5219C2E3"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3339F932" w14:textId="77777777" w:rsidR="00DC1034" w:rsidRDefault="00DC1034" w:rsidP="00D27B07">
            <w:pPr>
              <w:pStyle w:val="Bulletlevel1"/>
              <w:keepNext/>
              <w:tabs>
                <w:tab w:val="left" w:pos="720"/>
              </w:tabs>
              <w:spacing w:after="0"/>
              <w:ind w:left="284" w:hanging="284"/>
              <w:rPr>
                <w:b/>
                <w:bCs/>
              </w:rPr>
            </w:pPr>
            <w:r>
              <w:rPr>
                <w:b/>
                <w:bCs/>
              </w:rPr>
              <w:t>Base station transmitters (2170–2195 MHz)</w:t>
            </w:r>
          </w:p>
        </w:tc>
      </w:tr>
      <w:tr w:rsidR="00DC1034" w14:paraId="5F6BB93F"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4156627F" w14:textId="77777777" w:rsidR="00DC1034" w:rsidRDefault="00DC1034" w:rsidP="00DC1034">
            <w:pPr>
              <w:pStyle w:val="Bulletlevel1"/>
              <w:numPr>
                <w:ilvl w:val="0"/>
                <w:numId w:val="75"/>
              </w:numPr>
              <w:tabs>
                <w:tab w:val="num" w:pos="579"/>
              </w:tabs>
              <w:ind w:left="284" w:hanging="284"/>
              <w:rPr>
                <w:rFonts w:eastAsiaTheme="majorEastAsia"/>
              </w:rPr>
            </w:pPr>
            <w:r>
              <w:t xml:space="preserve">total radiated power of </w:t>
            </w:r>
            <w:r>
              <w:rPr>
                <w:rFonts w:eastAsiaTheme="majorEastAsia"/>
              </w:rPr>
              <w:t xml:space="preserve">less than or equal to 53.5 dBm/5 MHz </w:t>
            </w:r>
          </w:p>
          <w:p w14:paraId="2A0D686C" w14:textId="77777777" w:rsidR="00DC1034" w:rsidRDefault="00DC1034" w:rsidP="004D17CC">
            <w:pPr>
              <w:pStyle w:val="Bulletlevel1"/>
              <w:numPr>
                <w:ilvl w:val="0"/>
                <w:numId w:val="75"/>
              </w:numPr>
              <w:tabs>
                <w:tab w:val="num" w:pos="579"/>
              </w:tabs>
              <w:ind w:left="284" w:hanging="284"/>
            </w:pPr>
            <w:r>
              <w:rPr>
                <w:rFonts w:eastAsiaTheme="majorEastAsia"/>
              </w:rPr>
              <w:t>unwanted emissions limits as included in the 2 GHz spectrum licence technical framework for transmitters in the 2110–2170 MHz band (base station transmitters), except for the unwanted emission limit above 2204 MHz of -45 dBm/MHz EIRP which has been developed considering protection requirements for TOB receivers.</w:t>
            </w:r>
          </w:p>
        </w:tc>
      </w:tr>
      <w:tr w:rsidR="00DC1034" w14:paraId="3B8C3290" w14:textId="77777777" w:rsidTr="00DC1034">
        <w:trPr>
          <w:cnfStyle w:val="000000010000" w:firstRow="0" w:lastRow="0" w:firstColumn="0" w:lastColumn="0" w:oddVBand="0" w:evenVBand="0" w:oddHBand="0" w:evenHBand="1" w:firstRowFirstColumn="0" w:firstRowLastColumn="0" w:lastRowFirstColumn="0" w:lastRowLastColumn="0"/>
        </w:trPr>
        <w:tc>
          <w:tcPr>
            <w:tcW w:w="8642" w:type="dxa"/>
            <w:tcBorders>
              <w:top w:val="single" w:sz="4" w:space="0" w:color="auto"/>
              <w:left w:val="single" w:sz="4" w:space="0" w:color="auto"/>
              <w:bottom w:val="single" w:sz="4" w:space="0" w:color="auto"/>
              <w:right w:val="single" w:sz="4" w:space="0" w:color="auto"/>
            </w:tcBorders>
            <w:hideMark/>
          </w:tcPr>
          <w:p w14:paraId="42AE80B3" w14:textId="77777777" w:rsidR="00DC1034" w:rsidRDefault="00DC1034" w:rsidP="00D27B07">
            <w:pPr>
              <w:pStyle w:val="Bulletlevel1"/>
              <w:keepNext/>
              <w:tabs>
                <w:tab w:val="left" w:pos="720"/>
              </w:tabs>
              <w:spacing w:after="0"/>
              <w:ind w:left="284" w:hanging="284"/>
              <w:rPr>
                <w:b/>
                <w:bCs/>
              </w:rPr>
            </w:pPr>
            <w:r>
              <w:rPr>
                <w:b/>
                <w:bCs/>
              </w:rPr>
              <w:t>Base station receivers (1980–2005 MHz)</w:t>
            </w:r>
          </w:p>
        </w:tc>
      </w:tr>
      <w:tr w:rsidR="00DC1034" w14:paraId="208D1CDF" w14:textId="77777777" w:rsidTr="00DC1034">
        <w:trPr>
          <w:cnfStyle w:val="000000100000" w:firstRow="0" w:lastRow="0" w:firstColumn="0" w:lastColumn="0" w:oddVBand="0" w:evenVBand="0" w:oddHBand="1" w:evenHBand="0" w:firstRowFirstColumn="0" w:firstRowLastColumn="0" w:lastRowFirstColumn="0" w:lastRowLastColumn="0"/>
        </w:trPr>
        <w:tc>
          <w:tcPr>
            <w:tcW w:w="8642" w:type="dxa"/>
            <w:hideMark/>
          </w:tcPr>
          <w:p w14:paraId="0C7C887F" w14:textId="77777777" w:rsidR="00DC1034" w:rsidRDefault="00DC1034" w:rsidP="00DC1034">
            <w:pPr>
              <w:pStyle w:val="Bulletlevel1"/>
              <w:numPr>
                <w:ilvl w:val="0"/>
                <w:numId w:val="75"/>
              </w:numPr>
              <w:tabs>
                <w:tab w:val="num" w:pos="579"/>
              </w:tabs>
              <w:ind w:left="284" w:hanging="284"/>
            </w:pPr>
            <w:r>
              <w:rPr>
                <w:rFonts w:eastAsiaTheme="majorEastAsia"/>
              </w:rPr>
              <w:t>unwanted emissions limits as included in the 2 GHz spectrum licence technical framework for receivers in the 1920–1980 MHz band (base station receivers).</w:t>
            </w:r>
          </w:p>
        </w:tc>
      </w:tr>
    </w:tbl>
    <w:p w14:paraId="60995B58" w14:textId="77777777" w:rsidR="00DC1034" w:rsidRDefault="00DC1034" w:rsidP="00624E7E">
      <w:pPr>
        <w:pStyle w:val="Paragraph"/>
        <w:keepNext/>
        <w:rPr>
          <w:rFonts w:asciiTheme="minorHAnsi" w:hAnsiTheme="minorHAnsi"/>
          <w:kern w:val="2"/>
          <w:lang w:eastAsia="en-US"/>
          <w14:ligatures w14:val="standardContextual"/>
        </w:rPr>
      </w:pPr>
    </w:p>
    <w:p w14:paraId="765231FB" w14:textId="77777777" w:rsidR="00DC1034" w:rsidRDefault="00DC1034" w:rsidP="00DC1034">
      <w:pPr>
        <w:pStyle w:val="Tableheading"/>
        <w:numPr>
          <w:ilvl w:val="0"/>
          <w:numId w:val="76"/>
        </w:numPr>
      </w:pPr>
      <w:r>
        <w:t xml:space="preserve">Coordination requirements </w:t>
      </w:r>
    </w:p>
    <w:tbl>
      <w:tblPr>
        <w:tblStyle w:val="ACMAtablestyle"/>
        <w:tblW w:w="8640" w:type="dxa"/>
        <w:tblLayout w:type="fixed"/>
        <w:tblLook w:val="01E0" w:firstRow="1" w:lastRow="1" w:firstColumn="1" w:lastColumn="1" w:noHBand="0" w:noVBand="0"/>
        <w:tblCaption w:val="Table title to go here"/>
        <w:tblDescription w:val="Table description to go here"/>
      </w:tblPr>
      <w:tblGrid>
        <w:gridCol w:w="2829"/>
        <w:gridCol w:w="5811"/>
      </w:tblGrid>
      <w:tr w:rsidR="00DC1034" w14:paraId="43F57384" w14:textId="77777777" w:rsidTr="00DC1034">
        <w:trPr>
          <w:cnfStyle w:val="100000000000" w:firstRow="1" w:lastRow="0" w:firstColumn="0" w:lastColumn="0" w:oddVBand="0" w:evenVBand="0" w:oddHBand="0" w:evenHBand="0" w:firstRowFirstColumn="0" w:firstRowLastColumn="0" w:lastRowFirstColumn="0" w:lastRowLastColumn="0"/>
        </w:trPr>
        <w:tc>
          <w:tcPr>
            <w:tcW w:w="2830" w:type="dxa"/>
            <w:hideMark/>
          </w:tcPr>
          <w:p w14:paraId="4A54636B" w14:textId="77777777" w:rsidR="00DC1034" w:rsidRPr="004D5777" w:rsidRDefault="00DC1034">
            <w:pPr>
              <w:pStyle w:val="Tableheaderrow"/>
              <w:keepNext/>
              <w:spacing w:line="240" w:lineRule="auto"/>
              <w:rPr>
                <w:rFonts w:cs="Arial"/>
                <w:szCs w:val="22"/>
              </w:rPr>
            </w:pPr>
            <w:r w:rsidRPr="004D5777">
              <w:rPr>
                <w:rFonts w:cs="Arial"/>
                <w:szCs w:val="22"/>
              </w:rPr>
              <w:t xml:space="preserve">Service </w:t>
            </w:r>
          </w:p>
        </w:tc>
        <w:tc>
          <w:tcPr>
            <w:tcW w:w="5812" w:type="dxa"/>
            <w:hideMark/>
          </w:tcPr>
          <w:p w14:paraId="2276D5D1" w14:textId="77777777" w:rsidR="00DC1034" w:rsidRPr="004D5777" w:rsidRDefault="00DC1034">
            <w:pPr>
              <w:pStyle w:val="Tableheaderrow"/>
              <w:keepNext/>
              <w:spacing w:line="240" w:lineRule="auto"/>
              <w:rPr>
                <w:rFonts w:cs="Arial"/>
                <w:szCs w:val="22"/>
              </w:rPr>
            </w:pPr>
            <w:r w:rsidRPr="004D5777">
              <w:rPr>
                <w:rFonts w:cs="Arial"/>
                <w:szCs w:val="22"/>
              </w:rPr>
              <w:t xml:space="preserve">2 GHz MSS coordination/co-existence requirements </w:t>
            </w:r>
          </w:p>
        </w:tc>
      </w:tr>
      <w:tr w:rsidR="00DC1034" w14:paraId="1CB01356" w14:textId="77777777" w:rsidTr="00DC1034">
        <w:trPr>
          <w:cnfStyle w:val="000000100000" w:firstRow="0" w:lastRow="0" w:firstColumn="0" w:lastColumn="0" w:oddVBand="0" w:evenVBand="0" w:oddHBand="1" w:evenHBand="0" w:firstRowFirstColumn="0" w:firstRowLastColumn="0" w:lastRowFirstColumn="0" w:lastRowLastColumn="0"/>
          <w:trHeight w:val="1600"/>
        </w:trPr>
        <w:tc>
          <w:tcPr>
            <w:tcW w:w="2830" w:type="dxa"/>
          </w:tcPr>
          <w:p w14:paraId="3A5D5875" w14:textId="7279C183" w:rsidR="00DC1034" w:rsidRPr="004D5777" w:rsidRDefault="00DC1034">
            <w:pPr>
              <w:pStyle w:val="Bulletlevel1"/>
              <w:keepNext/>
              <w:tabs>
                <w:tab w:val="left" w:pos="720"/>
              </w:tabs>
              <w:spacing w:after="0"/>
              <w:rPr>
                <w:b/>
                <w:szCs w:val="22"/>
              </w:rPr>
            </w:pPr>
            <w:r w:rsidRPr="004D5777">
              <w:rPr>
                <w:b/>
                <w:szCs w:val="22"/>
              </w:rPr>
              <w:t xml:space="preserve">Wireless broadband </w:t>
            </w:r>
            <w:r w:rsidRPr="004D5777">
              <w:rPr>
                <w:b/>
                <w:szCs w:val="22"/>
              </w:rPr>
              <w:br/>
            </w:r>
            <w:r w:rsidRPr="004D5777">
              <w:rPr>
                <w:b/>
                <w:szCs w:val="22"/>
              </w:rPr>
              <w:br/>
            </w:r>
            <w:r w:rsidRPr="004D5777">
              <w:rPr>
                <w:szCs w:val="22"/>
              </w:rPr>
              <w:t xml:space="preserve">Adjacent band 2 GHz spectrum licensing and apparatus </w:t>
            </w:r>
            <w:r w:rsidR="005F574B">
              <w:rPr>
                <w:szCs w:val="22"/>
              </w:rPr>
              <w:t xml:space="preserve">licensed </w:t>
            </w:r>
            <w:r w:rsidRPr="004D5777">
              <w:rPr>
                <w:szCs w:val="22"/>
              </w:rPr>
              <w:t xml:space="preserve">public telecommunications </w:t>
            </w:r>
            <w:r w:rsidRPr="004D5777">
              <w:rPr>
                <w:szCs w:val="22"/>
              </w:rPr>
              <w:br/>
              <w:t>service (</w:t>
            </w:r>
            <w:hyperlink r:id="rId39" w:history="1">
              <w:r w:rsidRPr="004D5777">
                <w:rPr>
                  <w:rStyle w:val="Hyperlink"/>
                  <w:szCs w:val="22"/>
                </w:rPr>
                <w:t>PTS</w:t>
              </w:r>
            </w:hyperlink>
            <w:r w:rsidRPr="004D5777">
              <w:rPr>
                <w:szCs w:val="22"/>
              </w:rPr>
              <w:t>)</w:t>
            </w:r>
          </w:p>
          <w:p w14:paraId="2A17619D" w14:textId="77777777" w:rsidR="00DC1034" w:rsidRPr="004D5777" w:rsidRDefault="00DC1034">
            <w:pPr>
              <w:pStyle w:val="Bulletlevel1"/>
              <w:keepNext/>
              <w:tabs>
                <w:tab w:val="left" w:pos="720"/>
              </w:tabs>
              <w:spacing w:after="0"/>
              <w:rPr>
                <w:b/>
                <w:szCs w:val="22"/>
              </w:rPr>
            </w:pPr>
          </w:p>
          <w:p w14:paraId="5E088718" w14:textId="4C35087D" w:rsidR="00DC1034" w:rsidRPr="004D5777" w:rsidRDefault="00DC1034">
            <w:pPr>
              <w:pStyle w:val="Bulletlevel1"/>
              <w:keepNext/>
              <w:tabs>
                <w:tab w:val="left" w:pos="720"/>
              </w:tabs>
              <w:spacing w:after="0"/>
              <w:rPr>
                <w:b/>
                <w:szCs w:val="22"/>
              </w:rPr>
            </w:pPr>
            <w:r w:rsidRPr="004D5777">
              <w:rPr>
                <w:szCs w:val="22"/>
              </w:rPr>
              <w:t>(1920–1980</w:t>
            </w:r>
            <w:r w:rsidR="005048EF" w:rsidRPr="004D5777">
              <w:rPr>
                <w:szCs w:val="22"/>
              </w:rPr>
              <w:t xml:space="preserve"> MHz</w:t>
            </w:r>
            <w:r w:rsidR="009374AE">
              <w:rPr>
                <w:szCs w:val="22"/>
              </w:rPr>
              <w:t xml:space="preserve"> </w:t>
            </w:r>
            <w:r w:rsidRPr="004D5777">
              <w:rPr>
                <w:szCs w:val="22"/>
              </w:rPr>
              <w:t>/</w:t>
            </w:r>
            <w:r w:rsidR="009374AE">
              <w:rPr>
                <w:szCs w:val="22"/>
              </w:rPr>
              <w:t xml:space="preserve"> </w:t>
            </w:r>
            <w:r w:rsidR="009374AE">
              <w:rPr>
                <w:szCs w:val="22"/>
              </w:rPr>
              <w:br/>
            </w:r>
            <w:r w:rsidRPr="004D5777">
              <w:rPr>
                <w:szCs w:val="22"/>
              </w:rPr>
              <w:t>2110–2170 MHz base receive/base transmit)</w:t>
            </w:r>
          </w:p>
        </w:tc>
        <w:tc>
          <w:tcPr>
            <w:tcW w:w="5812" w:type="dxa"/>
            <w:hideMark/>
          </w:tcPr>
          <w:p w14:paraId="0833935E" w14:textId="5CFE138A" w:rsidR="00DC1034" w:rsidRPr="004D5777" w:rsidRDefault="005F574B" w:rsidP="00DC1034">
            <w:pPr>
              <w:pStyle w:val="Bulletlevel1"/>
              <w:keepNext/>
              <w:numPr>
                <w:ilvl w:val="0"/>
                <w:numId w:val="75"/>
              </w:numPr>
              <w:tabs>
                <w:tab w:val="num" w:pos="579"/>
              </w:tabs>
              <w:ind w:left="284" w:hanging="284"/>
              <w:rPr>
                <w:b/>
                <w:szCs w:val="22"/>
              </w:rPr>
            </w:pPr>
            <w:r>
              <w:rPr>
                <w:rFonts w:eastAsiaTheme="majorEastAsia"/>
                <w:szCs w:val="22"/>
              </w:rPr>
              <w:t>t</w:t>
            </w:r>
            <w:r w:rsidR="00DC1034" w:rsidRPr="004D5777">
              <w:rPr>
                <w:rFonts w:eastAsiaTheme="majorEastAsia"/>
                <w:szCs w:val="22"/>
              </w:rPr>
              <w:t>echnical parameters for 2 GHz MSS</w:t>
            </w:r>
            <w:r w:rsidR="0086350C">
              <w:rPr>
                <w:rFonts w:eastAsiaTheme="majorEastAsia"/>
                <w:szCs w:val="22"/>
              </w:rPr>
              <w:t xml:space="preserve"> ear</w:t>
            </w:r>
            <w:r w:rsidR="00EC7D97">
              <w:rPr>
                <w:rFonts w:eastAsiaTheme="majorEastAsia"/>
                <w:szCs w:val="22"/>
              </w:rPr>
              <w:t>t</w:t>
            </w:r>
            <w:r w:rsidR="0086350C">
              <w:rPr>
                <w:rFonts w:eastAsiaTheme="majorEastAsia"/>
                <w:szCs w:val="22"/>
              </w:rPr>
              <w:t xml:space="preserve">h stations </w:t>
            </w:r>
            <w:r w:rsidR="00EC7D97">
              <w:rPr>
                <w:rFonts w:eastAsiaTheme="majorEastAsia"/>
                <w:szCs w:val="22"/>
              </w:rPr>
              <w:t>and CGC station</w:t>
            </w:r>
            <w:r w:rsidR="005667E7">
              <w:rPr>
                <w:rFonts w:eastAsiaTheme="majorEastAsia"/>
                <w:szCs w:val="22"/>
              </w:rPr>
              <w:t>s</w:t>
            </w:r>
            <w:r w:rsidR="00EC7D97">
              <w:rPr>
                <w:rFonts w:eastAsiaTheme="majorEastAsia"/>
                <w:szCs w:val="22"/>
              </w:rPr>
              <w:t xml:space="preserve"> are</w:t>
            </w:r>
            <w:r w:rsidR="004D1133">
              <w:rPr>
                <w:rFonts w:eastAsiaTheme="majorEastAsia"/>
                <w:szCs w:val="22"/>
              </w:rPr>
              <w:t xml:space="preserve"> </w:t>
            </w:r>
            <w:r w:rsidR="00DC1034" w:rsidRPr="004D5777" w:rsidDel="00EC7D97">
              <w:rPr>
                <w:rFonts w:eastAsiaTheme="majorEastAsia"/>
                <w:szCs w:val="22"/>
              </w:rPr>
              <w:t>to</w:t>
            </w:r>
            <w:r w:rsidR="00DC1034" w:rsidRPr="004D5777">
              <w:rPr>
                <w:rFonts w:eastAsiaTheme="majorEastAsia"/>
                <w:szCs w:val="22"/>
              </w:rPr>
              <w:t xml:space="preserve"> be based on 2</w:t>
            </w:r>
            <w:r w:rsidR="00D00133" w:rsidRPr="004D5777">
              <w:rPr>
                <w:rFonts w:eastAsiaTheme="majorEastAsia"/>
                <w:szCs w:val="22"/>
              </w:rPr>
              <w:t> </w:t>
            </w:r>
            <w:r w:rsidR="00DC1034" w:rsidRPr="004D5777">
              <w:rPr>
                <w:rFonts w:eastAsiaTheme="majorEastAsia"/>
                <w:szCs w:val="22"/>
              </w:rPr>
              <w:t>GHz spectrum licensing technical framework</w:t>
            </w:r>
          </w:p>
          <w:p w14:paraId="3DA922FD" w14:textId="4AD38055" w:rsidR="00DC1034" w:rsidRPr="004D5777" w:rsidRDefault="005F574B" w:rsidP="00DC1034">
            <w:pPr>
              <w:pStyle w:val="Bulletlevel1"/>
              <w:keepNext/>
              <w:numPr>
                <w:ilvl w:val="0"/>
                <w:numId w:val="75"/>
              </w:numPr>
              <w:tabs>
                <w:tab w:val="num" w:pos="579"/>
              </w:tabs>
              <w:ind w:left="284" w:hanging="284"/>
              <w:rPr>
                <w:b/>
                <w:szCs w:val="22"/>
              </w:rPr>
            </w:pPr>
            <w:r>
              <w:rPr>
                <w:rFonts w:eastAsiaTheme="majorEastAsia"/>
                <w:szCs w:val="22"/>
              </w:rPr>
              <w:t>o</w:t>
            </w:r>
            <w:r w:rsidR="00DC1034" w:rsidRPr="004D5777">
              <w:rPr>
                <w:rFonts w:eastAsiaTheme="majorEastAsia"/>
                <w:szCs w:val="22"/>
              </w:rPr>
              <w:t xml:space="preserve">ut-of-band power flux density limits for aeronautical transmitters operating in </w:t>
            </w:r>
            <w:r w:rsidR="00F16E13" w:rsidRPr="004D5777">
              <w:rPr>
                <w:rFonts w:eastAsiaTheme="majorEastAsia"/>
                <w:szCs w:val="22"/>
              </w:rPr>
              <w:t xml:space="preserve">the </w:t>
            </w:r>
            <w:r w:rsidR="00DC1034" w:rsidRPr="004D5777">
              <w:rPr>
                <w:rFonts w:eastAsiaTheme="majorEastAsia"/>
                <w:szCs w:val="22"/>
              </w:rPr>
              <w:t xml:space="preserve">1980–2005 MHz </w:t>
            </w:r>
            <w:r w:rsidR="00F16E13" w:rsidRPr="004D5777">
              <w:rPr>
                <w:rFonts w:eastAsiaTheme="majorEastAsia"/>
                <w:szCs w:val="22"/>
              </w:rPr>
              <w:t>band</w:t>
            </w:r>
            <w:r w:rsidR="00DC1034" w:rsidRPr="004D5777">
              <w:rPr>
                <w:rFonts w:eastAsiaTheme="majorEastAsia"/>
                <w:szCs w:val="22"/>
              </w:rPr>
              <w:t xml:space="preserve"> to protect adjacent bands base station receivers (</w:t>
            </w:r>
            <w:r w:rsidR="00F16E13" w:rsidRPr="004D5777">
              <w:rPr>
                <w:rFonts w:eastAsiaTheme="majorEastAsia"/>
                <w:szCs w:val="22"/>
              </w:rPr>
              <w:t xml:space="preserve">operating in the </w:t>
            </w:r>
            <w:r w:rsidR="00DC1034" w:rsidRPr="004D5777">
              <w:rPr>
                <w:rFonts w:eastAsiaTheme="majorEastAsia"/>
                <w:szCs w:val="22"/>
              </w:rPr>
              <w:t>1920–1980 MHz</w:t>
            </w:r>
            <w:r w:rsidR="00F16E13" w:rsidRPr="004D5777">
              <w:rPr>
                <w:rFonts w:eastAsiaTheme="majorEastAsia"/>
                <w:szCs w:val="22"/>
              </w:rPr>
              <w:t xml:space="preserve"> band</w:t>
            </w:r>
            <w:r w:rsidR="00DC1034" w:rsidRPr="004D5777">
              <w:rPr>
                <w:rFonts w:eastAsiaTheme="majorEastAsia"/>
                <w:szCs w:val="22"/>
              </w:rPr>
              <w:t xml:space="preserve">). Limits </w:t>
            </w:r>
            <w:r>
              <w:rPr>
                <w:rFonts w:eastAsiaTheme="majorEastAsia"/>
                <w:szCs w:val="22"/>
              </w:rPr>
              <w:t>are</w:t>
            </w:r>
            <w:r w:rsidR="00DC1034" w:rsidRPr="004D5777">
              <w:rPr>
                <w:rFonts w:eastAsiaTheme="majorEastAsia"/>
                <w:szCs w:val="22"/>
              </w:rPr>
              <w:t xml:space="preserve"> derived from ECC report 233.</w:t>
            </w:r>
          </w:p>
        </w:tc>
      </w:tr>
      <w:tr w:rsidR="00DC1034" w14:paraId="6F5A4A1F" w14:textId="77777777" w:rsidTr="00DC1034">
        <w:trPr>
          <w:cnfStyle w:val="000000010000" w:firstRow="0" w:lastRow="0" w:firstColumn="0" w:lastColumn="0" w:oddVBand="0" w:evenVBand="0" w:oddHBand="0" w:evenHBand="1" w:firstRowFirstColumn="0" w:firstRowLastColumn="0" w:lastRowFirstColumn="0" w:lastRowLastColumn="0"/>
        </w:trPr>
        <w:tc>
          <w:tcPr>
            <w:tcW w:w="2830" w:type="dxa"/>
            <w:tcBorders>
              <w:top w:val="single" w:sz="4" w:space="0" w:color="auto"/>
              <w:left w:val="single" w:sz="4" w:space="0" w:color="auto"/>
              <w:bottom w:val="single" w:sz="4" w:space="0" w:color="auto"/>
              <w:right w:val="single" w:sz="4" w:space="0" w:color="auto"/>
            </w:tcBorders>
          </w:tcPr>
          <w:p w14:paraId="37AC442B" w14:textId="1AEC1F11" w:rsidR="00DC1034" w:rsidRPr="004D5777" w:rsidRDefault="00DC1034">
            <w:pPr>
              <w:pStyle w:val="Bulletlevel1"/>
              <w:tabs>
                <w:tab w:val="left" w:pos="720"/>
              </w:tabs>
              <w:spacing w:after="0"/>
              <w:rPr>
                <w:szCs w:val="22"/>
              </w:rPr>
            </w:pPr>
            <w:r w:rsidRPr="004D5777">
              <w:rPr>
                <w:b/>
                <w:szCs w:val="22"/>
              </w:rPr>
              <w:t>Fixed point to point links</w:t>
            </w:r>
          </w:p>
        </w:tc>
        <w:tc>
          <w:tcPr>
            <w:tcW w:w="5812" w:type="dxa"/>
            <w:tcBorders>
              <w:top w:val="single" w:sz="4" w:space="0" w:color="auto"/>
              <w:left w:val="single" w:sz="4" w:space="0" w:color="auto"/>
              <w:bottom w:val="single" w:sz="4" w:space="0" w:color="auto"/>
              <w:right w:val="single" w:sz="4" w:space="0" w:color="auto"/>
            </w:tcBorders>
            <w:hideMark/>
          </w:tcPr>
          <w:p w14:paraId="66BFE83B" w14:textId="2EEF118D" w:rsidR="00DC1034" w:rsidRPr="004D5777" w:rsidRDefault="00BD2A14" w:rsidP="00DC1034">
            <w:pPr>
              <w:pStyle w:val="Bulletlevel1"/>
              <w:numPr>
                <w:ilvl w:val="0"/>
                <w:numId w:val="75"/>
              </w:numPr>
              <w:tabs>
                <w:tab w:val="num" w:pos="579"/>
              </w:tabs>
              <w:ind w:left="284" w:hanging="284"/>
              <w:rPr>
                <w:szCs w:val="22"/>
              </w:rPr>
            </w:pPr>
            <w:r>
              <w:rPr>
                <w:szCs w:val="22"/>
              </w:rPr>
              <w:t>n</w:t>
            </w:r>
            <w:r w:rsidR="00DC1034" w:rsidRPr="004D5777">
              <w:rPr>
                <w:szCs w:val="22"/>
              </w:rPr>
              <w:t xml:space="preserve">o new fixed point-to-point links in the 2 GHz MSS band </w:t>
            </w:r>
          </w:p>
          <w:p w14:paraId="6B3D0BA1" w14:textId="74B6645C" w:rsidR="00DC1034" w:rsidRPr="004D5777" w:rsidRDefault="00DC1034" w:rsidP="00DC1034">
            <w:pPr>
              <w:pStyle w:val="Bulletlevel1"/>
              <w:numPr>
                <w:ilvl w:val="0"/>
                <w:numId w:val="75"/>
              </w:numPr>
              <w:tabs>
                <w:tab w:val="num" w:pos="579"/>
              </w:tabs>
              <w:ind w:left="284" w:hanging="284"/>
              <w:rPr>
                <w:szCs w:val="22"/>
              </w:rPr>
            </w:pPr>
            <w:r w:rsidRPr="004D5777">
              <w:rPr>
                <w:szCs w:val="22"/>
              </w:rPr>
              <w:t>2 GHz MSS operation on condition of no interference</w:t>
            </w:r>
            <w:r w:rsidRPr="004D5777">
              <w:rPr>
                <w:szCs w:val="22"/>
              </w:rPr>
              <w:br/>
              <w:t>to/from existing fixed point to point links</w:t>
            </w:r>
          </w:p>
          <w:p w14:paraId="1FF4046B" w14:textId="24810B71" w:rsidR="00DC1034" w:rsidRPr="004D5777" w:rsidRDefault="00BD2A14" w:rsidP="00DC1034">
            <w:pPr>
              <w:pStyle w:val="Bulletlevel1"/>
              <w:numPr>
                <w:ilvl w:val="0"/>
                <w:numId w:val="75"/>
              </w:numPr>
              <w:tabs>
                <w:tab w:val="num" w:pos="579"/>
              </w:tabs>
              <w:ind w:left="284" w:hanging="284"/>
              <w:rPr>
                <w:szCs w:val="22"/>
              </w:rPr>
            </w:pPr>
            <w:r>
              <w:rPr>
                <w:szCs w:val="22"/>
              </w:rPr>
              <w:t>f</w:t>
            </w:r>
            <w:r w:rsidR="00DC1034" w:rsidRPr="004D5777">
              <w:rPr>
                <w:szCs w:val="22"/>
              </w:rPr>
              <w:t>ixed stations (CGC base stations) to be coordinated with co-channel and adjacent channel fixed point-point links using principles of RALI FX 3.</w:t>
            </w:r>
          </w:p>
        </w:tc>
      </w:tr>
      <w:tr w:rsidR="00DC1034" w14:paraId="0FCC2A38" w14:textId="77777777" w:rsidTr="00DC1034">
        <w:trPr>
          <w:cnfStyle w:val="000000100000" w:firstRow="0" w:lastRow="0" w:firstColumn="0" w:lastColumn="0" w:oddVBand="0" w:evenVBand="0" w:oddHBand="1" w:evenHBand="0" w:firstRowFirstColumn="0" w:firstRowLastColumn="0" w:lastRowFirstColumn="0" w:lastRowLastColumn="0"/>
        </w:trPr>
        <w:tc>
          <w:tcPr>
            <w:tcW w:w="2830" w:type="dxa"/>
          </w:tcPr>
          <w:p w14:paraId="75DA6B83" w14:textId="77777777" w:rsidR="00DC1034" w:rsidRPr="004D5777" w:rsidRDefault="00DC1034">
            <w:pPr>
              <w:pStyle w:val="Bulletlevel1"/>
              <w:tabs>
                <w:tab w:val="left" w:pos="720"/>
              </w:tabs>
              <w:spacing w:after="0"/>
              <w:ind w:left="295" w:hanging="295"/>
              <w:rPr>
                <w:b/>
                <w:szCs w:val="22"/>
              </w:rPr>
            </w:pPr>
            <w:r w:rsidRPr="004D5777">
              <w:rPr>
                <w:b/>
                <w:szCs w:val="22"/>
              </w:rPr>
              <w:t>Narrowband MSS</w:t>
            </w:r>
          </w:p>
          <w:p w14:paraId="575B824A" w14:textId="3C568682" w:rsidR="00DC1034" w:rsidRPr="004D5777" w:rsidRDefault="00DC1034">
            <w:pPr>
              <w:pStyle w:val="Bulletlevel1"/>
              <w:tabs>
                <w:tab w:val="left" w:pos="720"/>
              </w:tabs>
              <w:spacing w:after="0"/>
              <w:rPr>
                <w:szCs w:val="22"/>
              </w:rPr>
            </w:pPr>
            <w:r w:rsidRPr="004D5777">
              <w:rPr>
                <w:szCs w:val="22"/>
              </w:rPr>
              <w:lastRenderedPageBreak/>
              <w:t>(2005–2010</w:t>
            </w:r>
            <w:r w:rsidR="005048EF" w:rsidRPr="004D5777">
              <w:rPr>
                <w:szCs w:val="22"/>
              </w:rPr>
              <w:t xml:space="preserve"> MHz</w:t>
            </w:r>
            <w:r w:rsidR="009374AE">
              <w:rPr>
                <w:szCs w:val="22"/>
              </w:rPr>
              <w:t xml:space="preserve"> </w:t>
            </w:r>
            <w:r w:rsidRPr="004D5777">
              <w:rPr>
                <w:szCs w:val="22"/>
              </w:rPr>
              <w:t>/</w:t>
            </w:r>
            <w:r w:rsidR="009374AE">
              <w:rPr>
                <w:szCs w:val="22"/>
              </w:rPr>
              <w:t xml:space="preserve"> </w:t>
            </w:r>
            <w:r w:rsidR="009374AE">
              <w:rPr>
                <w:szCs w:val="22"/>
              </w:rPr>
              <w:br/>
            </w:r>
            <w:r w:rsidRPr="004D5777">
              <w:rPr>
                <w:szCs w:val="22"/>
              </w:rPr>
              <w:t>2195–2200 MHz)</w:t>
            </w:r>
          </w:p>
          <w:p w14:paraId="6CA23AE7" w14:textId="77777777" w:rsidR="00DC1034" w:rsidRPr="004D5777" w:rsidRDefault="00DC1034">
            <w:pPr>
              <w:pStyle w:val="Bulletlevel1"/>
              <w:tabs>
                <w:tab w:val="left" w:pos="720"/>
              </w:tabs>
              <w:ind w:left="295"/>
              <w:rPr>
                <w:szCs w:val="22"/>
              </w:rPr>
            </w:pPr>
          </w:p>
        </w:tc>
        <w:tc>
          <w:tcPr>
            <w:tcW w:w="5812" w:type="dxa"/>
            <w:hideMark/>
          </w:tcPr>
          <w:p w14:paraId="26BAB0F2" w14:textId="21E8C482" w:rsidR="00DC1034" w:rsidRPr="004D5777" w:rsidRDefault="00DC1034" w:rsidP="00DC1034">
            <w:pPr>
              <w:pStyle w:val="Bulletlevel1"/>
              <w:numPr>
                <w:ilvl w:val="0"/>
                <w:numId w:val="75"/>
              </w:numPr>
              <w:tabs>
                <w:tab w:val="num" w:pos="579"/>
              </w:tabs>
              <w:ind w:left="284" w:hanging="284"/>
              <w:rPr>
                <w:szCs w:val="22"/>
              </w:rPr>
            </w:pPr>
            <w:r w:rsidRPr="004D5777">
              <w:rPr>
                <w:szCs w:val="22"/>
              </w:rPr>
              <w:lastRenderedPageBreak/>
              <w:t>no coordination arrangements proposed</w:t>
            </w:r>
            <w:r w:rsidR="009374AE">
              <w:rPr>
                <w:szCs w:val="22"/>
              </w:rPr>
              <w:t>.</w:t>
            </w:r>
          </w:p>
          <w:p w14:paraId="632305A9" w14:textId="05A0B0E4" w:rsidR="00DC1034" w:rsidRPr="004D5777" w:rsidRDefault="00DC1034" w:rsidP="00DC1034">
            <w:pPr>
              <w:pStyle w:val="Bulletlevel1"/>
              <w:numPr>
                <w:ilvl w:val="0"/>
                <w:numId w:val="75"/>
              </w:numPr>
              <w:tabs>
                <w:tab w:val="num" w:pos="579"/>
              </w:tabs>
              <w:ind w:left="284" w:hanging="284"/>
              <w:rPr>
                <w:szCs w:val="22"/>
              </w:rPr>
            </w:pPr>
            <w:r w:rsidRPr="004D5777">
              <w:rPr>
                <w:szCs w:val="22"/>
              </w:rPr>
              <w:lastRenderedPageBreak/>
              <w:t xml:space="preserve">2 GHz MSS narrowband services operating in accordance with </w:t>
            </w:r>
            <w:r w:rsidR="00BD2A14">
              <w:rPr>
                <w:szCs w:val="22"/>
              </w:rPr>
              <w:t xml:space="preserve">licence </w:t>
            </w:r>
            <w:r w:rsidRPr="004D5777">
              <w:rPr>
                <w:szCs w:val="22"/>
              </w:rPr>
              <w:t>condition</w:t>
            </w:r>
            <w:r w:rsidR="00823C46">
              <w:rPr>
                <w:szCs w:val="22"/>
              </w:rPr>
              <w:t>s</w:t>
            </w:r>
            <w:r w:rsidRPr="004D5777">
              <w:rPr>
                <w:szCs w:val="22"/>
              </w:rPr>
              <w:t xml:space="preserve"> will be considered as not causing interference to 2 GHz MSS services</w:t>
            </w:r>
          </w:p>
          <w:p w14:paraId="519D04C0" w14:textId="247E9784" w:rsidR="00DC1034" w:rsidRPr="004D5777" w:rsidRDefault="00DC1034" w:rsidP="00DC1034">
            <w:pPr>
              <w:pStyle w:val="Bulletlevel1"/>
              <w:numPr>
                <w:ilvl w:val="0"/>
                <w:numId w:val="75"/>
              </w:numPr>
              <w:tabs>
                <w:tab w:val="num" w:pos="579"/>
              </w:tabs>
              <w:ind w:left="284" w:hanging="284"/>
              <w:rPr>
                <w:szCs w:val="22"/>
              </w:rPr>
            </w:pPr>
            <w:r w:rsidRPr="004D5777">
              <w:rPr>
                <w:szCs w:val="22"/>
              </w:rPr>
              <w:t xml:space="preserve">2 GHz MSS services operating in accordance with licence </w:t>
            </w:r>
            <w:r w:rsidR="00823C46">
              <w:rPr>
                <w:szCs w:val="22"/>
              </w:rPr>
              <w:t>condition</w:t>
            </w:r>
            <w:r w:rsidR="00237F48">
              <w:rPr>
                <w:szCs w:val="22"/>
              </w:rPr>
              <w:t>s</w:t>
            </w:r>
            <w:r w:rsidR="002B6B00">
              <w:rPr>
                <w:szCs w:val="22"/>
              </w:rPr>
              <w:t xml:space="preserve"> </w:t>
            </w:r>
            <w:r w:rsidRPr="004D5777">
              <w:rPr>
                <w:szCs w:val="22"/>
              </w:rPr>
              <w:t>will be considered as not causing interference to narrowband MSS services.</w:t>
            </w:r>
          </w:p>
        </w:tc>
      </w:tr>
      <w:tr w:rsidR="00DC1034" w14:paraId="59F01F69" w14:textId="77777777" w:rsidTr="00DC1034">
        <w:trPr>
          <w:cnfStyle w:val="000000010000" w:firstRow="0" w:lastRow="0" w:firstColumn="0" w:lastColumn="0" w:oddVBand="0" w:evenVBand="0" w:oddHBand="0" w:evenHBand="1" w:firstRowFirstColumn="0" w:firstRowLastColumn="0" w:lastRowFirstColumn="0" w:lastRowLastColumn="0"/>
        </w:trPr>
        <w:tc>
          <w:tcPr>
            <w:tcW w:w="2830" w:type="dxa"/>
            <w:tcBorders>
              <w:top w:val="single" w:sz="4" w:space="0" w:color="auto"/>
              <w:left w:val="single" w:sz="4" w:space="0" w:color="auto"/>
              <w:bottom w:val="single" w:sz="4" w:space="0" w:color="auto"/>
              <w:right w:val="single" w:sz="4" w:space="0" w:color="auto"/>
            </w:tcBorders>
            <w:hideMark/>
          </w:tcPr>
          <w:p w14:paraId="267C7279" w14:textId="4D4FD675" w:rsidR="00DC1034" w:rsidRPr="004D5777" w:rsidRDefault="00DC1034">
            <w:pPr>
              <w:pStyle w:val="Bulletlevel1"/>
              <w:tabs>
                <w:tab w:val="left" w:pos="720"/>
              </w:tabs>
              <w:spacing w:after="0"/>
              <w:ind w:left="295" w:hanging="295"/>
              <w:rPr>
                <w:b/>
                <w:szCs w:val="22"/>
              </w:rPr>
            </w:pPr>
            <w:r w:rsidRPr="004D5777">
              <w:rPr>
                <w:b/>
                <w:szCs w:val="22"/>
              </w:rPr>
              <w:lastRenderedPageBreak/>
              <w:t>Earth station</w:t>
            </w:r>
            <w:r w:rsidR="00E02991">
              <w:rPr>
                <w:b/>
                <w:szCs w:val="22"/>
              </w:rPr>
              <w:t>s</w:t>
            </w:r>
            <w:r w:rsidRPr="004D5777">
              <w:rPr>
                <w:b/>
                <w:szCs w:val="22"/>
              </w:rPr>
              <w:t xml:space="preserve"> </w:t>
            </w:r>
          </w:p>
          <w:p w14:paraId="0F40546A" w14:textId="77777777" w:rsidR="00DC1034" w:rsidRPr="004D5777" w:rsidRDefault="00DC1034">
            <w:pPr>
              <w:pStyle w:val="Bulletlevel1"/>
              <w:tabs>
                <w:tab w:val="left" w:pos="720"/>
              </w:tabs>
              <w:spacing w:after="0"/>
              <w:ind w:left="295" w:hanging="295"/>
              <w:rPr>
                <w:szCs w:val="22"/>
              </w:rPr>
            </w:pPr>
            <w:r w:rsidRPr="004D5777">
              <w:rPr>
                <w:szCs w:val="22"/>
              </w:rPr>
              <w:t xml:space="preserve">(2025–2110 MHz)  </w:t>
            </w:r>
          </w:p>
        </w:tc>
        <w:tc>
          <w:tcPr>
            <w:tcW w:w="5812" w:type="dxa"/>
            <w:tcBorders>
              <w:top w:val="single" w:sz="4" w:space="0" w:color="auto"/>
              <w:left w:val="single" w:sz="4" w:space="0" w:color="auto"/>
              <w:bottom w:val="single" w:sz="4" w:space="0" w:color="auto"/>
              <w:right w:val="single" w:sz="4" w:space="0" w:color="auto"/>
            </w:tcBorders>
            <w:hideMark/>
          </w:tcPr>
          <w:p w14:paraId="31F332C9" w14:textId="0AE314CF" w:rsidR="00DC1034" w:rsidRPr="004D5777" w:rsidRDefault="00DC1034" w:rsidP="00DC1034">
            <w:pPr>
              <w:pStyle w:val="Bulletlevel1"/>
              <w:numPr>
                <w:ilvl w:val="0"/>
                <w:numId w:val="75"/>
              </w:numPr>
              <w:tabs>
                <w:tab w:val="num" w:pos="579"/>
              </w:tabs>
              <w:ind w:left="284" w:hanging="284"/>
              <w:rPr>
                <w:b/>
                <w:szCs w:val="22"/>
              </w:rPr>
            </w:pPr>
            <w:r w:rsidRPr="004D5777">
              <w:rPr>
                <w:szCs w:val="22"/>
              </w:rPr>
              <w:t>with a minimum of 20 MHz separation, no coordination arrangements are considered necessary between CGC base stations receivers (1980–2005 MHz</w:t>
            </w:r>
            <w:r w:rsidR="009F6437" w:rsidRPr="004D5777">
              <w:rPr>
                <w:szCs w:val="22"/>
              </w:rPr>
              <w:t xml:space="preserve"> band</w:t>
            </w:r>
            <w:r w:rsidRPr="004D5777">
              <w:rPr>
                <w:szCs w:val="22"/>
              </w:rPr>
              <w:t>) and earth station (2025–2110 MHz</w:t>
            </w:r>
            <w:r w:rsidR="009F6437" w:rsidRPr="004D5777">
              <w:rPr>
                <w:szCs w:val="22"/>
              </w:rPr>
              <w:t xml:space="preserve"> band</w:t>
            </w:r>
            <w:r w:rsidRPr="004D5777">
              <w:rPr>
                <w:szCs w:val="22"/>
              </w:rPr>
              <w:t>).</w:t>
            </w:r>
          </w:p>
        </w:tc>
      </w:tr>
      <w:tr w:rsidR="00DC1034" w14:paraId="0934B25D" w14:textId="77777777" w:rsidTr="00DC1034">
        <w:trPr>
          <w:cnfStyle w:val="000000100000" w:firstRow="0" w:lastRow="0" w:firstColumn="0" w:lastColumn="0" w:oddVBand="0" w:evenVBand="0" w:oddHBand="1" w:evenHBand="0" w:firstRowFirstColumn="0" w:firstRowLastColumn="0" w:lastRowFirstColumn="0" w:lastRowLastColumn="0"/>
        </w:trPr>
        <w:tc>
          <w:tcPr>
            <w:tcW w:w="2830" w:type="dxa"/>
          </w:tcPr>
          <w:p w14:paraId="6BF1E98A" w14:textId="44A20105" w:rsidR="00DC1034" w:rsidRPr="004D5777" w:rsidRDefault="00DC1034">
            <w:pPr>
              <w:pStyle w:val="Bulletlevel1"/>
              <w:tabs>
                <w:tab w:val="left" w:pos="720"/>
              </w:tabs>
              <w:spacing w:after="0"/>
              <w:rPr>
                <w:b/>
                <w:szCs w:val="22"/>
              </w:rPr>
            </w:pPr>
            <w:r w:rsidRPr="004D5777">
              <w:rPr>
                <w:b/>
                <w:szCs w:val="22"/>
              </w:rPr>
              <w:t xml:space="preserve">Earth </w:t>
            </w:r>
            <w:r w:rsidR="00E02991">
              <w:rPr>
                <w:b/>
                <w:szCs w:val="22"/>
              </w:rPr>
              <w:t xml:space="preserve">receive </w:t>
            </w:r>
            <w:r w:rsidRPr="004D5777">
              <w:rPr>
                <w:b/>
                <w:szCs w:val="22"/>
              </w:rPr>
              <w:t>station</w:t>
            </w:r>
            <w:r w:rsidR="00E02991">
              <w:rPr>
                <w:b/>
                <w:szCs w:val="22"/>
              </w:rPr>
              <w:t>s</w:t>
            </w:r>
            <w:r w:rsidRPr="004D5777">
              <w:rPr>
                <w:b/>
                <w:szCs w:val="22"/>
              </w:rPr>
              <w:t xml:space="preserve"> </w:t>
            </w:r>
          </w:p>
          <w:p w14:paraId="3A9950A3" w14:textId="77777777" w:rsidR="00DC1034" w:rsidRPr="004D5777" w:rsidRDefault="00DC1034">
            <w:pPr>
              <w:pStyle w:val="Bulletlevel1"/>
              <w:tabs>
                <w:tab w:val="left" w:pos="720"/>
              </w:tabs>
              <w:spacing w:after="0"/>
              <w:ind w:left="295" w:hanging="295"/>
              <w:rPr>
                <w:szCs w:val="22"/>
              </w:rPr>
            </w:pPr>
            <w:r w:rsidRPr="004D5777">
              <w:rPr>
                <w:szCs w:val="22"/>
              </w:rPr>
              <w:t>(2200–2300 MHz)</w:t>
            </w:r>
          </w:p>
          <w:p w14:paraId="26B760A6" w14:textId="77777777" w:rsidR="00DC1034" w:rsidRPr="004D5777" w:rsidRDefault="00DC1034">
            <w:pPr>
              <w:pStyle w:val="Bulletlevel1"/>
              <w:tabs>
                <w:tab w:val="left" w:pos="720"/>
              </w:tabs>
              <w:ind w:left="295"/>
              <w:rPr>
                <w:szCs w:val="22"/>
              </w:rPr>
            </w:pPr>
          </w:p>
        </w:tc>
        <w:tc>
          <w:tcPr>
            <w:tcW w:w="5812" w:type="dxa"/>
            <w:hideMark/>
          </w:tcPr>
          <w:p w14:paraId="64037534" w14:textId="049A2674" w:rsidR="00DC1034" w:rsidRPr="004D5777" w:rsidRDefault="00DC1034" w:rsidP="00DC1034">
            <w:pPr>
              <w:pStyle w:val="Bulletlevel1"/>
              <w:numPr>
                <w:ilvl w:val="0"/>
                <w:numId w:val="75"/>
              </w:numPr>
              <w:tabs>
                <w:tab w:val="num" w:pos="579"/>
              </w:tabs>
              <w:ind w:left="284" w:hanging="284"/>
              <w:rPr>
                <w:szCs w:val="22"/>
              </w:rPr>
            </w:pPr>
            <w:r w:rsidRPr="004D5777">
              <w:rPr>
                <w:szCs w:val="22"/>
              </w:rPr>
              <w:t xml:space="preserve">protection of current and future earth </w:t>
            </w:r>
            <w:r w:rsidR="00E02991">
              <w:rPr>
                <w:szCs w:val="22"/>
              </w:rPr>
              <w:t xml:space="preserve">receive </w:t>
            </w:r>
            <w:r w:rsidRPr="004D5777">
              <w:rPr>
                <w:szCs w:val="22"/>
              </w:rPr>
              <w:t>stations at New Norcia, Mingenew earth station protection zone and Tidbinbilla</w:t>
            </w:r>
          </w:p>
          <w:p w14:paraId="73B42EDE" w14:textId="2DB7D2F0" w:rsidR="00DC1034" w:rsidRPr="004D5777" w:rsidRDefault="00DC1034" w:rsidP="00DC1034">
            <w:pPr>
              <w:pStyle w:val="Bulletlevel1"/>
              <w:numPr>
                <w:ilvl w:val="0"/>
                <w:numId w:val="75"/>
              </w:numPr>
              <w:tabs>
                <w:tab w:val="num" w:pos="579"/>
              </w:tabs>
              <w:ind w:left="284" w:hanging="284"/>
              <w:rPr>
                <w:szCs w:val="22"/>
              </w:rPr>
            </w:pPr>
            <w:r w:rsidRPr="004D5777">
              <w:rPr>
                <w:szCs w:val="22"/>
              </w:rPr>
              <w:t xml:space="preserve">in other locations, CGC base transmitters </w:t>
            </w:r>
            <w:r w:rsidR="009374AE">
              <w:rPr>
                <w:szCs w:val="22"/>
              </w:rPr>
              <w:br/>
            </w:r>
            <w:r w:rsidRPr="004D5777">
              <w:rPr>
                <w:szCs w:val="22"/>
              </w:rPr>
              <w:t>(2170–2195 MHz</w:t>
            </w:r>
            <w:r w:rsidR="00602130" w:rsidRPr="004D5777">
              <w:rPr>
                <w:szCs w:val="22"/>
              </w:rPr>
              <w:t xml:space="preserve"> band</w:t>
            </w:r>
            <w:r w:rsidRPr="004D5777">
              <w:rPr>
                <w:szCs w:val="22"/>
              </w:rPr>
              <w:t xml:space="preserve">) and earth </w:t>
            </w:r>
            <w:r w:rsidR="00E02991">
              <w:rPr>
                <w:szCs w:val="22"/>
              </w:rPr>
              <w:t xml:space="preserve">receive </w:t>
            </w:r>
            <w:r w:rsidRPr="004D5777">
              <w:rPr>
                <w:szCs w:val="22"/>
              </w:rPr>
              <w:t>stations to be coordinated on a first-in-time basis</w:t>
            </w:r>
          </w:p>
          <w:p w14:paraId="6276F8D3" w14:textId="66B6D51F" w:rsidR="00DC1034" w:rsidRPr="004D5777" w:rsidRDefault="00DC1034" w:rsidP="00DC1034">
            <w:pPr>
              <w:pStyle w:val="Bulletlevel1"/>
              <w:numPr>
                <w:ilvl w:val="0"/>
                <w:numId w:val="75"/>
              </w:numPr>
              <w:tabs>
                <w:tab w:val="num" w:pos="579"/>
              </w:tabs>
              <w:ind w:left="284" w:hanging="284"/>
              <w:rPr>
                <w:szCs w:val="22"/>
              </w:rPr>
            </w:pPr>
            <w:r w:rsidRPr="004D5777">
              <w:rPr>
                <w:szCs w:val="22"/>
              </w:rPr>
              <w:t xml:space="preserve">coordination of CGC transmitters with earth </w:t>
            </w:r>
            <w:r w:rsidR="00E02991">
              <w:rPr>
                <w:szCs w:val="22"/>
              </w:rPr>
              <w:t xml:space="preserve">receive </w:t>
            </w:r>
            <w:r w:rsidRPr="004D5777">
              <w:rPr>
                <w:szCs w:val="22"/>
              </w:rPr>
              <w:t>station</w:t>
            </w:r>
            <w:r w:rsidR="00E95E6C">
              <w:rPr>
                <w:szCs w:val="22"/>
              </w:rPr>
              <w:t>s</w:t>
            </w:r>
            <w:r w:rsidRPr="004D5777">
              <w:rPr>
                <w:szCs w:val="22"/>
              </w:rPr>
              <w:t xml:space="preserve"> to be based on CGC out-of-band emissions. T</w:t>
            </w:r>
            <w:r w:rsidR="00E95E6C">
              <w:rPr>
                <w:szCs w:val="22"/>
              </w:rPr>
              <w:t>his is the</w:t>
            </w:r>
            <w:r w:rsidRPr="004D5777">
              <w:rPr>
                <w:szCs w:val="22"/>
              </w:rPr>
              <w:t xml:space="preserve"> approach used in Europe – refer ECC Recommendation (10)01.</w:t>
            </w:r>
          </w:p>
        </w:tc>
      </w:tr>
      <w:tr w:rsidR="00DC1034" w14:paraId="48843AFC" w14:textId="77777777" w:rsidTr="00DC1034">
        <w:trPr>
          <w:cnfStyle w:val="000000010000" w:firstRow="0" w:lastRow="0" w:firstColumn="0" w:lastColumn="0" w:oddVBand="0" w:evenVBand="0" w:oddHBand="0" w:evenHBand="1" w:firstRowFirstColumn="0" w:firstRowLastColumn="0" w:lastRowFirstColumn="0" w:lastRowLastColumn="0"/>
        </w:trPr>
        <w:tc>
          <w:tcPr>
            <w:tcW w:w="2830" w:type="dxa"/>
            <w:tcBorders>
              <w:top w:val="single" w:sz="4" w:space="0" w:color="auto"/>
              <w:left w:val="single" w:sz="4" w:space="0" w:color="auto"/>
              <w:bottom w:val="single" w:sz="4" w:space="0" w:color="auto"/>
              <w:right w:val="single" w:sz="4" w:space="0" w:color="auto"/>
            </w:tcBorders>
            <w:hideMark/>
          </w:tcPr>
          <w:p w14:paraId="45AB48FD" w14:textId="4A9310D3" w:rsidR="00DC1034" w:rsidRPr="004D5777" w:rsidRDefault="002F7B1F">
            <w:pPr>
              <w:pStyle w:val="Bulletlevel1"/>
              <w:keepNext/>
              <w:tabs>
                <w:tab w:val="left" w:pos="720"/>
              </w:tabs>
              <w:spacing w:after="0"/>
              <w:rPr>
                <w:b/>
                <w:szCs w:val="22"/>
              </w:rPr>
            </w:pPr>
            <w:r w:rsidRPr="004D5777">
              <w:rPr>
                <w:b/>
                <w:szCs w:val="22"/>
              </w:rPr>
              <w:t>TOB</w:t>
            </w:r>
          </w:p>
          <w:p w14:paraId="571BFC62" w14:textId="0F14DAA1" w:rsidR="00DC1034" w:rsidRPr="004D5777" w:rsidRDefault="00DC1034">
            <w:pPr>
              <w:pStyle w:val="Bulletlevel1"/>
              <w:keepNext/>
              <w:tabs>
                <w:tab w:val="left" w:pos="720"/>
              </w:tabs>
              <w:spacing w:after="0"/>
              <w:rPr>
                <w:szCs w:val="22"/>
              </w:rPr>
            </w:pPr>
            <w:r w:rsidRPr="004D5777">
              <w:rPr>
                <w:szCs w:val="22"/>
              </w:rPr>
              <w:t xml:space="preserve">(2010–2110, </w:t>
            </w:r>
            <w:r w:rsidR="009374AE">
              <w:rPr>
                <w:szCs w:val="22"/>
              </w:rPr>
              <w:br/>
            </w:r>
            <w:r w:rsidRPr="004D5777">
              <w:rPr>
                <w:szCs w:val="22"/>
              </w:rPr>
              <w:t>2200–2300 MHz)</w:t>
            </w:r>
          </w:p>
        </w:tc>
        <w:tc>
          <w:tcPr>
            <w:tcW w:w="5812" w:type="dxa"/>
            <w:tcBorders>
              <w:top w:val="single" w:sz="4" w:space="0" w:color="auto"/>
              <w:left w:val="single" w:sz="4" w:space="0" w:color="auto"/>
              <w:bottom w:val="single" w:sz="4" w:space="0" w:color="auto"/>
              <w:right w:val="single" w:sz="4" w:space="0" w:color="auto"/>
            </w:tcBorders>
            <w:hideMark/>
          </w:tcPr>
          <w:p w14:paraId="67AE19B6" w14:textId="77777777" w:rsidR="00DC1034" w:rsidRPr="004D5777" w:rsidRDefault="00DC1034" w:rsidP="00DC1034">
            <w:pPr>
              <w:pStyle w:val="Bulletlevel1"/>
              <w:keepNext/>
              <w:numPr>
                <w:ilvl w:val="0"/>
                <w:numId w:val="75"/>
              </w:numPr>
              <w:tabs>
                <w:tab w:val="num" w:pos="579"/>
              </w:tabs>
              <w:ind w:left="284" w:hanging="284"/>
              <w:rPr>
                <w:szCs w:val="22"/>
              </w:rPr>
            </w:pPr>
            <w:r w:rsidRPr="004D5777">
              <w:rPr>
                <w:szCs w:val="22"/>
              </w:rPr>
              <w:t>no protection afforded from TOB transmitters</w:t>
            </w:r>
          </w:p>
          <w:p w14:paraId="1D1D3A5A" w14:textId="79839AA3" w:rsidR="00DC1034" w:rsidRPr="004D5777" w:rsidRDefault="00DC1034" w:rsidP="00DC1034">
            <w:pPr>
              <w:pStyle w:val="Bulletlevel1"/>
              <w:keepNext/>
              <w:numPr>
                <w:ilvl w:val="0"/>
                <w:numId w:val="75"/>
              </w:numPr>
              <w:tabs>
                <w:tab w:val="num" w:pos="579"/>
              </w:tabs>
              <w:ind w:left="284" w:hanging="284"/>
              <w:rPr>
                <w:szCs w:val="22"/>
              </w:rPr>
            </w:pPr>
            <w:r w:rsidRPr="004D5777">
              <w:rPr>
                <w:szCs w:val="22"/>
              </w:rPr>
              <w:t xml:space="preserve">coordination of CGC base station transmitters </w:t>
            </w:r>
            <w:r w:rsidRPr="004D5777">
              <w:rPr>
                <w:szCs w:val="22"/>
              </w:rPr>
              <w:br/>
              <w:t>(2170–2195 MHz</w:t>
            </w:r>
            <w:r w:rsidR="0025673B" w:rsidRPr="004D5777">
              <w:rPr>
                <w:szCs w:val="22"/>
              </w:rPr>
              <w:t xml:space="preserve"> band</w:t>
            </w:r>
            <w:r w:rsidRPr="004D5777">
              <w:rPr>
                <w:szCs w:val="22"/>
              </w:rPr>
              <w:t>) with TOB collection station receivers</w:t>
            </w:r>
          </w:p>
          <w:p w14:paraId="0554635E" w14:textId="763AC370" w:rsidR="00DC1034" w:rsidRPr="004D5777" w:rsidRDefault="00DC1034" w:rsidP="00DC1034">
            <w:pPr>
              <w:pStyle w:val="Bulletlevel1"/>
              <w:keepNext/>
              <w:numPr>
                <w:ilvl w:val="0"/>
                <w:numId w:val="75"/>
              </w:numPr>
              <w:tabs>
                <w:tab w:val="num" w:pos="579"/>
              </w:tabs>
              <w:ind w:left="284" w:hanging="284"/>
              <w:rPr>
                <w:szCs w:val="22"/>
              </w:rPr>
            </w:pPr>
            <w:r w:rsidRPr="004D5777">
              <w:rPr>
                <w:rFonts w:eastAsiaTheme="majorEastAsia"/>
                <w:szCs w:val="22"/>
              </w:rPr>
              <w:t xml:space="preserve">out-of-band power flux density limits for aeronautical transmitters operating in </w:t>
            </w:r>
            <w:r w:rsidR="0025673B" w:rsidRPr="004D5777">
              <w:rPr>
                <w:rFonts w:eastAsiaTheme="majorEastAsia"/>
                <w:szCs w:val="22"/>
              </w:rPr>
              <w:t xml:space="preserve">the </w:t>
            </w:r>
            <w:r w:rsidRPr="004D5777">
              <w:rPr>
                <w:rFonts w:eastAsiaTheme="majorEastAsia"/>
                <w:szCs w:val="22"/>
              </w:rPr>
              <w:t xml:space="preserve">1980–2005 MHz </w:t>
            </w:r>
            <w:r w:rsidR="0025673B" w:rsidRPr="004D5777">
              <w:rPr>
                <w:rFonts w:eastAsiaTheme="majorEastAsia"/>
                <w:szCs w:val="22"/>
              </w:rPr>
              <w:t xml:space="preserve">band </w:t>
            </w:r>
            <w:r w:rsidRPr="004D5777">
              <w:rPr>
                <w:rFonts w:eastAsiaTheme="majorEastAsia"/>
                <w:szCs w:val="22"/>
              </w:rPr>
              <w:t>for emissions above 2010 MHz based on ECC report 233</w:t>
            </w:r>
          </w:p>
          <w:p w14:paraId="1174CA5E" w14:textId="77777777" w:rsidR="00DC1034" w:rsidRPr="004D5777" w:rsidRDefault="00DC1034" w:rsidP="00DC1034">
            <w:pPr>
              <w:pStyle w:val="Bulletlevel1"/>
              <w:keepNext/>
              <w:numPr>
                <w:ilvl w:val="0"/>
                <w:numId w:val="75"/>
              </w:numPr>
              <w:tabs>
                <w:tab w:val="num" w:pos="579"/>
              </w:tabs>
              <w:ind w:left="284" w:hanging="284"/>
              <w:rPr>
                <w:szCs w:val="22"/>
              </w:rPr>
            </w:pPr>
            <w:r w:rsidRPr="004D5777">
              <w:rPr>
                <w:rFonts w:eastAsiaTheme="majorEastAsia"/>
                <w:szCs w:val="22"/>
              </w:rPr>
              <w:t>unwanted emissions limits for 2 GHz MSS transmitters in bands used for TOB.</w:t>
            </w:r>
          </w:p>
        </w:tc>
      </w:tr>
      <w:tr w:rsidR="00DC1034" w14:paraId="50656BF3" w14:textId="77777777" w:rsidTr="00DC1034">
        <w:trPr>
          <w:cnfStyle w:val="000000100000" w:firstRow="0" w:lastRow="0" w:firstColumn="0" w:lastColumn="0" w:oddVBand="0" w:evenVBand="0" w:oddHBand="1" w:evenHBand="0" w:firstRowFirstColumn="0" w:firstRowLastColumn="0" w:lastRowFirstColumn="0" w:lastRowLastColumn="0"/>
        </w:trPr>
        <w:tc>
          <w:tcPr>
            <w:tcW w:w="2830" w:type="dxa"/>
            <w:hideMark/>
          </w:tcPr>
          <w:p w14:paraId="13D7B04A" w14:textId="35BDDC4A" w:rsidR="00DC1034" w:rsidRPr="004D5777" w:rsidRDefault="00DC1034">
            <w:pPr>
              <w:pStyle w:val="Bulletlevel1"/>
              <w:tabs>
                <w:tab w:val="left" w:pos="720"/>
              </w:tabs>
              <w:spacing w:after="0"/>
              <w:rPr>
                <w:b/>
                <w:szCs w:val="22"/>
              </w:rPr>
            </w:pPr>
            <w:r w:rsidRPr="004D5777">
              <w:rPr>
                <w:b/>
                <w:szCs w:val="22"/>
              </w:rPr>
              <w:t xml:space="preserve">Aeronautical mobile telemetry </w:t>
            </w:r>
            <w:r w:rsidR="00E02991">
              <w:rPr>
                <w:b/>
                <w:szCs w:val="22"/>
              </w:rPr>
              <w:t>(AMT)</w:t>
            </w:r>
          </w:p>
          <w:p w14:paraId="5492B915" w14:textId="77777777" w:rsidR="00DC1034" w:rsidRPr="004D5777" w:rsidRDefault="00DC1034">
            <w:pPr>
              <w:pStyle w:val="Bulletlevel1"/>
              <w:tabs>
                <w:tab w:val="left" w:pos="720"/>
              </w:tabs>
              <w:spacing w:after="0"/>
              <w:rPr>
                <w:szCs w:val="22"/>
              </w:rPr>
            </w:pPr>
            <w:r w:rsidRPr="004D5777">
              <w:rPr>
                <w:szCs w:val="22"/>
              </w:rPr>
              <w:t>(2200–2300 MHz)</w:t>
            </w:r>
          </w:p>
        </w:tc>
        <w:tc>
          <w:tcPr>
            <w:tcW w:w="5812" w:type="dxa"/>
            <w:hideMark/>
          </w:tcPr>
          <w:p w14:paraId="1BD34F4B" w14:textId="77777777" w:rsidR="00DC1034" w:rsidRPr="004D5777" w:rsidRDefault="00DC1034" w:rsidP="00DC1034">
            <w:pPr>
              <w:pStyle w:val="Bulletlevel1"/>
              <w:numPr>
                <w:ilvl w:val="0"/>
                <w:numId w:val="75"/>
              </w:numPr>
              <w:tabs>
                <w:tab w:val="num" w:pos="579"/>
              </w:tabs>
              <w:ind w:left="284" w:hanging="284"/>
              <w:rPr>
                <w:szCs w:val="22"/>
              </w:rPr>
            </w:pPr>
            <w:r w:rsidRPr="004D5777">
              <w:rPr>
                <w:szCs w:val="22"/>
              </w:rPr>
              <w:t>no coordination arrangements considered necessary with adjacent band AMT fixed station receivers</w:t>
            </w:r>
          </w:p>
          <w:p w14:paraId="1495C2F8" w14:textId="77777777" w:rsidR="00DC1034" w:rsidRPr="004D5777" w:rsidRDefault="00DC1034" w:rsidP="00DC1034">
            <w:pPr>
              <w:pStyle w:val="Bulletlevel1"/>
              <w:numPr>
                <w:ilvl w:val="0"/>
                <w:numId w:val="75"/>
              </w:numPr>
              <w:tabs>
                <w:tab w:val="num" w:pos="579"/>
              </w:tabs>
              <w:ind w:left="284" w:hanging="284"/>
              <w:rPr>
                <w:szCs w:val="22"/>
              </w:rPr>
            </w:pPr>
            <w:r w:rsidRPr="004D5777">
              <w:rPr>
                <w:szCs w:val="22"/>
              </w:rPr>
              <w:t>no protection afforded from AMT transmitters.</w:t>
            </w:r>
          </w:p>
        </w:tc>
      </w:tr>
      <w:tr w:rsidR="00DC1034" w14:paraId="7F715F42" w14:textId="77777777" w:rsidTr="00DC1034">
        <w:trPr>
          <w:cnfStyle w:val="000000010000" w:firstRow="0" w:lastRow="0" w:firstColumn="0" w:lastColumn="0" w:oddVBand="0" w:evenVBand="0" w:oddHBand="0" w:evenHBand="1" w:firstRowFirstColumn="0" w:firstRowLastColumn="0" w:lastRowFirstColumn="0" w:lastRowLastColumn="0"/>
        </w:trPr>
        <w:tc>
          <w:tcPr>
            <w:tcW w:w="2830" w:type="dxa"/>
            <w:tcBorders>
              <w:top w:val="single" w:sz="4" w:space="0" w:color="auto"/>
              <w:left w:val="single" w:sz="4" w:space="0" w:color="auto"/>
              <w:bottom w:val="single" w:sz="4" w:space="0" w:color="auto"/>
              <w:right w:val="single" w:sz="4" w:space="0" w:color="auto"/>
            </w:tcBorders>
            <w:hideMark/>
          </w:tcPr>
          <w:p w14:paraId="5DEB2A88" w14:textId="77777777" w:rsidR="00DC1034" w:rsidRPr="004D5777" w:rsidRDefault="00DC1034">
            <w:pPr>
              <w:pStyle w:val="Bulletlevel1"/>
              <w:keepNext/>
              <w:tabs>
                <w:tab w:val="left" w:pos="720"/>
              </w:tabs>
              <w:spacing w:after="0"/>
              <w:rPr>
                <w:b/>
                <w:szCs w:val="22"/>
              </w:rPr>
            </w:pPr>
            <w:r w:rsidRPr="004D5777">
              <w:rPr>
                <w:b/>
                <w:szCs w:val="22"/>
              </w:rPr>
              <w:lastRenderedPageBreak/>
              <w:t xml:space="preserve">Adjacent channel </w:t>
            </w:r>
            <w:r w:rsidRPr="004D5777">
              <w:rPr>
                <w:b/>
                <w:szCs w:val="22"/>
              </w:rPr>
              <w:br/>
              <w:t>2 GHz MSS</w:t>
            </w:r>
          </w:p>
        </w:tc>
        <w:tc>
          <w:tcPr>
            <w:tcW w:w="5812" w:type="dxa"/>
            <w:tcBorders>
              <w:top w:val="single" w:sz="4" w:space="0" w:color="auto"/>
              <w:left w:val="single" w:sz="4" w:space="0" w:color="auto"/>
              <w:bottom w:val="single" w:sz="4" w:space="0" w:color="auto"/>
              <w:right w:val="single" w:sz="4" w:space="0" w:color="auto"/>
            </w:tcBorders>
            <w:hideMark/>
          </w:tcPr>
          <w:p w14:paraId="21CB9AC5" w14:textId="3296A75E" w:rsidR="00DC1034" w:rsidRPr="004D5777" w:rsidRDefault="00DC1034" w:rsidP="00DC1034">
            <w:pPr>
              <w:pStyle w:val="Bulletlevel1"/>
              <w:numPr>
                <w:ilvl w:val="0"/>
                <w:numId w:val="75"/>
              </w:numPr>
              <w:tabs>
                <w:tab w:val="num" w:pos="579"/>
              </w:tabs>
              <w:ind w:left="284" w:hanging="284"/>
              <w:rPr>
                <w:szCs w:val="22"/>
              </w:rPr>
            </w:pPr>
            <w:r w:rsidRPr="004D5777">
              <w:rPr>
                <w:rFonts w:eastAsiaTheme="majorEastAsia"/>
                <w:szCs w:val="22"/>
              </w:rPr>
              <w:t xml:space="preserve">out-of-band power flux density limits for aeronautical transmitters operating </w:t>
            </w:r>
            <w:r w:rsidR="00B90F3F">
              <w:rPr>
                <w:rFonts w:eastAsiaTheme="majorEastAsia"/>
                <w:szCs w:val="22"/>
              </w:rPr>
              <w:t>in</w:t>
            </w:r>
            <w:r w:rsidRPr="004D5777">
              <w:rPr>
                <w:rFonts w:eastAsiaTheme="majorEastAsia"/>
                <w:szCs w:val="22"/>
              </w:rPr>
              <w:t xml:space="preserve"> adjacent channel 2 GHz MSS based on ECC report 233</w:t>
            </w:r>
          </w:p>
          <w:p w14:paraId="1AFD389B" w14:textId="77777777" w:rsidR="00DC1034" w:rsidRPr="004D5777" w:rsidRDefault="00DC1034" w:rsidP="00DC1034">
            <w:pPr>
              <w:pStyle w:val="Bulletlevel1"/>
              <w:numPr>
                <w:ilvl w:val="0"/>
                <w:numId w:val="75"/>
              </w:numPr>
              <w:tabs>
                <w:tab w:val="num" w:pos="579"/>
              </w:tabs>
              <w:ind w:left="284" w:hanging="284"/>
              <w:rPr>
                <w:szCs w:val="22"/>
              </w:rPr>
            </w:pPr>
            <w:r w:rsidRPr="004D5777">
              <w:rPr>
                <w:rFonts w:eastAsiaTheme="majorEastAsia"/>
                <w:szCs w:val="22"/>
              </w:rPr>
              <w:t xml:space="preserve">no other arrangements considered necessary. </w:t>
            </w:r>
          </w:p>
        </w:tc>
      </w:tr>
      <w:tr w:rsidR="00DC1034" w14:paraId="2E86686D" w14:textId="77777777" w:rsidTr="00DC1034">
        <w:trPr>
          <w:cnfStyle w:val="000000100000" w:firstRow="0" w:lastRow="0" w:firstColumn="0" w:lastColumn="0" w:oddVBand="0" w:evenVBand="0" w:oddHBand="1" w:evenHBand="0" w:firstRowFirstColumn="0" w:firstRowLastColumn="0" w:lastRowFirstColumn="0" w:lastRowLastColumn="0"/>
        </w:trPr>
        <w:tc>
          <w:tcPr>
            <w:tcW w:w="2830" w:type="dxa"/>
            <w:hideMark/>
          </w:tcPr>
          <w:p w14:paraId="3B6055B9" w14:textId="35D68FA1" w:rsidR="00DC1034" w:rsidRPr="004D5777" w:rsidRDefault="005A46A3">
            <w:pPr>
              <w:pStyle w:val="Bulletlevel1"/>
              <w:keepNext/>
              <w:tabs>
                <w:tab w:val="left" w:pos="720"/>
              </w:tabs>
              <w:spacing w:after="0"/>
              <w:rPr>
                <w:b/>
                <w:szCs w:val="22"/>
              </w:rPr>
            </w:pPr>
            <w:r>
              <w:rPr>
                <w:b/>
                <w:szCs w:val="22"/>
              </w:rPr>
              <w:t>ARQ</w:t>
            </w:r>
            <w:r w:rsidR="00157884">
              <w:rPr>
                <w:b/>
                <w:szCs w:val="22"/>
              </w:rPr>
              <w:t>Z</w:t>
            </w:r>
            <w:r>
              <w:rPr>
                <w:b/>
                <w:szCs w:val="22"/>
              </w:rPr>
              <w:t>WA</w:t>
            </w:r>
          </w:p>
        </w:tc>
        <w:tc>
          <w:tcPr>
            <w:tcW w:w="5812" w:type="dxa"/>
            <w:hideMark/>
          </w:tcPr>
          <w:p w14:paraId="79C55FAA" w14:textId="15C90307" w:rsidR="00DC1034" w:rsidRPr="004D5777" w:rsidRDefault="00DC1034" w:rsidP="00544120">
            <w:pPr>
              <w:pStyle w:val="Bulletlevel1"/>
              <w:numPr>
                <w:ilvl w:val="0"/>
                <w:numId w:val="75"/>
              </w:numPr>
              <w:tabs>
                <w:tab w:val="num" w:pos="579"/>
              </w:tabs>
              <w:ind w:left="284" w:hanging="284"/>
              <w:rPr>
                <w:rFonts w:eastAsiaTheme="majorEastAsia"/>
                <w:szCs w:val="22"/>
              </w:rPr>
            </w:pPr>
            <w:r w:rsidRPr="004D5777">
              <w:rPr>
                <w:rFonts w:eastAsiaTheme="majorEastAsia"/>
                <w:szCs w:val="22"/>
              </w:rPr>
              <w:t xml:space="preserve">CGC base station transmitters will be subject to the coordination procedures for the </w:t>
            </w:r>
            <w:r w:rsidR="005A46A3">
              <w:rPr>
                <w:rFonts w:eastAsiaTheme="majorEastAsia"/>
                <w:szCs w:val="22"/>
              </w:rPr>
              <w:t>A</w:t>
            </w:r>
            <w:r w:rsidRPr="004D5777">
              <w:rPr>
                <w:rFonts w:eastAsiaTheme="majorEastAsia"/>
                <w:szCs w:val="22"/>
              </w:rPr>
              <w:t>RQZ</w:t>
            </w:r>
            <w:r w:rsidR="005A46A3">
              <w:rPr>
                <w:rFonts w:eastAsiaTheme="majorEastAsia"/>
                <w:szCs w:val="22"/>
              </w:rPr>
              <w:t>WA</w:t>
            </w:r>
            <w:r w:rsidRPr="004D5777">
              <w:rPr>
                <w:rFonts w:eastAsiaTheme="majorEastAsia"/>
                <w:szCs w:val="22"/>
              </w:rPr>
              <w:t xml:space="preserve"> as detailed in RALI MS 32</w:t>
            </w:r>
          </w:p>
          <w:p w14:paraId="23F3E536" w14:textId="6EA315BC" w:rsidR="00DC1034" w:rsidRPr="004D5777" w:rsidRDefault="00DC1034" w:rsidP="00544120">
            <w:pPr>
              <w:pStyle w:val="Bulletlevel1"/>
              <w:numPr>
                <w:ilvl w:val="0"/>
                <w:numId w:val="75"/>
              </w:numPr>
              <w:tabs>
                <w:tab w:val="num" w:pos="579"/>
              </w:tabs>
              <w:ind w:left="284" w:hanging="284"/>
              <w:rPr>
                <w:rFonts w:eastAsiaTheme="majorEastAsia"/>
                <w:szCs w:val="22"/>
              </w:rPr>
            </w:pPr>
            <w:r w:rsidRPr="004D5777">
              <w:rPr>
                <w:rFonts w:eastAsiaTheme="majorEastAsia"/>
                <w:szCs w:val="22"/>
              </w:rPr>
              <w:t xml:space="preserve">mobile earth station and mobile station transmitters in </w:t>
            </w:r>
            <w:r w:rsidR="002F7B1F" w:rsidRPr="004D5777">
              <w:rPr>
                <w:rFonts w:eastAsiaTheme="majorEastAsia"/>
                <w:szCs w:val="22"/>
              </w:rPr>
              <w:t xml:space="preserve">the </w:t>
            </w:r>
            <w:r w:rsidRPr="004D5777">
              <w:rPr>
                <w:rFonts w:eastAsiaTheme="majorEastAsia"/>
                <w:szCs w:val="22"/>
              </w:rPr>
              <w:t xml:space="preserve">1980–2005 MHz </w:t>
            </w:r>
            <w:r w:rsidR="002F7B1F" w:rsidRPr="004D5777">
              <w:rPr>
                <w:rFonts w:eastAsiaTheme="majorEastAsia"/>
                <w:szCs w:val="22"/>
              </w:rPr>
              <w:t xml:space="preserve">band </w:t>
            </w:r>
            <w:r w:rsidRPr="004D5777">
              <w:rPr>
                <w:rFonts w:eastAsiaTheme="majorEastAsia"/>
                <w:szCs w:val="22"/>
              </w:rPr>
              <w:t xml:space="preserve">will not be permitted to operate in a defined area around the </w:t>
            </w:r>
            <w:r w:rsidR="00B90F3F">
              <w:rPr>
                <w:rFonts w:eastAsiaTheme="majorEastAsia"/>
                <w:szCs w:val="22"/>
              </w:rPr>
              <w:t>A</w:t>
            </w:r>
            <w:r w:rsidRPr="004D5777">
              <w:rPr>
                <w:rFonts w:eastAsiaTheme="majorEastAsia"/>
                <w:szCs w:val="22"/>
              </w:rPr>
              <w:t>RQZ</w:t>
            </w:r>
            <w:r w:rsidR="00B90F3F">
              <w:rPr>
                <w:rFonts w:eastAsiaTheme="majorEastAsia"/>
                <w:szCs w:val="22"/>
              </w:rPr>
              <w:t>WA</w:t>
            </w:r>
            <w:r w:rsidRPr="004D5777">
              <w:rPr>
                <w:rFonts w:eastAsiaTheme="majorEastAsia"/>
                <w:szCs w:val="22"/>
              </w:rPr>
              <w:t xml:space="preserve"> (similar to requirement</w:t>
            </w:r>
            <w:r w:rsidR="002F7B1F" w:rsidRPr="004D5777">
              <w:rPr>
                <w:rFonts w:eastAsiaTheme="majorEastAsia"/>
                <w:szCs w:val="22"/>
              </w:rPr>
              <w:t>s</w:t>
            </w:r>
            <w:r w:rsidRPr="004D5777">
              <w:rPr>
                <w:rFonts w:eastAsiaTheme="majorEastAsia"/>
                <w:szCs w:val="22"/>
              </w:rPr>
              <w:t xml:space="preserve"> under spectrum licensing where typically an area around the </w:t>
            </w:r>
            <w:r w:rsidR="00B90F3F">
              <w:rPr>
                <w:rFonts w:eastAsiaTheme="majorEastAsia"/>
                <w:szCs w:val="22"/>
              </w:rPr>
              <w:t>A</w:t>
            </w:r>
            <w:r w:rsidRPr="004D5777">
              <w:rPr>
                <w:rFonts w:eastAsiaTheme="majorEastAsia"/>
                <w:szCs w:val="22"/>
              </w:rPr>
              <w:t>RQZ</w:t>
            </w:r>
            <w:r w:rsidR="00B90F3F">
              <w:rPr>
                <w:rFonts w:eastAsiaTheme="majorEastAsia"/>
                <w:szCs w:val="22"/>
              </w:rPr>
              <w:t>WA</w:t>
            </w:r>
            <w:r w:rsidRPr="004D5777">
              <w:rPr>
                <w:rFonts w:eastAsiaTheme="majorEastAsia"/>
                <w:szCs w:val="22"/>
              </w:rPr>
              <w:t xml:space="preserve"> is excluded)  </w:t>
            </w:r>
          </w:p>
          <w:p w14:paraId="5EAD042F" w14:textId="567C44A4" w:rsidR="00DC1034" w:rsidRPr="004D5777" w:rsidRDefault="00DC1034" w:rsidP="00544120">
            <w:pPr>
              <w:pStyle w:val="Bulletlevel1"/>
              <w:numPr>
                <w:ilvl w:val="0"/>
                <w:numId w:val="75"/>
              </w:numPr>
              <w:tabs>
                <w:tab w:val="num" w:pos="579"/>
              </w:tabs>
              <w:ind w:left="284" w:hanging="284"/>
              <w:rPr>
                <w:szCs w:val="22"/>
              </w:rPr>
            </w:pPr>
            <w:r w:rsidRPr="004D5777">
              <w:rPr>
                <w:rFonts w:eastAsiaTheme="majorEastAsia"/>
                <w:szCs w:val="22"/>
              </w:rPr>
              <w:t>further consideration is required for requirements for aeronautical transmitter</w:t>
            </w:r>
            <w:r w:rsidR="002F7B1F" w:rsidRPr="004D5777">
              <w:rPr>
                <w:rFonts w:eastAsiaTheme="majorEastAsia"/>
                <w:szCs w:val="22"/>
              </w:rPr>
              <w:t>s</w:t>
            </w:r>
            <w:r w:rsidRPr="004D5777">
              <w:rPr>
                <w:rFonts w:eastAsiaTheme="majorEastAsia"/>
                <w:szCs w:val="22"/>
              </w:rPr>
              <w:t xml:space="preserve"> in </w:t>
            </w:r>
            <w:r w:rsidR="002F7B1F" w:rsidRPr="004D5777">
              <w:rPr>
                <w:rFonts w:eastAsiaTheme="majorEastAsia"/>
                <w:szCs w:val="22"/>
              </w:rPr>
              <w:t xml:space="preserve">the </w:t>
            </w:r>
            <w:r w:rsidRPr="004D5777">
              <w:rPr>
                <w:rFonts w:eastAsiaTheme="majorEastAsia"/>
                <w:szCs w:val="22"/>
              </w:rPr>
              <w:t>1980–2005 MHz</w:t>
            </w:r>
            <w:r w:rsidR="002F7B1F" w:rsidRPr="004D5777">
              <w:rPr>
                <w:rFonts w:eastAsiaTheme="majorEastAsia"/>
                <w:szCs w:val="22"/>
              </w:rPr>
              <w:t xml:space="preserve"> band</w:t>
            </w:r>
            <w:r w:rsidRPr="004D5777">
              <w:rPr>
                <w:rFonts w:eastAsiaTheme="majorEastAsia"/>
                <w:szCs w:val="22"/>
              </w:rPr>
              <w:t>.</w:t>
            </w:r>
          </w:p>
        </w:tc>
      </w:tr>
    </w:tbl>
    <w:p w14:paraId="7560DFE8" w14:textId="77777777" w:rsidR="00DC1034" w:rsidRDefault="00DC1034" w:rsidP="00DC1034">
      <w:pPr>
        <w:pStyle w:val="Paragraph"/>
        <w:rPr>
          <w:rFonts w:asciiTheme="minorHAnsi" w:hAnsiTheme="minorHAnsi"/>
          <w:kern w:val="2"/>
          <w:lang w:eastAsia="en-US"/>
          <w14:ligatures w14:val="standardContextual"/>
        </w:rPr>
      </w:pPr>
    </w:p>
    <w:p w14:paraId="6D65DA4C" w14:textId="52C48027" w:rsidR="00102050" w:rsidRDefault="00102050" w:rsidP="00102050">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59" w:name="_Toc202867836"/>
      <w:r>
        <w:t>Issue for comment</w:t>
      </w:r>
      <w:r w:rsidRPr="00E162C4">
        <w:t xml:space="preserve"> </w:t>
      </w:r>
      <w:r w:rsidR="00C830D2">
        <w:t>8</w:t>
      </w:r>
      <w:r w:rsidR="00157884">
        <w:t>(</w:t>
      </w:r>
      <w:r w:rsidR="00C830D2">
        <w:t>i</w:t>
      </w:r>
      <w:r w:rsidR="00157884">
        <w:t>)</w:t>
      </w:r>
      <w:bookmarkEnd w:id="59"/>
    </w:p>
    <w:p w14:paraId="7774877F" w14:textId="5740907B" w:rsidR="00102050" w:rsidRPr="00961F07" w:rsidRDefault="00102050" w:rsidP="00102050">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102050">
        <w:t xml:space="preserve">We seek views </w:t>
      </w:r>
      <w:r w:rsidR="00EF6855" w:rsidRPr="00EF6855">
        <w:t xml:space="preserve">on </w:t>
      </w:r>
      <w:r w:rsidR="002849AE">
        <w:t xml:space="preserve">proposed </w:t>
      </w:r>
      <w:r w:rsidR="00EF6855" w:rsidRPr="00EF6855">
        <w:t xml:space="preserve">requirements </w:t>
      </w:r>
      <w:r w:rsidRPr="00102050">
        <w:t>specified</w:t>
      </w:r>
      <w:r>
        <w:t xml:space="preserve"> in table 1 and table 2, above</w:t>
      </w:r>
      <w:r w:rsidRPr="00102050">
        <w:t xml:space="preserve">. Please refer to the November 2023 </w:t>
      </w:r>
      <w:r w:rsidR="005E3077">
        <w:t>d</w:t>
      </w:r>
      <w:r w:rsidRPr="00102050">
        <w:t>iscussion paper for the rational</w:t>
      </w:r>
      <w:r w:rsidR="00C04E2F">
        <w:t>e</w:t>
      </w:r>
      <w:r w:rsidRPr="00102050">
        <w:t xml:space="preserve"> for these </w:t>
      </w:r>
      <w:r w:rsidR="00B90F3F">
        <w:t>requirements.</w:t>
      </w:r>
      <w:r w:rsidRPr="00102050">
        <w:t xml:space="preserve"> </w:t>
      </w:r>
    </w:p>
    <w:p w14:paraId="22E8B5E7" w14:textId="7D12EC42" w:rsidR="00482290" w:rsidRPr="00DE6281" w:rsidRDefault="00482290" w:rsidP="00544120">
      <w:pPr>
        <w:pStyle w:val="Heading2"/>
      </w:pPr>
      <w:bookmarkStart w:id="60" w:name="_Toc202867837"/>
      <w:r w:rsidRPr="00DE6281">
        <w:t>Review of 2 GHz narrowband MSS arrangements</w:t>
      </w:r>
      <w:r>
        <w:t xml:space="preserve"> </w:t>
      </w:r>
      <w:r w:rsidRPr="002000B5">
        <w:t>(2005</w:t>
      </w:r>
      <w:r w:rsidR="009374AE">
        <w:t>–</w:t>
      </w:r>
      <w:r w:rsidRPr="002000B5">
        <w:t>2010 MHz and 2195</w:t>
      </w:r>
      <w:r w:rsidR="009374AE">
        <w:t>–</w:t>
      </w:r>
      <w:r w:rsidRPr="002000B5">
        <w:t>2200 MHz)</w:t>
      </w:r>
      <w:bookmarkEnd w:id="60"/>
    </w:p>
    <w:p w14:paraId="54971192" w14:textId="6D655550" w:rsidR="00482290" w:rsidRPr="00BA1BBE" w:rsidRDefault="00482290" w:rsidP="00482290">
      <w:pPr>
        <w:pStyle w:val="Paragraph"/>
      </w:pPr>
      <w:r w:rsidRPr="00BA1BBE">
        <w:t xml:space="preserve">In the November 2023 </w:t>
      </w:r>
      <w:r w:rsidR="005E3077">
        <w:t>d</w:t>
      </w:r>
      <w:r>
        <w:t>iscussion paper,</w:t>
      </w:r>
      <w:r w:rsidRPr="00BA1BBE">
        <w:t xml:space="preserve"> we proposed reconsideration of 2</w:t>
      </w:r>
      <w:r>
        <w:t> </w:t>
      </w:r>
      <w:r w:rsidRPr="00BA1BBE">
        <w:t>GHz MSS narrowband requirements (20</w:t>
      </w:r>
      <w:r>
        <w:t>0</w:t>
      </w:r>
      <w:r w:rsidRPr="00BA1BBE">
        <w:t>5</w:t>
      </w:r>
      <w:r w:rsidR="009374AE">
        <w:t>–</w:t>
      </w:r>
      <w:r w:rsidRPr="00BA1BBE">
        <w:t>2010</w:t>
      </w:r>
      <w:r>
        <w:t xml:space="preserve"> MHz and </w:t>
      </w:r>
      <w:r w:rsidRPr="00BA1BBE">
        <w:t>2195</w:t>
      </w:r>
      <w:r w:rsidR="009374AE">
        <w:t>–</w:t>
      </w:r>
      <w:r w:rsidRPr="00BA1BBE">
        <w:t xml:space="preserve">2200 MHz) with a proposal the emission limit at the 2010 MHz boundary </w:t>
      </w:r>
      <w:r w:rsidR="000F0902">
        <w:t xml:space="preserve">for earth station transmitter </w:t>
      </w:r>
      <w:r w:rsidRPr="00BA1BBE">
        <w:t xml:space="preserve">be </w:t>
      </w:r>
      <w:r w:rsidR="000F0902">
        <w:t>changed</w:t>
      </w:r>
      <w:r w:rsidRPr="00BA1BBE">
        <w:t xml:space="preserve"> from -66 to -60 dBW/MHz EIRP. </w:t>
      </w:r>
      <w:r>
        <w:t>We propose</w:t>
      </w:r>
      <w:r w:rsidRPr="00BA1BBE">
        <w:t xml:space="preserve"> to make this change</w:t>
      </w:r>
      <w:r>
        <w:t xml:space="preserve"> </w:t>
      </w:r>
      <w:r w:rsidRPr="00BA1BBE">
        <w:t xml:space="preserve">when updates are considered to </w:t>
      </w:r>
      <w:r>
        <w:t xml:space="preserve">the class licence </w:t>
      </w:r>
      <w:r w:rsidRPr="00BA1BBE">
        <w:t>to support 2</w:t>
      </w:r>
      <w:r w:rsidR="00695E69">
        <w:t> </w:t>
      </w:r>
      <w:r w:rsidRPr="00BA1BBE">
        <w:t>GHz MSS.</w:t>
      </w:r>
    </w:p>
    <w:p w14:paraId="05C99E7D" w14:textId="6CD5EDDF" w:rsidR="00C2169D" w:rsidRDefault="00C2169D" w:rsidP="00C2169D">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61" w:name="_Toc202867838"/>
      <w:r>
        <w:t>Issue for comment</w:t>
      </w:r>
      <w:r w:rsidRPr="00E162C4">
        <w:t xml:space="preserve"> </w:t>
      </w:r>
      <w:r w:rsidR="00C830D2">
        <w:t>8</w:t>
      </w:r>
      <w:r w:rsidR="00C86E5D">
        <w:t>(</w:t>
      </w:r>
      <w:r w:rsidR="00C830D2">
        <w:t>ii</w:t>
      </w:r>
      <w:r w:rsidR="00C86E5D">
        <w:t>)</w:t>
      </w:r>
      <w:bookmarkEnd w:id="61"/>
    </w:p>
    <w:p w14:paraId="22D1CE4B" w14:textId="0F7EBBE6" w:rsidR="00C2169D" w:rsidRPr="00961F07" w:rsidRDefault="00C2169D" w:rsidP="00C2169D">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C2169D">
        <w:t xml:space="preserve">We seek views on implementing our proposal as set in our November 2023 </w:t>
      </w:r>
      <w:r w:rsidR="005E3077">
        <w:t>d</w:t>
      </w:r>
      <w:r w:rsidR="00763BC4">
        <w:t>iscussion</w:t>
      </w:r>
      <w:r w:rsidRPr="00C2169D">
        <w:t xml:space="preserve"> paper, that for 2</w:t>
      </w:r>
      <w:r w:rsidR="0029408E">
        <w:t> </w:t>
      </w:r>
      <w:r w:rsidRPr="00C2169D">
        <w:t xml:space="preserve">GHz MSS narrowband requirements, the emission limit </w:t>
      </w:r>
      <w:r w:rsidR="000F0902">
        <w:t xml:space="preserve">for earth station transmitters </w:t>
      </w:r>
      <w:r w:rsidRPr="00C2169D">
        <w:t xml:space="preserve">at the 2010 MHz boundary can be </w:t>
      </w:r>
      <w:r w:rsidR="000F0902">
        <w:t>changed</w:t>
      </w:r>
      <w:r w:rsidR="000F0902" w:rsidRPr="00C2169D">
        <w:t xml:space="preserve"> </w:t>
      </w:r>
      <w:r w:rsidRPr="00C2169D">
        <w:t xml:space="preserve">from -66 to -60 dBW/MHz EIRP. </w:t>
      </w:r>
    </w:p>
    <w:p w14:paraId="5D367234" w14:textId="77777777" w:rsidR="00102050" w:rsidRDefault="00102050" w:rsidP="00CF23AD">
      <w:pPr>
        <w:pStyle w:val="Paragraph"/>
        <w:rPr>
          <w:rFonts w:asciiTheme="minorHAnsi" w:hAnsiTheme="minorHAnsi"/>
          <w:kern w:val="2"/>
          <w:lang w:eastAsia="en-US"/>
          <w14:ligatures w14:val="standardContextual"/>
        </w:rPr>
      </w:pPr>
    </w:p>
    <w:p w14:paraId="69807654" w14:textId="77777777" w:rsidR="00314F3A" w:rsidRDefault="00314F3A" w:rsidP="00314F3A">
      <w:pPr>
        <w:pStyle w:val="Heading1"/>
      </w:pPr>
      <w:bookmarkStart w:id="62" w:name="_Toc202867839"/>
      <w:r>
        <w:lastRenderedPageBreak/>
        <w:t>Next steps</w:t>
      </w:r>
      <w:bookmarkEnd w:id="62"/>
    </w:p>
    <w:p w14:paraId="5D43FC9D" w14:textId="3B3638E6" w:rsidR="008A6CC2" w:rsidRPr="00066C93" w:rsidRDefault="008A6CC2" w:rsidP="003F03A4">
      <w:pPr>
        <w:spacing w:line="280" w:lineRule="atLeast"/>
        <w:rPr>
          <w:rFonts w:cs="Arial"/>
          <w:sz w:val="22"/>
          <w:szCs w:val="22"/>
        </w:rPr>
      </w:pPr>
      <w:r w:rsidRPr="00066C93">
        <w:rPr>
          <w:rFonts w:cs="Arial"/>
          <w:sz w:val="22"/>
          <w:szCs w:val="22"/>
        </w:rPr>
        <w:t xml:space="preserve">Submissions to this consultation will help inform the </w:t>
      </w:r>
      <w:r w:rsidR="00D17B26" w:rsidRPr="00066C93">
        <w:rPr>
          <w:rFonts w:cs="Arial"/>
          <w:sz w:val="22"/>
          <w:szCs w:val="22"/>
        </w:rPr>
        <w:t xml:space="preserve">finalisation of </w:t>
      </w:r>
      <w:r w:rsidR="001C3D1C">
        <w:rPr>
          <w:rFonts w:cs="Arial"/>
          <w:sz w:val="22"/>
          <w:szCs w:val="22"/>
        </w:rPr>
        <w:t>our</w:t>
      </w:r>
      <w:r w:rsidR="00D17B26" w:rsidRPr="00066C93">
        <w:rPr>
          <w:rFonts w:cs="Arial"/>
          <w:sz w:val="22"/>
          <w:szCs w:val="22"/>
        </w:rPr>
        <w:t xml:space="preserve"> policy for allocation of space licences, and the </w:t>
      </w:r>
      <w:r w:rsidRPr="00066C93">
        <w:rPr>
          <w:rFonts w:cs="Arial"/>
          <w:sz w:val="22"/>
          <w:szCs w:val="22"/>
        </w:rPr>
        <w:t xml:space="preserve">drafting of </w:t>
      </w:r>
      <w:r w:rsidR="00D17B26" w:rsidRPr="00066C93">
        <w:rPr>
          <w:rFonts w:cs="Arial"/>
          <w:sz w:val="22"/>
          <w:szCs w:val="22"/>
        </w:rPr>
        <w:t>any</w:t>
      </w:r>
      <w:r w:rsidRPr="00066C93">
        <w:rPr>
          <w:rFonts w:cs="Arial"/>
          <w:sz w:val="22"/>
          <w:szCs w:val="22"/>
        </w:rPr>
        <w:t xml:space="preserve"> </w:t>
      </w:r>
      <w:r w:rsidR="00AD5BC8" w:rsidRPr="00066C93">
        <w:rPr>
          <w:rFonts w:cs="Arial"/>
          <w:sz w:val="22"/>
          <w:szCs w:val="22"/>
        </w:rPr>
        <w:t>legislative instruments</w:t>
      </w:r>
      <w:r w:rsidR="00794915" w:rsidRPr="00066C93">
        <w:rPr>
          <w:rFonts w:cs="Arial"/>
          <w:sz w:val="22"/>
          <w:szCs w:val="22"/>
        </w:rPr>
        <w:t xml:space="preserve"> that may be required. </w:t>
      </w:r>
      <w:r w:rsidR="002B15C8" w:rsidRPr="002B15C8">
        <w:rPr>
          <w:rFonts w:cs="Arial"/>
          <w:sz w:val="22"/>
          <w:szCs w:val="22"/>
        </w:rPr>
        <w:t>We are also mindful there may be other regulatory matters that may need to be considered in the design of this allocation process for potential applicants to participate in the allocation. One example may be complying with telecommunications carrier licensing requirements</w:t>
      </w:r>
      <w:r w:rsidR="002B15C8">
        <w:rPr>
          <w:rFonts w:cs="Arial"/>
          <w:sz w:val="22"/>
          <w:szCs w:val="22"/>
        </w:rPr>
        <w:t xml:space="preserve">. </w:t>
      </w:r>
      <w:r w:rsidR="001E4527" w:rsidRPr="00066C93">
        <w:rPr>
          <w:rFonts w:cs="Arial"/>
          <w:sz w:val="22"/>
          <w:szCs w:val="22"/>
        </w:rPr>
        <w:t xml:space="preserve">Submissions will also be considered in the development of </w:t>
      </w:r>
      <w:r w:rsidR="00F2313F" w:rsidRPr="00066C93">
        <w:rPr>
          <w:rFonts w:cs="Arial"/>
          <w:sz w:val="22"/>
          <w:szCs w:val="22"/>
        </w:rPr>
        <w:t xml:space="preserve">arrangements for the </w:t>
      </w:r>
      <w:r w:rsidR="008A1E64" w:rsidRPr="00066C93">
        <w:rPr>
          <w:rFonts w:cs="Arial"/>
          <w:sz w:val="22"/>
          <w:szCs w:val="22"/>
        </w:rPr>
        <w:t xml:space="preserve">issue </w:t>
      </w:r>
      <w:r w:rsidR="00F2313F" w:rsidRPr="00066C93">
        <w:rPr>
          <w:rFonts w:cs="Arial"/>
          <w:sz w:val="22"/>
          <w:szCs w:val="22"/>
        </w:rPr>
        <w:t>of space receive licences and licences to authorise CGC and/or DA2GC</w:t>
      </w:r>
      <w:r w:rsidRPr="00066C93" w:rsidDel="001E4527">
        <w:rPr>
          <w:rFonts w:cs="Arial"/>
          <w:sz w:val="22"/>
          <w:szCs w:val="22"/>
        </w:rPr>
        <w:t>.</w:t>
      </w:r>
      <w:r w:rsidRPr="00066C93">
        <w:rPr>
          <w:rFonts w:cs="Arial"/>
          <w:sz w:val="22"/>
          <w:szCs w:val="22"/>
        </w:rPr>
        <w:t xml:space="preserve"> </w:t>
      </w:r>
    </w:p>
    <w:p w14:paraId="76340E34" w14:textId="5C3866B7" w:rsidR="00314F3A" w:rsidRDefault="00787A8C" w:rsidP="003F03A4">
      <w:pPr>
        <w:spacing w:line="280" w:lineRule="atLeast"/>
        <w:rPr>
          <w:rFonts w:cs="Arial"/>
          <w:sz w:val="22"/>
          <w:szCs w:val="22"/>
        </w:rPr>
      </w:pPr>
      <w:r w:rsidRPr="00066C93">
        <w:rPr>
          <w:rFonts w:cs="Arial"/>
          <w:sz w:val="22"/>
          <w:szCs w:val="22"/>
        </w:rPr>
        <w:t xml:space="preserve">Subject to submissions to this </w:t>
      </w:r>
      <w:r w:rsidR="00970FDD" w:rsidRPr="00066C93">
        <w:rPr>
          <w:rFonts w:cs="Arial"/>
          <w:sz w:val="22"/>
          <w:szCs w:val="22"/>
        </w:rPr>
        <w:t>consultation</w:t>
      </w:r>
      <w:r w:rsidRPr="00066C93">
        <w:rPr>
          <w:rFonts w:cs="Arial"/>
          <w:sz w:val="22"/>
          <w:szCs w:val="22"/>
        </w:rPr>
        <w:t xml:space="preserve">, </w:t>
      </w:r>
      <w:r w:rsidR="00F16236" w:rsidRPr="00066C93">
        <w:rPr>
          <w:rFonts w:cs="Arial"/>
          <w:sz w:val="22"/>
          <w:szCs w:val="22"/>
        </w:rPr>
        <w:t>w</w:t>
      </w:r>
      <w:r w:rsidR="00314F3A" w:rsidRPr="00066C93">
        <w:rPr>
          <w:rFonts w:cs="Arial"/>
          <w:sz w:val="22"/>
          <w:szCs w:val="22"/>
        </w:rPr>
        <w:t xml:space="preserve">e </w:t>
      </w:r>
      <w:r w:rsidR="006A68A0" w:rsidRPr="00066C93">
        <w:rPr>
          <w:rFonts w:cs="Arial"/>
          <w:sz w:val="22"/>
          <w:szCs w:val="22"/>
        </w:rPr>
        <w:t xml:space="preserve">expect to </w:t>
      </w:r>
      <w:r w:rsidR="00314F3A" w:rsidRPr="00066C93">
        <w:rPr>
          <w:rFonts w:cs="Arial"/>
          <w:sz w:val="22"/>
          <w:szCs w:val="22"/>
        </w:rPr>
        <w:t xml:space="preserve">undertake consultation on </w:t>
      </w:r>
      <w:r w:rsidR="00B237AA" w:rsidRPr="00066C93">
        <w:rPr>
          <w:rFonts w:cs="Arial"/>
          <w:sz w:val="22"/>
          <w:szCs w:val="22"/>
        </w:rPr>
        <w:t xml:space="preserve">any </w:t>
      </w:r>
      <w:r w:rsidR="00314F3A" w:rsidRPr="00066C93">
        <w:rPr>
          <w:rFonts w:cs="Arial"/>
          <w:sz w:val="22"/>
          <w:szCs w:val="22"/>
        </w:rPr>
        <w:t xml:space="preserve">draft instruments in </w:t>
      </w:r>
      <w:r w:rsidR="00452EAF" w:rsidRPr="00066C93">
        <w:rPr>
          <w:rFonts w:cs="Arial"/>
          <w:sz w:val="22"/>
          <w:szCs w:val="22"/>
        </w:rPr>
        <w:t>Q4</w:t>
      </w:r>
      <w:r w:rsidR="00314F3A" w:rsidRPr="00066C93">
        <w:rPr>
          <w:rFonts w:cs="Arial"/>
          <w:sz w:val="22"/>
          <w:szCs w:val="22"/>
        </w:rPr>
        <w:t xml:space="preserve"> 2025</w:t>
      </w:r>
      <w:r w:rsidR="001E30F8">
        <w:rPr>
          <w:rFonts w:cs="Arial"/>
          <w:sz w:val="22"/>
          <w:szCs w:val="22"/>
        </w:rPr>
        <w:t xml:space="preserve"> or earl</w:t>
      </w:r>
      <w:r w:rsidR="00F010A1">
        <w:rPr>
          <w:rFonts w:cs="Arial"/>
          <w:sz w:val="22"/>
          <w:szCs w:val="22"/>
        </w:rPr>
        <w:t>y in Q1 2026</w:t>
      </w:r>
      <w:r w:rsidR="00314F3A" w:rsidRPr="00066C93">
        <w:rPr>
          <w:rFonts w:cs="Arial"/>
          <w:sz w:val="22"/>
          <w:szCs w:val="22"/>
        </w:rPr>
        <w:t>.</w:t>
      </w:r>
      <w:r w:rsidR="004D7B3B" w:rsidRPr="00066C93">
        <w:rPr>
          <w:rFonts w:cs="Arial"/>
          <w:sz w:val="22"/>
          <w:szCs w:val="22"/>
        </w:rPr>
        <w:t xml:space="preserve"> </w:t>
      </w:r>
      <w:r w:rsidR="00C91250">
        <w:rPr>
          <w:rFonts w:cs="Arial"/>
          <w:sz w:val="22"/>
          <w:szCs w:val="22"/>
        </w:rPr>
        <w:t xml:space="preserve">Depending on our approach to licence allocation there </w:t>
      </w:r>
      <w:r w:rsidR="004D7F72">
        <w:rPr>
          <w:rFonts w:cs="Arial"/>
          <w:sz w:val="22"/>
          <w:szCs w:val="22"/>
        </w:rPr>
        <w:t xml:space="preserve">maybe also a requirement to </w:t>
      </w:r>
      <w:r w:rsidR="00ED751A">
        <w:rPr>
          <w:rFonts w:cs="Arial"/>
          <w:sz w:val="22"/>
          <w:szCs w:val="22"/>
        </w:rPr>
        <w:t xml:space="preserve">create </w:t>
      </w:r>
      <w:r w:rsidR="00D038A9">
        <w:rPr>
          <w:rFonts w:cs="Arial"/>
          <w:sz w:val="22"/>
          <w:szCs w:val="22"/>
        </w:rPr>
        <w:t xml:space="preserve">additional </w:t>
      </w:r>
      <w:r w:rsidR="002A6C69">
        <w:rPr>
          <w:rFonts w:cs="Arial"/>
          <w:sz w:val="22"/>
          <w:szCs w:val="22"/>
        </w:rPr>
        <w:t>administrative</w:t>
      </w:r>
      <w:r w:rsidR="00D038A9">
        <w:rPr>
          <w:rFonts w:cs="Arial"/>
          <w:sz w:val="22"/>
          <w:szCs w:val="22"/>
        </w:rPr>
        <w:t xml:space="preserve"> </w:t>
      </w:r>
      <w:r w:rsidR="002A6C69">
        <w:rPr>
          <w:rFonts w:cs="Arial"/>
          <w:sz w:val="22"/>
          <w:szCs w:val="22"/>
        </w:rPr>
        <w:t>documents</w:t>
      </w:r>
      <w:r w:rsidR="00D038A9">
        <w:rPr>
          <w:rFonts w:cs="Arial"/>
          <w:sz w:val="22"/>
          <w:szCs w:val="22"/>
        </w:rPr>
        <w:t xml:space="preserve"> or update </w:t>
      </w:r>
      <w:r w:rsidR="002A6C69">
        <w:rPr>
          <w:rFonts w:cs="Arial"/>
          <w:sz w:val="22"/>
          <w:szCs w:val="22"/>
        </w:rPr>
        <w:t xml:space="preserve">our existing administrative licensing procedures. </w:t>
      </w:r>
    </w:p>
    <w:p w14:paraId="0C56C3DF" w14:textId="10512BFB" w:rsidR="00566C33" w:rsidRPr="00066C93" w:rsidRDefault="00566C33" w:rsidP="003F03A4">
      <w:pPr>
        <w:spacing w:line="280" w:lineRule="atLeast"/>
        <w:rPr>
          <w:rFonts w:cs="Arial"/>
          <w:sz w:val="22"/>
          <w:szCs w:val="22"/>
        </w:rPr>
      </w:pPr>
      <w:r>
        <w:rPr>
          <w:rFonts w:cs="Arial"/>
          <w:sz w:val="22"/>
          <w:szCs w:val="22"/>
        </w:rPr>
        <w:t>In addition</w:t>
      </w:r>
      <w:r w:rsidR="00CC3BF1">
        <w:rPr>
          <w:rFonts w:cs="Arial"/>
          <w:sz w:val="22"/>
          <w:szCs w:val="22"/>
        </w:rPr>
        <w:t>, the ACMA may also consider</w:t>
      </w:r>
      <w:r w:rsidR="0011094F">
        <w:rPr>
          <w:rFonts w:cs="Arial"/>
          <w:sz w:val="22"/>
          <w:szCs w:val="22"/>
        </w:rPr>
        <w:t xml:space="preserve"> whether</w:t>
      </w:r>
      <w:r w:rsidR="0062600B">
        <w:rPr>
          <w:rFonts w:cs="Arial"/>
          <w:sz w:val="22"/>
          <w:szCs w:val="22"/>
        </w:rPr>
        <w:t xml:space="preserve"> </w:t>
      </w:r>
      <w:r w:rsidR="00DF332B">
        <w:rPr>
          <w:rFonts w:cs="Arial"/>
          <w:sz w:val="22"/>
          <w:szCs w:val="22"/>
        </w:rPr>
        <w:t xml:space="preserve">to </w:t>
      </w:r>
      <w:r w:rsidR="0062600B">
        <w:rPr>
          <w:rFonts w:cs="Arial"/>
          <w:sz w:val="22"/>
          <w:szCs w:val="22"/>
        </w:rPr>
        <w:t>apply allocation limits</w:t>
      </w:r>
      <w:r w:rsidR="004762E9">
        <w:rPr>
          <w:rFonts w:cs="Arial"/>
          <w:sz w:val="22"/>
          <w:szCs w:val="22"/>
        </w:rPr>
        <w:t xml:space="preserve"> and </w:t>
      </w:r>
      <w:r w:rsidR="00586B2C">
        <w:rPr>
          <w:rFonts w:cs="Arial"/>
          <w:sz w:val="22"/>
          <w:szCs w:val="22"/>
        </w:rPr>
        <w:t>will consult the ACCC</w:t>
      </w:r>
      <w:r w:rsidR="00EB6CAB">
        <w:rPr>
          <w:rFonts w:cs="Arial"/>
          <w:sz w:val="22"/>
          <w:szCs w:val="22"/>
        </w:rPr>
        <w:t xml:space="preserve"> on such matters</w:t>
      </w:r>
      <w:r w:rsidR="001057DE">
        <w:rPr>
          <w:rFonts w:cs="Arial"/>
          <w:sz w:val="22"/>
          <w:szCs w:val="22"/>
        </w:rPr>
        <w:t>.</w:t>
      </w:r>
    </w:p>
    <w:p w14:paraId="12592EC8" w14:textId="29C771E8" w:rsidR="00677DFA" w:rsidRPr="00066C93" w:rsidRDefault="00677DFA" w:rsidP="003F03A4">
      <w:pPr>
        <w:spacing w:line="280" w:lineRule="atLeast"/>
        <w:rPr>
          <w:rFonts w:cs="Arial"/>
          <w:sz w:val="22"/>
          <w:szCs w:val="22"/>
        </w:rPr>
      </w:pPr>
      <w:r w:rsidRPr="00066C93">
        <w:rPr>
          <w:rFonts w:cs="Arial"/>
          <w:sz w:val="22"/>
          <w:szCs w:val="22"/>
        </w:rPr>
        <w:t xml:space="preserve">Subsection 102G(1) of the Act provides that </w:t>
      </w:r>
      <w:r w:rsidR="001C3D1C">
        <w:rPr>
          <w:rFonts w:cs="Arial"/>
          <w:sz w:val="22"/>
          <w:szCs w:val="22"/>
        </w:rPr>
        <w:t>we</w:t>
      </w:r>
      <w:r w:rsidRPr="00066C93">
        <w:rPr>
          <w:rFonts w:cs="Arial"/>
          <w:sz w:val="22"/>
          <w:szCs w:val="22"/>
        </w:rPr>
        <w:t xml:space="preserve"> may, by legislative instrument, impose limits on the aggregate of the parts of the spectrum that, under existing licences and as a result of the issue of transmitter licences, may be used by any one person, a specified person or, in total, a specified group of persons. If </w:t>
      </w:r>
      <w:r w:rsidR="001C3D1C">
        <w:rPr>
          <w:rFonts w:cs="Arial"/>
          <w:sz w:val="22"/>
          <w:szCs w:val="22"/>
        </w:rPr>
        <w:t>we</w:t>
      </w:r>
      <w:r w:rsidRPr="00066C93">
        <w:rPr>
          <w:rFonts w:cs="Arial"/>
          <w:sz w:val="22"/>
          <w:szCs w:val="22"/>
        </w:rPr>
        <w:t xml:space="preserve"> decide to allocate space licences administratively, it may consider whether to impose such a limit. Subsection 102G(6) provides that, before making such an instrument imposing a limit, the ACMA must consult with the ACCC.</w:t>
      </w:r>
    </w:p>
    <w:p w14:paraId="332B2EEC" w14:textId="6287CEE6" w:rsidR="008B3D2A" w:rsidRPr="00066C93" w:rsidRDefault="008B3D2A" w:rsidP="003F03A4">
      <w:pPr>
        <w:spacing w:line="280" w:lineRule="atLeast"/>
        <w:rPr>
          <w:rFonts w:cs="Arial"/>
          <w:sz w:val="22"/>
          <w:szCs w:val="22"/>
        </w:rPr>
      </w:pPr>
      <w:r w:rsidRPr="00066C93">
        <w:rPr>
          <w:rFonts w:cs="Arial"/>
          <w:sz w:val="22"/>
          <w:szCs w:val="22"/>
        </w:rPr>
        <w:t>S</w:t>
      </w:r>
      <w:r w:rsidR="00677DFA" w:rsidRPr="00066C93">
        <w:rPr>
          <w:rFonts w:cs="Arial"/>
          <w:sz w:val="22"/>
          <w:szCs w:val="22"/>
        </w:rPr>
        <w:t>ubs</w:t>
      </w:r>
      <w:r w:rsidRPr="00066C93">
        <w:rPr>
          <w:rFonts w:cs="Arial"/>
          <w:sz w:val="22"/>
          <w:szCs w:val="22"/>
        </w:rPr>
        <w:t>ection 106(3) of the Act provides that</w:t>
      </w:r>
      <w:r w:rsidR="00A428E6" w:rsidRPr="00066C93">
        <w:rPr>
          <w:rFonts w:cs="Arial"/>
          <w:sz w:val="22"/>
          <w:szCs w:val="22"/>
        </w:rPr>
        <w:t>, if the ACMA determines a</w:t>
      </w:r>
      <w:r w:rsidRPr="00066C93">
        <w:rPr>
          <w:rFonts w:cs="Arial"/>
          <w:sz w:val="22"/>
          <w:szCs w:val="22"/>
        </w:rPr>
        <w:t xml:space="preserve"> price</w:t>
      </w:r>
      <w:r w:rsidRPr="00D44ACA">
        <w:rPr>
          <w:rFonts w:ascii="Cambria Math" w:hAnsi="Cambria Math" w:cs="Cambria Math"/>
          <w:sz w:val="22"/>
          <w:szCs w:val="22"/>
        </w:rPr>
        <w:t>‑</w:t>
      </w:r>
      <w:r w:rsidRPr="00066C93">
        <w:rPr>
          <w:rFonts w:cs="Arial"/>
          <w:sz w:val="22"/>
          <w:szCs w:val="22"/>
        </w:rPr>
        <w:t>based allocation system for allocating and/or issuing specified transmitter licences</w:t>
      </w:r>
      <w:r w:rsidR="00A428E6" w:rsidRPr="00066C93">
        <w:rPr>
          <w:rFonts w:cs="Arial"/>
          <w:sz w:val="22"/>
          <w:szCs w:val="22"/>
        </w:rPr>
        <w:t>, the system</w:t>
      </w:r>
      <w:r w:rsidRPr="00066C93">
        <w:rPr>
          <w:rFonts w:cs="Arial"/>
          <w:sz w:val="22"/>
          <w:szCs w:val="22"/>
        </w:rPr>
        <w:t xml:space="preserve"> may impose limits on the aggregate of the parts of the spectrum that</w:t>
      </w:r>
      <w:r w:rsidR="00F144E8" w:rsidRPr="00066C93">
        <w:rPr>
          <w:rFonts w:cs="Arial"/>
          <w:sz w:val="22"/>
          <w:szCs w:val="22"/>
        </w:rPr>
        <w:t>, under existing licences and as a result of the issue of transmitter licences,</w:t>
      </w:r>
      <w:r w:rsidRPr="00066C93">
        <w:rPr>
          <w:rFonts w:cs="Arial"/>
          <w:sz w:val="22"/>
          <w:szCs w:val="22"/>
        </w:rPr>
        <w:t xml:space="preserve"> may be used by a</w:t>
      </w:r>
      <w:r w:rsidR="00F144E8" w:rsidRPr="00066C93">
        <w:rPr>
          <w:rFonts w:cs="Arial"/>
          <w:sz w:val="22"/>
          <w:szCs w:val="22"/>
        </w:rPr>
        <w:t>ny one</w:t>
      </w:r>
      <w:r w:rsidRPr="00066C93">
        <w:rPr>
          <w:rFonts w:cs="Arial"/>
          <w:sz w:val="22"/>
          <w:szCs w:val="22"/>
        </w:rPr>
        <w:t xml:space="preserve"> person, a specified person or</w:t>
      </w:r>
      <w:r w:rsidR="004D3350" w:rsidRPr="00066C93">
        <w:rPr>
          <w:rFonts w:cs="Arial"/>
          <w:sz w:val="22"/>
          <w:szCs w:val="22"/>
        </w:rPr>
        <w:t xml:space="preserve">, in total, </w:t>
      </w:r>
      <w:r w:rsidRPr="00066C93">
        <w:rPr>
          <w:rFonts w:cs="Arial"/>
          <w:sz w:val="22"/>
          <w:szCs w:val="22"/>
        </w:rPr>
        <w:t>a specified group of persons. S</w:t>
      </w:r>
      <w:r w:rsidR="004D3350" w:rsidRPr="00066C93">
        <w:rPr>
          <w:rFonts w:cs="Arial"/>
          <w:sz w:val="22"/>
          <w:szCs w:val="22"/>
        </w:rPr>
        <w:t>ubs</w:t>
      </w:r>
      <w:r w:rsidRPr="00066C93">
        <w:rPr>
          <w:rFonts w:cs="Arial"/>
          <w:sz w:val="22"/>
          <w:szCs w:val="22"/>
        </w:rPr>
        <w:t xml:space="preserve">ection 106(11A) </w:t>
      </w:r>
      <w:r w:rsidR="004D3350" w:rsidRPr="00066C93">
        <w:rPr>
          <w:rFonts w:cs="Arial"/>
          <w:sz w:val="22"/>
          <w:szCs w:val="22"/>
        </w:rPr>
        <w:t>provides</w:t>
      </w:r>
      <w:r w:rsidRPr="00066C93">
        <w:rPr>
          <w:rFonts w:cs="Arial"/>
          <w:sz w:val="22"/>
          <w:szCs w:val="22"/>
        </w:rPr>
        <w:t xml:space="preserve"> that, before doing so, </w:t>
      </w:r>
      <w:r w:rsidR="001C3D1C">
        <w:rPr>
          <w:rFonts w:cs="Arial"/>
          <w:sz w:val="22"/>
          <w:szCs w:val="22"/>
        </w:rPr>
        <w:t>we</w:t>
      </w:r>
      <w:r w:rsidRPr="00066C93">
        <w:rPr>
          <w:rFonts w:cs="Arial"/>
          <w:sz w:val="22"/>
          <w:szCs w:val="22"/>
        </w:rPr>
        <w:t xml:space="preserve"> must consult </w:t>
      </w:r>
      <w:r w:rsidR="004D3350" w:rsidRPr="00066C93">
        <w:rPr>
          <w:rFonts w:cs="Arial"/>
          <w:sz w:val="22"/>
          <w:szCs w:val="22"/>
        </w:rPr>
        <w:t xml:space="preserve">with </w:t>
      </w:r>
      <w:r w:rsidRPr="00066C93">
        <w:rPr>
          <w:rFonts w:cs="Arial"/>
          <w:sz w:val="22"/>
          <w:szCs w:val="22"/>
        </w:rPr>
        <w:t xml:space="preserve">the ACCC. </w:t>
      </w:r>
    </w:p>
    <w:p w14:paraId="150359EB" w14:textId="10FE2B87" w:rsidR="00A703C4" w:rsidRPr="00066C93" w:rsidRDefault="006725AD" w:rsidP="003F03A4">
      <w:pPr>
        <w:spacing w:line="280" w:lineRule="atLeast"/>
        <w:rPr>
          <w:rFonts w:cs="Arial"/>
          <w:sz w:val="22"/>
          <w:szCs w:val="22"/>
        </w:rPr>
      </w:pPr>
      <w:r>
        <w:rPr>
          <w:rFonts w:cs="Arial"/>
          <w:sz w:val="22"/>
          <w:szCs w:val="22"/>
        </w:rPr>
        <w:t>Subject to the findings of this consultation process, w</w:t>
      </w:r>
      <w:r w:rsidR="00A703C4" w:rsidRPr="00066C93">
        <w:rPr>
          <w:rFonts w:cs="Arial"/>
          <w:sz w:val="22"/>
          <w:szCs w:val="22"/>
        </w:rPr>
        <w:t>e expect to commence an allocation process in Q2 2026.</w:t>
      </w:r>
    </w:p>
    <w:p w14:paraId="19D1E66C" w14:textId="77777777" w:rsidR="004B2960" w:rsidRPr="00E162C4" w:rsidRDefault="004B2960" w:rsidP="004B2960">
      <w:pPr>
        <w:pStyle w:val="Heading1"/>
      </w:pPr>
      <w:bookmarkStart w:id="63" w:name="_Toc92265098"/>
      <w:bookmarkStart w:id="64" w:name="_Toc202867840"/>
      <w:bookmarkStart w:id="65" w:name="_Toc348105641"/>
      <w:r w:rsidRPr="00E162C4">
        <w:lastRenderedPageBreak/>
        <w:t>Invitation to comment</w:t>
      </w:r>
      <w:bookmarkEnd w:id="63"/>
      <w:bookmarkEnd w:id="64"/>
    </w:p>
    <w:p w14:paraId="248174C2" w14:textId="77777777" w:rsidR="004B2960" w:rsidRPr="00E162C4" w:rsidRDefault="004B2960" w:rsidP="004B2960">
      <w:pPr>
        <w:pStyle w:val="Heading2"/>
      </w:pPr>
      <w:bookmarkStart w:id="66" w:name="_Toc433122131"/>
      <w:bookmarkStart w:id="67" w:name="_Toc348105637"/>
      <w:bookmarkStart w:id="68" w:name="_Toc300909556"/>
      <w:bookmarkStart w:id="69" w:name="_Toc298924673"/>
      <w:bookmarkStart w:id="70" w:name="_Toc92265099"/>
      <w:bookmarkStart w:id="71" w:name="_Toc202867841"/>
      <w:bookmarkStart w:id="72" w:name="_Toc348105638"/>
      <w:bookmarkStart w:id="73" w:name="_Toc300909557"/>
      <w:bookmarkStart w:id="74" w:name="_Toc298924674"/>
      <w:bookmarkStart w:id="75" w:name="_Toc274296357"/>
      <w:r w:rsidRPr="00E162C4">
        <w:t>Making a submission</w:t>
      </w:r>
      <w:bookmarkEnd w:id="66"/>
      <w:bookmarkEnd w:id="67"/>
      <w:bookmarkEnd w:id="68"/>
      <w:bookmarkEnd w:id="69"/>
      <w:bookmarkEnd w:id="70"/>
      <w:bookmarkEnd w:id="71"/>
    </w:p>
    <w:p w14:paraId="156900CF" w14:textId="456440D5" w:rsidR="004B2960" w:rsidRPr="00E162C4" w:rsidRDefault="004B2960" w:rsidP="004B2960">
      <w:pPr>
        <w:pStyle w:val="Paragraph"/>
      </w:pPr>
      <w:r w:rsidRPr="00E162C4">
        <w:t xml:space="preserve">We invite comments on the issues set out in this </w:t>
      </w:r>
      <w:r w:rsidR="002735DF" w:rsidRPr="00E51A3F">
        <w:t>consultation</w:t>
      </w:r>
      <w:r w:rsidR="002735DF" w:rsidRPr="00E162C4">
        <w:t xml:space="preserve"> </w:t>
      </w:r>
      <w:r w:rsidRPr="00E162C4">
        <w:t xml:space="preserve">paper. </w:t>
      </w:r>
    </w:p>
    <w:p w14:paraId="08C6C364" w14:textId="0CADC13B" w:rsidR="006D0B7E" w:rsidRDefault="004B2960" w:rsidP="00585870">
      <w:pPr>
        <w:pStyle w:val="Bulletlevel1"/>
        <w:numPr>
          <w:ilvl w:val="0"/>
          <w:numId w:val="89"/>
        </w:numPr>
        <w:ind w:left="284" w:hanging="284"/>
      </w:pPr>
      <w:hyperlink r:id="rId40" w:history="1">
        <w:r w:rsidRPr="00E162C4">
          <w:rPr>
            <w:rStyle w:val="Hyperlink"/>
          </w:rPr>
          <w:t>Online subm</w:t>
        </w:r>
        <w:bookmarkStart w:id="76" w:name="_Hlt198714413"/>
        <w:bookmarkStart w:id="77" w:name="_Hlt198714414"/>
        <w:r w:rsidRPr="00E162C4">
          <w:rPr>
            <w:rStyle w:val="Hyperlink"/>
          </w:rPr>
          <w:t>i</w:t>
        </w:r>
        <w:bookmarkEnd w:id="76"/>
        <w:bookmarkEnd w:id="77"/>
        <w:r w:rsidRPr="00E162C4">
          <w:rPr>
            <w:rStyle w:val="Hyperlink"/>
          </w:rPr>
          <w:t>ssions</w:t>
        </w:r>
      </w:hyperlink>
      <w:r w:rsidRPr="00E162C4">
        <w:t xml:space="preserve"> can be made by uploading a document. Submissions in PDF, Microsoft Word or Rich Text Format are preferred.</w:t>
      </w:r>
      <w:r w:rsidR="004C5745">
        <w:t xml:space="preserve"> </w:t>
      </w:r>
    </w:p>
    <w:p w14:paraId="4CDD8A1B" w14:textId="77777777" w:rsidR="004B2960" w:rsidRPr="00E162C4" w:rsidRDefault="004B2960" w:rsidP="00585870">
      <w:pPr>
        <w:pStyle w:val="Bulletlevel1"/>
        <w:numPr>
          <w:ilvl w:val="0"/>
          <w:numId w:val="89"/>
        </w:numPr>
        <w:ind w:left="284" w:hanging="284"/>
      </w:pPr>
      <w:r w:rsidRPr="00E162C4">
        <w:t xml:space="preserve">Submissions by post can be </w:t>
      </w:r>
      <w:r w:rsidRPr="004B2960">
        <w:t>sent</w:t>
      </w:r>
      <w:r w:rsidRPr="00E162C4">
        <w:t xml:space="preserve"> to: </w:t>
      </w:r>
    </w:p>
    <w:p w14:paraId="6A07FB5B" w14:textId="098C2D9A" w:rsidR="004B2960" w:rsidRPr="0054554D" w:rsidRDefault="006208CE" w:rsidP="004B2960">
      <w:pPr>
        <w:pStyle w:val="Bulletlevel1last"/>
        <w:numPr>
          <w:ilvl w:val="0"/>
          <w:numId w:val="0"/>
        </w:numPr>
        <w:ind w:left="284"/>
      </w:pPr>
      <w:r>
        <w:t>The Manager</w:t>
      </w:r>
      <w:r w:rsidR="004B2960" w:rsidRPr="0054554D">
        <w:br/>
      </w:r>
      <w:r w:rsidR="0054554D" w:rsidRPr="0054554D">
        <w:t>Major Spectrum Allocations</w:t>
      </w:r>
      <w:r w:rsidR="002305E7">
        <w:t xml:space="preserve"> Section</w:t>
      </w:r>
      <w:r w:rsidR="004B2960" w:rsidRPr="0054554D">
        <w:br/>
        <w:t>Australian Communications and Media Authority</w:t>
      </w:r>
      <w:r w:rsidR="004B2960" w:rsidRPr="0054554D">
        <w:br/>
        <w:t xml:space="preserve">PO Box </w:t>
      </w:r>
      <w:r w:rsidR="003909D2">
        <w:t>13112</w:t>
      </w:r>
      <w:r w:rsidR="003909D2">
        <w:br/>
        <w:t>Law Courts</w:t>
      </w:r>
      <w:r w:rsidR="004B2960" w:rsidRPr="0054554D">
        <w:br/>
      </w:r>
      <w:r w:rsidR="003909D2">
        <w:t xml:space="preserve">Melbourne </w:t>
      </w:r>
      <w:r w:rsidR="00944844">
        <w:t xml:space="preserve">VIC </w:t>
      </w:r>
      <w:r w:rsidR="005A4606">
        <w:t>8010</w:t>
      </w:r>
    </w:p>
    <w:p w14:paraId="4F42D22F" w14:textId="52DD7357" w:rsidR="004B2960" w:rsidRPr="00E162C4" w:rsidRDefault="004B2960" w:rsidP="004B2960">
      <w:pPr>
        <w:pStyle w:val="Paragraph"/>
      </w:pPr>
      <w:r w:rsidRPr="00E162C4">
        <w:t xml:space="preserve">The closing date for submissions is </w:t>
      </w:r>
      <w:r w:rsidRPr="00991643">
        <w:rPr>
          <w:b/>
          <w:bCs/>
        </w:rPr>
        <w:t>COB,</w:t>
      </w:r>
      <w:r w:rsidRPr="005019F5">
        <w:t xml:space="preserve"> </w:t>
      </w:r>
      <w:r w:rsidR="00DA518B">
        <w:rPr>
          <w:b/>
        </w:rPr>
        <w:t>Wednesday</w:t>
      </w:r>
      <w:r w:rsidRPr="005019F5" w:rsidDel="00A24CA4">
        <w:rPr>
          <w:b/>
        </w:rPr>
        <w:t xml:space="preserve"> </w:t>
      </w:r>
      <w:r w:rsidR="00DA518B">
        <w:rPr>
          <w:b/>
        </w:rPr>
        <w:t>20</w:t>
      </w:r>
      <w:r w:rsidRPr="005019F5">
        <w:rPr>
          <w:b/>
        </w:rPr>
        <w:t xml:space="preserve"> </w:t>
      </w:r>
      <w:r w:rsidR="003338DA" w:rsidRPr="005019F5">
        <w:rPr>
          <w:b/>
        </w:rPr>
        <w:t xml:space="preserve">August </w:t>
      </w:r>
      <w:r w:rsidRPr="005019F5">
        <w:rPr>
          <w:b/>
        </w:rPr>
        <w:t>20</w:t>
      </w:r>
      <w:r w:rsidR="0054554D" w:rsidRPr="005019F5">
        <w:rPr>
          <w:b/>
        </w:rPr>
        <w:t>25</w:t>
      </w:r>
      <w:r w:rsidRPr="005019F5">
        <w:t>.</w:t>
      </w:r>
    </w:p>
    <w:p w14:paraId="51864624" w14:textId="65931E98" w:rsidR="004B2960" w:rsidRPr="00E162C4" w:rsidRDefault="004B2960" w:rsidP="004B2960">
      <w:pPr>
        <w:pStyle w:val="Paragraph"/>
        <w:rPr>
          <w:szCs w:val="20"/>
        </w:rPr>
      </w:pPr>
      <w:r w:rsidRPr="00E162C4">
        <w:t xml:space="preserve">Consultation enquiries can be </w:t>
      </w:r>
      <w:r w:rsidRPr="006D0B7E">
        <w:t xml:space="preserve">emailed </w:t>
      </w:r>
      <w:r w:rsidRPr="006D0B7E">
        <w:rPr>
          <w:szCs w:val="20"/>
        </w:rPr>
        <w:t xml:space="preserve">to </w:t>
      </w:r>
      <w:hyperlink r:id="rId41" w:history="1">
        <w:r w:rsidR="0054554D" w:rsidRPr="006D0B7E">
          <w:rPr>
            <w:rStyle w:val="Hyperlink"/>
            <w:szCs w:val="20"/>
          </w:rPr>
          <w:t>SpectrumAllocations@acma.gov.au</w:t>
        </w:r>
      </w:hyperlink>
      <w:r w:rsidRPr="006D0B7E">
        <w:rPr>
          <w:szCs w:val="20"/>
        </w:rPr>
        <w:t>.</w:t>
      </w:r>
    </w:p>
    <w:p w14:paraId="273DB097" w14:textId="77777777" w:rsidR="004B2960" w:rsidRPr="00E162C4" w:rsidRDefault="004B2960" w:rsidP="004B2960">
      <w:pPr>
        <w:pStyle w:val="Heading3"/>
      </w:pPr>
      <w:bookmarkStart w:id="78" w:name="_Toc348105639"/>
      <w:bookmarkStart w:id="79" w:name="_Toc300909558"/>
      <w:bookmarkStart w:id="80" w:name="_Toc202867842"/>
      <w:bookmarkStart w:id="81" w:name="_Hlk59627494"/>
      <w:bookmarkEnd w:id="72"/>
      <w:bookmarkEnd w:id="73"/>
      <w:r w:rsidRPr="00E162C4">
        <w:t>Publication of submissions</w:t>
      </w:r>
      <w:bookmarkEnd w:id="74"/>
      <w:bookmarkEnd w:id="75"/>
      <w:bookmarkEnd w:id="78"/>
      <w:bookmarkEnd w:id="79"/>
      <w:bookmarkEnd w:id="80"/>
    </w:p>
    <w:p w14:paraId="04AC5EB6" w14:textId="77777777" w:rsidR="004B2960" w:rsidRPr="00E162C4" w:rsidRDefault="004B2960" w:rsidP="004B2960">
      <w:pPr>
        <w:pStyle w:val="Paragraph"/>
      </w:pPr>
      <w:bookmarkStart w:id="82" w:name="_Toc348105640"/>
      <w:bookmarkStart w:id="83" w:name="_Toc300909559"/>
      <w:bookmarkStart w:id="84" w:name="_Toc265246234"/>
      <w:r w:rsidRPr="00E162C4">
        <w:t xml:space="preserve">We publish submissions on our website, including personal information (such as names and contact details), except for information that you have claimed (and we have accepted) is confidential. </w:t>
      </w:r>
    </w:p>
    <w:p w14:paraId="63BA1507" w14:textId="77777777" w:rsidR="004B2960" w:rsidRPr="00E162C4" w:rsidRDefault="004B2960" w:rsidP="004B2960">
      <w:pPr>
        <w:pStyle w:val="Paragraph"/>
      </w:pPr>
      <w:r w:rsidRPr="00E162C4">
        <w:t>Confidential information will not be published or otherwise released unless required or authorised by law.</w:t>
      </w:r>
    </w:p>
    <w:p w14:paraId="74C58E1F" w14:textId="77777777" w:rsidR="004B2960" w:rsidRPr="00E162C4" w:rsidRDefault="004B2960" w:rsidP="004B2960">
      <w:pPr>
        <w:pStyle w:val="Heading3"/>
      </w:pPr>
      <w:bookmarkStart w:id="85" w:name="_Toc202867843"/>
      <w:r w:rsidRPr="00E162C4">
        <w:t>Privacy</w:t>
      </w:r>
      <w:bookmarkEnd w:id="85"/>
    </w:p>
    <w:p w14:paraId="59EA40A2" w14:textId="77777777" w:rsidR="004B2960" w:rsidRPr="004B2960" w:rsidRDefault="004B2960" w:rsidP="004B2960">
      <w:pPr>
        <w:pStyle w:val="Paragraph"/>
      </w:pPr>
      <w:r w:rsidRPr="00E162C4">
        <w:t xml:space="preserve">View information about our </w:t>
      </w:r>
      <w:r w:rsidRPr="004B2960">
        <w:t xml:space="preserve">policy on the </w:t>
      </w:r>
      <w:hyperlink r:id="rId42" w:history="1">
        <w:r w:rsidRPr="004B2960">
          <w:rPr>
            <w:rStyle w:val="Hyperlink"/>
            <w:color w:val="auto"/>
            <w:u w:val="none"/>
          </w:rPr>
          <w:t>publication of submissions</w:t>
        </w:r>
      </w:hyperlink>
      <w:r w:rsidRPr="004B2960">
        <w:t>, including collection of personal information during consultation and how we handle that information.</w:t>
      </w:r>
    </w:p>
    <w:bookmarkEnd w:id="82"/>
    <w:bookmarkEnd w:id="83"/>
    <w:bookmarkEnd w:id="84"/>
    <w:p w14:paraId="0ABE6CFB" w14:textId="77777777" w:rsidR="004B2960" w:rsidRPr="00E162C4" w:rsidRDefault="004B2960" w:rsidP="004B2960">
      <w:pPr>
        <w:pStyle w:val="Paragraph"/>
      </w:pPr>
      <w:r w:rsidRPr="004B2960">
        <w:t>Information on the Privacy Act 1988, how to access or correct personal information, how to make a privacy complaint an</w:t>
      </w:r>
      <w:r w:rsidRPr="00E162C4">
        <w:t xml:space="preserve">d how we will deal with any complaints, is available in our </w:t>
      </w:r>
      <w:hyperlink r:id="rId43" w:history="1">
        <w:r w:rsidRPr="00E162C4">
          <w:rPr>
            <w:rStyle w:val="Hyperlink"/>
          </w:rPr>
          <w:t>privacy policy</w:t>
        </w:r>
      </w:hyperlink>
      <w:r w:rsidRPr="00E162C4">
        <w:t xml:space="preserve">. </w:t>
      </w:r>
    </w:p>
    <w:p w14:paraId="4667A2C3" w14:textId="0DD626FA" w:rsidR="00240CE9" w:rsidRPr="00A17B1B" w:rsidRDefault="00FF3C69" w:rsidP="00FF3C69">
      <w:pPr>
        <w:pStyle w:val="Heading1"/>
      </w:pPr>
      <w:bookmarkStart w:id="86" w:name="_Appendix_A:_Overview"/>
      <w:bookmarkStart w:id="87" w:name="_Toc202867844"/>
      <w:bookmarkEnd w:id="65"/>
      <w:bookmarkEnd w:id="81"/>
      <w:bookmarkEnd w:id="86"/>
      <w:r w:rsidRPr="00A17B1B">
        <w:lastRenderedPageBreak/>
        <w:t>Appendix A</w:t>
      </w:r>
      <w:r w:rsidR="00DF0799" w:rsidRPr="00A17B1B">
        <w:t xml:space="preserve">: </w:t>
      </w:r>
      <w:r w:rsidR="00A278A7">
        <w:t>Overview</w:t>
      </w:r>
      <w:r w:rsidR="00556283">
        <w:t xml:space="preserve"> of the 2SC auction format</w:t>
      </w:r>
      <w:bookmarkEnd w:id="87"/>
    </w:p>
    <w:p w14:paraId="401DF095" w14:textId="77777777" w:rsidR="00D96329" w:rsidRDefault="00AB3B0A" w:rsidP="00D414E9">
      <w:pPr>
        <w:pStyle w:val="Paragraph"/>
      </w:pPr>
      <w:r>
        <w:t>The illustration</w:t>
      </w:r>
      <w:r w:rsidR="00556283">
        <w:t xml:space="preserve"> below </w:t>
      </w:r>
      <w:r w:rsidR="00A278A7">
        <w:t>provides an overview of the 2SC auction format.</w:t>
      </w:r>
      <w:r>
        <w:t xml:space="preserve"> </w:t>
      </w:r>
    </w:p>
    <w:p w14:paraId="06C8A3AA" w14:textId="7F5AE0BF" w:rsidR="00FF3C69" w:rsidRPr="00A17B1B" w:rsidRDefault="00047CDA" w:rsidP="00D414E9">
      <w:pPr>
        <w:pStyle w:val="Paragraph"/>
      </w:pPr>
      <w:r>
        <w:rPr>
          <w:noProof/>
        </w:rPr>
        <w:drawing>
          <wp:inline distT="0" distB="0" distL="0" distR="0" wp14:anchorId="688BF9AA" wp14:editId="6DE4F8A6">
            <wp:extent cx="5575152" cy="7718542"/>
            <wp:effectExtent l="0" t="0" r="6985" b="0"/>
            <wp:docPr id="1398378014" name="Picture 1" descr="An overview of the 2SC auction format. The process begins with pre-auction stages which includes application, eligibility, and registration, moving to training and mock auctions. The diagram is then broken down into three stages. The first is the clock stage (primary) which includes 2SC clock rounds and consideration as to whether there is excess demand for any product. If not, the second is the clock stage (secondary, using a simple clock auction) which considers if there are single unallocated lots, and if there are it moves to SCA clock rounds. Once these rounds are completed or if there are no single allocated lots, the diagram moves to the assignment stage (sealed bid auction) which includes assignment rounds. If the assignment of all products has been completed, the auction end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78014" name="Picture 1" descr="An overview of the 2SC auction format. The process begins with pre-auction stages which includes application, eligibility, and registration, moving to training and mock auctions. The diagram is then broken down into three stages. The first is the clock stage (primary) which includes 2SC clock rounds and consideration as to whether there is excess demand for any product. If not, the second is the clock stage (secondary, using a simple clock auction) which considers if there are single unallocated lots, and if there are it moves to SCA clock rounds. Once these rounds are completed or if there are no single allocated lots, the diagram moves to the assignment stage (sealed bid auction) which includes assignment rounds. If the assignment of all products has been completed, the auction ends. &#10;"/>
                    <pic:cNvPicPr/>
                  </pic:nvPicPr>
                  <pic:blipFill>
                    <a:blip r:embed="rId44">
                      <a:extLst>
                        <a:ext uri="{28A0092B-C50C-407E-A947-70E740481C1C}">
                          <a14:useLocalDpi xmlns:a14="http://schemas.microsoft.com/office/drawing/2010/main" val="0"/>
                        </a:ext>
                      </a:extLst>
                    </a:blip>
                    <a:stretch>
                      <a:fillRect/>
                    </a:stretch>
                  </pic:blipFill>
                  <pic:spPr>
                    <a:xfrm>
                      <a:off x="0" y="0"/>
                      <a:ext cx="5575152" cy="7718542"/>
                    </a:xfrm>
                    <a:prstGeom prst="rect">
                      <a:avLst/>
                    </a:prstGeom>
                  </pic:spPr>
                </pic:pic>
              </a:graphicData>
            </a:graphic>
          </wp:inline>
        </w:drawing>
      </w:r>
    </w:p>
    <w:sectPr w:rsidR="00FF3C69" w:rsidRPr="00A17B1B" w:rsidSect="00E66A68">
      <w:headerReference w:type="even" r:id="rId45"/>
      <w:headerReference w:type="default" r:id="rId46"/>
      <w:footerReference w:type="even" r:id="rId47"/>
      <w:footerReference w:type="default" r:id="rId48"/>
      <w:pgSz w:w="11906" w:h="16838" w:code="9"/>
      <w:pgMar w:top="1418" w:right="1418" w:bottom="1134" w:left="1418"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B94E" w14:textId="77777777" w:rsidR="004961B0" w:rsidRDefault="004961B0">
      <w:r>
        <w:separator/>
      </w:r>
    </w:p>
  </w:endnote>
  <w:endnote w:type="continuationSeparator" w:id="0">
    <w:p w14:paraId="50BC24BD" w14:textId="77777777" w:rsidR="004961B0" w:rsidRDefault="004961B0">
      <w:r>
        <w:continuationSeparator/>
      </w:r>
    </w:p>
  </w:endnote>
  <w:endnote w:type="continuationNotice" w:id="1">
    <w:p w14:paraId="3A3733B3" w14:textId="77777777" w:rsidR="004961B0" w:rsidRDefault="00496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57A0" w14:textId="77777777" w:rsidR="005E250B" w:rsidRDefault="005E250B" w:rsidP="005E250B">
    <w:pPr>
      <w:pStyle w:val="Footer"/>
      <w:jc w:val="right"/>
    </w:pPr>
    <w:r w:rsidRPr="005E250B">
      <w:rPr>
        <w:noProof/>
        <w:vertAlign w:val="subscript"/>
      </w:rPr>
      <w:drawing>
        <wp:inline distT="0" distB="0" distL="0" distR="0" wp14:anchorId="0897C564" wp14:editId="417C539C">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AED2"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80CD"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EF11"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11050EAF"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90CA"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26B1761E"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0391" w14:textId="77777777" w:rsidR="00C053A1" w:rsidRPr="005A62E5" w:rsidRDefault="005A62E5" w:rsidP="005A62E5">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sidRPr="005A62E5">
      <w:rPr>
        <w:noProof/>
        <w:color w:val="505050"/>
      </w:rPr>
      <w:t>1</w:t>
    </w:r>
    <w:r w:rsidRPr="005A62E5">
      <w:rPr>
        <w:noProof/>
        <w:color w:val="50505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F37F"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30516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7871"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9955" w14:textId="77777777" w:rsidR="004961B0" w:rsidRDefault="004961B0" w:rsidP="00DB3A64">
      <w:pPr>
        <w:spacing w:after="0"/>
      </w:pPr>
      <w:r>
        <w:separator/>
      </w:r>
    </w:p>
  </w:footnote>
  <w:footnote w:type="continuationSeparator" w:id="0">
    <w:p w14:paraId="2D3AC248" w14:textId="77777777" w:rsidR="004961B0" w:rsidRDefault="004961B0">
      <w:r>
        <w:continuationSeparator/>
      </w:r>
    </w:p>
  </w:footnote>
  <w:footnote w:type="continuationNotice" w:id="1">
    <w:p w14:paraId="13C85A4F" w14:textId="77777777" w:rsidR="004961B0" w:rsidRDefault="004961B0">
      <w:pPr>
        <w:spacing w:after="0" w:line="240" w:lineRule="auto"/>
      </w:pPr>
    </w:p>
  </w:footnote>
  <w:footnote w:id="2">
    <w:p w14:paraId="5D20A51C" w14:textId="0B2149E3" w:rsidR="005117AF" w:rsidRDefault="005117AF" w:rsidP="005117AF">
      <w:pPr>
        <w:pStyle w:val="FootnoteText"/>
      </w:pPr>
      <w:r>
        <w:rPr>
          <w:rStyle w:val="FootnoteReference"/>
        </w:rPr>
        <w:footnoteRef/>
      </w:r>
      <w:r>
        <w:t xml:space="preserve"> See </w:t>
      </w:r>
      <w:hyperlink r:id="rId1" w:history="1">
        <w:r w:rsidR="000F23C4" w:rsidRPr="000F23C4">
          <w:rPr>
            <w:rStyle w:val="Hyperlink"/>
          </w:rPr>
          <w:t>2 GHz Band Review</w:t>
        </w:r>
      </w:hyperlink>
      <w:r>
        <w:t>.</w:t>
      </w:r>
    </w:p>
  </w:footnote>
  <w:footnote w:id="3">
    <w:p w14:paraId="0BA62702" w14:textId="3105E40F" w:rsidR="0037415C" w:rsidRDefault="0037415C">
      <w:pPr>
        <w:pStyle w:val="FootnoteText"/>
      </w:pPr>
      <w:r>
        <w:rPr>
          <w:rStyle w:val="FootnoteReference"/>
        </w:rPr>
        <w:footnoteRef/>
      </w:r>
      <w:r>
        <w:t xml:space="preserve"> This </w:t>
      </w:r>
      <w:r w:rsidR="00AE5618">
        <w:t xml:space="preserve">is </w:t>
      </w:r>
      <w:r>
        <w:t xml:space="preserve">consistent with the </w:t>
      </w:r>
      <w:hyperlink r:id="rId2" w:history="1">
        <w:r>
          <w:rPr>
            <w:rStyle w:val="Hyperlink"/>
          </w:rPr>
          <w:t>Australian Radiofrequency Spectrum Plan 2021</w:t>
        </w:r>
      </w:hyperlink>
      <w:r>
        <w:t xml:space="preserve"> (Spectrum Plan)</w:t>
      </w:r>
      <w:r w:rsidR="009176E7">
        <w:t xml:space="preserve">. As noted in the </w:t>
      </w:r>
      <w:r w:rsidR="008636F3">
        <w:t>response</w:t>
      </w:r>
      <w:r w:rsidR="009176E7">
        <w:t xml:space="preserve"> to </w:t>
      </w:r>
      <w:r w:rsidR="006E147F">
        <w:t>submissions</w:t>
      </w:r>
      <w:r w:rsidR="009176E7">
        <w:t xml:space="preserve"> </w:t>
      </w:r>
      <w:r w:rsidR="00466FC7">
        <w:t>paper for t</w:t>
      </w:r>
      <w:r w:rsidR="006E147F">
        <w:t xml:space="preserve">he </w:t>
      </w:r>
      <w:r w:rsidR="00283412">
        <w:t>consultation</w:t>
      </w:r>
      <w:r w:rsidR="00267A9B">
        <w:t xml:space="preserve"> </w:t>
      </w:r>
      <w:hyperlink r:id="rId3" w:history="1">
        <w:r w:rsidR="00345694" w:rsidRPr="000A1447">
          <w:rPr>
            <w:rStyle w:val="Hyperlink"/>
          </w:rPr>
          <w:t>Replanning the 2 GHz band: Review of the 2 GHz Television Outside Broadcast Frequency Band Plan</w:t>
        </w:r>
      </w:hyperlink>
      <w:r w:rsidR="00EA6703" w:rsidRPr="00D71716">
        <w:t>,</w:t>
      </w:r>
      <w:r w:rsidR="00EA6703">
        <w:t xml:space="preserve"> a</w:t>
      </w:r>
      <w:r w:rsidR="00004422" w:rsidRPr="00004422">
        <w:t xml:space="preserve">t this stage, we have not made provision in the </w:t>
      </w:r>
      <w:hyperlink r:id="rId4" w:history="1">
        <w:r w:rsidR="00004422">
          <w:rPr>
            <w:rStyle w:val="Hyperlink"/>
          </w:rPr>
          <w:t>Radiocommunications (Mobile-Satellite Service) (1980–2010 MHz and 2170–2200 MHz) Frequency Band Plan 2022</w:t>
        </w:r>
      </w:hyperlink>
      <w:r w:rsidR="00004422">
        <w:t xml:space="preserve"> </w:t>
      </w:r>
      <w:r w:rsidR="00004422" w:rsidRPr="00857C21">
        <w:t>(</w:t>
      </w:r>
      <w:r w:rsidR="00004422" w:rsidRPr="00004422">
        <w:t>2 GHz MSS band plan</w:t>
      </w:r>
      <w:r w:rsidR="00004422">
        <w:t xml:space="preserve">) </w:t>
      </w:r>
      <w:r w:rsidR="00004422" w:rsidRPr="00004422">
        <w:t xml:space="preserve">to allow for operation of CGC and DA2GC services. </w:t>
      </w:r>
      <w:r w:rsidR="00DA59B9">
        <w:t>C</w:t>
      </w:r>
      <w:r w:rsidR="00004422">
        <w:t xml:space="preserve">hanges to </w:t>
      </w:r>
      <w:r w:rsidR="00EB6B2C">
        <w:t>2 GH</w:t>
      </w:r>
      <w:r w:rsidR="00DA59B9">
        <w:t>z</w:t>
      </w:r>
      <w:r w:rsidR="00EB6B2C">
        <w:t xml:space="preserve"> MSS band plan to support CGC </w:t>
      </w:r>
      <w:r w:rsidR="00004422">
        <w:t xml:space="preserve">will be considered </w:t>
      </w:r>
      <w:r w:rsidR="00004422" w:rsidRPr="00004422">
        <w:t xml:space="preserve">in a later </w:t>
      </w:r>
      <w:r w:rsidR="00004422">
        <w:t xml:space="preserve">consultation if required.  </w:t>
      </w:r>
    </w:p>
  </w:footnote>
  <w:footnote w:id="4">
    <w:p w14:paraId="7EF95D27" w14:textId="6398F9CD" w:rsidR="00F04F82" w:rsidRDefault="00F04F82" w:rsidP="00F04F82">
      <w:pPr>
        <w:pStyle w:val="FootnoteText"/>
      </w:pPr>
      <w:r>
        <w:rPr>
          <w:rStyle w:val="FootnoteReference"/>
        </w:rPr>
        <w:footnoteRef/>
      </w:r>
      <w:r>
        <w:t xml:space="preserve"> </w:t>
      </w:r>
      <w:r w:rsidR="004403F1" w:rsidRPr="00DE72DA">
        <w:rPr>
          <w:lang w:val="en-US"/>
        </w:rPr>
        <w:t xml:space="preserve">Apparatus licences have been issued to </w:t>
      </w:r>
      <w:r w:rsidR="004403F1">
        <w:rPr>
          <w:lang w:val="en-US"/>
        </w:rPr>
        <w:t>5</w:t>
      </w:r>
      <w:r w:rsidR="004403F1" w:rsidRPr="00DE72DA">
        <w:rPr>
          <w:lang w:val="en-US"/>
        </w:rPr>
        <w:t xml:space="preserve"> satellite operators (</w:t>
      </w:r>
      <w:hyperlink r:id="rId5" w:history="1">
        <w:r w:rsidR="004403F1" w:rsidRPr="00DE72DA">
          <w:rPr>
            <w:rStyle w:val="Hyperlink"/>
            <w:lang w:val="en-US"/>
          </w:rPr>
          <w:t>Kepler Communications Inc</w:t>
        </w:r>
      </w:hyperlink>
      <w:r w:rsidR="004403F1" w:rsidRPr="00DE72DA">
        <w:rPr>
          <w:lang w:val="en-US"/>
        </w:rPr>
        <w:t xml:space="preserve">., </w:t>
      </w:r>
      <w:hyperlink r:id="rId6" w:history="1">
        <w:r w:rsidR="004403F1" w:rsidRPr="00DE72DA">
          <w:rPr>
            <w:rStyle w:val="Hyperlink"/>
            <w:lang w:val="en-US"/>
          </w:rPr>
          <w:t>OQ Technology S.a.r.l.</w:t>
        </w:r>
      </w:hyperlink>
      <w:r w:rsidR="004403F1" w:rsidRPr="00DE72DA">
        <w:rPr>
          <w:lang w:val="en-US"/>
        </w:rPr>
        <w:t xml:space="preserve">, </w:t>
      </w:r>
      <w:hyperlink r:id="rId7" w:history="1">
        <w:r w:rsidR="004403F1" w:rsidRPr="00DE72DA">
          <w:rPr>
            <w:rStyle w:val="Hyperlink"/>
            <w:lang w:val="en-US"/>
          </w:rPr>
          <w:t>OmniSpace Australia Pty Ltd</w:t>
        </w:r>
      </w:hyperlink>
      <w:r w:rsidR="004403F1">
        <w:rPr>
          <w:lang w:val="en-US"/>
        </w:rPr>
        <w:t>,</w:t>
      </w:r>
      <w:r w:rsidR="004403F1" w:rsidRPr="00DE72DA">
        <w:rPr>
          <w:lang w:val="en-US"/>
        </w:rPr>
        <w:t xml:space="preserve"> </w:t>
      </w:r>
      <w:hyperlink r:id="rId8" w:history="1">
        <w:r w:rsidR="004403F1" w:rsidRPr="00DE72DA">
          <w:rPr>
            <w:rStyle w:val="Hyperlink"/>
            <w:lang w:val="en-US"/>
          </w:rPr>
          <w:t>Satelio IoT Services, S.L</w:t>
        </w:r>
      </w:hyperlink>
      <w:r w:rsidR="004403F1">
        <w:t xml:space="preserve"> and </w:t>
      </w:r>
      <w:hyperlink r:id="rId9" w:history="1">
        <w:r w:rsidR="004403F1">
          <w:rPr>
            <w:rStyle w:val="Hyperlink"/>
          </w:rPr>
          <w:t>Fleet Space Technologies Pty Ltd</w:t>
        </w:r>
      </w:hyperlink>
      <w:r>
        <w:t>.</w:t>
      </w:r>
    </w:p>
  </w:footnote>
  <w:footnote w:id="5">
    <w:p w14:paraId="35EB936F" w14:textId="77777777" w:rsidR="00DD26F3" w:rsidRDefault="00DD26F3" w:rsidP="00DD26F3">
      <w:pPr>
        <w:pStyle w:val="FootnoteText"/>
      </w:pPr>
      <w:r>
        <w:rPr>
          <w:rStyle w:val="FootnoteReference"/>
        </w:rPr>
        <w:footnoteRef/>
      </w:r>
      <w:r>
        <w:t xml:space="preserve"> See our </w:t>
      </w:r>
      <w:hyperlink r:id="rId10" w:history="1">
        <w:r w:rsidRPr="002106D7">
          <w:rPr>
            <w:rStyle w:val="Hyperlink"/>
          </w:rPr>
          <w:t>consultation page</w:t>
        </w:r>
      </w:hyperlink>
      <w:r>
        <w:t>.</w:t>
      </w:r>
    </w:p>
  </w:footnote>
  <w:footnote w:id="6">
    <w:p w14:paraId="4D571F39" w14:textId="77777777" w:rsidR="00100AE1" w:rsidRPr="005B2193" w:rsidRDefault="00100AE1">
      <w:pPr>
        <w:pStyle w:val="FootnoteText"/>
        <w:rPr>
          <w:b/>
          <w:bCs/>
        </w:rPr>
      </w:pPr>
      <w:r>
        <w:rPr>
          <w:rStyle w:val="FootnoteReference"/>
        </w:rPr>
        <w:footnoteRef/>
      </w:r>
      <w:r>
        <w:t xml:space="preserve"> </w:t>
      </w:r>
      <w:r w:rsidR="009D6A91">
        <w:t xml:space="preserve">Versions of the FYSO can be accessed </w:t>
      </w:r>
      <w:hyperlink r:id="rId11" w:history="1">
        <w:r w:rsidR="009D6A91" w:rsidRPr="001C2DD4">
          <w:rPr>
            <w:rStyle w:val="Hyperlink"/>
          </w:rPr>
          <w:t>here</w:t>
        </w:r>
      </w:hyperlink>
      <w:r w:rsidR="009D6A91">
        <w:t>.</w:t>
      </w:r>
    </w:p>
  </w:footnote>
  <w:footnote w:id="7">
    <w:p w14:paraId="482ADE53" w14:textId="0FFF03B3" w:rsidR="00967F3F" w:rsidRDefault="00967F3F">
      <w:pPr>
        <w:pStyle w:val="FootnoteText"/>
      </w:pPr>
      <w:r w:rsidRPr="00542067">
        <w:rPr>
          <w:rStyle w:val="FootnoteReference"/>
        </w:rPr>
        <w:footnoteRef/>
      </w:r>
      <w:r w:rsidRPr="00542067">
        <w:t xml:space="preserve"> The </w:t>
      </w:r>
      <w:r w:rsidRPr="00542067">
        <w:rPr>
          <w:i/>
        </w:rPr>
        <w:t xml:space="preserve">Radiocommunications Act 1992 </w:t>
      </w:r>
      <w:r w:rsidRPr="00542067">
        <w:t xml:space="preserve">(Act) applies outside Australia in relation to all Australian space objects, and in relation to foreign space objects only in circumstances specified in a determination made by the ACMA. Both Australian space objects and the circumstances in which the Act applies to foreign space objects are determined by reference to the person who owns, controls or operates the space object that operates in a frequency range listed in the </w:t>
      </w:r>
      <w:hyperlink r:id="rId12" w:history="1">
        <w:r w:rsidRPr="00542067">
          <w:rPr>
            <w:rStyle w:val="Hyperlink"/>
          </w:rPr>
          <w:t>Radiocommunications (Communication with Space Object) Class Licence 2025</w:t>
        </w:r>
      </w:hyperlink>
      <w:r w:rsidRPr="00542067">
        <w:t>.</w:t>
      </w:r>
    </w:p>
  </w:footnote>
  <w:footnote w:id="8">
    <w:p w14:paraId="0CDF2678" w14:textId="17F2071A" w:rsidR="008B5ECD" w:rsidRDefault="008B5ECD" w:rsidP="008B5ECD">
      <w:pPr>
        <w:pStyle w:val="FootnoteText"/>
      </w:pPr>
      <w:r>
        <w:rPr>
          <w:rStyle w:val="FootnoteReference"/>
        </w:rPr>
        <w:footnoteRef/>
      </w:r>
      <w:r>
        <w:t xml:space="preserve"> See our </w:t>
      </w:r>
      <w:hyperlink r:id="rId13" w:history="1">
        <w:r w:rsidRPr="003B6DCE">
          <w:rPr>
            <w:rStyle w:val="Hyperlink"/>
          </w:rPr>
          <w:t>business operating procedures for submission and processing of applications for space and space receive apparatus licences</w:t>
        </w:r>
      </w:hyperlink>
    </w:p>
  </w:footnote>
  <w:footnote w:id="9">
    <w:p w14:paraId="67D38BC1" w14:textId="6A363B6F" w:rsidR="008B5ECD" w:rsidRDefault="008B5ECD" w:rsidP="008B5ECD">
      <w:pPr>
        <w:pStyle w:val="FootnoteText"/>
      </w:pPr>
      <w:r>
        <w:rPr>
          <w:rStyle w:val="FootnoteReference"/>
        </w:rPr>
        <w:footnoteRef/>
      </w:r>
      <w:r w:rsidR="005B6D39">
        <w:t xml:space="preserve"> </w:t>
      </w:r>
      <w:r>
        <w:t>Generally speaking</w:t>
      </w:r>
      <w:r w:rsidR="005B6D39">
        <w:t>,</w:t>
      </w:r>
      <w:r>
        <w:t xml:space="preserve"> a satellite system has to be brought into use within 7 years of the filing being accepted by the ITU or the filing is cancelled. Under </w:t>
      </w:r>
      <w:hyperlink r:id="rId14" w:history="1">
        <w:r w:rsidR="00BF7D48">
          <w:rPr>
            <w:rStyle w:val="Hyperlink"/>
          </w:rPr>
          <w:t>ITU Radio Regulations sections</w:t>
        </w:r>
      </w:hyperlink>
      <w:r>
        <w:t xml:space="preserve"> 11.44B and 11.44C for an MSS satellite system (both</w:t>
      </w:r>
      <w:r w:rsidR="00296BEA" w:rsidRPr="00296BEA">
        <w:t xml:space="preserve"> geostationary orbit (GSO) and non-geostationary orbit (NGSO</w:t>
      </w:r>
      <w:r w:rsidR="00851BDA">
        <w:t>)</w:t>
      </w:r>
      <w:r>
        <w:t>) a</w:t>
      </w:r>
      <w:r w:rsidRPr="00ED7AB9">
        <w:t xml:space="preserve"> frequency assignment to a space station shall</w:t>
      </w:r>
      <w:r>
        <w:t xml:space="preserve"> </w:t>
      </w:r>
      <w:r w:rsidRPr="00ED7AB9">
        <w:t>be considered as having been brought into use when a space station with the capability of transmitting or receiving that frequency assignment has been deployed and</w:t>
      </w:r>
      <w:r>
        <w:t xml:space="preserve"> </w:t>
      </w:r>
      <w:r w:rsidRPr="00ED7AB9">
        <w:t>maintained at the notified orbital position for a continuous period of 90 day</w:t>
      </w:r>
      <w:r>
        <w:t>s. ITU satellite filings include specification of the service area of the satellite systems</w:t>
      </w:r>
      <w:r w:rsidR="005B6D39">
        <w:t>.</w:t>
      </w:r>
      <w:r>
        <w:t xml:space="preserve"> (See ITU RR Appendix 4 </w:t>
      </w:r>
      <w:r w:rsidRPr="00E04377">
        <w:t>(REV.WRC-23)</w:t>
      </w:r>
      <w:r>
        <w:t xml:space="preserve"> </w:t>
      </w:r>
      <w:r w:rsidRPr="0095303F">
        <w:t>Consolidated list and tables of characteristics for use in the application of the procedures of Chapter III</w:t>
      </w:r>
      <w:r w:rsidRPr="00E47684">
        <w:t>).</w:t>
      </w:r>
    </w:p>
  </w:footnote>
  <w:footnote w:id="10">
    <w:p w14:paraId="35014060" w14:textId="77777777" w:rsidR="00BA1BBE" w:rsidRDefault="00BA1BBE" w:rsidP="00BA1BBE">
      <w:pPr>
        <w:pStyle w:val="FootnoteText"/>
      </w:pPr>
      <w:r>
        <w:rPr>
          <w:rStyle w:val="FootnoteReference"/>
          <w:rFonts w:cstheme="minorBidi"/>
        </w:rPr>
        <w:footnoteRef/>
      </w:r>
      <w:r>
        <w:t xml:space="preserve"> See ITU-R </w:t>
      </w:r>
      <w:hyperlink r:id="rId15" w:history="1">
        <w:r>
          <w:rPr>
            <w:rStyle w:val="Hyperlink"/>
          </w:rPr>
          <w:t>Circular letter 4/LCCE/134</w:t>
        </w:r>
      </w:hyperlink>
      <w:r>
        <w:rPr>
          <w:rFonts w:cs="Arial"/>
          <w:color w:val="444444"/>
          <w:sz w:val="18"/>
          <w:szCs w:val="18"/>
          <w:shd w:val="clear" w:color="auto" w:fill="FFFFFF"/>
        </w:rPr>
        <w:t xml:space="preserve"> and ITU </w:t>
      </w:r>
      <w:hyperlink r:id="rId16" w:history="1">
        <w:r>
          <w:rPr>
            <w:rStyle w:val="Hyperlink"/>
            <w:lang w:val="en-GB"/>
          </w:rPr>
          <w:t xml:space="preserve">web page for </w:t>
        </w:r>
        <w:r>
          <w:rPr>
            <w:rStyle w:val="Hyperlink"/>
            <w:iCs/>
            <w:lang w:val="en-GB"/>
          </w:rPr>
          <w:t>satellite</w:t>
        </w:r>
        <w:r>
          <w:rPr>
            <w:rStyle w:val="Hyperlink"/>
            <w:lang w:val="en-GB"/>
          </w:rPr>
          <w:t xml:space="preserve"> IMT-2020 submission and evaluation process</w:t>
        </w:r>
      </w:hyperlink>
      <w:r>
        <w:rPr>
          <w:lang w:val="en-GB"/>
        </w:rPr>
        <w:t>.</w:t>
      </w:r>
    </w:p>
  </w:footnote>
  <w:footnote w:id="11">
    <w:p w14:paraId="0C0F7EAA" w14:textId="21773A19" w:rsidR="00BA1BBE" w:rsidRDefault="00BA1BBE" w:rsidP="00BA1BBE">
      <w:pPr>
        <w:pStyle w:val="FootnoteText"/>
      </w:pPr>
      <w:r>
        <w:rPr>
          <w:rStyle w:val="FootnoteReference"/>
          <w:rFonts w:cstheme="minorBidi"/>
        </w:rPr>
        <w:footnoteRef/>
      </w:r>
      <w:r>
        <w:t xml:space="preserve"> 3GPP band n265: 1980–2010 MHz user equipment/mobile earth station transmit, 2170–2200 MHz mobile earth station </w:t>
      </w:r>
      <w:r>
        <w:t>receive; 3GPP bands 65 and n65 (4 and 5G respectively)</w:t>
      </w:r>
      <w:r w:rsidR="005B6D39">
        <w:t xml:space="preserve">; </w:t>
      </w:r>
      <w:r>
        <w:t>1920–2010 MHz (base station receive/user equipment transmit)</w:t>
      </w:r>
      <w:r w:rsidR="005B6D39">
        <w:t>,</w:t>
      </w:r>
      <w:r>
        <w:t xml:space="preserve"> and 2100–2200 MHz (base transmit/user equipment receive).</w:t>
      </w:r>
    </w:p>
  </w:footnote>
  <w:footnote w:id="12">
    <w:p w14:paraId="5E075326" w14:textId="2F87506C" w:rsidR="0002459B" w:rsidRDefault="0002459B">
      <w:pPr>
        <w:pStyle w:val="FootnoteText"/>
      </w:pPr>
      <w:r>
        <w:rPr>
          <w:rStyle w:val="FootnoteReference"/>
        </w:rPr>
        <w:footnoteRef/>
      </w:r>
      <w:r>
        <w:t xml:space="preserve"> Specified in the </w:t>
      </w:r>
      <w:hyperlink r:id="rId17" w:history="1">
        <w:r w:rsidR="00404642" w:rsidRPr="0061664F">
          <w:rPr>
            <w:rStyle w:val="Hyperlink"/>
          </w:rPr>
          <w:t>Radiocommunications (Communication with Space Object) Class Licence 2025</w:t>
        </w:r>
      </w:hyperlink>
      <w:r w:rsidR="00D0240D">
        <w:t>.</w:t>
      </w:r>
    </w:p>
  </w:footnote>
  <w:footnote w:id="13">
    <w:p w14:paraId="735B72FD" w14:textId="77777777" w:rsidR="001D574E" w:rsidRDefault="001D574E" w:rsidP="001D574E">
      <w:pPr>
        <w:pStyle w:val="FootnoteText"/>
      </w:pPr>
      <w:r>
        <w:rPr>
          <w:rStyle w:val="FootnoteReference"/>
        </w:rPr>
        <w:footnoteRef/>
      </w:r>
      <w:r>
        <w:t xml:space="preserve"> See </w:t>
      </w:r>
      <w:hyperlink r:id="rId18" w:history="1">
        <w:r w:rsidRPr="003A5A39">
          <w:rPr>
            <w:rStyle w:val="Hyperlink"/>
          </w:rPr>
          <w:t>2 GHz band review</w:t>
        </w:r>
      </w:hyperlink>
      <w:r>
        <w:t>.</w:t>
      </w:r>
    </w:p>
  </w:footnote>
  <w:footnote w:id="14">
    <w:p w14:paraId="34025EDC" w14:textId="3FFE6717" w:rsidR="006B5DE2" w:rsidRDefault="006B5DE2" w:rsidP="006B5DE2">
      <w:pPr>
        <w:pStyle w:val="FootnoteText"/>
      </w:pPr>
      <w:r>
        <w:rPr>
          <w:rStyle w:val="FootnoteReference"/>
        </w:rPr>
        <w:footnoteRef/>
      </w:r>
      <w:r>
        <w:t xml:space="preserve"> </w:t>
      </w:r>
      <w:r w:rsidR="00F9135A">
        <w:t>CGC</w:t>
      </w:r>
      <w:r w:rsidRPr="003B2A41">
        <w:t xml:space="preserve"> </w:t>
      </w:r>
      <w:r>
        <w:t xml:space="preserve">refers to </w:t>
      </w:r>
      <w:r w:rsidRPr="003B2A41">
        <w:t xml:space="preserve">a terrestrial wireless broadband network </w:t>
      </w:r>
      <w:r>
        <w:t xml:space="preserve">that is deployed to </w:t>
      </w:r>
      <w:r w:rsidRPr="003B2A41">
        <w:t xml:space="preserve">supplement mobile-satellite coverage. </w:t>
      </w:r>
      <w:r>
        <w:t xml:space="preserve">It is also sometimes referred to as </w:t>
      </w:r>
      <w:r w:rsidRPr="00C246CE">
        <w:t>ancillary terrestrial component</w:t>
      </w:r>
      <w:r>
        <w:t xml:space="preserve">. DA2GC is considered a subset of CGC; it is used to provide communications </w:t>
      </w:r>
      <w:r w:rsidRPr="00690870">
        <w:t>between ground stations and aircraft</w:t>
      </w:r>
      <w:r>
        <w:t xml:space="preserve">, often for onboard communications services. </w:t>
      </w:r>
    </w:p>
  </w:footnote>
  <w:footnote w:id="15">
    <w:p w14:paraId="6E4A6929" w14:textId="22E1E467" w:rsidR="00691645" w:rsidRDefault="00691645">
      <w:pPr>
        <w:pStyle w:val="FootnoteText"/>
      </w:pPr>
      <w:r>
        <w:rPr>
          <w:rStyle w:val="FootnoteReference"/>
        </w:rPr>
        <w:footnoteRef/>
      </w:r>
      <w:r>
        <w:t xml:space="preserve"> </w:t>
      </w:r>
      <w:r w:rsidR="00891E03">
        <w:t>This</w:t>
      </w:r>
      <w:r>
        <w:t xml:space="preserve"> </w:t>
      </w:r>
      <w:r w:rsidR="000A1447">
        <w:t xml:space="preserve">is </w:t>
      </w:r>
      <w:r>
        <w:t xml:space="preserve">consistent with the Spectrum Plan and </w:t>
      </w:r>
      <w:r w:rsidR="00D169FA" w:rsidRPr="00D169FA">
        <w:t xml:space="preserve">the MSS </w:t>
      </w:r>
      <w:r w:rsidR="00641DD1">
        <w:t>B</w:t>
      </w:r>
      <w:r w:rsidR="00D169FA" w:rsidRPr="00D169FA">
        <w:t xml:space="preserve">and </w:t>
      </w:r>
      <w:r w:rsidR="00641DD1">
        <w:t>P</w:t>
      </w:r>
      <w:r w:rsidR="00D169FA" w:rsidRPr="00D169FA">
        <w:t>lan</w:t>
      </w:r>
      <w:r w:rsidR="00102F0C">
        <w:t>.</w:t>
      </w:r>
    </w:p>
  </w:footnote>
  <w:footnote w:id="16">
    <w:p w14:paraId="64BA55D3" w14:textId="7CBDF27A" w:rsidR="000D11EC" w:rsidRDefault="001537CA" w:rsidP="000D11EC">
      <w:pPr>
        <w:pStyle w:val="FootnoteText"/>
      </w:pPr>
      <w:r>
        <w:rPr>
          <w:rStyle w:val="FootnoteReference"/>
        </w:rPr>
        <w:footnoteRef/>
      </w:r>
      <w:r>
        <w:t xml:space="preserve"> </w:t>
      </w:r>
      <w:r w:rsidR="000D11EC" w:rsidRPr="00DE72DA">
        <w:rPr>
          <w:lang w:val="en-US"/>
        </w:rPr>
        <w:t xml:space="preserve">Apparatus licences have been issued to </w:t>
      </w:r>
      <w:r w:rsidR="000D11EC">
        <w:rPr>
          <w:lang w:val="en-US"/>
        </w:rPr>
        <w:t>5</w:t>
      </w:r>
      <w:r w:rsidR="000D11EC" w:rsidRPr="00DE72DA">
        <w:rPr>
          <w:lang w:val="en-US"/>
        </w:rPr>
        <w:t xml:space="preserve"> satellite operators (</w:t>
      </w:r>
      <w:hyperlink r:id="rId19" w:history="1">
        <w:r w:rsidR="000D11EC" w:rsidRPr="00DE72DA">
          <w:rPr>
            <w:rStyle w:val="Hyperlink"/>
            <w:lang w:val="en-US"/>
          </w:rPr>
          <w:t>Kepler Communications Inc</w:t>
        </w:r>
      </w:hyperlink>
      <w:r w:rsidR="000D11EC" w:rsidRPr="00DE72DA">
        <w:rPr>
          <w:lang w:val="en-US"/>
        </w:rPr>
        <w:t xml:space="preserve">., </w:t>
      </w:r>
      <w:hyperlink r:id="rId20" w:history="1">
        <w:r w:rsidR="000D11EC" w:rsidRPr="00DE72DA">
          <w:rPr>
            <w:rStyle w:val="Hyperlink"/>
            <w:lang w:val="en-US"/>
          </w:rPr>
          <w:t>OQ Technology S.a.r.l.</w:t>
        </w:r>
      </w:hyperlink>
      <w:r w:rsidR="000D11EC" w:rsidRPr="00DE72DA">
        <w:rPr>
          <w:lang w:val="en-US"/>
        </w:rPr>
        <w:t xml:space="preserve">, </w:t>
      </w:r>
      <w:hyperlink r:id="rId21" w:history="1">
        <w:r w:rsidR="000D11EC" w:rsidRPr="00DE72DA">
          <w:rPr>
            <w:rStyle w:val="Hyperlink"/>
            <w:lang w:val="en-US"/>
          </w:rPr>
          <w:t>OmniSpace Australia Pty Ltd</w:t>
        </w:r>
      </w:hyperlink>
      <w:r w:rsidR="000D11EC">
        <w:rPr>
          <w:lang w:val="en-US"/>
        </w:rPr>
        <w:t>,</w:t>
      </w:r>
      <w:r w:rsidR="000D11EC" w:rsidRPr="00DE72DA">
        <w:rPr>
          <w:lang w:val="en-US"/>
        </w:rPr>
        <w:t xml:space="preserve"> </w:t>
      </w:r>
      <w:hyperlink r:id="rId22" w:history="1">
        <w:r w:rsidR="000D11EC" w:rsidRPr="00DE72DA">
          <w:rPr>
            <w:rStyle w:val="Hyperlink"/>
            <w:lang w:val="en-US"/>
          </w:rPr>
          <w:t>Satelio IoT Services, S.L</w:t>
        </w:r>
      </w:hyperlink>
      <w:r w:rsidR="000D11EC">
        <w:t xml:space="preserve"> and </w:t>
      </w:r>
      <w:hyperlink r:id="rId23" w:history="1">
        <w:r w:rsidR="000D11EC">
          <w:rPr>
            <w:rStyle w:val="Hyperlink"/>
          </w:rPr>
          <w:t>Fleet Space Technologies Pty Ltd</w:t>
        </w:r>
      </w:hyperlink>
      <w:r w:rsidR="000D11EC">
        <w:t>.</w:t>
      </w:r>
    </w:p>
    <w:p w14:paraId="5D71512C" w14:textId="08910C20" w:rsidR="001537CA" w:rsidRDefault="001537CA" w:rsidP="001537CA">
      <w:pPr>
        <w:pStyle w:val="FootnoteText"/>
      </w:pPr>
      <w:r>
        <w:t>.</w:t>
      </w:r>
    </w:p>
  </w:footnote>
  <w:footnote w:id="17">
    <w:p w14:paraId="3E986390" w14:textId="7C616078" w:rsidR="00BF42B5" w:rsidRDefault="00BF42B5">
      <w:pPr>
        <w:pStyle w:val="FootnoteText"/>
      </w:pPr>
      <w:r>
        <w:rPr>
          <w:rStyle w:val="FootnoteReference"/>
        </w:rPr>
        <w:footnoteRef/>
      </w:r>
      <w:r>
        <w:t xml:space="preserve"> </w:t>
      </w:r>
      <w:r w:rsidR="000C3D8E" w:rsidRPr="000C3D8E">
        <w:t xml:space="preserve">A satellite direct-to-mobile service provides direct connectivity between a mobile phone and a satellite network. </w:t>
      </w:r>
      <w:r w:rsidR="00422FC6">
        <w:t>The ACMA’s</w:t>
      </w:r>
      <w:r w:rsidR="00AE3311" w:rsidRPr="00AE3311">
        <w:t xml:space="preserve"> </w:t>
      </w:r>
      <w:hyperlink r:id="rId24" w:history="1">
        <w:r w:rsidR="00AE3311" w:rsidRPr="00D06AC5">
          <w:rPr>
            <w:rStyle w:val="Hyperlink"/>
          </w:rPr>
          <w:t>Regulatory guide: Operation of an IMT satellite direct-to-mobile service</w:t>
        </w:r>
      </w:hyperlink>
      <w:r w:rsidR="00422FC6">
        <w:t xml:space="preserve"> </w:t>
      </w:r>
      <w:r w:rsidR="000C3D8E" w:rsidRPr="000C3D8E">
        <w:t>outlines regulatory guidance for operators of IMT satellite direct-to-mobile services.</w:t>
      </w:r>
    </w:p>
  </w:footnote>
  <w:footnote w:id="18">
    <w:p w14:paraId="4B3CD07F" w14:textId="76609AB6" w:rsidR="002C2EE3" w:rsidDel="007F7472" w:rsidRDefault="0018404B">
      <w:pPr>
        <w:pStyle w:val="FootnoteText"/>
      </w:pPr>
      <w:r>
        <w:rPr>
          <w:rStyle w:val="FootnoteReference"/>
        </w:rPr>
        <w:footnoteRef/>
      </w:r>
      <w:r>
        <w:t xml:space="preserve"> </w:t>
      </w:r>
      <w:r w:rsidRPr="0018404B">
        <w:t>The envisage technical framework is intended to support mobile earth stations. Gateway earth station supporting feeder links are not being considered.</w:t>
      </w:r>
    </w:p>
  </w:footnote>
  <w:footnote w:id="19">
    <w:p w14:paraId="1BAC009E" w14:textId="6171C745" w:rsidR="000D4A9A" w:rsidRDefault="000D4A9A" w:rsidP="000D4A9A">
      <w:pPr>
        <w:pStyle w:val="FootnoteText"/>
      </w:pPr>
      <w:r>
        <w:rPr>
          <w:rStyle w:val="FootnoteReference"/>
        </w:rPr>
        <w:footnoteRef/>
      </w:r>
      <w:r>
        <w:t xml:space="preserve"> Page 3, </w:t>
      </w:r>
      <w:r w:rsidR="00CD5694">
        <w:t xml:space="preserve">January 2021 </w:t>
      </w:r>
      <w:r>
        <w:t>Outcomes paper</w:t>
      </w:r>
    </w:p>
  </w:footnote>
  <w:footnote w:id="20">
    <w:p w14:paraId="58E84D5C" w14:textId="77777777" w:rsidR="00C223EE" w:rsidRDefault="00C223EE" w:rsidP="00C223EE">
      <w:pPr>
        <w:pStyle w:val="FootnoteText"/>
      </w:pPr>
      <w:r>
        <w:rPr>
          <w:rStyle w:val="FootnoteReference"/>
        </w:rPr>
        <w:footnoteRef/>
      </w:r>
      <w:r>
        <w:t xml:space="preserve"> The amount of spectrum any person may be allocated may be impacted by allocation limits, if any. Allocation limits will be considered in the next stages of the process, following advice from the ACCC in accordance with the Act.</w:t>
      </w:r>
    </w:p>
  </w:footnote>
  <w:footnote w:id="21">
    <w:p w14:paraId="62ECA540" w14:textId="0E733BDC" w:rsidR="00C223EE" w:rsidRDefault="00C223EE" w:rsidP="00C223EE">
      <w:pPr>
        <w:pStyle w:val="FootnoteText"/>
      </w:pPr>
      <w:r>
        <w:rPr>
          <w:rStyle w:val="FootnoteReference"/>
        </w:rPr>
        <w:footnoteRef/>
      </w:r>
      <w:r>
        <w:t xml:space="preserve"> </w:t>
      </w:r>
      <w:r w:rsidR="00A6273A">
        <w:t xml:space="preserve">Ibid. </w:t>
      </w:r>
    </w:p>
  </w:footnote>
  <w:footnote w:id="22">
    <w:p w14:paraId="7913E5A1" w14:textId="19EF9ECD" w:rsidR="00B23A5A" w:rsidRDefault="00B23A5A">
      <w:pPr>
        <w:pStyle w:val="FootnoteText"/>
      </w:pPr>
      <w:r>
        <w:rPr>
          <w:rStyle w:val="FootnoteReference"/>
        </w:rPr>
        <w:footnoteRef/>
      </w:r>
      <w:r>
        <w:t xml:space="preserve"> </w:t>
      </w:r>
      <w:r w:rsidRPr="00B23A5A">
        <w:t xml:space="preserve">For each allocation, as part of the applicant information package, an auction guide is published which </w:t>
      </w:r>
      <w:r w:rsidR="00AE06CA">
        <w:t>provides</w:t>
      </w:r>
      <w:r w:rsidR="00AE06CA" w:rsidRPr="00B23A5A">
        <w:t xml:space="preserve"> </w:t>
      </w:r>
      <w:r w:rsidRPr="00B23A5A">
        <w:t xml:space="preserve">further information about the auction format that </w:t>
      </w:r>
      <w:r w:rsidR="00AE06CA">
        <w:t>is</w:t>
      </w:r>
      <w:r w:rsidRPr="00B23A5A">
        <w:t xml:space="preserve"> used.</w:t>
      </w:r>
    </w:p>
  </w:footnote>
  <w:footnote w:id="23">
    <w:p w14:paraId="7B8587AC" w14:textId="778F6F31" w:rsidR="008F7C8F" w:rsidRDefault="008F7C8F" w:rsidP="008F7C8F">
      <w:pPr>
        <w:pStyle w:val="FootnoteText"/>
      </w:pPr>
      <w:r>
        <w:rPr>
          <w:rStyle w:val="FootnoteReference"/>
        </w:rPr>
        <w:footnoteRef/>
      </w:r>
      <w:r>
        <w:t xml:space="preserve"> This was referred to as the ‘English Open Outcry’ or ‘EOO’ format for the secondary stage </w:t>
      </w:r>
      <w:r w:rsidR="002F0A42">
        <w:t>rounds</w:t>
      </w:r>
      <w:r w:rsidR="00DF21D7">
        <w:t xml:space="preserve"> </w:t>
      </w:r>
      <w:r>
        <w:t>of each auction in the 3.4/3.7 GHz bands allocation process (2023), although it was referred to as the SCA format in previous auctions (e.g.</w:t>
      </w:r>
      <w:r w:rsidR="00D063FF">
        <w:t>,</w:t>
      </w:r>
      <w:r>
        <w:t xml:space="preserve"> the </w:t>
      </w:r>
      <w:r w:rsidR="00D063FF">
        <w:br/>
      </w:r>
      <w:r>
        <w:t xml:space="preserve">700 MHz residual </w:t>
      </w:r>
      <w:r>
        <w:t>lots auction in 2017).</w:t>
      </w:r>
    </w:p>
  </w:footnote>
  <w:footnote w:id="24">
    <w:p w14:paraId="4CB2C865" w14:textId="77777777" w:rsidR="008F7C8F" w:rsidRDefault="008F7C8F" w:rsidP="008F7C8F">
      <w:pPr>
        <w:pStyle w:val="FootnoteText"/>
      </w:pPr>
      <w:r>
        <w:rPr>
          <w:rStyle w:val="FootnoteReference"/>
        </w:rPr>
        <w:footnoteRef/>
      </w:r>
      <w:r>
        <w:t xml:space="preserve"> This has previously been known as the ‘Enhanced Simultaneous Multi-Round Ascending’ or ‘ESMRA’ auction format – for the 3.6 GHz band (2018), 26 GHz band (2021) and 850/900 MHz band (2021) auctions, and as a </w:t>
      </w:r>
      <w:r w:rsidRPr="000F6E80">
        <w:t xml:space="preserve">2-stage generic </w:t>
      </w:r>
      <w:r w:rsidRPr="000F6E80">
        <w:t>lots clock auction format</w:t>
      </w:r>
      <w:r w:rsidRPr="00032299">
        <w:t xml:space="preserve"> </w:t>
      </w:r>
      <w:r>
        <w:t>for the 3.4/3.7 GHz bands allocation process (2023).</w:t>
      </w:r>
    </w:p>
  </w:footnote>
  <w:footnote w:id="25">
    <w:p w14:paraId="0E9C8A2E" w14:textId="0C16877A" w:rsidR="00F8454B" w:rsidRDefault="00F8454B">
      <w:pPr>
        <w:pStyle w:val="FootnoteText"/>
      </w:pPr>
      <w:r>
        <w:rPr>
          <w:rStyle w:val="FootnoteReference"/>
        </w:rPr>
        <w:footnoteRef/>
      </w:r>
      <w:r>
        <w:t xml:space="preserve"> </w:t>
      </w:r>
      <w:r w:rsidR="00C82CB1">
        <w:t>T</w:t>
      </w:r>
      <w:r w:rsidR="000D7CE6">
        <w:t xml:space="preserve">he </w:t>
      </w:r>
      <w:r w:rsidR="00E33B51">
        <w:t xml:space="preserve">ACMA used </w:t>
      </w:r>
      <w:r w:rsidR="00C82CB1">
        <w:t xml:space="preserve">this approach for the </w:t>
      </w:r>
      <w:r w:rsidR="00C9384D">
        <w:t>3.6 GHz band (2018), 26 GHz band (2021)</w:t>
      </w:r>
      <w:r w:rsidR="001D1423">
        <w:t>,</w:t>
      </w:r>
      <w:r w:rsidR="00C9384D">
        <w:t xml:space="preserve"> 850/900 MHz band (2021)</w:t>
      </w:r>
      <w:r w:rsidR="003747B5">
        <w:t>,</w:t>
      </w:r>
      <w:r w:rsidR="00C9384D">
        <w:t xml:space="preserve"> and </w:t>
      </w:r>
      <w:r w:rsidR="00D063FF">
        <w:br/>
      </w:r>
      <w:r w:rsidR="00C9384D">
        <w:t>3.4/3.7 GHz bands (2023)</w:t>
      </w:r>
      <w:r w:rsidR="0067695A">
        <w:t xml:space="preserve"> auctions</w:t>
      </w:r>
      <w:r w:rsidR="00C9384D">
        <w:t>.</w:t>
      </w:r>
      <w:r w:rsidR="00633D28" w:rsidRPr="00633D28">
        <w:t xml:space="preserve"> </w:t>
      </w:r>
    </w:p>
  </w:footnote>
  <w:footnote w:id="26">
    <w:p w14:paraId="0192200F" w14:textId="0BAE46C2" w:rsidR="00500055" w:rsidRDefault="00500055" w:rsidP="00500055">
      <w:pPr>
        <w:pStyle w:val="FootnoteText"/>
      </w:pPr>
      <w:r>
        <w:rPr>
          <w:rStyle w:val="FootnoteReference"/>
        </w:rPr>
        <w:footnoteRef/>
      </w:r>
      <w:r>
        <w:t xml:space="preserve"> </w:t>
      </w:r>
      <w:r w:rsidR="00C72ED4">
        <w:t xml:space="preserve">This option </w:t>
      </w:r>
      <w:r w:rsidR="004B1862">
        <w:t>involve</w:t>
      </w:r>
      <w:r w:rsidR="00AE068A">
        <w:t>s just</w:t>
      </w:r>
      <w:r w:rsidR="00A574D3">
        <w:t xml:space="preserve"> the primary stage rounds of </w:t>
      </w:r>
      <w:r w:rsidR="004B1862">
        <w:t>the</w:t>
      </w:r>
      <w:r w:rsidR="00D90660">
        <w:t xml:space="preserve"> 2SC</w:t>
      </w:r>
      <w:r w:rsidR="004B1862">
        <w:t xml:space="preserve"> format</w:t>
      </w:r>
      <w:r w:rsidR="00FD36CF">
        <w:t>,</w:t>
      </w:r>
      <w:r w:rsidR="00705702">
        <w:t xml:space="preserve"> </w:t>
      </w:r>
      <w:r w:rsidR="00705702">
        <w:rPr>
          <w:szCs w:val="22"/>
        </w:rPr>
        <w:t xml:space="preserve">as </w:t>
      </w:r>
      <w:r w:rsidR="008C6759">
        <w:rPr>
          <w:szCs w:val="22"/>
        </w:rPr>
        <w:t>there would be no</w:t>
      </w:r>
      <w:r w:rsidR="00705702" w:rsidRPr="00682531">
        <w:rPr>
          <w:szCs w:val="22"/>
        </w:rPr>
        <w:t xml:space="preserve"> MSR </w:t>
      </w:r>
      <w:r w:rsidR="008C6759">
        <w:rPr>
          <w:szCs w:val="22"/>
        </w:rPr>
        <w:t>feature</w:t>
      </w:r>
      <w:r w:rsidR="00FD36CF">
        <w:rPr>
          <w:szCs w:val="22"/>
        </w:rPr>
        <w:t xml:space="preserve"> and</w:t>
      </w:r>
      <w:r w:rsidR="00705702" w:rsidRPr="00682531">
        <w:rPr>
          <w:szCs w:val="22"/>
        </w:rPr>
        <w:t xml:space="preserve"> there</w:t>
      </w:r>
      <w:r w:rsidR="00705702">
        <w:rPr>
          <w:szCs w:val="22"/>
        </w:rPr>
        <w:t>fore</w:t>
      </w:r>
      <w:r w:rsidR="00705702" w:rsidRPr="00682531">
        <w:rPr>
          <w:szCs w:val="22"/>
        </w:rPr>
        <w:t xml:space="preserve"> no need for the secondary stage rounds</w:t>
      </w:r>
      <w:r w:rsidR="00705702">
        <w:rPr>
          <w:szCs w:val="22"/>
        </w:rPr>
        <w:t>.</w:t>
      </w:r>
      <w:r w:rsidR="00705702" w:rsidRPr="00682531">
        <w:rPr>
          <w:szCs w:val="22"/>
        </w:rPr>
        <w:t xml:space="preserve"> </w:t>
      </w:r>
      <w:r w:rsidR="00705702">
        <w:rPr>
          <w:szCs w:val="22"/>
        </w:rPr>
        <w:t>T</w:t>
      </w:r>
      <w:r w:rsidR="00705702" w:rsidRPr="00110779">
        <w:rPr>
          <w:szCs w:val="22"/>
        </w:rPr>
        <w:t xml:space="preserve">here would </w:t>
      </w:r>
      <w:r w:rsidR="00705702">
        <w:rPr>
          <w:szCs w:val="22"/>
        </w:rPr>
        <w:t xml:space="preserve">also </w:t>
      </w:r>
      <w:r w:rsidR="00705702" w:rsidRPr="00110779">
        <w:rPr>
          <w:szCs w:val="22"/>
        </w:rPr>
        <w:t xml:space="preserve">be no need to conduct the assignment stage </w:t>
      </w:r>
      <w:r w:rsidR="008C6759" w:rsidRPr="008C6759">
        <w:rPr>
          <w:szCs w:val="22"/>
        </w:rPr>
        <w:t xml:space="preserve">of the 2SC format </w:t>
      </w:r>
      <w:r w:rsidR="00705702" w:rsidRPr="00110779">
        <w:rPr>
          <w:szCs w:val="22"/>
        </w:rPr>
        <w:t>as the lots have a fixed frequenc</w:t>
      </w:r>
      <w:r w:rsidR="00705702">
        <w:rPr>
          <w:szCs w:val="22"/>
        </w:rPr>
        <w:t>y</w:t>
      </w:r>
      <w:r w:rsidR="00705702" w:rsidRPr="00110779">
        <w:rPr>
          <w:szCs w:val="22"/>
        </w:rPr>
        <w:t xml:space="preserve"> already assigned to them</w:t>
      </w:r>
      <w:r w:rsidR="008C6759">
        <w:rPr>
          <w:szCs w:val="22"/>
        </w:rPr>
        <w:t>.</w:t>
      </w:r>
    </w:p>
  </w:footnote>
  <w:footnote w:id="27">
    <w:p w14:paraId="26180A56" w14:textId="100208BF" w:rsidR="006409A0" w:rsidRDefault="006409A0">
      <w:pPr>
        <w:pStyle w:val="FootnoteText"/>
      </w:pPr>
      <w:r w:rsidRPr="00A8780C">
        <w:rPr>
          <w:rStyle w:val="FootnoteReference"/>
        </w:rPr>
        <w:footnoteRef/>
      </w:r>
      <w:r w:rsidRPr="00A8780C">
        <w:t xml:space="preserve"> </w:t>
      </w:r>
      <w:r w:rsidR="00FD4BF5" w:rsidRPr="00A8780C">
        <w:t xml:space="preserve">An overview of how this auction format </w:t>
      </w:r>
      <w:r w:rsidR="007C0860" w:rsidRPr="00A8780C">
        <w:t xml:space="preserve">could </w:t>
      </w:r>
      <w:r w:rsidR="00FD4BF5" w:rsidRPr="00A8780C">
        <w:t xml:space="preserve">progress is provided at </w:t>
      </w:r>
      <w:hyperlink w:anchor="_Appendix_A:_Overview" w:history="1">
        <w:r w:rsidR="00607AD5" w:rsidRPr="00D063FF">
          <w:rPr>
            <w:rStyle w:val="Hyperlink"/>
          </w:rPr>
          <w:t>Appendix A</w:t>
        </w:r>
      </w:hyperlink>
      <w:r w:rsidR="00FD4BF5" w:rsidRPr="00A8780C">
        <w:t>.</w:t>
      </w:r>
    </w:p>
  </w:footnote>
  <w:footnote w:id="28">
    <w:p w14:paraId="0ED6257B" w14:textId="014A332E" w:rsidR="00FC2D03" w:rsidRDefault="00FC2D03">
      <w:pPr>
        <w:pStyle w:val="FootnoteText"/>
      </w:pPr>
      <w:r>
        <w:rPr>
          <w:rStyle w:val="FootnoteReference"/>
        </w:rPr>
        <w:footnoteRef/>
      </w:r>
      <w:r>
        <w:t xml:space="preserve"> See </w:t>
      </w:r>
      <w:r w:rsidR="003D4CEC">
        <w:t xml:space="preserve">section 5.1 Space Object Determinations in </w:t>
      </w:r>
      <w:r w:rsidRPr="00876DA0">
        <w:t xml:space="preserve">the ACMA’s </w:t>
      </w:r>
      <w:hyperlink r:id="rId25" w:history="1">
        <w:r w:rsidRPr="00307945">
          <w:rPr>
            <w:rStyle w:val="Hyperlink"/>
          </w:rPr>
          <w:t>business operating procedures for submission and processing of applications for space and space receive apparatus licences</w:t>
        </w:r>
      </w:hyperlink>
      <w:r w:rsidR="009374AE">
        <w:t>.</w:t>
      </w:r>
    </w:p>
  </w:footnote>
  <w:footnote w:id="29">
    <w:p w14:paraId="7A70D714" w14:textId="0D9806F8" w:rsidR="00265493" w:rsidRDefault="00265493">
      <w:pPr>
        <w:pStyle w:val="FootnoteText"/>
      </w:pPr>
      <w:r>
        <w:rPr>
          <w:rStyle w:val="FootnoteReference"/>
        </w:rPr>
        <w:footnoteRef/>
      </w:r>
      <w:r>
        <w:t xml:space="preserve"> </w:t>
      </w:r>
      <w:r w:rsidR="00CC336C" w:rsidRPr="00CC336C">
        <w:t>By this</w:t>
      </w:r>
      <w:r w:rsidR="000A1447">
        <w:t>,</w:t>
      </w:r>
      <w:r w:rsidR="00CC336C" w:rsidRPr="00CC336C">
        <w:t xml:space="preserve"> that service area as designated </w:t>
      </w:r>
      <w:r w:rsidR="00CB4893" w:rsidRPr="00CB4893">
        <w:t xml:space="preserve">with reference to </w:t>
      </w:r>
      <w:hyperlink r:id="rId26" w:history="1">
        <w:r w:rsidR="00CB4893" w:rsidRPr="00F938C6">
          <w:rPr>
            <w:rStyle w:val="Hyperlink"/>
          </w:rPr>
          <w:t>Preface to the BR IFIC (Space services)</w:t>
        </w:r>
      </w:hyperlink>
      <w:r w:rsidR="00CB4893" w:rsidRPr="00CB4893">
        <w:t xml:space="preserve"> T</w:t>
      </w:r>
      <w:r w:rsidR="000A1447">
        <w:t>able</w:t>
      </w:r>
      <w:r w:rsidR="00CB4893" w:rsidRPr="00CB4893">
        <w:t xml:space="preserve"> 1B Codes designating Countries or Geographical Areas</w:t>
      </w:r>
      <w:r w:rsidR="00CC336C" w:rsidRPr="00CC336C">
        <w:t xml:space="preserve">. For example: </w:t>
      </w:r>
      <w:r w:rsidR="009374AE">
        <w:t>‘</w:t>
      </w:r>
      <w:r w:rsidR="00CC336C" w:rsidRPr="00CC336C">
        <w:t>AUS</w:t>
      </w:r>
      <w:r w:rsidR="009374AE">
        <w:t>’</w:t>
      </w:r>
      <w:r w:rsidR="00CC336C" w:rsidRPr="00CC336C">
        <w:t xml:space="preserve"> (Australia), </w:t>
      </w:r>
      <w:r w:rsidR="009374AE">
        <w:t>‘</w:t>
      </w:r>
      <w:r w:rsidR="00CC336C" w:rsidRPr="00CC336C">
        <w:t>XAA</w:t>
      </w:r>
      <w:r w:rsidR="009374AE">
        <w:t>’</w:t>
      </w:r>
      <w:r w:rsidR="00CC336C" w:rsidRPr="00CC336C">
        <w:t xml:space="preserve"> (Shared throughout the world) or </w:t>
      </w:r>
      <w:r w:rsidR="009374AE">
        <w:t>‘</w:t>
      </w:r>
      <w:r w:rsidR="00CC336C" w:rsidRPr="00CC336C">
        <w:t>XR3</w:t>
      </w:r>
      <w:r w:rsidR="009374AE">
        <w:t>’</w:t>
      </w:r>
      <w:r w:rsidR="00CC336C" w:rsidRPr="00CC336C">
        <w:t xml:space="preserve"> (ITU Region 3).</w:t>
      </w:r>
      <w:r w:rsidR="006B2A28">
        <w:t xml:space="preserve"> </w:t>
      </w:r>
      <w:r w:rsidR="00CC336C" w:rsidRPr="00CC336C">
        <w:t xml:space="preserve">If the service is not comprised of standard areas, it is expected that the service area diagram includes at least the Australian mainland and Tasmania (that is, includes at least the standard area </w:t>
      </w:r>
      <w:r w:rsidR="009374AE">
        <w:t>‘</w:t>
      </w:r>
      <w:r w:rsidR="00CC336C" w:rsidRPr="00CC336C">
        <w:t>AUS</w:t>
      </w:r>
      <w:r w:rsidR="009374AE">
        <w:t>’</w:t>
      </w:r>
      <w:r w:rsidR="00CC336C" w:rsidRPr="00CC336C">
        <w:t>).</w:t>
      </w:r>
    </w:p>
  </w:footnote>
  <w:footnote w:id="30">
    <w:p w14:paraId="0C951AA9" w14:textId="44A096E0" w:rsidR="00ED13B7" w:rsidRPr="00643D13" w:rsidRDefault="00ED13B7">
      <w:pPr>
        <w:pStyle w:val="FootnoteText"/>
        <w:rPr>
          <w:lang w:val="en-GB"/>
        </w:rPr>
      </w:pPr>
      <w:r>
        <w:rPr>
          <w:rStyle w:val="FootnoteReference"/>
        </w:rPr>
        <w:footnoteRef/>
      </w:r>
      <w:r>
        <w:t xml:space="preserve"> </w:t>
      </w:r>
      <w:r w:rsidR="009121E9">
        <w:t>ITU RR 4.4</w:t>
      </w:r>
      <w:r w:rsidR="001B7128">
        <w:t xml:space="preserve"> </w:t>
      </w:r>
      <w:r w:rsidR="009121E9" w:rsidRPr="009121E9">
        <w:rPr>
          <w:lang w:val="en-GB"/>
        </w:rPr>
        <w:t>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A64D" w14:textId="77777777" w:rsidR="00C053A1" w:rsidRPr="005A62E5" w:rsidRDefault="005A62E5" w:rsidP="005A62E5">
    <w:pPr>
      <w:pStyle w:val="Header"/>
    </w:pPr>
    <w:r>
      <w:rPr>
        <w:noProof/>
      </w:rPr>
      <w:drawing>
        <wp:inline distT="0" distB="0" distL="0" distR="0" wp14:anchorId="368ED36F" wp14:editId="2B4C395E">
          <wp:extent cx="3229598" cy="381000"/>
          <wp:effectExtent l="0" t="0" r="952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3300801" cy="389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5DD"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0E6B"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3F4F"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2C24575A" w14:textId="77777777">
      <w:trPr>
        <w:trHeight w:hRule="exact" w:val="988"/>
      </w:trPr>
      <w:tc>
        <w:tcPr>
          <w:tcW w:w="7678" w:type="dxa"/>
        </w:tcPr>
        <w:p w14:paraId="7FF31973" w14:textId="77777777" w:rsidR="00971914" w:rsidRDefault="00971914" w:rsidP="00971914">
          <w:pPr>
            <w:pStyle w:val="Header"/>
          </w:pPr>
        </w:p>
      </w:tc>
    </w:tr>
    <w:tr w:rsidR="00971914" w14:paraId="3DC799A8" w14:textId="77777777">
      <w:tc>
        <w:tcPr>
          <w:tcW w:w="7678" w:type="dxa"/>
        </w:tcPr>
        <w:p w14:paraId="0937D3DE" w14:textId="77777777" w:rsidR="00971914" w:rsidRDefault="00971914" w:rsidP="00971914">
          <w:pPr>
            <w:pStyle w:val="GridTable31"/>
          </w:pPr>
          <w:r>
            <w:t xml:space="preserve">Contents </w:t>
          </w:r>
          <w:r w:rsidRPr="00915B1C">
            <w:rPr>
              <w:b w:val="0"/>
              <w:spacing w:val="0"/>
              <w:sz w:val="28"/>
              <w:szCs w:val="28"/>
            </w:rPr>
            <w:t>(Continued)</w:t>
          </w:r>
        </w:p>
      </w:tc>
    </w:tr>
    <w:tr w:rsidR="00971914" w14:paraId="1ED6EAFC" w14:textId="77777777">
      <w:trPr>
        <w:trHeight w:val="1220"/>
      </w:trPr>
      <w:tc>
        <w:tcPr>
          <w:tcW w:w="7678" w:type="dxa"/>
        </w:tcPr>
        <w:p w14:paraId="2D5E89BD" w14:textId="77777777" w:rsidR="00971914" w:rsidRDefault="00971914" w:rsidP="00971914"/>
      </w:tc>
    </w:tr>
  </w:tbl>
  <w:p w14:paraId="3601786D"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7850C72B" w14:textId="77777777">
      <w:trPr>
        <w:trHeight w:hRule="exact" w:val="988"/>
      </w:trPr>
      <w:tc>
        <w:tcPr>
          <w:tcW w:w="7678" w:type="dxa"/>
        </w:tcPr>
        <w:p w14:paraId="4A9CB176" w14:textId="77777777" w:rsidR="00971914" w:rsidRDefault="00971914" w:rsidP="00971914">
          <w:pPr>
            <w:pStyle w:val="Header"/>
          </w:pPr>
        </w:p>
      </w:tc>
    </w:tr>
    <w:tr w:rsidR="00971914" w14:paraId="64C1BA32" w14:textId="77777777">
      <w:tc>
        <w:tcPr>
          <w:tcW w:w="7678" w:type="dxa"/>
        </w:tcPr>
        <w:p w14:paraId="4DF5AB84" w14:textId="77777777" w:rsidR="00971914" w:rsidRDefault="00971914" w:rsidP="00971914">
          <w:pPr>
            <w:pStyle w:val="GridTable31"/>
          </w:pPr>
          <w:r>
            <w:t xml:space="preserve">Contents </w:t>
          </w:r>
          <w:r w:rsidRPr="00915B1C">
            <w:rPr>
              <w:b w:val="0"/>
              <w:spacing w:val="0"/>
              <w:sz w:val="28"/>
              <w:szCs w:val="28"/>
            </w:rPr>
            <w:t>(Continued)</w:t>
          </w:r>
        </w:p>
      </w:tc>
    </w:tr>
    <w:tr w:rsidR="00971914" w14:paraId="638B64E1" w14:textId="77777777">
      <w:trPr>
        <w:trHeight w:val="1220"/>
      </w:trPr>
      <w:tc>
        <w:tcPr>
          <w:tcW w:w="7678" w:type="dxa"/>
        </w:tcPr>
        <w:p w14:paraId="771108CC" w14:textId="77777777" w:rsidR="00971914" w:rsidRDefault="00971914" w:rsidP="00971914"/>
      </w:tc>
    </w:tr>
  </w:tbl>
  <w:p w14:paraId="75AA05CB"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7CB8"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F62F"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C6450A"/>
    <w:multiLevelType w:val="hybridMultilevel"/>
    <w:tmpl w:val="BD38B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2651545"/>
    <w:multiLevelType w:val="hybridMultilevel"/>
    <w:tmpl w:val="C0925B9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604303"/>
    <w:multiLevelType w:val="hybridMultilevel"/>
    <w:tmpl w:val="1F80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6512B9"/>
    <w:multiLevelType w:val="hybridMultilevel"/>
    <w:tmpl w:val="D5ACE1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74222DB"/>
    <w:multiLevelType w:val="hybridMultilevel"/>
    <w:tmpl w:val="5C34D33E"/>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9" w15:restartNumberingAfterBreak="0">
    <w:nsid w:val="085B2F72"/>
    <w:multiLevelType w:val="hybridMultilevel"/>
    <w:tmpl w:val="0922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33354"/>
    <w:multiLevelType w:val="hybridMultilevel"/>
    <w:tmpl w:val="CB2C09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B19764C"/>
    <w:multiLevelType w:val="multilevel"/>
    <w:tmpl w:val="7542E0CC"/>
    <w:lvl w:ilvl="0">
      <w:start w:val="1"/>
      <w:numFmt w:val="decimal"/>
      <w:lvlText w:val="%1."/>
      <w:lvlJc w:val="left"/>
      <w:pPr>
        <w:tabs>
          <w:tab w:val="num" w:pos="-31680"/>
        </w:tabs>
        <w:ind w:left="357" w:hanging="357"/>
      </w:pPr>
      <w:rPr>
        <w:rFonts w:hint="default"/>
        <w:sz w:val="20"/>
        <w:szCs w:val="20"/>
      </w:rPr>
    </w:lvl>
    <w:lvl w:ilvl="1">
      <w:start w:val="1"/>
      <w:numFmt w:val="lowerLetter"/>
      <w:lvlText w:val="%2."/>
      <w:lvlJc w:val="left"/>
      <w:pPr>
        <w:tabs>
          <w:tab w:val="num" w:pos="1728"/>
        </w:tabs>
        <w:ind w:left="720" w:hanging="363"/>
      </w:pPr>
      <w:rPr>
        <w:rFonts w:hint="default"/>
      </w:rPr>
    </w:lvl>
    <w:lvl w:ilvl="2">
      <w:start w:val="1"/>
      <w:numFmt w:val="lowerRoman"/>
      <w:lvlText w:val="%3."/>
      <w:lvlJc w:val="right"/>
      <w:pPr>
        <w:ind w:left="2448" w:hanging="360"/>
      </w:p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0B8C1C3D"/>
    <w:multiLevelType w:val="hybridMultilevel"/>
    <w:tmpl w:val="928A5348"/>
    <w:lvl w:ilvl="0" w:tplc="0C090011">
      <w:start w:val="1"/>
      <w:numFmt w:val="decimal"/>
      <w:lvlText w:val="%1)"/>
      <w:lvlJc w:val="left"/>
      <w:pPr>
        <w:ind w:left="717" w:hanging="360"/>
      </w:p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start w:val="1"/>
      <w:numFmt w:val="lowerLetter"/>
      <w:lvlText w:val="%5."/>
      <w:lvlJc w:val="left"/>
      <w:pPr>
        <w:ind w:left="3597" w:hanging="360"/>
      </w:pPr>
    </w:lvl>
    <w:lvl w:ilvl="5" w:tplc="0C09001B">
      <w:start w:val="1"/>
      <w:numFmt w:val="lowerRoman"/>
      <w:lvlText w:val="%6."/>
      <w:lvlJc w:val="right"/>
      <w:pPr>
        <w:ind w:left="4317" w:hanging="180"/>
      </w:pPr>
    </w:lvl>
    <w:lvl w:ilvl="6" w:tplc="0C09000F">
      <w:start w:val="1"/>
      <w:numFmt w:val="decimal"/>
      <w:lvlText w:val="%7."/>
      <w:lvlJc w:val="left"/>
      <w:pPr>
        <w:ind w:left="5037" w:hanging="360"/>
      </w:pPr>
    </w:lvl>
    <w:lvl w:ilvl="7" w:tplc="0C090019">
      <w:start w:val="1"/>
      <w:numFmt w:val="lowerLetter"/>
      <w:lvlText w:val="%8."/>
      <w:lvlJc w:val="left"/>
      <w:pPr>
        <w:ind w:left="5757" w:hanging="360"/>
      </w:pPr>
    </w:lvl>
    <w:lvl w:ilvl="8" w:tplc="0C09001B">
      <w:start w:val="1"/>
      <w:numFmt w:val="lowerRoman"/>
      <w:lvlText w:val="%9."/>
      <w:lvlJc w:val="right"/>
      <w:pPr>
        <w:ind w:left="6477" w:hanging="180"/>
      </w:pPr>
    </w:lvl>
  </w:abstractNum>
  <w:abstractNum w:abstractNumId="14" w15:restartNumberingAfterBreak="0">
    <w:nsid w:val="0D1F0931"/>
    <w:multiLevelType w:val="hybridMultilevel"/>
    <w:tmpl w:val="96CEC97E"/>
    <w:lvl w:ilvl="0" w:tplc="8AD457BC">
      <w:start w:val="1"/>
      <w:numFmt w:val="decimal"/>
      <w:pStyle w:val="Numberedparagraph"/>
      <w:lvlText w:val="%1."/>
      <w:lvlJc w:val="left"/>
      <w:pPr>
        <w:tabs>
          <w:tab w:val="num" w:pos="-31680"/>
        </w:tabs>
        <w:ind w:left="357" w:hanging="357"/>
      </w:pPr>
      <w:rPr>
        <w:sz w:val="22"/>
        <w:szCs w:val="22"/>
      </w:rPr>
    </w:lvl>
    <w:lvl w:ilvl="1" w:tplc="C898E9E8">
      <w:start w:val="1"/>
      <w:numFmt w:val="lowerLetter"/>
      <w:pStyle w:val="EMCletteredbulletpoint"/>
      <w:lvlText w:val="%2."/>
      <w:lvlJc w:val="left"/>
      <w:pPr>
        <w:tabs>
          <w:tab w:val="num" w:pos="1728"/>
        </w:tabs>
        <w:ind w:left="720" w:hanging="363"/>
      </w:pPr>
    </w:lvl>
    <w:lvl w:ilvl="2" w:tplc="2CBA4518">
      <w:start w:val="1"/>
      <w:numFmt w:val="bullet"/>
      <w:lvlText w:val=""/>
      <w:lvlJc w:val="left"/>
      <w:pPr>
        <w:tabs>
          <w:tab w:val="num" w:pos="2448"/>
        </w:tabs>
        <w:ind w:left="2448" w:hanging="360"/>
      </w:pPr>
      <w:rPr>
        <w:rFonts w:ascii="Wingdings" w:hAnsi="Wingdings" w:hint="default"/>
      </w:rPr>
    </w:lvl>
    <w:lvl w:ilvl="3" w:tplc="36083A94">
      <w:start w:val="1"/>
      <w:numFmt w:val="bullet"/>
      <w:lvlText w:val=""/>
      <w:lvlJc w:val="left"/>
      <w:pPr>
        <w:tabs>
          <w:tab w:val="num" w:pos="3168"/>
        </w:tabs>
        <w:ind w:left="3168" w:hanging="360"/>
      </w:pPr>
      <w:rPr>
        <w:rFonts w:ascii="Symbol" w:hAnsi="Symbol" w:hint="default"/>
      </w:rPr>
    </w:lvl>
    <w:lvl w:ilvl="4" w:tplc="D368E326">
      <w:start w:val="1"/>
      <w:numFmt w:val="bullet"/>
      <w:lvlText w:val="o"/>
      <w:lvlJc w:val="left"/>
      <w:pPr>
        <w:tabs>
          <w:tab w:val="num" w:pos="3888"/>
        </w:tabs>
        <w:ind w:left="3888" w:hanging="360"/>
      </w:pPr>
      <w:rPr>
        <w:rFonts w:ascii="Courier New" w:hAnsi="Courier New" w:hint="default"/>
      </w:rPr>
    </w:lvl>
    <w:lvl w:ilvl="5" w:tplc="DB363DAC">
      <w:start w:val="1"/>
      <w:numFmt w:val="bullet"/>
      <w:lvlText w:val=""/>
      <w:lvlJc w:val="left"/>
      <w:pPr>
        <w:tabs>
          <w:tab w:val="num" w:pos="4608"/>
        </w:tabs>
        <w:ind w:left="4608" w:hanging="360"/>
      </w:pPr>
      <w:rPr>
        <w:rFonts w:ascii="Wingdings" w:hAnsi="Wingdings" w:hint="default"/>
      </w:rPr>
    </w:lvl>
    <w:lvl w:ilvl="6" w:tplc="5ECE98D6">
      <w:start w:val="1"/>
      <w:numFmt w:val="bullet"/>
      <w:lvlText w:val=""/>
      <w:lvlJc w:val="left"/>
      <w:pPr>
        <w:tabs>
          <w:tab w:val="num" w:pos="5328"/>
        </w:tabs>
        <w:ind w:left="5328" w:hanging="360"/>
      </w:pPr>
      <w:rPr>
        <w:rFonts w:ascii="Symbol" w:hAnsi="Symbol" w:hint="default"/>
      </w:rPr>
    </w:lvl>
    <w:lvl w:ilvl="7" w:tplc="E466B222">
      <w:start w:val="1"/>
      <w:numFmt w:val="bullet"/>
      <w:lvlText w:val="o"/>
      <w:lvlJc w:val="left"/>
      <w:pPr>
        <w:tabs>
          <w:tab w:val="num" w:pos="6048"/>
        </w:tabs>
        <w:ind w:left="6048" w:hanging="360"/>
      </w:pPr>
      <w:rPr>
        <w:rFonts w:ascii="Courier New" w:hAnsi="Courier New" w:hint="default"/>
      </w:rPr>
    </w:lvl>
    <w:lvl w:ilvl="8" w:tplc="409CF87E">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0566459"/>
    <w:multiLevelType w:val="hybridMultilevel"/>
    <w:tmpl w:val="57B2C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13F83A85"/>
    <w:multiLevelType w:val="hybridMultilevel"/>
    <w:tmpl w:val="73E240D0"/>
    <w:lvl w:ilvl="0" w:tplc="BB7E65C0">
      <w:start w:val="1"/>
      <w:numFmt w:val="bullet"/>
      <w:lvlText w:val=""/>
      <w:lvlJc w:val="left"/>
      <w:pPr>
        <w:ind w:left="720" w:hanging="360"/>
      </w:pPr>
      <w:rPr>
        <w:rFonts w:ascii="Symbol" w:hAnsi="Symbol"/>
      </w:rPr>
    </w:lvl>
    <w:lvl w:ilvl="1" w:tplc="D05E5536">
      <w:start w:val="1"/>
      <w:numFmt w:val="bullet"/>
      <w:lvlText w:val=""/>
      <w:lvlJc w:val="left"/>
      <w:pPr>
        <w:ind w:left="720" w:hanging="360"/>
      </w:pPr>
      <w:rPr>
        <w:rFonts w:ascii="Symbol" w:hAnsi="Symbol"/>
      </w:rPr>
    </w:lvl>
    <w:lvl w:ilvl="2" w:tplc="4CCC7F1E">
      <w:start w:val="1"/>
      <w:numFmt w:val="bullet"/>
      <w:lvlText w:val=""/>
      <w:lvlJc w:val="left"/>
      <w:pPr>
        <w:ind w:left="720" w:hanging="360"/>
      </w:pPr>
      <w:rPr>
        <w:rFonts w:ascii="Symbol" w:hAnsi="Symbol"/>
      </w:rPr>
    </w:lvl>
    <w:lvl w:ilvl="3" w:tplc="023E4120">
      <w:start w:val="1"/>
      <w:numFmt w:val="bullet"/>
      <w:lvlText w:val=""/>
      <w:lvlJc w:val="left"/>
      <w:pPr>
        <w:ind w:left="720" w:hanging="360"/>
      </w:pPr>
      <w:rPr>
        <w:rFonts w:ascii="Symbol" w:hAnsi="Symbol"/>
      </w:rPr>
    </w:lvl>
    <w:lvl w:ilvl="4" w:tplc="BC408654">
      <w:start w:val="1"/>
      <w:numFmt w:val="bullet"/>
      <w:lvlText w:val=""/>
      <w:lvlJc w:val="left"/>
      <w:pPr>
        <w:ind w:left="720" w:hanging="360"/>
      </w:pPr>
      <w:rPr>
        <w:rFonts w:ascii="Symbol" w:hAnsi="Symbol"/>
      </w:rPr>
    </w:lvl>
    <w:lvl w:ilvl="5" w:tplc="B79A09B4">
      <w:start w:val="1"/>
      <w:numFmt w:val="bullet"/>
      <w:lvlText w:val=""/>
      <w:lvlJc w:val="left"/>
      <w:pPr>
        <w:ind w:left="720" w:hanging="360"/>
      </w:pPr>
      <w:rPr>
        <w:rFonts w:ascii="Symbol" w:hAnsi="Symbol"/>
      </w:rPr>
    </w:lvl>
    <w:lvl w:ilvl="6" w:tplc="8D56C5F4">
      <w:start w:val="1"/>
      <w:numFmt w:val="bullet"/>
      <w:lvlText w:val=""/>
      <w:lvlJc w:val="left"/>
      <w:pPr>
        <w:ind w:left="720" w:hanging="360"/>
      </w:pPr>
      <w:rPr>
        <w:rFonts w:ascii="Symbol" w:hAnsi="Symbol"/>
      </w:rPr>
    </w:lvl>
    <w:lvl w:ilvl="7" w:tplc="C8AAA7F0">
      <w:start w:val="1"/>
      <w:numFmt w:val="bullet"/>
      <w:lvlText w:val=""/>
      <w:lvlJc w:val="left"/>
      <w:pPr>
        <w:ind w:left="720" w:hanging="360"/>
      </w:pPr>
      <w:rPr>
        <w:rFonts w:ascii="Symbol" w:hAnsi="Symbol"/>
      </w:rPr>
    </w:lvl>
    <w:lvl w:ilvl="8" w:tplc="3084C846">
      <w:start w:val="1"/>
      <w:numFmt w:val="bullet"/>
      <w:lvlText w:val=""/>
      <w:lvlJc w:val="left"/>
      <w:pPr>
        <w:ind w:left="720" w:hanging="360"/>
      </w:pPr>
      <w:rPr>
        <w:rFonts w:ascii="Symbol" w:hAnsi="Symbol"/>
      </w:rPr>
    </w:lvl>
  </w:abstractNum>
  <w:abstractNum w:abstractNumId="18" w15:restartNumberingAfterBreak="0">
    <w:nsid w:val="190A58D2"/>
    <w:multiLevelType w:val="hybridMultilevel"/>
    <w:tmpl w:val="809C6E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CB05B6"/>
    <w:multiLevelType w:val="hybridMultilevel"/>
    <w:tmpl w:val="8B32A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0046D8"/>
    <w:multiLevelType w:val="hybridMultilevel"/>
    <w:tmpl w:val="B71E6712"/>
    <w:lvl w:ilvl="0" w:tplc="7B1EBE3E">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2D5C59AC"/>
    <w:multiLevelType w:val="hybridMultilevel"/>
    <w:tmpl w:val="DABCF8F0"/>
    <w:lvl w:ilvl="0" w:tplc="CFBE583A">
      <w:start w:val="1"/>
      <w:numFmt w:val="lowerLetter"/>
      <w:lvlText w:val="%1)"/>
      <w:lvlJc w:val="left"/>
      <w:pPr>
        <w:ind w:left="1020" w:hanging="360"/>
      </w:pPr>
    </w:lvl>
    <w:lvl w:ilvl="1" w:tplc="21B6B25A">
      <w:start w:val="1"/>
      <w:numFmt w:val="lowerLetter"/>
      <w:lvlText w:val="%2)"/>
      <w:lvlJc w:val="left"/>
      <w:pPr>
        <w:ind w:left="1020" w:hanging="360"/>
      </w:pPr>
    </w:lvl>
    <w:lvl w:ilvl="2" w:tplc="B50C43DE">
      <w:start w:val="1"/>
      <w:numFmt w:val="lowerLetter"/>
      <w:lvlText w:val="%3)"/>
      <w:lvlJc w:val="left"/>
      <w:pPr>
        <w:ind w:left="1020" w:hanging="360"/>
      </w:pPr>
    </w:lvl>
    <w:lvl w:ilvl="3" w:tplc="0BC288B2">
      <w:start w:val="1"/>
      <w:numFmt w:val="lowerLetter"/>
      <w:lvlText w:val="%4)"/>
      <w:lvlJc w:val="left"/>
      <w:pPr>
        <w:ind w:left="1020" w:hanging="360"/>
      </w:pPr>
    </w:lvl>
    <w:lvl w:ilvl="4" w:tplc="AB403AB4">
      <w:start w:val="1"/>
      <w:numFmt w:val="lowerLetter"/>
      <w:lvlText w:val="%5)"/>
      <w:lvlJc w:val="left"/>
      <w:pPr>
        <w:ind w:left="1020" w:hanging="360"/>
      </w:pPr>
    </w:lvl>
    <w:lvl w:ilvl="5" w:tplc="9C40CAFC">
      <w:start w:val="1"/>
      <w:numFmt w:val="lowerLetter"/>
      <w:lvlText w:val="%6)"/>
      <w:lvlJc w:val="left"/>
      <w:pPr>
        <w:ind w:left="1020" w:hanging="360"/>
      </w:pPr>
    </w:lvl>
    <w:lvl w:ilvl="6" w:tplc="A96C257E">
      <w:start w:val="1"/>
      <w:numFmt w:val="lowerLetter"/>
      <w:lvlText w:val="%7)"/>
      <w:lvlJc w:val="left"/>
      <w:pPr>
        <w:ind w:left="1020" w:hanging="360"/>
      </w:pPr>
    </w:lvl>
    <w:lvl w:ilvl="7" w:tplc="94AC2E9A">
      <w:start w:val="1"/>
      <w:numFmt w:val="lowerLetter"/>
      <w:lvlText w:val="%8)"/>
      <w:lvlJc w:val="left"/>
      <w:pPr>
        <w:ind w:left="1020" w:hanging="360"/>
      </w:pPr>
    </w:lvl>
    <w:lvl w:ilvl="8" w:tplc="272C4714">
      <w:start w:val="1"/>
      <w:numFmt w:val="lowerLetter"/>
      <w:lvlText w:val="%9)"/>
      <w:lvlJc w:val="left"/>
      <w:pPr>
        <w:ind w:left="1020" w:hanging="360"/>
      </w:pPr>
    </w:lvl>
  </w:abstractNum>
  <w:abstractNum w:abstractNumId="22"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2F58721C"/>
    <w:multiLevelType w:val="multilevel"/>
    <w:tmpl w:val="8FE23FE6"/>
    <w:lvl w:ilvl="0">
      <w:start w:val="1"/>
      <w:numFmt w:val="decimal"/>
      <w:lvlText w:val="%1"/>
      <w:lvlJc w:val="left"/>
      <w:pPr>
        <w:ind w:left="570" w:hanging="57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3BC6B66"/>
    <w:multiLevelType w:val="hybridMultilevel"/>
    <w:tmpl w:val="0A2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C84E26"/>
    <w:multiLevelType w:val="hybridMultilevel"/>
    <w:tmpl w:val="325A355C"/>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4D92EDC"/>
    <w:multiLevelType w:val="hybridMultilevel"/>
    <w:tmpl w:val="D8CECF8C"/>
    <w:lvl w:ilvl="0" w:tplc="C0ECD528">
      <w:start w:val="1"/>
      <w:numFmt w:val="bullet"/>
      <w:lvlText w:val=""/>
      <w:lvlJc w:val="left"/>
      <w:pPr>
        <w:ind w:left="1020" w:hanging="360"/>
      </w:pPr>
      <w:rPr>
        <w:rFonts w:ascii="Symbol" w:hAnsi="Symbol"/>
      </w:rPr>
    </w:lvl>
    <w:lvl w:ilvl="1" w:tplc="0F42BB34">
      <w:start w:val="1"/>
      <w:numFmt w:val="bullet"/>
      <w:lvlText w:val=""/>
      <w:lvlJc w:val="left"/>
      <w:pPr>
        <w:ind w:left="1020" w:hanging="360"/>
      </w:pPr>
      <w:rPr>
        <w:rFonts w:ascii="Symbol" w:hAnsi="Symbol"/>
      </w:rPr>
    </w:lvl>
    <w:lvl w:ilvl="2" w:tplc="656075C6">
      <w:start w:val="1"/>
      <w:numFmt w:val="bullet"/>
      <w:lvlText w:val=""/>
      <w:lvlJc w:val="left"/>
      <w:pPr>
        <w:ind w:left="1020" w:hanging="360"/>
      </w:pPr>
      <w:rPr>
        <w:rFonts w:ascii="Symbol" w:hAnsi="Symbol"/>
      </w:rPr>
    </w:lvl>
    <w:lvl w:ilvl="3" w:tplc="8D103D70">
      <w:start w:val="1"/>
      <w:numFmt w:val="bullet"/>
      <w:lvlText w:val=""/>
      <w:lvlJc w:val="left"/>
      <w:pPr>
        <w:ind w:left="1020" w:hanging="360"/>
      </w:pPr>
      <w:rPr>
        <w:rFonts w:ascii="Symbol" w:hAnsi="Symbol"/>
      </w:rPr>
    </w:lvl>
    <w:lvl w:ilvl="4" w:tplc="80860FDA">
      <w:start w:val="1"/>
      <w:numFmt w:val="bullet"/>
      <w:lvlText w:val=""/>
      <w:lvlJc w:val="left"/>
      <w:pPr>
        <w:ind w:left="1020" w:hanging="360"/>
      </w:pPr>
      <w:rPr>
        <w:rFonts w:ascii="Symbol" w:hAnsi="Symbol"/>
      </w:rPr>
    </w:lvl>
    <w:lvl w:ilvl="5" w:tplc="8A52EE70">
      <w:start w:val="1"/>
      <w:numFmt w:val="bullet"/>
      <w:lvlText w:val=""/>
      <w:lvlJc w:val="left"/>
      <w:pPr>
        <w:ind w:left="1020" w:hanging="360"/>
      </w:pPr>
      <w:rPr>
        <w:rFonts w:ascii="Symbol" w:hAnsi="Symbol"/>
      </w:rPr>
    </w:lvl>
    <w:lvl w:ilvl="6" w:tplc="054232DE">
      <w:start w:val="1"/>
      <w:numFmt w:val="bullet"/>
      <w:lvlText w:val=""/>
      <w:lvlJc w:val="left"/>
      <w:pPr>
        <w:ind w:left="1020" w:hanging="360"/>
      </w:pPr>
      <w:rPr>
        <w:rFonts w:ascii="Symbol" w:hAnsi="Symbol"/>
      </w:rPr>
    </w:lvl>
    <w:lvl w:ilvl="7" w:tplc="E93C4466">
      <w:start w:val="1"/>
      <w:numFmt w:val="bullet"/>
      <w:lvlText w:val=""/>
      <w:lvlJc w:val="left"/>
      <w:pPr>
        <w:ind w:left="1020" w:hanging="360"/>
      </w:pPr>
      <w:rPr>
        <w:rFonts w:ascii="Symbol" w:hAnsi="Symbol"/>
      </w:rPr>
    </w:lvl>
    <w:lvl w:ilvl="8" w:tplc="4CD05AE0">
      <w:start w:val="1"/>
      <w:numFmt w:val="bullet"/>
      <w:lvlText w:val=""/>
      <w:lvlJc w:val="left"/>
      <w:pPr>
        <w:ind w:left="1020" w:hanging="360"/>
      </w:pPr>
      <w:rPr>
        <w:rFonts w:ascii="Symbol" w:hAnsi="Symbol"/>
      </w:rPr>
    </w:lvl>
  </w:abstractNum>
  <w:abstractNum w:abstractNumId="28" w15:restartNumberingAfterBreak="0">
    <w:nsid w:val="3A25627C"/>
    <w:multiLevelType w:val="hybridMultilevel"/>
    <w:tmpl w:val="E8A49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51348D"/>
    <w:multiLevelType w:val="hybridMultilevel"/>
    <w:tmpl w:val="A154BE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5D57FA"/>
    <w:multiLevelType w:val="hybridMultilevel"/>
    <w:tmpl w:val="A4223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40E2229"/>
    <w:multiLevelType w:val="hybridMultilevel"/>
    <w:tmpl w:val="52A26C4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44523673"/>
    <w:multiLevelType w:val="hybridMultilevel"/>
    <w:tmpl w:val="52028DB8"/>
    <w:lvl w:ilvl="0" w:tplc="0C09001B">
      <w:start w:val="1"/>
      <w:numFmt w:val="lowerRoman"/>
      <w:lvlText w:val="%1."/>
      <w:lvlJc w:val="righ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3" w15:restartNumberingAfterBreak="0">
    <w:nsid w:val="497262ED"/>
    <w:multiLevelType w:val="hybridMultilevel"/>
    <w:tmpl w:val="2E90AAF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0467B4"/>
    <w:multiLevelType w:val="hybridMultilevel"/>
    <w:tmpl w:val="BB8A32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922C4"/>
    <w:multiLevelType w:val="multilevel"/>
    <w:tmpl w:val="434E8C0E"/>
    <w:lvl w:ilvl="0">
      <w:start w:val="1"/>
      <w:numFmt w:val="decimal"/>
      <w:lvlText w:val="%1."/>
      <w:lvlJc w:val="left"/>
      <w:pPr>
        <w:tabs>
          <w:tab w:val="num" w:pos="-31680"/>
        </w:tabs>
        <w:ind w:left="357" w:hanging="357"/>
      </w:pPr>
      <w:rPr>
        <w:rFonts w:hint="default"/>
        <w:sz w:val="22"/>
        <w:szCs w:val="22"/>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7" w15:restartNumberingAfterBreak="0">
    <w:nsid w:val="5B120CD4"/>
    <w:multiLevelType w:val="hybridMultilevel"/>
    <w:tmpl w:val="91C0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6B4373"/>
    <w:multiLevelType w:val="hybridMultilevel"/>
    <w:tmpl w:val="C2F0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EE205D"/>
    <w:multiLevelType w:val="hybridMultilevel"/>
    <w:tmpl w:val="79BE13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A2525"/>
    <w:multiLevelType w:val="hybridMultilevel"/>
    <w:tmpl w:val="77E283E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91BEA"/>
    <w:multiLevelType w:val="multilevel"/>
    <w:tmpl w:val="2C7617A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2E1A81"/>
    <w:multiLevelType w:val="hybridMultilevel"/>
    <w:tmpl w:val="D8885FB6"/>
    <w:lvl w:ilvl="0" w:tplc="1026004E">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47650C"/>
    <w:multiLevelType w:val="hybridMultilevel"/>
    <w:tmpl w:val="9DEE220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7" w15:restartNumberingAfterBreak="0">
    <w:nsid w:val="7842564C"/>
    <w:multiLevelType w:val="hybridMultilevel"/>
    <w:tmpl w:val="4564736E"/>
    <w:lvl w:ilvl="0" w:tplc="7B1EBE3E">
      <w:start w:val="1"/>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8BC098E"/>
    <w:multiLevelType w:val="hybridMultilevel"/>
    <w:tmpl w:val="2E386898"/>
    <w:lvl w:ilvl="0" w:tplc="BD340F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35618F"/>
    <w:multiLevelType w:val="hybridMultilevel"/>
    <w:tmpl w:val="0CF4486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E6EA2C1C">
      <w:numFmt w:val="bullet"/>
      <w:lvlText w:val=""/>
      <w:lvlJc w:val="left"/>
      <w:pPr>
        <w:ind w:left="3600" w:hanging="360"/>
      </w:pPr>
      <w:rPr>
        <w:rFonts w:ascii="Wingdings" w:eastAsia="Times New Roman" w:hAnsi="Wingdings" w:cs="Arial" w:hint="default"/>
      </w:rPr>
    </w:lvl>
    <w:lvl w:ilvl="5" w:tplc="2D846CB6">
      <w:start w:val="1"/>
      <w:numFmt w:val="lowerLetter"/>
      <w:lvlText w:val="(%6)"/>
      <w:lvlJc w:val="left"/>
      <w:pPr>
        <w:ind w:left="4500" w:hanging="360"/>
      </w:pPr>
      <w:rPr>
        <w:rFonts w:hint="default"/>
      </w:rPr>
    </w:lvl>
    <w:lvl w:ilvl="6" w:tplc="A5C0627E">
      <w:start w:val="1"/>
      <w:numFmt w:val="decimal"/>
      <w:lvlText w:val="%7)"/>
      <w:lvlJc w:val="left"/>
      <w:pPr>
        <w:ind w:left="5040" w:hanging="360"/>
      </w:pPr>
      <w:rPr>
        <w:rFonts w:hint="default"/>
      </w:rPr>
    </w:lvl>
    <w:lvl w:ilvl="7" w:tplc="11AC50C2">
      <w:start w:val="1"/>
      <w:numFmt w:val="upperLetter"/>
      <w:lvlText w:val="%8."/>
      <w:lvlJc w:val="left"/>
      <w:pPr>
        <w:ind w:left="5760" w:hanging="360"/>
      </w:pPr>
      <w:rPr>
        <w:rFonts w:hint="default"/>
      </w:rPr>
    </w:lvl>
    <w:lvl w:ilvl="8" w:tplc="FFFFFFFF" w:tentative="1">
      <w:start w:val="1"/>
      <w:numFmt w:val="lowerRoman"/>
      <w:lvlText w:val="%9."/>
      <w:lvlJc w:val="right"/>
      <w:pPr>
        <w:ind w:left="6480" w:hanging="180"/>
      </w:p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22"/>
  </w:num>
  <w:num w:numId="6" w16cid:durableId="818768531">
    <w:abstractNumId w:val="41"/>
  </w:num>
  <w:num w:numId="7" w16cid:durableId="636617026">
    <w:abstractNumId w:val="35"/>
  </w:num>
  <w:num w:numId="8" w16cid:durableId="227307242">
    <w:abstractNumId w:val="40"/>
  </w:num>
  <w:num w:numId="9" w16cid:durableId="1325478460">
    <w:abstractNumId w:val="43"/>
  </w:num>
  <w:num w:numId="10" w16cid:durableId="26877423">
    <w:abstractNumId w:val="10"/>
  </w:num>
  <w:num w:numId="11" w16cid:durableId="529613017">
    <w:abstractNumId w:val="2"/>
    <w:lvlOverride w:ilvl="0">
      <w:startOverride w:val="1"/>
    </w:lvlOverride>
  </w:num>
  <w:num w:numId="12" w16cid:durableId="506287035">
    <w:abstractNumId w:val="2"/>
    <w:lvlOverride w:ilvl="0">
      <w:startOverride w:val="1"/>
    </w:lvlOverride>
  </w:num>
  <w:num w:numId="13" w16cid:durableId="44449778">
    <w:abstractNumId w:val="48"/>
  </w:num>
  <w:num w:numId="14" w16cid:durableId="319240718">
    <w:abstractNumId w:val="45"/>
  </w:num>
  <w:num w:numId="15" w16cid:durableId="1091731347">
    <w:abstractNumId w:val="16"/>
  </w:num>
  <w:num w:numId="16" w16cid:durableId="1733236431">
    <w:abstractNumId w:val="26"/>
  </w:num>
  <w:num w:numId="17" w16cid:durableId="1480268017">
    <w:abstractNumId w:val="2"/>
    <w:lvlOverride w:ilvl="0">
      <w:startOverride w:val="1"/>
    </w:lvlOverride>
  </w:num>
  <w:num w:numId="18" w16cid:durableId="964309664">
    <w:abstractNumId w:val="2"/>
    <w:lvlOverride w:ilvl="0">
      <w:startOverride w:val="1"/>
    </w:lvlOverride>
  </w:num>
  <w:num w:numId="19" w16cid:durableId="1025836865">
    <w:abstractNumId w:val="2"/>
    <w:lvlOverride w:ilvl="0">
      <w:startOverride w:val="1"/>
    </w:lvlOverride>
  </w:num>
  <w:num w:numId="20" w16cid:durableId="1678726611">
    <w:abstractNumId w:val="2"/>
    <w:lvlOverride w:ilvl="0">
      <w:startOverride w:val="1"/>
    </w:lvlOverride>
  </w:num>
  <w:num w:numId="21" w16cid:durableId="475730963">
    <w:abstractNumId w:val="2"/>
    <w:lvlOverride w:ilvl="0">
      <w:startOverride w:val="1"/>
    </w:lvlOverride>
  </w:num>
  <w:num w:numId="22" w16cid:durableId="1304847979">
    <w:abstractNumId w:val="2"/>
    <w:lvlOverride w:ilvl="0">
      <w:startOverride w:val="1"/>
    </w:lvlOverride>
  </w:num>
  <w:num w:numId="23" w16cid:durableId="1894341745">
    <w:abstractNumId w:val="29"/>
  </w:num>
  <w:num w:numId="24" w16cid:durableId="1031028503">
    <w:abstractNumId w:val="19"/>
  </w:num>
  <w:num w:numId="25" w16cid:durableId="1471482482">
    <w:abstractNumId w:val="47"/>
  </w:num>
  <w:num w:numId="26" w16cid:durableId="539055953">
    <w:abstractNumId w:val="44"/>
  </w:num>
  <w:num w:numId="27" w16cid:durableId="1631551416">
    <w:abstractNumId w:val="23"/>
  </w:num>
  <w:num w:numId="28" w16cid:durableId="963345832">
    <w:abstractNumId w:val="14"/>
  </w:num>
  <w:num w:numId="29" w16cid:durableId="438378304">
    <w:abstractNumId w:val="18"/>
  </w:num>
  <w:num w:numId="30" w16cid:durableId="357390478">
    <w:abstractNumId w:val="15"/>
  </w:num>
  <w:num w:numId="31" w16cid:durableId="1376466642">
    <w:abstractNumId w:val="32"/>
  </w:num>
  <w:num w:numId="32" w16cid:durableId="83042411">
    <w:abstractNumId w:val="12"/>
  </w:num>
  <w:num w:numId="33" w16cid:durableId="1686328220">
    <w:abstractNumId w:val="36"/>
  </w:num>
  <w:num w:numId="34" w16cid:durableId="1875801317">
    <w:abstractNumId w:val="31"/>
  </w:num>
  <w:num w:numId="35" w16cid:durableId="1639139854">
    <w:abstractNumId w:val="8"/>
  </w:num>
  <w:num w:numId="36" w16cid:durableId="1946307278">
    <w:abstractNumId w:val="7"/>
  </w:num>
  <w:num w:numId="37" w16cid:durableId="2044087369">
    <w:abstractNumId w:val="39"/>
  </w:num>
  <w:num w:numId="38" w16cid:durableId="633096551">
    <w:abstractNumId w:val="14"/>
  </w:num>
  <w:num w:numId="39" w16cid:durableId="761338380">
    <w:abstractNumId w:val="14"/>
  </w:num>
  <w:num w:numId="40" w16cid:durableId="462426904">
    <w:abstractNumId w:val="24"/>
  </w:num>
  <w:num w:numId="41" w16cid:durableId="665399489">
    <w:abstractNumId w:val="6"/>
  </w:num>
  <w:num w:numId="42" w16cid:durableId="553084723">
    <w:abstractNumId w:val="33"/>
  </w:num>
  <w:num w:numId="43" w16cid:durableId="1645620194">
    <w:abstractNumId w:val="49"/>
  </w:num>
  <w:num w:numId="44" w16cid:durableId="1860315354">
    <w:abstractNumId w:val="34"/>
  </w:num>
  <w:num w:numId="45" w16cid:durableId="2010519209">
    <w:abstractNumId w:val="48"/>
  </w:num>
  <w:num w:numId="46" w16cid:durableId="1324162256">
    <w:abstractNumId w:val="48"/>
  </w:num>
  <w:num w:numId="47" w16cid:durableId="2029208254">
    <w:abstractNumId w:val="48"/>
  </w:num>
  <w:num w:numId="48" w16cid:durableId="872226563">
    <w:abstractNumId w:val="48"/>
  </w:num>
  <w:num w:numId="49" w16cid:durableId="1710645682">
    <w:abstractNumId w:val="48"/>
  </w:num>
  <w:num w:numId="50" w16cid:durableId="1083841173">
    <w:abstractNumId w:val="48"/>
  </w:num>
  <w:num w:numId="51" w16cid:durableId="170294232">
    <w:abstractNumId w:val="38"/>
  </w:num>
  <w:num w:numId="52" w16cid:durableId="257758918">
    <w:abstractNumId w:val="20"/>
  </w:num>
  <w:num w:numId="53" w16cid:durableId="463691888">
    <w:abstractNumId w:val="2"/>
    <w:lvlOverride w:ilvl="0">
      <w:startOverride w:val="1"/>
    </w:lvlOverride>
  </w:num>
  <w:num w:numId="54" w16cid:durableId="1749226772">
    <w:abstractNumId w:val="2"/>
    <w:lvlOverride w:ilvl="0">
      <w:startOverride w:val="1"/>
    </w:lvlOverride>
  </w:num>
  <w:num w:numId="55" w16cid:durableId="315845790">
    <w:abstractNumId w:val="2"/>
    <w:lvlOverride w:ilvl="0">
      <w:startOverride w:val="1"/>
    </w:lvlOverride>
  </w:num>
  <w:num w:numId="56" w16cid:durableId="1197430263">
    <w:abstractNumId w:val="2"/>
    <w:lvlOverride w:ilvl="0">
      <w:startOverride w:val="1"/>
    </w:lvlOverride>
  </w:num>
  <w:num w:numId="57" w16cid:durableId="94323768">
    <w:abstractNumId w:val="2"/>
    <w:lvlOverride w:ilvl="0">
      <w:startOverride w:val="1"/>
    </w:lvlOverride>
  </w:num>
  <w:num w:numId="58" w16cid:durableId="1344934840">
    <w:abstractNumId w:val="2"/>
    <w:lvlOverride w:ilvl="0">
      <w:startOverride w:val="1"/>
    </w:lvlOverride>
  </w:num>
  <w:num w:numId="59" w16cid:durableId="590359826">
    <w:abstractNumId w:val="2"/>
    <w:lvlOverride w:ilvl="0">
      <w:startOverride w:val="1"/>
    </w:lvlOverride>
  </w:num>
  <w:num w:numId="60" w16cid:durableId="254828566">
    <w:abstractNumId w:val="9"/>
  </w:num>
  <w:num w:numId="61" w16cid:durableId="956451844">
    <w:abstractNumId w:val="2"/>
    <w:lvlOverride w:ilvl="0">
      <w:startOverride w:val="1"/>
    </w:lvlOverride>
  </w:num>
  <w:num w:numId="62" w16cid:durableId="1316833147">
    <w:abstractNumId w:val="2"/>
  </w:num>
  <w:num w:numId="63" w16cid:durableId="405153682">
    <w:abstractNumId w:val="14"/>
  </w:num>
  <w:num w:numId="64" w16cid:durableId="1126510277">
    <w:abstractNumId w:val="46"/>
  </w:num>
  <w:num w:numId="65" w16cid:durableId="1787576264">
    <w:abstractNumId w:val="14"/>
  </w:num>
  <w:num w:numId="66" w16cid:durableId="483619886">
    <w:abstractNumId w:val="5"/>
  </w:num>
  <w:num w:numId="67" w16cid:durableId="1001616399">
    <w:abstractNumId w:val="0"/>
    <w:lvlOverride w:ilvl="0">
      <w:startOverride w:val="1"/>
    </w:lvlOverride>
  </w:num>
  <w:num w:numId="68" w16cid:durableId="742605804">
    <w:abstractNumId w:val="0"/>
  </w:num>
  <w:num w:numId="69" w16cid:durableId="170419397">
    <w:abstractNumId w:val="0"/>
    <w:lvlOverride w:ilvl="0">
      <w:startOverride w:val="1"/>
    </w:lvlOverride>
  </w:num>
  <w:num w:numId="70" w16cid:durableId="1697274707">
    <w:abstractNumId w:val="2"/>
    <w:lvlOverride w:ilvl="0">
      <w:startOverride w:val="1"/>
    </w:lvlOverride>
  </w:num>
  <w:num w:numId="71" w16cid:durableId="291908862">
    <w:abstractNumId w:val="21"/>
  </w:num>
  <w:num w:numId="72" w16cid:durableId="193271372">
    <w:abstractNumId w:val="30"/>
  </w:num>
  <w:num w:numId="73" w16cid:durableId="867722945">
    <w:abstractNumId w:val="28"/>
  </w:num>
  <w:num w:numId="74" w16cid:durableId="1695031182">
    <w:abstractNumId w:val="3"/>
  </w:num>
  <w:num w:numId="75" w16cid:durableId="1112894486">
    <w:abstractNumId w:val="48"/>
  </w:num>
  <w:num w:numId="76" w16cid:durableId="1904486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27596161">
    <w:abstractNumId w:val="4"/>
  </w:num>
  <w:num w:numId="78" w16cid:durableId="915936468">
    <w:abstractNumId w:val="11"/>
  </w:num>
  <w:num w:numId="79" w16cid:durableId="236016044">
    <w:abstractNumId w:val="13"/>
  </w:num>
  <w:num w:numId="80" w16cid:durableId="1274704977">
    <w:abstractNumId w:val="4"/>
  </w:num>
  <w:num w:numId="81" w16cid:durableId="1152870428">
    <w:abstractNumId w:val="42"/>
  </w:num>
  <w:num w:numId="82" w16cid:durableId="160043462">
    <w:abstractNumId w:val="2"/>
    <w:lvlOverride w:ilvl="0">
      <w:startOverride w:val="1"/>
    </w:lvlOverride>
  </w:num>
  <w:num w:numId="83" w16cid:durableId="1469282155">
    <w:abstractNumId w:val="0"/>
  </w:num>
  <w:num w:numId="84" w16cid:durableId="419177295">
    <w:abstractNumId w:val="0"/>
  </w:num>
  <w:num w:numId="85" w16cid:durableId="1223981707">
    <w:abstractNumId w:val="0"/>
  </w:num>
  <w:num w:numId="86" w16cid:durableId="1282417578">
    <w:abstractNumId w:val="0"/>
    <w:lvlOverride w:ilvl="0">
      <w:startOverride w:val="1"/>
    </w:lvlOverride>
  </w:num>
  <w:num w:numId="87" w16cid:durableId="1986473357">
    <w:abstractNumId w:val="0"/>
    <w:lvlOverride w:ilvl="0">
      <w:startOverride w:val="1"/>
    </w:lvlOverride>
  </w:num>
  <w:num w:numId="88" w16cid:durableId="1568956275">
    <w:abstractNumId w:val="25"/>
  </w:num>
  <w:num w:numId="89" w16cid:durableId="1978758981">
    <w:abstractNumId w:val="37"/>
  </w:num>
  <w:num w:numId="90" w16cid:durableId="1886092461">
    <w:abstractNumId w:val="27"/>
  </w:num>
  <w:num w:numId="91" w16cid:durableId="245843507">
    <w:abstractNumId w:val="2"/>
  </w:num>
  <w:num w:numId="92" w16cid:durableId="1760902348">
    <w:abstractNumId w:val="1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AF"/>
    <w:rsid w:val="00000445"/>
    <w:rsid w:val="0000047C"/>
    <w:rsid w:val="00000613"/>
    <w:rsid w:val="0000069A"/>
    <w:rsid w:val="000007A6"/>
    <w:rsid w:val="000008FC"/>
    <w:rsid w:val="00000943"/>
    <w:rsid w:val="00000D76"/>
    <w:rsid w:val="00000FB3"/>
    <w:rsid w:val="0000115E"/>
    <w:rsid w:val="000018A8"/>
    <w:rsid w:val="000018D9"/>
    <w:rsid w:val="0000193F"/>
    <w:rsid w:val="00001EAE"/>
    <w:rsid w:val="00001FD6"/>
    <w:rsid w:val="000021A9"/>
    <w:rsid w:val="0000226E"/>
    <w:rsid w:val="000025C6"/>
    <w:rsid w:val="00002709"/>
    <w:rsid w:val="000027F5"/>
    <w:rsid w:val="00002A1D"/>
    <w:rsid w:val="00002B22"/>
    <w:rsid w:val="00002DA6"/>
    <w:rsid w:val="00002E43"/>
    <w:rsid w:val="00002EFD"/>
    <w:rsid w:val="000031F8"/>
    <w:rsid w:val="000033D8"/>
    <w:rsid w:val="00003566"/>
    <w:rsid w:val="00003579"/>
    <w:rsid w:val="00003A0E"/>
    <w:rsid w:val="00003C70"/>
    <w:rsid w:val="00003DE9"/>
    <w:rsid w:val="00003E3E"/>
    <w:rsid w:val="00003F89"/>
    <w:rsid w:val="000040E7"/>
    <w:rsid w:val="00004379"/>
    <w:rsid w:val="000043A1"/>
    <w:rsid w:val="00004422"/>
    <w:rsid w:val="00004423"/>
    <w:rsid w:val="00004526"/>
    <w:rsid w:val="00004611"/>
    <w:rsid w:val="0000488C"/>
    <w:rsid w:val="00004A0C"/>
    <w:rsid w:val="00004BE4"/>
    <w:rsid w:val="00004C67"/>
    <w:rsid w:val="00004FEC"/>
    <w:rsid w:val="000051C4"/>
    <w:rsid w:val="000052EB"/>
    <w:rsid w:val="00005318"/>
    <w:rsid w:val="00005550"/>
    <w:rsid w:val="000056A4"/>
    <w:rsid w:val="00005748"/>
    <w:rsid w:val="00005854"/>
    <w:rsid w:val="00005C60"/>
    <w:rsid w:val="00005D3F"/>
    <w:rsid w:val="00005DC4"/>
    <w:rsid w:val="0000609A"/>
    <w:rsid w:val="000060AF"/>
    <w:rsid w:val="000063BF"/>
    <w:rsid w:val="00006725"/>
    <w:rsid w:val="000068A0"/>
    <w:rsid w:val="000068CE"/>
    <w:rsid w:val="00006A36"/>
    <w:rsid w:val="00006AB3"/>
    <w:rsid w:val="00006B15"/>
    <w:rsid w:val="00006B91"/>
    <w:rsid w:val="00006C67"/>
    <w:rsid w:val="00007038"/>
    <w:rsid w:val="000070D4"/>
    <w:rsid w:val="0000717A"/>
    <w:rsid w:val="000071C5"/>
    <w:rsid w:val="00007250"/>
    <w:rsid w:val="00007A7A"/>
    <w:rsid w:val="00007C00"/>
    <w:rsid w:val="00007D4F"/>
    <w:rsid w:val="00007E16"/>
    <w:rsid w:val="00007FA7"/>
    <w:rsid w:val="000101F1"/>
    <w:rsid w:val="00010411"/>
    <w:rsid w:val="00010641"/>
    <w:rsid w:val="00010667"/>
    <w:rsid w:val="000106C4"/>
    <w:rsid w:val="00010769"/>
    <w:rsid w:val="000108C0"/>
    <w:rsid w:val="00010911"/>
    <w:rsid w:val="00010DD0"/>
    <w:rsid w:val="00010E42"/>
    <w:rsid w:val="000110B2"/>
    <w:rsid w:val="000116A8"/>
    <w:rsid w:val="00011D88"/>
    <w:rsid w:val="00011EEA"/>
    <w:rsid w:val="00011F6B"/>
    <w:rsid w:val="00011F87"/>
    <w:rsid w:val="0001223E"/>
    <w:rsid w:val="00012316"/>
    <w:rsid w:val="000124C2"/>
    <w:rsid w:val="0001259F"/>
    <w:rsid w:val="000129D5"/>
    <w:rsid w:val="00012CEB"/>
    <w:rsid w:val="00012D54"/>
    <w:rsid w:val="000131C9"/>
    <w:rsid w:val="0001340B"/>
    <w:rsid w:val="000136B4"/>
    <w:rsid w:val="00013801"/>
    <w:rsid w:val="00013924"/>
    <w:rsid w:val="000139DC"/>
    <w:rsid w:val="00013C9E"/>
    <w:rsid w:val="000141FD"/>
    <w:rsid w:val="000144B1"/>
    <w:rsid w:val="00014592"/>
    <w:rsid w:val="000147A0"/>
    <w:rsid w:val="00014970"/>
    <w:rsid w:val="00014A95"/>
    <w:rsid w:val="00014B50"/>
    <w:rsid w:val="00014C3B"/>
    <w:rsid w:val="00014CFD"/>
    <w:rsid w:val="00014F63"/>
    <w:rsid w:val="00014FA2"/>
    <w:rsid w:val="00015002"/>
    <w:rsid w:val="00015112"/>
    <w:rsid w:val="000154F2"/>
    <w:rsid w:val="00015604"/>
    <w:rsid w:val="000157A8"/>
    <w:rsid w:val="00015AE7"/>
    <w:rsid w:val="00015BBB"/>
    <w:rsid w:val="00015E0D"/>
    <w:rsid w:val="00015F45"/>
    <w:rsid w:val="00015F9B"/>
    <w:rsid w:val="00016031"/>
    <w:rsid w:val="000162F8"/>
    <w:rsid w:val="000162FC"/>
    <w:rsid w:val="000163FC"/>
    <w:rsid w:val="0001648F"/>
    <w:rsid w:val="000166C4"/>
    <w:rsid w:val="00016773"/>
    <w:rsid w:val="000167BD"/>
    <w:rsid w:val="0001691C"/>
    <w:rsid w:val="00016A9B"/>
    <w:rsid w:val="00016B4C"/>
    <w:rsid w:val="00016E21"/>
    <w:rsid w:val="00016E5D"/>
    <w:rsid w:val="0001719C"/>
    <w:rsid w:val="0001746B"/>
    <w:rsid w:val="0001746F"/>
    <w:rsid w:val="000175E5"/>
    <w:rsid w:val="000177E1"/>
    <w:rsid w:val="00017A85"/>
    <w:rsid w:val="00017B41"/>
    <w:rsid w:val="00017BB0"/>
    <w:rsid w:val="00017F09"/>
    <w:rsid w:val="0002002C"/>
    <w:rsid w:val="00020330"/>
    <w:rsid w:val="00020567"/>
    <w:rsid w:val="00020599"/>
    <w:rsid w:val="000206DE"/>
    <w:rsid w:val="000207AE"/>
    <w:rsid w:val="00020A0C"/>
    <w:rsid w:val="00020A2D"/>
    <w:rsid w:val="00020A76"/>
    <w:rsid w:val="00020B96"/>
    <w:rsid w:val="00021100"/>
    <w:rsid w:val="00021135"/>
    <w:rsid w:val="00021293"/>
    <w:rsid w:val="0002147F"/>
    <w:rsid w:val="00021577"/>
    <w:rsid w:val="000216D5"/>
    <w:rsid w:val="0002190B"/>
    <w:rsid w:val="00021BC9"/>
    <w:rsid w:val="00021C46"/>
    <w:rsid w:val="00021D16"/>
    <w:rsid w:val="00021E3B"/>
    <w:rsid w:val="00021F0F"/>
    <w:rsid w:val="00021F89"/>
    <w:rsid w:val="00022237"/>
    <w:rsid w:val="0002224E"/>
    <w:rsid w:val="00022400"/>
    <w:rsid w:val="000224A2"/>
    <w:rsid w:val="000226FC"/>
    <w:rsid w:val="00022815"/>
    <w:rsid w:val="00022A60"/>
    <w:rsid w:val="00022BE3"/>
    <w:rsid w:val="00022C69"/>
    <w:rsid w:val="00022C73"/>
    <w:rsid w:val="00023035"/>
    <w:rsid w:val="00023062"/>
    <w:rsid w:val="00023464"/>
    <w:rsid w:val="0002363B"/>
    <w:rsid w:val="00023729"/>
    <w:rsid w:val="00023B36"/>
    <w:rsid w:val="00023D5D"/>
    <w:rsid w:val="0002424B"/>
    <w:rsid w:val="0002456B"/>
    <w:rsid w:val="0002459B"/>
    <w:rsid w:val="000245E5"/>
    <w:rsid w:val="000245F4"/>
    <w:rsid w:val="000247A2"/>
    <w:rsid w:val="000247CC"/>
    <w:rsid w:val="0002489B"/>
    <w:rsid w:val="00024A8F"/>
    <w:rsid w:val="00024BBB"/>
    <w:rsid w:val="00025201"/>
    <w:rsid w:val="0002538C"/>
    <w:rsid w:val="0002599E"/>
    <w:rsid w:val="00025A6B"/>
    <w:rsid w:val="00025B49"/>
    <w:rsid w:val="00025C44"/>
    <w:rsid w:val="00025C7C"/>
    <w:rsid w:val="00025D0E"/>
    <w:rsid w:val="00025F04"/>
    <w:rsid w:val="00026342"/>
    <w:rsid w:val="0002648F"/>
    <w:rsid w:val="000264FB"/>
    <w:rsid w:val="0002651A"/>
    <w:rsid w:val="000268AB"/>
    <w:rsid w:val="00026A7E"/>
    <w:rsid w:val="00026F91"/>
    <w:rsid w:val="0002716F"/>
    <w:rsid w:val="00027430"/>
    <w:rsid w:val="000277CA"/>
    <w:rsid w:val="00027845"/>
    <w:rsid w:val="000278AB"/>
    <w:rsid w:val="000278B5"/>
    <w:rsid w:val="00027AF6"/>
    <w:rsid w:val="00027C6A"/>
    <w:rsid w:val="0003036C"/>
    <w:rsid w:val="000304F2"/>
    <w:rsid w:val="00030515"/>
    <w:rsid w:val="000307F3"/>
    <w:rsid w:val="000309DB"/>
    <w:rsid w:val="00030D2D"/>
    <w:rsid w:val="00030D8E"/>
    <w:rsid w:val="000311B0"/>
    <w:rsid w:val="000312D9"/>
    <w:rsid w:val="000315D3"/>
    <w:rsid w:val="000318BA"/>
    <w:rsid w:val="00031A37"/>
    <w:rsid w:val="00031DDD"/>
    <w:rsid w:val="00031E06"/>
    <w:rsid w:val="00031F4A"/>
    <w:rsid w:val="00032256"/>
    <w:rsid w:val="00032299"/>
    <w:rsid w:val="00032411"/>
    <w:rsid w:val="0003281E"/>
    <w:rsid w:val="000329E3"/>
    <w:rsid w:val="000329F3"/>
    <w:rsid w:val="00032B7A"/>
    <w:rsid w:val="00032D33"/>
    <w:rsid w:val="00032DEA"/>
    <w:rsid w:val="00032FA6"/>
    <w:rsid w:val="000330B6"/>
    <w:rsid w:val="000330C3"/>
    <w:rsid w:val="00033110"/>
    <w:rsid w:val="000331E8"/>
    <w:rsid w:val="00033216"/>
    <w:rsid w:val="00033EAB"/>
    <w:rsid w:val="00033EAF"/>
    <w:rsid w:val="00034036"/>
    <w:rsid w:val="000344DD"/>
    <w:rsid w:val="0003458C"/>
    <w:rsid w:val="00034664"/>
    <w:rsid w:val="00034E25"/>
    <w:rsid w:val="00034EFE"/>
    <w:rsid w:val="00034F3B"/>
    <w:rsid w:val="0003501A"/>
    <w:rsid w:val="000352D2"/>
    <w:rsid w:val="00035351"/>
    <w:rsid w:val="000354F7"/>
    <w:rsid w:val="0003563C"/>
    <w:rsid w:val="00035AAD"/>
    <w:rsid w:val="00035C8C"/>
    <w:rsid w:val="00035D8D"/>
    <w:rsid w:val="000361C7"/>
    <w:rsid w:val="000361CF"/>
    <w:rsid w:val="000362D5"/>
    <w:rsid w:val="0003651B"/>
    <w:rsid w:val="0003655A"/>
    <w:rsid w:val="000365D9"/>
    <w:rsid w:val="000366BF"/>
    <w:rsid w:val="000366E5"/>
    <w:rsid w:val="00036977"/>
    <w:rsid w:val="00036A10"/>
    <w:rsid w:val="00036E61"/>
    <w:rsid w:val="00036E93"/>
    <w:rsid w:val="000374F1"/>
    <w:rsid w:val="00040015"/>
    <w:rsid w:val="00040085"/>
    <w:rsid w:val="0004063D"/>
    <w:rsid w:val="000409E4"/>
    <w:rsid w:val="00040AE6"/>
    <w:rsid w:val="00040B49"/>
    <w:rsid w:val="00041306"/>
    <w:rsid w:val="00041477"/>
    <w:rsid w:val="000414DC"/>
    <w:rsid w:val="00041884"/>
    <w:rsid w:val="000418E7"/>
    <w:rsid w:val="00041DF3"/>
    <w:rsid w:val="00041F1C"/>
    <w:rsid w:val="00041F8B"/>
    <w:rsid w:val="00041F92"/>
    <w:rsid w:val="00042127"/>
    <w:rsid w:val="0004255F"/>
    <w:rsid w:val="0004293C"/>
    <w:rsid w:val="00042C0E"/>
    <w:rsid w:val="00042EFC"/>
    <w:rsid w:val="000430AA"/>
    <w:rsid w:val="000431E4"/>
    <w:rsid w:val="00043518"/>
    <w:rsid w:val="00043533"/>
    <w:rsid w:val="000437FB"/>
    <w:rsid w:val="00043979"/>
    <w:rsid w:val="00043B39"/>
    <w:rsid w:val="00043F40"/>
    <w:rsid w:val="00043F66"/>
    <w:rsid w:val="00044153"/>
    <w:rsid w:val="000444C1"/>
    <w:rsid w:val="000445A5"/>
    <w:rsid w:val="00044825"/>
    <w:rsid w:val="00044846"/>
    <w:rsid w:val="00044A7E"/>
    <w:rsid w:val="00044D9F"/>
    <w:rsid w:val="00044DCC"/>
    <w:rsid w:val="00045050"/>
    <w:rsid w:val="00045194"/>
    <w:rsid w:val="00045353"/>
    <w:rsid w:val="00045425"/>
    <w:rsid w:val="00045565"/>
    <w:rsid w:val="000456E7"/>
    <w:rsid w:val="0004594E"/>
    <w:rsid w:val="000459C0"/>
    <w:rsid w:val="00045AE6"/>
    <w:rsid w:val="00045B09"/>
    <w:rsid w:val="00045B12"/>
    <w:rsid w:val="00045B57"/>
    <w:rsid w:val="00045D2C"/>
    <w:rsid w:val="00045DBD"/>
    <w:rsid w:val="00046026"/>
    <w:rsid w:val="000461CF"/>
    <w:rsid w:val="000462C2"/>
    <w:rsid w:val="000462E8"/>
    <w:rsid w:val="000463BE"/>
    <w:rsid w:val="000463D5"/>
    <w:rsid w:val="000463D7"/>
    <w:rsid w:val="0004640C"/>
    <w:rsid w:val="0004668A"/>
    <w:rsid w:val="000466AE"/>
    <w:rsid w:val="0004680E"/>
    <w:rsid w:val="000468AD"/>
    <w:rsid w:val="00046B36"/>
    <w:rsid w:val="00046E9B"/>
    <w:rsid w:val="00046F93"/>
    <w:rsid w:val="0004723B"/>
    <w:rsid w:val="00047615"/>
    <w:rsid w:val="0004764C"/>
    <w:rsid w:val="00047781"/>
    <w:rsid w:val="00047861"/>
    <w:rsid w:val="00047ABC"/>
    <w:rsid w:val="00047C44"/>
    <w:rsid w:val="00047CDA"/>
    <w:rsid w:val="00047D16"/>
    <w:rsid w:val="00047E8E"/>
    <w:rsid w:val="0005006C"/>
    <w:rsid w:val="00050075"/>
    <w:rsid w:val="0005011A"/>
    <w:rsid w:val="0005030D"/>
    <w:rsid w:val="00050313"/>
    <w:rsid w:val="0005045A"/>
    <w:rsid w:val="000506C7"/>
    <w:rsid w:val="0005085A"/>
    <w:rsid w:val="00050AC2"/>
    <w:rsid w:val="00050BB2"/>
    <w:rsid w:val="00050C0D"/>
    <w:rsid w:val="00050C86"/>
    <w:rsid w:val="00050CE2"/>
    <w:rsid w:val="00050FD0"/>
    <w:rsid w:val="000510EE"/>
    <w:rsid w:val="000514E4"/>
    <w:rsid w:val="00051619"/>
    <w:rsid w:val="000519F1"/>
    <w:rsid w:val="00051C1E"/>
    <w:rsid w:val="000520B9"/>
    <w:rsid w:val="000521D4"/>
    <w:rsid w:val="000522D5"/>
    <w:rsid w:val="0005267A"/>
    <w:rsid w:val="000528E7"/>
    <w:rsid w:val="000528EE"/>
    <w:rsid w:val="00052900"/>
    <w:rsid w:val="00052A3E"/>
    <w:rsid w:val="00052AAE"/>
    <w:rsid w:val="00052B7A"/>
    <w:rsid w:val="00052DB3"/>
    <w:rsid w:val="00052FE4"/>
    <w:rsid w:val="0005315F"/>
    <w:rsid w:val="00053271"/>
    <w:rsid w:val="00053291"/>
    <w:rsid w:val="000536B4"/>
    <w:rsid w:val="000539F9"/>
    <w:rsid w:val="00053EB3"/>
    <w:rsid w:val="0005429A"/>
    <w:rsid w:val="00054429"/>
    <w:rsid w:val="00054853"/>
    <w:rsid w:val="00054982"/>
    <w:rsid w:val="00054B4F"/>
    <w:rsid w:val="00054C27"/>
    <w:rsid w:val="000550F0"/>
    <w:rsid w:val="000555AB"/>
    <w:rsid w:val="00055752"/>
    <w:rsid w:val="00055AA1"/>
    <w:rsid w:val="00055AC3"/>
    <w:rsid w:val="00055B90"/>
    <w:rsid w:val="00055D51"/>
    <w:rsid w:val="00055EC3"/>
    <w:rsid w:val="000563CE"/>
    <w:rsid w:val="00056406"/>
    <w:rsid w:val="000564CF"/>
    <w:rsid w:val="00056552"/>
    <w:rsid w:val="00056AED"/>
    <w:rsid w:val="00056B0E"/>
    <w:rsid w:val="00056B70"/>
    <w:rsid w:val="000570D5"/>
    <w:rsid w:val="000571D0"/>
    <w:rsid w:val="00057380"/>
    <w:rsid w:val="00057461"/>
    <w:rsid w:val="0005755E"/>
    <w:rsid w:val="000576A3"/>
    <w:rsid w:val="00057848"/>
    <w:rsid w:val="00057C41"/>
    <w:rsid w:val="00057CF2"/>
    <w:rsid w:val="00057D90"/>
    <w:rsid w:val="000600E5"/>
    <w:rsid w:val="0006014D"/>
    <w:rsid w:val="00060151"/>
    <w:rsid w:val="00060568"/>
    <w:rsid w:val="000609AD"/>
    <w:rsid w:val="00060E0D"/>
    <w:rsid w:val="00061002"/>
    <w:rsid w:val="00061014"/>
    <w:rsid w:val="000611E7"/>
    <w:rsid w:val="000612C6"/>
    <w:rsid w:val="00061367"/>
    <w:rsid w:val="00061371"/>
    <w:rsid w:val="000613DD"/>
    <w:rsid w:val="00061715"/>
    <w:rsid w:val="00061811"/>
    <w:rsid w:val="00061A74"/>
    <w:rsid w:val="00061ABE"/>
    <w:rsid w:val="00061E7F"/>
    <w:rsid w:val="00061F4B"/>
    <w:rsid w:val="000621EE"/>
    <w:rsid w:val="000622FF"/>
    <w:rsid w:val="0006238B"/>
    <w:rsid w:val="00062402"/>
    <w:rsid w:val="00062528"/>
    <w:rsid w:val="000625CC"/>
    <w:rsid w:val="00062AB8"/>
    <w:rsid w:val="00062B69"/>
    <w:rsid w:val="00062D32"/>
    <w:rsid w:val="00062F53"/>
    <w:rsid w:val="00062F79"/>
    <w:rsid w:val="00063016"/>
    <w:rsid w:val="0006321E"/>
    <w:rsid w:val="00063281"/>
    <w:rsid w:val="000633D0"/>
    <w:rsid w:val="000633FD"/>
    <w:rsid w:val="00063478"/>
    <w:rsid w:val="00063585"/>
    <w:rsid w:val="00063A27"/>
    <w:rsid w:val="00063C91"/>
    <w:rsid w:val="00063F0A"/>
    <w:rsid w:val="00064301"/>
    <w:rsid w:val="000643E4"/>
    <w:rsid w:val="000644D1"/>
    <w:rsid w:val="000647B6"/>
    <w:rsid w:val="00064D08"/>
    <w:rsid w:val="00064D20"/>
    <w:rsid w:val="00064E72"/>
    <w:rsid w:val="00064F41"/>
    <w:rsid w:val="00064FAA"/>
    <w:rsid w:val="00065311"/>
    <w:rsid w:val="000656C2"/>
    <w:rsid w:val="000659B6"/>
    <w:rsid w:val="000659D9"/>
    <w:rsid w:val="00065A0A"/>
    <w:rsid w:val="00065A0C"/>
    <w:rsid w:val="00065A82"/>
    <w:rsid w:val="00065B78"/>
    <w:rsid w:val="00065D1E"/>
    <w:rsid w:val="00065D95"/>
    <w:rsid w:val="00065FEF"/>
    <w:rsid w:val="000660EF"/>
    <w:rsid w:val="000661A3"/>
    <w:rsid w:val="00066248"/>
    <w:rsid w:val="0006625D"/>
    <w:rsid w:val="00066363"/>
    <w:rsid w:val="00066858"/>
    <w:rsid w:val="00066869"/>
    <w:rsid w:val="0006686F"/>
    <w:rsid w:val="000668A2"/>
    <w:rsid w:val="0006694E"/>
    <w:rsid w:val="00066B11"/>
    <w:rsid w:val="00066C93"/>
    <w:rsid w:val="0006706C"/>
    <w:rsid w:val="000670CC"/>
    <w:rsid w:val="0006722A"/>
    <w:rsid w:val="0006742A"/>
    <w:rsid w:val="000675E4"/>
    <w:rsid w:val="000676CC"/>
    <w:rsid w:val="00067700"/>
    <w:rsid w:val="000677D3"/>
    <w:rsid w:val="00067BE0"/>
    <w:rsid w:val="00067BE2"/>
    <w:rsid w:val="00067FA1"/>
    <w:rsid w:val="000700A3"/>
    <w:rsid w:val="000704D4"/>
    <w:rsid w:val="000705A2"/>
    <w:rsid w:val="00070983"/>
    <w:rsid w:val="00071E25"/>
    <w:rsid w:val="000722B5"/>
    <w:rsid w:val="0007238E"/>
    <w:rsid w:val="0007239B"/>
    <w:rsid w:val="0007241F"/>
    <w:rsid w:val="00072669"/>
    <w:rsid w:val="000728BB"/>
    <w:rsid w:val="000728D6"/>
    <w:rsid w:val="00072B54"/>
    <w:rsid w:val="00072FFC"/>
    <w:rsid w:val="000732CF"/>
    <w:rsid w:val="00073568"/>
    <w:rsid w:val="0007359B"/>
    <w:rsid w:val="00073BED"/>
    <w:rsid w:val="00073C16"/>
    <w:rsid w:val="000741B3"/>
    <w:rsid w:val="00074233"/>
    <w:rsid w:val="000743C7"/>
    <w:rsid w:val="000744F2"/>
    <w:rsid w:val="00074554"/>
    <w:rsid w:val="000747A2"/>
    <w:rsid w:val="000747C6"/>
    <w:rsid w:val="000749CA"/>
    <w:rsid w:val="00074D3F"/>
    <w:rsid w:val="00074ECA"/>
    <w:rsid w:val="00075069"/>
    <w:rsid w:val="0007515D"/>
    <w:rsid w:val="00075174"/>
    <w:rsid w:val="000751DA"/>
    <w:rsid w:val="00075664"/>
    <w:rsid w:val="000758CC"/>
    <w:rsid w:val="000758EA"/>
    <w:rsid w:val="00075AC3"/>
    <w:rsid w:val="00075B96"/>
    <w:rsid w:val="00075B9D"/>
    <w:rsid w:val="00075E0D"/>
    <w:rsid w:val="00076114"/>
    <w:rsid w:val="0007661B"/>
    <w:rsid w:val="0007662C"/>
    <w:rsid w:val="000766FD"/>
    <w:rsid w:val="00076700"/>
    <w:rsid w:val="00076838"/>
    <w:rsid w:val="000768E5"/>
    <w:rsid w:val="00076C02"/>
    <w:rsid w:val="000774C0"/>
    <w:rsid w:val="00077860"/>
    <w:rsid w:val="00077B3E"/>
    <w:rsid w:val="00077BD7"/>
    <w:rsid w:val="00077C96"/>
    <w:rsid w:val="00077CD0"/>
    <w:rsid w:val="00077E2D"/>
    <w:rsid w:val="00077F31"/>
    <w:rsid w:val="00077FE5"/>
    <w:rsid w:val="000804C9"/>
    <w:rsid w:val="00080A09"/>
    <w:rsid w:val="00080A21"/>
    <w:rsid w:val="00080A2C"/>
    <w:rsid w:val="00080CD5"/>
    <w:rsid w:val="00080E90"/>
    <w:rsid w:val="000814AC"/>
    <w:rsid w:val="0008150F"/>
    <w:rsid w:val="000816A0"/>
    <w:rsid w:val="000817BC"/>
    <w:rsid w:val="0008196A"/>
    <w:rsid w:val="00081C01"/>
    <w:rsid w:val="00081C32"/>
    <w:rsid w:val="00081CBD"/>
    <w:rsid w:val="00081EDD"/>
    <w:rsid w:val="00081FAB"/>
    <w:rsid w:val="00082358"/>
    <w:rsid w:val="000824CB"/>
    <w:rsid w:val="00082951"/>
    <w:rsid w:val="00082ABC"/>
    <w:rsid w:val="00082BB6"/>
    <w:rsid w:val="00082DE0"/>
    <w:rsid w:val="00083255"/>
    <w:rsid w:val="0008334E"/>
    <w:rsid w:val="00083355"/>
    <w:rsid w:val="00083385"/>
    <w:rsid w:val="000834A6"/>
    <w:rsid w:val="00083691"/>
    <w:rsid w:val="000836EB"/>
    <w:rsid w:val="00083736"/>
    <w:rsid w:val="00083743"/>
    <w:rsid w:val="00083789"/>
    <w:rsid w:val="000838EE"/>
    <w:rsid w:val="00083C16"/>
    <w:rsid w:val="00084566"/>
    <w:rsid w:val="00084675"/>
    <w:rsid w:val="000847AB"/>
    <w:rsid w:val="00084919"/>
    <w:rsid w:val="0008497E"/>
    <w:rsid w:val="00084AAA"/>
    <w:rsid w:val="00084C11"/>
    <w:rsid w:val="00084D24"/>
    <w:rsid w:val="00084D6A"/>
    <w:rsid w:val="00085163"/>
    <w:rsid w:val="000854DD"/>
    <w:rsid w:val="000855DF"/>
    <w:rsid w:val="000857A8"/>
    <w:rsid w:val="00085B06"/>
    <w:rsid w:val="00085D39"/>
    <w:rsid w:val="00085E82"/>
    <w:rsid w:val="000861E3"/>
    <w:rsid w:val="00086261"/>
    <w:rsid w:val="000862A2"/>
    <w:rsid w:val="000862F3"/>
    <w:rsid w:val="00086302"/>
    <w:rsid w:val="00086742"/>
    <w:rsid w:val="00086D4A"/>
    <w:rsid w:val="00087561"/>
    <w:rsid w:val="00087717"/>
    <w:rsid w:val="0008776B"/>
    <w:rsid w:val="000878A9"/>
    <w:rsid w:val="00087A44"/>
    <w:rsid w:val="00087A84"/>
    <w:rsid w:val="00087B1D"/>
    <w:rsid w:val="00087C5A"/>
    <w:rsid w:val="00087E1D"/>
    <w:rsid w:val="00087F78"/>
    <w:rsid w:val="0009019D"/>
    <w:rsid w:val="000901C4"/>
    <w:rsid w:val="00090375"/>
    <w:rsid w:val="000903C4"/>
    <w:rsid w:val="00090565"/>
    <w:rsid w:val="00090656"/>
    <w:rsid w:val="0009090B"/>
    <w:rsid w:val="00090D6F"/>
    <w:rsid w:val="00090ECB"/>
    <w:rsid w:val="00091118"/>
    <w:rsid w:val="0009113A"/>
    <w:rsid w:val="000911B1"/>
    <w:rsid w:val="0009144E"/>
    <w:rsid w:val="0009145E"/>
    <w:rsid w:val="00091494"/>
    <w:rsid w:val="000914A9"/>
    <w:rsid w:val="000915ED"/>
    <w:rsid w:val="00091621"/>
    <w:rsid w:val="000917FF"/>
    <w:rsid w:val="00091BD6"/>
    <w:rsid w:val="00091C42"/>
    <w:rsid w:val="00091D81"/>
    <w:rsid w:val="00091DF3"/>
    <w:rsid w:val="00091E75"/>
    <w:rsid w:val="00091EFC"/>
    <w:rsid w:val="0009209D"/>
    <w:rsid w:val="000921CE"/>
    <w:rsid w:val="000921F3"/>
    <w:rsid w:val="00092327"/>
    <w:rsid w:val="00092389"/>
    <w:rsid w:val="00092440"/>
    <w:rsid w:val="0009256F"/>
    <w:rsid w:val="00092964"/>
    <w:rsid w:val="00092A98"/>
    <w:rsid w:val="00092C12"/>
    <w:rsid w:val="00092E3F"/>
    <w:rsid w:val="00092F32"/>
    <w:rsid w:val="00093227"/>
    <w:rsid w:val="000933CC"/>
    <w:rsid w:val="00093865"/>
    <w:rsid w:val="000939E8"/>
    <w:rsid w:val="00093B0D"/>
    <w:rsid w:val="000941FC"/>
    <w:rsid w:val="00094437"/>
    <w:rsid w:val="0009443F"/>
    <w:rsid w:val="0009446A"/>
    <w:rsid w:val="0009463C"/>
    <w:rsid w:val="00094A15"/>
    <w:rsid w:val="00094A8D"/>
    <w:rsid w:val="00094B3C"/>
    <w:rsid w:val="00094C1E"/>
    <w:rsid w:val="00094E08"/>
    <w:rsid w:val="00094E9A"/>
    <w:rsid w:val="0009501F"/>
    <w:rsid w:val="00095358"/>
    <w:rsid w:val="000957A1"/>
    <w:rsid w:val="000959F5"/>
    <w:rsid w:val="00095DD4"/>
    <w:rsid w:val="00096953"/>
    <w:rsid w:val="000969BD"/>
    <w:rsid w:val="000969BF"/>
    <w:rsid w:val="00096EDF"/>
    <w:rsid w:val="00097181"/>
    <w:rsid w:val="000971BD"/>
    <w:rsid w:val="000973D7"/>
    <w:rsid w:val="00097453"/>
    <w:rsid w:val="0009769C"/>
    <w:rsid w:val="000977D2"/>
    <w:rsid w:val="000979AC"/>
    <w:rsid w:val="00097C80"/>
    <w:rsid w:val="00097D7B"/>
    <w:rsid w:val="00097DA6"/>
    <w:rsid w:val="00097EE2"/>
    <w:rsid w:val="000A03F5"/>
    <w:rsid w:val="000A0518"/>
    <w:rsid w:val="000A05B0"/>
    <w:rsid w:val="000A05C5"/>
    <w:rsid w:val="000A0630"/>
    <w:rsid w:val="000A0832"/>
    <w:rsid w:val="000A0AEE"/>
    <w:rsid w:val="000A0B48"/>
    <w:rsid w:val="000A0BB0"/>
    <w:rsid w:val="000A0C22"/>
    <w:rsid w:val="000A0F89"/>
    <w:rsid w:val="000A1204"/>
    <w:rsid w:val="000A1337"/>
    <w:rsid w:val="000A1400"/>
    <w:rsid w:val="000A1447"/>
    <w:rsid w:val="000A1594"/>
    <w:rsid w:val="000A17CF"/>
    <w:rsid w:val="000A1C2A"/>
    <w:rsid w:val="000A1D20"/>
    <w:rsid w:val="000A1EDB"/>
    <w:rsid w:val="000A20A4"/>
    <w:rsid w:val="000A2144"/>
    <w:rsid w:val="000A214A"/>
    <w:rsid w:val="000A21BC"/>
    <w:rsid w:val="000A2245"/>
    <w:rsid w:val="000A2421"/>
    <w:rsid w:val="000A28B4"/>
    <w:rsid w:val="000A2B14"/>
    <w:rsid w:val="000A321A"/>
    <w:rsid w:val="000A3264"/>
    <w:rsid w:val="000A3287"/>
    <w:rsid w:val="000A345E"/>
    <w:rsid w:val="000A38B1"/>
    <w:rsid w:val="000A3BC1"/>
    <w:rsid w:val="000A3C43"/>
    <w:rsid w:val="000A4401"/>
    <w:rsid w:val="000A46E2"/>
    <w:rsid w:val="000A498C"/>
    <w:rsid w:val="000A4A51"/>
    <w:rsid w:val="000A4CDD"/>
    <w:rsid w:val="000A4DF6"/>
    <w:rsid w:val="000A4DF8"/>
    <w:rsid w:val="000A502B"/>
    <w:rsid w:val="000A5366"/>
    <w:rsid w:val="000A5534"/>
    <w:rsid w:val="000A5612"/>
    <w:rsid w:val="000A56A8"/>
    <w:rsid w:val="000A58B9"/>
    <w:rsid w:val="000A5D2B"/>
    <w:rsid w:val="000A5FD1"/>
    <w:rsid w:val="000A6242"/>
    <w:rsid w:val="000A630C"/>
    <w:rsid w:val="000A67A3"/>
    <w:rsid w:val="000A692D"/>
    <w:rsid w:val="000A6CFD"/>
    <w:rsid w:val="000A7108"/>
    <w:rsid w:val="000A7437"/>
    <w:rsid w:val="000A758D"/>
    <w:rsid w:val="000A7629"/>
    <w:rsid w:val="000A778C"/>
    <w:rsid w:val="000A786D"/>
    <w:rsid w:val="000A78C9"/>
    <w:rsid w:val="000A7A82"/>
    <w:rsid w:val="000A7D02"/>
    <w:rsid w:val="000B0073"/>
    <w:rsid w:val="000B00A1"/>
    <w:rsid w:val="000B0129"/>
    <w:rsid w:val="000B023C"/>
    <w:rsid w:val="000B0418"/>
    <w:rsid w:val="000B0578"/>
    <w:rsid w:val="000B06F9"/>
    <w:rsid w:val="000B0843"/>
    <w:rsid w:val="000B0C5B"/>
    <w:rsid w:val="000B0D15"/>
    <w:rsid w:val="000B0FB9"/>
    <w:rsid w:val="000B12AC"/>
    <w:rsid w:val="000B13A1"/>
    <w:rsid w:val="000B157D"/>
    <w:rsid w:val="000B1598"/>
    <w:rsid w:val="000B18BC"/>
    <w:rsid w:val="000B19C6"/>
    <w:rsid w:val="000B205D"/>
    <w:rsid w:val="000B21AB"/>
    <w:rsid w:val="000B21F9"/>
    <w:rsid w:val="000B257D"/>
    <w:rsid w:val="000B2594"/>
    <w:rsid w:val="000B25FE"/>
    <w:rsid w:val="000B2B02"/>
    <w:rsid w:val="000B2E66"/>
    <w:rsid w:val="000B30D6"/>
    <w:rsid w:val="000B3264"/>
    <w:rsid w:val="000B3304"/>
    <w:rsid w:val="000B347A"/>
    <w:rsid w:val="000B35C3"/>
    <w:rsid w:val="000B3A40"/>
    <w:rsid w:val="000B3AEE"/>
    <w:rsid w:val="000B3CAD"/>
    <w:rsid w:val="000B3CE8"/>
    <w:rsid w:val="000B407A"/>
    <w:rsid w:val="000B415D"/>
    <w:rsid w:val="000B43B4"/>
    <w:rsid w:val="000B4664"/>
    <w:rsid w:val="000B4844"/>
    <w:rsid w:val="000B4AC5"/>
    <w:rsid w:val="000B4B17"/>
    <w:rsid w:val="000B4CFC"/>
    <w:rsid w:val="000B4FBD"/>
    <w:rsid w:val="000B5593"/>
    <w:rsid w:val="000B5B27"/>
    <w:rsid w:val="000B5CFD"/>
    <w:rsid w:val="000B5D7F"/>
    <w:rsid w:val="000B5D80"/>
    <w:rsid w:val="000B5DE3"/>
    <w:rsid w:val="000B5DF2"/>
    <w:rsid w:val="000B5F1D"/>
    <w:rsid w:val="000B5FBB"/>
    <w:rsid w:val="000B6126"/>
    <w:rsid w:val="000B61E7"/>
    <w:rsid w:val="000B61F4"/>
    <w:rsid w:val="000B6C8A"/>
    <w:rsid w:val="000B6E47"/>
    <w:rsid w:val="000B737E"/>
    <w:rsid w:val="000B73E6"/>
    <w:rsid w:val="000B7428"/>
    <w:rsid w:val="000B767C"/>
    <w:rsid w:val="000B76B8"/>
    <w:rsid w:val="000B7765"/>
    <w:rsid w:val="000B784F"/>
    <w:rsid w:val="000B7A4C"/>
    <w:rsid w:val="000B7A7B"/>
    <w:rsid w:val="000B7B62"/>
    <w:rsid w:val="000B7DEF"/>
    <w:rsid w:val="000C03E3"/>
    <w:rsid w:val="000C0425"/>
    <w:rsid w:val="000C042E"/>
    <w:rsid w:val="000C0A57"/>
    <w:rsid w:val="000C0CA1"/>
    <w:rsid w:val="000C0E02"/>
    <w:rsid w:val="000C0ECD"/>
    <w:rsid w:val="000C11BB"/>
    <w:rsid w:val="000C216A"/>
    <w:rsid w:val="000C230C"/>
    <w:rsid w:val="000C237C"/>
    <w:rsid w:val="000C2772"/>
    <w:rsid w:val="000C28FC"/>
    <w:rsid w:val="000C2950"/>
    <w:rsid w:val="000C29DC"/>
    <w:rsid w:val="000C2EAC"/>
    <w:rsid w:val="000C2EB9"/>
    <w:rsid w:val="000C312F"/>
    <w:rsid w:val="000C316C"/>
    <w:rsid w:val="000C31E7"/>
    <w:rsid w:val="000C3347"/>
    <w:rsid w:val="000C347C"/>
    <w:rsid w:val="000C3639"/>
    <w:rsid w:val="000C385F"/>
    <w:rsid w:val="000C3D8E"/>
    <w:rsid w:val="000C40C2"/>
    <w:rsid w:val="000C421F"/>
    <w:rsid w:val="000C4359"/>
    <w:rsid w:val="000C463A"/>
    <w:rsid w:val="000C4875"/>
    <w:rsid w:val="000C4F66"/>
    <w:rsid w:val="000C50D0"/>
    <w:rsid w:val="000C519F"/>
    <w:rsid w:val="000C5668"/>
    <w:rsid w:val="000C5BAF"/>
    <w:rsid w:val="000C5E9E"/>
    <w:rsid w:val="000C6591"/>
    <w:rsid w:val="000C65FF"/>
    <w:rsid w:val="000C6AB4"/>
    <w:rsid w:val="000C6C1E"/>
    <w:rsid w:val="000C6C7B"/>
    <w:rsid w:val="000C713E"/>
    <w:rsid w:val="000C7313"/>
    <w:rsid w:val="000C7878"/>
    <w:rsid w:val="000C78F8"/>
    <w:rsid w:val="000C7AA0"/>
    <w:rsid w:val="000D006B"/>
    <w:rsid w:val="000D007D"/>
    <w:rsid w:val="000D00B9"/>
    <w:rsid w:val="000D0151"/>
    <w:rsid w:val="000D029C"/>
    <w:rsid w:val="000D0599"/>
    <w:rsid w:val="000D059B"/>
    <w:rsid w:val="000D05F5"/>
    <w:rsid w:val="000D077F"/>
    <w:rsid w:val="000D0AAB"/>
    <w:rsid w:val="000D0CDD"/>
    <w:rsid w:val="000D1021"/>
    <w:rsid w:val="000D11EC"/>
    <w:rsid w:val="000D125D"/>
    <w:rsid w:val="000D135F"/>
    <w:rsid w:val="000D138D"/>
    <w:rsid w:val="000D15B8"/>
    <w:rsid w:val="000D1961"/>
    <w:rsid w:val="000D1CDD"/>
    <w:rsid w:val="000D1DEB"/>
    <w:rsid w:val="000D1FA8"/>
    <w:rsid w:val="000D2197"/>
    <w:rsid w:val="000D2348"/>
    <w:rsid w:val="000D2890"/>
    <w:rsid w:val="000D2A24"/>
    <w:rsid w:val="000D2A5B"/>
    <w:rsid w:val="000D2AAB"/>
    <w:rsid w:val="000D2BFC"/>
    <w:rsid w:val="000D2C23"/>
    <w:rsid w:val="000D2D01"/>
    <w:rsid w:val="000D3283"/>
    <w:rsid w:val="000D3514"/>
    <w:rsid w:val="000D351F"/>
    <w:rsid w:val="000D35ED"/>
    <w:rsid w:val="000D3A41"/>
    <w:rsid w:val="000D3AE5"/>
    <w:rsid w:val="000D3BEA"/>
    <w:rsid w:val="000D3F51"/>
    <w:rsid w:val="000D44BF"/>
    <w:rsid w:val="000D463C"/>
    <w:rsid w:val="000D46DA"/>
    <w:rsid w:val="000D4A9A"/>
    <w:rsid w:val="000D4B54"/>
    <w:rsid w:val="000D4D5D"/>
    <w:rsid w:val="000D4F96"/>
    <w:rsid w:val="000D5593"/>
    <w:rsid w:val="000D5700"/>
    <w:rsid w:val="000D5884"/>
    <w:rsid w:val="000D58B9"/>
    <w:rsid w:val="000D5969"/>
    <w:rsid w:val="000D596E"/>
    <w:rsid w:val="000D602C"/>
    <w:rsid w:val="000D6337"/>
    <w:rsid w:val="000D636C"/>
    <w:rsid w:val="000D647E"/>
    <w:rsid w:val="000D687A"/>
    <w:rsid w:val="000D6A44"/>
    <w:rsid w:val="000D6ABC"/>
    <w:rsid w:val="000D6ADD"/>
    <w:rsid w:val="000D6DF3"/>
    <w:rsid w:val="000D6FCC"/>
    <w:rsid w:val="000D6FD3"/>
    <w:rsid w:val="000D71D9"/>
    <w:rsid w:val="000D7248"/>
    <w:rsid w:val="000D73AB"/>
    <w:rsid w:val="000D76E0"/>
    <w:rsid w:val="000D779B"/>
    <w:rsid w:val="000D799C"/>
    <w:rsid w:val="000D79E8"/>
    <w:rsid w:val="000D7BE5"/>
    <w:rsid w:val="000D7CE6"/>
    <w:rsid w:val="000D7D80"/>
    <w:rsid w:val="000D7E83"/>
    <w:rsid w:val="000D7E8B"/>
    <w:rsid w:val="000E0064"/>
    <w:rsid w:val="000E027D"/>
    <w:rsid w:val="000E02C2"/>
    <w:rsid w:val="000E03A3"/>
    <w:rsid w:val="000E03BE"/>
    <w:rsid w:val="000E075A"/>
    <w:rsid w:val="000E0892"/>
    <w:rsid w:val="000E09A4"/>
    <w:rsid w:val="000E0A3D"/>
    <w:rsid w:val="000E0EBE"/>
    <w:rsid w:val="000E1131"/>
    <w:rsid w:val="000E117F"/>
    <w:rsid w:val="000E1473"/>
    <w:rsid w:val="000E1591"/>
    <w:rsid w:val="000E15AD"/>
    <w:rsid w:val="000E171D"/>
    <w:rsid w:val="000E1977"/>
    <w:rsid w:val="000E1F1A"/>
    <w:rsid w:val="000E20AD"/>
    <w:rsid w:val="000E240A"/>
    <w:rsid w:val="000E2820"/>
    <w:rsid w:val="000E2D20"/>
    <w:rsid w:val="000E2E1C"/>
    <w:rsid w:val="000E2E26"/>
    <w:rsid w:val="000E2EAA"/>
    <w:rsid w:val="000E2FB4"/>
    <w:rsid w:val="000E2FE1"/>
    <w:rsid w:val="000E33A6"/>
    <w:rsid w:val="000E35F2"/>
    <w:rsid w:val="000E376F"/>
    <w:rsid w:val="000E3A5F"/>
    <w:rsid w:val="000E3AE7"/>
    <w:rsid w:val="000E3E19"/>
    <w:rsid w:val="000E3E72"/>
    <w:rsid w:val="000E4040"/>
    <w:rsid w:val="000E4093"/>
    <w:rsid w:val="000E4363"/>
    <w:rsid w:val="000E4449"/>
    <w:rsid w:val="000E45D8"/>
    <w:rsid w:val="000E4636"/>
    <w:rsid w:val="000E468D"/>
    <w:rsid w:val="000E483C"/>
    <w:rsid w:val="000E4853"/>
    <w:rsid w:val="000E4895"/>
    <w:rsid w:val="000E4EA5"/>
    <w:rsid w:val="000E5444"/>
    <w:rsid w:val="000E554B"/>
    <w:rsid w:val="000E5874"/>
    <w:rsid w:val="000E59DE"/>
    <w:rsid w:val="000E5B07"/>
    <w:rsid w:val="000E5CAB"/>
    <w:rsid w:val="000E5DF9"/>
    <w:rsid w:val="000E5E08"/>
    <w:rsid w:val="000E6019"/>
    <w:rsid w:val="000E6097"/>
    <w:rsid w:val="000E647C"/>
    <w:rsid w:val="000E6697"/>
    <w:rsid w:val="000E66FB"/>
    <w:rsid w:val="000E6828"/>
    <w:rsid w:val="000E684B"/>
    <w:rsid w:val="000E6AA0"/>
    <w:rsid w:val="000E7651"/>
    <w:rsid w:val="000E7811"/>
    <w:rsid w:val="000E7F61"/>
    <w:rsid w:val="000F01C6"/>
    <w:rsid w:val="000F034F"/>
    <w:rsid w:val="000F049F"/>
    <w:rsid w:val="000F04FF"/>
    <w:rsid w:val="000F065E"/>
    <w:rsid w:val="000F07E4"/>
    <w:rsid w:val="000F0892"/>
    <w:rsid w:val="000F0902"/>
    <w:rsid w:val="000F0D65"/>
    <w:rsid w:val="000F0F72"/>
    <w:rsid w:val="000F0FA7"/>
    <w:rsid w:val="000F11E2"/>
    <w:rsid w:val="000F1676"/>
    <w:rsid w:val="000F16B5"/>
    <w:rsid w:val="000F1818"/>
    <w:rsid w:val="000F18CB"/>
    <w:rsid w:val="000F1A5F"/>
    <w:rsid w:val="000F1F2C"/>
    <w:rsid w:val="000F22BC"/>
    <w:rsid w:val="000F23A5"/>
    <w:rsid w:val="000F23C4"/>
    <w:rsid w:val="000F25A4"/>
    <w:rsid w:val="000F261B"/>
    <w:rsid w:val="000F2993"/>
    <w:rsid w:val="000F2DD7"/>
    <w:rsid w:val="000F2F09"/>
    <w:rsid w:val="000F2F68"/>
    <w:rsid w:val="000F3186"/>
    <w:rsid w:val="000F318D"/>
    <w:rsid w:val="000F3D92"/>
    <w:rsid w:val="000F3E2A"/>
    <w:rsid w:val="000F3E89"/>
    <w:rsid w:val="000F4076"/>
    <w:rsid w:val="000F41A5"/>
    <w:rsid w:val="000F4631"/>
    <w:rsid w:val="000F4689"/>
    <w:rsid w:val="000F4B34"/>
    <w:rsid w:val="000F4E1E"/>
    <w:rsid w:val="000F4E21"/>
    <w:rsid w:val="000F5081"/>
    <w:rsid w:val="000F5189"/>
    <w:rsid w:val="000F51BB"/>
    <w:rsid w:val="000F525C"/>
    <w:rsid w:val="000F53F6"/>
    <w:rsid w:val="000F547B"/>
    <w:rsid w:val="000F5894"/>
    <w:rsid w:val="000F5918"/>
    <w:rsid w:val="000F5D70"/>
    <w:rsid w:val="000F60A2"/>
    <w:rsid w:val="000F6245"/>
    <w:rsid w:val="000F62DB"/>
    <w:rsid w:val="000F6310"/>
    <w:rsid w:val="000F6455"/>
    <w:rsid w:val="000F65C5"/>
    <w:rsid w:val="000F6647"/>
    <w:rsid w:val="000F66F4"/>
    <w:rsid w:val="000F69A7"/>
    <w:rsid w:val="000F6CDC"/>
    <w:rsid w:val="000F6CE8"/>
    <w:rsid w:val="000F6D20"/>
    <w:rsid w:val="000F6D33"/>
    <w:rsid w:val="000F6E71"/>
    <w:rsid w:val="000F6E80"/>
    <w:rsid w:val="000F6FB0"/>
    <w:rsid w:val="000F7025"/>
    <w:rsid w:val="000F71FE"/>
    <w:rsid w:val="000F7636"/>
    <w:rsid w:val="000F77BD"/>
    <w:rsid w:val="000F7BA0"/>
    <w:rsid w:val="000F7C80"/>
    <w:rsid w:val="000F7D46"/>
    <w:rsid w:val="0010015E"/>
    <w:rsid w:val="0010016D"/>
    <w:rsid w:val="001003EA"/>
    <w:rsid w:val="00100407"/>
    <w:rsid w:val="0010048F"/>
    <w:rsid w:val="00100791"/>
    <w:rsid w:val="00100A72"/>
    <w:rsid w:val="00100ADC"/>
    <w:rsid w:val="00100AE1"/>
    <w:rsid w:val="00100AE7"/>
    <w:rsid w:val="00100B2D"/>
    <w:rsid w:val="00100C5C"/>
    <w:rsid w:val="00100EDF"/>
    <w:rsid w:val="00101171"/>
    <w:rsid w:val="0010128C"/>
    <w:rsid w:val="001012CD"/>
    <w:rsid w:val="001013B4"/>
    <w:rsid w:val="00101772"/>
    <w:rsid w:val="001017E3"/>
    <w:rsid w:val="0010187B"/>
    <w:rsid w:val="00101A1A"/>
    <w:rsid w:val="00101D43"/>
    <w:rsid w:val="00101DD2"/>
    <w:rsid w:val="00101E05"/>
    <w:rsid w:val="00102050"/>
    <w:rsid w:val="00102051"/>
    <w:rsid w:val="001021B7"/>
    <w:rsid w:val="0010248D"/>
    <w:rsid w:val="0010250C"/>
    <w:rsid w:val="00102578"/>
    <w:rsid w:val="001025A9"/>
    <w:rsid w:val="0010267F"/>
    <w:rsid w:val="0010275B"/>
    <w:rsid w:val="0010289A"/>
    <w:rsid w:val="00102966"/>
    <w:rsid w:val="00102A1F"/>
    <w:rsid w:val="00102BA1"/>
    <w:rsid w:val="00102F0C"/>
    <w:rsid w:val="00103004"/>
    <w:rsid w:val="0010338C"/>
    <w:rsid w:val="001035D2"/>
    <w:rsid w:val="001035F2"/>
    <w:rsid w:val="001037D5"/>
    <w:rsid w:val="00103803"/>
    <w:rsid w:val="00103829"/>
    <w:rsid w:val="00103871"/>
    <w:rsid w:val="00103D1B"/>
    <w:rsid w:val="00103E0D"/>
    <w:rsid w:val="001042D2"/>
    <w:rsid w:val="00104415"/>
    <w:rsid w:val="001044CB"/>
    <w:rsid w:val="00104E70"/>
    <w:rsid w:val="001050AC"/>
    <w:rsid w:val="001050AF"/>
    <w:rsid w:val="00105153"/>
    <w:rsid w:val="0010532D"/>
    <w:rsid w:val="001057DE"/>
    <w:rsid w:val="001059C0"/>
    <w:rsid w:val="00105C49"/>
    <w:rsid w:val="00105E1B"/>
    <w:rsid w:val="00105E72"/>
    <w:rsid w:val="00105FF7"/>
    <w:rsid w:val="00106794"/>
    <w:rsid w:val="00106907"/>
    <w:rsid w:val="0010696A"/>
    <w:rsid w:val="00106E18"/>
    <w:rsid w:val="001071A2"/>
    <w:rsid w:val="00107348"/>
    <w:rsid w:val="001073A5"/>
    <w:rsid w:val="0010753D"/>
    <w:rsid w:val="00107854"/>
    <w:rsid w:val="001078C1"/>
    <w:rsid w:val="001079D2"/>
    <w:rsid w:val="00107A79"/>
    <w:rsid w:val="00107BEA"/>
    <w:rsid w:val="00107DC5"/>
    <w:rsid w:val="001103E7"/>
    <w:rsid w:val="00110693"/>
    <w:rsid w:val="001106BC"/>
    <w:rsid w:val="00110779"/>
    <w:rsid w:val="00110812"/>
    <w:rsid w:val="0011089A"/>
    <w:rsid w:val="0011094F"/>
    <w:rsid w:val="00110D6B"/>
    <w:rsid w:val="00110F4B"/>
    <w:rsid w:val="00111267"/>
    <w:rsid w:val="001112CC"/>
    <w:rsid w:val="00111765"/>
    <w:rsid w:val="001117B5"/>
    <w:rsid w:val="001118AE"/>
    <w:rsid w:val="001118EE"/>
    <w:rsid w:val="00111974"/>
    <w:rsid w:val="00111B47"/>
    <w:rsid w:val="00111D50"/>
    <w:rsid w:val="00111FCE"/>
    <w:rsid w:val="0011200C"/>
    <w:rsid w:val="00112356"/>
    <w:rsid w:val="001125FF"/>
    <w:rsid w:val="001127A8"/>
    <w:rsid w:val="00112832"/>
    <w:rsid w:val="00112986"/>
    <w:rsid w:val="001135FA"/>
    <w:rsid w:val="00113668"/>
    <w:rsid w:val="001136BA"/>
    <w:rsid w:val="0011380F"/>
    <w:rsid w:val="00113DE3"/>
    <w:rsid w:val="00113F84"/>
    <w:rsid w:val="00114025"/>
    <w:rsid w:val="00114108"/>
    <w:rsid w:val="0011433D"/>
    <w:rsid w:val="001144DA"/>
    <w:rsid w:val="001147CD"/>
    <w:rsid w:val="00114A60"/>
    <w:rsid w:val="00114A78"/>
    <w:rsid w:val="00114B90"/>
    <w:rsid w:val="00114BDF"/>
    <w:rsid w:val="00114C1D"/>
    <w:rsid w:val="00114C31"/>
    <w:rsid w:val="00114D5B"/>
    <w:rsid w:val="00114F8E"/>
    <w:rsid w:val="00115460"/>
    <w:rsid w:val="00115487"/>
    <w:rsid w:val="001154F9"/>
    <w:rsid w:val="0011556B"/>
    <w:rsid w:val="001158D5"/>
    <w:rsid w:val="00115AAE"/>
    <w:rsid w:val="00115C26"/>
    <w:rsid w:val="00115DE6"/>
    <w:rsid w:val="00115E6F"/>
    <w:rsid w:val="00116245"/>
    <w:rsid w:val="001165D9"/>
    <w:rsid w:val="00116640"/>
    <w:rsid w:val="001166F5"/>
    <w:rsid w:val="00116AE4"/>
    <w:rsid w:val="00116B2B"/>
    <w:rsid w:val="00116B54"/>
    <w:rsid w:val="00116BD5"/>
    <w:rsid w:val="00116E92"/>
    <w:rsid w:val="00117047"/>
    <w:rsid w:val="0011719F"/>
    <w:rsid w:val="001171FD"/>
    <w:rsid w:val="001172EA"/>
    <w:rsid w:val="00117572"/>
    <w:rsid w:val="001175EE"/>
    <w:rsid w:val="001176D0"/>
    <w:rsid w:val="00117940"/>
    <w:rsid w:val="001179D4"/>
    <w:rsid w:val="00117ABC"/>
    <w:rsid w:val="00117AC7"/>
    <w:rsid w:val="00117B19"/>
    <w:rsid w:val="00117B81"/>
    <w:rsid w:val="00117CD8"/>
    <w:rsid w:val="00117E54"/>
    <w:rsid w:val="00120295"/>
    <w:rsid w:val="00120500"/>
    <w:rsid w:val="001208F9"/>
    <w:rsid w:val="00120A70"/>
    <w:rsid w:val="00120BED"/>
    <w:rsid w:val="00120DF3"/>
    <w:rsid w:val="00120E0B"/>
    <w:rsid w:val="00120F3F"/>
    <w:rsid w:val="001211CA"/>
    <w:rsid w:val="00121420"/>
    <w:rsid w:val="00121510"/>
    <w:rsid w:val="001219B1"/>
    <w:rsid w:val="00121CFB"/>
    <w:rsid w:val="00122020"/>
    <w:rsid w:val="0012215C"/>
    <w:rsid w:val="0012283F"/>
    <w:rsid w:val="001229A5"/>
    <w:rsid w:val="00122C4C"/>
    <w:rsid w:val="00122E34"/>
    <w:rsid w:val="00122EBC"/>
    <w:rsid w:val="001231C9"/>
    <w:rsid w:val="0012332A"/>
    <w:rsid w:val="00123513"/>
    <w:rsid w:val="00123AB4"/>
    <w:rsid w:val="00123BF8"/>
    <w:rsid w:val="00123D62"/>
    <w:rsid w:val="00123FED"/>
    <w:rsid w:val="001241F9"/>
    <w:rsid w:val="001241FF"/>
    <w:rsid w:val="0012428F"/>
    <w:rsid w:val="001242C8"/>
    <w:rsid w:val="0012449C"/>
    <w:rsid w:val="0012472F"/>
    <w:rsid w:val="0012476B"/>
    <w:rsid w:val="001247B7"/>
    <w:rsid w:val="0012483C"/>
    <w:rsid w:val="0012489B"/>
    <w:rsid w:val="00124935"/>
    <w:rsid w:val="00124C93"/>
    <w:rsid w:val="00125244"/>
    <w:rsid w:val="0012534D"/>
    <w:rsid w:val="0012548E"/>
    <w:rsid w:val="0012571D"/>
    <w:rsid w:val="00125C87"/>
    <w:rsid w:val="00125CC4"/>
    <w:rsid w:val="00125E0D"/>
    <w:rsid w:val="00125E79"/>
    <w:rsid w:val="001262AF"/>
    <w:rsid w:val="00126307"/>
    <w:rsid w:val="00126347"/>
    <w:rsid w:val="001263B5"/>
    <w:rsid w:val="00126596"/>
    <w:rsid w:val="001265E7"/>
    <w:rsid w:val="001268A6"/>
    <w:rsid w:val="00127057"/>
    <w:rsid w:val="0012737D"/>
    <w:rsid w:val="001276E0"/>
    <w:rsid w:val="00127770"/>
    <w:rsid w:val="00127F7F"/>
    <w:rsid w:val="00130017"/>
    <w:rsid w:val="00130043"/>
    <w:rsid w:val="0013049A"/>
    <w:rsid w:val="001306BE"/>
    <w:rsid w:val="00130A0E"/>
    <w:rsid w:val="00130BA5"/>
    <w:rsid w:val="00130BE3"/>
    <w:rsid w:val="00130F91"/>
    <w:rsid w:val="00131133"/>
    <w:rsid w:val="00131540"/>
    <w:rsid w:val="00131705"/>
    <w:rsid w:val="0013170A"/>
    <w:rsid w:val="00131993"/>
    <w:rsid w:val="001319D5"/>
    <w:rsid w:val="00131A4E"/>
    <w:rsid w:val="00131E58"/>
    <w:rsid w:val="00131ECA"/>
    <w:rsid w:val="001321F5"/>
    <w:rsid w:val="00132358"/>
    <w:rsid w:val="0013236F"/>
    <w:rsid w:val="00132652"/>
    <w:rsid w:val="00132696"/>
    <w:rsid w:val="001326AD"/>
    <w:rsid w:val="001326F5"/>
    <w:rsid w:val="001327A2"/>
    <w:rsid w:val="001327AD"/>
    <w:rsid w:val="001329DF"/>
    <w:rsid w:val="001329EC"/>
    <w:rsid w:val="00132A99"/>
    <w:rsid w:val="00132B45"/>
    <w:rsid w:val="00132B74"/>
    <w:rsid w:val="00132C8D"/>
    <w:rsid w:val="00132DCD"/>
    <w:rsid w:val="0013326F"/>
    <w:rsid w:val="001332BB"/>
    <w:rsid w:val="00133418"/>
    <w:rsid w:val="001334D0"/>
    <w:rsid w:val="00133690"/>
    <w:rsid w:val="00133717"/>
    <w:rsid w:val="00133B68"/>
    <w:rsid w:val="00134402"/>
    <w:rsid w:val="00134420"/>
    <w:rsid w:val="00134604"/>
    <w:rsid w:val="001347EC"/>
    <w:rsid w:val="001349ED"/>
    <w:rsid w:val="00134C11"/>
    <w:rsid w:val="00134C7E"/>
    <w:rsid w:val="0013513D"/>
    <w:rsid w:val="001351D8"/>
    <w:rsid w:val="0013526B"/>
    <w:rsid w:val="001354DD"/>
    <w:rsid w:val="00135578"/>
    <w:rsid w:val="0013588A"/>
    <w:rsid w:val="00135910"/>
    <w:rsid w:val="00135B15"/>
    <w:rsid w:val="00135B6F"/>
    <w:rsid w:val="001361EB"/>
    <w:rsid w:val="00136259"/>
    <w:rsid w:val="0013627D"/>
    <w:rsid w:val="00136297"/>
    <w:rsid w:val="001362AA"/>
    <w:rsid w:val="001362F6"/>
    <w:rsid w:val="00136572"/>
    <w:rsid w:val="00136A3F"/>
    <w:rsid w:val="00136C45"/>
    <w:rsid w:val="00136DDC"/>
    <w:rsid w:val="00136F0C"/>
    <w:rsid w:val="00136F22"/>
    <w:rsid w:val="00136FA2"/>
    <w:rsid w:val="00137389"/>
    <w:rsid w:val="0013738C"/>
    <w:rsid w:val="00137424"/>
    <w:rsid w:val="00137523"/>
    <w:rsid w:val="00137572"/>
    <w:rsid w:val="0013763A"/>
    <w:rsid w:val="001376B2"/>
    <w:rsid w:val="0013775F"/>
    <w:rsid w:val="00137D18"/>
    <w:rsid w:val="00137EF9"/>
    <w:rsid w:val="0014005E"/>
    <w:rsid w:val="00140235"/>
    <w:rsid w:val="001402BF"/>
    <w:rsid w:val="00140318"/>
    <w:rsid w:val="001406DD"/>
    <w:rsid w:val="001406F9"/>
    <w:rsid w:val="00140709"/>
    <w:rsid w:val="00140901"/>
    <w:rsid w:val="00140CD3"/>
    <w:rsid w:val="0014103A"/>
    <w:rsid w:val="00141337"/>
    <w:rsid w:val="001416D4"/>
    <w:rsid w:val="0014170B"/>
    <w:rsid w:val="00141719"/>
    <w:rsid w:val="00141877"/>
    <w:rsid w:val="001419D7"/>
    <w:rsid w:val="00141A42"/>
    <w:rsid w:val="00141AD9"/>
    <w:rsid w:val="00141BE1"/>
    <w:rsid w:val="00141EC2"/>
    <w:rsid w:val="001426F3"/>
    <w:rsid w:val="0014290F"/>
    <w:rsid w:val="00142A1F"/>
    <w:rsid w:val="00142AA7"/>
    <w:rsid w:val="00142B22"/>
    <w:rsid w:val="00142B92"/>
    <w:rsid w:val="00142D5D"/>
    <w:rsid w:val="001431F9"/>
    <w:rsid w:val="001433C5"/>
    <w:rsid w:val="00143470"/>
    <w:rsid w:val="00143574"/>
    <w:rsid w:val="0014362C"/>
    <w:rsid w:val="001439A3"/>
    <w:rsid w:val="00143A5C"/>
    <w:rsid w:val="00143F86"/>
    <w:rsid w:val="00144353"/>
    <w:rsid w:val="00144AA8"/>
    <w:rsid w:val="00144C10"/>
    <w:rsid w:val="00144C68"/>
    <w:rsid w:val="00145097"/>
    <w:rsid w:val="001451B3"/>
    <w:rsid w:val="00145468"/>
    <w:rsid w:val="001455D1"/>
    <w:rsid w:val="001455D9"/>
    <w:rsid w:val="001455DA"/>
    <w:rsid w:val="0014586C"/>
    <w:rsid w:val="00145A57"/>
    <w:rsid w:val="00145E60"/>
    <w:rsid w:val="00146577"/>
    <w:rsid w:val="00146C77"/>
    <w:rsid w:val="00146CE6"/>
    <w:rsid w:val="00146CE8"/>
    <w:rsid w:val="00147316"/>
    <w:rsid w:val="001473AF"/>
    <w:rsid w:val="001474F6"/>
    <w:rsid w:val="00147E33"/>
    <w:rsid w:val="00147F80"/>
    <w:rsid w:val="00150363"/>
    <w:rsid w:val="00150377"/>
    <w:rsid w:val="0015044A"/>
    <w:rsid w:val="001504B7"/>
    <w:rsid w:val="00150617"/>
    <w:rsid w:val="001508AA"/>
    <w:rsid w:val="001508CE"/>
    <w:rsid w:val="00150A5A"/>
    <w:rsid w:val="00150D60"/>
    <w:rsid w:val="00150E60"/>
    <w:rsid w:val="00151032"/>
    <w:rsid w:val="001511AA"/>
    <w:rsid w:val="001514D1"/>
    <w:rsid w:val="00151685"/>
    <w:rsid w:val="001516FF"/>
    <w:rsid w:val="0015171B"/>
    <w:rsid w:val="001517C1"/>
    <w:rsid w:val="001518FC"/>
    <w:rsid w:val="00151DD7"/>
    <w:rsid w:val="00152153"/>
    <w:rsid w:val="001521C3"/>
    <w:rsid w:val="001521F4"/>
    <w:rsid w:val="00152220"/>
    <w:rsid w:val="00152314"/>
    <w:rsid w:val="0015246E"/>
    <w:rsid w:val="001525AC"/>
    <w:rsid w:val="00152903"/>
    <w:rsid w:val="0015295F"/>
    <w:rsid w:val="00152C61"/>
    <w:rsid w:val="0015311B"/>
    <w:rsid w:val="001533DF"/>
    <w:rsid w:val="001537CA"/>
    <w:rsid w:val="00153943"/>
    <w:rsid w:val="001539AF"/>
    <w:rsid w:val="00153DC9"/>
    <w:rsid w:val="00153E19"/>
    <w:rsid w:val="00153E9E"/>
    <w:rsid w:val="00153EE5"/>
    <w:rsid w:val="00153FD5"/>
    <w:rsid w:val="00153FD9"/>
    <w:rsid w:val="001540E1"/>
    <w:rsid w:val="00154335"/>
    <w:rsid w:val="0015448D"/>
    <w:rsid w:val="0015479E"/>
    <w:rsid w:val="001547B3"/>
    <w:rsid w:val="00154897"/>
    <w:rsid w:val="00154CB4"/>
    <w:rsid w:val="00154DA6"/>
    <w:rsid w:val="00154F38"/>
    <w:rsid w:val="00155188"/>
    <w:rsid w:val="00155297"/>
    <w:rsid w:val="001552CE"/>
    <w:rsid w:val="00155427"/>
    <w:rsid w:val="0015566D"/>
    <w:rsid w:val="001556DE"/>
    <w:rsid w:val="001556E5"/>
    <w:rsid w:val="00155C6C"/>
    <w:rsid w:val="00155C8B"/>
    <w:rsid w:val="00155CCC"/>
    <w:rsid w:val="00155CFA"/>
    <w:rsid w:val="00155DFA"/>
    <w:rsid w:val="00155EBE"/>
    <w:rsid w:val="00156130"/>
    <w:rsid w:val="0015614F"/>
    <w:rsid w:val="0015620D"/>
    <w:rsid w:val="001562C4"/>
    <w:rsid w:val="0015654A"/>
    <w:rsid w:val="00156632"/>
    <w:rsid w:val="001566C3"/>
    <w:rsid w:val="00156935"/>
    <w:rsid w:val="00156B59"/>
    <w:rsid w:val="00156DE1"/>
    <w:rsid w:val="0015714F"/>
    <w:rsid w:val="00157178"/>
    <w:rsid w:val="00157192"/>
    <w:rsid w:val="001571CF"/>
    <w:rsid w:val="0015721E"/>
    <w:rsid w:val="00157229"/>
    <w:rsid w:val="00157241"/>
    <w:rsid w:val="00157268"/>
    <w:rsid w:val="001574AD"/>
    <w:rsid w:val="001577C2"/>
    <w:rsid w:val="00157884"/>
    <w:rsid w:val="001578CE"/>
    <w:rsid w:val="00157AD5"/>
    <w:rsid w:val="00157B7F"/>
    <w:rsid w:val="00157E70"/>
    <w:rsid w:val="00157FB4"/>
    <w:rsid w:val="00160081"/>
    <w:rsid w:val="001602A5"/>
    <w:rsid w:val="0016059D"/>
    <w:rsid w:val="001608CD"/>
    <w:rsid w:val="00160A90"/>
    <w:rsid w:val="00160D74"/>
    <w:rsid w:val="00160E62"/>
    <w:rsid w:val="00160F5F"/>
    <w:rsid w:val="0016103F"/>
    <w:rsid w:val="001610F9"/>
    <w:rsid w:val="00161202"/>
    <w:rsid w:val="001616A2"/>
    <w:rsid w:val="00161732"/>
    <w:rsid w:val="00161747"/>
    <w:rsid w:val="001617A1"/>
    <w:rsid w:val="001619B2"/>
    <w:rsid w:val="001619F9"/>
    <w:rsid w:val="001619FB"/>
    <w:rsid w:val="00161D2D"/>
    <w:rsid w:val="00161FA0"/>
    <w:rsid w:val="0016284E"/>
    <w:rsid w:val="00162AD9"/>
    <w:rsid w:val="00162AF0"/>
    <w:rsid w:val="001633C4"/>
    <w:rsid w:val="00163AA4"/>
    <w:rsid w:val="00163C90"/>
    <w:rsid w:val="00163CD2"/>
    <w:rsid w:val="001640BA"/>
    <w:rsid w:val="001641F6"/>
    <w:rsid w:val="0016464D"/>
    <w:rsid w:val="0016470E"/>
    <w:rsid w:val="00164CA9"/>
    <w:rsid w:val="00164F57"/>
    <w:rsid w:val="001652E4"/>
    <w:rsid w:val="00165779"/>
    <w:rsid w:val="001658C4"/>
    <w:rsid w:val="001659F4"/>
    <w:rsid w:val="00165BD0"/>
    <w:rsid w:val="00165D51"/>
    <w:rsid w:val="00166348"/>
    <w:rsid w:val="00166351"/>
    <w:rsid w:val="00166568"/>
    <w:rsid w:val="00166595"/>
    <w:rsid w:val="00166891"/>
    <w:rsid w:val="00166A79"/>
    <w:rsid w:val="00166B5B"/>
    <w:rsid w:val="00166C72"/>
    <w:rsid w:val="00166E7B"/>
    <w:rsid w:val="00166E87"/>
    <w:rsid w:val="00167047"/>
    <w:rsid w:val="0016723A"/>
    <w:rsid w:val="001679A5"/>
    <w:rsid w:val="00167E1E"/>
    <w:rsid w:val="00167F4B"/>
    <w:rsid w:val="0017012A"/>
    <w:rsid w:val="00170246"/>
    <w:rsid w:val="0017043A"/>
    <w:rsid w:val="001704B7"/>
    <w:rsid w:val="001704D5"/>
    <w:rsid w:val="00170625"/>
    <w:rsid w:val="00170636"/>
    <w:rsid w:val="00170685"/>
    <w:rsid w:val="001707D0"/>
    <w:rsid w:val="00170AEA"/>
    <w:rsid w:val="00170F3A"/>
    <w:rsid w:val="00170FBD"/>
    <w:rsid w:val="00170FDA"/>
    <w:rsid w:val="00170FFC"/>
    <w:rsid w:val="00171109"/>
    <w:rsid w:val="00171284"/>
    <w:rsid w:val="0017156D"/>
    <w:rsid w:val="00171591"/>
    <w:rsid w:val="001715B3"/>
    <w:rsid w:val="001717D7"/>
    <w:rsid w:val="001722C3"/>
    <w:rsid w:val="00172318"/>
    <w:rsid w:val="00172859"/>
    <w:rsid w:val="00172945"/>
    <w:rsid w:val="00172C73"/>
    <w:rsid w:val="00172E9E"/>
    <w:rsid w:val="001730EC"/>
    <w:rsid w:val="001738E4"/>
    <w:rsid w:val="00173981"/>
    <w:rsid w:val="00173BDF"/>
    <w:rsid w:val="00173CBE"/>
    <w:rsid w:val="00173EF2"/>
    <w:rsid w:val="00173F2D"/>
    <w:rsid w:val="00173FD1"/>
    <w:rsid w:val="00174022"/>
    <w:rsid w:val="0017419C"/>
    <w:rsid w:val="001741BC"/>
    <w:rsid w:val="00174458"/>
    <w:rsid w:val="00174758"/>
    <w:rsid w:val="0017493A"/>
    <w:rsid w:val="00174AA1"/>
    <w:rsid w:val="00174CAD"/>
    <w:rsid w:val="00174EEC"/>
    <w:rsid w:val="0017517E"/>
    <w:rsid w:val="00175188"/>
    <w:rsid w:val="001751C3"/>
    <w:rsid w:val="001757FC"/>
    <w:rsid w:val="001759DC"/>
    <w:rsid w:val="00175BEE"/>
    <w:rsid w:val="00175C09"/>
    <w:rsid w:val="00175FC2"/>
    <w:rsid w:val="001760AD"/>
    <w:rsid w:val="001761ED"/>
    <w:rsid w:val="00176359"/>
    <w:rsid w:val="001763FA"/>
    <w:rsid w:val="00176530"/>
    <w:rsid w:val="00176564"/>
    <w:rsid w:val="001766CE"/>
    <w:rsid w:val="001769E0"/>
    <w:rsid w:val="00176D1C"/>
    <w:rsid w:val="00176FEC"/>
    <w:rsid w:val="00177000"/>
    <w:rsid w:val="0017719D"/>
    <w:rsid w:val="001771A2"/>
    <w:rsid w:val="0017726D"/>
    <w:rsid w:val="00177314"/>
    <w:rsid w:val="001773B6"/>
    <w:rsid w:val="0017747A"/>
    <w:rsid w:val="001776D1"/>
    <w:rsid w:val="00177D35"/>
    <w:rsid w:val="00177D3B"/>
    <w:rsid w:val="00177D88"/>
    <w:rsid w:val="00177EE4"/>
    <w:rsid w:val="001800F3"/>
    <w:rsid w:val="0018022B"/>
    <w:rsid w:val="0018051A"/>
    <w:rsid w:val="00180654"/>
    <w:rsid w:val="00180AFF"/>
    <w:rsid w:val="00180B29"/>
    <w:rsid w:val="00180D7C"/>
    <w:rsid w:val="00180FAC"/>
    <w:rsid w:val="00181180"/>
    <w:rsid w:val="001811B4"/>
    <w:rsid w:val="00181CFA"/>
    <w:rsid w:val="001820A6"/>
    <w:rsid w:val="00182102"/>
    <w:rsid w:val="001825F5"/>
    <w:rsid w:val="001828D2"/>
    <w:rsid w:val="00182E02"/>
    <w:rsid w:val="00182F10"/>
    <w:rsid w:val="00183685"/>
    <w:rsid w:val="0018385C"/>
    <w:rsid w:val="0018386C"/>
    <w:rsid w:val="00183CE0"/>
    <w:rsid w:val="00183D5E"/>
    <w:rsid w:val="00183F30"/>
    <w:rsid w:val="00183F7D"/>
    <w:rsid w:val="00183FD7"/>
    <w:rsid w:val="0018404B"/>
    <w:rsid w:val="00184089"/>
    <w:rsid w:val="00184114"/>
    <w:rsid w:val="0018419F"/>
    <w:rsid w:val="0018457E"/>
    <w:rsid w:val="0018471A"/>
    <w:rsid w:val="001848C8"/>
    <w:rsid w:val="00184B0F"/>
    <w:rsid w:val="00184B7E"/>
    <w:rsid w:val="00184F7E"/>
    <w:rsid w:val="00185011"/>
    <w:rsid w:val="001852EF"/>
    <w:rsid w:val="00185355"/>
    <w:rsid w:val="001853E9"/>
    <w:rsid w:val="00185CAB"/>
    <w:rsid w:val="00185E8A"/>
    <w:rsid w:val="00185EC0"/>
    <w:rsid w:val="001860D4"/>
    <w:rsid w:val="001863CC"/>
    <w:rsid w:val="00186524"/>
    <w:rsid w:val="001867AA"/>
    <w:rsid w:val="00186904"/>
    <w:rsid w:val="001869E6"/>
    <w:rsid w:val="00186A3D"/>
    <w:rsid w:val="00186DD4"/>
    <w:rsid w:val="00187022"/>
    <w:rsid w:val="0018702B"/>
    <w:rsid w:val="0018705F"/>
    <w:rsid w:val="00187066"/>
    <w:rsid w:val="0018738D"/>
    <w:rsid w:val="001875B4"/>
    <w:rsid w:val="001875B7"/>
    <w:rsid w:val="00187726"/>
    <w:rsid w:val="00187AD4"/>
    <w:rsid w:val="00187CB3"/>
    <w:rsid w:val="00187E43"/>
    <w:rsid w:val="00187E8A"/>
    <w:rsid w:val="00190080"/>
    <w:rsid w:val="00190367"/>
    <w:rsid w:val="0019050A"/>
    <w:rsid w:val="00190655"/>
    <w:rsid w:val="0019071B"/>
    <w:rsid w:val="00190A59"/>
    <w:rsid w:val="00190B97"/>
    <w:rsid w:val="0019106B"/>
    <w:rsid w:val="001910D4"/>
    <w:rsid w:val="001914D7"/>
    <w:rsid w:val="0019180C"/>
    <w:rsid w:val="00191C9D"/>
    <w:rsid w:val="00191CD1"/>
    <w:rsid w:val="00191E8F"/>
    <w:rsid w:val="00191EC6"/>
    <w:rsid w:val="00192120"/>
    <w:rsid w:val="0019235E"/>
    <w:rsid w:val="00192569"/>
    <w:rsid w:val="00192767"/>
    <w:rsid w:val="00192C3C"/>
    <w:rsid w:val="001933D7"/>
    <w:rsid w:val="00193530"/>
    <w:rsid w:val="0019363B"/>
    <w:rsid w:val="0019372E"/>
    <w:rsid w:val="001937E0"/>
    <w:rsid w:val="001939EC"/>
    <w:rsid w:val="00193A22"/>
    <w:rsid w:val="00193C3A"/>
    <w:rsid w:val="00193F52"/>
    <w:rsid w:val="00193F7C"/>
    <w:rsid w:val="00193FAE"/>
    <w:rsid w:val="00194236"/>
    <w:rsid w:val="00194350"/>
    <w:rsid w:val="0019453F"/>
    <w:rsid w:val="001945B4"/>
    <w:rsid w:val="0019465F"/>
    <w:rsid w:val="00194693"/>
    <w:rsid w:val="0019475E"/>
    <w:rsid w:val="00194B5B"/>
    <w:rsid w:val="00194D67"/>
    <w:rsid w:val="00194DE7"/>
    <w:rsid w:val="00194E40"/>
    <w:rsid w:val="00194F4F"/>
    <w:rsid w:val="001950E4"/>
    <w:rsid w:val="00195115"/>
    <w:rsid w:val="0019518B"/>
    <w:rsid w:val="00195815"/>
    <w:rsid w:val="00195943"/>
    <w:rsid w:val="00195B61"/>
    <w:rsid w:val="00195E9F"/>
    <w:rsid w:val="00196590"/>
    <w:rsid w:val="00196821"/>
    <w:rsid w:val="00196934"/>
    <w:rsid w:val="00196D27"/>
    <w:rsid w:val="00196DC5"/>
    <w:rsid w:val="00196F58"/>
    <w:rsid w:val="00197142"/>
    <w:rsid w:val="001972E2"/>
    <w:rsid w:val="001976E3"/>
    <w:rsid w:val="00197FF2"/>
    <w:rsid w:val="001A04E3"/>
    <w:rsid w:val="001A04E4"/>
    <w:rsid w:val="001A07AD"/>
    <w:rsid w:val="001A09E9"/>
    <w:rsid w:val="001A0B07"/>
    <w:rsid w:val="001A134D"/>
    <w:rsid w:val="001A1362"/>
    <w:rsid w:val="001A17C4"/>
    <w:rsid w:val="001A1839"/>
    <w:rsid w:val="001A193F"/>
    <w:rsid w:val="001A1FF3"/>
    <w:rsid w:val="001A2037"/>
    <w:rsid w:val="001A214A"/>
    <w:rsid w:val="001A224D"/>
    <w:rsid w:val="001A22E6"/>
    <w:rsid w:val="001A26FB"/>
    <w:rsid w:val="001A2938"/>
    <w:rsid w:val="001A297B"/>
    <w:rsid w:val="001A3475"/>
    <w:rsid w:val="001A37B2"/>
    <w:rsid w:val="001A38B9"/>
    <w:rsid w:val="001A402F"/>
    <w:rsid w:val="001A44C8"/>
    <w:rsid w:val="001A44EC"/>
    <w:rsid w:val="001A45A9"/>
    <w:rsid w:val="001A498E"/>
    <w:rsid w:val="001A54F8"/>
    <w:rsid w:val="001A56A9"/>
    <w:rsid w:val="001A5895"/>
    <w:rsid w:val="001A5B13"/>
    <w:rsid w:val="001A5C60"/>
    <w:rsid w:val="001A5D7C"/>
    <w:rsid w:val="001A5E57"/>
    <w:rsid w:val="001A5F0F"/>
    <w:rsid w:val="001A5F21"/>
    <w:rsid w:val="001A60E9"/>
    <w:rsid w:val="001A6665"/>
    <w:rsid w:val="001A67C4"/>
    <w:rsid w:val="001A68FA"/>
    <w:rsid w:val="001A6C84"/>
    <w:rsid w:val="001A6DB6"/>
    <w:rsid w:val="001A6F66"/>
    <w:rsid w:val="001A6FCE"/>
    <w:rsid w:val="001A7126"/>
    <w:rsid w:val="001A78C2"/>
    <w:rsid w:val="001A7A0C"/>
    <w:rsid w:val="001A7BBA"/>
    <w:rsid w:val="001A7DF5"/>
    <w:rsid w:val="001A7E89"/>
    <w:rsid w:val="001B0105"/>
    <w:rsid w:val="001B04BF"/>
    <w:rsid w:val="001B0638"/>
    <w:rsid w:val="001B08CE"/>
    <w:rsid w:val="001B0B08"/>
    <w:rsid w:val="001B0B5B"/>
    <w:rsid w:val="001B0BCC"/>
    <w:rsid w:val="001B0C57"/>
    <w:rsid w:val="001B0C82"/>
    <w:rsid w:val="001B0CE8"/>
    <w:rsid w:val="001B0D3B"/>
    <w:rsid w:val="001B0D45"/>
    <w:rsid w:val="001B0DC2"/>
    <w:rsid w:val="001B0DE1"/>
    <w:rsid w:val="001B0EC6"/>
    <w:rsid w:val="001B12A2"/>
    <w:rsid w:val="001B1ECF"/>
    <w:rsid w:val="001B2034"/>
    <w:rsid w:val="001B20CD"/>
    <w:rsid w:val="001B21F4"/>
    <w:rsid w:val="001B24B8"/>
    <w:rsid w:val="001B24D5"/>
    <w:rsid w:val="001B275E"/>
    <w:rsid w:val="001B28D9"/>
    <w:rsid w:val="001B2E8A"/>
    <w:rsid w:val="001B2EC9"/>
    <w:rsid w:val="001B2F85"/>
    <w:rsid w:val="001B3164"/>
    <w:rsid w:val="001B3230"/>
    <w:rsid w:val="001B3583"/>
    <w:rsid w:val="001B364E"/>
    <w:rsid w:val="001B36FC"/>
    <w:rsid w:val="001B37DB"/>
    <w:rsid w:val="001B38E8"/>
    <w:rsid w:val="001B3A64"/>
    <w:rsid w:val="001B3ABA"/>
    <w:rsid w:val="001B3D0A"/>
    <w:rsid w:val="001B4157"/>
    <w:rsid w:val="001B44E9"/>
    <w:rsid w:val="001B47BF"/>
    <w:rsid w:val="001B48EF"/>
    <w:rsid w:val="001B4AA0"/>
    <w:rsid w:val="001B4AC7"/>
    <w:rsid w:val="001B4C19"/>
    <w:rsid w:val="001B4D10"/>
    <w:rsid w:val="001B4E32"/>
    <w:rsid w:val="001B4E5A"/>
    <w:rsid w:val="001B4F03"/>
    <w:rsid w:val="001B5142"/>
    <w:rsid w:val="001B517C"/>
    <w:rsid w:val="001B51BA"/>
    <w:rsid w:val="001B534E"/>
    <w:rsid w:val="001B5377"/>
    <w:rsid w:val="001B5396"/>
    <w:rsid w:val="001B557D"/>
    <w:rsid w:val="001B57C9"/>
    <w:rsid w:val="001B580C"/>
    <w:rsid w:val="001B58AA"/>
    <w:rsid w:val="001B5E98"/>
    <w:rsid w:val="001B6101"/>
    <w:rsid w:val="001B611F"/>
    <w:rsid w:val="001B6252"/>
    <w:rsid w:val="001B64CA"/>
    <w:rsid w:val="001B677D"/>
    <w:rsid w:val="001B67B2"/>
    <w:rsid w:val="001B68FA"/>
    <w:rsid w:val="001B6B0C"/>
    <w:rsid w:val="001B6D26"/>
    <w:rsid w:val="001B6E99"/>
    <w:rsid w:val="001B6F89"/>
    <w:rsid w:val="001B707F"/>
    <w:rsid w:val="001B7128"/>
    <w:rsid w:val="001B73E8"/>
    <w:rsid w:val="001B74E6"/>
    <w:rsid w:val="001B74E7"/>
    <w:rsid w:val="001B76BF"/>
    <w:rsid w:val="001B7852"/>
    <w:rsid w:val="001B7AB1"/>
    <w:rsid w:val="001B7B6A"/>
    <w:rsid w:val="001B7CAB"/>
    <w:rsid w:val="001B7DB2"/>
    <w:rsid w:val="001B7E48"/>
    <w:rsid w:val="001C016E"/>
    <w:rsid w:val="001C01E0"/>
    <w:rsid w:val="001C0225"/>
    <w:rsid w:val="001C03BA"/>
    <w:rsid w:val="001C06A8"/>
    <w:rsid w:val="001C0768"/>
    <w:rsid w:val="001C07C1"/>
    <w:rsid w:val="001C08BD"/>
    <w:rsid w:val="001C0993"/>
    <w:rsid w:val="001C0B9E"/>
    <w:rsid w:val="001C15A8"/>
    <w:rsid w:val="001C17CE"/>
    <w:rsid w:val="001C18F5"/>
    <w:rsid w:val="001C1AEA"/>
    <w:rsid w:val="001C1AEE"/>
    <w:rsid w:val="001C1D18"/>
    <w:rsid w:val="001C1DE7"/>
    <w:rsid w:val="001C1E76"/>
    <w:rsid w:val="001C1EB2"/>
    <w:rsid w:val="001C200A"/>
    <w:rsid w:val="001C20C6"/>
    <w:rsid w:val="001C20EE"/>
    <w:rsid w:val="001C2141"/>
    <w:rsid w:val="001C247B"/>
    <w:rsid w:val="001C28FA"/>
    <w:rsid w:val="001C2DD4"/>
    <w:rsid w:val="001C2DEE"/>
    <w:rsid w:val="001C35A5"/>
    <w:rsid w:val="001C36C3"/>
    <w:rsid w:val="001C36CA"/>
    <w:rsid w:val="001C38D7"/>
    <w:rsid w:val="001C39D9"/>
    <w:rsid w:val="001C3B68"/>
    <w:rsid w:val="001C3BA3"/>
    <w:rsid w:val="001C3BDC"/>
    <w:rsid w:val="001C3C6E"/>
    <w:rsid w:val="001C3D1C"/>
    <w:rsid w:val="001C3D38"/>
    <w:rsid w:val="001C406D"/>
    <w:rsid w:val="001C43D0"/>
    <w:rsid w:val="001C43DB"/>
    <w:rsid w:val="001C44D1"/>
    <w:rsid w:val="001C47A7"/>
    <w:rsid w:val="001C4813"/>
    <w:rsid w:val="001C4A33"/>
    <w:rsid w:val="001C4C88"/>
    <w:rsid w:val="001C4D56"/>
    <w:rsid w:val="001C5088"/>
    <w:rsid w:val="001C5210"/>
    <w:rsid w:val="001C5253"/>
    <w:rsid w:val="001C555E"/>
    <w:rsid w:val="001C56F8"/>
    <w:rsid w:val="001C5997"/>
    <w:rsid w:val="001C5AC6"/>
    <w:rsid w:val="001C5D9A"/>
    <w:rsid w:val="001C603F"/>
    <w:rsid w:val="001C60A1"/>
    <w:rsid w:val="001C6189"/>
    <w:rsid w:val="001C6226"/>
    <w:rsid w:val="001C653D"/>
    <w:rsid w:val="001C658A"/>
    <w:rsid w:val="001C664C"/>
    <w:rsid w:val="001C668B"/>
    <w:rsid w:val="001C6AEE"/>
    <w:rsid w:val="001C6B7B"/>
    <w:rsid w:val="001C6D2C"/>
    <w:rsid w:val="001C7630"/>
    <w:rsid w:val="001C7841"/>
    <w:rsid w:val="001C7A62"/>
    <w:rsid w:val="001C7AEE"/>
    <w:rsid w:val="001C7C78"/>
    <w:rsid w:val="001C7D55"/>
    <w:rsid w:val="001C7D88"/>
    <w:rsid w:val="001C7EAF"/>
    <w:rsid w:val="001D00FE"/>
    <w:rsid w:val="001D01B8"/>
    <w:rsid w:val="001D059C"/>
    <w:rsid w:val="001D0964"/>
    <w:rsid w:val="001D0B1A"/>
    <w:rsid w:val="001D0C04"/>
    <w:rsid w:val="001D1423"/>
    <w:rsid w:val="001D14AB"/>
    <w:rsid w:val="001D1504"/>
    <w:rsid w:val="001D180D"/>
    <w:rsid w:val="001D1A41"/>
    <w:rsid w:val="001D1B0B"/>
    <w:rsid w:val="001D1E94"/>
    <w:rsid w:val="001D2CE3"/>
    <w:rsid w:val="001D2ED1"/>
    <w:rsid w:val="001D2F46"/>
    <w:rsid w:val="001D30C6"/>
    <w:rsid w:val="001D33DD"/>
    <w:rsid w:val="001D3685"/>
    <w:rsid w:val="001D3B4D"/>
    <w:rsid w:val="001D3EB0"/>
    <w:rsid w:val="001D43C0"/>
    <w:rsid w:val="001D4574"/>
    <w:rsid w:val="001D4692"/>
    <w:rsid w:val="001D46AA"/>
    <w:rsid w:val="001D479B"/>
    <w:rsid w:val="001D4B57"/>
    <w:rsid w:val="001D4C1F"/>
    <w:rsid w:val="001D4DD0"/>
    <w:rsid w:val="001D4E66"/>
    <w:rsid w:val="001D4F96"/>
    <w:rsid w:val="001D5129"/>
    <w:rsid w:val="001D528D"/>
    <w:rsid w:val="001D5354"/>
    <w:rsid w:val="001D53DE"/>
    <w:rsid w:val="001D574E"/>
    <w:rsid w:val="001D5751"/>
    <w:rsid w:val="001D588B"/>
    <w:rsid w:val="001D59BA"/>
    <w:rsid w:val="001D5C56"/>
    <w:rsid w:val="001D5E6C"/>
    <w:rsid w:val="001D5E84"/>
    <w:rsid w:val="001D5F01"/>
    <w:rsid w:val="001D601F"/>
    <w:rsid w:val="001D6167"/>
    <w:rsid w:val="001D6329"/>
    <w:rsid w:val="001D675E"/>
    <w:rsid w:val="001D67A6"/>
    <w:rsid w:val="001D6A93"/>
    <w:rsid w:val="001D6B61"/>
    <w:rsid w:val="001D6B6B"/>
    <w:rsid w:val="001D6C92"/>
    <w:rsid w:val="001D6D15"/>
    <w:rsid w:val="001D6D81"/>
    <w:rsid w:val="001D6DC3"/>
    <w:rsid w:val="001D6E2F"/>
    <w:rsid w:val="001D6E54"/>
    <w:rsid w:val="001D70B0"/>
    <w:rsid w:val="001D726A"/>
    <w:rsid w:val="001D72FA"/>
    <w:rsid w:val="001D73DF"/>
    <w:rsid w:val="001D764A"/>
    <w:rsid w:val="001D772D"/>
    <w:rsid w:val="001D7987"/>
    <w:rsid w:val="001D7C92"/>
    <w:rsid w:val="001D7D13"/>
    <w:rsid w:val="001D7D6E"/>
    <w:rsid w:val="001E0077"/>
    <w:rsid w:val="001E0191"/>
    <w:rsid w:val="001E04A0"/>
    <w:rsid w:val="001E05FE"/>
    <w:rsid w:val="001E0755"/>
    <w:rsid w:val="001E08C0"/>
    <w:rsid w:val="001E0BCA"/>
    <w:rsid w:val="001E0D34"/>
    <w:rsid w:val="001E1004"/>
    <w:rsid w:val="001E10DA"/>
    <w:rsid w:val="001E110C"/>
    <w:rsid w:val="001E1119"/>
    <w:rsid w:val="001E11ED"/>
    <w:rsid w:val="001E1313"/>
    <w:rsid w:val="001E14C2"/>
    <w:rsid w:val="001E1538"/>
    <w:rsid w:val="001E164A"/>
    <w:rsid w:val="001E1768"/>
    <w:rsid w:val="001E19EC"/>
    <w:rsid w:val="001E1AD3"/>
    <w:rsid w:val="001E1AE2"/>
    <w:rsid w:val="001E1B54"/>
    <w:rsid w:val="001E1B9A"/>
    <w:rsid w:val="001E1E58"/>
    <w:rsid w:val="001E236E"/>
    <w:rsid w:val="001E2491"/>
    <w:rsid w:val="001E2586"/>
    <w:rsid w:val="001E2635"/>
    <w:rsid w:val="001E291F"/>
    <w:rsid w:val="001E2D2F"/>
    <w:rsid w:val="001E2D9B"/>
    <w:rsid w:val="001E2DF5"/>
    <w:rsid w:val="001E30F8"/>
    <w:rsid w:val="001E325B"/>
    <w:rsid w:val="001E3411"/>
    <w:rsid w:val="001E3685"/>
    <w:rsid w:val="001E37FB"/>
    <w:rsid w:val="001E3BA8"/>
    <w:rsid w:val="001E3CF2"/>
    <w:rsid w:val="001E3DC0"/>
    <w:rsid w:val="001E3FCC"/>
    <w:rsid w:val="001E4227"/>
    <w:rsid w:val="001E443E"/>
    <w:rsid w:val="001E4527"/>
    <w:rsid w:val="001E45D6"/>
    <w:rsid w:val="001E46F1"/>
    <w:rsid w:val="001E47D0"/>
    <w:rsid w:val="001E48D9"/>
    <w:rsid w:val="001E4BFC"/>
    <w:rsid w:val="001E51A8"/>
    <w:rsid w:val="001E557E"/>
    <w:rsid w:val="001E5624"/>
    <w:rsid w:val="001E5674"/>
    <w:rsid w:val="001E5712"/>
    <w:rsid w:val="001E5881"/>
    <w:rsid w:val="001E5C5F"/>
    <w:rsid w:val="001E5EB9"/>
    <w:rsid w:val="001E5EE8"/>
    <w:rsid w:val="001E5EF9"/>
    <w:rsid w:val="001E5EFF"/>
    <w:rsid w:val="001E5FA4"/>
    <w:rsid w:val="001E60FB"/>
    <w:rsid w:val="001E623E"/>
    <w:rsid w:val="001E6326"/>
    <w:rsid w:val="001E66ED"/>
    <w:rsid w:val="001E6908"/>
    <w:rsid w:val="001E6CC8"/>
    <w:rsid w:val="001E70C0"/>
    <w:rsid w:val="001E7345"/>
    <w:rsid w:val="001E76DE"/>
    <w:rsid w:val="001E77D5"/>
    <w:rsid w:val="001E7891"/>
    <w:rsid w:val="001E795A"/>
    <w:rsid w:val="001E7A6B"/>
    <w:rsid w:val="001E7B11"/>
    <w:rsid w:val="001E7BBE"/>
    <w:rsid w:val="001E7F5F"/>
    <w:rsid w:val="001E7FDB"/>
    <w:rsid w:val="001F0033"/>
    <w:rsid w:val="001F020E"/>
    <w:rsid w:val="001F023C"/>
    <w:rsid w:val="001F04AF"/>
    <w:rsid w:val="001F05C3"/>
    <w:rsid w:val="001F0672"/>
    <w:rsid w:val="001F09E9"/>
    <w:rsid w:val="001F0AA4"/>
    <w:rsid w:val="001F0C1E"/>
    <w:rsid w:val="001F0C70"/>
    <w:rsid w:val="001F1BC5"/>
    <w:rsid w:val="001F1C24"/>
    <w:rsid w:val="001F1F28"/>
    <w:rsid w:val="001F1F53"/>
    <w:rsid w:val="001F2369"/>
    <w:rsid w:val="001F2B1E"/>
    <w:rsid w:val="001F2B35"/>
    <w:rsid w:val="001F2DA9"/>
    <w:rsid w:val="001F3121"/>
    <w:rsid w:val="001F323F"/>
    <w:rsid w:val="001F343B"/>
    <w:rsid w:val="001F34D3"/>
    <w:rsid w:val="001F37F8"/>
    <w:rsid w:val="001F3895"/>
    <w:rsid w:val="001F38A5"/>
    <w:rsid w:val="001F38A6"/>
    <w:rsid w:val="001F38BE"/>
    <w:rsid w:val="001F38E4"/>
    <w:rsid w:val="001F4130"/>
    <w:rsid w:val="001F41EC"/>
    <w:rsid w:val="001F4386"/>
    <w:rsid w:val="001F4467"/>
    <w:rsid w:val="001F452F"/>
    <w:rsid w:val="001F46C9"/>
    <w:rsid w:val="001F4B73"/>
    <w:rsid w:val="001F4D15"/>
    <w:rsid w:val="001F4D9E"/>
    <w:rsid w:val="001F4DA5"/>
    <w:rsid w:val="001F4E0F"/>
    <w:rsid w:val="001F50EC"/>
    <w:rsid w:val="001F521A"/>
    <w:rsid w:val="001F52BE"/>
    <w:rsid w:val="001F54B5"/>
    <w:rsid w:val="001F5BC1"/>
    <w:rsid w:val="001F5D94"/>
    <w:rsid w:val="001F5E59"/>
    <w:rsid w:val="001F611E"/>
    <w:rsid w:val="001F6315"/>
    <w:rsid w:val="001F6618"/>
    <w:rsid w:val="001F67B8"/>
    <w:rsid w:val="001F6835"/>
    <w:rsid w:val="001F683C"/>
    <w:rsid w:val="001F6AFB"/>
    <w:rsid w:val="001F6F95"/>
    <w:rsid w:val="001F70C7"/>
    <w:rsid w:val="001F711F"/>
    <w:rsid w:val="001F721B"/>
    <w:rsid w:val="001F7558"/>
    <w:rsid w:val="001F7638"/>
    <w:rsid w:val="001F788F"/>
    <w:rsid w:val="001F78A7"/>
    <w:rsid w:val="001F7939"/>
    <w:rsid w:val="001F79B8"/>
    <w:rsid w:val="001F7B17"/>
    <w:rsid w:val="001F7C1E"/>
    <w:rsid w:val="001F7CA0"/>
    <w:rsid w:val="002000B5"/>
    <w:rsid w:val="00200215"/>
    <w:rsid w:val="00200539"/>
    <w:rsid w:val="0020092D"/>
    <w:rsid w:val="00200C13"/>
    <w:rsid w:val="00200DAE"/>
    <w:rsid w:val="00200E57"/>
    <w:rsid w:val="00200E80"/>
    <w:rsid w:val="0020104B"/>
    <w:rsid w:val="002012B4"/>
    <w:rsid w:val="002018C2"/>
    <w:rsid w:val="0020199D"/>
    <w:rsid w:val="00201B74"/>
    <w:rsid w:val="00201C31"/>
    <w:rsid w:val="00201C72"/>
    <w:rsid w:val="00201EDC"/>
    <w:rsid w:val="002023BF"/>
    <w:rsid w:val="002027AA"/>
    <w:rsid w:val="00202A69"/>
    <w:rsid w:val="00202BAC"/>
    <w:rsid w:val="00203000"/>
    <w:rsid w:val="0020350D"/>
    <w:rsid w:val="002037A3"/>
    <w:rsid w:val="00203ABC"/>
    <w:rsid w:val="00203C0F"/>
    <w:rsid w:val="00203C6C"/>
    <w:rsid w:val="00203CCE"/>
    <w:rsid w:val="00204021"/>
    <w:rsid w:val="002040DF"/>
    <w:rsid w:val="002043FB"/>
    <w:rsid w:val="00204602"/>
    <w:rsid w:val="00204612"/>
    <w:rsid w:val="00204A15"/>
    <w:rsid w:val="00204D72"/>
    <w:rsid w:val="00204E76"/>
    <w:rsid w:val="00205120"/>
    <w:rsid w:val="00205247"/>
    <w:rsid w:val="00205263"/>
    <w:rsid w:val="002053A1"/>
    <w:rsid w:val="002054EB"/>
    <w:rsid w:val="002055B1"/>
    <w:rsid w:val="002058E6"/>
    <w:rsid w:val="00205A44"/>
    <w:rsid w:val="00205B57"/>
    <w:rsid w:val="00205CB5"/>
    <w:rsid w:val="00205D2F"/>
    <w:rsid w:val="00205E52"/>
    <w:rsid w:val="002062D4"/>
    <w:rsid w:val="002063EC"/>
    <w:rsid w:val="0020646F"/>
    <w:rsid w:val="002065A9"/>
    <w:rsid w:val="002067D5"/>
    <w:rsid w:val="0020692D"/>
    <w:rsid w:val="00206BFC"/>
    <w:rsid w:val="00206D0F"/>
    <w:rsid w:val="00206D34"/>
    <w:rsid w:val="00206D76"/>
    <w:rsid w:val="00206EAB"/>
    <w:rsid w:val="00206F4B"/>
    <w:rsid w:val="00207087"/>
    <w:rsid w:val="002071E0"/>
    <w:rsid w:val="002072B3"/>
    <w:rsid w:val="002073E4"/>
    <w:rsid w:val="0020741C"/>
    <w:rsid w:val="002075DD"/>
    <w:rsid w:val="00207DCB"/>
    <w:rsid w:val="0021018B"/>
    <w:rsid w:val="0021056E"/>
    <w:rsid w:val="002106D7"/>
    <w:rsid w:val="00210836"/>
    <w:rsid w:val="00210A1A"/>
    <w:rsid w:val="00210B2E"/>
    <w:rsid w:val="00210D6C"/>
    <w:rsid w:val="00210DC9"/>
    <w:rsid w:val="0021111F"/>
    <w:rsid w:val="002112C9"/>
    <w:rsid w:val="002114F7"/>
    <w:rsid w:val="0021155E"/>
    <w:rsid w:val="002117F7"/>
    <w:rsid w:val="00211A07"/>
    <w:rsid w:val="00211A22"/>
    <w:rsid w:val="00211BFA"/>
    <w:rsid w:val="00211DF2"/>
    <w:rsid w:val="00212038"/>
    <w:rsid w:val="0021260C"/>
    <w:rsid w:val="002127D9"/>
    <w:rsid w:val="00212A82"/>
    <w:rsid w:val="00212B59"/>
    <w:rsid w:val="00213040"/>
    <w:rsid w:val="00213191"/>
    <w:rsid w:val="002132AF"/>
    <w:rsid w:val="002136F0"/>
    <w:rsid w:val="002137C7"/>
    <w:rsid w:val="002137FF"/>
    <w:rsid w:val="002138F9"/>
    <w:rsid w:val="00213998"/>
    <w:rsid w:val="00213A59"/>
    <w:rsid w:val="00213CD6"/>
    <w:rsid w:val="00213D72"/>
    <w:rsid w:val="00213D99"/>
    <w:rsid w:val="00213F72"/>
    <w:rsid w:val="0021403E"/>
    <w:rsid w:val="002141FC"/>
    <w:rsid w:val="00214249"/>
    <w:rsid w:val="00214390"/>
    <w:rsid w:val="002143CE"/>
    <w:rsid w:val="002145BE"/>
    <w:rsid w:val="00214641"/>
    <w:rsid w:val="00214690"/>
    <w:rsid w:val="002146A0"/>
    <w:rsid w:val="00214842"/>
    <w:rsid w:val="002148B8"/>
    <w:rsid w:val="002149F9"/>
    <w:rsid w:val="00214A2D"/>
    <w:rsid w:val="00214C29"/>
    <w:rsid w:val="002150C0"/>
    <w:rsid w:val="00215109"/>
    <w:rsid w:val="00215721"/>
    <w:rsid w:val="002157E0"/>
    <w:rsid w:val="00215800"/>
    <w:rsid w:val="002158C5"/>
    <w:rsid w:val="002159E2"/>
    <w:rsid w:val="002159E5"/>
    <w:rsid w:val="002159ED"/>
    <w:rsid w:val="00215A01"/>
    <w:rsid w:val="00215ABE"/>
    <w:rsid w:val="00215E23"/>
    <w:rsid w:val="00215F7E"/>
    <w:rsid w:val="00216665"/>
    <w:rsid w:val="00216736"/>
    <w:rsid w:val="00216830"/>
    <w:rsid w:val="00216870"/>
    <w:rsid w:val="002168C8"/>
    <w:rsid w:val="00216A57"/>
    <w:rsid w:val="00216D10"/>
    <w:rsid w:val="00216E4A"/>
    <w:rsid w:val="0021729A"/>
    <w:rsid w:val="002173DE"/>
    <w:rsid w:val="00217448"/>
    <w:rsid w:val="002175F3"/>
    <w:rsid w:val="0021791F"/>
    <w:rsid w:val="002179CB"/>
    <w:rsid w:val="00217A69"/>
    <w:rsid w:val="00217A6C"/>
    <w:rsid w:val="00217A8C"/>
    <w:rsid w:val="00217B1A"/>
    <w:rsid w:val="00217B98"/>
    <w:rsid w:val="00217CD6"/>
    <w:rsid w:val="00217D5B"/>
    <w:rsid w:val="002208CC"/>
    <w:rsid w:val="00220E35"/>
    <w:rsid w:val="00220E86"/>
    <w:rsid w:val="00220FA0"/>
    <w:rsid w:val="00220FFA"/>
    <w:rsid w:val="0022148A"/>
    <w:rsid w:val="00221998"/>
    <w:rsid w:val="00221E6E"/>
    <w:rsid w:val="00221E74"/>
    <w:rsid w:val="002225E6"/>
    <w:rsid w:val="00222CC0"/>
    <w:rsid w:val="00222DC2"/>
    <w:rsid w:val="00222FA4"/>
    <w:rsid w:val="00222FDF"/>
    <w:rsid w:val="00223043"/>
    <w:rsid w:val="00223069"/>
    <w:rsid w:val="0022334F"/>
    <w:rsid w:val="002234CB"/>
    <w:rsid w:val="00223564"/>
    <w:rsid w:val="002235C0"/>
    <w:rsid w:val="00223798"/>
    <w:rsid w:val="00223859"/>
    <w:rsid w:val="002239C2"/>
    <w:rsid w:val="00223B42"/>
    <w:rsid w:val="00223B84"/>
    <w:rsid w:val="00223DBE"/>
    <w:rsid w:val="00223DD6"/>
    <w:rsid w:val="0022410C"/>
    <w:rsid w:val="002244B8"/>
    <w:rsid w:val="00224595"/>
    <w:rsid w:val="0022460D"/>
    <w:rsid w:val="00224656"/>
    <w:rsid w:val="002247CA"/>
    <w:rsid w:val="0022488D"/>
    <w:rsid w:val="00224AC1"/>
    <w:rsid w:val="00224AD5"/>
    <w:rsid w:val="002257D8"/>
    <w:rsid w:val="00225803"/>
    <w:rsid w:val="00225D37"/>
    <w:rsid w:val="00225D7E"/>
    <w:rsid w:val="00225D99"/>
    <w:rsid w:val="00225F1A"/>
    <w:rsid w:val="00226053"/>
    <w:rsid w:val="00226165"/>
    <w:rsid w:val="0022623A"/>
    <w:rsid w:val="002262AA"/>
    <w:rsid w:val="002262E8"/>
    <w:rsid w:val="002266CB"/>
    <w:rsid w:val="00226819"/>
    <w:rsid w:val="00226852"/>
    <w:rsid w:val="0022699C"/>
    <w:rsid w:val="00226B49"/>
    <w:rsid w:val="00226BA0"/>
    <w:rsid w:val="00226D77"/>
    <w:rsid w:val="00226DBC"/>
    <w:rsid w:val="00226FB1"/>
    <w:rsid w:val="00227021"/>
    <w:rsid w:val="002271A5"/>
    <w:rsid w:val="00227307"/>
    <w:rsid w:val="002275BE"/>
    <w:rsid w:val="002277E3"/>
    <w:rsid w:val="00227853"/>
    <w:rsid w:val="002279EC"/>
    <w:rsid w:val="00227B0E"/>
    <w:rsid w:val="00227BE0"/>
    <w:rsid w:val="00227D86"/>
    <w:rsid w:val="00227ED1"/>
    <w:rsid w:val="00227F91"/>
    <w:rsid w:val="002305E7"/>
    <w:rsid w:val="002307C3"/>
    <w:rsid w:val="00230854"/>
    <w:rsid w:val="00230CD8"/>
    <w:rsid w:val="00230D1B"/>
    <w:rsid w:val="00230F80"/>
    <w:rsid w:val="002310BD"/>
    <w:rsid w:val="002310D8"/>
    <w:rsid w:val="00231124"/>
    <w:rsid w:val="00231207"/>
    <w:rsid w:val="0023123D"/>
    <w:rsid w:val="00231246"/>
    <w:rsid w:val="002313D0"/>
    <w:rsid w:val="0023145A"/>
    <w:rsid w:val="00231895"/>
    <w:rsid w:val="002319CB"/>
    <w:rsid w:val="00231A18"/>
    <w:rsid w:val="002323D4"/>
    <w:rsid w:val="0023242A"/>
    <w:rsid w:val="00232433"/>
    <w:rsid w:val="00232656"/>
    <w:rsid w:val="002329C0"/>
    <w:rsid w:val="00232AD1"/>
    <w:rsid w:val="00232BFA"/>
    <w:rsid w:val="00232E79"/>
    <w:rsid w:val="00233101"/>
    <w:rsid w:val="0023314F"/>
    <w:rsid w:val="00233327"/>
    <w:rsid w:val="002336AD"/>
    <w:rsid w:val="00233817"/>
    <w:rsid w:val="00233A84"/>
    <w:rsid w:val="00233B02"/>
    <w:rsid w:val="00233B80"/>
    <w:rsid w:val="00233C15"/>
    <w:rsid w:val="00233CBF"/>
    <w:rsid w:val="00233D02"/>
    <w:rsid w:val="00233D45"/>
    <w:rsid w:val="00233D61"/>
    <w:rsid w:val="00233F56"/>
    <w:rsid w:val="00233F78"/>
    <w:rsid w:val="00234107"/>
    <w:rsid w:val="00234170"/>
    <w:rsid w:val="0023435B"/>
    <w:rsid w:val="002345FA"/>
    <w:rsid w:val="00234650"/>
    <w:rsid w:val="002347FF"/>
    <w:rsid w:val="00234C85"/>
    <w:rsid w:val="00234C8F"/>
    <w:rsid w:val="00234DCF"/>
    <w:rsid w:val="00235033"/>
    <w:rsid w:val="002351D3"/>
    <w:rsid w:val="002352CC"/>
    <w:rsid w:val="00235520"/>
    <w:rsid w:val="002357ED"/>
    <w:rsid w:val="00235CE2"/>
    <w:rsid w:val="00235DAD"/>
    <w:rsid w:val="00235F18"/>
    <w:rsid w:val="00235FE8"/>
    <w:rsid w:val="002365BE"/>
    <w:rsid w:val="0023666D"/>
    <w:rsid w:val="002367FF"/>
    <w:rsid w:val="00236E65"/>
    <w:rsid w:val="00236EB5"/>
    <w:rsid w:val="00236ED9"/>
    <w:rsid w:val="00236F08"/>
    <w:rsid w:val="0023749A"/>
    <w:rsid w:val="00237582"/>
    <w:rsid w:val="002378E2"/>
    <w:rsid w:val="00237A8E"/>
    <w:rsid w:val="00237AD3"/>
    <w:rsid w:val="00237F48"/>
    <w:rsid w:val="00237F8B"/>
    <w:rsid w:val="00240157"/>
    <w:rsid w:val="00240319"/>
    <w:rsid w:val="0024072B"/>
    <w:rsid w:val="0024077D"/>
    <w:rsid w:val="002407FD"/>
    <w:rsid w:val="00240A94"/>
    <w:rsid w:val="00240BBB"/>
    <w:rsid w:val="00240CE9"/>
    <w:rsid w:val="00240DE5"/>
    <w:rsid w:val="00240FE3"/>
    <w:rsid w:val="002416D8"/>
    <w:rsid w:val="0024180C"/>
    <w:rsid w:val="0024188B"/>
    <w:rsid w:val="00241A03"/>
    <w:rsid w:val="00241B6A"/>
    <w:rsid w:val="00241BE0"/>
    <w:rsid w:val="002422BD"/>
    <w:rsid w:val="0024230F"/>
    <w:rsid w:val="00242392"/>
    <w:rsid w:val="0024278B"/>
    <w:rsid w:val="00242876"/>
    <w:rsid w:val="00242BBD"/>
    <w:rsid w:val="00242BFA"/>
    <w:rsid w:val="00242DC3"/>
    <w:rsid w:val="0024300A"/>
    <w:rsid w:val="00243145"/>
    <w:rsid w:val="0024321C"/>
    <w:rsid w:val="002434BA"/>
    <w:rsid w:val="00243545"/>
    <w:rsid w:val="00243785"/>
    <w:rsid w:val="002438E2"/>
    <w:rsid w:val="00243BDD"/>
    <w:rsid w:val="00243FD5"/>
    <w:rsid w:val="0024436D"/>
    <w:rsid w:val="00244627"/>
    <w:rsid w:val="00244744"/>
    <w:rsid w:val="00244ACB"/>
    <w:rsid w:val="00244C21"/>
    <w:rsid w:val="00244D25"/>
    <w:rsid w:val="00244DEA"/>
    <w:rsid w:val="00244E8D"/>
    <w:rsid w:val="00244EB8"/>
    <w:rsid w:val="00244EEA"/>
    <w:rsid w:val="002450BF"/>
    <w:rsid w:val="0024527C"/>
    <w:rsid w:val="002453EC"/>
    <w:rsid w:val="0024561E"/>
    <w:rsid w:val="00245672"/>
    <w:rsid w:val="002456EF"/>
    <w:rsid w:val="002459BA"/>
    <w:rsid w:val="00245B8A"/>
    <w:rsid w:val="00245D4F"/>
    <w:rsid w:val="00246089"/>
    <w:rsid w:val="00246093"/>
    <w:rsid w:val="00246226"/>
    <w:rsid w:val="00246255"/>
    <w:rsid w:val="002463D8"/>
    <w:rsid w:val="00246702"/>
    <w:rsid w:val="00246775"/>
    <w:rsid w:val="0024678C"/>
    <w:rsid w:val="00246F5A"/>
    <w:rsid w:val="002470EB"/>
    <w:rsid w:val="00247699"/>
    <w:rsid w:val="00247860"/>
    <w:rsid w:val="0024795D"/>
    <w:rsid w:val="0024797B"/>
    <w:rsid w:val="002479A5"/>
    <w:rsid w:val="002479F0"/>
    <w:rsid w:val="00247BAB"/>
    <w:rsid w:val="00247C59"/>
    <w:rsid w:val="00247EBD"/>
    <w:rsid w:val="00247F2E"/>
    <w:rsid w:val="00247FD4"/>
    <w:rsid w:val="0025031F"/>
    <w:rsid w:val="0025040B"/>
    <w:rsid w:val="00250654"/>
    <w:rsid w:val="00250970"/>
    <w:rsid w:val="00250A7D"/>
    <w:rsid w:val="00250ADC"/>
    <w:rsid w:val="00250B07"/>
    <w:rsid w:val="00250BD6"/>
    <w:rsid w:val="00250D9B"/>
    <w:rsid w:val="00250F32"/>
    <w:rsid w:val="002510BD"/>
    <w:rsid w:val="0025115B"/>
    <w:rsid w:val="00251181"/>
    <w:rsid w:val="0025147F"/>
    <w:rsid w:val="002517AD"/>
    <w:rsid w:val="00251B95"/>
    <w:rsid w:val="00251E32"/>
    <w:rsid w:val="0025204A"/>
    <w:rsid w:val="0025270E"/>
    <w:rsid w:val="00252768"/>
    <w:rsid w:val="00252A16"/>
    <w:rsid w:val="00252B1C"/>
    <w:rsid w:val="00252ECA"/>
    <w:rsid w:val="00252F07"/>
    <w:rsid w:val="00253301"/>
    <w:rsid w:val="0025371A"/>
    <w:rsid w:val="00253763"/>
    <w:rsid w:val="002537E8"/>
    <w:rsid w:val="0025381C"/>
    <w:rsid w:val="00253A3A"/>
    <w:rsid w:val="00253BF2"/>
    <w:rsid w:val="00253C11"/>
    <w:rsid w:val="00253D55"/>
    <w:rsid w:val="00253F2C"/>
    <w:rsid w:val="00254133"/>
    <w:rsid w:val="0025419C"/>
    <w:rsid w:val="00254337"/>
    <w:rsid w:val="00254546"/>
    <w:rsid w:val="00254D26"/>
    <w:rsid w:val="002551C7"/>
    <w:rsid w:val="002551FA"/>
    <w:rsid w:val="002552C5"/>
    <w:rsid w:val="00255502"/>
    <w:rsid w:val="0025673B"/>
    <w:rsid w:val="00256915"/>
    <w:rsid w:val="00256CA2"/>
    <w:rsid w:val="00257088"/>
    <w:rsid w:val="00257254"/>
    <w:rsid w:val="00257440"/>
    <w:rsid w:val="00257553"/>
    <w:rsid w:val="002575DD"/>
    <w:rsid w:val="0025787A"/>
    <w:rsid w:val="002578C3"/>
    <w:rsid w:val="00257941"/>
    <w:rsid w:val="00257A0F"/>
    <w:rsid w:val="00257BA9"/>
    <w:rsid w:val="0026048B"/>
    <w:rsid w:val="00260A5C"/>
    <w:rsid w:val="00260C8A"/>
    <w:rsid w:val="00260EB8"/>
    <w:rsid w:val="00260F52"/>
    <w:rsid w:val="00260FB2"/>
    <w:rsid w:val="002614C4"/>
    <w:rsid w:val="00261869"/>
    <w:rsid w:val="00261B67"/>
    <w:rsid w:val="00261B81"/>
    <w:rsid w:val="00261BA4"/>
    <w:rsid w:val="00261BA8"/>
    <w:rsid w:val="00261ED2"/>
    <w:rsid w:val="00262128"/>
    <w:rsid w:val="002626EA"/>
    <w:rsid w:val="00262B48"/>
    <w:rsid w:val="00262B80"/>
    <w:rsid w:val="00262B8D"/>
    <w:rsid w:val="00262E78"/>
    <w:rsid w:val="00263529"/>
    <w:rsid w:val="0026368D"/>
    <w:rsid w:val="0026386B"/>
    <w:rsid w:val="00263968"/>
    <w:rsid w:val="00263A86"/>
    <w:rsid w:val="00263ABD"/>
    <w:rsid w:val="00263C99"/>
    <w:rsid w:val="00263D0A"/>
    <w:rsid w:val="00264066"/>
    <w:rsid w:val="00264243"/>
    <w:rsid w:val="0026429A"/>
    <w:rsid w:val="002642CC"/>
    <w:rsid w:val="00264460"/>
    <w:rsid w:val="002644C5"/>
    <w:rsid w:val="00264681"/>
    <w:rsid w:val="002646AE"/>
    <w:rsid w:val="002647D8"/>
    <w:rsid w:val="00264840"/>
    <w:rsid w:val="002649D5"/>
    <w:rsid w:val="00264C97"/>
    <w:rsid w:val="00265493"/>
    <w:rsid w:val="002655F9"/>
    <w:rsid w:val="00265A9F"/>
    <w:rsid w:val="00265BC2"/>
    <w:rsid w:val="00265BD4"/>
    <w:rsid w:val="00265C71"/>
    <w:rsid w:val="002660C9"/>
    <w:rsid w:val="002660E9"/>
    <w:rsid w:val="00266307"/>
    <w:rsid w:val="002663A6"/>
    <w:rsid w:val="002666C4"/>
    <w:rsid w:val="00266865"/>
    <w:rsid w:val="00266B4A"/>
    <w:rsid w:val="00267098"/>
    <w:rsid w:val="0026744A"/>
    <w:rsid w:val="0026758B"/>
    <w:rsid w:val="0026758F"/>
    <w:rsid w:val="00267A9B"/>
    <w:rsid w:val="00267C11"/>
    <w:rsid w:val="00267DBC"/>
    <w:rsid w:val="00267DD9"/>
    <w:rsid w:val="00267F67"/>
    <w:rsid w:val="00270061"/>
    <w:rsid w:val="00270066"/>
    <w:rsid w:val="0027013B"/>
    <w:rsid w:val="00270379"/>
    <w:rsid w:val="00270392"/>
    <w:rsid w:val="002703DE"/>
    <w:rsid w:val="00270586"/>
    <w:rsid w:val="00270805"/>
    <w:rsid w:val="00270A3C"/>
    <w:rsid w:val="00270AA6"/>
    <w:rsid w:val="00270B0C"/>
    <w:rsid w:val="00270B1A"/>
    <w:rsid w:val="00270C14"/>
    <w:rsid w:val="00270D4C"/>
    <w:rsid w:val="00270EB1"/>
    <w:rsid w:val="002710B5"/>
    <w:rsid w:val="0027165D"/>
    <w:rsid w:val="002717DF"/>
    <w:rsid w:val="00271DD4"/>
    <w:rsid w:val="00272164"/>
    <w:rsid w:val="002722F0"/>
    <w:rsid w:val="002722FD"/>
    <w:rsid w:val="00272384"/>
    <w:rsid w:val="0027238E"/>
    <w:rsid w:val="002723E1"/>
    <w:rsid w:val="0027252C"/>
    <w:rsid w:val="002726AF"/>
    <w:rsid w:val="00272A8B"/>
    <w:rsid w:val="00272B37"/>
    <w:rsid w:val="00272F32"/>
    <w:rsid w:val="0027327C"/>
    <w:rsid w:val="00273514"/>
    <w:rsid w:val="0027357A"/>
    <w:rsid w:val="002735DF"/>
    <w:rsid w:val="0027390F"/>
    <w:rsid w:val="0027394B"/>
    <w:rsid w:val="00273CEB"/>
    <w:rsid w:val="00273D92"/>
    <w:rsid w:val="00273DBB"/>
    <w:rsid w:val="00273E6D"/>
    <w:rsid w:val="00273F64"/>
    <w:rsid w:val="00274005"/>
    <w:rsid w:val="0027409A"/>
    <w:rsid w:val="00274544"/>
    <w:rsid w:val="002745EA"/>
    <w:rsid w:val="0027462B"/>
    <w:rsid w:val="00274632"/>
    <w:rsid w:val="002749BA"/>
    <w:rsid w:val="002749C1"/>
    <w:rsid w:val="00274D5A"/>
    <w:rsid w:val="00275104"/>
    <w:rsid w:val="00275730"/>
    <w:rsid w:val="00275753"/>
    <w:rsid w:val="00275825"/>
    <w:rsid w:val="002758FA"/>
    <w:rsid w:val="00275C39"/>
    <w:rsid w:val="00275DAE"/>
    <w:rsid w:val="00275E78"/>
    <w:rsid w:val="00275FA7"/>
    <w:rsid w:val="002766AB"/>
    <w:rsid w:val="00276766"/>
    <w:rsid w:val="00276920"/>
    <w:rsid w:val="0027702F"/>
    <w:rsid w:val="00277037"/>
    <w:rsid w:val="00277123"/>
    <w:rsid w:val="002773FE"/>
    <w:rsid w:val="002775F0"/>
    <w:rsid w:val="002776C9"/>
    <w:rsid w:val="002777D4"/>
    <w:rsid w:val="00277928"/>
    <w:rsid w:val="0028026A"/>
    <w:rsid w:val="00280307"/>
    <w:rsid w:val="002803EB"/>
    <w:rsid w:val="002804AD"/>
    <w:rsid w:val="002805A5"/>
    <w:rsid w:val="002806C9"/>
    <w:rsid w:val="0028075E"/>
    <w:rsid w:val="00280A29"/>
    <w:rsid w:val="00280BFE"/>
    <w:rsid w:val="00280C99"/>
    <w:rsid w:val="00281009"/>
    <w:rsid w:val="0028100C"/>
    <w:rsid w:val="00281083"/>
    <w:rsid w:val="0028119E"/>
    <w:rsid w:val="002812A0"/>
    <w:rsid w:val="002814F2"/>
    <w:rsid w:val="002815E8"/>
    <w:rsid w:val="002816F2"/>
    <w:rsid w:val="0028193F"/>
    <w:rsid w:val="00281B29"/>
    <w:rsid w:val="00281B50"/>
    <w:rsid w:val="00281C89"/>
    <w:rsid w:val="00281DF2"/>
    <w:rsid w:val="002822D5"/>
    <w:rsid w:val="0028242C"/>
    <w:rsid w:val="0028244D"/>
    <w:rsid w:val="00282481"/>
    <w:rsid w:val="00282731"/>
    <w:rsid w:val="0028275D"/>
    <w:rsid w:val="0028282F"/>
    <w:rsid w:val="002829D7"/>
    <w:rsid w:val="00282B7F"/>
    <w:rsid w:val="00283162"/>
    <w:rsid w:val="0028327E"/>
    <w:rsid w:val="00283412"/>
    <w:rsid w:val="00283B57"/>
    <w:rsid w:val="00283D44"/>
    <w:rsid w:val="00284098"/>
    <w:rsid w:val="00284356"/>
    <w:rsid w:val="00284464"/>
    <w:rsid w:val="00284607"/>
    <w:rsid w:val="00284638"/>
    <w:rsid w:val="002847F5"/>
    <w:rsid w:val="002849AE"/>
    <w:rsid w:val="00284A08"/>
    <w:rsid w:val="00284A74"/>
    <w:rsid w:val="002851CD"/>
    <w:rsid w:val="002853F0"/>
    <w:rsid w:val="002854CB"/>
    <w:rsid w:val="002855E5"/>
    <w:rsid w:val="00285A77"/>
    <w:rsid w:val="00285C9B"/>
    <w:rsid w:val="00285ECE"/>
    <w:rsid w:val="00285F0D"/>
    <w:rsid w:val="00286181"/>
    <w:rsid w:val="00286296"/>
    <w:rsid w:val="00286368"/>
    <w:rsid w:val="00286D3F"/>
    <w:rsid w:val="00286F63"/>
    <w:rsid w:val="00287265"/>
    <w:rsid w:val="002872AB"/>
    <w:rsid w:val="00287476"/>
    <w:rsid w:val="002874CC"/>
    <w:rsid w:val="00287A06"/>
    <w:rsid w:val="00290082"/>
    <w:rsid w:val="002905BD"/>
    <w:rsid w:val="00290702"/>
    <w:rsid w:val="002909B3"/>
    <w:rsid w:val="00290A9D"/>
    <w:rsid w:val="0029100B"/>
    <w:rsid w:val="00291038"/>
    <w:rsid w:val="00291090"/>
    <w:rsid w:val="002910CF"/>
    <w:rsid w:val="002913A4"/>
    <w:rsid w:val="0029140B"/>
    <w:rsid w:val="002915A4"/>
    <w:rsid w:val="002917BE"/>
    <w:rsid w:val="00291A69"/>
    <w:rsid w:val="00291F46"/>
    <w:rsid w:val="0029215B"/>
    <w:rsid w:val="00292179"/>
    <w:rsid w:val="00292240"/>
    <w:rsid w:val="002926AA"/>
    <w:rsid w:val="00292996"/>
    <w:rsid w:val="002929AA"/>
    <w:rsid w:val="00292CEF"/>
    <w:rsid w:val="00292D1B"/>
    <w:rsid w:val="00292F18"/>
    <w:rsid w:val="002931A7"/>
    <w:rsid w:val="002933C2"/>
    <w:rsid w:val="00293432"/>
    <w:rsid w:val="002934A3"/>
    <w:rsid w:val="0029351E"/>
    <w:rsid w:val="0029398C"/>
    <w:rsid w:val="00293CD6"/>
    <w:rsid w:val="00294020"/>
    <w:rsid w:val="0029408E"/>
    <w:rsid w:val="0029415E"/>
    <w:rsid w:val="0029469D"/>
    <w:rsid w:val="002947C4"/>
    <w:rsid w:val="00294BDC"/>
    <w:rsid w:val="00294C03"/>
    <w:rsid w:val="0029531C"/>
    <w:rsid w:val="0029548C"/>
    <w:rsid w:val="002955E2"/>
    <w:rsid w:val="00295620"/>
    <w:rsid w:val="002957C2"/>
    <w:rsid w:val="00295879"/>
    <w:rsid w:val="00295911"/>
    <w:rsid w:val="0029593B"/>
    <w:rsid w:val="00295C58"/>
    <w:rsid w:val="00295D5D"/>
    <w:rsid w:val="00296153"/>
    <w:rsid w:val="00296187"/>
    <w:rsid w:val="002961E1"/>
    <w:rsid w:val="0029628A"/>
    <w:rsid w:val="002963AB"/>
    <w:rsid w:val="00296462"/>
    <w:rsid w:val="002964FE"/>
    <w:rsid w:val="002967A4"/>
    <w:rsid w:val="00296BEA"/>
    <w:rsid w:val="00296D2F"/>
    <w:rsid w:val="002970F5"/>
    <w:rsid w:val="0029742F"/>
    <w:rsid w:val="002977A7"/>
    <w:rsid w:val="002978C2"/>
    <w:rsid w:val="00297B59"/>
    <w:rsid w:val="00297CE6"/>
    <w:rsid w:val="00297E4F"/>
    <w:rsid w:val="00297ED5"/>
    <w:rsid w:val="00297FC5"/>
    <w:rsid w:val="002A0055"/>
    <w:rsid w:val="002A0417"/>
    <w:rsid w:val="002A0616"/>
    <w:rsid w:val="002A0762"/>
    <w:rsid w:val="002A07F5"/>
    <w:rsid w:val="002A09A3"/>
    <w:rsid w:val="002A0BBB"/>
    <w:rsid w:val="002A150E"/>
    <w:rsid w:val="002A16D8"/>
    <w:rsid w:val="002A1BA8"/>
    <w:rsid w:val="002A1BC8"/>
    <w:rsid w:val="002A1C09"/>
    <w:rsid w:val="002A1EBE"/>
    <w:rsid w:val="002A2079"/>
    <w:rsid w:val="002A22A2"/>
    <w:rsid w:val="002A23FA"/>
    <w:rsid w:val="002A2461"/>
    <w:rsid w:val="002A2599"/>
    <w:rsid w:val="002A25EF"/>
    <w:rsid w:val="002A2697"/>
    <w:rsid w:val="002A26FE"/>
    <w:rsid w:val="002A2A92"/>
    <w:rsid w:val="002A2C58"/>
    <w:rsid w:val="002A3285"/>
    <w:rsid w:val="002A34B5"/>
    <w:rsid w:val="002A352C"/>
    <w:rsid w:val="002A3545"/>
    <w:rsid w:val="002A35A6"/>
    <w:rsid w:val="002A3901"/>
    <w:rsid w:val="002A3E76"/>
    <w:rsid w:val="002A3EF2"/>
    <w:rsid w:val="002A3F27"/>
    <w:rsid w:val="002A3F55"/>
    <w:rsid w:val="002A410D"/>
    <w:rsid w:val="002A44C9"/>
    <w:rsid w:val="002A463E"/>
    <w:rsid w:val="002A4B54"/>
    <w:rsid w:val="002A4C37"/>
    <w:rsid w:val="002A4ED8"/>
    <w:rsid w:val="002A52E6"/>
    <w:rsid w:val="002A531B"/>
    <w:rsid w:val="002A567A"/>
    <w:rsid w:val="002A5789"/>
    <w:rsid w:val="002A5FB5"/>
    <w:rsid w:val="002A60B2"/>
    <w:rsid w:val="002A6116"/>
    <w:rsid w:val="002A619A"/>
    <w:rsid w:val="002A622A"/>
    <w:rsid w:val="002A65EE"/>
    <w:rsid w:val="002A6C5E"/>
    <w:rsid w:val="002A6C69"/>
    <w:rsid w:val="002A6E37"/>
    <w:rsid w:val="002A6F99"/>
    <w:rsid w:val="002A72E8"/>
    <w:rsid w:val="002A730A"/>
    <w:rsid w:val="002A7826"/>
    <w:rsid w:val="002A7DD4"/>
    <w:rsid w:val="002A7E19"/>
    <w:rsid w:val="002A7F33"/>
    <w:rsid w:val="002A7F78"/>
    <w:rsid w:val="002A7FBE"/>
    <w:rsid w:val="002B0155"/>
    <w:rsid w:val="002B04B2"/>
    <w:rsid w:val="002B05F5"/>
    <w:rsid w:val="002B0964"/>
    <w:rsid w:val="002B0DED"/>
    <w:rsid w:val="002B1017"/>
    <w:rsid w:val="002B121F"/>
    <w:rsid w:val="002B1465"/>
    <w:rsid w:val="002B1533"/>
    <w:rsid w:val="002B15C8"/>
    <w:rsid w:val="002B1645"/>
    <w:rsid w:val="002B1816"/>
    <w:rsid w:val="002B18F2"/>
    <w:rsid w:val="002B19A2"/>
    <w:rsid w:val="002B19F4"/>
    <w:rsid w:val="002B1A3B"/>
    <w:rsid w:val="002B1A84"/>
    <w:rsid w:val="002B1D4E"/>
    <w:rsid w:val="002B1E76"/>
    <w:rsid w:val="002B1EA4"/>
    <w:rsid w:val="002B2898"/>
    <w:rsid w:val="002B2AD0"/>
    <w:rsid w:val="002B2E25"/>
    <w:rsid w:val="002B32DD"/>
    <w:rsid w:val="002B3705"/>
    <w:rsid w:val="002B3760"/>
    <w:rsid w:val="002B37F5"/>
    <w:rsid w:val="002B381A"/>
    <w:rsid w:val="002B3914"/>
    <w:rsid w:val="002B3E89"/>
    <w:rsid w:val="002B3F7C"/>
    <w:rsid w:val="002B414C"/>
    <w:rsid w:val="002B4156"/>
    <w:rsid w:val="002B41A9"/>
    <w:rsid w:val="002B453A"/>
    <w:rsid w:val="002B4582"/>
    <w:rsid w:val="002B47E4"/>
    <w:rsid w:val="002B489F"/>
    <w:rsid w:val="002B4926"/>
    <w:rsid w:val="002B4BAD"/>
    <w:rsid w:val="002B4E81"/>
    <w:rsid w:val="002B4E93"/>
    <w:rsid w:val="002B4FCC"/>
    <w:rsid w:val="002B4FF5"/>
    <w:rsid w:val="002B5042"/>
    <w:rsid w:val="002B5288"/>
    <w:rsid w:val="002B5435"/>
    <w:rsid w:val="002B545A"/>
    <w:rsid w:val="002B5479"/>
    <w:rsid w:val="002B54CD"/>
    <w:rsid w:val="002B553C"/>
    <w:rsid w:val="002B560B"/>
    <w:rsid w:val="002B58D3"/>
    <w:rsid w:val="002B59F8"/>
    <w:rsid w:val="002B5BAC"/>
    <w:rsid w:val="002B5EF7"/>
    <w:rsid w:val="002B5FA6"/>
    <w:rsid w:val="002B613D"/>
    <w:rsid w:val="002B615D"/>
    <w:rsid w:val="002B6536"/>
    <w:rsid w:val="002B6B00"/>
    <w:rsid w:val="002B6B61"/>
    <w:rsid w:val="002B6C04"/>
    <w:rsid w:val="002B6C62"/>
    <w:rsid w:val="002B6C63"/>
    <w:rsid w:val="002B6D9B"/>
    <w:rsid w:val="002B6DCB"/>
    <w:rsid w:val="002B6E81"/>
    <w:rsid w:val="002B721A"/>
    <w:rsid w:val="002B7408"/>
    <w:rsid w:val="002B7448"/>
    <w:rsid w:val="002B74E8"/>
    <w:rsid w:val="002B7655"/>
    <w:rsid w:val="002B78B4"/>
    <w:rsid w:val="002B7943"/>
    <w:rsid w:val="002B7950"/>
    <w:rsid w:val="002B7B26"/>
    <w:rsid w:val="002B7BE3"/>
    <w:rsid w:val="002B7C48"/>
    <w:rsid w:val="002B7CF0"/>
    <w:rsid w:val="002B7CFD"/>
    <w:rsid w:val="002C04DE"/>
    <w:rsid w:val="002C067C"/>
    <w:rsid w:val="002C0843"/>
    <w:rsid w:val="002C096F"/>
    <w:rsid w:val="002C09B2"/>
    <w:rsid w:val="002C0B47"/>
    <w:rsid w:val="002C0E9D"/>
    <w:rsid w:val="002C0F06"/>
    <w:rsid w:val="002C10AB"/>
    <w:rsid w:val="002C1105"/>
    <w:rsid w:val="002C1139"/>
    <w:rsid w:val="002C12D2"/>
    <w:rsid w:val="002C1BE4"/>
    <w:rsid w:val="002C1C0D"/>
    <w:rsid w:val="002C1C1F"/>
    <w:rsid w:val="002C1CE6"/>
    <w:rsid w:val="002C210F"/>
    <w:rsid w:val="002C21AC"/>
    <w:rsid w:val="002C229E"/>
    <w:rsid w:val="002C2373"/>
    <w:rsid w:val="002C26D0"/>
    <w:rsid w:val="002C2EE3"/>
    <w:rsid w:val="002C2F28"/>
    <w:rsid w:val="002C321B"/>
    <w:rsid w:val="002C3490"/>
    <w:rsid w:val="002C39DA"/>
    <w:rsid w:val="002C3ACE"/>
    <w:rsid w:val="002C3B51"/>
    <w:rsid w:val="002C3DFD"/>
    <w:rsid w:val="002C3EC9"/>
    <w:rsid w:val="002C3F7B"/>
    <w:rsid w:val="002C425B"/>
    <w:rsid w:val="002C426E"/>
    <w:rsid w:val="002C4590"/>
    <w:rsid w:val="002C48EC"/>
    <w:rsid w:val="002C4AE8"/>
    <w:rsid w:val="002C4CB3"/>
    <w:rsid w:val="002C4DD3"/>
    <w:rsid w:val="002C4EBC"/>
    <w:rsid w:val="002C5172"/>
    <w:rsid w:val="002C53B0"/>
    <w:rsid w:val="002C54B1"/>
    <w:rsid w:val="002C5771"/>
    <w:rsid w:val="002C5A33"/>
    <w:rsid w:val="002C5BA2"/>
    <w:rsid w:val="002C625A"/>
    <w:rsid w:val="002C6455"/>
    <w:rsid w:val="002C6B86"/>
    <w:rsid w:val="002C6C7C"/>
    <w:rsid w:val="002C6D29"/>
    <w:rsid w:val="002C6DAC"/>
    <w:rsid w:val="002C72DA"/>
    <w:rsid w:val="002C76E7"/>
    <w:rsid w:val="002C7909"/>
    <w:rsid w:val="002C7A0F"/>
    <w:rsid w:val="002D033B"/>
    <w:rsid w:val="002D03A7"/>
    <w:rsid w:val="002D0520"/>
    <w:rsid w:val="002D0C40"/>
    <w:rsid w:val="002D0D8D"/>
    <w:rsid w:val="002D0DEE"/>
    <w:rsid w:val="002D1197"/>
    <w:rsid w:val="002D138E"/>
    <w:rsid w:val="002D1505"/>
    <w:rsid w:val="002D1743"/>
    <w:rsid w:val="002D17A1"/>
    <w:rsid w:val="002D18BA"/>
    <w:rsid w:val="002D1E23"/>
    <w:rsid w:val="002D1E2E"/>
    <w:rsid w:val="002D2140"/>
    <w:rsid w:val="002D2311"/>
    <w:rsid w:val="002D234B"/>
    <w:rsid w:val="002D2649"/>
    <w:rsid w:val="002D2692"/>
    <w:rsid w:val="002D2B98"/>
    <w:rsid w:val="002D2FB6"/>
    <w:rsid w:val="002D31AF"/>
    <w:rsid w:val="002D3254"/>
    <w:rsid w:val="002D327B"/>
    <w:rsid w:val="002D3600"/>
    <w:rsid w:val="002D36BD"/>
    <w:rsid w:val="002D3CB3"/>
    <w:rsid w:val="002D3F86"/>
    <w:rsid w:val="002D424B"/>
    <w:rsid w:val="002D428C"/>
    <w:rsid w:val="002D42C1"/>
    <w:rsid w:val="002D4418"/>
    <w:rsid w:val="002D44B6"/>
    <w:rsid w:val="002D44BE"/>
    <w:rsid w:val="002D4657"/>
    <w:rsid w:val="002D4693"/>
    <w:rsid w:val="002D4921"/>
    <w:rsid w:val="002D4980"/>
    <w:rsid w:val="002D49A9"/>
    <w:rsid w:val="002D4A38"/>
    <w:rsid w:val="002D4A8E"/>
    <w:rsid w:val="002D4C3C"/>
    <w:rsid w:val="002D4D2D"/>
    <w:rsid w:val="002D4D86"/>
    <w:rsid w:val="002D4F57"/>
    <w:rsid w:val="002D4FF3"/>
    <w:rsid w:val="002D5361"/>
    <w:rsid w:val="002D5C22"/>
    <w:rsid w:val="002D5C3F"/>
    <w:rsid w:val="002D5E84"/>
    <w:rsid w:val="002D6019"/>
    <w:rsid w:val="002D63D4"/>
    <w:rsid w:val="002D65FE"/>
    <w:rsid w:val="002D67F8"/>
    <w:rsid w:val="002D6982"/>
    <w:rsid w:val="002D6C08"/>
    <w:rsid w:val="002D6EAB"/>
    <w:rsid w:val="002D6F72"/>
    <w:rsid w:val="002D764D"/>
    <w:rsid w:val="002D771F"/>
    <w:rsid w:val="002D7876"/>
    <w:rsid w:val="002D7901"/>
    <w:rsid w:val="002D7943"/>
    <w:rsid w:val="002D7957"/>
    <w:rsid w:val="002D79F8"/>
    <w:rsid w:val="002D7C5A"/>
    <w:rsid w:val="002D7C82"/>
    <w:rsid w:val="002E00BA"/>
    <w:rsid w:val="002E0123"/>
    <w:rsid w:val="002E048F"/>
    <w:rsid w:val="002E0849"/>
    <w:rsid w:val="002E09C4"/>
    <w:rsid w:val="002E09F0"/>
    <w:rsid w:val="002E0E3D"/>
    <w:rsid w:val="002E13B8"/>
    <w:rsid w:val="002E1715"/>
    <w:rsid w:val="002E19DC"/>
    <w:rsid w:val="002E1DD9"/>
    <w:rsid w:val="002E1FD6"/>
    <w:rsid w:val="002E21E4"/>
    <w:rsid w:val="002E228F"/>
    <w:rsid w:val="002E26B2"/>
    <w:rsid w:val="002E2A54"/>
    <w:rsid w:val="002E2A70"/>
    <w:rsid w:val="002E2E7D"/>
    <w:rsid w:val="002E322A"/>
    <w:rsid w:val="002E36FF"/>
    <w:rsid w:val="002E386B"/>
    <w:rsid w:val="002E40BA"/>
    <w:rsid w:val="002E426D"/>
    <w:rsid w:val="002E4453"/>
    <w:rsid w:val="002E45DA"/>
    <w:rsid w:val="002E4870"/>
    <w:rsid w:val="002E4B67"/>
    <w:rsid w:val="002E4C44"/>
    <w:rsid w:val="002E4CC6"/>
    <w:rsid w:val="002E4DDC"/>
    <w:rsid w:val="002E4ED7"/>
    <w:rsid w:val="002E50BD"/>
    <w:rsid w:val="002E5112"/>
    <w:rsid w:val="002E515B"/>
    <w:rsid w:val="002E5CF9"/>
    <w:rsid w:val="002E5F6E"/>
    <w:rsid w:val="002E600A"/>
    <w:rsid w:val="002E60BE"/>
    <w:rsid w:val="002E624B"/>
    <w:rsid w:val="002E62B4"/>
    <w:rsid w:val="002E64BA"/>
    <w:rsid w:val="002E6570"/>
    <w:rsid w:val="002E65F4"/>
    <w:rsid w:val="002E6627"/>
    <w:rsid w:val="002E67E6"/>
    <w:rsid w:val="002E68FE"/>
    <w:rsid w:val="002E6949"/>
    <w:rsid w:val="002E6DEF"/>
    <w:rsid w:val="002E6E53"/>
    <w:rsid w:val="002E73A8"/>
    <w:rsid w:val="002E75EB"/>
    <w:rsid w:val="002E7711"/>
    <w:rsid w:val="002E7A2A"/>
    <w:rsid w:val="002E7C57"/>
    <w:rsid w:val="002E7CC6"/>
    <w:rsid w:val="002F022D"/>
    <w:rsid w:val="002F033B"/>
    <w:rsid w:val="002F03AD"/>
    <w:rsid w:val="002F03F6"/>
    <w:rsid w:val="002F06EE"/>
    <w:rsid w:val="002F0A42"/>
    <w:rsid w:val="002F0A6F"/>
    <w:rsid w:val="002F0AC6"/>
    <w:rsid w:val="002F0C4C"/>
    <w:rsid w:val="002F0FB1"/>
    <w:rsid w:val="002F116D"/>
    <w:rsid w:val="002F11DC"/>
    <w:rsid w:val="002F1713"/>
    <w:rsid w:val="002F17B1"/>
    <w:rsid w:val="002F1D08"/>
    <w:rsid w:val="002F1D51"/>
    <w:rsid w:val="002F20DE"/>
    <w:rsid w:val="002F2176"/>
    <w:rsid w:val="002F2655"/>
    <w:rsid w:val="002F26FC"/>
    <w:rsid w:val="002F2B63"/>
    <w:rsid w:val="002F2D3D"/>
    <w:rsid w:val="002F2D6C"/>
    <w:rsid w:val="002F3197"/>
    <w:rsid w:val="002F330E"/>
    <w:rsid w:val="002F348F"/>
    <w:rsid w:val="002F35EB"/>
    <w:rsid w:val="002F36AC"/>
    <w:rsid w:val="002F3766"/>
    <w:rsid w:val="002F3774"/>
    <w:rsid w:val="002F397C"/>
    <w:rsid w:val="002F3A65"/>
    <w:rsid w:val="002F3A8E"/>
    <w:rsid w:val="002F3A99"/>
    <w:rsid w:val="002F3F6A"/>
    <w:rsid w:val="002F3F7E"/>
    <w:rsid w:val="002F4235"/>
    <w:rsid w:val="002F4269"/>
    <w:rsid w:val="002F4682"/>
    <w:rsid w:val="002F4A8A"/>
    <w:rsid w:val="002F522C"/>
    <w:rsid w:val="002F53BB"/>
    <w:rsid w:val="002F547B"/>
    <w:rsid w:val="002F5DE5"/>
    <w:rsid w:val="002F5F8F"/>
    <w:rsid w:val="002F6007"/>
    <w:rsid w:val="002F6136"/>
    <w:rsid w:val="002F6200"/>
    <w:rsid w:val="002F626F"/>
    <w:rsid w:val="002F6278"/>
    <w:rsid w:val="002F6410"/>
    <w:rsid w:val="002F6618"/>
    <w:rsid w:val="002F662C"/>
    <w:rsid w:val="002F69A9"/>
    <w:rsid w:val="002F6BB8"/>
    <w:rsid w:val="002F6DCC"/>
    <w:rsid w:val="002F6EEC"/>
    <w:rsid w:val="002F6F59"/>
    <w:rsid w:val="002F7444"/>
    <w:rsid w:val="002F7466"/>
    <w:rsid w:val="002F7484"/>
    <w:rsid w:val="002F7542"/>
    <w:rsid w:val="002F7771"/>
    <w:rsid w:val="002F7B1F"/>
    <w:rsid w:val="002F7BDE"/>
    <w:rsid w:val="002F7E45"/>
    <w:rsid w:val="00300180"/>
    <w:rsid w:val="003001E3"/>
    <w:rsid w:val="0030047C"/>
    <w:rsid w:val="003004E6"/>
    <w:rsid w:val="00300535"/>
    <w:rsid w:val="0030071F"/>
    <w:rsid w:val="00300CE4"/>
    <w:rsid w:val="00300E72"/>
    <w:rsid w:val="00300EEA"/>
    <w:rsid w:val="00300F2E"/>
    <w:rsid w:val="003010DD"/>
    <w:rsid w:val="003012A4"/>
    <w:rsid w:val="00301442"/>
    <w:rsid w:val="003015A4"/>
    <w:rsid w:val="00301830"/>
    <w:rsid w:val="003019D1"/>
    <w:rsid w:val="00301A68"/>
    <w:rsid w:val="00301AE8"/>
    <w:rsid w:val="00301D4B"/>
    <w:rsid w:val="00301E9E"/>
    <w:rsid w:val="00302192"/>
    <w:rsid w:val="00302266"/>
    <w:rsid w:val="0030229C"/>
    <w:rsid w:val="00302413"/>
    <w:rsid w:val="00302480"/>
    <w:rsid w:val="00302530"/>
    <w:rsid w:val="00302552"/>
    <w:rsid w:val="00302758"/>
    <w:rsid w:val="003027F1"/>
    <w:rsid w:val="003027F8"/>
    <w:rsid w:val="00302987"/>
    <w:rsid w:val="00302CFC"/>
    <w:rsid w:val="00303095"/>
    <w:rsid w:val="0030309B"/>
    <w:rsid w:val="003031E5"/>
    <w:rsid w:val="00303286"/>
    <w:rsid w:val="00303417"/>
    <w:rsid w:val="0030356B"/>
    <w:rsid w:val="0030367C"/>
    <w:rsid w:val="003038AB"/>
    <w:rsid w:val="00303D3A"/>
    <w:rsid w:val="00303F6C"/>
    <w:rsid w:val="0030420F"/>
    <w:rsid w:val="0030427E"/>
    <w:rsid w:val="003042BA"/>
    <w:rsid w:val="003043B5"/>
    <w:rsid w:val="0030444F"/>
    <w:rsid w:val="00304808"/>
    <w:rsid w:val="00304973"/>
    <w:rsid w:val="00304CE8"/>
    <w:rsid w:val="00304F90"/>
    <w:rsid w:val="00305246"/>
    <w:rsid w:val="00305386"/>
    <w:rsid w:val="0030576B"/>
    <w:rsid w:val="00305981"/>
    <w:rsid w:val="00305986"/>
    <w:rsid w:val="00305A5F"/>
    <w:rsid w:val="00305B02"/>
    <w:rsid w:val="00305E33"/>
    <w:rsid w:val="00305E92"/>
    <w:rsid w:val="00306063"/>
    <w:rsid w:val="003061BE"/>
    <w:rsid w:val="003062E7"/>
    <w:rsid w:val="00306491"/>
    <w:rsid w:val="003064B1"/>
    <w:rsid w:val="0030656D"/>
    <w:rsid w:val="003065CA"/>
    <w:rsid w:val="003066EC"/>
    <w:rsid w:val="00306913"/>
    <w:rsid w:val="00306A58"/>
    <w:rsid w:val="00306BC1"/>
    <w:rsid w:val="00306C17"/>
    <w:rsid w:val="00306C89"/>
    <w:rsid w:val="00306E69"/>
    <w:rsid w:val="00306E70"/>
    <w:rsid w:val="003070B1"/>
    <w:rsid w:val="003072A3"/>
    <w:rsid w:val="003073EC"/>
    <w:rsid w:val="0030742D"/>
    <w:rsid w:val="00307737"/>
    <w:rsid w:val="00307945"/>
    <w:rsid w:val="003079A2"/>
    <w:rsid w:val="00307A09"/>
    <w:rsid w:val="00307B4D"/>
    <w:rsid w:val="00307C68"/>
    <w:rsid w:val="00307CB5"/>
    <w:rsid w:val="00307D7A"/>
    <w:rsid w:val="00307ECD"/>
    <w:rsid w:val="00307F6F"/>
    <w:rsid w:val="003102E9"/>
    <w:rsid w:val="0031033B"/>
    <w:rsid w:val="00310413"/>
    <w:rsid w:val="00310473"/>
    <w:rsid w:val="003105B1"/>
    <w:rsid w:val="003109ED"/>
    <w:rsid w:val="00310AE1"/>
    <w:rsid w:val="00310ECB"/>
    <w:rsid w:val="00311195"/>
    <w:rsid w:val="0031137B"/>
    <w:rsid w:val="003116FE"/>
    <w:rsid w:val="003118D5"/>
    <w:rsid w:val="003118F0"/>
    <w:rsid w:val="00311AB7"/>
    <w:rsid w:val="00311B44"/>
    <w:rsid w:val="00311C07"/>
    <w:rsid w:val="00311F0F"/>
    <w:rsid w:val="003122D6"/>
    <w:rsid w:val="003125DD"/>
    <w:rsid w:val="003125EC"/>
    <w:rsid w:val="00312D94"/>
    <w:rsid w:val="00312F17"/>
    <w:rsid w:val="0031302F"/>
    <w:rsid w:val="00313529"/>
    <w:rsid w:val="0031362A"/>
    <w:rsid w:val="003139B8"/>
    <w:rsid w:val="00313A36"/>
    <w:rsid w:val="00313A94"/>
    <w:rsid w:val="00313B28"/>
    <w:rsid w:val="00313B38"/>
    <w:rsid w:val="00313B58"/>
    <w:rsid w:val="00313CD5"/>
    <w:rsid w:val="00313FDB"/>
    <w:rsid w:val="0031427F"/>
    <w:rsid w:val="003142FB"/>
    <w:rsid w:val="0031436A"/>
    <w:rsid w:val="003143E1"/>
    <w:rsid w:val="003144AE"/>
    <w:rsid w:val="00314753"/>
    <w:rsid w:val="0031478E"/>
    <w:rsid w:val="0031496C"/>
    <w:rsid w:val="00314AA8"/>
    <w:rsid w:val="00314CE1"/>
    <w:rsid w:val="00314D5F"/>
    <w:rsid w:val="00314E68"/>
    <w:rsid w:val="00314F39"/>
    <w:rsid w:val="00314F3A"/>
    <w:rsid w:val="00314F50"/>
    <w:rsid w:val="0031538F"/>
    <w:rsid w:val="003154FE"/>
    <w:rsid w:val="00315686"/>
    <w:rsid w:val="003156BC"/>
    <w:rsid w:val="003156F1"/>
    <w:rsid w:val="00315770"/>
    <w:rsid w:val="00315B1F"/>
    <w:rsid w:val="00315F68"/>
    <w:rsid w:val="00315FDA"/>
    <w:rsid w:val="00316329"/>
    <w:rsid w:val="003163E0"/>
    <w:rsid w:val="003165E6"/>
    <w:rsid w:val="003167BD"/>
    <w:rsid w:val="003169D4"/>
    <w:rsid w:val="00316BF1"/>
    <w:rsid w:val="00316C37"/>
    <w:rsid w:val="00316D13"/>
    <w:rsid w:val="00316D94"/>
    <w:rsid w:val="00316DDB"/>
    <w:rsid w:val="00316E40"/>
    <w:rsid w:val="00317011"/>
    <w:rsid w:val="00317027"/>
    <w:rsid w:val="00317035"/>
    <w:rsid w:val="00317053"/>
    <w:rsid w:val="00317077"/>
    <w:rsid w:val="003170B4"/>
    <w:rsid w:val="0031728F"/>
    <w:rsid w:val="00317410"/>
    <w:rsid w:val="003174D0"/>
    <w:rsid w:val="00317627"/>
    <w:rsid w:val="0031766A"/>
    <w:rsid w:val="00317801"/>
    <w:rsid w:val="0031785D"/>
    <w:rsid w:val="00317B5B"/>
    <w:rsid w:val="00317BC8"/>
    <w:rsid w:val="00317C50"/>
    <w:rsid w:val="003202A0"/>
    <w:rsid w:val="003202C1"/>
    <w:rsid w:val="003203C3"/>
    <w:rsid w:val="0032096D"/>
    <w:rsid w:val="003209E6"/>
    <w:rsid w:val="00320AEC"/>
    <w:rsid w:val="00320B2A"/>
    <w:rsid w:val="00320B72"/>
    <w:rsid w:val="00320D85"/>
    <w:rsid w:val="00320DA4"/>
    <w:rsid w:val="003212A6"/>
    <w:rsid w:val="003212A8"/>
    <w:rsid w:val="003212B0"/>
    <w:rsid w:val="003214D9"/>
    <w:rsid w:val="003215B5"/>
    <w:rsid w:val="00321D6B"/>
    <w:rsid w:val="003221CF"/>
    <w:rsid w:val="003223FF"/>
    <w:rsid w:val="00322898"/>
    <w:rsid w:val="00322B2C"/>
    <w:rsid w:val="0032314F"/>
    <w:rsid w:val="0032317D"/>
    <w:rsid w:val="0032332B"/>
    <w:rsid w:val="003233ED"/>
    <w:rsid w:val="0032341C"/>
    <w:rsid w:val="00323591"/>
    <w:rsid w:val="003237A3"/>
    <w:rsid w:val="00323902"/>
    <w:rsid w:val="00323AB7"/>
    <w:rsid w:val="00324098"/>
    <w:rsid w:val="00324200"/>
    <w:rsid w:val="0032499C"/>
    <w:rsid w:val="00324D9F"/>
    <w:rsid w:val="00324F3F"/>
    <w:rsid w:val="003250B6"/>
    <w:rsid w:val="00325523"/>
    <w:rsid w:val="003255D1"/>
    <w:rsid w:val="00325876"/>
    <w:rsid w:val="00325AB1"/>
    <w:rsid w:val="00325B76"/>
    <w:rsid w:val="00325DF3"/>
    <w:rsid w:val="00325F54"/>
    <w:rsid w:val="00325FFA"/>
    <w:rsid w:val="00326253"/>
    <w:rsid w:val="00326517"/>
    <w:rsid w:val="00326574"/>
    <w:rsid w:val="00326606"/>
    <w:rsid w:val="0032663D"/>
    <w:rsid w:val="00326671"/>
    <w:rsid w:val="00326A33"/>
    <w:rsid w:val="00326AC9"/>
    <w:rsid w:val="00326BF1"/>
    <w:rsid w:val="00326D31"/>
    <w:rsid w:val="00326E79"/>
    <w:rsid w:val="0032707F"/>
    <w:rsid w:val="0032709A"/>
    <w:rsid w:val="003270D2"/>
    <w:rsid w:val="00327121"/>
    <w:rsid w:val="003273C6"/>
    <w:rsid w:val="003274F2"/>
    <w:rsid w:val="003275AE"/>
    <w:rsid w:val="00327948"/>
    <w:rsid w:val="00327B55"/>
    <w:rsid w:val="00327B90"/>
    <w:rsid w:val="00327BCA"/>
    <w:rsid w:val="00327CB2"/>
    <w:rsid w:val="0033000F"/>
    <w:rsid w:val="00330575"/>
    <w:rsid w:val="003306E3"/>
    <w:rsid w:val="003307F2"/>
    <w:rsid w:val="00330ADC"/>
    <w:rsid w:val="00330E7C"/>
    <w:rsid w:val="0033103F"/>
    <w:rsid w:val="00331289"/>
    <w:rsid w:val="00331691"/>
    <w:rsid w:val="003316F8"/>
    <w:rsid w:val="00331A42"/>
    <w:rsid w:val="00331B6E"/>
    <w:rsid w:val="00331E9B"/>
    <w:rsid w:val="00332011"/>
    <w:rsid w:val="0033206C"/>
    <w:rsid w:val="003320C7"/>
    <w:rsid w:val="0033213D"/>
    <w:rsid w:val="0033217F"/>
    <w:rsid w:val="003321D6"/>
    <w:rsid w:val="003321E2"/>
    <w:rsid w:val="0033233B"/>
    <w:rsid w:val="003324C4"/>
    <w:rsid w:val="00332518"/>
    <w:rsid w:val="00332925"/>
    <w:rsid w:val="00332CC0"/>
    <w:rsid w:val="00332CF2"/>
    <w:rsid w:val="00332DA5"/>
    <w:rsid w:val="00332EE1"/>
    <w:rsid w:val="00333080"/>
    <w:rsid w:val="00333148"/>
    <w:rsid w:val="00333155"/>
    <w:rsid w:val="003331B9"/>
    <w:rsid w:val="00333212"/>
    <w:rsid w:val="003332ED"/>
    <w:rsid w:val="0033332A"/>
    <w:rsid w:val="003333CE"/>
    <w:rsid w:val="003338DA"/>
    <w:rsid w:val="00333943"/>
    <w:rsid w:val="00333A5D"/>
    <w:rsid w:val="00333BBD"/>
    <w:rsid w:val="00333E10"/>
    <w:rsid w:val="00333FC2"/>
    <w:rsid w:val="0033415B"/>
    <w:rsid w:val="0033424F"/>
    <w:rsid w:val="00334315"/>
    <w:rsid w:val="003344C3"/>
    <w:rsid w:val="00334CED"/>
    <w:rsid w:val="00334D94"/>
    <w:rsid w:val="00334FD7"/>
    <w:rsid w:val="00334FF4"/>
    <w:rsid w:val="00335163"/>
    <w:rsid w:val="00335271"/>
    <w:rsid w:val="003356ED"/>
    <w:rsid w:val="00335873"/>
    <w:rsid w:val="003358DD"/>
    <w:rsid w:val="00335A2F"/>
    <w:rsid w:val="00335A97"/>
    <w:rsid w:val="00335CA2"/>
    <w:rsid w:val="00335CED"/>
    <w:rsid w:val="00335D18"/>
    <w:rsid w:val="00335D7A"/>
    <w:rsid w:val="00335EB8"/>
    <w:rsid w:val="00335F1E"/>
    <w:rsid w:val="0033607E"/>
    <w:rsid w:val="00336129"/>
    <w:rsid w:val="003361E1"/>
    <w:rsid w:val="003364B0"/>
    <w:rsid w:val="003364CF"/>
    <w:rsid w:val="0033660B"/>
    <w:rsid w:val="00336773"/>
    <w:rsid w:val="003368DC"/>
    <w:rsid w:val="0033693A"/>
    <w:rsid w:val="00336948"/>
    <w:rsid w:val="00336A90"/>
    <w:rsid w:val="00336B8E"/>
    <w:rsid w:val="00336C15"/>
    <w:rsid w:val="00336EB5"/>
    <w:rsid w:val="00336FFA"/>
    <w:rsid w:val="00337E56"/>
    <w:rsid w:val="00337E87"/>
    <w:rsid w:val="00340214"/>
    <w:rsid w:val="0034025B"/>
    <w:rsid w:val="0034031F"/>
    <w:rsid w:val="003404E5"/>
    <w:rsid w:val="0034067C"/>
    <w:rsid w:val="0034070F"/>
    <w:rsid w:val="00340714"/>
    <w:rsid w:val="0034077B"/>
    <w:rsid w:val="00340841"/>
    <w:rsid w:val="00340A6E"/>
    <w:rsid w:val="00340C1D"/>
    <w:rsid w:val="00340C27"/>
    <w:rsid w:val="00340EDF"/>
    <w:rsid w:val="00341051"/>
    <w:rsid w:val="00341165"/>
    <w:rsid w:val="003412B9"/>
    <w:rsid w:val="00341330"/>
    <w:rsid w:val="003413AD"/>
    <w:rsid w:val="0034145C"/>
    <w:rsid w:val="0034191B"/>
    <w:rsid w:val="00341E12"/>
    <w:rsid w:val="00341E70"/>
    <w:rsid w:val="00342019"/>
    <w:rsid w:val="00342104"/>
    <w:rsid w:val="00342300"/>
    <w:rsid w:val="00342453"/>
    <w:rsid w:val="003426AE"/>
    <w:rsid w:val="00342767"/>
    <w:rsid w:val="003429F6"/>
    <w:rsid w:val="00342DAD"/>
    <w:rsid w:val="003431B7"/>
    <w:rsid w:val="003433B9"/>
    <w:rsid w:val="003437DE"/>
    <w:rsid w:val="003437EF"/>
    <w:rsid w:val="00343806"/>
    <w:rsid w:val="0034380E"/>
    <w:rsid w:val="0034385A"/>
    <w:rsid w:val="00343918"/>
    <w:rsid w:val="00343921"/>
    <w:rsid w:val="00343E40"/>
    <w:rsid w:val="00343E71"/>
    <w:rsid w:val="003440F0"/>
    <w:rsid w:val="00344226"/>
    <w:rsid w:val="00344386"/>
    <w:rsid w:val="00344628"/>
    <w:rsid w:val="003447E3"/>
    <w:rsid w:val="0034480E"/>
    <w:rsid w:val="00344B70"/>
    <w:rsid w:val="00344CBD"/>
    <w:rsid w:val="003451D7"/>
    <w:rsid w:val="003452D0"/>
    <w:rsid w:val="00345543"/>
    <w:rsid w:val="00345694"/>
    <w:rsid w:val="0034588C"/>
    <w:rsid w:val="003458EF"/>
    <w:rsid w:val="00345927"/>
    <w:rsid w:val="00345AAE"/>
    <w:rsid w:val="00345BD1"/>
    <w:rsid w:val="00345EAF"/>
    <w:rsid w:val="00346017"/>
    <w:rsid w:val="003460D0"/>
    <w:rsid w:val="0034633C"/>
    <w:rsid w:val="003464AB"/>
    <w:rsid w:val="0034660D"/>
    <w:rsid w:val="0034683F"/>
    <w:rsid w:val="00346979"/>
    <w:rsid w:val="00346AC5"/>
    <w:rsid w:val="00346D94"/>
    <w:rsid w:val="00346FA4"/>
    <w:rsid w:val="00347671"/>
    <w:rsid w:val="003479B3"/>
    <w:rsid w:val="00347B41"/>
    <w:rsid w:val="00347BAE"/>
    <w:rsid w:val="00347CA5"/>
    <w:rsid w:val="00347E56"/>
    <w:rsid w:val="00347E69"/>
    <w:rsid w:val="0035007E"/>
    <w:rsid w:val="003500D0"/>
    <w:rsid w:val="0035011E"/>
    <w:rsid w:val="003501A6"/>
    <w:rsid w:val="00350584"/>
    <w:rsid w:val="0035060B"/>
    <w:rsid w:val="0035088D"/>
    <w:rsid w:val="00350AB0"/>
    <w:rsid w:val="00350CB2"/>
    <w:rsid w:val="00350FD6"/>
    <w:rsid w:val="003513B2"/>
    <w:rsid w:val="00351438"/>
    <w:rsid w:val="00351857"/>
    <w:rsid w:val="003519A2"/>
    <w:rsid w:val="00351A5E"/>
    <w:rsid w:val="00351A6A"/>
    <w:rsid w:val="00351BD6"/>
    <w:rsid w:val="003524B9"/>
    <w:rsid w:val="003528A8"/>
    <w:rsid w:val="00352A72"/>
    <w:rsid w:val="0035330D"/>
    <w:rsid w:val="0035349F"/>
    <w:rsid w:val="003534AB"/>
    <w:rsid w:val="003534C4"/>
    <w:rsid w:val="00353512"/>
    <w:rsid w:val="0035372C"/>
    <w:rsid w:val="003537A4"/>
    <w:rsid w:val="003537BE"/>
    <w:rsid w:val="00353AF4"/>
    <w:rsid w:val="00353F3D"/>
    <w:rsid w:val="00354144"/>
    <w:rsid w:val="0035435B"/>
    <w:rsid w:val="003545E8"/>
    <w:rsid w:val="003545FB"/>
    <w:rsid w:val="0035466C"/>
    <w:rsid w:val="003549C9"/>
    <w:rsid w:val="00354A77"/>
    <w:rsid w:val="003555F2"/>
    <w:rsid w:val="0035568B"/>
    <w:rsid w:val="003556F1"/>
    <w:rsid w:val="0035578F"/>
    <w:rsid w:val="00355903"/>
    <w:rsid w:val="0035595B"/>
    <w:rsid w:val="00355978"/>
    <w:rsid w:val="0035597D"/>
    <w:rsid w:val="00355C1B"/>
    <w:rsid w:val="00355C33"/>
    <w:rsid w:val="00355DEE"/>
    <w:rsid w:val="00355E3F"/>
    <w:rsid w:val="00355E4A"/>
    <w:rsid w:val="00355F84"/>
    <w:rsid w:val="00356048"/>
    <w:rsid w:val="003560A8"/>
    <w:rsid w:val="00356593"/>
    <w:rsid w:val="0035664D"/>
    <w:rsid w:val="003566CC"/>
    <w:rsid w:val="0035673E"/>
    <w:rsid w:val="00356AD8"/>
    <w:rsid w:val="00356B49"/>
    <w:rsid w:val="00356DBA"/>
    <w:rsid w:val="00357092"/>
    <w:rsid w:val="003570D3"/>
    <w:rsid w:val="00357183"/>
    <w:rsid w:val="0035745D"/>
    <w:rsid w:val="00357646"/>
    <w:rsid w:val="00357B5C"/>
    <w:rsid w:val="00357BA7"/>
    <w:rsid w:val="00357BBA"/>
    <w:rsid w:val="00357C27"/>
    <w:rsid w:val="00357D66"/>
    <w:rsid w:val="00357E18"/>
    <w:rsid w:val="00357E2E"/>
    <w:rsid w:val="0036006E"/>
    <w:rsid w:val="00360278"/>
    <w:rsid w:val="003608EC"/>
    <w:rsid w:val="00360950"/>
    <w:rsid w:val="0036098A"/>
    <w:rsid w:val="003609C3"/>
    <w:rsid w:val="00360AB1"/>
    <w:rsid w:val="0036109E"/>
    <w:rsid w:val="003610E1"/>
    <w:rsid w:val="003611C0"/>
    <w:rsid w:val="003615CD"/>
    <w:rsid w:val="00361CFC"/>
    <w:rsid w:val="003620A8"/>
    <w:rsid w:val="003623D0"/>
    <w:rsid w:val="00362773"/>
    <w:rsid w:val="0036277C"/>
    <w:rsid w:val="00362A11"/>
    <w:rsid w:val="00362B3F"/>
    <w:rsid w:val="00363082"/>
    <w:rsid w:val="00363152"/>
    <w:rsid w:val="00363338"/>
    <w:rsid w:val="0036379C"/>
    <w:rsid w:val="00363A58"/>
    <w:rsid w:val="00363CC4"/>
    <w:rsid w:val="00363DF1"/>
    <w:rsid w:val="0036405F"/>
    <w:rsid w:val="00364074"/>
    <w:rsid w:val="00364283"/>
    <w:rsid w:val="003643EB"/>
    <w:rsid w:val="003648C8"/>
    <w:rsid w:val="00364CAA"/>
    <w:rsid w:val="00364F25"/>
    <w:rsid w:val="00364FE9"/>
    <w:rsid w:val="003652DD"/>
    <w:rsid w:val="0036547F"/>
    <w:rsid w:val="00365829"/>
    <w:rsid w:val="003658B3"/>
    <w:rsid w:val="00365906"/>
    <w:rsid w:val="00365B0D"/>
    <w:rsid w:val="00365F6F"/>
    <w:rsid w:val="00365F77"/>
    <w:rsid w:val="003660CC"/>
    <w:rsid w:val="003660E5"/>
    <w:rsid w:val="00366413"/>
    <w:rsid w:val="003665BB"/>
    <w:rsid w:val="0036675F"/>
    <w:rsid w:val="0036694D"/>
    <w:rsid w:val="00366B99"/>
    <w:rsid w:val="00366C99"/>
    <w:rsid w:val="00366DA8"/>
    <w:rsid w:val="00366DAD"/>
    <w:rsid w:val="00367088"/>
    <w:rsid w:val="0036717A"/>
    <w:rsid w:val="003671BE"/>
    <w:rsid w:val="003671F7"/>
    <w:rsid w:val="003677A5"/>
    <w:rsid w:val="003677D6"/>
    <w:rsid w:val="00367847"/>
    <w:rsid w:val="00367886"/>
    <w:rsid w:val="003678F4"/>
    <w:rsid w:val="00367C40"/>
    <w:rsid w:val="00367F90"/>
    <w:rsid w:val="00367FA3"/>
    <w:rsid w:val="00367FD3"/>
    <w:rsid w:val="00370425"/>
    <w:rsid w:val="00370A6A"/>
    <w:rsid w:val="00370ADA"/>
    <w:rsid w:val="00370B47"/>
    <w:rsid w:val="00370B9F"/>
    <w:rsid w:val="00370FB0"/>
    <w:rsid w:val="0037103A"/>
    <w:rsid w:val="00371067"/>
    <w:rsid w:val="003710D2"/>
    <w:rsid w:val="003712C2"/>
    <w:rsid w:val="00371339"/>
    <w:rsid w:val="00371766"/>
    <w:rsid w:val="00371818"/>
    <w:rsid w:val="00371BB6"/>
    <w:rsid w:val="0037200C"/>
    <w:rsid w:val="00372337"/>
    <w:rsid w:val="003723F8"/>
    <w:rsid w:val="00372485"/>
    <w:rsid w:val="003729CD"/>
    <w:rsid w:val="00372A95"/>
    <w:rsid w:val="00372BFF"/>
    <w:rsid w:val="00372CD5"/>
    <w:rsid w:val="00372CDB"/>
    <w:rsid w:val="00372EE9"/>
    <w:rsid w:val="003731ED"/>
    <w:rsid w:val="00373200"/>
    <w:rsid w:val="00373376"/>
    <w:rsid w:val="00373833"/>
    <w:rsid w:val="00373B33"/>
    <w:rsid w:val="00373B7D"/>
    <w:rsid w:val="00373BED"/>
    <w:rsid w:val="00373C0A"/>
    <w:rsid w:val="00373C2A"/>
    <w:rsid w:val="00373C8F"/>
    <w:rsid w:val="00373E1D"/>
    <w:rsid w:val="00373FE2"/>
    <w:rsid w:val="0037415C"/>
    <w:rsid w:val="00374249"/>
    <w:rsid w:val="003747B5"/>
    <w:rsid w:val="0037499C"/>
    <w:rsid w:val="00374C7C"/>
    <w:rsid w:val="00375006"/>
    <w:rsid w:val="003753D7"/>
    <w:rsid w:val="00375B45"/>
    <w:rsid w:val="00375CE4"/>
    <w:rsid w:val="00375D66"/>
    <w:rsid w:val="00375EF5"/>
    <w:rsid w:val="003761F3"/>
    <w:rsid w:val="003765A5"/>
    <w:rsid w:val="003765D9"/>
    <w:rsid w:val="0037662E"/>
    <w:rsid w:val="0037664D"/>
    <w:rsid w:val="00376710"/>
    <w:rsid w:val="0037671D"/>
    <w:rsid w:val="003767A5"/>
    <w:rsid w:val="00376908"/>
    <w:rsid w:val="00376BE4"/>
    <w:rsid w:val="00376C4D"/>
    <w:rsid w:val="00376D70"/>
    <w:rsid w:val="00377138"/>
    <w:rsid w:val="0037729E"/>
    <w:rsid w:val="00377431"/>
    <w:rsid w:val="003774E1"/>
    <w:rsid w:val="00377786"/>
    <w:rsid w:val="003779AC"/>
    <w:rsid w:val="00377B4B"/>
    <w:rsid w:val="00377C0B"/>
    <w:rsid w:val="00377DD1"/>
    <w:rsid w:val="00377F6E"/>
    <w:rsid w:val="00380189"/>
    <w:rsid w:val="0038019C"/>
    <w:rsid w:val="0038028E"/>
    <w:rsid w:val="00380342"/>
    <w:rsid w:val="0038036A"/>
    <w:rsid w:val="003807FC"/>
    <w:rsid w:val="00380A5F"/>
    <w:rsid w:val="00380B5B"/>
    <w:rsid w:val="00380E2D"/>
    <w:rsid w:val="00380F57"/>
    <w:rsid w:val="00381213"/>
    <w:rsid w:val="003812A6"/>
    <w:rsid w:val="00381317"/>
    <w:rsid w:val="00381813"/>
    <w:rsid w:val="003818BE"/>
    <w:rsid w:val="0038194C"/>
    <w:rsid w:val="00381B6A"/>
    <w:rsid w:val="00381D15"/>
    <w:rsid w:val="00381F8B"/>
    <w:rsid w:val="0038212D"/>
    <w:rsid w:val="0038243C"/>
    <w:rsid w:val="0038243E"/>
    <w:rsid w:val="003824DC"/>
    <w:rsid w:val="0038253A"/>
    <w:rsid w:val="00382589"/>
    <w:rsid w:val="003825F9"/>
    <w:rsid w:val="003828BC"/>
    <w:rsid w:val="00382959"/>
    <w:rsid w:val="00382BB1"/>
    <w:rsid w:val="00382C37"/>
    <w:rsid w:val="00382C74"/>
    <w:rsid w:val="00382D8B"/>
    <w:rsid w:val="00382DB6"/>
    <w:rsid w:val="00382E0B"/>
    <w:rsid w:val="00382F82"/>
    <w:rsid w:val="00382FF0"/>
    <w:rsid w:val="00383197"/>
    <w:rsid w:val="003832CA"/>
    <w:rsid w:val="003832ED"/>
    <w:rsid w:val="00383541"/>
    <w:rsid w:val="00383744"/>
    <w:rsid w:val="003838A0"/>
    <w:rsid w:val="00383967"/>
    <w:rsid w:val="00383A62"/>
    <w:rsid w:val="00383AA2"/>
    <w:rsid w:val="00383B01"/>
    <w:rsid w:val="00383CE4"/>
    <w:rsid w:val="00383D21"/>
    <w:rsid w:val="00383E49"/>
    <w:rsid w:val="0038403B"/>
    <w:rsid w:val="003840D2"/>
    <w:rsid w:val="003841BE"/>
    <w:rsid w:val="003842CF"/>
    <w:rsid w:val="00384316"/>
    <w:rsid w:val="00384B51"/>
    <w:rsid w:val="0038508D"/>
    <w:rsid w:val="003850C5"/>
    <w:rsid w:val="00385254"/>
    <w:rsid w:val="00385512"/>
    <w:rsid w:val="003855DD"/>
    <w:rsid w:val="00385654"/>
    <w:rsid w:val="003856CB"/>
    <w:rsid w:val="00385B82"/>
    <w:rsid w:val="00385D8D"/>
    <w:rsid w:val="00385F66"/>
    <w:rsid w:val="00385F9B"/>
    <w:rsid w:val="003863A5"/>
    <w:rsid w:val="00386656"/>
    <w:rsid w:val="00386BB5"/>
    <w:rsid w:val="00386C63"/>
    <w:rsid w:val="00386DFF"/>
    <w:rsid w:val="00386EA9"/>
    <w:rsid w:val="00387491"/>
    <w:rsid w:val="003875E5"/>
    <w:rsid w:val="0038773A"/>
    <w:rsid w:val="00387942"/>
    <w:rsid w:val="00387974"/>
    <w:rsid w:val="003879D4"/>
    <w:rsid w:val="00387BEC"/>
    <w:rsid w:val="00387BF5"/>
    <w:rsid w:val="00387C64"/>
    <w:rsid w:val="0039008D"/>
    <w:rsid w:val="00390536"/>
    <w:rsid w:val="003909D2"/>
    <w:rsid w:val="00390BC5"/>
    <w:rsid w:val="00390C81"/>
    <w:rsid w:val="00390DFC"/>
    <w:rsid w:val="00390E22"/>
    <w:rsid w:val="00391133"/>
    <w:rsid w:val="00391185"/>
    <w:rsid w:val="0039147C"/>
    <w:rsid w:val="00391527"/>
    <w:rsid w:val="00391567"/>
    <w:rsid w:val="0039195A"/>
    <w:rsid w:val="0039195D"/>
    <w:rsid w:val="0039198C"/>
    <w:rsid w:val="00391AF7"/>
    <w:rsid w:val="00391CA5"/>
    <w:rsid w:val="00391EFE"/>
    <w:rsid w:val="003921A2"/>
    <w:rsid w:val="0039221C"/>
    <w:rsid w:val="00392549"/>
    <w:rsid w:val="0039293D"/>
    <w:rsid w:val="00392A9B"/>
    <w:rsid w:val="00392AD2"/>
    <w:rsid w:val="00392B4F"/>
    <w:rsid w:val="00392CED"/>
    <w:rsid w:val="00392D3F"/>
    <w:rsid w:val="00392F69"/>
    <w:rsid w:val="00393042"/>
    <w:rsid w:val="00393185"/>
    <w:rsid w:val="003931FB"/>
    <w:rsid w:val="0039345D"/>
    <w:rsid w:val="00393469"/>
    <w:rsid w:val="00393516"/>
    <w:rsid w:val="0039367E"/>
    <w:rsid w:val="0039394C"/>
    <w:rsid w:val="00393AB3"/>
    <w:rsid w:val="00393C2E"/>
    <w:rsid w:val="00393C74"/>
    <w:rsid w:val="00393E3F"/>
    <w:rsid w:val="00393FA1"/>
    <w:rsid w:val="0039408E"/>
    <w:rsid w:val="0039435E"/>
    <w:rsid w:val="00394436"/>
    <w:rsid w:val="00394566"/>
    <w:rsid w:val="00394A3F"/>
    <w:rsid w:val="00394A44"/>
    <w:rsid w:val="00394AC2"/>
    <w:rsid w:val="00394B0E"/>
    <w:rsid w:val="00394FF6"/>
    <w:rsid w:val="003953D5"/>
    <w:rsid w:val="0039544C"/>
    <w:rsid w:val="00395B0B"/>
    <w:rsid w:val="00395C08"/>
    <w:rsid w:val="00395CB0"/>
    <w:rsid w:val="00395E6F"/>
    <w:rsid w:val="00395ECE"/>
    <w:rsid w:val="00395FF0"/>
    <w:rsid w:val="00396060"/>
    <w:rsid w:val="003960D9"/>
    <w:rsid w:val="003967F9"/>
    <w:rsid w:val="00396CA4"/>
    <w:rsid w:val="00396D8B"/>
    <w:rsid w:val="003970BC"/>
    <w:rsid w:val="00397200"/>
    <w:rsid w:val="003972BF"/>
    <w:rsid w:val="003973F0"/>
    <w:rsid w:val="00397586"/>
    <w:rsid w:val="00397911"/>
    <w:rsid w:val="00397A7B"/>
    <w:rsid w:val="00397C31"/>
    <w:rsid w:val="00397D88"/>
    <w:rsid w:val="00397DE7"/>
    <w:rsid w:val="00397EDA"/>
    <w:rsid w:val="00397F1A"/>
    <w:rsid w:val="003A0212"/>
    <w:rsid w:val="003A0480"/>
    <w:rsid w:val="003A04DB"/>
    <w:rsid w:val="003A051B"/>
    <w:rsid w:val="003A051E"/>
    <w:rsid w:val="003A0767"/>
    <w:rsid w:val="003A0940"/>
    <w:rsid w:val="003A0B15"/>
    <w:rsid w:val="003A104A"/>
    <w:rsid w:val="003A1285"/>
    <w:rsid w:val="003A1384"/>
    <w:rsid w:val="003A143D"/>
    <w:rsid w:val="003A158A"/>
    <w:rsid w:val="003A180F"/>
    <w:rsid w:val="003A1914"/>
    <w:rsid w:val="003A1DDB"/>
    <w:rsid w:val="003A1E44"/>
    <w:rsid w:val="003A2016"/>
    <w:rsid w:val="003A2024"/>
    <w:rsid w:val="003A26F5"/>
    <w:rsid w:val="003A2B20"/>
    <w:rsid w:val="003A2B49"/>
    <w:rsid w:val="003A2B5B"/>
    <w:rsid w:val="003A2E93"/>
    <w:rsid w:val="003A2F21"/>
    <w:rsid w:val="003A3011"/>
    <w:rsid w:val="003A3017"/>
    <w:rsid w:val="003A374C"/>
    <w:rsid w:val="003A3888"/>
    <w:rsid w:val="003A39D8"/>
    <w:rsid w:val="003A3A26"/>
    <w:rsid w:val="003A3AB3"/>
    <w:rsid w:val="003A45E7"/>
    <w:rsid w:val="003A4803"/>
    <w:rsid w:val="003A4A2E"/>
    <w:rsid w:val="003A4F09"/>
    <w:rsid w:val="003A4FF9"/>
    <w:rsid w:val="003A54A9"/>
    <w:rsid w:val="003A5622"/>
    <w:rsid w:val="003A5935"/>
    <w:rsid w:val="003A5A6B"/>
    <w:rsid w:val="003A5A9D"/>
    <w:rsid w:val="003A5AFA"/>
    <w:rsid w:val="003A5B04"/>
    <w:rsid w:val="003A5C0C"/>
    <w:rsid w:val="003A5EF5"/>
    <w:rsid w:val="003A5F5B"/>
    <w:rsid w:val="003A6341"/>
    <w:rsid w:val="003A63E4"/>
    <w:rsid w:val="003A63E8"/>
    <w:rsid w:val="003A6535"/>
    <w:rsid w:val="003A693A"/>
    <w:rsid w:val="003A70BE"/>
    <w:rsid w:val="003A70E2"/>
    <w:rsid w:val="003A71E6"/>
    <w:rsid w:val="003A73B3"/>
    <w:rsid w:val="003A74B8"/>
    <w:rsid w:val="003A75DB"/>
    <w:rsid w:val="003A789A"/>
    <w:rsid w:val="003A79ED"/>
    <w:rsid w:val="003A7DCD"/>
    <w:rsid w:val="003B02F4"/>
    <w:rsid w:val="003B037E"/>
    <w:rsid w:val="003B05EB"/>
    <w:rsid w:val="003B0614"/>
    <w:rsid w:val="003B08BB"/>
    <w:rsid w:val="003B09F9"/>
    <w:rsid w:val="003B0D5C"/>
    <w:rsid w:val="003B0DE5"/>
    <w:rsid w:val="003B0E74"/>
    <w:rsid w:val="003B12C1"/>
    <w:rsid w:val="003B12EC"/>
    <w:rsid w:val="003B1554"/>
    <w:rsid w:val="003B17B4"/>
    <w:rsid w:val="003B1D0B"/>
    <w:rsid w:val="003B25D1"/>
    <w:rsid w:val="003B28B5"/>
    <w:rsid w:val="003B2A27"/>
    <w:rsid w:val="003B2DA2"/>
    <w:rsid w:val="003B2E57"/>
    <w:rsid w:val="003B3359"/>
    <w:rsid w:val="003B3509"/>
    <w:rsid w:val="003B3A0F"/>
    <w:rsid w:val="003B3CA8"/>
    <w:rsid w:val="003B42D8"/>
    <w:rsid w:val="003B4312"/>
    <w:rsid w:val="003B4511"/>
    <w:rsid w:val="003B48A7"/>
    <w:rsid w:val="003B4914"/>
    <w:rsid w:val="003B4A91"/>
    <w:rsid w:val="003B4D43"/>
    <w:rsid w:val="003B4D86"/>
    <w:rsid w:val="003B4E1E"/>
    <w:rsid w:val="003B4F1A"/>
    <w:rsid w:val="003B5017"/>
    <w:rsid w:val="003B501F"/>
    <w:rsid w:val="003B503A"/>
    <w:rsid w:val="003B5355"/>
    <w:rsid w:val="003B535B"/>
    <w:rsid w:val="003B549F"/>
    <w:rsid w:val="003B5592"/>
    <w:rsid w:val="003B56AD"/>
    <w:rsid w:val="003B56E1"/>
    <w:rsid w:val="003B5A42"/>
    <w:rsid w:val="003B5E39"/>
    <w:rsid w:val="003B65B9"/>
    <w:rsid w:val="003B65DF"/>
    <w:rsid w:val="003B6650"/>
    <w:rsid w:val="003B6657"/>
    <w:rsid w:val="003B68CB"/>
    <w:rsid w:val="003B692C"/>
    <w:rsid w:val="003B6AEA"/>
    <w:rsid w:val="003B6B39"/>
    <w:rsid w:val="003B6C3A"/>
    <w:rsid w:val="003B6C99"/>
    <w:rsid w:val="003B7321"/>
    <w:rsid w:val="003B734C"/>
    <w:rsid w:val="003B7481"/>
    <w:rsid w:val="003B77EA"/>
    <w:rsid w:val="003B796C"/>
    <w:rsid w:val="003B7AD8"/>
    <w:rsid w:val="003B7DD1"/>
    <w:rsid w:val="003B7FF9"/>
    <w:rsid w:val="003C08AE"/>
    <w:rsid w:val="003C0BD6"/>
    <w:rsid w:val="003C0C33"/>
    <w:rsid w:val="003C0DCF"/>
    <w:rsid w:val="003C0E15"/>
    <w:rsid w:val="003C0E7E"/>
    <w:rsid w:val="003C0EB2"/>
    <w:rsid w:val="003C1225"/>
    <w:rsid w:val="003C12C1"/>
    <w:rsid w:val="003C14C6"/>
    <w:rsid w:val="003C152B"/>
    <w:rsid w:val="003C1882"/>
    <w:rsid w:val="003C188D"/>
    <w:rsid w:val="003C1B59"/>
    <w:rsid w:val="003C26B1"/>
    <w:rsid w:val="003C28BB"/>
    <w:rsid w:val="003C2B4D"/>
    <w:rsid w:val="003C2C27"/>
    <w:rsid w:val="003C2C56"/>
    <w:rsid w:val="003C2FE4"/>
    <w:rsid w:val="003C3233"/>
    <w:rsid w:val="003C335C"/>
    <w:rsid w:val="003C369B"/>
    <w:rsid w:val="003C37CA"/>
    <w:rsid w:val="003C39ED"/>
    <w:rsid w:val="003C3EEA"/>
    <w:rsid w:val="003C40F0"/>
    <w:rsid w:val="003C41F0"/>
    <w:rsid w:val="003C4343"/>
    <w:rsid w:val="003C4631"/>
    <w:rsid w:val="003C484C"/>
    <w:rsid w:val="003C488F"/>
    <w:rsid w:val="003C5063"/>
    <w:rsid w:val="003C5289"/>
    <w:rsid w:val="003C5A49"/>
    <w:rsid w:val="003C5AC6"/>
    <w:rsid w:val="003C6061"/>
    <w:rsid w:val="003C609B"/>
    <w:rsid w:val="003C60F2"/>
    <w:rsid w:val="003C6165"/>
    <w:rsid w:val="003C6199"/>
    <w:rsid w:val="003C6217"/>
    <w:rsid w:val="003C6578"/>
    <w:rsid w:val="003C6A45"/>
    <w:rsid w:val="003C6A4B"/>
    <w:rsid w:val="003C6A50"/>
    <w:rsid w:val="003C6CD7"/>
    <w:rsid w:val="003C6CF1"/>
    <w:rsid w:val="003C6E0C"/>
    <w:rsid w:val="003C6EAA"/>
    <w:rsid w:val="003C6FC6"/>
    <w:rsid w:val="003C7071"/>
    <w:rsid w:val="003C7204"/>
    <w:rsid w:val="003C7333"/>
    <w:rsid w:val="003C7486"/>
    <w:rsid w:val="003C74C2"/>
    <w:rsid w:val="003C74CA"/>
    <w:rsid w:val="003C77E0"/>
    <w:rsid w:val="003C7A1B"/>
    <w:rsid w:val="003C7A4D"/>
    <w:rsid w:val="003C7A5D"/>
    <w:rsid w:val="003C7B98"/>
    <w:rsid w:val="003C7E3A"/>
    <w:rsid w:val="003D0050"/>
    <w:rsid w:val="003D00F0"/>
    <w:rsid w:val="003D0296"/>
    <w:rsid w:val="003D03CF"/>
    <w:rsid w:val="003D0761"/>
    <w:rsid w:val="003D0B5B"/>
    <w:rsid w:val="003D0D31"/>
    <w:rsid w:val="003D0E5C"/>
    <w:rsid w:val="003D0F2F"/>
    <w:rsid w:val="003D0FB5"/>
    <w:rsid w:val="003D1062"/>
    <w:rsid w:val="003D1478"/>
    <w:rsid w:val="003D14AA"/>
    <w:rsid w:val="003D1509"/>
    <w:rsid w:val="003D161E"/>
    <w:rsid w:val="003D1678"/>
    <w:rsid w:val="003D17D7"/>
    <w:rsid w:val="003D188A"/>
    <w:rsid w:val="003D1896"/>
    <w:rsid w:val="003D1A23"/>
    <w:rsid w:val="003D1C8F"/>
    <w:rsid w:val="003D2023"/>
    <w:rsid w:val="003D2547"/>
    <w:rsid w:val="003D25DC"/>
    <w:rsid w:val="003D2678"/>
    <w:rsid w:val="003D26EF"/>
    <w:rsid w:val="003D2722"/>
    <w:rsid w:val="003D27D9"/>
    <w:rsid w:val="003D2888"/>
    <w:rsid w:val="003D3024"/>
    <w:rsid w:val="003D3031"/>
    <w:rsid w:val="003D30F6"/>
    <w:rsid w:val="003D335A"/>
    <w:rsid w:val="003D36F4"/>
    <w:rsid w:val="003D372B"/>
    <w:rsid w:val="003D38CA"/>
    <w:rsid w:val="003D3974"/>
    <w:rsid w:val="003D4269"/>
    <w:rsid w:val="003D43FD"/>
    <w:rsid w:val="003D443D"/>
    <w:rsid w:val="003D48DA"/>
    <w:rsid w:val="003D49B2"/>
    <w:rsid w:val="003D49EF"/>
    <w:rsid w:val="003D4A40"/>
    <w:rsid w:val="003D4CCB"/>
    <w:rsid w:val="003D4CEC"/>
    <w:rsid w:val="003D4D5C"/>
    <w:rsid w:val="003D4F67"/>
    <w:rsid w:val="003D4FE3"/>
    <w:rsid w:val="003D5045"/>
    <w:rsid w:val="003D514C"/>
    <w:rsid w:val="003D5650"/>
    <w:rsid w:val="003D604F"/>
    <w:rsid w:val="003D6210"/>
    <w:rsid w:val="003D62B1"/>
    <w:rsid w:val="003D66AC"/>
    <w:rsid w:val="003D6B9C"/>
    <w:rsid w:val="003D6D7E"/>
    <w:rsid w:val="003D6E31"/>
    <w:rsid w:val="003D6EB0"/>
    <w:rsid w:val="003D6F15"/>
    <w:rsid w:val="003D71A3"/>
    <w:rsid w:val="003D72AC"/>
    <w:rsid w:val="003D7348"/>
    <w:rsid w:val="003D74E7"/>
    <w:rsid w:val="003D768C"/>
    <w:rsid w:val="003D7746"/>
    <w:rsid w:val="003D77E0"/>
    <w:rsid w:val="003D78BC"/>
    <w:rsid w:val="003D79D3"/>
    <w:rsid w:val="003D7B6E"/>
    <w:rsid w:val="003D7E14"/>
    <w:rsid w:val="003D7E63"/>
    <w:rsid w:val="003E0079"/>
    <w:rsid w:val="003E013D"/>
    <w:rsid w:val="003E024B"/>
    <w:rsid w:val="003E0BC4"/>
    <w:rsid w:val="003E0E6D"/>
    <w:rsid w:val="003E0F2C"/>
    <w:rsid w:val="003E0F5D"/>
    <w:rsid w:val="003E0FBF"/>
    <w:rsid w:val="003E0FF1"/>
    <w:rsid w:val="003E13D2"/>
    <w:rsid w:val="003E13DE"/>
    <w:rsid w:val="003E1488"/>
    <w:rsid w:val="003E1626"/>
    <w:rsid w:val="003E1707"/>
    <w:rsid w:val="003E18FC"/>
    <w:rsid w:val="003E1A13"/>
    <w:rsid w:val="003E1C71"/>
    <w:rsid w:val="003E2076"/>
    <w:rsid w:val="003E2783"/>
    <w:rsid w:val="003E27C6"/>
    <w:rsid w:val="003E2A1D"/>
    <w:rsid w:val="003E2B8A"/>
    <w:rsid w:val="003E3124"/>
    <w:rsid w:val="003E320A"/>
    <w:rsid w:val="003E3241"/>
    <w:rsid w:val="003E3429"/>
    <w:rsid w:val="003E36B4"/>
    <w:rsid w:val="003E36BE"/>
    <w:rsid w:val="003E3847"/>
    <w:rsid w:val="003E39C6"/>
    <w:rsid w:val="003E3B89"/>
    <w:rsid w:val="003E3CD2"/>
    <w:rsid w:val="003E3DDC"/>
    <w:rsid w:val="003E4310"/>
    <w:rsid w:val="003E4815"/>
    <w:rsid w:val="003E4884"/>
    <w:rsid w:val="003E48D6"/>
    <w:rsid w:val="003E4A13"/>
    <w:rsid w:val="003E561D"/>
    <w:rsid w:val="003E5811"/>
    <w:rsid w:val="003E585A"/>
    <w:rsid w:val="003E5A54"/>
    <w:rsid w:val="003E5B3A"/>
    <w:rsid w:val="003E61C0"/>
    <w:rsid w:val="003E6872"/>
    <w:rsid w:val="003E693C"/>
    <w:rsid w:val="003E699F"/>
    <w:rsid w:val="003E6F38"/>
    <w:rsid w:val="003E71A7"/>
    <w:rsid w:val="003E7200"/>
    <w:rsid w:val="003E727C"/>
    <w:rsid w:val="003E73CD"/>
    <w:rsid w:val="003E7570"/>
    <w:rsid w:val="003E7600"/>
    <w:rsid w:val="003E779C"/>
    <w:rsid w:val="003E7A75"/>
    <w:rsid w:val="003E7AB8"/>
    <w:rsid w:val="003E7BDC"/>
    <w:rsid w:val="003E7D44"/>
    <w:rsid w:val="003E7F2C"/>
    <w:rsid w:val="003F0062"/>
    <w:rsid w:val="003F03A4"/>
    <w:rsid w:val="003F047B"/>
    <w:rsid w:val="003F056B"/>
    <w:rsid w:val="003F0688"/>
    <w:rsid w:val="003F0A5C"/>
    <w:rsid w:val="003F0BCB"/>
    <w:rsid w:val="003F0D64"/>
    <w:rsid w:val="003F0E75"/>
    <w:rsid w:val="003F10EE"/>
    <w:rsid w:val="003F11B8"/>
    <w:rsid w:val="003F16F6"/>
    <w:rsid w:val="003F1B47"/>
    <w:rsid w:val="003F1D99"/>
    <w:rsid w:val="003F1FF3"/>
    <w:rsid w:val="003F2294"/>
    <w:rsid w:val="003F27AE"/>
    <w:rsid w:val="003F2A18"/>
    <w:rsid w:val="003F2E11"/>
    <w:rsid w:val="003F2FB2"/>
    <w:rsid w:val="003F3245"/>
    <w:rsid w:val="003F33A1"/>
    <w:rsid w:val="003F36F3"/>
    <w:rsid w:val="003F38D2"/>
    <w:rsid w:val="003F3CCC"/>
    <w:rsid w:val="003F3E29"/>
    <w:rsid w:val="003F3E96"/>
    <w:rsid w:val="003F3F64"/>
    <w:rsid w:val="003F495A"/>
    <w:rsid w:val="003F4DC7"/>
    <w:rsid w:val="003F513C"/>
    <w:rsid w:val="003F5235"/>
    <w:rsid w:val="003F53F5"/>
    <w:rsid w:val="003F55C2"/>
    <w:rsid w:val="003F5764"/>
    <w:rsid w:val="003F5881"/>
    <w:rsid w:val="003F597A"/>
    <w:rsid w:val="003F5993"/>
    <w:rsid w:val="003F5BB7"/>
    <w:rsid w:val="003F5F95"/>
    <w:rsid w:val="003F60E7"/>
    <w:rsid w:val="003F66D7"/>
    <w:rsid w:val="003F67E4"/>
    <w:rsid w:val="003F74CA"/>
    <w:rsid w:val="003F79B3"/>
    <w:rsid w:val="003F7F24"/>
    <w:rsid w:val="0040006D"/>
    <w:rsid w:val="0040011C"/>
    <w:rsid w:val="00400170"/>
    <w:rsid w:val="0040021D"/>
    <w:rsid w:val="00400991"/>
    <w:rsid w:val="00400C59"/>
    <w:rsid w:val="00400C8B"/>
    <w:rsid w:val="00400CB4"/>
    <w:rsid w:val="00400D70"/>
    <w:rsid w:val="00400E60"/>
    <w:rsid w:val="00400FC9"/>
    <w:rsid w:val="004010B8"/>
    <w:rsid w:val="00401120"/>
    <w:rsid w:val="004011E0"/>
    <w:rsid w:val="004012AF"/>
    <w:rsid w:val="0040148D"/>
    <w:rsid w:val="0040195D"/>
    <w:rsid w:val="004019E3"/>
    <w:rsid w:val="00401C32"/>
    <w:rsid w:val="00401CDE"/>
    <w:rsid w:val="00401EF1"/>
    <w:rsid w:val="00401F63"/>
    <w:rsid w:val="004021FE"/>
    <w:rsid w:val="00402252"/>
    <w:rsid w:val="004022D7"/>
    <w:rsid w:val="0040232D"/>
    <w:rsid w:val="004025E1"/>
    <w:rsid w:val="004026A7"/>
    <w:rsid w:val="004027E4"/>
    <w:rsid w:val="0040289F"/>
    <w:rsid w:val="00402958"/>
    <w:rsid w:val="0040296C"/>
    <w:rsid w:val="00402A8D"/>
    <w:rsid w:val="00402B5C"/>
    <w:rsid w:val="00402D86"/>
    <w:rsid w:val="00402FCC"/>
    <w:rsid w:val="004030A8"/>
    <w:rsid w:val="0040310D"/>
    <w:rsid w:val="004032E2"/>
    <w:rsid w:val="004032FB"/>
    <w:rsid w:val="00403604"/>
    <w:rsid w:val="004037A4"/>
    <w:rsid w:val="0040388A"/>
    <w:rsid w:val="00403B7C"/>
    <w:rsid w:val="00404495"/>
    <w:rsid w:val="004044A8"/>
    <w:rsid w:val="00404642"/>
    <w:rsid w:val="00404C4C"/>
    <w:rsid w:val="00405265"/>
    <w:rsid w:val="0040555B"/>
    <w:rsid w:val="004057EB"/>
    <w:rsid w:val="0040581A"/>
    <w:rsid w:val="00405AD6"/>
    <w:rsid w:val="00405E97"/>
    <w:rsid w:val="0040601E"/>
    <w:rsid w:val="004061D8"/>
    <w:rsid w:val="00406450"/>
    <w:rsid w:val="00406494"/>
    <w:rsid w:val="00406542"/>
    <w:rsid w:val="00406576"/>
    <w:rsid w:val="004065E9"/>
    <w:rsid w:val="0040672D"/>
    <w:rsid w:val="00406A84"/>
    <w:rsid w:val="0040723A"/>
    <w:rsid w:val="00407382"/>
    <w:rsid w:val="00407422"/>
    <w:rsid w:val="00407836"/>
    <w:rsid w:val="00410172"/>
    <w:rsid w:val="0041055B"/>
    <w:rsid w:val="0041071D"/>
    <w:rsid w:val="00410792"/>
    <w:rsid w:val="004107FA"/>
    <w:rsid w:val="00410D0E"/>
    <w:rsid w:val="00410D14"/>
    <w:rsid w:val="00410E3F"/>
    <w:rsid w:val="00410E61"/>
    <w:rsid w:val="00410EA0"/>
    <w:rsid w:val="00410ED5"/>
    <w:rsid w:val="00411220"/>
    <w:rsid w:val="00411555"/>
    <w:rsid w:val="0041165E"/>
    <w:rsid w:val="00411761"/>
    <w:rsid w:val="00411E72"/>
    <w:rsid w:val="00412276"/>
    <w:rsid w:val="004123F9"/>
    <w:rsid w:val="004124EA"/>
    <w:rsid w:val="00412649"/>
    <w:rsid w:val="00412864"/>
    <w:rsid w:val="004129AD"/>
    <w:rsid w:val="00412F76"/>
    <w:rsid w:val="00412FE3"/>
    <w:rsid w:val="004136D4"/>
    <w:rsid w:val="0041389D"/>
    <w:rsid w:val="00413D2D"/>
    <w:rsid w:val="00413E18"/>
    <w:rsid w:val="00414332"/>
    <w:rsid w:val="0041443D"/>
    <w:rsid w:val="004148CE"/>
    <w:rsid w:val="00414A59"/>
    <w:rsid w:val="00414AFC"/>
    <w:rsid w:val="00414C40"/>
    <w:rsid w:val="00414DB4"/>
    <w:rsid w:val="00414E6F"/>
    <w:rsid w:val="00415136"/>
    <w:rsid w:val="0041515E"/>
    <w:rsid w:val="004151A7"/>
    <w:rsid w:val="00415310"/>
    <w:rsid w:val="00415563"/>
    <w:rsid w:val="004157A2"/>
    <w:rsid w:val="00415A6E"/>
    <w:rsid w:val="00415C51"/>
    <w:rsid w:val="00415C53"/>
    <w:rsid w:val="00415F4A"/>
    <w:rsid w:val="00415FE4"/>
    <w:rsid w:val="00416229"/>
    <w:rsid w:val="00416279"/>
    <w:rsid w:val="00416314"/>
    <w:rsid w:val="0041641F"/>
    <w:rsid w:val="00416457"/>
    <w:rsid w:val="004164B7"/>
    <w:rsid w:val="004166B9"/>
    <w:rsid w:val="00416850"/>
    <w:rsid w:val="00416DED"/>
    <w:rsid w:val="00416F49"/>
    <w:rsid w:val="0041723A"/>
    <w:rsid w:val="0041734A"/>
    <w:rsid w:val="004178D2"/>
    <w:rsid w:val="0041791D"/>
    <w:rsid w:val="00417A3E"/>
    <w:rsid w:val="00417CF5"/>
    <w:rsid w:val="00420002"/>
    <w:rsid w:val="00420141"/>
    <w:rsid w:val="0042028C"/>
    <w:rsid w:val="00420510"/>
    <w:rsid w:val="00420AA5"/>
    <w:rsid w:val="00420AE0"/>
    <w:rsid w:val="00420BD4"/>
    <w:rsid w:val="00420C5A"/>
    <w:rsid w:val="00420E17"/>
    <w:rsid w:val="004213EC"/>
    <w:rsid w:val="00421555"/>
    <w:rsid w:val="00421709"/>
    <w:rsid w:val="00421F50"/>
    <w:rsid w:val="004225B4"/>
    <w:rsid w:val="00422632"/>
    <w:rsid w:val="00422677"/>
    <w:rsid w:val="00422712"/>
    <w:rsid w:val="004227E3"/>
    <w:rsid w:val="0042299F"/>
    <w:rsid w:val="00422CB1"/>
    <w:rsid w:val="00422F6E"/>
    <w:rsid w:val="00422FC6"/>
    <w:rsid w:val="004230A2"/>
    <w:rsid w:val="0042325F"/>
    <w:rsid w:val="004235C5"/>
    <w:rsid w:val="00423677"/>
    <w:rsid w:val="0042369A"/>
    <w:rsid w:val="00423763"/>
    <w:rsid w:val="00423B01"/>
    <w:rsid w:val="00423B18"/>
    <w:rsid w:val="00423B82"/>
    <w:rsid w:val="004241BA"/>
    <w:rsid w:val="0042452A"/>
    <w:rsid w:val="004245E5"/>
    <w:rsid w:val="0042491F"/>
    <w:rsid w:val="00424A82"/>
    <w:rsid w:val="00424AC8"/>
    <w:rsid w:val="00424AF7"/>
    <w:rsid w:val="00424BFE"/>
    <w:rsid w:val="00424FF0"/>
    <w:rsid w:val="004250AC"/>
    <w:rsid w:val="004250D8"/>
    <w:rsid w:val="004250D9"/>
    <w:rsid w:val="004252CC"/>
    <w:rsid w:val="00425684"/>
    <w:rsid w:val="0042598A"/>
    <w:rsid w:val="004259B0"/>
    <w:rsid w:val="004259B9"/>
    <w:rsid w:val="00425C17"/>
    <w:rsid w:val="00425E00"/>
    <w:rsid w:val="00425E04"/>
    <w:rsid w:val="00425E34"/>
    <w:rsid w:val="00425EEF"/>
    <w:rsid w:val="004264F0"/>
    <w:rsid w:val="004265BD"/>
    <w:rsid w:val="004265E3"/>
    <w:rsid w:val="004266CD"/>
    <w:rsid w:val="004267B6"/>
    <w:rsid w:val="00426BBF"/>
    <w:rsid w:val="00426DC9"/>
    <w:rsid w:val="00426EBD"/>
    <w:rsid w:val="00426F86"/>
    <w:rsid w:val="00426FF3"/>
    <w:rsid w:val="0042745B"/>
    <w:rsid w:val="0042762F"/>
    <w:rsid w:val="0042764D"/>
    <w:rsid w:val="00427879"/>
    <w:rsid w:val="00427B1C"/>
    <w:rsid w:val="00427CFC"/>
    <w:rsid w:val="00427DC7"/>
    <w:rsid w:val="00427F66"/>
    <w:rsid w:val="004306DE"/>
    <w:rsid w:val="0043086B"/>
    <w:rsid w:val="0043111C"/>
    <w:rsid w:val="00431214"/>
    <w:rsid w:val="00431237"/>
    <w:rsid w:val="00431238"/>
    <w:rsid w:val="00431269"/>
    <w:rsid w:val="0043144C"/>
    <w:rsid w:val="004315E0"/>
    <w:rsid w:val="004315E1"/>
    <w:rsid w:val="00431613"/>
    <w:rsid w:val="00431792"/>
    <w:rsid w:val="00431A9E"/>
    <w:rsid w:val="00431C8D"/>
    <w:rsid w:val="00431D75"/>
    <w:rsid w:val="004321EF"/>
    <w:rsid w:val="004322E9"/>
    <w:rsid w:val="004325FD"/>
    <w:rsid w:val="0043271E"/>
    <w:rsid w:val="00432743"/>
    <w:rsid w:val="0043297A"/>
    <w:rsid w:val="004329EE"/>
    <w:rsid w:val="00432C0C"/>
    <w:rsid w:val="00432C4E"/>
    <w:rsid w:val="00432E85"/>
    <w:rsid w:val="00432E8F"/>
    <w:rsid w:val="00432EB2"/>
    <w:rsid w:val="004330CE"/>
    <w:rsid w:val="004331DE"/>
    <w:rsid w:val="0043324D"/>
    <w:rsid w:val="0043374A"/>
    <w:rsid w:val="00433AC8"/>
    <w:rsid w:val="00433B9D"/>
    <w:rsid w:val="00433C27"/>
    <w:rsid w:val="00433C85"/>
    <w:rsid w:val="00433E98"/>
    <w:rsid w:val="00433F0A"/>
    <w:rsid w:val="0043430A"/>
    <w:rsid w:val="004343AF"/>
    <w:rsid w:val="004343C0"/>
    <w:rsid w:val="004344E8"/>
    <w:rsid w:val="00434858"/>
    <w:rsid w:val="00434909"/>
    <w:rsid w:val="00434933"/>
    <w:rsid w:val="0043495F"/>
    <w:rsid w:val="00434972"/>
    <w:rsid w:val="00434C2F"/>
    <w:rsid w:val="00434E29"/>
    <w:rsid w:val="004350A4"/>
    <w:rsid w:val="004353A3"/>
    <w:rsid w:val="004353D0"/>
    <w:rsid w:val="0043567A"/>
    <w:rsid w:val="004357B5"/>
    <w:rsid w:val="00435B94"/>
    <w:rsid w:val="00435DE5"/>
    <w:rsid w:val="00435F7C"/>
    <w:rsid w:val="004362BF"/>
    <w:rsid w:val="00436497"/>
    <w:rsid w:val="00436591"/>
    <w:rsid w:val="00436652"/>
    <w:rsid w:val="00436BCE"/>
    <w:rsid w:val="00436DA3"/>
    <w:rsid w:val="00436DB9"/>
    <w:rsid w:val="00436DCC"/>
    <w:rsid w:val="004370A2"/>
    <w:rsid w:val="004370F9"/>
    <w:rsid w:val="00437133"/>
    <w:rsid w:val="0043714F"/>
    <w:rsid w:val="004372A4"/>
    <w:rsid w:val="0043735C"/>
    <w:rsid w:val="0043779F"/>
    <w:rsid w:val="004378A2"/>
    <w:rsid w:val="00437944"/>
    <w:rsid w:val="00437A5F"/>
    <w:rsid w:val="00437BC4"/>
    <w:rsid w:val="00437BCF"/>
    <w:rsid w:val="00437C94"/>
    <w:rsid w:val="00437D9B"/>
    <w:rsid w:val="00440022"/>
    <w:rsid w:val="004403F1"/>
    <w:rsid w:val="0044082A"/>
    <w:rsid w:val="004408C5"/>
    <w:rsid w:val="00440A39"/>
    <w:rsid w:val="00440D14"/>
    <w:rsid w:val="00440D79"/>
    <w:rsid w:val="00440F42"/>
    <w:rsid w:val="0044137D"/>
    <w:rsid w:val="00441433"/>
    <w:rsid w:val="0044175D"/>
    <w:rsid w:val="0044178F"/>
    <w:rsid w:val="00441855"/>
    <w:rsid w:val="004419FF"/>
    <w:rsid w:val="00441A26"/>
    <w:rsid w:val="00441C7A"/>
    <w:rsid w:val="0044207A"/>
    <w:rsid w:val="0044233D"/>
    <w:rsid w:val="0044240E"/>
    <w:rsid w:val="004426AC"/>
    <w:rsid w:val="00442847"/>
    <w:rsid w:val="00442930"/>
    <w:rsid w:val="00442AA5"/>
    <w:rsid w:val="00442B48"/>
    <w:rsid w:val="00442BD5"/>
    <w:rsid w:val="004431F3"/>
    <w:rsid w:val="00443371"/>
    <w:rsid w:val="00443422"/>
    <w:rsid w:val="004435E3"/>
    <w:rsid w:val="004436C6"/>
    <w:rsid w:val="004438B5"/>
    <w:rsid w:val="0044397F"/>
    <w:rsid w:val="00443FC5"/>
    <w:rsid w:val="0044412B"/>
    <w:rsid w:val="00444244"/>
    <w:rsid w:val="0044424F"/>
    <w:rsid w:val="00444369"/>
    <w:rsid w:val="004445F2"/>
    <w:rsid w:val="0044463B"/>
    <w:rsid w:val="004449DD"/>
    <w:rsid w:val="004449F5"/>
    <w:rsid w:val="00444A16"/>
    <w:rsid w:val="00444DE5"/>
    <w:rsid w:val="00444E6B"/>
    <w:rsid w:val="00444F21"/>
    <w:rsid w:val="0044500F"/>
    <w:rsid w:val="0044501D"/>
    <w:rsid w:val="0044517F"/>
    <w:rsid w:val="00445264"/>
    <w:rsid w:val="00445655"/>
    <w:rsid w:val="004457C3"/>
    <w:rsid w:val="00445997"/>
    <w:rsid w:val="00445AB3"/>
    <w:rsid w:val="00445E2B"/>
    <w:rsid w:val="00445E6A"/>
    <w:rsid w:val="00445E81"/>
    <w:rsid w:val="00446371"/>
    <w:rsid w:val="004463A5"/>
    <w:rsid w:val="00446447"/>
    <w:rsid w:val="0044657E"/>
    <w:rsid w:val="0044687A"/>
    <w:rsid w:val="0044691F"/>
    <w:rsid w:val="00446A4C"/>
    <w:rsid w:val="00446BD6"/>
    <w:rsid w:val="00446C67"/>
    <w:rsid w:val="00446DCE"/>
    <w:rsid w:val="00446E10"/>
    <w:rsid w:val="00446FAD"/>
    <w:rsid w:val="00447037"/>
    <w:rsid w:val="00447367"/>
    <w:rsid w:val="00447394"/>
    <w:rsid w:val="004473BE"/>
    <w:rsid w:val="004474F3"/>
    <w:rsid w:val="0044774A"/>
    <w:rsid w:val="00447B66"/>
    <w:rsid w:val="00447B9B"/>
    <w:rsid w:val="00447E86"/>
    <w:rsid w:val="00447F8D"/>
    <w:rsid w:val="00447FCD"/>
    <w:rsid w:val="00450266"/>
    <w:rsid w:val="00450463"/>
    <w:rsid w:val="00450780"/>
    <w:rsid w:val="0045081B"/>
    <w:rsid w:val="0045099C"/>
    <w:rsid w:val="00450AD5"/>
    <w:rsid w:val="00450DB8"/>
    <w:rsid w:val="00450F14"/>
    <w:rsid w:val="00451110"/>
    <w:rsid w:val="004511C5"/>
    <w:rsid w:val="0045124D"/>
    <w:rsid w:val="004518C1"/>
    <w:rsid w:val="00451B8F"/>
    <w:rsid w:val="00451C1D"/>
    <w:rsid w:val="00451C6F"/>
    <w:rsid w:val="00451CA1"/>
    <w:rsid w:val="004520CC"/>
    <w:rsid w:val="004524CE"/>
    <w:rsid w:val="00452BE9"/>
    <w:rsid w:val="00452C66"/>
    <w:rsid w:val="00452EAF"/>
    <w:rsid w:val="00452F06"/>
    <w:rsid w:val="00452F61"/>
    <w:rsid w:val="00452F68"/>
    <w:rsid w:val="004535E8"/>
    <w:rsid w:val="004536DB"/>
    <w:rsid w:val="004538C9"/>
    <w:rsid w:val="0045390E"/>
    <w:rsid w:val="00453BA5"/>
    <w:rsid w:val="00453C45"/>
    <w:rsid w:val="00453C72"/>
    <w:rsid w:val="00453CAD"/>
    <w:rsid w:val="00453FC0"/>
    <w:rsid w:val="0045405C"/>
    <w:rsid w:val="00454138"/>
    <w:rsid w:val="004542A0"/>
    <w:rsid w:val="004542BE"/>
    <w:rsid w:val="00454596"/>
    <w:rsid w:val="0045460B"/>
    <w:rsid w:val="00454723"/>
    <w:rsid w:val="004549C6"/>
    <w:rsid w:val="00454D47"/>
    <w:rsid w:val="00454E1F"/>
    <w:rsid w:val="00454F50"/>
    <w:rsid w:val="00454FC9"/>
    <w:rsid w:val="0045500A"/>
    <w:rsid w:val="0045541E"/>
    <w:rsid w:val="0045568F"/>
    <w:rsid w:val="00455701"/>
    <w:rsid w:val="004558A2"/>
    <w:rsid w:val="0045591D"/>
    <w:rsid w:val="00455A07"/>
    <w:rsid w:val="00455AF8"/>
    <w:rsid w:val="00455D02"/>
    <w:rsid w:val="00455D35"/>
    <w:rsid w:val="00455E63"/>
    <w:rsid w:val="0045605D"/>
    <w:rsid w:val="0045628B"/>
    <w:rsid w:val="004562BB"/>
    <w:rsid w:val="00456426"/>
    <w:rsid w:val="0045693C"/>
    <w:rsid w:val="0045702F"/>
    <w:rsid w:val="004573A8"/>
    <w:rsid w:val="004576E0"/>
    <w:rsid w:val="00457725"/>
    <w:rsid w:val="004577FE"/>
    <w:rsid w:val="00457CB9"/>
    <w:rsid w:val="00457E44"/>
    <w:rsid w:val="00460231"/>
    <w:rsid w:val="004603AE"/>
    <w:rsid w:val="00460466"/>
    <w:rsid w:val="00460520"/>
    <w:rsid w:val="004610E1"/>
    <w:rsid w:val="00461169"/>
    <w:rsid w:val="004612E2"/>
    <w:rsid w:val="0046135B"/>
    <w:rsid w:val="0046174F"/>
    <w:rsid w:val="004617D4"/>
    <w:rsid w:val="004618DE"/>
    <w:rsid w:val="004619A7"/>
    <w:rsid w:val="00461D47"/>
    <w:rsid w:val="00461DAA"/>
    <w:rsid w:val="00461FED"/>
    <w:rsid w:val="0046200B"/>
    <w:rsid w:val="004620BB"/>
    <w:rsid w:val="00462200"/>
    <w:rsid w:val="004629D2"/>
    <w:rsid w:val="004629DC"/>
    <w:rsid w:val="00462B0D"/>
    <w:rsid w:val="00462B88"/>
    <w:rsid w:val="00462BB5"/>
    <w:rsid w:val="00462D57"/>
    <w:rsid w:val="00462E5F"/>
    <w:rsid w:val="00462E88"/>
    <w:rsid w:val="00463248"/>
    <w:rsid w:val="0046344B"/>
    <w:rsid w:val="00463799"/>
    <w:rsid w:val="00463A50"/>
    <w:rsid w:val="00463AA8"/>
    <w:rsid w:val="00463BF5"/>
    <w:rsid w:val="00463D32"/>
    <w:rsid w:val="00463E3C"/>
    <w:rsid w:val="00463E51"/>
    <w:rsid w:val="00463EC3"/>
    <w:rsid w:val="00464205"/>
    <w:rsid w:val="00464367"/>
    <w:rsid w:val="00464389"/>
    <w:rsid w:val="004644F7"/>
    <w:rsid w:val="004646AD"/>
    <w:rsid w:val="004647BA"/>
    <w:rsid w:val="004649E9"/>
    <w:rsid w:val="00465120"/>
    <w:rsid w:val="00465173"/>
    <w:rsid w:val="00465309"/>
    <w:rsid w:val="00465703"/>
    <w:rsid w:val="00465C9A"/>
    <w:rsid w:val="0046606E"/>
    <w:rsid w:val="004662E7"/>
    <w:rsid w:val="004662ED"/>
    <w:rsid w:val="004662FF"/>
    <w:rsid w:val="00466393"/>
    <w:rsid w:val="00466864"/>
    <w:rsid w:val="004669E3"/>
    <w:rsid w:val="00466D1C"/>
    <w:rsid w:val="00466E69"/>
    <w:rsid w:val="00466EED"/>
    <w:rsid w:val="00466FC7"/>
    <w:rsid w:val="00467486"/>
    <w:rsid w:val="0046763A"/>
    <w:rsid w:val="00467659"/>
    <w:rsid w:val="004677A4"/>
    <w:rsid w:val="00467A29"/>
    <w:rsid w:val="00467AE5"/>
    <w:rsid w:val="00467E33"/>
    <w:rsid w:val="00467EF0"/>
    <w:rsid w:val="0047042C"/>
    <w:rsid w:val="00470749"/>
    <w:rsid w:val="0047089C"/>
    <w:rsid w:val="00470CF9"/>
    <w:rsid w:val="00470F27"/>
    <w:rsid w:val="00471011"/>
    <w:rsid w:val="00471052"/>
    <w:rsid w:val="004710A0"/>
    <w:rsid w:val="004716B4"/>
    <w:rsid w:val="004718CC"/>
    <w:rsid w:val="00471934"/>
    <w:rsid w:val="0047296F"/>
    <w:rsid w:val="004729DA"/>
    <w:rsid w:val="00472B53"/>
    <w:rsid w:val="00472BE8"/>
    <w:rsid w:val="00472EF0"/>
    <w:rsid w:val="004738F4"/>
    <w:rsid w:val="00473960"/>
    <w:rsid w:val="00473C62"/>
    <w:rsid w:val="00473D4E"/>
    <w:rsid w:val="00473D55"/>
    <w:rsid w:val="004743D3"/>
    <w:rsid w:val="004746B2"/>
    <w:rsid w:val="00474B1B"/>
    <w:rsid w:val="00474B56"/>
    <w:rsid w:val="00474C6F"/>
    <w:rsid w:val="00474CDC"/>
    <w:rsid w:val="00474EAF"/>
    <w:rsid w:val="00474EE5"/>
    <w:rsid w:val="00474EF4"/>
    <w:rsid w:val="00474F23"/>
    <w:rsid w:val="0047542B"/>
    <w:rsid w:val="00475448"/>
    <w:rsid w:val="00475AEE"/>
    <w:rsid w:val="00475D09"/>
    <w:rsid w:val="00475DD1"/>
    <w:rsid w:val="004762D9"/>
    <w:rsid w:val="004762E9"/>
    <w:rsid w:val="004763F7"/>
    <w:rsid w:val="004766BF"/>
    <w:rsid w:val="0047672E"/>
    <w:rsid w:val="00476980"/>
    <w:rsid w:val="00476BE7"/>
    <w:rsid w:val="00476F05"/>
    <w:rsid w:val="00477505"/>
    <w:rsid w:val="0047766A"/>
    <w:rsid w:val="004777EB"/>
    <w:rsid w:val="00477B59"/>
    <w:rsid w:val="00477D91"/>
    <w:rsid w:val="00477DBA"/>
    <w:rsid w:val="00480060"/>
    <w:rsid w:val="004803D6"/>
    <w:rsid w:val="004805C6"/>
    <w:rsid w:val="004806CD"/>
    <w:rsid w:val="004808D8"/>
    <w:rsid w:val="0048096F"/>
    <w:rsid w:val="00480BD4"/>
    <w:rsid w:val="0048103E"/>
    <w:rsid w:val="004811F1"/>
    <w:rsid w:val="00481211"/>
    <w:rsid w:val="0048123B"/>
    <w:rsid w:val="00481381"/>
    <w:rsid w:val="004815FE"/>
    <w:rsid w:val="00481695"/>
    <w:rsid w:val="004818C4"/>
    <w:rsid w:val="0048196B"/>
    <w:rsid w:val="00481A20"/>
    <w:rsid w:val="00481A65"/>
    <w:rsid w:val="00481B1B"/>
    <w:rsid w:val="00481BB8"/>
    <w:rsid w:val="00481D52"/>
    <w:rsid w:val="00481DB5"/>
    <w:rsid w:val="00481F16"/>
    <w:rsid w:val="004820F0"/>
    <w:rsid w:val="00482169"/>
    <w:rsid w:val="0048220D"/>
    <w:rsid w:val="00482277"/>
    <w:rsid w:val="00482290"/>
    <w:rsid w:val="004822CC"/>
    <w:rsid w:val="00482732"/>
    <w:rsid w:val="0048290E"/>
    <w:rsid w:val="00482A1E"/>
    <w:rsid w:val="00482B4E"/>
    <w:rsid w:val="00482C35"/>
    <w:rsid w:val="00482DDB"/>
    <w:rsid w:val="00482EC7"/>
    <w:rsid w:val="00483157"/>
    <w:rsid w:val="004831DA"/>
    <w:rsid w:val="0048361E"/>
    <w:rsid w:val="00483637"/>
    <w:rsid w:val="004839C8"/>
    <w:rsid w:val="00483BDB"/>
    <w:rsid w:val="00483C20"/>
    <w:rsid w:val="00483DB4"/>
    <w:rsid w:val="00483DEB"/>
    <w:rsid w:val="0048419E"/>
    <w:rsid w:val="004841B6"/>
    <w:rsid w:val="004844ED"/>
    <w:rsid w:val="00484A7D"/>
    <w:rsid w:val="00484AA7"/>
    <w:rsid w:val="00484B76"/>
    <w:rsid w:val="00484BFF"/>
    <w:rsid w:val="00484EC8"/>
    <w:rsid w:val="004851BD"/>
    <w:rsid w:val="0048521A"/>
    <w:rsid w:val="004855C9"/>
    <w:rsid w:val="004855DF"/>
    <w:rsid w:val="004858A4"/>
    <w:rsid w:val="00485B60"/>
    <w:rsid w:val="00485B78"/>
    <w:rsid w:val="00485C73"/>
    <w:rsid w:val="00485D45"/>
    <w:rsid w:val="00485F6F"/>
    <w:rsid w:val="0048620C"/>
    <w:rsid w:val="0048658B"/>
    <w:rsid w:val="00486666"/>
    <w:rsid w:val="0048673D"/>
    <w:rsid w:val="00486BEA"/>
    <w:rsid w:val="00486D68"/>
    <w:rsid w:val="00486E85"/>
    <w:rsid w:val="00486E8C"/>
    <w:rsid w:val="0048711D"/>
    <w:rsid w:val="004872B6"/>
    <w:rsid w:val="00487350"/>
    <w:rsid w:val="0048754B"/>
    <w:rsid w:val="00487554"/>
    <w:rsid w:val="0048763D"/>
    <w:rsid w:val="0048799B"/>
    <w:rsid w:val="00487A00"/>
    <w:rsid w:val="00487BD4"/>
    <w:rsid w:val="00487C02"/>
    <w:rsid w:val="00487C30"/>
    <w:rsid w:val="00487D86"/>
    <w:rsid w:val="00487D8A"/>
    <w:rsid w:val="0049007D"/>
    <w:rsid w:val="00490407"/>
    <w:rsid w:val="004907C4"/>
    <w:rsid w:val="00491030"/>
    <w:rsid w:val="004911C5"/>
    <w:rsid w:val="004911DB"/>
    <w:rsid w:val="00491491"/>
    <w:rsid w:val="00491672"/>
    <w:rsid w:val="004916B0"/>
    <w:rsid w:val="00491904"/>
    <w:rsid w:val="00491938"/>
    <w:rsid w:val="00491C74"/>
    <w:rsid w:val="00491F6A"/>
    <w:rsid w:val="00492057"/>
    <w:rsid w:val="004920F5"/>
    <w:rsid w:val="0049266D"/>
    <w:rsid w:val="00492920"/>
    <w:rsid w:val="00492D3A"/>
    <w:rsid w:val="00493351"/>
    <w:rsid w:val="004933E4"/>
    <w:rsid w:val="0049340E"/>
    <w:rsid w:val="00493788"/>
    <w:rsid w:val="004939AF"/>
    <w:rsid w:val="00493C7E"/>
    <w:rsid w:val="00493D7D"/>
    <w:rsid w:val="00493E60"/>
    <w:rsid w:val="00493F06"/>
    <w:rsid w:val="0049410A"/>
    <w:rsid w:val="00494190"/>
    <w:rsid w:val="0049426E"/>
    <w:rsid w:val="004942E5"/>
    <w:rsid w:val="004943C1"/>
    <w:rsid w:val="004944B5"/>
    <w:rsid w:val="00494508"/>
    <w:rsid w:val="00494634"/>
    <w:rsid w:val="0049466E"/>
    <w:rsid w:val="00494C12"/>
    <w:rsid w:val="00494C69"/>
    <w:rsid w:val="00494D4E"/>
    <w:rsid w:val="00494D79"/>
    <w:rsid w:val="00494DB7"/>
    <w:rsid w:val="004950BF"/>
    <w:rsid w:val="004951A4"/>
    <w:rsid w:val="00495212"/>
    <w:rsid w:val="00495218"/>
    <w:rsid w:val="0049521F"/>
    <w:rsid w:val="004958FC"/>
    <w:rsid w:val="0049594F"/>
    <w:rsid w:val="004959D4"/>
    <w:rsid w:val="00495A96"/>
    <w:rsid w:val="00495B3C"/>
    <w:rsid w:val="00495BB3"/>
    <w:rsid w:val="00495C68"/>
    <w:rsid w:val="0049609C"/>
    <w:rsid w:val="0049617D"/>
    <w:rsid w:val="004961B0"/>
    <w:rsid w:val="004962DC"/>
    <w:rsid w:val="004965E3"/>
    <w:rsid w:val="00496788"/>
    <w:rsid w:val="004968F7"/>
    <w:rsid w:val="00496A41"/>
    <w:rsid w:val="00496CE4"/>
    <w:rsid w:val="00496D78"/>
    <w:rsid w:val="00496F31"/>
    <w:rsid w:val="00496F3C"/>
    <w:rsid w:val="00497986"/>
    <w:rsid w:val="00497AAB"/>
    <w:rsid w:val="00497C28"/>
    <w:rsid w:val="00497C36"/>
    <w:rsid w:val="00497C59"/>
    <w:rsid w:val="00497E09"/>
    <w:rsid w:val="004A00F0"/>
    <w:rsid w:val="004A0180"/>
    <w:rsid w:val="004A06A4"/>
    <w:rsid w:val="004A08B4"/>
    <w:rsid w:val="004A0B1E"/>
    <w:rsid w:val="004A0B6C"/>
    <w:rsid w:val="004A0E6D"/>
    <w:rsid w:val="004A0FAA"/>
    <w:rsid w:val="004A10DD"/>
    <w:rsid w:val="004A139A"/>
    <w:rsid w:val="004A15C2"/>
    <w:rsid w:val="004A1AF4"/>
    <w:rsid w:val="004A1F04"/>
    <w:rsid w:val="004A1FC2"/>
    <w:rsid w:val="004A249D"/>
    <w:rsid w:val="004A262E"/>
    <w:rsid w:val="004A2C30"/>
    <w:rsid w:val="004A330E"/>
    <w:rsid w:val="004A35E2"/>
    <w:rsid w:val="004A35FC"/>
    <w:rsid w:val="004A38FF"/>
    <w:rsid w:val="004A3F70"/>
    <w:rsid w:val="004A40C3"/>
    <w:rsid w:val="004A43C6"/>
    <w:rsid w:val="004A43D2"/>
    <w:rsid w:val="004A456D"/>
    <w:rsid w:val="004A46C5"/>
    <w:rsid w:val="004A480C"/>
    <w:rsid w:val="004A4C93"/>
    <w:rsid w:val="004A4D7E"/>
    <w:rsid w:val="004A4E6A"/>
    <w:rsid w:val="004A5096"/>
    <w:rsid w:val="004A5223"/>
    <w:rsid w:val="004A531B"/>
    <w:rsid w:val="004A5420"/>
    <w:rsid w:val="004A5600"/>
    <w:rsid w:val="004A5694"/>
    <w:rsid w:val="004A56BB"/>
    <w:rsid w:val="004A582E"/>
    <w:rsid w:val="004A5C11"/>
    <w:rsid w:val="004A5C7D"/>
    <w:rsid w:val="004A5DA9"/>
    <w:rsid w:val="004A62BD"/>
    <w:rsid w:val="004A65A7"/>
    <w:rsid w:val="004A6A72"/>
    <w:rsid w:val="004A6CC4"/>
    <w:rsid w:val="004A6D0C"/>
    <w:rsid w:val="004A6DAA"/>
    <w:rsid w:val="004A6E19"/>
    <w:rsid w:val="004A6F69"/>
    <w:rsid w:val="004A6FAD"/>
    <w:rsid w:val="004A6FC4"/>
    <w:rsid w:val="004A70D6"/>
    <w:rsid w:val="004A71E0"/>
    <w:rsid w:val="004A7277"/>
    <w:rsid w:val="004A73CD"/>
    <w:rsid w:val="004A7414"/>
    <w:rsid w:val="004A7EE9"/>
    <w:rsid w:val="004A7F20"/>
    <w:rsid w:val="004B0178"/>
    <w:rsid w:val="004B01CE"/>
    <w:rsid w:val="004B0252"/>
    <w:rsid w:val="004B0532"/>
    <w:rsid w:val="004B0556"/>
    <w:rsid w:val="004B0692"/>
    <w:rsid w:val="004B0805"/>
    <w:rsid w:val="004B0A2E"/>
    <w:rsid w:val="004B0B17"/>
    <w:rsid w:val="004B0CFB"/>
    <w:rsid w:val="004B0EB5"/>
    <w:rsid w:val="004B1187"/>
    <w:rsid w:val="004B12E2"/>
    <w:rsid w:val="004B130A"/>
    <w:rsid w:val="004B133D"/>
    <w:rsid w:val="004B1723"/>
    <w:rsid w:val="004B1751"/>
    <w:rsid w:val="004B1862"/>
    <w:rsid w:val="004B18D8"/>
    <w:rsid w:val="004B18DE"/>
    <w:rsid w:val="004B1B96"/>
    <w:rsid w:val="004B1D2A"/>
    <w:rsid w:val="004B1DB5"/>
    <w:rsid w:val="004B1E07"/>
    <w:rsid w:val="004B2268"/>
    <w:rsid w:val="004B2550"/>
    <w:rsid w:val="004B25D6"/>
    <w:rsid w:val="004B277A"/>
    <w:rsid w:val="004B2960"/>
    <w:rsid w:val="004B29F8"/>
    <w:rsid w:val="004B2CA7"/>
    <w:rsid w:val="004B312F"/>
    <w:rsid w:val="004B3175"/>
    <w:rsid w:val="004B31BB"/>
    <w:rsid w:val="004B32C2"/>
    <w:rsid w:val="004B331A"/>
    <w:rsid w:val="004B33D3"/>
    <w:rsid w:val="004B347F"/>
    <w:rsid w:val="004B34A9"/>
    <w:rsid w:val="004B3606"/>
    <w:rsid w:val="004B3836"/>
    <w:rsid w:val="004B3A3C"/>
    <w:rsid w:val="004B3A4F"/>
    <w:rsid w:val="004B3A96"/>
    <w:rsid w:val="004B3D1B"/>
    <w:rsid w:val="004B3DFF"/>
    <w:rsid w:val="004B3F88"/>
    <w:rsid w:val="004B401B"/>
    <w:rsid w:val="004B42BB"/>
    <w:rsid w:val="004B43CB"/>
    <w:rsid w:val="004B4681"/>
    <w:rsid w:val="004B4C2D"/>
    <w:rsid w:val="004B4CFC"/>
    <w:rsid w:val="004B508F"/>
    <w:rsid w:val="004B5137"/>
    <w:rsid w:val="004B5276"/>
    <w:rsid w:val="004B539D"/>
    <w:rsid w:val="004B551E"/>
    <w:rsid w:val="004B5545"/>
    <w:rsid w:val="004B5581"/>
    <w:rsid w:val="004B561C"/>
    <w:rsid w:val="004B5720"/>
    <w:rsid w:val="004B57F0"/>
    <w:rsid w:val="004B580B"/>
    <w:rsid w:val="004B5C9B"/>
    <w:rsid w:val="004B5D33"/>
    <w:rsid w:val="004B5E57"/>
    <w:rsid w:val="004B5EC6"/>
    <w:rsid w:val="004B61A9"/>
    <w:rsid w:val="004B61C6"/>
    <w:rsid w:val="004B62E6"/>
    <w:rsid w:val="004B63BA"/>
    <w:rsid w:val="004B64AD"/>
    <w:rsid w:val="004B6573"/>
    <w:rsid w:val="004B66BB"/>
    <w:rsid w:val="004B675B"/>
    <w:rsid w:val="004B67B3"/>
    <w:rsid w:val="004B6872"/>
    <w:rsid w:val="004B6885"/>
    <w:rsid w:val="004B6959"/>
    <w:rsid w:val="004B6BC9"/>
    <w:rsid w:val="004B6C72"/>
    <w:rsid w:val="004B6D47"/>
    <w:rsid w:val="004B6DCD"/>
    <w:rsid w:val="004B6F6A"/>
    <w:rsid w:val="004B6FAD"/>
    <w:rsid w:val="004B7022"/>
    <w:rsid w:val="004B70E1"/>
    <w:rsid w:val="004B7240"/>
    <w:rsid w:val="004B7299"/>
    <w:rsid w:val="004B7559"/>
    <w:rsid w:val="004B76D8"/>
    <w:rsid w:val="004B775B"/>
    <w:rsid w:val="004B77A9"/>
    <w:rsid w:val="004B77C2"/>
    <w:rsid w:val="004B7A50"/>
    <w:rsid w:val="004B7AD9"/>
    <w:rsid w:val="004B7D8C"/>
    <w:rsid w:val="004B7D90"/>
    <w:rsid w:val="004B7F21"/>
    <w:rsid w:val="004C0079"/>
    <w:rsid w:val="004C0091"/>
    <w:rsid w:val="004C0199"/>
    <w:rsid w:val="004C019A"/>
    <w:rsid w:val="004C0253"/>
    <w:rsid w:val="004C0316"/>
    <w:rsid w:val="004C0498"/>
    <w:rsid w:val="004C08FB"/>
    <w:rsid w:val="004C0977"/>
    <w:rsid w:val="004C0AB0"/>
    <w:rsid w:val="004C0B14"/>
    <w:rsid w:val="004C0BD4"/>
    <w:rsid w:val="004C0CE6"/>
    <w:rsid w:val="004C1428"/>
    <w:rsid w:val="004C153A"/>
    <w:rsid w:val="004C15A3"/>
    <w:rsid w:val="004C1CD5"/>
    <w:rsid w:val="004C1F6B"/>
    <w:rsid w:val="004C2103"/>
    <w:rsid w:val="004C212B"/>
    <w:rsid w:val="004C22D0"/>
    <w:rsid w:val="004C250E"/>
    <w:rsid w:val="004C2578"/>
    <w:rsid w:val="004C25A7"/>
    <w:rsid w:val="004C282E"/>
    <w:rsid w:val="004C2870"/>
    <w:rsid w:val="004C2913"/>
    <w:rsid w:val="004C2F7A"/>
    <w:rsid w:val="004C3158"/>
    <w:rsid w:val="004C3193"/>
    <w:rsid w:val="004C319C"/>
    <w:rsid w:val="004C3220"/>
    <w:rsid w:val="004C32D9"/>
    <w:rsid w:val="004C380B"/>
    <w:rsid w:val="004C3A25"/>
    <w:rsid w:val="004C3CC8"/>
    <w:rsid w:val="004C3CDB"/>
    <w:rsid w:val="004C3D4F"/>
    <w:rsid w:val="004C405E"/>
    <w:rsid w:val="004C423B"/>
    <w:rsid w:val="004C427D"/>
    <w:rsid w:val="004C4427"/>
    <w:rsid w:val="004C4524"/>
    <w:rsid w:val="004C4644"/>
    <w:rsid w:val="004C4999"/>
    <w:rsid w:val="004C4AFA"/>
    <w:rsid w:val="004C4B24"/>
    <w:rsid w:val="004C4DD6"/>
    <w:rsid w:val="004C530F"/>
    <w:rsid w:val="004C5340"/>
    <w:rsid w:val="004C53D5"/>
    <w:rsid w:val="004C54D0"/>
    <w:rsid w:val="004C56B4"/>
    <w:rsid w:val="004C5745"/>
    <w:rsid w:val="004C581E"/>
    <w:rsid w:val="004C5876"/>
    <w:rsid w:val="004C5885"/>
    <w:rsid w:val="004C58D7"/>
    <w:rsid w:val="004C59FD"/>
    <w:rsid w:val="004C6099"/>
    <w:rsid w:val="004C61F2"/>
    <w:rsid w:val="004C63E1"/>
    <w:rsid w:val="004C63F1"/>
    <w:rsid w:val="004C68C5"/>
    <w:rsid w:val="004C69B2"/>
    <w:rsid w:val="004C6C93"/>
    <w:rsid w:val="004C6D25"/>
    <w:rsid w:val="004C6E6F"/>
    <w:rsid w:val="004C6F31"/>
    <w:rsid w:val="004C6FEC"/>
    <w:rsid w:val="004C701B"/>
    <w:rsid w:val="004C7157"/>
    <w:rsid w:val="004C7358"/>
    <w:rsid w:val="004C7549"/>
    <w:rsid w:val="004C75FB"/>
    <w:rsid w:val="004C767F"/>
    <w:rsid w:val="004C771A"/>
    <w:rsid w:val="004C7A53"/>
    <w:rsid w:val="004C7E25"/>
    <w:rsid w:val="004C7E3C"/>
    <w:rsid w:val="004D083D"/>
    <w:rsid w:val="004D0AD8"/>
    <w:rsid w:val="004D0E36"/>
    <w:rsid w:val="004D1133"/>
    <w:rsid w:val="004D153B"/>
    <w:rsid w:val="004D15B4"/>
    <w:rsid w:val="004D1606"/>
    <w:rsid w:val="004D1758"/>
    <w:rsid w:val="004D17CC"/>
    <w:rsid w:val="004D1FDB"/>
    <w:rsid w:val="004D21BF"/>
    <w:rsid w:val="004D225F"/>
    <w:rsid w:val="004D2346"/>
    <w:rsid w:val="004D246A"/>
    <w:rsid w:val="004D2817"/>
    <w:rsid w:val="004D2BEF"/>
    <w:rsid w:val="004D2ECE"/>
    <w:rsid w:val="004D327E"/>
    <w:rsid w:val="004D3350"/>
    <w:rsid w:val="004D3795"/>
    <w:rsid w:val="004D3CF2"/>
    <w:rsid w:val="004D426A"/>
    <w:rsid w:val="004D4AA1"/>
    <w:rsid w:val="004D4AE7"/>
    <w:rsid w:val="004D4D91"/>
    <w:rsid w:val="004D4FC1"/>
    <w:rsid w:val="004D511B"/>
    <w:rsid w:val="004D5421"/>
    <w:rsid w:val="004D56FF"/>
    <w:rsid w:val="004D5777"/>
    <w:rsid w:val="004D58C4"/>
    <w:rsid w:val="004D5D23"/>
    <w:rsid w:val="004D5E5B"/>
    <w:rsid w:val="004D60F0"/>
    <w:rsid w:val="004D60F5"/>
    <w:rsid w:val="004D62F3"/>
    <w:rsid w:val="004D680C"/>
    <w:rsid w:val="004D6A9A"/>
    <w:rsid w:val="004D6D4E"/>
    <w:rsid w:val="004D6EAB"/>
    <w:rsid w:val="004D6EC4"/>
    <w:rsid w:val="004D6F7A"/>
    <w:rsid w:val="004D79A8"/>
    <w:rsid w:val="004D7B3B"/>
    <w:rsid w:val="004D7ED3"/>
    <w:rsid w:val="004D7F48"/>
    <w:rsid w:val="004D7F72"/>
    <w:rsid w:val="004E0583"/>
    <w:rsid w:val="004E0A32"/>
    <w:rsid w:val="004E0AA5"/>
    <w:rsid w:val="004E0C48"/>
    <w:rsid w:val="004E0DA0"/>
    <w:rsid w:val="004E0E03"/>
    <w:rsid w:val="004E0FBC"/>
    <w:rsid w:val="004E1148"/>
    <w:rsid w:val="004E125B"/>
    <w:rsid w:val="004E126F"/>
    <w:rsid w:val="004E12AD"/>
    <w:rsid w:val="004E1768"/>
    <w:rsid w:val="004E19BA"/>
    <w:rsid w:val="004E1B4D"/>
    <w:rsid w:val="004E1C95"/>
    <w:rsid w:val="004E1CBC"/>
    <w:rsid w:val="004E1F3C"/>
    <w:rsid w:val="004E2177"/>
    <w:rsid w:val="004E22E0"/>
    <w:rsid w:val="004E2608"/>
    <w:rsid w:val="004E2640"/>
    <w:rsid w:val="004E28D9"/>
    <w:rsid w:val="004E2944"/>
    <w:rsid w:val="004E29B3"/>
    <w:rsid w:val="004E2A06"/>
    <w:rsid w:val="004E2A1D"/>
    <w:rsid w:val="004E2BD4"/>
    <w:rsid w:val="004E2C18"/>
    <w:rsid w:val="004E2C20"/>
    <w:rsid w:val="004E2C89"/>
    <w:rsid w:val="004E2CED"/>
    <w:rsid w:val="004E2FC0"/>
    <w:rsid w:val="004E326A"/>
    <w:rsid w:val="004E3282"/>
    <w:rsid w:val="004E3302"/>
    <w:rsid w:val="004E36B6"/>
    <w:rsid w:val="004E36D5"/>
    <w:rsid w:val="004E39D3"/>
    <w:rsid w:val="004E3D82"/>
    <w:rsid w:val="004E3E6B"/>
    <w:rsid w:val="004E3F20"/>
    <w:rsid w:val="004E3FC5"/>
    <w:rsid w:val="004E405D"/>
    <w:rsid w:val="004E43AE"/>
    <w:rsid w:val="004E45DF"/>
    <w:rsid w:val="004E45E3"/>
    <w:rsid w:val="004E4EB2"/>
    <w:rsid w:val="004E508A"/>
    <w:rsid w:val="004E5116"/>
    <w:rsid w:val="004E5281"/>
    <w:rsid w:val="004E5364"/>
    <w:rsid w:val="004E54EF"/>
    <w:rsid w:val="004E558F"/>
    <w:rsid w:val="004E561D"/>
    <w:rsid w:val="004E5694"/>
    <w:rsid w:val="004E593A"/>
    <w:rsid w:val="004E5D36"/>
    <w:rsid w:val="004E6154"/>
    <w:rsid w:val="004E616D"/>
    <w:rsid w:val="004E627A"/>
    <w:rsid w:val="004E640A"/>
    <w:rsid w:val="004E6749"/>
    <w:rsid w:val="004E682C"/>
    <w:rsid w:val="004E6BC7"/>
    <w:rsid w:val="004E6C38"/>
    <w:rsid w:val="004E6E46"/>
    <w:rsid w:val="004E6EB3"/>
    <w:rsid w:val="004E7728"/>
    <w:rsid w:val="004E7A58"/>
    <w:rsid w:val="004E7CA2"/>
    <w:rsid w:val="004E7DAD"/>
    <w:rsid w:val="004E7F1D"/>
    <w:rsid w:val="004F0042"/>
    <w:rsid w:val="004F00AE"/>
    <w:rsid w:val="004F04F6"/>
    <w:rsid w:val="004F05C3"/>
    <w:rsid w:val="004F0859"/>
    <w:rsid w:val="004F09B8"/>
    <w:rsid w:val="004F0A03"/>
    <w:rsid w:val="004F0A91"/>
    <w:rsid w:val="004F0BF0"/>
    <w:rsid w:val="004F0CCE"/>
    <w:rsid w:val="004F0CD3"/>
    <w:rsid w:val="004F1944"/>
    <w:rsid w:val="004F1BDE"/>
    <w:rsid w:val="004F1EAB"/>
    <w:rsid w:val="004F1EF3"/>
    <w:rsid w:val="004F224A"/>
    <w:rsid w:val="004F2261"/>
    <w:rsid w:val="004F24F3"/>
    <w:rsid w:val="004F2655"/>
    <w:rsid w:val="004F2664"/>
    <w:rsid w:val="004F299C"/>
    <w:rsid w:val="004F2C12"/>
    <w:rsid w:val="004F2CE3"/>
    <w:rsid w:val="004F2CEE"/>
    <w:rsid w:val="004F2D8A"/>
    <w:rsid w:val="004F2EC5"/>
    <w:rsid w:val="004F3022"/>
    <w:rsid w:val="004F31B2"/>
    <w:rsid w:val="004F367F"/>
    <w:rsid w:val="004F3CC3"/>
    <w:rsid w:val="004F3D36"/>
    <w:rsid w:val="004F3E94"/>
    <w:rsid w:val="004F410E"/>
    <w:rsid w:val="004F41F9"/>
    <w:rsid w:val="004F4568"/>
    <w:rsid w:val="004F45FB"/>
    <w:rsid w:val="004F47A0"/>
    <w:rsid w:val="004F4B3D"/>
    <w:rsid w:val="004F4D03"/>
    <w:rsid w:val="004F4D2B"/>
    <w:rsid w:val="004F4DE9"/>
    <w:rsid w:val="004F4E5C"/>
    <w:rsid w:val="004F502F"/>
    <w:rsid w:val="004F51B1"/>
    <w:rsid w:val="004F51BE"/>
    <w:rsid w:val="004F526C"/>
    <w:rsid w:val="004F539A"/>
    <w:rsid w:val="004F556E"/>
    <w:rsid w:val="004F5652"/>
    <w:rsid w:val="004F591C"/>
    <w:rsid w:val="004F5985"/>
    <w:rsid w:val="004F5A46"/>
    <w:rsid w:val="004F5B5F"/>
    <w:rsid w:val="004F5C34"/>
    <w:rsid w:val="004F5DCE"/>
    <w:rsid w:val="004F5F15"/>
    <w:rsid w:val="004F6221"/>
    <w:rsid w:val="004F62E1"/>
    <w:rsid w:val="004F6368"/>
    <w:rsid w:val="004F64A8"/>
    <w:rsid w:val="004F65BE"/>
    <w:rsid w:val="004F670F"/>
    <w:rsid w:val="004F6865"/>
    <w:rsid w:val="004F69A8"/>
    <w:rsid w:val="004F6BB9"/>
    <w:rsid w:val="004F6E73"/>
    <w:rsid w:val="004F72F2"/>
    <w:rsid w:val="004F733F"/>
    <w:rsid w:val="004F7452"/>
    <w:rsid w:val="004F7680"/>
    <w:rsid w:val="004F7760"/>
    <w:rsid w:val="004F7770"/>
    <w:rsid w:val="004F7875"/>
    <w:rsid w:val="004F7957"/>
    <w:rsid w:val="004F7B44"/>
    <w:rsid w:val="004F7DC1"/>
    <w:rsid w:val="004F7F05"/>
    <w:rsid w:val="004F7F2A"/>
    <w:rsid w:val="004F7F44"/>
    <w:rsid w:val="004F7F5A"/>
    <w:rsid w:val="004F7FD6"/>
    <w:rsid w:val="00500055"/>
    <w:rsid w:val="00500271"/>
    <w:rsid w:val="005004C5"/>
    <w:rsid w:val="005005DA"/>
    <w:rsid w:val="005006B0"/>
    <w:rsid w:val="005007CE"/>
    <w:rsid w:val="005008CE"/>
    <w:rsid w:val="005009B2"/>
    <w:rsid w:val="00500D49"/>
    <w:rsid w:val="00500EFB"/>
    <w:rsid w:val="0050109E"/>
    <w:rsid w:val="0050161D"/>
    <w:rsid w:val="005017CE"/>
    <w:rsid w:val="005019F5"/>
    <w:rsid w:val="00501A7D"/>
    <w:rsid w:val="00501AEF"/>
    <w:rsid w:val="00501B1D"/>
    <w:rsid w:val="00501BFA"/>
    <w:rsid w:val="0050222D"/>
    <w:rsid w:val="00502333"/>
    <w:rsid w:val="00502DCC"/>
    <w:rsid w:val="00502FE7"/>
    <w:rsid w:val="0050332E"/>
    <w:rsid w:val="005034BC"/>
    <w:rsid w:val="005036EA"/>
    <w:rsid w:val="0050372F"/>
    <w:rsid w:val="005037B4"/>
    <w:rsid w:val="005038BE"/>
    <w:rsid w:val="00503C9C"/>
    <w:rsid w:val="00503DB0"/>
    <w:rsid w:val="00503DC6"/>
    <w:rsid w:val="005041C1"/>
    <w:rsid w:val="0050425F"/>
    <w:rsid w:val="0050426B"/>
    <w:rsid w:val="00504379"/>
    <w:rsid w:val="005044A1"/>
    <w:rsid w:val="005044FC"/>
    <w:rsid w:val="00504615"/>
    <w:rsid w:val="005047B2"/>
    <w:rsid w:val="00504827"/>
    <w:rsid w:val="005048EF"/>
    <w:rsid w:val="005049D1"/>
    <w:rsid w:val="00504CA4"/>
    <w:rsid w:val="00504E39"/>
    <w:rsid w:val="00504ED6"/>
    <w:rsid w:val="00505725"/>
    <w:rsid w:val="00505941"/>
    <w:rsid w:val="00505ED2"/>
    <w:rsid w:val="00505F85"/>
    <w:rsid w:val="005062AF"/>
    <w:rsid w:val="005064DE"/>
    <w:rsid w:val="005066DE"/>
    <w:rsid w:val="00506707"/>
    <w:rsid w:val="005069A7"/>
    <w:rsid w:val="00506D55"/>
    <w:rsid w:val="00506E80"/>
    <w:rsid w:val="00507043"/>
    <w:rsid w:val="005070BC"/>
    <w:rsid w:val="00507196"/>
    <w:rsid w:val="00507451"/>
    <w:rsid w:val="0050785B"/>
    <w:rsid w:val="005078BC"/>
    <w:rsid w:val="005079BF"/>
    <w:rsid w:val="005079EA"/>
    <w:rsid w:val="005100FA"/>
    <w:rsid w:val="005105CB"/>
    <w:rsid w:val="005106A9"/>
    <w:rsid w:val="005106AD"/>
    <w:rsid w:val="005106FF"/>
    <w:rsid w:val="0051081D"/>
    <w:rsid w:val="00510AC5"/>
    <w:rsid w:val="00510BD0"/>
    <w:rsid w:val="00510C76"/>
    <w:rsid w:val="00510D63"/>
    <w:rsid w:val="0051104E"/>
    <w:rsid w:val="0051107D"/>
    <w:rsid w:val="00511767"/>
    <w:rsid w:val="005117AF"/>
    <w:rsid w:val="00511BF5"/>
    <w:rsid w:val="00511C01"/>
    <w:rsid w:val="00511C78"/>
    <w:rsid w:val="00512094"/>
    <w:rsid w:val="00512371"/>
    <w:rsid w:val="0051269A"/>
    <w:rsid w:val="005126CF"/>
    <w:rsid w:val="00512820"/>
    <w:rsid w:val="005129CB"/>
    <w:rsid w:val="00512C82"/>
    <w:rsid w:val="00512D27"/>
    <w:rsid w:val="00512E3A"/>
    <w:rsid w:val="00512F67"/>
    <w:rsid w:val="00513081"/>
    <w:rsid w:val="0051311A"/>
    <w:rsid w:val="00513186"/>
    <w:rsid w:val="00513275"/>
    <w:rsid w:val="00513449"/>
    <w:rsid w:val="0051348F"/>
    <w:rsid w:val="005136D9"/>
    <w:rsid w:val="005137F8"/>
    <w:rsid w:val="005138DC"/>
    <w:rsid w:val="00513969"/>
    <w:rsid w:val="00513A7F"/>
    <w:rsid w:val="00513C2E"/>
    <w:rsid w:val="00513E0E"/>
    <w:rsid w:val="00513F40"/>
    <w:rsid w:val="0051447D"/>
    <w:rsid w:val="005144FA"/>
    <w:rsid w:val="00514604"/>
    <w:rsid w:val="0051462D"/>
    <w:rsid w:val="00514643"/>
    <w:rsid w:val="0051491C"/>
    <w:rsid w:val="005149F7"/>
    <w:rsid w:val="00514F87"/>
    <w:rsid w:val="0051526E"/>
    <w:rsid w:val="005154FE"/>
    <w:rsid w:val="0051573C"/>
    <w:rsid w:val="00515797"/>
    <w:rsid w:val="00515864"/>
    <w:rsid w:val="0051587D"/>
    <w:rsid w:val="00515B59"/>
    <w:rsid w:val="00515E06"/>
    <w:rsid w:val="00515E32"/>
    <w:rsid w:val="0051606F"/>
    <w:rsid w:val="005164C1"/>
    <w:rsid w:val="0051658E"/>
    <w:rsid w:val="00516749"/>
    <w:rsid w:val="00516887"/>
    <w:rsid w:val="00516CB0"/>
    <w:rsid w:val="0051721D"/>
    <w:rsid w:val="00517358"/>
    <w:rsid w:val="00517743"/>
    <w:rsid w:val="00517770"/>
    <w:rsid w:val="005179C1"/>
    <w:rsid w:val="00517DC0"/>
    <w:rsid w:val="00517E64"/>
    <w:rsid w:val="00520114"/>
    <w:rsid w:val="005202BF"/>
    <w:rsid w:val="005204E0"/>
    <w:rsid w:val="00520600"/>
    <w:rsid w:val="00520650"/>
    <w:rsid w:val="00520857"/>
    <w:rsid w:val="00520862"/>
    <w:rsid w:val="0052099E"/>
    <w:rsid w:val="00520C0D"/>
    <w:rsid w:val="00520C0F"/>
    <w:rsid w:val="00520C24"/>
    <w:rsid w:val="00521331"/>
    <w:rsid w:val="0052152B"/>
    <w:rsid w:val="00521910"/>
    <w:rsid w:val="00521934"/>
    <w:rsid w:val="005219E7"/>
    <w:rsid w:val="00521C7A"/>
    <w:rsid w:val="00521ED4"/>
    <w:rsid w:val="00521EE9"/>
    <w:rsid w:val="0052230F"/>
    <w:rsid w:val="005223DD"/>
    <w:rsid w:val="005224D3"/>
    <w:rsid w:val="00522514"/>
    <w:rsid w:val="005227AC"/>
    <w:rsid w:val="00522986"/>
    <w:rsid w:val="00522AAF"/>
    <w:rsid w:val="00522D87"/>
    <w:rsid w:val="00523544"/>
    <w:rsid w:val="0052359D"/>
    <w:rsid w:val="005235A0"/>
    <w:rsid w:val="00523858"/>
    <w:rsid w:val="00523F52"/>
    <w:rsid w:val="0052432F"/>
    <w:rsid w:val="00524371"/>
    <w:rsid w:val="00524917"/>
    <w:rsid w:val="00524AE1"/>
    <w:rsid w:val="00524B31"/>
    <w:rsid w:val="00524CC0"/>
    <w:rsid w:val="00524E26"/>
    <w:rsid w:val="00524F4B"/>
    <w:rsid w:val="00524FAD"/>
    <w:rsid w:val="0052563F"/>
    <w:rsid w:val="00525857"/>
    <w:rsid w:val="00525B37"/>
    <w:rsid w:val="00525ED1"/>
    <w:rsid w:val="00526007"/>
    <w:rsid w:val="005260FF"/>
    <w:rsid w:val="005261D1"/>
    <w:rsid w:val="005261F2"/>
    <w:rsid w:val="005263E0"/>
    <w:rsid w:val="00526534"/>
    <w:rsid w:val="0052654D"/>
    <w:rsid w:val="00526675"/>
    <w:rsid w:val="00526960"/>
    <w:rsid w:val="00526C82"/>
    <w:rsid w:val="00526FF5"/>
    <w:rsid w:val="00527094"/>
    <w:rsid w:val="00527170"/>
    <w:rsid w:val="0052729C"/>
    <w:rsid w:val="00527523"/>
    <w:rsid w:val="00527708"/>
    <w:rsid w:val="0052770D"/>
    <w:rsid w:val="005277D6"/>
    <w:rsid w:val="00527904"/>
    <w:rsid w:val="00527982"/>
    <w:rsid w:val="005303C9"/>
    <w:rsid w:val="0053064E"/>
    <w:rsid w:val="00530680"/>
    <w:rsid w:val="00530A45"/>
    <w:rsid w:val="00530B1F"/>
    <w:rsid w:val="00530C93"/>
    <w:rsid w:val="00530E26"/>
    <w:rsid w:val="005310B6"/>
    <w:rsid w:val="005312E6"/>
    <w:rsid w:val="0053138E"/>
    <w:rsid w:val="005313F8"/>
    <w:rsid w:val="0053156F"/>
    <w:rsid w:val="00531950"/>
    <w:rsid w:val="00531B9A"/>
    <w:rsid w:val="00531C04"/>
    <w:rsid w:val="00531D15"/>
    <w:rsid w:val="00531D8F"/>
    <w:rsid w:val="00531DEB"/>
    <w:rsid w:val="00531FD5"/>
    <w:rsid w:val="00532261"/>
    <w:rsid w:val="00532269"/>
    <w:rsid w:val="005324F1"/>
    <w:rsid w:val="005325D0"/>
    <w:rsid w:val="00532DBD"/>
    <w:rsid w:val="005330E9"/>
    <w:rsid w:val="0053341F"/>
    <w:rsid w:val="005336ED"/>
    <w:rsid w:val="00533EB5"/>
    <w:rsid w:val="0053400B"/>
    <w:rsid w:val="0053424B"/>
    <w:rsid w:val="00534295"/>
    <w:rsid w:val="005343B0"/>
    <w:rsid w:val="0053490E"/>
    <w:rsid w:val="00534A11"/>
    <w:rsid w:val="00534A7D"/>
    <w:rsid w:val="00534B8D"/>
    <w:rsid w:val="00534C35"/>
    <w:rsid w:val="00534D3B"/>
    <w:rsid w:val="0053518C"/>
    <w:rsid w:val="00535331"/>
    <w:rsid w:val="00535628"/>
    <w:rsid w:val="00535765"/>
    <w:rsid w:val="00535798"/>
    <w:rsid w:val="00535A74"/>
    <w:rsid w:val="00535B17"/>
    <w:rsid w:val="00536090"/>
    <w:rsid w:val="00536350"/>
    <w:rsid w:val="00536426"/>
    <w:rsid w:val="005369C8"/>
    <w:rsid w:val="005369CD"/>
    <w:rsid w:val="00536AD1"/>
    <w:rsid w:val="00536B5D"/>
    <w:rsid w:val="0053755E"/>
    <w:rsid w:val="005375D8"/>
    <w:rsid w:val="00537604"/>
    <w:rsid w:val="00537640"/>
    <w:rsid w:val="0053794C"/>
    <w:rsid w:val="00537D4C"/>
    <w:rsid w:val="00540769"/>
    <w:rsid w:val="0054084B"/>
    <w:rsid w:val="005409FF"/>
    <w:rsid w:val="00540B57"/>
    <w:rsid w:val="00540BAC"/>
    <w:rsid w:val="00540C76"/>
    <w:rsid w:val="00540CF9"/>
    <w:rsid w:val="00540E16"/>
    <w:rsid w:val="00540E23"/>
    <w:rsid w:val="00540E57"/>
    <w:rsid w:val="00540F1F"/>
    <w:rsid w:val="00541496"/>
    <w:rsid w:val="005415DB"/>
    <w:rsid w:val="005418EE"/>
    <w:rsid w:val="0054194C"/>
    <w:rsid w:val="00541B57"/>
    <w:rsid w:val="00541BF1"/>
    <w:rsid w:val="00541CDB"/>
    <w:rsid w:val="00541D97"/>
    <w:rsid w:val="00541F71"/>
    <w:rsid w:val="00542067"/>
    <w:rsid w:val="00542075"/>
    <w:rsid w:val="00542291"/>
    <w:rsid w:val="00542377"/>
    <w:rsid w:val="005423B1"/>
    <w:rsid w:val="005426F3"/>
    <w:rsid w:val="005426FA"/>
    <w:rsid w:val="0054271B"/>
    <w:rsid w:val="00542785"/>
    <w:rsid w:val="00542BAF"/>
    <w:rsid w:val="00542C3E"/>
    <w:rsid w:val="00542E11"/>
    <w:rsid w:val="00542E3B"/>
    <w:rsid w:val="005430A1"/>
    <w:rsid w:val="0054341D"/>
    <w:rsid w:val="005436C4"/>
    <w:rsid w:val="0054374C"/>
    <w:rsid w:val="0054380A"/>
    <w:rsid w:val="0054380E"/>
    <w:rsid w:val="00543A2D"/>
    <w:rsid w:val="00543A32"/>
    <w:rsid w:val="00543C1D"/>
    <w:rsid w:val="00543CB5"/>
    <w:rsid w:val="00544120"/>
    <w:rsid w:val="00544145"/>
    <w:rsid w:val="0054417F"/>
    <w:rsid w:val="0054418D"/>
    <w:rsid w:val="00544215"/>
    <w:rsid w:val="0054428F"/>
    <w:rsid w:val="00544362"/>
    <w:rsid w:val="00544469"/>
    <w:rsid w:val="00544777"/>
    <w:rsid w:val="00544A78"/>
    <w:rsid w:val="00544B2B"/>
    <w:rsid w:val="00544C03"/>
    <w:rsid w:val="00544D39"/>
    <w:rsid w:val="00544E37"/>
    <w:rsid w:val="00544FFC"/>
    <w:rsid w:val="00545036"/>
    <w:rsid w:val="0054506D"/>
    <w:rsid w:val="0054518F"/>
    <w:rsid w:val="00545257"/>
    <w:rsid w:val="00545468"/>
    <w:rsid w:val="0054551D"/>
    <w:rsid w:val="0054554D"/>
    <w:rsid w:val="00545804"/>
    <w:rsid w:val="00545A2C"/>
    <w:rsid w:val="00545A44"/>
    <w:rsid w:val="00545F01"/>
    <w:rsid w:val="00545F2C"/>
    <w:rsid w:val="00545F96"/>
    <w:rsid w:val="005463DF"/>
    <w:rsid w:val="0054662E"/>
    <w:rsid w:val="005466A0"/>
    <w:rsid w:val="0054679C"/>
    <w:rsid w:val="0054692E"/>
    <w:rsid w:val="00546B61"/>
    <w:rsid w:val="00546BAE"/>
    <w:rsid w:val="00546C5F"/>
    <w:rsid w:val="00546CF3"/>
    <w:rsid w:val="00546DF7"/>
    <w:rsid w:val="00546E18"/>
    <w:rsid w:val="00546E6D"/>
    <w:rsid w:val="00546EBD"/>
    <w:rsid w:val="00546FE8"/>
    <w:rsid w:val="005471C7"/>
    <w:rsid w:val="005471F6"/>
    <w:rsid w:val="00547337"/>
    <w:rsid w:val="0054740E"/>
    <w:rsid w:val="00547587"/>
    <w:rsid w:val="005476EB"/>
    <w:rsid w:val="00547737"/>
    <w:rsid w:val="005478A8"/>
    <w:rsid w:val="00547A89"/>
    <w:rsid w:val="00547AB0"/>
    <w:rsid w:val="00547B42"/>
    <w:rsid w:val="00547BEA"/>
    <w:rsid w:val="00547C33"/>
    <w:rsid w:val="00547D61"/>
    <w:rsid w:val="005501D0"/>
    <w:rsid w:val="00550406"/>
    <w:rsid w:val="00550722"/>
    <w:rsid w:val="005507D2"/>
    <w:rsid w:val="00550AEE"/>
    <w:rsid w:val="00550CF4"/>
    <w:rsid w:val="00550F5D"/>
    <w:rsid w:val="0055137B"/>
    <w:rsid w:val="00551651"/>
    <w:rsid w:val="00551782"/>
    <w:rsid w:val="005518B6"/>
    <w:rsid w:val="00551B6D"/>
    <w:rsid w:val="00551DC0"/>
    <w:rsid w:val="005520B4"/>
    <w:rsid w:val="0055231C"/>
    <w:rsid w:val="0055265E"/>
    <w:rsid w:val="00552987"/>
    <w:rsid w:val="00552CB2"/>
    <w:rsid w:val="00552D01"/>
    <w:rsid w:val="00552F55"/>
    <w:rsid w:val="00553235"/>
    <w:rsid w:val="005535FD"/>
    <w:rsid w:val="00553899"/>
    <w:rsid w:val="00553B69"/>
    <w:rsid w:val="00553BDE"/>
    <w:rsid w:val="00553C66"/>
    <w:rsid w:val="00553C69"/>
    <w:rsid w:val="00553D62"/>
    <w:rsid w:val="00553E56"/>
    <w:rsid w:val="0055441E"/>
    <w:rsid w:val="0055474E"/>
    <w:rsid w:val="0055491B"/>
    <w:rsid w:val="00554960"/>
    <w:rsid w:val="00554988"/>
    <w:rsid w:val="005549C0"/>
    <w:rsid w:val="00554CB1"/>
    <w:rsid w:val="00554E88"/>
    <w:rsid w:val="00555102"/>
    <w:rsid w:val="0055515F"/>
    <w:rsid w:val="005551C2"/>
    <w:rsid w:val="00555252"/>
    <w:rsid w:val="005554A8"/>
    <w:rsid w:val="00555769"/>
    <w:rsid w:val="00555781"/>
    <w:rsid w:val="005557AC"/>
    <w:rsid w:val="00555905"/>
    <w:rsid w:val="00556283"/>
    <w:rsid w:val="005567E3"/>
    <w:rsid w:val="005568DC"/>
    <w:rsid w:val="00556A84"/>
    <w:rsid w:val="0055701B"/>
    <w:rsid w:val="00557191"/>
    <w:rsid w:val="00557540"/>
    <w:rsid w:val="00557791"/>
    <w:rsid w:val="005579C5"/>
    <w:rsid w:val="00557BD5"/>
    <w:rsid w:val="00557C1D"/>
    <w:rsid w:val="00557C65"/>
    <w:rsid w:val="00560065"/>
    <w:rsid w:val="005601EC"/>
    <w:rsid w:val="0056025E"/>
    <w:rsid w:val="005604A3"/>
    <w:rsid w:val="005606E7"/>
    <w:rsid w:val="00560A6E"/>
    <w:rsid w:val="00560BC0"/>
    <w:rsid w:val="00560CDA"/>
    <w:rsid w:val="00560DAC"/>
    <w:rsid w:val="00561188"/>
    <w:rsid w:val="00561420"/>
    <w:rsid w:val="0056150B"/>
    <w:rsid w:val="00561C6C"/>
    <w:rsid w:val="00562098"/>
    <w:rsid w:val="0056210E"/>
    <w:rsid w:val="0056217D"/>
    <w:rsid w:val="005622EA"/>
    <w:rsid w:val="00562323"/>
    <w:rsid w:val="005623B7"/>
    <w:rsid w:val="0056272D"/>
    <w:rsid w:val="00562817"/>
    <w:rsid w:val="00562952"/>
    <w:rsid w:val="00563226"/>
    <w:rsid w:val="005632C9"/>
    <w:rsid w:val="00563B28"/>
    <w:rsid w:val="00563EF1"/>
    <w:rsid w:val="00564025"/>
    <w:rsid w:val="0056416D"/>
    <w:rsid w:val="00564182"/>
    <w:rsid w:val="00564251"/>
    <w:rsid w:val="0056483E"/>
    <w:rsid w:val="00564908"/>
    <w:rsid w:val="00564B1C"/>
    <w:rsid w:val="00564D52"/>
    <w:rsid w:val="005651FD"/>
    <w:rsid w:val="00565ABD"/>
    <w:rsid w:val="00565EB9"/>
    <w:rsid w:val="00565EE8"/>
    <w:rsid w:val="00566133"/>
    <w:rsid w:val="005661BB"/>
    <w:rsid w:val="005665A0"/>
    <w:rsid w:val="005665D1"/>
    <w:rsid w:val="005667E7"/>
    <w:rsid w:val="00566824"/>
    <w:rsid w:val="00566AAC"/>
    <w:rsid w:val="00566AB4"/>
    <w:rsid w:val="00566C33"/>
    <w:rsid w:val="00566C6C"/>
    <w:rsid w:val="00566DA7"/>
    <w:rsid w:val="00566DB1"/>
    <w:rsid w:val="00566F5D"/>
    <w:rsid w:val="00566F6D"/>
    <w:rsid w:val="005670E2"/>
    <w:rsid w:val="00567587"/>
    <w:rsid w:val="00567B64"/>
    <w:rsid w:val="00567E9A"/>
    <w:rsid w:val="00567F56"/>
    <w:rsid w:val="005700B3"/>
    <w:rsid w:val="005703C1"/>
    <w:rsid w:val="005703D3"/>
    <w:rsid w:val="00570659"/>
    <w:rsid w:val="005709CA"/>
    <w:rsid w:val="00571093"/>
    <w:rsid w:val="00571751"/>
    <w:rsid w:val="005717B4"/>
    <w:rsid w:val="00571870"/>
    <w:rsid w:val="00571A04"/>
    <w:rsid w:val="00571A8D"/>
    <w:rsid w:val="0057207F"/>
    <w:rsid w:val="0057231C"/>
    <w:rsid w:val="005728AA"/>
    <w:rsid w:val="005729A4"/>
    <w:rsid w:val="00572E9B"/>
    <w:rsid w:val="00572F2C"/>
    <w:rsid w:val="005733A3"/>
    <w:rsid w:val="005734A0"/>
    <w:rsid w:val="00573601"/>
    <w:rsid w:val="0057381E"/>
    <w:rsid w:val="005738FE"/>
    <w:rsid w:val="00573943"/>
    <w:rsid w:val="00573BBF"/>
    <w:rsid w:val="00573BE4"/>
    <w:rsid w:val="00573D62"/>
    <w:rsid w:val="00573DF3"/>
    <w:rsid w:val="00573E63"/>
    <w:rsid w:val="00574132"/>
    <w:rsid w:val="00574335"/>
    <w:rsid w:val="00574375"/>
    <w:rsid w:val="005743D9"/>
    <w:rsid w:val="00574E89"/>
    <w:rsid w:val="00575529"/>
    <w:rsid w:val="0057567F"/>
    <w:rsid w:val="005757D5"/>
    <w:rsid w:val="00575AC5"/>
    <w:rsid w:val="00575B02"/>
    <w:rsid w:val="00575D22"/>
    <w:rsid w:val="00575FB6"/>
    <w:rsid w:val="0057605D"/>
    <w:rsid w:val="005761C5"/>
    <w:rsid w:val="00576503"/>
    <w:rsid w:val="0057661C"/>
    <w:rsid w:val="005766A7"/>
    <w:rsid w:val="0057671B"/>
    <w:rsid w:val="00576959"/>
    <w:rsid w:val="00576968"/>
    <w:rsid w:val="00576B9A"/>
    <w:rsid w:val="00576D78"/>
    <w:rsid w:val="00576E71"/>
    <w:rsid w:val="00576EF8"/>
    <w:rsid w:val="00577024"/>
    <w:rsid w:val="00577208"/>
    <w:rsid w:val="0057720B"/>
    <w:rsid w:val="005776F4"/>
    <w:rsid w:val="0057787C"/>
    <w:rsid w:val="00577A99"/>
    <w:rsid w:val="00577BBE"/>
    <w:rsid w:val="005800B3"/>
    <w:rsid w:val="005802DB"/>
    <w:rsid w:val="005806FA"/>
    <w:rsid w:val="005809C8"/>
    <w:rsid w:val="00580ABE"/>
    <w:rsid w:val="00580BA1"/>
    <w:rsid w:val="00580DC0"/>
    <w:rsid w:val="0058120D"/>
    <w:rsid w:val="00581347"/>
    <w:rsid w:val="005813C0"/>
    <w:rsid w:val="00581500"/>
    <w:rsid w:val="00581543"/>
    <w:rsid w:val="005818E7"/>
    <w:rsid w:val="00581AC9"/>
    <w:rsid w:val="00581C47"/>
    <w:rsid w:val="00581FE0"/>
    <w:rsid w:val="00582179"/>
    <w:rsid w:val="0058222C"/>
    <w:rsid w:val="00582991"/>
    <w:rsid w:val="00582C18"/>
    <w:rsid w:val="00583032"/>
    <w:rsid w:val="005832BD"/>
    <w:rsid w:val="00583323"/>
    <w:rsid w:val="00583373"/>
    <w:rsid w:val="00583414"/>
    <w:rsid w:val="00583601"/>
    <w:rsid w:val="00583838"/>
    <w:rsid w:val="00583869"/>
    <w:rsid w:val="00583DE7"/>
    <w:rsid w:val="00584322"/>
    <w:rsid w:val="005844D3"/>
    <w:rsid w:val="00584863"/>
    <w:rsid w:val="00584996"/>
    <w:rsid w:val="005849F8"/>
    <w:rsid w:val="00584BC3"/>
    <w:rsid w:val="00584D21"/>
    <w:rsid w:val="00584E79"/>
    <w:rsid w:val="00584EC2"/>
    <w:rsid w:val="0058516D"/>
    <w:rsid w:val="00585479"/>
    <w:rsid w:val="00585870"/>
    <w:rsid w:val="00585A0D"/>
    <w:rsid w:val="00585BD2"/>
    <w:rsid w:val="00585CFA"/>
    <w:rsid w:val="005860ED"/>
    <w:rsid w:val="00586298"/>
    <w:rsid w:val="005862DF"/>
    <w:rsid w:val="0058648D"/>
    <w:rsid w:val="005867C7"/>
    <w:rsid w:val="005868C0"/>
    <w:rsid w:val="0058697C"/>
    <w:rsid w:val="00586B2C"/>
    <w:rsid w:val="00586BE3"/>
    <w:rsid w:val="00586E07"/>
    <w:rsid w:val="00586E19"/>
    <w:rsid w:val="00586ECC"/>
    <w:rsid w:val="00587134"/>
    <w:rsid w:val="00587394"/>
    <w:rsid w:val="005874A1"/>
    <w:rsid w:val="00587660"/>
    <w:rsid w:val="00587AF8"/>
    <w:rsid w:val="00587B6A"/>
    <w:rsid w:val="00587C61"/>
    <w:rsid w:val="00587DD1"/>
    <w:rsid w:val="005905C5"/>
    <w:rsid w:val="005907D3"/>
    <w:rsid w:val="00590829"/>
    <w:rsid w:val="00590989"/>
    <w:rsid w:val="00590B3A"/>
    <w:rsid w:val="00590CC0"/>
    <w:rsid w:val="00590F8D"/>
    <w:rsid w:val="005911FA"/>
    <w:rsid w:val="00591443"/>
    <w:rsid w:val="005919B7"/>
    <w:rsid w:val="005919DB"/>
    <w:rsid w:val="00591D5A"/>
    <w:rsid w:val="00591D8D"/>
    <w:rsid w:val="00591F6B"/>
    <w:rsid w:val="00592D7C"/>
    <w:rsid w:val="00592E5C"/>
    <w:rsid w:val="00592FA2"/>
    <w:rsid w:val="00593267"/>
    <w:rsid w:val="00593284"/>
    <w:rsid w:val="0059345C"/>
    <w:rsid w:val="005938DF"/>
    <w:rsid w:val="00593ABA"/>
    <w:rsid w:val="00593C82"/>
    <w:rsid w:val="00593C84"/>
    <w:rsid w:val="00593C9F"/>
    <w:rsid w:val="00594434"/>
    <w:rsid w:val="005944B1"/>
    <w:rsid w:val="00594585"/>
    <w:rsid w:val="00594816"/>
    <w:rsid w:val="00594995"/>
    <w:rsid w:val="00594C51"/>
    <w:rsid w:val="00594C86"/>
    <w:rsid w:val="00594E9C"/>
    <w:rsid w:val="005950E6"/>
    <w:rsid w:val="005950E8"/>
    <w:rsid w:val="0059515C"/>
    <w:rsid w:val="00595756"/>
    <w:rsid w:val="00595D4B"/>
    <w:rsid w:val="005961AC"/>
    <w:rsid w:val="005962AE"/>
    <w:rsid w:val="0059642F"/>
    <w:rsid w:val="00596589"/>
    <w:rsid w:val="005968A3"/>
    <w:rsid w:val="00596A70"/>
    <w:rsid w:val="00596E19"/>
    <w:rsid w:val="00597090"/>
    <w:rsid w:val="005970E5"/>
    <w:rsid w:val="005971DA"/>
    <w:rsid w:val="005971E9"/>
    <w:rsid w:val="0059727E"/>
    <w:rsid w:val="0059746F"/>
    <w:rsid w:val="0059751A"/>
    <w:rsid w:val="00597819"/>
    <w:rsid w:val="00597A06"/>
    <w:rsid w:val="00597A33"/>
    <w:rsid w:val="005A0079"/>
    <w:rsid w:val="005A0833"/>
    <w:rsid w:val="005A095E"/>
    <w:rsid w:val="005A099B"/>
    <w:rsid w:val="005A0C34"/>
    <w:rsid w:val="005A135E"/>
    <w:rsid w:val="005A1504"/>
    <w:rsid w:val="005A17AC"/>
    <w:rsid w:val="005A1A7A"/>
    <w:rsid w:val="005A1D38"/>
    <w:rsid w:val="005A1FAB"/>
    <w:rsid w:val="005A2105"/>
    <w:rsid w:val="005A25E0"/>
    <w:rsid w:val="005A2BE3"/>
    <w:rsid w:val="005A2BE7"/>
    <w:rsid w:val="005A2CAE"/>
    <w:rsid w:val="005A2D9C"/>
    <w:rsid w:val="005A33B3"/>
    <w:rsid w:val="005A375F"/>
    <w:rsid w:val="005A3765"/>
    <w:rsid w:val="005A3C1C"/>
    <w:rsid w:val="005A3CD4"/>
    <w:rsid w:val="005A3D20"/>
    <w:rsid w:val="005A3E76"/>
    <w:rsid w:val="005A3F6A"/>
    <w:rsid w:val="005A43A4"/>
    <w:rsid w:val="005A43EF"/>
    <w:rsid w:val="005A4452"/>
    <w:rsid w:val="005A4606"/>
    <w:rsid w:val="005A463A"/>
    <w:rsid w:val="005A46A3"/>
    <w:rsid w:val="005A46EA"/>
    <w:rsid w:val="005A4870"/>
    <w:rsid w:val="005A4A3E"/>
    <w:rsid w:val="005A4AA7"/>
    <w:rsid w:val="005A4DDB"/>
    <w:rsid w:val="005A4E09"/>
    <w:rsid w:val="005A4E7A"/>
    <w:rsid w:val="005A502F"/>
    <w:rsid w:val="005A5281"/>
    <w:rsid w:val="005A52C5"/>
    <w:rsid w:val="005A5562"/>
    <w:rsid w:val="005A55A4"/>
    <w:rsid w:val="005A55FE"/>
    <w:rsid w:val="005A56EF"/>
    <w:rsid w:val="005A596C"/>
    <w:rsid w:val="005A5BED"/>
    <w:rsid w:val="005A5D97"/>
    <w:rsid w:val="005A6126"/>
    <w:rsid w:val="005A62C4"/>
    <w:rsid w:val="005A62E5"/>
    <w:rsid w:val="005A632D"/>
    <w:rsid w:val="005A676E"/>
    <w:rsid w:val="005A68FE"/>
    <w:rsid w:val="005A6A11"/>
    <w:rsid w:val="005A6BF7"/>
    <w:rsid w:val="005A6D14"/>
    <w:rsid w:val="005A6D97"/>
    <w:rsid w:val="005A7128"/>
    <w:rsid w:val="005A7311"/>
    <w:rsid w:val="005A761F"/>
    <w:rsid w:val="005A775C"/>
    <w:rsid w:val="005A77DD"/>
    <w:rsid w:val="005A7A23"/>
    <w:rsid w:val="005A7ABB"/>
    <w:rsid w:val="005A7EA7"/>
    <w:rsid w:val="005B01A8"/>
    <w:rsid w:val="005B04C5"/>
    <w:rsid w:val="005B0555"/>
    <w:rsid w:val="005B071E"/>
    <w:rsid w:val="005B0B2B"/>
    <w:rsid w:val="005B0EDC"/>
    <w:rsid w:val="005B0F4D"/>
    <w:rsid w:val="005B138E"/>
    <w:rsid w:val="005B141B"/>
    <w:rsid w:val="005B14C6"/>
    <w:rsid w:val="005B14F8"/>
    <w:rsid w:val="005B1802"/>
    <w:rsid w:val="005B1B7E"/>
    <w:rsid w:val="005B1D29"/>
    <w:rsid w:val="005B2086"/>
    <w:rsid w:val="005B2193"/>
    <w:rsid w:val="005B2346"/>
    <w:rsid w:val="005B27C4"/>
    <w:rsid w:val="005B2867"/>
    <w:rsid w:val="005B2907"/>
    <w:rsid w:val="005B29F9"/>
    <w:rsid w:val="005B2C1F"/>
    <w:rsid w:val="005B2FE4"/>
    <w:rsid w:val="005B3148"/>
    <w:rsid w:val="005B32BF"/>
    <w:rsid w:val="005B338A"/>
    <w:rsid w:val="005B349B"/>
    <w:rsid w:val="005B377B"/>
    <w:rsid w:val="005B37EA"/>
    <w:rsid w:val="005B37FD"/>
    <w:rsid w:val="005B392E"/>
    <w:rsid w:val="005B3A49"/>
    <w:rsid w:val="005B3BCC"/>
    <w:rsid w:val="005B3C9D"/>
    <w:rsid w:val="005B42C5"/>
    <w:rsid w:val="005B42D1"/>
    <w:rsid w:val="005B456E"/>
    <w:rsid w:val="005B48C0"/>
    <w:rsid w:val="005B4C46"/>
    <w:rsid w:val="005B4E49"/>
    <w:rsid w:val="005B4E50"/>
    <w:rsid w:val="005B511A"/>
    <w:rsid w:val="005B5139"/>
    <w:rsid w:val="005B518A"/>
    <w:rsid w:val="005B53A9"/>
    <w:rsid w:val="005B5527"/>
    <w:rsid w:val="005B55E1"/>
    <w:rsid w:val="005B580C"/>
    <w:rsid w:val="005B5A07"/>
    <w:rsid w:val="005B6614"/>
    <w:rsid w:val="005B6AB4"/>
    <w:rsid w:val="005B6C8B"/>
    <w:rsid w:val="005B6D39"/>
    <w:rsid w:val="005B6E93"/>
    <w:rsid w:val="005B7098"/>
    <w:rsid w:val="005B72BC"/>
    <w:rsid w:val="005B7F70"/>
    <w:rsid w:val="005C0044"/>
    <w:rsid w:val="005C013A"/>
    <w:rsid w:val="005C055C"/>
    <w:rsid w:val="005C07BF"/>
    <w:rsid w:val="005C0DDB"/>
    <w:rsid w:val="005C0E61"/>
    <w:rsid w:val="005C117E"/>
    <w:rsid w:val="005C1304"/>
    <w:rsid w:val="005C15DD"/>
    <w:rsid w:val="005C15E8"/>
    <w:rsid w:val="005C17C0"/>
    <w:rsid w:val="005C1B06"/>
    <w:rsid w:val="005C1BD3"/>
    <w:rsid w:val="005C1EDB"/>
    <w:rsid w:val="005C1EE3"/>
    <w:rsid w:val="005C1FD8"/>
    <w:rsid w:val="005C210D"/>
    <w:rsid w:val="005C275B"/>
    <w:rsid w:val="005C27A5"/>
    <w:rsid w:val="005C29FE"/>
    <w:rsid w:val="005C2E5B"/>
    <w:rsid w:val="005C30C6"/>
    <w:rsid w:val="005C32E5"/>
    <w:rsid w:val="005C32F8"/>
    <w:rsid w:val="005C363A"/>
    <w:rsid w:val="005C3753"/>
    <w:rsid w:val="005C379C"/>
    <w:rsid w:val="005C38A4"/>
    <w:rsid w:val="005C38FE"/>
    <w:rsid w:val="005C3ABA"/>
    <w:rsid w:val="005C3AFF"/>
    <w:rsid w:val="005C3C9E"/>
    <w:rsid w:val="005C3EE4"/>
    <w:rsid w:val="005C3FD8"/>
    <w:rsid w:val="005C418C"/>
    <w:rsid w:val="005C4272"/>
    <w:rsid w:val="005C450D"/>
    <w:rsid w:val="005C4529"/>
    <w:rsid w:val="005C472C"/>
    <w:rsid w:val="005C515E"/>
    <w:rsid w:val="005C51B2"/>
    <w:rsid w:val="005C55C9"/>
    <w:rsid w:val="005C5AB7"/>
    <w:rsid w:val="005C5CDC"/>
    <w:rsid w:val="005C5DD7"/>
    <w:rsid w:val="005C61A3"/>
    <w:rsid w:val="005C6302"/>
    <w:rsid w:val="005C6648"/>
    <w:rsid w:val="005C667E"/>
    <w:rsid w:val="005C6A73"/>
    <w:rsid w:val="005C6C19"/>
    <w:rsid w:val="005C6C84"/>
    <w:rsid w:val="005C6C9B"/>
    <w:rsid w:val="005C7480"/>
    <w:rsid w:val="005C75C5"/>
    <w:rsid w:val="005C7711"/>
    <w:rsid w:val="005C7A59"/>
    <w:rsid w:val="005C7B15"/>
    <w:rsid w:val="005C7C9A"/>
    <w:rsid w:val="005D0290"/>
    <w:rsid w:val="005D0631"/>
    <w:rsid w:val="005D078D"/>
    <w:rsid w:val="005D0ACB"/>
    <w:rsid w:val="005D0B49"/>
    <w:rsid w:val="005D0C99"/>
    <w:rsid w:val="005D0F39"/>
    <w:rsid w:val="005D0FC8"/>
    <w:rsid w:val="005D109E"/>
    <w:rsid w:val="005D1386"/>
    <w:rsid w:val="005D1574"/>
    <w:rsid w:val="005D157D"/>
    <w:rsid w:val="005D162A"/>
    <w:rsid w:val="005D1A39"/>
    <w:rsid w:val="005D1A8A"/>
    <w:rsid w:val="005D1AC1"/>
    <w:rsid w:val="005D20BA"/>
    <w:rsid w:val="005D21E6"/>
    <w:rsid w:val="005D2207"/>
    <w:rsid w:val="005D222D"/>
    <w:rsid w:val="005D2502"/>
    <w:rsid w:val="005D29ED"/>
    <w:rsid w:val="005D2CA8"/>
    <w:rsid w:val="005D2D8F"/>
    <w:rsid w:val="005D2E60"/>
    <w:rsid w:val="005D2F7A"/>
    <w:rsid w:val="005D3079"/>
    <w:rsid w:val="005D317C"/>
    <w:rsid w:val="005D3448"/>
    <w:rsid w:val="005D362B"/>
    <w:rsid w:val="005D3BFF"/>
    <w:rsid w:val="005D40BB"/>
    <w:rsid w:val="005D41F8"/>
    <w:rsid w:val="005D4287"/>
    <w:rsid w:val="005D43D7"/>
    <w:rsid w:val="005D4457"/>
    <w:rsid w:val="005D47AA"/>
    <w:rsid w:val="005D47F3"/>
    <w:rsid w:val="005D483E"/>
    <w:rsid w:val="005D49BF"/>
    <w:rsid w:val="005D4AA5"/>
    <w:rsid w:val="005D5216"/>
    <w:rsid w:val="005D551C"/>
    <w:rsid w:val="005D563B"/>
    <w:rsid w:val="005D58AA"/>
    <w:rsid w:val="005D59E5"/>
    <w:rsid w:val="005D5C40"/>
    <w:rsid w:val="005D5C95"/>
    <w:rsid w:val="005D5F1F"/>
    <w:rsid w:val="005D6258"/>
    <w:rsid w:val="005D63F7"/>
    <w:rsid w:val="005D6459"/>
    <w:rsid w:val="005D6596"/>
    <w:rsid w:val="005D67D8"/>
    <w:rsid w:val="005D6E0A"/>
    <w:rsid w:val="005D6F15"/>
    <w:rsid w:val="005D6F4E"/>
    <w:rsid w:val="005D6FC4"/>
    <w:rsid w:val="005D726C"/>
    <w:rsid w:val="005D72DC"/>
    <w:rsid w:val="005D73CB"/>
    <w:rsid w:val="005D752E"/>
    <w:rsid w:val="005D754E"/>
    <w:rsid w:val="005D77AC"/>
    <w:rsid w:val="005D7882"/>
    <w:rsid w:val="005D7903"/>
    <w:rsid w:val="005D7A84"/>
    <w:rsid w:val="005D7B53"/>
    <w:rsid w:val="005D7C73"/>
    <w:rsid w:val="005D7DBA"/>
    <w:rsid w:val="005E03CF"/>
    <w:rsid w:val="005E086B"/>
    <w:rsid w:val="005E0909"/>
    <w:rsid w:val="005E0EB8"/>
    <w:rsid w:val="005E10AC"/>
    <w:rsid w:val="005E10AF"/>
    <w:rsid w:val="005E146C"/>
    <w:rsid w:val="005E154D"/>
    <w:rsid w:val="005E16E7"/>
    <w:rsid w:val="005E17FB"/>
    <w:rsid w:val="005E1900"/>
    <w:rsid w:val="005E1C65"/>
    <w:rsid w:val="005E1DAD"/>
    <w:rsid w:val="005E1F72"/>
    <w:rsid w:val="005E2030"/>
    <w:rsid w:val="005E2061"/>
    <w:rsid w:val="005E236E"/>
    <w:rsid w:val="005E2391"/>
    <w:rsid w:val="005E250B"/>
    <w:rsid w:val="005E264B"/>
    <w:rsid w:val="005E26BD"/>
    <w:rsid w:val="005E2AEB"/>
    <w:rsid w:val="005E2BA4"/>
    <w:rsid w:val="005E2CCB"/>
    <w:rsid w:val="005E2E3D"/>
    <w:rsid w:val="005E2FDF"/>
    <w:rsid w:val="005E3068"/>
    <w:rsid w:val="005E3077"/>
    <w:rsid w:val="005E30BD"/>
    <w:rsid w:val="005E389B"/>
    <w:rsid w:val="005E390D"/>
    <w:rsid w:val="005E3ACD"/>
    <w:rsid w:val="005E3B96"/>
    <w:rsid w:val="005E3C13"/>
    <w:rsid w:val="005E3CEF"/>
    <w:rsid w:val="005E4132"/>
    <w:rsid w:val="005E4249"/>
    <w:rsid w:val="005E464F"/>
    <w:rsid w:val="005E46F4"/>
    <w:rsid w:val="005E4D28"/>
    <w:rsid w:val="005E4F6E"/>
    <w:rsid w:val="005E53E1"/>
    <w:rsid w:val="005E55CB"/>
    <w:rsid w:val="005E58B9"/>
    <w:rsid w:val="005E58D0"/>
    <w:rsid w:val="005E59CE"/>
    <w:rsid w:val="005E5A1F"/>
    <w:rsid w:val="005E5C57"/>
    <w:rsid w:val="005E5E31"/>
    <w:rsid w:val="005E5F3C"/>
    <w:rsid w:val="005E5F99"/>
    <w:rsid w:val="005E604C"/>
    <w:rsid w:val="005E60C5"/>
    <w:rsid w:val="005E66CE"/>
    <w:rsid w:val="005E6832"/>
    <w:rsid w:val="005E6BAC"/>
    <w:rsid w:val="005E6DC9"/>
    <w:rsid w:val="005E702E"/>
    <w:rsid w:val="005E71CA"/>
    <w:rsid w:val="005E7226"/>
    <w:rsid w:val="005E74EF"/>
    <w:rsid w:val="005E76C7"/>
    <w:rsid w:val="005E7A2C"/>
    <w:rsid w:val="005E7A57"/>
    <w:rsid w:val="005E7ADD"/>
    <w:rsid w:val="005E7B04"/>
    <w:rsid w:val="005E7ED4"/>
    <w:rsid w:val="005F000E"/>
    <w:rsid w:val="005F00CB"/>
    <w:rsid w:val="005F01FF"/>
    <w:rsid w:val="005F04DE"/>
    <w:rsid w:val="005F050D"/>
    <w:rsid w:val="005F05B5"/>
    <w:rsid w:val="005F068D"/>
    <w:rsid w:val="005F06C3"/>
    <w:rsid w:val="005F0CDB"/>
    <w:rsid w:val="005F0E0D"/>
    <w:rsid w:val="005F0FE9"/>
    <w:rsid w:val="005F12F3"/>
    <w:rsid w:val="005F176E"/>
    <w:rsid w:val="005F18C0"/>
    <w:rsid w:val="005F1A1B"/>
    <w:rsid w:val="005F1ADC"/>
    <w:rsid w:val="005F1B3C"/>
    <w:rsid w:val="005F1BBB"/>
    <w:rsid w:val="005F1C6A"/>
    <w:rsid w:val="005F225D"/>
    <w:rsid w:val="005F2271"/>
    <w:rsid w:val="005F234F"/>
    <w:rsid w:val="005F24B0"/>
    <w:rsid w:val="005F267C"/>
    <w:rsid w:val="005F26FD"/>
    <w:rsid w:val="005F2795"/>
    <w:rsid w:val="005F2920"/>
    <w:rsid w:val="005F2F1B"/>
    <w:rsid w:val="005F306E"/>
    <w:rsid w:val="005F35B6"/>
    <w:rsid w:val="005F36D1"/>
    <w:rsid w:val="005F36E4"/>
    <w:rsid w:val="005F3AEE"/>
    <w:rsid w:val="005F3CB0"/>
    <w:rsid w:val="005F3D83"/>
    <w:rsid w:val="005F3E5C"/>
    <w:rsid w:val="005F404D"/>
    <w:rsid w:val="005F4383"/>
    <w:rsid w:val="005F43D6"/>
    <w:rsid w:val="005F44F6"/>
    <w:rsid w:val="005F45A9"/>
    <w:rsid w:val="005F45B8"/>
    <w:rsid w:val="005F46A3"/>
    <w:rsid w:val="005F46D6"/>
    <w:rsid w:val="005F4F54"/>
    <w:rsid w:val="005F5372"/>
    <w:rsid w:val="005F545D"/>
    <w:rsid w:val="005F5559"/>
    <w:rsid w:val="005F574B"/>
    <w:rsid w:val="005F5770"/>
    <w:rsid w:val="005F5A10"/>
    <w:rsid w:val="005F5B77"/>
    <w:rsid w:val="005F5BF3"/>
    <w:rsid w:val="005F5C3B"/>
    <w:rsid w:val="005F6100"/>
    <w:rsid w:val="005F6257"/>
    <w:rsid w:val="005F62F0"/>
    <w:rsid w:val="005F642D"/>
    <w:rsid w:val="005F662C"/>
    <w:rsid w:val="005F665F"/>
    <w:rsid w:val="005F6A50"/>
    <w:rsid w:val="005F6A80"/>
    <w:rsid w:val="005F6A8D"/>
    <w:rsid w:val="005F6D13"/>
    <w:rsid w:val="005F6E33"/>
    <w:rsid w:val="005F6F67"/>
    <w:rsid w:val="005F70BA"/>
    <w:rsid w:val="005F719C"/>
    <w:rsid w:val="005F7441"/>
    <w:rsid w:val="005F7644"/>
    <w:rsid w:val="005F776B"/>
    <w:rsid w:val="005F7777"/>
    <w:rsid w:val="005F7A32"/>
    <w:rsid w:val="005F7A4F"/>
    <w:rsid w:val="005F7F69"/>
    <w:rsid w:val="005F7FC8"/>
    <w:rsid w:val="00600020"/>
    <w:rsid w:val="006003CB"/>
    <w:rsid w:val="00600480"/>
    <w:rsid w:val="0060049C"/>
    <w:rsid w:val="00600693"/>
    <w:rsid w:val="00600863"/>
    <w:rsid w:val="00600A75"/>
    <w:rsid w:val="00600A8B"/>
    <w:rsid w:val="00600D5E"/>
    <w:rsid w:val="00600E0D"/>
    <w:rsid w:val="0060109D"/>
    <w:rsid w:val="0060125D"/>
    <w:rsid w:val="006012FE"/>
    <w:rsid w:val="006013D4"/>
    <w:rsid w:val="00601545"/>
    <w:rsid w:val="0060154D"/>
    <w:rsid w:val="006015E5"/>
    <w:rsid w:val="00601611"/>
    <w:rsid w:val="00601700"/>
    <w:rsid w:val="0060181D"/>
    <w:rsid w:val="006019C2"/>
    <w:rsid w:val="00601B0D"/>
    <w:rsid w:val="00601B57"/>
    <w:rsid w:val="00601B6E"/>
    <w:rsid w:val="00601C8D"/>
    <w:rsid w:val="00601CB1"/>
    <w:rsid w:val="00601E21"/>
    <w:rsid w:val="00602130"/>
    <w:rsid w:val="006021C8"/>
    <w:rsid w:val="00602408"/>
    <w:rsid w:val="00602A1E"/>
    <w:rsid w:val="00602ADA"/>
    <w:rsid w:val="00602EED"/>
    <w:rsid w:val="00602F3E"/>
    <w:rsid w:val="00602F5B"/>
    <w:rsid w:val="00602FE8"/>
    <w:rsid w:val="006030CE"/>
    <w:rsid w:val="006031C6"/>
    <w:rsid w:val="00603390"/>
    <w:rsid w:val="0060379E"/>
    <w:rsid w:val="00603E0A"/>
    <w:rsid w:val="00603ECD"/>
    <w:rsid w:val="00604068"/>
    <w:rsid w:val="00604314"/>
    <w:rsid w:val="00604315"/>
    <w:rsid w:val="0060435F"/>
    <w:rsid w:val="00604639"/>
    <w:rsid w:val="0060483A"/>
    <w:rsid w:val="0060484D"/>
    <w:rsid w:val="006048A0"/>
    <w:rsid w:val="00604E26"/>
    <w:rsid w:val="00604EF5"/>
    <w:rsid w:val="006050F2"/>
    <w:rsid w:val="0060523F"/>
    <w:rsid w:val="00605270"/>
    <w:rsid w:val="006052CF"/>
    <w:rsid w:val="00605722"/>
    <w:rsid w:val="00605806"/>
    <w:rsid w:val="00605A46"/>
    <w:rsid w:val="00605BC0"/>
    <w:rsid w:val="00605E75"/>
    <w:rsid w:val="00605EFA"/>
    <w:rsid w:val="00605FDD"/>
    <w:rsid w:val="00606258"/>
    <w:rsid w:val="006062E4"/>
    <w:rsid w:val="00606307"/>
    <w:rsid w:val="00606338"/>
    <w:rsid w:val="0060651C"/>
    <w:rsid w:val="0060661C"/>
    <w:rsid w:val="006066B2"/>
    <w:rsid w:val="006067A9"/>
    <w:rsid w:val="006067AE"/>
    <w:rsid w:val="0060682B"/>
    <w:rsid w:val="00606A8A"/>
    <w:rsid w:val="00606BAC"/>
    <w:rsid w:val="00606C7B"/>
    <w:rsid w:val="00606D57"/>
    <w:rsid w:val="00606EE4"/>
    <w:rsid w:val="00606EF8"/>
    <w:rsid w:val="00606F54"/>
    <w:rsid w:val="006070A1"/>
    <w:rsid w:val="00607367"/>
    <w:rsid w:val="0060740E"/>
    <w:rsid w:val="006074D6"/>
    <w:rsid w:val="00607570"/>
    <w:rsid w:val="006075D4"/>
    <w:rsid w:val="00607675"/>
    <w:rsid w:val="006077E3"/>
    <w:rsid w:val="006077E4"/>
    <w:rsid w:val="00607A16"/>
    <w:rsid w:val="00607AD5"/>
    <w:rsid w:val="00607B8D"/>
    <w:rsid w:val="00607C9B"/>
    <w:rsid w:val="00607D5F"/>
    <w:rsid w:val="00607E96"/>
    <w:rsid w:val="00610024"/>
    <w:rsid w:val="006105CF"/>
    <w:rsid w:val="006106C7"/>
    <w:rsid w:val="00610813"/>
    <w:rsid w:val="0061086B"/>
    <w:rsid w:val="00610D4E"/>
    <w:rsid w:val="00611380"/>
    <w:rsid w:val="006115D3"/>
    <w:rsid w:val="006117A6"/>
    <w:rsid w:val="00611893"/>
    <w:rsid w:val="006118E3"/>
    <w:rsid w:val="00611991"/>
    <w:rsid w:val="00611F5C"/>
    <w:rsid w:val="00611FA2"/>
    <w:rsid w:val="0061220B"/>
    <w:rsid w:val="00612349"/>
    <w:rsid w:val="006126E7"/>
    <w:rsid w:val="006129A6"/>
    <w:rsid w:val="00612EAD"/>
    <w:rsid w:val="00612EC7"/>
    <w:rsid w:val="00613638"/>
    <w:rsid w:val="00613DB5"/>
    <w:rsid w:val="00613E38"/>
    <w:rsid w:val="00614198"/>
    <w:rsid w:val="006146C3"/>
    <w:rsid w:val="00614AC8"/>
    <w:rsid w:val="00614B41"/>
    <w:rsid w:val="00614BED"/>
    <w:rsid w:val="00614D08"/>
    <w:rsid w:val="00614E4B"/>
    <w:rsid w:val="00614E6C"/>
    <w:rsid w:val="00614F04"/>
    <w:rsid w:val="0061518B"/>
    <w:rsid w:val="00615371"/>
    <w:rsid w:val="0061540C"/>
    <w:rsid w:val="0061542F"/>
    <w:rsid w:val="00615612"/>
    <w:rsid w:val="0061594C"/>
    <w:rsid w:val="00615C57"/>
    <w:rsid w:val="00615E2E"/>
    <w:rsid w:val="00616429"/>
    <w:rsid w:val="00616481"/>
    <w:rsid w:val="0061655C"/>
    <w:rsid w:val="0061664F"/>
    <w:rsid w:val="00616730"/>
    <w:rsid w:val="0061677C"/>
    <w:rsid w:val="006168C9"/>
    <w:rsid w:val="006169CD"/>
    <w:rsid w:val="00616B10"/>
    <w:rsid w:val="00616D70"/>
    <w:rsid w:val="00616E09"/>
    <w:rsid w:val="006176CA"/>
    <w:rsid w:val="0061789A"/>
    <w:rsid w:val="0061790A"/>
    <w:rsid w:val="006179A6"/>
    <w:rsid w:val="00617A4C"/>
    <w:rsid w:val="00617C0E"/>
    <w:rsid w:val="00617C9D"/>
    <w:rsid w:val="00617D4C"/>
    <w:rsid w:val="00617DA1"/>
    <w:rsid w:val="00617F11"/>
    <w:rsid w:val="00617F7E"/>
    <w:rsid w:val="0062008B"/>
    <w:rsid w:val="006201F0"/>
    <w:rsid w:val="00620363"/>
    <w:rsid w:val="00620446"/>
    <w:rsid w:val="0062064C"/>
    <w:rsid w:val="006208CE"/>
    <w:rsid w:val="006209B2"/>
    <w:rsid w:val="00620A6B"/>
    <w:rsid w:val="00620DE7"/>
    <w:rsid w:val="00620E09"/>
    <w:rsid w:val="00620F60"/>
    <w:rsid w:val="006213B9"/>
    <w:rsid w:val="006214F6"/>
    <w:rsid w:val="00621549"/>
    <w:rsid w:val="00621B07"/>
    <w:rsid w:val="00621C48"/>
    <w:rsid w:val="00621C7E"/>
    <w:rsid w:val="00621CE2"/>
    <w:rsid w:val="00621DAC"/>
    <w:rsid w:val="0062204C"/>
    <w:rsid w:val="0062226B"/>
    <w:rsid w:val="006224E4"/>
    <w:rsid w:val="00622599"/>
    <w:rsid w:val="006225E0"/>
    <w:rsid w:val="006225E1"/>
    <w:rsid w:val="00622733"/>
    <w:rsid w:val="00622A13"/>
    <w:rsid w:val="00622A27"/>
    <w:rsid w:val="00622A3B"/>
    <w:rsid w:val="00622C01"/>
    <w:rsid w:val="00622EEA"/>
    <w:rsid w:val="00623174"/>
    <w:rsid w:val="006231DE"/>
    <w:rsid w:val="00623293"/>
    <w:rsid w:val="006233E4"/>
    <w:rsid w:val="0062363B"/>
    <w:rsid w:val="00623668"/>
    <w:rsid w:val="0062396C"/>
    <w:rsid w:val="00623C6E"/>
    <w:rsid w:val="00623F52"/>
    <w:rsid w:val="00623FF9"/>
    <w:rsid w:val="00624312"/>
    <w:rsid w:val="00624446"/>
    <w:rsid w:val="00624590"/>
    <w:rsid w:val="00624775"/>
    <w:rsid w:val="00624867"/>
    <w:rsid w:val="00624A15"/>
    <w:rsid w:val="00624A83"/>
    <w:rsid w:val="00624B3F"/>
    <w:rsid w:val="00624D11"/>
    <w:rsid w:val="00624E7E"/>
    <w:rsid w:val="00624F5A"/>
    <w:rsid w:val="00625064"/>
    <w:rsid w:val="00625251"/>
    <w:rsid w:val="00625705"/>
    <w:rsid w:val="00625A3D"/>
    <w:rsid w:val="00625C33"/>
    <w:rsid w:val="00625CEF"/>
    <w:rsid w:val="0062600B"/>
    <w:rsid w:val="0062605D"/>
    <w:rsid w:val="006262FD"/>
    <w:rsid w:val="00626C11"/>
    <w:rsid w:val="00626E43"/>
    <w:rsid w:val="006270CE"/>
    <w:rsid w:val="006274CA"/>
    <w:rsid w:val="006279C6"/>
    <w:rsid w:val="00627C39"/>
    <w:rsid w:val="00627CF0"/>
    <w:rsid w:val="00627D4E"/>
    <w:rsid w:val="00627E2E"/>
    <w:rsid w:val="00627F4A"/>
    <w:rsid w:val="00627F8F"/>
    <w:rsid w:val="00627FB0"/>
    <w:rsid w:val="006301C3"/>
    <w:rsid w:val="00630A20"/>
    <w:rsid w:val="00630AED"/>
    <w:rsid w:val="00630B07"/>
    <w:rsid w:val="00630BAB"/>
    <w:rsid w:val="006313CB"/>
    <w:rsid w:val="0063146C"/>
    <w:rsid w:val="00631485"/>
    <w:rsid w:val="00631499"/>
    <w:rsid w:val="006314EA"/>
    <w:rsid w:val="00631513"/>
    <w:rsid w:val="00631635"/>
    <w:rsid w:val="00631796"/>
    <w:rsid w:val="0063181E"/>
    <w:rsid w:val="0063184D"/>
    <w:rsid w:val="00631AD2"/>
    <w:rsid w:val="006321CB"/>
    <w:rsid w:val="00632463"/>
    <w:rsid w:val="00632577"/>
    <w:rsid w:val="0063264A"/>
    <w:rsid w:val="0063292E"/>
    <w:rsid w:val="0063296C"/>
    <w:rsid w:val="00632A86"/>
    <w:rsid w:val="00632A99"/>
    <w:rsid w:val="00632B65"/>
    <w:rsid w:val="00632B79"/>
    <w:rsid w:val="00632B89"/>
    <w:rsid w:val="00632BA5"/>
    <w:rsid w:val="00632C63"/>
    <w:rsid w:val="00632C6D"/>
    <w:rsid w:val="006330D7"/>
    <w:rsid w:val="0063346D"/>
    <w:rsid w:val="00633AD1"/>
    <w:rsid w:val="00633D07"/>
    <w:rsid w:val="00633D28"/>
    <w:rsid w:val="00633EA0"/>
    <w:rsid w:val="006341A0"/>
    <w:rsid w:val="00634478"/>
    <w:rsid w:val="006346E1"/>
    <w:rsid w:val="00634841"/>
    <w:rsid w:val="00634B34"/>
    <w:rsid w:val="00634EE1"/>
    <w:rsid w:val="00634FDA"/>
    <w:rsid w:val="00635049"/>
    <w:rsid w:val="006355C7"/>
    <w:rsid w:val="00635EA4"/>
    <w:rsid w:val="006361E5"/>
    <w:rsid w:val="006362EC"/>
    <w:rsid w:val="006363CE"/>
    <w:rsid w:val="00636582"/>
    <w:rsid w:val="006366ED"/>
    <w:rsid w:val="00636FB7"/>
    <w:rsid w:val="00637337"/>
    <w:rsid w:val="00637341"/>
    <w:rsid w:val="006373D8"/>
    <w:rsid w:val="006375FB"/>
    <w:rsid w:val="00637778"/>
    <w:rsid w:val="00637791"/>
    <w:rsid w:val="006377FB"/>
    <w:rsid w:val="0063796F"/>
    <w:rsid w:val="006379DD"/>
    <w:rsid w:val="00637A84"/>
    <w:rsid w:val="00637D88"/>
    <w:rsid w:val="00637F05"/>
    <w:rsid w:val="00640098"/>
    <w:rsid w:val="0064037D"/>
    <w:rsid w:val="0064041C"/>
    <w:rsid w:val="006405E3"/>
    <w:rsid w:val="00640802"/>
    <w:rsid w:val="006409A0"/>
    <w:rsid w:val="00640AFB"/>
    <w:rsid w:val="00640C0A"/>
    <w:rsid w:val="00640D1F"/>
    <w:rsid w:val="00640DA6"/>
    <w:rsid w:val="00640DF6"/>
    <w:rsid w:val="00640E8D"/>
    <w:rsid w:val="00641754"/>
    <w:rsid w:val="00641757"/>
    <w:rsid w:val="0064186C"/>
    <w:rsid w:val="006419EE"/>
    <w:rsid w:val="00641A1E"/>
    <w:rsid w:val="00641BE6"/>
    <w:rsid w:val="00641DD1"/>
    <w:rsid w:val="0064227B"/>
    <w:rsid w:val="0064256E"/>
    <w:rsid w:val="00642695"/>
    <w:rsid w:val="00642893"/>
    <w:rsid w:val="00642A30"/>
    <w:rsid w:val="00642C11"/>
    <w:rsid w:val="00643113"/>
    <w:rsid w:val="0064327B"/>
    <w:rsid w:val="00643540"/>
    <w:rsid w:val="006439A3"/>
    <w:rsid w:val="00643A73"/>
    <w:rsid w:val="00643A83"/>
    <w:rsid w:val="00643D13"/>
    <w:rsid w:val="00643D28"/>
    <w:rsid w:val="00643D35"/>
    <w:rsid w:val="00643DB5"/>
    <w:rsid w:val="00643ED4"/>
    <w:rsid w:val="00644373"/>
    <w:rsid w:val="00644420"/>
    <w:rsid w:val="00644913"/>
    <w:rsid w:val="00644D1A"/>
    <w:rsid w:val="0064505C"/>
    <w:rsid w:val="006450A2"/>
    <w:rsid w:val="006452F0"/>
    <w:rsid w:val="00645576"/>
    <w:rsid w:val="00645691"/>
    <w:rsid w:val="00645743"/>
    <w:rsid w:val="00645915"/>
    <w:rsid w:val="00645C3C"/>
    <w:rsid w:val="00645E58"/>
    <w:rsid w:val="00645F11"/>
    <w:rsid w:val="0064616D"/>
    <w:rsid w:val="00646186"/>
    <w:rsid w:val="00646590"/>
    <w:rsid w:val="006467C1"/>
    <w:rsid w:val="0064694C"/>
    <w:rsid w:val="00646AF0"/>
    <w:rsid w:val="00646BE5"/>
    <w:rsid w:val="00646EBE"/>
    <w:rsid w:val="00647018"/>
    <w:rsid w:val="00647043"/>
    <w:rsid w:val="00647199"/>
    <w:rsid w:val="006471A2"/>
    <w:rsid w:val="006472BC"/>
    <w:rsid w:val="00647383"/>
    <w:rsid w:val="0064759F"/>
    <w:rsid w:val="00647A5F"/>
    <w:rsid w:val="00647C5E"/>
    <w:rsid w:val="00647C79"/>
    <w:rsid w:val="0065029E"/>
    <w:rsid w:val="00650500"/>
    <w:rsid w:val="006508D5"/>
    <w:rsid w:val="00650A4A"/>
    <w:rsid w:val="00650AB8"/>
    <w:rsid w:val="00650CAF"/>
    <w:rsid w:val="006510B2"/>
    <w:rsid w:val="00651261"/>
    <w:rsid w:val="00651785"/>
    <w:rsid w:val="006519C3"/>
    <w:rsid w:val="00651EC7"/>
    <w:rsid w:val="00651F8B"/>
    <w:rsid w:val="006520AC"/>
    <w:rsid w:val="00652182"/>
    <w:rsid w:val="00652295"/>
    <w:rsid w:val="006522D3"/>
    <w:rsid w:val="006524FF"/>
    <w:rsid w:val="00652B30"/>
    <w:rsid w:val="00652D81"/>
    <w:rsid w:val="00653005"/>
    <w:rsid w:val="006531C0"/>
    <w:rsid w:val="0065393B"/>
    <w:rsid w:val="00653B91"/>
    <w:rsid w:val="00653C5A"/>
    <w:rsid w:val="00653C5D"/>
    <w:rsid w:val="00653FFB"/>
    <w:rsid w:val="006542F1"/>
    <w:rsid w:val="0065442C"/>
    <w:rsid w:val="00654494"/>
    <w:rsid w:val="00654703"/>
    <w:rsid w:val="0065473D"/>
    <w:rsid w:val="00654801"/>
    <w:rsid w:val="00654914"/>
    <w:rsid w:val="00654B53"/>
    <w:rsid w:val="00654C18"/>
    <w:rsid w:val="00654C99"/>
    <w:rsid w:val="00654FFE"/>
    <w:rsid w:val="006550EC"/>
    <w:rsid w:val="00655220"/>
    <w:rsid w:val="00655D45"/>
    <w:rsid w:val="00655FF7"/>
    <w:rsid w:val="00656323"/>
    <w:rsid w:val="00656345"/>
    <w:rsid w:val="0065667D"/>
    <w:rsid w:val="0065676C"/>
    <w:rsid w:val="006567CD"/>
    <w:rsid w:val="00656B5C"/>
    <w:rsid w:val="00656C45"/>
    <w:rsid w:val="00656DC6"/>
    <w:rsid w:val="00656EA7"/>
    <w:rsid w:val="00656F43"/>
    <w:rsid w:val="00657055"/>
    <w:rsid w:val="006574A1"/>
    <w:rsid w:val="0065767B"/>
    <w:rsid w:val="0065797C"/>
    <w:rsid w:val="006579BC"/>
    <w:rsid w:val="00657C73"/>
    <w:rsid w:val="00657D9A"/>
    <w:rsid w:val="00657F32"/>
    <w:rsid w:val="00660677"/>
    <w:rsid w:val="00660757"/>
    <w:rsid w:val="0066090A"/>
    <w:rsid w:val="00660CF4"/>
    <w:rsid w:val="00660D01"/>
    <w:rsid w:val="00660D16"/>
    <w:rsid w:val="00660EC6"/>
    <w:rsid w:val="0066132B"/>
    <w:rsid w:val="0066139B"/>
    <w:rsid w:val="00661869"/>
    <w:rsid w:val="00661903"/>
    <w:rsid w:val="00661A7A"/>
    <w:rsid w:val="00661C75"/>
    <w:rsid w:val="00661CA4"/>
    <w:rsid w:val="00661CBB"/>
    <w:rsid w:val="0066212D"/>
    <w:rsid w:val="00662135"/>
    <w:rsid w:val="0066216D"/>
    <w:rsid w:val="00662174"/>
    <w:rsid w:val="006621AE"/>
    <w:rsid w:val="00662215"/>
    <w:rsid w:val="00662417"/>
    <w:rsid w:val="00662478"/>
    <w:rsid w:val="0066269D"/>
    <w:rsid w:val="00662760"/>
    <w:rsid w:val="00662943"/>
    <w:rsid w:val="00662CEA"/>
    <w:rsid w:val="00662E08"/>
    <w:rsid w:val="00663523"/>
    <w:rsid w:val="0066353B"/>
    <w:rsid w:val="006637BE"/>
    <w:rsid w:val="00663A18"/>
    <w:rsid w:val="00663B37"/>
    <w:rsid w:val="00663DD2"/>
    <w:rsid w:val="00663E1D"/>
    <w:rsid w:val="00663FC7"/>
    <w:rsid w:val="00664110"/>
    <w:rsid w:val="00664475"/>
    <w:rsid w:val="0066449B"/>
    <w:rsid w:val="0066458B"/>
    <w:rsid w:val="006645C4"/>
    <w:rsid w:val="006645D7"/>
    <w:rsid w:val="0066474E"/>
    <w:rsid w:val="00664984"/>
    <w:rsid w:val="00664B0A"/>
    <w:rsid w:val="00664D17"/>
    <w:rsid w:val="00664E39"/>
    <w:rsid w:val="00664E3C"/>
    <w:rsid w:val="00665067"/>
    <w:rsid w:val="00665261"/>
    <w:rsid w:val="006653F0"/>
    <w:rsid w:val="00665571"/>
    <w:rsid w:val="00665613"/>
    <w:rsid w:val="0066565B"/>
    <w:rsid w:val="00665822"/>
    <w:rsid w:val="006658E0"/>
    <w:rsid w:val="00665A03"/>
    <w:rsid w:val="00665AA1"/>
    <w:rsid w:val="00665CEA"/>
    <w:rsid w:val="00665D2C"/>
    <w:rsid w:val="0066611A"/>
    <w:rsid w:val="00666383"/>
    <w:rsid w:val="0066638F"/>
    <w:rsid w:val="006663FA"/>
    <w:rsid w:val="00666520"/>
    <w:rsid w:val="006665D0"/>
    <w:rsid w:val="006667DC"/>
    <w:rsid w:val="006668AF"/>
    <w:rsid w:val="00666A3D"/>
    <w:rsid w:val="00666C93"/>
    <w:rsid w:val="00666E7F"/>
    <w:rsid w:val="00666F1D"/>
    <w:rsid w:val="00667442"/>
    <w:rsid w:val="006674CB"/>
    <w:rsid w:val="00667587"/>
    <w:rsid w:val="00667778"/>
    <w:rsid w:val="0066781A"/>
    <w:rsid w:val="0066785E"/>
    <w:rsid w:val="00667A0A"/>
    <w:rsid w:val="00667C5B"/>
    <w:rsid w:val="00670124"/>
    <w:rsid w:val="00670488"/>
    <w:rsid w:val="0067051A"/>
    <w:rsid w:val="00670B25"/>
    <w:rsid w:val="00670BA3"/>
    <w:rsid w:val="00670ECA"/>
    <w:rsid w:val="00671429"/>
    <w:rsid w:val="00671669"/>
    <w:rsid w:val="006718F4"/>
    <w:rsid w:val="00671974"/>
    <w:rsid w:val="006719A4"/>
    <w:rsid w:val="00671AAB"/>
    <w:rsid w:val="00671CDE"/>
    <w:rsid w:val="00671CE5"/>
    <w:rsid w:val="00671EA8"/>
    <w:rsid w:val="0067200E"/>
    <w:rsid w:val="00672084"/>
    <w:rsid w:val="006724A2"/>
    <w:rsid w:val="006724A5"/>
    <w:rsid w:val="006725AD"/>
    <w:rsid w:val="00672672"/>
    <w:rsid w:val="0067293F"/>
    <w:rsid w:val="00672A97"/>
    <w:rsid w:val="00672AAA"/>
    <w:rsid w:val="00672B8C"/>
    <w:rsid w:val="00672E0D"/>
    <w:rsid w:val="00673132"/>
    <w:rsid w:val="0067329F"/>
    <w:rsid w:val="0067331F"/>
    <w:rsid w:val="00673532"/>
    <w:rsid w:val="00673A69"/>
    <w:rsid w:val="00673AD8"/>
    <w:rsid w:val="00673E97"/>
    <w:rsid w:val="0067417C"/>
    <w:rsid w:val="006741A7"/>
    <w:rsid w:val="00674276"/>
    <w:rsid w:val="0067462C"/>
    <w:rsid w:val="006749CE"/>
    <w:rsid w:val="00674A67"/>
    <w:rsid w:val="00674BD6"/>
    <w:rsid w:val="00674C33"/>
    <w:rsid w:val="00674D5D"/>
    <w:rsid w:val="00675344"/>
    <w:rsid w:val="00675352"/>
    <w:rsid w:val="00675AC2"/>
    <w:rsid w:val="00675C94"/>
    <w:rsid w:val="00675EB1"/>
    <w:rsid w:val="00675F66"/>
    <w:rsid w:val="00676224"/>
    <w:rsid w:val="00676270"/>
    <w:rsid w:val="0067678C"/>
    <w:rsid w:val="0067695A"/>
    <w:rsid w:val="00676994"/>
    <w:rsid w:val="00676A6B"/>
    <w:rsid w:val="00676C71"/>
    <w:rsid w:val="00676EC5"/>
    <w:rsid w:val="00677196"/>
    <w:rsid w:val="006773C3"/>
    <w:rsid w:val="00677986"/>
    <w:rsid w:val="00677AC3"/>
    <w:rsid w:val="00677C26"/>
    <w:rsid w:val="00677D81"/>
    <w:rsid w:val="00677D8B"/>
    <w:rsid w:val="00677DFA"/>
    <w:rsid w:val="00680073"/>
    <w:rsid w:val="00680303"/>
    <w:rsid w:val="00680498"/>
    <w:rsid w:val="00680AF0"/>
    <w:rsid w:val="00680DEF"/>
    <w:rsid w:val="00680ECC"/>
    <w:rsid w:val="00680EFB"/>
    <w:rsid w:val="00680F46"/>
    <w:rsid w:val="00680FE6"/>
    <w:rsid w:val="0068117B"/>
    <w:rsid w:val="006811AB"/>
    <w:rsid w:val="006816A4"/>
    <w:rsid w:val="00681C2A"/>
    <w:rsid w:val="00681FC8"/>
    <w:rsid w:val="0068210E"/>
    <w:rsid w:val="00682446"/>
    <w:rsid w:val="00682531"/>
    <w:rsid w:val="0068275D"/>
    <w:rsid w:val="0068289B"/>
    <w:rsid w:val="00682A4E"/>
    <w:rsid w:val="00682E76"/>
    <w:rsid w:val="00682EEC"/>
    <w:rsid w:val="00683272"/>
    <w:rsid w:val="00683470"/>
    <w:rsid w:val="0068372A"/>
    <w:rsid w:val="00683873"/>
    <w:rsid w:val="00683888"/>
    <w:rsid w:val="00683965"/>
    <w:rsid w:val="00683B35"/>
    <w:rsid w:val="00683C71"/>
    <w:rsid w:val="00683CD6"/>
    <w:rsid w:val="00683D04"/>
    <w:rsid w:val="00683FF8"/>
    <w:rsid w:val="00684111"/>
    <w:rsid w:val="006841D4"/>
    <w:rsid w:val="006842EB"/>
    <w:rsid w:val="00684348"/>
    <w:rsid w:val="00684382"/>
    <w:rsid w:val="006843C4"/>
    <w:rsid w:val="00684459"/>
    <w:rsid w:val="0068455D"/>
    <w:rsid w:val="0068465C"/>
    <w:rsid w:val="00684682"/>
    <w:rsid w:val="00684793"/>
    <w:rsid w:val="00684AE5"/>
    <w:rsid w:val="00685020"/>
    <w:rsid w:val="006852F2"/>
    <w:rsid w:val="006859D8"/>
    <w:rsid w:val="00685D5F"/>
    <w:rsid w:val="00685D7F"/>
    <w:rsid w:val="00685DF4"/>
    <w:rsid w:val="00685E51"/>
    <w:rsid w:val="00685F21"/>
    <w:rsid w:val="00686113"/>
    <w:rsid w:val="006861BD"/>
    <w:rsid w:val="006862BF"/>
    <w:rsid w:val="006866D8"/>
    <w:rsid w:val="006869C9"/>
    <w:rsid w:val="00686AD9"/>
    <w:rsid w:val="00686CE2"/>
    <w:rsid w:val="00686D60"/>
    <w:rsid w:val="00686D92"/>
    <w:rsid w:val="006876D9"/>
    <w:rsid w:val="006878C0"/>
    <w:rsid w:val="0068794C"/>
    <w:rsid w:val="00687962"/>
    <w:rsid w:val="00687B49"/>
    <w:rsid w:val="00687B7D"/>
    <w:rsid w:val="00687FD0"/>
    <w:rsid w:val="006900B0"/>
    <w:rsid w:val="006900DA"/>
    <w:rsid w:val="006901F7"/>
    <w:rsid w:val="00690326"/>
    <w:rsid w:val="0069049E"/>
    <w:rsid w:val="00690AA9"/>
    <w:rsid w:val="00690EEE"/>
    <w:rsid w:val="00691579"/>
    <w:rsid w:val="00691645"/>
    <w:rsid w:val="0069195F"/>
    <w:rsid w:val="00691E12"/>
    <w:rsid w:val="00691EB8"/>
    <w:rsid w:val="00691F8D"/>
    <w:rsid w:val="00692095"/>
    <w:rsid w:val="0069212B"/>
    <w:rsid w:val="0069237F"/>
    <w:rsid w:val="0069273F"/>
    <w:rsid w:val="00692743"/>
    <w:rsid w:val="00692CDE"/>
    <w:rsid w:val="00693073"/>
    <w:rsid w:val="00693114"/>
    <w:rsid w:val="00693137"/>
    <w:rsid w:val="00693463"/>
    <w:rsid w:val="00693599"/>
    <w:rsid w:val="006935E2"/>
    <w:rsid w:val="0069364D"/>
    <w:rsid w:val="00693884"/>
    <w:rsid w:val="00694379"/>
    <w:rsid w:val="00694495"/>
    <w:rsid w:val="0069457E"/>
    <w:rsid w:val="0069482E"/>
    <w:rsid w:val="00694844"/>
    <w:rsid w:val="00694A5B"/>
    <w:rsid w:val="00694CB2"/>
    <w:rsid w:val="00694D56"/>
    <w:rsid w:val="00694E4A"/>
    <w:rsid w:val="00694F7D"/>
    <w:rsid w:val="006951A4"/>
    <w:rsid w:val="00695289"/>
    <w:rsid w:val="00695757"/>
    <w:rsid w:val="0069575F"/>
    <w:rsid w:val="0069579C"/>
    <w:rsid w:val="00695ACB"/>
    <w:rsid w:val="00695BE0"/>
    <w:rsid w:val="00695E69"/>
    <w:rsid w:val="00695E8D"/>
    <w:rsid w:val="00696112"/>
    <w:rsid w:val="00696290"/>
    <w:rsid w:val="00696406"/>
    <w:rsid w:val="0069652F"/>
    <w:rsid w:val="00696B55"/>
    <w:rsid w:val="00696D2E"/>
    <w:rsid w:val="006973DA"/>
    <w:rsid w:val="006977FF"/>
    <w:rsid w:val="00697824"/>
    <w:rsid w:val="00697841"/>
    <w:rsid w:val="0069787A"/>
    <w:rsid w:val="006A0076"/>
    <w:rsid w:val="006A0142"/>
    <w:rsid w:val="006A01FA"/>
    <w:rsid w:val="006A0281"/>
    <w:rsid w:val="006A043D"/>
    <w:rsid w:val="006A055A"/>
    <w:rsid w:val="006A06F8"/>
    <w:rsid w:val="006A0D01"/>
    <w:rsid w:val="006A0E7B"/>
    <w:rsid w:val="006A0E9E"/>
    <w:rsid w:val="006A1101"/>
    <w:rsid w:val="006A1111"/>
    <w:rsid w:val="006A129F"/>
    <w:rsid w:val="006A12BB"/>
    <w:rsid w:val="006A16FA"/>
    <w:rsid w:val="006A17D8"/>
    <w:rsid w:val="006A18DC"/>
    <w:rsid w:val="006A1B16"/>
    <w:rsid w:val="006A1D17"/>
    <w:rsid w:val="006A1E54"/>
    <w:rsid w:val="006A219C"/>
    <w:rsid w:val="006A23F3"/>
    <w:rsid w:val="006A2428"/>
    <w:rsid w:val="006A251D"/>
    <w:rsid w:val="006A25C7"/>
    <w:rsid w:val="006A26EF"/>
    <w:rsid w:val="006A2720"/>
    <w:rsid w:val="006A2C35"/>
    <w:rsid w:val="006A2CB2"/>
    <w:rsid w:val="006A2D17"/>
    <w:rsid w:val="006A3033"/>
    <w:rsid w:val="006A3212"/>
    <w:rsid w:val="006A33BF"/>
    <w:rsid w:val="006A357B"/>
    <w:rsid w:val="006A37AD"/>
    <w:rsid w:val="006A3804"/>
    <w:rsid w:val="006A3BAD"/>
    <w:rsid w:val="006A3BFF"/>
    <w:rsid w:val="006A3DA6"/>
    <w:rsid w:val="006A40C8"/>
    <w:rsid w:val="006A42E0"/>
    <w:rsid w:val="006A42F7"/>
    <w:rsid w:val="006A4303"/>
    <w:rsid w:val="006A4315"/>
    <w:rsid w:val="006A439A"/>
    <w:rsid w:val="006A44B4"/>
    <w:rsid w:val="006A45C6"/>
    <w:rsid w:val="006A468C"/>
    <w:rsid w:val="006A4AAD"/>
    <w:rsid w:val="006A4B3B"/>
    <w:rsid w:val="006A4CC5"/>
    <w:rsid w:val="006A4DF7"/>
    <w:rsid w:val="006A517D"/>
    <w:rsid w:val="006A519E"/>
    <w:rsid w:val="006A519F"/>
    <w:rsid w:val="006A51D3"/>
    <w:rsid w:val="006A5410"/>
    <w:rsid w:val="006A54C7"/>
    <w:rsid w:val="006A558C"/>
    <w:rsid w:val="006A5850"/>
    <w:rsid w:val="006A585F"/>
    <w:rsid w:val="006A59C3"/>
    <w:rsid w:val="006A59DF"/>
    <w:rsid w:val="006A5AA0"/>
    <w:rsid w:val="006A5C96"/>
    <w:rsid w:val="006A5DDB"/>
    <w:rsid w:val="006A6148"/>
    <w:rsid w:val="006A62C2"/>
    <w:rsid w:val="006A62CB"/>
    <w:rsid w:val="006A65FD"/>
    <w:rsid w:val="006A68A0"/>
    <w:rsid w:val="006A68DD"/>
    <w:rsid w:val="006A6A14"/>
    <w:rsid w:val="006A6D3C"/>
    <w:rsid w:val="006A6DA2"/>
    <w:rsid w:val="006A6DBD"/>
    <w:rsid w:val="006A6F97"/>
    <w:rsid w:val="006A70B9"/>
    <w:rsid w:val="006A71A7"/>
    <w:rsid w:val="006A792B"/>
    <w:rsid w:val="006A7A44"/>
    <w:rsid w:val="006A7AB2"/>
    <w:rsid w:val="006A7AD5"/>
    <w:rsid w:val="006A7AE4"/>
    <w:rsid w:val="006A7D92"/>
    <w:rsid w:val="006A7EDB"/>
    <w:rsid w:val="006A7FDA"/>
    <w:rsid w:val="006B001A"/>
    <w:rsid w:val="006B00D6"/>
    <w:rsid w:val="006B02BA"/>
    <w:rsid w:val="006B0463"/>
    <w:rsid w:val="006B0468"/>
    <w:rsid w:val="006B07E6"/>
    <w:rsid w:val="006B084B"/>
    <w:rsid w:val="006B0ACD"/>
    <w:rsid w:val="006B0B03"/>
    <w:rsid w:val="006B0B29"/>
    <w:rsid w:val="006B0EBD"/>
    <w:rsid w:val="006B0F05"/>
    <w:rsid w:val="006B1064"/>
    <w:rsid w:val="006B127B"/>
    <w:rsid w:val="006B17B9"/>
    <w:rsid w:val="006B19BB"/>
    <w:rsid w:val="006B1BC6"/>
    <w:rsid w:val="006B1C2E"/>
    <w:rsid w:val="006B1C41"/>
    <w:rsid w:val="006B1C46"/>
    <w:rsid w:val="006B1CA4"/>
    <w:rsid w:val="006B1F44"/>
    <w:rsid w:val="006B21A0"/>
    <w:rsid w:val="006B21C7"/>
    <w:rsid w:val="006B22D4"/>
    <w:rsid w:val="006B247F"/>
    <w:rsid w:val="006B2549"/>
    <w:rsid w:val="006B2A28"/>
    <w:rsid w:val="006B2C44"/>
    <w:rsid w:val="006B2E83"/>
    <w:rsid w:val="006B3086"/>
    <w:rsid w:val="006B32C2"/>
    <w:rsid w:val="006B33A2"/>
    <w:rsid w:val="006B357D"/>
    <w:rsid w:val="006B399C"/>
    <w:rsid w:val="006B43A8"/>
    <w:rsid w:val="006B443E"/>
    <w:rsid w:val="006B459C"/>
    <w:rsid w:val="006B4690"/>
    <w:rsid w:val="006B47A9"/>
    <w:rsid w:val="006B4A13"/>
    <w:rsid w:val="006B4DFB"/>
    <w:rsid w:val="006B511D"/>
    <w:rsid w:val="006B52C0"/>
    <w:rsid w:val="006B52C7"/>
    <w:rsid w:val="006B52DE"/>
    <w:rsid w:val="006B5514"/>
    <w:rsid w:val="006B562D"/>
    <w:rsid w:val="006B5717"/>
    <w:rsid w:val="006B5788"/>
    <w:rsid w:val="006B582F"/>
    <w:rsid w:val="006B5975"/>
    <w:rsid w:val="006B597B"/>
    <w:rsid w:val="006B59A7"/>
    <w:rsid w:val="006B59E6"/>
    <w:rsid w:val="006B5BD7"/>
    <w:rsid w:val="006B5C45"/>
    <w:rsid w:val="006B5DBA"/>
    <w:rsid w:val="006B5DE2"/>
    <w:rsid w:val="006B5EB2"/>
    <w:rsid w:val="006B5EBF"/>
    <w:rsid w:val="006B601E"/>
    <w:rsid w:val="006B6052"/>
    <w:rsid w:val="006B653D"/>
    <w:rsid w:val="006B6591"/>
    <w:rsid w:val="006B6638"/>
    <w:rsid w:val="006B669C"/>
    <w:rsid w:val="006B68CC"/>
    <w:rsid w:val="006B6D6B"/>
    <w:rsid w:val="006B6F88"/>
    <w:rsid w:val="006B7684"/>
    <w:rsid w:val="006B7B03"/>
    <w:rsid w:val="006B7DE5"/>
    <w:rsid w:val="006B7E58"/>
    <w:rsid w:val="006C0112"/>
    <w:rsid w:val="006C0137"/>
    <w:rsid w:val="006C0311"/>
    <w:rsid w:val="006C032E"/>
    <w:rsid w:val="006C0410"/>
    <w:rsid w:val="006C0478"/>
    <w:rsid w:val="006C0706"/>
    <w:rsid w:val="006C0729"/>
    <w:rsid w:val="006C08C5"/>
    <w:rsid w:val="006C091D"/>
    <w:rsid w:val="006C0ADD"/>
    <w:rsid w:val="006C0CEB"/>
    <w:rsid w:val="006C1052"/>
    <w:rsid w:val="006C1087"/>
    <w:rsid w:val="006C1140"/>
    <w:rsid w:val="006C124B"/>
    <w:rsid w:val="006C13FF"/>
    <w:rsid w:val="006C159E"/>
    <w:rsid w:val="006C1615"/>
    <w:rsid w:val="006C1631"/>
    <w:rsid w:val="006C173E"/>
    <w:rsid w:val="006C18BE"/>
    <w:rsid w:val="006C18C4"/>
    <w:rsid w:val="006C1966"/>
    <w:rsid w:val="006C1ABF"/>
    <w:rsid w:val="006C1BBF"/>
    <w:rsid w:val="006C1E96"/>
    <w:rsid w:val="006C20C1"/>
    <w:rsid w:val="006C2391"/>
    <w:rsid w:val="006C24AE"/>
    <w:rsid w:val="006C2650"/>
    <w:rsid w:val="006C2666"/>
    <w:rsid w:val="006C26A4"/>
    <w:rsid w:val="006C26D2"/>
    <w:rsid w:val="006C2E4C"/>
    <w:rsid w:val="006C2F88"/>
    <w:rsid w:val="006C305F"/>
    <w:rsid w:val="006C33D6"/>
    <w:rsid w:val="006C34D9"/>
    <w:rsid w:val="006C35F0"/>
    <w:rsid w:val="006C362D"/>
    <w:rsid w:val="006C3B1E"/>
    <w:rsid w:val="006C3EE9"/>
    <w:rsid w:val="006C46E8"/>
    <w:rsid w:val="006C47B0"/>
    <w:rsid w:val="006C47FD"/>
    <w:rsid w:val="006C4862"/>
    <w:rsid w:val="006C495E"/>
    <w:rsid w:val="006C4B95"/>
    <w:rsid w:val="006C4BDC"/>
    <w:rsid w:val="006C4C23"/>
    <w:rsid w:val="006C4E2B"/>
    <w:rsid w:val="006C4F4C"/>
    <w:rsid w:val="006C53AC"/>
    <w:rsid w:val="006C5508"/>
    <w:rsid w:val="006C5738"/>
    <w:rsid w:val="006C578C"/>
    <w:rsid w:val="006C57AD"/>
    <w:rsid w:val="006C58F9"/>
    <w:rsid w:val="006C5AE3"/>
    <w:rsid w:val="006C5C19"/>
    <w:rsid w:val="006C5D7A"/>
    <w:rsid w:val="006C614D"/>
    <w:rsid w:val="006C6382"/>
    <w:rsid w:val="006C6462"/>
    <w:rsid w:val="006C64C2"/>
    <w:rsid w:val="006C6CA8"/>
    <w:rsid w:val="006C6D8F"/>
    <w:rsid w:val="006C7080"/>
    <w:rsid w:val="006C70A0"/>
    <w:rsid w:val="006C718B"/>
    <w:rsid w:val="006C7239"/>
    <w:rsid w:val="006C799F"/>
    <w:rsid w:val="006D01BC"/>
    <w:rsid w:val="006D02DC"/>
    <w:rsid w:val="006D0350"/>
    <w:rsid w:val="006D03A5"/>
    <w:rsid w:val="006D049C"/>
    <w:rsid w:val="006D072B"/>
    <w:rsid w:val="006D074C"/>
    <w:rsid w:val="006D08B8"/>
    <w:rsid w:val="006D0900"/>
    <w:rsid w:val="006D0B11"/>
    <w:rsid w:val="006D0B7E"/>
    <w:rsid w:val="006D0BBC"/>
    <w:rsid w:val="006D0CC3"/>
    <w:rsid w:val="006D0DD2"/>
    <w:rsid w:val="006D11E1"/>
    <w:rsid w:val="006D1336"/>
    <w:rsid w:val="006D15D0"/>
    <w:rsid w:val="006D19B9"/>
    <w:rsid w:val="006D2174"/>
    <w:rsid w:val="006D21B2"/>
    <w:rsid w:val="006D225D"/>
    <w:rsid w:val="006D2325"/>
    <w:rsid w:val="006D2426"/>
    <w:rsid w:val="006D24C7"/>
    <w:rsid w:val="006D27CB"/>
    <w:rsid w:val="006D2974"/>
    <w:rsid w:val="006D2D2D"/>
    <w:rsid w:val="006D2F04"/>
    <w:rsid w:val="006D2F08"/>
    <w:rsid w:val="006D323A"/>
    <w:rsid w:val="006D34B9"/>
    <w:rsid w:val="006D3AA2"/>
    <w:rsid w:val="006D3B21"/>
    <w:rsid w:val="006D4313"/>
    <w:rsid w:val="006D454C"/>
    <w:rsid w:val="006D4624"/>
    <w:rsid w:val="006D48A1"/>
    <w:rsid w:val="006D48B3"/>
    <w:rsid w:val="006D4A65"/>
    <w:rsid w:val="006D4B45"/>
    <w:rsid w:val="006D4F53"/>
    <w:rsid w:val="006D529D"/>
    <w:rsid w:val="006D5487"/>
    <w:rsid w:val="006D564C"/>
    <w:rsid w:val="006D576C"/>
    <w:rsid w:val="006D583B"/>
    <w:rsid w:val="006D5865"/>
    <w:rsid w:val="006D5A2E"/>
    <w:rsid w:val="006D62A2"/>
    <w:rsid w:val="006D62CD"/>
    <w:rsid w:val="006D6589"/>
    <w:rsid w:val="006D65BA"/>
    <w:rsid w:val="006D67C8"/>
    <w:rsid w:val="006D6898"/>
    <w:rsid w:val="006D6942"/>
    <w:rsid w:val="006D6965"/>
    <w:rsid w:val="006D6A36"/>
    <w:rsid w:val="006D6E2E"/>
    <w:rsid w:val="006D7048"/>
    <w:rsid w:val="006D729F"/>
    <w:rsid w:val="006D72D9"/>
    <w:rsid w:val="006D72E0"/>
    <w:rsid w:val="006D75FD"/>
    <w:rsid w:val="006D7633"/>
    <w:rsid w:val="006D76F7"/>
    <w:rsid w:val="006D79B2"/>
    <w:rsid w:val="006D7B24"/>
    <w:rsid w:val="006D7B78"/>
    <w:rsid w:val="006D7C96"/>
    <w:rsid w:val="006E0062"/>
    <w:rsid w:val="006E0200"/>
    <w:rsid w:val="006E0253"/>
    <w:rsid w:val="006E045B"/>
    <w:rsid w:val="006E0581"/>
    <w:rsid w:val="006E073B"/>
    <w:rsid w:val="006E0812"/>
    <w:rsid w:val="006E09B4"/>
    <w:rsid w:val="006E0A47"/>
    <w:rsid w:val="006E0B58"/>
    <w:rsid w:val="006E147F"/>
    <w:rsid w:val="006E15D4"/>
    <w:rsid w:val="006E17F9"/>
    <w:rsid w:val="006E1811"/>
    <w:rsid w:val="006E1EA9"/>
    <w:rsid w:val="006E1F49"/>
    <w:rsid w:val="006E2102"/>
    <w:rsid w:val="006E2211"/>
    <w:rsid w:val="006E23AE"/>
    <w:rsid w:val="006E24DC"/>
    <w:rsid w:val="006E271C"/>
    <w:rsid w:val="006E2722"/>
    <w:rsid w:val="006E28CA"/>
    <w:rsid w:val="006E2A60"/>
    <w:rsid w:val="006E2E4C"/>
    <w:rsid w:val="006E321A"/>
    <w:rsid w:val="006E3222"/>
    <w:rsid w:val="006E33F2"/>
    <w:rsid w:val="006E3505"/>
    <w:rsid w:val="006E35C1"/>
    <w:rsid w:val="006E3E53"/>
    <w:rsid w:val="006E438A"/>
    <w:rsid w:val="006E4400"/>
    <w:rsid w:val="006E4501"/>
    <w:rsid w:val="006E4659"/>
    <w:rsid w:val="006E484B"/>
    <w:rsid w:val="006E49F6"/>
    <w:rsid w:val="006E4B1B"/>
    <w:rsid w:val="006E4BAC"/>
    <w:rsid w:val="006E4F4D"/>
    <w:rsid w:val="006E5107"/>
    <w:rsid w:val="006E5445"/>
    <w:rsid w:val="006E5609"/>
    <w:rsid w:val="006E588C"/>
    <w:rsid w:val="006E5CA2"/>
    <w:rsid w:val="006E5DC4"/>
    <w:rsid w:val="006E5ED3"/>
    <w:rsid w:val="006E609B"/>
    <w:rsid w:val="006E628A"/>
    <w:rsid w:val="006E63F6"/>
    <w:rsid w:val="006E6486"/>
    <w:rsid w:val="006E65D4"/>
    <w:rsid w:val="006E67AD"/>
    <w:rsid w:val="006E686B"/>
    <w:rsid w:val="006E6B37"/>
    <w:rsid w:val="006E6B68"/>
    <w:rsid w:val="006E7231"/>
    <w:rsid w:val="006E741A"/>
    <w:rsid w:val="006E7453"/>
    <w:rsid w:val="006E77A1"/>
    <w:rsid w:val="006E78A2"/>
    <w:rsid w:val="006E7B42"/>
    <w:rsid w:val="006E7C47"/>
    <w:rsid w:val="006E7D93"/>
    <w:rsid w:val="006E7FD7"/>
    <w:rsid w:val="006F009B"/>
    <w:rsid w:val="006F019D"/>
    <w:rsid w:val="006F02E2"/>
    <w:rsid w:val="006F032E"/>
    <w:rsid w:val="006F044B"/>
    <w:rsid w:val="006F094E"/>
    <w:rsid w:val="006F0BE2"/>
    <w:rsid w:val="006F0C1C"/>
    <w:rsid w:val="006F0E1F"/>
    <w:rsid w:val="006F0EAC"/>
    <w:rsid w:val="006F0FB3"/>
    <w:rsid w:val="006F0FC1"/>
    <w:rsid w:val="006F12F9"/>
    <w:rsid w:val="006F1ABA"/>
    <w:rsid w:val="006F2460"/>
    <w:rsid w:val="006F254A"/>
    <w:rsid w:val="006F2746"/>
    <w:rsid w:val="006F2A83"/>
    <w:rsid w:val="006F2CC7"/>
    <w:rsid w:val="006F2D4A"/>
    <w:rsid w:val="006F2D7E"/>
    <w:rsid w:val="006F2F1E"/>
    <w:rsid w:val="006F2F36"/>
    <w:rsid w:val="006F3228"/>
    <w:rsid w:val="006F327E"/>
    <w:rsid w:val="006F32CB"/>
    <w:rsid w:val="006F35BE"/>
    <w:rsid w:val="006F35FC"/>
    <w:rsid w:val="006F38E0"/>
    <w:rsid w:val="006F40B5"/>
    <w:rsid w:val="006F4317"/>
    <w:rsid w:val="006F4582"/>
    <w:rsid w:val="006F4663"/>
    <w:rsid w:val="006F47E6"/>
    <w:rsid w:val="006F4842"/>
    <w:rsid w:val="006F4881"/>
    <w:rsid w:val="006F4BF8"/>
    <w:rsid w:val="006F4DAD"/>
    <w:rsid w:val="006F4F01"/>
    <w:rsid w:val="006F544E"/>
    <w:rsid w:val="006F5529"/>
    <w:rsid w:val="006F56FD"/>
    <w:rsid w:val="006F5B40"/>
    <w:rsid w:val="006F5C9A"/>
    <w:rsid w:val="006F5DDE"/>
    <w:rsid w:val="006F5EB3"/>
    <w:rsid w:val="006F5F25"/>
    <w:rsid w:val="006F5F38"/>
    <w:rsid w:val="006F5F4C"/>
    <w:rsid w:val="006F64DC"/>
    <w:rsid w:val="006F6574"/>
    <w:rsid w:val="006F66DD"/>
    <w:rsid w:val="006F6935"/>
    <w:rsid w:val="006F6AD2"/>
    <w:rsid w:val="006F6B21"/>
    <w:rsid w:val="006F6C5E"/>
    <w:rsid w:val="006F6CF1"/>
    <w:rsid w:val="006F6D0B"/>
    <w:rsid w:val="006F6FC8"/>
    <w:rsid w:val="006F6FCB"/>
    <w:rsid w:val="006F7308"/>
    <w:rsid w:val="006F7415"/>
    <w:rsid w:val="006F76EA"/>
    <w:rsid w:val="006F784A"/>
    <w:rsid w:val="006F7F67"/>
    <w:rsid w:val="006F7F99"/>
    <w:rsid w:val="00700457"/>
    <w:rsid w:val="007004D1"/>
    <w:rsid w:val="0070062C"/>
    <w:rsid w:val="00700821"/>
    <w:rsid w:val="00700CD8"/>
    <w:rsid w:val="007011E4"/>
    <w:rsid w:val="00701342"/>
    <w:rsid w:val="00701343"/>
    <w:rsid w:val="007015B0"/>
    <w:rsid w:val="00701DA6"/>
    <w:rsid w:val="00702607"/>
    <w:rsid w:val="007029A3"/>
    <w:rsid w:val="00702C72"/>
    <w:rsid w:val="00702D5A"/>
    <w:rsid w:val="00702EA1"/>
    <w:rsid w:val="00702FD5"/>
    <w:rsid w:val="007030E2"/>
    <w:rsid w:val="0070320B"/>
    <w:rsid w:val="007032D8"/>
    <w:rsid w:val="007032F0"/>
    <w:rsid w:val="0070342F"/>
    <w:rsid w:val="00703692"/>
    <w:rsid w:val="007037C2"/>
    <w:rsid w:val="007038BC"/>
    <w:rsid w:val="00703B97"/>
    <w:rsid w:val="00703C02"/>
    <w:rsid w:val="00703EC8"/>
    <w:rsid w:val="00704407"/>
    <w:rsid w:val="007044F0"/>
    <w:rsid w:val="007047FA"/>
    <w:rsid w:val="007048E9"/>
    <w:rsid w:val="007049FC"/>
    <w:rsid w:val="00704B97"/>
    <w:rsid w:val="00704C1E"/>
    <w:rsid w:val="00705059"/>
    <w:rsid w:val="007051DB"/>
    <w:rsid w:val="007051DD"/>
    <w:rsid w:val="00705254"/>
    <w:rsid w:val="0070536C"/>
    <w:rsid w:val="007056DA"/>
    <w:rsid w:val="00705702"/>
    <w:rsid w:val="00705742"/>
    <w:rsid w:val="0070593E"/>
    <w:rsid w:val="00705BFB"/>
    <w:rsid w:val="00705CEE"/>
    <w:rsid w:val="00705D44"/>
    <w:rsid w:val="00705ED6"/>
    <w:rsid w:val="00705FAD"/>
    <w:rsid w:val="00705FAF"/>
    <w:rsid w:val="007063B7"/>
    <w:rsid w:val="0070671D"/>
    <w:rsid w:val="007067F4"/>
    <w:rsid w:val="007069BD"/>
    <w:rsid w:val="00706E4E"/>
    <w:rsid w:val="00706F69"/>
    <w:rsid w:val="00707163"/>
    <w:rsid w:val="007071BE"/>
    <w:rsid w:val="0070791C"/>
    <w:rsid w:val="007079FD"/>
    <w:rsid w:val="00707B58"/>
    <w:rsid w:val="00707BDC"/>
    <w:rsid w:val="00707C4B"/>
    <w:rsid w:val="00707E73"/>
    <w:rsid w:val="00707ECE"/>
    <w:rsid w:val="00710074"/>
    <w:rsid w:val="00710185"/>
    <w:rsid w:val="0071047F"/>
    <w:rsid w:val="00710515"/>
    <w:rsid w:val="007106AB"/>
    <w:rsid w:val="00710C69"/>
    <w:rsid w:val="00710C9C"/>
    <w:rsid w:val="00710D4A"/>
    <w:rsid w:val="00710F8F"/>
    <w:rsid w:val="0071106E"/>
    <w:rsid w:val="007110B5"/>
    <w:rsid w:val="007112A5"/>
    <w:rsid w:val="0071163F"/>
    <w:rsid w:val="00711686"/>
    <w:rsid w:val="007118A3"/>
    <w:rsid w:val="00711ACA"/>
    <w:rsid w:val="00711DFD"/>
    <w:rsid w:val="00711E36"/>
    <w:rsid w:val="0071265B"/>
    <w:rsid w:val="0071298F"/>
    <w:rsid w:val="007129CF"/>
    <w:rsid w:val="00712BA0"/>
    <w:rsid w:val="00712BE9"/>
    <w:rsid w:val="00712D7C"/>
    <w:rsid w:val="00712DDA"/>
    <w:rsid w:val="00712EB4"/>
    <w:rsid w:val="0071300D"/>
    <w:rsid w:val="00713342"/>
    <w:rsid w:val="007133C5"/>
    <w:rsid w:val="00713482"/>
    <w:rsid w:val="0071383C"/>
    <w:rsid w:val="00713B06"/>
    <w:rsid w:val="00713CD9"/>
    <w:rsid w:val="00713D4F"/>
    <w:rsid w:val="00713EBC"/>
    <w:rsid w:val="00713F8A"/>
    <w:rsid w:val="007141A7"/>
    <w:rsid w:val="00714500"/>
    <w:rsid w:val="007146DB"/>
    <w:rsid w:val="007147C7"/>
    <w:rsid w:val="00714B64"/>
    <w:rsid w:val="00714B89"/>
    <w:rsid w:val="00714C10"/>
    <w:rsid w:val="00714D94"/>
    <w:rsid w:val="00714FBD"/>
    <w:rsid w:val="0071509C"/>
    <w:rsid w:val="00715160"/>
    <w:rsid w:val="00715259"/>
    <w:rsid w:val="007152CD"/>
    <w:rsid w:val="007154E7"/>
    <w:rsid w:val="00715693"/>
    <w:rsid w:val="00715722"/>
    <w:rsid w:val="0071597D"/>
    <w:rsid w:val="007159D5"/>
    <w:rsid w:val="00715B7A"/>
    <w:rsid w:val="007160BA"/>
    <w:rsid w:val="007163E5"/>
    <w:rsid w:val="0071650F"/>
    <w:rsid w:val="007165BC"/>
    <w:rsid w:val="007166EC"/>
    <w:rsid w:val="0071680D"/>
    <w:rsid w:val="0071688F"/>
    <w:rsid w:val="00716D7F"/>
    <w:rsid w:val="00716F47"/>
    <w:rsid w:val="00717143"/>
    <w:rsid w:val="007172FB"/>
    <w:rsid w:val="007176DC"/>
    <w:rsid w:val="007178C1"/>
    <w:rsid w:val="00717920"/>
    <w:rsid w:val="00717933"/>
    <w:rsid w:val="00717B41"/>
    <w:rsid w:val="00717B63"/>
    <w:rsid w:val="007200B5"/>
    <w:rsid w:val="00720177"/>
    <w:rsid w:val="0072018A"/>
    <w:rsid w:val="00720669"/>
    <w:rsid w:val="0072082D"/>
    <w:rsid w:val="00720959"/>
    <w:rsid w:val="00720ABC"/>
    <w:rsid w:val="00720CFC"/>
    <w:rsid w:val="00720DEC"/>
    <w:rsid w:val="00721032"/>
    <w:rsid w:val="0072104E"/>
    <w:rsid w:val="00721055"/>
    <w:rsid w:val="00721265"/>
    <w:rsid w:val="00721280"/>
    <w:rsid w:val="00721389"/>
    <w:rsid w:val="007213CA"/>
    <w:rsid w:val="00721414"/>
    <w:rsid w:val="007217C7"/>
    <w:rsid w:val="00721B55"/>
    <w:rsid w:val="00721C38"/>
    <w:rsid w:val="00721D86"/>
    <w:rsid w:val="00721F42"/>
    <w:rsid w:val="00721FAB"/>
    <w:rsid w:val="00722149"/>
    <w:rsid w:val="007221CE"/>
    <w:rsid w:val="00722223"/>
    <w:rsid w:val="0072253A"/>
    <w:rsid w:val="007227B2"/>
    <w:rsid w:val="007229BC"/>
    <w:rsid w:val="00722C57"/>
    <w:rsid w:val="00722D11"/>
    <w:rsid w:val="00722E02"/>
    <w:rsid w:val="00723214"/>
    <w:rsid w:val="00723892"/>
    <w:rsid w:val="00723986"/>
    <w:rsid w:val="00723A10"/>
    <w:rsid w:val="00723A89"/>
    <w:rsid w:val="00723E52"/>
    <w:rsid w:val="00723E8B"/>
    <w:rsid w:val="00723F29"/>
    <w:rsid w:val="00723F50"/>
    <w:rsid w:val="00723F76"/>
    <w:rsid w:val="0072415A"/>
    <w:rsid w:val="007242B9"/>
    <w:rsid w:val="0072438E"/>
    <w:rsid w:val="0072472D"/>
    <w:rsid w:val="007247FA"/>
    <w:rsid w:val="00724814"/>
    <w:rsid w:val="00724FB5"/>
    <w:rsid w:val="007250CA"/>
    <w:rsid w:val="007250F0"/>
    <w:rsid w:val="0072515D"/>
    <w:rsid w:val="0072549D"/>
    <w:rsid w:val="00725663"/>
    <w:rsid w:val="007256EE"/>
    <w:rsid w:val="007258A1"/>
    <w:rsid w:val="0072593A"/>
    <w:rsid w:val="00725DDE"/>
    <w:rsid w:val="00725FEC"/>
    <w:rsid w:val="00726058"/>
    <w:rsid w:val="00726777"/>
    <w:rsid w:val="007267AD"/>
    <w:rsid w:val="00726CD7"/>
    <w:rsid w:val="00726CE4"/>
    <w:rsid w:val="00726E97"/>
    <w:rsid w:val="00726EFE"/>
    <w:rsid w:val="007277AF"/>
    <w:rsid w:val="00727A7F"/>
    <w:rsid w:val="007303F8"/>
    <w:rsid w:val="007305EC"/>
    <w:rsid w:val="0073062C"/>
    <w:rsid w:val="0073076B"/>
    <w:rsid w:val="00730A8F"/>
    <w:rsid w:val="00730A93"/>
    <w:rsid w:val="00730D25"/>
    <w:rsid w:val="00730D88"/>
    <w:rsid w:val="00730ED3"/>
    <w:rsid w:val="00731584"/>
    <w:rsid w:val="007316E9"/>
    <w:rsid w:val="00731901"/>
    <w:rsid w:val="00731980"/>
    <w:rsid w:val="00731B3C"/>
    <w:rsid w:val="00731C4E"/>
    <w:rsid w:val="00731CC9"/>
    <w:rsid w:val="00731DA3"/>
    <w:rsid w:val="00731EB1"/>
    <w:rsid w:val="00732147"/>
    <w:rsid w:val="007329D3"/>
    <w:rsid w:val="00732CBB"/>
    <w:rsid w:val="00732D68"/>
    <w:rsid w:val="00732F66"/>
    <w:rsid w:val="007332F1"/>
    <w:rsid w:val="0073339C"/>
    <w:rsid w:val="007333CA"/>
    <w:rsid w:val="00733686"/>
    <w:rsid w:val="00733A70"/>
    <w:rsid w:val="00733BA0"/>
    <w:rsid w:val="00733D95"/>
    <w:rsid w:val="00734143"/>
    <w:rsid w:val="00734148"/>
    <w:rsid w:val="00734279"/>
    <w:rsid w:val="007343FB"/>
    <w:rsid w:val="007344C3"/>
    <w:rsid w:val="00734642"/>
    <w:rsid w:val="0073477C"/>
    <w:rsid w:val="00734899"/>
    <w:rsid w:val="0073515D"/>
    <w:rsid w:val="00735587"/>
    <w:rsid w:val="007355C2"/>
    <w:rsid w:val="007359FE"/>
    <w:rsid w:val="00735CD5"/>
    <w:rsid w:val="00735D96"/>
    <w:rsid w:val="00736096"/>
    <w:rsid w:val="007360F4"/>
    <w:rsid w:val="00736365"/>
    <w:rsid w:val="007366F9"/>
    <w:rsid w:val="0073679D"/>
    <w:rsid w:val="0073695D"/>
    <w:rsid w:val="00736A75"/>
    <w:rsid w:val="00736AF0"/>
    <w:rsid w:val="00736DDE"/>
    <w:rsid w:val="0073729A"/>
    <w:rsid w:val="00737596"/>
    <w:rsid w:val="007377C3"/>
    <w:rsid w:val="00737A80"/>
    <w:rsid w:val="00737B4A"/>
    <w:rsid w:val="00737E47"/>
    <w:rsid w:val="00740084"/>
    <w:rsid w:val="00740317"/>
    <w:rsid w:val="00740402"/>
    <w:rsid w:val="00740420"/>
    <w:rsid w:val="00740B87"/>
    <w:rsid w:val="00740C38"/>
    <w:rsid w:val="00740C7C"/>
    <w:rsid w:val="00740CAF"/>
    <w:rsid w:val="00740EAC"/>
    <w:rsid w:val="00740FFD"/>
    <w:rsid w:val="0074112E"/>
    <w:rsid w:val="00741691"/>
    <w:rsid w:val="00741712"/>
    <w:rsid w:val="007417BD"/>
    <w:rsid w:val="007418B0"/>
    <w:rsid w:val="00741905"/>
    <w:rsid w:val="00741A3B"/>
    <w:rsid w:val="00741A9D"/>
    <w:rsid w:val="00741E8B"/>
    <w:rsid w:val="00741F36"/>
    <w:rsid w:val="00742069"/>
    <w:rsid w:val="007423C9"/>
    <w:rsid w:val="00742590"/>
    <w:rsid w:val="00742943"/>
    <w:rsid w:val="0074328C"/>
    <w:rsid w:val="00743350"/>
    <w:rsid w:val="007434E7"/>
    <w:rsid w:val="00743548"/>
    <w:rsid w:val="007436C4"/>
    <w:rsid w:val="00743709"/>
    <w:rsid w:val="00743710"/>
    <w:rsid w:val="007437AB"/>
    <w:rsid w:val="007438AA"/>
    <w:rsid w:val="00743A23"/>
    <w:rsid w:val="00743A47"/>
    <w:rsid w:val="00743D45"/>
    <w:rsid w:val="00743F62"/>
    <w:rsid w:val="00743F8A"/>
    <w:rsid w:val="00744026"/>
    <w:rsid w:val="00744480"/>
    <w:rsid w:val="007444B8"/>
    <w:rsid w:val="00744538"/>
    <w:rsid w:val="007446BD"/>
    <w:rsid w:val="00744765"/>
    <w:rsid w:val="00744784"/>
    <w:rsid w:val="007447ED"/>
    <w:rsid w:val="0074488C"/>
    <w:rsid w:val="00744956"/>
    <w:rsid w:val="007449D9"/>
    <w:rsid w:val="00744A20"/>
    <w:rsid w:val="00744A94"/>
    <w:rsid w:val="00744C0C"/>
    <w:rsid w:val="00744C44"/>
    <w:rsid w:val="00744C57"/>
    <w:rsid w:val="00745247"/>
    <w:rsid w:val="0074584E"/>
    <w:rsid w:val="0074585A"/>
    <w:rsid w:val="0074593C"/>
    <w:rsid w:val="00745A5C"/>
    <w:rsid w:val="00745F61"/>
    <w:rsid w:val="0074605F"/>
    <w:rsid w:val="0074630F"/>
    <w:rsid w:val="007463CE"/>
    <w:rsid w:val="0074659E"/>
    <w:rsid w:val="00746646"/>
    <w:rsid w:val="0074688C"/>
    <w:rsid w:val="00746BBE"/>
    <w:rsid w:val="00746C15"/>
    <w:rsid w:val="00746DBE"/>
    <w:rsid w:val="00746DEF"/>
    <w:rsid w:val="00746DF7"/>
    <w:rsid w:val="00746F42"/>
    <w:rsid w:val="00747055"/>
    <w:rsid w:val="00747482"/>
    <w:rsid w:val="00747643"/>
    <w:rsid w:val="007478BA"/>
    <w:rsid w:val="00747A20"/>
    <w:rsid w:val="00747B31"/>
    <w:rsid w:val="00747B5C"/>
    <w:rsid w:val="00747E94"/>
    <w:rsid w:val="007500AD"/>
    <w:rsid w:val="0075039F"/>
    <w:rsid w:val="0075045E"/>
    <w:rsid w:val="0075063F"/>
    <w:rsid w:val="00750710"/>
    <w:rsid w:val="007507F7"/>
    <w:rsid w:val="00751356"/>
    <w:rsid w:val="00751418"/>
    <w:rsid w:val="0075144B"/>
    <w:rsid w:val="0075149E"/>
    <w:rsid w:val="0075159C"/>
    <w:rsid w:val="007515ED"/>
    <w:rsid w:val="007517E7"/>
    <w:rsid w:val="0075193B"/>
    <w:rsid w:val="00751A6B"/>
    <w:rsid w:val="00751E37"/>
    <w:rsid w:val="00751FFF"/>
    <w:rsid w:val="007520A5"/>
    <w:rsid w:val="00752219"/>
    <w:rsid w:val="007522C4"/>
    <w:rsid w:val="007522ED"/>
    <w:rsid w:val="00752414"/>
    <w:rsid w:val="007525D0"/>
    <w:rsid w:val="00752B67"/>
    <w:rsid w:val="00752CFF"/>
    <w:rsid w:val="00752E6F"/>
    <w:rsid w:val="00752FEC"/>
    <w:rsid w:val="007530DC"/>
    <w:rsid w:val="007532A7"/>
    <w:rsid w:val="007532AC"/>
    <w:rsid w:val="007532F6"/>
    <w:rsid w:val="0075353D"/>
    <w:rsid w:val="00753597"/>
    <w:rsid w:val="00753603"/>
    <w:rsid w:val="00753A63"/>
    <w:rsid w:val="00753BB3"/>
    <w:rsid w:val="00753E12"/>
    <w:rsid w:val="00753F13"/>
    <w:rsid w:val="00753F5E"/>
    <w:rsid w:val="0075426A"/>
    <w:rsid w:val="007545D8"/>
    <w:rsid w:val="0075462D"/>
    <w:rsid w:val="00754668"/>
    <w:rsid w:val="00754C83"/>
    <w:rsid w:val="00754FBA"/>
    <w:rsid w:val="00755189"/>
    <w:rsid w:val="0075525C"/>
    <w:rsid w:val="0075541A"/>
    <w:rsid w:val="0075552F"/>
    <w:rsid w:val="00755652"/>
    <w:rsid w:val="0075565D"/>
    <w:rsid w:val="0075585F"/>
    <w:rsid w:val="00755929"/>
    <w:rsid w:val="00755D0C"/>
    <w:rsid w:val="00755F05"/>
    <w:rsid w:val="00756025"/>
    <w:rsid w:val="0075614E"/>
    <w:rsid w:val="00756235"/>
    <w:rsid w:val="007562A2"/>
    <w:rsid w:val="00756418"/>
    <w:rsid w:val="00756531"/>
    <w:rsid w:val="007566E6"/>
    <w:rsid w:val="00756863"/>
    <w:rsid w:val="007569AB"/>
    <w:rsid w:val="00756AD6"/>
    <w:rsid w:val="00756BFD"/>
    <w:rsid w:val="00756D49"/>
    <w:rsid w:val="007570ED"/>
    <w:rsid w:val="007571E4"/>
    <w:rsid w:val="0075738B"/>
    <w:rsid w:val="007573C9"/>
    <w:rsid w:val="0075759C"/>
    <w:rsid w:val="00757850"/>
    <w:rsid w:val="00757F2B"/>
    <w:rsid w:val="00760003"/>
    <w:rsid w:val="00760041"/>
    <w:rsid w:val="007600F9"/>
    <w:rsid w:val="0076013C"/>
    <w:rsid w:val="007603CF"/>
    <w:rsid w:val="007604C7"/>
    <w:rsid w:val="007606B6"/>
    <w:rsid w:val="00760AB3"/>
    <w:rsid w:val="00760CB9"/>
    <w:rsid w:val="00760E06"/>
    <w:rsid w:val="00760F1E"/>
    <w:rsid w:val="00760F6E"/>
    <w:rsid w:val="00760FCC"/>
    <w:rsid w:val="00761080"/>
    <w:rsid w:val="00761744"/>
    <w:rsid w:val="00761A89"/>
    <w:rsid w:val="00761CB0"/>
    <w:rsid w:val="00761E5C"/>
    <w:rsid w:val="00761EA9"/>
    <w:rsid w:val="00762092"/>
    <w:rsid w:val="007625D7"/>
    <w:rsid w:val="0076267B"/>
    <w:rsid w:val="007627DC"/>
    <w:rsid w:val="00762901"/>
    <w:rsid w:val="00762ED3"/>
    <w:rsid w:val="00763150"/>
    <w:rsid w:val="00763162"/>
    <w:rsid w:val="007631D4"/>
    <w:rsid w:val="00763275"/>
    <w:rsid w:val="00763281"/>
    <w:rsid w:val="0076372D"/>
    <w:rsid w:val="00763938"/>
    <w:rsid w:val="00763A36"/>
    <w:rsid w:val="00763A7F"/>
    <w:rsid w:val="00763B05"/>
    <w:rsid w:val="00763BC4"/>
    <w:rsid w:val="0076437B"/>
    <w:rsid w:val="00764675"/>
    <w:rsid w:val="0076469E"/>
    <w:rsid w:val="00764863"/>
    <w:rsid w:val="007648C4"/>
    <w:rsid w:val="00764908"/>
    <w:rsid w:val="007649EF"/>
    <w:rsid w:val="00764A1A"/>
    <w:rsid w:val="00764D2B"/>
    <w:rsid w:val="00765240"/>
    <w:rsid w:val="007652F2"/>
    <w:rsid w:val="00765615"/>
    <w:rsid w:val="00765642"/>
    <w:rsid w:val="0076570C"/>
    <w:rsid w:val="00765DDD"/>
    <w:rsid w:val="00765DF8"/>
    <w:rsid w:val="00766050"/>
    <w:rsid w:val="007660EF"/>
    <w:rsid w:val="00766749"/>
    <w:rsid w:val="00766807"/>
    <w:rsid w:val="007668EE"/>
    <w:rsid w:val="0076692C"/>
    <w:rsid w:val="00766962"/>
    <w:rsid w:val="00766E21"/>
    <w:rsid w:val="00767002"/>
    <w:rsid w:val="00767325"/>
    <w:rsid w:val="0076738D"/>
    <w:rsid w:val="00767737"/>
    <w:rsid w:val="007677E8"/>
    <w:rsid w:val="00767C1B"/>
    <w:rsid w:val="00767D73"/>
    <w:rsid w:val="007706E4"/>
    <w:rsid w:val="007707DB"/>
    <w:rsid w:val="0077086E"/>
    <w:rsid w:val="00770BCD"/>
    <w:rsid w:val="00770C79"/>
    <w:rsid w:val="00770D4B"/>
    <w:rsid w:val="00770DDB"/>
    <w:rsid w:val="0077113D"/>
    <w:rsid w:val="00771464"/>
    <w:rsid w:val="007714A9"/>
    <w:rsid w:val="007714E5"/>
    <w:rsid w:val="0077153F"/>
    <w:rsid w:val="00771583"/>
    <w:rsid w:val="00771697"/>
    <w:rsid w:val="00771A0D"/>
    <w:rsid w:val="00771A46"/>
    <w:rsid w:val="00771AD5"/>
    <w:rsid w:val="00771BEC"/>
    <w:rsid w:val="00771CB3"/>
    <w:rsid w:val="00771E89"/>
    <w:rsid w:val="007722E0"/>
    <w:rsid w:val="0077242C"/>
    <w:rsid w:val="007728AE"/>
    <w:rsid w:val="00772A20"/>
    <w:rsid w:val="00772B00"/>
    <w:rsid w:val="00772B2D"/>
    <w:rsid w:val="00772EED"/>
    <w:rsid w:val="007732B8"/>
    <w:rsid w:val="0077365D"/>
    <w:rsid w:val="00773886"/>
    <w:rsid w:val="007738A3"/>
    <w:rsid w:val="00773C76"/>
    <w:rsid w:val="00773D18"/>
    <w:rsid w:val="00773EB5"/>
    <w:rsid w:val="00774261"/>
    <w:rsid w:val="00774299"/>
    <w:rsid w:val="00774AEB"/>
    <w:rsid w:val="00774DBA"/>
    <w:rsid w:val="00774EE9"/>
    <w:rsid w:val="00774F88"/>
    <w:rsid w:val="00774FDB"/>
    <w:rsid w:val="00775024"/>
    <w:rsid w:val="007751BA"/>
    <w:rsid w:val="007752B2"/>
    <w:rsid w:val="007752CE"/>
    <w:rsid w:val="007754A2"/>
    <w:rsid w:val="007755BF"/>
    <w:rsid w:val="007756D7"/>
    <w:rsid w:val="0077589F"/>
    <w:rsid w:val="007759F4"/>
    <w:rsid w:val="00775A72"/>
    <w:rsid w:val="00775B1A"/>
    <w:rsid w:val="00775DB3"/>
    <w:rsid w:val="007762A8"/>
    <w:rsid w:val="0077672D"/>
    <w:rsid w:val="00776ABD"/>
    <w:rsid w:val="00776F9E"/>
    <w:rsid w:val="007772A5"/>
    <w:rsid w:val="0077737E"/>
    <w:rsid w:val="007775CA"/>
    <w:rsid w:val="007775FC"/>
    <w:rsid w:val="00777613"/>
    <w:rsid w:val="0077765B"/>
    <w:rsid w:val="007776ED"/>
    <w:rsid w:val="0077776D"/>
    <w:rsid w:val="007777A7"/>
    <w:rsid w:val="007779D3"/>
    <w:rsid w:val="007779ED"/>
    <w:rsid w:val="00777BA2"/>
    <w:rsid w:val="00777CDD"/>
    <w:rsid w:val="00777D01"/>
    <w:rsid w:val="0078001C"/>
    <w:rsid w:val="0078049A"/>
    <w:rsid w:val="00780988"/>
    <w:rsid w:val="00780D5D"/>
    <w:rsid w:val="00780DED"/>
    <w:rsid w:val="00780E8E"/>
    <w:rsid w:val="00781408"/>
    <w:rsid w:val="00781783"/>
    <w:rsid w:val="00781AC2"/>
    <w:rsid w:val="00781E4C"/>
    <w:rsid w:val="00781EB2"/>
    <w:rsid w:val="00781EC2"/>
    <w:rsid w:val="0078251C"/>
    <w:rsid w:val="00782727"/>
    <w:rsid w:val="0078280B"/>
    <w:rsid w:val="0078282B"/>
    <w:rsid w:val="007829A8"/>
    <w:rsid w:val="00782F58"/>
    <w:rsid w:val="0078301D"/>
    <w:rsid w:val="007833FB"/>
    <w:rsid w:val="00783538"/>
    <w:rsid w:val="0078369A"/>
    <w:rsid w:val="00783DAF"/>
    <w:rsid w:val="00783FD2"/>
    <w:rsid w:val="00784034"/>
    <w:rsid w:val="00784402"/>
    <w:rsid w:val="007844A0"/>
    <w:rsid w:val="00784C4A"/>
    <w:rsid w:val="00784E6C"/>
    <w:rsid w:val="00784EA1"/>
    <w:rsid w:val="00784F7F"/>
    <w:rsid w:val="0078508D"/>
    <w:rsid w:val="007851B9"/>
    <w:rsid w:val="00785263"/>
    <w:rsid w:val="0078549C"/>
    <w:rsid w:val="007856C6"/>
    <w:rsid w:val="007856C7"/>
    <w:rsid w:val="00785A4E"/>
    <w:rsid w:val="00785ADE"/>
    <w:rsid w:val="00785DC5"/>
    <w:rsid w:val="007861FA"/>
    <w:rsid w:val="00786393"/>
    <w:rsid w:val="00786519"/>
    <w:rsid w:val="00786563"/>
    <w:rsid w:val="007865D8"/>
    <w:rsid w:val="0078667A"/>
    <w:rsid w:val="00786A31"/>
    <w:rsid w:val="00786BA5"/>
    <w:rsid w:val="00786CDB"/>
    <w:rsid w:val="00786CDF"/>
    <w:rsid w:val="00786D7F"/>
    <w:rsid w:val="00787270"/>
    <w:rsid w:val="00787552"/>
    <w:rsid w:val="007876EB"/>
    <w:rsid w:val="007878BD"/>
    <w:rsid w:val="00787A45"/>
    <w:rsid w:val="00787A8C"/>
    <w:rsid w:val="00787AB5"/>
    <w:rsid w:val="00787D75"/>
    <w:rsid w:val="00787FE4"/>
    <w:rsid w:val="007904D0"/>
    <w:rsid w:val="007905B1"/>
    <w:rsid w:val="007907E8"/>
    <w:rsid w:val="007907F0"/>
    <w:rsid w:val="0079082D"/>
    <w:rsid w:val="00790AF1"/>
    <w:rsid w:val="00791107"/>
    <w:rsid w:val="007911F0"/>
    <w:rsid w:val="0079129A"/>
    <w:rsid w:val="007912BE"/>
    <w:rsid w:val="00791321"/>
    <w:rsid w:val="0079137A"/>
    <w:rsid w:val="0079148B"/>
    <w:rsid w:val="0079151F"/>
    <w:rsid w:val="00791531"/>
    <w:rsid w:val="00791662"/>
    <w:rsid w:val="007916D2"/>
    <w:rsid w:val="00791752"/>
    <w:rsid w:val="00791831"/>
    <w:rsid w:val="007918CF"/>
    <w:rsid w:val="00791ADD"/>
    <w:rsid w:val="00791B91"/>
    <w:rsid w:val="00791C11"/>
    <w:rsid w:val="00791DE3"/>
    <w:rsid w:val="00791EE5"/>
    <w:rsid w:val="007923A0"/>
    <w:rsid w:val="007927EE"/>
    <w:rsid w:val="0079298A"/>
    <w:rsid w:val="00792A6C"/>
    <w:rsid w:val="00792B62"/>
    <w:rsid w:val="00792E1E"/>
    <w:rsid w:val="00792F5C"/>
    <w:rsid w:val="00792FD7"/>
    <w:rsid w:val="007932CB"/>
    <w:rsid w:val="007933FD"/>
    <w:rsid w:val="007935CF"/>
    <w:rsid w:val="0079394A"/>
    <w:rsid w:val="00793A71"/>
    <w:rsid w:val="00793E98"/>
    <w:rsid w:val="00793FE3"/>
    <w:rsid w:val="0079403F"/>
    <w:rsid w:val="00794074"/>
    <w:rsid w:val="00794168"/>
    <w:rsid w:val="007943DD"/>
    <w:rsid w:val="007943FB"/>
    <w:rsid w:val="0079454D"/>
    <w:rsid w:val="00794780"/>
    <w:rsid w:val="00794857"/>
    <w:rsid w:val="00794915"/>
    <w:rsid w:val="00794A62"/>
    <w:rsid w:val="00794BF3"/>
    <w:rsid w:val="00794D01"/>
    <w:rsid w:val="00794D4D"/>
    <w:rsid w:val="00795033"/>
    <w:rsid w:val="00795292"/>
    <w:rsid w:val="00795656"/>
    <w:rsid w:val="00795894"/>
    <w:rsid w:val="00795AFD"/>
    <w:rsid w:val="00795B31"/>
    <w:rsid w:val="00795BA8"/>
    <w:rsid w:val="00795D84"/>
    <w:rsid w:val="00795F72"/>
    <w:rsid w:val="007960C5"/>
    <w:rsid w:val="00796191"/>
    <w:rsid w:val="00796949"/>
    <w:rsid w:val="00796F25"/>
    <w:rsid w:val="00796F45"/>
    <w:rsid w:val="00796FF5"/>
    <w:rsid w:val="00797065"/>
    <w:rsid w:val="00797929"/>
    <w:rsid w:val="00797B9D"/>
    <w:rsid w:val="007A0161"/>
    <w:rsid w:val="007A03A0"/>
    <w:rsid w:val="007A05D1"/>
    <w:rsid w:val="007A075C"/>
    <w:rsid w:val="007A07D7"/>
    <w:rsid w:val="007A0BFF"/>
    <w:rsid w:val="007A10A5"/>
    <w:rsid w:val="007A1297"/>
    <w:rsid w:val="007A13DA"/>
    <w:rsid w:val="007A1410"/>
    <w:rsid w:val="007A1494"/>
    <w:rsid w:val="007A1A42"/>
    <w:rsid w:val="007A1A82"/>
    <w:rsid w:val="007A1ABC"/>
    <w:rsid w:val="007A1CFD"/>
    <w:rsid w:val="007A28BA"/>
    <w:rsid w:val="007A2936"/>
    <w:rsid w:val="007A2E98"/>
    <w:rsid w:val="007A2FE5"/>
    <w:rsid w:val="007A31D3"/>
    <w:rsid w:val="007A32C9"/>
    <w:rsid w:val="007A37DF"/>
    <w:rsid w:val="007A3857"/>
    <w:rsid w:val="007A3A0A"/>
    <w:rsid w:val="007A3A8B"/>
    <w:rsid w:val="007A3AA5"/>
    <w:rsid w:val="007A3BA3"/>
    <w:rsid w:val="007A3D5B"/>
    <w:rsid w:val="007A3FD1"/>
    <w:rsid w:val="007A45F6"/>
    <w:rsid w:val="007A4644"/>
    <w:rsid w:val="007A50D1"/>
    <w:rsid w:val="007A5F9D"/>
    <w:rsid w:val="007A6117"/>
    <w:rsid w:val="007A6696"/>
    <w:rsid w:val="007A6827"/>
    <w:rsid w:val="007A6AF4"/>
    <w:rsid w:val="007A6B8C"/>
    <w:rsid w:val="007A6C47"/>
    <w:rsid w:val="007A6CC0"/>
    <w:rsid w:val="007A700A"/>
    <w:rsid w:val="007A72F0"/>
    <w:rsid w:val="007A73F5"/>
    <w:rsid w:val="007A768B"/>
    <w:rsid w:val="007A778B"/>
    <w:rsid w:val="007A7809"/>
    <w:rsid w:val="007A7AAA"/>
    <w:rsid w:val="007A7ED9"/>
    <w:rsid w:val="007A7FEC"/>
    <w:rsid w:val="007B01CE"/>
    <w:rsid w:val="007B0261"/>
    <w:rsid w:val="007B04AA"/>
    <w:rsid w:val="007B0A25"/>
    <w:rsid w:val="007B0C41"/>
    <w:rsid w:val="007B0C96"/>
    <w:rsid w:val="007B0CBC"/>
    <w:rsid w:val="007B0E11"/>
    <w:rsid w:val="007B0FC4"/>
    <w:rsid w:val="007B13D4"/>
    <w:rsid w:val="007B1499"/>
    <w:rsid w:val="007B1648"/>
    <w:rsid w:val="007B169C"/>
    <w:rsid w:val="007B1823"/>
    <w:rsid w:val="007B1BBF"/>
    <w:rsid w:val="007B1DAA"/>
    <w:rsid w:val="007B1F28"/>
    <w:rsid w:val="007B1F78"/>
    <w:rsid w:val="007B201C"/>
    <w:rsid w:val="007B215F"/>
    <w:rsid w:val="007B220C"/>
    <w:rsid w:val="007B227C"/>
    <w:rsid w:val="007B22CE"/>
    <w:rsid w:val="007B2453"/>
    <w:rsid w:val="007B2674"/>
    <w:rsid w:val="007B26D7"/>
    <w:rsid w:val="007B2960"/>
    <w:rsid w:val="007B298F"/>
    <w:rsid w:val="007B2A29"/>
    <w:rsid w:val="007B2A99"/>
    <w:rsid w:val="007B303B"/>
    <w:rsid w:val="007B3216"/>
    <w:rsid w:val="007B3422"/>
    <w:rsid w:val="007B347E"/>
    <w:rsid w:val="007B355D"/>
    <w:rsid w:val="007B399A"/>
    <w:rsid w:val="007B39B3"/>
    <w:rsid w:val="007B3D18"/>
    <w:rsid w:val="007B3DEC"/>
    <w:rsid w:val="007B4047"/>
    <w:rsid w:val="007B4072"/>
    <w:rsid w:val="007B432B"/>
    <w:rsid w:val="007B4351"/>
    <w:rsid w:val="007B43B8"/>
    <w:rsid w:val="007B47E3"/>
    <w:rsid w:val="007B47FF"/>
    <w:rsid w:val="007B4B3B"/>
    <w:rsid w:val="007B4F52"/>
    <w:rsid w:val="007B506C"/>
    <w:rsid w:val="007B5371"/>
    <w:rsid w:val="007B5374"/>
    <w:rsid w:val="007B566E"/>
    <w:rsid w:val="007B56A5"/>
    <w:rsid w:val="007B5793"/>
    <w:rsid w:val="007B5841"/>
    <w:rsid w:val="007B5922"/>
    <w:rsid w:val="007B5C34"/>
    <w:rsid w:val="007B5DF5"/>
    <w:rsid w:val="007B6099"/>
    <w:rsid w:val="007B6377"/>
    <w:rsid w:val="007B667B"/>
    <w:rsid w:val="007B6B96"/>
    <w:rsid w:val="007B6DC2"/>
    <w:rsid w:val="007B7324"/>
    <w:rsid w:val="007B786E"/>
    <w:rsid w:val="007B7980"/>
    <w:rsid w:val="007B7C00"/>
    <w:rsid w:val="007B7F6C"/>
    <w:rsid w:val="007C0016"/>
    <w:rsid w:val="007C0341"/>
    <w:rsid w:val="007C0846"/>
    <w:rsid w:val="007C0860"/>
    <w:rsid w:val="007C0BEA"/>
    <w:rsid w:val="007C0D36"/>
    <w:rsid w:val="007C0DEF"/>
    <w:rsid w:val="007C0EBA"/>
    <w:rsid w:val="007C0FBD"/>
    <w:rsid w:val="007C115D"/>
    <w:rsid w:val="007C11A9"/>
    <w:rsid w:val="007C13B8"/>
    <w:rsid w:val="007C1A21"/>
    <w:rsid w:val="007C1B5F"/>
    <w:rsid w:val="007C1ED8"/>
    <w:rsid w:val="007C1F6F"/>
    <w:rsid w:val="007C2170"/>
    <w:rsid w:val="007C226D"/>
    <w:rsid w:val="007C2313"/>
    <w:rsid w:val="007C2406"/>
    <w:rsid w:val="007C275A"/>
    <w:rsid w:val="007C29E9"/>
    <w:rsid w:val="007C29FE"/>
    <w:rsid w:val="007C2AFA"/>
    <w:rsid w:val="007C3233"/>
    <w:rsid w:val="007C388B"/>
    <w:rsid w:val="007C3915"/>
    <w:rsid w:val="007C3E36"/>
    <w:rsid w:val="007C403F"/>
    <w:rsid w:val="007C42C1"/>
    <w:rsid w:val="007C452A"/>
    <w:rsid w:val="007C45EC"/>
    <w:rsid w:val="007C4913"/>
    <w:rsid w:val="007C4AD8"/>
    <w:rsid w:val="007C4EB0"/>
    <w:rsid w:val="007C51D5"/>
    <w:rsid w:val="007C523A"/>
    <w:rsid w:val="007C524B"/>
    <w:rsid w:val="007C57D9"/>
    <w:rsid w:val="007C5B67"/>
    <w:rsid w:val="007C5B83"/>
    <w:rsid w:val="007C5D5A"/>
    <w:rsid w:val="007C607F"/>
    <w:rsid w:val="007C6147"/>
    <w:rsid w:val="007C614B"/>
    <w:rsid w:val="007C61D0"/>
    <w:rsid w:val="007C6820"/>
    <w:rsid w:val="007C6849"/>
    <w:rsid w:val="007C692E"/>
    <w:rsid w:val="007C6AE2"/>
    <w:rsid w:val="007C6B8D"/>
    <w:rsid w:val="007C6E44"/>
    <w:rsid w:val="007C6FA1"/>
    <w:rsid w:val="007C74DA"/>
    <w:rsid w:val="007C79DD"/>
    <w:rsid w:val="007C7AB5"/>
    <w:rsid w:val="007D0174"/>
    <w:rsid w:val="007D04F2"/>
    <w:rsid w:val="007D06CA"/>
    <w:rsid w:val="007D072E"/>
    <w:rsid w:val="007D07B2"/>
    <w:rsid w:val="007D0935"/>
    <w:rsid w:val="007D0B61"/>
    <w:rsid w:val="007D0C8F"/>
    <w:rsid w:val="007D0E3E"/>
    <w:rsid w:val="007D1252"/>
    <w:rsid w:val="007D1409"/>
    <w:rsid w:val="007D1646"/>
    <w:rsid w:val="007D172E"/>
    <w:rsid w:val="007D1749"/>
    <w:rsid w:val="007D1A97"/>
    <w:rsid w:val="007D1AE4"/>
    <w:rsid w:val="007D1CE1"/>
    <w:rsid w:val="007D1D4F"/>
    <w:rsid w:val="007D2109"/>
    <w:rsid w:val="007D2509"/>
    <w:rsid w:val="007D2B3F"/>
    <w:rsid w:val="007D2CC4"/>
    <w:rsid w:val="007D2CD6"/>
    <w:rsid w:val="007D2D6C"/>
    <w:rsid w:val="007D2FAE"/>
    <w:rsid w:val="007D3063"/>
    <w:rsid w:val="007D312B"/>
    <w:rsid w:val="007D33CA"/>
    <w:rsid w:val="007D3486"/>
    <w:rsid w:val="007D368A"/>
    <w:rsid w:val="007D38EE"/>
    <w:rsid w:val="007D3925"/>
    <w:rsid w:val="007D3B8E"/>
    <w:rsid w:val="007D3CDA"/>
    <w:rsid w:val="007D3CEB"/>
    <w:rsid w:val="007D3FC1"/>
    <w:rsid w:val="007D41A1"/>
    <w:rsid w:val="007D4265"/>
    <w:rsid w:val="007D426C"/>
    <w:rsid w:val="007D44B1"/>
    <w:rsid w:val="007D4787"/>
    <w:rsid w:val="007D485F"/>
    <w:rsid w:val="007D4B10"/>
    <w:rsid w:val="007D4D82"/>
    <w:rsid w:val="007D4E02"/>
    <w:rsid w:val="007D4E17"/>
    <w:rsid w:val="007D4F0C"/>
    <w:rsid w:val="007D51CE"/>
    <w:rsid w:val="007D5496"/>
    <w:rsid w:val="007D5A29"/>
    <w:rsid w:val="007D5A34"/>
    <w:rsid w:val="007D5B37"/>
    <w:rsid w:val="007D5BC3"/>
    <w:rsid w:val="007D5D02"/>
    <w:rsid w:val="007D6880"/>
    <w:rsid w:val="007D69CB"/>
    <w:rsid w:val="007D6A2E"/>
    <w:rsid w:val="007D6EC7"/>
    <w:rsid w:val="007D7435"/>
    <w:rsid w:val="007D759A"/>
    <w:rsid w:val="007D77B1"/>
    <w:rsid w:val="007D7B82"/>
    <w:rsid w:val="007D7B88"/>
    <w:rsid w:val="007D7F4C"/>
    <w:rsid w:val="007E0209"/>
    <w:rsid w:val="007E02F2"/>
    <w:rsid w:val="007E039F"/>
    <w:rsid w:val="007E0820"/>
    <w:rsid w:val="007E0920"/>
    <w:rsid w:val="007E0B16"/>
    <w:rsid w:val="007E0B94"/>
    <w:rsid w:val="007E0BB8"/>
    <w:rsid w:val="007E0D22"/>
    <w:rsid w:val="007E10D9"/>
    <w:rsid w:val="007E13FC"/>
    <w:rsid w:val="007E14EE"/>
    <w:rsid w:val="007E1781"/>
    <w:rsid w:val="007E1836"/>
    <w:rsid w:val="007E19E8"/>
    <w:rsid w:val="007E1D47"/>
    <w:rsid w:val="007E1E6F"/>
    <w:rsid w:val="007E21A7"/>
    <w:rsid w:val="007E220C"/>
    <w:rsid w:val="007E224A"/>
    <w:rsid w:val="007E245A"/>
    <w:rsid w:val="007E2B36"/>
    <w:rsid w:val="007E2CAD"/>
    <w:rsid w:val="007E2F12"/>
    <w:rsid w:val="007E319C"/>
    <w:rsid w:val="007E3200"/>
    <w:rsid w:val="007E330D"/>
    <w:rsid w:val="007E3375"/>
    <w:rsid w:val="007E3468"/>
    <w:rsid w:val="007E368B"/>
    <w:rsid w:val="007E409C"/>
    <w:rsid w:val="007E40E3"/>
    <w:rsid w:val="007E410C"/>
    <w:rsid w:val="007E47C8"/>
    <w:rsid w:val="007E494D"/>
    <w:rsid w:val="007E49ED"/>
    <w:rsid w:val="007E4ABB"/>
    <w:rsid w:val="007E4D1C"/>
    <w:rsid w:val="007E4DA3"/>
    <w:rsid w:val="007E504B"/>
    <w:rsid w:val="007E508F"/>
    <w:rsid w:val="007E5150"/>
    <w:rsid w:val="007E5400"/>
    <w:rsid w:val="007E54B9"/>
    <w:rsid w:val="007E5605"/>
    <w:rsid w:val="007E5992"/>
    <w:rsid w:val="007E5A5F"/>
    <w:rsid w:val="007E5AD6"/>
    <w:rsid w:val="007E5B57"/>
    <w:rsid w:val="007E5CC7"/>
    <w:rsid w:val="007E5CD7"/>
    <w:rsid w:val="007E5D11"/>
    <w:rsid w:val="007E5DF1"/>
    <w:rsid w:val="007E63CD"/>
    <w:rsid w:val="007E6514"/>
    <w:rsid w:val="007E6565"/>
    <w:rsid w:val="007E69C7"/>
    <w:rsid w:val="007E6B14"/>
    <w:rsid w:val="007E6B65"/>
    <w:rsid w:val="007E6CA0"/>
    <w:rsid w:val="007E7108"/>
    <w:rsid w:val="007E739E"/>
    <w:rsid w:val="007E7683"/>
    <w:rsid w:val="007E7D39"/>
    <w:rsid w:val="007E7DDB"/>
    <w:rsid w:val="007E7E2D"/>
    <w:rsid w:val="007F0006"/>
    <w:rsid w:val="007F016F"/>
    <w:rsid w:val="007F01D7"/>
    <w:rsid w:val="007F03DE"/>
    <w:rsid w:val="007F071A"/>
    <w:rsid w:val="007F0984"/>
    <w:rsid w:val="007F0B31"/>
    <w:rsid w:val="007F0C98"/>
    <w:rsid w:val="007F0F20"/>
    <w:rsid w:val="007F0F5F"/>
    <w:rsid w:val="007F0F9C"/>
    <w:rsid w:val="007F0FD4"/>
    <w:rsid w:val="007F19B7"/>
    <w:rsid w:val="007F1B9A"/>
    <w:rsid w:val="007F1BDF"/>
    <w:rsid w:val="007F1DC5"/>
    <w:rsid w:val="007F1F75"/>
    <w:rsid w:val="007F1FBE"/>
    <w:rsid w:val="007F215C"/>
    <w:rsid w:val="007F218B"/>
    <w:rsid w:val="007F2445"/>
    <w:rsid w:val="007F2690"/>
    <w:rsid w:val="007F2921"/>
    <w:rsid w:val="007F29D6"/>
    <w:rsid w:val="007F2AA9"/>
    <w:rsid w:val="007F2C08"/>
    <w:rsid w:val="007F3023"/>
    <w:rsid w:val="007F30C1"/>
    <w:rsid w:val="007F3290"/>
    <w:rsid w:val="007F32E6"/>
    <w:rsid w:val="007F32EF"/>
    <w:rsid w:val="007F3828"/>
    <w:rsid w:val="007F39F3"/>
    <w:rsid w:val="007F3A64"/>
    <w:rsid w:val="007F3B27"/>
    <w:rsid w:val="007F3BED"/>
    <w:rsid w:val="007F3C34"/>
    <w:rsid w:val="007F3C5A"/>
    <w:rsid w:val="007F422B"/>
    <w:rsid w:val="007F4283"/>
    <w:rsid w:val="007F45A9"/>
    <w:rsid w:val="007F470B"/>
    <w:rsid w:val="007F47D5"/>
    <w:rsid w:val="007F49FA"/>
    <w:rsid w:val="007F4E4A"/>
    <w:rsid w:val="007F4FFD"/>
    <w:rsid w:val="007F54C4"/>
    <w:rsid w:val="007F54CE"/>
    <w:rsid w:val="007F5593"/>
    <w:rsid w:val="007F559F"/>
    <w:rsid w:val="007F56D0"/>
    <w:rsid w:val="007F59B2"/>
    <w:rsid w:val="007F5CF6"/>
    <w:rsid w:val="007F5F10"/>
    <w:rsid w:val="007F615C"/>
    <w:rsid w:val="007F61EF"/>
    <w:rsid w:val="007F6354"/>
    <w:rsid w:val="007F646B"/>
    <w:rsid w:val="007F658D"/>
    <w:rsid w:val="007F678C"/>
    <w:rsid w:val="007F6A80"/>
    <w:rsid w:val="007F6E9A"/>
    <w:rsid w:val="007F6EDD"/>
    <w:rsid w:val="007F70C1"/>
    <w:rsid w:val="007F72B1"/>
    <w:rsid w:val="007F72C3"/>
    <w:rsid w:val="007F7472"/>
    <w:rsid w:val="007F74D2"/>
    <w:rsid w:val="007F77F3"/>
    <w:rsid w:val="007F7845"/>
    <w:rsid w:val="007F7952"/>
    <w:rsid w:val="007F7BCC"/>
    <w:rsid w:val="007F7BDE"/>
    <w:rsid w:val="008005FB"/>
    <w:rsid w:val="008006A0"/>
    <w:rsid w:val="00800936"/>
    <w:rsid w:val="00800CBF"/>
    <w:rsid w:val="00800CCD"/>
    <w:rsid w:val="00800D47"/>
    <w:rsid w:val="00800F98"/>
    <w:rsid w:val="008010B0"/>
    <w:rsid w:val="0080132B"/>
    <w:rsid w:val="0080164D"/>
    <w:rsid w:val="0080177E"/>
    <w:rsid w:val="008018C6"/>
    <w:rsid w:val="0080198F"/>
    <w:rsid w:val="00801C4F"/>
    <w:rsid w:val="00801CF8"/>
    <w:rsid w:val="00801D84"/>
    <w:rsid w:val="00802150"/>
    <w:rsid w:val="00802212"/>
    <w:rsid w:val="008022C8"/>
    <w:rsid w:val="0080231B"/>
    <w:rsid w:val="00802D9A"/>
    <w:rsid w:val="00802EEB"/>
    <w:rsid w:val="0080340C"/>
    <w:rsid w:val="00803536"/>
    <w:rsid w:val="0080386F"/>
    <w:rsid w:val="0080387E"/>
    <w:rsid w:val="00803A17"/>
    <w:rsid w:val="008042B8"/>
    <w:rsid w:val="008042C9"/>
    <w:rsid w:val="008042D8"/>
    <w:rsid w:val="0080445A"/>
    <w:rsid w:val="008044D4"/>
    <w:rsid w:val="00804750"/>
    <w:rsid w:val="00804951"/>
    <w:rsid w:val="00804A7B"/>
    <w:rsid w:val="00804BEB"/>
    <w:rsid w:val="00804FB2"/>
    <w:rsid w:val="008050BE"/>
    <w:rsid w:val="008052A9"/>
    <w:rsid w:val="0080530B"/>
    <w:rsid w:val="00805567"/>
    <w:rsid w:val="008055E6"/>
    <w:rsid w:val="008057BE"/>
    <w:rsid w:val="00805837"/>
    <w:rsid w:val="00805C7D"/>
    <w:rsid w:val="00805D96"/>
    <w:rsid w:val="00805F49"/>
    <w:rsid w:val="00805F50"/>
    <w:rsid w:val="00805F64"/>
    <w:rsid w:val="008060FD"/>
    <w:rsid w:val="008064BD"/>
    <w:rsid w:val="008069B4"/>
    <w:rsid w:val="00806D5A"/>
    <w:rsid w:val="00806F56"/>
    <w:rsid w:val="00806F87"/>
    <w:rsid w:val="00806FBB"/>
    <w:rsid w:val="008072BA"/>
    <w:rsid w:val="00807A08"/>
    <w:rsid w:val="00807A72"/>
    <w:rsid w:val="00807B9F"/>
    <w:rsid w:val="00807BD1"/>
    <w:rsid w:val="00807C12"/>
    <w:rsid w:val="0081020D"/>
    <w:rsid w:val="008102CB"/>
    <w:rsid w:val="008103AD"/>
    <w:rsid w:val="008104BA"/>
    <w:rsid w:val="0081071B"/>
    <w:rsid w:val="00810940"/>
    <w:rsid w:val="00810A92"/>
    <w:rsid w:val="00810AB4"/>
    <w:rsid w:val="00810BA4"/>
    <w:rsid w:val="00810C70"/>
    <w:rsid w:val="00810E3C"/>
    <w:rsid w:val="008111FC"/>
    <w:rsid w:val="008111FF"/>
    <w:rsid w:val="0081124F"/>
    <w:rsid w:val="00811613"/>
    <w:rsid w:val="00811C11"/>
    <w:rsid w:val="00811D22"/>
    <w:rsid w:val="00811DFC"/>
    <w:rsid w:val="00811F5E"/>
    <w:rsid w:val="00812342"/>
    <w:rsid w:val="00812439"/>
    <w:rsid w:val="00812564"/>
    <w:rsid w:val="0081259C"/>
    <w:rsid w:val="00812680"/>
    <w:rsid w:val="00812814"/>
    <w:rsid w:val="0081295B"/>
    <w:rsid w:val="00812A8F"/>
    <w:rsid w:val="00812AA6"/>
    <w:rsid w:val="00812AF5"/>
    <w:rsid w:val="00812D30"/>
    <w:rsid w:val="00812D3B"/>
    <w:rsid w:val="008131C8"/>
    <w:rsid w:val="0081358F"/>
    <w:rsid w:val="00813A03"/>
    <w:rsid w:val="00813C7E"/>
    <w:rsid w:val="00813DDA"/>
    <w:rsid w:val="00814033"/>
    <w:rsid w:val="0081451C"/>
    <w:rsid w:val="008145F6"/>
    <w:rsid w:val="0081497D"/>
    <w:rsid w:val="00814A15"/>
    <w:rsid w:val="00815295"/>
    <w:rsid w:val="00815C3C"/>
    <w:rsid w:val="00815D7A"/>
    <w:rsid w:val="00815D8D"/>
    <w:rsid w:val="00816163"/>
    <w:rsid w:val="00816444"/>
    <w:rsid w:val="00816641"/>
    <w:rsid w:val="0081692A"/>
    <w:rsid w:val="008169B7"/>
    <w:rsid w:val="00816B4B"/>
    <w:rsid w:val="00816BB2"/>
    <w:rsid w:val="00816C37"/>
    <w:rsid w:val="00816E46"/>
    <w:rsid w:val="008170DA"/>
    <w:rsid w:val="00817183"/>
    <w:rsid w:val="00817246"/>
    <w:rsid w:val="0081728F"/>
    <w:rsid w:val="008176AB"/>
    <w:rsid w:val="008177A4"/>
    <w:rsid w:val="00817B56"/>
    <w:rsid w:val="00817D51"/>
    <w:rsid w:val="00820356"/>
    <w:rsid w:val="00820458"/>
    <w:rsid w:val="00820509"/>
    <w:rsid w:val="0082084D"/>
    <w:rsid w:val="0082088D"/>
    <w:rsid w:val="008208C4"/>
    <w:rsid w:val="008209B5"/>
    <w:rsid w:val="00820E31"/>
    <w:rsid w:val="00820E69"/>
    <w:rsid w:val="00821003"/>
    <w:rsid w:val="008210BC"/>
    <w:rsid w:val="008211F5"/>
    <w:rsid w:val="008219B7"/>
    <w:rsid w:val="00821A88"/>
    <w:rsid w:val="00821D9D"/>
    <w:rsid w:val="00821E6D"/>
    <w:rsid w:val="008220B5"/>
    <w:rsid w:val="00822248"/>
    <w:rsid w:val="00822249"/>
    <w:rsid w:val="00822343"/>
    <w:rsid w:val="008224D0"/>
    <w:rsid w:val="008224E2"/>
    <w:rsid w:val="0082276F"/>
    <w:rsid w:val="00822E07"/>
    <w:rsid w:val="008230A8"/>
    <w:rsid w:val="0082345B"/>
    <w:rsid w:val="0082383C"/>
    <w:rsid w:val="0082384F"/>
    <w:rsid w:val="00823C46"/>
    <w:rsid w:val="00823F48"/>
    <w:rsid w:val="00824546"/>
    <w:rsid w:val="008247F2"/>
    <w:rsid w:val="008248DB"/>
    <w:rsid w:val="0082495D"/>
    <w:rsid w:val="00824C3B"/>
    <w:rsid w:val="008250E0"/>
    <w:rsid w:val="00825159"/>
    <w:rsid w:val="008252EB"/>
    <w:rsid w:val="008256B0"/>
    <w:rsid w:val="008257E6"/>
    <w:rsid w:val="00825EAD"/>
    <w:rsid w:val="00826210"/>
    <w:rsid w:val="0082631E"/>
    <w:rsid w:val="00826389"/>
    <w:rsid w:val="0082679B"/>
    <w:rsid w:val="0082692C"/>
    <w:rsid w:val="00826BB0"/>
    <w:rsid w:val="00826EFC"/>
    <w:rsid w:val="00827099"/>
    <w:rsid w:val="0082713D"/>
    <w:rsid w:val="0082714B"/>
    <w:rsid w:val="008274EB"/>
    <w:rsid w:val="0082751B"/>
    <w:rsid w:val="00827529"/>
    <w:rsid w:val="008275DB"/>
    <w:rsid w:val="00827640"/>
    <w:rsid w:val="0082765B"/>
    <w:rsid w:val="00827A25"/>
    <w:rsid w:val="00827BF3"/>
    <w:rsid w:val="00827C35"/>
    <w:rsid w:val="00827D40"/>
    <w:rsid w:val="00827E94"/>
    <w:rsid w:val="0083018C"/>
    <w:rsid w:val="008301FC"/>
    <w:rsid w:val="008303A5"/>
    <w:rsid w:val="0083074F"/>
    <w:rsid w:val="0083090E"/>
    <w:rsid w:val="00830F03"/>
    <w:rsid w:val="0083164E"/>
    <w:rsid w:val="008318A6"/>
    <w:rsid w:val="008318A8"/>
    <w:rsid w:val="00831AC3"/>
    <w:rsid w:val="00831C35"/>
    <w:rsid w:val="00832152"/>
    <w:rsid w:val="00832217"/>
    <w:rsid w:val="00832382"/>
    <w:rsid w:val="00832390"/>
    <w:rsid w:val="00832422"/>
    <w:rsid w:val="00832845"/>
    <w:rsid w:val="00832A7B"/>
    <w:rsid w:val="00832BC4"/>
    <w:rsid w:val="00832D5C"/>
    <w:rsid w:val="00832DF9"/>
    <w:rsid w:val="00832F8E"/>
    <w:rsid w:val="00832FA8"/>
    <w:rsid w:val="00833218"/>
    <w:rsid w:val="008332CD"/>
    <w:rsid w:val="008333AA"/>
    <w:rsid w:val="0083364B"/>
    <w:rsid w:val="0083368E"/>
    <w:rsid w:val="00833817"/>
    <w:rsid w:val="00833855"/>
    <w:rsid w:val="00833A30"/>
    <w:rsid w:val="00833C95"/>
    <w:rsid w:val="00833CA0"/>
    <w:rsid w:val="00833DFC"/>
    <w:rsid w:val="00833F0A"/>
    <w:rsid w:val="00833F3A"/>
    <w:rsid w:val="008343F8"/>
    <w:rsid w:val="00834803"/>
    <w:rsid w:val="0083486B"/>
    <w:rsid w:val="00834C6D"/>
    <w:rsid w:val="00834D7E"/>
    <w:rsid w:val="00834DA6"/>
    <w:rsid w:val="00834E2A"/>
    <w:rsid w:val="00835108"/>
    <w:rsid w:val="00835647"/>
    <w:rsid w:val="00835673"/>
    <w:rsid w:val="00835796"/>
    <w:rsid w:val="00835A7B"/>
    <w:rsid w:val="00835A8D"/>
    <w:rsid w:val="00835ABE"/>
    <w:rsid w:val="00835CBF"/>
    <w:rsid w:val="00835CDB"/>
    <w:rsid w:val="00835D67"/>
    <w:rsid w:val="00835EC4"/>
    <w:rsid w:val="00836066"/>
    <w:rsid w:val="008361F8"/>
    <w:rsid w:val="008364A8"/>
    <w:rsid w:val="0083670E"/>
    <w:rsid w:val="00836A5B"/>
    <w:rsid w:val="00836E18"/>
    <w:rsid w:val="00836FCE"/>
    <w:rsid w:val="008370E0"/>
    <w:rsid w:val="00837148"/>
    <w:rsid w:val="0083719C"/>
    <w:rsid w:val="00837416"/>
    <w:rsid w:val="00837878"/>
    <w:rsid w:val="0083797E"/>
    <w:rsid w:val="00837A3A"/>
    <w:rsid w:val="00837E88"/>
    <w:rsid w:val="00837EF1"/>
    <w:rsid w:val="0084002A"/>
    <w:rsid w:val="0084016D"/>
    <w:rsid w:val="0084020D"/>
    <w:rsid w:val="00840254"/>
    <w:rsid w:val="008402EE"/>
    <w:rsid w:val="008408FF"/>
    <w:rsid w:val="00841187"/>
    <w:rsid w:val="00841308"/>
    <w:rsid w:val="00841336"/>
    <w:rsid w:val="0084136F"/>
    <w:rsid w:val="008414E5"/>
    <w:rsid w:val="0084150E"/>
    <w:rsid w:val="0084152D"/>
    <w:rsid w:val="00841B2F"/>
    <w:rsid w:val="008421D9"/>
    <w:rsid w:val="00842200"/>
    <w:rsid w:val="00842257"/>
    <w:rsid w:val="00842273"/>
    <w:rsid w:val="0084272A"/>
    <w:rsid w:val="0084279C"/>
    <w:rsid w:val="008429F2"/>
    <w:rsid w:val="00842B87"/>
    <w:rsid w:val="00842C5A"/>
    <w:rsid w:val="00842F24"/>
    <w:rsid w:val="0084324F"/>
    <w:rsid w:val="008432F2"/>
    <w:rsid w:val="008438E7"/>
    <w:rsid w:val="00843B2C"/>
    <w:rsid w:val="00843B5F"/>
    <w:rsid w:val="00843CD0"/>
    <w:rsid w:val="00843E80"/>
    <w:rsid w:val="00843E9C"/>
    <w:rsid w:val="00843F93"/>
    <w:rsid w:val="00844068"/>
    <w:rsid w:val="0084452E"/>
    <w:rsid w:val="00844A8D"/>
    <w:rsid w:val="00844E4F"/>
    <w:rsid w:val="008454E2"/>
    <w:rsid w:val="008456B2"/>
    <w:rsid w:val="00845A63"/>
    <w:rsid w:val="00845B2F"/>
    <w:rsid w:val="00845B82"/>
    <w:rsid w:val="00846110"/>
    <w:rsid w:val="0084616E"/>
    <w:rsid w:val="00846188"/>
    <w:rsid w:val="00846331"/>
    <w:rsid w:val="008463DC"/>
    <w:rsid w:val="00846443"/>
    <w:rsid w:val="00846456"/>
    <w:rsid w:val="00846794"/>
    <w:rsid w:val="0084686F"/>
    <w:rsid w:val="00846C74"/>
    <w:rsid w:val="00846D4D"/>
    <w:rsid w:val="00846F6D"/>
    <w:rsid w:val="00847073"/>
    <w:rsid w:val="00847092"/>
    <w:rsid w:val="008472C7"/>
    <w:rsid w:val="00847467"/>
    <w:rsid w:val="008478EC"/>
    <w:rsid w:val="00847903"/>
    <w:rsid w:val="008479A8"/>
    <w:rsid w:val="00847A89"/>
    <w:rsid w:val="00847C1A"/>
    <w:rsid w:val="00847CBF"/>
    <w:rsid w:val="00847F51"/>
    <w:rsid w:val="00850021"/>
    <w:rsid w:val="00850066"/>
    <w:rsid w:val="00850109"/>
    <w:rsid w:val="00850147"/>
    <w:rsid w:val="00850159"/>
    <w:rsid w:val="008502CB"/>
    <w:rsid w:val="008502E0"/>
    <w:rsid w:val="00850390"/>
    <w:rsid w:val="008504BB"/>
    <w:rsid w:val="008504C9"/>
    <w:rsid w:val="008505D6"/>
    <w:rsid w:val="0085070E"/>
    <w:rsid w:val="0085092A"/>
    <w:rsid w:val="008509A0"/>
    <w:rsid w:val="00850D4B"/>
    <w:rsid w:val="008511C1"/>
    <w:rsid w:val="0085148E"/>
    <w:rsid w:val="008516A9"/>
    <w:rsid w:val="00851896"/>
    <w:rsid w:val="00851B18"/>
    <w:rsid w:val="00851BDA"/>
    <w:rsid w:val="00851C18"/>
    <w:rsid w:val="00851C3D"/>
    <w:rsid w:val="00851EA2"/>
    <w:rsid w:val="00851EFA"/>
    <w:rsid w:val="00851F3F"/>
    <w:rsid w:val="008520B6"/>
    <w:rsid w:val="008521E5"/>
    <w:rsid w:val="0085226D"/>
    <w:rsid w:val="00852385"/>
    <w:rsid w:val="008523B2"/>
    <w:rsid w:val="00852482"/>
    <w:rsid w:val="008527CA"/>
    <w:rsid w:val="00852A86"/>
    <w:rsid w:val="00852B13"/>
    <w:rsid w:val="00852DB7"/>
    <w:rsid w:val="00852EC5"/>
    <w:rsid w:val="00853175"/>
    <w:rsid w:val="00853345"/>
    <w:rsid w:val="008534CC"/>
    <w:rsid w:val="008537EC"/>
    <w:rsid w:val="00853AB8"/>
    <w:rsid w:val="00853C6F"/>
    <w:rsid w:val="00853F8C"/>
    <w:rsid w:val="00853F93"/>
    <w:rsid w:val="008541AB"/>
    <w:rsid w:val="008542C6"/>
    <w:rsid w:val="0085486F"/>
    <w:rsid w:val="00854AB9"/>
    <w:rsid w:val="00854C14"/>
    <w:rsid w:val="00854DEC"/>
    <w:rsid w:val="008556B1"/>
    <w:rsid w:val="008557D4"/>
    <w:rsid w:val="008558D4"/>
    <w:rsid w:val="00855E1B"/>
    <w:rsid w:val="0085618F"/>
    <w:rsid w:val="00856359"/>
    <w:rsid w:val="00856515"/>
    <w:rsid w:val="0085653E"/>
    <w:rsid w:val="0085666E"/>
    <w:rsid w:val="00856684"/>
    <w:rsid w:val="00856998"/>
    <w:rsid w:val="00856A90"/>
    <w:rsid w:val="00856EDC"/>
    <w:rsid w:val="008570CE"/>
    <w:rsid w:val="0085717A"/>
    <w:rsid w:val="008571A8"/>
    <w:rsid w:val="008571FC"/>
    <w:rsid w:val="00857316"/>
    <w:rsid w:val="008573AD"/>
    <w:rsid w:val="00857507"/>
    <w:rsid w:val="00857552"/>
    <w:rsid w:val="0085763E"/>
    <w:rsid w:val="008579BF"/>
    <w:rsid w:val="00857C21"/>
    <w:rsid w:val="00857C54"/>
    <w:rsid w:val="00857D59"/>
    <w:rsid w:val="00857D95"/>
    <w:rsid w:val="00857E29"/>
    <w:rsid w:val="00857E58"/>
    <w:rsid w:val="00860104"/>
    <w:rsid w:val="00860210"/>
    <w:rsid w:val="008603BD"/>
    <w:rsid w:val="008603CF"/>
    <w:rsid w:val="00860432"/>
    <w:rsid w:val="0086054E"/>
    <w:rsid w:val="00860776"/>
    <w:rsid w:val="0086097A"/>
    <w:rsid w:val="008609B6"/>
    <w:rsid w:val="00860C9B"/>
    <w:rsid w:val="00860D16"/>
    <w:rsid w:val="008610B6"/>
    <w:rsid w:val="00861112"/>
    <w:rsid w:val="008611DD"/>
    <w:rsid w:val="00861249"/>
    <w:rsid w:val="00861DE4"/>
    <w:rsid w:val="00861ED0"/>
    <w:rsid w:val="00861EE0"/>
    <w:rsid w:val="00862105"/>
    <w:rsid w:val="0086219B"/>
    <w:rsid w:val="008623B5"/>
    <w:rsid w:val="008627F3"/>
    <w:rsid w:val="008629E0"/>
    <w:rsid w:val="00862ACD"/>
    <w:rsid w:val="00862D31"/>
    <w:rsid w:val="00863243"/>
    <w:rsid w:val="008632D7"/>
    <w:rsid w:val="00863354"/>
    <w:rsid w:val="0086339F"/>
    <w:rsid w:val="0086350C"/>
    <w:rsid w:val="00863677"/>
    <w:rsid w:val="008636B2"/>
    <w:rsid w:val="008636F3"/>
    <w:rsid w:val="0086389E"/>
    <w:rsid w:val="008638A8"/>
    <w:rsid w:val="008639B2"/>
    <w:rsid w:val="00864038"/>
    <w:rsid w:val="008640F6"/>
    <w:rsid w:val="008641CA"/>
    <w:rsid w:val="00864629"/>
    <w:rsid w:val="00864644"/>
    <w:rsid w:val="008646FA"/>
    <w:rsid w:val="008647B8"/>
    <w:rsid w:val="00864939"/>
    <w:rsid w:val="00864961"/>
    <w:rsid w:val="00864C1F"/>
    <w:rsid w:val="00864D27"/>
    <w:rsid w:val="00864F51"/>
    <w:rsid w:val="0086514D"/>
    <w:rsid w:val="0086537D"/>
    <w:rsid w:val="0086560C"/>
    <w:rsid w:val="008656ED"/>
    <w:rsid w:val="00865858"/>
    <w:rsid w:val="00865C61"/>
    <w:rsid w:val="00865E93"/>
    <w:rsid w:val="0086617C"/>
    <w:rsid w:val="00866203"/>
    <w:rsid w:val="00866282"/>
    <w:rsid w:val="008664C7"/>
    <w:rsid w:val="00866838"/>
    <w:rsid w:val="00866C3D"/>
    <w:rsid w:val="00866D42"/>
    <w:rsid w:val="00866DFF"/>
    <w:rsid w:val="00866F9F"/>
    <w:rsid w:val="00866FA5"/>
    <w:rsid w:val="00867029"/>
    <w:rsid w:val="008674CA"/>
    <w:rsid w:val="008675AF"/>
    <w:rsid w:val="00867A95"/>
    <w:rsid w:val="00867F84"/>
    <w:rsid w:val="00870463"/>
    <w:rsid w:val="00870551"/>
    <w:rsid w:val="00870845"/>
    <w:rsid w:val="00870976"/>
    <w:rsid w:val="00870A87"/>
    <w:rsid w:val="00870ABA"/>
    <w:rsid w:val="00870BB2"/>
    <w:rsid w:val="00870E0B"/>
    <w:rsid w:val="00870E0C"/>
    <w:rsid w:val="008710AF"/>
    <w:rsid w:val="008710E1"/>
    <w:rsid w:val="00871124"/>
    <w:rsid w:val="008716DB"/>
    <w:rsid w:val="008716E5"/>
    <w:rsid w:val="008717D4"/>
    <w:rsid w:val="00871CC0"/>
    <w:rsid w:val="00871CD8"/>
    <w:rsid w:val="00871E5C"/>
    <w:rsid w:val="00871F29"/>
    <w:rsid w:val="0087241B"/>
    <w:rsid w:val="00872515"/>
    <w:rsid w:val="008725FD"/>
    <w:rsid w:val="008729F4"/>
    <w:rsid w:val="00872B06"/>
    <w:rsid w:val="00872C1C"/>
    <w:rsid w:val="00872CDB"/>
    <w:rsid w:val="00872E21"/>
    <w:rsid w:val="00872E47"/>
    <w:rsid w:val="00872FAD"/>
    <w:rsid w:val="008732F1"/>
    <w:rsid w:val="008733D6"/>
    <w:rsid w:val="008736A2"/>
    <w:rsid w:val="0087387B"/>
    <w:rsid w:val="00873A17"/>
    <w:rsid w:val="00873C56"/>
    <w:rsid w:val="00873E7E"/>
    <w:rsid w:val="00873ECC"/>
    <w:rsid w:val="00873FB6"/>
    <w:rsid w:val="00874171"/>
    <w:rsid w:val="00874172"/>
    <w:rsid w:val="00874188"/>
    <w:rsid w:val="0087446A"/>
    <w:rsid w:val="0087479A"/>
    <w:rsid w:val="008748BE"/>
    <w:rsid w:val="00874BE4"/>
    <w:rsid w:val="00874CBD"/>
    <w:rsid w:val="00874DBC"/>
    <w:rsid w:val="00874E71"/>
    <w:rsid w:val="008757D0"/>
    <w:rsid w:val="00875A4A"/>
    <w:rsid w:val="00875E4F"/>
    <w:rsid w:val="00875F2E"/>
    <w:rsid w:val="00876206"/>
    <w:rsid w:val="00876240"/>
    <w:rsid w:val="00876347"/>
    <w:rsid w:val="008765EC"/>
    <w:rsid w:val="00876872"/>
    <w:rsid w:val="00876D0E"/>
    <w:rsid w:val="00876DA0"/>
    <w:rsid w:val="00876E7B"/>
    <w:rsid w:val="00876EE6"/>
    <w:rsid w:val="00876F03"/>
    <w:rsid w:val="00877336"/>
    <w:rsid w:val="008777D4"/>
    <w:rsid w:val="00877853"/>
    <w:rsid w:val="0087797B"/>
    <w:rsid w:val="00877A7F"/>
    <w:rsid w:val="00877E6C"/>
    <w:rsid w:val="00877F04"/>
    <w:rsid w:val="00880115"/>
    <w:rsid w:val="00880606"/>
    <w:rsid w:val="00880976"/>
    <w:rsid w:val="00880C37"/>
    <w:rsid w:val="00880E53"/>
    <w:rsid w:val="00881229"/>
    <w:rsid w:val="00881372"/>
    <w:rsid w:val="008819D0"/>
    <w:rsid w:val="008819E9"/>
    <w:rsid w:val="00881CA9"/>
    <w:rsid w:val="00881DB0"/>
    <w:rsid w:val="0088210D"/>
    <w:rsid w:val="008821A4"/>
    <w:rsid w:val="008821B4"/>
    <w:rsid w:val="00882420"/>
    <w:rsid w:val="008824A6"/>
    <w:rsid w:val="008824D0"/>
    <w:rsid w:val="0088275C"/>
    <w:rsid w:val="008828CA"/>
    <w:rsid w:val="00882ADC"/>
    <w:rsid w:val="00882B1C"/>
    <w:rsid w:val="00882F28"/>
    <w:rsid w:val="00883299"/>
    <w:rsid w:val="0088339A"/>
    <w:rsid w:val="008833E6"/>
    <w:rsid w:val="00883459"/>
    <w:rsid w:val="00883628"/>
    <w:rsid w:val="00883678"/>
    <w:rsid w:val="00883ED0"/>
    <w:rsid w:val="008841E4"/>
    <w:rsid w:val="008842C8"/>
    <w:rsid w:val="008844BB"/>
    <w:rsid w:val="008844D3"/>
    <w:rsid w:val="008845F5"/>
    <w:rsid w:val="00884717"/>
    <w:rsid w:val="0088480B"/>
    <w:rsid w:val="00884A3B"/>
    <w:rsid w:val="00884AFB"/>
    <w:rsid w:val="00884BBE"/>
    <w:rsid w:val="00884D64"/>
    <w:rsid w:val="00884F4D"/>
    <w:rsid w:val="008851BB"/>
    <w:rsid w:val="0088528A"/>
    <w:rsid w:val="00885544"/>
    <w:rsid w:val="00885568"/>
    <w:rsid w:val="008858C2"/>
    <w:rsid w:val="008858ED"/>
    <w:rsid w:val="00885A02"/>
    <w:rsid w:val="00885A94"/>
    <w:rsid w:val="00885ADC"/>
    <w:rsid w:val="00885C4E"/>
    <w:rsid w:val="008860FE"/>
    <w:rsid w:val="008861DF"/>
    <w:rsid w:val="00886235"/>
    <w:rsid w:val="0088634E"/>
    <w:rsid w:val="00886417"/>
    <w:rsid w:val="008864E8"/>
    <w:rsid w:val="00886726"/>
    <w:rsid w:val="00886832"/>
    <w:rsid w:val="00886A4E"/>
    <w:rsid w:val="00886DA0"/>
    <w:rsid w:val="00886F3E"/>
    <w:rsid w:val="00887416"/>
    <w:rsid w:val="008875B3"/>
    <w:rsid w:val="00887A2B"/>
    <w:rsid w:val="00887B4C"/>
    <w:rsid w:val="00887F48"/>
    <w:rsid w:val="008902F9"/>
    <w:rsid w:val="008903DF"/>
    <w:rsid w:val="008907E8"/>
    <w:rsid w:val="0089085B"/>
    <w:rsid w:val="0089094D"/>
    <w:rsid w:val="00890D60"/>
    <w:rsid w:val="00890DC0"/>
    <w:rsid w:val="00890FCB"/>
    <w:rsid w:val="0089126F"/>
    <w:rsid w:val="00891549"/>
    <w:rsid w:val="00891640"/>
    <w:rsid w:val="008918C0"/>
    <w:rsid w:val="008918CC"/>
    <w:rsid w:val="00891A28"/>
    <w:rsid w:val="00891E03"/>
    <w:rsid w:val="00891F11"/>
    <w:rsid w:val="00891F6F"/>
    <w:rsid w:val="008921E9"/>
    <w:rsid w:val="008924FB"/>
    <w:rsid w:val="00892602"/>
    <w:rsid w:val="008926D5"/>
    <w:rsid w:val="00892739"/>
    <w:rsid w:val="0089273B"/>
    <w:rsid w:val="008928A6"/>
    <w:rsid w:val="00892A1B"/>
    <w:rsid w:val="00892AAF"/>
    <w:rsid w:val="00892EDA"/>
    <w:rsid w:val="00892EE2"/>
    <w:rsid w:val="00892FA1"/>
    <w:rsid w:val="00893081"/>
    <w:rsid w:val="00893183"/>
    <w:rsid w:val="008932CF"/>
    <w:rsid w:val="008933DD"/>
    <w:rsid w:val="00893747"/>
    <w:rsid w:val="00893889"/>
    <w:rsid w:val="008939D4"/>
    <w:rsid w:val="00893A4F"/>
    <w:rsid w:val="00893AB8"/>
    <w:rsid w:val="00893B19"/>
    <w:rsid w:val="00893BE4"/>
    <w:rsid w:val="00893E5E"/>
    <w:rsid w:val="00893F77"/>
    <w:rsid w:val="00894157"/>
    <w:rsid w:val="0089422C"/>
    <w:rsid w:val="00894278"/>
    <w:rsid w:val="008942CB"/>
    <w:rsid w:val="008944A9"/>
    <w:rsid w:val="008944AF"/>
    <w:rsid w:val="0089459D"/>
    <w:rsid w:val="00894794"/>
    <w:rsid w:val="0089487E"/>
    <w:rsid w:val="00894888"/>
    <w:rsid w:val="00894A07"/>
    <w:rsid w:val="00894AB5"/>
    <w:rsid w:val="00894E98"/>
    <w:rsid w:val="0089510A"/>
    <w:rsid w:val="0089519D"/>
    <w:rsid w:val="00895221"/>
    <w:rsid w:val="008953F2"/>
    <w:rsid w:val="008954C0"/>
    <w:rsid w:val="0089560F"/>
    <w:rsid w:val="00895655"/>
    <w:rsid w:val="008957EC"/>
    <w:rsid w:val="008958A5"/>
    <w:rsid w:val="0089594D"/>
    <w:rsid w:val="00895A0A"/>
    <w:rsid w:val="008961FF"/>
    <w:rsid w:val="00896755"/>
    <w:rsid w:val="008970C1"/>
    <w:rsid w:val="008977FE"/>
    <w:rsid w:val="0089786D"/>
    <w:rsid w:val="00897A0F"/>
    <w:rsid w:val="00897A7A"/>
    <w:rsid w:val="00897EA2"/>
    <w:rsid w:val="008A0113"/>
    <w:rsid w:val="008A04C8"/>
    <w:rsid w:val="008A05CF"/>
    <w:rsid w:val="008A0649"/>
    <w:rsid w:val="008A0857"/>
    <w:rsid w:val="008A0CA5"/>
    <w:rsid w:val="008A0E56"/>
    <w:rsid w:val="008A0FF5"/>
    <w:rsid w:val="008A10BF"/>
    <w:rsid w:val="008A1190"/>
    <w:rsid w:val="008A137A"/>
    <w:rsid w:val="008A13F8"/>
    <w:rsid w:val="008A16E6"/>
    <w:rsid w:val="008A179A"/>
    <w:rsid w:val="008A1A10"/>
    <w:rsid w:val="008A1E64"/>
    <w:rsid w:val="008A202D"/>
    <w:rsid w:val="008A205C"/>
    <w:rsid w:val="008A21A7"/>
    <w:rsid w:val="008A225F"/>
    <w:rsid w:val="008A249B"/>
    <w:rsid w:val="008A27A6"/>
    <w:rsid w:val="008A27AB"/>
    <w:rsid w:val="008A2867"/>
    <w:rsid w:val="008A2944"/>
    <w:rsid w:val="008A2B53"/>
    <w:rsid w:val="008A2BDE"/>
    <w:rsid w:val="008A2F38"/>
    <w:rsid w:val="008A3167"/>
    <w:rsid w:val="008A3219"/>
    <w:rsid w:val="008A33BE"/>
    <w:rsid w:val="008A3468"/>
    <w:rsid w:val="008A34FC"/>
    <w:rsid w:val="008A36BB"/>
    <w:rsid w:val="008A370F"/>
    <w:rsid w:val="008A3891"/>
    <w:rsid w:val="008A3A0D"/>
    <w:rsid w:val="008A3BD5"/>
    <w:rsid w:val="008A3C65"/>
    <w:rsid w:val="008A3CDE"/>
    <w:rsid w:val="008A3D40"/>
    <w:rsid w:val="008A3EEA"/>
    <w:rsid w:val="008A4A18"/>
    <w:rsid w:val="008A4A4D"/>
    <w:rsid w:val="008A4AC3"/>
    <w:rsid w:val="008A4AE4"/>
    <w:rsid w:val="008A510F"/>
    <w:rsid w:val="008A52D7"/>
    <w:rsid w:val="008A5368"/>
    <w:rsid w:val="008A54CA"/>
    <w:rsid w:val="008A5611"/>
    <w:rsid w:val="008A57CE"/>
    <w:rsid w:val="008A5C9C"/>
    <w:rsid w:val="008A61B8"/>
    <w:rsid w:val="008A6638"/>
    <w:rsid w:val="008A68CC"/>
    <w:rsid w:val="008A6913"/>
    <w:rsid w:val="008A6A5D"/>
    <w:rsid w:val="008A6CC2"/>
    <w:rsid w:val="008A72AF"/>
    <w:rsid w:val="008A739F"/>
    <w:rsid w:val="008A755B"/>
    <w:rsid w:val="008A77A4"/>
    <w:rsid w:val="008A7A8A"/>
    <w:rsid w:val="008A7CD3"/>
    <w:rsid w:val="008A7E9E"/>
    <w:rsid w:val="008A7FBA"/>
    <w:rsid w:val="008B0134"/>
    <w:rsid w:val="008B013F"/>
    <w:rsid w:val="008B015A"/>
    <w:rsid w:val="008B0911"/>
    <w:rsid w:val="008B0940"/>
    <w:rsid w:val="008B0AB8"/>
    <w:rsid w:val="008B0B57"/>
    <w:rsid w:val="008B0BC9"/>
    <w:rsid w:val="008B0EFC"/>
    <w:rsid w:val="008B0F18"/>
    <w:rsid w:val="008B0F5B"/>
    <w:rsid w:val="008B1221"/>
    <w:rsid w:val="008B133F"/>
    <w:rsid w:val="008B1703"/>
    <w:rsid w:val="008B187C"/>
    <w:rsid w:val="008B1C67"/>
    <w:rsid w:val="008B1DF8"/>
    <w:rsid w:val="008B1E9C"/>
    <w:rsid w:val="008B205E"/>
    <w:rsid w:val="008B20D8"/>
    <w:rsid w:val="008B2478"/>
    <w:rsid w:val="008B2893"/>
    <w:rsid w:val="008B2A70"/>
    <w:rsid w:val="008B2AAB"/>
    <w:rsid w:val="008B2AC3"/>
    <w:rsid w:val="008B2AC8"/>
    <w:rsid w:val="008B2C71"/>
    <w:rsid w:val="008B2D15"/>
    <w:rsid w:val="008B2D81"/>
    <w:rsid w:val="008B3196"/>
    <w:rsid w:val="008B336E"/>
    <w:rsid w:val="008B354B"/>
    <w:rsid w:val="008B385D"/>
    <w:rsid w:val="008B3C7C"/>
    <w:rsid w:val="008B3D2A"/>
    <w:rsid w:val="008B3EA7"/>
    <w:rsid w:val="008B3FD2"/>
    <w:rsid w:val="008B3FFB"/>
    <w:rsid w:val="008B40A6"/>
    <w:rsid w:val="008B42EC"/>
    <w:rsid w:val="008B4352"/>
    <w:rsid w:val="008B4506"/>
    <w:rsid w:val="008B450E"/>
    <w:rsid w:val="008B4583"/>
    <w:rsid w:val="008B4595"/>
    <w:rsid w:val="008B4646"/>
    <w:rsid w:val="008B4B27"/>
    <w:rsid w:val="008B4CAB"/>
    <w:rsid w:val="008B51A4"/>
    <w:rsid w:val="008B53D1"/>
    <w:rsid w:val="008B5613"/>
    <w:rsid w:val="008B5856"/>
    <w:rsid w:val="008B5AE7"/>
    <w:rsid w:val="008B5B03"/>
    <w:rsid w:val="008B5D96"/>
    <w:rsid w:val="008B5ECD"/>
    <w:rsid w:val="008B5F4A"/>
    <w:rsid w:val="008B5FC1"/>
    <w:rsid w:val="008B65D0"/>
    <w:rsid w:val="008B65D3"/>
    <w:rsid w:val="008B65FD"/>
    <w:rsid w:val="008B6618"/>
    <w:rsid w:val="008B670F"/>
    <w:rsid w:val="008B6BED"/>
    <w:rsid w:val="008B6CCC"/>
    <w:rsid w:val="008B6D4A"/>
    <w:rsid w:val="008B6DCA"/>
    <w:rsid w:val="008B70F3"/>
    <w:rsid w:val="008B71C4"/>
    <w:rsid w:val="008B7537"/>
    <w:rsid w:val="008B769B"/>
    <w:rsid w:val="008B76DF"/>
    <w:rsid w:val="008B775A"/>
    <w:rsid w:val="008B780B"/>
    <w:rsid w:val="008B7944"/>
    <w:rsid w:val="008B79D4"/>
    <w:rsid w:val="008B7B0D"/>
    <w:rsid w:val="008B7BF2"/>
    <w:rsid w:val="008B7C65"/>
    <w:rsid w:val="008B7DA9"/>
    <w:rsid w:val="008B7FD6"/>
    <w:rsid w:val="008B7FE4"/>
    <w:rsid w:val="008C005D"/>
    <w:rsid w:val="008C007D"/>
    <w:rsid w:val="008C007E"/>
    <w:rsid w:val="008C0170"/>
    <w:rsid w:val="008C0346"/>
    <w:rsid w:val="008C061C"/>
    <w:rsid w:val="008C095C"/>
    <w:rsid w:val="008C0A05"/>
    <w:rsid w:val="008C0C76"/>
    <w:rsid w:val="008C0D3B"/>
    <w:rsid w:val="008C0E70"/>
    <w:rsid w:val="008C0EE7"/>
    <w:rsid w:val="008C1089"/>
    <w:rsid w:val="008C10F4"/>
    <w:rsid w:val="008C1121"/>
    <w:rsid w:val="008C12D4"/>
    <w:rsid w:val="008C13B3"/>
    <w:rsid w:val="008C16F0"/>
    <w:rsid w:val="008C1971"/>
    <w:rsid w:val="008C197D"/>
    <w:rsid w:val="008C1CAF"/>
    <w:rsid w:val="008C1CF6"/>
    <w:rsid w:val="008C1DC3"/>
    <w:rsid w:val="008C1FEB"/>
    <w:rsid w:val="008C2147"/>
    <w:rsid w:val="008C26A4"/>
    <w:rsid w:val="008C2A5F"/>
    <w:rsid w:val="008C2FF6"/>
    <w:rsid w:val="008C3118"/>
    <w:rsid w:val="008C31B4"/>
    <w:rsid w:val="008C3372"/>
    <w:rsid w:val="008C36C3"/>
    <w:rsid w:val="008C38A1"/>
    <w:rsid w:val="008C3B44"/>
    <w:rsid w:val="008C3CCB"/>
    <w:rsid w:val="008C3D33"/>
    <w:rsid w:val="008C3D5B"/>
    <w:rsid w:val="008C3E44"/>
    <w:rsid w:val="008C3EF1"/>
    <w:rsid w:val="008C4394"/>
    <w:rsid w:val="008C43B6"/>
    <w:rsid w:val="008C458F"/>
    <w:rsid w:val="008C45BF"/>
    <w:rsid w:val="008C4820"/>
    <w:rsid w:val="008C4944"/>
    <w:rsid w:val="008C4D33"/>
    <w:rsid w:val="008C4D70"/>
    <w:rsid w:val="008C52E0"/>
    <w:rsid w:val="008C574C"/>
    <w:rsid w:val="008C577D"/>
    <w:rsid w:val="008C5838"/>
    <w:rsid w:val="008C598A"/>
    <w:rsid w:val="008C5FA5"/>
    <w:rsid w:val="008C6067"/>
    <w:rsid w:val="008C6072"/>
    <w:rsid w:val="008C60A7"/>
    <w:rsid w:val="008C62DF"/>
    <w:rsid w:val="008C6323"/>
    <w:rsid w:val="008C65DE"/>
    <w:rsid w:val="008C65F7"/>
    <w:rsid w:val="008C6759"/>
    <w:rsid w:val="008C6768"/>
    <w:rsid w:val="008C6926"/>
    <w:rsid w:val="008C6BFA"/>
    <w:rsid w:val="008C6C71"/>
    <w:rsid w:val="008C6D7C"/>
    <w:rsid w:val="008C7153"/>
    <w:rsid w:val="008C73FD"/>
    <w:rsid w:val="008C764E"/>
    <w:rsid w:val="008C7697"/>
    <w:rsid w:val="008C76AE"/>
    <w:rsid w:val="008C781F"/>
    <w:rsid w:val="008C7AE8"/>
    <w:rsid w:val="008C7AF7"/>
    <w:rsid w:val="008D016F"/>
    <w:rsid w:val="008D01DF"/>
    <w:rsid w:val="008D065C"/>
    <w:rsid w:val="008D0815"/>
    <w:rsid w:val="008D0DE7"/>
    <w:rsid w:val="008D0DF8"/>
    <w:rsid w:val="008D120A"/>
    <w:rsid w:val="008D128E"/>
    <w:rsid w:val="008D1480"/>
    <w:rsid w:val="008D14D7"/>
    <w:rsid w:val="008D16B9"/>
    <w:rsid w:val="008D174E"/>
    <w:rsid w:val="008D192D"/>
    <w:rsid w:val="008D1AB8"/>
    <w:rsid w:val="008D1B7D"/>
    <w:rsid w:val="008D1FC9"/>
    <w:rsid w:val="008D20FB"/>
    <w:rsid w:val="008D2153"/>
    <w:rsid w:val="008D2241"/>
    <w:rsid w:val="008D23C7"/>
    <w:rsid w:val="008D2832"/>
    <w:rsid w:val="008D2AB2"/>
    <w:rsid w:val="008D2E32"/>
    <w:rsid w:val="008D2FE3"/>
    <w:rsid w:val="008D30AE"/>
    <w:rsid w:val="008D3231"/>
    <w:rsid w:val="008D3416"/>
    <w:rsid w:val="008D3BB6"/>
    <w:rsid w:val="008D3D17"/>
    <w:rsid w:val="008D412E"/>
    <w:rsid w:val="008D424A"/>
    <w:rsid w:val="008D445A"/>
    <w:rsid w:val="008D4607"/>
    <w:rsid w:val="008D46C7"/>
    <w:rsid w:val="008D499B"/>
    <w:rsid w:val="008D4AB5"/>
    <w:rsid w:val="008D4B2F"/>
    <w:rsid w:val="008D4BF4"/>
    <w:rsid w:val="008D4D26"/>
    <w:rsid w:val="008D5040"/>
    <w:rsid w:val="008D5175"/>
    <w:rsid w:val="008D51D5"/>
    <w:rsid w:val="008D5244"/>
    <w:rsid w:val="008D53FC"/>
    <w:rsid w:val="008D54C9"/>
    <w:rsid w:val="008D5505"/>
    <w:rsid w:val="008D5673"/>
    <w:rsid w:val="008D591B"/>
    <w:rsid w:val="008D5A28"/>
    <w:rsid w:val="008D5ABB"/>
    <w:rsid w:val="008D5D83"/>
    <w:rsid w:val="008D5E96"/>
    <w:rsid w:val="008D5FDB"/>
    <w:rsid w:val="008D61E8"/>
    <w:rsid w:val="008D648E"/>
    <w:rsid w:val="008D649E"/>
    <w:rsid w:val="008D65F3"/>
    <w:rsid w:val="008D66A7"/>
    <w:rsid w:val="008D6723"/>
    <w:rsid w:val="008D6B9D"/>
    <w:rsid w:val="008D6CB5"/>
    <w:rsid w:val="008D6E27"/>
    <w:rsid w:val="008D6E8C"/>
    <w:rsid w:val="008D6E91"/>
    <w:rsid w:val="008D6EED"/>
    <w:rsid w:val="008D6EEF"/>
    <w:rsid w:val="008D7013"/>
    <w:rsid w:val="008D70E3"/>
    <w:rsid w:val="008D7399"/>
    <w:rsid w:val="008D75EC"/>
    <w:rsid w:val="008D773A"/>
    <w:rsid w:val="008D773C"/>
    <w:rsid w:val="008D7753"/>
    <w:rsid w:val="008D7994"/>
    <w:rsid w:val="008D79FF"/>
    <w:rsid w:val="008D7B6F"/>
    <w:rsid w:val="008D7C8B"/>
    <w:rsid w:val="008E0260"/>
    <w:rsid w:val="008E02AD"/>
    <w:rsid w:val="008E02E2"/>
    <w:rsid w:val="008E0359"/>
    <w:rsid w:val="008E05B0"/>
    <w:rsid w:val="008E0701"/>
    <w:rsid w:val="008E0A13"/>
    <w:rsid w:val="008E0D2F"/>
    <w:rsid w:val="008E0D8D"/>
    <w:rsid w:val="008E0F26"/>
    <w:rsid w:val="008E11B1"/>
    <w:rsid w:val="008E12CD"/>
    <w:rsid w:val="008E1330"/>
    <w:rsid w:val="008E15E9"/>
    <w:rsid w:val="008E16A9"/>
    <w:rsid w:val="008E172B"/>
    <w:rsid w:val="008E19F4"/>
    <w:rsid w:val="008E1B64"/>
    <w:rsid w:val="008E1C4C"/>
    <w:rsid w:val="008E2035"/>
    <w:rsid w:val="008E26D8"/>
    <w:rsid w:val="008E2861"/>
    <w:rsid w:val="008E29A0"/>
    <w:rsid w:val="008E2B38"/>
    <w:rsid w:val="008E2FFA"/>
    <w:rsid w:val="008E3076"/>
    <w:rsid w:val="008E340F"/>
    <w:rsid w:val="008E3642"/>
    <w:rsid w:val="008E364B"/>
    <w:rsid w:val="008E38B5"/>
    <w:rsid w:val="008E3CB2"/>
    <w:rsid w:val="008E3E54"/>
    <w:rsid w:val="008E3E5A"/>
    <w:rsid w:val="008E4690"/>
    <w:rsid w:val="008E4767"/>
    <w:rsid w:val="008E483B"/>
    <w:rsid w:val="008E48CD"/>
    <w:rsid w:val="008E4B0A"/>
    <w:rsid w:val="008E4B13"/>
    <w:rsid w:val="008E4C2D"/>
    <w:rsid w:val="008E4D71"/>
    <w:rsid w:val="008E5006"/>
    <w:rsid w:val="008E512E"/>
    <w:rsid w:val="008E575D"/>
    <w:rsid w:val="008E588D"/>
    <w:rsid w:val="008E5ACE"/>
    <w:rsid w:val="008E5C04"/>
    <w:rsid w:val="008E5CB2"/>
    <w:rsid w:val="008E5D22"/>
    <w:rsid w:val="008E6067"/>
    <w:rsid w:val="008E627E"/>
    <w:rsid w:val="008E62EB"/>
    <w:rsid w:val="008E63C7"/>
    <w:rsid w:val="008E6460"/>
    <w:rsid w:val="008E66D5"/>
    <w:rsid w:val="008E6C7C"/>
    <w:rsid w:val="008E6C92"/>
    <w:rsid w:val="008E6FA2"/>
    <w:rsid w:val="008E77F2"/>
    <w:rsid w:val="008E797B"/>
    <w:rsid w:val="008E7A89"/>
    <w:rsid w:val="008E7A8C"/>
    <w:rsid w:val="008E7DE6"/>
    <w:rsid w:val="008E7E87"/>
    <w:rsid w:val="008F00F1"/>
    <w:rsid w:val="008F0387"/>
    <w:rsid w:val="008F05F8"/>
    <w:rsid w:val="008F08CA"/>
    <w:rsid w:val="008F09B4"/>
    <w:rsid w:val="008F0E09"/>
    <w:rsid w:val="008F0E27"/>
    <w:rsid w:val="008F108D"/>
    <w:rsid w:val="008F11BB"/>
    <w:rsid w:val="008F1269"/>
    <w:rsid w:val="008F12C8"/>
    <w:rsid w:val="008F155A"/>
    <w:rsid w:val="008F176A"/>
    <w:rsid w:val="008F1802"/>
    <w:rsid w:val="008F1825"/>
    <w:rsid w:val="008F19B8"/>
    <w:rsid w:val="008F2552"/>
    <w:rsid w:val="008F2880"/>
    <w:rsid w:val="008F2908"/>
    <w:rsid w:val="008F2910"/>
    <w:rsid w:val="008F2DC4"/>
    <w:rsid w:val="008F2F97"/>
    <w:rsid w:val="008F32C4"/>
    <w:rsid w:val="008F3403"/>
    <w:rsid w:val="008F3580"/>
    <w:rsid w:val="008F37B2"/>
    <w:rsid w:val="008F37C5"/>
    <w:rsid w:val="008F37F5"/>
    <w:rsid w:val="008F3A9E"/>
    <w:rsid w:val="008F3C55"/>
    <w:rsid w:val="008F3C68"/>
    <w:rsid w:val="008F3ED3"/>
    <w:rsid w:val="008F3FB3"/>
    <w:rsid w:val="008F4019"/>
    <w:rsid w:val="008F4156"/>
    <w:rsid w:val="008F44FD"/>
    <w:rsid w:val="008F47AE"/>
    <w:rsid w:val="008F4906"/>
    <w:rsid w:val="008F4992"/>
    <w:rsid w:val="008F4BF1"/>
    <w:rsid w:val="008F50EC"/>
    <w:rsid w:val="008F514C"/>
    <w:rsid w:val="008F530B"/>
    <w:rsid w:val="008F549D"/>
    <w:rsid w:val="008F5D18"/>
    <w:rsid w:val="008F5D6A"/>
    <w:rsid w:val="008F61AB"/>
    <w:rsid w:val="008F635C"/>
    <w:rsid w:val="008F63BE"/>
    <w:rsid w:val="008F63C2"/>
    <w:rsid w:val="008F6490"/>
    <w:rsid w:val="008F65B6"/>
    <w:rsid w:val="008F66A2"/>
    <w:rsid w:val="008F6990"/>
    <w:rsid w:val="008F6A62"/>
    <w:rsid w:val="008F6AD8"/>
    <w:rsid w:val="008F7020"/>
    <w:rsid w:val="008F7091"/>
    <w:rsid w:val="008F727F"/>
    <w:rsid w:val="008F72CA"/>
    <w:rsid w:val="008F7435"/>
    <w:rsid w:val="008F7533"/>
    <w:rsid w:val="008F759C"/>
    <w:rsid w:val="008F7761"/>
    <w:rsid w:val="008F7B36"/>
    <w:rsid w:val="008F7C8F"/>
    <w:rsid w:val="008F7CDE"/>
    <w:rsid w:val="008F7EFB"/>
    <w:rsid w:val="0090026E"/>
    <w:rsid w:val="009003F0"/>
    <w:rsid w:val="009004C8"/>
    <w:rsid w:val="00900679"/>
    <w:rsid w:val="00900C78"/>
    <w:rsid w:val="00900ED9"/>
    <w:rsid w:val="00900FB9"/>
    <w:rsid w:val="009010E7"/>
    <w:rsid w:val="00901118"/>
    <w:rsid w:val="00901696"/>
    <w:rsid w:val="00901740"/>
    <w:rsid w:val="00901928"/>
    <w:rsid w:val="009019FF"/>
    <w:rsid w:val="00901FA9"/>
    <w:rsid w:val="00901FB2"/>
    <w:rsid w:val="0090203B"/>
    <w:rsid w:val="00902066"/>
    <w:rsid w:val="00902432"/>
    <w:rsid w:val="00902489"/>
    <w:rsid w:val="00902523"/>
    <w:rsid w:val="009025EC"/>
    <w:rsid w:val="00902BCF"/>
    <w:rsid w:val="00902BDA"/>
    <w:rsid w:val="00903285"/>
    <w:rsid w:val="00903499"/>
    <w:rsid w:val="009035F7"/>
    <w:rsid w:val="009038F0"/>
    <w:rsid w:val="00903901"/>
    <w:rsid w:val="00903935"/>
    <w:rsid w:val="00903A2E"/>
    <w:rsid w:val="00903B40"/>
    <w:rsid w:val="00903C39"/>
    <w:rsid w:val="0090443B"/>
    <w:rsid w:val="0090445D"/>
    <w:rsid w:val="00904463"/>
    <w:rsid w:val="00904690"/>
    <w:rsid w:val="009049DE"/>
    <w:rsid w:val="00904BCB"/>
    <w:rsid w:val="00904BF4"/>
    <w:rsid w:val="00904C19"/>
    <w:rsid w:val="00904CB1"/>
    <w:rsid w:val="00904EA6"/>
    <w:rsid w:val="009050E3"/>
    <w:rsid w:val="009051E4"/>
    <w:rsid w:val="009056D0"/>
    <w:rsid w:val="009056EC"/>
    <w:rsid w:val="009058DD"/>
    <w:rsid w:val="00905B45"/>
    <w:rsid w:val="00905E5F"/>
    <w:rsid w:val="00905F78"/>
    <w:rsid w:val="00906180"/>
    <w:rsid w:val="009062E9"/>
    <w:rsid w:val="00906531"/>
    <w:rsid w:val="009068A8"/>
    <w:rsid w:val="00906AD1"/>
    <w:rsid w:val="00906CBA"/>
    <w:rsid w:val="00906F40"/>
    <w:rsid w:val="00907060"/>
    <w:rsid w:val="009070EF"/>
    <w:rsid w:val="00907209"/>
    <w:rsid w:val="0090731E"/>
    <w:rsid w:val="00907A73"/>
    <w:rsid w:val="00907AEA"/>
    <w:rsid w:val="00907CA3"/>
    <w:rsid w:val="00907F18"/>
    <w:rsid w:val="0091008D"/>
    <w:rsid w:val="009100DA"/>
    <w:rsid w:val="0091084C"/>
    <w:rsid w:val="009108DC"/>
    <w:rsid w:val="0091095C"/>
    <w:rsid w:val="00910E20"/>
    <w:rsid w:val="0091106E"/>
    <w:rsid w:val="0091135B"/>
    <w:rsid w:val="009113DB"/>
    <w:rsid w:val="0091149A"/>
    <w:rsid w:val="009115BE"/>
    <w:rsid w:val="0091166B"/>
    <w:rsid w:val="00911AA8"/>
    <w:rsid w:val="00911ADF"/>
    <w:rsid w:val="00911C97"/>
    <w:rsid w:val="00911D89"/>
    <w:rsid w:val="00911EFC"/>
    <w:rsid w:val="00912148"/>
    <w:rsid w:val="009121E9"/>
    <w:rsid w:val="009121F6"/>
    <w:rsid w:val="00912476"/>
    <w:rsid w:val="009126A1"/>
    <w:rsid w:val="009127A8"/>
    <w:rsid w:val="009128FE"/>
    <w:rsid w:val="00912AD5"/>
    <w:rsid w:val="00912CC7"/>
    <w:rsid w:val="00912F51"/>
    <w:rsid w:val="00912FAF"/>
    <w:rsid w:val="00913015"/>
    <w:rsid w:val="009130A0"/>
    <w:rsid w:val="00913344"/>
    <w:rsid w:val="009134C1"/>
    <w:rsid w:val="00913662"/>
    <w:rsid w:val="00913762"/>
    <w:rsid w:val="009137C4"/>
    <w:rsid w:val="00913B12"/>
    <w:rsid w:val="00913BFD"/>
    <w:rsid w:val="00913D9D"/>
    <w:rsid w:val="00913F12"/>
    <w:rsid w:val="0091408E"/>
    <w:rsid w:val="009140BB"/>
    <w:rsid w:val="009140C4"/>
    <w:rsid w:val="009141B6"/>
    <w:rsid w:val="009144B6"/>
    <w:rsid w:val="009145A4"/>
    <w:rsid w:val="0091467C"/>
    <w:rsid w:val="00914B80"/>
    <w:rsid w:val="00914E45"/>
    <w:rsid w:val="00914F09"/>
    <w:rsid w:val="00915127"/>
    <w:rsid w:val="009153D0"/>
    <w:rsid w:val="00915427"/>
    <w:rsid w:val="009154D8"/>
    <w:rsid w:val="00915695"/>
    <w:rsid w:val="00915B1C"/>
    <w:rsid w:val="00915DE0"/>
    <w:rsid w:val="00915F45"/>
    <w:rsid w:val="00915FAC"/>
    <w:rsid w:val="0091620F"/>
    <w:rsid w:val="0091646F"/>
    <w:rsid w:val="00916903"/>
    <w:rsid w:val="00916933"/>
    <w:rsid w:val="00916E1A"/>
    <w:rsid w:val="0091717B"/>
    <w:rsid w:val="0091722E"/>
    <w:rsid w:val="00917262"/>
    <w:rsid w:val="00917361"/>
    <w:rsid w:val="0091744C"/>
    <w:rsid w:val="009174B8"/>
    <w:rsid w:val="009174F3"/>
    <w:rsid w:val="00917502"/>
    <w:rsid w:val="00917535"/>
    <w:rsid w:val="0091755A"/>
    <w:rsid w:val="00917582"/>
    <w:rsid w:val="009176D5"/>
    <w:rsid w:val="009176E7"/>
    <w:rsid w:val="0091777A"/>
    <w:rsid w:val="0091797D"/>
    <w:rsid w:val="00917A06"/>
    <w:rsid w:val="00917A75"/>
    <w:rsid w:val="00917D7F"/>
    <w:rsid w:val="0092010A"/>
    <w:rsid w:val="009204EE"/>
    <w:rsid w:val="00920833"/>
    <w:rsid w:val="00920C74"/>
    <w:rsid w:val="009216CC"/>
    <w:rsid w:val="00921C25"/>
    <w:rsid w:val="00921E62"/>
    <w:rsid w:val="00921E81"/>
    <w:rsid w:val="0092201A"/>
    <w:rsid w:val="0092218F"/>
    <w:rsid w:val="00923156"/>
    <w:rsid w:val="00923178"/>
    <w:rsid w:val="009238BA"/>
    <w:rsid w:val="00923C88"/>
    <w:rsid w:val="00923C93"/>
    <w:rsid w:val="00923CBA"/>
    <w:rsid w:val="00923CD9"/>
    <w:rsid w:val="00923D06"/>
    <w:rsid w:val="00923DC7"/>
    <w:rsid w:val="00923DD3"/>
    <w:rsid w:val="00923EB1"/>
    <w:rsid w:val="00923F7E"/>
    <w:rsid w:val="0092411D"/>
    <w:rsid w:val="009242EB"/>
    <w:rsid w:val="009243D2"/>
    <w:rsid w:val="00924474"/>
    <w:rsid w:val="00924A9B"/>
    <w:rsid w:val="00924AC3"/>
    <w:rsid w:val="00924EDA"/>
    <w:rsid w:val="00925050"/>
    <w:rsid w:val="00925191"/>
    <w:rsid w:val="00925243"/>
    <w:rsid w:val="00925258"/>
    <w:rsid w:val="00925287"/>
    <w:rsid w:val="00925542"/>
    <w:rsid w:val="00925D2B"/>
    <w:rsid w:val="00925F34"/>
    <w:rsid w:val="009260F8"/>
    <w:rsid w:val="00926703"/>
    <w:rsid w:val="00926769"/>
    <w:rsid w:val="0092690B"/>
    <w:rsid w:val="00926A69"/>
    <w:rsid w:val="00926D72"/>
    <w:rsid w:val="00927439"/>
    <w:rsid w:val="0092754A"/>
    <w:rsid w:val="00927691"/>
    <w:rsid w:val="00927A5F"/>
    <w:rsid w:val="00927B50"/>
    <w:rsid w:val="00927BEC"/>
    <w:rsid w:val="009303FE"/>
    <w:rsid w:val="00930443"/>
    <w:rsid w:val="009304A3"/>
    <w:rsid w:val="009304CC"/>
    <w:rsid w:val="00930510"/>
    <w:rsid w:val="009305FB"/>
    <w:rsid w:val="0093072D"/>
    <w:rsid w:val="00930A16"/>
    <w:rsid w:val="00930C72"/>
    <w:rsid w:val="00930F38"/>
    <w:rsid w:val="00931A54"/>
    <w:rsid w:val="00931EC6"/>
    <w:rsid w:val="009321CA"/>
    <w:rsid w:val="009325A9"/>
    <w:rsid w:val="00932EE2"/>
    <w:rsid w:val="00933643"/>
    <w:rsid w:val="0093389F"/>
    <w:rsid w:val="009338B7"/>
    <w:rsid w:val="009338C0"/>
    <w:rsid w:val="00933905"/>
    <w:rsid w:val="0093396A"/>
    <w:rsid w:val="00934284"/>
    <w:rsid w:val="009343FF"/>
    <w:rsid w:val="009344F8"/>
    <w:rsid w:val="0093451B"/>
    <w:rsid w:val="009346C7"/>
    <w:rsid w:val="009347F4"/>
    <w:rsid w:val="0093480A"/>
    <w:rsid w:val="00934875"/>
    <w:rsid w:val="00934A55"/>
    <w:rsid w:val="00934B48"/>
    <w:rsid w:val="00934CD8"/>
    <w:rsid w:val="00935407"/>
    <w:rsid w:val="00935603"/>
    <w:rsid w:val="00935670"/>
    <w:rsid w:val="00935682"/>
    <w:rsid w:val="00935984"/>
    <w:rsid w:val="00935B63"/>
    <w:rsid w:val="00935C26"/>
    <w:rsid w:val="00935D47"/>
    <w:rsid w:val="009362CC"/>
    <w:rsid w:val="00936419"/>
    <w:rsid w:val="00936451"/>
    <w:rsid w:val="0093699C"/>
    <w:rsid w:val="00936B3D"/>
    <w:rsid w:val="00936BFC"/>
    <w:rsid w:val="00936E45"/>
    <w:rsid w:val="00936FA9"/>
    <w:rsid w:val="009371C3"/>
    <w:rsid w:val="009373AF"/>
    <w:rsid w:val="009374AE"/>
    <w:rsid w:val="0093757F"/>
    <w:rsid w:val="0093777F"/>
    <w:rsid w:val="00937935"/>
    <w:rsid w:val="0093794B"/>
    <w:rsid w:val="00937C10"/>
    <w:rsid w:val="00937C1A"/>
    <w:rsid w:val="00937C32"/>
    <w:rsid w:val="00937F5E"/>
    <w:rsid w:val="00937FD7"/>
    <w:rsid w:val="009400B3"/>
    <w:rsid w:val="00940210"/>
    <w:rsid w:val="0094046E"/>
    <w:rsid w:val="00940531"/>
    <w:rsid w:val="0094066E"/>
    <w:rsid w:val="0094078F"/>
    <w:rsid w:val="0094080C"/>
    <w:rsid w:val="00940A0D"/>
    <w:rsid w:val="00940A58"/>
    <w:rsid w:val="00940B37"/>
    <w:rsid w:val="00940FA3"/>
    <w:rsid w:val="009412AA"/>
    <w:rsid w:val="009412E2"/>
    <w:rsid w:val="009413D1"/>
    <w:rsid w:val="00941525"/>
    <w:rsid w:val="0094174C"/>
    <w:rsid w:val="00941CAF"/>
    <w:rsid w:val="00941D72"/>
    <w:rsid w:val="00941E8C"/>
    <w:rsid w:val="00941FB0"/>
    <w:rsid w:val="00942102"/>
    <w:rsid w:val="00942275"/>
    <w:rsid w:val="009425C9"/>
    <w:rsid w:val="00942610"/>
    <w:rsid w:val="009426D4"/>
    <w:rsid w:val="0094284B"/>
    <w:rsid w:val="0094295B"/>
    <w:rsid w:val="009429D4"/>
    <w:rsid w:val="00942A4D"/>
    <w:rsid w:val="00942A7E"/>
    <w:rsid w:val="00943005"/>
    <w:rsid w:val="00943208"/>
    <w:rsid w:val="00943425"/>
    <w:rsid w:val="009435A8"/>
    <w:rsid w:val="009435FD"/>
    <w:rsid w:val="009436F0"/>
    <w:rsid w:val="00943768"/>
    <w:rsid w:val="00943927"/>
    <w:rsid w:val="00943B77"/>
    <w:rsid w:val="00943CAE"/>
    <w:rsid w:val="0094417C"/>
    <w:rsid w:val="009443D6"/>
    <w:rsid w:val="00944604"/>
    <w:rsid w:val="009446B1"/>
    <w:rsid w:val="009446BD"/>
    <w:rsid w:val="00944844"/>
    <w:rsid w:val="00944853"/>
    <w:rsid w:val="00944B2A"/>
    <w:rsid w:val="00944BA4"/>
    <w:rsid w:val="00944BC1"/>
    <w:rsid w:val="00944D8A"/>
    <w:rsid w:val="00944E48"/>
    <w:rsid w:val="009450DB"/>
    <w:rsid w:val="009451BD"/>
    <w:rsid w:val="0094567E"/>
    <w:rsid w:val="00945877"/>
    <w:rsid w:val="00945B6C"/>
    <w:rsid w:val="00945F9C"/>
    <w:rsid w:val="0094651D"/>
    <w:rsid w:val="009466DE"/>
    <w:rsid w:val="009466E3"/>
    <w:rsid w:val="0094670F"/>
    <w:rsid w:val="0094679F"/>
    <w:rsid w:val="00946875"/>
    <w:rsid w:val="00946CA3"/>
    <w:rsid w:val="00946E47"/>
    <w:rsid w:val="00946E8D"/>
    <w:rsid w:val="00946E9B"/>
    <w:rsid w:val="009471EA"/>
    <w:rsid w:val="009472B3"/>
    <w:rsid w:val="00947565"/>
    <w:rsid w:val="00947704"/>
    <w:rsid w:val="009478B8"/>
    <w:rsid w:val="0094797B"/>
    <w:rsid w:val="00947B5B"/>
    <w:rsid w:val="00947B96"/>
    <w:rsid w:val="00947DF6"/>
    <w:rsid w:val="00947F25"/>
    <w:rsid w:val="00950159"/>
    <w:rsid w:val="009501C9"/>
    <w:rsid w:val="00950361"/>
    <w:rsid w:val="009505C4"/>
    <w:rsid w:val="009507AA"/>
    <w:rsid w:val="00950BE1"/>
    <w:rsid w:val="00950F56"/>
    <w:rsid w:val="009511A7"/>
    <w:rsid w:val="0095135B"/>
    <w:rsid w:val="0095164E"/>
    <w:rsid w:val="00951758"/>
    <w:rsid w:val="0095195B"/>
    <w:rsid w:val="009519AF"/>
    <w:rsid w:val="00951AEE"/>
    <w:rsid w:val="00951BB2"/>
    <w:rsid w:val="00951D18"/>
    <w:rsid w:val="00951D44"/>
    <w:rsid w:val="00951E95"/>
    <w:rsid w:val="0095225A"/>
    <w:rsid w:val="009522DC"/>
    <w:rsid w:val="00952353"/>
    <w:rsid w:val="00952394"/>
    <w:rsid w:val="0095247E"/>
    <w:rsid w:val="009526F0"/>
    <w:rsid w:val="0095283D"/>
    <w:rsid w:val="00952878"/>
    <w:rsid w:val="00952B2C"/>
    <w:rsid w:val="00952CFF"/>
    <w:rsid w:val="00952E69"/>
    <w:rsid w:val="0095304D"/>
    <w:rsid w:val="00953121"/>
    <w:rsid w:val="00953409"/>
    <w:rsid w:val="009534DA"/>
    <w:rsid w:val="0095373D"/>
    <w:rsid w:val="009538F2"/>
    <w:rsid w:val="00953D74"/>
    <w:rsid w:val="009543B6"/>
    <w:rsid w:val="009544DE"/>
    <w:rsid w:val="00954515"/>
    <w:rsid w:val="00954709"/>
    <w:rsid w:val="00954805"/>
    <w:rsid w:val="0095490B"/>
    <w:rsid w:val="009549FF"/>
    <w:rsid w:val="00954E87"/>
    <w:rsid w:val="00955033"/>
    <w:rsid w:val="00955071"/>
    <w:rsid w:val="009556FF"/>
    <w:rsid w:val="00955750"/>
    <w:rsid w:val="00955BF6"/>
    <w:rsid w:val="00955C54"/>
    <w:rsid w:val="00955F05"/>
    <w:rsid w:val="00955F6E"/>
    <w:rsid w:val="0095617E"/>
    <w:rsid w:val="00956831"/>
    <w:rsid w:val="009568A3"/>
    <w:rsid w:val="00956A9A"/>
    <w:rsid w:val="00956AE7"/>
    <w:rsid w:val="00956DD4"/>
    <w:rsid w:val="00956E09"/>
    <w:rsid w:val="00957C48"/>
    <w:rsid w:val="00957C5D"/>
    <w:rsid w:val="00957F46"/>
    <w:rsid w:val="00960014"/>
    <w:rsid w:val="0096006A"/>
    <w:rsid w:val="009601C2"/>
    <w:rsid w:val="00960A33"/>
    <w:rsid w:val="00960A98"/>
    <w:rsid w:val="00960BCD"/>
    <w:rsid w:val="00960F97"/>
    <w:rsid w:val="00960FE3"/>
    <w:rsid w:val="00961475"/>
    <w:rsid w:val="0096148F"/>
    <w:rsid w:val="009614EF"/>
    <w:rsid w:val="00961696"/>
    <w:rsid w:val="0096170A"/>
    <w:rsid w:val="00961A06"/>
    <w:rsid w:val="00961B44"/>
    <w:rsid w:val="00961DE5"/>
    <w:rsid w:val="00961DF4"/>
    <w:rsid w:val="00961ED0"/>
    <w:rsid w:val="00961F07"/>
    <w:rsid w:val="0096226E"/>
    <w:rsid w:val="0096270A"/>
    <w:rsid w:val="009627F1"/>
    <w:rsid w:val="009628CF"/>
    <w:rsid w:val="00962B97"/>
    <w:rsid w:val="00963400"/>
    <w:rsid w:val="0096347B"/>
    <w:rsid w:val="0096397F"/>
    <w:rsid w:val="00963ABE"/>
    <w:rsid w:val="00963B57"/>
    <w:rsid w:val="00963EA3"/>
    <w:rsid w:val="00964393"/>
    <w:rsid w:val="009647F9"/>
    <w:rsid w:val="00964998"/>
    <w:rsid w:val="00964B0F"/>
    <w:rsid w:val="00964D40"/>
    <w:rsid w:val="00964DAC"/>
    <w:rsid w:val="00965097"/>
    <w:rsid w:val="00965106"/>
    <w:rsid w:val="009651EA"/>
    <w:rsid w:val="009654F8"/>
    <w:rsid w:val="00965549"/>
    <w:rsid w:val="009658B7"/>
    <w:rsid w:val="009658DA"/>
    <w:rsid w:val="00965B32"/>
    <w:rsid w:val="00965B9F"/>
    <w:rsid w:val="00965F61"/>
    <w:rsid w:val="00966002"/>
    <w:rsid w:val="0096625E"/>
    <w:rsid w:val="00966A66"/>
    <w:rsid w:val="00966CA5"/>
    <w:rsid w:val="00967733"/>
    <w:rsid w:val="00967B26"/>
    <w:rsid w:val="00967DA7"/>
    <w:rsid w:val="00967E0F"/>
    <w:rsid w:val="00967E24"/>
    <w:rsid w:val="00967F3F"/>
    <w:rsid w:val="00970065"/>
    <w:rsid w:val="00970132"/>
    <w:rsid w:val="0097028C"/>
    <w:rsid w:val="00970530"/>
    <w:rsid w:val="00970694"/>
    <w:rsid w:val="00970874"/>
    <w:rsid w:val="00970876"/>
    <w:rsid w:val="009709A0"/>
    <w:rsid w:val="00970DD7"/>
    <w:rsid w:val="00970FDD"/>
    <w:rsid w:val="0097111F"/>
    <w:rsid w:val="00971173"/>
    <w:rsid w:val="009711C3"/>
    <w:rsid w:val="009716D6"/>
    <w:rsid w:val="009718EF"/>
    <w:rsid w:val="00971914"/>
    <w:rsid w:val="00971FD2"/>
    <w:rsid w:val="00972034"/>
    <w:rsid w:val="009722E4"/>
    <w:rsid w:val="009725E2"/>
    <w:rsid w:val="009726AE"/>
    <w:rsid w:val="009727C9"/>
    <w:rsid w:val="00972956"/>
    <w:rsid w:val="00972AEA"/>
    <w:rsid w:val="00972CE7"/>
    <w:rsid w:val="00972DFB"/>
    <w:rsid w:val="00972F7F"/>
    <w:rsid w:val="00972F8D"/>
    <w:rsid w:val="00973159"/>
    <w:rsid w:val="009731D0"/>
    <w:rsid w:val="00973271"/>
    <w:rsid w:val="009734AD"/>
    <w:rsid w:val="00973D51"/>
    <w:rsid w:val="00973FE1"/>
    <w:rsid w:val="00974044"/>
    <w:rsid w:val="0097431D"/>
    <w:rsid w:val="00974363"/>
    <w:rsid w:val="00974460"/>
    <w:rsid w:val="00974625"/>
    <w:rsid w:val="00974838"/>
    <w:rsid w:val="009748E1"/>
    <w:rsid w:val="00974B2F"/>
    <w:rsid w:val="00974D1A"/>
    <w:rsid w:val="00974FA7"/>
    <w:rsid w:val="0097502D"/>
    <w:rsid w:val="0097505E"/>
    <w:rsid w:val="00975190"/>
    <w:rsid w:val="00975283"/>
    <w:rsid w:val="00975448"/>
    <w:rsid w:val="00975508"/>
    <w:rsid w:val="00975928"/>
    <w:rsid w:val="0097592B"/>
    <w:rsid w:val="00975B20"/>
    <w:rsid w:val="00975B99"/>
    <w:rsid w:val="00975D2B"/>
    <w:rsid w:val="00975D88"/>
    <w:rsid w:val="00975D89"/>
    <w:rsid w:val="00975D93"/>
    <w:rsid w:val="00975EE4"/>
    <w:rsid w:val="00976041"/>
    <w:rsid w:val="009767FD"/>
    <w:rsid w:val="009769F3"/>
    <w:rsid w:val="00976B89"/>
    <w:rsid w:val="00976C4D"/>
    <w:rsid w:val="00976C8B"/>
    <w:rsid w:val="00976CF0"/>
    <w:rsid w:val="00976FFB"/>
    <w:rsid w:val="00977190"/>
    <w:rsid w:val="009773DE"/>
    <w:rsid w:val="00977841"/>
    <w:rsid w:val="00977E2A"/>
    <w:rsid w:val="00980140"/>
    <w:rsid w:val="00980EA4"/>
    <w:rsid w:val="00980EA7"/>
    <w:rsid w:val="009810B4"/>
    <w:rsid w:val="009811C2"/>
    <w:rsid w:val="00981471"/>
    <w:rsid w:val="00981560"/>
    <w:rsid w:val="0098180B"/>
    <w:rsid w:val="00981898"/>
    <w:rsid w:val="00981A44"/>
    <w:rsid w:val="00981ED7"/>
    <w:rsid w:val="0098272C"/>
    <w:rsid w:val="0098285A"/>
    <w:rsid w:val="00982B28"/>
    <w:rsid w:val="00982E9C"/>
    <w:rsid w:val="00983148"/>
    <w:rsid w:val="00983371"/>
    <w:rsid w:val="00983621"/>
    <w:rsid w:val="0098362F"/>
    <w:rsid w:val="00983D7A"/>
    <w:rsid w:val="00984503"/>
    <w:rsid w:val="009846F7"/>
    <w:rsid w:val="00984718"/>
    <w:rsid w:val="0098480B"/>
    <w:rsid w:val="00984B8A"/>
    <w:rsid w:val="00984F1C"/>
    <w:rsid w:val="00984F90"/>
    <w:rsid w:val="0098518D"/>
    <w:rsid w:val="00985D18"/>
    <w:rsid w:val="00985E13"/>
    <w:rsid w:val="00985E6D"/>
    <w:rsid w:val="009863B3"/>
    <w:rsid w:val="00986576"/>
    <w:rsid w:val="00986A69"/>
    <w:rsid w:val="00986C94"/>
    <w:rsid w:val="00986DD0"/>
    <w:rsid w:val="009870B1"/>
    <w:rsid w:val="009872C9"/>
    <w:rsid w:val="009873DF"/>
    <w:rsid w:val="009873EF"/>
    <w:rsid w:val="00987418"/>
    <w:rsid w:val="0098763E"/>
    <w:rsid w:val="00987669"/>
    <w:rsid w:val="00987850"/>
    <w:rsid w:val="00987864"/>
    <w:rsid w:val="00987986"/>
    <w:rsid w:val="009879E4"/>
    <w:rsid w:val="00987A2F"/>
    <w:rsid w:val="0099015B"/>
    <w:rsid w:val="0099028D"/>
    <w:rsid w:val="00990616"/>
    <w:rsid w:val="009907CF"/>
    <w:rsid w:val="00990860"/>
    <w:rsid w:val="009911CA"/>
    <w:rsid w:val="00991271"/>
    <w:rsid w:val="009914A5"/>
    <w:rsid w:val="009914D8"/>
    <w:rsid w:val="00991643"/>
    <w:rsid w:val="009918E3"/>
    <w:rsid w:val="009919B5"/>
    <w:rsid w:val="00991FBC"/>
    <w:rsid w:val="0099229A"/>
    <w:rsid w:val="009925DB"/>
    <w:rsid w:val="00992832"/>
    <w:rsid w:val="009928AE"/>
    <w:rsid w:val="009928FD"/>
    <w:rsid w:val="00992AC4"/>
    <w:rsid w:val="00992FDF"/>
    <w:rsid w:val="009932B8"/>
    <w:rsid w:val="009934D2"/>
    <w:rsid w:val="009935D3"/>
    <w:rsid w:val="00993649"/>
    <w:rsid w:val="00993D37"/>
    <w:rsid w:val="00993F08"/>
    <w:rsid w:val="00994153"/>
    <w:rsid w:val="00994163"/>
    <w:rsid w:val="00994250"/>
    <w:rsid w:val="0099426A"/>
    <w:rsid w:val="009944DC"/>
    <w:rsid w:val="0099458D"/>
    <w:rsid w:val="00994741"/>
    <w:rsid w:val="00994863"/>
    <w:rsid w:val="009948B9"/>
    <w:rsid w:val="00994B4E"/>
    <w:rsid w:val="00994B7D"/>
    <w:rsid w:val="00994E01"/>
    <w:rsid w:val="00994F06"/>
    <w:rsid w:val="00995094"/>
    <w:rsid w:val="00995365"/>
    <w:rsid w:val="0099559B"/>
    <w:rsid w:val="0099577C"/>
    <w:rsid w:val="009959EB"/>
    <w:rsid w:val="00996090"/>
    <w:rsid w:val="009966D9"/>
    <w:rsid w:val="009966E0"/>
    <w:rsid w:val="009968AB"/>
    <w:rsid w:val="00996BF5"/>
    <w:rsid w:val="00996E89"/>
    <w:rsid w:val="009971E4"/>
    <w:rsid w:val="009972AA"/>
    <w:rsid w:val="0099743E"/>
    <w:rsid w:val="0099758A"/>
    <w:rsid w:val="009975C8"/>
    <w:rsid w:val="009978A4"/>
    <w:rsid w:val="00997D05"/>
    <w:rsid w:val="00997D28"/>
    <w:rsid w:val="009A000E"/>
    <w:rsid w:val="009A00CA"/>
    <w:rsid w:val="009A016F"/>
    <w:rsid w:val="009A0740"/>
    <w:rsid w:val="009A076D"/>
    <w:rsid w:val="009A07A1"/>
    <w:rsid w:val="009A0E73"/>
    <w:rsid w:val="009A10C0"/>
    <w:rsid w:val="009A127E"/>
    <w:rsid w:val="009A133B"/>
    <w:rsid w:val="009A190F"/>
    <w:rsid w:val="009A1914"/>
    <w:rsid w:val="009A1935"/>
    <w:rsid w:val="009A1B99"/>
    <w:rsid w:val="009A1E28"/>
    <w:rsid w:val="009A1E4D"/>
    <w:rsid w:val="009A2002"/>
    <w:rsid w:val="009A231C"/>
    <w:rsid w:val="009A233F"/>
    <w:rsid w:val="009A28B7"/>
    <w:rsid w:val="009A28C4"/>
    <w:rsid w:val="009A2A10"/>
    <w:rsid w:val="009A2A85"/>
    <w:rsid w:val="009A2BF1"/>
    <w:rsid w:val="009A2CBF"/>
    <w:rsid w:val="009A2F65"/>
    <w:rsid w:val="009A30FC"/>
    <w:rsid w:val="009A32B0"/>
    <w:rsid w:val="009A397A"/>
    <w:rsid w:val="009A3983"/>
    <w:rsid w:val="009A39F7"/>
    <w:rsid w:val="009A3A54"/>
    <w:rsid w:val="009A3A8F"/>
    <w:rsid w:val="009A3A9D"/>
    <w:rsid w:val="009A3C9A"/>
    <w:rsid w:val="009A3D2B"/>
    <w:rsid w:val="009A3F0F"/>
    <w:rsid w:val="009A40D6"/>
    <w:rsid w:val="009A43F5"/>
    <w:rsid w:val="009A4485"/>
    <w:rsid w:val="009A44BB"/>
    <w:rsid w:val="009A44E2"/>
    <w:rsid w:val="009A4665"/>
    <w:rsid w:val="009A4681"/>
    <w:rsid w:val="009A4F1F"/>
    <w:rsid w:val="009A53C4"/>
    <w:rsid w:val="009A550E"/>
    <w:rsid w:val="009A552D"/>
    <w:rsid w:val="009A590D"/>
    <w:rsid w:val="009A5C70"/>
    <w:rsid w:val="009A5DCD"/>
    <w:rsid w:val="009A5FC8"/>
    <w:rsid w:val="009A64CC"/>
    <w:rsid w:val="009A64D1"/>
    <w:rsid w:val="009A66A7"/>
    <w:rsid w:val="009A67FB"/>
    <w:rsid w:val="009A689E"/>
    <w:rsid w:val="009A6C08"/>
    <w:rsid w:val="009A6E47"/>
    <w:rsid w:val="009A72B6"/>
    <w:rsid w:val="009A7406"/>
    <w:rsid w:val="009A75C1"/>
    <w:rsid w:val="009A7A91"/>
    <w:rsid w:val="009A7B85"/>
    <w:rsid w:val="009A7D57"/>
    <w:rsid w:val="009A7E1B"/>
    <w:rsid w:val="009A7EC1"/>
    <w:rsid w:val="009B010D"/>
    <w:rsid w:val="009B0165"/>
    <w:rsid w:val="009B01F6"/>
    <w:rsid w:val="009B04B5"/>
    <w:rsid w:val="009B066A"/>
    <w:rsid w:val="009B0AE2"/>
    <w:rsid w:val="009B0CF5"/>
    <w:rsid w:val="009B1091"/>
    <w:rsid w:val="009B115A"/>
    <w:rsid w:val="009B1219"/>
    <w:rsid w:val="009B12EA"/>
    <w:rsid w:val="009B1D69"/>
    <w:rsid w:val="009B2048"/>
    <w:rsid w:val="009B2270"/>
    <w:rsid w:val="009B23E7"/>
    <w:rsid w:val="009B24A5"/>
    <w:rsid w:val="009B2601"/>
    <w:rsid w:val="009B2612"/>
    <w:rsid w:val="009B26A7"/>
    <w:rsid w:val="009B2859"/>
    <w:rsid w:val="009B28AA"/>
    <w:rsid w:val="009B28CE"/>
    <w:rsid w:val="009B2D11"/>
    <w:rsid w:val="009B2DDF"/>
    <w:rsid w:val="009B2E52"/>
    <w:rsid w:val="009B2F77"/>
    <w:rsid w:val="009B2F91"/>
    <w:rsid w:val="009B32EC"/>
    <w:rsid w:val="009B34D1"/>
    <w:rsid w:val="009B390A"/>
    <w:rsid w:val="009B39E0"/>
    <w:rsid w:val="009B3A6B"/>
    <w:rsid w:val="009B3AC8"/>
    <w:rsid w:val="009B3ACF"/>
    <w:rsid w:val="009B3D85"/>
    <w:rsid w:val="009B3DF2"/>
    <w:rsid w:val="009B3ED0"/>
    <w:rsid w:val="009B3F9D"/>
    <w:rsid w:val="009B4064"/>
    <w:rsid w:val="009B4411"/>
    <w:rsid w:val="009B4484"/>
    <w:rsid w:val="009B4495"/>
    <w:rsid w:val="009B460D"/>
    <w:rsid w:val="009B462C"/>
    <w:rsid w:val="009B47C5"/>
    <w:rsid w:val="009B4824"/>
    <w:rsid w:val="009B4AD7"/>
    <w:rsid w:val="009B4B46"/>
    <w:rsid w:val="009B4CB1"/>
    <w:rsid w:val="009B4CE8"/>
    <w:rsid w:val="009B4E9E"/>
    <w:rsid w:val="009B4FC8"/>
    <w:rsid w:val="009B50E3"/>
    <w:rsid w:val="009B5287"/>
    <w:rsid w:val="009B555B"/>
    <w:rsid w:val="009B55B4"/>
    <w:rsid w:val="009B5724"/>
    <w:rsid w:val="009B575C"/>
    <w:rsid w:val="009B584D"/>
    <w:rsid w:val="009B58F8"/>
    <w:rsid w:val="009B5C22"/>
    <w:rsid w:val="009B5CAD"/>
    <w:rsid w:val="009B5EB4"/>
    <w:rsid w:val="009B6311"/>
    <w:rsid w:val="009B64A1"/>
    <w:rsid w:val="009B66EC"/>
    <w:rsid w:val="009B6AC8"/>
    <w:rsid w:val="009B6C82"/>
    <w:rsid w:val="009B6F8E"/>
    <w:rsid w:val="009B72C2"/>
    <w:rsid w:val="009B75AB"/>
    <w:rsid w:val="009B77DB"/>
    <w:rsid w:val="009B791F"/>
    <w:rsid w:val="009B7E5E"/>
    <w:rsid w:val="009C05D2"/>
    <w:rsid w:val="009C06F3"/>
    <w:rsid w:val="009C0AEC"/>
    <w:rsid w:val="009C0C07"/>
    <w:rsid w:val="009C11EF"/>
    <w:rsid w:val="009C1466"/>
    <w:rsid w:val="009C1690"/>
    <w:rsid w:val="009C1AC5"/>
    <w:rsid w:val="009C1D4A"/>
    <w:rsid w:val="009C1E32"/>
    <w:rsid w:val="009C1EEB"/>
    <w:rsid w:val="009C1F90"/>
    <w:rsid w:val="009C1FB1"/>
    <w:rsid w:val="009C23E9"/>
    <w:rsid w:val="009C26A7"/>
    <w:rsid w:val="009C29BF"/>
    <w:rsid w:val="009C32D8"/>
    <w:rsid w:val="009C32F7"/>
    <w:rsid w:val="009C3507"/>
    <w:rsid w:val="009C353E"/>
    <w:rsid w:val="009C3581"/>
    <w:rsid w:val="009C38DF"/>
    <w:rsid w:val="009C3B49"/>
    <w:rsid w:val="009C3C4B"/>
    <w:rsid w:val="009C3D41"/>
    <w:rsid w:val="009C427A"/>
    <w:rsid w:val="009C450F"/>
    <w:rsid w:val="009C4F04"/>
    <w:rsid w:val="009C5035"/>
    <w:rsid w:val="009C51A7"/>
    <w:rsid w:val="009C533F"/>
    <w:rsid w:val="009C56E9"/>
    <w:rsid w:val="009C57EA"/>
    <w:rsid w:val="009C595D"/>
    <w:rsid w:val="009C5AAC"/>
    <w:rsid w:val="009C5BF2"/>
    <w:rsid w:val="009C5C0F"/>
    <w:rsid w:val="009C5C51"/>
    <w:rsid w:val="009C5E32"/>
    <w:rsid w:val="009C5ED4"/>
    <w:rsid w:val="009C6094"/>
    <w:rsid w:val="009C61FF"/>
    <w:rsid w:val="009C62BC"/>
    <w:rsid w:val="009C634F"/>
    <w:rsid w:val="009C659F"/>
    <w:rsid w:val="009C6881"/>
    <w:rsid w:val="009C68C8"/>
    <w:rsid w:val="009C69FC"/>
    <w:rsid w:val="009C6B6B"/>
    <w:rsid w:val="009C6D8A"/>
    <w:rsid w:val="009C6E05"/>
    <w:rsid w:val="009C7396"/>
    <w:rsid w:val="009C743B"/>
    <w:rsid w:val="009C7759"/>
    <w:rsid w:val="009C7AB5"/>
    <w:rsid w:val="009C7CB4"/>
    <w:rsid w:val="009D0028"/>
    <w:rsid w:val="009D0268"/>
    <w:rsid w:val="009D034E"/>
    <w:rsid w:val="009D043D"/>
    <w:rsid w:val="009D07C8"/>
    <w:rsid w:val="009D098B"/>
    <w:rsid w:val="009D0A22"/>
    <w:rsid w:val="009D0C95"/>
    <w:rsid w:val="009D11AE"/>
    <w:rsid w:val="009D130C"/>
    <w:rsid w:val="009D16E5"/>
    <w:rsid w:val="009D170F"/>
    <w:rsid w:val="009D1763"/>
    <w:rsid w:val="009D1803"/>
    <w:rsid w:val="009D1828"/>
    <w:rsid w:val="009D1CAF"/>
    <w:rsid w:val="009D1D05"/>
    <w:rsid w:val="009D1EA7"/>
    <w:rsid w:val="009D1EF3"/>
    <w:rsid w:val="009D2389"/>
    <w:rsid w:val="009D2484"/>
    <w:rsid w:val="009D24CE"/>
    <w:rsid w:val="009D24ED"/>
    <w:rsid w:val="009D2529"/>
    <w:rsid w:val="009D271B"/>
    <w:rsid w:val="009D28DF"/>
    <w:rsid w:val="009D2B40"/>
    <w:rsid w:val="009D2C34"/>
    <w:rsid w:val="009D2DB5"/>
    <w:rsid w:val="009D31C0"/>
    <w:rsid w:val="009D3218"/>
    <w:rsid w:val="009D3515"/>
    <w:rsid w:val="009D38E2"/>
    <w:rsid w:val="009D38EB"/>
    <w:rsid w:val="009D3982"/>
    <w:rsid w:val="009D3AF3"/>
    <w:rsid w:val="009D3C63"/>
    <w:rsid w:val="009D3CE0"/>
    <w:rsid w:val="009D3F50"/>
    <w:rsid w:val="009D424D"/>
    <w:rsid w:val="009D42E3"/>
    <w:rsid w:val="009D458D"/>
    <w:rsid w:val="009D45FD"/>
    <w:rsid w:val="009D471D"/>
    <w:rsid w:val="009D4AAA"/>
    <w:rsid w:val="009D4B42"/>
    <w:rsid w:val="009D4C4F"/>
    <w:rsid w:val="009D4D2B"/>
    <w:rsid w:val="009D4DC8"/>
    <w:rsid w:val="009D4ECF"/>
    <w:rsid w:val="009D4EFA"/>
    <w:rsid w:val="009D50CF"/>
    <w:rsid w:val="009D531A"/>
    <w:rsid w:val="009D5398"/>
    <w:rsid w:val="009D570A"/>
    <w:rsid w:val="009D574F"/>
    <w:rsid w:val="009D5C48"/>
    <w:rsid w:val="009D5F59"/>
    <w:rsid w:val="009D5F69"/>
    <w:rsid w:val="009D6051"/>
    <w:rsid w:val="009D606C"/>
    <w:rsid w:val="009D6079"/>
    <w:rsid w:val="009D60F3"/>
    <w:rsid w:val="009D6115"/>
    <w:rsid w:val="009D6239"/>
    <w:rsid w:val="009D62B6"/>
    <w:rsid w:val="009D648D"/>
    <w:rsid w:val="009D66CB"/>
    <w:rsid w:val="009D68D6"/>
    <w:rsid w:val="009D6A08"/>
    <w:rsid w:val="009D6A2B"/>
    <w:rsid w:val="009D6A91"/>
    <w:rsid w:val="009D6B66"/>
    <w:rsid w:val="009D6C71"/>
    <w:rsid w:val="009D6EA1"/>
    <w:rsid w:val="009D6EBD"/>
    <w:rsid w:val="009D719B"/>
    <w:rsid w:val="009D729E"/>
    <w:rsid w:val="009D74DF"/>
    <w:rsid w:val="009D7753"/>
    <w:rsid w:val="009D77AB"/>
    <w:rsid w:val="009D77D7"/>
    <w:rsid w:val="009D78FB"/>
    <w:rsid w:val="009D7BFB"/>
    <w:rsid w:val="009D7C88"/>
    <w:rsid w:val="009D7DDC"/>
    <w:rsid w:val="009D7ECA"/>
    <w:rsid w:val="009E0024"/>
    <w:rsid w:val="009E0118"/>
    <w:rsid w:val="009E0155"/>
    <w:rsid w:val="009E0631"/>
    <w:rsid w:val="009E0905"/>
    <w:rsid w:val="009E0F29"/>
    <w:rsid w:val="009E0F30"/>
    <w:rsid w:val="009E1303"/>
    <w:rsid w:val="009E16D0"/>
    <w:rsid w:val="009E1821"/>
    <w:rsid w:val="009E18F4"/>
    <w:rsid w:val="009E1F29"/>
    <w:rsid w:val="009E2051"/>
    <w:rsid w:val="009E2797"/>
    <w:rsid w:val="009E28AF"/>
    <w:rsid w:val="009E290D"/>
    <w:rsid w:val="009E2D22"/>
    <w:rsid w:val="009E2F5F"/>
    <w:rsid w:val="009E3574"/>
    <w:rsid w:val="009E3662"/>
    <w:rsid w:val="009E3763"/>
    <w:rsid w:val="009E38EC"/>
    <w:rsid w:val="009E38FD"/>
    <w:rsid w:val="009E390A"/>
    <w:rsid w:val="009E3C71"/>
    <w:rsid w:val="009E3F17"/>
    <w:rsid w:val="009E425A"/>
    <w:rsid w:val="009E4405"/>
    <w:rsid w:val="009E44ED"/>
    <w:rsid w:val="009E45E1"/>
    <w:rsid w:val="009E47E1"/>
    <w:rsid w:val="009E495C"/>
    <w:rsid w:val="009E4D07"/>
    <w:rsid w:val="009E4FD7"/>
    <w:rsid w:val="009E5070"/>
    <w:rsid w:val="009E522E"/>
    <w:rsid w:val="009E52D0"/>
    <w:rsid w:val="009E5626"/>
    <w:rsid w:val="009E5659"/>
    <w:rsid w:val="009E59A4"/>
    <w:rsid w:val="009E5C0A"/>
    <w:rsid w:val="009E5CC9"/>
    <w:rsid w:val="009E5E3D"/>
    <w:rsid w:val="009E5F71"/>
    <w:rsid w:val="009E620F"/>
    <w:rsid w:val="009E64D4"/>
    <w:rsid w:val="009E663B"/>
    <w:rsid w:val="009E6A5C"/>
    <w:rsid w:val="009E6D94"/>
    <w:rsid w:val="009E6E39"/>
    <w:rsid w:val="009E7032"/>
    <w:rsid w:val="009E71DD"/>
    <w:rsid w:val="009E72E5"/>
    <w:rsid w:val="009E7366"/>
    <w:rsid w:val="009E74A8"/>
    <w:rsid w:val="009E7BF1"/>
    <w:rsid w:val="009E7C4A"/>
    <w:rsid w:val="009E7D23"/>
    <w:rsid w:val="009F00E8"/>
    <w:rsid w:val="009F0413"/>
    <w:rsid w:val="009F077F"/>
    <w:rsid w:val="009F0781"/>
    <w:rsid w:val="009F0BEB"/>
    <w:rsid w:val="009F0CF4"/>
    <w:rsid w:val="009F0D88"/>
    <w:rsid w:val="009F13D6"/>
    <w:rsid w:val="009F1401"/>
    <w:rsid w:val="009F1461"/>
    <w:rsid w:val="009F14F1"/>
    <w:rsid w:val="009F1545"/>
    <w:rsid w:val="009F180B"/>
    <w:rsid w:val="009F1810"/>
    <w:rsid w:val="009F1BCD"/>
    <w:rsid w:val="009F1C01"/>
    <w:rsid w:val="009F1D75"/>
    <w:rsid w:val="009F1F86"/>
    <w:rsid w:val="009F210C"/>
    <w:rsid w:val="009F2276"/>
    <w:rsid w:val="009F253F"/>
    <w:rsid w:val="009F2620"/>
    <w:rsid w:val="009F2666"/>
    <w:rsid w:val="009F26BF"/>
    <w:rsid w:val="009F2B4E"/>
    <w:rsid w:val="009F2BFC"/>
    <w:rsid w:val="009F2F5E"/>
    <w:rsid w:val="009F2FE7"/>
    <w:rsid w:val="009F31C0"/>
    <w:rsid w:val="009F3303"/>
    <w:rsid w:val="009F33A8"/>
    <w:rsid w:val="009F3424"/>
    <w:rsid w:val="009F35CE"/>
    <w:rsid w:val="009F3680"/>
    <w:rsid w:val="009F3967"/>
    <w:rsid w:val="009F3A5B"/>
    <w:rsid w:val="009F3B16"/>
    <w:rsid w:val="009F4058"/>
    <w:rsid w:val="009F4114"/>
    <w:rsid w:val="009F4434"/>
    <w:rsid w:val="009F4998"/>
    <w:rsid w:val="009F4BE9"/>
    <w:rsid w:val="009F4C6B"/>
    <w:rsid w:val="009F4D6C"/>
    <w:rsid w:val="009F4DCC"/>
    <w:rsid w:val="009F4F9F"/>
    <w:rsid w:val="009F5397"/>
    <w:rsid w:val="009F544A"/>
    <w:rsid w:val="009F5476"/>
    <w:rsid w:val="009F5575"/>
    <w:rsid w:val="009F58B5"/>
    <w:rsid w:val="009F591F"/>
    <w:rsid w:val="009F5AC3"/>
    <w:rsid w:val="009F5C1C"/>
    <w:rsid w:val="009F6114"/>
    <w:rsid w:val="009F6396"/>
    <w:rsid w:val="009F6437"/>
    <w:rsid w:val="009F6582"/>
    <w:rsid w:val="009F679D"/>
    <w:rsid w:val="009F6850"/>
    <w:rsid w:val="009F6C7B"/>
    <w:rsid w:val="009F71CB"/>
    <w:rsid w:val="009F7555"/>
    <w:rsid w:val="009F782A"/>
    <w:rsid w:val="009F78A8"/>
    <w:rsid w:val="009F797C"/>
    <w:rsid w:val="009F79E8"/>
    <w:rsid w:val="009F7ABF"/>
    <w:rsid w:val="009F7DCA"/>
    <w:rsid w:val="00A0002A"/>
    <w:rsid w:val="00A003DC"/>
    <w:rsid w:val="00A0041C"/>
    <w:rsid w:val="00A0086E"/>
    <w:rsid w:val="00A00977"/>
    <w:rsid w:val="00A00A8F"/>
    <w:rsid w:val="00A00A97"/>
    <w:rsid w:val="00A00FDA"/>
    <w:rsid w:val="00A01572"/>
    <w:rsid w:val="00A0159E"/>
    <w:rsid w:val="00A015CF"/>
    <w:rsid w:val="00A0173C"/>
    <w:rsid w:val="00A01803"/>
    <w:rsid w:val="00A01CA6"/>
    <w:rsid w:val="00A021A0"/>
    <w:rsid w:val="00A02275"/>
    <w:rsid w:val="00A02758"/>
    <w:rsid w:val="00A02AD6"/>
    <w:rsid w:val="00A0311D"/>
    <w:rsid w:val="00A03208"/>
    <w:rsid w:val="00A036B4"/>
    <w:rsid w:val="00A03701"/>
    <w:rsid w:val="00A039E5"/>
    <w:rsid w:val="00A03DCE"/>
    <w:rsid w:val="00A0412F"/>
    <w:rsid w:val="00A04149"/>
    <w:rsid w:val="00A043C7"/>
    <w:rsid w:val="00A0455D"/>
    <w:rsid w:val="00A04594"/>
    <w:rsid w:val="00A0470A"/>
    <w:rsid w:val="00A04734"/>
    <w:rsid w:val="00A0515D"/>
    <w:rsid w:val="00A055BF"/>
    <w:rsid w:val="00A05690"/>
    <w:rsid w:val="00A0580F"/>
    <w:rsid w:val="00A05857"/>
    <w:rsid w:val="00A05A24"/>
    <w:rsid w:val="00A05E1D"/>
    <w:rsid w:val="00A05EA8"/>
    <w:rsid w:val="00A060A5"/>
    <w:rsid w:val="00A06134"/>
    <w:rsid w:val="00A06363"/>
    <w:rsid w:val="00A06368"/>
    <w:rsid w:val="00A06622"/>
    <w:rsid w:val="00A06671"/>
    <w:rsid w:val="00A06A11"/>
    <w:rsid w:val="00A06A2E"/>
    <w:rsid w:val="00A06DC1"/>
    <w:rsid w:val="00A07096"/>
    <w:rsid w:val="00A07318"/>
    <w:rsid w:val="00A074F4"/>
    <w:rsid w:val="00A07774"/>
    <w:rsid w:val="00A07777"/>
    <w:rsid w:val="00A0797E"/>
    <w:rsid w:val="00A07B81"/>
    <w:rsid w:val="00A07BF5"/>
    <w:rsid w:val="00A07CA5"/>
    <w:rsid w:val="00A07D28"/>
    <w:rsid w:val="00A07EA2"/>
    <w:rsid w:val="00A10013"/>
    <w:rsid w:val="00A101A8"/>
    <w:rsid w:val="00A10256"/>
    <w:rsid w:val="00A103C9"/>
    <w:rsid w:val="00A1040C"/>
    <w:rsid w:val="00A1056F"/>
    <w:rsid w:val="00A10D0C"/>
    <w:rsid w:val="00A10D0E"/>
    <w:rsid w:val="00A10E7C"/>
    <w:rsid w:val="00A10EDA"/>
    <w:rsid w:val="00A11370"/>
    <w:rsid w:val="00A11619"/>
    <w:rsid w:val="00A11643"/>
    <w:rsid w:val="00A1179C"/>
    <w:rsid w:val="00A118E0"/>
    <w:rsid w:val="00A11A4B"/>
    <w:rsid w:val="00A11BAF"/>
    <w:rsid w:val="00A11C70"/>
    <w:rsid w:val="00A11D6A"/>
    <w:rsid w:val="00A11D8C"/>
    <w:rsid w:val="00A11F50"/>
    <w:rsid w:val="00A11F52"/>
    <w:rsid w:val="00A1205E"/>
    <w:rsid w:val="00A124BC"/>
    <w:rsid w:val="00A127CF"/>
    <w:rsid w:val="00A127F3"/>
    <w:rsid w:val="00A1282D"/>
    <w:rsid w:val="00A128BC"/>
    <w:rsid w:val="00A12B26"/>
    <w:rsid w:val="00A12E4F"/>
    <w:rsid w:val="00A12EF0"/>
    <w:rsid w:val="00A1310F"/>
    <w:rsid w:val="00A13213"/>
    <w:rsid w:val="00A13273"/>
    <w:rsid w:val="00A1335E"/>
    <w:rsid w:val="00A1348E"/>
    <w:rsid w:val="00A13796"/>
    <w:rsid w:val="00A1380E"/>
    <w:rsid w:val="00A139B2"/>
    <w:rsid w:val="00A13A3A"/>
    <w:rsid w:val="00A13CF3"/>
    <w:rsid w:val="00A13FCB"/>
    <w:rsid w:val="00A13FED"/>
    <w:rsid w:val="00A14268"/>
    <w:rsid w:val="00A14380"/>
    <w:rsid w:val="00A14640"/>
    <w:rsid w:val="00A1465D"/>
    <w:rsid w:val="00A14B8F"/>
    <w:rsid w:val="00A14C46"/>
    <w:rsid w:val="00A1529D"/>
    <w:rsid w:val="00A157AD"/>
    <w:rsid w:val="00A157D2"/>
    <w:rsid w:val="00A15920"/>
    <w:rsid w:val="00A15977"/>
    <w:rsid w:val="00A15B5E"/>
    <w:rsid w:val="00A15E3F"/>
    <w:rsid w:val="00A15F7B"/>
    <w:rsid w:val="00A15FE2"/>
    <w:rsid w:val="00A1619A"/>
    <w:rsid w:val="00A1628C"/>
    <w:rsid w:val="00A162CC"/>
    <w:rsid w:val="00A162F2"/>
    <w:rsid w:val="00A1631C"/>
    <w:rsid w:val="00A16849"/>
    <w:rsid w:val="00A16F5E"/>
    <w:rsid w:val="00A171F8"/>
    <w:rsid w:val="00A17295"/>
    <w:rsid w:val="00A1734E"/>
    <w:rsid w:val="00A1736B"/>
    <w:rsid w:val="00A175E2"/>
    <w:rsid w:val="00A17748"/>
    <w:rsid w:val="00A17824"/>
    <w:rsid w:val="00A1784B"/>
    <w:rsid w:val="00A178E3"/>
    <w:rsid w:val="00A179E5"/>
    <w:rsid w:val="00A17B1B"/>
    <w:rsid w:val="00A17CD5"/>
    <w:rsid w:val="00A20130"/>
    <w:rsid w:val="00A203AE"/>
    <w:rsid w:val="00A20625"/>
    <w:rsid w:val="00A206F9"/>
    <w:rsid w:val="00A207C5"/>
    <w:rsid w:val="00A208E7"/>
    <w:rsid w:val="00A20C53"/>
    <w:rsid w:val="00A20D41"/>
    <w:rsid w:val="00A21448"/>
    <w:rsid w:val="00A2158F"/>
    <w:rsid w:val="00A2181C"/>
    <w:rsid w:val="00A219CB"/>
    <w:rsid w:val="00A21AFA"/>
    <w:rsid w:val="00A21B8A"/>
    <w:rsid w:val="00A21E06"/>
    <w:rsid w:val="00A21E82"/>
    <w:rsid w:val="00A21F6F"/>
    <w:rsid w:val="00A21FEA"/>
    <w:rsid w:val="00A221F5"/>
    <w:rsid w:val="00A22288"/>
    <w:rsid w:val="00A223EA"/>
    <w:rsid w:val="00A224B5"/>
    <w:rsid w:val="00A224CE"/>
    <w:rsid w:val="00A22522"/>
    <w:rsid w:val="00A22571"/>
    <w:rsid w:val="00A22641"/>
    <w:rsid w:val="00A227A3"/>
    <w:rsid w:val="00A22811"/>
    <w:rsid w:val="00A22A99"/>
    <w:rsid w:val="00A23115"/>
    <w:rsid w:val="00A23158"/>
    <w:rsid w:val="00A234CB"/>
    <w:rsid w:val="00A235CF"/>
    <w:rsid w:val="00A236FE"/>
    <w:rsid w:val="00A237E0"/>
    <w:rsid w:val="00A2386D"/>
    <w:rsid w:val="00A23DE6"/>
    <w:rsid w:val="00A2400E"/>
    <w:rsid w:val="00A242FE"/>
    <w:rsid w:val="00A24401"/>
    <w:rsid w:val="00A2440D"/>
    <w:rsid w:val="00A24626"/>
    <w:rsid w:val="00A24882"/>
    <w:rsid w:val="00A24916"/>
    <w:rsid w:val="00A249D2"/>
    <w:rsid w:val="00A24AFD"/>
    <w:rsid w:val="00A24CA4"/>
    <w:rsid w:val="00A24D42"/>
    <w:rsid w:val="00A24E94"/>
    <w:rsid w:val="00A24F5C"/>
    <w:rsid w:val="00A25055"/>
    <w:rsid w:val="00A2545A"/>
    <w:rsid w:val="00A255A0"/>
    <w:rsid w:val="00A255C6"/>
    <w:rsid w:val="00A25DC8"/>
    <w:rsid w:val="00A25EE6"/>
    <w:rsid w:val="00A26080"/>
    <w:rsid w:val="00A26223"/>
    <w:rsid w:val="00A26322"/>
    <w:rsid w:val="00A26548"/>
    <w:rsid w:val="00A2662C"/>
    <w:rsid w:val="00A26762"/>
    <w:rsid w:val="00A26907"/>
    <w:rsid w:val="00A26A90"/>
    <w:rsid w:val="00A26C11"/>
    <w:rsid w:val="00A26D13"/>
    <w:rsid w:val="00A26E3A"/>
    <w:rsid w:val="00A27120"/>
    <w:rsid w:val="00A2712B"/>
    <w:rsid w:val="00A2719C"/>
    <w:rsid w:val="00A27268"/>
    <w:rsid w:val="00A2761B"/>
    <w:rsid w:val="00A27627"/>
    <w:rsid w:val="00A27636"/>
    <w:rsid w:val="00A278A7"/>
    <w:rsid w:val="00A27FBC"/>
    <w:rsid w:val="00A30060"/>
    <w:rsid w:val="00A300D4"/>
    <w:rsid w:val="00A303CA"/>
    <w:rsid w:val="00A303CF"/>
    <w:rsid w:val="00A30465"/>
    <w:rsid w:val="00A30566"/>
    <w:rsid w:val="00A3064E"/>
    <w:rsid w:val="00A310D0"/>
    <w:rsid w:val="00A312CD"/>
    <w:rsid w:val="00A3150B"/>
    <w:rsid w:val="00A3174A"/>
    <w:rsid w:val="00A31938"/>
    <w:rsid w:val="00A31A06"/>
    <w:rsid w:val="00A31A91"/>
    <w:rsid w:val="00A31B0A"/>
    <w:rsid w:val="00A31C52"/>
    <w:rsid w:val="00A31E67"/>
    <w:rsid w:val="00A322D4"/>
    <w:rsid w:val="00A32421"/>
    <w:rsid w:val="00A32805"/>
    <w:rsid w:val="00A328DD"/>
    <w:rsid w:val="00A32F6E"/>
    <w:rsid w:val="00A32F96"/>
    <w:rsid w:val="00A333F4"/>
    <w:rsid w:val="00A3340B"/>
    <w:rsid w:val="00A3361F"/>
    <w:rsid w:val="00A3385E"/>
    <w:rsid w:val="00A33B74"/>
    <w:rsid w:val="00A33CBD"/>
    <w:rsid w:val="00A33D6E"/>
    <w:rsid w:val="00A33DDC"/>
    <w:rsid w:val="00A33E5B"/>
    <w:rsid w:val="00A348A4"/>
    <w:rsid w:val="00A3491A"/>
    <w:rsid w:val="00A349AD"/>
    <w:rsid w:val="00A34B16"/>
    <w:rsid w:val="00A34B9E"/>
    <w:rsid w:val="00A34C72"/>
    <w:rsid w:val="00A34C9E"/>
    <w:rsid w:val="00A34CD4"/>
    <w:rsid w:val="00A34ED0"/>
    <w:rsid w:val="00A3561C"/>
    <w:rsid w:val="00A357FA"/>
    <w:rsid w:val="00A35C87"/>
    <w:rsid w:val="00A35CF1"/>
    <w:rsid w:val="00A35DCA"/>
    <w:rsid w:val="00A36491"/>
    <w:rsid w:val="00A3671D"/>
    <w:rsid w:val="00A36940"/>
    <w:rsid w:val="00A369AF"/>
    <w:rsid w:val="00A36B18"/>
    <w:rsid w:val="00A36E77"/>
    <w:rsid w:val="00A36FED"/>
    <w:rsid w:val="00A3709C"/>
    <w:rsid w:val="00A3725A"/>
    <w:rsid w:val="00A37268"/>
    <w:rsid w:val="00A37584"/>
    <w:rsid w:val="00A375AD"/>
    <w:rsid w:val="00A37B20"/>
    <w:rsid w:val="00A37B58"/>
    <w:rsid w:val="00A37F51"/>
    <w:rsid w:val="00A400CF"/>
    <w:rsid w:val="00A40332"/>
    <w:rsid w:val="00A40352"/>
    <w:rsid w:val="00A40477"/>
    <w:rsid w:val="00A4049A"/>
    <w:rsid w:val="00A4056E"/>
    <w:rsid w:val="00A406A3"/>
    <w:rsid w:val="00A40871"/>
    <w:rsid w:val="00A40B26"/>
    <w:rsid w:val="00A40DC9"/>
    <w:rsid w:val="00A4106E"/>
    <w:rsid w:val="00A41285"/>
    <w:rsid w:val="00A412AB"/>
    <w:rsid w:val="00A4145F"/>
    <w:rsid w:val="00A415AE"/>
    <w:rsid w:val="00A4160D"/>
    <w:rsid w:val="00A4193E"/>
    <w:rsid w:val="00A4199A"/>
    <w:rsid w:val="00A41A66"/>
    <w:rsid w:val="00A41AA3"/>
    <w:rsid w:val="00A41AA5"/>
    <w:rsid w:val="00A41B6D"/>
    <w:rsid w:val="00A41DF4"/>
    <w:rsid w:val="00A42033"/>
    <w:rsid w:val="00A4238D"/>
    <w:rsid w:val="00A424E2"/>
    <w:rsid w:val="00A425A3"/>
    <w:rsid w:val="00A4271C"/>
    <w:rsid w:val="00A427E5"/>
    <w:rsid w:val="00A428E4"/>
    <w:rsid w:val="00A428E6"/>
    <w:rsid w:val="00A42BEF"/>
    <w:rsid w:val="00A43277"/>
    <w:rsid w:val="00A436C6"/>
    <w:rsid w:val="00A437DC"/>
    <w:rsid w:val="00A439EB"/>
    <w:rsid w:val="00A43EB2"/>
    <w:rsid w:val="00A440C8"/>
    <w:rsid w:val="00A440E0"/>
    <w:rsid w:val="00A44218"/>
    <w:rsid w:val="00A442EF"/>
    <w:rsid w:val="00A4447C"/>
    <w:rsid w:val="00A4447F"/>
    <w:rsid w:val="00A44483"/>
    <w:rsid w:val="00A445C5"/>
    <w:rsid w:val="00A44A65"/>
    <w:rsid w:val="00A44F44"/>
    <w:rsid w:val="00A450ED"/>
    <w:rsid w:val="00A456C3"/>
    <w:rsid w:val="00A457F8"/>
    <w:rsid w:val="00A45ADF"/>
    <w:rsid w:val="00A45E93"/>
    <w:rsid w:val="00A46022"/>
    <w:rsid w:val="00A46073"/>
    <w:rsid w:val="00A460C1"/>
    <w:rsid w:val="00A46157"/>
    <w:rsid w:val="00A46342"/>
    <w:rsid w:val="00A46416"/>
    <w:rsid w:val="00A46575"/>
    <w:rsid w:val="00A466D4"/>
    <w:rsid w:val="00A466F2"/>
    <w:rsid w:val="00A467E5"/>
    <w:rsid w:val="00A46BD6"/>
    <w:rsid w:val="00A46D43"/>
    <w:rsid w:val="00A46F13"/>
    <w:rsid w:val="00A46FEA"/>
    <w:rsid w:val="00A4719A"/>
    <w:rsid w:val="00A47374"/>
    <w:rsid w:val="00A47375"/>
    <w:rsid w:val="00A47451"/>
    <w:rsid w:val="00A4745A"/>
    <w:rsid w:val="00A47468"/>
    <w:rsid w:val="00A47480"/>
    <w:rsid w:val="00A476DA"/>
    <w:rsid w:val="00A4773C"/>
    <w:rsid w:val="00A478C2"/>
    <w:rsid w:val="00A4798B"/>
    <w:rsid w:val="00A47A73"/>
    <w:rsid w:val="00A47BD0"/>
    <w:rsid w:val="00A47D27"/>
    <w:rsid w:val="00A47DC3"/>
    <w:rsid w:val="00A47FEA"/>
    <w:rsid w:val="00A500D5"/>
    <w:rsid w:val="00A50295"/>
    <w:rsid w:val="00A506EC"/>
    <w:rsid w:val="00A508E3"/>
    <w:rsid w:val="00A50A3B"/>
    <w:rsid w:val="00A50AD9"/>
    <w:rsid w:val="00A50B1A"/>
    <w:rsid w:val="00A50B85"/>
    <w:rsid w:val="00A50C3E"/>
    <w:rsid w:val="00A50DD8"/>
    <w:rsid w:val="00A510A7"/>
    <w:rsid w:val="00A513D6"/>
    <w:rsid w:val="00A514D1"/>
    <w:rsid w:val="00A5153C"/>
    <w:rsid w:val="00A515A0"/>
    <w:rsid w:val="00A51702"/>
    <w:rsid w:val="00A518AC"/>
    <w:rsid w:val="00A51A45"/>
    <w:rsid w:val="00A51D1A"/>
    <w:rsid w:val="00A5231E"/>
    <w:rsid w:val="00A52688"/>
    <w:rsid w:val="00A526C0"/>
    <w:rsid w:val="00A5273B"/>
    <w:rsid w:val="00A528A4"/>
    <w:rsid w:val="00A52A6D"/>
    <w:rsid w:val="00A52FD5"/>
    <w:rsid w:val="00A52FE4"/>
    <w:rsid w:val="00A53127"/>
    <w:rsid w:val="00A53303"/>
    <w:rsid w:val="00A533AC"/>
    <w:rsid w:val="00A533DD"/>
    <w:rsid w:val="00A53D5E"/>
    <w:rsid w:val="00A53E3A"/>
    <w:rsid w:val="00A5412D"/>
    <w:rsid w:val="00A5418D"/>
    <w:rsid w:val="00A541AA"/>
    <w:rsid w:val="00A54224"/>
    <w:rsid w:val="00A542FD"/>
    <w:rsid w:val="00A54537"/>
    <w:rsid w:val="00A54617"/>
    <w:rsid w:val="00A54729"/>
    <w:rsid w:val="00A5472A"/>
    <w:rsid w:val="00A5474E"/>
    <w:rsid w:val="00A548B9"/>
    <w:rsid w:val="00A548FF"/>
    <w:rsid w:val="00A549F8"/>
    <w:rsid w:val="00A54A32"/>
    <w:rsid w:val="00A54AB8"/>
    <w:rsid w:val="00A54BA4"/>
    <w:rsid w:val="00A54BB9"/>
    <w:rsid w:val="00A54C6C"/>
    <w:rsid w:val="00A550AA"/>
    <w:rsid w:val="00A550FF"/>
    <w:rsid w:val="00A55701"/>
    <w:rsid w:val="00A55847"/>
    <w:rsid w:val="00A5584D"/>
    <w:rsid w:val="00A5592D"/>
    <w:rsid w:val="00A559F6"/>
    <w:rsid w:val="00A55BBF"/>
    <w:rsid w:val="00A55FE5"/>
    <w:rsid w:val="00A56277"/>
    <w:rsid w:val="00A562E9"/>
    <w:rsid w:val="00A56474"/>
    <w:rsid w:val="00A564E6"/>
    <w:rsid w:val="00A564E7"/>
    <w:rsid w:val="00A56567"/>
    <w:rsid w:val="00A565EE"/>
    <w:rsid w:val="00A56C58"/>
    <w:rsid w:val="00A56D20"/>
    <w:rsid w:val="00A574D3"/>
    <w:rsid w:val="00A57762"/>
    <w:rsid w:val="00A57F4A"/>
    <w:rsid w:val="00A600A4"/>
    <w:rsid w:val="00A600D4"/>
    <w:rsid w:val="00A604C5"/>
    <w:rsid w:val="00A60C9D"/>
    <w:rsid w:val="00A60EAC"/>
    <w:rsid w:val="00A61069"/>
    <w:rsid w:val="00A610F9"/>
    <w:rsid w:val="00A61120"/>
    <w:rsid w:val="00A61128"/>
    <w:rsid w:val="00A614D8"/>
    <w:rsid w:val="00A61792"/>
    <w:rsid w:val="00A617C7"/>
    <w:rsid w:val="00A622E3"/>
    <w:rsid w:val="00A623FA"/>
    <w:rsid w:val="00A62478"/>
    <w:rsid w:val="00A62531"/>
    <w:rsid w:val="00A62557"/>
    <w:rsid w:val="00A62590"/>
    <w:rsid w:val="00A6273A"/>
    <w:rsid w:val="00A629DA"/>
    <w:rsid w:val="00A62A9D"/>
    <w:rsid w:val="00A62FF2"/>
    <w:rsid w:val="00A63073"/>
    <w:rsid w:val="00A6318D"/>
    <w:rsid w:val="00A63370"/>
    <w:rsid w:val="00A63544"/>
    <w:rsid w:val="00A63745"/>
    <w:rsid w:val="00A6374F"/>
    <w:rsid w:val="00A63898"/>
    <w:rsid w:val="00A63C1B"/>
    <w:rsid w:val="00A63C77"/>
    <w:rsid w:val="00A63E07"/>
    <w:rsid w:val="00A64234"/>
    <w:rsid w:val="00A643E5"/>
    <w:rsid w:val="00A64462"/>
    <w:rsid w:val="00A646FB"/>
    <w:rsid w:val="00A6472E"/>
    <w:rsid w:val="00A64A45"/>
    <w:rsid w:val="00A64DD6"/>
    <w:rsid w:val="00A64F65"/>
    <w:rsid w:val="00A64FE9"/>
    <w:rsid w:val="00A651D5"/>
    <w:rsid w:val="00A65447"/>
    <w:rsid w:val="00A65474"/>
    <w:rsid w:val="00A65C91"/>
    <w:rsid w:val="00A661FF"/>
    <w:rsid w:val="00A66394"/>
    <w:rsid w:val="00A6684C"/>
    <w:rsid w:val="00A669D4"/>
    <w:rsid w:val="00A66D07"/>
    <w:rsid w:val="00A66DE2"/>
    <w:rsid w:val="00A67000"/>
    <w:rsid w:val="00A670A7"/>
    <w:rsid w:val="00A670B0"/>
    <w:rsid w:val="00A671A4"/>
    <w:rsid w:val="00A67204"/>
    <w:rsid w:val="00A67305"/>
    <w:rsid w:val="00A6738D"/>
    <w:rsid w:val="00A673EE"/>
    <w:rsid w:val="00A674E5"/>
    <w:rsid w:val="00A676F3"/>
    <w:rsid w:val="00A677DA"/>
    <w:rsid w:val="00A679A3"/>
    <w:rsid w:val="00A67CD2"/>
    <w:rsid w:val="00A67D59"/>
    <w:rsid w:val="00A7011F"/>
    <w:rsid w:val="00A703C4"/>
    <w:rsid w:val="00A704E1"/>
    <w:rsid w:val="00A706A0"/>
    <w:rsid w:val="00A70773"/>
    <w:rsid w:val="00A709E1"/>
    <w:rsid w:val="00A70ADF"/>
    <w:rsid w:val="00A70B6E"/>
    <w:rsid w:val="00A70D09"/>
    <w:rsid w:val="00A70DA4"/>
    <w:rsid w:val="00A70DC3"/>
    <w:rsid w:val="00A70FED"/>
    <w:rsid w:val="00A7115E"/>
    <w:rsid w:val="00A7121B"/>
    <w:rsid w:val="00A713BF"/>
    <w:rsid w:val="00A71466"/>
    <w:rsid w:val="00A71C3A"/>
    <w:rsid w:val="00A71DB3"/>
    <w:rsid w:val="00A72274"/>
    <w:rsid w:val="00A723C6"/>
    <w:rsid w:val="00A723D4"/>
    <w:rsid w:val="00A72404"/>
    <w:rsid w:val="00A728E1"/>
    <w:rsid w:val="00A72B4F"/>
    <w:rsid w:val="00A72CAF"/>
    <w:rsid w:val="00A73089"/>
    <w:rsid w:val="00A7354C"/>
    <w:rsid w:val="00A736E9"/>
    <w:rsid w:val="00A7373E"/>
    <w:rsid w:val="00A73CFE"/>
    <w:rsid w:val="00A73E74"/>
    <w:rsid w:val="00A73E84"/>
    <w:rsid w:val="00A73EFB"/>
    <w:rsid w:val="00A73F13"/>
    <w:rsid w:val="00A73FF6"/>
    <w:rsid w:val="00A744A9"/>
    <w:rsid w:val="00A744FD"/>
    <w:rsid w:val="00A74597"/>
    <w:rsid w:val="00A746E0"/>
    <w:rsid w:val="00A74A3B"/>
    <w:rsid w:val="00A74B5E"/>
    <w:rsid w:val="00A74E31"/>
    <w:rsid w:val="00A74E33"/>
    <w:rsid w:val="00A74FE7"/>
    <w:rsid w:val="00A758BE"/>
    <w:rsid w:val="00A75933"/>
    <w:rsid w:val="00A75ABD"/>
    <w:rsid w:val="00A75B9B"/>
    <w:rsid w:val="00A75BFB"/>
    <w:rsid w:val="00A75E0A"/>
    <w:rsid w:val="00A7631C"/>
    <w:rsid w:val="00A763B8"/>
    <w:rsid w:val="00A76569"/>
    <w:rsid w:val="00A7668A"/>
    <w:rsid w:val="00A76845"/>
    <w:rsid w:val="00A76859"/>
    <w:rsid w:val="00A77154"/>
    <w:rsid w:val="00A771DF"/>
    <w:rsid w:val="00A772D5"/>
    <w:rsid w:val="00A774A5"/>
    <w:rsid w:val="00A774FB"/>
    <w:rsid w:val="00A77A56"/>
    <w:rsid w:val="00A77B1F"/>
    <w:rsid w:val="00A77C87"/>
    <w:rsid w:val="00A77F00"/>
    <w:rsid w:val="00A77F44"/>
    <w:rsid w:val="00A8011B"/>
    <w:rsid w:val="00A8019A"/>
    <w:rsid w:val="00A8030E"/>
    <w:rsid w:val="00A804E3"/>
    <w:rsid w:val="00A8097A"/>
    <w:rsid w:val="00A80A05"/>
    <w:rsid w:val="00A80A38"/>
    <w:rsid w:val="00A80AD1"/>
    <w:rsid w:val="00A81393"/>
    <w:rsid w:val="00A81A70"/>
    <w:rsid w:val="00A81AC5"/>
    <w:rsid w:val="00A81BED"/>
    <w:rsid w:val="00A81DDC"/>
    <w:rsid w:val="00A81E1C"/>
    <w:rsid w:val="00A81E23"/>
    <w:rsid w:val="00A81E3D"/>
    <w:rsid w:val="00A81EC4"/>
    <w:rsid w:val="00A81F62"/>
    <w:rsid w:val="00A81FAB"/>
    <w:rsid w:val="00A8200B"/>
    <w:rsid w:val="00A8203B"/>
    <w:rsid w:val="00A82216"/>
    <w:rsid w:val="00A823B7"/>
    <w:rsid w:val="00A824E8"/>
    <w:rsid w:val="00A825DE"/>
    <w:rsid w:val="00A826C8"/>
    <w:rsid w:val="00A82819"/>
    <w:rsid w:val="00A830E1"/>
    <w:rsid w:val="00A83237"/>
    <w:rsid w:val="00A832E4"/>
    <w:rsid w:val="00A8330D"/>
    <w:rsid w:val="00A83751"/>
    <w:rsid w:val="00A83843"/>
    <w:rsid w:val="00A83C48"/>
    <w:rsid w:val="00A83D0B"/>
    <w:rsid w:val="00A83D4B"/>
    <w:rsid w:val="00A83D9A"/>
    <w:rsid w:val="00A840C2"/>
    <w:rsid w:val="00A84167"/>
    <w:rsid w:val="00A841AD"/>
    <w:rsid w:val="00A841DC"/>
    <w:rsid w:val="00A8429C"/>
    <w:rsid w:val="00A84401"/>
    <w:rsid w:val="00A844E3"/>
    <w:rsid w:val="00A8494D"/>
    <w:rsid w:val="00A84CD4"/>
    <w:rsid w:val="00A84DD5"/>
    <w:rsid w:val="00A851BB"/>
    <w:rsid w:val="00A85452"/>
    <w:rsid w:val="00A85788"/>
    <w:rsid w:val="00A859AE"/>
    <w:rsid w:val="00A85A91"/>
    <w:rsid w:val="00A85F28"/>
    <w:rsid w:val="00A8616B"/>
    <w:rsid w:val="00A864CE"/>
    <w:rsid w:val="00A865D0"/>
    <w:rsid w:val="00A86619"/>
    <w:rsid w:val="00A86975"/>
    <w:rsid w:val="00A86A55"/>
    <w:rsid w:val="00A86AF2"/>
    <w:rsid w:val="00A86D06"/>
    <w:rsid w:val="00A86DBE"/>
    <w:rsid w:val="00A86E71"/>
    <w:rsid w:val="00A86ED5"/>
    <w:rsid w:val="00A87134"/>
    <w:rsid w:val="00A875F5"/>
    <w:rsid w:val="00A87681"/>
    <w:rsid w:val="00A877AF"/>
    <w:rsid w:val="00A8780C"/>
    <w:rsid w:val="00A8792B"/>
    <w:rsid w:val="00A87BF7"/>
    <w:rsid w:val="00A87C75"/>
    <w:rsid w:val="00A87C9B"/>
    <w:rsid w:val="00A87FC4"/>
    <w:rsid w:val="00A904CC"/>
    <w:rsid w:val="00A9094C"/>
    <w:rsid w:val="00A90BAD"/>
    <w:rsid w:val="00A90C22"/>
    <w:rsid w:val="00A90C92"/>
    <w:rsid w:val="00A90EAE"/>
    <w:rsid w:val="00A90EEC"/>
    <w:rsid w:val="00A90F19"/>
    <w:rsid w:val="00A90F43"/>
    <w:rsid w:val="00A91088"/>
    <w:rsid w:val="00A914E5"/>
    <w:rsid w:val="00A9159F"/>
    <w:rsid w:val="00A9171E"/>
    <w:rsid w:val="00A91A8B"/>
    <w:rsid w:val="00A91B13"/>
    <w:rsid w:val="00A91B99"/>
    <w:rsid w:val="00A91C0D"/>
    <w:rsid w:val="00A91F7F"/>
    <w:rsid w:val="00A92040"/>
    <w:rsid w:val="00A92349"/>
    <w:rsid w:val="00A9241E"/>
    <w:rsid w:val="00A92460"/>
    <w:rsid w:val="00A924A2"/>
    <w:rsid w:val="00A92525"/>
    <w:rsid w:val="00A92709"/>
    <w:rsid w:val="00A92A7E"/>
    <w:rsid w:val="00A92C28"/>
    <w:rsid w:val="00A92D8E"/>
    <w:rsid w:val="00A92E0E"/>
    <w:rsid w:val="00A92E70"/>
    <w:rsid w:val="00A92F6A"/>
    <w:rsid w:val="00A9315D"/>
    <w:rsid w:val="00A93189"/>
    <w:rsid w:val="00A932B6"/>
    <w:rsid w:val="00A9378D"/>
    <w:rsid w:val="00A93A93"/>
    <w:rsid w:val="00A93B6E"/>
    <w:rsid w:val="00A94044"/>
    <w:rsid w:val="00A94608"/>
    <w:rsid w:val="00A94A61"/>
    <w:rsid w:val="00A94BB8"/>
    <w:rsid w:val="00A94D9E"/>
    <w:rsid w:val="00A94E98"/>
    <w:rsid w:val="00A94F0F"/>
    <w:rsid w:val="00A951AE"/>
    <w:rsid w:val="00A954A2"/>
    <w:rsid w:val="00A9575E"/>
    <w:rsid w:val="00A958D6"/>
    <w:rsid w:val="00A958DC"/>
    <w:rsid w:val="00A9592C"/>
    <w:rsid w:val="00A9593D"/>
    <w:rsid w:val="00A95A45"/>
    <w:rsid w:val="00A95EF2"/>
    <w:rsid w:val="00A96068"/>
    <w:rsid w:val="00A963B2"/>
    <w:rsid w:val="00A96510"/>
    <w:rsid w:val="00A96604"/>
    <w:rsid w:val="00A96728"/>
    <w:rsid w:val="00A967FD"/>
    <w:rsid w:val="00A96A1F"/>
    <w:rsid w:val="00A96A24"/>
    <w:rsid w:val="00A96A48"/>
    <w:rsid w:val="00A96B46"/>
    <w:rsid w:val="00A96B9C"/>
    <w:rsid w:val="00A9702C"/>
    <w:rsid w:val="00A9715A"/>
    <w:rsid w:val="00A97491"/>
    <w:rsid w:val="00A974B7"/>
    <w:rsid w:val="00A97522"/>
    <w:rsid w:val="00A97622"/>
    <w:rsid w:val="00A97E3C"/>
    <w:rsid w:val="00AA0023"/>
    <w:rsid w:val="00AA00CF"/>
    <w:rsid w:val="00AA022F"/>
    <w:rsid w:val="00AA02AF"/>
    <w:rsid w:val="00AA0493"/>
    <w:rsid w:val="00AA0676"/>
    <w:rsid w:val="00AA07F3"/>
    <w:rsid w:val="00AA0CEB"/>
    <w:rsid w:val="00AA0CF6"/>
    <w:rsid w:val="00AA0DAE"/>
    <w:rsid w:val="00AA0E5F"/>
    <w:rsid w:val="00AA0FBF"/>
    <w:rsid w:val="00AA13BC"/>
    <w:rsid w:val="00AA13FB"/>
    <w:rsid w:val="00AA145F"/>
    <w:rsid w:val="00AA14A5"/>
    <w:rsid w:val="00AA16F3"/>
    <w:rsid w:val="00AA17E0"/>
    <w:rsid w:val="00AA1A2A"/>
    <w:rsid w:val="00AA1F0B"/>
    <w:rsid w:val="00AA2425"/>
    <w:rsid w:val="00AA2514"/>
    <w:rsid w:val="00AA279B"/>
    <w:rsid w:val="00AA2B11"/>
    <w:rsid w:val="00AA2C36"/>
    <w:rsid w:val="00AA2DAB"/>
    <w:rsid w:val="00AA2DE5"/>
    <w:rsid w:val="00AA2E98"/>
    <w:rsid w:val="00AA306B"/>
    <w:rsid w:val="00AA31C1"/>
    <w:rsid w:val="00AA351A"/>
    <w:rsid w:val="00AA3656"/>
    <w:rsid w:val="00AA3750"/>
    <w:rsid w:val="00AA37D1"/>
    <w:rsid w:val="00AA3967"/>
    <w:rsid w:val="00AA3E14"/>
    <w:rsid w:val="00AA3E8A"/>
    <w:rsid w:val="00AA3F64"/>
    <w:rsid w:val="00AA40CE"/>
    <w:rsid w:val="00AA41B9"/>
    <w:rsid w:val="00AA4404"/>
    <w:rsid w:val="00AA453E"/>
    <w:rsid w:val="00AA455E"/>
    <w:rsid w:val="00AA45C3"/>
    <w:rsid w:val="00AA4B2B"/>
    <w:rsid w:val="00AA4DDA"/>
    <w:rsid w:val="00AA575A"/>
    <w:rsid w:val="00AA5DEB"/>
    <w:rsid w:val="00AA5F3E"/>
    <w:rsid w:val="00AA5F7C"/>
    <w:rsid w:val="00AA6259"/>
    <w:rsid w:val="00AA64D5"/>
    <w:rsid w:val="00AA6831"/>
    <w:rsid w:val="00AA6839"/>
    <w:rsid w:val="00AA6B47"/>
    <w:rsid w:val="00AA6E12"/>
    <w:rsid w:val="00AA71EE"/>
    <w:rsid w:val="00AA7389"/>
    <w:rsid w:val="00AA73C1"/>
    <w:rsid w:val="00AA7454"/>
    <w:rsid w:val="00AA74BC"/>
    <w:rsid w:val="00AA7596"/>
    <w:rsid w:val="00AA7817"/>
    <w:rsid w:val="00AA79EE"/>
    <w:rsid w:val="00AA7A6A"/>
    <w:rsid w:val="00AA7B05"/>
    <w:rsid w:val="00AA7B4C"/>
    <w:rsid w:val="00AA7B81"/>
    <w:rsid w:val="00AB0181"/>
    <w:rsid w:val="00AB042F"/>
    <w:rsid w:val="00AB0558"/>
    <w:rsid w:val="00AB06B1"/>
    <w:rsid w:val="00AB08CE"/>
    <w:rsid w:val="00AB0FFE"/>
    <w:rsid w:val="00AB1296"/>
    <w:rsid w:val="00AB137B"/>
    <w:rsid w:val="00AB156C"/>
    <w:rsid w:val="00AB1636"/>
    <w:rsid w:val="00AB16EB"/>
    <w:rsid w:val="00AB17A1"/>
    <w:rsid w:val="00AB1801"/>
    <w:rsid w:val="00AB1C10"/>
    <w:rsid w:val="00AB1C26"/>
    <w:rsid w:val="00AB2180"/>
    <w:rsid w:val="00AB2393"/>
    <w:rsid w:val="00AB275F"/>
    <w:rsid w:val="00AB27E1"/>
    <w:rsid w:val="00AB2823"/>
    <w:rsid w:val="00AB2A3D"/>
    <w:rsid w:val="00AB33A4"/>
    <w:rsid w:val="00AB3B0A"/>
    <w:rsid w:val="00AB3B4F"/>
    <w:rsid w:val="00AB3D2B"/>
    <w:rsid w:val="00AB3FF4"/>
    <w:rsid w:val="00AB42B8"/>
    <w:rsid w:val="00AB43C2"/>
    <w:rsid w:val="00AB471F"/>
    <w:rsid w:val="00AB4BE8"/>
    <w:rsid w:val="00AB4D11"/>
    <w:rsid w:val="00AB5296"/>
    <w:rsid w:val="00AB532F"/>
    <w:rsid w:val="00AB53E0"/>
    <w:rsid w:val="00AB56C1"/>
    <w:rsid w:val="00AB5963"/>
    <w:rsid w:val="00AB5A0D"/>
    <w:rsid w:val="00AB5B50"/>
    <w:rsid w:val="00AB5BBD"/>
    <w:rsid w:val="00AB6045"/>
    <w:rsid w:val="00AB65BF"/>
    <w:rsid w:val="00AB6814"/>
    <w:rsid w:val="00AB684D"/>
    <w:rsid w:val="00AB6921"/>
    <w:rsid w:val="00AB6A47"/>
    <w:rsid w:val="00AB72D4"/>
    <w:rsid w:val="00AB7308"/>
    <w:rsid w:val="00AB7759"/>
    <w:rsid w:val="00AB78C3"/>
    <w:rsid w:val="00AB7CED"/>
    <w:rsid w:val="00AC03D0"/>
    <w:rsid w:val="00AC04BA"/>
    <w:rsid w:val="00AC0558"/>
    <w:rsid w:val="00AC0627"/>
    <w:rsid w:val="00AC0997"/>
    <w:rsid w:val="00AC0A77"/>
    <w:rsid w:val="00AC0CA6"/>
    <w:rsid w:val="00AC0E39"/>
    <w:rsid w:val="00AC1250"/>
    <w:rsid w:val="00AC1667"/>
    <w:rsid w:val="00AC1903"/>
    <w:rsid w:val="00AC1927"/>
    <w:rsid w:val="00AC1B1B"/>
    <w:rsid w:val="00AC1B73"/>
    <w:rsid w:val="00AC2134"/>
    <w:rsid w:val="00AC22D5"/>
    <w:rsid w:val="00AC232B"/>
    <w:rsid w:val="00AC271D"/>
    <w:rsid w:val="00AC2DF9"/>
    <w:rsid w:val="00AC2FBA"/>
    <w:rsid w:val="00AC34D7"/>
    <w:rsid w:val="00AC38F5"/>
    <w:rsid w:val="00AC39EE"/>
    <w:rsid w:val="00AC4096"/>
    <w:rsid w:val="00AC4604"/>
    <w:rsid w:val="00AC4829"/>
    <w:rsid w:val="00AC48B5"/>
    <w:rsid w:val="00AC4917"/>
    <w:rsid w:val="00AC4F6D"/>
    <w:rsid w:val="00AC4FA1"/>
    <w:rsid w:val="00AC526A"/>
    <w:rsid w:val="00AC537E"/>
    <w:rsid w:val="00AC5399"/>
    <w:rsid w:val="00AC53BB"/>
    <w:rsid w:val="00AC5BC6"/>
    <w:rsid w:val="00AC5E0A"/>
    <w:rsid w:val="00AC5E81"/>
    <w:rsid w:val="00AC5EBE"/>
    <w:rsid w:val="00AC5FC0"/>
    <w:rsid w:val="00AC61EB"/>
    <w:rsid w:val="00AC62F4"/>
    <w:rsid w:val="00AC64AE"/>
    <w:rsid w:val="00AC653D"/>
    <w:rsid w:val="00AC67C5"/>
    <w:rsid w:val="00AC6883"/>
    <w:rsid w:val="00AC68DD"/>
    <w:rsid w:val="00AC6A2A"/>
    <w:rsid w:val="00AC6C2E"/>
    <w:rsid w:val="00AC6E62"/>
    <w:rsid w:val="00AC7645"/>
    <w:rsid w:val="00AC7964"/>
    <w:rsid w:val="00AC7A0A"/>
    <w:rsid w:val="00AC7B7A"/>
    <w:rsid w:val="00AC7C16"/>
    <w:rsid w:val="00AC7C70"/>
    <w:rsid w:val="00AD01C6"/>
    <w:rsid w:val="00AD0304"/>
    <w:rsid w:val="00AD080A"/>
    <w:rsid w:val="00AD0DD4"/>
    <w:rsid w:val="00AD0F4C"/>
    <w:rsid w:val="00AD0FBA"/>
    <w:rsid w:val="00AD118D"/>
    <w:rsid w:val="00AD1301"/>
    <w:rsid w:val="00AD16D9"/>
    <w:rsid w:val="00AD16F7"/>
    <w:rsid w:val="00AD1C6B"/>
    <w:rsid w:val="00AD1CCF"/>
    <w:rsid w:val="00AD2160"/>
    <w:rsid w:val="00AD21AE"/>
    <w:rsid w:val="00AD21C1"/>
    <w:rsid w:val="00AD21E3"/>
    <w:rsid w:val="00AD2394"/>
    <w:rsid w:val="00AD268F"/>
    <w:rsid w:val="00AD28EE"/>
    <w:rsid w:val="00AD295E"/>
    <w:rsid w:val="00AD2C2E"/>
    <w:rsid w:val="00AD2C4C"/>
    <w:rsid w:val="00AD2D73"/>
    <w:rsid w:val="00AD2FE3"/>
    <w:rsid w:val="00AD3082"/>
    <w:rsid w:val="00AD309E"/>
    <w:rsid w:val="00AD30E1"/>
    <w:rsid w:val="00AD3264"/>
    <w:rsid w:val="00AD32B4"/>
    <w:rsid w:val="00AD35D6"/>
    <w:rsid w:val="00AD379D"/>
    <w:rsid w:val="00AD3841"/>
    <w:rsid w:val="00AD38FA"/>
    <w:rsid w:val="00AD3BD3"/>
    <w:rsid w:val="00AD3C84"/>
    <w:rsid w:val="00AD3D9D"/>
    <w:rsid w:val="00AD3E8E"/>
    <w:rsid w:val="00AD3F10"/>
    <w:rsid w:val="00AD4647"/>
    <w:rsid w:val="00AD4655"/>
    <w:rsid w:val="00AD474D"/>
    <w:rsid w:val="00AD495D"/>
    <w:rsid w:val="00AD49FD"/>
    <w:rsid w:val="00AD4A00"/>
    <w:rsid w:val="00AD4AD0"/>
    <w:rsid w:val="00AD4AFE"/>
    <w:rsid w:val="00AD5436"/>
    <w:rsid w:val="00AD57C1"/>
    <w:rsid w:val="00AD5BC8"/>
    <w:rsid w:val="00AD5EE6"/>
    <w:rsid w:val="00AD60CD"/>
    <w:rsid w:val="00AD6514"/>
    <w:rsid w:val="00AD672F"/>
    <w:rsid w:val="00AD67FC"/>
    <w:rsid w:val="00AD6C8C"/>
    <w:rsid w:val="00AD6CAA"/>
    <w:rsid w:val="00AD7000"/>
    <w:rsid w:val="00AD7054"/>
    <w:rsid w:val="00AD74A7"/>
    <w:rsid w:val="00AD7762"/>
    <w:rsid w:val="00AD7B84"/>
    <w:rsid w:val="00AE02E1"/>
    <w:rsid w:val="00AE0388"/>
    <w:rsid w:val="00AE068A"/>
    <w:rsid w:val="00AE06CA"/>
    <w:rsid w:val="00AE091D"/>
    <w:rsid w:val="00AE0CB6"/>
    <w:rsid w:val="00AE0D88"/>
    <w:rsid w:val="00AE0E63"/>
    <w:rsid w:val="00AE10B2"/>
    <w:rsid w:val="00AE12AB"/>
    <w:rsid w:val="00AE13AA"/>
    <w:rsid w:val="00AE1687"/>
    <w:rsid w:val="00AE22E3"/>
    <w:rsid w:val="00AE247E"/>
    <w:rsid w:val="00AE2538"/>
    <w:rsid w:val="00AE2705"/>
    <w:rsid w:val="00AE28D7"/>
    <w:rsid w:val="00AE2BA0"/>
    <w:rsid w:val="00AE2CEB"/>
    <w:rsid w:val="00AE3024"/>
    <w:rsid w:val="00AE3311"/>
    <w:rsid w:val="00AE342B"/>
    <w:rsid w:val="00AE3556"/>
    <w:rsid w:val="00AE35A4"/>
    <w:rsid w:val="00AE3792"/>
    <w:rsid w:val="00AE3B60"/>
    <w:rsid w:val="00AE3C9F"/>
    <w:rsid w:val="00AE3E5E"/>
    <w:rsid w:val="00AE4591"/>
    <w:rsid w:val="00AE48EC"/>
    <w:rsid w:val="00AE4934"/>
    <w:rsid w:val="00AE4ADE"/>
    <w:rsid w:val="00AE4E61"/>
    <w:rsid w:val="00AE53A1"/>
    <w:rsid w:val="00AE54CF"/>
    <w:rsid w:val="00AE5618"/>
    <w:rsid w:val="00AE5DCF"/>
    <w:rsid w:val="00AE6295"/>
    <w:rsid w:val="00AE64C5"/>
    <w:rsid w:val="00AE666B"/>
    <w:rsid w:val="00AE66D8"/>
    <w:rsid w:val="00AE676E"/>
    <w:rsid w:val="00AE6AD7"/>
    <w:rsid w:val="00AE6D1E"/>
    <w:rsid w:val="00AE6D6A"/>
    <w:rsid w:val="00AE6E19"/>
    <w:rsid w:val="00AE745F"/>
    <w:rsid w:val="00AE74D7"/>
    <w:rsid w:val="00AE76FB"/>
    <w:rsid w:val="00AE7B31"/>
    <w:rsid w:val="00AE7B54"/>
    <w:rsid w:val="00AE7E75"/>
    <w:rsid w:val="00AE7EEB"/>
    <w:rsid w:val="00AF0ACA"/>
    <w:rsid w:val="00AF0D0D"/>
    <w:rsid w:val="00AF0D89"/>
    <w:rsid w:val="00AF0E15"/>
    <w:rsid w:val="00AF0F1F"/>
    <w:rsid w:val="00AF0F28"/>
    <w:rsid w:val="00AF1096"/>
    <w:rsid w:val="00AF18E8"/>
    <w:rsid w:val="00AF1A3D"/>
    <w:rsid w:val="00AF1B31"/>
    <w:rsid w:val="00AF1E52"/>
    <w:rsid w:val="00AF1F41"/>
    <w:rsid w:val="00AF1F71"/>
    <w:rsid w:val="00AF23A8"/>
    <w:rsid w:val="00AF2484"/>
    <w:rsid w:val="00AF2647"/>
    <w:rsid w:val="00AF26DE"/>
    <w:rsid w:val="00AF2ABB"/>
    <w:rsid w:val="00AF2ADE"/>
    <w:rsid w:val="00AF2BD8"/>
    <w:rsid w:val="00AF2DE4"/>
    <w:rsid w:val="00AF2E3D"/>
    <w:rsid w:val="00AF3011"/>
    <w:rsid w:val="00AF34DF"/>
    <w:rsid w:val="00AF353F"/>
    <w:rsid w:val="00AF3B1F"/>
    <w:rsid w:val="00AF3BDC"/>
    <w:rsid w:val="00AF4024"/>
    <w:rsid w:val="00AF402C"/>
    <w:rsid w:val="00AF42B4"/>
    <w:rsid w:val="00AF4459"/>
    <w:rsid w:val="00AF4511"/>
    <w:rsid w:val="00AF45AD"/>
    <w:rsid w:val="00AF4EEA"/>
    <w:rsid w:val="00AF4FA8"/>
    <w:rsid w:val="00AF51A5"/>
    <w:rsid w:val="00AF5789"/>
    <w:rsid w:val="00AF5B80"/>
    <w:rsid w:val="00AF5EE6"/>
    <w:rsid w:val="00AF63E7"/>
    <w:rsid w:val="00AF6450"/>
    <w:rsid w:val="00AF650A"/>
    <w:rsid w:val="00AF6557"/>
    <w:rsid w:val="00AF65CB"/>
    <w:rsid w:val="00AF6644"/>
    <w:rsid w:val="00AF666A"/>
    <w:rsid w:val="00AF66E6"/>
    <w:rsid w:val="00AF6775"/>
    <w:rsid w:val="00AF6782"/>
    <w:rsid w:val="00AF697D"/>
    <w:rsid w:val="00AF69B3"/>
    <w:rsid w:val="00AF69B6"/>
    <w:rsid w:val="00AF6C84"/>
    <w:rsid w:val="00AF6D28"/>
    <w:rsid w:val="00AF6E17"/>
    <w:rsid w:val="00AF71FD"/>
    <w:rsid w:val="00AF7211"/>
    <w:rsid w:val="00AF72A8"/>
    <w:rsid w:val="00AF7509"/>
    <w:rsid w:val="00AF7558"/>
    <w:rsid w:val="00AF761B"/>
    <w:rsid w:val="00AF7808"/>
    <w:rsid w:val="00AF78C2"/>
    <w:rsid w:val="00AF7A77"/>
    <w:rsid w:val="00AF7DFE"/>
    <w:rsid w:val="00B001B0"/>
    <w:rsid w:val="00B00439"/>
    <w:rsid w:val="00B004AC"/>
    <w:rsid w:val="00B005D0"/>
    <w:rsid w:val="00B0069F"/>
    <w:rsid w:val="00B00944"/>
    <w:rsid w:val="00B00A5B"/>
    <w:rsid w:val="00B00B57"/>
    <w:rsid w:val="00B00CF1"/>
    <w:rsid w:val="00B00E14"/>
    <w:rsid w:val="00B01025"/>
    <w:rsid w:val="00B0149E"/>
    <w:rsid w:val="00B0165D"/>
    <w:rsid w:val="00B01A78"/>
    <w:rsid w:val="00B01B60"/>
    <w:rsid w:val="00B02180"/>
    <w:rsid w:val="00B02359"/>
    <w:rsid w:val="00B02478"/>
    <w:rsid w:val="00B0290B"/>
    <w:rsid w:val="00B02BB8"/>
    <w:rsid w:val="00B02DC1"/>
    <w:rsid w:val="00B031F3"/>
    <w:rsid w:val="00B036CF"/>
    <w:rsid w:val="00B03772"/>
    <w:rsid w:val="00B038F1"/>
    <w:rsid w:val="00B0404F"/>
    <w:rsid w:val="00B0415C"/>
    <w:rsid w:val="00B048A9"/>
    <w:rsid w:val="00B04B4C"/>
    <w:rsid w:val="00B04FFC"/>
    <w:rsid w:val="00B05285"/>
    <w:rsid w:val="00B052A4"/>
    <w:rsid w:val="00B0549E"/>
    <w:rsid w:val="00B0581B"/>
    <w:rsid w:val="00B05970"/>
    <w:rsid w:val="00B05991"/>
    <w:rsid w:val="00B059AD"/>
    <w:rsid w:val="00B05D72"/>
    <w:rsid w:val="00B06189"/>
    <w:rsid w:val="00B06457"/>
    <w:rsid w:val="00B06541"/>
    <w:rsid w:val="00B069C3"/>
    <w:rsid w:val="00B06D58"/>
    <w:rsid w:val="00B06DFD"/>
    <w:rsid w:val="00B070FA"/>
    <w:rsid w:val="00B07149"/>
    <w:rsid w:val="00B0736A"/>
    <w:rsid w:val="00B075CB"/>
    <w:rsid w:val="00B075D9"/>
    <w:rsid w:val="00B077C8"/>
    <w:rsid w:val="00B0799B"/>
    <w:rsid w:val="00B07CBC"/>
    <w:rsid w:val="00B07CF0"/>
    <w:rsid w:val="00B07F01"/>
    <w:rsid w:val="00B07F5A"/>
    <w:rsid w:val="00B100CC"/>
    <w:rsid w:val="00B101E3"/>
    <w:rsid w:val="00B1028C"/>
    <w:rsid w:val="00B103D9"/>
    <w:rsid w:val="00B10ADB"/>
    <w:rsid w:val="00B10E48"/>
    <w:rsid w:val="00B110A9"/>
    <w:rsid w:val="00B11408"/>
    <w:rsid w:val="00B117A8"/>
    <w:rsid w:val="00B117F4"/>
    <w:rsid w:val="00B119AF"/>
    <w:rsid w:val="00B119B4"/>
    <w:rsid w:val="00B11EE9"/>
    <w:rsid w:val="00B11FCD"/>
    <w:rsid w:val="00B12173"/>
    <w:rsid w:val="00B121FC"/>
    <w:rsid w:val="00B125DE"/>
    <w:rsid w:val="00B1265A"/>
    <w:rsid w:val="00B12760"/>
    <w:rsid w:val="00B12861"/>
    <w:rsid w:val="00B128F5"/>
    <w:rsid w:val="00B12B28"/>
    <w:rsid w:val="00B12B69"/>
    <w:rsid w:val="00B12C04"/>
    <w:rsid w:val="00B12D17"/>
    <w:rsid w:val="00B12DD8"/>
    <w:rsid w:val="00B12FD4"/>
    <w:rsid w:val="00B13402"/>
    <w:rsid w:val="00B1351A"/>
    <w:rsid w:val="00B13577"/>
    <w:rsid w:val="00B1374A"/>
    <w:rsid w:val="00B13914"/>
    <w:rsid w:val="00B13F34"/>
    <w:rsid w:val="00B13FDD"/>
    <w:rsid w:val="00B14279"/>
    <w:rsid w:val="00B142AD"/>
    <w:rsid w:val="00B142B8"/>
    <w:rsid w:val="00B1454F"/>
    <w:rsid w:val="00B149C1"/>
    <w:rsid w:val="00B14A80"/>
    <w:rsid w:val="00B14AF6"/>
    <w:rsid w:val="00B14E90"/>
    <w:rsid w:val="00B14EA8"/>
    <w:rsid w:val="00B14EB7"/>
    <w:rsid w:val="00B15153"/>
    <w:rsid w:val="00B1525A"/>
    <w:rsid w:val="00B1547B"/>
    <w:rsid w:val="00B1574A"/>
    <w:rsid w:val="00B15937"/>
    <w:rsid w:val="00B15E61"/>
    <w:rsid w:val="00B15F39"/>
    <w:rsid w:val="00B1638F"/>
    <w:rsid w:val="00B16496"/>
    <w:rsid w:val="00B165BB"/>
    <w:rsid w:val="00B16891"/>
    <w:rsid w:val="00B16974"/>
    <w:rsid w:val="00B169CE"/>
    <w:rsid w:val="00B171E6"/>
    <w:rsid w:val="00B1723D"/>
    <w:rsid w:val="00B175D8"/>
    <w:rsid w:val="00B175F4"/>
    <w:rsid w:val="00B17615"/>
    <w:rsid w:val="00B176D5"/>
    <w:rsid w:val="00B17A96"/>
    <w:rsid w:val="00B17BE2"/>
    <w:rsid w:val="00B17E3C"/>
    <w:rsid w:val="00B17F64"/>
    <w:rsid w:val="00B201A0"/>
    <w:rsid w:val="00B20E88"/>
    <w:rsid w:val="00B2105E"/>
    <w:rsid w:val="00B215D1"/>
    <w:rsid w:val="00B216D9"/>
    <w:rsid w:val="00B2179F"/>
    <w:rsid w:val="00B219D2"/>
    <w:rsid w:val="00B21A61"/>
    <w:rsid w:val="00B21AED"/>
    <w:rsid w:val="00B21F43"/>
    <w:rsid w:val="00B2224D"/>
    <w:rsid w:val="00B224BA"/>
    <w:rsid w:val="00B22875"/>
    <w:rsid w:val="00B22964"/>
    <w:rsid w:val="00B2299B"/>
    <w:rsid w:val="00B22B16"/>
    <w:rsid w:val="00B22D2F"/>
    <w:rsid w:val="00B22EB2"/>
    <w:rsid w:val="00B22F4A"/>
    <w:rsid w:val="00B23193"/>
    <w:rsid w:val="00B231C6"/>
    <w:rsid w:val="00B23283"/>
    <w:rsid w:val="00B233FA"/>
    <w:rsid w:val="00B237AA"/>
    <w:rsid w:val="00B237DA"/>
    <w:rsid w:val="00B23A5A"/>
    <w:rsid w:val="00B23B2F"/>
    <w:rsid w:val="00B23D1B"/>
    <w:rsid w:val="00B2425B"/>
    <w:rsid w:val="00B242ED"/>
    <w:rsid w:val="00B2438C"/>
    <w:rsid w:val="00B24676"/>
    <w:rsid w:val="00B24EC5"/>
    <w:rsid w:val="00B24F97"/>
    <w:rsid w:val="00B25139"/>
    <w:rsid w:val="00B2515A"/>
    <w:rsid w:val="00B251C2"/>
    <w:rsid w:val="00B256D6"/>
    <w:rsid w:val="00B2579E"/>
    <w:rsid w:val="00B258EB"/>
    <w:rsid w:val="00B259B0"/>
    <w:rsid w:val="00B25D5B"/>
    <w:rsid w:val="00B25DC8"/>
    <w:rsid w:val="00B25F26"/>
    <w:rsid w:val="00B2600C"/>
    <w:rsid w:val="00B269A5"/>
    <w:rsid w:val="00B26BE4"/>
    <w:rsid w:val="00B26DA6"/>
    <w:rsid w:val="00B26E80"/>
    <w:rsid w:val="00B26F80"/>
    <w:rsid w:val="00B27077"/>
    <w:rsid w:val="00B270DF"/>
    <w:rsid w:val="00B2723F"/>
    <w:rsid w:val="00B2724E"/>
    <w:rsid w:val="00B27442"/>
    <w:rsid w:val="00B27478"/>
    <w:rsid w:val="00B27517"/>
    <w:rsid w:val="00B27A3D"/>
    <w:rsid w:val="00B27E2D"/>
    <w:rsid w:val="00B27EBA"/>
    <w:rsid w:val="00B27EE7"/>
    <w:rsid w:val="00B30084"/>
    <w:rsid w:val="00B30182"/>
    <w:rsid w:val="00B303A7"/>
    <w:rsid w:val="00B304B7"/>
    <w:rsid w:val="00B305DB"/>
    <w:rsid w:val="00B30F93"/>
    <w:rsid w:val="00B30F98"/>
    <w:rsid w:val="00B31167"/>
    <w:rsid w:val="00B316A0"/>
    <w:rsid w:val="00B31742"/>
    <w:rsid w:val="00B31874"/>
    <w:rsid w:val="00B321F3"/>
    <w:rsid w:val="00B3237D"/>
    <w:rsid w:val="00B32640"/>
    <w:rsid w:val="00B329D8"/>
    <w:rsid w:val="00B32B5E"/>
    <w:rsid w:val="00B32BB9"/>
    <w:rsid w:val="00B32BE0"/>
    <w:rsid w:val="00B32CFC"/>
    <w:rsid w:val="00B32DC7"/>
    <w:rsid w:val="00B33071"/>
    <w:rsid w:val="00B33091"/>
    <w:rsid w:val="00B3314D"/>
    <w:rsid w:val="00B3318D"/>
    <w:rsid w:val="00B33AE1"/>
    <w:rsid w:val="00B341F3"/>
    <w:rsid w:val="00B34295"/>
    <w:rsid w:val="00B342A4"/>
    <w:rsid w:val="00B344FB"/>
    <w:rsid w:val="00B34534"/>
    <w:rsid w:val="00B3461E"/>
    <w:rsid w:val="00B346F9"/>
    <w:rsid w:val="00B34CB5"/>
    <w:rsid w:val="00B34CE0"/>
    <w:rsid w:val="00B34E71"/>
    <w:rsid w:val="00B350D6"/>
    <w:rsid w:val="00B3534E"/>
    <w:rsid w:val="00B35395"/>
    <w:rsid w:val="00B35446"/>
    <w:rsid w:val="00B359CE"/>
    <w:rsid w:val="00B35A19"/>
    <w:rsid w:val="00B35A20"/>
    <w:rsid w:val="00B35B7F"/>
    <w:rsid w:val="00B35B95"/>
    <w:rsid w:val="00B35F19"/>
    <w:rsid w:val="00B35F38"/>
    <w:rsid w:val="00B36788"/>
    <w:rsid w:val="00B36F3D"/>
    <w:rsid w:val="00B3731F"/>
    <w:rsid w:val="00B37662"/>
    <w:rsid w:val="00B37896"/>
    <w:rsid w:val="00B37B3B"/>
    <w:rsid w:val="00B37B94"/>
    <w:rsid w:val="00B37C38"/>
    <w:rsid w:val="00B37D62"/>
    <w:rsid w:val="00B37E48"/>
    <w:rsid w:val="00B37EC5"/>
    <w:rsid w:val="00B37F79"/>
    <w:rsid w:val="00B37FC5"/>
    <w:rsid w:val="00B400DF"/>
    <w:rsid w:val="00B40300"/>
    <w:rsid w:val="00B404EB"/>
    <w:rsid w:val="00B40965"/>
    <w:rsid w:val="00B41581"/>
    <w:rsid w:val="00B415CA"/>
    <w:rsid w:val="00B41759"/>
    <w:rsid w:val="00B41870"/>
    <w:rsid w:val="00B418F0"/>
    <w:rsid w:val="00B41BDC"/>
    <w:rsid w:val="00B41BFC"/>
    <w:rsid w:val="00B41E08"/>
    <w:rsid w:val="00B42086"/>
    <w:rsid w:val="00B421BF"/>
    <w:rsid w:val="00B42464"/>
    <w:rsid w:val="00B425CA"/>
    <w:rsid w:val="00B425CF"/>
    <w:rsid w:val="00B42703"/>
    <w:rsid w:val="00B42802"/>
    <w:rsid w:val="00B4288C"/>
    <w:rsid w:val="00B42AA8"/>
    <w:rsid w:val="00B42B22"/>
    <w:rsid w:val="00B42B30"/>
    <w:rsid w:val="00B42B35"/>
    <w:rsid w:val="00B42B52"/>
    <w:rsid w:val="00B42CD4"/>
    <w:rsid w:val="00B42F75"/>
    <w:rsid w:val="00B42F80"/>
    <w:rsid w:val="00B430D9"/>
    <w:rsid w:val="00B43262"/>
    <w:rsid w:val="00B43285"/>
    <w:rsid w:val="00B43526"/>
    <w:rsid w:val="00B436F5"/>
    <w:rsid w:val="00B438CF"/>
    <w:rsid w:val="00B4405D"/>
    <w:rsid w:val="00B44100"/>
    <w:rsid w:val="00B44480"/>
    <w:rsid w:val="00B44525"/>
    <w:rsid w:val="00B44635"/>
    <w:rsid w:val="00B44679"/>
    <w:rsid w:val="00B44762"/>
    <w:rsid w:val="00B44969"/>
    <w:rsid w:val="00B449AD"/>
    <w:rsid w:val="00B44B83"/>
    <w:rsid w:val="00B44C48"/>
    <w:rsid w:val="00B44D86"/>
    <w:rsid w:val="00B44DB3"/>
    <w:rsid w:val="00B44DD7"/>
    <w:rsid w:val="00B44EED"/>
    <w:rsid w:val="00B45111"/>
    <w:rsid w:val="00B4525B"/>
    <w:rsid w:val="00B453A9"/>
    <w:rsid w:val="00B454D9"/>
    <w:rsid w:val="00B4570C"/>
    <w:rsid w:val="00B45960"/>
    <w:rsid w:val="00B45F6B"/>
    <w:rsid w:val="00B46038"/>
    <w:rsid w:val="00B46043"/>
    <w:rsid w:val="00B461A7"/>
    <w:rsid w:val="00B461E3"/>
    <w:rsid w:val="00B467D6"/>
    <w:rsid w:val="00B468C6"/>
    <w:rsid w:val="00B46A9C"/>
    <w:rsid w:val="00B46CBA"/>
    <w:rsid w:val="00B46F94"/>
    <w:rsid w:val="00B473A8"/>
    <w:rsid w:val="00B4756F"/>
    <w:rsid w:val="00B477F5"/>
    <w:rsid w:val="00B47AB7"/>
    <w:rsid w:val="00B47AD1"/>
    <w:rsid w:val="00B47BE1"/>
    <w:rsid w:val="00B47DAB"/>
    <w:rsid w:val="00B5024D"/>
    <w:rsid w:val="00B50396"/>
    <w:rsid w:val="00B50BAC"/>
    <w:rsid w:val="00B51069"/>
    <w:rsid w:val="00B51270"/>
    <w:rsid w:val="00B51298"/>
    <w:rsid w:val="00B5136E"/>
    <w:rsid w:val="00B51385"/>
    <w:rsid w:val="00B51A2F"/>
    <w:rsid w:val="00B51AC9"/>
    <w:rsid w:val="00B51ADC"/>
    <w:rsid w:val="00B51DE6"/>
    <w:rsid w:val="00B5243A"/>
    <w:rsid w:val="00B524E3"/>
    <w:rsid w:val="00B52712"/>
    <w:rsid w:val="00B52828"/>
    <w:rsid w:val="00B528BC"/>
    <w:rsid w:val="00B52C68"/>
    <w:rsid w:val="00B52E23"/>
    <w:rsid w:val="00B530B0"/>
    <w:rsid w:val="00B53317"/>
    <w:rsid w:val="00B533FD"/>
    <w:rsid w:val="00B534CB"/>
    <w:rsid w:val="00B534F1"/>
    <w:rsid w:val="00B53590"/>
    <w:rsid w:val="00B537CC"/>
    <w:rsid w:val="00B5392E"/>
    <w:rsid w:val="00B53A1C"/>
    <w:rsid w:val="00B53EEB"/>
    <w:rsid w:val="00B53F5E"/>
    <w:rsid w:val="00B54087"/>
    <w:rsid w:val="00B548E8"/>
    <w:rsid w:val="00B54ACC"/>
    <w:rsid w:val="00B54CE4"/>
    <w:rsid w:val="00B54F0D"/>
    <w:rsid w:val="00B54F7C"/>
    <w:rsid w:val="00B552D7"/>
    <w:rsid w:val="00B5534C"/>
    <w:rsid w:val="00B55576"/>
    <w:rsid w:val="00B555A5"/>
    <w:rsid w:val="00B5567A"/>
    <w:rsid w:val="00B55719"/>
    <w:rsid w:val="00B557BD"/>
    <w:rsid w:val="00B55946"/>
    <w:rsid w:val="00B55BC2"/>
    <w:rsid w:val="00B55F80"/>
    <w:rsid w:val="00B55FED"/>
    <w:rsid w:val="00B56158"/>
    <w:rsid w:val="00B56263"/>
    <w:rsid w:val="00B562E5"/>
    <w:rsid w:val="00B5630E"/>
    <w:rsid w:val="00B564F8"/>
    <w:rsid w:val="00B5650B"/>
    <w:rsid w:val="00B56A35"/>
    <w:rsid w:val="00B56A86"/>
    <w:rsid w:val="00B56A8A"/>
    <w:rsid w:val="00B56AE1"/>
    <w:rsid w:val="00B56BDD"/>
    <w:rsid w:val="00B56D87"/>
    <w:rsid w:val="00B56F63"/>
    <w:rsid w:val="00B56FDC"/>
    <w:rsid w:val="00B57989"/>
    <w:rsid w:val="00B57BC8"/>
    <w:rsid w:val="00B57CAB"/>
    <w:rsid w:val="00B57D01"/>
    <w:rsid w:val="00B57FB2"/>
    <w:rsid w:val="00B6003C"/>
    <w:rsid w:val="00B6016E"/>
    <w:rsid w:val="00B603DC"/>
    <w:rsid w:val="00B6047B"/>
    <w:rsid w:val="00B6054E"/>
    <w:rsid w:val="00B606CB"/>
    <w:rsid w:val="00B60878"/>
    <w:rsid w:val="00B60DF5"/>
    <w:rsid w:val="00B6142D"/>
    <w:rsid w:val="00B615BD"/>
    <w:rsid w:val="00B61731"/>
    <w:rsid w:val="00B61822"/>
    <w:rsid w:val="00B61BCD"/>
    <w:rsid w:val="00B61C60"/>
    <w:rsid w:val="00B61C96"/>
    <w:rsid w:val="00B61E72"/>
    <w:rsid w:val="00B61F00"/>
    <w:rsid w:val="00B61F03"/>
    <w:rsid w:val="00B61FF5"/>
    <w:rsid w:val="00B620B1"/>
    <w:rsid w:val="00B620C0"/>
    <w:rsid w:val="00B62125"/>
    <w:rsid w:val="00B622F8"/>
    <w:rsid w:val="00B62598"/>
    <w:rsid w:val="00B626E4"/>
    <w:rsid w:val="00B6291D"/>
    <w:rsid w:val="00B62C55"/>
    <w:rsid w:val="00B62F98"/>
    <w:rsid w:val="00B630C3"/>
    <w:rsid w:val="00B63182"/>
    <w:rsid w:val="00B6368B"/>
    <w:rsid w:val="00B63785"/>
    <w:rsid w:val="00B63A1E"/>
    <w:rsid w:val="00B63A6A"/>
    <w:rsid w:val="00B63E2D"/>
    <w:rsid w:val="00B63EB7"/>
    <w:rsid w:val="00B64030"/>
    <w:rsid w:val="00B64206"/>
    <w:rsid w:val="00B6436A"/>
    <w:rsid w:val="00B64425"/>
    <w:rsid w:val="00B6455D"/>
    <w:rsid w:val="00B6477E"/>
    <w:rsid w:val="00B648B6"/>
    <w:rsid w:val="00B653CC"/>
    <w:rsid w:val="00B6540D"/>
    <w:rsid w:val="00B6577F"/>
    <w:rsid w:val="00B65894"/>
    <w:rsid w:val="00B6590B"/>
    <w:rsid w:val="00B659EB"/>
    <w:rsid w:val="00B65B6E"/>
    <w:rsid w:val="00B65ED1"/>
    <w:rsid w:val="00B65FAB"/>
    <w:rsid w:val="00B660EE"/>
    <w:rsid w:val="00B6611D"/>
    <w:rsid w:val="00B66219"/>
    <w:rsid w:val="00B663EF"/>
    <w:rsid w:val="00B664B5"/>
    <w:rsid w:val="00B6657E"/>
    <w:rsid w:val="00B66755"/>
    <w:rsid w:val="00B6676A"/>
    <w:rsid w:val="00B66A3A"/>
    <w:rsid w:val="00B67173"/>
    <w:rsid w:val="00B67291"/>
    <w:rsid w:val="00B67558"/>
    <w:rsid w:val="00B675F5"/>
    <w:rsid w:val="00B676AB"/>
    <w:rsid w:val="00B67793"/>
    <w:rsid w:val="00B67CDC"/>
    <w:rsid w:val="00B70372"/>
    <w:rsid w:val="00B703A5"/>
    <w:rsid w:val="00B70571"/>
    <w:rsid w:val="00B7059F"/>
    <w:rsid w:val="00B7060C"/>
    <w:rsid w:val="00B708D4"/>
    <w:rsid w:val="00B708FF"/>
    <w:rsid w:val="00B70D3A"/>
    <w:rsid w:val="00B70E63"/>
    <w:rsid w:val="00B70F1E"/>
    <w:rsid w:val="00B71142"/>
    <w:rsid w:val="00B712A0"/>
    <w:rsid w:val="00B712CF"/>
    <w:rsid w:val="00B7159D"/>
    <w:rsid w:val="00B719FF"/>
    <w:rsid w:val="00B71E92"/>
    <w:rsid w:val="00B71F27"/>
    <w:rsid w:val="00B7200B"/>
    <w:rsid w:val="00B724FC"/>
    <w:rsid w:val="00B7259B"/>
    <w:rsid w:val="00B72612"/>
    <w:rsid w:val="00B72BA8"/>
    <w:rsid w:val="00B72CC7"/>
    <w:rsid w:val="00B72D1A"/>
    <w:rsid w:val="00B72F4A"/>
    <w:rsid w:val="00B7301C"/>
    <w:rsid w:val="00B7327D"/>
    <w:rsid w:val="00B7342A"/>
    <w:rsid w:val="00B7369F"/>
    <w:rsid w:val="00B73757"/>
    <w:rsid w:val="00B73A3B"/>
    <w:rsid w:val="00B73A7E"/>
    <w:rsid w:val="00B73AD3"/>
    <w:rsid w:val="00B73BAC"/>
    <w:rsid w:val="00B73CA1"/>
    <w:rsid w:val="00B73EF2"/>
    <w:rsid w:val="00B74146"/>
    <w:rsid w:val="00B743F7"/>
    <w:rsid w:val="00B74615"/>
    <w:rsid w:val="00B74630"/>
    <w:rsid w:val="00B746C0"/>
    <w:rsid w:val="00B74777"/>
    <w:rsid w:val="00B74B08"/>
    <w:rsid w:val="00B74CA7"/>
    <w:rsid w:val="00B74ED3"/>
    <w:rsid w:val="00B74FA5"/>
    <w:rsid w:val="00B75733"/>
    <w:rsid w:val="00B7579A"/>
    <w:rsid w:val="00B7594F"/>
    <w:rsid w:val="00B75CFF"/>
    <w:rsid w:val="00B75DD0"/>
    <w:rsid w:val="00B76064"/>
    <w:rsid w:val="00B760D1"/>
    <w:rsid w:val="00B7635C"/>
    <w:rsid w:val="00B763CA"/>
    <w:rsid w:val="00B765D0"/>
    <w:rsid w:val="00B76690"/>
    <w:rsid w:val="00B76769"/>
    <w:rsid w:val="00B76867"/>
    <w:rsid w:val="00B76BF9"/>
    <w:rsid w:val="00B76E29"/>
    <w:rsid w:val="00B76FF8"/>
    <w:rsid w:val="00B76FFE"/>
    <w:rsid w:val="00B7753A"/>
    <w:rsid w:val="00B77738"/>
    <w:rsid w:val="00B77849"/>
    <w:rsid w:val="00B779C1"/>
    <w:rsid w:val="00B77C26"/>
    <w:rsid w:val="00B77CFD"/>
    <w:rsid w:val="00B77F1C"/>
    <w:rsid w:val="00B77F5C"/>
    <w:rsid w:val="00B8038A"/>
    <w:rsid w:val="00B803AF"/>
    <w:rsid w:val="00B80472"/>
    <w:rsid w:val="00B80F64"/>
    <w:rsid w:val="00B80FE4"/>
    <w:rsid w:val="00B81181"/>
    <w:rsid w:val="00B81246"/>
    <w:rsid w:val="00B8165F"/>
    <w:rsid w:val="00B819FD"/>
    <w:rsid w:val="00B81A4E"/>
    <w:rsid w:val="00B81E31"/>
    <w:rsid w:val="00B81E92"/>
    <w:rsid w:val="00B82534"/>
    <w:rsid w:val="00B82891"/>
    <w:rsid w:val="00B83176"/>
    <w:rsid w:val="00B835F4"/>
    <w:rsid w:val="00B83605"/>
    <w:rsid w:val="00B836D7"/>
    <w:rsid w:val="00B83AF4"/>
    <w:rsid w:val="00B83C27"/>
    <w:rsid w:val="00B83C5C"/>
    <w:rsid w:val="00B83C6C"/>
    <w:rsid w:val="00B83F2B"/>
    <w:rsid w:val="00B84240"/>
    <w:rsid w:val="00B8433C"/>
    <w:rsid w:val="00B8463D"/>
    <w:rsid w:val="00B8478B"/>
    <w:rsid w:val="00B84A56"/>
    <w:rsid w:val="00B84BC3"/>
    <w:rsid w:val="00B84BC8"/>
    <w:rsid w:val="00B84BDD"/>
    <w:rsid w:val="00B84C2F"/>
    <w:rsid w:val="00B8529C"/>
    <w:rsid w:val="00B8535E"/>
    <w:rsid w:val="00B853A8"/>
    <w:rsid w:val="00B8560C"/>
    <w:rsid w:val="00B857FB"/>
    <w:rsid w:val="00B85BC2"/>
    <w:rsid w:val="00B86042"/>
    <w:rsid w:val="00B8607A"/>
    <w:rsid w:val="00B8617C"/>
    <w:rsid w:val="00B8644D"/>
    <w:rsid w:val="00B865F4"/>
    <w:rsid w:val="00B86798"/>
    <w:rsid w:val="00B8686B"/>
    <w:rsid w:val="00B86970"/>
    <w:rsid w:val="00B86A75"/>
    <w:rsid w:val="00B86B34"/>
    <w:rsid w:val="00B86BBE"/>
    <w:rsid w:val="00B86C0D"/>
    <w:rsid w:val="00B86CC7"/>
    <w:rsid w:val="00B86F73"/>
    <w:rsid w:val="00B871EB"/>
    <w:rsid w:val="00B874F0"/>
    <w:rsid w:val="00B87791"/>
    <w:rsid w:val="00B877A2"/>
    <w:rsid w:val="00B90063"/>
    <w:rsid w:val="00B9022D"/>
    <w:rsid w:val="00B9026C"/>
    <w:rsid w:val="00B90A68"/>
    <w:rsid w:val="00B90A7B"/>
    <w:rsid w:val="00B90BCC"/>
    <w:rsid w:val="00B90E33"/>
    <w:rsid w:val="00B90E88"/>
    <w:rsid w:val="00B90EDF"/>
    <w:rsid w:val="00B90F30"/>
    <w:rsid w:val="00B90F3F"/>
    <w:rsid w:val="00B910E6"/>
    <w:rsid w:val="00B91186"/>
    <w:rsid w:val="00B911CD"/>
    <w:rsid w:val="00B9225A"/>
    <w:rsid w:val="00B9237E"/>
    <w:rsid w:val="00B9253E"/>
    <w:rsid w:val="00B92812"/>
    <w:rsid w:val="00B92CE6"/>
    <w:rsid w:val="00B93124"/>
    <w:rsid w:val="00B9340C"/>
    <w:rsid w:val="00B93596"/>
    <w:rsid w:val="00B936EB"/>
    <w:rsid w:val="00B93732"/>
    <w:rsid w:val="00B9399E"/>
    <w:rsid w:val="00B93ECE"/>
    <w:rsid w:val="00B93FB3"/>
    <w:rsid w:val="00B93FE8"/>
    <w:rsid w:val="00B940EB"/>
    <w:rsid w:val="00B941CB"/>
    <w:rsid w:val="00B94369"/>
    <w:rsid w:val="00B944C2"/>
    <w:rsid w:val="00B949A9"/>
    <w:rsid w:val="00B94A3F"/>
    <w:rsid w:val="00B94A42"/>
    <w:rsid w:val="00B94C3E"/>
    <w:rsid w:val="00B94F44"/>
    <w:rsid w:val="00B94FC0"/>
    <w:rsid w:val="00B950DE"/>
    <w:rsid w:val="00B95225"/>
    <w:rsid w:val="00B952E5"/>
    <w:rsid w:val="00B9560D"/>
    <w:rsid w:val="00B95615"/>
    <w:rsid w:val="00B95766"/>
    <w:rsid w:val="00B958BA"/>
    <w:rsid w:val="00B959AF"/>
    <w:rsid w:val="00B959C1"/>
    <w:rsid w:val="00B95CD7"/>
    <w:rsid w:val="00B95D8C"/>
    <w:rsid w:val="00B96042"/>
    <w:rsid w:val="00B96108"/>
    <w:rsid w:val="00B96419"/>
    <w:rsid w:val="00B9657D"/>
    <w:rsid w:val="00B966EE"/>
    <w:rsid w:val="00B967BB"/>
    <w:rsid w:val="00B96920"/>
    <w:rsid w:val="00B96C5E"/>
    <w:rsid w:val="00B96DB0"/>
    <w:rsid w:val="00B96E78"/>
    <w:rsid w:val="00B96FEF"/>
    <w:rsid w:val="00B97236"/>
    <w:rsid w:val="00B9724D"/>
    <w:rsid w:val="00B97349"/>
    <w:rsid w:val="00B97493"/>
    <w:rsid w:val="00B9752E"/>
    <w:rsid w:val="00B975EF"/>
    <w:rsid w:val="00B9760D"/>
    <w:rsid w:val="00B97744"/>
    <w:rsid w:val="00B979CD"/>
    <w:rsid w:val="00B97B6D"/>
    <w:rsid w:val="00B97D48"/>
    <w:rsid w:val="00B97E6A"/>
    <w:rsid w:val="00B97EF4"/>
    <w:rsid w:val="00BA0059"/>
    <w:rsid w:val="00BA011F"/>
    <w:rsid w:val="00BA01CF"/>
    <w:rsid w:val="00BA0379"/>
    <w:rsid w:val="00BA06BD"/>
    <w:rsid w:val="00BA072C"/>
    <w:rsid w:val="00BA08A5"/>
    <w:rsid w:val="00BA08D2"/>
    <w:rsid w:val="00BA0A9A"/>
    <w:rsid w:val="00BA0BC7"/>
    <w:rsid w:val="00BA0C43"/>
    <w:rsid w:val="00BA0D4E"/>
    <w:rsid w:val="00BA1088"/>
    <w:rsid w:val="00BA10EB"/>
    <w:rsid w:val="00BA1329"/>
    <w:rsid w:val="00BA1BBE"/>
    <w:rsid w:val="00BA1BEC"/>
    <w:rsid w:val="00BA20BD"/>
    <w:rsid w:val="00BA229A"/>
    <w:rsid w:val="00BA2391"/>
    <w:rsid w:val="00BA2434"/>
    <w:rsid w:val="00BA2676"/>
    <w:rsid w:val="00BA2720"/>
    <w:rsid w:val="00BA281B"/>
    <w:rsid w:val="00BA2998"/>
    <w:rsid w:val="00BA2ACC"/>
    <w:rsid w:val="00BA2C64"/>
    <w:rsid w:val="00BA2E4E"/>
    <w:rsid w:val="00BA2EF1"/>
    <w:rsid w:val="00BA2F48"/>
    <w:rsid w:val="00BA300F"/>
    <w:rsid w:val="00BA3298"/>
    <w:rsid w:val="00BA3526"/>
    <w:rsid w:val="00BA364A"/>
    <w:rsid w:val="00BA38B5"/>
    <w:rsid w:val="00BA3956"/>
    <w:rsid w:val="00BA395C"/>
    <w:rsid w:val="00BA396D"/>
    <w:rsid w:val="00BA3BC5"/>
    <w:rsid w:val="00BA3DEA"/>
    <w:rsid w:val="00BA40A9"/>
    <w:rsid w:val="00BA4189"/>
    <w:rsid w:val="00BA42AA"/>
    <w:rsid w:val="00BA48EC"/>
    <w:rsid w:val="00BA4BEC"/>
    <w:rsid w:val="00BA4CA1"/>
    <w:rsid w:val="00BA521B"/>
    <w:rsid w:val="00BA5358"/>
    <w:rsid w:val="00BA5568"/>
    <w:rsid w:val="00BA562E"/>
    <w:rsid w:val="00BA5822"/>
    <w:rsid w:val="00BA59F7"/>
    <w:rsid w:val="00BA5A42"/>
    <w:rsid w:val="00BA5B1F"/>
    <w:rsid w:val="00BA5DD7"/>
    <w:rsid w:val="00BA5EEC"/>
    <w:rsid w:val="00BA5F55"/>
    <w:rsid w:val="00BA642A"/>
    <w:rsid w:val="00BA6784"/>
    <w:rsid w:val="00BA683A"/>
    <w:rsid w:val="00BA686C"/>
    <w:rsid w:val="00BA6B15"/>
    <w:rsid w:val="00BA6BE2"/>
    <w:rsid w:val="00BA6C75"/>
    <w:rsid w:val="00BA6E49"/>
    <w:rsid w:val="00BA6F0C"/>
    <w:rsid w:val="00BA70BC"/>
    <w:rsid w:val="00BA736C"/>
    <w:rsid w:val="00BA77C5"/>
    <w:rsid w:val="00BA782A"/>
    <w:rsid w:val="00BA789C"/>
    <w:rsid w:val="00BA7AB5"/>
    <w:rsid w:val="00BA7B70"/>
    <w:rsid w:val="00BA7ED8"/>
    <w:rsid w:val="00BB04E0"/>
    <w:rsid w:val="00BB0893"/>
    <w:rsid w:val="00BB0F5F"/>
    <w:rsid w:val="00BB111B"/>
    <w:rsid w:val="00BB139B"/>
    <w:rsid w:val="00BB150B"/>
    <w:rsid w:val="00BB1B3D"/>
    <w:rsid w:val="00BB1DBF"/>
    <w:rsid w:val="00BB1E90"/>
    <w:rsid w:val="00BB1F1C"/>
    <w:rsid w:val="00BB1F4C"/>
    <w:rsid w:val="00BB23DC"/>
    <w:rsid w:val="00BB24A9"/>
    <w:rsid w:val="00BB2577"/>
    <w:rsid w:val="00BB2767"/>
    <w:rsid w:val="00BB2817"/>
    <w:rsid w:val="00BB292A"/>
    <w:rsid w:val="00BB2935"/>
    <w:rsid w:val="00BB2A5C"/>
    <w:rsid w:val="00BB2A9B"/>
    <w:rsid w:val="00BB2B23"/>
    <w:rsid w:val="00BB2E50"/>
    <w:rsid w:val="00BB2F19"/>
    <w:rsid w:val="00BB31CB"/>
    <w:rsid w:val="00BB36C9"/>
    <w:rsid w:val="00BB384A"/>
    <w:rsid w:val="00BB38F9"/>
    <w:rsid w:val="00BB3B5F"/>
    <w:rsid w:val="00BB3C6D"/>
    <w:rsid w:val="00BB3ED2"/>
    <w:rsid w:val="00BB40AF"/>
    <w:rsid w:val="00BB4116"/>
    <w:rsid w:val="00BB43F6"/>
    <w:rsid w:val="00BB4536"/>
    <w:rsid w:val="00BB4588"/>
    <w:rsid w:val="00BB45A1"/>
    <w:rsid w:val="00BB4756"/>
    <w:rsid w:val="00BB4825"/>
    <w:rsid w:val="00BB4E54"/>
    <w:rsid w:val="00BB4FE2"/>
    <w:rsid w:val="00BB5194"/>
    <w:rsid w:val="00BB51B0"/>
    <w:rsid w:val="00BB5592"/>
    <w:rsid w:val="00BB559E"/>
    <w:rsid w:val="00BB59DA"/>
    <w:rsid w:val="00BB5B9C"/>
    <w:rsid w:val="00BB5BB8"/>
    <w:rsid w:val="00BB5C52"/>
    <w:rsid w:val="00BB5CAF"/>
    <w:rsid w:val="00BB5DE0"/>
    <w:rsid w:val="00BB6139"/>
    <w:rsid w:val="00BB6161"/>
    <w:rsid w:val="00BB6575"/>
    <w:rsid w:val="00BB68CC"/>
    <w:rsid w:val="00BB6A07"/>
    <w:rsid w:val="00BB6FFF"/>
    <w:rsid w:val="00BB70E8"/>
    <w:rsid w:val="00BB73AB"/>
    <w:rsid w:val="00BB7431"/>
    <w:rsid w:val="00BB7464"/>
    <w:rsid w:val="00BB7582"/>
    <w:rsid w:val="00BB7686"/>
    <w:rsid w:val="00BB7760"/>
    <w:rsid w:val="00BB77C6"/>
    <w:rsid w:val="00BB7844"/>
    <w:rsid w:val="00BB7BD7"/>
    <w:rsid w:val="00BB7C52"/>
    <w:rsid w:val="00BB7DF8"/>
    <w:rsid w:val="00BB7E97"/>
    <w:rsid w:val="00BC025A"/>
    <w:rsid w:val="00BC047B"/>
    <w:rsid w:val="00BC05AB"/>
    <w:rsid w:val="00BC05C4"/>
    <w:rsid w:val="00BC063D"/>
    <w:rsid w:val="00BC076A"/>
    <w:rsid w:val="00BC095D"/>
    <w:rsid w:val="00BC0E71"/>
    <w:rsid w:val="00BC1059"/>
    <w:rsid w:val="00BC15E8"/>
    <w:rsid w:val="00BC162F"/>
    <w:rsid w:val="00BC1767"/>
    <w:rsid w:val="00BC188A"/>
    <w:rsid w:val="00BC18AC"/>
    <w:rsid w:val="00BC218D"/>
    <w:rsid w:val="00BC221A"/>
    <w:rsid w:val="00BC2287"/>
    <w:rsid w:val="00BC23F9"/>
    <w:rsid w:val="00BC2558"/>
    <w:rsid w:val="00BC287E"/>
    <w:rsid w:val="00BC2929"/>
    <w:rsid w:val="00BC29C7"/>
    <w:rsid w:val="00BC2A13"/>
    <w:rsid w:val="00BC2AEB"/>
    <w:rsid w:val="00BC2C50"/>
    <w:rsid w:val="00BC2D4C"/>
    <w:rsid w:val="00BC2DBC"/>
    <w:rsid w:val="00BC2F50"/>
    <w:rsid w:val="00BC3421"/>
    <w:rsid w:val="00BC34C4"/>
    <w:rsid w:val="00BC358B"/>
    <w:rsid w:val="00BC36A8"/>
    <w:rsid w:val="00BC3D9C"/>
    <w:rsid w:val="00BC3FEC"/>
    <w:rsid w:val="00BC44CB"/>
    <w:rsid w:val="00BC464E"/>
    <w:rsid w:val="00BC473B"/>
    <w:rsid w:val="00BC491B"/>
    <w:rsid w:val="00BC4983"/>
    <w:rsid w:val="00BC4A38"/>
    <w:rsid w:val="00BC4BAD"/>
    <w:rsid w:val="00BC4C34"/>
    <w:rsid w:val="00BC4DB4"/>
    <w:rsid w:val="00BC4ED7"/>
    <w:rsid w:val="00BC50FF"/>
    <w:rsid w:val="00BC51B6"/>
    <w:rsid w:val="00BC51B9"/>
    <w:rsid w:val="00BC5367"/>
    <w:rsid w:val="00BC5474"/>
    <w:rsid w:val="00BC5904"/>
    <w:rsid w:val="00BC5E7E"/>
    <w:rsid w:val="00BC5EE8"/>
    <w:rsid w:val="00BC6062"/>
    <w:rsid w:val="00BC6135"/>
    <w:rsid w:val="00BC61C6"/>
    <w:rsid w:val="00BC68FD"/>
    <w:rsid w:val="00BC7181"/>
    <w:rsid w:val="00BC7276"/>
    <w:rsid w:val="00BC732C"/>
    <w:rsid w:val="00BC78C3"/>
    <w:rsid w:val="00BC7BC1"/>
    <w:rsid w:val="00BC7E67"/>
    <w:rsid w:val="00BD00BF"/>
    <w:rsid w:val="00BD00C7"/>
    <w:rsid w:val="00BD0A07"/>
    <w:rsid w:val="00BD0A57"/>
    <w:rsid w:val="00BD0B2D"/>
    <w:rsid w:val="00BD0B91"/>
    <w:rsid w:val="00BD0E74"/>
    <w:rsid w:val="00BD0EAE"/>
    <w:rsid w:val="00BD0FC0"/>
    <w:rsid w:val="00BD112D"/>
    <w:rsid w:val="00BD1342"/>
    <w:rsid w:val="00BD1630"/>
    <w:rsid w:val="00BD1910"/>
    <w:rsid w:val="00BD1A69"/>
    <w:rsid w:val="00BD1E2D"/>
    <w:rsid w:val="00BD208E"/>
    <w:rsid w:val="00BD2412"/>
    <w:rsid w:val="00BD24A5"/>
    <w:rsid w:val="00BD24BF"/>
    <w:rsid w:val="00BD253A"/>
    <w:rsid w:val="00BD2644"/>
    <w:rsid w:val="00BD284C"/>
    <w:rsid w:val="00BD2A14"/>
    <w:rsid w:val="00BD2B1A"/>
    <w:rsid w:val="00BD2B32"/>
    <w:rsid w:val="00BD2B67"/>
    <w:rsid w:val="00BD2CA1"/>
    <w:rsid w:val="00BD2DE5"/>
    <w:rsid w:val="00BD2F6C"/>
    <w:rsid w:val="00BD347E"/>
    <w:rsid w:val="00BD36F5"/>
    <w:rsid w:val="00BD38C1"/>
    <w:rsid w:val="00BD3926"/>
    <w:rsid w:val="00BD3AD7"/>
    <w:rsid w:val="00BD3B0E"/>
    <w:rsid w:val="00BD3EAA"/>
    <w:rsid w:val="00BD40FE"/>
    <w:rsid w:val="00BD4421"/>
    <w:rsid w:val="00BD45F3"/>
    <w:rsid w:val="00BD4BEA"/>
    <w:rsid w:val="00BD500A"/>
    <w:rsid w:val="00BD53B5"/>
    <w:rsid w:val="00BD5B43"/>
    <w:rsid w:val="00BD5B68"/>
    <w:rsid w:val="00BD5BDE"/>
    <w:rsid w:val="00BD5FB0"/>
    <w:rsid w:val="00BD5FC8"/>
    <w:rsid w:val="00BD60F1"/>
    <w:rsid w:val="00BD61A7"/>
    <w:rsid w:val="00BD620D"/>
    <w:rsid w:val="00BD63B2"/>
    <w:rsid w:val="00BD63E5"/>
    <w:rsid w:val="00BD6619"/>
    <w:rsid w:val="00BD67E3"/>
    <w:rsid w:val="00BD6B77"/>
    <w:rsid w:val="00BD6D38"/>
    <w:rsid w:val="00BD6FC0"/>
    <w:rsid w:val="00BD7052"/>
    <w:rsid w:val="00BD7249"/>
    <w:rsid w:val="00BD7501"/>
    <w:rsid w:val="00BD780A"/>
    <w:rsid w:val="00BD7B2F"/>
    <w:rsid w:val="00BD7BCB"/>
    <w:rsid w:val="00BD7EBB"/>
    <w:rsid w:val="00BD7F26"/>
    <w:rsid w:val="00BE0384"/>
    <w:rsid w:val="00BE03FE"/>
    <w:rsid w:val="00BE052B"/>
    <w:rsid w:val="00BE0762"/>
    <w:rsid w:val="00BE093C"/>
    <w:rsid w:val="00BE0B9A"/>
    <w:rsid w:val="00BE0BEA"/>
    <w:rsid w:val="00BE0C8F"/>
    <w:rsid w:val="00BE0E5E"/>
    <w:rsid w:val="00BE1197"/>
    <w:rsid w:val="00BE147B"/>
    <w:rsid w:val="00BE15AB"/>
    <w:rsid w:val="00BE17F6"/>
    <w:rsid w:val="00BE17FB"/>
    <w:rsid w:val="00BE186A"/>
    <w:rsid w:val="00BE19C1"/>
    <w:rsid w:val="00BE1C5B"/>
    <w:rsid w:val="00BE23CE"/>
    <w:rsid w:val="00BE242D"/>
    <w:rsid w:val="00BE24C0"/>
    <w:rsid w:val="00BE2580"/>
    <w:rsid w:val="00BE266D"/>
    <w:rsid w:val="00BE26E4"/>
    <w:rsid w:val="00BE2AEE"/>
    <w:rsid w:val="00BE2C19"/>
    <w:rsid w:val="00BE314B"/>
    <w:rsid w:val="00BE35CB"/>
    <w:rsid w:val="00BE38AF"/>
    <w:rsid w:val="00BE38CC"/>
    <w:rsid w:val="00BE38F5"/>
    <w:rsid w:val="00BE3932"/>
    <w:rsid w:val="00BE3938"/>
    <w:rsid w:val="00BE3F11"/>
    <w:rsid w:val="00BE3F52"/>
    <w:rsid w:val="00BE42A6"/>
    <w:rsid w:val="00BE4335"/>
    <w:rsid w:val="00BE47CC"/>
    <w:rsid w:val="00BE4BC4"/>
    <w:rsid w:val="00BE4C11"/>
    <w:rsid w:val="00BE4EEF"/>
    <w:rsid w:val="00BE4F41"/>
    <w:rsid w:val="00BE5037"/>
    <w:rsid w:val="00BE50AB"/>
    <w:rsid w:val="00BE5490"/>
    <w:rsid w:val="00BE58FB"/>
    <w:rsid w:val="00BE59B8"/>
    <w:rsid w:val="00BE5D0E"/>
    <w:rsid w:val="00BE5F20"/>
    <w:rsid w:val="00BE6135"/>
    <w:rsid w:val="00BE621C"/>
    <w:rsid w:val="00BE646E"/>
    <w:rsid w:val="00BE6805"/>
    <w:rsid w:val="00BE6D01"/>
    <w:rsid w:val="00BE6D41"/>
    <w:rsid w:val="00BE70E2"/>
    <w:rsid w:val="00BE7189"/>
    <w:rsid w:val="00BE71C0"/>
    <w:rsid w:val="00BE7445"/>
    <w:rsid w:val="00BE7455"/>
    <w:rsid w:val="00BE748C"/>
    <w:rsid w:val="00BE75F6"/>
    <w:rsid w:val="00BE7642"/>
    <w:rsid w:val="00BE765A"/>
    <w:rsid w:val="00BE76A7"/>
    <w:rsid w:val="00BE76C9"/>
    <w:rsid w:val="00BF023D"/>
    <w:rsid w:val="00BF065F"/>
    <w:rsid w:val="00BF074B"/>
    <w:rsid w:val="00BF08F4"/>
    <w:rsid w:val="00BF0922"/>
    <w:rsid w:val="00BF0DBD"/>
    <w:rsid w:val="00BF0DCD"/>
    <w:rsid w:val="00BF12F4"/>
    <w:rsid w:val="00BF13E8"/>
    <w:rsid w:val="00BF14BF"/>
    <w:rsid w:val="00BF17E7"/>
    <w:rsid w:val="00BF1974"/>
    <w:rsid w:val="00BF1BB5"/>
    <w:rsid w:val="00BF212C"/>
    <w:rsid w:val="00BF2395"/>
    <w:rsid w:val="00BF23B1"/>
    <w:rsid w:val="00BF27B1"/>
    <w:rsid w:val="00BF27EF"/>
    <w:rsid w:val="00BF2A94"/>
    <w:rsid w:val="00BF2D10"/>
    <w:rsid w:val="00BF2E52"/>
    <w:rsid w:val="00BF2E5B"/>
    <w:rsid w:val="00BF2EA6"/>
    <w:rsid w:val="00BF2F5D"/>
    <w:rsid w:val="00BF3093"/>
    <w:rsid w:val="00BF30CD"/>
    <w:rsid w:val="00BF3203"/>
    <w:rsid w:val="00BF3346"/>
    <w:rsid w:val="00BF355F"/>
    <w:rsid w:val="00BF35B8"/>
    <w:rsid w:val="00BF373A"/>
    <w:rsid w:val="00BF3AA9"/>
    <w:rsid w:val="00BF3BBD"/>
    <w:rsid w:val="00BF3C87"/>
    <w:rsid w:val="00BF4067"/>
    <w:rsid w:val="00BF4171"/>
    <w:rsid w:val="00BF42B5"/>
    <w:rsid w:val="00BF47AC"/>
    <w:rsid w:val="00BF4A45"/>
    <w:rsid w:val="00BF4CD8"/>
    <w:rsid w:val="00BF4E73"/>
    <w:rsid w:val="00BF4FC9"/>
    <w:rsid w:val="00BF5027"/>
    <w:rsid w:val="00BF535B"/>
    <w:rsid w:val="00BF54B8"/>
    <w:rsid w:val="00BF57D3"/>
    <w:rsid w:val="00BF5928"/>
    <w:rsid w:val="00BF5974"/>
    <w:rsid w:val="00BF59F3"/>
    <w:rsid w:val="00BF5DC5"/>
    <w:rsid w:val="00BF60E9"/>
    <w:rsid w:val="00BF610C"/>
    <w:rsid w:val="00BF61F5"/>
    <w:rsid w:val="00BF6270"/>
    <w:rsid w:val="00BF6294"/>
    <w:rsid w:val="00BF6633"/>
    <w:rsid w:val="00BF667C"/>
    <w:rsid w:val="00BF6BD0"/>
    <w:rsid w:val="00BF6C53"/>
    <w:rsid w:val="00BF7575"/>
    <w:rsid w:val="00BF7C7E"/>
    <w:rsid w:val="00BF7D48"/>
    <w:rsid w:val="00C0010D"/>
    <w:rsid w:val="00C0060B"/>
    <w:rsid w:val="00C00620"/>
    <w:rsid w:val="00C0069E"/>
    <w:rsid w:val="00C00721"/>
    <w:rsid w:val="00C0083C"/>
    <w:rsid w:val="00C00881"/>
    <w:rsid w:val="00C008AA"/>
    <w:rsid w:val="00C00BE7"/>
    <w:rsid w:val="00C00C88"/>
    <w:rsid w:val="00C00F1E"/>
    <w:rsid w:val="00C01258"/>
    <w:rsid w:val="00C01537"/>
    <w:rsid w:val="00C0155B"/>
    <w:rsid w:val="00C0167F"/>
    <w:rsid w:val="00C0168A"/>
    <w:rsid w:val="00C01920"/>
    <w:rsid w:val="00C0192C"/>
    <w:rsid w:val="00C01A6C"/>
    <w:rsid w:val="00C01C37"/>
    <w:rsid w:val="00C0226E"/>
    <w:rsid w:val="00C02496"/>
    <w:rsid w:val="00C0277D"/>
    <w:rsid w:val="00C028B4"/>
    <w:rsid w:val="00C0296B"/>
    <w:rsid w:val="00C029A5"/>
    <w:rsid w:val="00C029AD"/>
    <w:rsid w:val="00C02EF5"/>
    <w:rsid w:val="00C0308F"/>
    <w:rsid w:val="00C03498"/>
    <w:rsid w:val="00C034DF"/>
    <w:rsid w:val="00C03D6A"/>
    <w:rsid w:val="00C04351"/>
    <w:rsid w:val="00C04470"/>
    <w:rsid w:val="00C046FA"/>
    <w:rsid w:val="00C0480B"/>
    <w:rsid w:val="00C0485E"/>
    <w:rsid w:val="00C04BAF"/>
    <w:rsid w:val="00C04BF6"/>
    <w:rsid w:val="00C04C8A"/>
    <w:rsid w:val="00C04E2F"/>
    <w:rsid w:val="00C04E7A"/>
    <w:rsid w:val="00C05000"/>
    <w:rsid w:val="00C0512C"/>
    <w:rsid w:val="00C052FD"/>
    <w:rsid w:val="00C0533B"/>
    <w:rsid w:val="00C053A1"/>
    <w:rsid w:val="00C05402"/>
    <w:rsid w:val="00C0569E"/>
    <w:rsid w:val="00C0581B"/>
    <w:rsid w:val="00C05861"/>
    <w:rsid w:val="00C058EC"/>
    <w:rsid w:val="00C05BA8"/>
    <w:rsid w:val="00C05CD1"/>
    <w:rsid w:val="00C05DDF"/>
    <w:rsid w:val="00C05E8E"/>
    <w:rsid w:val="00C06081"/>
    <w:rsid w:val="00C060E0"/>
    <w:rsid w:val="00C06160"/>
    <w:rsid w:val="00C06243"/>
    <w:rsid w:val="00C06530"/>
    <w:rsid w:val="00C0664A"/>
    <w:rsid w:val="00C0667C"/>
    <w:rsid w:val="00C069DE"/>
    <w:rsid w:val="00C06A91"/>
    <w:rsid w:val="00C06CBE"/>
    <w:rsid w:val="00C06D87"/>
    <w:rsid w:val="00C06D94"/>
    <w:rsid w:val="00C06EE7"/>
    <w:rsid w:val="00C06F6B"/>
    <w:rsid w:val="00C06FE1"/>
    <w:rsid w:val="00C07203"/>
    <w:rsid w:val="00C07397"/>
    <w:rsid w:val="00C07575"/>
    <w:rsid w:val="00C07945"/>
    <w:rsid w:val="00C07CE4"/>
    <w:rsid w:val="00C07E65"/>
    <w:rsid w:val="00C10080"/>
    <w:rsid w:val="00C10433"/>
    <w:rsid w:val="00C1085A"/>
    <w:rsid w:val="00C108AA"/>
    <w:rsid w:val="00C1091B"/>
    <w:rsid w:val="00C1096C"/>
    <w:rsid w:val="00C109C4"/>
    <w:rsid w:val="00C10B64"/>
    <w:rsid w:val="00C11234"/>
    <w:rsid w:val="00C11244"/>
    <w:rsid w:val="00C112E7"/>
    <w:rsid w:val="00C115FA"/>
    <w:rsid w:val="00C116EE"/>
    <w:rsid w:val="00C11B42"/>
    <w:rsid w:val="00C11FDD"/>
    <w:rsid w:val="00C121F2"/>
    <w:rsid w:val="00C1238D"/>
    <w:rsid w:val="00C1254C"/>
    <w:rsid w:val="00C128ED"/>
    <w:rsid w:val="00C12A1E"/>
    <w:rsid w:val="00C12EC8"/>
    <w:rsid w:val="00C12F66"/>
    <w:rsid w:val="00C12F6F"/>
    <w:rsid w:val="00C13040"/>
    <w:rsid w:val="00C130A7"/>
    <w:rsid w:val="00C13100"/>
    <w:rsid w:val="00C13249"/>
    <w:rsid w:val="00C13262"/>
    <w:rsid w:val="00C13627"/>
    <w:rsid w:val="00C1368E"/>
    <w:rsid w:val="00C13888"/>
    <w:rsid w:val="00C13B0E"/>
    <w:rsid w:val="00C13B23"/>
    <w:rsid w:val="00C13E07"/>
    <w:rsid w:val="00C13EDE"/>
    <w:rsid w:val="00C1420C"/>
    <w:rsid w:val="00C1422C"/>
    <w:rsid w:val="00C14318"/>
    <w:rsid w:val="00C14390"/>
    <w:rsid w:val="00C14460"/>
    <w:rsid w:val="00C14700"/>
    <w:rsid w:val="00C1473B"/>
    <w:rsid w:val="00C14D30"/>
    <w:rsid w:val="00C1505E"/>
    <w:rsid w:val="00C150DE"/>
    <w:rsid w:val="00C15187"/>
    <w:rsid w:val="00C15230"/>
    <w:rsid w:val="00C15245"/>
    <w:rsid w:val="00C1527B"/>
    <w:rsid w:val="00C1540E"/>
    <w:rsid w:val="00C154A0"/>
    <w:rsid w:val="00C157D3"/>
    <w:rsid w:val="00C15803"/>
    <w:rsid w:val="00C15A2B"/>
    <w:rsid w:val="00C15AD0"/>
    <w:rsid w:val="00C15ADC"/>
    <w:rsid w:val="00C15E18"/>
    <w:rsid w:val="00C16182"/>
    <w:rsid w:val="00C16198"/>
    <w:rsid w:val="00C1623E"/>
    <w:rsid w:val="00C162B1"/>
    <w:rsid w:val="00C1635A"/>
    <w:rsid w:val="00C16367"/>
    <w:rsid w:val="00C164DC"/>
    <w:rsid w:val="00C1654E"/>
    <w:rsid w:val="00C16620"/>
    <w:rsid w:val="00C1670F"/>
    <w:rsid w:val="00C168F5"/>
    <w:rsid w:val="00C16994"/>
    <w:rsid w:val="00C169CD"/>
    <w:rsid w:val="00C16AD1"/>
    <w:rsid w:val="00C16AD3"/>
    <w:rsid w:val="00C16C7B"/>
    <w:rsid w:val="00C16E51"/>
    <w:rsid w:val="00C16EDA"/>
    <w:rsid w:val="00C16FAD"/>
    <w:rsid w:val="00C17245"/>
    <w:rsid w:val="00C17315"/>
    <w:rsid w:val="00C174A1"/>
    <w:rsid w:val="00C174E0"/>
    <w:rsid w:val="00C174E1"/>
    <w:rsid w:val="00C17532"/>
    <w:rsid w:val="00C17657"/>
    <w:rsid w:val="00C178EC"/>
    <w:rsid w:val="00C2024D"/>
    <w:rsid w:val="00C20287"/>
    <w:rsid w:val="00C20292"/>
    <w:rsid w:val="00C20537"/>
    <w:rsid w:val="00C2078C"/>
    <w:rsid w:val="00C2082C"/>
    <w:rsid w:val="00C2083D"/>
    <w:rsid w:val="00C20A8F"/>
    <w:rsid w:val="00C20B49"/>
    <w:rsid w:val="00C20C31"/>
    <w:rsid w:val="00C20FE7"/>
    <w:rsid w:val="00C211B4"/>
    <w:rsid w:val="00C212CB"/>
    <w:rsid w:val="00C213D0"/>
    <w:rsid w:val="00C21693"/>
    <w:rsid w:val="00C2169D"/>
    <w:rsid w:val="00C21758"/>
    <w:rsid w:val="00C217A9"/>
    <w:rsid w:val="00C21CD7"/>
    <w:rsid w:val="00C21DCD"/>
    <w:rsid w:val="00C21ED9"/>
    <w:rsid w:val="00C21FE2"/>
    <w:rsid w:val="00C220DA"/>
    <w:rsid w:val="00C223EE"/>
    <w:rsid w:val="00C22E24"/>
    <w:rsid w:val="00C22E6E"/>
    <w:rsid w:val="00C22E78"/>
    <w:rsid w:val="00C23027"/>
    <w:rsid w:val="00C23376"/>
    <w:rsid w:val="00C236A1"/>
    <w:rsid w:val="00C238AC"/>
    <w:rsid w:val="00C238B9"/>
    <w:rsid w:val="00C23912"/>
    <w:rsid w:val="00C23C50"/>
    <w:rsid w:val="00C24225"/>
    <w:rsid w:val="00C24801"/>
    <w:rsid w:val="00C24838"/>
    <w:rsid w:val="00C24975"/>
    <w:rsid w:val="00C24A53"/>
    <w:rsid w:val="00C24B61"/>
    <w:rsid w:val="00C24BDC"/>
    <w:rsid w:val="00C25002"/>
    <w:rsid w:val="00C250ED"/>
    <w:rsid w:val="00C2548B"/>
    <w:rsid w:val="00C254FC"/>
    <w:rsid w:val="00C255F8"/>
    <w:rsid w:val="00C2566F"/>
    <w:rsid w:val="00C256CD"/>
    <w:rsid w:val="00C259F3"/>
    <w:rsid w:val="00C25D77"/>
    <w:rsid w:val="00C25E17"/>
    <w:rsid w:val="00C2626C"/>
    <w:rsid w:val="00C26875"/>
    <w:rsid w:val="00C26A06"/>
    <w:rsid w:val="00C26DFC"/>
    <w:rsid w:val="00C26FF7"/>
    <w:rsid w:val="00C27193"/>
    <w:rsid w:val="00C2723C"/>
    <w:rsid w:val="00C27406"/>
    <w:rsid w:val="00C275AB"/>
    <w:rsid w:val="00C276C5"/>
    <w:rsid w:val="00C27773"/>
    <w:rsid w:val="00C279C8"/>
    <w:rsid w:val="00C27EA7"/>
    <w:rsid w:val="00C27EB6"/>
    <w:rsid w:val="00C27EC9"/>
    <w:rsid w:val="00C27F6D"/>
    <w:rsid w:val="00C304D0"/>
    <w:rsid w:val="00C30910"/>
    <w:rsid w:val="00C3094F"/>
    <w:rsid w:val="00C30BC5"/>
    <w:rsid w:val="00C30FF4"/>
    <w:rsid w:val="00C313A2"/>
    <w:rsid w:val="00C314F4"/>
    <w:rsid w:val="00C31A8A"/>
    <w:rsid w:val="00C31EC5"/>
    <w:rsid w:val="00C32165"/>
    <w:rsid w:val="00C32271"/>
    <w:rsid w:val="00C322BD"/>
    <w:rsid w:val="00C323A4"/>
    <w:rsid w:val="00C32409"/>
    <w:rsid w:val="00C3279C"/>
    <w:rsid w:val="00C328FE"/>
    <w:rsid w:val="00C329A3"/>
    <w:rsid w:val="00C32AF4"/>
    <w:rsid w:val="00C32B1A"/>
    <w:rsid w:val="00C32B26"/>
    <w:rsid w:val="00C32B35"/>
    <w:rsid w:val="00C32BBE"/>
    <w:rsid w:val="00C33244"/>
    <w:rsid w:val="00C332A9"/>
    <w:rsid w:val="00C333DF"/>
    <w:rsid w:val="00C33522"/>
    <w:rsid w:val="00C33635"/>
    <w:rsid w:val="00C336DE"/>
    <w:rsid w:val="00C33B88"/>
    <w:rsid w:val="00C33C7D"/>
    <w:rsid w:val="00C33DF7"/>
    <w:rsid w:val="00C33FC1"/>
    <w:rsid w:val="00C3404A"/>
    <w:rsid w:val="00C34128"/>
    <w:rsid w:val="00C3468A"/>
    <w:rsid w:val="00C34A05"/>
    <w:rsid w:val="00C34B3D"/>
    <w:rsid w:val="00C35277"/>
    <w:rsid w:val="00C352C4"/>
    <w:rsid w:val="00C35379"/>
    <w:rsid w:val="00C35406"/>
    <w:rsid w:val="00C35492"/>
    <w:rsid w:val="00C354F8"/>
    <w:rsid w:val="00C35543"/>
    <w:rsid w:val="00C35556"/>
    <w:rsid w:val="00C355E2"/>
    <w:rsid w:val="00C355FC"/>
    <w:rsid w:val="00C3574D"/>
    <w:rsid w:val="00C357EC"/>
    <w:rsid w:val="00C357EE"/>
    <w:rsid w:val="00C35969"/>
    <w:rsid w:val="00C35B20"/>
    <w:rsid w:val="00C35BC6"/>
    <w:rsid w:val="00C35CCE"/>
    <w:rsid w:val="00C35F05"/>
    <w:rsid w:val="00C36177"/>
    <w:rsid w:val="00C363D5"/>
    <w:rsid w:val="00C363FF"/>
    <w:rsid w:val="00C36418"/>
    <w:rsid w:val="00C36B79"/>
    <w:rsid w:val="00C37079"/>
    <w:rsid w:val="00C37467"/>
    <w:rsid w:val="00C37AF2"/>
    <w:rsid w:val="00C37B07"/>
    <w:rsid w:val="00C37B0E"/>
    <w:rsid w:val="00C37B18"/>
    <w:rsid w:val="00C37C69"/>
    <w:rsid w:val="00C4032F"/>
    <w:rsid w:val="00C407C3"/>
    <w:rsid w:val="00C4087C"/>
    <w:rsid w:val="00C40BAE"/>
    <w:rsid w:val="00C40D2B"/>
    <w:rsid w:val="00C40DEB"/>
    <w:rsid w:val="00C4152E"/>
    <w:rsid w:val="00C41531"/>
    <w:rsid w:val="00C41909"/>
    <w:rsid w:val="00C41A28"/>
    <w:rsid w:val="00C41BB9"/>
    <w:rsid w:val="00C41BE0"/>
    <w:rsid w:val="00C41D2D"/>
    <w:rsid w:val="00C41EEF"/>
    <w:rsid w:val="00C4225D"/>
    <w:rsid w:val="00C427CA"/>
    <w:rsid w:val="00C42A71"/>
    <w:rsid w:val="00C42B31"/>
    <w:rsid w:val="00C43097"/>
    <w:rsid w:val="00C430DC"/>
    <w:rsid w:val="00C43101"/>
    <w:rsid w:val="00C43616"/>
    <w:rsid w:val="00C436F3"/>
    <w:rsid w:val="00C4376B"/>
    <w:rsid w:val="00C43B10"/>
    <w:rsid w:val="00C43B1A"/>
    <w:rsid w:val="00C43BFE"/>
    <w:rsid w:val="00C43D6A"/>
    <w:rsid w:val="00C44047"/>
    <w:rsid w:val="00C4404E"/>
    <w:rsid w:val="00C44116"/>
    <w:rsid w:val="00C441ED"/>
    <w:rsid w:val="00C4431F"/>
    <w:rsid w:val="00C443DF"/>
    <w:rsid w:val="00C44469"/>
    <w:rsid w:val="00C445A5"/>
    <w:rsid w:val="00C44D48"/>
    <w:rsid w:val="00C45155"/>
    <w:rsid w:val="00C45157"/>
    <w:rsid w:val="00C4524A"/>
    <w:rsid w:val="00C4536D"/>
    <w:rsid w:val="00C4544D"/>
    <w:rsid w:val="00C45527"/>
    <w:rsid w:val="00C45C14"/>
    <w:rsid w:val="00C45C75"/>
    <w:rsid w:val="00C45D6F"/>
    <w:rsid w:val="00C46218"/>
    <w:rsid w:val="00C46671"/>
    <w:rsid w:val="00C46BF6"/>
    <w:rsid w:val="00C46C26"/>
    <w:rsid w:val="00C46CF6"/>
    <w:rsid w:val="00C46D28"/>
    <w:rsid w:val="00C47074"/>
    <w:rsid w:val="00C4736F"/>
    <w:rsid w:val="00C473C3"/>
    <w:rsid w:val="00C476EB"/>
    <w:rsid w:val="00C47899"/>
    <w:rsid w:val="00C47A55"/>
    <w:rsid w:val="00C47B7E"/>
    <w:rsid w:val="00C47C15"/>
    <w:rsid w:val="00C47C59"/>
    <w:rsid w:val="00C47D31"/>
    <w:rsid w:val="00C47D7C"/>
    <w:rsid w:val="00C47D95"/>
    <w:rsid w:val="00C501C9"/>
    <w:rsid w:val="00C5023E"/>
    <w:rsid w:val="00C5029C"/>
    <w:rsid w:val="00C5037B"/>
    <w:rsid w:val="00C50540"/>
    <w:rsid w:val="00C5065E"/>
    <w:rsid w:val="00C507C3"/>
    <w:rsid w:val="00C50D67"/>
    <w:rsid w:val="00C50E7B"/>
    <w:rsid w:val="00C5100B"/>
    <w:rsid w:val="00C512E3"/>
    <w:rsid w:val="00C51303"/>
    <w:rsid w:val="00C515C3"/>
    <w:rsid w:val="00C5172B"/>
    <w:rsid w:val="00C52173"/>
    <w:rsid w:val="00C521E3"/>
    <w:rsid w:val="00C52328"/>
    <w:rsid w:val="00C52A1C"/>
    <w:rsid w:val="00C52D91"/>
    <w:rsid w:val="00C52E77"/>
    <w:rsid w:val="00C52F8D"/>
    <w:rsid w:val="00C53053"/>
    <w:rsid w:val="00C53137"/>
    <w:rsid w:val="00C5318A"/>
    <w:rsid w:val="00C53371"/>
    <w:rsid w:val="00C53679"/>
    <w:rsid w:val="00C5389E"/>
    <w:rsid w:val="00C5392A"/>
    <w:rsid w:val="00C53A3F"/>
    <w:rsid w:val="00C542EF"/>
    <w:rsid w:val="00C5498F"/>
    <w:rsid w:val="00C54AF5"/>
    <w:rsid w:val="00C54D86"/>
    <w:rsid w:val="00C55235"/>
    <w:rsid w:val="00C552DF"/>
    <w:rsid w:val="00C5544E"/>
    <w:rsid w:val="00C554FA"/>
    <w:rsid w:val="00C5555A"/>
    <w:rsid w:val="00C5599E"/>
    <w:rsid w:val="00C55BEB"/>
    <w:rsid w:val="00C55D36"/>
    <w:rsid w:val="00C55EB4"/>
    <w:rsid w:val="00C5618D"/>
    <w:rsid w:val="00C561AA"/>
    <w:rsid w:val="00C561DD"/>
    <w:rsid w:val="00C56297"/>
    <w:rsid w:val="00C563E3"/>
    <w:rsid w:val="00C56660"/>
    <w:rsid w:val="00C56B48"/>
    <w:rsid w:val="00C56FC0"/>
    <w:rsid w:val="00C57124"/>
    <w:rsid w:val="00C5712E"/>
    <w:rsid w:val="00C57259"/>
    <w:rsid w:val="00C573D9"/>
    <w:rsid w:val="00C577D4"/>
    <w:rsid w:val="00C60134"/>
    <w:rsid w:val="00C60315"/>
    <w:rsid w:val="00C6043A"/>
    <w:rsid w:val="00C6088D"/>
    <w:rsid w:val="00C6090C"/>
    <w:rsid w:val="00C6092E"/>
    <w:rsid w:val="00C60A78"/>
    <w:rsid w:val="00C60BE4"/>
    <w:rsid w:val="00C60C45"/>
    <w:rsid w:val="00C60CFB"/>
    <w:rsid w:val="00C60D8F"/>
    <w:rsid w:val="00C60F40"/>
    <w:rsid w:val="00C61031"/>
    <w:rsid w:val="00C6139E"/>
    <w:rsid w:val="00C61571"/>
    <w:rsid w:val="00C61664"/>
    <w:rsid w:val="00C61688"/>
    <w:rsid w:val="00C617BF"/>
    <w:rsid w:val="00C618B3"/>
    <w:rsid w:val="00C619E7"/>
    <w:rsid w:val="00C61A15"/>
    <w:rsid w:val="00C61C00"/>
    <w:rsid w:val="00C61D8A"/>
    <w:rsid w:val="00C61DED"/>
    <w:rsid w:val="00C62261"/>
    <w:rsid w:val="00C62440"/>
    <w:rsid w:val="00C6254C"/>
    <w:rsid w:val="00C62698"/>
    <w:rsid w:val="00C62927"/>
    <w:rsid w:val="00C62A46"/>
    <w:rsid w:val="00C62DF7"/>
    <w:rsid w:val="00C62EE5"/>
    <w:rsid w:val="00C6329E"/>
    <w:rsid w:val="00C637AC"/>
    <w:rsid w:val="00C638F4"/>
    <w:rsid w:val="00C6391D"/>
    <w:rsid w:val="00C6393A"/>
    <w:rsid w:val="00C63A8A"/>
    <w:rsid w:val="00C63C92"/>
    <w:rsid w:val="00C64259"/>
    <w:rsid w:val="00C6439A"/>
    <w:rsid w:val="00C64601"/>
    <w:rsid w:val="00C647AB"/>
    <w:rsid w:val="00C6489C"/>
    <w:rsid w:val="00C64CD0"/>
    <w:rsid w:val="00C64E57"/>
    <w:rsid w:val="00C64F57"/>
    <w:rsid w:val="00C64F9A"/>
    <w:rsid w:val="00C64F9D"/>
    <w:rsid w:val="00C651DB"/>
    <w:rsid w:val="00C652D4"/>
    <w:rsid w:val="00C6551D"/>
    <w:rsid w:val="00C65AA4"/>
    <w:rsid w:val="00C661BF"/>
    <w:rsid w:val="00C66601"/>
    <w:rsid w:val="00C6684F"/>
    <w:rsid w:val="00C66C43"/>
    <w:rsid w:val="00C66E9D"/>
    <w:rsid w:val="00C6710B"/>
    <w:rsid w:val="00C67247"/>
    <w:rsid w:val="00C67269"/>
    <w:rsid w:val="00C6729F"/>
    <w:rsid w:val="00C674A7"/>
    <w:rsid w:val="00C675D6"/>
    <w:rsid w:val="00C6773C"/>
    <w:rsid w:val="00C6798E"/>
    <w:rsid w:val="00C67A4D"/>
    <w:rsid w:val="00C67BF9"/>
    <w:rsid w:val="00C67D5B"/>
    <w:rsid w:val="00C707BA"/>
    <w:rsid w:val="00C7093C"/>
    <w:rsid w:val="00C70AE3"/>
    <w:rsid w:val="00C70B3F"/>
    <w:rsid w:val="00C70C59"/>
    <w:rsid w:val="00C70D63"/>
    <w:rsid w:val="00C70E70"/>
    <w:rsid w:val="00C71000"/>
    <w:rsid w:val="00C71139"/>
    <w:rsid w:val="00C711D7"/>
    <w:rsid w:val="00C7128A"/>
    <w:rsid w:val="00C714FB"/>
    <w:rsid w:val="00C7197D"/>
    <w:rsid w:val="00C719AB"/>
    <w:rsid w:val="00C71F00"/>
    <w:rsid w:val="00C72111"/>
    <w:rsid w:val="00C7272A"/>
    <w:rsid w:val="00C72755"/>
    <w:rsid w:val="00C72A5D"/>
    <w:rsid w:val="00C72C28"/>
    <w:rsid w:val="00C72C65"/>
    <w:rsid w:val="00C72C88"/>
    <w:rsid w:val="00C72C8F"/>
    <w:rsid w:val="00C72ED4"/>
    <w:rsid w:val="00C72F7D"/>
    <w:rsid w:val="00C73106"/>
    <w:rsid w:val="00C73163"/>
    <w:rsid w:val="00C7318B"/>
    <w:rsid w:val="00C731F6"/>
    <w:rsid w:val="00C73628"/>
    <w:rsid w:val="00C7376D"/>
    <w:rsid w:val="00C738B1"/>
    <w:rsid w:val="00C73DAA"/>
    <w:rsid w:val="00C74005"/>
    <w:rsid w:val="00C743B5"/>
    <w:rsid w:val="00C74466"/>
    <w:rsid w:val="00C744C1"/>
    <w:rsid w:val="00C7453E"/>
    <w:rsid w:val="00C749D8"/>
    <w:rsid w:val="00C751B5"/>
    <w:rsid w:val="00C7523A"/>
    <w:rsid w:val="00C7530D"/>
    <w:rsid w:val="00C75569"/>
    <w:rsid w:val="00C75F75"/>
    <w:rsid w:val="00C75F8D"/>
    <w:rsid w:val="00C76528"/>
    <w:rsid w:val="00C7687B"/>
    <w:rsid w:val="00C7688D"/>
    <w:rsid w:val="00C768E4"/>
    <w:rsid w:val="00C76E07"/>
    <w:rsid w:val="00C76EC0"/>
    <w:rsid w:val="00C76FDC"/>
    <w:rsid w:val="00C77328"/>
    <w:rsid w:val="00C77329"/>
    <w:rsid w:val="00C77380"/>
    <w:rsid w:val="00C77559"/>
    <w:rsid w:val="00C77831"/>
    <w:rsid w:val="00C77ADD"/>
    <w:rsid w:val="00C77E56"/>
    <w:rsid w:val="00C77FD5"/>
    <w:rsid w:val="00C80377"/>
    <w:rsid w:val="00C80406"/>
    <w:rsid w:val="00C80412"/>
    <w:rsid w:val="00C8043C"/>
    <w:rsid w:val="00C804EA"/>
    <w:rsid w:val="00C80911"/>
    <w:rsid w:val="00C80AFF"/>
    <w:rsid w:val="00C80B16"/>
    <w:rsid w:val="00C80C2C"/>
    <w:rsid w:val="00C80DEC"/>
    <w:rsid w:val="00C81170"/>
    <w:rsid w:val="00C8135A"/>
    <w:rsid w:val="00C818E7"/>
    <w:rsid w:val="00C81936"/>
    <w:rsid w:val="00C81D3D"/>
    <w:rsid w:val="00C81F2C"/>
    <w:rsid w:val="00C821D5"/>
    <w:rsid w:val="00C82621"/>
    <w:rsid w:val="00C82940"/>
    <w:rsid w:val="00C82B56"/>
    <w:rsid w:val="00C82B65"/>
    <w:rsid w:val="00C82CB1"/>
    <w:rsid w:val="00C82D19"/>
    <w:rsid w:val="00C82D60"/>
    <w:rsid w:val="00C82E84"/>
    <w:rsid w:val="00C82FB3"/>
    <w:rsid w:val="00C830D2"/>
    <w:rsid w:val="00C831AA"/>
    <w:rsid w:val="00C831FE"/>
    <w:rsid w:val="00C8341E"/>
    <w:rsid w:val="00C834D6"/>
    <w:rsid w:val="00C8358E"/>
    <w:rsid w:val="00C8385F"/>
    <w:rsid w:val="00C838B7"/>
    <w:rsid w:val="00C838DF"/>
    <w:rsid w:val="00C83DBC"/>
    <w:rsid w:val="00C83F67"/>
    <w:rsid w:val="00C84040"/>
    <w:rsid w:val="00C8467B"/>
    <w:rsid w:val="00C84EC2"/>
    <w:rsid w:val="00C850FC"/>
    <w:rsid w:val="00C85100"/>
    <w:rsid w:val="00C8557C"/>
    <w:rsid w:val="00C85D2B"/>
    <w:rsid w:val="00C862C0"/>
    <w:rsid w:val="00C8631C"/>
    <w:rsid w:val="00C8651B"/>
    <w:rsid w:val="00C86899"/>
    <w:rsid w:val="00C86907"/>
    <w:rsid w:val="00C86B8D"/>
    <w:rsid w:val="00C86E5D"/>
    <w:rsid w:val="00C8700C"/>
    <w:rsid w:val="00C8711B"/>
    <w:rsid w:val="00C8720A"/>
    <w:rsid w:val="00C874DF"/>
    <w:rsid w:val="00C8754B"/>
    <w:rsid w:val="00C87867"/>
    <w:rsid w:val="00C87982"/>
    <w:rsid w:val="00C87B01"/>
    <w:rsid w:val="00C87B84"/>
    <w:rsid w:val="00C87C0C"/>
    <w:rsid w:val="00C87E8A"/>
    <w:rsid w:val="00C90078"/>
    <w:rsid w:val="00C902F0"/>
    <w:rsid w:val="00C9076D"/>
    <w:rsid w:val="00C907D8"/>
    <w:rsid w:val="00C90A16"/>
    <w:rsid w:val="00C90C86"/>
    <w:rsid w:val="00C90D0A"/>
    <w:rsid w:val="00C90FE2"/>
    <w:rsid w:val="00C9107A"/>
    <w:rsid w:val="00C91250"/>
    <w:rsid w:val="00C9134D"/>
    <w:rsid w:val="00C91534"/>
    <w:rsid w:val="00C91567"/>
    <w:rsid w:val="00C9160E"/>
    <w:rsid w:val="00C917AC"/>
    <w:rsid w:val="00C91917"/>
    <w:rsid w:val="00C919ED"/>
    <w:rsid w:val="00C91AC8"/>
    <w:rsid w:val="00C91ADC"/>
    <w:rsid w:val="00C91CA8"/>
    <w:rsid w:val="00C91E16"/>
    <w:rsid w:val="00C91EAA"/>
    <w:rsid w:val="00C91EE2"/>
    <w:rsid w:val="00C91FCC"/>
    <w:rsid w:val="00C91FF4"/>
    <w:rsid w:val="00C920B2"/>
    <w:rsid w:val="00C920EA"/>
    <w:rsid w:val="00C924E2"/>
    <w:rsid w:val="00C924F2"/>
    <w:rsid w:val="00C92753"/>
    <w:rsid w:val="00C9279B"/>
    <w:rsid w:val="00C92973"/>
    <w:rsid w:val="00C92B78"/>
    <w:rsid w:val="00C92EEF"/>
    <w:rsid w:val="00C9305D"/>
    <w:rsid w:val="00C931C2"/>
    <w:rsid w:val="00C935D5"/>
    <w:rsid w:val="00C9382C"/>
    <w:rsid w:val="00C9384D"/>
    <w:rsid w:val="00C93FEC"/>
    <w:rsid w:val="00C941C1"/>
    <w:rsid w:val="00C946B8"/>
    <w:rsid w:val="00C94D6D"/>
    <w:rsid w:val="00C95054"/>
    <w:rsid w:val="00C951CE"/>
    <w:rsid w:val="00C951DF"/>
    <w:rsid w:val="00C95275"/>
    <w:rsid w:val="00C95342"/>
    <w:rsid w:val="00C95359"/>
    <w:rsid w:val="00C9547F"/>
    <w:rsid w:val="00C95882"/>
    <w:rsid w:val="00C95B4C"/>
    <w:rsid w:val="00C96072"/>
    <w:rsid w:val="00C9652D"/>
    <w:rsid w:val="00C9662C"/>
    <w:rsid w:val="00C97043"/>
    <w:rsid w:val="00C971D1"/>
    <w:rsid w:val="00C9733B"/>
    <w:rsid w:val="00C97437"/>
    <w:rsid w:val="00C9756E"/>
    <w:rsid w:val="00C97736"/>
    <w:rsid w:val="00C978A7"/>
    <w:rsid w:val="00C97981"/>
    <w:rsid w:val="00CA0245"/>
    <w:rsid w:val="00CA0376"/>
    <w:rsid w:val="00CA0934"/>
    <w:rsid w:val="00CA0BF4"/>
    <w:rsid w:val="00CA0D02"/>
    <w:rsid w:val="00CA10CE"/>
    <w:rsid w:val="00CA11FA"/>
    <w:rsid w:val="00CA138F"/>
    <w:rsid w:val="00CA176B"/>
    <w:rsid w:val="00CA1BC7"/>
    <w:rsid w:val="00CA1D87"/>
    <w:rsid w:val="00CA1E3B"/>
    <w:rsid w:val="00CA1F57"/>
    <w:rsid w:val="00CA20EC"/>
    <w:rsid w:val="00CA24A2"/>
    <w:rsid w:val="00CA24D4"/>
    <w:rsid w:val="00CA26E4"/>
    <w:rsid w:val="00CA28C8"/>
    <w:rsid w:val="00CA31CF"/>
    <w:rsid w:val="00CA3307"/>
    <w:rsid w:val="00CA345A"/>
    <w:rsid w:val="00CA3483"/>
    <w:rsid w:val="00CA36A7"/>
    <w:rsid w:val="00CA3846"/>
    <w:rsid w:val="00CA39AB"/>
    <w:rsid w:val="00CA3D3A"/>
    <w:rsid w:val="00CA3E4E"/>
    <w:rsid w:val="00CA421C"/>
    <w:rsid w:val="00CA4480"/>
    <w:rsid w:val="00CA451A"/>
    <w:rsid w:val="00CA45DF"/>
    <w:rsid w:val="00CA4AF7"/>
    <w:rsid w:val="00CA4D31"/>
    <w:rsid w:val="00CA4F75"/>
    <w:rsid w:val="00CA5123"/>
    <w:rsid w:val="00CA5293"/>
    <w:rsid w:val="00CA5773"/>
    <w:rsid w:val="00CA5A73"/>
    <w:rsid w:val="00CA5AC7"/>
    <w:rsid w:val="00CA5B06"/>
    <w:rsid w:val="00CA62A6"/>
    <w:rsid w:val="00CA63F4"/>
    <w:rsid w:val="00CA6536"/>
    <w:rsid w:val="00CA654E"/>
    <w:rsid w:val="00CA6C94"/>
    <w:rsid w:val="00CA71E7"/>
    <w:rsid w:val="00CA7251"/>
    <w:rsid w:val="00CA7320"/>
    <w:rsid w:val="00CA7376"/>
    <w:rsid w:val="00CA74DF"/>
    <w:rsid w:val="00CA76CA"/>
    <w:rsid w:val="00CA78FB"/>
    <w:rsid w:val="00CA7B24"/>
    <w:rsid w:val="00CA7D8B"/>
    <w:rsid w:val="00CA7D8E"/>
    <w:rsid w:val="00CA7DCE"/>
    <w:rsid w:val="00CA7DF3"/>
    <w:rsid w:val="00CA7F82"/>
    <w:rsid w:val="00CB0046"/>
    <w:rsid w:val="00CB0072"/>
    <w:rsid w:val="00CB01B3"/>
    <w:rsid w:val="00CB077B"/>
    <w:rsid w:val="00CB079A"/>
    <w:rsid w:val="00CB07AA"/>
    <w:rsid w:val="00CB0B58"/>
    <w:rsid w:val="00CB1143"/>
    <w:rsid w:val="00CB114B"/>
    <w:rsid w:val="00CB167E"/>
    <w:rsid w:val="00CB1BE4"/>
    <w:rsid w:val="00CB1C21"/>
    <w:rsid w:val="00CB1CB3"/>
    <w:rsid w:val="00CB1D89"/>
    <w:rsid w:val="00CB1E82"/>
    <w:rsid w:val="00CB1FA2"/>
    <w:rsid w:val="00CB2094"/>
    <w:rsid w:val="00CB2103"/>
    <w:rsid w:val="00CB22D1"/>
    <w:rsid w:val="00CB23CC"/>
    <w:rsid w:val="00CB25C2"/>
    <w:rsid w:val="00CB27DD"/>
    <w:rsid w:val="00CB2842"/>
    <w:rsid w:val="00CB28D9"/>
    <w:rsid w:val="00CB2A89"/>
    <w:rsid w:val="00CB2AA0"/>
    <w:rsid w:val="00CB2DC2"/>
    <w:rsid w:val="00CB3025"/>
    <w:rsid w:val="00CB3032"/>
    <w:rsid w:val="00CB3047"/>
    <w:rsid w:val="00CB31C3"/>
    <w:rsid w:val="00CB3290"/>
    <w:rsid w:val="00CB3368"/>
    <w:rsid w:val="00CB3440"/>
    <w:rsid w:val="00CB34F5"/>
    <w:rsid w:val="00CB36D0"/>
    <w:rsid w:val="00CB3E82"/>
    <w:rsid w:val="00CB3EDA"/>
    <w:rsid w:val="00CB3F18"/>
    <w:rsid w:val="00CB3F5E"/>
    <w:rsid w:val="00CB3FFC"/>
    <w:rsid w:val="00CB4212"/>
    <w:rsid w:val="00CB43CA"/>
    <w:rsid w:val="00CB45C3"/>
    <w:rsid w:val="00CB45E7"/>
    <w:rsid w:val="00CB46AA"/>
    <w:rsid w:val="00CB486F"/>
    <w:rsid w:val="00CB4893"/>
    <w:rsid w:val="00CB4AC0"/>
    <w:rsid w:val="00CB4BA8"/>
    <w:rsid w:val="00CB4EC9"/>
    <w:rsid w:val="00CB4F2B"/>
    <w:rsid w:val="00CB4F74"/>
    <w:rsid w:val="00CB5036"/>
    <w:rsid w:val="00CB5045"/>
    <w:rsid w:val="00CB52D7"/>
    <w:rsid w:val="00CB58D3"/>
    <w:rsid w:val="00CB5D65"/>
    <w:rsid w:val="00CB6069"/>
    <w:rsid w:val="00CB688E"/>
    <w:rsid w:val="00CB69BF"/>
    <w:rsid w:val="00CB6C32"/>
    <w:rsid w:val="00CB6CEF"/>
    <w:rsid w:val="00CB6E3E"/>
    <w:rsid w:val="00CB7341"/>
    <w:rsid w:val="00CB738F"/>
    <w:rsid w:val="00CB73D8"/>
    <w:rsid w:val="00CB75F3"/>
    <w:rsid w:val="00CB7A79"/>
    <w:rsid w:val="00CB7B48"/>
    <w:rsid w:val="00CB7C19"/>
    <w:rsid w:val="00CB7C37"/>
    <w:rsid w:val="00CC03BE"/>
    <w:rsid w:val="00CC0973"/>
    <w:rsid w:val="00CC0C9A"/>
    <w:rsid w:val="00CC0CED"/>
    <w:rsid w:val="00CC0E95"/>
    <w:rsid w:val="00CC0F36"/>
    <w:rsid w:val="00CC0F66"/>
    <w:rsid w:val="00CC0FCE"/>
    <w:rsid w:val="00CC112D"/>
    <w:rsid w:val="00CC13C6"/>
    <w:rsid w:val="00CC1505"/>
    <w:rsid w:val="00CC1914"/>
    <w:rsid w:val="00CC1A84"/>
    <w:rsid w:val="00CC1BB1"/>
    <w:rsid w:val="00CC1C6E"/>
    <w:rsid w:val="00CC1F44"/>
    <w:rsid w:val="00CC1FDE"/>
    <w:rsid w:val="00CC2245"/>
    <w:rsid w:val="00CC2350"/>
    <w:rsid w:val="00CC23F8"/>
    <w:rsid w:val="00CC24B9"/>
    <w:rsid w:val="00CC2529"/>
    <w:rsid w:val="00CC287D"/>
    <w:rsid w:val="00CC288E"/>
    <w:rsid w:val="00CC29FA"/>
    <w:rsid w:val="00CC2C69"/>
    <w:rsid w:val="00CC2D3C"/>
    <w:rsid w:val="00CC2D75"/>
    <w:rsid w:val="00CC2DC7"/>
    <w:rsid w:val="00CC2E15"/>
    <w:rsid w:val="00CC2EFD"/>
    <w:rsid w:val="00CC2F23"/>
    <w:rsid w:val="00CC336C"/>
    <w:rsid w:val="00CC366C"/>
    <w:rsid w:val="00CC390D"/>
    <w:rsid w:val="00CC3BF1"/>
    <w:rsid w:val="00CC3D82"/>
    <w:rsid w:val="00CC3DA8"/>
    <w:rsid w:val="00CC3F2B"/>
    <w:rsid w:val="00CC4143"/>
    <w:rsid w:val="00CC427A"/>
    <w:rsid w:val="00CC4285"/>
    <w:rsid w:val="00CC44F2"/>
    <w:rsid w:val="00CC450C"/>
    <w:rsid w:val="00CC4AF3"/>
    <w:rsid w:val="00CC4C64"/>
    <w:rsid w:val="00CC5557"/>
    <w:rsid w:val="00CC5588"/>
    <w:rsid w:val="00CC558D"/>
    <w:rsid w:val="00CC573C"/>
    <w:rsid w:val="00CC58B4"/>
    <w:rsid w:val="00CC59F3"/>
    <w:rsid w:val="00CC5DE6"/>
    <w:rsid w:val="00CC5EB7"/>
    <w:rsid w:val="00CC5EED"/>
    <w:rsid w:val="00CC5F95"/>
    <w:rsid w:val="00CC5FA3"/>
    <w:rsid w:val="00CC6034"/>
    <w:rsid w:val="00CC604B"/>
    <w:rsid w:val="00CC641F"/>
    <w:rsid w:val="00CC6604"/>
    <w:rsid w:val="00CC66BC"/>
    <w:rsid w:val="00CC6732"/>
    <w:rsid w:val="00CC6794"/>
    <w:rsid w:val="00CC6C0E"/>
    <w:rsid w:val="00CC6C3A"/>
    <w:rsid w:val="00CC6C46"/>
    <w:rsid w:val="00CC6D81"/>
    <w:rsid w:val="00CC6DF5"/>
    <w:rsid w:val="00CC70E6"/>
    <w:rsid w:val="00CC72D5"/>
    <w:rsid w:val="00CC7693"/>
    <w:rsid w:val="00CC788F"/>
    <w:rsid w:val="00CC7919"/>
    <w:rsid w:val="00CC797F"/>
    <w:rsid w:val="00CC7B9A"/>
    <w:rsid w:val="00CC7BA6"/>
    <w:rsid w:val="00CC7E19"/>
    <w:rsid w:val="00CD0107"/>
    <w:rsid w:val="00CD01B5"/>
    <w:rsid w:val="00CD021C"/>
    <w:rsid w:val="00CD0A0D"/>
    <w:rsid w:val="00CD0A44"/>
    <w:rsid w:val="00CD0A93"/>
    <w:rsid w:val="00CD0B1B"/>
    <w:rsid w:val="00CD0D33"/>
    <w:rsid w:val="00CD0D3B"/>
    <w:rsid w:val="00CD1112"/>
    <w:rsid w:val="00CD131B"/>
    <w:rsid w:val="00CD1695"/>
    <w:rsid w:val="00CD1798"/>
    <w:rsid w:val="00CD17CA"/>
    <w:rsid w:val="00CD1E89"/>
    <w:rsid w:val="00CD1F7C"/>
    <w:rsid w:val="00CD2431"/>
    <w:rsid w:val="00CD24ED"/>
    <w:rsid w:val="00CD2587"/>
    <w:rsid w:val="00CD27FF"/>
    <w:rsid w:val="00CD2E4F"/>
    <w:rsid w:val="00CD31FD"/>
    <w:rsid w:val="00CD392C"/>
    <w:rsid w:val="00CD39D6"/>
    <w:rsid w:val="00CD3DE9"/>
    <w:rsid w:val="00CD3EE8"/>
    <w:rsid w:val="00CD3F92"/>
    <w:rsid w:val="00CD404B"/>
    <w:rsid w:val="00CD43A3"/>
    <w:rsid w:val="00CD44C9"/>
    <w:rsid w:val="00CD4589"/>
    <w:rsid w:val="00CD45B4"/>
    <w:rsid w:val="00CD47E1"/>
    <w:rsid w:val="00CD487B"/>
    <w:rsid w:val="00CD4956"/>
    <w:rsid w:val="00CD4986"/>
    <w:rsid w:val="00CD4BE9"/>
    <w:rsid w:val="00CD4C38"/>
    <w:rsid w:val="00CD4EB6"/>
    <w:rsid w:val="00CD4EBE"/>
    <w:rsid w:val="00CD5048"/>
    <w:rsid w:val="00CD519F"/>
    <w:rsid w:val="00CD51FB"/>
    <w:rsid w:val="00CD530D"/>
    <w:rsid w:val="00CD5423"/>
    <w:rsid w:val="00CD5658"/>
    <w:rsid w:val="00CD5694"/>
    <w:rsid w:val="00CD5892"/>
    <w:rsid w:val="00CD5990"/>
    <w:rsid w:val="00CD5AF5"/>
    <w:rsid w:val="00CD5C9E"/>
    <w:rsid w:val="00CD5F91"/>
    <w:rsid w:val="00CD5FCA"/>
    <w:rsid w:val="00CD6161"/>
    <w:rsid w:val="00CD61F1"/>
    <w:rsid w:val="00CD63CC"/>
    <w:rsid w:val="00CD6728"/>
    <w:rsid w:val="00CD67D3"/>
    <w:rsid w:val="00CD683D"/>
    <w:rsid w:val="00CD69F3"/>
    <w:rsid w:val="00CD7103"/>
    <w:rsid w:val="00CD71A9"/>
    <w:rsid w:val="00CD73D9"/>
    <w:rsid w:val="00CD7427"/>
    <w:rsid w:val="00CD74D0"/>
    <w:rsid w:val="00CD75BE"/>
    <w:rsid w:val="00CD78E3"/>
    <w:rsid w:val="00CD795C"/>
    <w:rsid w:val="00CD7A69"/>
    <w:rsid w:val="00CD7D76"/>
    <w:rsid w:val="00CD7DD1"/>
    <w:rsid w:val="00CD7E89"/>
    <w:rsid w:val="00CD7FBC"/>
    <w:rsid w:val="00CE0136"/>
    <w:rsid w:val="00CE0347"/>
    <w:rsid w:val="00CE075B"/>
    <w:rsid w:val="00CE09F3"/>
    <w:rsid w:val="00CE0BB5"/>
    <w:rsid w:val="00CE0BC0"/>
    <w:rsid w:val="00CE14C4"/>
    <w:rsid w:val="00CE1B2A"/>
    <w:rsid w:val="00CE1B7B"/>
    <w:rsid w:val="00CE1BDC"/>
    <w:rsid w:val="00CE22CD"/>
    <w:rsid w:val="00CE2676"/>
    <w:rsid w:val="00CE2B20"/>
    <w:rsid w:val="00CE2B2B"/>
    <w:rsid w:val="00CE359F"/>
    <w:rsid w:val="00CE375E"/>
    <w:rsid w:val="00CE3C96"/>
    <w:rsid w:val="00CE3D54"/>
    <w:rsid w:val="00CE3EA5"/>
    <w:rsid w:val="00CE3F15"/>
    <w:rsid w:val="00CE4388"/>
    <w:rsid w:val="00CE4396"/>
    <w:rsid w:val="00CE4807"/>
    <w:rsid w:val="00CE4A46"/>
    <w:rsid w:val="00CE4AA2"/>
    <w:rsid w:val="00CE4B01"/>
    <w:rsid w:val="00CE4F9B"/>
    <w:rsid w:val="00CE51A8"/>
    <w:rsid w:val="00CE538A"/>
    <w:rsid w:val="00CE53EE"/>
    <w:rsid w:val="00CE54AD"/>
    <w:rsid w:val="00CE55BA"/>
    <w:rsid w:val="00CE5767"/>
    <w:rsid w:val="00CE5820"/>
    <w:rsid w:val="00CE582E"/>
    <w:rsid w:val="00CE5B0D"/>
    <w:rsid w:val="00CE5C83"/>
    <w:rsid w:val="00CE601A"/>
    <w:rsid w:val="00CE6132"/>
    <w:rsid w:val="00CE618B"/>
    <w:rsid w:val="00CE6196"/>
    <w:rsid w:val="00CE6478"/>
    <w:rsid w:val="00CE67AC"/>
    <w:rsid w:val="00CE67D4"/>
    <w:rsid w:val="00CE6C76"/>
    <w:rsid w:val="00CE6E2A"/>
    <w:rsid w:val="00CE6F42"/>
    <w:rsid w:val="00CE6F84"/>
    <w:rsid w:val="00CE70A4"/>
    <w:rsid w:val="00CE713C"/>
    <w:rsid w:val="00CE71CB"/>
    <w:rsid w:val="00CE722E"/>
    <w:rsid w:val="00CE7441"/>
    <w:rsid w:val="00CE7561"/>
    <w:rsid w:val="00CE76B3"/>
    <w:rsid w:val="00CE7728"/>
    <w:rsid w:val="00CE7919"/>
    <w:rsid w:val="00CE7B85"/>
    <w:rsid w:val="00CE7CD4"/>
    <w:rsid w:val="00CE7CE8"/>
    <w:rsid w:val="00CF0784"/>
    <w:rsid w:val="00CF084D"/>
    <w:rsid w:val="00CF0A13"/>
    <w:rsid w:val="00CF0A23"/>
    <w:rsid w:val="00CF0F00"/>
    <w:rsid w:val="00CF0FF2"/>
    <w:rsid w:val="00CF1122"/>
    <w:rsid w:val="00CF14D4"/>
    <w:rsid w:val="00CF1636"/>
    <w:rsid w:val="00CF16E5"/>
    <w:rsid w:val="00CF1829"/>
    <w:rsid w:val="00CF189D"/>
    <w:rsid w:val="00CF19C8"/>
    <w:rsid w:val="00CF1D8F"/>
    <w:rsid w:val="00CF1EFE"/>
    <w:rsid w:val="00CF2140"/>
    <w:rsid w:val="00CF23AD"/>
    <w:rsid w:val="00CF2653"/>
    <w:rsid w:val="00CF26AE"/>
    <w:rsid w:val="00CF2DAB"/>
    <w:rsid w:val="00CF2F7D"/>
    <w:rsid w:val="00CF3272"/>
    <w:rsid w:val="00CF369B"/>
    <w:rsid w:val="00CF3CD1"/>
    <w:rsid w:val="00CF42C6"/>
    <w:rsid w:val="00CF476D"/>
    <w:rsid w:val="00CF47C1"/>
    <w:rsid w:val="00CF4973"/>
    <w:rsid w:val="00CF4BAE"/>
    <w:rsid w:val="00CF4ECC"/>
    <w:rsid w:val="00CF51FC"/>
    <w:rsid w:val="00CF5469"/>
    <w:rsid w:val="00CF55E4"/>
    <w:rsid w:val="00CF5640"/>
    <w:rsid w:val="00CF5B17"/>
    <w:rsid w:val="00CF5C4B"/>
    <w:rsid w:val="00CF5C8E"/>
    <w:rsid w:val="00CF5FA2"/>
    <w:rsid w:val="00CF66B4"/>
    <w:rsid w:val="00CF676B"/>
    <w:rsid w:val="00CF6774"/>
    <w:rsid w:val="00CF6837"/>
    <w:rsid w:val="00CF6A88"/>
    <w:rsid w:val="00CF6AB1"/>
    <w:rsid w:val="00CF6CA1"/>
    <w:rsid w:val="00CF727A"/>
    <w:rsid w:val="00CF7512"/>
    <w:rsid w:val="00CF7593"/>
    <w:rsid w:val="00CF7611"/>
    <w:rsid w:val="00CF7644"/>
    <w:rsid w:val="00CF77C8"/>
    <w:rsid w:val="00CF7915"/>
    <w:rsid w:val="00CF792F"/>
    <w:rsid w:val="00CF7940"/>
    <w:rsid w:val="00CF7C27"/>
    <w:rsid w:val="00CF7DB3"/>
    <w:rsid w:val="00CF7E30"/>
    <w:rsid w:val="00CF7FA5"/>
    <w:rsid w:val="00D00012"/>
    <w:rsid w:val="00D00133"/>
    <w:rsid w:val="00D00A57"/>
    <w:rsid w:val="00D00E28"/>
    <w:rsid w:val="00D00E3B"/>
    <w:rsid w:val="00D0131C"/>
    <w:rsid w:val="00D013F5"/>
    <w:rsid w:val="00D01605"/>
    <w:rsid w:val="00D016CD"/>
    <w:rsid w:val="00D01D8D"/>
    <w:rsid w:val="00D01DE2"/>
    <w:rsid w:val="00D01E98"/>
    <w:rsid w:val="00D01FC0"/>
    <w:rsid w:val="00D020CD"/>
    <w:rsid w:val="00D020DA"/>
    <w:rsid w:val="00D02145"/>
    <w:rsid w:val="00D02169"/>
    <w:rsid w:val="00D0240D"/>
    <w:rsid w:val="00D0244E"/>
    <w:rsid w:val="00D02508"/>
    <w:rsid w:val="00D025BE"/>
    <w:rsid w:val="00D0269E"/>
    <w:rsid w:val="00D027CF"/>
    <w:rsid w:val="00D02E26"/>
    <w:rsid w:val="00D02F33"/>
    <w:rsid w:val="00D03578"/>
    <w:rsid w:val="00D0382C"/>
    <w:rsid w:val="00D038A9"/>
    <w:rsid w:val="00D03CA8"/>
    <w:rsid w:val="00D0417F"/>
    <w:rsid w:val="00D0419E"/>
    <w:rsid w:val="00D04414"/>
    <w:rsid w:val="00D04A63"/>
    <w:rsid w:val="00D04B18"/>
    <w:rsid w:val="00D04C8E"/>
    <w:rsid w:val="00D04D5C"/>
    <w:rsid w:val="00D04FAF"/>
    <w:rsid w:val="00D05280"/>
    <w:rsid w:val="00D05A0E"/>
    <w:rsid w:val="00D05D6C"/>
    <w:rsid w:val="00D05EC8"/>
    <w:rsid w:val="00D05F39"/>
    <w:rsid w:val="00D06069"/>
    <w:rsid w:val="00D06083"/>
    <w:rsid w:val="00D063FF"/>
    <w:rsid w:val="00D06884"/>
    <w:rsid w:val="00D06AC5"/>
    <w:rsid w:val="00D06D2C"/>
    <w:rsid w:val="00D06D8A"/>
    <w:rsid w:val="00D06E62"/>
    <w:rsid w:val="00D06F38"/>
    <w:rsid w:val="00D06FEA"/>
    <w:rsid w:val="00D073E8"/>
    <w:rsid w:val="00D07488"/>
    <w:rsid w:val="00D075E0"/>
    <w:rsid w:val="00D076CF"/>
    <w:rsid w:val="00D0773C"/>
    <w:rsid w:val="00D077AD"/>
    <w:rsid w:val="00D079D1"/>
    <w:rsid w:val="00D079EE"/>
    <w:rsid w:val="00D07D04"/>
    <w:rsid w:val="00D07EEC"/>
    <w:rsid w:val="00D10145"/>
    <w:rsid w:val="00D10253"/>
    <w:rsid w:val="00D1050D"/>
    <w:rsid w:val="00D1051F"/>
    <w:rsid w:val="00D1063A"/>
    <w:rsid w:val="00D10975"/>
    <w:rsid w:val="00D10C38"/>
    <w:rsid w:val="00D10E48"/>
    <w:rsid w:val="00D10E8C"/>
    <w:rsid w:val="00D1100B"/>
    <w:rsid w:val="00D11179"/>
    <w:rsid w:val="00D11494"/>
    <w:rsid w:val="00D11E6D"/>
    <w:rsid w:val="00D1200C"/>
    <w:rsid w:val="00D1206B"/>
    <w:rsid w:val="00D12270"/>
    <w:rsid w:val="00D1237A"/>
    <w:rsid w:val="00D124AD"/>
    <w:rsid w:val="00D12626"/>
    <w:rsid w:val="00D126B7"/>
    <w:rsid w:val="00D12767"/>
    <w:rsid w:val="00D128E7"/>
    <w:rsid w:val="00D12A18"/>
    <w:rsid w:val="00D130A5"/>
    <w:rsid w:val="00D132B1"/>
    <w:rsid w:val="00D1336B"/>
    <w:rsid w:val="00D13431"/>
    <w:rsid w:val="00D13484"/>
    <w:rsid w:val="00D13736"/>
    <w:rsid w:val="00D1374E"/>
    <w:rsid w:val="00D13859"/>
    <w:rsid w:val="00D13A4C"/>
    <w:rsid w:val="00D13B8F"/>
    <w:rsid w:val="00D13DCF"/>
    <w:rsid w:val="00D13E04"/>
    <w:rsid w:val="00D13EA4"/>
    <w:rsid w:val="00D14042"/>
    <w:rsid w:val="00D140B6"/>
    <w:rsid w:val="00D1414F"/>
    <w:rsid w:val="00D14191"/>
    <w:rsid w:val="00D1433E"/>
    <w:rsid w:val="00D14352"/>
    <w:rsid w:val="00D1435F"/>
    <w:rsid w:val="00D145F3"/>
    <w:rsid w:val="00D14E5D"/>
    <w:rsid w:val="00D15810"/>
    <w:rsid w:val="00D1582B"/>
    <w:rsid w:val="00D1584F"/>
    <w:rsid w:val="00D15B0D"/>
    <w:rsid w:val="00D15CD8"/>
    <w:rsid w:val="00D15E31"/>
    <w:rsid w:val="00D15E96"/>
    <w:rsid w:val="00D15EE7"/>
    <w:rsid w:val="00D15F82"/>
    <w:rsid w:val="00D160FC"/>
    <w:rsid w:val="00D1628B"/>
    <w:rsid w:val="00D16334"/>
    <w:rsid w:val="00D1640B"/>
    <w:rsid w:val="00D1644D"/>
    <w:rsid w:val="00D16458"/>
    <w:rsid w:val="00D1649C"/>
    <w:rsid w:val="00D166D9"/>
    <w:rsid w:val="00D169FA"/>
    <w:rsid w:val="00D16B58"/>
    <w:rsid w:val="00D16C5D"/>
    <w:rsid w:val="00D16D4E"/>
    <w:rsid w:val="00D16DC0"/>
    <w:rsid w:val="00D16F82"/>
    <w:rsid w:val="00D16F93"/>
    <w:rsid w:val="00D16FE3"/>
    <w:rsid w:val="00D173F0"/>
    <w:rsid w:val="00D17619"/>
    <w:rsid w:val="00D17B26"/>
    <w:rsid w:val="00D17C86"/>
    <w:rsid w:val="00D17D55"/>
    <w:rsid w:val="00D17DF9"/>
    <w:rsid w:val="00D202A7"/>
    <w:rsid w:val="00D2058A"/>
    <w:rsid w:val="00D20742"/>
    <w:rsid w:val="00D2074F"/>
    <w:rsid w:val="00D208C5"/>
    <w:rsid w:val="00D20D6F"/>
    <w:rsid w:val="00D21480"/>
    <w:rsid w:val="00D21764"/>
    <w:rsid w:val="00D21846"/>
    <w:rsid w:val="00D21894"/>
    <w:rsid w:val="00D21A36"/>
    <w:rsid w:val="00D21A7A"/>
    <w:rsid w:val="00D21A8D"/>
    <w:rsid w:val="00D21AA1"/>
    <w:rsid w:val="00D22055"/>
    <w:rsid w:val="00D2211B"/>
    <w:rsid w:val="00D2226B"/>
    <w:rsid w:val="00D22625"/>
    <w:rsid w:val="00D22A7D"/>
    <w:rsid w:val="00D22C49"/>
    <w:rsid w:val="00D22C4C"/>
    <w:rsid w:val="00D22EFA"/>
    <w:rsid w:val="00D230D5"/>
    <w:rsid w:val="00D236FF"/>
    <w:rsid w:val="00D23A43"/>
    <w:rsid w:val="00D23FB6"/>
    <w:rsid w:val="00D23FFD"/>
    <w:rsid w:val="00D24325"/>
    <w:rsid w:val="00D246B0"/>
    <w:rsid w:val="00D24914"/>
    <w:rsid w:val="00D249E2"/>
    <w:rsid w:val="00D24A3D"/>
    <w:rsid w:val="00D24D4F"/>
    <w:rsid w:val="00D24E6F"/>
    <w:rsid w:val="00D24F2D"/>
    <w:rsid w:val="00D251DE"/>
    <w:rsid w:val="00D251E1"/>
    <w:rsid w:val="00D25232"/>
    <w:rsid w:val="00D25321"/>
    <w:rsid w:val="00D2536C"/>
    <w:rsid w:val="00D253E1"/>
    <w:rsid w:val="00D2579D"/>
    <w:rsid w:val="00D25A28"/>
    <w:rsid w:val="00D2649C"/>
    <w:rsid w:val="00D26611"/>
    <w:rsid w:val="00D26858"/>
    <w:rsid w:val="00D268D1"/>
    <w:rsid w:val="00D26A0A"/>
    <w:rsid w:val="00D26A93"/>
    <w:rsid w:val="00D26F5E"/>
    <w:rsid w:val="00D26F77"/>
    <w:rsid w:val="00D271BE"/>
    <w:rsid w:val="00D271CD"/>
    <w:rsid w:val="00D272B3"/>
    <w:rsid w:val="00D272CF"/>
    <w:rsid w:val="00D273B2"/>
    <w:rsid w:val="00D273B7"/>
    <w:rsid w:val="00D27662"/>
    <w:rsid w:val="00D2790A"/>
    <w:rsid w:val="00D27A01"/>
    <w:rsid w:val="00D27B07"/>
    <w:rsid w:val="00D27C1E"/>
    <w:rsid w:val="00D27F41"/>
    <w:rsid w:val="00D3041C"/>
    <w:rsid w:val="00D304B7"/>
    <w:rsid w:val="00D305B7"/>
    <w:rsid w:val="00D307A0"/>
    <w:rsid w:val="00D3084A"/>
    <w:rsid w:val="00D30B1E"/>
    <w:rsid w:val="00D30CA7"/>
    <w:rsid w:val="00D30F79"/>
    <w:rsid w:val="00D30F85"/>
    <w:rsid w:val="00D31470"/>
    <w:rsid w:val="00D3147C"/>
    <w:rsid w:val="00D31515"/>
    <w:rsid w:val="00D316F9"/>
    <w:rsid w:val="00D31A13"/>
    <w:rsid w:val="00D31A1E"/>
    <w:rsid w:val="00D31D13"/>
    <w:rsid w:val="00D31D60"/>
    <w:rsid w:val="00D31D6B"/>
    <w:rsid w:val="00D32393"/>
    <w:rsid w:val="00D327CF"/>
    <w:rsid w:val="00D32DF2"/>
    <w:rsid w:val="00D32FFB"/>
    <w:rsid w:val="00D33394"/>
    <w:rsid w:val="00D335DE"/>
    <w:rsid w:val="00D33945"/>
    <w:rsid w:val="00D33B1F"/>
    <w:rsid w:val="00D33B48"/>
    <w:rsid w:val="00D33C0B"/>
    <w:rsid w:val="00D3402D"/>
    <w:rsid w:val="00D341CC"/>
    <w:rsid w:val="00D3426D"/>
    <w:rsid w:val="00D342EA"/>
    <w:rsid w:val="00D343C1"/>
    <w:rsid w:val="00D34465"/>
    <w:rsid w:val="00D346A1"/>
    <w:rsid w:val="00D34770"/>
    <w:rsid w:val="00D3487E"/>
    <w:rsid w:val="00D34B3D"/>
    <w:rsid w:val="00D34D96"/>
    <w:rsid w:val="00D34EBD"/>
    <w:rsid w:val="00D35064"/>
    <w:rsid w:val="00D3536D"/>
    <w:rsid w:val="00D356C3"/>
    <w:rsid w:val="00D3573C"/>
    <w:rsid w:val="00D35913"/>
    <w:rsid w:val="00D35DF4"/>
    <w:rsid w:val="00D35DFA"/>
    <w:rsid w:val="00D36315"/>
    <w:rsid w:val="00D36427"/>
    <w:rsid w:val="00D36441"/>
    <w:rsid w:val="00D3675F"/>
    <w:rsid w:val="00D3683C"/>
    <w:rsid w:val="00D36948"/>
    <w:rsid w:val="00D36A75"/>
    <w:rsid w:val="00D36B6B"/>
    <w:rsid w:val="00D36B8A"/>
    <w:rsid w:val="00D36DE3"/>
    <w:rsid w:val="00D36F43"/>
    <w:rsid w:val="00D37297"/>
    <w:rsid w:val="00D373BB"/>
    <w:rsid w:val="00D374FC"/>
    <w:rsid w:val="00D3772A"/>
    <w:rsid w:val="00D37AA0"/>
    <w:rsid w:val="00D37B55"/>
    <w:rsid w:val="00D37D2A"/>
    <w:rsid w:val="00D37D59"/>
    <w:rsid w:val="00D37FC0"/>
    <w:rsid w:val="00D40100"/>
    <w:rsid w:val="00D401DA"/>
    <w:rsid w:val="00D4064E"/>
    <w:rsid w:val="00D407A6"/>
    <w:rsid w:val="00D407C5"/>
    <w:rsid w:val="00D4088E"/>
    <w:rsid w:val="00D408DA"/>
    <w:rsid w:val="00D40AB4"/>
    <w:rsid w:val="00D40DBB"/>
    <w:rsid w:val="00D40E9A"/>
    <w:rsid w:val="00D41159"/>
    <w:rsid w:val="00D414C1"/>
    <w:rsid w:val="00D414E9"/>
    <w:rsid w:val="00D4187A"/>
    <w:rsid w:val="00D419C1"/>
    <w:rsid w:val="00D41A46"/>
    <w:rsid w:val="00D41BF4"/>
    <w:rsid w:val="00D41F65"/>
    <w:rsid w:val="00D427D2"/>
    <w:rsid w:val="00D42C78"/>
    <w:rsid w:val="00D42CE6"/>
    <w:rsid w:val="00D42EF0"/>
    <w:rsid w:val="00D430B7"/>
    <w:rsid w:val="00D430F1"/>
    <w:rsid w:val="00D43189"/>
    <w:rsid w:val="00D43194"/>
    <w:rsid w:val="00D4319C"/>
    <w:rsid w:val="00D4323D"/>
    <w:rsid w:val="00D4325E"/>
    <w:rsid w:val="00D432A2"/>
    <w:rsid w:val="00D43597"/>
    <w:rsid w:val="00D436DA"/>
    <w:rsid w:val="00D43A4D"/>
    <w:rsid w:val="00D4408E"/>
    <w:rsid w:val="00D44307"/>
    <w:rsid w:val="00D44320"/>
    <w:rsid w:val="00D44788"/>
    <w:rsid w:val="00D447B8"/>
    <w:rsid w:val="00D44A12"/>
    <w:rsid w:val="00D44ACA"/>
    <w:rsid w:val="00D44B5A"/>
    <w:rsid w:val="00D44D9C"/>
    <w:rsid w:val="00D44E9B"/>
    <w:rsid w:val="00D44F16"/>
    <w:rsid w:val="00D45001"/>
    <w:rsid w:val="00D45187"/>
    <w:rsid w:val="00D453E7"/>
    <w:rsid w:val="00D45815"/>
    <w:rsid w:val="00D45E15"/>
    <w:rsid w:val="00D45EC3"/>
    <w:rsid w:val="00D45FD2"/>
    <w:rsid w:val="00D46013"/>
    <w:rsid w:val="00D4613D"/>
    <w:rsid w:val="00D4615F"/>
    <w:rsid w:val="00D462F9"/>
    <w:rsid w:val="00D46362"/>
    <w:rsid w:val="00D4649E"/>
    <w:rsid w:val="00D4669E"/>
    <w:rsid w:val="00D46E3D"/>
    <w:rsid w:val="00D4729A"/>
    <w:rsid w:val="00D47450"/>
    <w:rsid w:val="00D4764C"/>
    <w:rsid w:val="00D47884"/>
    <w:rsid w:val="00D47910"/>
    <w:rsid w:val="00D47A44"/>
    <w:rsid w:val="00D47AEB"/>
    <w:rsid w:val="00D50012"/>
    <w:rsid w:val="00D50304"/>
    <w:rsid w:val="00D506E3"/>
    <w:rsid w:val="00D5074E"/>
    <w:rsid w:val="00D50B4B"/>
    <w:rsid w:val="00D50C68"/>
    <w:rsid w:val="00D50C6A"/>
    <w:rsid w:val="00D50D23"/>
    <w:rsid w:val="00D50D25"/>
    <w:rsid w:val="00D50DB9"/>
    <w:rsid w:val="00D50FF0"/>
    <w:rsid w:val="00D5105A"/>
    <w:rsid w:val="00D5121A"/>
    <w:rsid w:val="00D51302"/>
    <w:rsid w:val="00D514E4"/>
    <w:rsid w:val="00D517EC"/>
    <w:rsid w:val="00D51AB4"/>
    <w:rsid w:val="00D51B79"/>
    <w:rsid w:val="00D51BD4"/>
    <w:rsid w:val="00D51BF0"/>
    <w:rsid w:val="00D51DA7"/>
    <w:rsid w:val="00D523B2"/>
    <w:rsid w:val="00D523F4"/>
    <w:rsid w:val="00D5245D"/>
    <w:rsid w:val="00D524DE"/>
    <w:rsid w:val="00D5250F"/>
    <w:rsid w:val="00D52923"/>
    <w:rsid w:val="00D52A10"/>
    <w:rsid w:val="00D52C43"/>
    <w:rsid w:val="00D52CE8"/>
    <w:rsid w:val="00D52D29"/>
    <w:rsid w:val="00D52D94"/>
    <w:rsid w:val="00D52DA5"/>
    <w:rsid w:val="00D52F59"/>
    <w:rsid w:val="00D53260"/>
    <w:rsid w:val="00D532C5"/>
    <w:rsid w:val="00D53312"/>
    <w:rsid w:val="00D534A9"/>
    <w:rsid w:val="00D534E1"/>
    <w:rsid w:val="00D53A62"/>
    <w:rsid w:val="00D53A86"/>
    <w:rsid w:val="00D53AE6"/>
    <w:rsid w:val="00D53C31"/>
    <w:rsid w:val="00D54689"/>
    <w:rsid w:val="00D548DD"/>
    <w:rsid w:val="00D54BEA"/>
    <w:rsid w:val="00D54C31"/>
    <w:rsid w:val="00D55796"/>
    <w:rsid w:val="00D55A46"/>
    <w:rsid w:val="00D55BCB"/>
    <w:rsid w:val="00D55F73"/>
    <w:rsid w:val="00D55FFC"/>
    <w:rsid w:val="00D5613D"/>
    <w:rsid w:val="00D562F0"/>
    <w:rsid w:val="00D567B7"/>
    <w:rsid w:val="00D567BA"/>
    <w:rsid w:val="00D569EA"/>
    <w:rsid w:val="00D56A95"/>
    <w:rsid w:val="00D56B02"/>
    <w:rsid w:val="00D56B52"/>
    <w:rsid w:val="00D56BAD"/>
    <w:rsid w:val="00D57167"/>
    <w:rsid w:val="00D571DF"/>
    <w:rsid w:val="00D573F4"/>
    <w:rsid w:val="00D576B0"/>
    <w:rsid w:val="00D57708"/>
    <w:rsid w:val="00D57752"/>
    <w:rsid w:val="00D57765"/>
    <w:rsid w:val="00D57C1A"/>
    <w:rsid w:val="00D57E6D"/>
    <w:rsid w:val="00D57E98"/>
    <w:rsid w:val="00D60000"/>
    <w:rsid w:val="00D60392"/>
    <w:rsid w:val="00D604FB"/>
    <w:rsid w:val="00D60571"/>
    <w:rsid w:val="00D6060B"/>
    <w:rsid w:val="00D60853"/>
    <w:rsid w:val="00D60CDC"/>
    <w:rsid w:val="00D60D5A"/>
    <w:rsid w:val="00D61355"/>
    <w:rsid w:val="00D6139B"/>
    <w:rsid w:val="00D616FE"/>
    <w:rsid w:val="00D617CB"/>
    <w:rsid w:val="00D6189C"/>
    <w:rsid w:val="00D619F5"/>
    <w:rsid w:val="00D61CBB"/>
    <w:rsid w:val="00D61CBF"/>
    <w:rsid w:val="00D61D5B"/>
    <w:rsid w:val="00D623BD"/>
    <w:rsid w:val="00D623FC"/>
    <w:rsid w:val="00D62573"/>
    <w:rsid w:val="00D62641"/>
    <w:rsid w:val="00D626EB"/>
    <w:rsid w:val="00D627E0"/>
    <w:rsid w:val="00D62A72"/>
    <w:rsid w:val="00D62B66"/>
    <w:rsid w:val="00D62C2A"/>
    <w:rsid w:val="00D62F0A"/>
    <w:rsid w:val="00D632D0"/>
    <w:rsid w:val="00D6336A"/>
    <w:rsid w:val="00D634C4"/>
    <w:rsid w:val="00D636A6"/>
    <w:rsid w:val="00D639C8"/>
    <w:rsid w:val="00D63BFB"/>
    <w:rsid w:val="00D63CEE"/>
    <w:rsid w:val="00D63D90"/>
    <w:rsid w:val="00D63F77"/>
    <w:rsid w:val="00D63F90"/>
    <w:rsid w:val="00D64548"/>
    <w:rsid w:val="00D645E7"/>
    <w:rsid w:val="00D64BD4"/>
    <w:rsid w:val="00D64C5C"/>
    <w:rsid w:val="00D64D46"/>
    <w:rsid w:val="00D64F7E"/>
    <w:rsid w:val="00D6507F"/>
    <w:rsid w:val="00D65248"/>
    <w:rsid w:val="00D655D3"/>
    <w:rsid w:val="00D6564F"/>
    <w:rsid w:val="00D6578B"/>
    <w:rsid w:val="00D65AA5"/>
    <w:rsid w:val="00D65CAC"/>
    <w:rsid w:val="00D65EF5"/>
    <w:rsid w:val="00D65F24"/>
    <w:rsid w:val="00D66004"/>
    <w:rsid w:val="00D665BC"/>
    <w:rsid w:val="00D66686"/>
    <w:rsid w:val="00D66833"/>
    <w:rsid w:val="00D668E6"/>
    <w:rsid w:val="00D66962"/>
    <w:rsid w:val="00D669D1"/>
    <w:rsid w:val="00D669F3"/>
    <w:rsid w:val="00D66B68"/>
    <w:rsid w:val="00D66C0B"/>
    <w:rsid w:val="00D66C9E"/>
    <w:rsid w:val="00D670D5"/>
    <w:rsid w:val="00D67341"/>
    <w:rsid w:val="00D677EA"/>
    <w:rsid w:val="00D70045"/>
    <w:rsid w:val="00D70113"/>
    <w:rsid w:val="00D707AF"/>
    <w:rsid w:val="00D707E1"/>
    <w:rsid w:val="00D708B2"/>
    <w:rsid w:val="00D70AB6"/>
    <w:rsid w:val="00D70DCE"/>
    <w:rsid w:val="00D70E61"/>
    <w:rsid w:val="00D70EAE"/>
    <w:rsid w:val="00D71009"/>
    <w:rsid w:val="00D71167"/>
    <w:rsid w:val="00D7144E"/>
    <w:rsid w:val="00D714D3"/>
    <w:rsid w:val="00D7170B"/>
    <w:rsid w:val="00D71716"/>
    <w:rsid w:val="00D7180C"/>
    <w:rsid w:val="00D719AB"/>
    <w:rsid w:val="00D71AD1"/>
    <w:rsid w:val="00D7235F"/>
    <w:rsid w:val="00D7248E"/>
    <w:rsid w:val="00D72515"/>
    <w:rsid w:val="00D72621"/>
    <w:rsid w:val="00D72729"/>
    <w:rsid w:val="00D72738"/>
    <w:rsid w:val="00D72969"/>
    <w:rsid w:val="00D72F36"/>
    <w:rsid w:val="00D72FE4"/>
    <w:rsid w:val="00D730BC"/>
    <w:rsid w:val="00D730D3"/>
    <w:rsid w:val="00D73912"/>
    <w:rsid w:val="00D73A0F"/>
    <w:rsid w:val="00D73A1A"/>
    <w:rsid w:val="00D744C3"/>
    <w:rsid w:val="00D746C5"/>
    <w:rsid w:val="00D74857"/>
    <w:rsid w:val="00D74B74"/>
    <w:rsid w:val="00D74D48"/>
    <w:rsid w:val="00D75269"/>
    <w:rsid w:val="00D752FA"/>
    <w:rsid w:val="00D7588D"/>
    <w:rsid w:val="00D758B3"/>
    <w:rsid w:val="00D75A62"/>
    <w:rsid w:val="00D75CA9"/>
    <w:rsid w:val="00D75E8A"/>
    <w:rsid w:val="00D762F3"/>
    <w:rsid w:val="00D764B1"/>
    <w:rsid w:val="00D76714"/>
    <w:rsid w:val="00D76851"/>
    <w:rsid w:val="00D768CC"/>
    <w:rsid w:val="00D7696B"/>
    <w:rsid w:val="00D76971"/>
    <w:rsid w:val="00D76CCE"/>
    <w:rsid w:val="00D76DFA"/>
    <w:rsid w:val="00D7713F"/>
    <w:rsid w:val="00D773AC"/>
    <w:rsid w:val="00D775FA"/>
    <w:rsid w:val="00D77BE6"/>
    <w:rsid w:val="00D77C63"/>
    <w:rsid w:val="00D77CAC"/>
    <w:rsid w:val="00D77E43"/>
    <w:rsid w:val="00D8013F"/>
    <w:rsid w:val="00D8059F"/>
    <w:rsid w:val="00D80778"/>
    <w:rsid w:val="00D80AB1"/>
    <w:rsid w:val="00D81007"/>
    <w:rsid w:val="00D8118C"/>
    <w:rsid w:val="00D81420"/>
    <w:rsid w:val="00D81696"/>
    <w:rsid w:val="00D816B8"/>
    <w:rsid w:val="00D81B8C"/>
    <w:rsid w:val="00D81C83"/>
    <w:rsid w:val="00D81C89"/>
    <w:rsid w:val="00D81C96"/>
    <w:rsid w:val="00D81CCC"/>
    <w:rsid w:val="00D81E31"/>
    <w:rsid w:val="00D81ED6"/>
    <w:rsid w:val="00D82244"/>
    <w:rsid w:val="00D826E7"/>
    <w:rsid w:val="00D82787"/>
    <w:rsid w:val="00D82993"/>
    <w:rsid w:val="00D82A62"/>
    <w:rsid w:val="00D82AC6"/>
    <w:rsid w:val="00D830D3"/>
    <w:rsid w:val="00D8392F"/>
    <w:rsid w:val="00D83931"/>
    <w:rsid w:val="00D83981"/>
    <w:rsid w:val="00D83A24"/>
    <w:rsid w:val="00D83BBE"/>
    <w:rsid w:val="00D83CE1"/>
    <w:rsid w:val="00D83D39"/>
    <w:rsid w:val="00D84161"/>
    <w:rsid w:val="00D845A1"/>
    <w:rsid w:val="00D84649"/>
    <w:rsid w:val="00D84803"/>
    <w:rsid w:val="00D84811"/>
    <w:rsid w:val="00D84961"/>
    <w:rsid w:val="00D84B9D"/>
    <w:rsid w:val="00D84F56"/>
    <w:rsid w:val="00D85226"/>
    <w:rsid w:val="00D85285"/>
    <w:rsid w:val="00D8534E"/>
    <w:rsid w:val="00D85429"/>
    <w:rsid w:val="00D857B8"/>
    <w:rsid w:val="00D859DC"/>
    <w:rsid w:val="00D85AD8"/>
    <w:rsid w:val="00D85B6D"/>
    <w:rsid w:val="00D85D99"/>
    <w:rsid w:val="00D85E04"/>
    <w:rsid w:val="00D86181"/>
    <w:rsid w:val="00D8626D"/>
    <w:rsid w:val="00D864E0"/>
    <w:rsid w:val="00D8663A"/>
    <w:rsid w:val="00D866A0"/>
    <w:rsid w:val="00D868AC"/>
    <w:rsid w:val="00D868E5"/>
    <w:rsid w:val="00D868F7"/>
    <w:rsid w:val="00D86D26"/>
    <w:rsid w:val="00D8703E"/>
    <w:rsid w:val="00D87370"/>
    <w:rsid w:val="00D873C2"/>
    <w:rsid w:val="00D874C3"/>
    <w:rsid w:val="00D875C7"/>
    <w:rsid w:val="00D87672"/>
    <w:rsid w:val="00D87781"/>
    <w:rsid w:val="00D878DD"/>
    <w:rsid w:val="00D87B94"/>
    <w:rsid w:val="00D87BE6"/>
    <w:rsid w:val="00D87D4F"/>
    <w:rsid w:val="00D90050"/>
    <w:rsid w:val="00D900B0"/>
    <w:rsid w:val="00D901F0"/>
    <w:rsid w:val="00D902F6"/>
    <w:rsid w:val="00D90660"/>
    <w:rsid w:val="00D9076A"/>
    <w:rsid w:val="00D90C13"/>
    <w:rsid w:val="00D90F17"/>
    <w:rsid w:val="00D9107A"/>
    <w:rsid w:val="00D911B9"/>
    <w:rsid w:val="00D9122C"/>
    <w:rsid w:val="00D9125D"/>
    <w:rsid w:val="00D912E7"/>
    <w:rsid w:val="00D91376"/>
    <w:rsid w:val="00D9151F"/>
    <w:rsid w:val="00D9193C"/>
    <w:rsid w:val="00D91D6E"/>
    <w:rsid w:val="00D920D7"/>
    <w:rsid w:val="00D9215E"/>
    <w:rsid w:val="00D92684"/>
    <w:rsid w:val="00D92817"/>
    <w:rsid w:val="00D92858"/>
    <w:rsid w:val="00D928B0"/>
    <w:rsid w:val="00D92B23"/>
    <w:rsid w:val="00D92D49"/>
    <w:rsid w:val="00D92E9D"/>
    <w:rsid w:val="00D92EC1"/>
    <w:rsid w:val="00D92F8E"/>
    <w:rsid w:val="00D92FB5"/>
    <w:rsid w:val="00D93141"/>
    <w:rsid w:val="00D9337E"/>
    <w:rsid w:val="00D93B2E"/>
    <w:rsid w:val="00D93B65"/>
    <w:rsid w:val="00D93CF3"/>
    <w:rsid w:val="00D93DCB"/>
    <w:rsid w:val="00D93DDE"/>
    <w:rsid w:val="00D9439D"/>
    <w:rsid w:val="00D943B5"/>
    <w:rsid w:val="00D94741"/>
    <w:rsid w:val="00D94BED"/>
    <w:rsid w:val="00D94C81"/>
    <w:rsid w:val="00D94D25"/>
    <w:rsid w:val="00D94E50"/>
    <w:rsid w:val="00D94EB2"/>
    <w:rsid w:val="00D94EF1"/>
    <w:rsid w:val="00D9502D"/>
    <w:rsid w:val="00D95110"/>
    <w:rsid w:val="00D9513E"/>
    <w:rsid w:val="00D9515A"/>
    <w:rsid w:val="00D95195"/>
    <w:rsid w:val="00D951B5"/>
    <w:rsid w:val="00D9527A"/>
    <w:rsid w:val="00D952D5"/>
    <w:rsid w:val="00D95560"/>
    <w:rsid w:val="00D9593F"/>
    <w:rsid w:val="00D95AE4"/>
    <w:rsid w:val="00D95CD4"/>
    <w:rsid w:val="00D95CEA"/>
    <w:rsid w:val="00D960C0"/>
    <w:rsid w:val="00D9610B"/>
    <w:rsid w:val="00D9611B"/>
    <w:rsid w:val="00D96329"/>
    <w:rsid w:val="00D96410"/>
    <w:rsid w:val="00D964CC"/>
    <w:rsid w:val="00D9670C"/>
    <w:rsid w:val="00D96934"/>
    <w:rsid w:val="00D96AB6"/>
    <w:rsid w:val="00D96C18"/>
    <w:rsid w:val="00D96DEA"/>
    <w:rsid w:val="00D96EDB"/>
    <w:rsid w:val="00D96F5C"/>
    <w:rsid w:val="00D97053"/>
    <w:rsid w:val="00D97058"/>
    <w:rsid w:val="00D97438"/>
    <w:rsid w:val="00D97453"/>
    <w:rsid w:val="00D976C8"/>
    <w:rsid w:val="00D97A31"/>
    <w:rsid w:val="00D97AC6"/>
    <w:rsid w:val="00D97C37"/>
    <w:rsid w:val="00D97EA3"/>
    <w:rsid w:val="00DA0130"/>
    <w:rsid w:val="00DA024C"/>
    <w:rsid w:val="00DA034E"/>
    <w:rsid w:val="00DA035F"/>
    <w:rsid w:val="00DA0362"/>
    <w:rsid w:val="00DA03CC"/>
    <w:rsid w:val="00DA0691"/>
    <w:rsid w:val="00DA074E"/>
    <w:rsid w:val="00DA0CAC"/>
    <w:rsid w:val="00DA1066"/>
    <w:rsid w:val="00DA125C"/>
    <w:rsid w:val="00DA15AD"/>
    <w:rsid w:val="00DA1695"/>
    <w:rsid w:val="00DA1749"/>
    <w:rsid w:val="00DA17C7"/>
    <w:rsid w:val="00DA1806"/>
    <w:rsid w:val="00DA198B"/>
    <w:rsid w:val="00DA20DB"/>
    <w:rsid w:val="00DA2120"/>
    <w:rsid w:val="00DA24B7"/>
    <w:rsid w:val="00DA24D1"/>
    <w:rsid w:val="00DA269B"/>
    <w:rsid w:val="00DA277B"/>
    <w:rsid w:val="00DA2849"/>
    <w:rsid w:val="00DA2D84"/>
    <w:rsid w:val="00DA303D"/>
    <w:rsid w:val="00DA307F"/>
    <w:rsid w:val="00DA3243"/>
    <w:rsid w:val="00DA353C"/>
    <w:rsid w:val="00DA37FD"/>
    <w:rsid w:val="00DA39E0"/>
    <w:rsid w:val="00DA3B17"/>
    <w:rsid w:val="00DA4095"/>
    <w:rsid w:val="00DA415A"/>
    <w:rsid w:val="00DA460C"/>
    <w:rsid w:val="00DA4839"/>
    <w:rsid w:val="00DA4887"/>
    <w:rsid w:val="00DA49F6"/>
    <w:rsid w:val="00DA4A09"/>
    <w:rsid w:val="00DA4B4C"/>
    <w:rsid w:val="00DA4E41"/>
    <w:rsid w:val="00DA4E76"/>
    <w:rsid w:val="00DA4ECD"/>
    <w:rsid w:val="00DA4ECE"/>
    <w:rsid w:val="00DA5024"/>
    <w:rsid w:val="00DA518B"/>
    <w:rsid w:val="00DA52D1"/>
    <w:rsid w:val="00DA551D"/>
    <w:rsid w:val="00DA564F"/>
    <w:rsid w:val="00DA58D7"/>
    <w:rsid w:val="00DA58F0"/>
    <w:rsid w:val="00DA59B9"/>
    <w:rsid w:val="00DA59C7"/>
    <w:rsid w:val="00DA5A73"/>
    <w:rsid w:val="00DA5A9F"/>
    <w:rsid w:val="00DA5BCD"/>
    <w:rsid w:val="00DA5C1A"/>
    <w:rsid w:val="00DA5D7B"/>
    <w:rsid w:val="00DA5E40"/>
    <w:rsid w:val="00DA5E64"/>
    <w:rsid w:val="00DA5EC5"/>
    <w:rsid w:val="00DA60A9"/>
    <w:rsid w:val="00DA6218"/>
    <w:rsid w:val="00DA645B"/>
    <w:rsid w:val="00DA6B70"/>
    <w:rsid w:val="00DA6C9D"/>
    <w:rsid w:val="00DA7526"/>
    <w:rsid w:val="00DA75D5"/>
    <w:rsid w:val="00DA77F5"/>
    <w:rsid w:val="00DA79C7"/>
    <w:rsid w:val="00DB00D4"/>
    <w:rsid w:val="00DB00D8"/>
    <w:rsid w:val="00DB01A3"/>
    <w:rsid w:val="00DB0495"/>
    <w:rsid w:val="00DB053E"/>
    <w:rsid w:val="00DB077A"/>
    <w:rsid w:val="00DB09FE"/>
    <w:rsid w:val="00DB0C19"/>
    <w:rsid w:val="00DB0C5F"/>
    <w:rsid w:val="00DB0DA3"/>
    <w:rsid w:val="00DB0F02"/>
    <w:rsid w:val="00DB117A"/>
    <w:rsid w:val="00DB1735"/>
    <w:rsid w:val="00DB1822"/>
    <w:rsid w:val="00DB19FE"/>
    <w:rsid w:val="00DB1B46"/>
    <w:rsid w:val="00DB1C00"/>
    <w:rsid w:val="00DB1E52"/>
    <w:rsid w:val="00DB1F64"/>
    <w:rsid w:val="00DB1FAF"/>
    <w:rsid w:val="00DB2217"/>
    <w:rsid w:val="00DB2310"/>
    <w:rsid w:val="00DB25CC"/>
    <w:rsid w:val="00DB2723"/>
    <w:rsid w:val="00DB30BE"/>
    <w:rsid w:val="00DB311F"/>
    <w:rsid w:val="00DB320F"/>
    <w:rsid w:val="00DB3212"/>
    <w:rsid w:val="00DB3416"/>
    <w:rsid w:val="00DB356A"/>
    <w:rsid w:val="00DB3673"/>
    <w:rsid w:val="00DB36D8"/>
    <w:rsid w:val="00DB38ED"/>
    <w:rsid w:val="00DB39AB"/>
    <w:rsid w:val="00DB39F0"/>
    <w:rsid w:val="00DB3A64"/>
    <w:rsid w:val="00DB4084"/>
    <w:rsid w:val="00DB43FE"/>
    <w:rsid w:val="00DB4773"/>
    <w:rsid w:val="00DB4ABF"/>
    <w:rsid w:val="00DB4CD0"/>
    <w:rsid w:val="00DB4D5D"/>
    <w:rsid w:val="00DB4D6D"/>
    <w:rsid w:val="00DB4D8A"/>
    <w:rsid w:val="00DB5173"/>
    <w:rsid w:val="00DB52D9"/>
    <w:rsid w:val="00DB568A"/>
    <w:rsid w:val="00DB57A0"/>
    <w:rsid w:val="00DB5E5D"/>
    <w:rsid w:val="00DB62D4"/>
    <w:rsid w:val="00DB6501"/>
    <w:rsid w:val="00DB653F"/>
    <w:rsid w:val="00DB654B"/>
    <w:rsid w:val="00DB6561"/>
    <w:rsid w:val="00DB691B"/>
    <w:rsid w:val="00DB6AB6"/>
    <w:rsid w:val="00DB6FF8"/>
    <w:rsid w:val="00DB7456"/>
    <w:rsid w:val="00DB75F1"/>
    <w:rsid w:val="00DB7849"/>
    <w:rsid w:val="00DB7873"/>
    <w:rsid w:val="00DB799F"/>
    <w:rsid w:val="00DB7B7F"/>
    <w:rsid w:val="00DB7BC8"/>
    <w:rsid w:val="00DB7BFB"/>
    <w:rsid w:val="00DB7D5D"/>
    <w:rsid w:val="00DB7D6D"/>
    <w:rsid w:val="00DC0221"/>
    <w:rsid w:val="00DC03A9"/>
    <w:rsid w:val="00DC0729"/>
    <w:rsid w:val="00DC08A4"/>
    <w:rsid w:val="00DC0BF3"/>
    <w:rsid w:val="00DC0C41"/>
    <w:rsid w:val="00DC0C4B"/>
    <w:rsid w:val="00DC0DC7"/>
    <w:rsid w:val="00DC0EC6"/>
    <w:rsid w:val="00DC0FEF"/>
    <w:rsid w:val="00DC1034"/>
    <w:rsid w:val="00DC1130"/>
    <w:rsid w:val="00DC14BD"/>
    <w:rsid w:val="00DC14D3"/>
    <w:rsid w:val="00DC152C"/>
    <w:rsid w:val="00DC1579"/>
    <w:rsid w:val="00DC1765"/>
    <w:rsid w:val="00DC187B"/>
    <w:rsid w:val="00DC18D9"/>
    <w:rsid w:val="00DC1A06"/>
    <w:rsid w:val="00DC1DB0"/>
    <w:rsid w:val="00DC1DB2"/>
    <w:rsid w:val="00DC206F"/>
    <w:rsid w:val="00DC218D"/>
    <w:rsid w:val="00DC21A4"/>
    <w:rsid w:val="00DC2350"/>
    <w:rsid w:val="00DC239C"/>
    <w:rsid w:val="00DC2432"/>
    <w:rsid w:val="00DC2474"/>
    <w:rsid w:val="00DC25A6"/>
    <w:rsid w:val="00DC2782"/>
    <w:rsid w:val="00DC28A3"/>
    <w:rsid w:val="00DC28EC"/>
    <w:rsid w:val="00DC2C85"/>
    <w:rsid w:val="00DC2F4E"/>
    <w:rsid w:val="00DC320B"/>
    <w:rsid w:val="00DC32B7"/>
    <w:rsid w:val="00DC365F"/>
    <w:rsid w:val="00DC3679"/>
    <w:rsid w:val="00DC37AB"/>
    <w:rsid w:val="00DC37B1"/>
    <w:rsid w:val="00DC39B5"/>
    <w:rsid w:val="00DC3C46"/>
    <w:rsid w:val="00DC3C90"/>
    <w:rsid w:val="00DC3D38"/>
    <w:rsid w:val="00DC45FA"/>
    <w:rsid w:val="00DC47E8"/>
    <w:rsid w:val="00DC4829"/>
    <w:rsid w:val="00DC486C"/>
    <w:rsid w:val="00DC4C51"/>
    <w:rsid w:val="00DC4EAA"/>
    <w:rsid w:val="00DC4F23"/>
    <w:rsid w:val="00DC4FEC"/>
    <w:rsid w:val="00DC52EE"/>
    <w:rsid w:val="00DC54F9"/>
    <w:rsid w:val="00DC5960"/>
    <w:rsid w:val="00DC5AD4"/>
    <w:rsid w:val="00DC5B43"/>
    <w:rsid w:val="00DC5D8D"/>
    <w:rsid w:val="00DC5E00"/>
    <w:rsid w:val="00DC5F57"/>
    <w:rsid w:val="00DC6972"/>
    <w:rsid w:val="00DC69A5"/>
    <w:rsid w:val="00DC69CF"/>
    <w:rsid w:val="00DC6AC1"/>
    <w:rsid w:val="00DC6AF5"/>
    <w:rsid w:val="00DC6B3F"/>
    <w:rsid w:val="00DC6BC8"/>
    <w:rsid w:val="00DC6E42"/>
    <w:rsid w:val="00DC752B"/>
    <w:rsid w:val="00DC7584"/>
    <w:rsid w:val="00DC77D2"/>
    <w:rsid w:val="00DC78DF"/>
    <w:rsid w:val="00DC79DC"/>
    <w:rsid w:val="00DC7B9C"/>
    <w:rsid w:val="00DC7C0D"/>
    <w:rsid w:val="00DC7DEF"/>
    <w:rsid w:val="00DC7DF7"/>
    <w:rsid w:val="00DC7FFB"/>
    <w:rsid w:val="00DD038C"/>
    <w:rsid w:val="00DD03A0"/>
    <w:rsid w:val="00DD0405"/>
    <w:rsid w:val="00DD074B"/>
    <w:rsid w:val="00DD075C"/>
    <w:rsid w:val="00DD084C"/>
    <w:rsid w:val="00DD0B8D"/>
    <w:rsid w:val="00DD0D87"/>
    <w:rsid w:val="00DD0EF0"/>
    <w:rsid w:val="00DD1379"/>
    <w:rsid w:val="00DD1644"/>
    <w:rsid w:val="00DD17B6"/>
    <w:rsid w:val="00DD1A43"/>
    <w:rsid w:val="00DD1E93"/>
    <w:rsid w:val="00DD1EC7"/>
    <w:rsid w:val="00DD1FF3"/>
    <w:rsid w:val="00DD209A"/>
    <w:rsid w:val="00DD242B"/>
    <w:rsid w:val="00DD260F"/>
    <w:rsid w:val="00DD26F3"/>
    <w:rsid w:val="00DD27A4"/>
    <w:rsid w:val="00DD27C4"/>
    <w:rsid w:val="00DD2A00"/>
    <w:rsid w:val="00DD2DC2"/>
    <w:rsid w:val="00DD2DD7"/>
    <w:rsid w:val="00DD3249"/>
    <w:rsid w:val="00DD32AC"/>
    <w:rsid w:val="00DD3758"/>
    <w:rsid w:val="00DD39C3"/>
    <w:rsid w:val="00DD39EB"/>
    <w:rsid w:val="00DD3A59"/>
    <w:rsid w:val="00DD3AD9"/>
    <w:rsid w:val="00DD4121"/>
    <w:rsid w:val="00DD49D5"/>
    <w:rsid w:val="00DD4A92"/>
    <w:rsid w:val="00DD4C31"/>
    <w:rsid w:val="00DD4E54"/>
    <w:rsid w:val="00DD4E74"/>
    <w:rsid w:val="00DD4EBE"/>
    <w:rsid w:val="00DD5333"/>
    <w:rsid w:val="00DD5452"/>
    <w:rsid w:val="00DD54BA"/>
    <w:rsid w:val="00DD554D"/>
    <w:rsid w:val="00DD5596"/>
    <w:rsid w:val="00DD559F"/>
    <w:rsid w:val="00DD560E"/>
    <w:rsid w:val="00DD5776"/>
    <w:rsid w:val="00DD5949"/>
    <w:rsid w:val="00DD5A93"/>
    <w:rsid w:val="00DD5C4D"/>
    <w:rsid w:val="00DD5C55"/>
    <w:rsid w:val="00DD5E13"/>
    <w:rsid w:val="00DD61C9"/>
    <w:rsid w:val="00DD62C8"/>
    <w:rsid w:val="00DD633D"/>
    <w:rsid w:val="00DD637A"/>
    <w:rsid w:val="00DD6683"/>
    <w:rsid w:val="00DD66AF"/>
    <w:rsid w:val="00DD6875"/>
    <w:rsid w:val="00DD68BB"/>
    <w:rsid w:val="00DD6940"/>
    <w:rsid w:val="00DD6989"/>
    <w:rsid w:val="00DD6AE4"/>
    <w:rsid w:val="00DD700C"/>
    <w:rsid w:val="00DD70DD"/>
    <w:rsid w:val="00DD7297"/>
    <w:rsid w:val="00DD73C2"/>
    <w:rsid w:val="00DD74AB"/>
    <w:rsid w:val="00DD78F6"/>
    <w:rsid w:val="00DD7A64"/>
    <w:rsid w:val="00DD7A79"/>
    <w:rsid w:val="00DD7B25"/>
    <w:rsid w:val="00DD7C59"/>
    <w:rsid w:val="00DE027B"/>
    <w:rsid w:val="00DE035F"/>
    <w:rsid w:val="00DE03AE"/>
    <w:rsid w:val="00DE05A1"/>
    <w:rsid w:val="00DE0737"/>
    <w:rsid w:val="00DE0910"/>
    <w:rsid w:val="00DE0DD6"/>
    <w:rsid w:val="00DE11EA"/>
    <w:rsid w:val="00DE1230"/>
    <w:rsid w:val="00DE1258"/>
    <w:rsid w:val="00DE1455"/>
    <w:rsid w:val="00DE14DF"/>
    <w:rsid w:val="00DE16E0"/>
    <w:rsid w:val="00DE16F5"/>
    <w:rsid w:val="00DE1959"/>
    <w:rsid w:val="00DE1B5C"/>
    <w:rsid w:val="00DE206B"/>
    <w:rsid w:val="00DE21E5"/>
    <w:rsid w:val="00DE21EC"/>
    <w:rsid w:val="00DE21F8"/>
    <w:rsid w:val="00DE2572"/>
    <w:rsid w:val="00DE2824"/>
    <w:rsid w:val="00DE2D28"/>
    <w:rsid w:val="00DE2F08"/>
    <w:rsid w:val="00DE3018"/>
    <w:rsid w:val="00DE319B"/>
    <w:rsid w:val="00DE3430"/>
    <w:rsid w:val="00DE365A"/>
    <w:rsid w:val="00DE398E"/>
    <w:rsid w:val="00DE39F3"/>
    <w:rsid w:val="00DE3D9B"/>
    <w:rsid w:val="00DE4197"/>
    <w:rsid w:val="00DE4240"/>
    <w:rsid w:val="00DE42EF"/>
    <w:rsid w:val="00DE432B"/>
    <w:rsid w:val="00DE4442"/>
    <w:rsid w:val="00DE448C"/>
    <w:rsid w:val="00DE4609"/>
    <w:rsid w:val="00DE4C5D"/>
    <w:rsid w:val="00DE4C67"/>
    <w:rsid w:val="00DE4CD9"/>
    <w:rsid w:val="00DE4E72"/>
    <w:rsid w:val="00DE4E8A"/>
    <w:rsid w:val="00DE5435"/>
    <w:rsid w:val="00DE5526"/>
    <w:rsid w:val="00DE552A"/>
    <w:rsid w:val="00DE5565"/>
    <w:rsid w:val="00DE55A9"/>
    <w:rsid w:val="00DE55BF"/>
    <w:rsid w:val="00DE57DA"/>
    <w:rsid w:val="00DE5C39"/>
    <w:rsid w:val="00DE6281"/>
    <w:rsid w:val="00DE62FF"/>
    <w:rsid w:val="00DE63CD"/>
    <w:rsid w:val="00DE66CB"/>
    <w:rsid w:val="00DE67D2"/>
    <w:rsid w:val="00DE6896"/>
    <w:rsid w:val="00DE6BD6"/>
    <w:rsid w:val="00DE7109"/>
    <w:rsid w:val="00DE71D1"/>
    <w:rsid w:val="00DE72DB"/>
    <w:rsid w:val="00DE77DF"/>
    <w:rsid w:val="00DE7909"/>
    <w:rsid w:val="00DE7C9A"/>
    <w:rsid w:val="00DE7E2D"/>
    <w:rsid w:val="00DF0013"/>
    <w:rsid w:val="00DF042B"/>
    <w:rsid w:val="00DF0598"/>
    <w:rsid w:val="00DF064E"/>
    <w:rsid w:val="00DF0799"/>
    <w:rsid w:val="00DF0921"/>
    <w:rsid w:val="00DF0B7E"/>
    <w:rsid w:val="00DF0DC4"/>
    <w:rsid w:val="00DF102E"/>
    <w:rsid w:val="00DF1151"/>
    <w:rsid w:val="00DF1276"/>
    <w:rsid w:val="00DF12EB"/>
    <w:rsid w:val="00DF1307"/>
    <w:rsid w:val="00DF13F8"/>
    <w:rsid w:val="00DF14E1"/>
    <w:rsid w:val="00DF1CDD"/>
    <w:rsid w:val="00DF1DE7"/>
    <w:rsid w:val="00DF1F8E"/>
    <w:rsid w:val="00DF21D7"/>
    <w:rsid w:val="00DF2227"/>
    <w:rsid w:val="00DF2237"/>
    <w:rsid w:val="00DF22FF"/>
    <w:rsid w:val="00DF235F"/>
    <w:rsid w:val="00DF2579"/>
    <w:rsid w:val="00DF2591"/>
    <w:rsid w:val="00DF285D"/>
    <w:rsid w:val="00DF2960"/>
    <w:rsid w:val="00DF2C28"/>
    <w:rsid w:val="00DF2D63"/>
    <w:rsid w:val="00DF2D7B"/>
    <w:rsid w:val="00DF31D2"/>
    <w:rsid w:val="00DF332B"/>
    <w:rsid w:val="00DF34FE"/>
    <w:rsid w:val="00DF35C1"/>
    <w:rsid w:val="00DF39EB"/>
    <w:rsid w:val="00DF3D69"/>
    <w:rsid w:val="00DF3E17"/>
    <w:rsid w:val="00DF3FFF"/>
    <w:rsid w:val="00DF413B"/>
    <w:rsid w:val="00DF444E"/>
    <w:rsid w:val="00DF447E"/>
    <w:rsid w:val="00DF465E"/>
    <w:rsid w:val="00DF4BD1"/>
    <w:rsid w:val="00DF4EB2"/>
    <w:rsid w:val="00DF4F02"/>
    <w:rsid w:val="00DF4FA9"/>
    <w:rsid w:val="00DF4FCA"/>
    <w:rsid w:val="00DF5134"/>
    <w:rsid w:val="00DF5214"/>
    <w:rsid w:val="00DF5464"/>
    <w:rsid w:val="00DF54F8"/>
    <w:rsid w:val="00DF5510"/>
    <w:rsid w:val="00DF56AA"/>
    <w:rsid w:val="00DF56AF"/>
    <w:rsid w:val="00DF56F6"/>
    <w:rsid w:val="00DF5B22"/>
    <w:rsid w:val="00DF5D64"/>
    <w:rsid w:val="00DF5E8B"/>
    <w:rsid w:val="00DF6294"/>
    <w:rsid w:val="00DF62CC"/>
    <w:rsid w:val="00DF65E6"/>
    <w:rsid w:val="00DF677A"/>
    <w:rsid w:val="00DF698A"/>
    <w:rsid w:val="00DF69C0"/>
    <w:rsid w:val="00DF6A34"/>
    <w:rsid w:val="00DF6B9B"/>
    <w:rsid w:val="00DF6CD4"/>
    <w:rsid w:val="00DF6DC7"/>
    <w:rsid w:val="00DF6DF2"/>
    <w:rsid w:val="00DF6FD2"/>
    <w:rsid w:val="00DF6FFD"/>
    <w:rsid w:val="00DF7293"/>
    <w:rsid w:val="00DF7656"/>
    <w:rsid w:val="00DF7760"/>
    <w:rsid w:val="00DF78E7"/>
    <w:rsid w:val="00DF7986"/>
    <w:rsid w:val="00DF7BB8"/>
    <w:rsid w:val="00DF7F39"/>
    <w:rsid w:val="00E00490"/>
    <w:rsid w:val="00E00565"/>
    <w:rsid w:val="00E00641"/>
    <w:rsid w:val="00E006BE"/>
    <w:rsid w:val="00E007DF"/>
    <w:rsid w:val="00E008FA"/>
    <w:rsid w:val="00E00EDB"/>
    <w:rsid w:val="00E01050"/>
    <w:rsid w:val="00E010D4"/>
    <w:rsid w:val="00E01468"/>
    <w:rsid w:val="00E0166B"/>
    <w:rsid w:val="00E019C9"/>
    <w:rsid w:val="00E01B12"/>
    <w:rsid w:val="00E02199"/>
    <w:rsid w:val="00E02213"/>
    <w:rsid w:val="00E02284"/>
    <w:rsid w:val="00E02287"/>
    <w:rsid w:val="00E0229A"/>
    <w:rsid w:val="00E02566"/>
    <w:rsid w:val="00E026CF"/>
    <w:rsid w:val="00E026F8"/>
    <w:rsid w:val="00E02991"/>
    <w:rsid w:val="00E02A02"/>
    <w:rsid w:val="00E02A97"/>
    <w:rsid w:val="00E02D0D"/>
    <w:rsid w:val="00E02DBF"/>
    <w:rsid w:val="00E02E5B"/>
    <w:rsid w:val="00E032B9"/>
    <w:rsid w:val="00E038CE"/>
    <w:rsid w:val="00E03A3A"/>
    <w:rsid w:val="00E03C3E"/>
    <w:rsid w:val="00E04304"/>
    <w:rsid w:val="00E04377"/>
    <w:rsid w:val="00E045F3"/>
    <w:rsid w:val="00E0474F"/>
    <w:rsid w:val="00E04945"/>
    <w:rsid w:val="00E04A0B"/>
    <w:rsid w:val="00E04D56"/>
    <w:rsid w:val="00E04F26"/>
    <w:rsid w:val="00E05258"/>
    <w:rsid w:val="00E055DF"/>
    <w:rsid w:val="00E0562C"/>
    <w:rsid w:val="00E05822"/>
    <w:rsid w:val="00E05B1E"/>
    <w:rsid w:val="00E05CCA"/>
    <w:rsid w:val="00E05DE4"/>
    <w:rsid w:val="00E0609F"/>
    <w:rsid w:val="00E06385"/>
    <w:rsid w:val="00E06444"/>
    <w:rsid w:val="00E064BE"/>
    <w:rsid w:val="00E0656A"/>
    <w:rsid w:val="00E06841"/>
    <w:rsid w:val="00E0689B"/>
    <w:rsid w:val="00E0693C"/>
    <w:rsid w:val="00E06A01"/>
    <w:rsid w:val="00E07000"/>
    <w:rsid w:val="00E07015"/>
    <w:rsid w:val="00E070E9"/>
    <w:rsid w:val="00E071B7"/>
    <w:rsid w:val="00E0737D"/>
    <w:rsid w:val="00E074FD"/>
    <w:rsid w:val="00E07568"/>
    <w:rsid w:val="00E07AEE"/>
    <w:rsid w:val="00E07C1A"/>
    <w:rsid w:val="00E07D68"/>
    <w:rsid w:val="00E07F4A"/>
    <w:rsid w:val="00E100D1"/>
    <w:rsid w:val="00E10122"/>
    <w:rsid w:val="00E10126"/>
    <w:rsid w:val="00E101CF"/>
    <w:rsid w:val="00E10460"/>
    <w:rsid w:val="00E1057A"/>
    <w:rsid w:val="00E10602"/>
    <w:rsid w:val="00E107F4"/>
    <w:rsid w:val="00E108C7"/>
    <w:rsid w:val="00E10ABC"/>
    <w:rsid w:val="00E10B48"/>
    <w:rsid w:val="00E10C2B"/>
    <w:rsid w:val="00E10D40"/>
    <w:rsid w:val="00E110E0"/>
    <w:rsid w:val="00E11E68"/>
    <w:rsid w:val="00E11EAC"/>
    <w:rsid w:val="00E12476"/>
    <w:rsid w:val="00E127D3"/>
    <w:rsid w:val="00E128C0"/>
    <w:rsid w:val="00E1296F"/>
    <w:rsid w:val="00E12A95"/>
    <w:rsid w:val="00E12AC3"/>
    <w:rsid w:val="00E12B07"/>
    <w:rsid w:val="00E12B74"/>
    <w:rsid w:val="00E12B91"/>
    <w:rsid w:val="00E13182"/>
    <w:rsid w:val="00E132B0"/>
    <w:rsid w:val="00E13301"/>
    <w:rsid w:val="00E134B2"/>
    <w:rsid w:val="00E13851"/>
    <w:rsid w:val="00E13A45"/>
    <w:rsid w:val="00E13A6A"/>
    <w:rsid w:val="00E13EB6"/>
    <w:rsid w:val="00E13F84"/>
    <w:rsid w:val="00E14352"/>
    <w:rsid w:val="00E14A07"/>
    <w:rsid w:val="00E14E85"/>
    <w:rsid w:val="00E14F1C"/>
    <w:rsid w:val="00E151FA"/>
    <w:rsid w:val="00E15283"/>
    <w:rsid w:val="00E152B4"/>
    <w:rsid w:val="00E15371"/>
    <w:rsid w:val="00E154B3"/>
    <w:rsid w:val="00E15509"/>
    <w:rsid w:val="00E156FF"/>
    <w:rsid w:val="00E157C8"/>
    <w:rsid w:val="00E1583E"/>
    <w:rsid w:val="00E15A2E"/>
    <w:rsid w:val="00E15E5B"/>
    <w:rsid w:val="00E15F5C"/>
    <w:rsid w:val="00E163BA"/>
    <w:rsid w:val="00E1694B"/>
    <w:rsid w:val="00E16A80"/>
    <w:rsid w:val="00E16B7A"/>
    <w:rsid w:val="00E16B85"/>
    <w:rsid w:val="00E16C8D"/>
    <w:rsid w:val="00E16DD2"/>
    <w:rsid w:val="00E16EEA"/>
    <w:rsid w:val="00E171F4"/>
    <w:rsid w:val="00E172A3"/>
    <w:rsid w:val="00E1744A"/>
    <w:rsid w:val="00E17872"/>
    <w:rsid w:val="00E178F8"/>
    <w:rsid w:val="00E17A8A"/>
    <w:rsid w:val="00E17FCE"/>
    <w:rsid w:val="00E200C7"/>
    <w:rsid w:val="00E205DD"/>
    <w:rsid w:val="00E20636"/>
    <w:rsid w:val="00E20A54"/>
    <w:rsid w:val="00E20B7C"/>
    <w:rsid w:val="00E20C44"/>
    <w:rsid w:val="00E20DF0"/>
    <w:rsid w:val="00E21030"/>
    <w:rsid w:val="00E213F4"/>
    <w:rsid w:val="00E21733"/>
    <w:rsid w:val="00E217B5"/>
    <w:rsid w:val="00E2188C"/>
    <w:rsid w:val="00E219E0"/>
    <w:rsid w:val="00E21C39"/>
    <w:rsid w:val="00E21F4B"/>
    <w:rsid w:val="00E220BF"/>
    <w:rsid w:val="00E22126"/>
    <w:rsid w:val="00E22567"/>
    <w:rsid w:val="00E22671"/>
    <w:rsid w:val="00E229A3"/>
    <w:rsid w:val="00E22AF8"/>
    <w:rsid w:val="00E22B12"/>
    <w:rsid w:val="00E22DC2"/>
    <w:rsid w:val="00E22E5A"/>
    <w:rsid w:val="00E22F25"/>
    <w:rsid w:val="00E22FB3"/>
    <w:rsid w:val="00E23076"/>
    <w:rsid w:val="00E23372"/>
    <w:rsid w:val="00E23429"/>
    <w:rsid w:val="00E235E3"/>
    <w:rsid w:val="00E236BC"/>
    <w:rsid w:val="00E237B6"/>
    <w:rsid w:val="00E23837"/>
    <w:rsid w:val="00E2385E"/>
    <w:rsid w:val="00E23A52"/>
    <w:rsid w:val="00E23A59"/>
    <w:rsid w:val="00E23ACF"/>
    <w:rsid w:val="00E24104"/>
    <w:rsid w:val="00E24186"/>
    <w:rsid w:val="00E24540"/>
    <w:rsid w:val="00E2467D"/>
    <w:rsid w:val="00E24840"/>
    <w:rsid w:val="00E24E03"/>
    <w:rsid w:val="00E24FF6"/>
    <w:rsid w:val="00E251F1"/>
    <w:rsid w:val="00E25282"/>
    <w:rsid w:val="00E254A7"/>
    <w:rsid w:val="00E25501"/>
    <w:rsid w:val="00E25820"/>
    <w:rsid w:val="00E258B3"/>
    <w:rsid w:val="00E25CAF"/>
    <w:rsid w:val="00E25E62"/>
    <w:rsid w:val="00E25EFF"/>
    <w:rsid w:val="00E25F9D"/>
    <w:rsid w:val="00E260E1"/>
    <w:rsid w:val="00E261A2"/>
    <w:rsid w:val="00E26211"/>
    <w:rsid w:val="00E264AC"/>
    <w:rsid w:val="00E267E5"/>
    <w:rsid w:val="00E267F3"/>
    <w:rsid w:val="00E269D0"/>
    <w:rsid w:val="00E26B0D"/>
    <w:rsid w:val="00E26DFF"/>
    <w:rsid w:val="00E26E47"/>
    <w:rsid w:val="00E26F54"/>
    <w:rsid w:val="00E2705A"/>
    <w:rsid w:val="00E273EF"/>
    <w:rsid w:val="00E27446"/>
    <w:rsid w:val="00E277D2"/>
    <w:rsid w:val="00E278DA"/>
    <w:rsid w:val="00E27CDD"/>
    <w:rsid w:val="00E27CE5"/>
    <w:rsid w:val="00E27E4B"/>
    <w:rsid w:val="00E27ECF"/>
    <w:rsid w:val="00E30191"/>
    <w:rsid w:val="00E302D0"/>
    <w:rsid w:val="00E306F4"/>
    <w:rsid w:val="00E307B9"/>
    <w:rsid w:val="00E30E71"/>
    <w:rsid w:val="00E30FF4"/>
    <w:rsid w:val="00E311CC"/>
    <w:rsid w:val="00E31843"/>
    <w:rsid w:val="00E31869"/>
    <w:rsid w:val="00E318CE"/>
    <w:rsid w:val="00E31966"/>
    <w:rsid w:val="00E31C1C"/>
    <w:rsid w:val="00E31DFD"/>
    <w:rsid w:val="00E31F64"/>
    <w:rsid w:val="00E31FA0"/>
    <w:rsid w:val="00E3254B"/>
    <w:rsid w:val="00E32794"/>
    <w:rsid w:val="00E328CE"/>
    <w:rsid w:val="00E32B47"/>
    <w:rsid w:val="00E32D48"/>
    <w:rsid w:val="00E3322D"/>
    <w:rsid w:val="00E3328D"/>
    <w:rsid w:val="00E335EB"/>
    <w:rsid w:val="00E336AD"/>
    <w:rsid w:val="00E339C5"/>
    <w:rsid w:val="00E33A85"/>
    <w:rsid w:val="00E33AA0"/>
    <w:rsid w:val="00E33B51"/>
    <w:rsid w:val="00E33B8D"/>
    <w:rsid w:val="00E33D38"/>
    <w:rsid w:val="00E33F57"/>
    <w:rsid w:val="00E3411D"/>
    <w:rsid w:val="00E34530"/>
    <w:rsid w:val="00E34775"/>
    <w:rsid w:val="00E34834"/>
    <w:rsid w:val="00E34A04"/>
    <w:rsid w:val="00E34A91"/>
    <w:rsid w:val="00E34B03"/>
    <w:rsid w:val="00E34B7A"/>
    <w:rsid w:val="00E34E21"/>
    <w:rsid w:val="00E34F45"/>
    <w:rsid w:val="00E350EF"/>
    <w:rsid w:val="00E3510E"/>
    <w:rsid w:val="00E35121"/>
    <w:rsid w:val="00E3529B"/>
    <w:rsid w:val="00E35465"/>
    <w:rsid w:val="00E35666"/>
    <w:rsid w:val="00E35707"/>
    <w:rsid w:val="00E35968"/>
    <w:rsid w:val="00E35D83"/>
    <w:rsid w:val="00E35E2C"/>
    <w:rsid w:val="00E3608A"/>
    <w:rsid w:val="00E36859"/>
    <w:rsid w:val="00E36886"/>
    <w:rsid w:val="00E36960"/>
    <w:rsid w:val="00E36A78"/>
    <w:rsid w:val="00E36AA1"/>
    <w:rsid w:val="00E36BCF"/>
    <w:rsid w:val="00E36C5E"/>
    <w:rsid w:val="00E37202"/>
    <w:rsid w:val="00E377C8"/>
    <w:rsid w:val="00E379CD"/>
    <w:rsid w:val="00E37B00"/>
    <w:rsid w:val="00E37C2D"/>
    <w:rsid w:val="00E37C9C"/>
    <w:rsid w:val="00E40138"/>
    <w:rsid w:val="00E4019D"/>
    <w:rsid w:val="00E4036D"/>
    <w:rsid w:val="00E407FF"/>
    <w:rsid w:val="00E40BB9"/>
    <w:rsid w:val="00E40CF9"/>
    <w:rsid w:val="00E410D8"/>
    <w:rsid w:val="00E41135"/>
    <w:rsid w:val="00E412E8"/>
    <w:rsid w:val="00E41674"/>
    <w:rsid w:val="00E41835"/>
    <w:rsid w:val="00E41910"/>
    <w:rsid w:val="00E4192C"/>
    <w:rsid w:val="00E41D74"/>
    <w:rsid w:val="00E41ECB"/>
    <w:rsid w:val="00E4206E"/>
    <w:rsid w:val="00E42096"/>
    <w:rsid w:val="00E42262"/>
    <w:rsid w:val="00E4239F"/>
    <w:rsid w:val="00E42568"/>
    <w:rsid w:val="00E4257E"/>
    <w:rsid w:val="00E4261B"/>
    <w:rsid w:val="00E42676"/>
    <w:rsid w:val="00E42832"/>
    <w:rsid w:val="00E430C9"/>
    <w:rsid w:val="00E43173"/>
    <w:rsid w:val="00E4330C"/>
    <w:rsid w:val="00E433C2"/>
    <w:rsid w:val="00E436E7"/>
    <w:rsid w:val="00E437F1"/>
    <w:rsid w:val="00E43B65"/>
    <w:rsid w:val="00E441CE"/>
    <w:rsid w:val="00E44298"/>
    <w:rsid w:val="00E44511"/>
    <w:rsid w:val="00E4470F"/>
    <w:rsid w:val="00E4476F"/>
    <w:rsid w:val="00E44781"/>
    <w:rsid w:val="00E448D8"/>
    <w:rsid w:val="00E4492A"/>
    <w:rsid w:val="00E449A8"/>
    <w:rsid w:val="00E44C85"/>
    <w:rsid w:val="00E44E8A"/>
    <w:rsid w:val="00E45024"/>
    <w:rsid w:val="00E45077"/>
    <w:rsid w:val="00E4528D"/>
    <w:rsid w:val="00E452B7"/>
    <w:rsid w:val="00E456F3"/>
    <w:rsid w:val="00E4599E"/>
    <w:rsid w:val="00E45EF9"/>
    <w:rsid w:val="00E46154"/>
    <w:rsid w:val="00E4671A"/>
    <w:rsid w:val="00E46785"/>
    <w:rsid w:val="00E467BD"/>
    <w:rsid w:val="00E468FE"/>
    <w:rsid w:val="00E47121"/>
    <w:rsid w:val="00E47141"/>
    <w:rsid w:val="00E472FE"/>
    <w:rsid w:val="00E475B4"/>
    <w:rsid w:val="00E47684"/>
    <w:rsid w:val="00E476CF"/>
    <w:rsid w:val="00E47CB3"/>
    <w:rsid w:val="00E501F0"/>
    <w:rsid w:val="00E50289"/>
    <w:rsid w:val="00E508F2"/>
    <w:rsid w:val="00E50A04"/>
    <w:rsid w:val="00E50CC1"/>
    <w:rsid w:val="00E50E21"/>
    <w:rsid w:val="00E50E3E"/>
    <w:rsid w:val="00E513D1"/>
    <w:rsid w:val="00E516DF"/>
    <w:rsid w:val="00E51751"/>
    <w:rsid w:val="00E5181B"/>
    <w:rsid w:val="00E51A3F"/>
    <w:rsid w:val="00E51BF2"/>
    <w:rsid w:val="00E5212C"/>
    <w:rsid w:val="00E522EF"/>
    <w:rsid w:val="00E5238D"/>
    <w:rsid w:val="00E52679"/>
    <w:rsid w:val="00E52876"/>
    <w:rsid w:val="00E52AAC"/>
    <w:rsid w:val="00E52CE1"/>
    <w:rsid w:val="00E52E5E"/>
    <w:rsid w:val="00E52F0C"/>
    <w:rsid w:val="00E53015"/>
    <w:rsid w:val="00E53219"/>
    <w:rsid w:val="00E5322D"/>
    <w:rsid w:val="00E5382C"/>
    <w:rsid w:val="00E53BCE"/>
    <w:rsid w:val="00E53CAE"/>
    <w:rsid w:val="00E53DAA"/>
    <w:rsid w:val="00E53E11"/>
    <w:rsid w:val="00E543D1"/>
    <w:rsid w:val="00E5463B"/>
    <w:rsid w:val="00E547B2"/>
    <w:rsid w:val="00E54AC2"/>
    <w:rsid w:val="00E54C3F"/>
    <w:rsid w:val="00E54E25"/>
    <w:rsid w:val="00E54FDB"/>
    <w:rsid w:val="00E5506D"/>
    <w:rsid w:val="00E55A8D"/>
    <w:rsid w:val="00E55B4D"/>
    <w:rsid w:val="00E55D38"/>
    <w:rsid w:val="00E5617D"/>
    <w:rsid w:val="00E56268"/>
    <w:rsid w:val="00E562E8"/>
    <w:rsid w:val="00E563D7"/>
    <w:rsid w:val="00E5640D"/>
    <w:rsid w:val="00E56502"/>
    <w:rsid w:val="00E56879"/>
    <w:rsid w:val="00E5687A"/>
    <w:rsid w:val="00E568A2"/>
    <w:rsid w:val="00E56BA0"/>
    <w:rsid w:val="00E56BFA"/>
    <w:rsid w:val="00E56C84"/>
    <w:rsid w:val="00E571FA"/>
    <w:rsid w:val="00E572BE"/>
    <w:rsid w:val="00E57377"/>
    <w:rsid w:val="00E573D3"/>
    <w:rsid w:val="00E5752E"/>
    <w:rsid w:val="00E57784"/>
    <w:rsid w:val="00E57D38"/>
    <w:rsid w:val="00E57F69"/>
    <w:rsid w:val="00E601B1"/>
    <w:rsid w:val="00E60467"/>
    <w:rsid w:val="00E60A3B"/>
    <w:rsid w:val="00E61223"/>
    <w:rsid w:val="00E6184D"/>
    <w:rsid w:val="00E61B97"/>
    <w:rsid w:val="00E61CE5"/>
    <w:rsid w:val="00E61DFA"/>
    <w:rsid w:val="00E62113"/>
    <w:rsid w:val="00E62152"/>
    <w:rsid w:val="00E62241"/>
    <w:rsid w:val="00E62253"/>
    <w:rsid w:val="00E6250B"/>
    <w:rsid w:val="00E6298C"/>
    <w:rsid w:val="00E629F8"/>
    <w:rsid w:val="00E62D06"/>
    <w:rsid w:val="00E62D27"/>
    <w:rsid w:val="00E62F3C"/>
    <w:rsid w:val="00E6311D"/>
    <w:rsid w:val="00E63344"/>
    <w:rsid w:val="00E637FF"/>
    <w:rsid w:val="00E6399B"/>
    <w:rsid w:val="00E639E5"/>
    <w:rsid w:val="00E63D0E"/>
    <w:rsid w:val="00E64219"/>
    <w:rsid w:val="00E6431B"/>
    <w:rsid w:val="00E64325"/>
    <w:rsid w:val="00E64390"/>
    <w:rsid w:val="00E64591"/>
    <w:rsid w:val="00E645F6"/>
    <w:rsid w:val="00E64967"/>
    <w:rsid w:val="00E64969"/>
    <w:rsid w:val="00E64C24"/>
    <w:rsid w:val="00E64C8E"/>
    <w:rsid w:val="00E64E3D"/>
    <w:rsid w:val="00E64FCB"/>
    <w:rsid w:val="00E651D9"/>
    <w:rsid w:val="00E653A5"/>
    <w:rsid w:val="00E655E2"/>
    <w:rsid w:val="00E656C6"/>
    <w:rsid w:val="00E65A0A"/>
    <w:rsid w:val="00E65AE9"/>
    <w:rsid w:val="00E65F19"/>
    <w:rsid w:val="00E66037"/>
    <w:rsid w:val="00E66148"/>
    <w:rsid w:val="00E66234"/>
    <w:rsid w:val="00E66264"/>
    <w:rsid w:val="00E663F4"/>
    <w:rsid w:val="00E66601"/>
    <w:rsid w:val="00E666F2"/>
    <w:rsid w:val="00E66746"/>
    <w:rsid w:val="00E66868"/>
    <w:rsid w:val="00E668B4"/>
    <w:rsid w:val="00E668EE"/>
    <w:rsid w:val="00E66A68"/>
    <w:rsid w:val="00E66DD4"/>
    <w:rsid w:val="00E67135"/>
    <w:rsid w:val="00E671AA"/>
    <w:rsid w:val="00E6745F"/>
    <w:rsid w:val="00E6777E"/>
    <w:rsid w:val="00E67795"/>
    <w:rsid w:val="00E6794C"/>
    <w:rsid w:val="00E67B98"/>
    <w:rsid w:val="00E67EE6"/>
    <w:rsid w:val="00E703F9"/>
    <w:rsid w:val="00E7042C"/>
    <w:rsid w:val="00E705D1"/>
    <w:rsid w:val="00E7065B"/>
    <w:rsid w:val="00E706B4"/>
    <w:rsid w:val="00E70983"/>
    <w:rsid w:val="00E70A17"/>
    <w:rsid w:val="00E70A23"/>
    <w:rsid w:val="00E717D2"/>
    <w:rsid w:val="00E71B11"/>
    <w:rsid w:val="00E71B61"/>
    <w:rsid w:val="00E71BF2"/>
    <w:rsid w:val="00E71F62"/>
    <w:rsid w:val="00E71FF1"/>
    <w:rsid w:val="00E724FB"/>
    <w:rsid w:val="00E7265C"/>
    <w:rsid w:val="00E72844"/>
    <w:rsid w:val="00E72850"/>
    <w:rsid w:val="00E72DE9"/>
    <w:rsid w:val="00E73141"/>
    <w:rsid w:val="00E73532"/>
    <w:rsid w:val="00E73611"/>
    <w:rsid w:val="00E738EB"/>
    <w:rsid w:val="00E73B3D"/>
    <w:rsid w:val="00E73BBE"/>
    <w:rsid w:val="00E73DE7"/>
    <w:rsid w:val="00E742A9"/>
    <w:rsid w:val="00E7453F"/>
    <w:rsid w:val="00E74832"/>
    <w:rsid w:val="00E748CC"/>
    <w:rsid w:val="00E74BBB"/>
    <w:rsid w:val="00E74C0A"/>
    <w:rsid w:val="00E74EDE"/>
    <w:rsid w:val="00E751EF"/>
    <w:rsid w:val="00E7529F"/>
    <w:rsid w:val="00E752A7"/>
    <w:rsid w:val="00E75415"/>
    <w:rsid w:val="00E7543F"/>
    <w:rsid w:val="00E755C1"/>
    <w:rsid w:val="00E75767"/>
    <w:rsid w:val="00E75C14"/>
    <w:rsid w:val="00E75C75"/>
    <w:rsid w:val="00E75D12"/>
    <w:rsid w:val="00E75D50"/>
    <w:rsid w:val="00E7611A"/>
    <w:rsid w:val="00E763B1"/>
    <w:rsid w:val="00E76854"/>
    <w:rsid w:val="00E76A92"/>
    <w:rsid w:val="00E76BA0"/>
    <w:rsid w:val="00E76E43"/>
    <w:rsid w:val="00E7701C"/>
    <w:rsid w:val="00E77124"/>
    <w:rsid w:val="00E7718B"/>
    <w:rsid w:val="00E77366"/>
    <w:rsid w:val="00E77599"/>
    <w:rsid w:val="00E775B1"/>
    <w:rsid w:val="00E77CFB"/>
    <w:rsid w:val="00E77F0E"/>
    <w:rsid w:val="00E80028"/>
    <w:rsid w:val="00E80505"/>
    <w:rsid w:val="00E805AA"/>
    <w:rsid w:val="00E806F3"/>
    <w:rsid w:val="00E807D3"/>
    <w:rsid w:val="00E807E0"/>
    <w:rsid w:val="00E80CA9"/>
    <w:rsid w:val="00E80CC5"/>
    <w:rsid w:val="00E80D35"/>
    <w:rsid w:val="00E81050"/>
    <w:rsid w:val="00E810E4"/>
    <w:rsid w:val="00E81461"/>
    <w:rsid w:val="00E8152A"/>
    <w:rsid w:val="00E8153B"/>
    <w:rsid w:val="00E81691"/>
    <w:rsid w:val="00E81A36"/>
    <w:rsid w:val="00E81AD1"/>
    <w:rsid w:val="00E81D0E"/>
    <w:rsid w:val="00E82060"/>
    <w:rsid w:val="00E821C2"/>
    <w:rsid w:val="00E82402"/>
    <w:rsid w:val="00E82626"/>
    <w:rsid w:val="00E826D4"/>
    <w:rsid w:val="00E82AEE"/>
    <w:rsid w:val="00E82AFE"/>
    <w:rsid w:val="00E82CEF"/>
    <w:rsid w:val="00E83084"/>
    <w:rsid w:val="00E8313C"/>
    <w:rsid w:val="00E8335D"/>
    <w:rsid w:val="00E833D6"/>
    <w:rsid w:val="00E83406"/>
    <w:rsid w:val="00E8341B"/>
    <w:rsid w:val="00E835B5"/>
    <w:rsid w:val="00E835E2"/>
    <w:rsid w:val="00E8381C"/>
    <w:rsid w:val="00E839B0"/>
    <w:rsid w:val="00E83A81"/>
    <w:rsid w:val="00E83B42"/>
    <w:rsid w:val="00E83B52"/>
    <w:rsid w:val="00E840DA"/>
    <w:rsid w:val="00E841AF"/>
    <w:rsid w:val="00E842CA"/>
    <w:rsid w:val="00E844CB"/>
    <w:rsid w:val="00E8450F"/>
    <w:rsid w:val="00E846C5"/>
    <w:rsid w:val="00E8471D"/>
    <w:rsid w:val="00E84A57"/>
    <w:rsid w:val="00E84B02"/>
    <w:rsid w:val="00E84BD9"/>
    <w:rsid w:val="00E84E47"/>
    <w:rsid w:val="00E84E6F"/>
    <w:rsid w:val="00E8501D"/>
    <w:rsid w:val="00E85410"/>
    <w:rsid w:val="00E85B23"/>
    <w:rsid w:val="00E85CD3"/>
    <w:rsid w:val="00E86148"/>
    <w:rsid w:val="00E86220"/>
    <w:rsid w:val="00E8637D"/>
    <w:rsid w:val="00E872DE"/>
    <w:rsid w:val="00E87360"/>
    <w:rsid w:val="00E87535"/>
    <w:rsid w:val="00E8776C"/>
    <w:rsid w:val="00E877C4"/>
    <w:rsid w:val="00E87814"/>
    <w:rsid w:val="00E87847"/>
    <w:rsid w:val="00E87A49"/>
    <w:rsid w:val="00E87AB9"/>
    <w:rsid w:val="00E87BDC"/>
    <w:rsid w:val="00E87DF3"/>
    <w:rsid w:val="00E87F66"/>
    <w:rsid w:val="00E903EA"/>
    <w:rsid w:val="00E90858"/>
    <w:rsid w:val="00E90D50"/>
    <w:rsid w:val="00E90ED9"/>
    <w:rsid w:val="00E91237"/>
    <w:rsid w:val="00E914CE"/>
    <w:rsid w:val="00E9155E"/>
    <w:rsid w:val="00E916FA"/>
    <w:rsid w:val="00E91736"/>
    <w:rsid w:val="00E9193F"/>
    <w:rsid w:val="00E91A4B"/>
    <w:rsid w:val="00E91F81"/>
    <w:rsid w:val="00E92035"/>
    <w:rsid w:val="00E9238E"/>
    <w:rsid w:val="00E925B0"/>
    <w:rsid w:val="00E927AC"/>
    <w:rsid w:val="00E928B6"/>
    <w:rsid w:val="00E92CFF"/>
    <w:rsid w:val="00E92DCB"/>
    <w:rsid w:val="00E93053"/>
    <w:rsid w:val="00E93260"/>
    <w:rsid w:val="00E93629"/>
    <w:rsid w:val="00E93636"/>
    <w:rsid w:val="00E9373A"/>
    <w:rsid w:val="00E93975"/>
    <w:rsid w:val="00E93B5C"/>
    <w:rsid w:val="00E93EFA"/>
    <w:rsid w:val="00E9415D"/>
    <w:rsid w:val="00E9493B"/>
    <w:rsid w:val="00E94BD4"/>
    <w:rsid w:val="00E94CEC"/>
    <w:rsid w:val="00E94EFD"/>
    <w:rsid w:val="00E9543B"/>
    <w:rsid w:val="00E95643"/>
    <w:rsid w:val="00E957B5"/>
    <w:rsid w:val="00E95C3C"/>
    <w:rsid w:val="00E95E6C"/>
    <w:rsid w:val="00E95F11"/>
    <w:rsid w:val="00E965B4"/>
    <w:rsid w:val="00E9675E"/>
    <w:rsid w:val="00E9691A"/>
    <w:rsid w:val="00E96CDB"/>
    <w:rsid w:val="00E96D7C"/>
    <w:rsid w:val="00E971A3"/>
    <w:rsid w:val="00E97484"/>
    <w:rsid w:val="00E97561"/>
    <w:rsid w:val="00E9794B"/>
    <w:rsid w:val="00E97C61"/>
    <w:rsid w:val="00E97D36"/>
    <w:rsid w:val="00E97D72"/>
    <w:rsid w:val="00EA0015"/>
    <w:rsid w:val="00EA00B6"/>
    <w:rsid w:val="00EA032C"/>
    <w:rsid w:val="00EA040B"/>
    <w:rsid w:val="00EA0455"/>
    <w:rsid w:val="00EA04EF"/>
    <w:rsid w:val="00EA069D"/>
    <w:rsid w:val="00EA0958"/>
    <w:rsid w:val="00EA0A58"/>
    <w:rsid w:val="00EA0AE5"/>
    <w:rsid w:val="00EA0B3A"/>
    <w:rsid w:val="00EA0EBB"/>
    <w:rsid w:val="00EA113F"/>
    <w:rsid w:val="00EA16B2"/>
    <w:rsid w:val="00EA1B4E"/>
    <w:rsid w:val="00EA1B8F"/>
    <w:rsid w:val="00EA1ECB"/>
    <w:rsid w:val="00EA202E"/>
    <w:rsid w:val="00EA2125"/>
    <w:rsid w:val="00EA2165"/>
    <w:rsid w:val="00EA238A"/>
    <w:rsid w:val="00EA254B"/>
    <w:rsid w:val="00EA25E3"/>
    <w:rsid w:val="00EA28FF"/>
    <w:rsid w:val="00EA2EB7"/>
    <w:rsid w:val="00EA2F3B"/>
    <w:rsid w:val="00EA3054"/>
    <w:rsid w:val="00EA3198"/>
    <w:rsid w:val="00EA3235"/>
    <w:rsid w:val="00EA3487"/>
    <w:rsid w:val="00EA3559"/>
    <w:rsid w:val="00EA36A5"/>
    <w:rsid w:val="00EA3C89"/>
    <w:rsid w:val="00EA3E25"/>
    <w:rsid w:val="00EA41BC"/>
    <w:rsid w:val="00EA4283"/>
    <w:rsid w:val="00EA4351"/>
    <w:rsid w:val="00EA467C"/>
    <w:rsid w:val="00EA4A56"/>
    <w:rsid w:val="00EA4C4B"/>
    <w:rsid w:val="00EA4C5B"/>
    <w:rsid w:val="00EA4D79"/>
    <w:rsid w:val="00EA4E58"/>
    <w:rsid w:val="00EA53ED"/>
    <w:rsid w:val="00EA5495"/>
    <w:rsid w:val="00EA5566"/>
    <w:rsid w:val="00EA5A5F"/>
    <w:rsid w:val="00EA5A8E"/>
    <w:rsid w:val="00EA5AA7"/>
    <w:rsid w:val="00EA5B21"/>
    <w:rsid w:val="00EA5C31"/>
    <w:rsid w:val="00EA5C7E"/>
    <w:rsid w:val="00EA617B"/>
    <w:rsid w:val="00EA63F3"/>
    <w:rsid w:val="00EA651A"/>
    <w:rsid w:val="00EA6703"/>
    <w:rsid w:val="00EA6860"/>
    <w:rsid w:val="00EA68C1"/>
    <w:rsid w:val="00EA6BC0"/>
    <w:rsid w:val="00EA6F19"/>
    <w:rsid w:val="00EA6FFE"/>
    <w:rsid w:val="00EA727C"/>
    <w:rsid w:val="00EA7314"/>
    <w:rsid w:val="00EA7517"/>
    <w:rsid w:val="00EA7655"/>
    <w:rsid w:val="00EA77A5"/>
    <w:rsid w:val="00EA7AA6"/>
    <w:rsid w:val="00EA7C34"/>
    <w:rsid w:val="00EA7D61"/>
    <w:rsid w:val="00EB00ED"/>
    <w:rsid w:val="00EB0110"/>
    <w:rsid w:val="00EB0262"/>
    <w:rsid w:val="00EB0352"/>
    <w:rsid w:val="00EB03E5"/>
    <w:rsid w:val="00EB055F"/>
    <w:rsid w:val="00EB0633"/>
    <w:rsid w:val="00EB083B"/>
    <w:rsid w:val="00EB0D55"/>
    <w:rsid w:val="00EB0F6F"/>
    <w:rsid w:val="00EB0F88"/>
    <w:rsid w:val="00EB11E8"/>
    <w:rsid w:val="00EB1D9B"/>
    <w:rsid w:val="00EB1E93"/>
    <w:rsid w:val="00EB2032"/>
    <w:rsid w:val="00EB211C"/>
    <w:rsid w:val="00EB2160"/>
    <w:rsid w:val="00EB2247"/>
    <w:rsid w:val="00EB265A"/>
    <w:rsid w:val="00EB29D2"/>
    <w:rsid w:val="00EB2B18"/>
    <w:rsid w:val="00EB2B2C"/>
    <w:rsid w:val="00EB2C7F"/>
    <w:rsid w:val="00EB3137"/>
    <w:rsid w:val="00EB315D"/>
    <w:rsid w:val="00EB3179"/>
    <w:rsid w:val="00EB3282"/>
    <w:rsid w:val="00EB3352"/>
    <w:rsid w:val="00EB37B5"/>
    <w:rsid w:val="00EB37CA"/>
    <w:rsid w:val="00EB37CF"/>
    <w:rsid w:val="00EB3801"/>
    <w:rsid w:val="00EB3941"/>
    <w:rsid w:val="00EB3A09"/>
    <w:rsid w:val="00EB3ACC"/>
    <w:rsid w:val="00EB3AEE"/>
    <w:rsid w:val="00EB3B78"/>
    <w:rsid w:val="00EB3BB5"/>
    <w:rsid w:val="00EB3BDD"/>
    <w:rsid w:val="00EB3CCF"/>
    <w:rsid w:val="00EB4300"/>
    <w:rsid w:val="00EB43CE"/>
    <w:rsid w:val="00EB4421"/>
    <w:rsid w:val="00EB4550"/>
    <w:rsid w:val="00EB466F"/>
    <w:rsid w:val="00EB4813"/>
    <w:rsid w:val="00EB4BC9"/>
    <w:rsid w:val="00EB4DB3"/>
    <w:rsid w:val="00EB4E10"/>
    <w:rsid w:val="00EB5028"/>
    <w:rsid w:val="00EB5288"/>
    <w:rsid w:val="00EB5344"/>
    <w:rsid w:val="00EB54A6"/>
    <w:rsid w:val="00EB5590"/>
    <w:rsid w:val="00EB57CD"/>
    <w:rsid w:val="00EB595A"/>
    <w:rsid w:val="00EB5C7F"/>
    <w:rsid w:val="00EB60C1"/>
    <w:rsid w:val="00EB61E3"/>
    <w:rsid w:val="00EB6B09"/>
    <w:rsid w:val="00EB6B2C"/>
    <w:rsid w:val="00EB6C85"/>
    <w:rsid w:val="00EB6CAB"/>
    <w:rsid w:val="00EB6D0C"/>
    <w:rsid w:val="00EB6D49"/>
    <w:rsid w:val="00EB6E5A"/>
    <w:rsid w:val="00EB6E64"/>
    <w:rsid w:val="00EB7025"/>
    <w:rsid w:val="00EB7090"/>
    <w:rsid w:val="00EB70E2"/>
    <w:rsid w:val="00EB7118"/>
    <w:rsid w:val="00EB75A8"/>
    <w:rsid w:val="00EB75FA"/>
    <w:rsid w:val="00EB7701"/>
    <w:rsid w:val="00EB7AD5"/>
    <w:rsid w:val="00EB7F0A"/>
    <w:rsid w:val="00EC04A6"/>
    <w:rsid w:val="00EC054E"/>
    <w:rsid w:val="00EC05E6"/>
    <w:rsid w:val="00EC0AC0"/>
    <w:rsid w:val="00EC0E07"/>
    <w:rsid w:val="00EC0EBE"/>
    <w:rsid w:val="00EC1400"/>
    <w:rsid w:val="00EC1409"/>
    <w:rsid w:val="00EC15CB"/>
    <w:rsid w:val="00EC1626"/>
    <w:rsid w:val="00EC1885"/>
    <w:rsid w:val="00EC1A2D"/>
    <w:rsid w:val="00EC1BBE"/>
    <w:rsid w:val="00EC1BEF"/>
    <w:rsid w:val="00EC1F5B"/>
    <w:rsid w:val="00EC1FA7"/>
    <w:rsid w:val="00EC27B0"/>
    <w:rsid w:val="00EC287F"/>
    <w:rsid w:val="00EC2B68"/>
    <w:rsid w:val="00EC2C7F"/>
    <w:rsid w:val="00EC2CB7"/>
    <w:rsid w:val="00EC33C3"/>
    <w:rsid w:val="00EC34A2"/>
    <w:rsid w:val="00EC3AEF"/>
    <w:rsid w:val="00EC3CDF"/>
    <w:rsid w:val="00EC3D60"/>
    <w:rsid w:val="00EC3EC7"/>
    <w:rsid w:val="00EC3FB0"/>
    <w:rsid w:val="00EC3FEE"/>
    <w:rsid w:val="00EC4186"/>
    <w:rsid w:val="00EC42AF"/>
    <w:rsid w:val="00EC4331"/>
    <w:rsid w:val="00EC44B0"/>
    <w:rsid w:val="00EC4642"/>
    <w:rsid w:val="00EC4885"/>
    <w:rsid w:val="00EC48BA"/>
    <w:rsid w:val="00EC4D1D"/>
    <w:rsid w:val="00EC4E42"/>
    <w:rsid w:val="00EC4F71"/>
    <w:rsid w:val="00EC5186"/>
    <w:rsid w:val="00EC530F"/>
    <w:rsid w:val="00EC55E8"/>
    <w:rsid w:val="00EC5CD7"/>
    <w:rsid w:val="00EC600B"/>
    <w:rsid w:val="00EC603A"/>
    <w:rsid w:val="00EC63BB"/>
    <w:rsid w:val="00EC63DB"/>
    <w:rsid w:val="00EC6E5C"/>
    <w:rsid w:val="00EC6FF5"/>
    <w:rsid w:val="00EC72BA"/>
    <w:rsid w:val="00EC7534"/>
    <w:rsid w:val="00EC755A"/>
    <w:rsid w:val="00EC75D3"/>
    <w:rsid w:val="00EC7A9B"/>
    <w:rsid w:val="00EC7B38"/>
    <w:rsid w:val="00EC7D97"/>
    <w:rsid w:val="00ED01AA"/>
    <w:rsid w:val="00ED05FE"/>
    <w:rsid w:val="00ED07D8"/>
    <w:rsid w:val="00ED087B"/>
    <w:rsid w:val="00ED1210"/>
    <w:rsid w:val="00ED13B7"/>
    <w:rsid w:val="00ED15E3"/>
    <w:rsid w:val="00ED1769"/>
    <w:rsid w:val="00ED1772"/>
    <w:rsid w:val="00ED17F6"/>
    <w:rsid w:val="00ED185B"/>
    <w:rsid w:val="00ED194C"/>
    <w:rsid w:val="00ED1A7D"/>
    <w:rsid w:val="00ED2048"/>
    <w:rsid w:val="00ED22E7"/>
    <w:rsid w:val="00ED2323"/>
    <w:rsid w:val="00ED2528"/>
    <w:rsid w:val="00ED26FC"/>
    <w:rsid w:val="00ED27A2"/>
    <w:rsid w:val="00ED282C"/>
    <w:rsid w:val="00ED28BD"/>
    <w:rsid w:val="00ED2D39"/>
    <w:rsid w:val="00ED2EF1"/>
    <w:rsid w:val="00ED3A05"/>
    <w:rsid w:val="00ED3CB7"/>
    <w:rsid w:val="00ED3F33"/>
    <w:rsid w:val="00ED4007"/>
    <w:rsid w:val="00ED4470"/>
    <w:rsid w:val="00ED44C0"/>
    <w:rsid w:val="00ED47AF"/>
    <w:rsid w:val="00ED48CC"/>
    <w:rsid w:val="00ED4CF4"/>
    <w:rsid w:val="00ED4D7C"/>
    <w:rsid w:val="00ED511D"/>
    <w:rsid w:val="00ED55A3"/>
    <w:rsid w:val="00ED5704"/>
    <w:rsid w:val="00ED574A"/>
    <w:rsid w:val="00ED57DB"/>
    <w:rsid w:val="00ED5853"/>
    <w:rsid w:val="00ED59CE"/>
    <w:rsid w:val="00ED616B"/>
    <w:rsid w:val="00ED649A"/>
    <w:rsid w:val="00ED649D"/>
    <w:rsid w:val="00ED657F"/>
    <w:rsid w:val="00ED682F"/>
    <w:rsid w:val="00ED6902"/>
    <w:rsid w:val="00ED6B56"/>
    <w:rsid w:val="00ED6F22"/>
    <w:rsid w:val="00ED6FA5"/>
    <w:rsid w:val="00ED7126"/>
    <w:rsid w:val="00ED72B5"/>
    <w:rsid w:val="00ED751A"/>
    <w:rsid w:val="00ED755D"/>
    <w:rsid w:val="00ED75B9"/>
    <w:rsid w:val="00ED7784"/>
    <w:rsid w:val="00ED7AB9"/>
    <w:rsid w:val="00ED7C74"/>
    <w:rsid w:val="00EE00DA"/>
    <w:rsid w:val="00EE0208"/>
    <w:rsid w:val="00EE02A7"/>
    <w:rsid w:val="00EE04AF"/>
    <w:rsid w:val="00EE070C"/>
    <w:rsid w:val="00EE0805"/>
    <w:rsid w:val="00EE0F96"/>
    <w:rsid w:val="00EE1534"/>
    <w:rsid w:val="00EE1B16"/>
    <w:rsid w:val="00EE1EA0"/>
    <w:rsid w:val="00EE216F"/>
    <w:rsid w:val="00EE25E3"/>
    <w:rsid w:val="00EE260F"/>
    <w:rsid w:val="00EE2805"/>
    <w:rsid w:val="00EE29B6"/>
    <w:rsid w:val="00EE2DD2"/>
    <w:rsid w:val="00EE2DEF"/>
    <w:rsid w:val="00EE2E70"/>
    <w:rsid w:val="00EE3456"/>
    <w:rsid w:val="00EE35CF"/>
    <w:rsid w:val="00EE3723"/>
    <w:rsid w:val="00EE3BD2"/>
    <w:rsid w:val="00EE3C94"/>
    <w:rsid w:val="00EE4262"/>
    <w:rsid w:val="00EE444B"/>
    <w:rsid w:val="00EE449D"/>
    <w:rsid w:val="00EE4AFC"/>
    <w:rsid w:val="00EE55A7"/>
    <w:rsid w:val="00EE5652"/>
    <w:rsid w:val="00EE569B"/>
    <w:rsid w:val="00EE57D1"/>
    <w:rsid w:val="00EE5995"/>
    <w:rsid w:val="00EE5FB3"/>
    <w:rsid w:val="00EE6105"/>
    <w:rsid w:val="00EE6280"/>
    <w:rsid w:val="00EE62A7"/>
    <w:rsid w:val="00EE6399"/>
    <w:rsid w:val="00EE65F6"/>
    <w:rsid w:val="00EE6799"/>
    <w:rsid w:val="00EE6B07"/>
    <w:rsid w:val="00EE6BB2"/>
    <w:rsid w:val="00EE6C79"/>
    <w:rsid w:val="00EE7267"/>
    <w:rsid w:val="00EE7512"/>
    <w:rsid w:val="00EE7CD4"/>
    <w:rsid w:val="00EE7F79"/>
    <w:rsid w:val="00EF0147"/>
    <w:rsid w:val="00EF01C2"/>
    <w:rsid w:val="00EF01E1"/>
    <w:rsid w:val="00EF04A0"/>
    <w:rsid w:val="00EF066B"/>
    <w:rsid w:val="00EF06CD"/>
    <w:rsid w:val="00EF0AB8"/>
    <w:rsid w:val="00EF0BA7"/>
    <w:rsid w:val="00EF0BCB"/>
    <w:rsid w:val="00EF0DCD"/>
    <w:rsid w:val="00EF19DB"/>
    <w:rsid w:val="00EF1C70"/>
    <w:rsid w:val="00EF2755"/>
    <w:rsid w:val="00EF2889"/>
    <w:rsid w:val="00EF2B6D"/>
    <w:rsid w:val="00EF2C89"/>
    <w:rsid w:val="00EF2CBD"/>
    <w:rsid w:val="00EF2D55"/>
    <w:rsid w:val="00EF3256"/>
    <w:rsid w:val="00EF36D3"/>
    <w:rsid w:val="00EF3B02"/>
    <w:rsid w:val="00EF3CA0"/>
    <w:rsid w:val="00EF3D45"/>
    <w:rsid w:val="00EF404E"/>
    <w:rsid w:val="00EF41E8"/>
    <w:rsid w:val="00EF44A7"/>
    <w:rsid w:val="00EF461E"/>
    <w:rsid w:val="00EF483B"/>
    <w:rsid w:val="00EF48F3"/>
    <w:rsid w:val="00EF4A4D"/>
    <w:rsid w:val="00EF4C8C"/>
    <w:rsid w:val="00EF4D56"/>
    <w:rsid w:val="00EF4EFF"/>
    <w:rsid w:val="00EF51BF"/>
    <w:rsid w:val="00EF530D"/>
    <w:rsid w:val="00EF55D6"/>
    <w:rsid w:val="00EF57BB"/>
    <w:rsid w:val="00EF58ED"/>
    <w:rsid w:val="00EF58F1"/>
    <w:rsid w:val="00EF5A61"/>
    <w:rsid w:val="00EF5CE4"/>
    <w:rsid w:val="00EF5D06"/>
    <w:rsid w:val="00EF5D94"/>
    <w:rsid w:val="00EF6424"/>
    <w:rsid w:val="00EF67B3"/>
    <w:rsid w:val="00EF6855"/>
    <w:rsid w:val="00EF6F1E"/>
    <w:rsid w:val="00EF6F9D"/>
    <w:rsid w:val="00EF7114"/>
    <w:rsid w:val="00EF714D"/>
    <w:rsid w:val="00EF715A"/>
    <w:rsid w:val="00EF71B0"/>
    <w:rsid w:val="00EF75F7"/>
    <w:rsid w:val="00EF76C8"/>
    <w:rsid w:val="00EF76C9"/>
    <w:rsid w:val="00EF76E3"/>
    <w:rsid w:val="00EF778E"/>
    <w:rsid w:val="00EF7865"/>
    <w:rsid w:val="00EF7BB1"/>
    <w:rsid w:val="00EF7CF3"/>
    <w:rsid w:val="00EF7D1D"/>
    <w:rsid w:val="00EF7F1A"/>
    <w:rsid w:val="00F00018"/>
    <w:rsid w:val="00F00508"/>
    <w:rsid w:val="00F006C6"/>
    <w:rsid w:val="00F00734"/>
    <w:rsid w:val="00F00BCF"/>
    <w:rsid w:val="00F00C6D"/>
    <w:rsid w:val="00F00D03"/>
    <w:rsid w:val="00F010A1"/>
    <w:rsid w:val="00F011C3"/>
    <w:rsid w:val="00F01278"/>
    <w:rsid w:val="00F01421"/>
    <w:rsid w:val="00F01600"/>
    <w:rsid w:val="00F018B2"/>
    <w:rsid w:val="00F01BC3"/>
    <w:rsid w:val="00F01D30"/>
    <w:rsid w:val="00F01EB4"/>
    <w:rsid w:val="00F021CF"/>
    <w:rsid w:val="00F022E9"/>
    <w:rsid w:val="00F02333"/>
    <w:rsid w:val="00F0238C"/>
    <w:rsid w:val="00F023C4"/>
    <w:rsid w:val="00F02644"/>
    <w:rsid w:val="00F02865"/>
    <w:rsid w:val="00F02A5A"/>
    <w:rsid w:val="00F0349B"/>
    <w:rsid w:val="00F0365A"/>
    <w:rsid w:val="00F03824"/>
    <w:rsid w:val="00F038A4"/>
    <w:rsid w:val="00F0394A"/>
    <w:rsid w:val="00F039DC"/>
    <w:rsid w:val="00F03A23"/>
    <w:rsid w:val="00F03B92"/>
    <w:rsid w:val="00F03E22"/>
    <w:rsid w:val="00F04058"/>
    <w:rsid w:val="00F04366"/>
    <w:rsid w:val="00F046E4"/>
    <w:rsid w:val="00F04E07"/>
    <w:rsid w:val="00F04F82"/>
    <w:rsid w:val="00F051E6"/>
    <w:rsid w:val="00F05392"/>
    <w:rsid w:val="00F053E6"/>
    <w:rsid w:val="00F0557F"/>
    <w:rsid w:val="00F05854"/>
    <w:rsid w:val="00F05942"/>
    <w:rsid w:val="00F059C9"/>
    <w:rsid w:val="00F06070"/>
    <w:rsid w:val="00F060BE"/>
    <w:rsid w:val="00F068CF"/>
    <w:rsid w:val="00F069DC"/>
    <w:rsid w:val="00F06ABA"/>
    <w:rsid w:val="00F06C82"/>
    <w:rsid w:val="00F06E14"/>
    <w:rsid w:val="00F06E98"/>
    <w:rsid w:val="00F07075"/>
    <w:rsid w:val="00F0712E"/>
    <w:rsid w:val="00F07137"/>
    <w:rsid w:val="00F07204"/>
    <w:rsid w:val="00F0747B"/>
    <w:rsid w:val="00F075D7"/>
    <w:rsid w:val="00F0772D"/>
    <w:rsid w:val="00F07894"/>
    <w:rsid w:val="00F07B97"/>
    <w:rsid w:val="00F07CDA"/>
    <w:rsid w:val="00F07DE3"/>
    <w:rsid w:val="00F07E72"/>
    <w:rsid w:val="00F07FE7"/>
    <w:rsid w:val="00F10023"/>
    <w:rsid w:val="00F1004D"/>
    <w:rsid w:val="00F10356"/>
    <w:rsid w:val="00F10363"/>
    <w:rsid w:val="00F10696"/>
    <w:rsid w:val="00F10710"/>
    <w:rsid w:val="00F1083C"/>
    <w:rsid w:val="00F10AAB"/>
    <w:rsid w:val="00F10C13"/>
    <w:rsid w:val="00F10C89"/>
    <w:rsid w:val="00F10D68"/>
    <w:rsid w:val="00F11762"/>
    <w:rsid w:val="00F11875"/>
    <w:rsid w:val="00F11920"/>
    <w:rsid w:val="00F119BA"/>
    <w:rsid w:val="00F119CE"/>
    <w:rsid w:val="00F11D8D"/>
    <w:rsid w:val="00F11E4B"/>
    <w:rsid w:val="00F11EF0"/>
    <w:rsid w:val="00F12374"/>
    <w:rsid w:val="00F1243E"/>
    <w:rsid w:val="00F125C1"/>
    <w:rsid w:val="00F12B51"/>
    <w:rsid w:val="00F12C9F"/>
    <w:rsid w:val="00F12D01"/>
    <w:rsid w:val="00F12E84"/>
    <w:rsid w:val="00F12F6B"/>
    <w:rsid w:val="00F1303F"/>
    <w:rsid w:val="00F13075"/>
    <w:rsid w:val="00F1353A"/>
    <w:rsid w:val="00F13711"/>
    <w:rsid w:val="00F144E8"/>
    <w:rsid w:val="00F146CC"/>
    <w:rsid w:val="00F14771"/>
    <w:rsid w:val="00F1486C"/>
    <w:rsid w:val="00F1489E"/>
    <w:rsid w:val="00F149F3"/>
    <w:rsid w:val="00F14DF9"/>
    <w:rsid w:val="00F14F71"/>
    <w:rsid w:val="00F14F81"/>
    <w:rsid w:val="00F155DD"/>
    <w:rsid w:val="00F15A8C"/>
    <w:rsid w:val="00F15AE0"/>
    <w:rsid w:val="00F15D0B"/>
    <w:rsid w:val="00F16236"/>
    <w:rsid w:val="00F163A1"/>
    <w:rsid w:val="00F163A3"/>
    <w:rsid w:val="00F16487"/>
    <w:rsid w:val="00F16680"/>
    <w:rsid w:val="00F16E13"/>
    <w:rsid w:val="00F16FFA"/>
    <w:rsid w:val="00F17066"/>
    <w:rsid w:val="00F1723A"/>
    <w:rsid w:val="00F17305"/>
    <w:rsid w:val="00F17457"/>
    <w:rsid w:val="00F1790D"/>
    <w:rsid w:val="00F179D4"/>
    <w:rsid w:val="00F17C32"/>
    <w:rsid w:val="00F17DCB"/>
    <w:rsid w:val="00F2006E"/>
    <w:rsid w:val="00F200BD"/>
    <w:rsid w:val="00F20149"/>
    <w:rsid w:val="00F20424"/>
    <w:rsid w:val="00F20883"/>
    <w:rsid w:val="00F209D8"/>
    <w:rsid w:val="00F20DC1"/>
    <w:rsid w:val="00F20E58"/>
    <w:rsid w:val="00F21023"/>
    <w:rsid w:val="00F2118D"/>
    <w:rsid w:val="00F2156B"/>
    <w:rsid w:val="00F215F2"/>
    <w:rsid w:val="00F216F8"/>
    <w:rsid w:val="00F21794"/>
    <w:rsid w:val="00F218F8"/>
    <w:rsid w:val="00F21AB9"/>
    <w:rsid w:val="00F21C00"/>
    <w:rsid w:val="00F21C80"/>
    <w:rsid w:val="00F21FFB"/>
    <w:rsid w:val="00F222FE"/>
    <w:rsid w:val="00F2299A"/>
    <w:rsid w:val="00F22BBA"/>
    <w:rsid w:val="00F22D97"/>
    <w:rsid w:val="00F22DFB"/>
    <w:rsid w:val="00F22FE1"/>
    <w:rsid w:val="00F2310C"/>
    <w:rsid w:val="00F2313F"/>
    <w:rsid w:val="00F239DD"/>
    <w:rsid w:val="00F23B68"/>
    <w:rsid w:val="00F23C5C"/>
    <w:rsid w:val="00F23DB5"/>
    <w:rsid w:val="00F23E83"/>
    <w:rsid w:val="00F23EF4"/>
    <w:rsid w:val="00F242F0"/>
    <w:rsid w:val="00F2474D"/>
    <w:rsid w:val="00F24A75"/>
    <w:rsid w:val="00F24D3B"/>
    <w:rsid w:val="00F24D3F"/>
    <w:rsid w:val="00F24ED6"/>
    <w:rsid w:val="00F257AF"/>
    <w:rsid w:val="00F2595E"/>
    <w:rsid w:val="00F259EC"/>
    <w:rsid w:val="00F25A89"/>
    <w:rsid w:val="00F25CB8"/>
    <w:rsid w:val="00F25DB7"/>
    <w:rsid w:val="00F26009"/>
    <w:rsid w:val="00F2607B"/>
    <w:rsid w:val="00F264C8"/>
    <w:rsid w:val="00F268DF"/>
    <w:rsid w:val="00F26B24"/>
    <w:rsid w:val="00F26D4C"/>
    <w:rsid w:val="00F26F61"/>
    <w:rsid w:val="00F27206"/>
    <w:rsid w:val="00F27367"/>
    <w:rsid w:val="00F27545"/>
    <w:rsid w:val="00F27595"/>
    <w:rsid w:val="00F27664"/>
    <w:rsid w:val="00F278B3"/>
    <w:rsid w:val="00F278D6"/>
    <w:rsid w:val="00F2799A"/>
    <w:rsid w:val="00F279E0"/>
    <w:rsid w:val="00F27CE2"/>
    <w:rsid w:val="00F303C5"/>
    <w:rsid w:val="00F306B1"/>
    <w:rsid w:val="00F306FA"/>
    <w:rsid w:val="00F307A5"/>
    <w:rsid w:val="00F30841"/>
    <w:rsid w:val="00F30B56"/>
    <w:rsid w:val="00F30B6C"/>
    <w:rsid w:val="00F30DC8"/>
    <w:rsid w:val="00F31229"/>
    <w:rsid w:val="00F3127C"/>
    <w:rsid w:val="00F31737"/>
    <w:rsid w:val="00F317A0"/>
    <w:rsid w:val="00F31827"/>
    <w:rsid w:val="00F3190D"/>
    <w:rsid w:val="00F31AD5"/>
    <w:rsid w:val="00F31AEB"/>
    <w:rsid w:val="00F31E46"/>
    <w:rsid w:val="00F31F2C"/>
    <w:rsid w:val="00F31FF2"/>
    <w:rsid w:val="00F3214A"/>
    <w:rsid w:val="00F3223D"/>
    <w:rsid w:val="00F32599"/>
    <w:rsid w:val="00F3295E"/>
    <w:rsid w:val="00F32B35"/>
    <w:rsid w:val="00F32CDB"/>
    <w:rsid w:val="00F3341B"/>
    <w:rsid w:val="00F3363A"/>
    <w:rsid w:val="00F33686"/>
    <w:rsid w:val="00F33703"/>
    <w:rsid w:val="00F338A1"/>
    <w:rsid w:val="00F3396C"/>
    <w:rsid w:val="00F33B16"/>
    <w:rsid w:val="00F33C56"/>
    <w:rsid w:val="00F33E60"/>
    <w:rsid w:val="00F33F4C"/>
    <w:rsid w:val="00F3425F"/>
    <w:rsid w:val="00F343AA"/>
    <w:rsid w:val="00F34578"/>
    <w:rsid w:val="00F3459B"/>
    <w:rsid w:val="00F347C7"/>
    <w:rsid w:val="00F34848"/>
    <w:rsid w:val="00F348D2"/>
    <w:rsid w:val="00F348E1"/>
    <w:rsid w:val="00F34A72"/>
    <w:rsid w:val="00F34CD8"/>
    <w:rsid w:val="00F34D06"/>
    <w:rsid w:val="00F34E21"/>
    <w:rsid w:val="00F34E4F"/>
    <w:rsid w:val="00F351AE"/>
    <w:rsid w:val="00F35242"/>
    <w:rsid w:val="00F35268"/>
    <w:rsid w:val="00F35307"/>
    <w:rsid w:val="00F35318"/>
    <w:rsid w:val="00F3569F"/>
    <w:rsid w:val="00F356CC"/>
    <w:rsid w:val="00F35819"/>
    <w:rsid w:val="00F35B8E"/>
    <w:rsid w:val="00F35BE9"/>
    <w:rsid w:val="00F35C9B"/>
    <w:rsid w:val="00F35E06"/>
    <w:rsid w:val="00F35E4C"/>
    <w:rsid w:val="00F3607D"/>
    <w:rsid w:val="00F363A5"/>
    <w:rsid w:val="00F363E9"/>
    <w:rsid w:val="00F36662"/>
    <w:rsid w:val="00F368DE"/>
    <w:rsid w:val="00F369BD"/>
    <w:rsid w:val="00F36AC5"/>
    <w:rsid w:val="00F36ACB"/>
    <w:rsid w:val="00F36C38"/>
    <w:rsid w:val="00F36E5C"/>
    <w:rsid w:val="00F36E9E"/>
    <w:rsid w:val="00F36FBD"/>
    <w:rsid w:val="00F375EE"/>
    <w:rsid w:val="00F37878"/>
    <w:rsid w:val="00F37DDF"/>
    <w:rsid w:val="00F37E3D"/>
    <w:rsid w:val="00F37EB2"/>
    <w:rsid w:val="00F37F90"/>
    <w:rsid w:val="00F40425"/>
    <w:rsid w:val="00F40538"/>
    <w:rsid w:val="00F40682"/>
    <w:rsid w:val="00F4083B"/>
    <w:rsid w:val="00F40E8A"/>
    <w:rsid w:val="00F4111A"/>
    <w:rsid w:val="00F41756"/>
    <w:rsid w:val="00F418AF"/>
    <w:rsid w:val="00F419C8"/>
    <w:rsid w:val="00F42150"/>
    <w:rsid w:val="00F42182"/>
    <w:rsid w:val="00F42286"/>
    <w:rsid w:val="00F4266C"/>
    <w:rsid w:val="00F4266D"/>
    <w:rsid w:val="00F426E3"/>
    <w:rsid w:val="00F426E5"/>
    <w:rsid w:val="00F42B2A"/>
    <w:rsid w:val="00F42D46"/>
    <w:rsid w:val="00F42DD7"/>
    <w:rsid w:val="00F42F27"/>
    <w:rsid w:val="00F43631"/>
    <w:rsid w:val="00F43748"/>
    <w:rsid w:val="00F43851"/>
    <w:rsid w:val="00F438BB"/>
    <w:rsid w:val="00F439A1"/>
    <w:rsid w:val="00F43B9C"/>
    <w:rsid w:val="00F43BBA"/>
    <w:rsid w:val="00F43BF6"/>
    <w:rsid w:val="00F43EB2"/>
    <w:rsid w:val="00F44052"/>
    <w:rsid w:val="00F4439C"/>
    <w:rsid w:val="00F44480"/>
    <w:rsid w:val="00F4454C"/>
    <w:rsid w:val="00F4482A"/>
    <w:rsid w:val="00F4496C"/>
    <w:rsid w:val="00F44B9A"/>
    <w:rsid w:val="00F44C58"/>
    <w:rsid w:val="00F44DFB"/>
    <w:rsid w:val="00F44F3A"/>
    <w:rsid w:val="00F44FD7"/>
    <w:rsid w:val="00F4539C"/>
    <w:rsid w:val="00F45583"/>
    <w:rsid w:val="00F455F2"/>
    <w:rsid w:val="00F45659"/>
    <w:rsid w:val="00F45998"/>
    <w:rsid w:val="00F45BA6"/>
    <w:rsid w:val="00F45DD5"/>
    <w:rsid w:val="00F45E89"/>
    <w:rsid w:val="00F4609B"/>
    <w:rsid w:val="00F4631E"/>
    <w:rsid w:val="00F46532"/>
    <w:rsid w:val="00F4684E"/>
    <w:rsid w:val="00F46B19"/>
    <w:rsid w:val="00F46F53"/>
    <w:rsid w:val="00F4735D"/>
    <w:rsid w:val="00F475AB"/>
    <w:rsid w:val="00F47B63"/>
    <w:rsid w:val="00F47C89"/>
    <w:rsid w:val="00F47DA6"/>
    <w:rsid w:val="00F47DF2"/>
    <w:rsid w:val="00F47E60"/>
    <w:rsid w:val="00F47F97"/>
    <w:rsid w:val="00F50203"/>
    <w:rsid w:val="00F5024D"/>
    <w:rsid w:val="00F5045A"/>
    <w:rsid w:val="00F505CA"/>
    <w:rsid w:val="00F50699"/>
    <w:rsid w:val="00F50891"/>
    <w:rsid w:val="00F50C93"/>
    <w:rsid w:val="00F51376"/>
    <w:rsid w:val="00F513C2"/>
    <w:rsid w:val="00F51C7D"/>
    <w:rsid w:val="00F51E5F"/>
    <w:rsid w:val="00F51F10"/>
    <w:rsid w:val="00F5213A"/>
    <w:rsid w:val="00F52306"/>
    <w:rsid w:val="00F52769"/>
    <w:rsid w:val="00F52989"/>
    <w:rsid w:val="00F529A5"/>
    <w:rsid w:val="00F52C8D"/>
    <w:rsid w:val="00F52CCE"/>
    <w:rsid w:val="00F53343"/>
    <w:rsid w:val="00F534FE"/>
    <w:rsid w:val="00F537D9"/>
    <w:rsid w:val="00F538D9"/>
    <w:rsid w:val="00F53999"/>
    <w:rsid w:val="00F53D51"/>
    <w:rsid w:val="00F53FA0"/>
    <w:rsid w:val="00F54131"/>
    <w:rsid w:val="00F54357"/>
    <w:rsid w:val="00F543DA"/>
    <w:rsid w:val="00F54475"/>
    <w:rsid w:val="00F54641"/>
    <w:rsid w:val="00F54675"/>
    <w:rsid w:val="00F547E3"/>
    <w:rsid w:val="00F54C67"/>
    <w:rsid w:val="00F54E3E"/>
    <w:rsid w:val="00F556FD"/>
    <w:rsid w:val="00F557BA"/>
    <w:rsid w:val="00F559B9"/>
    <w:rsid w:val="00F559E9"/>
    <w:rsid w:val="00F55A68"/>
    <w:rsid w:val="00F55AC1"/>
    <w:rsid w:val="00F55B6F"/>
    <w:rsid w:val="00F5618B"/>
    <w:rsid w:val="00F56572"/>
    <w:rsid w:val="00F56601"/>
    <w:rsid w:val="00F567A7"/>
    <w:rsid w:val="00F56B3A"/>
    <w:rsid w:val="00F56EF2"/>
    <w:rsid w:val="00F56F37"/>
    <w:rsid w:val="00F56FAE"/>
    <w:rsid w:val="00F572C0"/>
    <w:rsid w:val="00F5758A"/>
    <w:rsid w:val="00F5792F"/>
    <w:rsid w:val="00F579C5"/>
    <w:rsid w:val="00F57CB3"/>
    <w:rsid w:val="00F57ED6"/>
    <w:rsid w:val="00F60354"/>
    <w:rsid w:val="00F60481"/>
    <w:rsid w:val="00F60520"/>
    <w:rsid w:val="00F60780"/>
    <w:rsid w:val="00F60ADB"/>
    <w:rsid w:val="00F60C34"/>
    <w:rsid w:val="00F60C6D"/>
    <w:rsid w:val="00F60EF7"/>
    <w:rsid w:val="00F60F00"/>
    <w:rsid w:val="00F61049"/>
    <w:rsid w:val="00F6129A"/>
    <w:rsid w:val="00F612AF"/>
    <w:rsid w:val="00F6144E"/>
    <w:rsid w:val="00F614C0"/>
    <w:rsid w:val="00F616B4"/>
    <w:rsid w:val="00F61B1C"/>
    <w:rsid w:val="00F61C77"/>
    <w:rsid w:val="00F62025"/>
    <w:rsid w:val="00F62115"/>
    <w:rsid w:val="00F6219E"/>
    <w:rsid w:val="00F62375"/>
    <w:rsid w:val="00F625AA"/>
    <w:rsid w:val="00F626BD"/>
    <w:rsid w:val="00F626FC"/>
    <w:rsid w:val="00F62805"/>
    <w:rsid w:val="00F628B9"/>
    <w:rsid w:val="00F62ACF"/>
    <w:rsid w:val="00F62B18"/>
    <w:rsid w:val="00F62C0C"/>
    <w:rsid w:val="00F62D5C"/>
    <w:rsid w:val="00F62D92"/>
    <w:rsid w:val="00F63019"/>
    <w:rsid w:val="00F6336B"/>
    <w:rsid w:val="00F63432"/>
    <w:rsid w:val="00F63515"/>
    <w:rsid w:val="00F637DE"/>
    <w:rsid w:val="00F637E9"/>
    <w:rsid w:val="00F639D2"/>
    <w:rsid w:val="00F64159"/>
    <w:rsid w:val="00F6433E"/>
    <w:rsid w:val="00F64609"/>
    <w:rsid w:val="00F648D9"/>
    <w:rsid w:val="00F649DE"/>
    <w:rsid w:val="00F65124"/>
    <w:rsid w:val="00F6523A"/>
    <w:rsid w:val="00F65318"/>
    <w:rsid w:val="00F653E0"/>
    <w:rsid w:val="00F653FC"/>
    <w:rsid w:val="00F65606"/>
    <w:rsid w:val="00F6583A"/>
    <w:rsid w:val="00F65A56"/>
    <w:rsid w:val="00F65CE4"/>
    <w:rsid w:val="00F65D22"/>
    <w:rsid w:val="00F660CF"/>
    <w:rsid w:val="00F661A0"/>
    <w:rsid w:val="00F66228"/>
    <w:rsid w:val="00F662E3"/>
    <w:rsid w:val="00F666A7"/>
    <w:rsid w:val="00F667AB"/>
    <w:rsid w:val="00F66F9D"/>
    <w:rsid w:val="00F67302"/>
    <w:rsid w:val="00F674A0"/>
    <w:rsid w:val="00F67534"/>
    <w:rsid w:val="00F67711"/>
    <w:rsid w:val="00F67987"/>
    <w:rsid w:val="00F67AF3"/>
    <w:rsid w:val="00F7045E"/>
    <w:rsid w:val="00F70713"/>
    <w:rsid w:val="00F70724"/>
    <w:rsid w:val="00F70A84"/>
    <w:rsid w:val="00F70B55"/>
    <w:rsid w:val="00F70DC2"/>
    <w:rsid w:val="00F70E96"/>
    <w:rsid w:val="00F710B1"/>
    <w:rsid w:val="00F71218"/>
    <w:rsid w:val="00F71288"/>
    <w:rsid w:val="00F712EC"/>
    <w:rsid w:val="00F71564"/>
    <w:rsid w:val="00F71603"/>
    <w:rsid w:val="00F71DA6"/>
    <w:rsid w:val="00F71F2C"/>
    <w:rsid w:val="00F724FE"/>
    <w:rsid w:val="00F72765"/>
    <w:rsid w:val="00F727BC"/>
    <w:rsid w:val="00F72815"/>
    <w:rsid w:val="00F72903"/>
    <w:rsid w:val="00F72A3D"/>
    <w:rsid w:val="00F72CAE"/>
    <w:rsid w:val="00F72DA3"/>
    <w:rsid w:val="00F7346A"/>
    <w:rsid w:val="00F73517"/>
    <w:rsid w:val="00F7389C"/>
    <w:rsid w:val="00F738D5"/>
    <w:rsid w:val="00F73E07"/>
    <w:rsid w:val="00F73F18"/>
    <w:rsid w:val="00F748F6"/>
    <w:rsid w:val="00F74E75"/>
    <w:rsid w:val="00F75180"/>
    <w:rsid w:val="00F75243"/>
    <w:rsid w:val="00F752B5"/>
    <w:rsid w:val="00F756AD"/>
    <w:rsid w:val="00F75854"/>
    <w:rsid w:val="00F75C9B"/>
    <w:rsid w:val="00F75CC8"/>
    <w:rsid w:val="00F75D72"/>
    <w:rsid w:val="00F75E5A"/>
    <w:rsid w:val="00F75E61"/>
    <w:rsid w:val="00F75F9E"/>
    <w:rsid w:val="00F75FE5"/>
    <w:rsid w:val="00F7625E"/>
    <w:rsid w:val="00F76291"/>
    <w:rsid w:val="00F76302"/>
    <w:rsid w:val="00F76459"/>
    <w:rsid w:val="00F76814"/>
    <w:rsid w:val="00F7685F"/>
    <w:rsid w:val="00F76DFD"/>
    <w:rsid w:val="00F770D8"/>
    <w:rsid w:val="00F77228"/>
    <w:rsid w:val="00F77251"/>
    <w:rsid w:val="00F772C6"/>
    <w:rsid w:val="00F7758D"/>
    <w:rsid w:val="00F77958"/>
    <w:rsid w:val="00F77C8A"/>
    <w:rsid w:val="00F77D09"/>
    <w:rsid w:val="00F77E27"/>
    <w:rsid w:val="00F77F68"/>
    <w:rsid w:val="00F8017B"/>
    <w:rsid w:val="00F80201"/>
    <w:rsid w:val="00F80D1D"/>
    <w:rsid w:val="00F81007"/>
    <w:rsid w:val="00F814AA"/>
    <w:rsid w:val="00F814C5"/>
    <w:rsid w:val="00F81681"/>
    <w:rsid w:val="00F8197C"/>
    <w:rsid w:val="00F81AE2"/>
    <w:rsid w:val="00F81BE6"/>
    <w:rsid w:val="00F81D15"/>
    <w:rsid w:val="00F81E74"/>
    <w:rsid w:val="00F8216F"/>
    <w:rsid w:val="00F82342"/>
    <w:rsid w:val="00F8246D"/>
    <w:rsid w:val="00F82C8E"/>
    <w:rsid w:val="00F83202"/>
    <w:rsid w:val="00F8343A"/>
    <w:rsid w:val="00F83718"/>
    <w:rsid w:val="00F83848"/>
    <w:rsid w:val="00F83C6D"/>
    <w:rsid w:val="00F84393"/>
    <w:rsid w:val="00F843DF"/>
    <w:rsid w:val="00F8454B"/>
    <w:rsid w:val="00F84717"/>
    <w:rsid w:val="00F847FC"/>
    <w:rsid w:val="00F848E2"/>
    <w:rsid w:val="00F8499F"/>
    <w:rsid w:val="00F84A29"/>
    <w:rsid w:val="00F84D85"/>
    <w:rsid w:val="00F853ED"/>
    <w:rsid w:val="00F85C39"/>
    <w:rsid w:val="00F85D15"/>
    <w:rsid w:val="00F85EB0"/>
    <w:rsid w:val="00F85FEF"/>
    <w:rsid w:val="00F86033"/>
    <w:rsid w:val="00F8604A"/>
    <w:rsid w:val="00F86146"/>
    <w:rsid w:val="00F8617D"/>
    <w:rsid w:val="00F862EC"/>
    <w:rsid w:val="00F86353"/>
    <w:rsid w:val="00F86590"/>
    <w:rsid w:val="00F86767"/>
    <w:rsid w:val="00F86939"/>
    <w:rsid w:val="00F86A84"/>
    <w:rsid w:val="00F86D46"/>
    <w:rsid w:val="00F86DD7"/>
    <w:rsid w:val="00F8708C"/>
    <w:rsid w:val="00F8710D"/>
    <w:rsid w:val="00F8725F"/>
    <w:rsid w:val="00F876A4"/>
    <w:rsid w:val="00F877AC"/>
    <w:rsid w:val="00F87B64"/>
    <w:rsid w:val="00F87BBF"/>
    <w:rsid w:val="00F87BF1"/>
    <w:rsid w:val="00F87E2B"/>
    <w:rsid w:val="00F87E75"/>
    <w:rsid w:val="00F87FB7"/>
    <w:rsid w:val="00F9003C"/>
    <w:rsid w:val="00F90179"/>
    <w:rsid w:val="00F90266"/>
    <w:rsid w:val="00F904C2"/>
    <w:rsid w:val="00F90711"/>
    <w:rsid w:val="00F90727"/>
    <w:rsid w:val="00F90737"/>
    <w:rsid w:val="00F907E9"/>
    <w:rsid w:val="00F9080B"/>
    <w:rsid w:val="00F90911"/>
    <w:rsid w:val="00F90A17"/>
    <w:rsid w:val="00F90A4D"/>
    <w:rsid w:val="00F90B01"/>
    <w:rsid w:val="00F90B58"/>
    <w:rsid w:val="00F90C61"/>
    <w:rsid w:val="00F91029"/>
    <w:rsid w:val="00F9121D"/>
    <w:rsid w:val="00F9135A"/>
    <w:rsid w:val="00F915FA"/>
    <w:rsid w:val="00F91685"/>
    <w:rsid w:val="00F91751"/>
    <w:rsid w:val="00F9190C"/>
    <w:rsid w:val="00F91A1C"/>
    <w:rsid w:val="00F91BC7"/>
    <w:rsid w:val="00F91EAC"/>
    <w:rsid w:val="00F920FA"/>
    <w:rsid w:val="00F92186"/>
    <w:rsid w:val="00F9240F"/>
    <w:rsid w:val="00F9243F"/>
    <w:rsid w:val="00F92511"/>
    <w:rsid w:val="00F92639"/>
    <w:rsid w:val="00F926AE"/>
    <w:rsid w:val="00F92958"/>
    <w:rsid w:val="00F929EE"/>
    <w:rsid w:val="00F92A84"/>
    <w:rsid w:val="00F92EB9"/>
    <w:rsid w:val="00F935A9"/>
    <w:rsid w:val="00F938C6"/>
    <w:rsid w:val="00F939FA"/>
    <w:rsid w:val="00F93A83"/>
    <w:rsid w:val="00F93C01"/>
    <w:rsid w:val="00F93D39"/>
    <w:rsid w:val="00F93D76"/>
    <w:rsid w:val="00F93E72"/>
    <w:rsid w:val="00F940BC"/>
    <w:rsid w:val="00F940ED"/>
    <w:rsid w:val="00F94602"/>
    <w:rsid w:val="00F948A7"/>
    <w:rsid w:val="00F94ACE"/>
    <w:rsid w:val="00F94DB6"/>
    <w:rsid w:val="00F94EE9"/>
    <w:rsid w:val="00F95314"/>
    <w:rsid w:val="00F95899"/>
    <w:rsid w:val="00F959D0"/>
    <w:rsid w:val="00F95B23"/>
    <w:rsid w:val="00F95C6C"/>
    <w:rsid w:val="00F95F6F"/>
    <w:rsid w:val="00F9618F"/>
    <w:rsid w:val="00F9622F"/>
    <w:rsid w:val="00F96503"/>
    <w:rsid w:val="00F96819"/>
    <w:rsid w:val="00F96E17"/>
    <w:rsid w:val="00F97044"/>
    <w:rsid w:val="00F9727A"/>
    <w:rsid w:val="00F97471"/>
    <w:rsid w:val="00F97556"/>
    <w:rsid w:val="00F975DF"/>
    <w:rsid w:val="00F975E9"/>
    <w:rsid w:val="00F977DA"/>
    <w:rsid w:val="00F97885"/>
    <w:rsid w:val="00F97970"/>
    <w:rsid w:val="00F97B2A"/>
    <w:rsid w:val="00F97C90"/>
    <w:rsid w:val="00F97DE5"/>
    <w:rsid w:val="00F97F5E"/>
    <w:rsid w:val="00FA0174"/>
    <w:rsid w:val="00FA020F"/>
    <w:rsid w:val="00FA04D4"/>
    <w:rsid w:val="00FA05D9"/>
    <w:rsid w:val="00FA08E2"/>
    <w:rsid w:val="00FA0AD3"/>
    <w:rsid w:val="00FA1742"/>
    <w:rsid w:val="00FA17F5"/>
    <w:rsid w:val="00FA181D"/>
    <w:rsid w:val="00FA1A48"/>
    <w:rsid w:val="00FA1A6C"/>
    <w:rsid w:val="00FA1B7D"/>
    <w:rsid w:val="00FA1D98"/>
    <w:rsid w:val="00FA1FAC"/>
    <w:rsid w:val="00FA204C"/>
    <w:rsid w:val="00FA282A"/>
    <w:rsid w:val="00FA2AB3"/>
    <w:rsid w:val="00FA2B11"/>
    <w:rsid w:val="00FA2BC3"/>
    <w:rsid w:val="00FA2EE2"/>
    <w:rsid w:val="00FA2FC5"/>
    <w:rsid w:val="00FA300F"/>
    <w:rsid w:val="00FA309D"/>
    <w:rsid w:val="00FA317B"/>
    <w:rsid w:val="00FA324E"/>
    <w:rsid w:val="00FA3C4F"/>
    <w:rsid w:val="00FA3FD1"/>
    <w:rsid w:val="00FA426A"/>
    <w:rsid w:val="00FA4354"/>
    <w:rsid w:val="00FA4479"/>
    <w:rsid w:val="00FA489E"/>
    <w:rsid w:val="00FA48D7"/>
    <w:rsid w:val="00FA4BED"/>
    <w:rsid w:val="00FA4E6A"/>
    <w:rsid w:val="00FA4ED0"/>
    <w:rsid w:val="00FA4F34"/>
    <w:rsid w:val="00FA50C2"/>
    <w:rsid w:val="00FA520C"/>
    <w:rsid w:val="00FA533D"/>
    <w:rsid w:val="00FA5474"/>
    <w:rsid w:val="00FA582F"/>
    <w:rsid w:val="00FA5D27"/>
    <w:rsid w:val="00FA5D56"/>
    <w:rsid w:val="00FA5EAD"/>
    <w:rsid w:val="00FA5F2D"/>
    <w:rsid w:val="00FA6281"/>
    <w:rsid w:val="00FA64B8"/>
    <w:rsid w:val="00FA64CA"/>
    <w:rsid w:val="00FA6905"/>
    <w:rsid w:val="00FA6B43"/>
    <w:rsid w:val="00FA6E11"/>
    <w:rsid w:val="00FA6F4A"/>
    <w:rsid w:val="00FA700D"/>
    <w:rsid w:val="00FA7123"/>
    <w:rsid w:val="00FA768C"/>
    <w:rsid w:val="00FA7904"/>
    <w:rsid w:val="00FA79CB"/>
    <w:rsid w:val="00FB016F"/>
    <w:rsid w:val="00FB06D5"/>
    <w:rsid w:val="00FB07E4"/>
    <w:rsid w:val="00FB0877"/>
    <w:rsid w:val="00FB0989"/>
    <w:rsid w:val="00FB0EB5"/>
    <w:rsid w:val="00FB0FF1"/>
    <w:rsid w:val="00FB1116"/>
    <w:rsid w:val="00FB1536"/>
    <w:rsid w:val="00FB15F5"/>
    <w:rsid w:val="00FB1678"/>
    <w:rsid w:val="00FB170A"/>
    <w:rsid w:val="00FB191A"/>
    <w:rsid w:val="00FB1BD0"/>
    <w:rsid w:val="00FB1D27"/>
    <w:rsid w:val="00FB2053"/>
    <w:rsid w:val="00FB205B"/>
    <w:rsid w:val="00FB2139"/>
    <w:rsid w:val="00FB21AA"/>
    <w:rsid w:val="00FB2507"/>
    <w:rsid w:val="00FB2531"/>
    <w:rsid w:val="00FB2CC3"/>
    <w:rsid w:val="00FB2D54"/>
    <w:rsid w:val="00FB2E9C"/>
    <w:rsid w:val="00FB2FF2"/>
    <w:rsid w:val="00FB30C4"/>
    <w:rsid w:val="00FB347B"/>
    <w:rsid w:val="00FB34C1"/>
    <w:rsid w:val="00FB36DF"/>
    <w:rsid w:val="00FB376F"/>
    <w:rsid w:val="00FB38F3"/>
    <w:rsid w:val="00FB3A22"/>
    <w:rsid w:val="00FB3B35"/>
    <w:rsid w:val="00FB3DE8"/>
    <w:rsid w:val="00FB3F29"/>
    <w:rsid w:val="00FB3FED"/>
    <w:rsid w:val="00FB41E0"/>
    <w:rsid w:val="00FB422C"/>
    <w:rsid w:val="00FB42E9"/>
    <w:rsid w:val="00FB44AE"/>
    <w:rsid w:val="00FB47A3"/>
    <w:rsid w:val="00FB4931"/>
    <w:rsid w:val="00FB4A48"/>
    <w:rsid w:val="00FB4AEA"/>
    <w:rsid w:val="00FB4BA2"/>
    <w:rsid w:val="00FB4C02"/>
    <w:rsid w:val="00FB512D"/>
    <w:rsid w:val="00FB5141"/>
    <w:rsid w:val="00FB51FC"/>
    <w:rsid w:val="00FB52DC"/>
    <w:rsid w:val="00FB5A6C"/>
    <w:rsid w:val="00FB5ED4"/>
    <w:rsid w:val="00FB62BC"/>
    <w:rsid w:val="00FB6353"/>
    <w:rsid w:val="00FB65AF"/>
    <w:rsid w:val="00FB661D"/>
    <w:rsid w:val="00FB6995"/>
    <w:rsid w:val="00FB69C1"/>
    <w:rsid w:val="00FB6A5C"/>
    <w:rsid w:val="00FB6D70"/>
    <w:rsid w:val="00FB6EB4"/>
    <w:rsid w:val="00FB7007"/>
    <w:rsid w:val="00FB7360"/>
    <w:rsid w:val="00FB748A"/>
    <w:rsid w:val="00FB779E"/>
    <w:rsid w:val="00FB7804"/>
    <w:rsid w:val="00FB7B7B"/>
    <w:rsid w:val="00FB7DAF"/>
    <w:rsid w:val="00FB7F3D"/>
    <w:rsid w:val="00FC038D"/>
    <w:rsid w:val="00FC0564"/>
    <w:rsid w:val="00FC0610"/>
    <w:rsid w:val="00FC0626"/>
    <w:rsid w:val="00FC065D"/>
    <w:rsid w:val="00FC07B9"/>
    <w:rsid w:val="00FC083C"/>
    <w:rsid w:val="00FC0954"/>
    <w:rsid w:val="00FC0955"/>
    <w:rsid w:val="00FC0A79"/>
    <w:rsid w:val="00FC0E88"/>
    <w:rsid w:val="00FC1292"/>
    <w:rsid w:val="00FC1748"/>
    <w:rsid w:val="00FC1864"/>
    <w:rsid w:val="00FC1A01"/>
    <w:rsid w:val="00FC1A37"/>
    <w:rsid w:val="00FC201B"/>
    <w:rsid w:val="00FC23BC"/>
    <w:rsid w:val="00FC26C7"/>
    <w:rsid w:val="00FC26E5"/>
    <w:rsid w:val="00FC2C22"/>
    <w:rsid w:val="00FC2D03"/>
    <w:rsid w:val="00FC2F92"/>
    <w:rsid w:val="00FC31D6"/>
    <w:rsid w:val="00FC33D3"/>
    <w:rsid w:val="00FC3A40"/>
    <w:rsid w:val="00FC3BD8"/>
    <w:rsid w:val="00FC3D2F"/>
    <w:rsid w:val="00FC40BA"/>
    <w:rsid w:val="00FC416A"/>
    <w:rsid w:val="00FC4231"/>
    <w:rsid w:val="00FC44BC"/>
    <w:rsid w:val="00FC4A04"/>
    <w:rsid w:val="00FC4B09"/>
    <w:rsid w:val="00FC4B1F"/>
    <w:rsid w:val="00FC4C06"/>
    <w:rsid w:val="00FC4CA5"/>
    <w:rsid w:val="00FC4E21"/>
    <w:rsid w:val="00FC4E3C"/>
    <w:rsid w:val="00FC4F3D"/>
    <w:rsid w:val="00FC53CD"/>
    <w:rsid w:val="00FC54CB"/>
    <w:rsid w:val="00FC5676"/>
    <w:rsid w:val="00FC5691"/>
    <w:rsid w:val="00FC589F"/>
    <w:rsid w:val="00FC59E3"/>
    <w:rsid w:val="00FC5CE4"/>
    <w:rsid w:val="00FC5D1E"/>
    <w:rsid w:val="00FC5D38"/>
    <w:rsid w:val="00FC5DD6"/>
    <w:rsid w:val="00FC5F6D"/>
    <w:rsid w:val="00FC611E"/>
    <w:rsid w:val="00FC630E"/>
    <w:rsid w:val="00FC675F"/>
    <w:rsid w:val="00FC67F9"/>
    <w:rsid w:val="00FC6ABB"/>
    <w:rsid w:val="00FC6AFE"/>
    <w:rsid w:val="00FC6ED4"/>
    <w:rsid w:val="00FC7005"/>
    <w:rsid w:val="00FC7204"/>
    <w:rsid w:val="00FC721F"/>
    <w:rsid w:val="00FC7405"/>
    <w:rsid w:val="00FC760D"/>
    <w:rsid w:val="00FC7871"/>
    <w:rsid w:val="00FC78D8"/>
    <w:rsid w:val="00FC7948"/>
    <w:rsid w:val="00FC7A15"/>
    <w:rsid w:val="00FC7D33"/>
    <w:rsid w:val="00FC7F37"/>
    <w:rsid w:val="00FC7FA7"/>
    <w:rsid w:val="00FC7FF0"/>
    <w:rsid w:val="00FD0077"/>
    <w:rsid w:val="00FD0107"/>
    <w:rsid w:val="00FD0109"/>
    <w:rsid w:val="00FD03F1"/>
    <w:rsid w:val="00FD056F"/>
    <w:rsid w:val="00FD07A7"/>
    <w:rsid w:val="00FD0951"/>
    <w:rsid w:val="00FD0A20"/>
    <w:rsid w:val="00FD0BB3"/>
    <w:rsid w:val="00FD0DD5"/>
    <w:rsid w:val="00FD0F99"/>
    <w:rsid w:val="00FD139A"/>
    <w:rsid w:val="00FD1430"/>
    <w:rsid w:val="00FD167A"/>
    <w:rsid w:val="00FD1FF1"/>
    <w:rsid w:val="00FD20E6"/>
    <w:rsid w:val="00FD2663"/>
    <w:rsid w:val="00FD266D"/>
    <w:rsid w:val="00FD28AF"/>
    <w:rsid w:val="00FD2995"/>
    <w:rsid w:val="00FD2A2F"/>
    <w:rsid w:val="00FD2B2C"/>
    <w:rsid w:val="00FD2C01"/>
    <w:rsid w:val="00FD2C2F"/>
    <w:rsid w:val="00FD3201"/>
    <w:rsid w:val="00FD354B"/>
    <w:rsid w:val="00FD361D"/>
    <w:rsid w:val="00FD36CF"/>
    <w:rsid w:val="00FD37B5"/>
    <w:rsid w:val="00FD38EB"/>
    <w:rsid w:val="00FD3AA1"/>
    <w:rsid w:val="00FD3B31"/>
    <w:rsid w:val="00FD3B8B"/>
    <w:rsid w:val="00FD3BA7"/>
    <w:rsid w:val="00FD3C12"/>
    <w:rsid w:val="00FD3C48"/>
    <w:rsid w:val="00FD3D0A"/>
    <w:rsid w:val="00FD3FD1"/>
    <w:rsid w:val="00FD3FF6"/>
    <w:rsid w:val="00FD4378"/>
    <w:rsid w:val="00FD4409"/>
    <w:rsid w:val="00FD4591"/>
    <w:rsid w:val="00FD46A9"/>
    <w:rsid w:val="00FD478A"/>
    <w:rsid w:val="00FD4BF5"/>
    <w:rsid w:val="00FD4E49"/>
    <w:rsid w:val="00FD5341"/>
    <w:rsid w:val="00FD54E5"/>
    <w:rsid w:val="00FD553B"/>
    <w:rsid w:val="00FD56E3"/>
    <w:rsid w:val="00FD57F7"/>
    <w:rsid w:val="00FD5A02"/>
    <w:rsid w:val="00FD5B42"/>
    <w:rsid w:val="00FD5CBA"/>
    <w:rsid w:val="00FD5DBB"/>
    <w:rsid w:val="00FD5FD2"/>
    <w:rsid w:val="00FD611D"/>
    <w:rsid w:val="00FD6217"/>
    <w:rsid w:val="00FD6363"/>
    <w:rsid w:val="00FD64E9"/>
    <w:rsid w:val="00FD651F"/>
    <w:rsid w:val="00FD6593"/>
    <w:rsid w:val="00FD69B6"/>
    <w:rsid w:val="00FD7076"/>
    <w:rsid w:val="00FD7199"/>
    <w:rsid w:val="00FD7787"/>
    <w:rsid w:val="00FD77C2"/>
    <w:rsid w:val="00FD7BCC"/>
    <w:rsid w:val="00FD7D2A"/>
    <w:rsid w:val="00FD7E28"/>
    <w:rsid w:val="00FE0130"/>
    <w:rsid w:val="00FE0267"/>
    <w:rsid w:val="00FE02B2"/>
    <w:rsid w:val="00FE0344"/>
    <w:rsid w:val="00FE04F6"/>
    <w:rsid w:val="00FE0630"/>
    <w:rsid w:val="00FE06FC"/>
    <w:rsid w:val="00FE0740"/>
    <w:rsid w:val="00FE0964"/>
    <w:rsid w:val="00FE0AD0"/>
    <w:rsid w:val="00FE0BCD"/>
    <w:rsid w:val="00FE11F9"/>
    <w:rsid w:val="00FE1823"/>
    <w:rsid w:val="00FE1876"/>
    <w:rsid w:val="00FE1912"/>
    <w:rsid w:val="00FE1EB9"/>
    <w:rsid w:val="00FE2331"/>
    <w:rsid w:val="00FE23AF"/>
    <w:rsid w:val="00FE253F"/>
    <w:rsid w:val="00FE26E5"/>
    <w:rsid w:val="00FE2810"/>
    <w:rsid w:val="00FE2913"/>
    <w:rsid w:val="00FE29BD"/>
    <w:rsid w:val="00FE29F0"/>
    <w:rsid w:val="00FE3196"/>
    <w:rsid w:val="00FE358D"/>
    <w:rsid w:val="00FE37D4"/>
    <w:rsid w:val="00FE3C8B"/>
    <w:rsid w:val="00FE3DBF"/>
    <w:rsid w:val="00FE404F"/>
    <w:rsid w:val="00FE409E"/>
    <w:rsid w:val="00FE40B6"/>
    <w:rsid w:val="00FE435B"/>
    <w:rsid w:val="00FE4454"/>
    <w:rsid w:val="00FE45F4"/>
    <w:rsid w:val="00FE485F"/>
    <w:rsid w:val="00FE486A"/>
    <w:rsid w:val="00FE487A"/>
    <w:rsid w:val="00FE4B94"/>
    <w:rsid w:val="00FE4DF0"/>
    <w:rsid w:val="00FE4F11"/>
    <w:rsid w:val="00FE50A1"/>
    <w:rsid w:val="00FE518C"/>
    <w:rsid w:val="00FE593F"/>
    <w:rsid w:val="00FE5ED8"/>
    <w:rsid w:val="00FE5F6F"/>
    <w:rsid w:val="00FE60D9"/>
    <w:rsid w:val="00FE6107"/>
    <w:rsid w:val="00FE626F"/>
    <w:rsid w:val="00FE6462"/>
    <w:rsid w:val="00FE6791"/>
    <w:rsid w:val="00FE67D2"/>
    <w:rsid w:val="00FE69BF"/>
    <w:rsid w:val="00FE6DAA"/>
    <w:rsid w:val="00FE6DDD"/>
    <w:rsid w:val="00FE6EB5"/>
    <w:rsid w:val="00FE72BA"/>
    <w:rsid w:val="00FE7B2E"/>
    <w:rsid w:val="00FE7BBB"/>
    <w:rsid w:val="00FE7C4D"/>
    <w:rsid w:val="00FF0569"/>
    <w:rsid w:val="00FF094E"/>
    <w:rsid w:val="00FF0A24"/>
    <w:rsid w:val="00FF1243"/>
    <w:rsid w:val="00FF14A8"/>
    <w:rsid w:val="00FF14BA"/>
    <w:rsid w:val="00FF183A"/>
    <w:rsid w:val="00FF1B3C"/>
    <w:rsid w:val="00FF1F67"/>
    <w:rsid w:val="00FF1FD9"/>
    <w:rsid w:val="00FF206E"/>
    <w:rsid w:val="00FF23EE"/>
    <w:rsid w:val="00FF2525"/>
    <w:rsid w:val="00FF2712"/>
    <w:rsid w:val="00FF27CF"/>
    <w:rsid w:val="00FF2AF0"/>
    <w:rsid w:val="00FF2C1D"/>
    <w:rsid w:val="00FF2CDD"/>
    <w:rsid w:val="00FF2E6B"/>
    <w:rsid w:val="00FF30F8"/>
    <w:rsid w:val="00FF325C"/>
    <w:rsid w:val="00FF329E"/>
    <w:rsid w:val="00FF341D"/>
    <w:rsid w:val="00FF3649"/>
    <w:rsid w:val="00FF367D"/>
    <w:rsid w:val="00FF390F"/>
    <w:rsid w:val="00FF3AA2"/>
    <w:rsid w:val="00FF3C69"/>
    <w:rsid w:val="00FF3CBA"/>
    <w:rsid w:val="00FF3D0A"/>
    <w:rsid w:val="00FF3D2F"/>
    <w:rsid w:val="00FF3E43"/>
    <w:rsid w:val="00FF3F0A"/>
    <w:rsid w:val="00FF3F25"/>
    <w:rsid w:val="00FF4236"/>
    <w:rsid w:val="00FF42AB"/>
    <w:rsid w:val="00FF44EE"/>
    <w:rsid w:val="00FF4B3E"/>
    <w:rsid w:val="00FF4F81"/>
    <w:rsid w:val="00FF5353"/>
    <w:rsid w:val="00FF546D"/>
    <w:rsid w:val="00FF56FB"/>
    <w:rsid w:val="00FF59D0"/>
    <w:rsid w:val="00FF5B84"/>
    <w:rsid w:val="00FF5DF4"/>
    <w:rsid w:val="00FF5E00"/>
    <w:rsid w:val="00FF5F25"/>
    <w:rsid w:val="00FF6217"/>
    <w:rsid w:val="00FF6A1B"/>
    <w:rsid w:val="00FF6C78"/>
    <w:rsid w:val="00FF6D43"/>
    <w:rsid w:val="00FF6D74"/>
    <w:rsid w:val="00FF6E0A"/>
    <w:rsid w:val="00FF78EB"/>
    <w:rsid w:val="00FF7956"/>
    <w:rsid w:val="00FF79CB"/>
    <w:rsid w:val="00FF7B22"/>
    <w:rsid w:val="00FF7B44"/>
    <w:rsid w:val="00FF7C44"/>
    <w:rsid w:val="00FF7DDA"/>
    <w:rsid w:val="00FF7E21"/>
    <w:rsid w:val="023AE26C"/>
    <w:rsid w:val="03796FB9"/>
    <w:rsid w:val="037B0A15"/>
    <w:rsid w:val="0527FCC8"/>
    <w:rsid w:val="052B167B"/>
    <w:rsid w:val="056B29E7"/>
    <w:rsid w:val="0BB4940A"/>
    <w:rsid w:val="0CBA8AFE"/>
    <w:rsid w:val="0CBD8A94"/>
    <w:rsid w:val="0DD45013"/>
    <w:rsid w:val="0F688073"/>
    <w:rsid w:val="0FACF4D1"/>
    <w:rsid w:val="1306BB65"/>
    <w:rsid w:val="1344473C"/>
    <w:rsid w:val="16701409"/>
    <w:rsid w:val="18BF46A4"/>
    <w:rsid w:val="1ABD0C3C"/>
    <w:rsid w:val="1BC57601"/>
    <w:rsid w:val="1C365EEC"/>
    <w:rsid w:val="1C6BCEBC"/>
    <w:rsid w:val="1C7B1C71"/>
    <w:rsid w:val="20537D17"/>
    <w:rsid w:val="210FDA7C"/>
    <w:rsid w:val="22FE3DBB"/>
    <w:rsid w:val="25D15D1C"/>
    <w:rsid w:val="26DD42D7"/>
    <w:rsid w:val="2A5CCDFB"/>
    <w:rsid w:val="2B63F5B4"/>
    <w:rsid w:val="2FE35833"/>
    <w:rsid w:val="31459ECE"/>
    <w:rsid w:val="32BC1D1C"/>
    <w:rsid w:val="33D6EC57"/>
    <w:rsid w:val="352A29D2"/>
    <w:rsid w:val="352BAF62"/>
    <w:rsid w:val="35411A0F"/>
    <w:rsid w:val="36A226BE"/>
    <w:rsid w:val="378F0D25"/>
    <w:rsid w:val="37F963D6"/>
    <w:rsid w:val="3889B64F"/>
    <w:rsid w:val="3B65C316"/>
    <w:rsid w:val="3C01F84F"/>
    <w:rsid w:val="41A00D7B"/>
    <w:rsid w:val="41FDC1BC"/>
    <w:rsid w:val="423A9AC5"/>
    <w:rsid w:val="42A96B50"/>
    <w:rsid w:val="43F9A9EF"/>
    <w:rsid w:val="4444238D"/>
    <w:rsid w:val="447DD442"/>
    <w:rsid w:val="46A8749B"/>
    <w:rsid w:val="46DB6D8D"/>
    <w:rsid w:val="47335157"/>
    <w:rsid w:val="488BECC2"/>
    <w:rsid w:val="49B5877A"/>
    <w:rsid w:val="4BDD5CC9"/>
    <w:rsid w:val="4C1AA855"/>
    <w:rsid w:val="4C64C13D"/>
    <w:rsid w:val="4C68203F"/>
    <w:rsid w:val="4D5BC644"/>
    <w:rsid w:val="4E4A4C9B"/>
    <w:rsid w:val="4EAE2932"/>
    <w:rsid w:val="515C427B"/>
    <w:rsid w:val="55446301"/>
    <w:rsid w:val="55E13C84"/>
    <w:rsid w:val="5628C7C7"/>
    <w:rsid w:val="5651092E"/>
    <w:rsid w:val="56DB6CF3"/>
    <w:rsid w:val="56DC765B"/>
    <w:rsid w:val="5959BB98"/>
    <w:rsid w:val="5B130B45"/>
    <w:rsid w:val="5C29EDC3"/>
    <w:rsid w:val="6256811F"/>
    <w:rsid w:val="6329C43F"/>
    <w:rsid w:val="64107954"/>
    <w:rsid w:val="64CAC156"/>
    <w:rsid w:val="65085C4E"/>
    <w:rsid w:val="669488E5"/>
    <w:rsid w:val="695E41D2"/>
    <w:rsid w:val="6AB3F920"/>
    <w:rsid w:val="6D419071"/>
    <w:rsid w:val="6F527E77"/>
    <w:rsid w:val="6F8FC19D"/>
    <w:rsid w:val="713BE7AC"/>
    <w:rsid w:val="71ABC42F"/>
    <w:rsid w:val="72B3BE51"/>
    <w:rsid w:val="751A4165"/>
    <w:rsid w:val="76464C77"/>
    <w:rsid w:val="7656298B"/>
    <w:rsid w:val="77357F48"/>
    <w:rsid w:val="78652F35"/>
    <w:rsid w:val="79A10261"/>
    <w:rsid w:val="7A840EC2"/>
    <w:rsid w:val="7C5FF198"/>
    <w:rsid w:val="7D8FEE7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654B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heading 4" w:uiPriority="3"/>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B2960"/>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1ACA"/>
    <w:pPr>
      <w:keepNext/>
      <w:spacing w:before="320" w:after="60" w:line="280" w:lineRule="atLeast"/>
      <w:outlineLvl w:val="1"/>
    </w:pPr>
    <w:rPr>
      <w:rFonts w:cs="Arial"/>
      <w:b/>
      <w:bCs/>
      <w:iCs/>
      <w:sz w:val="28"/>
      <w:szCs w:val="28"/>
    </w:rPr>
  </w:style>
  <w:style w:type="paragraph" w:styleId="Heading3">
    <w:name w:val="heading 3"/>
    <w:basedOn w:val="Normal"/>
    <w:next w:val="Normal"/>
    <w:link w:val="Heading3Char"/>
    <w:uiPriority w:val="2"/>
    <w:qFormat/>
    <w:rsid w:val="00711ACA"/>
    <w:pPr>
      <w:keepNext/>
      <w:spacing w:before="60" w:after="60" w:line="280" w:lineRule="atLeast"/>
      <w:outlineLvl w:val="2"/>
    </w:pPr>
    <w:rPr>
      <w:rFonts w:cs="Arial"/>
      <w:b/>
      <w:bCs/>
      <w:sz w:val="22"/>
      <w:szCs w:val="26"/>
    </w:rPr>
  </w:style>
  <w:style w:type="paragraph" w:styleId="Heading4">
    <w:name w:val="heading 4"/>
    <w:basedOn w:val="BodySubHeader"/>
    <w:next w:val="Normal"/>
    <w:uiPriority w:val="3"/>
    <w:qFormat/>
    <w:rsid w:val="00711ACA"/>
    <w:pPr>
      <w:spacing w:line="280" w:lineRule="atLeast"/>
      <w:outlineLvl w:val="3"/>
    </w:pPr>
    <w:rPr>
      <w:rFonts w:cs="Arial"/>
      <w:sz w:val="22"/>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4267B6"/>
    <w:pPr>
      <w:spacing w:after="0"/>
    </w:pPr>
    <w:rPr>
      <w:b/>
      <w:sz w:val="22"/>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aliases w:val="List Bullet 1,ACMA List Bullet 1"/>
    <w:basedOn w:val="Normal"/>
    <w:link w:val="ListBulletChar"/>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4B2960"/>
    <w:pPr>
      <w:numPr>
        <w:numId w:val="3"/>
      </w:numPr>
      <w:spacing w:after="80" w:line="260" w:lineRule="atLeast"/>
    </w:pPr>
    <w:rPr>
      <w:sz w:val="22"/>
    </w:rPr>
  </w:style>
  <w:style w:type="paragraph" w:styleId="ListNumber2">
    <w:name w:val="List Number 2"/>
    <w:basedOn w:val="Normal"/>
    <w:semiHidden/>
    <w:qFormat/>
    <w:rsid w:val="004A70D6"/>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aliases w:val="CEO_Hyperlink"/>
    <w:basedOn w:val="DefaultParagraphFont"/>
    <w:uiPriority w:val="99"/>
    <w:qFormat/>
    <w:rsid w:val="00C35CCE"/>
    <w:rPr>
      <w:color w:val="0000FF"/>
      <w:u w:val="single" w:color="0000FF"/>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uiPriority w:val="99"/>
    <w:qFormat/>
    <w:rsid w:val="00566AB4"/>
    <w:rPr>
      <w:rFonts w:ascii="Arial" w:hAnsi="Arial"/>
      <w:vertAlign w:val="superscript"/>
    </w:rPr>
  </w:style>
  <w:style w:type="paragraph" w:styleId="FootnoteText">
    <w:name w:val="footnote text"/>
    <w:aliases w:val="Footnote text,ACMA Footnote Text,ABA Footnote Text,footnote text,Footnote Text Char1,Footnote Text Char Char,Footnote Text Char1 Char Char,Footnote Text Char Char Char Char,Footnote Text Char1 Char Char Char Char,f,fn,ALTS FOOTNOTE"/>
    <w:basedOn w:val="Normal"/>
    <w:link w:val="FootnoteTextChar"/>
    <w:uiPriority w:val="99"/>
    <w:qFormat/>
    <w:rsid w:val="00A17B1B"/>
    <w:pPr>
      <w:spacing w:after="0" w:line="200" w:lineRule="atLeast"/>
    </w:pPr>
    <w:rPr>
      <w:sz w:val="16"/>
      <w:szCs w:val="16"/>
    </w:rPr>
  </w:style>
  <w:style w:type="paragraph" w:customStyle="1" w:styleId="TableBody">
    <w:name w:val="Table Body"/>
    <w:basedOn w:val="Normal"/>
    <w:uiPriority w:val="15"/>
    <w:qFormat/>
    <w:rsid w:val="004267B6"/>
    <w:pPr>
      <w:spacing w:after="0" w:line="240" w:lineRule="auto"/>
    </w:pPr>
    <w:rPr>
      <w:sz w:val="22"/>
    </w:r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qFormat/>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711ACA"/>
    <w:pPr>
      <w:numPr>
        <w:numId w:val="0"/>
      </w:numPr>
      <w:spacing w:line="280" w:lineRule="atLeast"/>
    </w:pPr>
    <w:rPr>
      <w:rFonts w:cs="Arial"/>
      <w:sz w:val="22"/>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711ACA"/>
    <w:pPr>
      <w:spacing w:line="280" w:lineRule="atLeast"/>
    </w:pPr>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711ACA"/>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711ACA"/>
    <w:rPr>
      <w:rFonts w:ascii="Arial" w:hAnsi="Arial" w:cs="Arial"/>
      <w:b/>
      <w:bCs/>
      <w:sz w:val="22"/>
      <w:szCs w:val="26"/>
    </w:rPr>
  </w:style>
  <w:style w:type="paragraph" w:customStyle="1" w:styleId="Paragraph">
    <w:name w:val="Paragraph"/>
    <w:basedOn w:val="Normal"/>
    <w:qFormat/>
    <w:rsid w:val="00711ACA"/>
    <w:pPr>
      <w:spacing w:line="280" w:lineRule="atLeast"/>
    </w:pPr>
    <w:rPr>
      <w:rFonts w:cs="Arial"/>
      <w:sz w:val="22"/>
    </w:rPr>
  </w:style>
  <w:style w:type="paragraph" w:customStyle="1" w:styleId="Bulletlevel2">
    <w:name w:val="Bullet level 2"/>
    <w:basedOn w:val="ListBullet2"/>
    <w:uiPriority w:val="7"/>
    <w:qFormat/>
    <w:rsid w:val="00711ACA"/>
    <w:pPr>
      <w:numPr>
        <w:numId w:val="15"/>
      </w:numPr>
      <w:tabs>
        <w:tab w:val="left" w:pos="295"/>
      </w:tabs>
      <w:spacing w:line="280" w:lineRule="atLeast"/>
    </w:pPr>
    <w:rPr>
      <w:rFonts w:cs="Arial"/>
      <w:sz w:val="22"/>
    </w:rPr>
  </w:style>
  <w:style w:type="paragraph" w:customStyle="1" w:styleId="Bulletlevel1last">
    <w:name w:val="Bullet level 1 last"/>
    <w:basedOn w:val="ListBulletLast"/>
    <w:uiPriority w:val="6"/>
    <w:qFormat/>
    <w:rsid w:val="00711ACA"/>
    <w:pPr>
      <w:numPr>
        <w:numId w:val="14"/>
      </w:numPr>
      <w:spacing w:line="280" w:lineRule="atLeast"/>
    </w:pPr>
    <w:rPr>
      <w:sz w:val="22"/>
    </w:rPr>
  </w:style>
  <w:style w:type="paragraph" w:customStyle="1" w:styleId="Numberlistlevel2">
    <w:name w:val="Number list level 2"/>
    <w:basedOn w:val="ListNumber2"/>
    <w:uiPriority w:val="11"/>
    <w:qFormat/>
    <w:rsid w:val="00711ACA"/>
    <w:pPr>
      <w:spacing w:line="280" w:lineRule="atLeast"/>
    </w:pPr>
    <w:rPr>
      <w:sz w:val="22"/>
    </w:rPr>
  </w:style>
  <w:style w:type="paragraph" w:customStyle="1" w:styleId="Numberlistlast">
    <w:name w:val="Number list last"/>
    <w:basedOn w:val="ListNumberLast"/>
    <w:uiPriority w:val="10"/>
    <w:qFormat/>
    <w:rsid w:val="00711ACA"/>
    <w:pPr>
      <w:spacing w:line="280" w:lineRule="atLeast"/>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16"/>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711ACA"/>
    <w:pPr>
      <w:keepNext/>
      <w:spacing w:line="28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711ACA"/>
    <w:pPr>
      <w:keepNext/>
      <w:spacing w:line="28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711ACA"/>
    <w:pPr>
      <w:spacing w:after="80"/>
    </w:pPr>
  </w:style>
  <w:style w:type="character" w:customStyle="1" w:styleId="FootnoteTextChar">
    <w:name w:val="Footnote Text Char"/>
    <w:aliases w:val="Footnote text Char,ACMA Footnote Text Char,ABA Footnote Text Char,footnote text Char,Footnote Text Char1 Char,Footnote Text Char Char Char,Footnote Text Char1 Char Char Char,Footnote Text Char Char Char Char Char,f Char,fn Char"/>
    <w:basedOn w:val="DefaultParagraphFont"/>
    <w:link w:val="FootnoteText"/>
    <w:uiPriority w:val="99"/>
    <w:qFormat/>
    <w:rsid w:val="005117AF"/>
    <w:rPr>
      <w:rFonts w:ascii="Arial" w:hAnsi="Arial"/>
      <w:sz w:val="16"/>
      <w:szCs w:val="16"/>
    </w:rPr>
  </w:style>
  <w:style w:type="paragraph" w:styleId="ListParagraph">
    <w:name w:val="List Paragraph"/>
    <w:basedOn w:val="Normal"/>
    <w:qFormat/>
    <w:rsid w:val="00317627"/>
    <w:pPr>
      <w:ind w:left="720"/>
      <w:contextualSpacing/>
    </w:pPr>
  </w:style>
  <w:style w:type="paragraph" w:customStyle="1" w:styleId="EMCletteredbulletpoint">
    <w:name w:val="EMC lettered bullet point"/>
    <w:basedOn w:val="ListParagraph"/>
    <w:rsid w:val="0069579C"/>
    <w:pPr>
      <w:numPr>
        <w:ilvl w:val="1"/>
        <w:numId w:val="28"/>
      </w:numPr>
      <w:spacing w:after="80"/>
      <w:contextualSpacing w:val="0"/>
    </w:pPr>
    <w:rPr>
      <w:rFonts w:cs="Arial"/>
      <w:sz w:val="22"/>
      <w:szCs w:val="20"/>
    </w:rPr>
  </w:style>
  <w:style w:type="paragraph" w:customStyle="1" w:styleId="Numberedparagraph">
    <w:name w:val="Numbered paragraph"/>
    <w:basedOn w:val="Normal"/>
    <w:qFormat/>
    <w:rsid w:val="0069579C"/>
    <w:pPr>
      <w:numPr>
        <w:numId w:val="28"/>
      </w:numPr>
      <w:spacing w:after="120"/>
    </w:pPr>
    <w:rPr>
      <w:rFonts w:cs="Arial"/>
      <w:sz w:val="22"/>
      <w:szCs w:val="20"/>
    </w:rPr>
  </w:style>
  <w:style w:type="character" w:styleId="Mention">
    <w:name w:val="Mention"/>
    <w:basedOn w:val="DefaultParagraphFont"/>
    <w:uiPriority w:val="99"/>
    <w:unhideWhenUsed/>
    <w:rsid w:val="00925542"/>
    <w:rPr>
      <w:color w:val="2B579A"/>
      <w:shd w:val="clear" w:color="auto" w:fill="E1DFDD"/>
    </w:rPr>
  </w:style>
  <w:style w:type="character" w:customStyle="1" w:styleId="ListBulletChar">
    <w:name w:val="List Bullet Char"/>
    <w:aliases w:val="List Bullet 1 Char,ACMA List Bullet 1 Char"/>
    <w:basedOn w:val="DefaultParagraphFont"/>
    <w:link w:val="ListBullet"/>
    <w:locked/>
    <w:rsid w:val="00DC10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1463">
      <w:bodyDiv w:val="1"/>
      <w:marLeft w:val="0"/>
      <w:marRight w:val="0"/>
      <w:marTop w:val="0"/>
      <w:marBottom w:val="0"/>
      <w:divBdr>
        <w:top w:val="none" w:sz="0" w:space="0" w:color="auto"/>
        <w:left w:val="none" w:sz="0" w:space="0" w:color="auto"/>
        <w:bottom w:val="none" w:sz="0" w:space="0" w:color="auto"/>
        <w:right w:val="none" w:sz="0" w:space="0" w:color="auto"/>
      </w:divBdr>
    </w:div>
    <w:div w:id="85732995">
      <w:bodyDiv w:val="1"/>
      <w:marLeft w:val="0"/>
      <w:marRight w:val="0"/>
      <w:marTop w:val="0"/>
      <w:marBottom w:val="0"/>
      <w:divBdr>
        <w:top w:val="none" w:sz="0" w:space="0" w:color="auto"/>
        <w:left w:val="none" w:sz="0" w:space="0" w:color="auto"/>
        <w:bottom w:val="none" w:sz="0" w:space="0" w:color="auto"/>
        <w:right w:val="none" w:sz="0" w:space="0" w:color="auto"/>
      </w:divBdr>
    </w:div>
    <w:div w:id="86511251">
      <w:bodyDiv w:val="1"/>
      <w:marLeft w:val="0"/>
      <w:marRight w:val="0"/>
      <w:marTop w:val="0"/>
      <w:marBottom w:val="0"/>
      <w:divBdr>
        <w:top w:val="none" w:sz="0" w:space="0" w:color="auto"/>
        <w:left w:val="none" w:sz="0" w:space="0" w:color="auto"/>
        <w:bottom w:val="none" w:sz="0" w:space="0" w:color="auto"/>
        <w:right w:val="none" w:sz="0" w:space="0" w:color="auto"/>
      </w:divBdr>
    </w:div>
    <w:div w:id="261769507">
      <w:bodyDiv w:val="1"/>
      <w:marLeft w:val="0"/>
      <w:marRight w:val="0"/>
      <w:marTop w:val="0"/>
      <w:marBottom w:val="0"/>
      <w:divBdr>
        <w:top w:val="none" w:sz="0" w:space="0" w:color="auto"/>
        <w:left w:val="none" w:sz="0" w:space="0" w:color="auto"/>
        <w:bottom w:val="none" w:sz="0" w:space="0" w:color="auto"/>
        <w:right w:val="none" w:sz="0" w:space="0" w:color="auto"/>
      </w:divBdr>
    </w:div>
    <w:div w:id="436220622">
      <w:bodyDiv w:val="1"/>
      <w:marLeft w:val="0"/>
      <w:marRight w:val="0"/>
      <w:marTop w:val="0"/>
      <w:marBottom w:val="0"/>
      <w:divBdr>
        <w:top w:val="none" w:sz="0" w:space="0" w:color="auto"/>
        <w:left w:val="none" w:sz="0" w:space="0" w:color="auto"/>
        <w:bottom w:val="none" w:sz="0" w:space="0" w:color="auto"/>
        <w:right w:val="none" w:sz="0" w:space="0" w:color="auto"/>
      </w:divBdr>
    </w:div>
    <w:div w:id="490024012">
      <w:bodyDiv w:val="1"/>
      <w:marLeft w:val="0"/>
      <w:marRight w:val="0"/>
      <w:marTop w:val="0"/>
      <w:marBottom w:val="0"/>
      <w:divBdr>
        <w:top w:val="none" w:sz="0" w:space="0" w:color="auto"/>
        <w:left w:val="none" w:sz="0" w:space="0" w:color="auto"/>
        <w:bottom w:val="none" w:sz="0" w:space="0" w:color="auto"/>
        <w:right w:val="none" w:sz="0" w:space="0" w:color="auto"/>
      </w:divBdr>
    </w:div>
    <w:div w:id="509107108">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605968250">
      <w:bodyDiv w:val="1"/>
      <w:marLeft w:val="0"/>
      <w:marRight w:val="0"/>
      <w:marTop w:val="0"/>
      <w:marBottom w:val="0"/>
      <w:divBdr>
        <w:top w:val="none" w:sz="0" w:space="0" w:color="auto"/>
        <w:left w:val="none" w:sz="0" w:space="0" w:color="auto"/>
        <w:bottom w:val="none" w:sz="0" w:space="0" w:color="auto"/>
        <w:right w:val="none" w:sz="0" w:space="0" w:color="auto"/>
      </w:divBdr>
    </w:div>
    <w:div w:id="628971402">
      <w:bodyDiv w:val="1"/>
      <w:marLeft w:val="0"/>
      <w:marRight w:val="0"/>
      <w:marTop w:val="0"/>
      <w:marBottom w:val="0"/>
      <w:divBdr>
        <w:top w:val="none" w:sz="0" w:space="0" w:color="auto"/>
        <w:left w:val="none" w:sz="0" w:space="0" w:color="auto"/>
        <w:bottom w:val="none" w:sz="0" w:space="0" w:color="auto"/>
        <w:right w:val="none" w:sz="0" w:space="0" w:color="auto"/>
      </w:divBdr>
    </w:div>
    <w:div w:id="842355783">
      <w:bodyDiv w:val="1"/>
      <w:marLeft w:val="0"/>
      <w:marRight w:val="0"/>
      <w:marTop w:val="0"/>
      <w:marBottom w:val="0"/>
      <w:divBdr>
        <w:top w:val="none" w:sz="0" w:space="0" w:color="auto"/>
        <w:left w:val="none" w:sz="0" w:space="0" w:color="auto"/>
        <w:bottom w:val="none" w:sz="0" w:space="0" w:color="auto"/>
        <w:right w:val="none" w:sz="0" w:space="0" w:color="auto"/>
      </w:divBdr>
    </w:div>
    <w:div w:id="878320484">
      <w:bodyDiv w:val="1"/>
      <w:marLeft w:val="0"/>
      <w:marRight w:val="0"/>
      <w:marTop w:val="0"/>
      <w:marBottom w:val="0"/>
      <w:divBdr>
        <w:top w:val="none" w:sz="0" w:space="0" w:color="auto"/>
        <w:left w:val="none" w:sz="0" w:space="0" w:color="auto"/>
        <w:bottom w:val="none" w:sz="0" w:space="0" w:color="auto"/>
        <w:right w:val="none" w:sz="0" w:space="0" w:color="auto"/>
      </w:divBdr>
    </w:div>
    <w:div w:id="938607418">
      <w:bodyDiv w:val="1"/>
      <w:marLeft w:val="0"/>
      <w:marRight w:val="0"/>
      <w:marTop w:val="0"/>
      <w:marBottom w:val="0"/>
      <w:divBdr>
        <w:top w:val="none" w:sz="0" w:space="0" w:color="auto"/>
        <w:left w:val="none" w:sz="0" w:space="0" w:color="auto"/>
        <w:bottom w:val="none" w:sz="0" w:space="0" w:color="auto"/>
        <w:right w:val="none" w:sz="0" w:space="0" w:color="auto"/>
      </w:divBdr>
    </w:div>
    <w:div w:id="993337681">
      <w:bodyDiv w:val="1"/>
      <w:marLeft w:val="0"/>
      <w:marRight w:val="0"/>
      <w:marTop w:val="0"/>
      <w:marBottom w:val="0"/>
      <w:divBdr>
        <w:top w:val="none" w:sz="0" w:space="0" w:color="auto"/>
        <w:left w:val="none" w:sz="0" w:space="0" w:color="auto"/>
        <w:bottom w:val="none" w:sz="0" w:space="0" w:color="auto"/>
        <w:right w:val="none" w:sz="0" w:space="0" w:color="auto"/>
      </w:divBdr>
    </w:div>
    <w:div w:id="1072312724">
      <w:bodyDiv w:val="1"/>
      <w:marLeft w:val="0"/>
      <w:marRight w:val="0"/>
      <w:marTop w:val="0"/>
      <w:marBottom w:val="0"/>
      <w:divBdr>
        <w:top w:val="none" w:sz="0" w:space="0" w:color="auto"/>
        <w:left w:val="none" w:sz="0" w:space="0" w:color="auto"/>
        <w:bottom w:val="none" w:sz="0" w:space="0" w:color="auto"/>
        <w:right w:val="none" w:sz="0" w:space="0" w:color="auto"/>
      </w:divBdr>
    </w:div>
    <w:div w:id="1185636703">
      <w:bodyDiv w:val="1"/>
      <w:marLeft w:val="0"/>
      <w:marRight w:val="0"/>
      <w:marTop w:val="0"/>
      <w:marBottom w:val="0"/>
      <w:divBdr>
        <w:top w:val="none" w:sz="0" w:space="0" w:color="auto"/>
        <w:left w:val="none" w:sz="0" w:space="0" w:color="auto"/>
        <w:bottom w:val="none" w:sz="0" w:space="0" w:color="auto"/>
        <w:right w:val="none" w:sz="0" w:space="0" w:color="auto"/>
      </w:divBdr>
    </w:div>
    <w:div w:id="1313097971">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422331261">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581523164">
      <w:bodyDiv w:val="1"/>
      <w:marLeft w:val="0"/>
      <w:marRight w:val="0"/>
      <w:marTop w:val="0"/>
      <w:marBottom w:val="0"/>
      <w:divBdr>
        <w:top w:val="none" w:sz="0" w:space="0" w:color="auto"/>
        <w:left w:val="none" w:sz="0" w:space="0" w:color="auto"/>
        <w:bottom w:val="none" w:sz="0" w:space="0" w:color="auto"/>
        <w:right w:val="none" w:sz="0" w:space="0" w:color="auto"/>
      </w:divBdr>
    </w:div>
    <w:div w:id="1830629688">
      <w:bodyDiv w:val="1"/>
      <w:marLeft w:val="0"/>
      <w:marRight w:val="0"/>
      <w:marTop w:val="0"/>
      <w:marBottom w:val="0"/>
      <w:divBdr>
        <w:top w:val="none" w:sz="0" w:space="0" w:color="auto"/>
        <w:left w:val="none" w:sz="0" w:space="0" w:color="auto"/>
        <w:bottom w:val="none" w:sz="0" w:space="0" w:color="auto"/>
        <w:right w:val="none" w:sz="0" w:space="0" w:color="auto"/>
      </w:divBdr>
    </w:div>
    <w:div w:id="1908303322">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1988246388">
      <w:bodyDiv w:val="1"/>
      <w:marLeft w:val="0"/>
      <w:marRight w:val="0"/>
      <w:marTop w:val="0"/>
      <w:marBottom w:val="0"/>
      <w:divBdr>
        <w:top w:val="none" w:sz="0" w:space="0" w:color="auto"/>
        <w:left w:val="none" w:sz="0" w:space="0" w:color="auto"/>
        <w:bottom w:val="none" w:sz="0" w:space="0" w:color="auto"/>
        <w:right w:val="none" w:sz="0" w:space="0" w:color="auto"/>
      </w:divBdr>
    </w:div>
    <w:div w:id="1988312709">
      <w:bodyDiv w:val="1"/>
      <w:marLeft w:val="0"/>
      <w:marRight w:val="0"/>
      <w:marTop w:val="0"/>
      <w:marBottom w:val="0"/>
      <w:divBdr>
        <w:top w:val="none" w:sz="0" w:space="0" w:color="auto"/>
        <w:left w:val="none" w:sz="0" w:space="0" w:color="auto"/>
        <w:bottom w:val="none" w:sz="0" w:space="0" w:color="auto"/>
        <w:right w:val="none" w:sz="0" w:space="0" w:color="auto"/>
      </w:divBdr>
    </w:div>
    <w:div w:id="2112505410">
      <w:bodyDiv w:val="1"/>
      <w:marLeft w:val="0"/>
      <w:marRight w:val="0"/>
      <w:marTop w:val="0"/>
      <w:marBottom w:val="0"/>
      <w:divBdr>
        <w:top w:val="none" w:sz="0" w:space="0" w:color="auto"/>
        <w:left w:val="none" w:sz="0" w:space="0" w:color="auto"/>
        <w:bottom w:val="none" w:sz="0" w:space="0" w:color="auto"/>
        <w:right w:val="none" w:sz="0" w:space="0" w:color="auto"/>
      </w:divBdr>
    </w:div>
    <w:div w:id="21368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cma.gov.au/consultations/2023-11/2-ghz-mss-technical-parameters-and-demand-considerations" TargetMode="External"/><Relationship Id="rId39" Type="http://schemas.openxmlformats.org/officeDocument/2006/relationships/hyperlink" Target="https://www.acma.gov.au/licences/public-telecommunications-service-pts-licence" TargetMode="External"/><Relationship Id="rId21" Type="http://schemas.openxmlformats.org/officeDocument/2006/relationships/header" Target="header5.xml"/><Relationship Id="rId34" Type="http://schemas.openxmlformats.org/officeDocument/2006/relationships/image" Target="media/image5.png"/><Relationship Id="rId42" Type="http://schemas.openxmlformats.org/officeDocument/2006/relationships/hyperlink" Target="https://www.acma.gov.au/publication-submissions" TargetMode="Externa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image" Target="media/image4.png"/><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infrastructure.gov.au/department/media/news/universal-outdoor-mobile-obligation-improve-outdoor-mobile-coverage-across-australia" TargetMode="External"/><Relationship Id="rId37" Type="http://schemas.openxmlformats.org/officeDocument/2006/relationships/hyperlink" Target="https://www.acma.gov.au/about-spectrum-auctions" TargetMode="External"/><Relationship Id="rId40" Type="http://schemas.openxmlformats.org/officeDocument/2006/relationships/hyperlink" Target="https://www.acma.gov.au/have-your-say" TargetMode="Externa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yperlink" Target="https://www.legislation.gov.au/F2025L00260/asmade/text" TargetMode="External"/><Relationship Id="rId36" Type="http://schemas.openxmlformats.org/officeDocument/2006/relationships/hyperlink" Target="https://www.acma.gov.au/publications/2021-03/rules/our-approach-radiocommunications-licensing-and-allocation-2025"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w.officeapps.live.com/op/view.aspx?src=https%3A%2F%2Fwww.acma.gov.au%2Fsites%2Fdefault%2Ffiles%2F2022-09%2F3_Replanning-the-2-GHz-band-Outcomes-paper.docx&amp;wdOrigin=BROWSELINK" TargetMode="External"/><Relationship Id="rId44"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legislation.gov.au/F2025L00259/asmade/text" TargetMode="External"/><Relationship Id="rId30" Type="http://schemas.openxmlformats.org/officeDocument/2006/relationships/hyperlink" Target="https://minister.infrastructure.gov.au/rowland/media-release/new-statement-expectations-acma" TargetMode="External"/><Relationship Id="rId35" Type="http://schemas.openxmlformats.org/officeDocument/2006/relationships/hyperlink" Target="https://www.infrastructure.gov.au/media-centre/publications/spectrum-pricing-review" TargetMode="External"/><Relationship Id="rId43" Type="http://schemas.openxmlformats.org/officeDocument/2006/relationships/hyperlink" Target="https://www.acma.gov.au/privacy-policy" TargetMode="External"/><Relationship Id="rId48"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s://www.acma.gov.au/publications/2021-03/rules/our-approach-radiocommunications-licensing-and-allocation-2025" TargetMode="External"/><Relationship Id="rId38" Type="http://schemas.openxmlformats.org/officeDocument/2006/relationships/hyperlink" Target="https://www.itu.int/ITU-R/space/asreceived/Publication/AsReceived" TargetMode="External"/><Relationship Id="rId46" Type="http://schemas.openxmlformats.org/officeDocument/2006/relationships/header" Target="header8.xml"/><Relationship Id="rId20" Type="http://schemas.openxmlformats.org/officeDocument/2006/relationships/footer" Target="footer3.xml"/><Relationship Id="rId41" Type="http://schemas.openxmlformats.org/officeDocument/2006/relationships/hyperlink" Target="mailto:SpectrumAllocations@acma.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acma.gov.au/rrl/client_search.client_lookup?pCLIENT_NO=20053490" TargetMode="External"/><Relationship Id="rId13" Type="http://schemas.openxmlformats.org/officeDocument/2006/relationships/hyperlink" Target="https://www.acma.gov.au/publications/2020-08/guide/submission-and-processing-applications-space-and-space-receive-apparatus-licences" TargetMode="External"/><Relationship Id="rId18" Type="http://schemas.openxmlformats.org/officeDocument/2006/relationships/hyperlink" Target="https://www.acma.gov.au/2-ghz-band-review" TargetMode="External"/><Relationship Id="rId26" Type="http://schemas.openxmlformats.org/officeDocument/2006/relationships/hyperlink" Target="https://www.itu.int/en/ITU-R/space/Pages/prefaceMain.aspx" TargetMode="External"/><Relationship Id="rId3" Type="http://schemas.openxmlformats.org/officeDocument/2006/relationships/hyperlink" Target="https://www.acma.gov.au/sites/default/files/2022-11/6_Review%20of%20the%202%20GHz%20TOB%20band%20plan%20-%20Response%20to%20submissions.docx" TargetMode="External"/><Relationship Id="rId21" Type="http://schemas.openxmlformats.org/officeDocument/2006/relationships/hyperlink" Target="https://web.acma.gov.au/rrl/client_search.client_lookup?pCLIENT_NO=20014769" TargetMode="External"/><Relationship Id="rId7" Type="http://schemas.openxmlformats.org/officeDocument/2006/relationships/hyperlink" Target="https://web.acma.gov.au/rrl/client_search.client_lookup?pCLIENT_NO=20014769" TargetMode="External"/><Relationship Id="rId12" Type="http://schemas.openxmlformats.org/officeDocument/2006/relationships/hyperlink" Target="https://www.legislation.gov.au/F2025L00261/asmade/text" TargetMode="External"/><Relationship Id="rId17" Type="http://schemas.openxmlformats.org/officeDocument/2006/relationships/hyperlink" Target="https://www.legislation.gov.au/F2025L00261/latest/text" TargetMode="External"/><Relationship Id="rId25" Type="http://schemas.openxmlformats.org/officeDocument/2006/relationships/hyperlink" Target="https://www.acma.gov.au/publications/2020-08/guide/submission-and-processing-applications-space-and-space-receive-apparatus-licences" TargetMode="External"/><Relationship Id="rId2" Type="http://schemas.openxmlformats.org/officeDocument/2006/relationships/hyperlink" Target="https://www.legislation.gov.au/F2021L00617/latest/text" TargetMode="External"/><Relationship Id="rId16" Type="http://schemas.openxmlformats.org/officeDocument/2006/relationships/hyperlink" Target="https://www.itu.int/en/ITU-R/study-groups/rsg4/Pages/imt-2020-sat-submission-eval.aspx" TargetMode="External"/><Relationship Id="rId20" Type="http://schemas.openxmlformats.org/officeDocument/2006/relationships/hyperlink" Target="https://web.acma.gov.au/rrl/client_search.client_lookup?pCLIENT_NO=20053234" TargetMode="External"/><Relationship Id="rId1" Type="http://schemas.openxmlformats.org/officeDocument/2006/relationships/hyperlink" Target="https://www.acma.gov.au/2-ghz-band-review" TargetMode="External"/><Relationship Id="rId6" Type="http://schemas.openxmlformats.org/officeDocument/2006/relationships/hyperlink" Target="https://web.acma.gov.au/rrl/client_search.client_lookup?pCLIENT_NO=20053234" TargetMode="External"/><Relationship Id="rId11" Type="http://schemas.openxmlformats.org/officeDocument/2006/relationships/hyperlink" Target="https://www.acma.gov.au/five-year-spectrum-outlook" TargetMode="External"/><Relationship Id="rId24" Type="http://schemas.openxmlformats.org/officeDocument/2006/relationships/hyperlink" Target="https://www.acma.gov.au/publications/2024-09/guide/regulatory-guide-operation-imt-satellite-direct-mobile-service" TargetMode="External"/><Relationship Id="rId5" Type="http://schemas.openxmlformats.org/officeDocument/2006/relationships/hyperlink" Target="https://web.acma.gov.au/rrl/client_search.client_lookup?pCLIENT_NO=20037933" TargetMode="External"/><Relationship Id="rId15" Type="http://schemas.openxmlformats.org/officeDocument/2006/relationships/hyperlink" Target="https://www.itu.int/md/R00-SG04-CIR-0134/en" TargetMode="External"/><Relationship Id="rId23" Type="http://schemas.openxmlformats.org/officeDocument/2006/relationships/hyperlink" Target="https://web.acma.gov.au/rrl/licence_search.licence_lookup?pLICENCE_NO=12344425/1" TargetMode="External"/><Relationship Id="rId10" Type="http://schemas.openxmlformats.org/officeDocument/2006/relationships/hyperlink" Target="https://www.acma.gov.au/consultations/2023-11/2-ghz-mss-technical-parameters-and-demand-considerations" TargetMode="External"/><Relationship Id="rId19" Type="http://schemas.openxmlformats.org/officeDocument/2006/relationships/hyperlink" Target="https://web.acma.gov.au/rrl/client_search.client_lookup?pCLIENT_NO=20037933" TargetMode="External"/><Relationship Id="rId4" Type="http://schemas.openxmlformats.org/officeDocument/2006/relationships/hyperlink" Target="https://www.legislation.gov.au/F2022L00843/latest/text" TargetMode="External"/><Relationship Id="rId9" Type="http://schemas.openxmlformats.org/officeDocument/2006/relationships/hyperlink" Target="https://web.acma.gov.au/rrl/licence_search.licence_lookup?pLICENCE_NO=12344425/1" TargetMode="External"/><Relationship Id="rId14" Type="http://schemas.openxmlformats.org/officeDocument/2006/relationships/hyperlink" Target="https://www.itu.int/pub/R-REG-RR" TargetMode="External"/><Relationship Id="rId22" Type="http://schemas.openxmlformats.org/officeDocument/2006/relationships/hyperlink" Target="https://web.acma.gov.au/rrl/client_search.client_lookup?pCLIENT_NO=200534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SharedWithUsers xmlns="fb919850-406e-4d20-9cee-cf3a5517223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8" ma:contentTypeDescription="Create a new document." ma:contentTypeScope="" ma:versionID="85a454bb0f83b393c2685738c871c716">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d431409a7e6b242cae8a8be980fe1ab"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36ea6b-f371-41c9-afaf-5925768188c8}"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9360-A962-4A73-8577-1303A045791C}">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fb919850-406e-4d20-9cee-cf3a55172231"/>
    <ds:schemaRef ds:uri="85d45f94-32ec-4546-b73b-9a684839492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097AA30-C84F-4008-B757-755D75899A1E}">
  <ds:schemaRefs>
    <ds:schemaRef ds:uri="http://schemas.microsoft.com/sharepoint/v3/contenttype/forms"/>
  </ds:schemaRefs>
</ds:datastoreItem>
</file>

<file path=customXml/itemProps3.xml><?xml version="1.0" encoding="utf-8"?>
<ds:datastoreItem xmlns:ds="http://schemas.openxmlformats.org/officeDocument/2006/customXml" ds:itemID="{90A2108F-7AD7-4BAE-9E8F-92F66C403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12997</Words>
  <Characters>74085</Characters>
  <Application>Microsoft Office Word</Application>
  <DocSecurity>4</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86909</CharactersWithSpaces>
  <SharedDoc>false</SharedDoc>
  <HyperlinkBase/>
  <HLinks>
    <vt:vector size="594" baseType="variant">
      <vt:variant>
        <vt:i4>2097192</vt:i4>
      </vt:variant>
      <vt:variant>
        <vt:i4>354</vt:i4>
      </vt:variant>
      <vt:variant>
        <vt:i4>0</vt:i4>
      </vt:variant>
      <vt:variant>
        <vt:i4>5</vt:i4>
      </vt:variant>
      <vt:variant>
        <vt:lpwstr>https://www.acma.gov.au/privacy-policy</vt:lpwstr>
      </vt:variant>
      <vt:variant>
        <vt:lpwstr/>
      </vt:variant>
      <vt:variant>
        <vt:i4>3473455</vt:i4>
      </vt:variant>
      <vt:variant>
        <vt:i4>351</vt:i4>
      </vt:variant>
      <vt:variant>
        <vt:i4>0</vt:i4>
      </vt:variant>
      <vt:variant>
        <vt:i4>5</vt:i4>
      </vt:variant>
      <vt:variant>
        <vt:lpwstr>https://www.acma.gov.au/publication-submissions</vt:lpwstr>
      </vt:variant>
      <vt:variant>
        <vt:lpwstr/>
      </vt:variant>
      <vt:variant>
        <vt:i4>6619153</vt:i4>
      </vt:variant>
      <vt:variant>
        <vt:i4>348</vt:i4>
      </vt:variant>
      <vt:variant>
        <vt:i4>0</vt:i4>
      </vt:variant>
      <vt:variant>
        <vt:i4>5</vt:i4>
      </vt:variant>
      <vt:variant>
        <vt:lpwstr>mailto:SpectrumAllocations@acma.gov.au</vt:lpwstr>
      </vt:variant>
      <vt:variant>
        <vt:lpwstr/>
      </vt:variant>
      <vt:variant>
        <vt:i4>5308427</vt:i4>
      </vt:variant>
      <vt:variant>
        <vt:i4>345</vt:i4>
      </vt:variant>
      <vt:variant>
        <vt:i4>0</vt:i4>
      </vt:variant>
      <vt:variant>
        <vt:i4>5</vt:i4>
      </vt:variant>
      <vt:variant>
        <vt:lpwstr>https://www.acma.gov.au/have-your-say</vt:lpwstr>
      </vt:variant>
      <vt:variant>
        <vt:lpwstr/>
      </vt:variant>
      <vt:variant>
        <vt:i4>3276845</vt:i4>
      </vt:variant>
      <vt:variant>
        <vt:i4>342</vt:i4>
      </vt:variant>
      <vt:variant>
        <vt:i4>0</vt:i4>
      </vt:variant>
      <vt:variant>
        <vt:i4>5</vt:i4>
      </vt:variant>
      <vt:variant>
        <vt:lpwstr>https://www.acma.gov.au/licences/public-telecommunications-service-pts-licence</vt:lpwstr>
      </vt:variant>
      <vt:variant>
        <vt:lpwstr/>
      </vt:variant>
      <vt:variant>
        <vt:i4>1638464</vt:i4>
      </vt:variant>
      <vt:variant>
        <vt:i4>339</vt:i4>
      </vt:variant>
      <vt:variant>
        <vt:i4>0</vt:i4>
      </vt:variant>
      <vt:variant>
        <vt:i4>5</vt:i4>
      </vt:variant>
      <vt:variant>
        <vt:lpwstr>https://www.itu.int/ITU-R/space/asreceived/Publication/AsReceived</vt:lpwstr>
      </vt:variant>
      <vt:variant>
        <vt:lpwstr/>
      </vt:variant>
      <vt:variant>
        <vt:i4>6946821</vt:i4>
      </vt:variant>
      <vt:variant>
        <vt:i4>336</vt:i4>
      </vt:variant>
      <vt:variant>
        <vt:i4>0</vt:i4>
      </vt:variant>
      <vt:variant>
        <vt:i4>5</vt:i4>
      </vt:variant>
      <vt:variant>
        <vt:lpwstr/>
      </vt:variant>
      <vt:variant>
        <vt:lpwstr>_Appendix_A:_Overview</vt:lpwstr>
      </vt:variant>
      <vt:variant>
        <vt:i4>2490488</vt:i4>
      </vt:variant>
      <vt:variant>
        <vt:i4>333</vt:i4>
      </vt:variant>
      <vt:variant>
        <vt:i4>0</vt:i4>
      </vt:variant>
      <vt:variant>
        <vt:i4>5</vt:i4>
      </vt:variant>
      <vt:variant>
        <vt:lpwstr>https://www.acma.gov.au/about-spectrum-auctions</vt:lpwstr>
      </vt:variant>
      <vt:variant>
        <vt:lpwstr/>
      </vt:variant>
      <vt:variant>
        <vt:i4>1179658</vt:i4>
      </vt:variant>
      <vt:variant>
        <vt:i4>330</vt:i4>
      </vt:variant>
      <vt:variant>
        <vt:i4>0</vt:i4>
      </vt:variant>
      <vt:variant>
        <vt:i4>5</vt:i4>
      </vt:variant>
      <vt:variant>
        <vt:lpwstr>https://www.acma.gov.au/publications/2021-03/rules/our-approach-radiocommunications-licensing-and-allocation-2025</vt:lpwstr>
      </vt:variant>
      <vt:variant>
        <vt:lpwstr/>
      </vt:variant>
      <vt:variant>
        <vt:i4>6553725</vt:i4>
      </vt:variant>
      <vt:variant>
        <vt:i4>327</vt:i4>
      </vt:variant>
      <vt:variant>
        <vt:i4>0</vt:i4>
      </vt:variant>
      <vt:variant>
        <vt:i4>5</vt:i4>
      </vt:variant>
      <vt:variant>
        <vt:lpwstr>https://www.infrastructure.gov.au/media-centre/publications/spectrum-pricing-review</vt:lpwstr>
      </vt:variant>
      <vt:variant>
        <vt:lpwstr/>
      </vt:variant>
      <vt:variant>
        <vt:i4>2424916</vt:i4>
      </vt:variant>
      <vt:variant>
        <vt:i4>324</vt:i4>
      </vt:variant>
      <vt:variant>
        <vt:i4>0</vt:i4>
      </vt:variant>
      <vt:variant>
        <vt:i4>5</vt:i4>
      </vt:variant>
      <vt:variant>
        <vt:lpwstr/>
      </vt:variant>
      <vt:variant>
        <vt:lpwstr>_Licence_term,_commencement</vt:lpwstr>
      </vt:variant>
      <vt:variant>
        <vt:i4>7340140</vt:i4>
      </vt:variant>
      <vt:variant>
        <vt:i4>321</vt:i4>
      </vt:variant>
      <vt:variant>
        <vt:i4>0</vt:i4>
      </vt:variant>
      <vt:variant>
        <vt:i4>5</vt:i4>
      </vt:variant>
      <vt:variant>
        <vt:lpwstr/>
      </vt:variant>
      <vt:variant>
        <vt:lpwstr>_Auction_format</vt:lpwstr>
      </vt:variant>
      <vt:variant>
        <vt:i4>7340140</vt:i4>
      </vt:variant>
      <vt:variant>
        <vt:i4>318</vt:i4>
      </vt:variant>
      <vt:variant>
        <vt:i4>0</vt:i4>
      </vt:variant>
      <vt:variant>
        <vt:i4>5</vt:i4>
      </vt:variant>
      <vt:variant>
        <vt:lpwstr/>
      </vt:variant>
      <vt:variant>
        <vt:lpwstr>_Auction_format</vt:lpwstr>
      </vt:variant>
      <vt:variant>
        <vt:i4>4718668</vt:i4>
      </vt:variant>
      <vt:variant>
        <vt:i4>315</vt:i4>
      </vt:variant>
      <vt:variant>
        <vt:i4>0</vt:i4>
      </vt:variant>
      <vt:variant>
        <vt:i4>5</vt:i4>
      </vt:variant>
      <vt:variant>
        <vt:lpwstr/>
      </vt:variant>
      <vt:variant>
        <vt:lpwstr>_Allocation_methodology</vt:lpwstr>
      </vt:variant>
      <vt:variant>
        <vt:i4>7340140</vt:i4>
      </vt:variant>
      <vt:variant>
        <vt:i4>312</vt:i4>
      </vt:variant>
      <vt:variant>
        <vt:i4>0</vt:i4>
      </vt:variant>
      <vt:variant>
        <vt:i4>5</vt:i4>
      </vt:variant>
      <vt:variant>
        <vt:lpwstr/>
      </vt:variant>
      <vt:variant>
        <vt:lpwstr>_Auction_format</vt:lpwstr>
      </vt:variant>
      <vt:variant>
        <vt:i4>7340140</vt:i4>
      </vt:variant>
      <vt:variant>
        <vt:i4>309</vt:i4>
      </vt:variant>
      <vt:variant>
        <vt:i4>0</vt:i4>
      </vt:variant>
      <vt:variant>
        <vt:i4>5</vt:i4>
      </vt:variant>
      <vt:variant>
        <vt:lpwstr/>
      </vt:variant>
      <vt:variant>
        <vt:lpwstr>_Auction_format</vt:lpwstr>
      </vt:variant>
      <vt:variant>
        <vt:i4>1179658</vt:i4>
      </vt:variant>
      <vt:variant>
        <vt:i4>303</vt:i4>
      </vt:variant>
      <vt:variant>
        <vt:i4>0</vt:i4>
      </vt:variant>
      <vt:variant>
        <vt:i4>5</vt:i4>
      </vt:variant>
      <vt:variant>
        <vt:lpwstr>https://www.acma.gov.au/publications/2021-03/rules/our-approach-radiocommunications-licensing-and-allocation-2025</vt:lpwstr>
      </vt:variant>
      <vt:variant>
        <vt:lpwstr/>
      </vt:variant>
      <vt:variant>
        <vt:i4>4784158</vt:i4>
      </vt:variant>
      <vt:variant>
        <vt:i4>300</vt:i4>
      </vt:variant>
      <vt:variant>
        <vt:i4>0</vt:i4>
      </vt:variant>
      <vt:variant>
        <vt:i4>5</vt:i4>
      </vt:variant>
      <vt:variant>
        <vt:lpwstr>https://www.infrastructure.gov.au/department/media/news/universal-outdoor-mobile-obligation-improve-outdoor-mobile-coverage-across-australia</vt:lpwstr>
      </vt:variant>
      <vt:variant>
        <vt:lpwstr/>
      </vt:variant>
      <vt:variant>
        <vt:i4>7667805</vt:i4>
      </vt:variant>
      <vt:variant>
        <vt:i4>297</vt:i4>
      </vt:variant>
      <vt:variant>
        <vt:i4>0</vt:i4>
      </vt:variant>
      <vt:variant>
        <vt:i4>5</vt:i4>
      </vt:variant>
      <vt:variant>
        <vt:lpwstr>https://view.officeapps.live.com/op/view.aspx?src=https%3A%2F%2Fwww.acma.gov.au%2Fsites%2Fdefault%2Ffiles%2F2022-09%2F3_Replanning-the-2-GHz-band-Outcomes-paper.docx&amp;wdOrigin=BROWSELINK</vt:lpwstr>
      </vt:variant>
      <vt:variant>
        <vt:lpwstr/>
      </vt:variant>
      <vt:variant>
        <vt:i4>5636126</vt:i4>
      </vt:variant>
      <vt:variant>
        <vt:i4>294</vt:i4>
      </vt:variant>
      <vt:variant>
        <vt:i4>0</vt:i4>
      </vt:variant>
      <vt:variant>
        <vt:i4>5</vt:i4>
      </vt:variant>
      <vt:variant>
        <vt:lpwstr>https://minister.infrastructure.gov.au/rowland/media-release/new-statement-expectations-acma</vt:lpwstr>
      </vt:variant>
      <vt:variant>
        <vt:lpwstr/>
      </vt:variant>
      <vt:variant>
        <vt:i4>3014719</vt:i4>
      </vt:variant>
      <vt:variant>
        <vt:i4>291</vt:i4>
      </vt:variant>
      <vt:variant>
        <vt:i4>0</vt:i4>
      </vt:variant>
      <vt:variant>
        <vt:i4>5</vt:i4>
      </vt:variant>
      <vt:variant>
        <vt:lpwstr>https://www.legislation.gov.au/F2025L00260/asmade/text</vt:lpwstr>
      </vt:variant>
      <vt:variant>
        <vt:lpwstr/>
      </vt:variant>
      <vt:variant>
        <vt:i4>2555964</vt:i4>
      </vt:variant>
      <vt:variant>
        <vt:i4>288</vt:i4>
      </vt:variant>
      <vt:variant>
        <vt:i4>0</vt:i4>
      </vt:variant>
      <vt:variant>
        <vt:i4>5</vt:i4>
      </vt:variant>
      <vt:variant>
        <vt:lpwstr>https://www.legislation.gov.au/F2025L00259/asmade/text</vt:lpwstr>
      </vt:variant>
      <vt:variant>
        <vt:lpwstr/>
      </vt:variant>
      <vt:variant>
        <vt:i4>7405673</vt:i4>
      </vt:variant>
      <vt:variant>
        <vt:i4>285</vt:i4>
      </vt:variant>
      <vt:variant>
        <vt:i4>0</vt:i4>
      </vt:variant>
      <vt:variant>
        <vt:i4>5</vt:i4>
      </vt:variant>
      <vt:variant>
        <vt:lpwstr>https://www.acma.gov.au/consultations/2023-11/2-ghz-mss-technical-parameters-and-demand-considerations</vt:lpwstr>
      </vt:variant>
      <vt:variant>
        <vt:lpwstr/>
      </vt:variant>
      <vt:variant>
        <vt:i4>3145736</vt:i4>
      </vt:variant>
      <vt:variant>
        <vt:i4>282</vt:i4>
      </vt:variant>
      <vt:variant>
        <vt:i4>0</vt:i4>
      </vt:variant>
      <vt:variant>
        <vt:i4>5</vt:i4>
      </vt:variant>
      <vt:variant>
        <vt:lpwstr/>
      </vt:variant>
      <vt:variant>
        <vt:lpwstr>_Space_regulatory_matters</vt:lpwstr>
      </vt:variant>
      <vt:variant>
        <vt:i4>4718666</vt:i4>
      </vt:variant>
      <vt:variant>
        <vt:i4>279</vt:i4>
      </vt:variant>
      <vt:variant>
        <vt:i4>0</vt:i4>
      </vt:variant>
      <vt:variant>
        <vt:i4>5</vt:i4>
      </vt:variant>
      <vt:variant>
        <vt:lpwstr/>
      </vt:variant>
      <vt:variant>
        <vt:lpwstr>_Allocation_design</vt:lpwstr>
      </vt:variant>
      <vt:variant>
        <vt:i4>8126549</vt:i4>
      </vt:variant>
      <vt:variant>
        <vt:i4>276</vt:i4>
      </vt:variant>
      <vt:variant>
        <vt:i4>0</vt:i4>
      </vt:variant>
      <vt:variant>
        <vt:i4>5</vt:i4>
      </vt:variant>
      <vt:variant>
        <vt:lpwstr/>
      </vt:variant>
      <vt:variant>
        <vt:lpwstr>_Issues_for_comment</vt:lpwstr>
      </vt:variant>
      <vt:variant>
        <vt:i4>1179701</vt:i4>
      </vt:variant>
      <vt:variant>
        <vt:i4>269</vt:i4>
      </vt:variant>
      <vt:variant>
        <vt:i4>0</vt:i4>
      </vt:variant>
      <vt:variant>
        <vt:i4>5</vt:i4>
      </vt:variant>
      <vt:variant>
        <vt:lpwstr/>
      </vt:variant>
      <vt:variant>
        <vt:lpwstr>_Toc201834596</vt:lpwstr>
      </vt:variant>
      <vt:variant>
        <vt:i4>1179701</vt:i4>
      </vt:variant>
      <vt:variant>
        <vt:i4>263</vt:i4>
      </vt:variant>
      <vt:variant>
        <vt:i4>0</vt:i4>
      </vt:variant>
      <vt:variant>
        <vt:i4>5</vt:i4>
      </vt:variant>
      <vt:variant>
        <vt:lpwstr/>
      </vt:variant>
      <vt:variant>
        <vt:lpwstr>_Toc201834595</vt:lpwstr>
      </vt:variant>
      <vt:variant>
        <vt:i4>1179701</vt:i4>
      </vt:variant>
      <vt:variant>
        <vt:i4>257</vt:i4>
      </vt:variant>
      <vt:variant>
        <vt:i4>0</vt:i4>
      </vt:variant>
      <vt:variant>
        <vt:i4>5</vt:i4>
      </vt:variant>
      <vt:variant>
        <vt:lpwstr/>
      </vt:variant>
      <vt:variant>
        <vt:lpwstr>_Toc201834594</vt:lpwstr>
      </vt:variant>
      <vt:variant>
        <vt:i4>1179701</vt:i4>
      </vt:variant>
      <vt:variant>
        <vt:i4>251</vt:i4>
      </vt:variant>
      <vt:variant>
        <vt:i4>0</vt:i4>
      </vt:variant>
      <vt:variant>
        <vt:i4>5</vt:i4>
      </vt:variant>
      <vt:variant>
        <vt:lpwstr/>
      </vt:variant>
      <vt:variant>
        <vt:lpwstr>_Toc201834593</vt:lpwstr>
      </vt:variant>
      <vt:variant>
        <vt:i4>1179701</vt:i4>
      </vt:variant>
      <vt:variant>
        <vt:i4>245</vt:i4>
      </vt:variant>
      <vt:variant>
        <vt:i4>0</vt:i4>
      </vt:variant>
      <vt:variant>
        <vt:i4>5</vt:i4>
      </vt:variant>
      <vt:variant>
        <vt:lpwstr/>
      </vt:variant>
      <vt:variant>
        <vt:lpwstr>_Toc201834592</vt:lpwstr>
      </vt:variant>
      <vt:variant>
        <vt:i4>1179701</vt:i4>
      </vt:variant>
      <vt:variant>
        <vt:i4>239</vt:i4>
      </vt:variant>
      <vt:variant>
        <vt:i4>0</vt:i4>
      </vt:variant>
      <vt:variant>
        <vt:i4>5</vt:i4>
      </vt:variant>
      <vt:variant>
        <vt:lpwstr/>
      </vt:variant>
      <vt:variant>
        <vt:lpwstr>_Toc201834591</vt:lpwstr>
      </vt:variant>
      <vt:variant>
        <vt:i4>1179701</vt:i4>
      </vt:variant>
      <vt:variant>
        <vt:i4>233</vt:i4>
      </vt:variant>
      <vt:variant>
        <vt:i4>0</vt:i4>
      </vt:variant>
      <vt:variant>
        <vt:i4>5</vt:i4>
      </vt:variant>
      <vt:variant>
        <vt:lpwstr/>
      </vt:variant>
      <vt:variant>
        <vt:lpwstr>_Toc201834590</vt:lpwstr>
      </vt:variant>
      <vt:variant>
        <vt:i4>1245237</vt:i4>
      </vt:variant>
      <vt:variant>
        <vt:i4>227</vt:i4>
      </vt:variant>
      <vt:variant>
        <vt:i4>0</vt:i4>
      </vt:variant>
      <vt:variant>
        <vt:i4>5</vt:i4>
      </vt:variant>
      <vt:variant>
        <vt:lpwstr/>
      </vt:variant>
      <vt:variant>
        <vt:lpwstr>_Toc201834589</vt:lpwstr>
      </vt:variant>
      <vt:variant>
        <vt:i4>1245237</vt:i4>
      </vt:variant>
      <vt:variant>
        <vt:i4>221</vt:i4>
      </vt:variant>
      <vt:variant>
        <vt:i4>0</vt:i4>
      </vt:variant>
      <vt:variant>
        <vt:i4>5</vt:i4>
      </vt:variant>
      <vt:variant>
        <vt:lpwstr/>
      </vt:variant>
      <vt:variant>
        <vt:lpwstr>_Toc201834588</vt:lpwstr>
      </vt:variant>
      <vt:variant>
        <vt:i4>1245237</vt:i4>
      </vt:variant>
      <vt:variant>
        <vt:i4>215</vt:i4>
      </vt:variant>
      <vt:variant>
        <vt:i4>0</vt:i4>
      </vt:variant>
      <vt:variant>
        <vt:i4>5</vt:i4>
      </vt:variant>
      <vt:variant>
        <vt:lpwstr/>
      </vt:variant>
      <vt:variant>
        <vt:lpwstr>_Toc201834587</vt:lpwstr>
      </vt:variant>
      <vt:variant>
        <vt:i4>1245237</vt:i4>
      </vt:variant>
      <vt:variant>
        <vt:i4>209</vt:i4>
      </vt:variant>
      <vt:variant>
        <vt:i4>0</vt:i4>
      </vt:variant>
      <vt:variant>
        <vt:i4>5</vt:i4>
      </vt:variant>
      <vt:variant>
        <vt:lpwstr/>
      </vt:variant>
      <vt:variant>
        <vt:lpwstr>_Toc201834586</vt:lpwstr>
      </vt:variant>
      <vt:variant>
        <vt:i4>1245237</vt:i4>
      </vt:variant>
      <vt:variant>
        <vt:i4>203</vt:i4>
      </vt:variant>
      <vt:variant>
        <vt:i4>0</vt:i4>
      </vt:variant>
      <vt:variant>
        <vt:i4>5</vt:i4>
      </vt:variant>
      <vt:variant>
        <vt:lpwstr/>
      </vt:variant>
      <vt:variant>
        <vt:lpwstr>_Toc201834585</vt:lpwstr>
      </vt:variant>
      <vt:variant>
        <vt:i4>1245237</vt:i4>
      </vt:variant>
      <vt:variant>
        <vt:i4>197</vt:i4>
      </vt:variant>
      <vt:variant>
        <vt:i4>0</vt:i4>
      </vt:variant>
      <vt:variant>
        <vt:i4>5</vt:i4>
      </vt:variant>
      <vt:variant>
        <vt:lpwstr/>
      </vt:variant>
      <vt:variant>
        <vt:lpwstr>_Toc201834584</vt:lpwstr>
      </vt:variant>
      <vt:variant>
        <vt:i4>1245237</vt:i4>
      </vt:variant>
      <vt:variant>
        <vt:i4>191</vt:i4>
      </vt:variant>
      <vt:variant>
        <vt:i4>0</vt:i4>
      </vt:variant>
      <vt:variant>
        <vt:i4>5</vt:i4>
      </vt:variant>
      <vt:variant>
        <vt:lpwstr/>
      </vt:variant>
      <vt:variant>
        <vt:lpwstr>_Toc201834583</vt:lpwstr>
      </vt:variant>
      <vt:variant>
        <vt:i4>1245237</vt:i4>
      </vt:variant>
      <vt:variant>
        <vt:i4>185</vt:i4>
      </vt:variant>
      <vt:variant>
        <vt:i4>0</vt:i4>
      </vt:variant>
      <vt:variant>
        <vt:i4>5</vt:i4>
      </vt:variant>
      <vt:variant>
        <vt:lpwstr/>
      </vt:variant>
      <vt:variant>
        <vt:lpwstr>_Toc201834582</vt:lpwstr>
      </vt:variant>
      <vt:variant>
        <vt:i4>1245237</vt:i4>
      </vt:variant>
      <vt:variant>
        <vt:i4>179</vt:i4>
      </vt:variant>
      <vt:variant>
        <vt:i4>0</vt:i4>
      </vt:variant>
      <vt:variant>
        <vt:i4>5</vt:i4>
      </vt:variant>
      <vt:variant>
        <vt:lpwstr/>
      </vt:variant>
      <vt:variant>
        <vt:lpwstr>_Toc201834581</vt:lpwstr>
      </vt:variant>
      <vt:variant>
        <vt:i4>1245237</vt:i4>
      </vt:variant>
      <vt:variant>
        <vt:i4>173</vt:i4>
      </vt:variant>
      <vt:variant>
        <vt:i4>0</vt:i4>
      </vt:variant>
      <vt:variant>
        <vt:i4>5</vt:i4>
      </vt:variant>
      <vt:variant>
        <vt:lpwstr/>
      </vt:variant>
      <vt:variant>
        <vt:lpwstr>_Toc201834580</vt:lpwstr>
      </vt:variant>
      <vt:variant>
        <vt:i4>1835061</vt:i4>
      </vt:variant>
      <vt:variant>
        <vt:i4>167</vt:i4>
      </vt:variant>
      <vt:variant>
        <vt:i4>0</vt:i4>
      </vt:variant>
      <vt:variant>
        <vt:i4>5</vt:i4>
      </vt:variant>
      <vt:variant>
        <vt:lpwstr/>
      </vt:variant>
      <vt:variant>
        <vt:lpwstr>_Toc201834579</vt:lpwstr>
      </vt:variant>
      <vt:variant>
        <vt:i4>1835061</vt:i4>
      </vt:variant>
      <vt:variant>
        <vt:i4>161</vt:i4>
      </vt:variant>
      <vt:variant>
        <vt:i4>0</vt:i4>
      </vt:variant>
      <vt:variant>
        <vt:i4>5</vt:i4>
      </vt:variant>
      <vt:variant>
        <vt:lpwstr/>
      </vt:variant>
      <vt:variant>
        <vt:lpwstr>_Toc201834578</vt:lpwstr>
      </vt:variant>
      <vt:variant>
        <vt:i4>1835061</vt:i4>
      </vt:variant>
      <vt:variant>
        <vt:i4>155</vt:i4>
      </vt:variant>
      <vt:variant>
        <vt:i4>0</vt:i4>
      </vt:variant>
      <vt:variant>
        <vt:i4>5</vt:i4>
      </vt:variant>
      <vt:variant>
        <vt:lpwstr/>
      </vt:variant>
      <vt:variant>
        <vt:lpwstr>_Toc201834577</vt:lpwstr>
      </vt:variant>
      <vt:variant>
        <vt:i4>1835061</vt:i4>
      </vt:variant>
      <vt:variant>
        <vt:i4>149</vt:i4>
      </vt:variant>
      <vt:variant>
        <vt:i4>0</vt:i4>
      </vt:variant>
      <vt:variant>
        <vt:i4>5</vt:i4>
      </vt:variant>
      <vt:variant>
        <vt:lpwstr/>
      </vt:variant>
      <vt:variant>
        <vt:lpwstr>_Toc201834576</vt:lpwstr>
      </vt:variant>
      <vt:variant>
        <vt:i4>1835061</vt:i4>
      </vt:variant>
      <vt:variant>
        <vt:i4>143</vt:i4>
      </vt:variant>
      <vt:variant>
        <vt:i4>0</vt:i4>
      </vt:variant>
      <vt:variant>
        <vt:i4>5</vt:i4>
      </vt:variant>
      <vt:variant>
        <vt:lpwstr/>
      </vt:variant>
      <vt:variant>
        <vt:lpwstr>_Toc201834575</vt:lpwstr>
      </vt:variant>
      <vt:variant>
        <vt:i4>1835061</vt:i4>
      </vt:variant>
      <vt:variant>
        <vt:i4>137</vt:i4>
      </vt:variant>
      <vt:variant>
        <vt:i4>0</vt:i4>
      </vt:variant>
      <vt:variant>
        <vt:i4>5</vt:i4>
      </vt:variant>
      <vt:variant>
        <vt:lpwstr/>
      </vt:variant>
      <vt:variant>
        <vt:lpwstr>_Toc201834574</vt:lpwstr>
      </vt:variant>
      <vt:variant>
        <vt:i4>1835061</vt:i4>
      </vt:variant>
      <vt:variant>
        <vt:i4>131</vt:i4>
      </vt:variant>
      <vt:variant>
        <vt:i4>0</vt:i4>
      </vt:variant>
      <vt:variant>
        <vt:i4>5</vt:i4>
      </vt:variant>
      <vt:variant>
        <vt:lpwstr/>
      </vt:variant>
      <vt:variant>
        <vt:lpwstr>_Toc201834573</vt:lpwstr>
      </vt:variant>
      <vt:variant>
        <vt:i4>1835061</vt:i4>
      </vt:variant>
      <vt:variant>
        <vt:i4>125</vt:i4>
      </vt:variant>
      <vt:variant>
        <vt:i4>0</vt:i4>
      </vt:variant>
      <vt:variant>
        <vt:i4>5</vt:i4>
      </vt:variant>
      <vt:variant>
        <vt:lpwstr/>
      </vt:variant>
      <vt:variant>
        <vt:lpwstr>_Toc201834572</vt:lpwstr>
      </vt:variant>
      <vt:variant>
        <vt:i4>1835061</vt:i4>
      </vt:variant>
      <vt:variant>
        <vt:i4>119</vt:i4>
      </vt:variant>
      <vt:variant>
        <vt:i4>0</vt:i4>
      </vt:variant>
      <vt:variant>
        <vt:i4>5</vt:i4>
      </vt:variant>
      <vt:variant>
        <vt:lpwstr/>
      </vt:variant>
      <vt:variant>
        <vt:lpwstr>_Toc201834571</vt:lpwstr>
      </vt:variant>
      <vt:variant>
        <vt:i4>1835061</vt:i4>
      </vt:variant>
      <vt:variant>
        <vt:i4>113</vt:i4>
      </vt:variant>
      <vt:variant>
        <vt:i4>0</vt:i4>
      </vt:variant>
      <vt:variant>
        <vt:i4>5</vt:i4>
      </vt:variant>
      <vt:variant>
        <vt:lpwstr/>
      </vt:variant>
      <vt:variant>
        <vt:lpwstr>_Toc201834570</vt:lpwstr>
      </vt:variant>
      <vt:variant>
        <vt:i4>1900597</vt:i4>
      </vt:variant>
      <vt:variant>
        <vt:i4>107</vt:i4>
      </vt:variant>
      <vt:variant>
        <vt:i4>0</vt:i4>
      </vt:variant>
      <vt:variant>
        <vt:i4>5</vt:i4>
      </vt:variant>
      <vt:variant>
        <vt:lpwstr/>
      </vt:variant>
      <vt:variant>
        <vt:lpwstr>_Toc201834569</vt:lpwstr>
      </vt:variant>
      <vt:variant>
        <vt:i4>1900597</vt:i4>
      </vt:variant>
      <vt:variant>
        <vt:i4>101</vt:i4>
      </vt:variant>
      <vt:variant>
        <vt:i4>0</vt:i4>
      </vt:variant>
      <vt:variant>
        <vt:i4>5</vt:i4>
      </vt:variant>
      <vt:variant>
        <vt:lpwstr/>
      </vt:variant>
      <vt:variant>
        <vt:lpwstr>_Toc201834568</vt:lpwstr>
      </vt:variant>
      <vt:variant>
        <vt:i4>1900597</vt:i4>
      </vt:variant>
      <vt:variant>
        <vt:i4>95</vt:i4>
      </vt:variant>
      <vt:variant>
        <vt:i4>0</vt:i4>
      </vt:variant>
      <vt:variant>
        <vt:i4>5</vt:i4>
      </vt:variant>
      <vt:variant>
        <vt:lpwstr/>
      </vt:variant>
      <vt:variant>
        <vt:lpwstr>_Toc201834567</vt:lpwstr>
      </vt:variant>
      <vt:variant>
        <vt:i4>1900597</vt:i4>
      </vt:variant>
      <vt:variant>
        <vt:i4>89</vt:i4>
      </vt:variant>
      <vt:variant>
        <vt:i4>0</vt:i4>
      </vt:variant>
      <vt:variant>
        <vt:i4>5</vt:i4>
      </vt:variant>
      <vt:variant>
        <vt:lpwstr/>
      </vt:variant>
      <vt:variant>
        <vt:lpwstr>_Toc201834566</vt:lpwstr>
      </vt:variant>
      <vt:variant>
        <vt:i4>1900597</vt:i4>
      </vt:variant>
      <vt:variant>
        <vt:i4>83</vt:i4>
      </vt:variant>
      <vt:variant>
        <vt:i4>0</vt:i4>
      </vt:variant>
      <vt:variant>
        <vt:i4>5</vt:i4>
      </vt:variant>
      <vt:variant>
        <vt:lpwstr/>
      </vt:variant>
      <vt:variant>
        <vt:lpwstr>_Toc201834565</vt:lpwstr>
      </vt:variant>
      <vt:variant>
        <vt:i4>1900597</vt:i4>
      </vt:variant>
      <vt:variant>
        <vt:i4>77</vt:i4>
      </vt:variant>
      <vt:variant>
        <vt:i4>0</vt:i4>
      </vt:variant>
      <vt:variant>
        <vt:i4>5</vt:i4>
      </vt:variant>
      <vt:variant>
        <vt:lpwstr/>
      </vt:variant>
      <vt:variant>
        <vt:lpwstr>_Toc201834564</vt:lpwstr>
      </vt:variant>
      <vt:variant>
        <vt:i4>1900597</vt:i4>
      </vt:variant>
      <vt:variant>
        <vt:i4>71</vt:i4>
      </vt:variant>
      <vt:variant>
        <vt:i4>0</vt:i4>
      </vt:variant>
      <vt:variant>
        <vt:i4>5</vt:i4>
      </vt:variant>
      <vt:variant>
        <vt:lpwstr/>
      </vt:variant>
      <vt:variant>
        <vt:lpwstr>_Toc201834563</vt:lpwstr>
      </vt:variant>
      <vt:variant>
        <vt:i4>1900597</vt:i4>
      </vt:variant>
      <vt:variant>
        <vt:i4>65</vt:i4>
      </vt:variant>
      <vt:variant>
        <vt:i4>0</vt:i4>
      </vt:variant>
      <vt:variant>
        <vt:i4>5</vt:i4>
      </vt:variant>
      <vt:variant>
        <vt:lpwstr/>
      </vt:variant>
      <vt:variant>
        <vt:lpwstr>_Toc201834562</vt:lpwstr>
      </vt:variant>
      <vt:variant>
        <vt:i4>1900597</vt:i4>
      </vt:variant>
      <vt:variant>
        <vt:i4>59</vt:i4>
      </vt:variant>
      <vt:variant>
        <vt:i4>0</vt:i4>
      </vt:variant>
      <vt:variant>
        <vt:i4>5</vt:i4>
      </vt:variant>
      <vt:variant>
        <vt:lpwstr/>
      </vt:variant>
      <vt:variant>
        <vt:lpwstr>_Toc201834561</vt:lpwstr>
      </vt:variant>
      <vt:variant>
        <vt:i4>1900597</vt:i4>
      </vt:variant>
      <vt:variant>
        <vt:i4>53</vt:i4>
      </vt:variant>
      <vt:variant>
        <vt:i4>0</vt:i4>
      </vt:variant>
      <vt:variant>
        <vt:i4>5</vt:i4>
      </vt:variant>
      <vt:variant>
        <vt:lpwstr/>
      </vt:variant>
      <vt:variant>
        <vt:lpwstr>_Toc201834560</vt:lpwstr>
      </vt:variant>
      <vt:variant>
        <vt:i4>1966133</vt:i4>
      </vt:variant>
      <vt:variant>
        <vt:i4>47</vt:i4>
      </vt:variant>
      <vt:variant>
        <vt:i4>0</vt:i4>
      </vt:variant>
      <vt:variant>
        <vt:i4>5</vt:i4>
      </vt:variant>
      <vt:variant>
        <vt:lpwstr/>
      </vt:variant>
      <vt:variant>
        <vt:lpwstr>_Toc201834559</vt:lpwstr>
      </vt:variant>
      <vt:variant>
        <vt:i4>1966133</vt:i4>
      </vt:variant>
      <vt:variant>
        <vt:i4>41</vt:i4>
      </vt:variant>
      <vt:variant>
        <vt:i4>0</vt:i4>
      </vt:variant>
      <vt:variant>
        <vt:i4>5</vt:i4>
      </vt:variant>
      <vt:variant>
        <vt:lpwstr/>
      </vt:variant>
      <vt:variant>
        <vt:lpwstr>_Toc201834558</vt:lpwstr>
      </vt:variant>
      <vt:variant>
        <vt:i4>1966133</vt:i4>
      </vt:variant>
      <vt:variant>
        <vt:i4>35</vt:i4>
      </vt:variant>
      <vt:variant>
        <vt:i4>0</vt:i4>
      </vt:variant>
      <vt:variant>
        <vt:i4>5</vt:i4>
      </vt:variant>
      <vt:variant>
        <vt:lpwstr/>
      </vt:variant>
      <vt:variant>
        <vt:lpwstr>_Toc201834557</vt:lpwstr>
      </vt:variant>
      <vt:variant>
        <vt:i4>1966133</vt:i4>
      </vt:variant>
      <vt:variant>
        <vt:i4>29</vt:i4>
      </vt:variant>
      <vt:variant>
        <vt:i4>0</vt:i4>
      </vt:variant>
      <vt:variant>
        <vt:i4>5</vt:i4>
      </vt:variant>
      <vt:variant>
        <vt:lpwstr/>
      </vt:variant>
      <vt:variant>
        <vt:lpwstr>_Toc201834556</vt:lpwstr>
      </vt:variant>
      <vt:variant>
        <vt:i4>1966133</vt:i4>
      </vt:variant>
      <vt:variant>
        <vt:i4>23</vt:i4>
      </vt:variant>
      <vt:variant>
        <vt:i4>0</vt:i4>
      </vt:variant>
      <vt:variant>
        <vt:i4>5</vt:i4>
      </vt:variant>
      <vt:variant>
        <vt:lpwstr/>
      </vt:variant>
      <vt:variant>
        <vt:lpwstr>_Toc201834555</vt:lpwstr>
      </vt:variant>
      <vt:variant>
        <vt:i4>1966133</vt:i4>
      </vt:variant>
      <vt:variant>
        <vt:i4>17</vt:i4>
      </vt:variant>
      <vt:variant>
        <vt:i4>0</vt:i4>
      </vt:variant>
      <vt:variant>
        <vt:i4>5</vt:i4>
      </vt:variant>
      <vt:variant>
        <vt:lpwstr/>
      </vt:variant>
      <vt:variant>
        <vt:lpwstr>_Toc201834554</vt:lpwstr>
      </vt:variant>
      <vt:variant>
        <vt:i4>1966133</vt:i4>
      </vt:variant>
      <vt:variant>
        <vt:i4>11</vt:i4>
      </vt:variant>
      <vt:variant>
        <vt:i4>0</vt:i4>
      </vt:variant>
      <vt:variant>
        <vt:i4>5</vt:i4>
      </vt:variant>
      <vt:variant>
        <vt:lpwstr/>
      </vt:variant>
      <vt:variant>
        <vt:lpwstr>_Toc201834553</vt:lpwstr>
      </vt:variant>
      <vt:variant>
        <vt:i4>1966133</vt:i4>
      </vt:variant>
      <vt:variant>
        <vt:i4>5</vt:i4>
      </vt:variant>
      <vt:variant>
        <vt:i4>0</vt:i4>
      </vt:variant>
      <vt:variant>
        <vt:i4>5</vt:i4>
      </vt:variant>
      <vt:variant>
        <vt:lpwstr/>
      </vt:variant>
      <vt:variant>
        <vt:lpwstr>_Toc201834552</vt:lpwstr>
      </vt:variant>
      <vt:variant>
        <vt:i4>5308424</vt:i4>
      </vt:variant>
      <vt:variant>
        <vt:i4>0</vt:i4>
      </vt:variant>
      <vt:variant>
        <vt:i4>0</vt:i4>
      </vt:variant>
      <vt:variant>
        <vt:i4>5</vt:i4>
      </vt:variant>
      <vt:variant>
        <vt:lpwstr>https://creativecommons.org/licenses/by/4.0/</vt:lpwstr>
      </vt:variant>
      <vt:variant>
        <vt:lpwstr/>
      </vt:variant>
      <vt:variant>
        <vt:i4>5177412</vt:i4>
      </vt:variant>
      <vt:variant>
        <vt:i4>78</vt:i4>
      </vt:variant>
      <vt:variant>
        <vt:i4>0</vt:i4>
      </vt:variant>
      <vt:variant>
        <vt:i4>5</vt:i4>
      </vt:variant>
      <vt:variant>
        <vt:lpwstr>https://www.itu.int/en/ITU-R/space/Pages/prefaceMain.aspx</vt:lpwstr>
      </vt:variant>
      <vt:variant>
        <vt:lpwstr/>
      </vt:variant>
      <vt:variant>
        <vt:i4>9</vt:i4>
      </vt:variant>
      <vt:variant>
        <vt:i4>75</vt:i4>
      </vt:variant>
      <vt:variant>
        <vt:i4>0</vt:i4>
      </vt:variant>
      <vt:variant>
        <vt:i4>5</vt:i4>
      </vt:variant>
      <vt:variant>
        <vt:lpwstr>https://www.acma.gov.au/publications/2020-08/guide/submission-and-processing-applications-space-and-space-receive-apparatus-licences</vt:lpwstr>
      </vt:variant>
      <vt:variant>
        <vt:lpwstr/>
      </vt:variant>
      <vt:variant>
        <vt:i4>6946821</vt:i4>
      </vt:variant>
      <vt:variant>
        <vt:i4>72</vt:i4>
      </vt:variant>
      <vt:variant>
        <vt:i4>0</vt:i4>
      </vt:variant>
      <vt:variant>
        <vt:i4>5</vt:i4>
      </vt:variant>
      <vt:variant>
        <vt:lpwstr/>
      </vt:variant>
      <vt:variant>
        <vt:lpwstr>_Appendix_A:_Overview</vt:lpwstr>
      </vt:variant>
      <vt:variant>
        <vt:i4>1376264</vt:i4>
      </vt:variant>
      <vt:variant>
        <vt:i4>69</vt:i4>
      </vt:variant>
      <vt:variant>
        <vt:i4>0</vt:i4>
      </vt:variant>
      <vt:variant>
        <vt:i4>5</vt:i4>
      </vt:variant>
      <vt:variant>
        <vt:lpwstr>https://www.acma.gov.au/publications/2024-09/guide/regulatory-guide-operation-imt-satellite-direct-mobile-service</vt:lpwstr>
      </vt:variant>
      <vt:variant>
        <vt:lpwstr/>
      </vt:variant>
      <vt:variant>
        <vt:i4>3735622</vt:i4>
      </vt:variant>
      <vt:variant>
        <vt:i4>66</vt:i4>
      </vt:variant>
      <vt:variant>
        <vt:i4>0</vt:i4>
      </vt:variant>
      <vt:variant>
        <vt:i4>5</vt:i4>
      </vt:variant>
      <vt:variant>
        <vt:lpwstr>https://web.acma.gov.au/rrl/licence_search.licence_lookup?pLICENCE_NO=12344425/1</vt:lpwstr>
      </vt:variant>
      <vt:variant>
        <vt:lpwstr/>
      </vt:variant>
      <vt:variant>
        <vt:i4>1048633</vt:i4>
      </vt:variant>
      <vt:variant>
        <vt:i4>63</vt:i4>
      </vt:variant>
      <vt:variant>
        <vt:i4>0</vt:i4>
      </vt:variant>
      <vt:variant>
        <vt:i4>5</vt:i4>
      </vt:variant>
      <vt:variant>
        <vt:lpwstr>https://web.acma.gov.au/rrl/client_search.client_lookup?pCLIENT_NO=20053490</vt:lpwstr>
      </vt:variant>
      <vt:variant>
        <vt:lpwstr/>
      </vt:variant>
      <vt:variant>
        <vt:i4>1572926</vt:i4>
      </vt:variant>
      <vt:variant>
        <vt:i4>60</vt:i4>
      </vt:variant>
      <vt:variant>
        <vt:i4>0</vt:i4>
      </vt:variant>
      <vt:variant>
        <vt:i4>5</vt:i4>
      </vt:variant>
      <vt:variant>
        <vt:lpwstr>https://web.acma.gov.au/rrl/client_search.client_lookup?pCLIENT_NO=20014769</vt:lpwstr>
      </vt:variant>
      <vt:variant>
        <vt:lpwstr/>
      </vt:variant>
      <vt:variant>
        <vt:i4>1703999</vt:i4>
      </vt:variant>
      <vt:variant>
        <vt:i4>57</vt:i4>
      </vt:variant>
      <vt:variant>
        <vt:i4>0</vt:i4>
      </vt:variant>
      <vt:variant>
        <vt:i4>5</vt:i4>
      </vt:variant>
      <vt:variant>
        <vt:lpwstr>https://web.acma.gov.au/rrl/client_search.client_lookup?pCLIENT_NO=20053234</vt:lpwstr>
      </vt:variant>
      <vt:variant>
        <vt:lpwstr/>
      </vt:variant>
      <vt:variant>
        <vt:i4>1966130</vt:i4>
      </vt:variant>
      <vt:variant>
        <vt:i4>54</vt:i4>
      </vt:variant>
      <vt:variant>
        <vt:i4>0</vt:i4>
      </vt:variant>
      <vt:variant>
        <vt:i4>5</vt:i4>
      </vt:variant>
      <vt:variant>
        <vt:lpwstr>https://web.acma.gov.au/rrl/client_search.client_lookup?pCLIENT_NO=20037933</vt:lpwstr>
      </vt:variant>
      <vt:variant>
        <vt:lpwstr/>
      </vt:variant>
      <vt:variant>
        <vt:i4>1638484</vt:i4>
      </vt:variant>
      <vt:variant>
        <vt:i4>51</vt:i4>
      </vt:variant>
      <vt:variant>
        <vt:i4>0</vt:i4>
      </vt:variant>
      <vt:variant>
        <vt:i4>5</vt:i4>
      </vt:variant>
      <vt:variant>
        <vt:lpwstr>https://www.acma.gov.au/2-ghz-band-review</vt:lpwstr>
      </vt:variant>
      <vt:variant>
        <vt:lpwstr/>
      </vt:variant>
      <vt:variant>
        <vt:i4>2883640</vt:i4>
      </vt:variant>
      <vt:variant>
        <vt:i4>48</vt:i4>
      </vt:variant>
      <vt:variant>
        <vt:i4>0</vt:i4>
      </vt:variant>
      <vt:variant>
        <vt:i4>5</vt:i4>
      </vt:variant>
      <vt:variant>
        <vt:lpwstr>https://www.legislation.gov.au/F2025L00261/latest/text</vt:lpwstr>
      </vt:variant>
      <vt:variant>
        <vt:lpwstr/>
      </vt:variant>
      <vt:variant>
        <vt:i4>6881312</vt:i4>
      </vt:variant>
      <vt:variant>
        <vt:i4>45</vt:i4>
      </vt:variant>
      <vt:variant>
        <vt:i4>0</vt:i4>
      </vt:variant>
      <vt:variant>
        <vt:i4>5</vt:i4>
      </vt:variant>
      <vt:variant>
        <vt:lpwstr>https://www.itu.int/en/ITU-R/study-groups/rsg4/Pages/imt-2020-sat-submission-eval.aspx</vt:lpwstr>
      </vt:variant>
      <vt:variant>
        <vt:lpwstr/>
      </vt:variant>
      <vt:variant>
        <vt:i4>4128880</vt:i4>
      </vt:variant>
      <vt:variant>
        <vt:i4>42</vt:i4>
      </vt:variant>
      <vt:variant>
        <vt:i4>0</vt:i4>
      </vt:variant>
      <vt:variant>
        <vt:i4>5</vt:i4>
      </vt:variant>
      <vt:variant>
        <vt:lpwstr>https://www.itu.int/md/R00-SG04-CIR-0134/en</vt:lpwstr>
      </vt:variant>
      <vt:variant>
        <vt:lpwstr/>
      </vt:variant>
      <vt:variant>
        <vt:i4>1966150</vt:i4>
      </vt:variant>
      <vt:variant>
        <vt:i4>39</vt:i4>
      </vt:variant>
      <vt:variant>
        <vt:i4>0</vt:i4>
      </vt:variant>
      <vt:variant>
        <vt:i4>5</vt:i4>
      </vt:variant>
      <vt:variant>
        <vt:lpwstr>https://www.itu.int/pub/R-REG-RR</vt:lpwstr>
      </vt:variant>
      <vt:variant>
        <vt:lpwstr/>
      </vt:variant>
      <vt:variant>
        <vt:i4>9</vt:i4>
      </vt:variant>
      <vt:variant>
        <vt:i4>36</vt:i4>
      </vt:variant>
      <vt:variant>
        <vt:i4>0</vt:i4>
      </vt:variant>
      <vt:variant>
        <vt:i4>5</vt:i4>
      </vt:variant>
      <vt:variant>
        <vt:lpwstr>https://www.acma.gov.au/publications/2020-08/guide/submission-and-processing-applications-space-and-space-receive-apparatus-licences</vt:lpwstr>
      </vt:variant>
      <vt:variant>
        <vt:lpwstr/>
      </vt:variant>
      <vt:variant>
        <vt:i4>3080255</vt:i4>
      </vt:variant>
      <vt:variant>
        <vt:i4>33</vt:i4>
      </vt:variant>
      <vt:variant>
        <vt:i4>0</vt:i4>
      </vt:variant>
      <vt:variant>
        <vt:i4>5</vt:i4>
      </vt:variant>
      <vt:variant>
        <vt:lpwstr>https://www.legislation.gov.au/F2025L00261/asmade/text</vt:lpwstr>
      </vt:variant>
      <vt:variant>
        <vt:lpwstr/>
      </vt:variant>
      <vt:variant>
        <vt:i4>4128816</vt:i4>
      </vt:variant>
      <vt:variant>
        <vt:i4>30</vt:i4>
      </vt:variant>
      <vt:variant>
        <vt:i4>0</vt:i4>
      </vt:variant>
      <vt:variant>
        <vt:i4>5</vt:i4>
      </vt:variant>
      <vt:variant>
        <vt:lpwstr>https://www.acma.gov.au/five-year-spectrum-outlook</vt:lpwstr>
      </vt:variant>
      <vt:variant>
        <vt:lpwstr/>
      </vt:variant>
      <vt:variant>
        <vt:i4>7405673</vt:i4>
      </vt:variant>
      <vt:variant>
        <vt:i4>27</vt:i4>
      </vt:variant>
      <vt:variant>
        <vt:i4>0</vt:i4>
      </vt:variant>
      <vt:variant>
        <vt:i4>5</vt:i4>
      </vt:variant>
      <vt:variant>
        <vt:lpwstr>https://www.acma.gov.au/consultations/2023-11/2-ghz-mss-technical-parameters-and-demand-considerations</vt:lpwstr>
      </vt:variant>
      <vt:variant>
        <vt:lpwstr/>
      </vt:variant>
      <vt:variant>
        <vt:i4>3735622</vt:i4>
      </vt:variant>
      <vt:variant>
        <vt:i4>24</vt:i4>
      </vt:variant>
      <vt:variant>
        <vt:i4>0</vt:i4>
      </vt:variant>
      <vt:variant>
        <vt:i4>5</vt:i4>
      </vt:variant>
      <vt:variant>
        <vt:lpwstr>https://web.acma.gov.au/rrl/licence_search.licence_lookup?pLICENCE_NO=12344425/1</vt:lpwstr>
      </vt:variant>
      <vt:variant>
        <vt:lpwstr/>
      </vt:variant>
      <vt:variant>
        <vt:i4>1048633</vt:i4>
      </vt:variant>
      <vt:variant>
        <vt:i4>21</vt:i4>
      </vt:variant>
      <vt:variant>
        <vt:i4>0</vt:i4>
      </vt:variant>
      <vt:variant>
        <vt:i4>5</vt:i4>
      </vt:variant>
      <vt:variant>
        <vt:lpwstr>https://web.acma.gov.au/rrl/client_search.client_lookup?pCLIENT_NO=20053490</vt:lpwstr>
      </vt:variant>
      <vt:variant>
        <vt:lpwstr/>
      </vt:variant>
      <vt:variant>
        <vt:i4>1572926</vt:i4>
      </vt:variant>
      <vt:variant>
        <vt:i4>18</vt:i4>
      </vt:variant>
      <vt:variant>
        <vt:i4>0</vt:i4>
      </vt:variant>
      <vt:variant>
        <vt:i4>5</vt:i4>
      </vt:variant>
      <vt:variant>
        <vt:lpwstr>https://web.acma.gov.au/rrl/client_search.client_lookup?pCLIENT_NO=20014769</vt:lpwstr>
      </vt:variant>
      <vt:variant>
        <vt:lpwstr/>
      </vt:variant>
      <vt:variant>
        <vt:i4>1703999</vt:i4>
      </vt:variant>
      <vt:variant>
        <vt:i4>15</vt:i4>
      </vt:variant>
      <vt:variant>
        <vt:i4>0</vt:i4>
      </vt:variant>
      <vt:variant>
        <vt:i4>5</vt:i4>
      </vt:variant>
      <vt:variant>
        <vt:lpwstr>https://web.acma.gov.au/rrl/client_search.client_lookup?pCLIENT_NO=20053234</vt:lpwstr>
      </vt:variant>
      <vt:variant>
        <vt:lpwstr/>
      </vt:variant>
      <vt:variant>
        <vt:i4>1966130</vt:i4>
      </vt:variant>
      <vt:variant>
        <vt:i4>12</vt:i4>
      </vt:variant>
      <vt:variant>
        <vt:i4>0</vt:i4>
      </vt:variant>
      <vt:variant>
        <vt:i4>5</vt:i4>
      </vt:variant>
      <vt:variant>
        <vt:lpwstr>https://web.acma.gov.au/rrl/client_search.client_lookup?pCLIENT_NO=20037933</vt:lpwstr>
      </vt:variant>
      <vt:variant>
        <vt:lpwstr/>
      </vt:variant>
      <vt:variant>
        <vt:i4>2293818</vt:i4>
      </vt:variant>
      <vt:variant>
        <vt:i4>9</vt:i4>
      </vt:variant>
      <vt:variant>
        <vt:i4>0</vt:i4>
      </vt:variant>
      <vt:variant>
        <vt:i4>5</vt:i4>
      </vt:variant>
      <vt:variant>
        <vt:lpwstr>https://www.legislation.gov.au/F2022L00843/latest/text</vt:lpwstr>
      </vt:variant>
      <vt:variant>
        <vt:lpwstr/>
      </vt:variant>
      <vt:variant>
        <vt:i4>4259900</vt:i4>
      </vt:variant>
      <vt:variant>
        <vt:i4>6</vt:i4>
      </vt:variant>
      <vt:variant>
        <vt:i4>0</vt:i4>
      </vt:variant>
      <vt:variant>
        <vt:i4>5</vt:i4>
      </vt:variant>
      <vt:variant>
        <vt:lpwstr>https://www.acma.gov.au/sites/default/files/2022-11/6_Review of the 2 GHz TOB band plan - Response to submissions.docx</vt:lpwstr>
      </vt:variant>
      <vt:variant>
        <vt:lpwstr/>
      </vt:variant>
      <vt:variant>
        <vt:i4>2752575</vt:i4>
      </vt:variant>
      <vt:variant>
        <vt:i4>3</vt:i4>
      </vt:variant>
      <vt:variant>
        <vt:i4>0</vt:i4>
      </vt:variant>
      <vt:variant>
        <vt:i4>5</vt:i4>
      </vt:variant>
      <vt:variant>
        <vt:lpwstr>https://www.legislation.gov.au/F2021L00617/latest/text</vt:lpwstr>
      </vt:variant>
      <vt:variant>
        <vt:lpwstr/>
      </vt:variant>
      <vt:variant>
        <vt:i4>1638484</vt:i4>
      </vt:variant>
      <vt:variant>
        <vt:i4>0</vt:i4>
      </vt:variant>
      <vt:variant>
        <vt:i4>0</vt:i4>
      </vt:variant>
      <vt:variant>
        <vt:i4>5</vt:i4>
      </vt:variant>
      <vt:variant>
        <vt:lpwstr>https://www.acma.gov.au/2-ghz-band-review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2025-07-28T02:36:00Z</dcterms:created>
  <dcterms:modified xsi:type="dcterms:W3CDTF">2025-07-28T02:36:00Z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0x010100100ACE45694B3D4892C74020F839F147</vt:lpwstr>
  </property>
  <property fmtid="{D5CDD505-2E9C-101B-9397-08002B2CF9AE}" pid="3" name="Order">
    <vt:r8>517600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