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A598849" w14:textId="0DD4EC0D" w:rsidR="00F06E14" w:rsidRPr="00A17B1B" w:rsidRDefault="007F5CB8" w:rsidP="00A51D1A">
      <w:pPr>
        <w:pStyle w:val="Reporttitle"/>
      </w:pPr>
      <w:r>
        <w:t>Operation of an IMT satellite direct-to-mobile service</w:t>
      </w:r>
    </w:p>
    <w:p w14:paraId="57CE4ADC" w14:textId="6335EE85" w:rsidR="00F06E14" w:rsidRPr="00A17B1B" w:rsidRDefault="007F5CB8" w:rsidP="00F06E14">
      <w:pPr>
        <w:pStyle w:val="Reportsubtitle"/>
      </w:pPr>
      <w:r>
        <w:t>Regulatory guid</w:t>
      </w:r>
      <w:r w:rsidR="006143FD">
        <w:t>e</w:t>
      </w:r>
    </w:p>
    <w:p w14:paraId="201ABAF5" w14:textId="5658AE75" w:rsidR="00C97736" w:rsidRPr="00A17B1B" w:rsidRDefault="007F5CB8" w:rsidP="00EC2B68">
      <w:pPr>
        <w:pStyle w:val="Reportdate"/>
        <w:spacing w:after="720"/>
        <w:rPr>
          <w:rFonts w:cs="Arial"/>
        </w:rPr>
        <w:sectPr w:rsidR="00C97736" w:rsidRPr="00A17B1B" w:rsidSect="005A62E5">
          <w:headerReference w:type="default" r:id="rId11"/>
          <w:footerReference w:type="default" r:id="rId12"/>
          <w:headerReference w:type="first" r:id="rId13"/>
          <w:pgSz w:w="11906" w:h="16838" w:code="9"/>
          <w:pgMar w:top="3924" w:right="1418" w:bottom="1134" w:left="1418" w:header="850" w:footer="454" w:gutter="0"/>
          <w:cols w:space="708"/>
          <w:docGrid w:linePitch="360"/>
        </w:sectPr>
      </w:pPr>
      <w:r>
        <w:t>September</w:t>
      </w:r>
      <w:r w:rsidR="00BD4421" w:rsidRPr="00A17B1B">
        <w:t xml:space="preserve"> 20</w:t>
      </w:r>
      <w:r w:rsidR="000971BD" w:rsidRPr="00A17B1B">
        <w:t>2</w:t>
      </w:r>
      <w:r w:rsidR="00306491">
        <w:t>4</w:t>
      </w:r>
    </w:p>
    <w:p w14:paraId="3C830519" w14:textId="77777777" w:rsidR="00284A74" w:rsidRPr="00A17B1B" w:rsidRDefault="00284A74" w:rsidP="00284A74">
      <w:pPr>
        <w:pStyle w:val="ACMACorporateAddressHeader"/>
      </w:pPr>
      <w:r w:rsidRPr="00A17B1B">
        <w:lastRenderedPageBreak/>
        <w:t>Canberra</w:t>
      </w:r>
    </w:p>
    <w:p w14:paraId="09675D7D" w14:textId="77777777" w:rsidR="00284A74" w:rsidRPr="00A17B1B" w:rsidRDefault="00181180" w:rsidP="00284A74">
      <w:pPr>
        <w:pStyle w:val="ACMACorporateAddresses"/>
      </w:pPr>
      <w:r>
        <w:t>Level 3</w:t>
      </w:r>
      <w:r>
        <w:br/>
        <w:t>40 Cameron Avenue</w:t>
      </w:r>
      <w:r w:rsidR="00284A74" w:rsidRPr="00A17B1B">
        <w:t xml:space="preserve"> </w:t>
      </w:r>
      <w:r w:rsidR="00284A74" w:rsidRPr="00A17B1B">
        <w:br/>
        <w:t>Belconnen ACT</w:t>
      </w:r>
    </w:p>
    <w:p w14:paraId="5D7A29DF" w14:textId="77777777" w:rsidR="00284A74" w:rsidRPr="00A17B1B" w:rsidRDefault="00284A74" w:rsidP="00284A74">
      <w:pPr>
        <w:pStyle w:val="ACMACorporateAddresses"/>
      </w:pPr>
      <w:r w:rsidRPr="00A17B1B">
        <w:t>PO Box 78</w:t>
      </w:r>
      <w:r w:rsidRPr="00A17B1B">
        <w:br/>
        <w:t>Belconnen ACT 2616</w:t>
      </w:r>
    </w:p>
    <w:p w14:paraId="32A54952" w14:textId="77777777" w:rsidR="00284A74" w:rsidRPr="00A17B1B" w:rsidRDefault="00284A74" w:rsidP="00284A74">
      <w:pPr>
        <w:pStyle w:val="ACMACorporateAddresses"/>
      </w:pPr>
      <w:r w:rsidRPr="00A17B1B">
        <w:t>T</w:t>
      </w:r>
      <w:r w:rsidRPr="00A17B1B">
        <w:tab/>
        <w:t>+61 2 6219 5555</w:t>
      </w:r>
      <w:r w:rsidRPr="00A17B1B">
        <w:br/>
        <w:t>F</w:t>
      </w:r>
      <w:r w:rsidRPr="00A17B1B">
        <w:tab/>
        <w:t>+61 2 6219 5353</w:t>
      </w:r>
    </w:p>
    <w:p w14:paraId="09FAAB8E" w14:textId="77777777" w:rsidR="00284A74" w:rsidRPr="00A17B1B" w:rsidRDefault="00284A74" w:rsidP="00284A74">
      <w:pPr>
        <w:pStyle w:val="ACMACorporateAddressHeader"/>
      </w:pPr>
      <w:r w:rsidRPr="00A17B1B">
        <w:t>Melbourne</w:t>
      </w:r>
    </w:p>
    <w:p w14:paraId="7094151D" w14:textId="77777777" w:rsidR="00284A74" w:rsidRPr="00A17B1B" w:rsidRDefault="00284A74" w:rsidP="00284A74">
      <w:pPr>
        <w:pStyle w:val="ACMACorporateAddresses"/>
      </w:pPr>
      <w:r w:rsidRPr="00A17B1B">
        <w:t xml:space="preserve">Level 32 </w:t>
      </w:r>
      <w:r w:rsidRPr="00A17B1B">
        <w:br/>
        <w:t>Melbourne Central Tower</w:t>
      </w:r>
      <w:r w:rsidRPr="00A17B1B">
        <w:br/>
        <w:t xml:space="preserve">360 Elizabeth Street </w:t>
      </w:r>
      <w:r w:rsidRPr="00A17B1B">
        <w:br/>
        <w:t>Melbourne VIC</w:t>
      </w:r>
    </w:p>
    <w:p w14:paraId="7BFAF204" w14:textId="77777777" w:rsidR="00284A74" w:rsidRPr="00A17B1B" w:rsidRDefault="00284A74" w:rsidP="00284A74">
      <w:pPr>
        <w:pStyle w:val="ACMACorporateAddresses"/>
      </w:pPr>
      <w:r w:rsidRPr="00A17B1B">
        <w:t>PO Box 13112</w:t>
      </w:r>
      <w:r w:rsidRPr="00A17B1B">
        <w:br/>
        <w:t xml:space="preserve">Law Courts </w:t>
      </w:r>
      <w:r w:rsidRPr="00A17B1B">
        <w:br/>
        <w:t>Melbourne VIC 8010</w:t>
      </w:r>
    </w:p>
    <w:p w14:paraId="652386A7" w14:textId="77777777" w:rsidR="00284A74" w:rsidRPr="00A17B1B" w:rsidRDefault="00284A74" w:rsidP="00284A74">
      <w:pPr>
        <w:pStyle w:val="ACMACorporateAddresses"/>
      </w:pPr>
      <w:r w:rsidRPr="00A17B1B">
        <w:t>T</w:t>
      </w:r>
      <w:r w:rsidRPr="00A17B1B">
        <w:tab/>
        <w:t>+61 3 9963 6800</w:t>
      </w:r>
      <w:r w:rsidRPr="00A17B1B">
        <w:br/>
        <w:t>F</w:t>
      </w:r>
      <w:r w:rsidRPr="00A17B1B">
        <w:tab/>
        <w:t>+61 3 9963 6899</w:t>
      </w:r>
    </w:p>
    <w:p w14:paraId="1EF1909B" w14:textId="77777777" w:rsidR="00284A74" w:rsidRPr="00A17B1B" w:rsidRDefault="00284A74" w:rsidP="00284A74">
      <w:pPr>
        <w:pStyle w:val="ACMACorporateAddressHeader"/>
      </w:pPr>
      <w:r w:rsidRPr="00A17B1B">
        <w:t>Sydney</w:t>
      </w:r>
    </w:p>
    <w:p w14:paraId="34455F47" w14:textId="77777777" w:rsidR="00284A74" w:rsidRPr="00A17B1B" w:rsidRDefault="00284A74" w:rsidP="00284A74">
      <w:pPr>
        <w:pStyle w:val="ACMACorporateAddresses"/>
      </w:pPr>
      <w:r w:rsidRPr="00A17B1B">
        <w:t xml:space="preserve">Level 5 </w:t>
      </w:r>
      <w:r w:rsidRPr="00A17B1B">
        <w:br/>
        <w:t>The Bay Centre</w:t>
      </w:r>
      <w:r w:rsidRPr="00A17B1B">
        <w:br/>
        <w:t xml:space="preserve">65 Pirrama Road </w:t>
      </w:r>
      <w:r w:rsidRPr="00A17B1B">
        <w:br/>
        <w:t>Pyrmont NSW</w:t>
      </w:r>
    </w:p>
    <w:p w14:paraId="6464FFE1" w14:textId="77777777" w:rsidR="00284A74" w:rsidRPr="00A17B1B" w:rsidRDefault="00284A74" w:rsidP="00284A74">
      <w:pPr>
        <w:pStyle w:val="ACMACorporateAddresses"/>
      </w:pPr>
      <w:r w:rsidRPr="00A17B1B">
        <w:t>PO Box Q500</w:t>
      </w:r>
      <w:r w:rsidRPr="00A17B1B">
        <w:br/>
        <w:t xml:space="preserve">Queen Victoria Building </w:t>
      </w:r>
      <w:r w:rsidRPr="00A17B1B">
        <w:br/>
        <w:t>NSW 1230</w:t>
      </w:r>
    </w:p>
    <w:p w14:paraId="11B959D2" w14:textId="77777777" w:rsidR="00284A74" w:rsidRPr="00A17B1B" w:rsidRDefault="00284A74" w:rsidP="00284A74">
      <w:pPr>
        <w:pStyle w:val="ACMACorporateAddresses"/>
      </w:pPr>
      <w:r w:rsidRPr="00A17B1B">
        <w:t>T</w:t>
      </w:r>
      <w:r w:rsidRPr="00A17B1B">
        <w:tab/>
        <w:t>+61 2 9334 7700</w:t>
      </w:r>
      <w:r w:rsidRPr="00A17B1B">
        <w:br/>
        <w:t>F</w:t>
      </w:r>
      <w:r w:rsidRPr="00A17B1B">
        <w:tab/>
        <w:t>+61 2 9334 7799</w:t>
      </w:r>
    </w:p>
    <w:p w14:paraId="0EB7832A" w14:textId="77777777" w:rsidR="00284A74" w:rsidRPr="00A17B1B" w:rsidRDefault="00284A74" w:rsidP="005A62E5">
      <w:pPr>
        <w:pStyle w:val="ACMACopyrightHeader"/>
        <w:spacing w:before="4200"/>
      </w:pPr>
      <w:r w:rsidRPr="00A17B1B">
        <w:t>Copyright notice</w:t>
      </w:r>
    </w:p>
    <w:p w14:paraId="312FACBD" w14:textId="77777777" w:rsidR="00284A74" w:rsidRPr="00A17B1B" w:rsidRDefault="00284A74" w:rsidP="00284A74">
      <w:pPr>
        <w:pStyle w:val="ACMACClogo"/>
      </w:pPr>
      <w:r w:rsidRPr="00A17B1B">
        <w:rPr>
          <w:noProof/>
        </w:rPr>
        <w:drawing>
          <wp:inline distT="0" distB="0" distL="0" distR="0" wp14:anchorId="581042FB" wp14:editId="02E68748">
            <wp:extent cx="838200" cy="295275"/>
            <wp:effectExtent l="0" t="0" r="0" b="0"/>
            <wp:docPr id="1" name="Picture 1" title="Creative Commons logo">
              <a:hlinkClick xmlns:a="http://schemas.openxmlformats.org/drawingml/2006/main" r:id="rId1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4"/>
                    </pic:cNvPr>
                    <pic:cNvPicPr>
                      <a:picLocks noChangeAspect="1" noChangeArrowheads="1"/>
                    </pic:cNvPicPr>
                  </pic:nvPicPr>
                  <pic:blipFill>
                    <a:blip r:embed="rId15" cstate="print"/>
                    <a:srcRect/>
                    <a:stretch>
                      <a:fillRect/>
                    </a:stretch>
                  </pic:blipFill>
                  <pic:spPr bwMode="auto">
                    <a:xfrm>
                      <a:off x="0" y="0"/>
                      <a:ext cx="838200" cy="295275"/>
                    </a:xfrm>
                    <a:prstGeom prst="rect">
                      <a:avLst/>
                    </a:prstGeom>
                    <a:noFill/>
                  </pic:spPr>
                </pic:pic>
              </a:graphicData>
            </a:graphic>
          </wp:inline>
        </w:drawing>
      </w:r>
    </w:p>
    <w:p w14:paraId="0D029745" w14:textId="77777777" w:rsidR="00284A74" w:rsidRPr="00A17B1B" w:rsidRDefault="00284A74" w:rsidP="00284A74">
      <w:pPr>
        <w:pStyle w:val="ACMACorporateAddresses"/>
        <w:rPr>
          <w:rStyle w:val="Hyperlink"/>
        </w:rPr>
      </w:pPr>
      <w:hyperlink r:id="rId16" w:history="1">
        <w:r w:rsidRPr="00A17B1B">
          <w:rPr>
            <w:rStyle w:val="Hyperlink"/>
          </w:rPr>
          <w:t>https://creativecommons.org/licenses/by/4.0/</w:t>
        </w:r>
      </w:hyperlink>
    </w:p>
    <w:p w14:paraId="3771E5EB" w14:textId="77777777" w:rsidR="00AA1F0B" w:rsidRPr="00E162C4" w:rsidRDefault="00AA1F0B" w:rsidP="00AA1F0B">
      <w:pPr>
        <w:pStyle w:val="ACMACorporateAddresses"/>
      </w:pPr>
      <w:r>
        <w:t>Except for the Commonwealth</w:t>
      </w:r>
      <w:r w:rsidRPr="00E162C4">
        <w:t xml:space="preserve"> </w:t>
      </w:r>
      <w:r>
        <w:t>C</w:t>
      </w:r>
      <w:r w:rsidRPr="00E162C4">
        <w:t xml:space="preserve">oat of </w:t>
      </w:r>
      <w:r>
        <w:t>A</w:t>
      </w:r>
      <w:r w:rsidRPr="00E162C4">
        <w:t xml:space="preserve">rms, logos, emblems, images, other third-party material or devices protected by a trademark, this content is made available under the terms of the Creative Commons Attribution 4.0 International (CC BY 4.0) licence. </w:t>
      </w:r>
    </w:p>
    <w:p w14:paraId="278E3686" w14:textId="77777777" w:rsidR="00AA1F0B" w:rsidRPr="00E162C4" w:rsidRDefault="00AA1F0B" w:rsidP="00AA1F0B">
      <w:pPr>
        <w:pStyle w:val="ACMACorporateAddresses"/>
      </w:pPr>
      <w:r w:rsidRPr="00E162C4">
        <w:t>All other rights are reserved.</w:t>
      </w:r>
    </w:p>
    <w:p w14:paraId="15CE7777" w14:textId="77777777" w:rsidR="00AA1F0B" w:rsidRDefault="00AA1F0B" w:rsidP="00AA1F0B">
      <w:pPr>
        <w:pStyle w:val="ACMACorporateAddresses"/>
      </w:pPr>
      <w:r w:rsidRPr="00E162C4">
        <w:t>The Australian Communications and Media Authority has undertaken reasonable enquiries to identify material owned by third parties and secure permission for its reproduction. Permission may need to be obtained from third parties to re-use their material.</w:t>
      </w:r>
    </w:p>
    <w:p w14:paraId="2CC9E055" w14:textId="77777777" w:rsidR="00AA1F0B" w:rsidRPr="00D04C32" w:rsidRDefault="00AA1F0B" w:rsidP="00AA1F0B">
      <w:pPr>
        <w:pStyle w:val="ACMACorporateAddresses"/>
        <w:rPr>
          <w:rStyle w:val="Hyperlink"/>
          <w:color w:val="auto"/>
          <w:u w:val="none"/>
        </w:rPr>
      </w:pPr>
      <w:r w:rsidRPr="00E162C4">
        <w:t>We request attribution as © Commonwealth of Australia (Australian Communications and Media Authority) 202</w:t>
      </w:r>
      <w:r>
        <w:t>4</w:t>
      </w:r>
      <w:r w:rsidRPr="00E162C4">
        <w:t xml:space="preserve">. </w:t>
      </w:r>
    </w:p>
    <w:p w14:paraId="57AFD706" w14:textId="77777777" w:rsidR="00D16FE3" w:rsidRPr="00A17B1B" w:rsidRDefault="00D16FE3" w:rsidP="00D16FE3">
      <w:pPr>
        <w:pStyle w:val="ACMACorporateAddresses"/>
        <w:sectPr w:rsidR="00D16FE3" w:rsidRPr="00A17B1B" w:rsidSect="005A62E5">
          <w:headerReference w:type="even" r:id="rId17"/>
          <w:headerReference w:type="default" r:id="rId18"/>
          <w:footerReference w:type="even" r:id="rId19"/>
          <w:footerReference w:type="default" r:id="rId20"/>
          <w:pgSz w:w="11906" w:h="16838" w:code="9"/>
          <w:pgMar w:top="3924" w:right="1418" w:bottom="1134" w:left="1418" w:header="709" w:footer="119" w:gutter="0"/>
          <w:cols w:space="708"/>
          <w:docGrid w:linePitch="360"/>
        </w:sectPr>
      </w:pPr>
    </w:p>
    <w:p w14:paraId="32CC1D2D" w14:textId="01D088E1" w:rsidR="00913707" w:rsidRDefault="00DF0799">
      <w:pPr>
        <w:pStyle w:val="TOC1"/>
        <w:rPr>
          <w:rFonts w:asciiTheme="minorHAnsi" w:eastAsiaTheme="minorEastAsia" w:hAnsiTheme="minorHAnsi" w:cstheme="minorBidi"/>
          <w:b w:val="0"/>
          <w:spacing w:val="0"/>
          <w:kern w:val="2"/>
          <w:sz w:val="22"/>
          <w:szCs w:val="22"/>
          <w14:ligatures w14:val="standardContextual"/>
        </w:rPr>
      </w:pPr>
      <w:r w:rsidRPr="00A17B1B">
        <w:rPr>
          <w:rFonts w:cs="Arial"/>
        </w:rPr>
        <w:lastRenderedPageBreak/>
        <w:fldChar w:fldCharType="begin"/>
      </w:r>
      <w:r w:rsidRPr="00A17B1B">
        <w:rPr>
          <w:rFonts w:cs="Arial"/>
        </w:rPr>
        <w:instrText xml:space="preserve"> TOC \o "1-3" \h \z \t "Exec summary heading,1" </w:instrText>
      </w:r>
      <w:r w:rsidRPr="00A17B1B">
        <w:rPr>
          <w:rFonts w:cs="Arial"/>
        </w:rPr>
        <w:fldChar w:fldCharType="separate"/>
      </w:r>
      <w:hyperlink w:anchor="_Toc176270903" w:history="1">
        <w:r w:rsidR="00913707" w:rsidRPr="00057687">
          <w:rPr>
            <w:rStyle w:val="Hyperlink"/>
          </w:rPr>
          <w:t>About this guide</w:t>
        </w:r>
        <w:r w:rsidR="00913707">
          <w:rPr>
            <w:webHidden/>
          </w:rPr>
          <w:tab/>
        </w:r>
        <w:r w:rsidR="00913707">
          <w:rPr>
            <w:webHidden/>
          </w:rPr>
          <w:fldChar w:fldCharType="begin"/>
        </w:r>
        <w:r w:rsidR="00913707">
          <w:rPr>
            <w:webHidden/>
          </w:rPr>
          <w:instrText xml:space="preserve"> PAGEREF _Toc176270903 \h </w:instrText>
        </w:r>
        <w:r w:rsidR="00913707">
          <w:rPr>
            <w:webHidden/>
          </w:rPr>
        </w:r>
        <w:r w:rsidR="00913707">
          <w:rPr>
            <w:webHidden/>
          </w:rPr>
          <w:fldChar w:fldCharType="separate"/>
        </w:r>
        <w:r w:rsidR="00882F14">
          <w:rPr>
            <w:webHidden/>
          </w:rPr>
          <w:t>1</w:t>
        </w:r>
        <w:r w:rsidR="00913707">
          <w:rPr>
            <w:webHidden/>
          </w:rPr>
          <w:fldChar w:fldCharType="end"/>
        </w:r>
      </w:hyperlink>
    </w:p>
    <w:p w14:paraId="5B880FF4" w14:textId="528020D6" w:rsidR="00913707" w:rsidRDefault="00913707">
      <w:pPr>
        <w:pStyle w:val="TOC1"/>
        <w:rPr>
          <w:rFonts w:asciiTheme="minorHAnsi" w:eastAsiaTheme="minorEastAsia" w:hAnsiTheme="minorHAnsi" w:cstheme="minorBidi"/>
          <w:b w:val="0"/>
          <w:spacing w:val="0"/>
          <w:kern w:val="2"/>
          <w:sz w:val="22"/>
          <w:szCs w:val="22"/>
          <w14:ligatures w14:val="standardContextual"/>
        </w:rPr>
      </w:pPr>
      <w:hyperlink w:anchor="_Toc176270904" w:history="1">
        <w:r w:rsidRPr="00057687">
          <w:rPr>
            <w:rStyle w:val="Hyperlink"/>
          </w:rPr>
          <w:t>Satellite direct-to-mobile services</w:t>
        </w:r>
        <w:r>
          <w:rPr>
            <w:webHidden/>
          </w:rPr>
          <w:tab/>
        </w:r>
        <w:r>
          <w:rPr>
            <w:webHidden/>
          </w:rPr>
          <w:fldChar w:fldCharType="begin"/>
        </w:r>
        <w:r>
          <w:rPr>
            <w:webHidden/>
          </w:rPr>
          <w:instrText xml:space="preserve"> PAGEREF _Toc176270904 \h </w:instrText>
        </w:r>
        <w:r>
          <w:rPr>
            <w:webHidden/>
          </w:rPr>
        </w:r>
        <w:r>
          <w:rPr>
            <w:webHidden/>
          </w:rPr>
          <w:fldChar w:fldCharType="separate"/>
        </w:r>
        <w:r w:rsidR="00882F14">
          <w:rPr>
            <w:webHidden/>
          </w:rPr>
          <w:t>2</w:t>
        </w:r>
        <w:r>
          <w:rPr>
            <w:webHidden/>
          </w:rPr>
          <w:fldChar w:fldCharType="end"/>
        </w:r>
      </w:hyperlink>
    </w:p>
    <w:p w14:paraId="0DD8DDDC" w14:textId="623F53EE" w:rsidR="00913707" w:rsidRDefault="00913707">
      <w:pPr>
        <w:pStyle w:val="TOC2"/>
        <w:rPr>
          <w:rFonts w:asciiTheme="minorHAnsi" w:eastAsiaTheme="minorEastAsia" w:hAnsiTheme="minorHAnsi" w:cstheme="minorBidi"/>
          <w:spacing w:val="0"/>
          <w:kern w:val="2"/>
          <w:sz w:val="22"/>
          <w:szCs w:val="22"/>
          <w14:ligatures w14:val="standardContextual"/>
        </w:rPr>
      </w:pPr>
      <w:hyperlink w:anchor="_Toc176270905" w:history="1">
        <w:r w:rsidRPr="00057687">
          <w:rPr>
            <w:rStyle w:val="Hyperlink"/>
          </w:rPr>
          <w:t>MSS satellite direct-to-mobile services</w:t>
        </w:r>
        <w:r>
          <w:rPr>
            <w:webHidden/>
          </w:rPr>
          <w:tab/>
        </w:r>
        <w:r>
          <w:rPr>
            <w:webHidden/>
          </w:rPr>
          <w:fldChar w:fldCharType="begin"/>
        </w:r>
        <w:r>
          <w:rPr>
            <w:webHidden/>
          </w:rPr>
          <w:instrText xml:space="preserve"> PAGEREF _Toc176270905 \h </w:instrText>
        </w:r>
        <w:r>
          <w:rPr>
            <w:webHidden/>
          </w:rPr>
        </w:r>
        <w:r>
          <w:rPr>
            <w:webHidden/>
          </w:rPr>
          <w:fldChar w:fldCharType="separate"/>
        </w:r>
        <w:r w:rsidR="00882F14">
          <w:rPr>
            <w:webHidden/>
          </w:rPr>
          <w:t>2</w:t>
        </w:r>
        <w:r>
          <w:rPr>
            <w:webHidden/>
          </w:rPr>
          <w:fldChar w:fldCharType="end"/>
        </w:r>
      </w:hyperlink>
    </w:p>
    <w:p w14:paraId="53C3E8B5" w14:textId="0382B5CA" w:rsidR="00913707" w:rsidRDefault="00913707">
      <w:pPr>
        <w:pStyle w:val="TOC2"/>
        <w:rPr>
          <w:rFonts w:asciiTheme="minorHAnsi" w:eastAsiaTheme="minorEastAsia" w:hAnsiTheme="minorHAnsi" w:cstheme="minorBidi"/>
          <w:spacing w:val="0"/>
          <w:kern w:val="2"/>
          <w:sz w:val="22"/>
          <w:szCs w:val="22"/>
          <w14:ligatures w14:val="standardContextual"/>
        </w:rPr>
      </w:pPr>
      <w:hyperlink w:anchor="_Toc176270906" w:history="1">
        <w:r w:rsidRPr="00057687">
          <w:rPr>
            <w:rStyle w:val="Hyperlink"/>
          </w:rPr>
          <w:t>IMT satellite direct-to-mobile services</w:t>
        </w:r>
        <w:r>
          <w:rPr>
            <w:webHidden/>
          </w:rPr>
          <w:tab/>
        </w:r>
        <w:r>
          <w:rPr>
            <w:webHidden/>
          </w:rPr>
          <w:fldChar w:fldCharType="begin"/>
        </w:r>
        <w:r>
          <w:rPr>
            <w:webHidden/>
          </w:rPr>
          <w:instrText xml:space="preserve"> PAGEREF _Toc176270906 \h </w:instrText>
        </w:r>
        <w:r>
          <w:rPr>
            <w:webHidden/>
          </w:rPr>
        </w:r>
        <w:r>
          <w:rPr>
            <w:webHidden/>
          </w:rPr>
          <w:fldChar w:fldCharType="separate"/>
        </w:r>
        <w:r w:rsidR="00882F14">
          <w:rPr>
            <w:webHidden/>
          </w:rPr>
          <w:t>2</w:t>
        </w:r>
        <w:r>
          <w:rPr>
            <w:webHidden/>
          </w:rPr>
          <w:fldChar w:fldCharType="end"/>
        </w:r>
      </w:hyperlink>
    </w:p>
    <w:p w14:paraId="1DC352E7" w14:textId="290005E5" w:rsidR="00913707" w:rsidRDefault="00913707">
      <w:pPr>
        <w:pStyle w:val="TOC1"/>
        <w:rPr>
          <w:rFonts w:asciiTheme="minorHAnsi" w:eastAsiaTheme="minorEastAsia" w:hAnsiTheme="minorHAnsi" w:cstheme="minorBidi"/>
          <w:b w:val="0"/>
          <w:spacing w:val="0"/>
          <w:kern w:val="2"/>
          <w:sz w:val="22"/>
          <w:szCs w:val="22"/>
          <w14:ligatures w14:val="standardContextual"/>
        </w:rPr>
      </w:pPr>
      <w:hyperlink w:anchor="_Toc176270907" w:history="1">
        <w:r w:rsidRPr="00057687">
          <w:rPr>
            <w:rStyle w:val="Hyperlink"/>
          </w:rPr>
          <w:t>Regulatory framework</w:t>
        </w:r>
        <w:r>
          <w:rPr>
            <w:webHidden/>
          </w:rPr>
          <w:tab/>
        </w:r>
        <w:r>
          <w:rPr>
            <w:webHidden/>
          </w:rPr>
          <w:fldChar w:fldCharType="begin"/>
        </w:r>
        <w:r>
          <w:rPr>
            <w:webHidden/>
          </w:rPr>
          <w:instrText xml:space="preserve"> PAGEREF _Toc176270907 \h </w:instrText>
        </w:r>
        <w:r>
          <w:rPr>
            <w:webHidden/>
          </w:rPr>
        </w:r>
        <w:r>
          <w:rPr>
            <w:webHidden/>
          </w:rPr>
          <w:fldChar w:fldCharType="separate"/>
        </w:r>
        <w:r w:rsidR="00882F14">
          <w:rPr>
            <w:webHidden/>
          </w:rPr>
          <w:t>4</w:t>
        </w:r>
        <w:r>
          <w:rPr>
            <w:webHidden/>
          </w:rPr>
          <w:fldChar w:fldCharType="end"/>
        </w:r>
      </w:hyperlink>
    </w:p>
    <w:p w14:paraId="69503804" w14:textId="683C93A0" w:rsidR="00913707" w:rsidRDefault="00913707">
      <w:pPr>
        <w:pStyle w:val="TOC2"/>
        <w:rPr>
          <w:rFonts w:asciiTheme="minorHAnsi" w:eastAsiaTheme="minorEastAsia" w:hAnsiTheme="minorHAnsi" w:cstheme="minorBidi"/>
          <w:spacing w:val="0"/>
          <w:kern w:val="2"/>
          <w:sz w:val="22"/>
          <w:szCs w:val="22"/>
          <w14:ligatures w14:val="standardContextual"/>
        </w:rPr>
      </w:pPr>
      <w:hyperlink w:anchor="_Toc176270908" w:history="1">
        <w:r w:rsidRPr="00057687">
          <w:rPr>
            <w:rStyle w:val="Hyperlink"/>
          </w:rPr>
          <w:t>Spectrum licensing framework</w:t>
        </w:r>
        <w:r>
          <w:rPr>
            <w:webHidden/>
          </w:rPr>
          <w:tab/>
        </w:r>
        <w:r>
          <w:rPr>
            <w:webHidden/>
          </w:rPr>
          <w:fldChar w:fldCharType="begin"/>
        </w:r>
        <w:r>
          <w:rPr>
            <w:webHidden/>
          </w:rPr>
          <w:instrText xml:space="preserve"> PAGEREF _Toc176270908 \h </w:instrText>
        </w:r>
        <w:r>
          <w:rPr>
            <w:webHidden/>
          </w:rPr>
        </w:r>
        <w:r>
          <w:rPr>
            <w:webHidden/>
          </w:rPr>
          <w:fldChar w:fldCharType="separate"/>
        </w:r>
        <w:r w:rsidR="00882F14">
          <w:rPr>
            <w:webHidden/>
          </w:rPr>
          <w:t>4</w:t>
        </w:r>
        <w:r>
          <w:rPr>
            <w:webHidden/>
          </w:rPr>
          <w:fldChar w:fldCharType="end"/>
        </w:r>
      </w:hyperlink>
    </w:p>
    <w:p w14:paraId="4581D1F6" w14:textId="2C8D8C46" w:rsidR="00913707" w:rsidRDefault="00913707">
      <w:pPr>
        <w:pStyle w:val="TOC2"/>
        <w:rPr>
          <w:rFonts w:asciiTheme="minorHAnsi" w:eastAsiaTheme="minorEastAsia" w:hAnsiTheme="minorHAnsi" w:cstheme="minorBidi"/>
          <w:spacing w:val="0"/>
          <w:kern w:val="2"/>
          <w:sz w:val="22"/>
          <w:szCs w:val="22"/>
          <w14:ligatures w14:val="standardContextual"/>
        </w:rPr>
      </w:pPr>
      <w:hyperlink w:anchor="_Toc176270909" w:history="1">
        <w:r w:rsidRPr="00057687">
          <w:rPr>
            <w:rStyle w:val="Hyperlink"/>
          </w:rPr>
          <w:t>Spectrum licensing and allocations in the Spectrum Plan</w:t>
        </w:r>
        <w:r>
          <w:rPr>
            <w:webHidden/>
          </w:rPr>
          <w:tab/>
        </w:r>
        <w:r>
          <w:rPr>
            <w:webHidden/>
          </w:rPr>
          <w:fldChar w:fldCharType="begin"/>
        </w:r>
        <w:r>
          <w:rPr>
            <w:webHidden/>
          </w:rPr>
          <w:instrText xml:space="preserve"> PAGEREF _Toc176270909 \h </w:instrText>
        </w:r>
        <w:r>
          <w:rPr>
            <w:webHidden/>
          </w:rPr>
        </w:r>
        <w:r>
          <w:rPr>
            <w:webHidden/>
          </w:rPr>
          <w:fldChar w:fldCharType="separate"/>
        </w:r>
        <w:r w:rsidR="00882F14">
          <w:rPr>
            <w:webHidden/>
          </w:rPr>
          <w:t>5</w:t>
        </w:r>
        <w:r>
          <w:rPr>
            <w:webHidden/>
          </w:rPr>
          <w:fldChar w:fldCharType="end"/>
        </w:r>
      </w:hyperlink>
    </w:p>
    <w:p w14:paraId="2060A269" w14:textId="54FB5DC7" w:rsidR="00913707" w:rsidRDefault="00913707">
      <w:pPr>
        <w:pStyle w:val="TOC2"/>
        <w:rPr>
          <w:rFonts w:asciiTheme="minorHAnsi" w:eastAsiaTheme="minorEastAsia" w:hAnsiTheme="minorHAnsi" w:cstheme="minorBidi"/>
          <w:spacing w:val="0"/>
          <w:kern w:val="2"/>
          <w:sz w:val="22"/>
          <w:szCs w:val="22"/>
          <w14:ligatures w14:val="standardContextual"/>
        </w:rPr>
      </w:pPr>
      <w:hyperlink w:anchor="_Toc176270910" w:history="1">
        <w:r w:rsidRPr="00057687">
          <w:rPr>
            <w:rStyle w:val="Hyperlink"/>
          </w:rPr>
          <w:t>Regulatory framework for space objects</w:t>
        </w:r>
        <w:r>
          <w:rPr>
            <w:webHidden/>
          </w:rPr>
          <w:tab/>
        </w:r>
        <w:r>
          <w:rPr>
            <w:webHidden/>
          </w:rPr>
          <w:fldChar w:fldCharType="begin"/>
        </w:r>
        <w:r>
          <w:rPr>
            <w:webHidden/>
          </w:rPr>
          <w:instrText xml:space="preserve"> PAGEREF _Toc176270910 \h </w:instrText>
        </w:r>
        <w:r>
          <w:rPr>
            <w:webHidden/>
          </w:rPr>
        </w:r>
        <w:r>
          <w:rPr>
            <w:webHidden/>
          </w:rPr>
          <w:fldChar w:fldCharType="separate"/>
        </w:r>
        <w:r w:rsidR="00882F14">
          <w:rPr>
            <w:webHidden/>
          </w:rPr>
          <w:t>5</w:t>
        </w:r>
        <w:r>
          <w:rPr>
            <w:webHidden/>
          </w:rPr>
          <w:fldChar w:fldCharType="end"/>
        </w:r>
      </w:hyperlink>
    </w:p>
    <w:p w14:paraId="36435A08" w14:textId="00729BC4" w:rsidR="00913707" w:rsidRDefault="00913707">
      <w:pPr>
        <w:pStyle w:val="TOC2"/>
        <w:rPr>
          <w:rFonts w:asciiTheme="minorHAnsi" w:eastAsiaTheme="minorEastAsia" w:hAnsiTheme="minorHAnsi" w:cstheme="minorBidi"/>
          <w:spacing w:val="0"/>
          <w:kern w:val="2"/>
          <w:sz w:val="22"/>
          <w:szCs w:val="22"/>
          <w14:ligatures w14:val="standardContextual"/>
        </w:rPr>
      </w:pPr>
      <w:hyperlink w:anchor="_Toc176270911" w:history="1">
        <w:r w:rsidRPr="00057687">
          <w:rPr>
            <w:rStyle w:val="Hyperlink"/>
          </w:rPr>
          <w:t>Geographic area of a spectrum licence and authorisation of devices</w:t>
        </w:r>
        <w:r>
          <w:rPr>
            <w:webHidden/>
          </w:rPr>
          <w:tab/>
        </w:r>
        <w:r>
          <w:rPr>
            <w:webHidden/>
          </w:rPr>
          <w:fldChar w:fldCharType="begin"/>
        </w:r>
        <w:r>
          <w:rPr>
            <w:webHidden/>
          </w:rPr>
          <w:instrText xml:space="preserve"> PAGEREF _Toc176270911 \h </w:instrText>
        </w:r>
        <w:r>
          <w:rPr>
            <w:webHidden/>
          </w:rPr>
        </w:r>
        <w:r>
          <w:rPr>
            <w:webHidden/>
          </w:rPr>
          <w:fldChar w:fldCharType="separate"/>
        </w:r>
        <w:r w:rsidR="00882F14">
          <w:rPr>
            <w:webHidden/>
          </w:rPr>
          <w:t>6</w:t>
        </w:r>
        <w:r>
          <w:rPr>
            <w:webHidden/>
          </w:rPr>
          <w:fldChar w:fldCharType="end"/>
        </w:r>
      </w:hyperlink>
    </w:p>
    <w:p w14:paraId="50E1AE1C" w14:textId="55520D31" w:rsidR="00913707" w:rsidRDefault="00913707">
      <w:pPr>
        <w:pStyle w:val="TOC1"/>
        <w:rPr>
          <w:rFonts w:asciiTheme="minorHAnsi" w:eastAsiaTheme="minorEastAsia" w:hAnsiTheme="minorHAnsi" w:cstheme="minorBidi"/>
          <w:b w:val="0"/>
          <w:spacing w:val="0"/>
          <w:kern w:val="2"/>
          <w:sz w:val="22"/>
          <w:szCs w:val="22"/>
          <w14:ligatures w14:val="standardContextual"/>
        </w:rPr>
      </w:pPr>
      <w:hyperlink w:anchor="_Toc176270912" w:history="1">
        <w:r w:rsidRPr="00057687">
          <w:rPr>
            <w:rStyle w:val="Hyperlink"/>
          </w:rPr>
          <w:t>Operation of an IMT satellite direct-to-mobile service</w:t>
        </w:r>
        <w:r>
          <w:rPr>
            <w:webHidden/>
          </w:rPr>
          <w:tab/>
        </w:r>
        <w:r>
          <w:rPr>
            <w:webHidden/>
          </w:rPr>
          <w:fldChar w:fldCharType="begin"/>
        </w:r>
        <w:r>
          <w:rPr>
            <w:webHidden/>
          </w:rPr>
          <w:instrText xml:space="preserve"> PAGEREF _Toc176270912 \h </w:instrText>
        </w:r>
        <w:r>
          <w:rPr>
            <w:webHidden/>
          </w:rPr>
        </w:r>
        <w:r>
          <w:rPr>
            <w:webHidden/>
          </w:rPr>
          <w:fldChar w:fldCharType="separate"/>
        </w:r>
        <w:r w:rsidR="00882F14">
          <w:rPr>
            <w:webHidden/>
          </w:rPr>
          <w:t>7</w:t>
        </w:r>
        <w:r>
          <w:rPr>
            <w:webHidden/>
          </w:rPr>
          <w:fldChar w:fldCharType="end"/>
        </w:r>
      </w:hyperlink>
    </w:p>
    <w:p w14:paraId="7CE153C4" w14:textId="355900A8" w:rsidR="00913707" w:rsidRDefault="00913707">
      <w:pPr>
        <w:pStyle w:val="TOC2"/>
        <w:rPr>
          <w:rFonts w:asciiTheme="minorHAnsi" w:eastAsiaTheme="minorEastAsia" w:hAnsiTheme="minorHAnsi" w:cstheme="minorBidi"/>
          <w:spacing w:val="0"/>
          <w:kern w:val="2"/>
          <w:sz w:val="22"/>
          <w:szCs w:val="22"/>
          <w14:ligatures w14:val="standardContextual"/>
        </w:rPr>
      </w:pPr>
      <w:hyperlink w:anchor="_Toc176270913" w:history="1">
        <w:r w:rsidRPr="00057687">
          <w:rPr>
            <w:rStyle w:val="Hyperlink"/>
          </w:rPr>
          <w:t>Operation under Australia-wide spectrum licences</w:t>
        </w:r>
        <w:r>
          <w:rPr>
            <w:webHidden/>
          </w:rPr>
          <w:tab/>
        </w:r>
        <w:r>
          <w:rPr>
            <w:webHidden/>
          </w:rPr>
          <w:fldChar w:fldCharType="begin"/>
        </w:r>
        <w:r>
          <w:rPr>
            <w:webHidden/>
          </w:rPr>
          <w:instrText xml:space="preserve"> PAGEREF _Toc176270913 \h </w:instrText>
        </w:r>
        <w:r>
          <w:rPr>
            <w:webHidden/>
          </w:rPr>
        </w:r>
        <w:r>
          <w:rPr>
            <w:webHidden/>
          </w:rPr>
          <w:fldChar w:fldCharType="separate"/>
        </w:r>
        <w:r w:rsidR="00882F14">
          <w:rPr>
            <w:webHidden/>
          </w:rPr>
          <w:t>7</w:t>
        </w:r>
        <w:r>
          <w:rPr>
            <w:webHidden/>
          </w:rPr>
          <w:fldChar w:fldCharType="end"/>
        </w:r>
      </w:hyperlink>
    </w:p>
    <w:p w14:paraId="6B57801C" w14:textId="31F1EB25" w:rsidR="00913707" w:rsidRDefault="00913707">
      <w:pPr>
        <w:pStyle w:val="TOC2"/>
        <w:rPr>
          <w:rFonts w:asciiTheme="minorHAnsi" w:eastAsiaTheme="minorEastAsia" w:hAnsiTheme="minorHAnsi" w:cstheme="minorBidi"/>
          <w:spacing w:val="0"/>
          <w:kern w:val="2"/>
          <w:sz w:val="22"/>
          <w:szCs w:val="22"/>
          <w14:ligatures w14:val="standardContextual"/>
        </w:rPr>
      </w:pPr>
      <w:hyperlink w:anchor="_Toc176270914" w:history="1">
        <w:r w:rsidRPr="00057687">
          <w:rPr>
            <w:rStyle w:val="Hyperlink"/>
          </w:rPr>
          <w:t>Operation in other areas of Australia</w:t>
        </w:r>
        <w:r>
          <w:rPr>
            <w:webHidden/>
          </w:rPr>
          <w:tab/>
        </w:r>
        <w:r>
          <w:rPr>
            <w:webHidden/>
          </w:rPr>
          <w:fldChar w:fldCharType="begin"/>
        </w:r>
        <w:r>
          <w:rPr>
            <w:webHidden/>
          </w:rPr>
          <w:instrText xml:space="preserve"> PAGEREF _Toc176270914 \h </w:instrText>
        </w:r>
        <w:r>
          <w:rPr>
            <w:webHidden/>
          </w:rPr>
        </w:r>
        <w:r>
          <w:rPr>
            <w:webHidden/>
          </w:rPr>
          <w:fldChar w:fldCharType="separate"/>
        </w:r>
        <w:r w:rsidR="00882F14">
          <w:rPr>
            <w:webHidden/>
          </w:rPr>
          <w:t>8</w:t>
        </w:r>
        <w:r>
          <w:rPr>
            <w:webHidden/>
          </w:rPr>
          <w:fldChar w:fldCharType="end"/>
        </w:r>
      </w:hyperlink>
    </w:p>
    <w:p w14:paraId="16DAA065" w14:textId="51ECF30F" w:rsidR="00913707" w:rsidRDefault="00913707">
      <w:pPr>
        <w:pStyle w:val="TOC2"/>
        <w:rPr>
          <w:rFonts w:asciiTheme="minorHAnsi" w:eastAsiaTheme="minorEastAsia" w:hAnsiTheme="minorHAnsi" w:cstheme="minorBidi"/>
          <w:spacing w:val="0"/>
          <w:kern w:val="2"/>
          <w:sz w:val="22"/>
          <w:szCs w:val="22"/>
          <w14:ligatures w14:val="standardContextual"/>
        </w:rPr>
      </w:pPr>
      <w:hyperlink w:anchor="_Toc176270915" w:history="1">
        <w:r w:rsidRPr="00057687">
          <w:rPr>
            <w:rStyle w:val="Hyperlink"/>
          </w:rPr>
          <w:t>Frequency bands</w:t>
        </w:r>
        <w:r>
          <w:rPr>
            <w:webHidden/>
          </w:rPr>
          <w:tab/>
        </w:r>
        <w:r>
          <w:rPr>
            <w:webHidden/>
          </w:rPr>
          <w:fldChar w:fldCharType="begin"/>
        </w:r>
        <w:r>
          <w:rPr>
            <w:webHidden/>
          </w:rPr>
          <w:instrText xml:space="preserve"> PAGEREF _Toc176270915 \h </w:instrText>
        </w:r>
        <w:r>
          <w:rPr>
            <w:webHidden/>
          </w:rPr>
        </w:r>
        <w:r>
          <w:rPr>
            <w:webHidden/>
          </w:rPr>
          <w:fldChar w:fldCharType="separate"/>
        </w:r>
        <w:r w:rsidR="00882F14">
          <w:rPr>
            <w:webHidden/>
          </w:rPr>
          <w:t>8</w:t>
        </w:r>
        <w:r>
          <w:rPr>
            <w:webHidden/>
          </w:rPr>
          <w:fldChar w:fldCharType="end"/>
        </w:r>
      </w:hyperlink>
    </w:p>
    <w:p w14:paraId="5C47FDA9" w14:textId="409B7BF0" w:rsidR="00913707" w:rsidRDefault="00913707">
      <w:pPr>
        <w:pStyle w:val="TOC2"/>
        <w:rPr>
          <w:rFonts w:asciiTheme="minorHAnsi" w:eastAsiaTheme="minorEastAsia" w:hAnsiTheme="minorHAnsi" w:cstheme="minorBidi"/>
          <w:spacing w:val="0"/>
          <w:kern w:val="2"/>
          <w:sz w:val="22"/>
          <w:szCs w:val="22"/>
          <w14:ligatures w14:val="standardContextual"/>
        </w:rPr>
      </w:pPr>
      <w:hyperlink w:anchor="_Toc176270916" w:history="1">
        <w:r w:rsidRPr="00057687">
          <w:rPr>
            <w:rStyle w:val="Hyperlink"/>
          </w:rPr>
          <w:t>Agreement between a spectrum licensee and satellite operator</w:t>
        </w:r>
        <w:r>
          <w:rPr>
            <w:webHidden/>
          </w:rPr>
          <w:tab/>
        </w:r>
        <w:r>
          <w:rPr>
            <w:webHidden/>
          </w:rPr>
          <w:fldChar w:fldCharType="begin"/>
        </w:r>
        <w:r>
          <w:rPr>
            <w:webHidden/>
          </w:rPr>
          <w:instrText xml:space="preserve"> PAGEREF _Toc176270916 \h </w:instrText>
        </w:r>
        <w:r>
          <w:rPr>
            <w:webHidden/>
          </w:rPr>
        </w:r>
        <w:r>
          <w:rPr>
            <w:webHidden/>
          </w:rPr>
          <w:fldChar w:fldCharType="separate"/>
        </w:r>
        <w:r w:rsidR="00882F14">
          <w:rPr>
            <w:webHidden/>
          </w:rPr>
          <w:t>9</w:t>
        </w:r>
        <w:r>
          <w:rPr>
            <w:webHidden/>
          </w:rPr>
          <w:fldChar w:fldCharType="end"/>
        </w:r>
      </w:hyperlink>
    </w:p>
    <w:p w14:paraId="50DB145C" w14:textId="03480301" w:rsidR="00913707" w:rsidRDefault="00913707">
      <w:pPr>
        <w:pStyle w:val="TOC2"/>
        <w:rPr>
          <w:rFonts w:asciiTheme="minorHAnsi" w:eastAsiaTheme="minorEastAsia" w:hAnsiTheme="minorHAnsi" w:cstheme="minorBidi"/>
          <w:spacing w:val="0"/>
          <w:kern w:val="2"/>
          <w:sz w:val="22"/>
          <w:szCs w:val="22"/>
          <w14:ligatures w14:val="standardContextual"/>
        </w:rPr>
      </w:pPr>
      <w:hyperlink w:anchor="_Toc176270917" w:history="1">
        <w:r w:rsidRPr="00057687">
          <w:rPr>
            <w:rStyle w:val="Hyperlink"/>
          </w:rPr>
          <w:t>Interference management</w:t>
        </w:r>
        <w:r>
          <w:rPr>
            <w:webHidden/>
          </w:rPr>
          <w:tab/>
        </w:r>
        <w:r>
          <w:rPr>
            <w:webHidden/>
          </w:rPr>
          <w:fldChar w:fldCharType="begin"/>
        </w:r>
        <w:r>
          <w:rPr>
            <w:webHidden/>
          </w:rPr>
          <w:instrText xml:space="preserve"> PAGEREF _Toc176270917 \h </w:instrText>
        </w:r>
        <w:r>
          <w:rPr>
            <w:webHidden/>
          </w:rPr>
        </w:r>
        <w:r>
          <w:rPr>
            <w:webHidden/>
          </w:rPr>
          <w:fldChar w:fldCharType="separate"/>
        </w:r>
        <w:r w:rsidR="00882F14">
          <w:rPr>
            <w:webHidden/>
          </w:rPr>
          <w:t>9</w:t>
        </w:r>
        <w:r>
          <w:rPr>
            <w:webHidden/>
          </w:rPr>
          <w:fldChar w:fldCharType="end"/>
        </w:r>
      </w:hyperlink>
    </w:p>
    <w:p w14:paraId="7FA8F0B3" w14:textId="51989C3C" w:rsidR="00913707" w:rsidRDefault="00913707">
      <w:pPr>
        <w:pStyle w:val="TOC2"/>
        <w:rPr>
          <w:rFonts w:asciiTheme="minorHAnsi" w:eastAsiaTheme="minorEastAsia" w:hAnsiTheme="minorHAnsi" w:cstheme="minorBidi"/>
          <w:spacing w:val="0"/>
          <w:kern w:val="2"/>
          <w:sz w:val="22"/>
          <w:szCs w:val="22"/>
          <w14:ligatures w14:val="standardContextual"/>
        </w:rPr>
      </w:pPr>
      <w:hyperlink w:anchor="_Toc176270918" w:history="1">
        <w:r w:rsidRPr="00057687">
          <w:rPr>
            <w:rStyle w:val="Hyperlink"/>
          </w:rPr>
          <w:t>Telecommunications carrier licensing and emergency calling</w:t>
        </w:r>
        <w:r>
          <w:rPr>
            <w:webHidden/>
          </w:rPr>
          <w:tab/>
        </w:r>
        <w:r>
          <w:rPr>
            <w:webHidden/>
          </w:rPr>
          <w:fldChar w:fldCharType="begin"/>
        </w:r>
        <w:r>
          <w:rPr>
            <w:webHidden/>
          </w:rPr>
          <w:instrText xml:space="preserve"> PAGEREF _Toc176270918 \h </w:instrText>
        </w:r>
        <w:r>
          <w:rPr>
            <w:webHidden/>
          </w:rPr>
        </w:r>
        <w:r>
          <w:rPr>
            <w:webHidden/>
          </w:rPr>
          <w:fldChar w:fldCharType="separate"/>
        </w:r>
        <w:r w:rsidR="00882F14">
          <w:rPr>
            <w:webHidden/>
          </w:rPr>
          <w:t>10</w:t>
        </w:r>
        <w:r>
          <w:rPr>
            <w:webHidden/>
          </w:rPr>
          <w:fldChar w:fldCharType="end"/>
        </w:r>
      </w:hyperlink>
    </w:p>
    <w:p w14:paraId="0F26F6B8" w14:textId="539A6C3E" w:rsidR="00913707" w:rsidRDefault="00913707">
      <w:pPr>
        <w:pStyle w:val="TOC1"/>
        <w:rPr>
          <w:rFonts w:asciiTheme="minorHAnsi" w:eastAsiaTheme="minorEastAsia" w:hAnsiTheme="minorHAnsi" w:cstheme="minorBidi"/>
          <w:b w:val="0"/>
          <w:spacing w:val="0"/>
          <w:kern w:val="2"/>
          <w:sz w:val="22"/>
          <w:szCs w:val="22"/>
          <w14:ligatures w14:val="standardContextual"/>
        </w:rPr>
      </w:pPr>
      <w:hyperlink w:anchor="_Toc176270919" w:history="1">
        <w:r w:rsidRPr="00057687">
          <w:rPr>
            <w:rStyle w:val="Hyperlink"/>
          </w:rPr>
          <w:t>International developments</w:t>
        </w:r>
        <w:r>
          <w:rPr>
            <w:webHidden/>
          </w:rPr>
          <w:tab/>
        </w:r>
        <w:r>
          <w:rPr>
            <w:webHidden/>
          </w:rPr>
          <w:fldChar w:fldCharType="begin"/>
        </w:r>
        <w:r>
          <w:rPr>
            <w:webHidden/>
          </w:rPr>
          <w:instrText xml:space="preserve"> PAGEREF _Toc176270919 \h </w:instrText>
        </w:r>
        <w:r>
          <w:rPr>
            <w:webHidden/>
          </w:rPr>
        </w:r>
        <w:r>
          <w:rPr>
            <w:webHidden/>
          </w:rPr>
          <w:fldChar w:fldCharType="separate"/>
        </w:r>
        <w:r w:rsidR="00882F14">
          <w:rPr>
            <w:webHidden/>
          </w:rPr>
          <w:t>11</w:t>
        </w:r>
        <w:r>
          <w:rPr>
            <w:webHidden/>
          </w:rPr>
          <w:fldChar w:fldCharType="end"/>
        </w:r>
      </w:hyperlink>
    </w:p>
    <w:p w14:paraId="64D3B5B3" w14:textId="77C30712" w:rsidR="00913707" w:rsidRDefault="00913707">
      <w:pPr>
        <w:pStyle w:val="TOC1"/>
        <w:rPr>
          <w:rFonts w:asciiTheme="minorHAnsi" w:eastAsiaTheme="minorEastAsia" w:hAnsiTheme="minorHAnsi" w:cstheme="minorBidi"/>
          <w:b w:val="0"/>
          <w:spacing w:val="0"/>
          <w:kern w:val="2"/>
          <w:sz w:val="22"/>
          <w:szCs w:val="22"/>
          <w14:ligatures w14:val="standardContextual"/>
        </w:rPr>
      </w:pPr>
      <w:hyperlink w:anchor="_Toc176270920" w:history="1">
        <w:r w:rsidRPr="00057687">
          <w:rPr>
            <w:rStyle w:val="Hyperlink"/>
          </w:rPr>
          <w:t>Next steps</w:t>
        </w:r>
        <w:r>
          <w:rPr>
            <w:webHidden/>
          </w:rPr>
          <w:tab/>
        </w:r>
        <w:r>
          <w:rPr>
            <w:webHidden/>
          </w:rPr>
          <w:fldChar w:fldCharType="begin"/>
        </w:r>
        <w:r>
          <w:rPr>
            <w:webHidden/>
          </w:rPr>
          <w:instrText xml:space="preserve"> PAGEREF _Toc176270920 \h </w:instrText>
        </w:r>
        <w:r>
          <w:rPr>
            <w:webHidden/>
          </w:rPr>
        </w:r>
        <w:r>
          <w:rPr>
            <w:webHidden/>
          </w:rPr>
          <w:fldChar w:fldCharType="separate"/>
        </w:r>
        <w:r w:rsidR="00882F14">
          <w:rPr>
            <w:webHidden/>
          </w:rPr>
          <w:t>12</w:t>
        </w:r>
        <w:r>
          <w:rPr>
            <w:webHidden/>
          </w:rPr>
          <w:fldChar w:fldCharType="end"/>
        </w:r>
      </w:hyperlink>
    </w:p>
    <w:p w14:paraId="3D87C8B9" w14:textId="28EE9176" w:rsidR="004D56FF" w:rsidRPr="00A17B1B" w:rsidRDefault="00DF0799">
      <w:pPr>
        <w:rPr>
          <w:rFonts w:cs="Arial"/>
        </w:rPr>
        <w:sectPr w:rsidR="004D56FF" w:rsidRPr="00A17B1B" w:rsidSect="005A62E5">
          <w:headerReference w:type="even" r:id="rId21"/>
          <w:headerReference w:type="default" r:id="rId22"/>
          <w:footerReference w:type="even" r:id="rId23"/>
          <w:footerReference w:type="default" r:id="rId24"/>
          <w:footerReference w:type="first" r:id="rId25"/>
          <w:pgSz w:w="11906" w:h="16838" w:code="9"/>
          <w:pgMar w:top="1418" w:right="1418" w:bottom="1134" w:left="1418" w:header="709" w:footer="119" w:gutter="0"/>
          <w:pgNumType w:fmt="lowerRoman" w:start="3"/>
          <w:cols w:space="708"/>
          <w:titlePg/>
          <w:docGrid w:linePitch="360"/>
        </w:sectPr>
      </w:pPr>
      <w:r w:rsidRPr="00A17B1B">
        <w:rPr>
          <w:rFonts w:cs="Arial"/>
        </w:rPr>
        <w:fldChar w:fldCharType="end"/>
      </w:r>
    </w:p>
    <w:p w14:paraId="1D2C4756" w14:textId="54C652DD" w:rsidR="009D6C71" w:rsidRPr="00A17B1B" w:rsidRDefault="001B1C7C" w:rsidP="003745F2">
      <w:pPr>
        <w:pStyle w:val="Heading1"/>
      </w:pPr>
      <w:bookmarkStart w:id="0" w:name="_Toc176270903"/>
      <w:r>
        <w:lastRenderedPageBreak/>
        <w:t>About this guide</w:t>
      </w:r>
      <w:bookmarkEnd w:id="0"/>
    </w:p>
    <w:p w14:paraId="60A13198" w14:textId="77777777" w:rsidR="006829C8" w:rsidRPr="00DD3AA5" w:rsidRDefault="006829C8" w:rsidP="007424AB">
      <w:pPr>
        <w:pStyle w:val="Paragraphbeforelist"/>
      </w:pPr>
      <w:r w:rsidRPr="00DD3AA5">
        <w:t>The Australian Communications and Media Authority (ACMA) issues regulatory guides to assist both industry and the community by:</w:t>
      </w:r>
    </w:p>
    <w:p w14:paraId="22F88DFB" w14:textId="77777777" w:rsidR="006829C8" w:rsidRPr="00DD3AA5" w:rsidRDefault="006829C8" w:rsidP="00202E8C">
      <w:pPr>
        <w:pStyle w:val="Bulletlevel1"/>
      </w:pPr>
      <w:r w:rsidRPr="00DD3AA5">
        <w:t>giving practical guidance (for example, guidance about the ACMA’s approach to a particular issue or describing the steps of a process)</w:t>
      </w:r>
    </w:p>
    <w:p w14:paraId="346B9007" w14:textId="77777777" w:rsidR="006829C8" w:rsidRPr="00DD3AA5" w:rsidRDefault="006829C8" w:rsidP="00202E8C">
      <w:pPr>
        <w:pStyle w:val="Bulletlevel1"/>
      </w:pPr>
      <w:r w:rsidRPr="00DD3AA5">
        <w:t>describing the principles underlying the ACMA’s approach in particular areas</w:t>
      </w:r>
    </w:p>
    <w:p w14:paraId="1D813F13" w14:textId="77777777" w:rsidR="006829C8" w:rsidRPr="00DD3AA5" w:rsidRDefault="006829C8" w:rsidP="00202E8C">
      <w:pPr>
        <w:pStyle w:val="Bulletlevel1"/>
      </w:pPr>
      <w:r w:rsidRPr="00DD3AA5">
        <w:t>explaining the ACMA’s view on the interpretation of the law or its application to a regulated industry</w:t>
      </w:r>
    </w:p>
    <w:p w14:paraId="025D9047" w14:textId="77777777" w:rsidR="006829C8" w:rsidRDefault="006829C8" w:rsidP="007424AB">
      <w:pPr>
        <w:pStyle w:val="Bulletlevel1last"/>
      </w:pPr>
      <w:r w:rsidRPr="00DD3AA5">
        <w:t>explaining when and how the ACMA will exercise specific powers under the legislation it administers.</w:t>
      </w:r>
    </w:p>
    <w:p w14:paraId="2F5D3DD1" w14:textId="2A7FC25A" w:rsidR="005E250B" w:rsidRPr="001567A2" w:rsidRDefault="006829C8" w:rsidP="00B81C94">
      <w:pPr>
        <w:pStyle w:val="Paragraph"/>
      </w:pPr>
      <w:r w:rsidRPr="001567A2">
        <w:t>A regulatory guide does not constitute or replace legal advice on obligations under the relevant legislation.</w:t>
      </w:r>
    </w:p>
    <w:p w14:paraId="39AF0D8B" w14:textId="7A6C9366" w:rsidR="000B4664" w:rsidRPr="00A17B1B" w:rsidRDefault="00202E8C" w:rsidP="000B4664">
      <w:pPr>
        <w:pStyle w:val="Heading1"/>
      </w:pPr>
      <w:bookmarkStart w:id="1" w:name="_Toc176270904"/>
      <w:r w:rsidRPr="00202E8C">
        <w:lastRenderedPageBreak/>
        <w:t>Satellite direct-to-mobile services</w:t>
      </w:r>
      <w:bookmarkEnd w:id="1"/>
    </w:p>
    <w:p w14:paraId="57BA6A17" w14:textId="691D412E" w:rsidR="007874F0" w:rsidRDefault="007874F0" w:rsidP="007874F0">
      <w:pPr>
        <w:pStyle w:val="Paragraph"/>
      </w:pPr>
      <w:r w:rsidRPr="003E16E5">
        <w:t>A satellite direct-to-mobile service</w:t>
      </w:r>
      <w:r w:rsidRPr="003E16E5">
        <w:rPr>
          <w:rStyle w:val="FootnoteReference"/>
        </w:rPr>
        <w:footnoteReference w:id="2"/>
      </w:r>
      <w:r w:rsidRPr="003E16E5">
        <w:t xml:space="preserve"> is a recent advancement in communications technology that provides direct connectivity between a </w:t>
      </w:r>
      <w:r>
        <w:t>mobile phone</w:t>
      </w:r>
      <w:r>
        <w:rPr>
          <w:rStyle w:val="FootnoteReference"/>
        </w:rPr>
        <w:footnoteReference w:id="3"/>
      </w:r>
      <w:r w:rsidRPr="003E16E5">
        <w:t xml:space="preserve"> and a satellite network. This enables a </w:t>
      </w:r>
      <w:r>
        <w:t>mobile phone</w:t>
      </w:r>
      <w:r w:rsidRPr="003E16E5">
        <w:t xml:space="preserve"> to communicate with satellites when it is outside the coverage area of </w:t>
      </w:r>
      <w:r>
        <w:t xml:space="preserve">both </w:t>
      </w:r>
      <w:r w:rsidRPr="003E16E5">
        <w:t xml:space="preserve">terrestrial cellular and </w:t>
      </w:r>
      <w:r w:rsidR="007F3114">
        <w:t>w</w:t>
      </w:r>
      <w:r w:rsidRPr="003E16E5">
        <w:t>i-</w:t>
      </w:r>
      <w:r w:rsidR="007F3114">
        <w:t>f</w:t>
      </w:r>
      <w:r w:rsidRPr="003E16E5">
        <w:t>i networks. Previously, a dedicated device such as a satellite phone was required for mobile communication with satellites</w:t>
      </w:r>
      <w:r>
        <w:t>.</w:t>
      </w:r>
    </w:p>
    <w:p w14:paraId="2584DE3B" w14:textId="55F4F602" w:rsidR="007874F0" w:rsidRDefault="007874F0" w:rsidP="007874F0">
      <w:pPr>
        <w:pStyle w:val="Paragraph"/>
      </w:pPr>
      <w:r>
        <w:t>From a spectrum management perspective, there are 2 types</w:t>
      </w:r>
      <w:r w:rsidRPr="005B270B">
        <w:t xml:space="preserve"> of satellite direct-to-mobile services</w:t>
      </w:r>
      <w:r w:rsidR="007F3114">
        <w:t>,</w:t>
      </w:r>
      <w:r w:rsidRPr="005B270B">
        <w:t xml:space="preserve"> </w:t>
      </w:r>
      <w:r>
        <w:t>which are discussed below.</w:t>
      </w:r>
    </w:p>
    <w:p w14:paraId="70B9B77C" w14:textId="77777777" w:rsidR="000A0A5C" w:rsidRPr="009877B0" w:rsidRDefault="000A0A5C" w:rsidP="000A0A5C">
      <w:pPr>
        <w:pStyle w:val="Heading2"/>
      </w:pPr>
      <w:bookmarkStart w:id="2" w:name="_Toc176270905"/>
      <w:r w:rsidRPr="009877B0">
        <w:t xml:space="preserve">MSS </w:t>
      </w:r>
      <w:r>
        <w:t xml:space="preserve">satellite </w:t>
      </w:r>
      <w:r w:rsidRPr="009877B0">
        <w:t>direct-to-mobile service</w:t>
      </w:r>
      <w:r>
        <w:t>s</w:t>
      </w:r>
      <w:bookmarkEnd w:id="2"/>
    </w:p>
    <w:p w14:paraId="13B1B55A" w14:textId="411BA602" w:rsidR="00BF5DB8" w:rsidRDefault="00BF5DB8" w:rsidP="00BF5DB8">
      <w:pPr>
        <w:pStyle w:val="Paragraph"/>
      </w:pPr>
      <w:r w:rsidRPr="00A767AE">
        <w:t xml:space="preserve">These operate in frequency bands already </w:t>
      </w:r>
      <w:r w:rsidR="008F42C8">
        <w:t>planned</w:t>
      </w:r>
      <w:r w:rsidR="00801EC0">
        <w:t xml:space="preserve"> for </w:t>
      </w:r>
      <w:r w:rsidRPr="00A767AE">
        <w:t xml:space="preserve">mobile-satellite services (MSS) </w:t>
      </w:r>
      <w:r w:rsidR="00801EC0">
        <w:t xml:space="preserve">with allocations </w:t>
      </w:r>
      <w:r w:rsidRPr="00A767AE">
        <w:t xml:space="preserve">in </w:t>
      </w:r>
      <w:r>
        <w:t xml:space="preserve">the International Telecommunication Union (ITU) </w:t>
      </w:r>
      <w:hyperlink r:id="rId26" w:history="1">
        <w:r w:rsidRPr="00DB28AC">
          <w:rPr>
            <w:rStyle w:val="Hyperlink"/>
          </w:rPr>
          <w:t>Radio Regulations</w:t>
        </w:r>
      </w:hyperlink>
      <w:r w:rsidRPr="00F61E30">
        <w:rPr>
          <w:rStyle w:val="FootnoteReference"/>
        </w:rPr>
        <w:footnoteReference w:id="4"/>
      </w:r>
      <w:r>
        <w:t xml:space="preserve"> and the </w:t>
      </w:r>
      <w:hyperlink r:id="rId27" w:history="1">
        <w:r w:rsidRPr="00AF1F9E">
          <w:rPr>
            <w:rStyle w:val="Hyperlink"/>
          </w:rPr>
          <w:t>Australian Radiofrequency Spectrum Plan</w:t>
        </w:r>
      </w:hyperlink>
      <w:r>
        <w:t xml:space="preserve"> (</w:t>
      </w:r>
      <w:r w:rsidR="007F3114">
        <w:t xml:space="preserve">the </w:t>
      </w:r>
      <w:r>
        <w:t xml:space="preserve">Spectrum Plan). Use of this service requires </w:t>
      </w:r>
      <w:r w:rsidRPr="005B270B">
        <w:t xml:space="preserve">a </w:t>
      </w:r>
      <w:r>
        <w:t>mobile phone</w:t>
      </w:r>
      <w:r w:rsidRPr="005B270B">
        <w:t xml:space="preserve"> that incorporates functionality for satellite communications </w:t>
      </w:r>
      <w:r>
        <w:t>using</w:t>
      </w:r>
      <w:r w:rsidRPr="005B270B">
        <w:t xml:space="preserve"> </w:t>
      </w:r>
      <w:r>
        <w:t xml:space="preserve">the relevant MSS </w:t>
      </w:r>
      <w:r w:rsidRPr="005B270B">
        <w:t>frequency bands.</w:t>
      </w:r>
    </w:p>
    <w:p w14:paraId="238703E8" w14:textId="2FA82E6C" w:rsidR="00BF5DB8" w:rsidRPr="005B270B" w:rsidRDefault="00BF5DB8" w:rsidP="00BF5DB8">
      <w:pPr>
        <w:pStyle w:val="Paragraph"/>
      </w:pPr>
      <w:r w:rsidRPr="005B270B">
        <w:t xml:space="preserve">MSS allocations support communications applications that involve a satellite network communicating with numerous or ubiquitous mobile earth stations. </w:t>
      </w:r>
      <w:r w:rsidR="007F3114">
        <w:t>For</w:t>
      </w:r>
      <w:r w:rsidRPr="005B270B">
        <w:t xml:space="preserve"> an MSS </w:t>
      </w:r>
      <w:r>
        <w:t xml:space="preserve">satellite </w:t>
      </w:r>
      <w:r w:rsidRPr="005B270B">
        <w:t xml:space="preserve">direct-to-mobile service, the mobile earth station functionality is included in the </w:t>
      </w:r>
      <w:r>
        <w:t>mobile phone</w:t>
      </w:r>
      <w:r w:rsidRPr="005B270B">
        <w:t xml:space="preserve">. Since an MSS </w:t>
      </w:r>
      <w:r>
        <w:t>satellite</w:t>
      </w:r>
      <w:r w:rsidRPr="005B270B">
        <w:t xml:space="preserve"> direct-to-mobile service uses frequency bands already </w:t>
      </w:r>
      <w:r w:rsidR="00781071">
        <w:t xml:space="preserve">planned for MSS </w:t>
      </w:r>
      <w:r w:rsidR="00AB1F66">
        <w:t>(</w:t>
      </w:r>
      <w:r w:rsidR="00F5154B">
        <w:t xml:space="preserve">with allocations for </w:t>
      </w:r>
      <w:r w:rsidRPr="005B270B">
        <w:t>MSS</w:t>
      </w:r>
      <w:r w:rsidR="00D239FC">
        <w:t>)</w:t>
      </w:r>
      <w:r w:rsidRPr="005B270B">
        <w:t xml:space="preserve">, </w:t>
      </w:r>
      <w:r w:rsidR="007F3114">
        <w:t>operating</w:t>
      </w:r>
      <w:r w:rsidR="007F3114" w:rsidRPr="005B270B">
        <w:t xml:space="preserve"> </w:t>
      </w:r>
      <w:r w:rsidR="007F3114">
        <w:t>this</w:t>
      </w:r>
      <w:r w:rsidRPr="005B270B">
        <w:t xml:space="preserve"> service can be authorised under our normal licensing process.</w:t>
      </w:r>
      <w:r w:rsidRPr="005B270B">
        <w:rPr>
          <w:rStyle w:val="FootnoteReference"/>
        </w:rPr>
        <w:footnoteReference w:id="5"/>
      </w:r>
      <w:r w:rsidRPr="005B270B">
        <w:t xml:space="preserve">  </w:t>
      </w:r>
    </w:p>
    <w:p w14:paraId="0DAD9654" w14:textId="456B77DB" w:rsidR="00BF5DB8" w:rsidRDefault="00BF5DB8" w:rsidP="00BF5DB8">
      <w:pPr>
        <w:pStyle w:val="Paragraph"/>
      </w:pPr>
      <w:r w:rsidRPr="005B270B">
        <w:t xml:space="preserve">If an MSS operator already has an authorisation (that is, a licence) </w:t>
      </w:r>
      <w:r w:rsidR="007F3114">
        <w:t>to operate</w:t>
      </w:r>
      <w:r w:rsidR="007F3114" w:rsidRPr="005B270B">
        <w:t xml:space="preserve"> </w:t>
      </w:r>
      <w:r w:rsidR="007F3114">
        <w:t>a</w:t>
      </w:r>
      <w:r w:rsidR="00ED53A7">
        <w:t>n</w:t>
      </w:r>
      <w:r w:rsidR="007F3114" w:rsidRPr="005B270B">
        <w:t xml:space="preserve"> </w:t>
      </w:r>
      <w:r w:rsidRPr="005B270B">
        <w:t xml:space="preserve">MSS in Australia and the operation of the </w:t>
      </w:r>
      <w:r>
        <w:t>satellite</w:t>
      </w:r>
      <w:r w:rsidRPr="005B270B">
        <w:t xml:space="preserve"> direct-to-mobile service is within the conditions of that licence, an additional licence is not required. </w:t>
      </w:r>
    </w:p>
    <w:p w14:paraId="593E92AB" w14:textId="77777777" w:rsidR="00D75DEF" w:rsidRPr="009877B0" w:rsidRDefault="00D75DEF" w:rsidP="00D75DEF">
      <w:pPr>
        <w:pStyle w:val="Heading2"/>
      </w:pPr>
      <w:bookmarkStart w:id="3" w:name="_Toc176270906"/>
      <w:r w:rsidRPr="009877B0">
        <w:t>IMT satellite direct-to-mobile service</w:t>
      </w:r>
      <w:r>
        <w:t>s</w:t>
      </w:r>
      <w:bookmarkEnd w:id="3"/>
    </w:p>
    <w:p w14:paraId="65D315A8" w14:textId="25670029" w:rsidR="00BB2B08" w:rsidRDefault="00BB2B08" w:rsidP="00BB2B08">
      <w:pPr>
        <w:pStyle w:val="Paragraph"/>
      </w:pPr>
      <w:r w:rsidRPr="007D59CF">
        <w:t xml:space="preserve">These </w:t>
      </w:r>
      <w:r>
        <w:t xml:space="preserve">services are intended to </w:t>
      </w:r>
      <w:r w:rsidRPr="007D59CF">
        <w:t>operate in frequency bands allocated to terrestrial mobile broadband services, known internationally as International Mobile Telecommunications (</w:t>
      </w:r>
      <w:r w:rsidRPr="00DF5A85">
        <w:t>IMT)</w:t>
      </w:r>
      <w:r w:rsidR="008109AA" w:rsidRPr="007D59CF">
        <w:rPr>
          <w:vertAlign w:val="superscript"/>
        </w:rPr>
        <w:footnoteReference w:id="6"/>
      </w:r>
      <w:r w:rsidR="008109AA" w:rsidRPr="007D59CF">
        <w:t xml:space="preserve"> </w:t>
      </w:r>
      <w:r w:rsidRPr="007D59CF">
        <w:t>services</w:t>
      </w:r>
      <w:r w:rsidR="00357519">
        <w:t xml:space="preserve">. </w:t>
      </w:r>
      <w:r w:rsidRPr="007D59CF">
        <w:t>These frequency bands</w:t>
      </w:r>
      <w:r w:rsidR="0026155D">
        <w:t xml:space="preserve"> </w:t>
      </w:r>
      <w:r w:rsidRPr="007D59CF">
        <w:t>are predominantly authorised for use in Australia by mobile network operators (</w:t>
      </w:r>
      <w:r w:rsidRPr="000809DF">
        <w:t>MNOs</w:t>
      </w:r>
      <w:r w:rsidRPr="007D59CF">
        <w:t>) under spectrum licences</w:t>
      </w:r>
      <w:r w:rsidR="007F7562">
        <w:t xml:space="preserve"> and </w:t>
      </w:r>
      <w:r w:rsidR="00FA2CC6">
        <w:t>the</w:t>
      </w:r>
      <w:r w:rsidR="002F0B12">
        <w:t xml:space="preserve"> </w:t>
      </w:r>
      <w:r w:rsidR="007F7562">
        <w:t xml:space="preserve">bands </w:t>
      </w:r>
      <w:r w:rsidR="00FD0B37">
        <w:t xml:space="preserve">are not planned for MSS </w:t>
      </w:r>
      <w:r w:rsidR="00357519">
        <w:t>–</w:t>
      </w:r>
      <w:r w:rsidR="00FD0B37">
        <w:t xml:space="preserve"> there are </w:t>
      </w:r>
      <w:r w:rsidR="00751EFD" w:rsidRPr="007D59CF">
        <w:t>no MSS allocation</w:t>
      </w:r>
      <w:r w:rsidR="00751EFD">
        <w:t>s</w:t>
      </w:r>
      <w:r w:rsidR="00F02FA6">
        <w:rPr>
          <w:rStyle w:val="FootnoteReference"/>
        </w:rPr>
        <w:footnoteReference w:id="7"/>
      </w:r>
      <w:r w:rsidR="00620F28">
        <w:t xml:space="preserve"> </w:t>
      </w:r>
      <w:r w:rsidR="0084512B">
        <w:t>for</w:t>
      </w:r>
      <w:r w:rsidR="00620F28">
        <w:t xml:space="preserve"> </w:t>
      </w:r>
      <w:r w:rsidR="00B53C1B">
        <w:t>supporting t</w:t>
      </w:r>
      <w:r w:rsidR="00620F28">
        <w:t xml:space="preserve">he proposed </w:t>
      </w:r>
      <w:r w:rsidR="00B53C1B">
        <w:t>space station transmitters and receivers</w:t>
      </w:r>
      <w:r>
        <w:t>. An IMT satellite direct-to-mobile service works</w:t>
      </w:r>
      <w:r w:rsidRPr="005B270B">
        <w:t xml:space="preserve"> on standard </w:t>
      </w:r>
      <w:r>
        <w:t>mobile phones</w:t>
      </w:r>
      <w:r w:rsidRPr="005B270B">
        <w:t xml:space="preserve"> that have no additional satellite communications capability</w:t>
      </w:r>
      <w:r>
        <w:t>.</w:t>
      </w:r>
    </w:p>
    <w:p w14:paraId="6DF2AC83" w14:textId="2C196143" w:rsidR="00BB2B08" w:rsidRPr="005B270B" w:rsidRDefault="00BB2B08" w:rsidP="00BB2B08">
      <w:pPr>
        <w:pStyle w:val="Paragraph"/>
      </w:pPr>
      <w:r w:rsidRPr="005B270B">
        <w:t xml:space="preserve">Given </w:t>
      </w:r>
      <w:r w:rsidR="00716CFE">
        <w:t xml:space="preserve">that </w:t>
      </w:r>
      <w:r w:rsidRPr="005B270B">
        <w:t xml:space="preserve">the intent of these systems is to operate in bands </w:t>
      </w:r>
      <w:r w:rsidR="007F3114">
        <w:t>used</w:t>
      </w:r>
      <w:r w:rsidR="007F3114" w:rsidRPr="005B270B">
        <w:t xml:space="preserve"> </w:t>
      </w:r>
      <w:r w:rsidRPr="005B270B">
        <w:t xml:space="preserve">by terrestrial services with no MSS allocation, this raises technical and regulatory considerations that are not </w:t>
      </w:r>
      <w:r w:rsidR="007F3114">
        <w:t>applicable to</w:t>
      </w:r>
      <w:r w:rsidRPr="005B270B">
        <w:t xml:space="preserve"> MSS direct-to-mobile services. </w:t>
      </w:r>
      <w:r w:rsidR="007F3114">
        <w:t>A</w:t>
      </w:r>
      <w:r w:rsidRPr="005B270B">
        <w:t xml:space="preserve">s the ITU framework does not support satellite services in </w:t>
      </w:r>
      <w:r w:rsidRPr="005B270B">
        <w:lastRenderedPageBreak/>
        <w:t>these bands</w:t>
      </w:r>
      <w:r>
        <w:t xml:space="preserve">, internationally </w:t>
      </w:r>
      <w:r w:rsidRPr="005B270B">
        <w:t>these services are operated on a no</w:t>
      </w:r>
      <w:r>
        <w:t>-</w:t>
      </w:r>
      <w:r w:rsidRPr="005B270B">
        <w:t>interference</w:t>
      </w:r>
      <w:r>
        <w:t xml:space="preserve">, </w:t>
      </w:r>
      <w:r w:rsidRPr="005B270B">
        <w:t>no</w:t>
      </w:r>
      <w:r>
        <w:t>-</w:t>
      </w:r>
      <w:r w:rsidRPr="005B270B">
        <w:t>protection basis with the requirement to cease or vary operation if interference occurs.</w:t>
      </w:r>
      <w:r w:rsidRPr="005B270B">
        <w:rPr>
          <w:rStyle w:val="FootnoteReference"/>
        </w:rPr>
        <w:footnoteReference w:id="8"/>
      </w:r>
    </w:p>
    <w:p w14:paraId="11D11FAB" w14:textId="2720ACE1" w:rsidR="00BB2B08" w:rsidRDefault="00BB2B08" w:rsidP="00BB2B08">
      <w:pPr>
        <w:pStyle w:val="Paragraph"/>
      </w:pPr>
      <w:r w:rsidRPr="00DC0E75">
        <w:t xml:space="preserve">Since there are no novel regulatory issues arising from MSS satellite direct-to-mobile services, </w:t>
      </w:r>
      <w:r>
        <w:t xml:space="preserve">the guidance in this paper </w:t>
      </w:r>
      <w:r w:rsidRPr="00DC0E75">
        <w:t xml:space="preserve">only </w:t>
      </w:r>
      <w:r>
        <w:t>covers</w:t>
      </w:r>
      <w:r w:rsidRPr="00DC0E75">
        <w:t xml:space="preserve"> IMT satellite direct-to-mobile services</w:t>
      </w:r>
      <w:r>
        <w:t>.</w:t>
      </w:r>
      <w:r w:rsidRPr="00537ECF">
        <w:t xml:space="preserve"> </w:t>
      </w:r>
      <w:r w:rsidRPr="005B270B">
        <w:t xml:space="preserve">With both of these models, beyond the requirements of the </w:t>
      </w:r>
      <w:hyperlink r:id="rId28" w:history="1">
        <w:r w:rsidR="00825156" w:rsidRPr="00EE4A93">
          <w:rPr>
            <w:rStyle w:val="Hyperlink"/>
            <w:i/>
            <w:iCs/>
          </w:rPr>
          <w:t>Radiocommunications Act 1992</w:t>
        </w:r>
      </w:hyperlink>
      <w:r w:rsidRPr="005B270B">
        <w:t xml:space="preserve">, there may be other regulatory obligations for operators to consider including telecommunications carrier licensing </w:t>
      </w:r>
      <w:r w:rsidR="007F3114">
        <w:t xml:space="preserve">responsibilities </w:t>
      </w:r>
      <w:r w:rsidRPr="005B270B">
        <w:t xml:space="preserve">under the </w:t>
      </w:r>
      <w:hyperlink r:id="rId29" w:history="1">
        <w:r w:rsidRPr="00E34250">
          <w:rPr>
            <w:rStyle w:val="Hyperlink"/>
            <w:i/>
            <w:iCs/>
          </w:rPr>
          <w:t>Telecommunications Act 1997</w:t>
        </w:r>
      </w:hyperlink>
      <w:r w:rsidRPr="005B270B">
        <w:t xml:space="preserve"> and emergency call services </w:t>
      </w:r>
      <w:r w:rsidR="00825156">
        <w:t xml:space="preserve">obligations </w:t>
      </w:r>
      <w:r w:rsidRPr="005B270B">
        <w:t xml:space="preserve">under the </w:t>
      </w:r>
      <w:hyperlink r:id="rId30" w:history="1">
        <w:r w:rsidRPr="005B270B">
          <w:rPr>
            <w:rStyle w:val="Hyperlink"/>
          </w:rPr>
          <w:t>Telecommunications (Emergency Call Service) Determination 2019</w:t>
        </w:r>
      </w:hyperlink>
      <w:r w:rsidRPr="005B270B">
        <w:t xml:space="preserve">. </w:t>
      </w:r>
      <w:r w:rsidR="00825156">
        <w:t>Relevant</w:t>
      </w:r>
      <w:r w:rsidR="00825156" w:rsidRPr="005B270B">
        <w:t xml:space="preserve"> </w:t>
      </w:r>
      <w:r w:rsidRPr="005B270B">
        <w:t xml:space="preserve">parties should seek further advice on </w:t>
      </w:r>
      <w:r w:rsidR="00825156">
        <w:t>their obligations</w:t>
      </w:r>
      <w:r w:rsidRPr="005B270B">
        <w:t>.</w:t>
      </w:r>
    </w:p>
    <w:p w14:paraId="5B7ABD53" w14:textId="77777777" w:rsidR="000C4F0E" w:rsidRDefault="000C4F0E" w:rsidP="000C4F0E">
      <w:pPr>
        <w:pStyle w:val="Heading1"/>
      </w:pPr>
      <w:bookmarkStart w:id="4" w:name="_Toc176270907"/>
      <w:r>
        <w:lastRenderedPageBreak/>
        <w:t>Regulatory framework</w:t>
      </w:r>
      <w:bookmarkEnd w:id="4"/>
    </w:p>
    <w:p w14:paraId="42076217" w14:textId="77777777" w:rsidR="00E821AA" w:rsidRPr="005C3F62" w:rsidRDefault="00E821AA" w:rsidP="00E821AA">
      <w:pPr>
        <w:pStyle w:val="Heading2"/>
      </w:pPr>
      <w:bookmarkStart w:id="5" w:name="_Toc176270908"/>
      <w:r w:rsidRPr="005B270B">
        <w:t>Spectrum licensing framework</w:t>
      </w:r>
      <w:bookmarkEnd w:id="5"/>
    </w:p>
    <w:p w14:paraId="72BE476E" w14:textId="77777777" w:rsidR="00AF500B" w:rsidRDefault="00AF500B" w:rsidP="00AF500B">
      <w:pPr>
        <w:pStyle w:val="Paragraph"/>
      </w:pPr>
      <w:r>
        <w:t xml:space="preserve">Spectrum of interest </w:t>
      </w:r>
      <w:r w:rsidRPr="001C30AC">
        <w:t>for</w:t>
      </w:r>
      <w:r>
        <w:t xml:space="preserve"> IMT</w:t>
      </w:r>
      <w:r w:rsidRPr="001C30AC">
        <w:t xml:space="preserve"> satellite direct-to-mobile services is mainly authorised </w:t>
      </w:r>
      <w:r>
        <w:t>Australia-wide</w:t>
      </w:r>
      <w:r w:rsidRPr="001C30AC">
        <w:t xml:space="preserve"> for use by </w:t>
      </w:r>
      <w:r>
        <w:t>MNOs</w:t>
      </w:r>
      <w:r w:rsidRPr="001C30AC">
        <w:t xml:space="preserve"> under spectrum licences</w:t>
      </w:r>
      <w:r>
        <w:t>. Mobile phones</w:t>
      </w:r>
      <w:r w:rsidRPr="005B270B">
        <w:t xml:space="preserve"> used </w:t>
      </w:r>
      <w:r>
        <w:t xml:space="preserve">in </w:t>
      </w:r>
      <w:r w:rsidRPr="005B270B">
        <w:t>a</w:t>
      </w:r>
      <w:r>
        <w:t>n IMT</w:t>
      </w:r>
      <w:r w:rsidRPr="005B270B">
        <w:t xml:space="preserve"> satellite direct-to-mobile </w:t>
      </w:r>
      <w:r>
        <w:t>service</w:t>
      </w:r>
      <w:r w:rsidRPr="005B270B">
        <w:t xml:space="preserve"> can be operated under the current spectrum licensing framework, subject to the </w:t>
      </w:r>
      <w:r>
        <w:t>phone</w:t>
      </w:r>
      <w:r w:rsidRPr="005B270B">
        <w:t xml:space="preserve"> complying with all applicable licence conditions, without the need for explicit approval from the ACMA.</w:t>
      </w:r>
    </w:p>
    <w:p w14:paraId="2873829A" w14:textId="56F6F976" w:rsidR="005910B7" w:rsidRDefault="00AF500B" w:rsidP="00AF500B">
      <w:pPr>
        <w:pStyle w:val="Paragraph"/>
      </w:pPr>
      <w:r>
        <w:t>This means that the emissions (in the form of radiocommunications) from a mobile phone that can reach a space station on</w:t>
      </w:r>
      <w:r w:rsidR="005666F5">
        <w:t xml:space="preserve"> </w:t>
      </w:r>
      <w:r>
        <w:t>board a satellite (when out</w:t>
      </w:r>
      <w:r w:rsidR="005666F5">
        <w:t xml:space="preserve"> </w:t>
      </w:r>
      <w:r>
        <w:t>of</w:t>
      </w:r>
      <w:r w:rsidR="005666F5">
        <w:t xml:space="preserve"> </w:t>
      </w:r>
      <w:r>
        <w:t xml:space="preserve">range of a terrestrial base station) are authorised under the existing spectrum licensing framework, provided the emissions remain within the parameters of the licence conditions. Similarly, </w:t>
      </w:r>
      <w:r w:rsidRPr="00C61594">
        <w:t xml:space="preserve">when </w:t>
      </w:r>
      <w:r>
        <w:t>a</w:t>
      </w:r>
      <w:r w:rsidRPr="00C61594">
        <w:t xml:space="preserve"> space station </w:t>
      </w:r>
      <w:r>
        <w:t>transmits</w:t>
      </w:r>
      <w:r w:rsidRPr="00C61594">
        <w:t xml:space="preserve"> to a radiocommunications receiver in a mobile phone, </w:t>
      </w:r>
      <w:r w:rsidR="00625EAF">
        <w:t>reception by</w:t>
      </w:r>
      <w:r w:rsidRPr="00C61594">
        <w:t xml:space="preserve"> the </w:t>
      </w:r>
      <w:r>
        <w:t>phone</w:t>
      </w:r>
      <w:r w:rsidRPr="00C61594">
        <w:t xml:space="preserve"> continues to be authorised by the spectrum licence</w:t>
      </w:r>
      <w:r>
        <w:t>.</w:t>
      </w:r>
      <w:r w:rsidR="001B43F6">
        <w:t xml:space="preserve"> All of </w:t>
      </w:r>
      <w:r w:rsidR="00554DE2">
        <w:t xml:space="preserve">this is a </w:t>
      </w:r>
      <w:r w:rsidR="00C44681">
        <w:t xml:space="preserve">result of </w:t>
      </w:r>
      <w:r w:rsidR="001B43F6" w:rsidRPr="005B270B">
        <w:t xml:space="preserve">the technology-flexible nature of </w:t>
      </w:r>
      <w:r w:rsidR="00C44681">
        <w:t>our</w:t>
      </w:r>
      <w:r w:rsidR="001B43F6" w:rsidRPr="005B270B">
        <w:t xml:space="preserve"> spectrum-licensing </w:t>
      </w:r>
      <w:r w:rsidR="00C44681">
        <w:t>frameworks</w:t>
      </w:r>
      <w:r w:rsidRPr="005B270B">
        <w:t>.</w:t>
      </w:r>
      <w:r>
        <w:t xml:space="preserve"> </w:t>
      </w:r>
    </w:p>
    <w:p w14:paraId="5CA4FEB3" w14:textId="22610C44" w:rsidR="00AF500B" w:rsidRDefault="005910B7" w:rsidP="00AF500B">
      <w:pPr>
        <w:pStyle w:val="Paragraph"/>
      </w:pPr>
      <w:r>
        <w:t xml:space="preserve">No </w:t>
      </w:r>
      <w:r w:rsidR="00874005">
        <w:t>authorisation of</w:t>
      </w:r>
      <w:r w:rsidR="007C539B">
        <w:t xml:space="preserve"> </w:t>
      </w:r>
      <w:r w:rsidR="00843CA3">
        <w:t>a</w:t>
      </w:r>
      <w:r w:rsidR="007C539B">
        <w:t xml:space="preserve"> space station is required</w:t>
      </w:r>
      <w:r w:rsidR="00843CA3">
        <w:t xml:space="preserve"> to provide a</w:t>
      </w:r>
      <w:r w:rsidR="00516C20">
        <w:t>n</w:t>
      </w:r>
      <w:r w:rsidR="00843CA3">
        <w:t xml:space="preserve"> </w:t>
      </w:r>
      <w:r w:rsidR="00A56FBE">
        <w:t xml:space="preserve">IMT </w:t>
      </w:r>
      <w:r w:rsidR="00F64D25">
        <w:t>satellite direct</w:t>
      </w:r>
      <w:r w:rsidR="00357519">
        <w:t>-</w:t>
      </w:r>
      <w:r w:rsidR="00F64D25">
        <w:t>to</w:t>
      </w:r>
      <w:r w:rsidR="00357519">
        <w:t>-</w:t>
      </w:r>
      <w:r w:rsidR="00F64D25">
        <w:t xml:space="preserve">mobile </w:t>
      </w:r>
      <w:r w:rsidR="00843CA3">
        <w:t>service</w:t>
      </w:r>
      <w:r w:rsidR="00F87140">
        <w:t>.</w:t>
      </w:r>
      <w:r w:rsidR="00874005">
        <w:t xml:space="preserve"> </w:t>
      </w:r>
      <w:r w:rsidR="00782C47">
        <w:t xml:space="preserve">In addition to space </w:t>
      </w:r>
      <w:r w:rsidR="00EB1E0E">
        <w:t>station</w:t>
      </w:r>
      <w:r w:rsidR="00140294">
        <w:t>s</w:t>
      </w:r>
      <w:r w:rsidR="00EB1E0E">
        <w:t xml:space="preserve"> </w:t>
      </w:r>
      <w:r w:rsidR="00B21C7C">
        <w:t xml:space="preserve">being outside the </w:t>
      </w:r>
      <w:r w:rsidR="00F075BB">
        <w:t>g</w:t>
      </w:r>
      <w:r w:rsidR="00B21C7C" w:rsidRPr="00B21C7C">
        <w:t xml:space="preserve">eographic area </w:t>
      </w:r>
      <w:r w:rsidR="00140294">
        <w:t>covered by</w:t>
      </w:r>
      <w:r w:rsidR="00B21C7C" w:rsidRPr="00B21C7C">
        <w:t xml:space="preserve"> a spectrum licence </w:t>
      </w:r>
      <w:r w:rsidR="00F075BB">
        <w:t xml:space="preserve">(see discussion at </w:t>
      </w:r>
      <w:r w:rsidR="00B60634">
        <w:t>‘</w:t>
      </w:r>
      <w:r w:rsidR="00E36EBF">
        <w:fldChar w:fldCharType="begin"/>
      </w:r>
      <w:r w:rsidR="00E36EBF">
        <w:instrText xml:space="preserve"> REF _Ref175296935 \h </w:instrText>
      </w:r>
      <w:r w:rsidR="00E36EBF">
        <w:fldChar w:fldCharType="separate"/>
      </w:r>
      <w:r w:rsidR="00882F14">
        <w:t>Geographic area of a spectrum licence and authorisation of devices</w:t>
      </w:r>
      <w:r w:rsidR="00E36EBF">
        <w:fldChar w:fldCharType="end"/>
      </w:r>
      <w:r w:rsidR="00B60634">
        <w:t>’</w:t>
      </w:r>
      <w:r w:rsidR="00E36EBF">
        <w:t xml:space="preserve">), </w:t>
      </w:r>
      <w:r w:rsidR="00AF500B">
        <w:t xml:space="preserve">our understanding </w:t>
      </w:r>
      <w:r w:rsidR="00016092">
        <w:t xml:space="preserve">is </w:t>
      </w:r>
      <w:r w:rsidR="00AF500B">
        <w:t>that only foreign satellite systems (satellite systems for which the ACMA has not submitted a satellite filing to the ITU) will be involved in providing such services</w:t>
      </w:r>
      <w:r w:rsidR="00CE5CC5">
        <w:t xml:space="preserve"> for the foreseeable future</w:t>
      </w:r>
      <w:r w:rsidR="00AF500B">
        <w:t xml:space="preserve">. Further, in the frequency bands of interest for IMT satellite direct-to-mobile services, such satellite systems are not considered foreign space objects under the </w:t>
      </w:r>
      <w:hyperlink r:id="rId31" w:history="1">
        <w:r w:rsidR="00AF500B" w:rsidRPr="00270B73">
          <w:rPr>
            <w:rStyle w:val="Hyperlink"/>
          </w:rPr>
          <w:t>Radiocommunications (Foreign Space Objects) Determination 2014</w:t>
        </w:r>
      </w:hyperlink>
      <w:r w:rsidR="00AF500B">
        <w:t xml:space="preserve"> (as the frequency bands are not included in the </w:t>
      </w:r>
      <w:hyperlink r:id="rId32" w:history="1">
        <w:r w:rsidR="00AF500B" w:rsidRPr="00707A47">
          <w:rPr>
            <w:rStyle w:val="Hyperlink"/>
          </w:rPr>
          <w:t>Radiocommunications (Communication with Space Object) Class Licence 2015</w:t>
        </w:r>
      </w:hyperlink>
      <w:r w:rsidR="00AF500B">
        <w:t>), meaning that th</w:t>
      </w:r>
      <w:r w:rsidR="00624170">
        <w:t>os</w:t>
      </w:r>
      <w:r w:rsidR="00AF500B">
        <w:t>e satellite systems are currently outside the scope of the Radiocommunications Act for licensing purposes.</w:t>
      </w:r>
    </w:p>
    <w:p w14:paraId="40CBFC88" w14:textId="3D7BBA76" w:rsidR="00AF500B" w:rsidRDefault="00AF500B" w:rsidP="00AF500B">
      <w:pPr>
        <w:pStyle w:val="Paragraph"/>
      </w:pPr>
      <w:r w:rsidRPr="00CC43F1">
        <w:t>The interference management framework for spectrum licences</w:t>
      </w:r>
      <w:r>
        <w:t xml:space="preserve"> </w:t>
      </w:r>
      <w:r w:rsidRPr="00CC43F1">
        <w:t xml:space="preserve">in these bands does not envisage the possibility of space-based emissions (from ‘base stations’ in space). We expect </w:t>
      </w:r>
      <w:r>
        <w:t>s</w:t>
      </w:r>
      <w:r w:rsidRPr="00033A04">
        <w:t>pectrum licensee</w:t>
      </w:r>
      <w:r>
        <w:t xml:space="preserve">s and their partner satellite operators </w:t>
      </w:r>
      <w:r w:rsidRPr="00033A04">
        <w:t xml:space="preserve">to undertake their own due diligence to manage coexistence with other spectrum uses and users. This would include </w:t>
      </w:r>
      <w:r w:rsidR="00A33D4B">
        <w:t xml:space="preserve">managing </w:t>
      </w:r>
      <w:r w:rsidRPr="00033A04">
        <w:t>interference to services outside of spectrum</w:t>
      </w:r>
      <w:r w:rsidR="00B60634">
        <w:t>-</w:t>
      </w:r>
      <w:r w:rsidRPr="00033A04">
        <w:t>licensed areas.</w:t>
      </w:r>
      <w:r>
        <w:t xml:space="preserve"> W</w:t>
      </w:r>
      <w:r w:rsidR="006D7B2B">
        <w:t>ith this in mind,</w:t>
      </w:r>
      <w:r w:rsidR="0035029F">
        <w:t xml:space="preserve"> </w:t>
      </w:r>
      <w:r w:rsidR="006D7B2B">
        <w:t>w</w:t>
      </w:r>
      <w:r>
        <w:t xml:space="preserve">e consider that </w:t>
      </w:r>
      <w:r w:rsidR="0035029F">
        <w:t xml:space="preserve">the </w:t>
      </w:r>
      <w:r w:rsidRPr="00105B8F">
        <w:t>operation of a</w:t>
      </w:r>
      <w:r>
        <w:t xml:space="preserve">n </w:t>
      </w:r>
      <w:r>
        <w:rPr>
          <w:szCs w:val="22"/>
        </w:rPr>
        <w:t>IMT</w:t>
      </w:r>
      <w:r w:rsidRPr="00105B8F">
        <w:t xml:space="preserve"> satellite direct-to-mobile service would likely only be practical under an Australia-wide spectrum licence</w:t>
      </w:r>
      <w:r w:rsidR="00C34703">
        <w:t>. In these bands</w:t>
      </w:r>
      <w:r w:rsidR="0035029F">
        <w:t xml:space="preserve">, </w:t>
      </w:r>
      <w:r w:rsidR="00CA5340">
        <w:t xml:space="preserve">a </w:t>
      </w:r>
      <w:r w:rsidR="00C34703">
        <w:t xml:space="preserve">satellite operator </w:t>
      </w:r>
      <w:r w:rsidR="0035029F">
        <w:t>providing a</w:t>
      </w:r>
      <w:r w:rsidR="007B41F6">
        <w:t>n</w:t>
      </w:r>
      <w:r w:rsidR="0035029F">
        <w:t xml:space="preserve"> </w:t>
      </w:r>
      <w:r w:rsidR="00483AFE">
        <w:t>IMT satellite direct</w:t>
      </w:r>
      <w:r w:rsidR="00357519">
        <w:t>-</w:t>
      </w:r>
      <w:r w:rsidR="00483AFE">
        <w:t>to</w:t>
      </w:r>
      <w:r w:rsidR="00357519">
        <w:t>-</w:t>
      </w:r>
      <w:r w:rsidR="00483AFE">
        <w:t xml:space="preserve">mobile </w:t>
      </w:r>
      <w:r w:rsidR="0035029F">
        <w:t xml:space="preserve">service </w:t>
      </w:r>
      <w:r w:rsidR="000212FF">
        <w:t xml:space="preserve">for all </w:t>
      </w:r>
      <w:r w:rsidR="00693864">
        <w:t xml:space="preserve">practical </w:t>
      </w:r>
      <w:r w:rsidR="000212FF">
        <w:t xml:space="preserve">purposes </w:t>
      </w:r>
      <w:r w:rsidR="0035029F">
        <w:t xml:space="preserve">would </w:t>
      </w:r>
      <w:r w:rsidR="00C34703">
        <w:t xml:space="preserve">only need to </w:t>
      </w:r>
      <w:r w:rsidR="00886E79">
        <w:t xml:space="preserve">undertake </w:t>
      </w:r>
      <w:r w:rsidR="00A329A0">
        <w:t>coordination (</w:t>
      </w:r>
      <w:r w:rsidR="007B41F6">
        <w:t xml:space="preserve">for </w:t>
      </w:r>
      <w:r w:rsidR="00886E79">
        <w:t>interference management</w:t>
      </w:r>
      <w:r w:rsidR="00A329A0">
        <w:t>)</w:t>
      </w:r>
      <w:r w:rsidR="00CA5340">
        <w:t xml:space="preserve"> </w:t>
      </w:r>
      <w:r w:rsidR="00C34703">
        <w:t>with</w:t>
      </w:r>
      <w:r>
        <w:t xml:space="preserve"> a single licensee </w:t>
      </w:r>
      <w:r w:rsidR="00B60634">
        <w:t xml:space="preserve">that </w:t>
      </w:r>
      <w:r>
        <w:t xml:space="preserve">is responsible for </w:t>
      </w:r>
      <w:r w:rsidR="001B46D3" w:rsidDel="008A21F1">
        <w:t>managing</w:t>
      </w:r>
      <w:r w:rsidDel="008A21F1">
        <w:t xml:space="preserve"> coordination </w:t>
      </w:r>
      <w:r w:rsidR="00E111CF">
        <w:t>of services</w:t>
      </w:r>
      <w:r w:rsidDel="002A3F07">
        <w:t xml:space="preserve"> </w:t>
      </w:r>
      <w:r w:rsidDel="008A21F1">
        <w:t>within</w:t>
      </w:r>
      <w:r w:rsidDel="00A329A0">
        <w:t xml:space="preserve"> </w:t>
      </w:r>
      <w:r>
        <w:t xml:space="preserve">the licensed band </w:t>
      </w:r>
      <w:r w:rsidR="00AF7906">
        <w:t xml:space="preserve">across </w:t>
      </w:r>
      <w:r>
        <w:t>Australia</w:t>
      </w:r>
      <w:r w:rsidR="000212FF">
        <w:t>.</w:t>
      </w:r>
      <w:r w:rsidR="001D622B" w:rsidRPr="008A6D20">
        <w:rPr>
          <w:rStyle w:val="FootnoteReference"/>
        </w:rPr>
        <w:footnoteReference w:id="9"/>
      </w:r>
      <w:r w:rsidR="001D622B">
        <w:t xml:space="preserve"> </w:t>
      </w:r>
      <w:r w:rsidR="007B41F6">
        <w:t xml:space="preserve">This means </w:t>
      </w:r>
      <w:r w:rsidR="001D622B">
        <w:t xml:space="preserve">that there are </w:t>
      </w:r>
      <w:r>
        <w:t xml:space="preserve">no geographic boundary issues to </w:t>
      </w:r>
      <w:r w:rsidR="002A3F07">
        <w:t>coordinate across</w:t>
      </w:r>
      <w:r w:rsidR="0017624F">
        <w:t xml:space="preserve"> or multiple licensees </w:t>
      </w:r>
      <w:r w:rsidR="00D51B8F">
        <w:t xml:space="preserve">for the satellite operator </w:t>
      </w:r>
      <w:r w:rsidR="0017624F">
        <w:t>to consider</w:t>
      </w:r>
      <w:r>
        <w:t>.</w:t>
      </w:r>
    </w:p>
    <w:p w14:paraId="1FF23CD6" w14:textId="77777777" w:rsidR="006D16F3" w:rsidRPr="005C3F62" w:rsidRDefault="006D16F3" w:rsidP="006D16F3">
      <w:pPr>
        <w:pStyle w:val="Heading2"/>
      </w:pPr>
      <w:bookmarkStart w:id="6" w:name="_Toc176270909"/>
      <w:r w:rsidRPr="005B270B">
        <w:lastRenderedPageBreak/>
        <w:t>Spectrum licensing</w:t>
      </w:r>
      <w:r>
        <w:t xml:space="preserve"> and allocations in the Spectrum Plan</w:t>
      </w:r>
      <w:bookmarkEnd w:id="6"/>
    </w:p>
    <w:p w14:paraId="5BCEF33F" w14:textId="3F78FF63" w:rsidR="004E7542" w:rsidRDefault="004E7542" w:rsidP="004E7542">
      <w:pPr>
        <w:pStyle w:val="Paragraph"/>
      </w:pPr>
      <w:r w:rsidRPr="00F6244F">
        <w:t xml:space="preserve">The </w:t>
      </w:r>
      <w:hyperlink r:id="rId33" w:history="1">
        <w:r w:rsidRPr="00C05285">
          <w:rPr>
            <w:rStyle w:val="Hyperlink"/>
            <w:szCs w:val="22"/>
          </w:rPr>
          <w:t>Australian Radiofrequency Spectrum Plan</w:t>
        </w:r>
      </w:hyperlink>
      <w:r w:rsidRPr="00F6244F">
        <w:t xml:space="preserve"> provides that a service operating under a spectrum licence is taken to be a primary service unless the spectrum licence specifies that it is a secondary service.</w:t>
      </w:r>
      <w:r>
        <w:rPr>
          <w:rStyle w:val="FootnoteReference"/>
          <w:szCs w:val="22"/>
        </w:rPr>
        <w:footnoteReference w:id="10"/>
      </w:r>
      <w:r w:rsidRPr="00F6244F">
        <w:t xml:space="preserve"> </w:t>
      </w:r>
      <w:r>
        <w:t>This means that operation of a mobile phone under a spectrum licence used in an IMT satellite direct-to-mobile service is consistent with the Spectrum Plan.</w:t>
      </w:r>
    </w:p>
    <w:p w14:paraId="2D56A462" w14:textId="77777777" w:rsidR="004E7542" w:rsidRDefault="004E7542" w:rsidP="004E7542">
      <w:pPr>
        <w:pStyle w:val="Paragraph"/>
      </w:pPr>
      <w:r>
        <w:t xml:space="preserve">Currently there are no conditions in existing spectrum licences specifying that earth or earth receive services are secondary services. </w:t>
      </w:r>
      <w:r w:rsidRPr="00F6244F">
        <w:t xml:space="preserve">This means that a </w:t>
      </w:r>
      <w:r>
        <w:t xml:space="preserve">mobile phone operating under a spectrum licence in relation to an IMT </w:t>
      </w:r>
      <w:r w:rsidRPr="00F6244F">
        <w:t xml:space="preserve">satellite direct-to-mobile service would be </w:t>
      </w:r>
      <w:r>
        <w:t xml:space="preserve">doing so as part of </w:t>
      </w:r>
      <w:r w:rsidRPr="00F6244F">
        <w:t>a primary service</w:t>
      </w:r>
      <w:r>
        <w:t>.</w:t>
      </w:r>
    </w:p>
    <w:p w14:paraId="79D98A3D" w14:textId="77777777" w:rsidR="00321F99" w:rsidRDefault="00321F99" w:rsidP="00321F99">
      <w:pPr>
        <w:pStyle w:val="Heading2"/>
      </w:pPr>
      <w:bookmarkStart w:id="7" w:name="_Toc176270910"/>
      <w:r>
        <w:t>Regulatory framework for space objects</w:t>
      </w:r>
      <w:bookmarkEnd w:id="7"/>
    </w:p>
    <w:p w14:paraId="59F6982C" w14:textId="77777777" w:rsidR="004715E6" w:rsidRPr="00ED15E7" w:rsidRDefault="004715E6" w:rsidP="004715E6">
      <w:pPr>
        <w:pStyle w:val="Paragraphbeforelist"/>
      </w:pPr>
      <w:r w:rsidRPr="00ED15E7">
        <w:t>Any foreign satellite system proposed for provision of direct-to-mobile services in Australia would be:</w:t>
      </w:r>
    </w:p>
    <w:p w14:paraId="6438A9F9" w14:textId="77777777" w:rsidR="004715E6" w:rsidRPr="00ED15E7" w:rsidRDefault="004715E6" w:rsidP="004715E6">
      <w:pPr>
        <w:pStyle w:val="Bulletlevel1"/>
      </w:pPr>
      <w:r w:rsidRPr="00ED15E7">
        <w:t>operating in outer space</w:t>
      </w:r>
    </w:p>
    <w:p w14:paraId="6CDD9510" w14:textId="77777777" w:rsidR="004715E6" w:rsidRPr="00ED15E7" w:rsidRDefault="004715E6" w:rsidP="004715E6">
      <w:pPr>
        <w:pStyle w:val="Bulletlevel1"/>
      </w:pPr>
      <w:r w:rsidRPr="00ED15E7">
        <w:t xml:space="preserve">outside the geographic area of Australian spectrum licences held by </w:t>
      </w:r>
      <w:r>
        <w:t>MNOs</w:t>
      </w:r>
      <w:r w:rsidRPr="00ED15E7">
        <w:t xml:space="preserve"> (</w:t>
      </w:r>
      <w:r w:rsidRPr="008563F7">
        <w:t>see discussion in the following section</w:t>
      </w:r>
      <w:r>
        <w:t>)</w:t>
      </w:r>
    </w:p>
    <w:p w14:paraId="0BAC7E54" w14:textId="77777777" w:rsidR="004715E6" w:rsidRPr="00ED15E7" w:rsidRDefault="004715E6" w:rsidP="004715E6">
      <w:pPr>
        <w:pStyle w:val="Bulletlevel1last"/>
      </w:pPr>
      <w:r w:rsidRPr="00ED15E7">
        <w:t xml:space="preserve">currently outside the scope of the </w:t>
      </w:r>
      <w:hyperlink r:id="rId34" w:history="1">
        <w:r w:rsidRPr="00EE4A93">
          <w:rPr>
            <w:rStyle w:val="Hyperlink"/>
            <w:i/>
            <w:iCs/>
          </w:rPr>
          <w:t>Radiocommunications Act 1992</w:t>
        </w:r>
      </w:hyperlink>
      <w:r>
        <w:t xml:space="preserve"> </w:t>
      </w:r>
      <w:r w:rsidRPr="00ED15E7">
        <w:t>for licensing purposes</w:t>
      </w:r>
      <w:r>
        <w:t>.</w:t>
      </w:r>
      <w:r w:rsidRPr="00ED15E7">
        <w:t xml:space="preserve"> </w:t>
      </w:r>
    </w:p>
    <w:p w14:paraId="73770533" w14:textId="77777777" w:rsidR="004715E6" w:rsidRDefault="004715E6" w:rsidP="004715E6">
      <w:pPr>
        <w:pStyle w:val="Paragraph"/>
      </w:pPr>
      <w:r w:rsidRPr="00ED15E7">
        <w:t>This means</w:t>
      </w:r>
      <w:r>
        <w:t xml:space="preserve"> that</w:t>
      </w:r>
      <w:r w:rsidRPr="00ED15E7">
        <w:t xml:space="preserve"> it would be operating under</w:t>
      </w:r>
      <w:r>
        <w:t xml:space="preserve"> the</w:t>
      </w:r>
      <w:r w:rsidRPr="00ED15E7">
        <w:t xml:space="preserve"> </w:t>
      </w:r>
      <w:r>
        <w:t xml:space="preserve">ITU </w:t>
      </w:r>
      <w:r w:rsidRPr="00ED15E7">
        <w:t>Radio Regulations</w:t>
      </w:r>
      <w:r>
        <w:t xml:space="preserve">. As noted above, there is no provision in the Radio Regulations for satellite services to operate in </w:t>
      </w:r>
      <w:r w:rsidRPr="006650C6">
        <w:t xml:space="preserve">bands utilised by terrestrial </w:t>
      </w:r>
      <w:r>
        <w:t xml:space="preserve">mobile broadband </w:t>
      </w:r>
      <w:r w:rsidRPr="006650C6">
        <w:t>services</w:t>
      </w:r>
      <w:r>
        <w:t xml:space="preserve">. The rules governing the operation of services in bands for which there is no allocation in the Radio Regulations are contained in Article 4.4. </w:t>
      </w:r>
    </w:p>
    <w:p w14:paraId="380F6792" w14:textId="77777777" w:rsidR="004715E6" w:rsidRDefault="004715E6" w:rsidP="004715E6">
      <w:pPr>
        <w:pStyle w:val="Paragraphbeforelist"/>
      </w:pPr>
      <w:r w:rsidRPr="005B270B">
        <w:t xml:space="preserve">Article 4.4 provides that if a country </w:t>
      </w:r>
      <w:r>
        <w:t>assigns a frequency to</w:t>
      </w:r>
      <w:r w:rsidRPr="005B270B">
        <w:t xml:space="preserve"> a service that has no international allocation for that purpose, it </w:t>
      </w:r>
      <w:r>
        <w:t xml:space="preserve">may only be operated under the following </w:t>
      </w:r>
      <w:r w:rsidRPr="005B270B">
        <w:t xml:space="preserve">conditions: </w:t>
      </w:r>
    </w:p>
    <w:p w14:paraId="42051133" w14:textId="77777777" w:rsidR="004715E6" w:rsidRDefault="004715E6" w:rsidP="00A86695">
      <w:pPr>
        <w:pStyle w:val="Bulletlevel1"/>
      </w:pPr>
      <w:r w:rsidRPr="005B270B">
        <w:t xml:space="preserve">the </w:t>
      </w:r>
      <w:r>
        <w:t>service</w:t>
      </w:r>
      <w:r w:rsidRPr="005B270B">
        <w:t xml:space="preserve"> must not cause harmful interference to other </w:t>
      </w:r>
      <w:r>
        <w:t xml:space="preserve">services </w:t>
      </w:r>
      <w:r w:rsidRPr="005B270B">
        <w:t>that are operating on their designated frequencies</w:t>
      </w:r>
      <w:r>
        <w:t>;</w:t>
      </w:r>
      <w:r w:rsidRPr="005B270B">
        <w:t xml:space="preserve"> and </w:t>
      </w:r>
    </w:p>
    <w:p w14:paraId="57719E1A" w14:textId="77777777" w:rsidR="004715E6" w:rsidRDefault="004715E6" w:rsidP="00A86695">
      <w:pPr>
        <w:pStyle w:val="Bulletlevel1last"/>
      </w:pPr>
      <w:r w:rsidRPr="005B270B">
        <w:t xml:space="preserve">if the </w:t>
      </w:r>
      <w:r>
        <w:t>service</w:t>
      </w:r>
      <w:r w:rsidRPr="005B270B">
        <w:t xml:space="preserve"> experiences interference from other </w:t>
      </w:r>
      <w:r>
        <w:t xml:space="preserve">services </w:t>
      </w:r>
      <w:r w:rsidRPr="005B270B">
        <w:t>that are operating within their designated frequencies, the operator cannot claim protection or complain about it.</w:t>
      </w:r>
      <w:r>
        <w:rPr>
          <w:rStyle w:val="FootnoteReference"/>
        </w:rPr>
        <w:footnoteReference w:id="11"/>
      </w:r>
      <w:r w:rsidRPr="005B270B">
        <w:t xml:space="preserve"> </w:t>
      </w:r>
    </w:p>
    <w:p w14:paraId="3CCB3DB6" w14:textId="77777777" w:rsidR="004715E6" w:rsidRDefault="004715E6" w:rsidP="004715E6">
      <w:pPr>
        <w:pStyle w:val="Paragraph"/>
      </w:pPr>
      <w:r w:rsidRPr="005B270B">
        <w:t>This is commonly referred to as operating on a ‘no-interference, no-protection’ basis under the provisions of Article 4.4.</w:t>
      </w:r>
    </w:p>
    <w:p w14:paraId="5C0B4908" w14:textId="7012DB3A" w:rsidR="004715E6" w:rsidRDefault="004715E6" w:rsidP="004715E6">
      <w:pPr>
        <w:pStyle w:val="Paragraph"/>
      </w:pPr>
      <w:r>
        <w:t xml:space="preserve">Conformity with the Radio Regulations is </w:t>
      </w:r>
      <w:r w:rsidR="00B60634">
        <w:t>for the responsibility of</w:t>
      </w:r>
      <w:r>
        <w:t xml:space="preserve"> the satellite operator and the foreign administration that filed the satellite system with the ITU.</w:t>
      </w:r>
    </w:p>
    <w:p w14:paraId="6977F27A" w14:textId="77777777" w:rsidR="00D54495" w:rsidRDefault="00D54495" w:rsidP="00357519">
      <w:pPr>
        <w:pStyle w:val="Heading2"/>
        <w:keepLines/>
      </w:pPr>
      <w:bookmarkStart w:id="8" w:name="_Ref175296935"/>
      <w:bookmarkStart w:id="9" w:name="_Toc176270911"/>
      <w:r>
        <w:lastRenderedPageBreak/>
        <w:t>Geographic area of a spectrum licence and authorisation of devices</w:t>
      </w:r>
      <w:bookmarkEnd w:id="8"/>
      <w:bookmarkEnd w:id="9"/>
    </w:p>
    <w:p w14:paraId="43DF16D4" w14:textId="1E7135B6" w:rsidR="00CE52D4" w:rsidRDefault="00CE52D4" w:rsidP="00357519">
      <w:pPr>
        <w:pStyle w:val="Paragraph"/>
        <w:keepNext/>
        <w:keepLines/>
      </w:pPr>
      <w:r>
        <w:t>The</w:t>
      </w:r>
      <w:r w:rsidRPr="009D28B9">
        <w:t xml:space="preserve"> geographic area </w:t>
      </w:r>
      <w:r>
        <w:t xml:space="preserve">of an Australian spectrum licence </w:t>
      </w:r>
      <w:r w:rsidRPr="009D28B9">
        <w:t>can extend to the limits of the major portion of the Earth’s atmosphere over Australia but does not extend to outer space.</w:t>
      </w:r>
      <w:r>
        <w:t xml:space="preserve"> Under the </w:t>
      </w:r>
      <w:hyperlink r:id="rId35" w:history="1">
        <w:r w:rsidRPr="008D534F">
          <w:rPr>
            <w:rStyle w:val="Hyperlink"/>
          </w:rPr>
          <w:t>Outer Space Treaty</w:t>
        </w:r>
      </w:hyperlink>
      <w:r>
        <w:t xml:space="preserve">, </w:t>
      </w:r>
      <w:r w:rsidRPr="0090749F">
        <w:t>to which Australia is a party</w:t>
      </w:r>
      <w:r>
        <w:t xml:space="preserve">, </w:t>
      </w:r>
      <w:r w:rsidRPr="0090749F">
        <w:t>outer space</w:t>
      </w:r>
      <w:r>
        <w:t xml:space="preserve"> cannot be subject to national appropriation</w:t>
      </w:r>
      <w:r w:rsidRPr="0090749F">
        <w:t>.</w:t>
      </w:r>
      <w:r>
        <w:rPr>
          <w:rStyle w:val="FootnoteReference"/>
        </w:rPr>
        <w:footnoteReference w:id="12"/>
      </w:r>
      <w:r>
        <w:t xml:space="preserve"> </w:t>
      </w:r>
    </w:p>
    <w:p w14:paraId="607BAB17" w14:textId="32A81857" w:rsidR="00CE52D4" w:rsidRDefault="00CE52D4" w:rsidP="00CE52D4">
      <w:pPr>
        <w:pStyle w:val="Paragraph"/>
      </w:pPr>
      <w:r>
        <w:t>A</w:t>
      </w:r>
      <w:r w:rsidRPr="00985BCF">
        <w:t xml:space="preserve"> mobile phone </w:t>
      </w:r>
      <w:r>
        <w:t xml:space="preserve">used in an </w:t>
      </w:r>
      <w:r>
        <w:rPr>
          <w:szCs w:val="22"/>
        </w:rPr>
        <w:t>IMT</w:t>
      </w:r>
      <w:r>
        <w:t xml:space="preserve"> satellite direct-to-mobile service</w:t>
      </w:r>
      <w:r w:rsidRPr="00985BCF">
        <w:t xml:space="preserve"> </w:t>
      </w:r>
      <w:r>
        <w:t>can</w:t>
      </w:r>
      <w:r w:rsidRPr="00985BCF">
        <w:t xml:space="preserve"> be operated within the geographic area of the spectrum licence, </w:t>
      </w:r>
      <w:r>
        <w:t xml:space="preserve">provided it operates </w:t>
      </w:r>
      <w:r w:rsidRPr="00985BCF">
        <w:t xml:space="preserve">in accordance with </w:t>
      </w:r>
      <w:r>
        <w:t>the</w:t>
      </w:r>
      <w:r w:rsidRPr="00985BCF">
        <w:t xml:space="preserve"> conditions of the licence</w:t>
      </w:r>
      <w:r>
        <w:t>.</w:t>
      </w:r>
      <w:r w:rsidRPr="00985BCF">
        <w:t xml:space="preserve"> </w:t>
      </w:r>
      <w:r>
        <w:t>I</w:t>
      </w:r>
      <w:r w:rsidRPr="00985BCF">
        <w:t>f a terrestrial base station</w:t>
      </w:r>
      <w:r>
        <w:t xml:space="preserve"> </w:t>
      </w:r>
      <w:r w:rsidRPr="00985BCF">
        <w:t xml:space="preserve">authorised by the licence is not within reach of the </w:t>
      </w:r>
      <w:r>
        <w:t xml:space="preserve">phone, </w:t>
      </w:r>
      <w:r w:rsidR="00E44D05">
        <w:t>the phon</w:t>
      </w:r>
      <w:r w:rsidR="00C46525">
        <w:t>e’s</w:t>
      </w:r>
      <w:r w:rsidR="00E44D05" w:rsidRPr="00985BCF">
        <w:t xml:space="preserve"> </w:t>
      </w:r>
      <w:r w:rsidRPr="00985BCF">
        <w:t xml:space="preserve">transmissions could be received by a space receive station </w:t>
      </w:r>
      <w:r>
        <w:t xml:space="preserve">– </w:t>
      </w:r>
      <w:r w:rsidRPr="00985BCF">
        <w:t>unrelated to and not authorised by the spectrum licence</w:t>
      </w:r>
      <w:r>
        <w:t xml:space="preserve"> – as part of an IMT satellite direct-to-mobile service. </w:t>
      </w:r>
    </w:p>
    <w:p w14:paraId="035F76AA" w14:textId="73878507" w:rsidR="00CE52D4" w:rsidRPr="00CE03DB" w:rsidRDefault="00CE52D4" w:rsidP="00CE52D4">
      <w:pPr>
        <w:pStyle w:val="Paragraph"/>
      </w:pPr>
      <w:r>
        <w:t>T</w:t>
      </w:r>
      <w:r w:rsidRPr="000B619E">
        <w:t xml:space="preserve">he spectrum licence and its conditions </w:t>
      </w:r>
      <w:r>
        <w:t>do not extend</w:t>
      </w:r>
      <w:r w:rsidRPr="000B619E">
        <w:t xml:space="preserve"> to </w:t>
      </w:r>
      <w:r>
        <w:t>space stations receiving</w:t>
      </w:r>
      <w:r w:rsidRPr="000B619E">
        <w:t xml:space="preserve"> radio emissions from a mobile phone</w:t>
      </w:r>
      <w:r w:rsidR="001310BB">
        <w:t>, as those</w:t>
      </w:r>
      <w:r w:rsidRPr="000B619E">
        <w:t xml:space="preserve"> space station</w:t>
      </w:r>
      <w:r w:rsidR="001310BB">
        <w:t>s are</w:t>
      </w:r>
      <w:r w:rsidRPr="000B619E">
        <w:t xml:space="preserve"> not within the geographic area of the spectrum licence.</w:t>
      </w:r>
      <w:r>
        <w:t xml:space="preserve"> </w:t>
      </w:r>
      <w:r w:rsidRPr="00830B26">
        <w:t>A space object, in this case an artificial satellite</w:t>
      </w:r>
      <w:r w:rsidR="00B60634">
        <w:t>,</w:t>
      </w:r>
      <w:r w:rsidR="00332784">
        <w:rPr>
          <w:rStyle w:val="FootnoteReference"/>
        </w:rPr>
        <w:footnoteReference w:id="13"/>
      </w:r>
      <w:r w:rsidR="0014447A">
        <w:t xml:space="preserve"> </w:t>
      </w:r>
      <w:r w:rsidRPr="00830B26">
        <w:t>is an object beyond the major portion of the Earth’s atmosphere.</w:t>
      </w:r>
      <w:r>
        <w:rPr>
          <w:rStyle w:val="FootnoteReference"/>
        </w:rPr>
        <w:footnoteReference w:id="14"/>
      </w:r>
      <w:r w:rsidRPr="00830B26">
        <w:t xml:space="preserve"> That is, the satellite and any station (radiocommunications device) on it is in orbit around the Earth. An orbit is a path, not a geographic area. A satellite’s orbital configuration may allow for it to pass over Australia, but that does not mean the satellite is within the geographic area of Australia. It is only over the geographic area of Australia, not within it</w:t>
      </w:r>
      <w:r>
        <w:t>.</w:t>
      </w:r>
      <w:r>
        <w:rPr>
          <w:rStyle w:val="FootnoteReference"/>
        </w:rPr>
        <w:footnoteReference w:id="15"/>
      </w:r>
    </w:p>
    <w:p w14:paraId="67D83800" w14:textId="393845D2" w:rsidR="0038561E" w:rsidRPr="005B270B" w:rsidRDefault="0038561E" w:rsidP="0038561E">
      <w:pPr>
        <w:pStyle w:val="Paragraph"/>
      </w:pPr>
      <w:r>
        <w:t>Regarding the</w:t>
      </w:r>
      <w:r w:rsidRPr="00FA0487">
        <w:t xml:space="preserve"> reception of radio emissions from </w:t>
      </w:r>
      <w:r>
        <w:t>a</w:t>
      </w:r>
      <w:r w:rsidRPr="00FA0487">
        <w:t xml:space="preserve"> space </w:t>
      </w:r>
      <w:r>
        <w:t>station</w:t>
      </w:r>
      <w:r w:rsidRPr="00FA0487">
        <w:t xml:space="preserve"> by </w:t>
      </w:r>
      <w:r w:rsidR="000128FB">
        <w:t>a</w:t>
      </w:r>
      <w:r w:rsidR="000128FB" w:rsidRPr="00FA0487">
        <w:t xml:space="preserve"> </w:t>
      </w:r>
      <w:r w:rsidRPr="00FA0487">
        <w:t>mobile phone</w:t>
      </w:r>
      <w:r>
        <w:t>,</w:t>
      </w:r>
      <w:r w:rsidRPr="00FA0487">
        <w:t xml:space="preserve"> </w:t>
      </w:r>
      <w:r w:rsidRPr="00830859">
        <w:t xml:space="preserve">the frequencies used for the reception </w:t>
      </w:r>
      <w:r>
        <w:t>must be</w:t>
      </w:r>
      <w:r w:rsidRPr="00830859">
        <w:t xml:space="preserve"> within th</w:t>
      </w:r>
      <w:r w:rsidR="001A5650">
        <w:t xml:space="preserve">e frequency band </w:t>
      </w:r>
      <w:r w:rsidR="006F7DC9">
        <w:t>covered by</w:t>
      </w:r>
      <w:r w:rsidR="001A5650">
        <w:t xml:space="preserve"> the </w:t>
      </w:r>
      <w:r w:rsidRPr="00830859">
        <w:t xml:space="preserve">spectrum licence, and the reception </w:t>
      </w:r>
      <w:r>
        <w:t xml:space="preserve">must </w:t>
      </w:r>
      <w:r w:rsidRPr="00830859">
        <w:t>occur in the geographic area of the spectrum licence</w:t>
      </w:r>
      <w:r>
        <w:t>. If these conditions are met</w:t>
      </w:r>
      <w:r w:rsidRPr="00290FB3">
        <w:t>, when the space station transmits direct</w:t>
      </w:r>
      <w:r w:rsidR="007B6702">
        <w:t>ly</w:t>
      </w:r>
      <w:r w:rsidRPr="00290FB3">
        <w:t xml:space="preserve"> to a radiocommunications receiver in a mobile phone, the operation of the </w:t>
      </w:r>
      <w:r>
        <w:t>mobile phone</w:t>
      </w:r>
      <w:r w:rsidRPr="00290FB3">
        <w:t xml:space="preserve"> continues to be authorised by the spectrum licence</w:t>
      </w:r>
      <w:r>
        <w:t>.</w:t>
      </w:r>
    </w:p>
    <w:p w14:paraId="22461BCC" w14:textId="77777777" w:rsidR="008A4302" w:rsidRPr="009A7D8F" w:rsidRDefault="008A4302" w:rsidP="008A4302">
      <w:pPr>
        <w:pStyle w:val="Heading1"/>
      </w:pPr>
      <w:bookmarkStart w:id="10" w:name="_Toc176270912"/>
      <w:r w:rsidRPr="009A7D8F">
        <w:lastRenderedPageBreak/>
        <w:t>Operation of a</w:t>
      </w:r>
      <w:r>
        <w:t>n IMT</w:t>
      </w:r>
      <w:r w:rsidRPr="009A7D8F">
        <w:t xml:space="preserve"> satellite direct-to-mobile service</w:t>
      </w:r>
      <w:bookmarkEnd w:id="10"/>
    </w:p>
    <w:p w14:paraId="4A21DA3D" w14:textId="7A6B3E93" w:rsidR="00795BBE" w:rsidRDefault="00795BBE" w:rsidP="00795BBE">
      <w:pPr>
        <w:pStyle w:val="Heading2"/>
      </w:pPr>
      <w:bookmarkStart w:id="11" w:name="_Toc176270913"/>
      <w:r>
        <w:t xml:space="preserve">Operation </w:t>
      </w:r>
      <w:r w:rsidR="00B60634">
        <w:t>under</w:t>
      </w:r>
      <w:r>
        <w:t xml:space="preserve"> Australia-wide spectrum licences</w:t>
      </w:r>
      <w:bookmarkEnd w:id="11"/>
    </w:p>
    <w:p w14:paraId="0AF52CD1" w14:textId="698C911A" w:rsidR="00B23836" w:rsidRDefault="00B23836" w:rsidP="00B23836">
      <w:pPr>
        <w:pStyle w:val="Paragraph"/>
      </w:pPr>
      <w:r w:rsidRPr="005B270B">
        <w:t>Given the broad coverage provided by satellite services, our view is that operation of a</w:t>
      </w:r>
      <w:r>
        <w:t xml:space="preserve">n </w:t>
      </w:r>
      <w:r>
        <w:rPr>
          <w:szCs w:val="22"/>
        </w:rPr>
        <w:t>IMT</w:t>
      </w:r>
      <w:r>
        <w:t xml:space="preserve"> </w:t>
      </w:r>
      <w:r w:rsidRPr="005B270B">
        <w:t xml:space="preserve">satellite direct-to-mobile service in Australia </w:t>
      </w:r>
      <w:r>
        <w:t xml:space="preserve">is </w:t>
      </w:r>
      <w:r w:rsidRPr="005B270B">
        <w:t xml:space="preserve">only practical </w:t>
      </w:r>
      <w:r>
        <w:t xml:space="preserve">where there is </w:t>
      </w:r>
      <w:r w:rsidRPr="005B270B">
        <w:t>an Australia-wide spectrum licence</w:t>
      </w:r>
      <w:r w:rsidR="00EF13A7">
        <w:t>. In these bands</w:t>
      </w:r>
      <w:r w:rsidR="00B60634">
        <w:t>,</w:t>
      </w:r>
      <w:r w:rsidR="00EF13A7">
        <w:t xml:space="preserve"> </w:t>
      </w:r>
      <w:r w:rsidR="00D5552C">
        <w:t>a</w:t>
      </w:r>
      <w:r w:rsidR="004B298E">
        <w:t xml:space="preserve"> satellite operator </w:t>
      </w:r>
      <w:r w:rsidR="00920B7E">
        <w:t>providing a</w:t>
      </w:r>
      <w:r w:rsidR="00C844AE">
        <w:t>n</w:t>
      </w:r>
      <w:r w:rsidR="00920B7E">
        <w:t xml:space="preserve"> IMT satellite direct</w:t>
      </w:r>
      <w:r w:rsidR="00357519">
        <w:t>-</w:t>
      </w:r>
      <w:r w:rsidR="00920B7E">
        <w:t>to</w:t>
      </w:r>
      <w:r w:rsidR="00357519">
        <w:t>-</w:t>
      </w:r>
      <w:r w:rsidR="00920B7E">
        <w:t>mobile service for all practic</w:t>
      </w:r>
      <w:r w:rsidR="00E51215">
        <w:t>al</w:t>
      </w:r>
      <w:r w:rsidR="00920B7E">
        <w:t xml:space="preserve"> purposes</w:t>
      </w:r>
      <w:r w:rsidR="000E63A3">
        <w:rPr>
          <w:rStyle w:val="FootnoteReference"/>
        </w:rPr>
        <w:footnoteReference w:id="16"/>
      </w:r>
      <w:r w:rsidR="00920B7E">
        <w:t xml:space="preserve"> </w:t>
      </w:r>
      <w:r w:rsidR="00B7144B">
        <w:t xml:space="preserve">will </w:t>
      </w:r>
      <w:r w:rsidR="00D016D0">
        <w:t>only need to coordinate with</w:t>
      </w:r>
      <w:r w:rsidR="00950BB7">
        <w:t xml:space="preserve"> </w:t>
      </w:r>
      <w:r w:rsidRPr="005B270B">
        <w:t xml:space="preserve">a single licensee responsible for managing coordination </w:t>
      </w:r>
      <w:r w:rsidR="00E111CF">
        <w:t xml:space="preserve">of services </w:t>
      </w:r>
      <w:r w:rsidRPr="005B270B">
        <w:t>within the licensed band across Australia</w:t>
      </w:r>
      <w:r w:rsidR="005F7F11">
        <w:t xml:space="preserve">. </w:t>
      </w:r>
      <w:r w:rsidR="003E4039">
        <w:t xml:space="preserve">This means </w:t>
      </w:r>
      <w:r w:rsidR="005F7F11">
        <w:t xml:space="preserve">that </w:t>
      </w:r>
      <w:r w:rsidR="00B60634">
        <w:t xml:space="preserve">there are </w:t>
      </w:r>
      <w:r w:rsidRPr="005B270B">
        <w:t>no geographic boundary issues to manage</w:t>
      </w:r>
      <w:r w:rsidR="008A025F">
        <w:t xml:space="preserve"> or multiple licensees</w:t>
      </w:r>
      <w:r w:rsidR="00D51B8F">
        <w:t xml:space="preserve"> for the satellite operator </w:t>
      </w:r>
      <w:r w:rsidR="008A025F">
        <w:t>to consider</w:t>
      </w:r>
      <w:r w:rsidRPr="005B270B">
        <w:t>.</w:t>
      </w:r>
      <w:r>
        <w:t xml:space="preserve"> </w:t>
      </w:r>
      <w:r w:rsidR="009F1E36">
        <w:t>N</w:t>
      </w:r>
      <w:r>
        <w:t xml:space="preserve">on-geostationary </w:t>
      </w:r>
      <w:r w:rsidRPr="0096561F">
        <w:t>satellite systems</w:t>
      </w:r>
      <w:r>
        <w:t xml:space="preserve"> used in an </w:t>
      </w:r>
      <w:r>
        <w:rPr>
          <w:szCs w:val="22"/>
        </w:rPr>
        <w:t>IMT</w:t>
      </w:r>
      <w:r>
        <w:t xml:space="preserve"> satellite direct-to-mobile service</w:t>
      </w:r>
      <w:r w:rsidRPr="0096561F">
        <w:t xml:space="preserve"> transmit over a broad coverage area</w:t>
      </w:r>
      <w:r>
        <w:t>,</w:t>
      </w:r>
      <w:r w:rsidRPr="0096561F">
        <w:t xml:space="preserve"> with limited ability to restrict emissions within specific geographic boundaries such as those defined by metropolitan or regional spectrum licence areas.</w:t>
      </w:r>
    </w:p>
    <w:p w14:paraId="7AC4FF27" w14:textId="79FBA59F" w:rsidR="00B23836" w:rsidRDefault="00B23836" w:rsidP="00B23836">
      <w:pPr>
        <w:pStyle w:val="Paragraph"/>
      </w:pPr>
      <w:r>
        <w:t>The geographic area authorised for use under Australia-wide spectrum licences is d</w:t>
      </w:r>
      <w:r w:rsidRPr="00044ADB">
        <w:t>efined</w:t>
      </w:r>
      <w:r>
        <w:t xml:space="preserve"> with reference to cells in </w:t>
      </w:r>
      <w:r w:rsidRPr="00044ADB">
        <w:t xml:space="preserve">the </w:t>
      </w:r>
      <w:hyperlink r:id="rId36" w:history="1">
        <w:r w:rsidRPr="00B8346C">
          <w:rPr>
            <w:rStyle w:val="Hyperlink"/>
          </w:rPr>
          <w:t>Australian spectrum map grid</w:t>
        </w:r>
      </w:hyperlink>
      <w:r w:rsidRPr="000D30CB">
        <w:t xml:space="preserve"> (</w:t>
      </w:r>
      <w:r>
        <w:t>ASMG)</w:t>
      </w:r>
      <w:r w:rsidRPr="00044ADB">
        <w:t>.</w:t>
      </w:r>
      <w:r>
        <w:t xml:space="preserve"> The boundary of the ASMG is a polygon surrounding the Australian mainland and Tasmania, as illustrated </w:t>
      </w:r>
      <w:r w:rsidR="00235CC7">
        <w:t xml:space="preserve">in </w:t>
      </w:r>
      <w:r>
        <w:t xml:space="preserve">Figure 1 below. This boundary defines the maximum extent of a spectrum-licensed area, which is commonly known as an Australia-wide licence. </w:t>
      </w:r>
    </w:p>
    <w:p w14:paraId="727D61F8" w14:textId="1BD93585" w:rsidR="00B23836" w:rsidRDefault="00B23836" w:rsidP="00B23836">
      <w:pPr>
        <w:pStyle w:val="Paragraph"/>
      </w:pPr>
      <w:r>
        <w:t xml:space="preserve">Refer to the </w:t>
      </w:r>
      <w:r w:rsidR="00B60634">
        <w:t>‘</w:t>
      </w:r>
      <w:r w:rsidRPr="00E34250">
        <w:rPr>
          <w:bCs/>
        </w:rPr>
        <w:t>Frequency bands</w:t>
      </w:r>
      <w:r w:rsidR="00B60634">
        <w:rPr>
          <w:bCs/>
        </w:rPr>
        <w:t>’</w:t>
      </w:r>
      <w:r>
        <w:t xml:space="preserve"> section below for information on relevant frequency bands that may be used to provide an </w:t>
      </w:r>
      <w:r>
        <w:rPr>
          <w:szCs w:val="22"/>
        </w:rPr>
        <w:t>IMT</w:t>
      </w:r>
      <w:r>
        <w:t xml:space="preserve"> satellite direct-to-mobile service in Australia-wide spectrum-licensed areas. </w:t>
      </w:r>
    </w:p>
    <w:p w14:paraId="16D9ADE2" w14:textId="542A4998" w:rsidR="00B60634" w:rsidRDefault="00560A4B" w:rsidP="00E34250">
      <w:pPr>
        <w:pStyle w:val="Figureheading"/>
        <w:rPr>
          <w:noProof/>
        </w:rPr>
      </w:pPr>
      <w:bookmarkStart w:id="12" w:name="_Ref130999431"/>
      <w:r w:rsidRPr="00560A4B">
        <w:t>Australian spectrum map grid boundary</w:t>
      </w:r>
      <w:bookmarkEnd w:id="12"/>
    </w:p>
    <w:p w14:paraId="78C33581" w14:textId="631C68A0" w:rsidR="000C4F0E" w:rsidRPr="000C4F0E" w:rsidRDefault="00560A4B" w:rsidP="00E34250">
      <w:pPr>
        <w:spacing w:after="480"/>
      </w:pPr>
      <w:r>
        <w:rPr>
          <w:noProof/>
        </w:rPr>
        <w:drawing>
          <wp:inline distT="0" distB="0" distL="0" distR="0" wp14:anchorId="26019986" wp14:editId="7AF1B5C6">
            <wp:extent cx="3797352" cy="2969580"/>
            <wp:effectExtent l="0" t="0" r="0" b="2540"/>
            <wp:docPr id="1201449921" name="Picture 1201449921" descr="Map showing ASMG outline. If you're having issues accessing this information, please contact info@acma.gov.a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1" descr="C:\Users\prosewa\AppData\Local\Microsoft\Windows\Temporary Internet Files\Content.Outlook\6KP2ZMYH\ASMG-v2.png"/>
                    <pic:cNvPicPr/>
                  </pic:nvPicPr>
                  <pic:blipFill rotWithShape="1">
                    <a:blip r:embed="rId37" cstate="print"/>
                    <a:srcRect l="4477" t="1283" r="5728" b="1227"/>
                    <a:stretch/>
                  </pic:blipFill>
                  <pic:spPr bwMode="auto">
                    <a:xfrm>
                      <a:off x="0" y="0"/>
                      <a:ext cx="3822134" cy="2988960"/>
                    </a:xfrm>
                    <a:prstGeom prst="rect">
                      <a:avLst/>
                    </a:prstGeom>
                    <a:noFill/>
                    <a:ln>
                      <a:noFill/>
                    </a:ln>
                    <a:extLst>
                      <a:ext uri="{53640926-AAD7-44D8-BBD7-CCE9431645EC}">
                        <a14:shadowObscured xmlns:a14="http://schemas.microsoft.com/office/drawing/2010/main"/>
                      </a:ext>
                    </a:extLst>
                  </pic:spPr>
                </pic:pic>
              </a:graphicData>
            </a:graphic>
          </wp:inline>
        </w:drawing>
      </w:r>
    </w:p>
    <w:p w14:paraId="49A3F3B9" w14:textId="77777777" w:rsidR="00984252" w:rsidRPr="005C3F62" w:rsidRDefault="00984252" w:rsidP="00984252">
      <w:pPr>
        <w:pStyle w:val="Heading2"/>
      </w:pPr>
      <w:bookmarkStart w:id="13" w:name="_Toc176270914"/>
      <w:r>
        <w:lastRenderedPageBreak/>
        <w:t xml:space="preserve">Operation </w:t>
      </w:r>
      <w:r w:rsidRPr="005F54CD">
        <w:t xml:space="preserve">in </w:t>
      </w:r>
      <w:r>
        <w:t>other</w:t>
      </w:r>
      <w:r w:rsidRPr="005B270B">
        <w:t xml:space="preserve"> areas</w:t>
      </w:r>
      <w:r>
        <w:t xml:space="preserve"> of Australia</w:t>
      </w:r>
      <w:bookmarkEnd w:id="13"/>
    </w:p>
    <w:p w14:paraId="08352E03" w14:textId="1CE75006" w:rsidR="005424C3" w:rsidRDefault="005424C3" w:rsidP="005424C3">
      <w:pPr>
        <w:pStyle w:val="Paragraph"/>
      </w:pPr>
      <w:r>
        <w:t xml:space="preserve">Since </w:t>
      </w:r>
      <w:r w:rsidRPr="0096561F">
        <w:t>a</w:t>
      </w:r>
      <w:r>
        <w:t xml:space="preserve">n </w:t>
      </w:r>
      <w:r>
        <w:rPr>
          <w:szCs w:val="22"/>
        </w:rPr>
        <w:t>IMT</w:t>
      </w:r>
      <w:r w:rsidRPr="0096561F">
        <w:t xml:space="preserve"> satellite direct-to-mobile service may be operated </w:t>
      </w:r>
      <w:r>
        <w:t>in relation to</w:t>
      </w:r>
      <w:r w:rsidRPr="0096561F">
        <w:t xml:space="preserve"> existing spectrum</w:t>
      </w:r>
      <w:r w:rsidR="00B1736A">
        <w:t>-</w:t>
      </w:r>
      <w:r w:rsidRPr="0096561F">
        <w:t xml:space="preserve">licensing arrangements, a spectrum licensee </w:t>
      </w:r>
      <w:r w:rsidR="00B1736A">
        <w:t>can</w:t>
      </w:r>
      <w:r w:rsidR="00B1736A" w:rsidRPr="0096561F">
        <w:t xml:space="preserve"> </w:t>
      </w:r>
      <w:r w:rsidRPr="0096561F">
        <w:t xml:space="preserve">operate such a service in </w:t>
      </w:r>
      <w:r>
        <w:t>a non-Australia-wide</w:t>
      </w:r>
      <w:r w:rsidRPr="0096561F">
        <w:t xml:space="preserve"> spectrum-licensed </w:t>
      </w:r>
      <w:r>
        <w:t>area</w:t>
      </w:r>
      <w:r w:rsidRPr="0096561F">
        <w:t xml:space="preserve"> without explicit approval from the ACMA.</w:t>
      </w:r>
      <w:r>
        <w:t xml:space="preserve"> </w:t>
      </w:r>
    </w:p>
    <w:p w14:paraId="7B32E4BB" w14:textId="453285AB" w:rsidR="005424C3" w:rsidRDefault="005424C3" w:rsidP="005424C3">
      <w:pPr>
        <w:pStyle w:val="Paragraph"/>
      </w:pPr>
      <w:r w:rsidRPr="00346E81">
        <w:t xml:space="preserve">If a </w:t>
      </w:r>
      <w:r>
        <w:t>spectrum licensee</w:t>
      </w:r>
      <w:r w:rsidRPr="00346E81">
        <w:t xml:space="preserve"> </w:t>
      </w:r>
      <w:r>
        <w:t>wishes</w:t>
      </w:r>
      <w:r w:rsidRPr="00346E81">
        <w:t xml:space="preserve"> to operate a</w:t>
      </w:r>
      <w:r>
        <w:t xml:space="preserve">n </w:t>
      </w:r>
      <w:r>
        <w:rPr>
          <w:szCs w:val="22"/>
        </w:rPr>
        <w:t>IMT</w:t>
      </w:r>
      <w:r w:rsidRPr="00346E81">
        <w:t xml:space="preserve"> satellite direct-to-mobile service in a non-Australia-wide licence</w:t>
      </w:r>
      <w:r>
        <w:t xml:space="preserve"> area, then the potential for interference to services operating outside of the spectrum licence area </w:t>
      </w:r>
      <w:r w:rsidR="007F7B40">
        <w:t xml:space="preserve">will </w:t>
      </w:r>
      <w:r>
        <w:t>need to be considered.</w:t>
      </w:r>
      <w:r w:rsidRPr="00D66A0D">
        <w:t xml:space="preserve"> </w:t>
      </w:r>
      <w:r>
        <w:t>This may necessitate interference mitigations not required for Australia-wide licences, such as not being able to service significant parts of a spectrum-licensed area to manage interference outside that area.</w:t>
      </w:r>
    </w:p>
    <w:p w14:paraId="6A7DCA40" w14:textId="761C9924" w:rsidR="005424C3" w:rsidRDefault="005424C3" w:rsidP="005424C3">
      <w:pPr>
        <w:pStyle w:val="Paragraph"/>
      </w:pPr>
      <w:r>
        <w:t xml:space="preserve">In addition, </w:t>
      </w:r>
      <w:r w:rsidRPr="003A1B01">
        <w:t xml:space="preserve">Australian territory </w:t>
      </w:r>
      <w:r>
        <w:t>extends beyond the</w:t>
      </w:r>
      <w:r w:rsidRPr="003A1B01">
        <w:t xml:space="preserve"> boundary </w:t>
      </w:r>
      <w:r>
        <w:t xml:space="preserve">of the ASMG to </w:t>
      </w:r>
      <w:r w:rsidRPr="003A1B01">
        <w:t xml:space="preserve">Australian territorial waters and various offshore areas. </w:t>
      </w:r>
      <w:r w:rsidRPr="00D10003">
        <w:t>In</w:t>
      </w:r>
      <w:r>
        <w:t xml:space="preserve"> these</w:t>
      </w:r>
      <w:r w:rsidRPr="00D10003">
        <w:t xml:space="preserve"> </w:t>
      </w:r>
      <w:r>
        <w:t xml:space="preserve">outside </w:t>
      </w:r>
      <w:r w:rsidRPr="00D10003">
        <w:t>areas</w:t>
      </w:r>
      <w:r>
        <w:t>,</w:t>
      </w:r>
      <w:r w:rsidRPr="00D10003">
        <w:t xml:space="preserve"> while </w:t>
      </w:r>
      <w:hyperlink r:id="rId38" w:history="1">
        <w:r w:rsidRPr="00945AD4">
          <w:rPr>
            <w:rStyle w:val="Hyperlink"/>
          </w:rPr>
          <w:t>Public Telecommunications Service</w:t>
        </w:r>
      </w:hyperlink>
      <w:r>
        <w:t xml:space="preserve"> (PTS)</w:t>
      </w:r>
      <w:r w:rsidRPr="00945AD4">
        <w:t xml:space="preserve"> apparatus licences can be used to authorise operation of terrestrial wireless broadband services</w:t>
      </w:r>
      <w:r>
        <w:t>,</w:t>
      </w:r>
      <w:r>
        <w:rPr>
          <w:rStyle w:val="FootnoteReference"/>
        </w:rPr>
        <w:footnoteReference w:id="17"/>
      </w:r>
      <w:r w:rsidRPr="00945AD4">
        <w:t xml:space="preserve"> PTS licences do not authorise operati</w:t>
      </w:r>
      <w:r w:rsidR="00B1736A">
        <w:t>ng</w:t>
      </w:r>
      <w:r w:rsidRPr="00945AD4">
        <w:t xml:space="preserve"> </w:t>
      </w:r>
      <w:r>
        <w:t xml:space="preserve">an </w:t>
      </w:r>
      <w:r>
        <w:rPr>
          <w:szCs w:val="22"/>
        </w:rPr>
        <w:t xml:space="preserve">IMT </w:t>
      </w:r>
      <w:r w:rsidRPr="00945AD4">
        <w:t>satellite direct</w:t>
      </w:r>
      <w:r>
        <w:t>-</w:t>
      </w:r>
      <w:r w:rsidRPr="00D10003">
        <w:t>to</w:t>
      </w:r>
      <w:r>
        <w:t>-</w:t>
      </w:r>
      <w:r w:rsidRPr="00945AD4">
        <w:t>mobile service</w:t>
      </w:r>
      <w:r>
        <w:t xml:space="preserve"> in either the ground segment or the space segment</w:t>
      </w:r>
      <w:r w:rsidRPr="003A1B01">
        <w:t>.</w:t>
      </w:r>
      <w:r>
        <w:t xml:space="preserve"> We expect </w:t>
      </w:r>
      <w:r w:rsidR="00B1736A">
        <w:t>S</w:t>
      </w:r>
      <w:r>
        <w:t xml:space="preserve">pectrum licensees </w:t>
      </w:r>
      <w:r w:rsidR="00B1736A">
        <w:t xml:space="preserve">are responsible for </w:t>
      </w:r>
      <w:r>
        <w:t>investig</w:t>
      </w:r>
      <w:r w:rsidR="00B1736A">
        <w:t xml:space="preserve">ating </w:t>
      </w:r>
      <w:r>
        <w:t>the extent of geographic authorisation and associated implications.</w:t>
      </w:r>
    </w:p>
    <w:p w14:paraId="693C969F" w14:textId="77777777" w:rsidR="008013DD" w:rsidRDefault="008013DD" w:rsidP="008013DD">
      <w:pPr>
        <w:pStyle w:val="Heading2"/>
      </w:pPr>
      <w:bookmarkStart w:id="14" w:name="_Toc176270915"/>
      <w:r>
        <w:t>Frequency bands</w:t>
      </w:r>
      <w:bookmarkEnd w:id="14"/>
    </w:p>
    <w:p w14:paraId="446F8220" w14:textId="2FADA06B" w:rsidR="007469A8" w:rsidRDefault="007469A8" w:rsidP="007469A8">
      <w:pPr>
        <w:pStyle w:val="Paragraph"/>
      </w:pPr>
      <w:r w:rsidRPr="00044ADB">
        <w:t>Table 1</w:t>
      </w:r>
      <w:r>
        <w:t xml:space="preserve"> provides an overview of spectrum-licensed bands and the type of licensing arrangements that apply to different geographic areas. An </w:t>
      </w:r>
      <w:r>
        <w:rPr>
          <w:szCs w:val="22"/>
        </w:rPr>
        <w:t>IMT</w:t>
      </w:r>
      <w:r>
        <w:t xml:space="preserve"> satellite direct-to-mobile service may only be operated in relation to a spectrum-licensed area. The current regulatory framework does not support operation of such a service in other areas where apparatus licensing arrangements apply. </w:t>
      </w:r>
    </w:p>
    <w:p w14:paraId="04DFF13A" w14:textId="735B31CA" w:rsidR="007469A8" w:rsidRDefault="007469A8" w:rsidP="007469A8">
      <w:pPr>
        <w:pStyle w:val="Paragraph"/>
      </w:pPr>
      <w:r>
        <w:t xml:space="preserve">The </w:t>
      </w:r>
      <w:r w:rsidRPr="00044ADB">
        <w:t xml:space="preserve">700 MHz, </w:t>
      </w:r>
      <w:r>
        <w:t xml:space="preserve">800 MHz, </w:t>
      </w:r>
      <w:r w:rsidRPr="00044ADB">
        <w:t>850/900 MHz</w:t>
      </w:r>
      <w:r>
        <w:t xml:space="preserve"> </w:t>
      </w:r>
      <w:r w:rsidRPr="00044ADB">
        <w:t>and 2.5 GHz</w:t>
      </w:r>
      <w:r>
        <w:t xml:space="preserve"> spectrum-licensed bands are suitable for IMT satellite direct-to-mobile services (since they support frequency division duplexing arrangements) and are </w:t>
      </w:r>
      <w:r w:rsidR="002E0553">
        <w:t xml:space="preserve">licensed to </w:t>
      </w:r>
      <w:r w:rsidR="00EE588A">
        <w:t>MNOs</w:t>
      </w:r>
      <w:r w:rsidR="002E0553">
        <w:t xml:space="preserve"> </w:t>
      </w:r>
      <w:r>
        <w:t xml:space="preserve">under Australia-wide spectrum licences. </w:t>
      </w:r>
    </w:p>
    <w:p w14:paraId="24D77491" w14:textId="2B56A3B8" w:rsidR="0004772A" w:rsidRDefault="007469A8" w:rsidP="007469A8">
      <w:pPr>
        <w:pStyle w:val="Paragraph"/>
      </w:pPr>
      <w:r>
        <w:t xml:space="preserve">Theoretically, the 1800 MHz and </w:t>
      </w:r>
      <w:r w:rsidRPr="00044ADB">
        <w:t>2 GHz</w:t>
      </w:r>
      <w:r>
        <w:t xml:space="preserve"> spectrum-licensed bands could also support IMT satellite direct-to-mobile services. However, as these bands are not licensed for Australia-wide use, we consider there would be technical challenges in deploying services (as noted in the previous section). Further, the current regulatory framework does not support their use for operation of an </w:t>
      </w:r>
      <w:r>
        <w:rPr>
          <w:szCs w:val="22"/>
        </w:rPr>
        <w:t>IMT</w:t>
      </w:r>
      <w:r>
        <w:t xml:space="preserve"> satellite direct-to-mobile service outside of spectrum-licensed areas. These bands are shaded in </w:t>
      </w:r>
      <w:r w:rsidR="00512C3E">
        <w:t>Table 1</w:t>
      </w:r>
      <w:r>
        <w:t xml:space="preserve"> to </w:t>
      </w:r>
      <w:r w:rsidR="00512C3E">
        <w:t>draw out this distinction</w:t>
      </w:r>
      <w:r>
        <w:t>.</w:t>
      </w:r>
    </w:p>
    <w:p w14:paraId="39E3524D" w14:textId="3319AC40" w:rsidR="00DD4215" w:rsidRPr="00A17B1B" w:rsidRDefault="00572A44" w:rsidP="00357519">
      <w:pPr>
        <w:pStyle w:val="Tableheading"/>
        <w:keepLines/>
      </w:pPr>
      <w:r>
        <w:lastRenderedPageBreak/>
        <w:t>Potential frequency bands for IMT satellite direct-to-mobile services</w:t>
      </w:r>
    </w:p>
    <w:tbl>
      <w:tblPr>
        <w:tblStyle w:val="ACMAtablestyle"/>
        <w:tblW w:w="8500" w:type="dxa"/>
        <w:tblLayout w:type="fixed"/>
        <w:tblLook w:val="01E0" w:firstRow="1" w:lastRow="1" w:firstColumn="1" w:lastColumn="1" w:noHBand="0" w:noVBand="0"/>
        <w:tblCaption w:val="Table title to go here"/>
        <w:tblDescription w:val="Table description to go here"/>
      </w:tblPr>
      <w:tblGrid>
        <w:gridCol w:w="1838"/>
        <w:gridCol w:w="3544"/>
        <w:gridCol w:w="3118"/>
      </w:tblGrid>
      <w:tr w:rsidR="00DD4215" w:rsidRPr="00B1736A" w14:paraId="5B745FDA" w14:textId="77777777" w:rsidTr="00357519">
        <w:trPr>
          <w:cnfStyle w:val="100000000000" w:firstRow="1" w:lastRow="0" w:firstColumn="0" w:lastColumn="0" w:oddVBand="0" w:evenVBand="0" w:oddHBand="0" w:evenHBand="0" w:firstRowFirstColumn="0" w:firstRowLastColumn="0" w:lastRowFirstColumn="0" w:lastRowLastColumn="0"/>
        </w:trPr>
        <w:tc>
          <w:tcPr>
            <w:tcW w:w="1838" w:type="dxa"/>
          </w:tcPr>
          <w:p w14:paraId="60D92D83" w14:textId="21373AE9" w:rsidR="00DD4215" w:rsidRPr="00E34250" w:rsidRDefault="000B5B21" w:rsidP="00357519">
            <w:pPr>
              <w:pStyle w:val="Tableheaderrow"/>
              <w:keepNext/>
              <w:keepLines/>
              <w:spacing w:line="280" w:lineRule="atLeast"/>
              <w:rPr>
                <w:sz w:val="22"/>
                <w:szCs w:val="22"/>
              </w:rPr>
            </w:pPr>
            <w:r w:rsidRPr="00E34250">
              <w:rPr>
                <w:sz w:val="22"/>
                <w:szCs w:val="22"/>
              </w:rPr>
              <w:t>Band</w:t>
            </w:r>
          </w:p>
        </w:tc>
        <w:tc>
          <w:tcPr>
            <w:tcW w:w="0" w:type="dxa"/>
          </w:tcPr>
          <w:p w14:paraId="06B3D6C1" w14:textId="35BA6F9A" w:rsidR="00DD4215" w:rsidRPr="00E34250" w:rsidRDefault="000B5B21" w:rsidP="00357519">
            <w:pPr>
              <w:pStyle w:val="Tableheaderrow"/>
              <w:keepNext/>
              <w:keepLines/>
              <w:spacing w:line="280" w:lineRule="atLeast"/>
              <w:rPr>
                <w:sz w:val="22"/>
                <w:szCs w:val="22"/>
              </w:rPr>
            </w:pPr>
            <w:r w:rsidRPr="00E34250">
              <w:rPr>
                <w:sz w:val="22"/>
                <w:szCs w:val="22"/>
              </w:rPr>
              <w:t>Spectrum licence area</w:t>
            </w:r>
          </w:p>
        </w:tc>
        <w:tc>
          <w:tcPr>
            <w:tcW w:w="3118" w:type="dxa"/>
          </w:tcPr>
          <w:p w14:paraId="3C426DA0" w14:textId="0E984F9A" w:rsidR="00DD4215" w:rsidRPr="00E34250" w:rsidRDefault="000B5B21" w:rsidP="00357519">
            <w:pPr>
              <w:pStyle w:val="Tableheaderrow"/>
              <w:keepNext/>
              <w:keepLines/>
              <w:spacing w:line="280" w:lineRule="atLeast"/>
              <w:rPr>
                <w:sz w:val="22"/>
                <w:szCs w:val="22"/>
              </w:rPr>
            </w:pPr>
            <w:r w:rsidRPr="00E34250">
              <w:rPr>
                <w:sz w:val="22"/>
                <w:szCs w:val="22"/>
              </w:rPr>
              <w:t>Apparatus licence area</w:t>
            </w:r>
          </w:p>
        </w:tc>
      </w:tr>
      <w:tr w:rsidR="003E2A75" w:rsidRPr="00B1736A" w14:paraId="5CA56BC6" w14:textId="77777777" w:rsidTr="00357519">
        <w:trPr>
          <w:cnfStyle w:val="000000100000" w:firstRow="0" w:lastRow="0" w:firstColumn="0" w:lastColumn="0" w:oddVBand="0" w:evenVBand="0" w:oddHBand="1" w:evenHBand="0" w:firstRowFirstColumn="0" w:firstRowLastColumn="0" w:lastRowFirstColumn="0" w:lastRowLastColumn="0"/>
        </w:trPr>
        <w:tc>
          <w:tcPr>
            <w:tcW w:w="1838" w:type="dxa"/>
          </w:tcPr>
          <w:p w14:paraId="1A8E0809" w14:textId="7ED06905" w:rsidR="0004617E" w:rsidRPr="00357519" w:rsidRDefault="0004617E" w:rsidP="00357519">
            <w:pPr>
              <w:pStyle w:val="Paragraph"/>
              <w:keepNext/>
              <w:keepLines/>
              <w:spacing w:after="0"/>
              <w:rPr>
                <w:rStyle w:val="Hyperlink"/>
                <w:szCs w:val="22"/>
              </w:rPr>
            </w:pPr>
            <w:hyperlink r:id="rId39" w:history="1">
              <w:r w:rsidRPr="00486EE4">
                <w:rPr>
                  <w:rStyle w:val="Hyperlink"/>
                  <w:szCs w:val="22"/>
                </w:rPr>
                <w:t>700 MHz</w:t>
              </w:r>
            </w:hyperlink>
          </w:p>
        </w:tc>
        <w:tc>
          <w:tcPr>
            <w:tcW w:w="0" w:type="dxa"/>
          </w:tcPr>
          <w:p w14:paraId="55D712F1" w14:textId="735B12A1" w:rsidR="003E2A75" w:rsidRPr="00E34250" w:rsidRDefault="003E2A75" w:rsidP="00357519">
            <w:pPr>
              <w:pStyle w:val="TableBody"/>
              <w:keepNext/>
              <w:keepLines/>
              <w:spacing w:line="280" w:lineRule="atLeast"/>
              <w:rPr>
                <w:sz w:val="22"/>
                <w:szCs w:val="22"/>
              </w:rPr>
            </w:pPr>
            <w:r w:rsidRPr="00E34250">
              <w:rPr>
                <w:sz w:val="22"/>
                <w:szCs w:val="22"/>
              </w:rPr>
              <w:t>Australia-wide (ASMG area)</w:t>
            </w:r>
          </w:p>
        </w:tc>
        <w:tc>
          <w:tcPr>
            <w:tcW w:w="3118" w:type="dxa"/>
          </w:tcPr>
          <w:p w14:paraId="36FE80F1" w14:textId="369C8092" w:rsidR="003E2A75" w:rsidRPr="00E34250" w:rsidRDefault="003E2A75" w:rsidP="00357519">
            <w:pPr>
              <w:pStyle w:val="TableBody"/>
              <w:keepNext/>
              <w:keepLines/>
              <w:spacing w:line="280" w:lineRule="atLeast"/>
              <w:rPr>
                <w:sz w:val="22"/>
                <w:szCs w:val="22"/>
              </w:rPr>
            </w:pPr>
            <w:r w:rsidRPr="00E34250">
              <w:rPr>
                <w:sz w:val="22"/>
                <w:szCs w:val="22"/>
              </w:rPr>
              <w:t>PTS licensed in outside areas*</w:t>
            </w:r>
          </w:p>
        </w:tc>
      </w:tr>
      <w:tr w:rsidR="003E2A75" w:rsidRPr="00B1736A" w14:paraId="51919D38" w14:textId="77777777" w:rsidTr="00357519">
        <w:trPr>
          <w:cnfStyle w:val="000000010000" w:firstRow="0" w:lastRow="0" w:firstColumn="0" w:lastColumn="0" w:oddVBand="0" w:evenVBand="0" w:oddHBand="0" w:evenHBand="1" w:firstRowFirstColumn="0" w:firstRowLastColumn="0" w:lastRowFirstColumn="0" w:lastRowLastColumn="0"/>
        </w:trPr>
        <w:tc>
          <w:tcPr>
            <w:tcW w:w="1838" w:type="dxa"/>
            <w:shd w:val="clear" w:color="auto" w:fill="auto"/>
          </w:tcPr>
          <w:p w14:paraId="51247D0B" w14:textId="57537B69" w:rsidR="003E2A75" w:rsidRPr="00486EE4" w:rsidRDefault="003E2A75" w:rsidP="00357519">
            <w:pPr>
              <w:pStyle w:val="TableBody"/>
              <w:keepNext/>
              <w:keepLines/>
              <w:spacing w:line="280" w:lineRule="atLeast"/>
              <w:rPr>
                <w:sz w:val="22"/>
                <w:szCs w:val="22"/>
              </w:rPr>
            </w:pPr>
            <w:hyperlink r:id="rId40" w:history="1">
              <w:r w:rsidRPr="00486EE4">
                <w:rPr>
                  <w:rStyle w:val="Hyperlink"/>
                  <w:sz w:val="22"/>
                  <w:szCs w:val="22"/>
                </w:rPr>
                <w:t>800 MHz</w:t>
              </w:r>
            </w:hyperlink>
          </w:p>
        </w:tc>
        <w:tc>
          <w:tcPr>
            <w:tcW w:w="0" w:type="dxa"/>
            <w:shd w:val="clear" w:color="auto" w:fill="auto"/>
          </w:tcPr>
          <w:p w14:paraId="7FDE0155" w14:textId="1C30A2A4" w:rsidR="003E2A75" w:rsidRPr="00E34250" w:rsidRDefault="003E2A75" w:rsidP="00357519">
            <w:pPr>
              <w:pStyle w:val="TableBody"/>
              <w:keepNext/>
              <w:keepLines/>
              <w:spacing w:line="280" w:lineRule="atLeast"/>
              <w:rPr>
                <w:sz w:val="22"/>
                <w:szCs w:val="22"/>
              </w:rPr>
            </w:pPr>
            <w:r w:rsidRPr="00E34250">
              <w:rPr>
                <w:sz w:val="22"/>
                <w:szCs w:val="22"/>
              </w:rPr>
              <w:t>Australia-wide (ASMG area)</w:t>
            </w:r>
          </w:p>
        </w:tc>
        <w:tc>
          <w:tcPr>
            <w:tcW w:w="3118" w:type="dxa"/>
            <w:shd w:val="clear" w:color="auto" w:fill="auto"/>
          </w:tcPr>
          <w:p w14:paraId="02E62121" w14:textId="6BE959D8" w:rsidR="003E2A75" w:rsidRPr="00E34250" w:rsidRDefault="003E2A75" w:rsidP="00357519">
            <w:pPr>
              <w:pStyle w:val="TableBody"/>
              <w:keepNext/>
              <w:keepLines/>
              <w:spacing w:line="280" w:lineRule="atLeast"/>
              <w:rPr>
                <w:sz w:val="22"/>
                <w:szCs w:val="22"/>
              </w:rPr>
            </w:pPr>
            <w:r w:rsidRPr="00E34250">
              <w:rPr>
                <w:sz w:val="22"/>
                <w:szCs w:val="22"/>
              </w:rPr>
              <w:t>PTS licensed in outside areas</w:t>
            </w:r>
          </w:p>
        </w:tc>
      </w:tr>
      <w:tr w:rsidR="003E2A75" w:rsidRPr="00B1736A" w14:paraId="716DEB74" w14:textId="77777777" w:rsidTr="00357519">
        <w:trPr>
          <w:cnfStyle w:val="000000100000" w:firstRow="0" w:lastRow="0" w:firstColumn="0" w:lastColumn="0" w:oddVBand="0" w:evenVBand="0" w:oddHBand="1" w:evenHBand="0" w:firstRowFirstColumn="0" w:firstRowLastColumn="0" w:lastRowFirstColumn="0" w:lastRowLastColumn="0"/>
          <w:cantSplit/>
        </w:trPr>
        <w:tc>
          <w:tcPr>
            <w:tcW w:w="1838" w:type="dxa"/>
          </w:tcPr>
          <w:p w14:paraId="5A4949F5" w14:textId="768F1134" w:rsidR="00753A48" w:rsidRPr="00357519" w:rsidRDefault="001B3DB8" w:rsidP="00357519">
            <w:pPr>
              <w:pStyle w:val="Caption"/>
              <w:keepNext/>
              <w:keepLines/>
              <w:numPr>
                <w:ilvl w:val="0"/>
                <w:numId w:val="0"/>
              </w:numPr>
              <w:ind w:left="964" w:hanging="964"/>
              <w:rPr>
                <w:sz w:val="22"/>
                <w:szCs w:val="22"/>
              </w:rPr>
            </w:pPr>
            <w:hyperlink r:id="rId41" w:history="1">
              <w:r w:rsidRPr="00357519">
                <w:rPr>
                  <w:rStyle w:val="Hyperlink"/>
                  <w:b w:val="0"/>
                  <w:bCs w:val="0"/>
                  <w:sz w:val="22"/>
                  <w:szCs w:val="22"/>
                </w:rPr>
                <w:t>850/900 MHz</w:t>
              </w:r>
            </w:hyperlink>
          </w:p>
        </w:tc>
        <w:tc>
          <w:tcPr>
            <w:tcW w:w="0" w:type="dxa"/>
          </w:tcPr>
          <w:p w14:paraId="48A719F7" w14:textId="0CC27EA0" w:rsidR="003E2A75" w:rsidRPr="00E34250" w:rsidRDefault="003E2A75" w:rsidP="00357519">
            <w:pPr>
              <w:pStyle w:val="TableBody"/>
              <w:keepNext/>
              <w:keepLines/>
              <w:spacing w:line="280" w:lineRule="atLeast"/>
              <w:rPr>
                <w:sz w:val="22"/>
                <w:szCs w:val="22"/>
              </w:rPr>
            </w:pPr>
            <w:r w:rsidRPr="00E34250">
              <w:rPr>
                <w:sz w:val="22"/>
                <w:szCs w:val="22"/>
              </w:rPr>
              <w:t>Australia-wide (ASMG area)</w:t>
            </w:r>
          </w:p>
        </w:tc>
        <w:tc>
          <w:tcPr>
            <w:tcW w:w="3118" w:type="dxa"/>
          </w:tcPr>
          <w:p w14:paraId="4D9BEA07" w14:textId="093B5176" w:rsidR="003E2A75" w:rsidRPr="00E34250" w:rsidRDefault="003E2A75" w:rsidP="00357519">
            <w:pPr>
              <w:pStyle w:val="TableBody"/>
              <w:keepNext/>
              <w:keepLines/>
              <w:spacing w:line="280" w:lineRule="atLeast"/>
              <w:rPr>
                <w:sz w:val="22"/>
                <w:szCs w:val="22"/>
              </w:rPr>
            </w:pPr>
            <w:r w:rsidRPr="00E34250">
              <w:rPr>
                <w:sz w:val="22"/>
                <w:szCs w:val="22"/>
              </w:rPr>
              <w:t>PTS licensed in outside areas</w:t>
            </w:r>
          </w:p>
        </w:tc>
      </w:tr>
      <w:tr w:rsidR="003E2A75" w:rsidRPr="00B1736A" w14:paraId="46BBCE2C" w14:textId="77777777" w:rsidTr="00357519">
        <w:trPr>
          <w:cnfStyle w:val="000000010000" w:firstRow="0" w:lastRow="0" w:firstColumn="0" w:lastColumn="0" w:oddVBand="0" w:evenVBand="0" w:oddHBand="0" w:evenHBand="1" w:firstRowFirstColumn="0" w:firstRowLastColumn="0" w:lastRowFirstColumn="0" w:lastRowLastColumn="0"/>
        </w:trPr>
        <w:tc>
          <w:tcPr>
            <w:tcW w:w="1838" w:type="dxa"/>
            <w:shd w:val="clear" w:color="auto" w:fill="D3E5E6" w:themeFill="accent6"/>
          </w:tcPr>
          <w:p w14:paraId="60645076" w14:textId="6C442E06" w:rsidR="004B5D64" w:rsidRPr="00486EE4" w:rsidRDefault="003E2A75" w:rsidP="00357519">
            <w:pPr>
              <w:pStyle w:val="TableBody"/>
              <w:keepNext/>
              <w:keepLines/>
              <w:spacing w:line="280" w:lineRule="atLeast"/>
              <w:rPr>
                <w:sz w:val="22"/>
                <w:szCs w:val="22"/>
              </w:rPr>
            </w:pPr>
            <w:hyperlink r:id="rId42" w:history="1">
              <w:r w:rsidRPr="00486EE4">
                <w:rPr>
                  <w:rStyle w:val="Hyperlink"/>
                  <w:sz w:val="22"/>
                  <w:szCs w:val="22"/>
                </w:rPr>
                <w:t>1800 MHz</w:t>
              </w:r>
            </w:hyperlink>
          </w:p>
        </w:tc>
        <w:tc>
          <w:tcPr>
            <w:tcW w:w="3544" w:type="dxa"/>
            <w:shd w:val="clear" w:color="auto" w:fill="D3E5E6" w:themeFill="accent6"/>
          </w:tcPr>
          <w:p w14:paraId="036F9736" w14:textId="73879830" w:rsidR="003E2A75" w:rsidRPr="00E34250" w:rsidRDefault="003E2A75" w:rsidP="00357519">
            <w:pPr>
              <w:pStyle w:val="TableBody"/>
              <w:keepNext/>
              <w:keepLines/>
              <w:spacing w:line="280" w:lineRule="atLeast"/>
              <w:rPr>
                <w:sz w:val="22"/>
                <w:szCs w:val="22"/>
              </w:rPr>
            </w:pPr>
            <w:r w:rsidRPr="00E34250">
              <w:rPr>
                <w:sz w:val="22"/>
                <w:szCs w:val="22"/>
              </w:rPr>
              <w:t>Metro and regional areas</w:t>
            </w:r>
          </w:p>
        </w:tc>
        <w:tc>
          <w:tcPr>
            <w:tcW w:w="3118" w:type="dxa"/>
            <w:shd w:val="clear" w:color="auto" w:fill="D3E5E6" w:themeFill="accent6"/>
          </w:tcPr>
          <w:p w14:paraId="6B08AC03" w14:textId="33E650EA" w:rsidR="003E2A75" w:rsidRPr="00E34250" w:rsidRDefault="003E2A75" w:rsidP="00357519">
            <w:pPr>
              <w:pStyle w:val="TableBody"/>
              <w:keepNext/>
              <w:keepLines/>
              <w:spacing w:line="280" w:lineRule="atLeast"/>
              <w:rPr>
                <w:sz w:val="22"/>
                <w:szCs w:val="22"/>
              </w:rPr>
            </w:pPr>
            <w:r w:rsidRPr="00E34250">
              <w:rPr>
                <w:sz w:val="22"/>
                <w:szCs w:val="22"/>
              </w:rPr>
              <w:t>Remote areas</w:t>
            </w:r>
          </w:p>
        </w:tc>
      </w:tr>
      <w:tr w:rsidR="003E2A75" w:rsidRPr="00B1736A" w14:paraId="2B46E7C2" w14:textId="77777777" w:rsidTr="00357519">
        <w:trPr>
          <w:cnfStyle w:val="000000100000" w:firstRow="0" w:lastRow="0" w:firstColumn="0" w:lastColumn="0" w:oddVBand="0" w:evenVBand="0" w:oddHBand="1" w:evenHBand="0" w:firstRowFirstColumn="0" w:firstRowLastColumn="0" w:lastRowFirstColumn="0" w:lastRowLastColumn="0"/>
        </w:trPr>
        <w:tc>
          <w:tcPr>
            <w:tcW w:w="1838" w:type="dxa"/>
            <w:shd w:val="clear" w:color="auto" w:fill="D3E5E6" w:themeFill="accent6"/>
          </w:tcPr>
          <w:p w14:paraId="2AE13978" w14:textId="7E86055E" w:rsidR="00E85296" w:rsidRPr="00486EE4" w:rsidRDefault="003E2A75" w:rsidP="00357519">
            <w:pPr>
              <w:pStyle w:val="TableBody"/>
              <w:keepNext/>
              <w:keepLines/>
              <w:spacing w:line="280" w:lineRule="atLeast"/>
              <w:rPr>
                <w:sz w:val="22"/>
                <w:szCs w:val="22"/>
              </w:rPr>
            </w:pPr>
            <w:hyperlink r:id="rId43" w:history="1">
              <w:r w:rsidRPr="00486EE4">
                <w:rPr>
                  <w:rStyle w:val="Hyperlink"/>
                  <w:sz w:val="22"/>
                  <w:szCs w:val="22"/>
                </w:rPr>
                <w:t>2 GHz</w:t>
              </w:r>
            </w:hyperlink>
          </w:p>
        </w:tc>
        <w:tc>
          <w:tcPr>
            <w:tcW w:w="3544" w:type="dxa"/>
            <w:shd w:val="clear" w:color="auto" w:fill="D3E5E6" w:themeFill="accent6"/>
          </w:tcPr>
          <w:p w14:paraId="1D667EF9" w14:textId="2770E57E" w:rsidR="003E2A75" w:rsidRPr="00E34250" w:rsidRDefault="003E2A75" w:rsidP="00357519">
            <w:pPr>
              <w:pStyle w:val="TableBody"/>
              <w:keepNext/>
              <w:keepLines/>
              <w:spacing w:line="280" w:lineRule="atLeast"/>
              <w:rPr>
                <w:sz w:val="22"/>
                <w:szCs w:val="22"/>
              </w:rPr>
            </w:pPr>
            <w:r w:rsidRPr="00E34250">
              <w:rPr>
                <w:sz w:val="22"/>
                <w:szCs w:val="22"/>
              </w:rPr>
              <w:t>Metro (entire band)</w:t>
            </w:r>
            <w:r w:rsidR="005549B1" w:rsidRPr="00E34250">
              <w:rPr>
                <w:sz w:val="22"/>
                <w:szCs w:val="22"/>
              </w:rPr>
              <w:br/>
            </w:r>
            <w:r w:rsidRPr="00E34250">
              <w:rPr>
                <w:sz w:val="22"/>
                <w:szCs w:val="22"/>
              </w:rPr>
              <w:t>Regional areas (upper 2x20 MHz)</w:t>
            </w:r>
          </w:p>
        </w:tc>
        <w:tc>
          <w:tcPr>
            <w:tcW w:w="3118" w:type="dxa"/>
            <w:shd w:val="clear" w:color="auto" w:fill="D3E5E6" w:themeFill="accent6"/>
          </w:tcPr>
          <w:p w14:paraId="0021C9CA" w14:textId="12683A07" w:rsidR="003E2A75" w:rsidRPr="00E34250" w:rsidRDefault="003E2A75" w:rsidP="00357519">
            <w:pPr>
              <w:pStyle w:val="TableBody"/>
              <w:keepNext/>
              <w:keepLines/>
              <w:spacing w:line="280" w:lineRule="atLeast"/>
              <w:rPr>
                <w:sz w:val="22"/>
                <w:szCs w:val="22"/>
              </w:rPr>
            </w:pPr>
            <w:r w:rsidRPr="00E34250">
              <w:rPr>
                <w:sz w:val="22"/>
                <w:szCs w:val="22"/>
              </w:rPr>
              <w:t>Regional (lower 2x40 MHz)</w:t>
            </w:r>
            <w:r w:rsidRPr="00E34250">
              <w:rPr>
                <w:sz w:val="22"/>
                <w:szCs w:val="22"/>
              </w:rPr>
              <w:br/>
              <w:t>Remote areas (entire band)</w:t>
            </w:r>
          </w:p>
        </w:tc>
      </w:tr>
      <w:tr w:rsidR="003E2A75" w:rsidRPr="00B1736A" w14:paraId="6E705624" w14:textId="77777777" w:rsidTr="00357519">
        <w:trPr>
          <w:cnfStyle w:val="000000010000" w:firstRow="0" w:lastRow="0" w:firstColumn="0" w:lastColumn="0" w:oddVBand="0" w:evenVBand="0" w:oddHBand="0" w:evenHBand="1" w:firstRowFirstColumn="0" w:firstRowLastColumn="0" w:lastRowFirstColumn="0" w:lastRowLastColumn="0"/>
        </w:trPr>
        <w:tc>
          <w:tcPr>
            <w:tcW w:w="1838" w:type="dxa"/>
            <w:shd w:val="clear" w:color="auto" w:fill="auto"/>
          </w:tcPr>
          <w:p w14:paraId="18F1DD24" w14:textId="1B06A81D" w:rsidR="005B3DB1" w:rsidRPr="00486EE4" w:rsidRDefault="003E2A75" w:rsidP="00357519">
            <w:pPr>
              <w:pStyle w:val="TableBody"/>
              <w:keepNext/>
              <w:keepLines/>
              <w:spacing w:line="280" w:lineRule="atLeast"/>
              <w:rPr>
                <w:sz w:val="22"/>
                <w:szCs w:val="22"/>
              </w:rPr>
            </w:pPr>
            <w:hyperlink r:id="rId44" w:history="1">
              <w:r w:rsidRPr="00486EE4">
                <w:rPr>
                  <w:rStyle w:val="Hyperlink"/>
                  <w:sz w:val="22"/>
                  <w:szCs w:val="22"/>
                </w:rPr>
                <w:t>2.5 GHz</w:t>
              </w:r>
            </w:hyperlink>
          </w:p>
        </w:tc>
        <w:tc>
          <w:tcPr>
            <w:tcW w:w="0" w:type="dxa"/>
            <w:shd w:val="clear" w:color="auto" w:fill="auto"/>
          </w:tcPr>
          <w:p w14:paraId="11BD5CE9" w14:textId="25032933" w:rsidR="003E2A75" w:rsidRPr="00E34250" w:rsidRDefault="003E2A75" w:rsidP="00357519">
            <w:pPr>
              <w:pStyle w:val="TableBody"/>
              <w:keepNext/>
              <w:keepLines/>
              <w:spacing w:line="280" w:lineRule="atLeast"/>
              <w:rPr>
                <w:sz w:val="22"/>
                <w:szCs w:val="22"/>
              </w:rPr>
            </w:pPr>
            <w:r w:rsidRPr="00E34250">
              <w:rPr>
                <w:sz w:val="22"/>
                <w:szCs w:val="22"/>
              </w:rPr>
              <w:t>Australia-wide (ASMG area)</w:t>
            </w:r>
          </w:p>
        </w:tc>
        <w:tc>
          <w:tcPr>
            <w:tcW w:w="3118" w:type="dxa"/>
            <w:shd w:val="clear" w:color="auto" w:fill="auto"/>
          </w:tcPr>
          <w:p w14:paraId="28A21E47" w14:textId="74690834" w:rsidR="003E2A75" w:rsidRPr="00E34250" w:rsidRDefault="003E2A75" w:rsidP="00357519">
            <w:pPr>
              <w:pStyle w:val="TableBody"/>
              <w:keepNext/>
              <w:keepLines/>
              <w:spacing w:line="280" w:lineRule="atLeast"/>
              <w:rPr>
                <w:sz w:val="22"/>
                <w:szCs w:val="22"/>
              </w:rPr>
            </w:pPr>
            <w:r w:rsidRPr="00E34250">
              <w:rPr>
                <w:sz w:val="22"/>
                <w:szCs w:val="22"/>
              </w:rPr>
              <w:t>No licences issued</w:t>
            </w:r>
          </w:p>
        </w:tc>
      </w:tr>
    </w:tbl>
    <w:p w14:paraId="20EEA3F9" w14:textId="06969AB9" w:rsidR="00DD4215" w:rsidRPr="00A17B1B" w:rsidRDefault="00136FC1" w:rsidP="00357519">
      <w:pPr>
        <w:pStyle w:val="Tableorfigurenote"/>
        <w:keepNext/>
        <w:keepLines/>
      </w:pPr>
      <w:r>
        <w:t xml:space="preserve">* </w:t>
      </w:r>
      <w:r w:rsidRPr="00136FC1">
        <w:t>Outside areas: Australian territorial waters and offshore areas outside the ASMG boundary.</w:t>
      </w:r>
    </w:p>
    <w:p w14:paraId="590F9257" w14:textId="3D597986" w:rsidR="00880473" w:rsidRPr="00B279F8" w:rsidRDefault="00880473" w:rsidP="00880473">
      <w:pPr>
        <w:pStyle w:val="Heading2"/>
      </w:pPr>
      <w:bookmarkStart w:id="15" w:name="_Toc176270916"/>
      <w:r w:rsidRPr="00B279F8">
        <w:t xml:space="preserve">Agreement between </w:t>
      </w:r>
      <w:r w:rsidR="00626720">
        <w:t xml:space="preserve">a </w:t>
      </w:r>
      <w:r w:rsidRPr="00B279F8">
        <w:t>spectrum licensee and satellite operator</w:t>
      </w:r>
      <w:bookmarkEnd w:id="15"/>
    </w:p>
    <w:p w14:paraId="79DB7BEA" w14:textId="50D9A6EE" w:rsidR="00317B2C" w:rsidRDefault="00B1736A" w:rsidP="00317B2C">
      <w:pPr>
        <w:pStyle w:val="Paragraph"/>
      </w:pPr>
      <w:r>
        <w:t>We recommend</w:t>
      </w:r>
      <w:r w:rsidR="00317B2C" w:rsidRPr="00ED15E7">
        <w:t xml:space="preserve"> an agreement be in place between a</w:t>
      </w:r>
      <w:r w:rsidR="00317B2C">
        <w:t xml:space="preserve">n </w:t>
      </w:r>
      <w:r w:rsidR="00317B2C">
        <w:rPr>
          <w:szCs w:val="22"/>
        </w:rPr>
        <w:t>IMT</w:t>
      </w:r>
      <w:r w:rsidR="00317B2C" w:rsidRPr="00ED15E7">
        <w:t xml:space="preserve"> satellite direct-to-mobile operator and a partner MNO before a satellite operator transmits in spectrum-licensed space</w:t>
      </w:r>
      <w:r w:rsidR="00317B2C">
        <w:t xml:space="preserve"> as best practice</w:t>
      </w:r>
      <w:r w:rsidR="00317B2C" w:rsidRPr="00ED15E7">
        <w:t>.</w:t>
      </w:r>
      <w:r w:rsidR="00317B2C">
        <w:t xml:space="preserve"> </w:t>
      </w:r>
      <w:r w:rsidR="00317B2C" w:rsidRPr="00ED15E7">
        <w:t xml:space="preserve">Otherwise, there may be reasonable grounds for us to treat such transmissions as interference and take appropriate action. </w:t>
      </w:r>
    </w:p>
    <w:p w14:paraId="742DC4B4" w14:textId="77777777" w:rsidR="00317B2C" w:rsidRDefault="00317B2C" w:rsidP="00317B2C">
      <w:pPr>
        <w:pStyle w:val="Paragraph"/>
      </w:pPr>
      <w:r>
        <w:t>For example, under section 195 of the Radiocommunications Act, it is an offence to use a transmitter on a foreign space object in a manner that the person knows is likely to interfere substantially with radiocommunications within Australia or between a place in Australia and a place outside Australia. If</w:t>
      </w:r>
      <w:r w:rsidRPr="009B2781">
        <w:t xml:space="preserve"> there is no agreement in place and interference is reported by a spectrum licensee,</w:t>
      </w:r>
      <w:r>
        <w:t xml:space="preserve"> the ACMA may take appropriate action in accordance with our </w:t>
      </w:r>
      <w:hyperlink r:id="rId45" w:history="1">
        <w:r w:rsidRPr="00695AB0">
          <w:rPr>
            <w:rStyle w:val="Hyperlink"/>
          </w:rPr>
          <w:t>compliance and enforcement policy</w:t>
        </w:r>
      </w:hyperlink>
      <w:r>
        <w:t>.</w:t>
      </w:r>
    </w:p>
    <w:p w14:paraId="1AE0219B" w14:textId="783A0074" w:rsidR="00317B2C" w:rsidRPr="00ED15E7" w:rsidRDefault="00317B2C" w:rsidP="00317B2C">
      <w:pPr>
        <w:pStyle w:val="Paragraph"/>
      </w:pPr>
      <w:r w:rsidRPr="00ED15E7">
        <w:t>Since the transmitter on</w:t>
      </w:r>
      <w:r w:rsidR="00842885">
        <w:t xml:space="preserve"> </w:t>
      </w:r>
      <w:r w:rsidRPr="00ED15E7">
        <w:t xml:space="preserve">board a satellite is in outer space </w:t>
      </w:r>
      <w:r>
        <w:t>– which is</w:t>
      </w:r>
      <w:r w:rsidRPr="00ED15E7">
        <w:t xml:space="preserve"> outside the geographic area of a spectrum licence</w:t>
      </w:r>
      <w:r>
        <w:t xml:space="preserve"> –</w:t>
      </w:r>
      <w:r w:rsidRPr="00ED15E7">
        <w:t xml:space="preserve"> </w:t>
      </w:r>
      <w:r w:rsidRPr="00E10A87">
        <w:t xml:space="preserve">it cannot be subject to a third-party agreement under </w:t>
      </w:r>
      <w:r>
        <w:t>section 68 of the</w:t>
      </w:r>
      <w:r w:rsidRPr="00E10A87">
        <w:t xml:space="preserve"> Radiocommunications Act</w:t>
      </w:r>
      <w:r w:rsidR="00D6057C">
        <w:t>, which provides</w:t>
      </w:r>
      <w:r>
        <w:t xml:space="preserve"> for third</w:t>
      </w:r>
      <w:r w:rsidR="00B1736A">
        <w:t>-</w:t>
      </w:r>
      <w:r>
        <w:t>party authorisations under spectrum licences.</w:t>
      </w:r>
    </w:p>
    <w:p w14:paraId="237606A9" w14:textId="77777777" w:rsidR="00317B2C" w:rsidRDefault="00317B2C" w:rsidP="00317B2C">
      <w:pPr>
        <w:pStyle w:val="Paragraph"/>
      </w:pPr>
      <w:r w:rsidRPr="00ED15E7">
        <w:t>The type of agreement and its provisions would be a matter for the parties involved</w:t>
      </w:r>
      <w:r>
        <w:t>.</w:t>
      </w:r>
    </w:p>
    <w:p w14:paraId="782ED7DD" w14:textId="77777777" w:rsidR="00412D1E" w:rsidRPr="005B270B" w:rsidRDefault="00412D1E" w:rsidP="00785257">
      <w:pPr>
        <w:pStyle w:val="Heading2"/>
      </w:pPr>
      <w:bookmarkStart w:id="16" w:name="_Toc176270917"/>
      <w:r>
        <w:t>Interference management</w:t>
      </w:r>
      <w:bookmarkEnd w:id="16"/>
    </w:p>
    <w:p w14:paraId="381C3DE9" w14:textId="77777777" w:rsidR="00412D1E" w:rsidRDefault="00412D1E" w:rsidP="00785257">
      <w:pPr>
        <w:pStyle w:val="Paragraph"/>
      </w:pPr>
      <w:r>
        <w:t>T</w:t>
      </w:r>
      <w:r w:rsidRPr="000D30CB">
        <w:t xml:space="preserve">he interference management framework for spectrum licences (and the ITU Radio Regulations) in </w:t>
      </w:r>
      <w:r>
        <w:t>the</w:t>
      </w:r>
      <w:r w:rsidRPr="000D30CB">
        <w:t xml:space="preserve"> bands </w:t>
      </w:r>
      <w:r>
        <w:t>listed in Table 1 does</w:t>
      </w:r>
      <w:r w:rsidRPr="000D30CB">
        <w:t xml:space="preserve"> not envisage the possibility of space-based emissions (from ‘base stations’ in space). We expect spectrum licensee</w:t>
      </w:r>
      <w:r>
        <w:t>s offering IMT satellite direct-to-mobile services</w:t>
      </w:r>
      <w:r w:rsidRPr="000D30CB">
        <w:t xml:space="preserve"> to undertake their own due diligence to manage coexistence with other spectrum uses</w:t>
      </w:r>
      <w:r>
        <w:t xml:space="preserve"> and users.</w:t>
      </w:r>
      <w:r>
        <w:rPr>
          <w:rStyle w:val="FootnoteReference"/>
        </w:rPr>
        <w:footnoteReference w:id="18"/>
      </w:r>
      <w:r w:rsidRPr="000D30CB">
        <w:t xml:space="preserve"> </w:t>
      </w:r>
    </w:p>
    <w:p w14:paraId="2E7FDA9A" w14:textId="5F75292B" w:rsidR="00412D1E" w:rsidRPr="000D30CB" w:rsidRDefault="00412D1E" w:rsidP="00785257">
      <w:pPr>
        <w:pStyle w:val="Paragraph"/>
      </w:pPr>
      <w:r>
        <w:t>In this context, w</w:t>
      </w:r>
      <w:r w:rsidRPr="000D30CB">
        <w:t>e are aware that</w:t>
      </w:r>
      <w:r>
        <w:t xml:space="preserve"> there are specific concerns about </w:t>
      </w:r>
      <w:r w:rsidRPr="000D30CB">
        <w:t>coexistence with radio astronomy</w:t>
      </w:r>
      <w:r>
        <w:t xml:space="preserve"> observations, especially at the Murchison Radioastronomy Observatory in the </w:t>
      </w:r>
      <w:hyperlink r:id="rId46" w:history="1">
        <w:r w:rsidRPr="00B92D58">
          <w:rPr>
            <w:rStyle w:val="Hyperlink"/>
          </w:rPr>
          <w:t>Australian Radio Quiet Zone Western Australia</w:t>
        </w:r>
      </w:hyperlink>
      <w:r>
        <w:t xml:space="preserve">. </w:t>
      </w:r>
      <w:r w:rsidR="0087099D">
        <w:t>T</w:t>
      </w:r>
      <w:r>
        <w:t xml:space="preserve">hese </w:t>
      </w:r>
      <w:r w:rsidRPr="000D30CB">
        <w:t>consideration</w:t>
      </w:r>
      <w:r w:rsidR="0087099D">
        <w:t>s are valid</w:t>
      </w:r>
      <w:r w:rsidRPr="000D30CB">
        <w:t xml:space="preserve"> and </w:t>
      </w:r>
      <w:r w:rsidR="0087099D">
        <w:t xml:space="preserve">we </w:t>
      </w:r>
      <w:r w:rsidRPr="000D30CB">
        <w:lastRenderedPageBreak/>
        <w:t xml:space="preserve">encourage prospective providers of </w:t>
      </w:r>
      <w:r>
        <w:t xml:space="preserve">IMT </w:t>
      </w:r>
      <w:r w:rsidRPr="000D30CB">
        <w:t xml:space="preserve">satellite direct-to-mobile services to engage directly and early with the radio astronomy community (and any other </w:t>
      </w:r>
      <w:r w:rsidR="0087099D">
        <w:t xml:space="preserve">relevant </w:t>
      </w:r>
      <w:r w:rsidRPr="000D30CB">
        <w:t xml:space="preserve">spectrum users). </w:t>
      </w:r>
    </w:p>
    <w:p w14:paraId="79F2204E" w14:textId="77777777" w:rsidR="00412D1E" w:rsidRDefault="00412D1E" w:rsidP="00785257">
      <w:pPr>
        <w:pStyle w:val="Paragraph"/>
      </w:pPr>
      <w:r>
        <w:t xml:space="preserve">Given the importance of supporting both radio astronomy and IMT satellite direct-to-mobile services, we intend to closely monitor developments. If required, we may consider introducing regulatory arrangements to provide certainty on spectrum access and interference management requirements. We encourage parties involved to keep us informed about developments, to aid predictability and certainty for all spectrum users. </w:t>
      </w:r>
    </w:p>
    <w:p w14:paraId="58CE52C9" w14:textId="77777777" w:rsidR="00412D1E" w:rsidRPr="00B73BC0" w:rsidRDefault="00412D1E" w:rsidP="00785257">
      <w:pPr>
        <w:pStyle w:val="Heading2"/>
      </w:pPr>
      <w:bookmarkStart w:id="17" w:name="_Toc176270918"/>
      <w:r w:rsidRPr="00B73BC0">
        <w:t>Telecommun</w:t>
      </w:r>
      <w:r>
        <w:t>i</w:t>
      </w:r>
      <w:r w:rsidRPr="00B73BC0">
        <w:t>cati</w:t>
      </w:r>
      <w:r>
        <w:t>ons carrier licensing and emergency calling</w:t>
      </w:r>
      <w:bookmarkEnd w:id="17"/>
    </w:p>
    <w:p w14:paraId="16814488" w14:textId="10B30E28" w:rsidR="00412D1E" w:rsidRDefault="00412D1E" w:rsidP="00317B2C">
      <w:pPr>
        <w:pStyle w:val="Paragraph"/>
        <w:rPr>
          <w:b/>
          <w:bCs/>
        </w:rPr>
      </w:pPr>
      <w:r w:rsidRPr="005B270B">
        <w:t>Beyond the requirements of the Radiocommunication Act, there may be other regulatory obligations for operators of satellite direct-to-mobile services to consider</w:t>
      </w:r>
      <w:r w:rsidR="0087099D">
        <w:t>,</w:t>
      </w:r>
      <w:r w:rsidRPr="005B270B">
        <w:t xml:space="preserve"> including </w:t>
      </w:r>
      <w:r w:rsidR="0087099D">
        <w:t xml:space="preserve">for </w:t>
      </w:r>
      <w:r w:rsidRPr="005B270B">
        <w:t xml:space="preserve">telecommunications carrier licensing under the </w:t>
      </w:r>
      <w:hyperlink r:id="rId47" w:history="1">
        <w:r w:rsidRPr="0033440C">
          <w:rPr>
            <w:rStyle w:val="Hyperlink"/>
            <w:i/>
            <w:iCs/>
          </w:rPr>
          <w:t>Telecommunications Act 1997</w:t>
        </w:r>
      </w:hyperlink>
      <w:r w:rsidRPr="005B270B">
        <w:t xml:space="preserve"> and </w:t>
      </w:r>
      <w:r w:rsidR="0087099D">
        <w:t xml:space="preserve">for </w:t>
      </w:r>
      <w:r w:rsidRPr="005B270B">
        <w:t xml:space="preserve">emergency call services under the </w:t>
      </w:r>
      <w:hyperlink r:id="rId48" w:history="1">
        <w:r w:rsidRPr="005B270B">
          <w:rPr>
            <w:rStyle w:val="Hyperlink"/>
          </w:rPr>
          <w:t>Telecommunications (Emergency Call Service) Determination 2019</w:t>
        </w:r>
      </w:hyperlink>
      <w:r w:rsidRPr="005B270B">
        <w:t>.</w:t>
      </w:r>
    </w:p>
    <w:p w14:paraId="3552FC27" w14:textId="77777777" w:rsidR="000A6769" w:rsidRPr="00D43A1D" w:rsidRDefault="000A6769" w:rsidP="000A6769">
      <w:pPr>
        <w:pStyle w:val="Heading1"/>
      </w:pPr>
      <w:bookmarkStart w:id="18" w:name="_Toc176270919"/>
      <w:r w:rsidRPr="00D43A1D">
        <w:lastRenderedPageBreak/>
        <w:t>International developments</w:t>
      </w:r>
      <w:bookmarkEnd w:id="18"/>
    </w:p>
    <w:p w14:paraId="4BA02D5F" w14:textId="77777777" w:rsidR="000A6769" w:rsidRDefault="000A6769" w:rsidP="000A6769">
      <w:pPr>
        <w:pStyle w:val="Paragraph"/>
      </w:pPr>
      <w:r w:rsidRPr="007A53DF">
        <w:t xml:space="preserve">The 2027 World Radiocommunication Conference (WRC-27) will also consider new allocations to MSS in bands identified for IMT in the Radio Regulations under WRC-27 agenda item 1.13, as a means of providing regulatory legitimacy for </w:t>
      </w:r>
      <w:r>
        <w:t xml:space="preserve">IMT </w:t>
      </w:r>
      <w:r w:rsidRPr="007A53DF">
        <w:t>satellite direct-to-mobile communications. This agenda item will be of key interest to Australian government and industry stakeholders involved in the preparatory process for WRC-27</w:t>
      </w:r>
      <w:r>
        <w:t>.</w:t>
      </w:r>
    </w:p>
    <w:p w14:paraId="5AF9811C" w14:textId="100E29D3" w:rsidR="000A6769" w:rsidRDefault="000A6769" w:rsidP="000A6769">
      <w:pPr>
        <w:pStyle w:val="Paragraph"/>
      </w:pPr>
      <w:r>
        <w:t>Until such an allocation is made (</w:t>
      </w:r>
      <w:r>
        <w:rPr>
          <w:i/>
          <w:iCs/>
        </w:rPr>
        <w:t xml:space="preserve">if </w:t>
      </w:r>
      <w:r>
        <w:t xml:space="preserve">it is made), a satellite system operating in bands for which there is no allocation in the ITU Radio Regulations may do so under </w:t>
      </w:r>
      <w:r w:rsidRPr="001933AF">
        <w:t xml:space="preserve">the </w:t>
      </w:r>
      <w:r>
        <w:t>‘</w:t>
      </w:r>
      <w:r w:rsidRPr="001933AF">
        <w:t>no-interference, no-protection’ provisions of Article 4.4</w:t>
      </w:r>
      <w:r>
        <w:t xml:space="preserve">. As discussed </w:t>
      </w:r>
      <w:r w:rsidR="00E13B07">
        <w:t>in previous sections</w:t>
      </w:r>
      <w:r>
        <w:t xml:space="preserve">, conformity with Article 4.4 and other provisions of the ITU Radio Regulations is </w:t>
      </w:r>
      <w:r w:rsidR="0087099D">
        <w:t>the responsibility of</w:t>
      </w:r>
      <w:r>
        <w:t xml:space="preserve"> the foreign satellite operator and the administration that filed the satellite system with the ITU.</w:t>
      </w:r>
    </w:p>
    <w:p w14:paraId="1124EB8D" w14:textId="77777777" w:rsidR="0073708D" w:rsidRPr="00B73BC0" w:rsidRDefault="0073708D" w:rsidP="0073708D">
      <w:pPr>
        <w:pStyle w:val="Heading1"/>
      </w:pPr>
      <w:bookmarkStart w:id="19" w:name="_Toc176270920"/>
      <w:r w:rsidRPr="00B73BC0">
        <w:lastRenderedPageBreak/>
        <w:t>Next steps</w:t>
      </w:r>
      <w:bookmarkEnd w:id="19"/>
    </w:p>
    <w:p w14:paraId="506D34E6" w14:textId="441E89E8" w:rsidR="0073708D" w:rsidRDefault="0073708D" w:rsidP="0073708D">
      <w:pPr>
        <w:pStyle w:val="Paragraph"/>
      </w:pPr>
      <w:r>
        <w:t xml:space="preserve">MNOs and satellite operators seeking to provide an </w:t>
      </w:r>
      <w:r>
        <w:rPr>
          <w:szCs w:val="22"/>
        </w:rPr>
        <w:t>IMT</w:t>
      </w:r>
      <w:r>
        <w:t xml:space="preserve"> satellite direct-to-mobile service in Australia are advised to </w:t>
      </w:r>
      <w:hyperlink r:id="rId49" w:history="1">
        <w:r w:rsidRPr="00F07B92">
          <w:rPr>
            <w:rStyle w:val="Hyperlink"/>
          </w:rPr>
          <w:t>contact us</w:t>
        </w:r>
      </w:hyperlink>
      <w:r>
        <w:t xml:space="preserve"> earl</w:t>
      </w:r>
      <w:r w:rsidR="0087099D">
        <w:t>y</w:t>
      </w:r>
      <w:r>
        <w:t xml:space="preserve"> to discuss deployment plans.</w:t>
      </w:r>
    </w:p>
    <w:p w14:paraId="10B0E9AC" w14:textId="4D454580" w:rsidR="0073708D" w:rsidRDefault="0073708D" w:rsidP="0073708D">
      <w:pPr>
        <w:pStyle w:val="Paragraph"/>
      </w:pPr>
      <w:r>
        <w:t>T</w:t>
      </w:r>
      <w:r w:rsidRPr="00116A6B">
        <w:t xml:space="preserve">he </w:t>
      </w:r>
      <w:r>
        <w:t>Department of Infrastructure, Transport, Regional Development, Communications and the Arts leads the development of Australian positions relating to WRC-27 agenda items, including agenda item 1.13 on satellite direct-to-mobile services.</w:t>
      </w:r>
      <w:r w:rsidR="00C43D34">
        <w:t xml:space="preserve"> </w:t>
      </w:r>
      <w:r w:rsidRPr="00116A6B">
        <w:t xml:space="preserve">Stakeholders can engage further on this issue </w:t>
      </w:r>
      <w:r>
        <w:t xml:space="preserve">by </w:t>
      </w:r>
      <w:hyperlink r:id="rId50" w:history="1">
        <w:r w:rsidRPr="0060550C">
          <w:rPr>
            <w:rStyle w:val="Hyperlink"/>
          </w:rPr>
          <w:t>contacting the Department</w:t>
        </w:r>
      </w:hyperlink>
      <w:r>
        <w:t xml:space="preserve"> to join the</w:t>
      </w:r>
      <w:r w:rsidRPr="00116A6B">
        <w:t xml:space="preserve"> international preparatory process to develop Australian positions on WRC-27 agenda items. </w:t>
      </w:r>
      <w:r>
        <w:t>We will review domestic arrangements following outcomes of that conference.</w:t>
      </w:r>
    </w:p>
    <w:p w14:paraId="6E011957" w14:textId="77777777" w:rsidR="0073708D" w:rsidRPr="005B270B" w:rsidRDefault="0073708D" w:rsidP="0073708D">
      <w:pPr>
        <w:pStyle w:val="Paragraph"/>
      </w:pPr>
      <w:r>
        <w:rPr>
          <w:color w:val="000000" w:themeColor="text1"/>
        </w:rPr>
        <w:t>We intend to review domestic planning arrangements after a decision is made on this matter at WRC-27 (as is the case for all WRC decisions).</w:t>
      </w:r>
    </w:p>
    <w:p w14:paraId="1A9EDC6B" w14:textId="77777777" w:rsidR="000C4F0E" w:rsidRPr="005B270B" w:rsidRDefault="000C4F0E" w:rsidP="00BB2B08">
      <w:pPr>
        <w:pStyle w:val="Paragraph"/>
      </w:pPr>
    </w:p>
    <w:sectPr w:rsidR="000C4F0E" w:rsidRPr="005B270B" w:rsidSect="005A62E5">
      <w:headerReference w:type="even" r:id="rId51"/>
      <w:headerReference w:type="default" r:id="rId52"/>
      <w:footerReference w:type="even" r:id="rId53"/>
      <w:footerReference w:type="default" r:id="rId54"/>
      <w:pgSz w:w="11906" w:h="16838" w:code="9"/>
      <w:pgMar w:top="1418" w:right="1418" w:bottom="1134" w:left="1418"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C0FE186" w14:textId="77777777" w:rsidR="00022364" w:rsidRDefault="00022364">
      <w:r>
        <w:separator/>
      </w:r>
    </w:p>
  </w:endnote>
  <w:endnote w:type="continuationSeparator" w:id="0">
    <w:p w14:paraId="4C4D247A" w14:textId="77777777" w:rsidR="00022364" w:rsidRDefault="00022364">
      <w:r>
        <w:continuationSeparator/>
      </w:r>
    </w:p>
  </w:endnote>
  <w:endnote w:type="continuationNotice" w:id="1">
    <w:p w14:paraId="4C62B6C4" w14:textId="77777777" w:rsidR="00022364" w:rsidRDefault="00022364">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HelveticaNeueLT Std Lt">
    <w:altName w:val="Arial"/>
    <w:panose1 w:val="00000000000000000000"/>
    <w:charset w:val="00"/>
    <w:family w:val="swiss"/>
    <w:notTrueType/>
    <w:pitch w:val="variable"/>
    <w:sig w:usb0="800000AF" w:usb1="4000204A" w:usb2="00000000" w:usb3="00000000" w:csb0="00000001" w:csb1="00000000"/>
  </w:font>
  <w:font w:name="HelveticaNeueLT Std">
    <w:altName w:val="Arial"/>
    <w:panose1 w:val="00000000000000000000"/>
    <w:charset w:val="00"/>
    <w:family w:val="swiss"/>
    <w:notTrueType/>
    <w:pitch w:val="variable"/>
    <w:sig w:usb0="800000AF" w:usb1="4000204A"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54A4BD4" w14:textId="77777777" w:rsidR="005E250B" w:rsidRDefault="005E250B" w:rsidP="005E250B">
    <w:pPr>
      <w:pStyle w:val="Footer"/>
      <w:jc w:val="right"/>
    </w:pPr>
    <w:r w:rsidRPr="005E250B">
      <w:rPr>
        <w:noProof/>
        <w:vertAlign w:val="subscript"/>
      </w:rPr>
      <w:drawing>
        <wp:inline distT="0" distB="0" distL="0" distR="0" wp14:anchorId="70FAE80A" wp14:editId="64A4CD01">
          <wp:extent cx="1066800" cy="277368"/>
          <wp:effectExtent l="0" t="0" r="0" b="0"/>
          <wp:docPr id="15" name="Picture 15"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a:hlinkClick r:id="rId1"/>
                  </pic:cNvPr>
                  <pic:cNvPicPr/>
                </pic:nvPicPr>
                <pic:blipFill>
                  <a:blip r:embed="rId2"/>
                  <a:stretch>
                    <a:fillRect/>
                  </a:stretch>
                </pic:blipFill>
                <pic:spPr>
                  <a:xfrm>
                    <a:off x="0" y="0"/>
                    <a:ext cx="1133985" cy="294836"/>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AF6FE27" w14:textId="77777777" w:rsidR="00C053A1" w:rsidRDefault="00C053A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2FC576" w14:textId="77777777" w:rsidR="00C053A1" w:rsidRDefault="00C053A1">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24A256C" w14:textId="77777777" w:rsidR="00971914" w:rsidRPr="00622A3B" w:rsidRDefault="00971914"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0C6AB4">
      <w:rPr>
        <w:noProof/>
        <w:color w:val="505050"/>
      </w:rPr>
      <w:t>iv</w:t>
    </w:r>
    <w:r w:rsidRPr="002E4DDC">
      <w:rPr>
        <w:color w:val="505050"/>
      </w:rPr>
      <w:fldChar w:fldCharType="end"/>
    </w:r>
  </w:p>
  <w:p w14:paraId="118A6446" w14:textId="77777777" w:rsidR="00C053A1" w:rsidRPr="00A5474E" w:rsidRDefault="00C053A1" w:rsidP="00A5474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0D10E9B" w14:textId="77777777" w:rsidR="00971914" w:rsidRPr="00622A3B" w:rsidRDefault="00971914"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0C6AB4">
      <w:rPr>
        <w:noProof/>
        <w:color w:val="505050"/>
      </w:rPr>
      <w:t>v</w:t>
    </w:r>
    <w:r w:rsidRPr="002E4DDC">
      <w:rPr>
        <w:color w:val="505050"/>
      </w:rPr>
      <w:fldChar w:fldCharType="end"/>
    </w:r>
  </w:p>
  <w:p w14:paraId="1F2A4AF8" w14:textId="77777777" w:rsidR="00C053A1" w:rsidRPr="00A5474E" w:rsidRDefault="00C053A1" w:rsidP="00A5474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BE3BEB1" w14:textId="77777777" w:rsidR="00C053A1" w:rsidRPr="005A62E5" w:rsidRDefault="005A62E5" w:rsidP="005A62E5">
    <w:pPr>
      <w:pStyle w:val="Header"/>
      <w:tabs>
        <w:tab w:val="clear" w:pos="4153"/>
        <w:tab w:val="clear" w:pos="8306"/>
        <w:tab w:val="right" w:pos="9072"/>
      </w:tabs>
      <w:rPr>
        <w:noProof/>
        <w:sz w:val="20"/>
      </w:rPr>
    </w:pPr>
    <w:r>
      <w:rPr>
        <w:color w:val="505050"/>
      </w:rPr>
      <w:t>Australian Communications and Media Authority</w:t>
    </w:r>
    <w:r>
      <w:rPr>
        <w:color w:val="505050"/>
      </w:rPr>
      <w:tab/>
    </w:r>
    <w:r w:rsidRPr="005A62E5">
      <w:rPr>
        <w:color w:val="505050"/>
      </w:rPr>
      <w:fldChar w:fldCharType="begin"/>
    </w:r>
    <w:r w:rsidRPr="005A62E5">
      <w:rPr>
        <w:color w:val="505050"/>
      </w:rPr>
      <w:instrText xml:space="preserve"> PAGE   \* MERGEFORMAT </w:instrText>
    </w:r>
    <w:r w:rsidRPr="005A62E5">
      <w:rPr>
        <w:color w:val="505050"/>
      </w:rPr>
      <w:fldChar w:fldCharType="separate"/>
    </w:r>
    <w:r w:rsidRPr="005A62E5">
      <w:rPr>
        <w:noProof/>
        <w:color w:val="505050"/>
      </w:rPr>
      <w:t>1</w:t>
    </w:r>
    <w:r w:rsidRPr="005A62E5">
      <w:rPr>
        <w:noProof/>
        <w:color w:val="505050"/>
      </w:rPr>
      <w:fldChar w:fldCharType="end"/>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CEECF19" w14:textId="77777777" w:rsidR="00C053A1" w:rsidRPr="005A62E5" w:rsidRDefault="005A62E5" w:rsidP="005A62E5">
    <w:pPr>
      <w:pStyle w:val="Header"/>
      <w:tabs>
        <w:tab w:val="clear" w:pos="4153"/>
        <w:tab w:val="clear" w:pos="8306"/>
        <w:tab w:val="left" w:pos="5445"/>
        <w:tab w:val="right" w:pos="9072"/>
      </w:tabs>
      <w:rPr>
        <w:noProof/>
        <w:sz w:val="20"/>
      </w:rPr>
    </w:pPr>
    <w:r>
      <w:rPr>
        <w:color w:val="505050"/>
      </w:rPr>
      <w:t>Australian Communications and Media Authority</w:t>
    </w:r>
    <w:r>
      <w:rPr>
        <w:color w:val="505050"/>
      </w:rPr>
      <w:tab/>
    </w:r>
    <w:r>
      <w:rPr>
        <w:color w:val="505050"/>
      </w:rPr>
      <w:tab/>
    </w:r>
    <w:sdt>
      <w:sdtPr>
        <w:id w:val="-305168851"/>
        <w:docPartObj>
          <w:docPartGallery w:val="Page Numbers (Top of Page)"/>
          <w:docPartUnique/>
        </w:docPartObj>
      </w:sdtPr>
      <w:sdtEndPr>
        <w:rPr>
          <w:noProof/>
        </w:rPr>
      </w:sdtEndPr>
      <w:sdtContent>
        <w:r>
          <w:fldChar w:fldCharType="begin"/>
        </w:r>
        <w:r>
          <w:instrText xml:space="preserve"> PAGE   \* MERGEFORMAT </w:instrText>
        </w:r>
        <w:r>
          <w:fldChar w:fldCharType="separate"/>
        </w:r>
        <w:r>
          <w:t>1</w:t>
        </w:r>
        <w:r>
          <w:rPr>
            <w:noProof/>
          </w:rPr>
          <w:fldChar w:fldCharType="end"/>
        </w:r>
      </w:sdtContent>
    </w:sdt>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2034167" w14:textId="77777777" w:rsidR="00C053A1" w:rsidRPr="005A62E5" w:rsidRDefault="005A62E5" w:rsidP="005A62E5">
    <w:pPr>
      <w:pStyle w:val="Header"/>
      <w:tabs>
        <w:tab w:val="clear" w:pos="4153"/>
        <w:tab w:val="clear" w:pos="8306"/>
        <w:tab w:val="left" w:pos="5445"/>
        <w:tab w:val="right" w:pos="9072"/>
      </w:tabs>
      <w:rPr>
        <w:noProof/>
        <w:sz w:val="20"/>
      </w:rPr>
    </w:pPr>
    <w:r>
      <w:rPr>
        <w:color w:val="505050"/>
      </w:rPr>
      <w:t>Australian Communications and Media Authority</w:t>
    </w:r>
    <w:r>
      <w:rPr>
        <w:color w:val="505050"/>
      </w:rPr>
      <w:tab/>
    </w:r>
    <w:r>
      <w:rPr>
        <w:color w:val="505050"/>
      </w:rPr>
      <w:tab/>
    </w:r>
    <w:sdt>
      <w:sdtPr>
        <w:id w:val="726493579"/>
        <w:docPartObj>
          <w:docPartGallery w:val="Page Numbers (Top of Page)"/>
          <w:docPartUnique/>
        </w:docPartObj>
      </w:sdtPr>
      <w:sdtEndPr>
        <w:rPr>
          <w:noProof/>
        </w:rPr>
      </w:sdtEndPr>
      <w:sdtContent>
        <w:r>
          <w:fldChar w:fldCharType="begin"/>
        </w:r>
        <w:r>
          <w:instrText xml:space="preserve"> PAGE   \* MERGEFORMAT </w:instrText>
        </w:r>
        <w:r>
          <w:fldChar w:fldCharType="separate"/>
        </w:r>
        <w:r>
          <w:t>1</w:t>
        </w:r>
        <w:r>
          <w:rPr>
            <w:noProof/>
          </w:rPr>
          <w:fldChar w:fldCharType="end"/>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72FA96D" w14:textId="77777777" w:rsidR="00022364" w:rsidRDefault="00022364" w:rsidP="00DB3A64">
      <w:pPr>
        <w:spacing w:after="0"/>
      </w:pPr>
      <w:r>
        <w:separator/>
      </w:r>
    </w:p>
  </w:footnote>
  <w:footnote w:type="continuationSeparator" w:id="0">
    <w:p w14:paraId="31AC4359" w14:textId="77777777" w:rsidR="00022364" w:rsidRDefault="00022364">
      <w:r>
        <w:continuationSeparator/>
      </w:r>
    </w:p>
  </w:footnote>
  <w:footnote w:type="continuationNotice" w:id="1">
    <w:p w14:paraId="7FC507CB" w14:textId="77777777" w:rsidR="00022364" w:rsidRDefault="00022364">
      <w:pPr>
        <w:spacing w:after="0" w:line="240" w:lineRule="auto"/>
      </w:pPr>
    </w:p>
  </w:footnote>
  <w:footnote w:id="2">
    <w:p w14:paraId="754E4A28" w14:textId="77777777" w:rsidR="007874F0" w:rsidRPr="00B43005" w:rsidRDefault="007874F0" w:rsidP="007874F0">
      <w:pPr>
        <w:pStyle w:val="FootnoteText"/>
        <w:rPr>
          <w:lang w:val="en-US"/>
        </w:rPr>
      </w:pPr>
      <w:r>
        <w:rPr>
          <w:rStyle w:val="FootnoteReference"/>
        </w:rPr>
        <w:footnoteRef/>
      </w:r>
      <w:r>
        <w:t xml:space="preserve"> </w:t>
      </w:r>
      <w:r w:rsidRPr="00B43005">
        <w:t xml:space="preserve">Other </w:t>
      </w:r>
      <w:r>
        <w:t xml:space="preserve">common </w:t>
      </w:r>
      <w:r w:rsidRPr="00B43005">
        <w:t xml:space="preserve">names for this type of satellite service include direct to device (D2D), </w:t>
      </w:r>
      <w:r>
        <w:t xml:space="preserve">direct to handset, </w:t>
      </w:r>
      <w:r w:rsidRPr="00B43005">
        <w:t>direct to cell</w:t>
      </w:r>
      <w:r>
        <w:t>,</w:t>
      </w:r>
      <w:r w:rsidRPr="00B43005">
        <w:t xml:space="preserve"> or direct to satellite.</w:t>
      </w:r>
      <w:r>
        <w:t xml:space="preserve"> </w:t>
      </w:r>
    </w:p>
  </w:footnote>
  <w:footnote w:id="3">
    <w:p w14:paraId="577FE0BC" w14:textId="77777777" w:rsidR="007874F0" w:rsidRPr="00B94848" w:rsidRDefault="007874F0" w:rsidP="007874F0">
      <w:pPr>
        <w:pStyle w:val="FootnoteText"/>
        <w:rPr>
          <w:lang w:val="en-US"/>
        </w:rPr>
      </w:pPr>
      <w:r>
        <w:rPr>
          <w:rStyle w:val="FootnoteReference"/>
        </w:rPr>
        <w:footnoteRef/>
      </w:r>
      <w:r>
        <w:t xml:space="preserve"> </w:t>
      </w:r>
      <w:r>
        <w:rPr>
          <w:lang w:val="en-US"/>
        </w:rPr>
        <w:t>We use the generic term ‘mobile phone’ here, also commonly called a smartphone, cellphone or mobile handset.</w:t>
      </w:r>
    </w:p>
  </w:footnote>
  <w:footnote w:id="4">
    <w:p w14:paraId="576CCD16" w14:textId="77777777" w:rsidR="00BF5DB8" w:rsidRDefault="00BF5DB8" w:rsidP="00BF5DB8">
      <w:pPr>
        <w:pStyle w:val="FootnoteText"/>
      </w:pPr>
      <w:r>
        <w:rPr>
          <w:rStyle w:val="FootnoteReference"/>
        </w:rPr>
        <w:footnoteRef/>
      </w:r>
      <w:r>
        <w:t xml:space="preserve"> The ITU Radio Regulations is an</w:t>
      </w:r>
      <w:r w:rsidRPr="001504CE">
        <w:t xml:space="preserve"> international treaty governing global use of the radiofrequency spectrum and satellite orbits</w:t>
      </w:r>
      <w:r>
        <w:t>.</w:t>
      </w:r>
    </w:p>
  </w:footnote>
  <w:footnote w:id="5">
    <w:p w14:paraId="0404A428" w14:textId="77777777" w:rsidR="00BF5DB8" w:rsidRDefault="00BF5DB8" w:rsidP="00BF5DB8">
      <w:pPr>
        <w:pStyle w:val="FootnoteText"/>
      </w:pPr>
      <w:r>
        <w:rPr>
          <w:rStyle w:val="FootnoteReference"/>
        </w:rPr>
        <w:footnoteRef/>
      </w:r>
      <w:r>
        <w:t xml:space="preserve"> P</w:t>
      </w:r>
      <w:r w:rsidRPr="000D30CB">
        <w:t xml:space="preserve">rovided </w:t>
      </w:r>
      <w:r>
        <w:t>the smartphone meets all other regulatory requirements.</w:t>
      </w:r>
    </w:p>
  </w:footnote>
  <w:footnote w:id="6">
    <w:p w14:paraId="1E86FC8E" w14:textId="77777777" w:rsidR="008109AA" w:rsidRDefault="008109AA" w:rsidP="008109AA">
      <w:pPr>
        <w:pStyle w:val="FootnoteText"/>
      </w:pPr>
      <w:r>
        <w:rPr>
          <w:rStyle w:val="FootnoteReference"/>
        </w:rPr>
        <w:footnoteRef/>
      </w:r>
      <w:r>
        <w:t xml:space="preserve"> For more information on IMT, see </w:t>
      </w:r>
      <w:hyperlink r:id="rId1" w:history="1">
        <w:r w:rsidRPr="00970CA0">
          <w:rPr>
            <w:rStyle w:val="Hyperlink"/>
          </w:rPr>
          <w:t>https://www.itu.int/en/ITU-R/Documents/ITU-R-FAQ-IMT.pdf</w:t>
        </w:r>
      </w:hyperlink>
    </w:p>
  </w:footnote>
  <w:footnote w:id="7">
    <w:p w14:paraId="74FB9E30" w14:textId="6819ABD8" w:rsidR="00F02FA6" w:rsidRDefault="00F02FA6" w:rsidP="001F4E0D">
      <w:pPr>
        <w:pStyle w:val="FootnoteText"/>
      </w:pPr>
      <w:r>
        <w:rPr>
          <w:rStyle w:val="FootnoteReference"/>
        </w:rPr>
        <w:footnoteRef/>
      </w:r>
      <w:r>
        <w:t xml:space="preserve"> </w:t>
      </w:r>
      <w:r w:rsidR="007B41F6">
        <w:t>A</w:t>
      </w:r>
      <w:r w:rsidR="00821856">
        <w:t>n</w:t>
      </w:r>
      <w:r w:rsidR="00CF6707">
        <w:t xml:space="preserve"> allocation </w:t>
      </w:r>
      <w:r w:rsidR="00455E47">
        <w:t xml:space="preserve">in the ITU </w:t>
      </w:r>
      <w:r w:rsidR="007B41F6">
        <w:t xml:space="preserve">Radio </w:t>
      </w:r>
      <w:r w:rsidR="00821856">
        <w:t>Regulation</w:t>
      </w:r>
      <w:r w:rsidR="007B41F6">
        <w:t>s</w:t>
      </w:r>
      <w:r w:rsidR="00821856">
        <w:t xml:space="preserve"> or the Spectrum Plan</w:t>
      </w:r>
      <w:r w:rsidR="009F0E87">
        <w:t xml:space="preserve"> does not mean that all </w:t>
      </w:r>
      <w:r w:rsidR="00383D28">
        <w:t xml:space="preserve">elements of the </w:t>
      </w:r>
      <w:r w:rsidR="00B40D3B">
        <w:t>spectrum</w:t>
      </w:r>
      <w:r w:rsidR="00383D28">
        <w:t xml:space="preserve"> framework are in place </w:t>
      </w:r>
      <w:r w:rsidR="00B40D3B">
        <w:t xml:space="preserve">(for example the </w:t>
      </w:r>
      <w:r w:rsidR="009F0E87">
        <w:t>required</w:t>
      </w:r>
      <w:r w:rsidR="003B1C85">
        <w:t xml:space="preserve"> supporting </w:t>
      </w:r>
      <w:r w:rsidR="009F0E87">
        <w:t>licensing and technical framework</w:t>
      </w:r>
      <w:r w:rsidR="00B11F01">
        <w:t>s</w:t>
      </w:r>
      <w:r w:rsidR="00B40D3B">
        <w:t>)</w:t>
      </w:r>
      <w:r w:rsidR="003B1C85">
        <w:t xml:space="preserve">. </w:t>
      </w:r>
      <w:r w:rsidR="00027324">
        <w:t xml:space="preserve">Having an allocation is normally considered the prerequisite to start the process of developing </w:t>
      </w:r>
      <w:r w:rsidR="00537D97">
        <w:t xml:space="preserve">the required supporting </w:t>
      </w:r>
      <w:r w:rsidR="003565A4">
        <w:t xml:space="preserve">spectrum </w:t>
      </w:r>
      <w:r w:rsidR="00F72D35">
        <w:t>framework</w:t>
      </w:r>
      <w:r w:rsidR="002E521D">
        <w:t xml:space="preserve">. </w:t>
      </w:r>
      <w:r w:rsidR="00EF67BE">
        <w:t>F</w:t>
      </w:r>
      <w:r w:rsidR="002E521D">
        <w:t>o</w:t>
      </w:r>
      <w:r w:rsidR="001F4E0D">
        <w:t>r more information see</w:t>
      </w:r>
      <w:r w:rsidR="00860324">
        <w:t xml:space="preserve"> our</w:t>
      </w:r>
      <w:r w:rsidR="001F4E0D">
        <w:t xml:space="preserve"> </w:t>
      </w:r>
      <w:hyperlink r:id="rId2" w:anchor="spectrum-planning-framework" w:history="1">
        <w:r w:rsidR="00166DC2" w:rsidRPr="00860324">
          <w:rPr>
            <w:rStyle w:val="Hyperlink"/>
          </w:rPr>
          <w:t>Spectrum planning framework</w:t>
        </w:r>
        <w:r w:rsidR="00860324" w:rsidRPr="00860324">
          <w:rPr>
            <w:rStyle w:val="Hyperlink"/>
          </w:rPr>
          <w:t xml:space="preserve"> </w:t>
        </w:r>
        <w:r w:rsidR="000F3830" w:rsidRPr="00860324">
          <w:rPr>
            <w:rStyle w:val="Hyperlink"/>
          </w:rPr>
          <w:t>information paper</w:t>
        </w:r>
      </w:hyperlink>
      <w:r w:rsidR="000F3830">
        <w:t>.</w:t>
      </w:r>
    </w:p>
  </w:footnote>
  <w:footnote w:id="8">
    <w:p w14:paraId="2C592787" w14:textId="77777777" w:rsidR="00BB2B08" w:rsidRDefault="00BB2B08" w:rsidP="00BB2B08">
      <w:pPr>
        <w:pStyle w:val="FootnoteText"/>
      </w:pPr>
      <w:r>
        <w:rPr>
          <w:rStyle w:val="FootnoteReference"/>
        </w:rPr>
        <w:footnoteRef/>
      </w:r>
      <w:r>
        <w:t xml:space="preserve"> Refer ITU </w:t>
      </w:r>
      <w:hyperlink r:id="rId3" w:history="1">
        <w:r w:rsidRPr="00FC337F">
          <w:rPr>
            <w:rStyle w:val="Hyperlink"/>
          </w:rPr>
          <w:t>Radio Regulations</w:t>
        </w:r>
      </w:hyperlink>
      <w:r>
        <w:t xml:space="preserve"> No. 4.4 and ITU </w:t>
      </w:r>
      <w:hyperlink r:id="rId4" w:history="1">
        <w:r w:rsidRPr="00AA3B7B">
          <w:rPr>
            <w:rStyle w:val="Hyperlink"/>
          </w:rPr>
          <w:t>Rules of Procedure</w:t>
        </w:r>
      </w:hyperlink>
      <w:r>
        <w:t>.</w:t>
      </w:r>
    </w:p>
  </w:footnote>
  <w:footnote w:id="9">
    <w:p w14:paraId="077D12C9" w14:textId="0A8AAD08" w:rsidR="001D622B" w:rsidRDefault="001D622B" w:rsidP="001D622B">
      <w:pPr>
        <w:pStyle w:val="FootnoteText"/>
      </w:pPr>
      <w:r>
        <w:rPr>
          <w:rStyle w:val="FootnoteReference"/>
        </w:rPr>
        <w:footnoteRef/>
      </w:r>
      <w:r>
        <w:t xml:space="preserve"> </w:t>
      </w:r>
      <w:r w:rsidR="001E74BB">
        <w:t>A</w:t>
      </w:r>
      <w:r>
        <w:t xml:space="preserve">s </w:t>
      </w:r>
      <w:r w:rsidR="00FC0D89">
        <w:t xml:space="preserve">discussed below </w:t>
      </w:r>
      <w:r w:rsidR="00700D7B">
        <w:t>in the section</w:t>
      </w:r>
      <w:r w:rsidR="00FC0D89">
        <w:t xml:space="preserve"> ‘</w:t>
      </w:r>
      <w:r w:rsidR="00FC0D89" w:rsidRPr="00FC0D89">
        <w:t>Operation in other areas of Australia</w:t>
      </w:r>
      <w:r w:rsidR="00FC0D89">
        <w:t>’</w:t>
      </w:r>
      <w:r w:rsidR="00700D7B">
        <w:t xml:space="preserve">, </w:t>
      </w:r>
      <w:r w:rsidR="004A7448">
        <w:t>the Australia-wide spectrum licence does</w:t>
      </w:r>
      <w:r w:rsidR="00E6308B">
        <w:t xml:space="preserve"> not</w:t>
      </w:r>
      <w:r w:rsidR="004A7448">
        <w:t xml:space="preserve"> </w:t>
      </w:r>
      <w:r w:rsidR="00D91EA6">
        <w:t>include</w:t>
      </w:r>
      <w:r w:rsidR="004A7448">
        <w:t xml:space="preserve"> </w:t>
      </w:r>
      <w:r w:rsidR="00413878" w:rsidRPr="00413878">
        <w:t>Australian territorial waters and various offshore areas</w:t>
      </w:r>
      <w:r w:rsidR="00D91EA6">
        <w:t>.</w:t>
      </w:r>
      <w:r>
        <w:t xml:space="preserve"> </w:t>
      </w:r>
      <w:r w:rsidR="00D91EA6">
        <w:t>W</w:t>
      </w:r>
      <w:r w:rsidR="001E74BB">
        <w:t xml:space="preserve">hile theoretically there could be </w:t>
      </w:r>
      <w:r w:rsidR="00E14102">
        <w:t>additional</w:t>
      </w:r>
      <w:r w:rsidR="00B828E3">
        <w:t xml:space="preserve"> </w:t>
      </w:r>
      <w:r w:rsidR="00E14102">
        <w:t>though minimal coordination</w:t>
      </w:r>
      <w:r w:rsidR="00B828E3">
        <w:t xml:space="preserve"> requireme</w:t>
      </w:r>
      <w:r w:rsidR="00E14102">
        <w:t>nt</w:t>
      </w:r>
      <w:r w:rsidR="00D91EA6">
        <w:t>s</w:t>
      </w:r>
      <w:r w:rsidR="00500853">
        <w:t xml:space="preserve"> for</w:t>
      </w:r>
      <w:r w:rsidR="00E14102">
        <w:t xml:space="preserve"> </w:t>
      </w:r>
      <w:r>
        <w:t>th</w:t>
      </w:r>
      <w:r w:rsidR="00B828E3">
        <w:t>o</w:t>
      </w:r>
      <w:r>
        <w:t>se areas</w:t>
      </w:r>
      <w:r w:rsidR="00500853">
        <w:t xml:space="preserve">, they </w:t>
      </w:r>
      <w:r>
        <w:t xml:space="preserve">are not the initial focus of the proposed services and will be considered later if required. Refer </w:t>
      </w:r>
      <w:r w:rsidR="00D91EA6">
        <w:t xml:space="preserve">also to the </w:t>
      </w:r>
      <w:r>
        <w:t xml:space="preserve">discussion </w:t>
      </w:r>
      <w:r w:rsidR="00D91EA6">
        <w:t>under</w:t>
      </w:r>
      <w:r w:rsidR="00D91EA6" w:rsidRPr="00780FBC">
        <w:t xml:space="preserve"> </w:t>
      </w:r>
      <w:r w:rsidR="00357519">
        <w:t>‘</w:t>
      </w:r>
      <w:r w:rsidRPr="00780FBC">
        <w:t>Operation under Australia-wide spectrum licences</w:t>
      </w:r>
      <w:r w:rsidR="00357519">
        <w:t>’</w:t>
      </w:r>
      <w:r>
        <w:t xml:space="preserve">. For information </w:t>
      </w:r>
      <w:r w:rsidR="008B74AA">
        <w:t xml:space="preserve">on the </w:t>
      </w:r>
      <w:r w:rsidRPr="004E1041">
        <w:t>definition of Australia when used in a geographical sense,</w:t>
      </w:r>
      <w:r>
        <w:t xml:space="preserve"> see </w:t>
      </w:r>
      <w:hyperlink r:id="rId5" w:history="1">
        <w:r w:rsidRPr="00C71B0E">
          <w:rPr>
            <w:rStyle w:val="Hyperlink"/>
          </w:rPr>
          <w:t>How to use spectrum boundary data</w:t>
        </w:r>
      </w:hyperlink>
      <w:r>
        <w:t>.</w:t>
      </w:r>
    </w:p>
  </w:footnote>
  <w:footnote w:id="10">
    <w:p w14:paraId="6FED1E0A" w14:textId="77777777" w:rsidR="004E7542" w:rsidRDefault="004E7542" w:rsidP="004E7542">
      <w:pPr>
        <w:pStyle w:val="FootnoteText"/>
      </w:pPr>
      <w:r>
        <w:rPr>
          <w:rStyle w:val="FootnoteReference"/>
        </w:rPr>
        <w:footnoteRef/>
      </w:r>
      <w:r>
        <w:t xml:space="preserve"> Spectrum Plan, section 7.</w:t>
      </w:r>
    </w:p>
  </w:footnote>
  <w:footnote w:id="11">
    <w:p w14:paraId="37FD908C" w14:textId="18191F34" w:rsidR="004715E6" w:rsidRDefault="004715E6" w:rsidP="004715E6">
      <w:pPr>
        <w:pStyle w:val="FootnoteText"/>
      </w:pPr>
      <w:r>
        <w:rPr>
          <w:rStyle w:val="FootnoteReference"/>
        </w:rPr>
        <w:footnoteRef/>
      </w:r>
      <w:r>
        <w:t xml:space="preserve"> </w:t>
      </w:r>
      <w:r w:rsidRPr="00AB6C81">
        <w:t xml:space="preserve">Specifically, Article 4.4 states </w:t>
      </w:r>
      <w:r w:rsidR="00B60634">
        <w:t>‘</w:t>
      </w:r>
      <w:r w:rsidRPr="00AB6C81">
        <w:t>Administrations of the Member States shall not assign to a station any frequency in derogation of either the Table of Frequency Allocations in this Chapter or the other provisions of these Regulations, except on the express condition that such a station, when using such a frequency assignment, shall not cause harmful interference to, and shall not claim protection from harmful interference caused by, a station operating in accordance with the provisions of the Constitution, the Convention and these Regulations.</w:t>
      </w:r>
      <w:r w:rsidR="00B60634">
        <w:t>’</w:t>
      </w:r>
    </w:p>
  </w:footnote>
  <w:footnote w:id="12">
    <w:p w14:paraId="0057FB0E" w14:textId="77777777" w:rsidR="00CE52D4" w:rsidRDefault="00CE52D4" w:rsidP="00CE52D4">
      <w:pPr>
        <w:pStyle w:val="FootnoteText"/>
      </w:pPr>
      <w:r>
        <w:rPr>
          <w:rStyle w:val="FootnoteReference"/>
        </w:rPr>
        <w:footnoteRef/>
      </w:r>
      <w:r>
        <w:t xml:space="preserve"> </w:t>
      </w:r>
      <w:r w:rsidRPr="00D8434D">
        <w:t xml:space="preserve">Under Article II of </w:t>
      </w:r>
      <w:r>
        <w:t>the Outer Space T</w:t>
      </w:r>
      <w:r w:rsidRPr="00D8434D">
        <w:t>reaty, outer space is not subject to national appropriation by claim of sovereignty, by means of use or occupation, or by any other means</w:t>
      </w:r>
      <w:r>
        <w:t>.</w:t>
      </w:r>
    </w:p>
  </w:footnote>
  <w:footnote w:id="13">
    <w:p w14:paraId="1C042073" w14:textId="41D5E285" w:rsidR="00332784" w:rsidRDefault="00332784">
      <w:pPr>
        <w:pStyle w:val="FootnoteText"/>
      </w:pPr>
      <w:r>
        <w:rPr>
          <w:rStyle w:val="FootnoteReference"/>
        </w:rPr>
        <w:footnoteRef/>
      </w:r>
      <w:r>
        <w:t xml:space="preserve"> </w:t>
      </w:r>
      <w:r w:rsidR="007C688B">
        <w:t>That is,</w:t>
      </w:r>
      <w:r w:rsidR="007B2E5F">
        <w:t xml:space="preserve"> </w:t>
      </w:r>
      <w:r w:rsidR="00814825">
        <w:t xml:space="preserve">made by </w:t>
      </w:r>
      <w:r w:rsidR="00B60634">
        <w:t>humankind</w:t>
      </w:r>
      <w:r w:rsidR="00814825">
        <w:t xml:space="preserve"> as </w:t>
      </w:r>
      <w:r w:rsidR="00E926C2">
        <w:t xml:space="preserve">opposed to </w:t>
      </w:r>
      <w:r w:rsidR="001E0AA5">
        <w:t xml:space="preserve">a </w:t>
      </w:r>
      <w:r w:rsidRPr="00332784">
        <w:t>natural satellite</w:t>
      </w:r>
      <w:r w:rsidR="001E0AA5">
        <w:t xml:space="preserve"> such as the</w:t>
      </w:r>
      <w:r w:rsidRPr="00332784">
        <w:t xml:space="preserve"> </w:t>
      </w:r>
      <w:r w:rsidR="001E0AA5">
        <w:t>M</w:t>
      </w:r>
      <w:r>
        <w:t>oon</w:t>
      </w:r>
      <w:r w:rsidR="00D22330">
        <w:t>.</w:t>
      </w:r>
    </w:p>
  </w:footnote>
  <w:footnote w:id="14">
    <w:p w14:paraId="4A46EA67" w14:textId="5978E65D" w:rsidR="00CE52D4" w:rsidRPr="007D4509" w:rsidRDefault="00CE52D4" w:rsidP="00CE52D4">
      <w:pPr>
        <w:pStyle w:val="FootnoteText"/>
      </w:pPr>
      <w:r>
        <w:rPr>
          <w:rStyle w:val="FootnoteReference"/>
        </w:rPr>
        <w:footnoteRef/>
      </w:r>
      <w:r>
        <w:t xml:space="preserve"> See definition of space object in section 5 of the </w:t>
      </w:r>
      <w:r>
        <w:rPr>
          <w:i/>
          <w:iCs/>
        </w:rPr>
        <w:t>Radiocommunications Act 1992</w:t>
      </w:r>
      <w:r>
        <w:t>.</w:t>
      </w:r>
      <w:r w:rsidR="00C8730E">
        <w:t xml:space="preserve"> </w:t>
      </w:r>
      <w:r w:rsidR="00B60634">
        <w:t>S</w:t>
      </w:r>
      <w:r w:rsidR="00C8730E" w:rsidRPr="00C8730E">
        <w:t>pace object means an object (whether artificial or natural) that is beyond, has been beyond or is intended to go beyond the major portion of the Earth’s atmosphere, or any part of such an object, even if the part is intended to go only some of the way towards leaving the major portion of the Earth’s atmosphere</w:t>
      </w:r>
      <w:r w:rsidR="00C7032E">
        <w:t>.</w:t>
      </w:r>
    </w:p>
  </w:footnote>
  <w:footnote w:id="15">
    <w:p w14:paraId="1D9B529B" w14:textId="0DD18B5E" w:rsidR="00CE52D4" w:rsidRDefault="00CE52D4" w:rsidP="00CE52D4">
      <w:pPr>
        <w:pStyle w:val="FootnoteText"/>
      </w:pPr>
      <w:r>
        <w:rPr>
          <w:rStyle w:val="FootnoteReference"/>
        </w:rPr>
        <w:footnoteRef/>
      </w:r>
      <w:r>
        <w:t xml:space="preserve"> While </w:t>
      </w:r>
      <w:r w:rsidRPr="005920EB">
        <w:t xml:space="preserve">section 18 of the </w:t>
      </w:r>
      <w:r w:rsidRPr="005920EB">
        <w:rPr>
          <w:i/>
          <w:iCs/>
        </w:rPr>
        <w:t xml:space="preserve">Radiocommunications Act </w:t>
      </w:r>
      <w:r w:rsidRPr="00C43D34">
        <w:rPr>
          <w:i/>
          <w:iCs/>
        </w:rPr>
        <w:t>1992</w:t>
      </w:r>
      <w:r w:rsidRPr="00C43D34">
        <w:t xml:space="preserve"> states that references to Australia, a place or any waters include references to the </w:t>
      </w:r>
      <w:r w:rsidR="00B60634" w:rsidRPr="00C43D34">
        <w:t>‘</w:t>
      </w:r>
      <w:r w:rsidRPr="00C43D34">
        <w:t>outer space</w:t>
      </w:r>
      <w:r w:rsidR="00B60634" w:rsidRPr="00C43D34">
        <w:t>’</w:t>
      </w:r>
      <w:r w:rsidRPr="00C43D34">
        <w:t xml:space="preserve"> above, this cannot mean the geographic extent of Australia extends to outer space</w:t>
      </w:r>
      <w:r>
        <w:t>. However, management of the spectrum can extend to outer space.</w:t>
      </w:r>
    </w:p>
  </w:footnote>
  <w:footnote w:id="16">
    <w:p w14:paraId="01C4FBE0" w14:textId="5BA42F2C" w:rsidR="000E63A3" w:rsidRDefault="000E63A3">
      <w:pPr>
        <w:pStyle w:val="FootnoteText"/>
      </w:pPr>
      <w:r>
        <w:rPr>
          <w:rStyle w:val="FootnoteReference"/>
        </w:rPr>
        <w:footnoteRef/>
      </w:r>
      <w:r>
        <w:t xml:space="preserve"> See caveats in </w:t>
      </w:r>
      <w:r w:rsidR="00580957">
        <w:t>the previous section</w:t>
      </w:r>
      <w:r>
        <w:t xml:space="preserve"> </w:t>
      </w:r>
      <w:r w:rsidR="00AB4A29">
        <w:t>‘S</w:t>
      </w:r>
      <w:r>
        <w:t>pectrum licensing framework</w:t>
      </w:r>
      <w:r w:rsidR="00AB4A29">
        <w:t>’.</w:t>
      </w:r>
      <w:r>
        <w:t xml:space="preserve"> </w:t>
      </w:r>
    </w:p>
  </w:footnote>
  <w:footnote w:id="17">
    <w:p w14:paraId="76C4DDE0" w14:textId="77777777" w:rsidR="005424C3" w:rsidRDefault="005424C3" w:rsidP="005424C3">
      <w:pPr>
        <w:pStyle w:val="FootnoteText"/>
      </w:pPr>
      <w:r>
        <w:rPr>
          <w:rStyle w:val="FootnoteReference"/>
        </w:rPr>
        <w:footnoteRef/>
      </w:r>
      <w:r>
        <w:t xml:space="preserve"> In some spectrum-licensed frequency bands, PTS apparatus licences have been issued in areas outside of the ASMG boundary.</w:t>
      </w:r>
    </w:p>
  </w:footnote>
  <w:footnote w:id="18">
    <w:p w14:paraId="1680F3D2" w14:textId="2FE2692A" w:rsidR="00412D1E" w:rsidRDefault="00412D1E" w:rsidP="00412D1E">
      <w:pPr>
        <w:pStyle w:val="FootnoteText"/>
      </w:pPr>
      <w:r>
        <w:rPr>
          <w:rStyle w:val="FootnoteReference"/>
        </w:rPr>
        <w:footnoteRef/>
      </w:r>
      <w:r>
        <w:t xml:space="preserve"> For example, services using nearby spectrum in the spectrum bands outside of the spectrum-licensed band that might be </w:t>
      </w:r>
      <w:r w:rsidR="0087099D">
        <w:t xml:space="preserve">affected </w:t>
      </w:r>
      <w:r>
        <w:t>by out-of-band emissions from space stations.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CBD6662" w14:textId="77777777" w:rsidR="00C053A1" w:rsidRPr="005A62E5" w:rsidRDefault="005A62E5" w:rsidP="005A62E5">
    <w:pPr>
      <w:pStyle w:val="Header"/>
    </w:pPr>
    <w:r>
      <w:rPr>
        <w:noProof/>
      </w:rPr>
      <w:drawing>
        <wp:inline distT="0" distB="0" distL="0" distR="0" wp14:anchorId="37A682C8" wp14:editId="09F401EF">
          <wp:extent cx="3229598" cy="381000"/>
          <wp:effectExtent l="0" t="0" r="9525"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pic:cNvPicPr/>
                </pic:nvPicPr>
                <pic:blipFill>
                  <a:blip r:embed="rId1"/>
                  <a:stretch>
                    <a:fillRect/>
                  </a:stretch>
                </pic:blipFill>
                <pic:spPr>
                  <a:xfrm>
                    <a:off x="0" y="0"/>
                    <a:ext cx="3300801" cy="389400"/>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4FFED75" w14:textId="77777777" w:rsidR="00C053A1" w:rsidRPr="00A5474E" w:rsidRDefault="00C053A1" w:rsidP="00594E9C">
    <w:pPr>
      <w:pStyle w:val="TOCHeading"/>
    </w:pPr>
    <w:r w:rsidRPr="0029593B">
      <w:t>Contents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3A35551" w14:textId="77777777" w:rsidR="00C053A1" w:rsidRDefault="00C053A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F2308A7" w14:textId="77777777" w:rsidR="00C053A1" w:rsidRDefault="00C053A1">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678" w:type="dxa"/>
      <w:tblLayout w:type="fixed"/>
      <w:tblCellMar>
        <w:left w:w="0" w:type="dxa"/>
        <w:right w:w="0" w:type="dxa"/>
      </w:tblCellMar>
      <w:tblLook w:val="01E0" w:firstRow="1" w:lastRow="1" w:firstColumn="1" w:lastColumn="1" w:noHBand="0" w:noVBand="0"/>
    </w:tblPr>
    <w:tblGrid>
      <w:gridCol w:w="7678"/>
    </w:tblGrid>
    <w:tr w:rsidR="00971914" w14:paraId="52F5DA0E" w14:textId="77777777">
      <w:trPr>
        <w:trHeight w:hRule="exact" w:val="988"/>
      </w:trPr>
      <w:tc>
        <w:tcPr>
          <w:tcW w:w="7678" w:type="dxa"/>
          <w:shd w:val="clear" w:color="auto" w:fill="auto"/>
        </w:tcPr>
        <w:p w14:paraId="5C26AE34" w14:textId="77777777" w:rsidR="00971914" w:rsidRDefault="00971914" w:rsidP="00971914">
          <w:pPr>
            <w:pStyle w:val="Header"/>
          </w:pPr>
        </w:p>
      </w:tc>
    </w:tr>
    <w:tr w:rsidR="00971914" w14:paraId="73649FAE" w14:textId="77777777">
      <w:tc>
        <w:tcPr>
          <w:tcW w:w="7678" w:type="dxa"/>
          <w:shd w:val="clear" w:color="auto" w:fill="auto"/>
        </w:tcPr>
        <w:p w14:paraId="3CBB2AC5" w14:textId="77777777" w:rsidR="00971914" w:rsidRDefault="00971914" w:rsidP="00971914">
          <w:pPr>
            <w:pStyle w:val="GridTable31"/>
          </w:pPr>
          <w:r>
            <w:t xml:space="preserve">Contents </w:t>
          </w:r>
          <w:r w:rsidRPr="00915B1C">
            <w:rPr>
              <w:b w:val="0"/>
              <w:spacing w:val="0"/>
              <w:sz w:val="28"/>
              <w:szCs w:val="28"/>
            </w:rPr>
            <w:t>(Continued)</w:t>
          </w:r>
        </w:p>
      </w:tc>
    </w:tr>
    <w:tr w:rsidR="00971914" w14:paraId="47458C1F" w14:textId="77777777">
      <w:trPr>
        <w:trHeight w:val="1220"/>
      </w:trPr>
      <w:tc>
        <w:tcPr>
          <w:tcW w:w="7678" w:type="dxa"/>
          <w:shd w:val="clear" w:color="auto" w:fill="auto"/>
        </w:tcPr>
        <w:p w14:paraId="764EC76D" w14:textId="77777777" w:rsidR="00971914" w:rsidRDefault="00971914" w:rsidP="00971914"/>
      </w:tc>
    </w:tr>
  </w:tbl>
  <w:p w14:paraId="521D4DEA" w14:textId="77777777" w:rsidR="00971914" w:rsidRDefault="00971914" w:rsidP="00971914">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678" w:type="dxa"/>
      <w:tblLayout w:type="fixed"/>
      <w:tblCellMar>
        <w:left w:w="0" w:type="dxa"/>
        <w:right w:w="0" w:type="dxa"/>
      </w:tblCellMar>
      <w:tblLook w:val="01E0" w:firstRow="1" w:lastRow="1" w:firstColumn="1" w:lastColumn="1" w:noHBand="0" w:noVBand="0"/>
    </w:tblPr>
    <w:tblGrid>
      <w:gridCol w:w="7678"/>
    </w:tblGrid>
    <w:tr w:rsidR="00971914" w14:paraId="69E32F6B" w14:textId="77777777">
      <w:trPr>
        <w:trHeight w:hRule="exact" w:val="988"/>
      </w:trPr>
      <w:tc>
        <w:tcPr>
          <w:tcW w:w="7678" w:type="dxa"/>
          <w:shd w:val="clear" w:color="auto" w:fill="auto"/>
        </w:tcPr>
        <w:p w14:paraId="25207988" w14:textId="77777777" w:rsidR="00971914" w:rsidRDefault="00971914" w:rsidP="00971914">
          <w:pPr>
            <w:pStyle w:val="Header"/>
          </w:pPr>
        </w:p>
      </w:tc>
    </w:tr>
    <w:tr w:rsidR="00971914" w14:paraId="30CE648B" w14:textId="77777777">
      <w:tc>
        <w:tcPr>
          <w:tcW w:w="7678" w:type="dxa"/>
          <w:shd w:val="clear" w:color="auto" w:fill="auto"/>
        </w:tcPr>
        <w:p w14:paraId="4B9F13FB" w14:textId="77777777" w:rsidR="00971914" w:rsidRDefault="00971914" w:rsidP="00971914">
          <w:pPr>
            <w:pStyle w:val="GridTable31"/>
          </w:pPr>
          <w:r>
            <w:t xml:space="preserve">Contents </w:t>
          </w:r>
          <w:r w:rsidRPr="00915B1C">
            <w:rPr>
              <w:b w:val="0"/>
              <w:spacing w:val="0"/>
              <w:sz w:val="28"/>
              <w:szCs w:val="28"/>
            </w:rPr>
            <w:t>(Continued)</w:t>
          </w:r>
        </w:p>
      </w:tc>
    </w:tr>
    <w:tr w:rsidR="00971914" w14:paraId="41AECA13" w14:textId="77777777">
      <w:trPr>
        <w:trHeight w:val="1220"/>
      </w:trPr>
      <w:tc>
        <w:tcPr>
          <w:tcW w:w="7678" w:type="dxa"/>
          <w:shd w:val="clear" w:color="auto" w:fill="auto"/>
        </w:tcPr>
        <w:p w14:paraId="78F3F299" w14:textId="77777777" w:rsidR="00971914" w:rsidRDefault="00971914" w:rsidP="00971914"/>
      </w:tc>
    </w:tr>
  </w:tbl>
  <w:p w14:paraId="698B035B" w14:textId="77777777" w:rsidR="00C053A1" w:rsidRPr="00A5474E" w:rsidRDefault="00C053A1" w:rsidP="00A5474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AF2CD8B" w14:textId="77777777" w:rsidR="00C053A1" w:rsidRDefault="00C053A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4DACC43" w14:textId="77777777" w:rsidR="00C053A1" w:rsidRDefault="00C053A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F"/>
    <w:multiLevelType w:val="singleLevel"/>
    <w:tmpl w:val="75F22F60"/>
    <w:lvl w:ilvl="0">
      <w:start w:val="1"/>
      <w:numFmt w:val="lowerRoman"/>
      <w:pStyle w:val="ListNumber2"/>
      <w:lvlText w:val="%1."/>
      <w:lvlJc w:val="right"/>
      <w:pPr>
        <w:ind w:left="717" w:hanging="360"/>
      </w:pPr>
      <w:rPr>
        <w:rFonts w:hint="default"/>
      </w:rPr>
    </w:lvl>
  </w:abstractNum>
  <w:abstractNum w:abstractNumId="1" w15:restartNumberingAfterBreak="0">
    <w:nsid w:val="FFFFFF83"/>
    <w:multiLevelType w:val="singleLevel"/>
    <w:tmpl w:val="909E78BC"/>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2" w15:restartNumberingAfterBreak="0">
    <w:nsid w:val="FFFFFF88"/>
    <w:multiLevelType w:val="singleLevel"/>
    <w:tmpl w:val="93C0CEB6"/>
    <w:lvl w:ilvl="0">
      <w:start w:val="1"/>
      <w:numFmt w:val="decimal"/>
      <w:pStyle w:val="ListNumber"/>
      <w:lvlText w:val="%1."/>
      <w:lvlJc w:val="left"/>
      <w:pPr>
        <w:ind w:left="360" w:hanging="360"/>
      </w:pPr>
      <w:rPr>
        <w:rFonts w:hint="default"/>
        <w:b w:val="0"/>
        <w:bCs/>
        <w:caps/>
        <w:sz w:val="22"/>
        <w:szCs w:val="28"/>
      </w:rPr>
    </w:lvl>
  </w:abstractNum>
  <w:abstractNum w:abstractNumId="3" w15:restartNumberingAfterBreak="0">
    <w:nsid w:val="FFFFFF89"/>
    <w:multiLevelType w:val="singleLevel"/>
    <w:tmpl w:val="E552FEBA"/>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4" w15:restartNumberingAfterBreak="0">
    <w:nsid w:val="087C268C"/>
    <w:multiLevelType w:val="hybridMultilevel"/>
    <w:tmpl w:val="E0A6CA9A"/>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11AD521D"/>
    <w:multiLevelType w:val="hybridMultilevel"/>
    <w:tmpl w:val="B108FD84"/>
    <w:lvl w:ilvl="0" w:tplc="DD00C67E">
      <w:start w:val="1"/>
      <w:numFmt w:val="bullet"/>
      <w:pStyle w:val="Bulletlevel2"/>
      <w:lvlText w:val=""/>
      <w:lvlJc w:val="left"/>
      <w:pPr>
        <w:ind w:left="1004" w:hanging="360"/>
      </w:pPr>
      <w:rPr>
        <w:rFonts w:ascii="Symbol" w:hAnsi="Symbol" w:hint="default"/>
      </w:rPr>
    </w:lvl>
    <w:lvl w:ilvl="1" w:tplc="0C090003" w:tentative="1">
      <w:start w:val="1"/>
      <w:numFmt w:val="bullet"/>
      <w:lvlText w:val="o"/>
      <w:lvlJc w:val="left"/>
      <w:pPr>
        <w:ind w:left="1724" w:hanging="360"/>
      </w:pPr>
      <w:rPr>
        <w:rFonts w:ascii="Courier New" w:hAnsi="Courier New" w:cs="Courier New" w:hint="default"/>
      </w:rPr>
    </w:lvl>
    <w:lvl w:ilvl="2" w:tplc="0C090005" w:tentative="1">
      <w:start w:val="1"/>
      <w:numFmt w:val="bullet"/>
      <w:lvlText w:val=""/>
      <w:lvlJc w:val="left"/>
      <w:pPr>
        <w:ind w:left="2444" w:hanging="360"/>
      </w:pPr>
      <w:rPr>
        <w:rFonts w:ascii="Wingdings" w:hAnsi="Wingdings" w:hint="default"/>
      </w:rPr>
    </w:lvl>
    <w:lvl w:ilvl="3" w:tplc="0C090001" w:tentative="1">
      <w:start w:val="1"/>
      <w:numFmt w:val="bullet"/>
      <w:lvlText w:val=""/>
      <w:lvlJc w:val="left"/>
      <w:pPr>
        <w:ind w:left="3164" w:hanging="360"/>
      </w:pPr>
      <w:rPr>
        <w:rFonts w:ascii="Symbol" w:hAnsi="Symbol" w:hint="default"/>
      </w:rPr>
    </w:lvl>
    <w:lvl w:ilvl="4" w:tplc="0C090003" w:tentative="1">
      <w:start w:val="1"/>
      <w:numFmt w:val="bullet"/>
      <w:lvlText w:val="o"/>
      <w:lvlJc w:val="left"/>
      <w:pPr>
        <w:ind w:left="3884" w:hanging="360"/>
      </w:pPr>
      <w:rPr>
        <w:rFonts w:ascii="Courier New" w:hAnsi="Courier New" w:cs="Courier New" w:hint="default"/>
      </w:rPr>
    </w:lvl>
    <w:lvl w:ilvl="5" w:tplc="0C090005" w:tentative="1">
      <w:start w:val="1"/>
      <w:numFmt w:val="bullet"/>
      <w:lvlText w:val=""/>
      <w:lvlJc w:val="left"/>
      <w:pPr>
        <w:ind w:left="4604" w:hanging="360"/>
      </w:pPr>
      <w:rPr>
        <w:rFonts w:ascii="Wingdings" w:hAnsi="Wingdings" w:hint="default"/>
      </w:rPr>
    </w:lvl>
    <w:lvl w:ilvl="6" w:tplc="0C090001" w:tentative="1">
      <w:start w:val="1"/>
      <w:numFmt w:val="bullet"/>
      <w:lvlText w:val=""/>
      <w:lvlJc w:val="left"/>
      <w:pPr>
        <w:ind w:left="5324" w:hanging="360"/>
      </w:pPr>
      <w:rPr>
        <w:rFonts w:ascii="Symbol" w:hAnsi="Symbol" w:hint="default"/>
      </w:rPr>
    </w:lvl>
    <w:lvl w:ilvl="7" w:tplc="0C090003" w:tentative="1">
      <w:start w:val="1"/>
      <w:numFmt w:val="bullet"/>
      <w:lvlText w:val="o"/>
      <w:lvlJc w:val="left"/>
      <w:pPr>
        <w:ind w:left="6044" w:hanging="360"/>
      </w:pPr>
      <w:rPr>
        <w:rFonts w:ascii="Courier New" w:hAnsi="Courier New" w:cs="Courier New" w:hint="default"/>
      </w:rPr>
    </w:lvl>
    <w:lvl w:ilvl="8" w:tplc="0C090005" w:tentative="1">
      <w:start w:val="1"/>
      <w:numFmt w:val="bullet"/>
      <w:lvlText w:val=""/>
      <w:lvlJc w:val="left"/>
      <w:pPr>
        <w:ind w:left="6764" w:hanging="360"/>
      </w:pPr>
      <w:rPr>
        <w:rFonts w:ascii="Wingdings" w:hAnsi="Wingdings" w:hint="default"/>
      </w:rPr>
    </w:lvl>
  </w:abstractNum>
  <w:abstractNum w:abstractNumId="6"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7" w15:restartNumberingAfterBreak="0">
    <w:nsid w:val="3435097D"/>
    <w:multiLevelType w:val="hybridMultilevel"/>
    <w:tmpl w:val="7326FCDC"/>
    <w:lvl w:ilvl="0" w:tplc="8DFEE398">
      <w:start w:val="1"/>
      <w:numFmt w:val="bullet"/>
      <w:pStyle w:val="Bulletlevel2last"/>
      <w:lvlText w:val=""/>
      <w:lvlJc w:val="left"/>
      <w:pPr>
        <w:ind w:left="1004" w:hanging="360"/>
      </w:pPr>
      <w:rPr>
        <w:rFonts w:ascii="Symbol" w:hAnsi="Symbol" w:hint="default"/>
      </w:rPr>
    </w:lvl>
    <w:lvl w:ilvl="1" w:tplc="0C090003" w:tentative="1">
      <w:start w:val="1"/>
      <w:numFmt w:val="bullet"/>
      <w:lvlText w:val="o"/>
      <w:lvlJc w:val="left"/>
      <w:pPr>
        <w:ind w:left="1724" w:hanging="360"/>
      </w:pPr>
      <w:rPr>
        <w:rFonts w:ascii="Courier New" w:hAnsi="Courier New" w:cs="Courier New" w:hint="default"/>
      </w:rPr>
    </w:lvl>
    <w:lvl w:ilvl="2" w:tplc="0C090005" w:tentative="1">
      <w:start w:val="1"/>
      <w:numFmt w:val="bullet"/>
      <w:lvlText w:val=""/>
      <w:lvlJc w:val="left"/>
      <w:pPr>
        <w:ind w:left="2444" w:hanging="360"/>
      </w:pPr>
      <w:rPr>
        <w:rFonts w:ascii="Wingdings" w:hAnsi="Wingdings" w:hint="default"/>
      </w:rPr>
    </w:lvl>
    <w:lvl w:ilvl="3" w:tplc="0C090001" w:tentative="1">
      <w:start w:val="1"/>
      <w:numFmt w:val="bullet"/>
      <w:lvlText w:val=""/>
      <w:lvlJc w:val="left"/>
      <w:pPr>
        <w:ind w:left="3164" w:hanging="360"/>
      </w:pPr>
      <w:rPr>
        <w:rFonts w:ascii="Symbol" w:hAnsi="Symbol" w:hint="default"/>
      </w:rPr>
    </w:lvl>
    <w:lvl w:ilvl="4" w:tplc="0C090003" w:tentative="1">
      <w:start w:val="1"/>
      <w:numFmt w:val="bullet"/>
      <w:lvlText w:val="o"/>
      <w:lvlJc w:val="left"/>
      <w:pPr>
        <w:ind w:left="3884" w:hanging="360"/>
      </w:pPr>
      <w:rPr>
        <w:rFonts w:ascii="Courier New" w:hAnsi="Courier New" w:cs="Courier New" w:hint="default"/>
      </w:rPr>
    </w:lvl>
    <w:lvl w:ilvl="5" w:tplc="0C090005" w:tentative="1">
      <w:start w:val="1"/>
      <w:numFmt w:val="bullet"/>
      <w:lvlText w:val=""/>
      <w:lvlJc w:val="left"/>
      <w:pPr>
        <w:ind w:left="4604" w:hanging="360"/>
      </w:pPr>
      <w:rPr>
        <w:rFonts w:ascii="Wingdings" w:hAnsi="Wingdings" w:hint="default"/>
      </w:rPr>
    </w:lvl>
    <w:lvl w:ilvl="6" w:tplc="0C090001" w:tentative="1">
      <w:start w:val="1"/>
      <w:numFmt w:val="bullet"/>
      <w:lvlText w:val=""/>
      <w:lvlJc w:val="left"/>
      <w:pPr>
        <w:ind w:left="5324" w:hanging="360"/>
      </w:pPr>
      <w:rPr>
        <w:rFonts w:ascii="Symbol" w:hAnsi="Symbol" w:hint="default"/>
      </w:rPr>
    </w:lvl>
    <w:lvl w:ilvl="7" w:tplc="0C090003" w:tentative="1">
      <w:start w:val="1"/>
      <w:numFmt w:val="bullet"/>
      <w:lvlText w:val="o"/>
      <w:lvlJc w:val="left"/>
      <w:pPr>
        <w:ind w:left="6044" w:hanging="360"/>
      </w:pPr>
      <w:rPr>
        <w:rFonts w:ascii="Courier New" w:hAnsi="Courier New" w:cs="Courier New" w:hint="default"/>
      </w:rPr>
    </w:lvl>
    <w:lvl w:ilvl="8" w:tplc="0C090005" w:tentative="1">
      <w:start w:val="1"/>
      <w:numFmt w:val="bullet"/>
      <w:lvlText w:val=""/>
      <w:lvlJc w:val="left"/>
      <w:pPr>
        <w:ind w:left="6764" w:hanging="360"/>
      </w:pPr>
      <w:rPr>
        <w:rFonts w:ascii="Wingdings" w:hAnsi="Wingdings" w:hint="default"/>
      </w:rPr>
    </w:lvl>
  </w:abstractNum>
  <w:abstractNum w:abstractNumId="8" w15:restartNumberingAfterBreak="0">
    <w:nsid w:val="53C15C0B"/>
    <w:multiLevelType w:val="hybridMultilevel"/>
    <w:tmpl w:val="DC58D7C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9" w15:restartNumberingAfterBreak="0">
    <w:nsid w:val="55AA21F0"/>
    <w:multiLevelType w:val="hybridMultilevel"/>
    <w:tmpl w:val="9B5CB936"/>
    <w:lvl w:ilvl="0" w:tplc="CCA08FFA">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65071478"/>
    <w:multiLevelType w:val="hybridMultilevel"/>
    <w:tmpl w:val="16D2B96E"/>
    <w:lvl w:ilvl="0" w:tplc="3A9CF91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692F6B0F"/>
    <w:multiLevelType w:val="hybridMultilevel"/>
    <w:tmpl w:val="599289A0"/>
    <w:lvl w:ilvl="0" w:tplc="0C090001">
      <w:start w:val="1"/>
      <w:numFmt w:val="bullet"/>
      <w:lvlText w:val=""/>
      <w:lvlJc w:val="left"/>
      <w:pPr>
        <w:ind w:left="363" w:hanging="360"/>
      </w:pPr>
      <w:rPr>
        <w:rFonts w:ascii="Symbol" w:hAnsi="Symbol" w:hint="default"/>
      </w:rPr>
    </w:lvl>
    <w:lvl w:ilvl="1" w:tplc="FFFFFFFF" w:tentative="1">
      <w:start w:val="1"/>
      <w:numFmt w:val="lowerLetter"/>
      <w:lvlText w:val="%2."/>
      <w:lvlJc w:val="left"/>
      <w:pPr>
        <w:ind w:left="1083" w:hanging="360"/>
      </w:pPr>
    </w:lvl>
    <w:lvl w:ilvl="2" w:tplc="FFFFFFFF" w:tentative="1">
      <w:start w:val="1"/>
      <w:numFmt w:val="lowerRoman"/>
      <w:lvlText w:val="%3."/>
      <w:lvlJc w:val="right"/>
      <w:pPr>
        <w:ind w:left="1803" w:hanging="180"/>
      </w:pPr>
    </w:lvl>
    <w:lvl w:ilvl="3" w:tplc="FFFFFFFF" w:tentative="1">
      <w:start w:val="1"/>
      <w:numFmt w:val="decimal"/>
      <w:lvlText w:val="%4."/>
      <w:lvlJc w:val="left"/>
      <w:pPr>
        <w:ind w:left="2523" w:hanging="360"/>
      </w:pPr>
    </w:lvl>
    <w:lvl w:ilvl="4" w:tplc="FFFFFFFF" w:tentative="1">
      <w:start w:val="1"/>
      <w:numFmt w:val="lowerLetter"/>
      <w:lvlText w:val="%5."/>
      <w:lvlJc w:val="left"/>
      <w:pPr>
        <w:ind w:left="3243" w:hanging="360"/>
      </w:pPr>
    </w:lvl>
    <w:lvl w:ilvl="5" w:tplc="FFFFFFFF" w:tentative="1">
      <w:start w:val="1"/>
      <w:numFmt w:val="lowerRoman"/>
      <w:lvlText w:val="%6."/>
      <w:lvlJc w:val="right"/>
      <w:pPr>
        <w:ind w:left="3963" w:hanging="180"/>
      </w:pPr>
    </w:lvl>
    <w:lvl w:ilvl="6" w:tplc="FFFFFFFF" w:tentative="1">
      <w:start w:val="1"/>
      <w:numFmt w:val="decimal"/>
      <w:lvlText w:val="%7."/>
      <w:lvlJc w:val="left"/>
      <w:pPr>
        <w:ind w:left="4683" w:hanging="360"/>
      </w:pPr>
    </w:lvl>
    <w:lvl w:ilvl="7" w:tplc="FFFFFFFF" w:tentative="1">
      <w:start w:val="1"/>
      <w:numFmt w:val="lowerLetter"/>
      <w:lvlText w:val="%8."/>
      <w:lvlJc w:val="left"/>
      <w:pPr>
        <w:ind w:left="5403" w:hanging="360"/>
      </w:pPr>
    </w:lvl>
    <w:lvl w:ilvl="8" w:tplc="FFFFFFFF" w:tentative="1">
      <w:start w:val="1"/>
      <w:numFmt w:val="lowerRoman"/>
      <w:lvlText w:val="%9."/>
      <w:lvlJc w:val="right"/>
      <w:pPr>
        <w:ind w:left="6123" w:hanging="180"/>
      </w:pPr>
    </w:lvl>
  </w:abstractNum>
  <w:abstractNum w:abstractNumId="13"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762E1A81"/>
    <w:multiLevelType w:val="hybridMultilevel"/>
    <w:tmpl w:val="D8885FB6"/>
    <w:lvl w:ilvl="0" w:tplc="1026004E">
      <w:start w:val="1"/>
      <w:numFmt w:val="bullet"/>
      <w:pStyle w:val="Bulletlevel1las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78BC098E"/>
    <w:multiLevelType w:val="hybridMultilevel"/>
    <w:tmpl w:val="2E386898"/>
    <w:lvl w:ilvl="0" w:tplc="BD340FDA">
      <w:start w:val="1"/>
      <w:numFmt w:val="bullet"/>
      <w:pStyle w:val="Bulletlevel1"/>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1617521768">
    <w:abstractNumId w:val="3"/>
  </w:num>
  <w:num w:numId="2" w16cid:durableId="969045093">
    <w:abstractNumId w:val="1"/>
  </w:num>
  <w:num w:numId="3" w16cid:durableId="1714190328">
    <w:abstractNumId w:val="2"/>
  </w:num>
  <w:num w:numId="4" w16cid:durableId="1292904938">
    <w:abstractNumId w:val="0"/>
  </w:num>
  <w:num w:numId="5" w16cid:durableId="1192914688">
    <w:abstractNumId w:val="6"/>
  </w:num>
  <w:num w:numId="6" w16cid:durableId="818768531">
    <w:abstractNumId w:val="11"/>
  </w:num>
  <w:num w:numId="7" w16cid:durableId="636617026">
    <w:abstractNumId w:val="9"/>
  </w:num>
  <w:num w:numId="8" w16cid:durableId="227307242">
    <w:abstractNumId w:val="10"/>
  </w:num>
  <w:num w:numId="9" w16cid:durableId="1325478460">
    <w:abstractNumId w:val="13"/>
  </w:num>
  <w:num w:numId="10" w16cid:durableId="26877423">
    <w:abstractNumId w:val="4"/>
  </w:num>
  <w:num w:numId="11" w16cid:durableId="529613017">
    <w:abstractNumId w:val="2"/>
    <w:lvlOverride w:ilvl="0">
      <w:startOverride w:val="1"/>
    </w:lvlOverride>
  </w:num>
  <w:num w:numId="12" w16cid:durableId="506287035">
    <w:abstractNumId w:val="2"/>
    <w:lvlOverride w:ilvl="0">
      <w:startOverride w:val="1"/>
    </w:lvlOverride>
  </w:num>
  <w:num w:numId="13" w16cid:durableId="44449778">
    <w:abstractNumId w:val="15"/>
  </w:num>
  <w:num w:numId="14" w16cid:durableId="319240718">
    <w:abstractNumId w:val="14"/>
  </w:num>
  <w:num w:numId="15" w16cid:durableId="1091731347">
    <w:abstractNumId w:val="5"/>
  </w:num>
  <w:num w:numId="16" w16cid:durableId="1733236431">
    <w:abstractNumId w:val="7"/>
  </w:num>
  <w:num w:numId="17" w16cid:durableId="1480268017">
    <w:abstractNumId w:val="2"/>
    <w:lvlOverride w:ilvl="0">
      <w:startOverride w:val="1"/>
    </w:lvlOverride>
  </w:num>
  <w:num w:numId="18" w16cid:durableId="964309664">
    <w:abstractNumId w:val="2"/>
    <w:lvlOverride w:ilvl="0">
      <w:startOverride w:val="1"/>
    </w:lvlOverride>
  </w:num>
  <w:num w:numId="19" w16cid:durableId="1025836865">
    <w:abstractNumId w:val="2"/>
    <w:lvlOverride w:ilvl="0">
      <w:startOverride w:val="1"/>
    </w:lvlOverride>
  </w:num>
  <w:num w:numId="20" w16cid:durableId="1678726611">
    <w:abstractNumId w:val="2"/>
    <w:lvlOverride w:ilvl="0">
      <w:startOverride w:val="1"/>
    </w:lvlOverride>
  </w:num>
  <w:num w:numId="21" w16cid:durableId="475730963">
    <w:abstractNumId w:val="2"/>
    <w:lvlOverride w:ilvl="0">
      <w:startOverride w:val="1"/>
    </w:lvlOverride>
  </w:num>
  <w:num w:numId="22" w16cid:durableId="1304847979">
    <w:abstractNumId w:val="2"/>
    <w:lvlOverride w:ilvl="0">
      <w:startOverride w:val="1"/>
    </w:lvlOverride>
  </w:num>
  <w:num w:numId="23" w16cid:durableId="985012734">
    <w:abstractNumId w:val="8"/>
  </w:num>
  <w:num w:numId="24" w16cid:durableId="1548760421">
    <w:abstractNumId w:val="12"/>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removePersonalInformation/>
  <w:removeDateAndTime/>
  <w:proofState w:spelling="clean" w:grammar="clean"/>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defaultTabStop w:val="284"/>
  <w:evenAndOddHeaders/>
  <w:drawingGridHorizontalSpacing w:val="100"/>
  <w:displayHorizontalDrawingGridEvery w:val="2"/>
  <w:characterSpacingControl w:val="doNotCompress"/>
  <w:hdrShapeDefaults>
    <o:shapedefaults v:ext="edit" spidmax="2050">
      <o:colormru v:ext="edit" colors="red,#4d4d4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F71C3"/>
    <w:rsid w:val="000019AC"/>
    <w:rsid w:val="00007D92"/>
    <w:rsid w:val="00010667"/>
    <w:rsid w:val="000128FB"/>
    <w:rsid w:val="000129D5"/>
    <w:rsid w:val="00013E6C"/>
    <w:rsid w:val="00015AE7"/>
    <w:rsid w:val="00016092"/>
    <w:rsid w:val="00016E21"/>
    <w:rsid w:val="0001719C"/>
    <w:rsid w:val="000212FF"/>
    <w:rsid w:val="0002224E"/>
    <w:rsid w:val="00022364"/>
    <w:rsid w:val="00022CE2"/>
    <w:rsid w:val="000245E5"/>
    <w:rsid w:val="00026F91"/>
    <w:rsid w:val="00027324"/>
    <w:rsid w:val="0003199C"/>
    <w:rsid w:val="0004617E"/>
    <w:rsid w:val="0004764C"/>
    <w:rsid w:val="0004772A"/>
    <w:rsid w:val="0005011A"/>
    <w:rsid w:val="0005045A"/>
    <w:rsid w:val="00051C1E"/>
    <w:rsid w:val="00051E4F"/>
    <w:rsid w:val="000539F9"/>
    <w:rsid w:val="00054C27"/>
    <w:rsid w:val="00055EC3"/>
    <w:rsid w:val="000563CE"/>
    <w:rsid w:val="00057609"/>
    <w:rsid w:val="0006000C"/>
    <w:rsid w:val="000659B6"/>
    <w:rsid w:val="0006686F"/>
    <w:rsid w:val="0006722A"/>
    <w:rsid w:val="00070C06"/>
    <w:rsid w:val="00071DDC"/>
    <w:rsid w:val="000732CF"/>
    <w:rsid w:val="00075A81"/>
    <w:rsid w:val="00075B96"/>
    <w:rsid w:val="0008196A"/>
    <w:rsid w:val="000843E2"/>
    <w:rsid w:val="00085A5A"/>
    <w:rsid w:val="0008708D"/>
    <w:rsid w:val="000915ED"/>
    <w:rsid w:val="0009209D"/>
    <w:rsid w:val="0009463C"/>
    <w:rsid w:val="00096946"/>
    <w:rsid w:val="000969BD"/>
    <w:rsid w:val="000969BF"/>
    <w:rsid w:val="000971BD"/>
    <w:rsid w:val="000A0A5C"/>
    <w:rsid w:val="000A0C22"/>
    <w:rsid w:val="000A1400"/>
    <w:rsid w:val="000A2FAA"/>
    <w:rsid w:val="000A3C43"/>
    <w:rsid w:val="000A4A51"/>
    <w:rsid w:val="000A5BAD"/>
    <w:rsid w:val="000A5D2B"/>
    <w:rsid w:val="000A6769"/>
    <w:rsid w:val="000B32DE"/>
    <w:rsid w:val="000B36C7"/>
    <w:rsid w:val="000B4664"/>
    <w:rsid w:val="000B5B21"/>
    <w:rsid w:val="000B5DE3"/>
    <w:rsid w:val="000C0A57"/>
    <w:rsid w:val="000C230C"/>
    <w:rsid w:val="000C2E11"/>
    <w:rsid w:val="000C4F0E"/>
    <w:rsid w:val="000C6AB4"/>
    <w:rsid w:val="000D3949"/>
    <w:rsid w:val="000D71D9"/>
    <w:rsid w:val="000D76E0"/>
    <w:rsid w:val="000D7E8B"/>
    <w:rsid w:val="000E4449"/>
    <w:rsid w:val="000E6097"/>
    <w:rsid w:val="000E63A3"/>
    <w:rsid w:val="000E77C8"/>
    <w:rsid w:val="000F3830"/>
    <w:rsid w:val="001017DF"/>
    <w:rsid w:val="0010267F"/>
    <w:rsid w:val="00103829"/>
    <w:rsid w:val="0010565F"/>
    <w:rsid w:val="00111FCE"/>
    <w:rsid w:val="00113F84"/>
    <w:rsid w:val="001229A5"/>
    <w:rsid w:val="00122C4C"/>
    <w:rsid w:val="00123C0A"/>
    <w:rsid w:val="0012489B"/>
    <w:rsid w:val="001251B4"/>
    <w:rsid w:val="00126965"/>
    <w:rsid w:val="00127A4B"/>
    <w:rsid w:val="00130017"/>
    <w:rsid w:val="00130F91"/>
    <w:rsid w:val="001310BB"/>
    <w:rsid w:val="001349ED"/>
    <w:rsid w:val="001355D8"/>
    <w:rsid w:val="00136FC1"/>
    <w:rsid w:val="00137424"/>
    <w:rsid w:val="00140294"/>
    <w:rsid w:val="00140318"/>
    <w:rsid w:val="00141AD9"/>
    <w:rsid w:val="00142C69"/>
    <w:rsid w:val="0014447A"/>
    <w:rsid w:val="00146CE6"/>
    <w:rsid w:val="001515F2"/>
    <w:rsid w:val="00152903"/>
    <w:rsid w:val="00153FD5"/>
    <w:rsid w:val="0015614F"/>
    <w:rsid w:val="001567A2"/>
    <w:rsid w:val="001577C2"/>
    <w:rsid w:val="001602C1"/>
    <w:rsid w:val="001633C4"/>
    <w:rsid w:val="00166DC2"/>
    <w:rsid w:val="001704D5"/>
    <w:rsid w:val="00170901"/>
    <w:rsid w:val="00171591"/>
    <w:rsid w:val="00173981"/>
    <w:rsid w:val="0017624F"/>
    <w:rsid w:val="0017719D"/>
    <w:rsid w:val="00177C94"/>
    <w:rsid w:val="00181180"/>
    <w:rsid w:val="00183FD7"/>
    <w:rsid w:val="00185CAB"/>
    <w:rsid w:val="001875B7"/>
    <w:rsid w:val="00187CB3"/>
    <w:rsid w:val="001900A8"/>
    <w:rsid w:val="0019050A"/>
    <w:rsid w:val="001910D4"/>
    <w:rsid w:val="001976E3"/>
    <w:rsid w:val="001A260E"/>
    <w:rsid w:val="001A44EC"/>
    <w:rsid w:val="001A4EA7"/>
    <w:rsid w:val="001A5650"/>
    <w:rsid w:val="001B1C7C"/>
    <w:rsid w:val="001B28D9"/>
    <w:rsid w:val="001B3DB8"/>
    <w:rsid w:val="001B43F6"/>
    <w:rsid w:val="001B46D3"/>
    <w:rsid w:val="001B58AA"/>
    <w:rsid w:val="001B6133"/>
    <w:rsid w:val="001B6EEE"/>
    <w:rsid w:val="001B7E48"/>
    <w:rsid w:val="001C17CE"/>
    <w:rsid w:val="001C36CA"/>
    <w:rsid w:val="001C44D1"/>
    <w:rsid w:val="001C6AEE"/>
    <w:rsid w:val="001C7630"/>
    <w:rsid w:val="001D4DD0"/>
    <w:rsid w:val="001D622B"/>
    <w:rsid w:val="001D6D15"/>
    <w:rsid w:val="001E0AA5"/>
    <w:rsid w:val="001E74BB"/>
    <w:rsid w:val="001E7985"/>
    <w:rsid w:val="001F253C"/>
    <w:rsid w:val="001F4E0D"/>
    <w:rsid w:val="001F7558"/>
    <w:rsid w:val="00200EBE"/>
    <w:rsid w:val="00202E8C"/>
    <w:rsid w:val="00205B57"/>
    <w:rsid w:val="0021345A"/>
    <w:rsid w:val="002139D7"/>
    <w:rsid w:val="002157E0"/>
    <w:rsid w:val="00216A57"/>
    <w:rsid w:val="00217235"/>
    <w:rsid w:val="00217448"/>
    <w:rsid w:val="0022334F"/>
    <w:rsid w:val="0022548F"/>
    <w:rsid w:val="00226819"/>
    <w:rsid w:val="00233101"/>
    <w:rsid w:val="00233817"/>
    <w:rsid w:val="00235CC7"/>
    <w:rsid w:val="002367FF"/>
    <w:rsid w:val="00240CE9"/>
    <w:rsid w:val="002434BA"/>
    <w:rsid w:val="00246089"/>
    <w:rsid w:val="00246093"/>
    <w:rsid w:val="00246702"/>
    <w:rsid w:val="00247C59"/>
    <w:rsid w:val="00247F2E"/>
    <w:rsid w:val="00250ADC"/>
    <w:rsid w:val="00250B07"/>
    <w:rsid w:val="00257553"/>
    <w:rsid w:val="00260FB2"/>
    <w:rsid w:val="0026155D"/>
    <w:rsid w:val="00262128"/>
    <w:rsid w:val="0027165D"/>
    <w:rsid w:val="00273CEB"/>
    <w:rsid w:val="002752DF"/>
    <w:rsid w:val="00276BA1"/>
    <w:rsid w:val="00281533"/>
    <w:rsid w:val="00281C89"/>
    <w:rsid w:val="0028282F"/>
    <w:rsid w:val="00284A74"/>
    <w:rsid w:val="0029593B"/>
    <w:rsid w:val="00297FC5"/>
    <w:rsid w:val="002A0417"/>
    <w:rsid w:val="002A16D8"/>
    <w:rsid w:val="002A19DB"/>
    <w:rsid w:val="002A1BC8"/>
    <w:rsid w:val="002A1D65"/>
    <w:rsid w:val="002A2227"/>
    <w:rsid w:val="002A3EF2"/>
    <w:rsid w:val="002A3F07"/>
    <w:rsid w:val="002A6D90"/>
    <w:rsid w:val="002B0DED"/>
    <w:rsid w:val="002B19A2"/>
    <w:rsid w:val="002B381A"/>
    <w:rsid w:val="002B4FCC"/>
    <w:rsid w:val="002B7408"/>
    <w:rsid w:val="002B7CFD"/>
    <w:rsid w:val="002C0A0A"/>
    <w:rsid w:val="002C210F"/>
    <w:rsid w:val="002C42D7"/>
    <w:rsid w:val="002C50CD"/>
    <w:rsid w:val="002D1F54"/>
    <w:rsid w:val="002D3600"/>
    <w:rsid w:val="002D5931"/>
    <w:rsid w:val="002D6BA3"/>
    <w:rsid w:val="002D6FC4"/>
    <w:rsid w:val="002E0553"/>
    <w:rsid w:val="002E4DDC"/>
    <w:rsid w:val="002E521D"/>
    <w:rsid w:val="002F0B12"/>
    <w:rsid w:val="002F71C3"/>
    <w:rsid w:val="00302480"/>
    <w:rsid w:val="00302758"/>
    <w:rsid w:val="00302D47"/>
    <w:rsid w:val="00302D9C"/>
    <w:rsid w:val="00306491"/>
    <w:rsid w:val="00307EEB"/>
    <w:rsid w:val="00312524"/>
    <w:rsid w:val="003125DD"/>
    <w:rsid w:val="003165E6"/>
    <w:rsid w:val="00317B2C"/>
    <w:rsid w:val="0032140A"/>
    <w:rsid w:val="003215B5"/>
    <w:rsid w:val="00321F99"/>
    <w:rsid w:val="003221CF"/>
    <w:rsid w:val="003233ED"/>
    <w:rsid w:val="00324D9F"/>
    <w:rsid w:val="00327948"/>
    <w:rsid w:val="0033000F"/>
    <w:rsid w:val="00332011"/>
    <w:rsid w:val="00332518"/>
    <w:rsid w:val="00332784"/>
    <w:rsid w:val="00332925"/>
    <w:rsid w:val="003332ED"/>
    <w:rsid w:val="0033440C"/>
    <w:rsid w:val="003368DC"/>
    <w:rsid w:val="00342A61"/>
    <w:rsid w:val="0034521D"/>
    <w:rsid w:val="00345927"/>
    <w:rsid w:val="0035029F"/>
    <w:rsid w:val="00350584"/>
    <w:rsid w:val="00351857"/>
    <w:rsid w:val="00353BF6"/>
    <w:rsid w:val="003545E8"/>
    <w:rsid w:val="0035466C"/>
    <w:rsid w:val="003565A4"/>
    <w:rsid w:val="00357519"/>
    <w:rsid w:val="003610E1"/>
    <w:rsid w:val="00361683"/>
    <w:rsid w:val="003671BE"/>
    <w:rsid w:val="00372485"/>
    <w:rsid w:val="00372B37"/>
    <w:rsid w:val="00373200"/>
    <w:rsid w:val="003745F2"/>
    <w:rsid w:val="003747AB"/>
    <w:rsid w:val="00375EF5"/>
    <w:rsid w:val="003767A5"/>
    <w:rsid w:val="00381D15"/>
    <w:rsid w:val="00383AA2"/>
    <w:rsid w:val="00383D28"/>
    <w:rsid w:val="00385254"/>
    <w:rsid w:val="0038561E"/>
    <w:rsid w:val="003923DB"/>
    <w:rsid w:val="003A04DB"/>
    <w:rsid w:val="003A21A0"/>
    <w:rsid w:val="003A5F5B"/>
    <w:rsid w:val="003A789A"/>
    <w:rsid w:val="003B12EC"/>
    <w:rsid w:val="003B1C85"/>
    <w:rsid w:val="003C4631"/>
    <w:rsid w:val="003C61AF"/>
    <w:rsid w:val="003C77E0"/>
    <w:rsid w:val="003C7D73"/>
    <w:rsid w:val="003D17D7"/>
    <w:rsid w:val="003D1F60"/>
    <w:rsid w:val="003D2678"/>
    <w:rsid w:val="003D53F5"/>
    <w:rsid w:val="003D71A3"/>
    <w:rsid w:val="003E1154"/>
    <w:rsid w:val="003E2A75"/>
    <w:rsid w:val="003E2B8A"/>
    <w:rsid w:val="003E3ECF"/>
    <w:rsid w:val="003E4039"/>
    <w:rsid w:val="003E63D9"/>
    <w:rsid w:val="003F10EE"/>
    <w:rsid w:val="003F16F6"/>
    <w:rsid w:val="003F1B47"/>
    <w:rsid w:val="003F4DC7"/>
    <w:rsid w:val="003F5235"/>
    <w:rsid w:val="003F595C"/>
    <w:rsid w:val="004027E4"/>
    <w:rsid w:val="0041071D"/>
    <w:rsid w:val="00412D1E"/>
    <w:rsid w:val="00413878"/>
    <w:rsid w:val="00414AFC"/>
    <w:rsid w:val="004151A7"/>
    <w:rsid w:val="00415310"/>
    <w:rsid w:val="00421709"/>
    <w:rsid w:val="00423763"/>
    <w:rsid w:val="0042762F"/>
    <w:rsid w:val="00427DC7"/>
    <w:rsid w:val="00431613"/>
    <w:rsid w:val="00431792"/>
    <w:rsid w:val="0043297A"/>
    <w:rsid w:val="00432EB2"/>
    <w:rsid w:val="0043703D"/>
    <w:rsid w:val="0043714F"/>
    <w:rsid w:val="004438B5"/>
    <w:rsid w:val="00445AAF"/>
    <w:rsid w:val="00447037"/>
    <w:rsid w:val="004508C8"/>
    <w:rsid w:val="004511C5"/>
    <w:rsid w:val="0045124D"/>
    <w:rsid w:val="00452579"/>
    <w:rsid w:val="00454596"/>
    <w:rsid w:val="00455E47"/>
    <w:rsid w:val="0045605D"/>
    <w:rsid w:val="0046135B"/>
    <w:rsid w:val="00461D47"/>
    <w:rsid w:val="004715E6"/>
    <w:rsid w:val="004718CC"/>
    <w:rsid w:val="00481695"/>
    <w:rsid w:val="00482C1E"/>
    <w:rsid w:val="00483AFE"/>
    <w:rsid w:val="00485A99"/>
    <w:rsid w:val="00486EE4"/>
    <w:rsid w:val="00487D4F"/>
    <w:rsid w:val="00494349"/>
    <w:rsid w:val="00495A96"/>
    <w:rsid w:val="00495BB3"/>
    <w:rsid w:val="00495EF4"/>
    <w:rsid w:val="004962DC"/>
    <w:rsid w:val="00497DA3"/>
    <w:rsid w:val="004A56BB"/>
    <w:rsid w:val="004A70D6"/>
    <w:rsid w:val="004A7448"/>
    <w:rsid w:val="004B1751"/>
    <w:rsid w:val="004B2960"/>
    <w:rsid w:val="004B298E"/>
    <w:rsid w:val="004B5D64"/>
    <w:rsid w:val="004C0253"/>
    <w:rsid w:val="004C3F77"/>
    <w:rsid w:val="004C4DCE"/>
    <w:rsid w:val="004C557A"/>
    <w:rsid w:val="004D56FF"/>
    <w:rsid w:val="004E39D3"/>
    <w:rsid w:val="004E508A"/>
    <w:rsid w:val="004E616D"/>
    <w:rsid w:val="004E7542"/>
    <w:rsid w:val="004E75EF"/>
    <w:rsid w:val="004F1BDE"/>
    <w:rsid w:val="004F2CEE"/>
    <w:rsid w:val="004F556E"/>
    <w:rsid w:val="004F591C"/>
    <w:rsid w:val="004F63F8"/>
    <w:rsid w:val="004F7F44"/>
    <w:rsid w:val="00500853"/>
    <w:rsid w:val="005037B4"/>
    <w:rsid w:val="005079BF"/>
    <w:rsid w:val="0051269A"/>
    <w:rsid w:val="00512C3E"/>
    <w:rsid w:val="005144FA"/>
    <w:rsid w:val="00516C20"/>
    <w:rsid w:val="005219E7"/>
    <w:rsid w:val="00521ED4"/>
    <w:rsid w:val="00525B37"/>
    <w:rsid w:val="00525BB2"/>
    <w:rsid w:val="00531B9A"/>
    <w:rsid w:val="00531D15"/>
    <w:rsid w:val="005373FA"/>
    <w:rsid w:val="00537604"/>
    <w:rsid w:val="00537D97"/>
    <w:rsid w:val="00542377"/>
    <w:rsid w:val="005424C3"/>
    <w:rsid w:val="005457B6"/>
    <w:rsid w:val="005476EB"/>
    <w:rsid w:val="00551782"/>
    <w:rsid w:val="005549B1"/>
    <w:rsid w:val="00554DE2"/>
    <w:rsid w:val="00554F0A"/>
    <w:rsid w:val="00557F0D"/>
    <w:rsid w:val="00560A4B"/>
    <w:rsid w:val="00560CF1"/>
    <w:rsid w:val="00563EF1"/>
    <w:rsid w:val="005666F5"/>
    <w:rsid w:val="00566AB4"/>
    <w:rsid w:val="005678B8"/>
    <w:rsid w:val="00572A44"/>
    <w:rsid w:val="00575AC5"/>
    <w:rsid w:val="0057605D"/>
    <w:rsid w:val="00580957"/>
    <w:rsid w:val="00581347"/>
    <w:rsid w:val="00581AC9"/>
    <w:rsid w:val="005849F8"/>
    <w:rsid w:val="005910B7"/>
    <w:rsid w:val="005938DF"/>
    <w:rsid w:val="00594E9C"/>
    <w:rsid w:val="005A099B"/>
    <w:rsid w:val="005A2D9C"/>
    <w:rsid w:val="005A43AA"/>
    <w:rsid w:val="005A55FE"/>
    <w:rsid w:val="005A62E5"/>
    <w:rsid w:val="005A6A11"/>
    <w:rsid w:val="005B3DB1"/>
    <w:rsid w:val="005C2C52"/>
    <w:rsid w:val="005D0846"/>
    <w:rsid w:val="005D2502"/>
    <w:rsid w:val="005D40BB"/>
    <w:rsid w:val="005D47F3"/>
    <w:rsid w:val="005D49BF"/>
    <w:rsid w:val="005D4AA5"/>
    <w:rsid w:val="005D6F4E"/>
    <w:rsid w:val="005D7C73"/>
    <w:rsid w:val="005E250B"/>
    <w:rsid w:val="005E3ACD"/>
    <w:rsid w:val="005E7226"/>
    <w:rsid w:val="005E7A57"/>
    <w:rsid w:val="005F24B0"/>
    <w:rsid w:val="005F7DB5"/>
    <w:rsid w:val="005F7F11"/>
    <w:rsid w:val="00601B57"/>
    <w:rsid w:val="00604315"/>
    <w:rsid w:val="00604E26"/>
    <w:rsid w:val="0060523F"/>
    <w:rsid w:val="006052CF"/>
    <w:rsid w:val="00606C6D"/>
    <w:rsid w:val="00607B8D"/>
    <w:rsid w:val="0061008B"/>
    <w:rsid w:val="006116D0"/>
    <w:rsid w:val="00611F5C"/>
    <w:rsid w:val="00612C85"/>
    <w:rsid w:val="006143FD"/>
    <w:rsid w:val="00616E09"/>
    <w:rsid w:val="006205A8"/>
    <w:rsid w:val="00620F28"/>
    <w:rsid w:val="006222B4"/>
    <w:rsid w:val="00622A3B"/>
    <w:rsid w:val="00622EEA"/>
    <w:rsid w:val="00623519"/>
    <w:rsid w:val="0062396C"/>
    <w:rsid w:val="00623FF9"/>
    <w:rsid w:val="00624170"/>
    <w:rsid w:val="00625DB2"/>
    <w:rsid w:val="00625EAF"/>
    <w:rsid w:val="00626720"/>
    <w:rsid w:val="00627D4E"/>
    <w:rsid w:val="00632B89"/>
    <w:rsid w:val="0063346D"/>
    <w:rsid w:val="00634478"/>
    <w:rsid w:val="00634A86"/>
    <w:rsid w:val="00636722"/>
    <w:rsid w:val="00637DB3"/>
    <w:rsid w:val="00642D1F"/>
    <w:rsid w:val="00644373"/>
    <w:rsid w:val="00645915"/>
    <w:rsid w:val="006519C3"/>
    <w:rsid w:val="006528A2"/>
    <w:rsid w:val="00652B30"/>
    <w:rsid w:val="00656345"/>
    <w:rsid w:val="00656DC6"/>
    <w:rsid w:val="00660EC6"/>
    <w:rsid w:val="00664110"/>
    <w:rsid w:val="00664D17"/>
    <w:rsid w:val="00666520"/>
    <w:rsid w:val="00667C5B"/>
    <w:rsid w:val="006829C8"/>
    <w:rsid w:val="00685B8B"/>
    <w:rsid w:val="00691EB8"/>
    <w:rsid w:val="00692CDE"/>
    <w:rsid w:val="00693073"/>
    <w:rsid w:val="00693864"/>
    <w:rsid w:val="006977FF"/>
    <w:rsid w:val="006A01FA"/>
    <w:rsid w:val="006A0E9E"/>
    <w:rsid w:val="006A25C7"/>
    <w:rsid w:val="006A4AAD"/>
    <w:rsid w:val="006A6DA2"/>
    <w:rsid w:val="006A7AB2"/>
    <w:rsid w:val="006B52DE"/>
    <w:rsid w:val="006B5717"/>
    <w:rsid w:val="006B582F"/>
    <w:rsid w:val="006B5962"/>
    <w:rsid w:val="006B5EB2"/>
    <w:rsid w:val="006B64D2"/>
    <w:rsid w:val="006B6F9B"/>
    <w:rsid w:val="006C0CEB"/>
    <w:rsid w:val="006C1631"/>
    <w:rsid w:val="006C2081"/>
    <w:rsid w:val="006C3B1E"/>
    <w:rsid w:val="006C47FD"/>
    <w:rsid w:val="006C5C19"/>
    <w:rsid w:val="006C70A0"/>
    <w:rsid w:val="006D08B3"/>
    <w:rsid w:val="006D16F3"/>
    <w:rsid w:val="006D27CB"/>
    <w:rsid w:val="006D2F08"/>
    <w:rsid w:val="006D576C"/>
    <w:rsid w:val="006D5865"/>
    <w:rsid w:val="006D7B2B"/>
    <w:rsid w:val="006E4B1B"/>
    <w:rsid w:val="006E5445"/>
    <w:rsid w:val="006E7D93"/>
    <w:rsid w:val="006F7DC9"/>
    <w:rsid w:val="00700D7B"/>
    <w:rsid w:val="007029A3"/>
    <w:rsid w:val="00702EA1"/>
    <w:rsid w:val="007046EA"/>
    <w:rsid w:val="00706E4E"/>
    <w:rsid w:val="0070791C"/>
    <w:rsid w:val="00710185"/>
    <w:rsid w:val="00710B85"/>
    <w:rsid w:val="00711ACA"/>
    <w:rsid w:val="0071383C"/>
    <w:rsid w:val="007141A7"/>
    <w:rsid w:val="007152CD"/>
    <w:rsid w:val="00715722"/>
    <w:rsid w:val="00716CFE"/>
    <w:rsid w:val="00720906"/>
    <w:rsid w:val="00721032"/>
    <w:rsid w:val="00721B55"/>
    <w:rsid w:val="00726CE4"/>
    <w:rsid w:val="00734143"/>
    <w:rsid w:val="0073708D"/>
    <w:rsid w:val="00737E47"/>
    <w:rsid w:val="00740EAC"/>
    <w:rsid w:val="007424AB"/>
    <w:rsid w:val="00742A0C"/>
    <w:rsid w:val="00744956"/>
    <w:rsid w:val="00745A5C"/>
    <w:rsid w:val="0074605F"/>
    <w:rsid w:val="007469A8"/>
    <w:rsid w:val="00747E94"/>
    <w:rsid w:val="00751EFD"/>
    <w:rsid w:val="00753A48"/>
    <w:rsid w:val="00754627"/>
    <w:rsid w:val="00754C83"/>
    <w:rsid w:val="00756F4A"/>
    <w:rsid w:val="00761E5C"/>
    <w:rsid w:val="0076385E"/>
    <w:rsid w:val="00765DF8"/>
    <w:rsid w:val="00766749"/>
    <w:rsid w:val="00767C1B"/>
    <w:rsid w:val="007714A9"/>
    <w:rsid w:val="00772F48"/>
    <w:rsid w:val="00774E2C"/>
    <w:rsid w:val="00774F88"/>
    <w:rsid w:val="00774FDB"/>
    <w:rsid w:val="007775FC"/>
    <w:rsid w:val="00777BA2"/>
    <w:rsid w:val="00781071"/>
    <w:rsid w:val="00781408"/>
    <w:rsid w:val="00782C47"/>
    <w:rsid w:val="00784F7F"/>
    <w:rsid w:val="00785257"/>
    <w:rsid w:val="007874F0"/>
    <w:rsid w:val="007878BD"/>
    <w:rsid w:val="00795BBE"/>
    <w:rsid w:val="00795C6F"/>
    <w:rsid w:val="00795DB6"/>
    <w:rsid w:val="00796F25"/>
    <w:rsid w:val="007A1755"/>
    <w:rsid w:val="007A2E98"/>
    <w:rsid w:val="007A3BA3"/>
    <w:rsid w:val="007A495F"/>
    <w:rsid w:val="007A6CC0"/>
    <w:rsid w:val="007A79BD"/>
    <w:rsid w:val="007A7FEC"/>
    <w:rsid w:val="007B034A"/>
    <w:rsid w:val="007B1499"/>
    <w:rsid w:val="007B1BBF"/>
    <w:rsid w:val="007B2960"/>
    <w:rsid w:val="007B2E5F"/>
    <w:rsid w:val="007B355D"/>
    <w:rsid w:val="007B41F6"/>
    <w:rsid w:val="007B5371"/>
    <w:rsid w:val="007B6702"/>
    <w:rsid w:val="007B7980"/>
    <w:rsid w:val="007C0DEF"/>
    <w:rsid w:val="007C539B"/>
    <w:rsid w:val="007C5D5A"/>
    <w:rsid w:val="007C607F"/>
    <w:rsid w:val="007C6820"/>
    <w:rsid w:val="007C688B"/>
    <w:rsid w:val="007C6E44"/>
    <w:rsid w:val="007C79DD"/>
    <w:rsid w:val="007D1451"/>
    <w:rsid w:val="007D1A97"/>
    <w:rsid w:val="007D2CD6"/>
    <w:rsid w:val="007D2CE1"/>
    <w:rsid w:val="007D3063"/>
    <w:rsid w:val="007D3CEB"/>
    <w:rsid w:val="007E2BBF"/>
    <w:rsid w:val="007E3375"/>
    <w:rsid w:val="007E7683"/>
    <w:rsid w:val="007F3114"/>
    <w:rsid w:val="007F49FA"/>
    <w:rsid w:val="007F54C4"/>
    <w:rsid w:val="007F5CB8"/>
    <w:rsid w:val="007F6E9A"/>
    <w:rsid w:val="007F7562"/>
    <w:rsid w:val="007F7B40"/>
    <w:rsid w:val="00800CCD"/>
    <w:rsid w:val="008013DD"/>
    <w:rsid w:val="00801EC0"/>
    <w:rsid w:val="008044D4"/>
    <w:rsid w:val="00806A26"/>
    <w:rsid w:val="008109AA"/>
    <w:rsid w:val="00810AB4"/>
    <w:rsid w:val="00814825"/>
    <w:rsid w:val="00817B56"/>
    <w:rsid w:val="00821856"/>
    <w:rsid w:val="00821A88"/>
    <w:rsid w:val="0082495D"/>
    <w:rsid w:val="00825156"/>
    <w:rsid w:val="00825987"/>
    <w:rsid w:val="0082775C"/>
    <w:rsid w:val="00831AC3"/>
    <w:rsid w:val="00836FCE"/>
    <w:rsid w:val="008400C2"/>
    <w:rsid w:val="008408FF"/>
    <w:rsid w:val="00842885"/>
    <w:rsid w:val="00843CA3"/>
    <w:rsid w:val="0084512B"/>
    <w:rsid w:val="00851F3F"/>
    <w:rsid w:val="00852852"/>
    <w:rsid w:val="00854E63"/>
    <w:rsid w:val="0085618F"/>
    <w:rsid w:val="00856EDC"/>
    <w:rsid w:val="00860324"/>
    <w:rsid w:val="008623B5"/>
    <w:rsid w:val="008642F2"/>
    <w:rsid w:val="0087099D"/>
    <w:rsid w:val="00870ABA"/>
    <w:rsid w:val="008710E1"/>
    <w:rsid w:val="008716E5"/>
    <w:rsid w:val="00874005"/>
    <w:rsid w:val="00876B76"/>
    <w:rsid w:val="00880473"/>
    <w:rsid w:val="008809F7"/>
    <w:rsid w:val="00881CA9"/>
    <w:rsid w:val="008823E5"/>
    <w:rsid w:val="00882F14"/>
    <w:rsid w:val="0088339A"/>
    <w:rsid w:val="00883628"/>
    <w:rsid w:val="00885544"/>
    <w:rsid w:val="0088634E"/>
    <w:rsid w:val="00886E79"/>
    <w:rsid w:val="00893AB8"/>
    <w:rsid w:val="00895C11"/>
    <w:rsid w:val="00895D96"/>
    <w:rsid w:val="008A025F"/>
    <w:rsid w:val="008A04C8"/>
    <w:rsid w:val="008A208B"/>
    <w:rsid w:val="008A21F1"/>
    <w:rsid w:val="008A4302"/>
    <w:rsid w:val="008A6913"/>
    <w:rsid w:val="008B13DE"/>
    <w:rsid w:val="008B23F2"/>
    <w:rsid w:val="008B29FF"/>
    <w:rsid w:val="008B70F3"/>
    <w:rsid w:val="008B71C4"/>
    <w:rsid w:val="008B74AA"/>
    <w:rsid w:val="008B76DF"/>
    <w:rsid w:val="008C10F4"/>
    <w:rsid w:val="008C65F7"/>
    <w:rsid w:val="008C7618"/>
    <w:rsid w:val="008E4767"/>
    <w:rsid w:val="008E666C"/>
    <w:rsid w:val="008E7A8C"/>
    <w:rsid w:val="008E7C88"/>
    <w:rsid w:val="008F16CC"/>
    <w:rsid w:val="008F42C8"/>
    <w:rsid w:val="00900565"/>
    <w:rsid w:val="0090203B"/>
    <w:rsid w:val="00902432"/>
    <w:rsid w:val="00903285"/>
    <w:rsid w:val="00906F40"/>
    <w:rsid w:val="0090731E"/>
    <w:rsid w:val="00907F5B"/>
    <w:rsid w:val="00913707"/>
    <w:rsid w:val="00915B1C"/>
    <w:rsid w:val="009174F3"/>
    <w:rsid w:val="0091797D"/>
    <w:rsid w:val="00917C03"/>
    <w:rsid w:val="00920B7E"/>
    <w:rsid w:val="00923A41"/>
    <w:rsid w:val="00923CBA"/>
    <w:rsid w:val="009242EB"/>
    <w:rsid w:val="00925647"/>
    <w:rsid w:val="00926703"/>
    <w:rsid w:val="00927691"/>
    <w:rsid w:val="00927A5F"/>
    <w:rsid w:val="00930510"/>
    <w:rsid w:val="009352B1"/>
    <w:rsid w:val="00935B63"/>
    <w:rsid w:val="0094078F"/>
    <w:rsid w:val="00940FA3"/>
    <w:rsid w:val="00941FB0"/>
    <w:rsid w:val="009426D4"/>
    <w:rsid w:val="00944695"/>
    <w:rsid w:val="00947F25"/>
    <w:rsid w:val="00950159"/>
    <w:rsid w:val="00950BB7"/>
    <w:rsid w:val="0095490B"/>
    <w:rsid w:val="00960A33"/>
    <w:rsid w:val="00967A6A"/>
    <w:rsid w:val="00971914"/>
    <w:rsid w:val="0097374B"/>
    <w:rsid w:val="00973E8A"/>
    <w:rsid w:val="009742BE"/>
    <w:rsid w:val="00974363"/>
    <w:rsid w:val="00981898"/>
    <w:rsid w:val="00983696"/>
    <w:rsid w:val="00984252"/>
    <w:rsid w:val="00990DCE"/>
    <w:rsid w:val="0099577C"/>
    <w:rsid w:val="009A3B2D"/>
    <w:rsid w:val="009B24A5"/>
    <w:rsid w:val="009B2601"/>
    <w:rsid w:val="009B38A1"/>
    <w:rsid w:val="009B4E9E"/>
    <w:rsid w:val="009C1690"/>
    <w:rsid w:val="009C6881"/>
    <w:rsid w:val="009C7759"/>
    <w:rsid w:val="009D043D"/>
    <w:rsid w:val="009D07C8"/>
    <w:rsid w:val="009D1D05"/>
    <w:rsid w:val="009D2529"/>
    <w:rsid w:val="009D6C71"/>
    <w:rsid w:val="009E0631"/>
    <w:rsid w:val="009E16D0"/>
    <w:rsid w:val="009E2051"/>
    <w:rsid w:val="009E302F"/>
    <w:rsid w:val="009E38FD"/>
    <w:rsid w:val="009F0E87"/>
    <w:rsid w:val="009F13D6"/>
    <w:rsid w:val="009F1E36"/>
    <w:rsid w:val="009F4C6B"/>
    <w:rsid w:val="009F584B"/>
    <w:rsid w:val="009F78A8"/>
    <w:rsid w:val="00A02AD6"/>
    <w:rsid w:val="00A04419"/>
    <w:rsid w:val="00A07096"/>
    <w:rsid w:val="00A07318"/>
    <w:rsid w:val="00A11370"/>
    <w:rsid w:val="00A12C80"/>
    <w:rsid w:val="00A16F2D"/>
    <w:rsid w:val="00A17B1B"/>
    <w:rsid w:val="00A224CE"/>
    <w:rsid w:val="00A22522"/>
    <w:rsid w:val="00A2440D"/>
    <w:rsid w:val="00A24882"/>
    <w:rsid w:val="00A24AFD"/>
    <w:rsid w:val="00A24F5C"/>
    <w:rsid w:val="00A329A0"/>
    <w:rsid w:val="00A32F96"/>
    <w:rsid w:val="00A33D4B"/>
    <w:rsid w:val="00A40871"/>
    <w:rsid w:val="00A412AB"/>
    <w:rsid w:val="00A4193E"/>
    <w:rsid w:val="00A440E0"/>
    <w:rsid w:val="00A442EF"/>
    <w:rsid w:val="00A51D1A"/>
    <w:rsid w:val="00A5418D"/>
    <w:rsid w:val="00A5474E"/>
    <w:rsid w:val="00A56FBE"/>
    <w:rsid w:val="00A60A93"/>
    <w:rsid w:val="00A62E52"/>
    <w:rsid w:val="00A64234"/>
    <w:rsid w:val="00A70ADF"/>
    <w:rsid w:val="00A71466"/>
    <w:rsid w:val="00A74B5E"/>
    <w:rsid w:val="00A81BED"/>
    <w:rsid w:val="00A81EC4"/>
    <w:rsid w:val="00A8207D"/>
    <w:rsid w:val="00A824E8"/>
    <w:rsid w:val="00A86695"/>
    <w:rsid w:val="00A9285B"/>
    <w:rsid w:val="00A9639C"/>
    <w:rsid w:val="00A967FD"/>
    <w:rsid w:val="00AA1F0B"/>
    <w:rsid w:val="00AA2DE5"/>
    <w:rsid w:val="00AB02C1"/>
    <w:rsid w:val="00AB156C"/>
    <w:rsid w:val="00AB1F66"/>
    <w:rsid w:val="00AB37B6"/>
    <w:rsid w:val="00AB4A29"/>
    <w:rsid w:val="00AB5A0D"/>
    <w:rsid w:val="00AB6814"/>
    <w:rsid w:val="00AC04BA"/>
    <w:rsid w:val="00AC0E39"/>
    <w:rsid w:val="00AC768C"/>
    <w:rsid w:val="00AD0C3E"/>
    <w:rsid w:val="00AD3082"/>
    <w:rsid w:val="00AD32B4"/>
    <w:rsid w:val="00AD4AD0"/>
    <w:rsid w:val="00AD4B20"/>
    <w:rsid w:val="00AD5436"/>
    <w:rsid w:val="00AD60CD"/>
    <w:rsid w:val="00AD6C8C"/>
    <w:rsid w:val="00AD7EBF"/>
    <w:rsid w:val="00AE091D"/>
    <w:rsid w:val="00AE3B60"/>
    <w:rsid w:val="00AE4F85"/>
    <w:rsid w:val="00AE53A1"/>
    <w:rsid w:val="00AE6C67"/>
    <w:rsid w:val="00AF2484"/>
    <w:rsid w:val="00AF324A"/>
    <w:rsid w:val="00AF4708"/>
    <w:rsid w:val="00AF500B"/>
    <w:rsid w:val="00AF63E7"/>
    <w:rsid w:val="00AF6E17"/>
    <w:rsid w:val="00AF7906"/>
    <w:rsid w:val="00B0165D"/>
    <w:rsid w:val="00B01B60"/>
    <w:rsid w:val="00B01F99"/>
    <w:rsid w:val="00B031F3"/>
    <w:rsid w:val="00B0385F"/>
    <w:rsid w:val="00B052A4"/>
    <w:rsid w:val="00B10B42"/>
    <w:rsid w:val="00B11F01"/>
    <w:rsid w:val="00B125DE"/>
    <w:rsid w:val="00B13FDD"/>
    <w:rsid w:val="00B1528A"/>
    <w:rsid w:val="00B1736A"/>
    <w:rsid w:val="00B21C7C"/>
    <w:rsid w:val="00B22EB2"/>
    <w:rsid w:val="00B23836"/>
    <w:rsid w:val="00B27442"/>
    <w:rsid w:val="00B31167"/>
    <w:rsid w:val="00B329D8"/>
    <w:rsid w:val="00B32BB9"/>
    <w:rsid w:val="00B33AE1"/>
    <w:rsid w:val="00B37C38"/>
    <w:rsid w:val="00B40D3B"/>
    <w:rsid w:val="00B4288C"/>
    <w:rsid w:val="00B43262"/>
    <w:rsid w:val="00B43D9A"/>
    <w:rsid w:val="00B44100"/>
    <w:rsid w:val="00B45289"/>
    <w:rsid w:val="00B45D1D"/>
    <w:rsid w:val="00B46CBA"/>
    <w:rsid w:val="00B46F94"/>
    <w:rsid w:val="00B51B7B"/>
    <w:rsid w:val="00B53C1B"/>
    <w:rsid w:val="00B54595"/>
    <w:rsid w:val="00B6003C"/>
    <w:rsid w:val="00B60634"/>
    <w:rsid w:val="00B61F03"/>
    <w:rsid w:val="00B626E4"/>
    <w:rsid w:val="00B7144B"/>
    <w:rsid w:val="00B72F4A"/>
    <w:rsid w:val="00B81C94"/>
    <w:rsid w:val="00B820F7"/>
    <w:rsid w:val="00B828E3"/>
    <w:rsid w:val="00B8329D"/>
    <w:rsid w:val="00B83C27"/>
    <w:rsid w:val="00B84BC3"/>
    <w:rsid w:val="00B84BDD"/>
    <w:rsid w:val="00B92812"/>
    <w:rsid w:val="00BA62F8"/>
    <w:rsid w:val="00BB2B08"/>
    <w:rsid w:val="00BB45A1"/>
    <w:rsid w:val="00BB7686"/>
    <w:rsid w:val="00BC1BFB"/>
    <w:rsid w:val="00BC23F9"/>
    <w:rsid w:val="00BC3421"/>
    <w:rsid w:val="00BC732C"/>
    <w:rsid w:val="00BD1948"/>
    <w:rsid w:val="00BD4421"/>
    <w:rsid w:val="00BD7249"/>
    <w:rsid w:val="00BE02C8"/>
    <w:rsid w:val="00BE11C7"/>
    <w:rsid w:val="00BE2580"/>
    <w:rsid w:val="00BE266D"/>
    <w:rsid w:val="00BE35CB"/>
    <w:rsid w:val="00BE3938"/>
    <w:rsid w:val="00BE4C11"/>
    <w:rsid w:val="00BE51A4"/>
    <w:rsid w:val="00BE6805"/>
    <w:rsid w:val="00BE71C0"/>
    <w:rsid w:val="00BF5DB8"/>
    <w:rsid w:val="00BF610C"/>
    <w:rsid w:val="00C0060B"/>
    <w:rsid w:val="00C01A6C"/>
    <w:rsid w:val="00C0277D"/>
    <w:rsid w:val="00C053A1"/>
    <w:rsid w:val="00C12513"/>
    <w:rsid w:val="00C16198"/>
    <w:rsid w:val="00C2083D"/>
    <w:rsid w:val="00C24A53"/>
    <w:rsid w:val="00C24F5A"/>
    <w:rsid w:val="00C322AA"/>
    <w:rsid w:val="00C34703"/>
    <w:rsid w:val="00C34A05"/>
    <w:rsid w:val="00C355B3"/>
    <w:rsid w:val="00C35CCE"/>
    <w:rsid w:val="00C4032F"/>
    <w:rsid w:val="00C408DC"/>
    <w:rsid w:val="00C43D34"/>
    <w:rsid w:val="00C44047"/>
    <w:rsid w:val="00C44681"/>
    <w:rsid w:val="00C45155"/>
    <w:rsid w:val="00C46525"/>
    <w:rsid w:val="00C5498F"/>
    <w:rsid w:val="00C55235"/>
    <w:rsid w:val="00C55405"/>
    <w:rsid w:val="00C55D36"/>
    <w:rsid w:val="00C57E90"/>
    <w:rsid w:val="00C64CD0"/>
    <w:rsid w:val="00C6684F"/>
    <w:rsid w:val="00C7032E"/>
    <w:rsid w:val="00C70E70"/>
    <w:rsid w:val="00C71B0E"/>
    <w:rsid w:val="00C75F8D"/>
    <w:rsid w:val="00C77380"/>
    <w:rsid w:val="00C82940"/>
    <w:rsid w:val="00C844AE"/>
    <w:rsid w:val="00C8671D"/>
    <w:rsid w:val="00C86822"/>
    <w:rsid w:val="00C8730E"/>
    <w:rsid w:val="00C87E8A"/>
    <w:rsid w:val="00C9070D"/>
    <w:rsid w:val="00C92973"/>
    <w:rsid w:val="00C970D1"/>
    <w:rsid w:val="00C97736"/>
    <w:rsid w:val="00CA345A"/>
    <w:rsid w:val="00CA453D"/>
    <w:rsid w:val="00CA5340"/>
    <w:rsid w:val="00CA5749"/>
    <w:rsid w:val="00CB1E82"/>
    <w:rsid w:val="00CB4BA8"/>
    <w:rsid w:val="00CB52D7"/>
    <w:rsid w:val="00CB7B48"/>
    <w:rsid w:val="00CC085B"/>
    <w:rsid w:val="00CC6732"/>
    <w:rsid w:val="00CD058C"/>
    <w:rsid w:val="00CE0BB5"/>
    <w:rsid w:val="00CE3C96"/>
    <w:rsid w:val="00CE51A8"/>
    <w:rsid w:val="00CE52D4"/>
    <w:rsid w:val="00CE5CC5"/>
    <w:rsid w:val="00CF369B"/>
    <w:rsid w:val="00CF6707"/>
    <w:rsid w:val="00D00E28"/>
    <w:rsid w:val="00D016D0"/>
    <w:rsid w:val="00D0269E"/>
    <w:rsid w:val="00D036D7"/>
    <w:rsid w:val="00D03752"/>
    <w:rsid w:val="00D03D7F"/>
    <w:rsid w:val="00D05D6C"/>
    <w:rsid w:val="00D1123D"/>
    <w:rsid w:val="00D15810"/>
    <w:rsid w:val="00D16D4E"/>
    <w:rsid w:val="00D16FE3"/>
    <w:rsid w:val="00D22330"/>
    <w:rsid w:val="00D239FC"/>
    <w:rsid w:val="00D2455C"/>
    <w:rsid w:val="00D2672D"/>
    <w:rsid w:val="00D27AF2"/>
    <w:rsid w:val="00D27F41"/>
    <w:rsid w:val="00D36441"/>
    <w:rsid w:val="00D36D9A"/>
    <w:rsid w:val="00D4064E"/>
    <w:rsid w:val="00D414E9"/>
    <w:rsid w:val="00D42EF0"/>
    <w:rsid w:val="00D4323D"/>
    <w:rsid w:val="00D44E9B"/>
    <w:rsid w:val="00D45FD2"/>
    <w:rsid w:val="00D47AEB"/>
    <w:rsid w:val="00D505EA"/>
    <w:rsid w:val="00D50DB9"/>
    <w:rsid w:val="00D51302"/>
    <w:rsid w:val="00D51B8F"/>
    <w:rsid w:val="00D52C43"/>
    <w:rsid w:val="00D54495"/>
    <w:rsid w:val="00D5552C"/>
    <w:rsid w:val="00D60571"/>
    <w:rsid w:val="00D6057C"/>
    <w:rsid w:val="00D6507F"/>
    <w:rsid w:val="00D730BC"/>
    <w:rsid w:val="00D73912"/>
    <w:rsid w:val="00D75DEF"/>
    <w:rsid w:val="00D85226"/>
    <w:rsid w:val="00D87B94"/>
    <w:rsid w:val="00D91EA6"/>
    <w:rsid w:val="00D92D49"/>
    <w:rsid w:val="00D92EC1"/>
    <w:rsid w:val="00D96DEA"/>
    <w:rsid w:val="00D97E82"/>
    <w:rsid w:val="00DA2BCD"/>
    <w:rsid w:val="00DA4E41"/>
    <w:rsid w:val="00DB117A"/>
    <w:rsid w:val="00DB2F5D"/>
    <w:rsid w:val="00DB3A64"/>
    <w:rsid w:val="00DB5173"/>
    <w:rsid w:val="00DB7873"/>
    <w:rsid w:val="00DB7B56"/>
    <w:rsid w:val="00DC00D7"/>
    <w:rsid w:val="00DC187B"/>
    <w:rsid w:val="00DC62BA"/>
    <w:rsid w:val="00DC7DEF"/>
    <w:rsid w:val="00DD1A43"/>
    <w:rsid w:val="00DD4215"/>
    <w:rsid w:val="00DD66D6"/>
    <w:rsid w:val="00DD73C2"/>
    <w:rsid w:val="00DE319B"/>
    <w:rsid w:val="00DF0799"/>
    <w:rsid w:val="00DF2237"/>
    <w:rsid w:val="00DF34FE"/>
    <w:rsid w:val="00DF56AA"/>
    <w:rsid w:val="00DF56AF"/>
    <w:rsid w:val="00DF67E0"/>
    <w:rsid w:val="00DF78E7"/>
    <w:rsid w:val="00E04725"/>
    <w:rsid w:val="00E110E0"/>
    <w:rsid w:val="00E111CF"/>
    <w:rsid w:val="00E11E68"/>
    <w:rsid w:val="00E13B07"/>
    <w:rsid w:val="00E14102"/>
    <w:rsid w:val="00E15371"/>
    <w:rsid w:val="00E23372"/>
    <w:rsid w:val="00E23927"/>
    <w:rsid w:val="00E24104"/>
    <w:rsid w:val="00E302D0"/>
    <w:rsid w:val="00E34250"/>
    <w:rsid w:val="00E35707"/>
    <w:rsid w:val="00E36AA1"/>
    <w:rsid w:val="00E36EBF"/>
    <w:rsid w:val="00E41ECB"/>
    <w:rsid w:val="00E42676"/>
    <w:rsid w:val="00E44D05"/>
    <w:rsid w:val="00E45014"/>
    <w:rsid w:val="00E51215"/>
    <w:rsid w:val="00E54FDB"/>
    <w:rsid w:val="00E5617D"/>
    <w:rsid w:val="00E563D7"/>
    <w:rsid w:val="00E6308B"/>
    <w:rsid w:val="00E663F4"/>
    <w:rsid w:val="00E66601"/>
    <w:rsid w:val="00E666F2"/>
    <w:rsid w:val="00E66DD4"/>
    <w:rsid w:val="00E748CC"/>
    <w:rsid w:val="00E75415"/>
    <w:rsid w:val="00E775B1"/>
    <w:rsid w:val="00E801BA"/>
    <w:rsid w:val="00E8152A"/>
    <w:rsid w:val="00E821AA"/>
    <w:rsid w:val="00E823BA"/>
    <w:rsid w:val="00E85296"/>
    <w:rsid w:val="00E878F9"/>
    <w:rsid w:val="00E926C2"/>
    <w:rsid w:val="00E93629"/>
    <w:rsid w:val="00E93B5C"/>
    <w:rsid w:val="00E94CEC"/>
    <w:rsid w:val="00E958C0"/>
    <w:rsid w:val="00E97D43"/>
    <w:rsid w:val="00EA0346"/>
    <w:rsid w:val="00EA04EF"/>
    <w:rsid w:val="00EA63DD"/>
    <w:rsid w:val="00EA6F19"/>
    <w:rsid w:val="00EB1B58"/>
    <w:rsid w:val="00EB1E0E"/>
    <w:rsid w:val="00EB4F98"/>
    <w:rsid w:val="00EB7090"/>
    <w:rsid w:val="00EC1BBE"/>
    <w:rsid w:val="00EC2AE2"/>
    <w:rsid w:val="00EC2B68"/>
    <w:rsid w:val="00EC3AEF"/>
    <w:rsid w:val="00EC4A96"/>
    <w:rsid w:val="00EC5CD7"/>
    <w:rsid w:val="00ED1769"/>
    <w:rsid w:val="00ED53A7"/>
    <w:rsid w:val="00EE588A"/>
    <w:rsid w:val="00EE5FB3"/>
    <w:rsid w:val="00EE7F79"/>
    <w:rsid w:val="00EF13A7"/>
    <w:rsid w:val="00EF3B1E"/>
    <w:rsid w:val="00EF67BE"/>
    <w:rsid w:val="00EF69A9"/>
    <w:rsid w:val="00EF715A"/>
    <w:rsid w:val="00F01BC3"/>
    <w:rsid w:val="00F02C03"/>
    <w:rsid w:val="00F02FA6"/>
    <w:rsid w:val="00F04366"/>
    <w:rsid w:val="00F06E14"/>
    <w:rsid w:val="00F075BB"/>
    <w:rsid w:val="00F07B92"/>
    <w:rsid w:val="00F12C6E"/>
    <w:rsid w:val="00F14E8F"/>
    <w:rsid w:val="00F179D4"/>
    <w:rsid w:val="00F21AF9"/>
    <w:rsid w:val="00F22BDC"/>
    <w:rsid w:val="00F26009"/>
    <w:rsid w:val="00F33C56"/>
    <w:rsid w:val="00F347C7"/>
    <w:rsid w:val="00F34848"/>
    <w:rsid w:val="00F35751"/>
    <w:rsid w:val="00F41A15"/>
    <w:rsid w:val="00F42D46"/>
    <w:rsid w:val="00F4496C"/>
    <w:rsid w:val="00F44F3A"/>
    <w:rsid w:val="00F45DD5"/>
    <w:rsid w:val="00F5154B"/>
    <w:rsid w:val="00F51F10"/>
    <w:rsid w:val="00F529A5"/>
    <w:rsid w:val="00F55478"/>
    <w:rsid w:val="00F60F00"/>
    <w:rsid w:val="00F614C0"/>
    <w:rsid w:val="00F61C77"/>
    <w:rsid w:val="00F62E01"/>
    <w:rsid w:val="00F6338A"/>
    <w:rsid w:val="00F64D25"/>
    <w:rsid w:val="00F72D35"/>
    <w:rsid w:val="00F7389C"/>
    <w:rsid w:val="00F83848"/>
    <w:rsid w:val="00F8432D"/>
    <w:rsid w:val="00F87140"/>
    <w:rsid w:val="00F975E9"/>
    <w:rsid w:val="00FA1B7D"/>
    <w:rsid w:val="00FA2CC6"/>
    <w:rsid w:val="00FC04B6"/>
    <w:rsid w:val="00FC07B9"/>
    <w:rsid w:val="00FC0D89"/>
    <w:rsid w:val="00FC4E21"/>
    <w:rsid w:val="00FC5F6D"/>
    <w:rsid w:val="00FD0107"/>
    <w:rsid w:val="00FD0B37"/>
    <w:rsid w:val="00FD2C2F"/>
    <w:rsid w:val="00FD3B31"/>
    <w:rsid w:val="00FE1823"/>
    <w:rsid w:val="00FE487A"/>
    <w:rsid w:val="00FF0569"/>
    <w:rsid w:val="00FF206E"/>
    <w:rsid w:val="00FF3C69"/>
    <w:rsid w:val="00FF6E0A"/>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colormru v:ext="edit" colors="red,#4d4d4f"/>
    </o:shapedefaults>
    <o:shapelayout v:ext="edit">
      <o:idmap v:ext="edit" data="2"/>
    </o:shapelayout>
  </w:shapeDefaults>
  <w:decimalSymbol w:val="."/>
  <w:listSeparator w:val=","/>
  <w14:docId w14:val="565C9A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heading 1" w:qFormat="1"/>
    <w:lsdException w:name="heading 2" w:uiPriority="1" w:qFormat="1"/>
    <w:lsdException w:name="heading 3" w:qFormat="1"/>
    <w:lsdException w:name="index 1" w:semiHidden="1" w:unhideWhenUsed="1"/>
    <w:lsdException w:name="index 2" w:semiHidden="1"/>
    <w:lsdException w:name="index 3" w:semiHidden="1"/>
    <w:lsdException w:name="index 4" w:semiHidden="1"/>
    <w:lsdException w:name="index 5" w:semiHidden="1"/>
    <w:lsdException w:name="index 6" w:semiHidden="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qFormat="1"/>
    <w:lsdException w:name="annotation text" w:semiHidden="1" w:uiPriority="99" w:unhideWhenUsed="1" w:qFormat="1"/>
    <w:lsdException w:name="header" w:semiHidden="1" w:unhideWhenUsed="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qFormat="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List Number 5" w:semiHidden="1"/>
    <w:lsdException w:name="Title" w:semiHidden="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lsdException w:name="Block Text" w:semiHidden="1"/>
    <w:lsdException w:name="Hyperlink" w:uiPriority="99" w:qFormat="1"/>
    <w:lsdException w:name="Strong" w:semiHidden="1"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semiHidden="1" w:uiPriority="34" w:qFormat="1"/>
    <w:lsdException w:name="Quote" w:semiHidden="1"/>
    <w:lsdException w:name="Intense Quote"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semiHidden/>
    <w:qFormat/>
    <w:rsid w:val="004B2960"/>
    <w:pPr>
      <w:spacing w:after="240" w:line="240" w:lineRule="atLeast"/>
    </w:pPr>
    <w:rPr>
      <w:rFonts w:ascii="Arial" w:hAnsi="Arial"/>
      <w:sz w:val="20"/>
    </w:rPr>
  </w:style>
  <w:style w:type="paragraph" w:styleId="Heading1">
    <w:name w:val="heading 1"/>
    <w:basedOn w:val="Normal"/>
    <w:next w:val="Normal"/>
    <w:link w:val="Heading1Char"/>
    <w:uiPriority w:val="1"/>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Paragraph"/>
    <w:link w:val="Heading2Char"/>
    <w:uiPriority w:val="1"/>
    <w:qFormat/>
    <w:rsid w:val="00711ACA"/>
    <w:pPr>
      <w:keepNext/>
      <w:spacing w:before="320" w:after="60" w:line="280" w:lineRule="atLeast"/>
      <w:outlineLvl w:val="1"/>
    </w:pPr>
    <w:rPr>
      <w:rFonts w:cs="Arial"/>
      <w:b/>
      <w:bCs/>
      <w:iCs/>
      <w:sz w:val="28"/>
      <w:szCs w:val="28"/>
    </w:rPr>
  </w:style>
  <w:style w:type="paragraph" w:styleId="Heading3">
    <w:name w:val="heading 3"/>
    <w:basedOn w:val="Normal"/>
    <w:next w:val="Normal"/>
    <w:link w:val="Heading3Char"/>
    <w:uiPriority w:val="2"/>
    <w:qFormat/>
    <w:rsid w:val="00711ACA"/>
    <w:pPr>
      <w:keepNext/>
      <w:spacing w:before="60" w:after="60" w:line="280" w:lineRule="atLeast"/>
      <w:outlineLvl w:val="2"/>
    </w:pPr>
    <w:rPr>
      <w:rFonts w:cs="Arial"/>
      <w:b/>
      <w:bCs/>
      <w:sz w:val="22"/>
      <w:szCs w:val="26"/>
    </w:rPr>
  </w:style>
  <w:style w:type="paragraph" w:styleId="Heading4">
    <w:name w:val="heading 4"/>
    <w:basedOn w:val="BodySubHeader"/>
    <w:next w:val="Normal"/>
    <w:uiPriority w:val="2"/>
    <w:qFormat/>
    <w:rsid w:val="00711ACA"/>
    <w:pPr>
      <w:spacing w:line="280" w:lineRule="atLeast"/>
      <w:outlineLvl w:val="3"/>
    </w:pPr>
    <w:rPr>
      <w:rFonts w:cs="Arial"/>
      <w:sz w:val="22"/>
    </w:rPr>
  </w:style>
  <w:style w:type="paragraph" w:styleId="Heading5">
    <w:name w:val="heading 5"/>
    <w:basedOn w:val="Normal"/>
    <w:next w:val="Normal"/>
    <w:semiHidden/>
    <w:qFormat/>
    <w:rsid w:val="00AD5436"/>
    <w:pPr>
      <w:numPr>
        <w:ilvl w:val="4"/>
        <w:numId w:val="5"/>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semiHidden/>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semiHidden/>
    <w:rsid w:val="00EC2B68"/>
    <w:rPr>
      <w:rFonts w:ascii="Arial" w:hAnsi="Arial"/>
      <w:color w:val="323232"/>
      <w:sz w:val="16"/>
    </w:rPr>
  </w:style>
  <w:style w:type="paragraph" w:customStyle="1" w:styleId="Reporttitle">
    <w:name w:val="Report title"/>
    <w:basedOn w:val="Normal"/>
    <w:uiPriority w:val="19"/>
    <w:qFormat/>
    <w:rsid w:val="00A51D1A"/>
    <w:pPr>
      <w:spacing w:after="0" w:line="560" w:lineRule="exact"/>
    </w:pPr>
    <w:rPr>
      <w:b/>
      <w:spacing w:val="-28"/>
      <w:sz w:val="53"/>
    </w:rPr>
  </w:style>
  <w:style w:type="paragraph" w:customStyle="1" w:styleId="Reportsubtitle">
    <w:name w:val="Report subtitle"/>
    <w:basedOn w:val="Normal"/>
    <w:uiPriority w:val="20"/>
    <w:qFormat/>
    <w:rsid w:val="00950159"/>
    <w:pPr>
      <w:spacing w:after="200" w:line="560" w:lineRule="exact"/>
    </w:pPr>
    <w:rPr>
      <w:color w:val="323232"/>
      <w:spacing w:val="-28"/>
      <w:sz w:val="53"/>
    </w:rPr>
  </w:style>
  <w:style w:type="table" w:styleId="TableGrid">
    <w:name w:val="Table Grid"/>
    <w:basedOn w:val="TableNormal"/>
    <w:uiPriority w:val="3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uiPriority w:val="21"/>
    <w:qFormat/>
    <w:rsid w:val="00950159"/>
    <w:pPr>
      <w:spacing w:after="1200" w:line="240" w:lineRule="auto"/>
    </w:pPr>
    <w:rPr>
      <w:caps/>
      <w:spacing w:val="-10"/>
      <w:sz w:val="20"/>
    </w:rPr>
  </w:style>
  <w:style w:type="paragraph" w:customStyle="1" w:styleId="Tableheaderrow">
    <w:name w:val="Table header row"/>
    <w:basedOn w:val="Normal"/>
    <w:uiPriority w:val="14"/>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semiHidden/>
    <w:qFormat/>
    <w:rsid w:val="00950159"/>
    <w:pPr>
      <w:spacing w:before="1200" w:line="240" w:lineRule="auto"/>
    </w:pPr>
    <w:rPr>
      <w:b/>
      <w:color w:val="323232"/>
      <w:spacing w:val="-28"/>
      <w:sz w:val="53"/>
    </w:rPr>
  </w:style>
  <w:style w:type="paragraph" w:styleId="Caption">
    <w:name w:val="caption"/>
    <w:aliases w:val="Caption table"/>
    <w:basedOn w:val="Normal"/>
    <w:next w:val="Normal"/>
    <w:uiPriority w:val="35"/>
    <w:qFormat/>
    <w:rsid w:val="00E8152A"/>
    <w:pPr>
      <w:numPr>
        <w:numId w:val="9"/>
      </w:numPr>
      <w:spacing w:after="0"/>
    </w:pPr>
    <w:rPr>
      <w:b/>
      <w:bCs/>
      <w:color w:val="323232"/>
      <w:szCs w:val="20"/>
    </w:rPr>
  </w:style>
  <w:style w:type="paragraph" w:customStyle="1" w:styleId="BodySubHeader">
    <w:name w:val="BodySubHeader"/>
    <w:basedOn w:val="Normal"/>
    <w:next w:val="Normal"/>
    <w:semiHidden/>
    <w:rsid w:val="00146CE6"/>
    <w:pPr>
      <w:spacing w:before="240" w:after="0"/>
    </w:pPr>
    <w:rPr>
      <w:b/>
      <w:i/>
    </w:rPr>
  </w:style>
  <w:style w:type="paragraph" w:styleId="ListBullet">
    <w:name w:val="List Bullet"/>
    <w:basedOn w:val="Normal"/>
    <w:qFormat/>
    <w:rsid w:val="001C6AEE"/>
    <w:pPr>
      <w:numPr>
        <w:numId w:val="1"/>
      </w:numPr>
      <w:spacing w:after="80"/>
    </w:pPr>
  </w:style>
  <w:style w:type="paragraph" w:styleId="ListBullet2">
    <w:name w:val="List Bullet 2"/>
    <w:basedOn w:val="Normal"/>
    <w:semiHidden/>
    <w:qFormat/>
    <w:rsid w:val="001C6AEE"/>
    <w:pPr>
      <w:numPr>
        <w:numId w:val="2"/>
      </w:numPr>
      <w:spacing w:after="80"/>
    </w:pPr>
  </w:style>
  <w:style w:type="paragraph" w:styleId="ListNumber">
    <w:name w:val="List Number"/>
    <w:basedOn w:val="Normal"/>
    <w:semiHidden/>
    <w:qFormat/>
    <w:rsid w:val="004B2960"/>
    <w:pPr>
      <w:numPr>
        <w:numId w:val="3"/>
      </w:numPr>
      <w:spacing w:after="80" w:line="260" w:lineRule="atLeast"/>
      <w:ind w:left="284" w:hanging="284"/>
    </w:pPr>
    <w:rPr>
      <w:sz w:val="22"/>
    </w:rPr>
  </w:style>
  <w:style w:type="paragraph" w:styleId="ListNumber2">
    <w:name w:val="List Number 2"/>
    <w:basedOn w:val="Normal"/>
    <w:semiHidden/>
    <w:qFormat/>
    <w:rsid w:val="004A70D6"/>
    <w:pPr>
      <w:numPr>
        <w:numId w:val="4"/>
      </w:numPr>
      <w:spacing w:after="80"/>
      <w:ind w:left="828" w:hanging="357"/>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uiPriority w:val="22"/>
    <w:qFormat/>
    <w:rsid w:val="00E66601"/>
    <w:pPr>
      <w:pageBreakBefore/>
      <w:spacing w:after="360" w:line="550" w:lineRule="exact"/>
    </w:pPr>
    <w:rPr>
      <w:b/>
      <w:color w:val="323232"/>
      <w:spacing w:val="-18"/>
      <w:sz w:val="53"/>
    </w:rPr>
  </w:style>
  <w:style w:type="character" w:styleId="PageNumber0">
    <w:name w:val="page number"/>
    <w:basedOn w:val="DefaultParagraphFont"/>
    <w:semiHidden/>
    <w:rsid w:val="00542377"/>
  </w:style>
  <w:style w:type="paragraph" w:styleId="ListContinue5">
    <w:name w:val="List Continue 5"/>
    <w:basedOn w:val="Normal"/>
    <w:semiHidden/>
    <w:rsid w:val="00EC2B68"/>
    <w:pPr>
      <w:spacing w:after="120"/>
      <w:ind w:left="1415"/>
      <w:contextualSpacing/>
    </w:pPr>
  </w:style>
  <w:style w:type="paragraph" w:customStyle="1" w:styleId="Paragraphbeforelist">
    <w:name w:val="Paragraph before list"/>
    <w:basedOn w:val="Paragraph"/>
    <w:uiPriority w:val="4"/>
    <w:qFormat/>
    <w:rsid w:val="00C87E8A"/>
    <w:pPr>
      <w:spacing w:after="80"/>
    </w:pPr>
  </w:style>
  <w:style w:type="paragraph" w:styleId="TOC1">
    <w:name w:val="toc 1"/>
    <w:basedOn w:val="Normal"/>
    <w:next w:val="Normal"/>
    <w:uiPriority w:val="39"/>
    <w:qFormat/>
    <w:rsid w:val="00D60571"/>
    <w:pPr>
      <w:tabs>
        <w:tab w:val="right" w:pos="9072"/>
      </w:tabs>
      <w:spacing w:before="280" w:after="80" w:line="320" w:lineRule="exact"/>
    </w:pPr>
    <w:rPr>
      <w:b/>
      <w:noProof/>
      <w:spacing w:val="-14"/>
      <w:sz w:val="28"/>
    </w:rPr>
  </w:style>
  <w:style w:type="paragraph" w:styleId="TOC2">
    <w:name w:val="toc 2"/>
    <w:basedOn w:val="Normal"/>
    <w:next w:val="Normal"/>
    <w:uiPriority w:val="39"/>
    <w:qFormat/>
    <w:rsid w:val="00D60571"/>
    <w:pPr>
      <w:tabs>
        <w:tab w:val="right" w:pos="9072"/>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D60571"/>
    <w:pPr>
      <w:tabs>
        <w:tab w:val="right" w:pos="9072"/>
      </w:tabs>
      <w:spacing w:after="80" w:line="240" w:lineRule="auto"/>
    </w:pPr>
    <w:rPr>
      <w:noProof/>
      <w:sz w:val="22"/>
      <w:szCs w:val="22"/>
    </w:rPr>
  </w:style>
  <w:style w:type="character" w:styleId="Hyperlink">
    <w:name w:val="Hyperlink"/>
    <w:aliases w:val="CEO_Hyperlink"/>
    <w:basedOn w:val="DefaultParagraphFont"/>
    <w:uiPriority w:val="99"/>
    <w:qFormat/>
    <w:rsid w:val="00C35CCE"/>
    <w:rPr>
      <w:color w:val="0000FF"/>
      <w:u w:val="single" w:color="0000FF"/>
    </w:rPr>
  </w:style>
  <w:style w:type="character" w:styleId="FootnoteReference">
    <w:name w:val="footnote reference"/>
    <w:aliases w:val="Appel note de bas de p,Appel note de bas de p + 11 pt,Italic,Appel note de bas de p1,Appel note de bas de p2,Appel note de bas de p3,Footnote Reference/,Footnote,Style 12,(NECG) Footnote Reference,Style 124,o,fr,Style 3,Style 13,FR"/>
    <w:basedOn w:val="DefaultParagraphFont"/>
    <w:uiPriority w:val="99"/>
    <w:qFormat/>
    <w:rsid w:val="00566AB4"/>
    <w:rPr>
      <w:rFonts w:ascii="Arial" w:hAnsi="Arial"/>
      <w:vertAlign w:val="superscript"/>
    </w:rPr>
  </w:style>
  <w:style w:type="paragraph" w:styleId="FootnoteText">
    <w:name w:val="footnote text"/>
    <w:aliases w:val="Footnote text,ACMA Footnote Text,footnote text,Footnote Text Char1,Footnote Text Char Char,Footnote Text Char1 Char Char,Footnote Text Char Char Char Char,Footnote Text Char1 Char Char Char Char,Footnote Text Char Char Char Char Char Char"/>
    <w:basedOn w:val="Normal"/>
    <w:link w:val="FootnoteTextChar"/>
    <w:uiPriority w:val="99"/>
    <w:qFormat/>
    <w:rsid w:val="00A17B1B"/>
    <w:pPr>
      <w:spacing w:after="0" w:line="200" w:lineRule="atLeast"/>
    </w:pPr>
    <w:rPr>
      <w:sz w:val="16"/>
      <w:szCs w:val="16"/>
    </w:rPr>
  </w:style>
  <w:style w:type="paragraph" w:customStyle="1" w:styleId="TableBody">
    <w:name w:val="Table Body"/>
    <w:basedOn w:val="Normal"/>
    <w:uiPriority w:val="15"/>
    <w:qFormat/>
    <w:rsid w:val="00774FDB"/>
    <w:pPr>
      <w:spacing w:after="0" w:line="240" w:lineRule="auto"/>
    </w:pPr>
  </w:style>
  <w:style w:type="character" w:styleId="CommentReference">
    <w:name w:val="annotation reference"/>
    <w:basedOn w:val="DefaultParagraphFont"/>
    <w:uiPriority w:val="99"/>
    <w:rsid w:val="00EE7F79"/>
    <w:rPr>
      <w:sz w:val="16"/>
      <w:szCs w:val="16"/>
    </w:rPr>
  </w:style>
  <w:style w:type="paragraph" w:styleId="CommentText">
    <w:name w:val="annotation text"/>
    <w:basedOn w:val="Normal"/>
    <w:link w:val="CommentTextChar"/>
    <w:uiPriority w:val="99"/>
    <w:qFormat/>
    <w:rsid w:val="00EE7F79"/>
    <w:pPr>
      <w:spacing w:line="240" w:lineRule="auto"/>
    </w:pPr>
    <w:rPr>
      <w:szCs w:val="20"/>
    </w:rPr>
  </w:style>
  <w:style w:type="character" w:customStyle="1" w:styleId="CommentTextChar">
    <w:name w:val="Comment Text Char"/>
    <w:basedOn w:val="DefaultParagraphFont"/>
    <w:link w:val="CommentText"/>
    <w:uiPriority w:val="99"/>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semiHidden/>
    <w:unhideWhenUsed/>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paragraph" w:customStyle="1" w:styleId="Bulletlevel1">
    <w:name w:val="Bullet level 1"/>
    <w:basedOn w:val="ListBullet"/>
    <w:uiPriority w:val="5"/>
    <w:qFormat/>
    <w:rsid w:val="00711ACA"/>
    <w:pPr>
      <w:numPr>
        <w:numId w:val="13"/>
      </w:numPr>
      <w:spacing w:line="280" w:lineRule="atLeast"/>
      <w:ind w:left="284" w:hanging="284"/>
    </w:pPr>
    <w:rPr>
      <w:rFonts w:cs="Arial"/>
      <w:sz w:val="22"/>
    </w:rPr>
  </w:style>
  <w:style w:type="paragraph" w:customStyle="1" w:styleId="ACMACorporateAddressHeader">
    <w:name w:val="ACMA_CorporateAddressHeader"/>
    <w:basedOn w:val="Normal"/>
    <w:next w:val="ACMACorporateAddresses"/>
    <w:semiHidden/>
    <w:unhideWhenUsed/>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semiHidden/>
    <w:unhideWhenUsed/>
    <w:qFormat/>
    <w:rsid w:val="00FC07B9"/>
    <w:pPr>
      <w:spacing w:before="0" w:after="120"/>
    </w:pPr>
    <w:rPr>
      <w:b w:val="0"/>
    </w:rPr>
  </w:style>
  <w:style w:type="paragraph" w:customStyle="1" w:styleId="ACMACopyrightHeader">
    <w:name w:val="ACMA_CopyrightHeader"/>
    <w:basedOn w:val="ACMACorporateAddressHeader"/>
    <w:semiHidden/>
    <w:unhideWhenUsed/>
    <w:qFormat/>
    <w:rsid w:val="00950159"/>
    <w:pPr>
      <w:spacing w:before="3000"/>
    </w:pPr>
  </w:style>
  <w:style w:type="paragraph" w:customStyle="1" w:styleId="ACMACClogo">
    <w:name w:val="ACMA_CClogo"/>
    <w:semiHidden/>
    <w:unhideWhenUsed/>
    <w:qFormat/>
    <w:rsid w:val="00623FF9"/>
    <w:pPr>
      <w:spacing w:before="160" w:after="120"/>
    </w:pPr>
    <w:rPr>
      <w:rFonts w:ascii="Arial" w:hAnsi="Arial"/>
      <w:b/>
      <w:sz w:val="13"/>
    </w:rPr>
  </w:style>
  <w:style w:type="paragraph" w:customStyle="1" w:styleId="ListBulletLast">
    <w:name w:val="List Bullet Last"/>
    <w:basedOn w:val="ListBullet"/>
    <w:semiHidden/>
    <w:qFormat/>
    <w:rsid w:val="00146CE6"/>
    <w:pPr>
      <w:spacing w:after="240"/>
    </w:pPr>
    <w:rPr>
      <w:rFonts w:cs="Arial"/>
    </w:rPr>
  </w:style>
  <w:style w:type="paragraph" w:customStyle="1" w:styleId="ListNumberLast">
    <w:name w:val="List Number Last"/>
    <w:basedOn w:val="ListNumber"/>
    <w:semiHidden/>
    <w:qFormat/>
    <w:rsid w:val="00C16198"/>
    <w:pPr>
      <w:spacing w:after="240"/>
      <w:ind w:left="357" w:hanging="357"/>
    </w:pPr>
    <w:rPr>
      <w:rFonts w:cs="Arial"/>
    </w:rPr>
  </w:style>
  <w:style w:type="paragraph" w:customStyle="1" w:styleId="ACMATableHeader">
    <w:name w:val="ACMA_TableHeader"/>
    <w:semiHidden/>
    <w:qFormat/>
    <w:rsid w:val="003F10EE"/>
    <w:pPr>
      <w:numPr>
        <w:numId w:val="7"/>
      </w:numPr>
      <w:spacing w:after="160"/>
    </w:pPr>
    <w:rPr>
      <w:rFonts w:ascii="Arial" w:hAnsi="Arial"/>
      <w:b/>
      <w:bCs/>
      <w:color w:val="323232"/>
      <w:sz w:val="20"/>
      <w:szCs w:val="20"/>
    </w:rPr>
  </w:style>
  <w:style w:type="paragraph" w:customStyle="1" w:styleId="ACMANotes">
    <w:name w:val="ACMA_Notes"/>
    <w:semiHidden/>
    <w:qFormat/>
    <w:rsid w:val="00FF206E"/>
    <w:pPr>
      <w:spacing w:before="80"/>
    </w:pPr>
    <w:rPr>
      <w:rFonts w:ascii="Arial" w:hAnsi="Arial" w:cs="Arial"/>
      <w:i/>
      <w:sz w:val="16"/>
    </w:rPr>
  </w:style>
  <w:style w:type="paragraph" w:customStyle="1" w:styleId="Numberlistlevel1">
    <w:name w:val="Number list level 1"/>
    <w:basedOn w:val="ListNumber"/>
    <w:uiPriority w:val="9"/>
    <w:qFormat/>
    <w:rsid w:val="00711ACA"/>
    <w:pPr>
      <w:spacing w:line="280" w:lineRule="atLeast"/>
    </w:pPr>
  </w:style>
  <w:style w:type="character" w:styleId="Emphasis">
    <w:name w:val="Emphasis"/>
    <w:basedOn w:val="DefaultParagraphFont"/>
    <w:semiHidden/>
    <w:qFormat/>
    <w:rsid w:val="006D576C"/>
    <w:rPr>
      <w:i/>
      <w:iCs/>
    </w:rPr>
  </w:style>
  <w:style w:type="paragraph" w:customStyle="1" w:styleId="ListNumber2Last">
    <w:name w:val="List Number 2 Last"/>
    <w:basedOn w:val="ListNumber2"/>
    <w:semiHidden/>
    <w:qFormat/>
    <w:rsid w:val="00E35707"/>
    <w:pPr>
      <w:spacing w:after="240"/>
      <w:ind w:left="907"/>
    </w:pPr>
    <w:rPr>
      <w:rFonts w:cs="Arial"/>
    </w:rPr>
  </w:style>
  <w:style w:type="paragraph" w:customStyle="1" w:styleId="Spaceaftertable">
    <w:name w:val="Space after table"/>
    <w:basedOn w:val="Normal"/>
    <w:uiPriority w:val="99"/>
    <w:qFormat/>
    <w:rsid w:val="00C2083D"/>
    <w:rPr>
      <w:rFonts w:cs="Arial"/>
    </w:rPr>
  </w:style>
  <w:style w:type="paragraph" w:customStyle="1" w:styleId="FooterLeft">
    <w:name w:val="Footer Left"/>
    <w:basedOn w:val="Footer"/>
    <w:semiHidden/>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qFormat/>
    <w:rsid w:val="003F10EE"/>
    <w:pPr>
      <w:numPr>
        <w:numId w:val="6"/>
      </w:numPr>
      <w:spacing w:after="160"/>
    </w:pPr>
    <w:rPr>
      <w:rFonts w:ascii="Arial" w:hAnsi="Arial"/>
      <w:b/>
      <w:bCs/>
      <w:color w:val="323232"/>
      <w:sz w:val="20"/>
      <w:szCs w:val="20"/>
    </w:rPr>
  </w:style>
  <w:style w:type="paragraph" w:customStyle="1" w:styleId="Captionfigure">
    <w:name w:val="Caption figure"/>
    <w:basedOn w:val="Caption"/>
    <w:semiHidden/>
    <w:qFormat/>
    <w:rsid w:val="00E8152A"/>
    <w:pPr>
      <w:keepNext/>
      <w:numPr>
        <w:numId w:val="8"/>
      </w:numPr>
    </w:pPr>
    <w:rPr>
      <w:rFonts w:cs="Arial"/>
    </w:rPr>
  </w:style>
  <w:style w:type="paragraph" w:customStyle="1" w:styleId="GridTable31">
    <w:name w:val="Grid Table 31"/>
    <w:basedOn w:val="Normal"/>
    <w:semiHidden/>
    <w:qFormat/>
    <w:rsid w:val="00971914"/>
    <w:pPr>
      <w:spacing w:after="0" w:line="240" w:lineRule="auto"/>
    </w:pPr>
    <w:rPr>
      <w:b/>
      <w:color w:val="4D4D4F"/>
      <w:spacing w:val="-28"/>
      <w:sz w:val="53"/>
    </w:rPr>
  </w:style>
  <w:style w:type="character" w:customStyle="1" w:styleId="HeaderChar">
    <w:name w:val="Header Char"/>
    <w:link w:val="Header"/>
    <w:semiHidden/>
    <w:rsid w:val="00971914"/>
    <w:rPr>
      <w:rFonts w:ascii="Arial" w:hAnsi="Arial"/>
      <w:sz w:val="16"/>
    </w:rPr>
  </w:style>
  <w:style w:type="character" w:customStyle="1" w:styleId="Heading1Char">
    <w:name w:val="Heading 1 Char"/>
    <w:basedOn w:val="DefaultParagraphFont"/>
    <w:link w:val="Heading1"/>
    <w:uiPriority w:val="1"/>
    <w:rsid w:val="00CE0BB5"/>
    <w:rPr>
      <w:rFonts w:ascii="Arial" w:hAnsi="Arial" w:cs="Arial"/>
      <w:bCs/>
      <w:color w:val="323232"/>
      <w:kern w:val="32"/>
      <w:sz w:val="53"/>
      <w:szCs w:val="32"/>
    </w:rPr>
  </w:style>
  <w:style w:type="character" w:customStyle="1" w:styleId="Heading2Char">
    <w:name w:val="Heading 2 Char"/>
    <w:basedOn w:val="DefaultParagraphFont"/>
    <w:link w:val="Heading2"/>
    <w:uiPriority w:val="1"/>
    <w:rsid w:val="00711ACA"/>
    <w:rPr>
      <w:rFonts w:ascii="Arial" w:hAnsi="Arial" w:cs="Arial"/>
      <w:b/>
      <w:bCs/>
      <w:iCs/>
      <w:sz w:val="28"/>
      <w:szCs w:val="28"/>
    </w:rPr>
  </w:style>
  <w:style w:type="character" w:styleId="UnresolvedMention">
    <w:name w:val="Unresolved Mention"/>
    <w:basedOn w:val="DefaultParagraphFont"/>
    <w:uiPriority w:val="99"/>
    <w:semiHidden/>
    <w:unhideWhenUsed/>
    <w:rsid w:val="006B52DE"/>
    <w:rPr>
      <w:color w:val="605E5C"/>
      <w:shd w:val="clear" w:color="auto" w:fill="E1DFDD"/>
    </w:rPr>
  </w:style>
  <w:style w:type="character" w:customStyle="1" w:styleId="Heading3Char">
    <w:name w:val="Heading 3 Char"/>
    <w:basedOn w:val="DefaultParagraphFont"/>
    <w:link w:val="Heading3"/>
    <w:uiPriority w:val="2"/>
    <w:rsid w:val="00711ACA"/>
    <w:rPr>
      <w:rFonts w:ascii="Arial" w:hAnsi="Arial" w:cs="Arial"/>
      <w:b/>
      <w:bCs/>
      <w:sz w:val="22"/>
      <w:szCs w:val="26"/>
    </w:rPr>
  </w:style>
  <w:style w:type="paragraph" w:customStyle="1" w:styleId="Paragraph">
    <w:name w:val="Paragraph"/>
    <w:basedOn w:val="Normal"/>
    <w:qFormat/>
    <w:rsid w:val="00711ACA"/>
    <w:pPr>
      <w:spacing w:line="280" w:lineRule="atLeast"/>
    </w:pPr>
    <w:rPr>
      <w:rFonts w:cs="Arial"/>
      <w:sz w:val="22"/>
    </w:rPr>
  </w:style>
  <w:style w:type="paragraph" w:customStyle="1" w:styleId="Bulletlevel2">
    <w:name w:val="Bullet level 2"/>
    <w:basedOn w:val="ListBullet2"/>
    <w:uiPriority w:val="7"/>
    <w:qFormat/>
    <w:rsid w:val="00711ACA"/>
    <w:pPr>
      <w:numPr>
        <w:numId w:val="15"/>
      </w:numPr>
      <w:tabs>
        <w:tab w:val="left" w:pos="295"/>
      </w:tabs>
      <w:spacing w:line="280" w:lineRule="atLeast"/>
      <w:ind w:left="568" w:hanging="284"/>
    </w:pPr>
    <w:rPr>
      <w:rFonts w:cs="Arial"/>
      <w:sz w:val="22"/>
    </w:rPr>
  </w:style>
  <w:style w:type="paragraph" w:customStyle="1" w:styleId="Bulletlevel1last">
    <w:name w:val="Bullet level 1 last"/>
    <w:basedOn w:val="ListBulletLast"/>
    <w:uiPriority w:val="6"/>
    <w:qFormat/>
    <w:rsid w:val="00711ACA"/>
    <w:pPr>
      <w:numPr>
        <w:numId w:val="14"/>
      </w:numPr>
      <w:spacing w:line="280" w:lineRule="atLeast"/>
      <w:ind w:left="284" w:hanging="284"/>
    </w:pPr>
    <w:rPr>
      <w:sz w:val="22"/>
    </w:rPr>
  </w:style>
  <w:style w:type="paragraph" w:customStyle="1" w:styleId="Numberlistlevel2">
    <w:name w:val="Number list level 2"/>
    <w:basedOn w:val="ListNumber2"/>
    <w:uiPriority w:val="11"/>
    <w:qFormat/>
    <w:rsid w:val="00711ACA"/>
    <w:pPr>
      <w:spacing w:line="280" w:lineRule="atLeast"/>
      <w:ind w:left="738" w:hanging="284"/>
    </w:pPr>
    <w:rPr>
      <w:sz w:val="22"/>
    </w:rPr>
  </w:style>
  <w:style w:type="paragraph" w:customStyle="1" w:styleId="Numberlistlast">
    <w:name w:val="Number list last"/>
    <w:basedOn w:val="ListNumberLast"/>
    <w:uiPriority w:val="10"/>
    <w:qFormat/>
    <w:rsid w:val="00711ACA"/>
    <w:pPr>
      <w:spacing w:line="280" w:lineRule="atLeast"/>
      <w:ind w:left="284" w:hanging="284"/>
    </w:pPr>
  </w:style>
  <w:style w:type="paragraph" w:customStyle="1" w:styleId="Numberlistlevel2last">
    <w:name w:val="Number list level 2 last"/>
    <w:basedOn w:val="Numberlistlevel2"/>
    <w:uiPriority w:val="12"/>
    <w:qFormat/>
    <w:rsid w:val="004A70D6"/>
    <w:pPr>
      <w:spacing w:after="240"/>
    </w:pPr>
  </w:style>
  <w:style w:type="paragraph" w:customStyle="1" w:styleId="Bulletlevel2last">
    <w:name w:val="Bullet level 2 last"/>
    <w:basedOn w:val="Bulletlevel2"/>
    <w:uiPriority w:val="8"/>
    <w:qFormat/>
    <w:rsid w:val="005A62E5"/>
    <w:pPr>
      <w:numPr>
        <w:numId w:val="16"/>
      </w:numPr>
      <w:spacing w:after="240"/>
      <w:ind w:left="568" w:hanging="284"/>
    </w:pPr>
  </w:style>
  <w:style w:type="table" w:customStyle="1" w:styleId="ACMAtablestyle">
    <w:name w:val="ACMA table style"/>
    <w:basedOn w:val="TableNormal"/>
    <w:uiPriority w:val="99"/>
    <w:rsid w:val="00F04366"/>
    <w:rPr>
      <w:rFonts w:ascii="Arial" w:hAnsi="Arial"/>
      <w:sz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85" w:type="dxa"/>
        <w:left w:w="57" w:type="dxa"/>
        <w:bottom w:w="85" w:type="dxa"/>
        <w:right w:w="57" w:type="dxa"/>
      </w:tblCellMar>
    </w:tblPr>
    <w:tblStylePr w:type="firstRow">
      <w:rPr>
        <w:rFonts w:ascii="Arial" w:hAnsi="Arial"/>
        <w:b w:val="0"/>
        <w:color w:val="FFFFFF" w:themeColor="background1"/>
        <w:sz w:val="20"/>
      </w:rPr>
      <w:tblPr/>
      <w:trPr>
        <w:tblHeader/>
      </w:trPr>
      <w:tcPr>
        <w:tcBorders>
          <w:top w:val="single" w:sz="4" w:space="0" w:color="auto"/>
          <w:left w:val="single" w:sz="4" w:space="0" w:color="auto"/>
          <w:bottom w:val="single" w:sz="4" w:space="0" w:color="auto"/>
          <w:right w:val="single" w:sz="4" w:space="0" w:color="auto"/>
          <w:insideH w:val="nil"/>
          <w:insideV w:val="nil"/>
        </w:tcBorders>
        <w:shd w:val="clear" w:color="auto" w:fill="404040" w:themeFill="text1" w:themeFillTint="BF"/>
      </w:tcPr>
    </w:tblStylePr>
    <w:tblStylePr w:type="band1Horz">
      <w:rPr>
        <w:rFonts w:ascii="Arial" w:hAnsi="Arial"/>
        <w:sz w:val="20"/>
      </w:r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tcPr>
    </w:tblStylePr>
    <w:tblStylePr w:type="band2Horz">
      <w:rPr>
        <w:rFonts w:ascii="Arial" w:hAnsi="Arial"/>
        <w:sz w:val="20"/>
      </w:rPr>
      <w:tblPr/>
      <w:tcPr>
        <w:shd w:val="clear" w:color="auto" w:fill="F2F2F2" w:themeFill="background1" w:themeFillShade="F2"/>
      </w:tcPr>
    </w:tblStylePr>
  </w:style>
  <w:style w:type="paragraph" w:customStyle="1" w:styleId="Tableheading">
    <w:name w:val="Table heading"/>
    <w:basedOn w:val="ACMATableHeader"/>
    <w:uiPriority w:val="13"/>
    <w:qFormat/>
    <w:rsid w:val="00711ACA"/>
    <w:pPr>
      <w:keepNext/>
      <w:spacing w:line="280" w:lineRule="atLeast"/>
    </w:pPr>
    <w:rPr>
      <w:sz w:val="22"/>
    </w:rPr>
  </w:style>
  <w:style w:type="paragraph" w:customStyle="1" w:styleId="Tableorfigurenote">
    <w:name w:val="Table or figure note"/>
    <w:basedOn w:val="ACMANotes"/>
    <w:uiPriority w:val="17"/>
    <w:qFormat/>
    <w:rsid w:val="00930510"/>
    <w:pPr>
      <w:spacing w:after="240"/>
    </w:pPr>
  </w:style>
  <w:style w:type="paragraph" w:customStyle="1" w:styleId="Figureheading">
    <w:name w:val="Figure heading"/>
    <w:basedOn w:val="ACMAFigureHeader"/>
    <w:uiPriority w:val="16"/>
    <w:qFormat/>
    <w:rsid w:val="00711ACA"/>
    <w:pPr>
      <w:keepNext/>
      <w:spacing w:line="280" w:lineRule="atLeast"/>
    </w:pPr>
    <w:rPr>
      <w:sz w:val="22"/>
    </w:rPr>
  </w:style>
  <w:style w:type="paragraph" w:customStyle="1" w:styleId="Tableorfigurenotemultiple">
    <w:name w:val="Table or figure note multiple"/>
    <w:basedOn w:val="Tableorfigurenote"/>
    <w:uiPriority w:val="18"/>
    <w:qFormat/>
    <w:rsid w:val="00930510"/>
    <w:pPr>
      <w:spacing w:after="80"/>
    </w:pPr>
  </w:style>
  <w:style w:type="paragraph" w:customStyle="1" w:styleId="Protectivemarking">
    <w:name w:val="Protective marking"/>
    <w:basedOn w:val="Normal"/>
    <w:uiPriority w:val="99"/>
    <w:qFormat/>
    <w:rsid w:val="007E3375"/>
    <w:pPr>
      <w:tabs>
        <w:tab w:val="left" w:pos="720"/>
      </w:tabs>
      <w:spacing w:after="0" w:line="240" w:lineRule="auto"/>
      <w:jc w:val="center"/>
    </w:pPr>
    <w:rPr>
      <w:rFonts w:cs="Arial"/>
      <w:b/>
      <w:bCs/>
      <w:color w:val="FF0000"/>
      <w:sz w:val="32"/>
      <w:lang w:eastAsia="en-US"/>
    </w:rPr>
  </w:style>
  <w:style w:type="paragraph" w:styleId="BalloonText">
    <w:name w:val="Balloon Text"/>
    <w:basedOn w:val="Normal"/>
    <w:link w:val="BalloonTextChar"/>
    <w:semiHidden/>
    <w:unhideWhenUsed/>
    <w:rsid w:val="004511C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semiHidden/>
    <w:rsid w:val="004511C5"/>
    <w:rPr>
      <w:rFonts w:ascii="Segoe UI" w:hAnsi="Segoe UI" w:cs="Segoe UI"/>
      <w:sz w:val="18"/>
      <w:szCs w:val="18"/>
    </w:rPr>
  </w:style>
  <w:style w:type="paragraph" w:styleId="Revision">
    <w:name w:val="Revision"/>
    <w:hidden/>
    <w:semiHidden/>
    <w:rsid w:val="004511C5"/>
    <w:rPr>
      <w:rFonts w:ascii="Arial" w:hAnsi="Arial"/>
      <w:sz w:val="20"/>
    </w:rPr>
  </w:style>
  <w:style w:type="paragraph" w:customStyle="1" w:styleId="Executivesummarysubheading">
    <w:name w:val="Executive summary subheading"/>
    <w:basedOn w:val="Heading4"/>
    <w:uiPriority w:val="3"/>
    <w:qFormat/>
    <w:rsid w:val="00711ACA"/>
    <w:pPr>
      <w:spacing w:after="80"/>
    </w:pPr>
  </w:style>
  <w:style w:type="character" w:customStyle="1" w:styleId="FootnoteTextChar">
    <w:name w:val="Footnote Text Char"/>
    <w:aliases w:val="Footnote text Char,ACMA Footnote Text Char,footnote text Char,Footnote Text Char1 Char,Footnote Text Char Char Char,Footnote Text Char1 Char Char Char,Footnote Text Char Char Char Char Char,Footnote Text Char1 Char Char Char Char Char"/>
    <w:basedOn w:val="DefaultParagraphFont"/>
    <w:link w:val="FootnoteText"/>
    <w:uiPriority w:val="99"/>
    <w:qFormat/>
    <w:rsid w:val="007874F0"/>
    <w:rPr>
      <w:rFonts w:ascii="Arial" w:hAnsi="Arial"/>
      <w:sz w:val="16"/>
      <w:szCs w:val="16"/>
    </w:rPr>
  </w:style>
  <w:style w:type="paragraph" w:styleId="ListParagraph">
    <w:name w:val="List Paragraph"/>
    <w:basedOn w:val="Normal"/>
    <w:link w:val="ListParagraphChar"/>
    <w:uiPriority w:val="34"/>
    <w:qFormat/>
    <w:rsid w:val="004715E6"/>
    <w:pPr>
      <w:spacing w:after="160" w:line="259" w:lineRule="auto"/>
      <w:ind w:left="720"/>
      <w:contextualSpacing/>
    </w:pPr>
    <w:rPr>
      <w:rFonts w:eastAsiaTheme="minorHAnsi" w:cs="Arial"/>
      <w:szCs w:val="20"/>
      <w:lang w:eastAsia="en-US"/>
    </w:rPr>
  </w:style>
  <w:style w:type="character" w:customStyle="1" w:styleId="ListParagraphChar">
    <w:name w:val="List Paragraph Char"/>
    <w:basedOn w:val="DefaultParagraphFont"/>
    <w:link w:val="ListParagraph"/>
    <w:uiPriority w:val="34"/>
    <w:locked/>
    <w:rsid w:val="004715E6"/>
    <w:rPr>
      <w:rFonts w:ascii="Arial" w:eastAsiaTheme="minorHAnsi" w:hAnsi="Arial" w:cs="Arial"/>
      <w:sz w:val="20"/>
      <w:szCs w:val="20"/>
      <w:lang w:eastAsia="en-US"/>
    </w:rPr>
  </w:style>
  <w:style w:type="paragraph" w:customStyle="1" w:styleId="Heading10">
    <w:name w:val="Heading1"/>
    <w:basedOn w:val="Normal"/>
    <w:qFormat/>
    <w:rsid w:val="000A6769"/>
    <w:pPr>
      <w:keepNext/>
      <w:spacing w:before="360"/>
    </w:pPr>
    <w:rPr>
      <w:b/>
      <w:bCs/>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76784553">
      <w:bodyDiv w:val="1"/>
      <w:marLeft w:val="0"/>
      <w:marRight w:val="0"/>
      <w:marTop w:val="0"/>
      <w:marBottom w:val="0"/>
      <w:divBdr>
        <w:top w:val="none" w:sz="0" w:space="0" w:color="auto"/>
        <w:left w:val="none" w:sz="0" w:space="0" w:color="auto"/>
        <w:bottom w:val="none" w:sz="0" w:space="0" w:color="auto"/>
        <w:right w:val="none" w:sz="0" w:space="0" w:color="auto"/>
      </w:divBdr>
    </w:div>
    <w:div w:id="1409771268">
      <w:bodyDiv w:val="1"/>
      <w:marLeft w:val="0"/>
      <w:marRight w:val="0"/>
      <w:marTop w:val="0"/>
      <w:marBottom w:val="0"/>
      <w:divBdr>
        <w:top w:val="none" w:sz="0" w:space="0" w:color="auto"/>
        <w:left w:val="none" w:sz="0" w:space="0" w:color="auto"/>
        <w:bottom w:val="none" w:sz="0" w:space="0" w:color="auto"/>
        <w:right w:val="none" w:sz="0" w:space="0" w:color="auto"/>
      </w:divBdr>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 w:id="19259123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eader" Target="header2.xml"/><Relationship Id="rId18" Type="http://schemas.openxmlformats.org/officeDocument/2006/relationships/header" Target="header4.xml"/><Relationship Id="rId26" Type="http://schemas.openxmlformats.org/officeDocument/2006/relationships/hyperlink" Target="https://www.itu.int/pub/R-REG-RR" TargetMode="External"/><Relationship Id="rId39" Type="http://schemas.openxmlformats.org/officeDocument/2006/relationships/hyperlink" Target="https://web.acma.gov.au/rrl/spectrum_search.show_table?pSV_ID=85&amp;pSS_ID=870" TargetMode="External"/><Relationship Id="rId21" Type="http://schemas.openxmlformats.org/officeDocument/2006/relationships/header" Target="header5.xml"/><Relationship Id="rId34" Type="http://schemas.openxmlformats.org/officeDocument/2006/relationships/hyperlink" Target="https://www.legislation.gov.au/C2004A04465/latest/text" TargetMode="External"/><Relationship Id="rId42" Type="http://schemas.openxmlformats.org/officeDocument/2006/relationships/hyperlink" Target="https://web.acma.gov.au/rrl/spectrum_search.show_table?pSV_ID=85&amp;pSS_ID=850" TargetMode="External"/><Relationship Id="rId47" Type="http://schemas.openxmlformats.org/officeDocument/2006/relationships/hyperlink" Target="https://www.legislation.gov.au/Series/C2004A05145" TargetMode="External"/><Relationship Id="rId50" Type="http://schemas.openxmlformats.org/officeDocument/2006/relationships/hyperlink" Target="mailto:WRC@communications.gov.au" TargetMode="External"/><Relationship Id="rId55" Type="http://schemas.openxmlformats.org/officeDocument/2006/relationships/fontTable" Target="fontTable.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hyperlink" Target="https://creativecommons.org/licenses/by/4.0/" TargetMode="External"/><Relationship Id="rId29" Type="http://schemas.openxmlformats.org/officeDocument/2006/relationships/hyperlink" Target="https://www.legislation.gov.au/Series/C2004A05145" TargetMode="External"/><Relationship Id="rId11" Type="http://schemas.openxmlformats.org/officeDocument/2006/relationships/header" Target="header1.xml"/><Relationship Id="rId24" Type="http://schemas.openxmlformats.org/officeDocument/2006/relationships/footer" Target="footer5.xml"/><Relationship Id="rId32" Type="http://schemas.openxmlformats.org/officeDocument/2006/relationships/hyperlink" Target="https://www.legislation.gov.au/Series/F2015L01486" TargetMode="External"/><Relationship Id="rId37" Type="http://schemas.openxmlformats.org/officeDocument/2006/relationships/image" Target="media/image4.png"/><Relationship Id="rId40" Type="http://schemas.openxmlformats.org/officeDocument/2006/relationships/hyperlink" Target="https://web.acma.gov.au/rrl/spectrum_search.show_table?pSV_ID=85&amp;pSS_ID=868" TargetMode="External"/><Relationship Id="rId45" Type="http://schemas.openxmlformats.org/officeDocument/2006/relationships/hyperlink" Target="https://www.acma.gov.au/compliance-and-enforcement-policy" TargetMode="External"/><Relationship Id="rId53" Type="http://schemas.openxmlformats.org/officeDocument/2006/relationships/footer" Target="footer7.xml"/><Relationship Id="rId5" Type="http://schemas.openxmlformats.org/officeDocument/2006/relationships/numbering" Target="numbering.xml"/><Relationship Id="rId10" Type="http://schemas.openxmlformats.org/officeDocument/2006/relationships/endnotes" Target="endnotes.xml"/><Relationship Id="rId19" Type="http://schemas.openxmlformats.org/officeDocument/2006/relationships/footer" Target="footer2.xml"/><Relationship Id="rId31" Type="http://schemas.openxmlformats.org/officeDocument/2006/relationships/hyperlink" Target="https://www.legislation.gov.au/Series/F2014L01584" TargetMode="External"/><Relationship Id="rId44" Type="http://schemas.openxmlformats.org/officeDocument/2006/relationships/hyperlink" Target="https://web.acma.gov.au/rrl/spectrum_search.show_table?pSV_ID=85&amp;pSS_ID=871" TargetMode="External"/><Relationship Id="rId52" Type="http://schemas.openxmlformats.org/officeDocument/2006/relationships/header" Target="header8.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i.creativecommons.org/l/by/3.0/88x31.png" TargetMode="External"/><Relationship Id="rId22" Type="http://schemas.openxmlformats.org/officeDocument/2006/relationships/header" Target="header6.xml"/><Relationship Id="rId27" Type="http://schemas.openxmlformats.org/officeDocument/2006/relationships/hyperlink" Target="https://www.acma.gov.au/australian-radiofrequency-spectrum-plan" TargetMode="External"/><Relationship Id="rId30" Type="http://schemas.openxmlformats.org/officeDocument/2006/relationships/hyperlink" Target="https://www.legislation.gov.au/Series/F2019L01509" TargetMode="External"/><Relationship Id="rId35" Type="http://schemas.openxmlformats.org/officeDocument/2006/relationships/hyperlink" Target="https://www.unoosa.org/oosa/en/ourwork/spacelaw/treaties/introouterspacetreaty.html" TargetMode="External"/><Relationship Id="rId43" Type="http://schemas.openxmlformats.org/officeDocument/2006/relationships/hyperlink" Target="https://web.acma.gov.au/rrl/spectrum_search.show_table?pSV_ID=85&amp;pSS_ID=854" TargetMode="External"/><Relationship Id="rId48" Type="http://schemas.openxmlformats.org/officeDocument/2006/relationships/hyperlink" Target="https://www.legislation.gov.au/Series/F2019L01509" TargetMode="External"/><Relationship Id="rId56" Type="http://schemas.openxmlformats.org/officeDocument/2006/relationships/theme" Target="theme/theme1.xml"/><Relationship Id="rId8" Type="http://schemas.openxmlformats.org/officeDocument/2006/relationships/webSettings" Target="webSettings.xml"/><Relationship Id="rId51" Type="http://schemas.openxmlformats.org/officeDocument/2006/relationships/header" Target="header7.xml"/><Relationship Id="rId3" Type="http://schemas.openxmlformats.org/officeDocument/2006/relationships/customXml" Target="../customXml/item3.xml"/><Relationship Id="rId12" Type="http://schemas.openxmlformats.org/officeDocument/2006/relationships/footer" Target="footer1.xml"/><Relationship Id="rId17" Type="http://schemas.openxmlformats.org/officeDocument/2006/relationships/header" Target="header3.xml"/><Relationship Id="rId25" Type="http://schemas.openxmlformats.org/officeDocument/2006/relationships/footer" Target="footer6.xml"/><Relationship Id="rId33" Type="http://schemas.openxmlformats.org/officeDocument/2006/relationships/hyperlink" Target="https://www.acma.gov.au/australian-radiofrequency-spectrum-plan" TargetMode="External"/><Relationship Id="rId38" Type="http://schemas.openxmlformats.org/officeDocument/2006/relationships/hyperlink" Target="https://www.acma.gov.au/licences/public-telecommunications-service-pts-licence" TargetMode="External"/><Relationship Id="rId46" Type="http://schemas.openxmlformats.org/officeDocument/2006/relationships/hyperlink" Target="https://www.acma.gov.au/consultations/2022-10/proposal-remake-australian-radio-quiet-zone-western-australia-band-plan-consultation-342022" TargetMode="External"/><Relationship Id="rId20" Type="http://schemas.openxmlformats.org/officeDocument/2006/relationships/footer" Target="footer3.xml"/><Relationship Id="rId41" Type="http://schemas.openxmlformats.org/officeDocument/2006/relationships/hyperlink" Target="https://web.acma.gov.au/rrl/spectrum_search.show_table?pSV_ID=85&amp;pSS_ID=873" TargetMode="External"/><Relationship Id="rId54" Type="http://schemas.openxmlformats.org/officeDocument/2006/relationships/footer" Target="footer8.xm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image" Target="media/image3.png"/><Relationship Id="rId23" Type="http://schemas.openxmlformats.org/officeDocument/2006/relationships/footer" Target="footer4.xml"/><Relationship Id="rId28" Type="http://schemas.openxmlformats.org/officeDocument/2006/relationships/hyperlink" Target="https://www.legislation.gov.au/C2004A04465/latest/text" TargetMode="External"/><Relationship Id="rId36" Type="http://schemas.openxmlformats.org/officeDocument/2006/relationships/hyperlink" Target="https://www.acma.gov.au/australian-spectrum-map-grid" TargetMode="External"/><Relationship Id="rId49" Type="http://schemas.openxmlformats.org/officeDocument/2006/relationships/hyperlink" Target="mailto:satellite.coordination@acma.gov.au" TargetMode="Externa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hyperlink" Target="https://acma.gov.au" TargetMode="External"/></Relationships>
</file>

<file path=word/_rels/footnotes.xml.rels><?xml version="1.0" encoding="UTF-8" standalone="yes"?>
<Relationships xmlns="http://schemas.openxmlformats.org/package/2006/relationships"><Relationship Id="rId3" Type="http://schemas.openxmlformats.org/officeDocument/2006/relationships/hyperlink" Target="https://www.itu.int/pub/R-REG-RR" TargetMode="External"/><Relationship Id="rId2" Type="http://schemas.openxmlformats.org/officeDocument/2006/relationships/hyperlink" Target="https://www.acma.gov.au/our-role-manage-spectrum" TargetMode="External"/><Relationship Id="rId1" Type="http://schemas.openxmlformats.org/officeDocument/2006/relationships/hyperlink" Target="https://www.itu.int/en/ITU-R/Documents/ITU-R-FAQ-IMT.pdf" TargetMode="External"/><Relationship Id="rId5" Type="http://schemas.openxmlformats.org/officeDocument/2006/relationships/hyperlink" Target="https://www.acma.gov.au/how-use-spectrum-boundary-data" TargetMode="External"/><Relationship Id="rId4" Type="http://schemas.openxmlformats.org/officeDocument/2006/relationships/hyperlink" Target="https://www.itu.int/pub/R-REG-ROP/en"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Custom 1">
      <a:dk1>
        <a:srgbClr val="000000"/>
      </a:dk1>
      <a:lt1>
        <a:sysClr val="window" lastClr="FFFFFF"/>
      </a:lt1>
      <a:dk2>
        <a:srgbClr val="000000"/>
      </a:dk2>
      <a:lt2>
        <a:srgbClr val="FFFFFF"/>
      </a:lt2>
      <a:accent1>
        <a:srgbClr val="00A0A4"/>
      </a:accent1>
      <a:accent2>
        <a:srgbClr val="7C426F"/>
      </a:accent2>
      <a:accent3>
        <a:srgbClr val="39457C"/>
      </a:accent3>
      <a:accent4>
        <a:srgbClr val="85BEC2"/>
      </a:accent4>
      <a:accent5>
        <a:srgbClr val="CBB6CA"/>
      </a:accent5>
      <a:accent6>
        <a:srgbClr val="D3E5E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85d45f94-32ec-4546-b73b-9a6848394926">
      <Terms xmlns="http://schemas.microsoft.com/office/infopath/2007/PartnerControls"/>
    </lcf76f155ced4ddcb4097134ff3c332f>
    <TaxCatchAll xmlns="fb919850-406e-4d20-9cee-cf3a55172231"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100ACE45694B3D4892C74020F839F147" ma:contentTypeVersion="18" ma:contentTypeDescription="Create a new document." ma:contentTypeScope="" ma:versionID="85a454bb0f83b393c2685738c871c716">
  <xsd:schema xmlns:xsd="http://www.w3.org/2001/XMLSchema" xmlns:xs="http://www.w3.org/2001/XMLSchema" xmlns:p="http://schemas.microsoft.com/office/2006/metadata/properties" xmlns:ns2="85d45f94-32ec-4546-b73b-9a6848394926" xmlns:ns3="fb919850-406e-4d20-9cee-cf3a55172231" targetNamespace="http://schemas.microsoft.com/office/2006/metadata/properties" ma:root="true" ma:fieldsID="5d431409a7e6b242cae8a8be980fe1ab" ns2:_="" ns3:_="">
    <xsd:import namespace="85d45f94-32ec-4546-b73b-9a6848394926"/>
    <xsd:import namespace="fb919850-406e-4d20-9cee-cf3a55172231"/>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DateTaken" minOccurs="0"/>
                <xsd:element ref="ns2:MediaServiceLocation" minOccurs="0"/>
                <xsd:element ref="ns2:MediaLengthInSeconds" minOccurs="0"/>
                <xsd:element ref="ns2:lcf76f155ced4ddcb4097134ff3c332f" minOccurs="0"/>
                <xsd:element ref="ns3:TaxCatchAll"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5d45f94-32ec-4546-b73b-9a684839492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08fe8815-ddc4-4b7c-be07-fec6d2f953c7" ma:termSetId="09814cd3-568e-fe90-9814-8d621ff8fb84" ma:anchorId="fba54fb3-c3e1-fe81-a776-ca4b69148c4d" ma:open="true" ma:isKeyword="false">
      <xsd:complexType>
        <xsd:sequence>
          <xsd:element ref="pc:Terms" minOccurs="0" maxOccurs="1"/>
        </xsd:sequence>
      </xsd:complexType>
    </xsd:element>
    <xsd:element name="MediaServiceSearchProperties" ma:index="24" nillable="true" ma:displayName="MediaServiceSearchProperties" ma:hidden="true" ma:internalName="MediaServiceSearchProperties" ma:readOnly="true">
      <xsd:simpleType>
        <xsd:restriction base="dms:Note"/>
      </xsd:simpleType>
    </xsd:element>
    <xsd:element name="MediaServiceObjectDetectorVersions" ma:index="25"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b919850-406e-4d20-9cee-cf3a55172231"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4136ea6b-f371-41c9-afaf-5925768188c8}" ma:internalName="TaxCatchAll" ma:showField="CatchAllData" ma:web="fb919850-406e-4d20-9cee-cf3a55172231">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2C80225-300A-4A9D-8196-81B1D0F9A1F0}">
  <ds:schemaRefs>
    <ds:schemaRef ds:uri="http://schemas.microsoft.com/sharepoint/v3/contenttype/forms"/>
  </ds:schemaRefs>
</ds:datastoreItem>
</file>

<file path=customXml/itemProps2.xml><?xml version="1.0" encoding="utf-8"?>
<ds:datastoreItem xmlns:ds="http://schemas.openxmlformats.org/officeDocument/2006/customXml" ds:itemID="{9CE48277-900B-4625-8F25-6A7F42F33C95}">
  <ds:schemaRefs>
    <ds:schemaRef ds:uri="http://purl.org/dc/dcmitype/"/>
    <ds:schemaRef ds:uri="http://schemas.openxmlformats.org/package/2006/metadata/core-properties"/>
    <ds:schemaRef ds:uri="http://purl.org/dc/terms/"/>
    <ds:schemaRef ds:uri="http://purl.org/dc/elements/1.1/"/>
    <ds:schemaRef ds:uri="http://www.w3.org/XML/1998/namespace"/>
    <ds:schemaRef ds:uri="http://schemas.microsoft.com/office/2006/metadata/properties"/>
    <ds:schemaRef ds:uri="http://schemas.microsoft.com/office/infopath/2007/PartnerControls"/>
    <ds:schemaRef ds:uri="http://schemas.microsoft.com/office/2006/documentManagement/types"/>
    <ds:schemaRef ds:uri="fb919850-406e-4d20-9cee-cf3a55172231"/>
    <ds:schemaRef ds:uri="85d45f94-32ec-4546-b73b-9a6848394926"/>
  </ds:schemaRefs>
</ds:datastoreItem>
</file>

<file path=customXml/itemProps3.xml><?xml version="1.0" encoding="utf-8"?>
<ds:datastoreItem xmlns:ds="http://schemas.openxmlformats.org/officeDocument/2006/customXml" ds:itemID="{C509CB8F-8A99-4FCE-AFFD-6A2FF057C7C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5d45f94-32ec-4546-b73b-9a6848394926"/>
    <ds:schemaRef ds:uri="fb919850-406e-4d20-9cee-cf3a5517223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B5C86DBA-C773-4DAC-958D-07E48CB3DC9A}">
  <ds:schemaRefs>
    <ds:schemaRef ds:uri="http://schemas.openxmlformats.org/officeDocument/2006/bibliography"/>
  </ds:schemaRefs>
</ds:datastoreItem>
</file>

<file path=docMetadata/LabelInfo.xml><?xml version="1.0" encoding="utf-8"?>
<clbl:labelList xmlns:clbl="http://schemas.microsoft.com/office/2020/mipLabelMetadata">
  <clbl:label id="{0dac7f39-d20c-4e71-8af3-71ee7e268a2b}" enabled="0" method="" siteId="{0dac7f39-d20c-4e71-8af3-71ee7e268a2b}" removed="1"/>
</clbl:labelList>
</file>

<file path=docProps/app.xml><?xml version="1.0" encoding="utf-8"?>
<Properties xmlns="http://schemas.openxmlformats.org/officeDocument/2006/extended-properties" xmlns:vt="http://schemas.openxmlformats.org/officeDocument/2006/docPropsVTypes">
  <Template>Normal.dotm</Template>
  <TotalTime>0</TotalTime>
  <Pages>16</Pages>
  <Words>3866</Words>
  <Characters>22040</Characters>
  <Application>Microsoft Office Word</Application>
  <DocSecurity>4</DocSecurity>
  <Lines>183</Lines>
  <Paragraphs>51</Paragraphs>
  <ScaleCrop>false</ScaleCrop>
  <Manager/>
  <Company/>
  <LinksUpToDate>false</LinksUpToDate>
  <CharactersWithSpaces>25855</CharactersWithSpaces>
  <SharedDoc>false</SharedDoc>
  <HyperlinkBase/>
  <HLinks>
    <vt:vector size="234" baseType="variant">
      <vt:variant>
        <vt:i4>1572975</vt:i4>
      </vt:variant>
      <vt:variant>
        <vt:i4>165</vt:i4>
      </vt:variant>
      <vt:variant>
        <vt:i4>0</vt:i4>
      </vt:variant>
      <vt:variant>
        <vt:i4>5</vt:i4>
      </vt:variant>
      <vt:variant>
        <vt:lpwstr>mailto:WRC@communications.gov.au</vt:lpwstr>
      </vt:variant>
      <vt:variant>
        <vt:lpwstr/>
      </vt:variant>
      <vt:variant>
        <vt:i4>2752521</vt:i4>
      </vt:variant>
      <vt:variant>
        <vt:i4>162</vt:i4>
      </vt:variant>
      <vt:variant>
        <vt:i4>0</vt:i4>
      </vt:variant>
      <vt:variant>
        <vt:i4>5</vt:i4>
      </vt:variant>
      <vt:variant>
        <vt:lpwstr>mailto:satellite.coordination@acma.gov.au</vt:lpwstr>
      </vt:variant>
      <vt:variant>
        <vt:lpwstr/>
      </vt:variant>
      <vt:variant>
        <vt:i4>786452</vt:i4>
      </vt:variant>
      <vt:variant>
        <vt:i4>159</vt:i4>
      </vt:variant>
      <vt:variant>
        <vt:i4>0</vt:i4>
      </vt:variant>
      <vt:variant>
        <vt:i4>5</vt:i4>
      </vt:variant>
      <vt:variant>
        <vt:lpwstr>https://www.legislation.gov.au/Series/F2019L01509</vt:lpwstr>
      </vt:variant>
      <vt:variant>
        <vt:lpwstr/>
      </vt:variant>
      <vt:variant>
        <vt:i4>24</vt:i4>
      </vt:variant>
      <vt:variant>
        <vt:i4>156</vt:i4>
      </vt:variant>
      <vt:variant>
        <vt:i4>0</vt:i4>
      </vt:variant>
      <vt:variant>
        <vt:i4>5</vt:i4>
      </vt:variant>
      <vt:variant>
        <vt:lpwstr>https://www.legislation.gov.au/Series/C2004A05145</vt:lpwstr>
      </vt:variant>
      <vt:variant>
        <vt:lpwstr/>
      </vt:variant>
      <vt:variant>
        <vt:i4>4784223</vt:i4>
      </vt:variant>
      <vt:variant>
        <vt:i4>153</vt:i4>
      </vt:variant>
      <vt:variant>
        <vt:i4>0</vt:i4>
      </vt:variant>
      <vt:variant>
        <vt:i4>5</vt:i4>
      </vt:variant>
      <vt:variant>
        <vt:lpwstr>https://www.acma.gov.au/consultations/2022-10/proposal-remake-australian-radio-quiet-zone-western-australia-band-plan-consultation-342022</vt:lpwstr>
      </vt:variant>
      <vt:variant>
        <vt:lpwstr/>
      </vt:variant>
      <vt:variant>
        <vt:i4>1507346</vt:i4>
      </vt:variant>
      <vt:variant>
        <vt:i4>150</vt:i4>
      </vt:variant>
      <vt:variant>
        <vt:i4>0</vt:i4>
      </vt:variant>
      <vt:variant>
        <vt:i4>5</vt:i4>
      </vt:variant>
      <vt:variant>
        <vt:lpwstr>https://www.acma.gov.au/compliance-and-enforcement-policy</vt:lpwstr>
      </vt:variant>
      <vt:variant>
        <vt:lpwstr/>
      </vt:variant>
      <vt:variant>
        <vt:i4>3276845</vt:i4>
      </vt:variant>
      <vt:variant>
        <vt:i4>147</vt:i4>
      </vt:variant>
      <vt:variant>
        <vt:i4>0</vt:i4>
      </vt:variant>
      <vt:variant>
        <vt:i4>5</vt:i4>
      </vt:variant>
      <vt:variant>
        <vt:lpwstr>https://www.acma.gov.au/licences/public-telecommunications-service-pts-licence</vt:lpwstr>
      </vt:variant>
      <vt:variant>
        <vt:lpwstr/>
      </vt:variant>
      <vt:variant>
        <vt:i4>1179657</vt:i4>
      </vt:variant>
      <vt:variant>
        <vt:i4>144</vt:i4>
      </vt:variant>
      <vt:variant>
        <vt:i4>0</vt:i4>
      </vt:variant>
      <vt:variant>
        <vt:i4>5</vt:i4>
      </vt:variant>
      <vt:variant>
        <vt:lpwstr>https://www.acma.gov.au/australian-spectrum-map-grid</vt:lpwstr>
      </vt:variant>
      <vt:variant>
        <vt:lpwstr/>
      </vt:variant>
      <vt:variant>
        <vt:i4>3014719</vt:i4>
      </vt:variant>
      <vt:variant>
        <vt:i4>141</vt:i4>
      </vt:variant>
      <vt:variant>
        <vt:i4>0</vt:i4>
      </vt:variant>
      <vt:variant>
        <vt:i4>5</vt:i4>
      </vt:variant>
      <vt:variant>
        <vt:lpwstr>https://www.unoosa.org/oosa/en/ourwork/spacelaw/treaties/introouterspacetreaty.html</vt:lpwstr>
      </vt:variant>
      <vt:variant>
        <vt:lpwstr/>
      </vt:variant>
      <vt:variant>
        <vt:i4>2752563</vt:i4>
      </vt:variant>
      <vt:variant>
        <vt:i4>138</vt:i4>
      </vt:variant>
      <vt:variant>
        <vt:i4>0</vt:i4>
      </vt:variant>
      <vt:variant>
        <vt:i4>5</vt:i4>
      </vt:variant>
      <vt:variant>
        <vt:lpwstr>https://www.legislation.gov.au/C2004A04465/latest/text</vt:lpwstr>
      </vt:variant>
      <vt:variant>
        <vt:lpwstr/>
      </vt:variant>
      <vt:variant>
        <vt:i4>4063273</vt:i4>
      </vt:variant>
      <vt:variant>
        <vt:i4>135</vt:i4>
      </vt:variant>
      <vt:variant>
        <vt:i4>0</vt:i4>
      </vt:variant>
      <vt:variant>
        <vt:i4>5</vt:i4>
      </vt:variant>
      <vt:variant>
        <vt:lpwstr>https://www.acma.gov.au/australian-radiofrequency-spectrum-plan</vt:lpwstr>
      </vt:variant>
      <vt:variant>
        <vt:lpwstr/>
      </vt:variant>
      <vt:variant>
        <vt:i4>262169</vt:i4>
      </vt:variant>
      <vt:variant>
        <vt:i4>132</vt:i4>
      </vt:variant>
      <vt:variant>
        <vt:i4>0</vt:i4>
      </vt:variant>
      <vt:variant>
        <vt:i4>5</vt:i4>
      </vt:variant>
      <vt:variant>
        <vt:lpwstr>https://www.legislation.gov.au/Series/F2015L01486</vt:lpwstr>
      </vt:variant>
      <vt:variant>
        <vt:lpwstr/>
      </vt:variant>
      <vt:variant>
        <vt:i4>262169</vt:i4>
      </vt:variant>
      <vt:variant>
        <vt:i4>129</vt:i4>
      </vt:variant>
      <vt:variant>
        <vt:i4>0</vt:i4>
      </vt:variant>
      <vt:variant>
        <vt:i4>5</vt:i4>
      </vt:variant>
      <vt:variant>
        <vt:lpwstr>https://www.legislation.gov.au/Series/F2014L01584</vt:lpwstr>
      </vt:variant>
      <vt:variant>
        <vt:lpwstr/>
      </vt:variant>
      <vt:variant>
        <vt:i4>786452</vt:i4>
      </vt:variant>
      <vt:variant>
        <vt:i4>123</vt:i4>
      </vt:variant>
      <vt:variant>
        <vt:i4>0</vt:i4>
      </vt:variant>
      <vt:variant>
        <vt:i4>5</vt:i4>
      </vt:variant>
      <vt:variant>
        <vt:lpwstr>https://www.legislation.gov.au/Series/F2019L01509</vt:lpwstr>
      </vt:variant>
      <vt:variant>
        <vt:lpwstr/>
      </vt:variant>
      <vt:variant>
        <vt:i4>24</vt:i4>
      </vt:variant>
      <vt:variant>
        <vt:i4>120</vt:i4>
      </vt:variant>
      <vt:variant>
        <vt:i4>0</vt:i4>
      </vt:variant>
      <vt:variant>
        <vt:i4>5</vt:i4>
      </vt:variant>
      <vt:variant>
        <vt:lpwstr>https://www.legislation.gov.au/Series/C2004A05145</vt:lpwstr>
      </vt:variant>
      <vt:variant>
        <vt:lpwstr/>
      </vt:variant>
      <vt:variant>
        <vt:i4>4063273</vt:i4>
      </vt:variant>
      <vt:variant>
        <vt:i4>117</vt:i4>
      </vt:variant>
      <vt:variant>
        <vt:i4>0</vt:i4>
      </vt:variant>
      <vt:variant>
        <vt:i4>5</vt:i4>
      </vt:variant>
      <vt:variant>
        <vt:lpwstr>https://www.acma.gov.au/australian-radiofrequency-spectrum-plan</vt:lpwstr>
      </vt:variant>
      <vt:variant>
        <vt:lpwstr/>
      </vt:variant>
      <vt:variant>
        <vt:i4>1966150</vt:i4>
      </vt:variant>
      <vt:variant>
        <vt:i4>114</vt:i4>
      </vt:variant>
      <vt:variant>
        <vt:i4>0</vt:i4>
      </vt:variant>
      <vt:variant>
        <vt:i4>5</vt:i4>
      </vt:variant>
      <vt:variant>
        <vt:lpwstr>https://www.itu.int/pub/R-REG-RR</vt:lpwstr>
      </vt:variant>
      <vt:variant>
        <vt:lpwstr/>
      </vt:variant>
      <vt:variant>
        <vt:i4>1441845</vt:i4>
      </vt:variant>
      <vt:variant>
        <vt:i4>107</vt:i4>
      </vt:variant>
      <vt:variant>
        <vt:i4>0</vt:i4>
      </vt:variant>
      <vt:variant>
        <vt:i4>5</vt:i4>
      </vt:variant>
      <vt:variant>
        <vt:lpwstr/>
      </vt:variant>
      <vt:variant>
        <vt:lpwstr>_Toc175141562</vt:lpwstr>
      </vt:variant>
      <vt:variant>
        <vt:i4>1441845</vt:i4>
      </vt:variant>
      <vt:variant>
        <vt:i4>101</vt:i4>
      </vt:variant>
      <vt:variant>
        <vt:i4>0</vt:i4>
      </vt:variant>
      <vt:variant>
        <vt:i4>5</vt:i4>
      </vt:variant>
      <vt:variant>
        <vt:lpwstr/>
      </vt:variant>
      <vt:variant>
        <vt:lpwstr>_Toc175141561</vt:lpwstr>
      </vt:variant>
      <vt:variant>
        <vt:i4>1441845</vt:i4>
      </vt:variant>
      <vt:variant>
        <vt:i4>95</vt:i4>
      </vt:variant>
      <vt:variant>
        <vt:i4>0</vt:i4>
      </vt:variant>
      <vt:variant>
        <vt:i4>5</vt:i4>
      </vt:variant>
      <vt:variant>
        <vt:lpwstr/>
      </vt:variant>
      <vt:variant>
        <vt:lpwstr>_Toc175141560</vt:lpwstr>
      </vt:variant>
      <vt:variant>
        <vt:i4>1376309</vt:i4>
      </vt:variant>
      <vt:variant>
        <vt:i4>89</vt:i4>
      </vt:variant>
      <vt:variant>
        <vt:i4>0</vt:i4>
      </vt:variant>
      <vt:variant>
        <vt:i4>5</vt:i4>
      </vt:variant>
      <vt:variant>
        <vt:lpwstr/>
      </vt:variant>
      <vt:variant>
        <vt:lpwstr>_Toc175141559</vt:lpwstr>
      </vt:variant>
      <vt:variant>
        <vt:i4>1376309</vt:i4>
      </vt:variant>
      <vt:variant>
        <vt:i4>83</vt:i4>
      </vt:variant>
      <vt:variant>
        <vt:i4>0</vt:i4>
      </vt:variant>
      <vt:variant>
        <vt:i4>5</vt:i4>
      </vt:variant>
      <vt:variant>
        <vt:lpwstr/>
      </vt:variant>
      <vt:variant>
        <vt:lpwstr>_Toc175141558</vt:lpwstr>
      </vt:variant>
      <vt:variant>
        <vt:i4>1376309</vt:i4>
      </vt:variant>
      <vt:variant>
        <vt:i4>77</vt:i4>
      </vt:variant>
      <vt:variant>
        <vt:i4>0</vt:i4>
      </vt:variant>
      <vt:variant>
        <vt:i4>5</vt:i4>
      </vt:variant>
      <vt:variant>
        <vt:lpwstr/>
      </vt:variant>
      <vt:variant>
        <vt:lpwstr>_Toc175141557</vt:lpwstr>
      </vt:variant>
      <vt:variant>
        <vt:i4>1376309</vt:i4>
      </vt:variant>
      <vt:variant>
        <vt:i4>71</vt:i4>
      </vt:variant>
      <vt:variant>
        <vt:i4>0</vt:i4>
      </vt:variant>
      <vt:variant>
        <vt:i4>5</vt:i4>
      </vt:variant>
      <vt:variant>
        <vt:lpwstr/>
      </vt:variant>
      <vt:variant>
        <vt:lpwstr>_Toc175141556</vt:lpwstr>
      </vt:variant>
      <vt:variant>
        <vt:i4>1376309</vt:i4>
      </vt:variant>
      <vt:variant>
        <vt:i4>65</vt:i4>
      </vt:variant>
      <vt:variant>
        <vt:i4>0</vt:i4>
      </vt:variant>
      <vt:variant>
        <vt:i4>5</vt:i4>
      </vt:variant>
      <vt:variant>
        <vt:lpwstr/>
      </vt:variant>
      <vt:variant>
        <vt:lpwstr>_Toc175141555</vt:lpwstr>
      </vt:variant>
      <vt:variant>
        <vt:i4>1376309</vt:i4>
      </vt:variant>
      <vt:variant>
        <vt:i4>59</vt:i4>
      </vt:variant>
      <vt:variant>
        <vt:i4>0</vt:i4>
      </vt:variant>
      <vt:variant>
        <vt:i4>5</vt:i4>
      </vt:variant>
      <vt:variant>
        <vt:lpwstr/>
      </vt:variant>
      <vt:variant>
        <vt:lpwstr>_Toc175141554</vt:lpwstr>
      </vt:variant>
      <vt:variant>
        <vt:i4>1376309</vt:i4>
      </vt:variant>
      <vt:variant>
        <vt:i4>53</vt:i4>
      </vt:variant>
      <vt:variant>
        <vt:i4>0</vt:i4>
      </vt:variant>
      <vt:variant>
        <vt:i4>5</vt:i4>
      </vt:variant>
      <vt:variant>
        <vt:lpwstr/>
      </vt:variant>
      <vt:variant>
        <vt:lpwstr>_Toc175141553</vt:lpwstr>
      </vt:variant>
      <vt:variant>
        <vt:i4>1376309</vt:i4>
      </vt:variant>
      <vt:variant>
        <vt:i4>47</vt:i4>
      </vt:variant>
      <vt:variant>
        <vt:i4>0</vt:i4>
      </vt:variant>
      <vt:variant>
        <vt:i4>5</vt:i4>
      </vt:variant>
      <vt:variant>
        <vt:lpwstr/>
      </vt:variant>
      <vt:variant>
        <vt:lpwstr>_Toc175141552</vt:lpwstr>
      </vt:variant>
      <vt:variant>
        <vt:i4>1376309</vt:i4>
      </vt:variant>
      <vt:variant>
        <vt:i4>41</vt:i4>
      </vt:variant>
      <vt:variant>
        <vt:i4>0</vt:i4>
      </vt:variant>
      <vt:variant>
        <vt:i4>5</vt:i4>
      </vt:variant>
      <vt:variant>
        <vt:lpwstr/>
      </vt:variant>
      <vt:variant>
        <vt:lpwstr>_Toc175141551</vt:lpwstr>
      </vt:variant>
      <vt:variant>
        <vt:i4>1376309</vt:i4>
      </vt:variant>
      <vt:variant>
        <vt:i4>35</vt:i4>
      </vt:variant>
      <vt:variant>
        <vt:i4>0</vt:i4>
      </vt:variant>
      <vt:variant>
        <vt:i4>5</vt:i4>
      </vt:variant>
      <vt:variant>
        <vt:lpwstr/>
      </vt:variant>
      <vt:variant>
        <vt:lpwstr>_Toc175141550</vt:lpwstr>
      </vt:variant>
      <vt:variant>
        <vt:i4>1310773</vt:i4>
      </vt:variant>
      <vt:variant>
        <vt:i4>29</vt:i4>
      </vt:variant>
      <vt:variant>
        <vt:i4>0</vt:i4>
      </vt:variant>
      <vt:variant>
        <vt:i4>5</vt:i4>
      </vt:variant>
      <vt:variant>
        <vt:lpwstr/>
      </vt:variant>
      <vt:variant>
        <vt:lpwstr>_Toc175141549</vt:lpwstr>
      </vt:variant>
      <vt:variant>
        <vt:i4>1310773</vt:i4>
      </vt:variant>
      <vt:variant>
        <vt:i4>23</vt:i4>
      </vt:variant>
      <vt:variant>
        <vt:i4>0</vt:i4>
      </vt:variant>
      <vt:variant>
        <vt:i4>5</vt:i4>
      </vt:variant>
      <vt:variant>
        <vt:lpwstr/>
      </vt:variant>
      <vt:variant>
        <vt:lpwstr>_Toc175141548</vt:lpwstr>
      </vt:variant>
      <vt:variant>
        <vt:i4>1310773</vt:i4>
      </vt:variant>
      <vt:variant>
        <vt:i4>17</vt:i4>
      </vt:variant>
      <vt:variant>
        <vt:i4>0</vt:i4>
      </vt:variant>
      <vt:variant>
        <vt:i4>5</vt:i4>
      </vt:variant>
      <vt:variant>
        <vt:lpwstr/>
      </vt:variant>
      <vt:variant>
        <vt:lpwstr>_Toc175141547</vt:lpwstr>
      </vt:variant>
      <vt:variant>
        <vt:i4>1310773</vt:i4>
      </vt:variant>
      <vt:variant>
        <vt:i4>11</vt:i4>
      </vt:variant>
      <vt:variant>
        <vt:i4>0</vt:i4>
      </vt:variant>
      <vt:variant>
        <vt:i4>5</vt:i4>
      </vt:variant>
      <vt:variant>
        <vt:lpwstr/>
      </vt:variant>
      <vt:variant>
        <vt:lpwstr>_Toc175141546</vt:lpwstr>
      </vt:variant>
      <vt:variant>
        <vt:i4>1310773</vt:i4>
      </vt:variant>
      <vt:variant>
        <vt:i4>5</vt:i4>
      </vt:variant>
      <vt:variant>
        <vt:i4>0</vt:i4>
      </vt:variant>
      <vt:variant>
        <vt:i4>5</vt:i4>
      </vt:variant>
      <vt:variant>
        <vt:lpwstr/>
      </vt:variant>
      <vt:variant>
        <vt:lpwstr>_Toc175141545</vt:lpwstr>
      </vt:variant>
      <vt:variant>
        <vt:i4>5308424</vt:i4>
      </vt:variant>
      <vt:variant>
        <vt:i4>0</vt:i4>
      </vt:variant>
      <vt:variant>
        <vt:i4>0</vt:i4>
      </vt:variant>
      <vt:variant>
        <vt:i4>5</vt:i4>
      </vt:variant>
      <vt:variant>
        <vt:lpwstr>https://creativecommons.org/licenses/by/4.0/</vt:lpwstr>
      </vt:variant>
      <vt:variant>
        <vt:lpwstr/>
      </vt:variant>
      <vt:variant>
        <vt:i4>4325459</vt:i4>
      </vt:variant>
      <vt:variant>
        <vt:i4>9</vt:i4>
      </vt:variant>
      <vt:variant>
        <vt:i4>0</vt:i4>
      </vt:variant>
      <vt:variant>
        <vt:i4>5</vt:i4>
      </vt:variant>
      <vt:variant>
        <vt:lpwstr>https://www.itu.int/pub/R-REG-ROP/en</vt:lpwstr>
      </vt:variant>
      <vt:variant>
        <vt:lpwstr/>
      </vt:variant>
      <vt:variant>
        <vt:i4>1966150</vt:i4>
      </vt:variant>
      <vt:variant>
        <vt:i4>6</vt:i4>
      </vt:variant>
      <vt:variant>
        <vt:i4>0</vt:i4>
      </vt:variant>
      <vt:variant>
        <vt:i4>5</vt:i4>
      </vt:variant>
      <vt:variant>
        <vt:lpwstr>https://www.itu.int/pub/R-REG-RR</vt:lpwstr>
      </vt:variant>
      <vt:variant>
        <vt:lpwstr/>
      </vt:variant>
      <vt:variant>
        <vt:i4>5636166</vt:i4>
      </vt:variant>
      <vt:variant>
        <vt:i4>0</vt:i4>
      </vt:variant>
      <vt:variant>
        <vt:i4>0</vt:i4>
      </vt:variant>
      <vt:variant>
        <vt:i4>5</vt:i4>
      </vt:variant>
      <vt:variant>
        <vt:lpwstr>https://www.itu.int/en/ITU-R/Documents/ITU-R-FAQ-IMT.pdf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2025-05-14T02:43:00Z</dcterms:created>
  <dcterms:modified xsi:type="dcterms:W3CDTF">2025-05-14T02:43:00Z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diaServiceImageTags">
    <vt:lpwstr/>
  </property>
  <property fmtid="{D5CDD505-2E9C-101B-9397-08002B2CF9AE}" pid="3" name="ContentTypeId">
    <vt:lpwstr>0x010100100ACE45694B3D4892C74020F839F147</vt:lpwstr>
  </property>
</Properties>
</file>