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E14EA8" w14:textId="4DF6DE9E" w:rsidR="00330255" w:rsidRPr="00B971F8" w:rsidRDefault="00330255" w:rsidP="00330255">
      <w:pPr>
        <w:pStyle w:val="Reporttitle"/>
      </w:pPr>
      <w:r w:rsidRPr="00B971F8">
        <w:t>Australian satellite filing</w:t>
      </w:r>
      <w:r>
        <w:t xml:space="preserve"> </w:t>
      </w:r>
      <w:r w:rsidRPr="00B971F8">
        <w:t>procedures</w:t>
      </w:r>
    </w:p>
    <w:p w14:paraId="5D4C67F9" w14:textId="4F436B99" w:rsidR="00C97736" w:rsidRPr="00A17B1B" w:rsidRDefault="00330255" w:rsidP="00EC2B68">
      <w:pPr>
        <w:pStyle w:val="Reportdate"/>
        <w:spacing w:after="720"/>
        <w:rPr>
          <w:rFonts w:cs="Arial"/>
        </w:rPr>
        <w:sectPr w:rsidR="00C97736" w:rsidRPr="00A17B1B" w:rsidSect="005A62E5">
          <w:headerReference w:type="default" r:id="rId8"/>
          <w:footerReference w:type="default" r:id="rId9"/>
          <w:headerReference w:type="first" r:id="rId10"/>
          <w:pgSz w:w="11906" w:h="16838" w:code="9"/>
          <w:pgMar w:top="3924" w:right="1418" w:bottom="1134" w:left="1418" w:header="850" w:footer="454" w:gutter="0"/>
          <w:cols w:space="708"/>
          <w:docGrid w:linePitch="360"/>
        </w:sectPr>
      </w:pPr>
      <w:r>
        <w:t>may</w:t>
      </w:r>
      <w:r w:rsidR="00BD4421" w:rsidRPr="00A17B1B">
        <w:t xml:space="preserve"> 20</w:t>
      </w:r>
      <w:r w:rsidR="000971BD" w:rsidRPr="00A17B1B">
        <w:t>2</w:t>
      </w:r>
      <w:r w:rsidR="001106BC">
        <w:t>5</w:t>
      </w:r>
    </w:p>
    <w:p w14:paraId="573D9166" w14:textId="77777777" w:rsidR="00284A74" w:rsidRPr="00A17B1B" w:rsidRDefault="00284A74" w:rsidP="00284A74">
      <w:pPr>
        <w:pStyle w:val="ACMACorporateAddressHeader"/>
      </w:pPr>
      <w:r w:rsidRPr="00A17B1B">
        <w:lastRenderedPageBreak/>
        <w:t>Canberra</w:t>
      </w:r>
    </w:p>
    <w:p w14:paraId="6FFFDD01" w14:textId="77777777" w:rsidR="00284A74" w:rsidRPr="00A17B1B" w:rsidRDefault="00181180" w:rsidP="00284A74">
      <w:pPr>
        <w:pStyle w:val="ACMACorporateAddresses"/>
      </w:pPr>
      <w:r>
        <w:t>Level 3</w:t>
      </w:r>
      <w:r>
        <w:br/>
        <w:t>40 Cameron Avenue</w:t>
      </w:r>
      <w:r w:rsidR="00284A74" w:rsidRPr="00A17B1B">
        <w:t xml:space="preserve"> </w:t>
      </w:r>
      <w:r w:rsidR="00284A74" w:rsidRPr="00A17B1B">
        <w:br/>
        <w:t>Belconnen ACT</w:t>
      </w:r>
    </w:p>
    <w:p w14:paraId="45CE5F3B" w14:textId="77777777" w:rsidR="00284A74" w:rsidRPr="00A17B1B" w:rsidRDefault="00284A74" w:rsidP="00284A74">
      <w:pPr>
        <w:pStyle w:val="ACMACorporateAddresses"/>
      </w:pPr>
      <w:r w:rsidRPr="00A17B1B">
        <w:t>PO Box 78</w:t>
      </w:r>
      <w:r w:rsidRPr="00A17B1B">
        <w:br/>
        <w:t>Belconnen ACT 2616</w:t>
      </w:r>
    </w:p>
    <w:p w14:paraId="19283B9E"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3783E66E" w14:textId="77777777" w:rsidR="00284A74" w:rsidRPr="00A17B1B" w:rsidRDefault="00284A74" w:rsidP="00284A74">
      <w:pPr>
        <w:pStyle w:val="ACMACorporateAddressHeader"/>
      </w:pPr>
      <w:r w:rsidRPr="00A17B1B">
        <w:t>Melbourne</w:t>
      </w:r>
    </w:p>
    <w:p w14:paraId="5A2BCF1E"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5DB5A4D6"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1C819803"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32B15EA4" w14:textId="77777777" w:rsidR="00284A74" w:rsidRPr="00A17B1B" w:rsidRDefault="00284A74" w:rsidP="00284A74">
      <w:pPr>
        <w:pStyle w:val="ACMACorporateAddressHeader"/>
      </w:pPr>
      <w:r w:rsidRPr="00A17B1B">
        <w:t>Sydney</w:t>
      </w:r>
    </w:p>
    <w:p w14:paraId="59889238"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675E439C"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2654ACA3"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196FB173" w14:textId="77777777" w:rsidR="00284A74" w:rsidRPr="00A17B1B" w:rsidRDefault="00284A74" w:rsidP="005A62E5">
      <w:pPr>
        <w:pStyle w:val="ACMACopyrightHeader"/>
        <w:spacing w:before="4200"/>
      </w:pPr>
      <w:r w:rsidRPr="00A17B1B">
        <w:t>Copyright notice</w:t>
      </w:r>
    </w:p>
    <w:p w14:paraId="6CF74026" w14:textId="77777777" w:rsidR="00284A74" w:rsidRPr="00A17B1B" w:rsidRDefault="00284A74" w:rsidP="00284A74">
      <w:pPr>
        <w:pStyle w:val="ACMACClogo"/>
      </w:pPr>
      <w:r w:rsidRPr="00A17B1B">
        <w:rPr>
          <w:noProof/>
        </w:rPr>
        <w:drawing>
          <wp:inline distT="0" distB="0" distL="0" distR="0" wp14:anchorId="2D4AA01D" wp14:editId="22ED4AA9">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6464D48F" w14:textId="77777777" w:rsidR="00284A74" w:rsidRPr="00A17B1B" w:rsidRDefault="00284A74" w:rsidP="00284A74">
      <w:pPr>
        <w:pStyle w:val="ACMACorporateAddresses"/>
        <w:rPr>
          <w:rStyle w:val="Hyperlink"/>
        </w:rPr>
      </w:pPr>
      <w:hyperlink r:id="rId13" w:history="1">
        <w:r w:rsidRPr="00A17B1B">
          <w:rPr>
            <w:rStyle w:val="Hyperlink"/>
          </w:rPr>
          <w:t>https://creativecommons.org/licenses/by/4.0/</w:t>
        </w:r>
      </w:hyperlink>
    </w:p>
    <w:p w14:paraId="0B3B5B60" w14:textId="77777777" w:rsidR="00AA1F0B" w:rsidRPr="00E162C4" w:rsidRDefault="00AA1F0B" w:rsidP="00AA1F0B">
      <w:pPr>
        <w:pStyle w:val="ACMACorporateAddresses"/>
      </w:pPr>
      <w:r>
        <w:t>Except for the Commonwealth</w:t>
      </w:r>
      <w:r w:rsidRPr="00E162C4">
        <w:t xml:space="preserve"> </w:t>
      </w:r>
      <w:r>
        <w:t>C</w:t>
      </w:r>
      <w:r w:rsidRPr="00E162C4">
        <w:t xml:space="preserve">oat of </w:t>
      </w:r>
      <w:r>
        <w:t>A</w:t>
      </w:r>
      <w:r w:rsidRPr="00E162C4">
        <w:t xml:space="preserve">rms, logos, emblems, images, other third-party material or devices protected by a trademark, this content is made available under the terms of the Creative Commons Attribution 4.0 International (CC BY 4.0) licence. </w:t>
      </w:r>
    </w:p>
    <w:p w14:paraId="7F2D3B27" w14:textId="77777777" w:rsidR="00AA1F0B" w:rsidRPr="00E162C4" w:rsidRDefault="00AA1F0B" w:rsidP="00AA1F0B">
      <w:pPr>
        <w:pStyle w:val="ACMACorporateAddresses"/>
      </w:pPr>
      <w:r w:rsidRPr="00E162C4">
        <w:t>All other rights are reserved.</w:t>
      </w:r>
    </w:p>
    <w:p w14:paraId="054339BD" w14:textId="77777777" w:rsidR="00AA1F0B" w:rsidRDefault="00AA1F0B" w:rsidP="00AA1F0B">
      <w:pPr>
        <w:pStyle w:val="ACMACorporateAddresses"/>
      </w:pPr>
      <w:r w:rsidRPr="00E162C4">
        <w:t>The Australian Communications and Media Authority has undertaken reasonable enquiries to identify material owned by third parties and secure permission for its reproduction. Permission may need to be obtained from third parties to re-use their material.</w:t>
      </w:r>
    </w:p>
    <w:p w14:paraId="7F0AB0CB" w14:textId="422308B9" w:rsidR="0053098B" w:rsidRDefault="00AA1F0B" w:rsidP="00AA1F0B">
      <w:pPr>
        <w:pStyle w:val="ACMACorporateAddresses"/>
      </w:pPr>
      <w:r w:rsidRPr="00E162C4">
        <w:t>We request attribution as © Commonwealth of Australia (Australian Communications and Media Authority) 202</w:t>
      </w:r>
      <w:r w:rsidR="001106BC">
        <w:t>5</w:t>
      </w:r>
      <w:r w:rsidRPr="00E162C4">
        <w:t xml:space="preserve">. </w:t>
      </w:r>
    </w:p>
    <w:p w14:paraId="30BAAC9C" w14:textId="77777777" w:rsidR="00F26AE9" w:rsidRPr="00382386" w:rsidRDefault="00F26AE9" w:rsidP="00F26AE9">
      <w:pPr>
        <w:spacing w:after="60"/>
        <w:rPr>
          <w:rFonts w:cs="Arial"/>
          <w:b/>
          <w:bCs/>
          <w:sz w:val="22"/>
          <w:szCs w:val="22"/>
        </w:rPr>
      </w:pPr>
      <w:r w:rsidRPr="00382386">
        <w:rPr>
          <w:rFonts w:cs="Arial"/>
          <w:b/>
          <w:bCs/>
          <w:sz w:val="22"/>
          <w:szCs w:val="22"/>
        </w:rPr>
        <w:lastRenderedPageBreak/>
        <w:t>Amendment history</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129"/>
        <w:gridCol w:w="2268"/>
        <w:gridCol w:w="5670"/>
      </w:tblGrid>
      <w:tr w:rsidR="00F26AE9" w:rsidRPr="00B971F8" w14:paraId="3C53A907" w14:textId="77777777" w:rsidTr="00275E92">
        <w:trPr>
          <w:trHeight w:val="139"/>
        </w:trPr>
        <w:tc>
          <w:tcPr>
            <w:tcW w:w="1129" w:type="dxa"/>
            <w:shd w:val="clear" w:color="auto" w:fill="595959" w:themeFill="text1" w:themeFillTint="A6"/>
            <w:tcMar>
              <w:top w:w="28" w:type="dxa"/>
              <w:left w:w="108" w:type="dxa"/>
              <w:bottom w:w="28" w:type="dxa"/>
              <w:right w:w="108" w:type="dxa"/>
            </w:tcMar>
            <w:vAlign w:val="center"/>
            <w:hideMark/>
          </w:tcPr>
          <w:p w14:paraId="047CB850" w14:textId="77777777" w:rsidR="00F26AE9" w:rsidRPr="00272D0D" w:rsidRDefault="00F26AE9" w:rsidP="00275E92">
            <w:pPr>
              <w:spacing w:after="0"/>
              <w:rPr>
                <w:rFonts w:eastAsiaTheme="minorHAnsi" w:cs="Arial"/>
                <w:b/>
                <w:bCs/>
                <w:color w:val="FFFFFF" w:themeColor="background1"/>
                <w:szCs w:val="20"/>
              </w:rPr>
            </w:pPr>
            <w:r w:rsidRPr="00272D0D">
              <w:rPr>
                <w:rFonts w:cs="Arial"/>
                <w:b/>
                <w:bCs/>
                <w:color w:val="FFFFFF" w:themeColor="background1"/>
                <w:szCs w:val="20"/>
              </w:rPr>
              <w:t>Version</w:t>
            </w:r>
          </w:p>
        </w:tc>
        <w:tc>
          <w:tcPr>
            <w:tcW w:w="2268" w:type="dxa"/>
            <w:shd w:val="clear" w:color="auto" w:fill="595959" w:themeFill="text1" w:themeFillTint="A6"/>
            <w:tcMar>
              <w:top w:w="28" w:type="dxa"/>
              <w:left w:w="108" w:type="dxa"/>
              <w:bottom w:w="28" w:type="dxa"/>
              <w:right w:w="108" w:type="dxa"/>
            </w:tcMar>
            <w:vAlign w:val="center"/>
            <w:hideMark/>
          </w:tcPr>
          <w:p w14:paraId="3FB78E29" w14:textId="77777777" w:rsidR="00F26AE9" w:rsidRPr="00272D0D" w:rsidRDefault="00F26AE9" w:rsidP="00275E92">
            <w:pPr>
              <w:spacing w:after="0"/>
              <w:rPr>
                <w:rFonts w:eastAsiaTheme="minorHAnsi" w:cs="Arial"/>
                <w:b/>
                <w:bCs/>
                <w:color w:val="FFFFFF" w:themeColor="background1"/>
                <w:szCs w:val="20"/>
              </w:rPr>
            </w:pPr>
            <w:r w:rsidRPr="00272D0D">
              <w:rPr>
                <w:rFonts w:cs="Arial"/>
                <w:b/>
                <w:bCs/>
                <w:color w:val="FFFFFF" w:themeColor="background1"/>
                <w:szCs w:val="20"/>
              </w:rPr>
              <w:t>Date of effect</w:t>
            </w:r>
          </w:p>
        </w:tc>
        <w:tc>
          <w:tcPr>
            <w:tcW w:w="5670" w:type="dxa"/>
            <w:shd w:val="clear" w:color="auto" w:fill="595959" w:themeFill="text1" w:themeFillTint="A6"/>
            <w:tcMar>
              <w:top w:w="28" w:type="dxa"/>
              <w:left w:w="108" w:type="dxa"/>
              <w:bottom w:w="28" w:type="dxa"/>
              <w:right w:w="108" w:type="dxa"/>
            </w:tcMar>
            <w:vAlign w:val="center"/>
            <w:hideMark/>
          </w:tcPr>
          <w:p w14:paraId="7FD57E1A" w14:textId="77777777" w:rsidR="00F26AE9" w:rsidRPr="00272D0D" w:rsidRDefault="00F26AE9" w:rsidP="00275E92">
            <w:pPr>
              <w:spacing w:after="0"/>
              <w:rPr>
                <w:rFonts w:eastAsiaTheme="minorHAnsi" w:cs="Arial"/>
                <w:b/>
                <w:bCs/>
                <w:color w:val="FFFFFF" w:themeColor="background1"/>
                <w:szCs w:val="20"/>
              </w:rPr>
            </w:pPr>
            <w:r w:rsidRPr="00272D0D">
              <w:rPr>
                <w:rFonts w:cs="Arial"/>
                <w:b/>
                <w:bCs/>
                <w:color w:val="FFFFFF" w:themeColor="background1"/>
                <w:szCs w:val="20"/>
              </w:rPr>
              <w:t>Comments</w:t>
            </w:r>
          </w:p>
        </w:tc>
      </w:tr>
      <w:tr w:rsidR="00F26AE9" w:rsidRPr="00B971F8" w14:paraId="7A7B890B" w14:textId="77777777" w:rsidTr="00275E92">
        <w:trPr>
          <w:trHeight w:val="129"/>
        </w:trPr>
        <w:tc>
          <w:tcPr>
            <w:tcW w:w="1129" w:type="dxa"/>
            <w:tcMar>
              <w:top w:w="28" w:type="dxa"/>
              <w:left w:w="108" w:type="dxa"/>
              <w:bottom w:w="28" w:type="dxa"/>
              <w:right w:w="108" w:type="dxa"/>
            </w:tcMar>
            <w:vAlign w:val="center"/>
            <w:hideMark/>
          </w:tcPr>
          <w:p w14:paraId="70883580" w14:textId="77777777" w:rsidR="00F26AE9" w:rsidRPr="00265BB7" w:rsidRDefault="00F26AE9" w:rsidP="00275E92">
            <w:pPr>
              <w:spacing w:after="0"/>
              <w:rPr>
                <w:rFonts w:eastAsiaTheme="minorHAnsi" w:cs="Arial"/>
                <w:sz w:val="22"/>
                <w:szCs w:val="22"/>
              </w:rPr>
            </w:pPr>
            <w:r w:rsidRPr="00265BB7">
              <w:rPr>
                <w:rFonts w:cs="Arial"/>
                <w:sz w:val="22"/>
                <w:szCs w:val="22"/>
              </w:rPr>
              <w:t>1.0</w:t>
            </w:r>
          </w:p>
        </w:tc>
        <w:tc>
          <w:tcPr>
            <w:tcW w:w="2268" w:type="dxa"/>
            <w:tcMar>
              <w:top w:w="28" w:type="dxa"/>
              <w:left w:w="108" w:type="dxa"/>
              <w:bottom w:w="28" w:type="dxa"/>
              <w:right w:w="108" w:type="dxa"/>
            </w:tcMar>
            <w:vAlign w:val="center"/>
          </w:tcPr>
          <w:p w14:paraId="3479660A" w14:textId="77777777" w:rsidR="00F26AE9" w:rsidRPr="00265BB7" w:rsidRDefault="00F26AE9" w:rsidP="00275E92">
            <w:pPr>
              <w:spacing w:after="0"/>
              <w:jc w:val="both"/>
              <w:rPr>
                <w:rFonts w:eastAsiaTheme="minorHAnsi" w:cs="Arial"/>
                <w:sz w:val="22"/>
                <w:szCs w:val="22"/>
              </w:rPr>
            </w:pPr>
            <w:r w:rsidRPr="00265BB7">
              <w:rPr>
                <w:rFonts w:eastAsiaTheme="minorHAnsi" w:cs="Arial"/>
                <w:sz w:val="22"/>
                <w:szCs w:val="22"/>
              </w:rPr>
              <w:t>1 January 2012</w:t>
            </w:r>
          </w:p>
        </w:tc>
        <w:tc>
          <w:tcPr>
            <w:tcW w:w="5670" w:type="dxa"/>
            <w:tcMar>
              <w:top w:w="28" w:type="dxa"/>
              <w:left w:w="108" w:type="dxa"/>
              <w:bottom w:w="28" w:type="dxa"/>
              <w:right w:w="108" w:type="dxa"/>
            </w:tcMar>
            <w:vAlign w:val="center"/>
            <w:hideMark/>
          </w:tcPr>
          <w:p w14:paraId="304C4EE6" w14:textId="77777777" w:rsidR="00F26AE9" w:rsidRPr="00265BB7" w:rsidRDefault="00F26AE9" w:rsidP="00275E92">
            <w:pPr>
              <w:spacing w:after="0"/>
              <w:rPr>
                <w:rFonts w:eastAsiaTheme="minorHAnsi" w:cs="Arial"/>
                <w:sz w:val="22"/>
                <w:szCs w:val="22"/>
              </w:rPr>
            </w:pPr>
            <w:r w:rsidRPr="00265BB7">
              <w:rPr>
                <w:rFonts w:cs="Arial"/>
                <w:sz w:val="22"/>
                <w:szCs w:val="22"/>
              </w:rPr>
              <w:t xml:space="preserve">Initial release </w:t>
            </w:r>
          </w:p>
        </w:tc>
      </w:tr>
      <w:tr w:rsidR="00F26AE9" w:rsidRPr="00B971F8" w14:paraId="68962C79" w14:textId="77777777" w:rsidTr="00275E92">
        <w:trPr>
          <w:trHeight w:val="129"/>
        </w:trPr>
        <w:tc>
          <w:tcPr>
            <w:tcW w:w="1129" w:type="dxa"/>
            <w:tcMar>
              <w:top w:w="28" w:type="dxa"/>
              <w:left w:w="108" w:type="dxa"/>
              <w:bottom w:w="28" w:type="dxa"/>
              <w:right w:w="108" w:type="dxa"/>
            </w:tcMar>
            <w:vAlign w:val="center"/>
          </w:tcPr>
          <w:p w14:paraId="704573BD" w14:textId="77777777" w:rsidR="00F26AE9" w:rsidRPr="00265BB7" w:rsidRDefault="00F26AE9" w:rsidP="00275E92">
            <w:pPr>
              <w:spacing w:after="0"/>
              <w:rPr>
                <w:rFonts w:cs="Arial"/>
                <w:sz w:val="22"/>
                <w:szCs w:val="22"/>
              </w:rPr>
            </w:pPr>
            <w:r w:rsidRPr="00265BB7">
              <w:rPr>
                <w:rFonts w:cs="Arial"/>
                <w:sz w:val="22"/>
                <w:szCs w:val="22"/>
              </w:rPr>
              <w:t>2.0</w:t>
            </w:r>
          </w:p>
        </w:tc>
        <w:tc>
          <w:tcPr>
            <w:tcW w:w="2268" w:type="dxa"/>
            <w:tcMar>
              <w:top w:w="28" w:type="dxa"/>
              <w:left w:w="108" w:type="dxa"/>
              <w:bottom w:w="28" w:type="dxa"/>
              <w:right w:w="108" w:type="dxa"/>
            </w:tcMar>
            <w:vAlign w:val="center"/>
          </w:tcPr>
          <w:p w14:paraId="33760688" w14:textId="77777777" w:rsidR="00F26AE9" w:rsidRPr="00265BB7" w:rsidRDefault="00F26AE9" w:rsidP="00275E92">
            <w:pPr>
              <w:spacing w:after="0"/>
              <w:rPr>
                <w:rFonts w:eastAsiaTheme="minorHAnsi" w:cs="Arial"/>
                <w:sz w:val="22"/>
                <w:szCs w:val="22"/>
              </w:rPr>
            </w:pPr>
            <w:r w:rsidRPr="00265BB7">
              <w:rPr>
                <w:rFonts w:eastAsiaTheme="minorHAnsi" w:cs="Arial"/>
                <w:sz w:val="22"/>
                <w:szCs w:val="22"/>
              </w:rPr>
              <w:t xml:space="preserve">5 September 2023 </w:t>
            </w:r>
          </w:p>
        </w:tc>
        <w:tc>
          <w:tcPr>
            <w:tcW w:w="5670" w:type="dxa"/>
            <w:tcMar>
              <w:top w:w="28" w:type="dxa"/>
              <w:left w:w="108" w:type="dxa"/>
              <w:bottom w:w="28" w:type="dxa"/>
              <w:right w:w="108" w:type="dxa"/>
            </w:tcMar>
            <w:vAlign w:val="center"/>
          </w:tcPr>
          <w:p w14:paraId="51E56666" w14:textId="77777777" w:rsidR="00F26AE9" w:rsidRPr="00265BB7" w:rsidRDefault="00F26AE9" w:rsidP="00275E92">
            <w:pPr>
              <w:spacing w:after="0"/>
              <w:rPr>
                <w:rFonts w:cs="Arial"/>
                <w:sz w:val="22"/>
                <w:szCs w:val="22"/>
              </w:rPr>
            </w:pPr>
            <w:r w:rsidRPr="00265BB7">
              <w:rPr>
                <w:rFonts w:cs="Arial"/>
                <w:sz w:val="22"/>
                <w:szCs w:val="22"/>
              </w:rPr>
              <w:t xml:space="preserve">Revised draft for </w:t>
            </w:r>
            <w:hyperlink r:id="rId14" w:history="1">
              <w:r w:rsidRPr="00265BB7">
                <w:rPr>
                  <w:rStyle w:val="Hyperlink"/>
                  <w:rFonts w:cs="Arial"/>
                  <w:sz w:val="22"/>
                  <w:szCs w:val="22"/>
                </w:rPr>
                <w:t>consultation</w:t>
              </w:r>
            </w:hyperlink>
            <w:r w:rsidRPr="00265BB7">
              <w:rPr>
                <w:rFonts w:cs="Arial"/>
                <w:sz w:val="22"/>
                <w:szCs w:val="22"/>
              </w:rPr>
              <w:t xml:space="preserve"> </w:t>
            </w:r>
          </w:p>
        </w:tc>
      </w:tr>
      <w:tr w:rsidR="00F26AE9" w:rsidRPr="00B971F8" w14:paraId="70ACB9E2" w14:textId="77777777" w:rsidTr="00275E92">
        <w:trPr>
          <w:trHeight w:val="129"/>
        </w:trPr>
        <w:tc>
          <w:tcPr>
            <w:tcW w:w="1129" w:type="dxa"/>
            <w:tcMar>
              <w:top w:w="28" w:type="dxa"/>
              <w:left w:w="108" w:type="dxa"/>
              <w:bottom w:w="28" w:type="dxa"/>
              <w:right w:w="108" w:type="dxa"/>
            </w:tcMar>
            <w:vAlign w:val="center"/>
          </w:tcPr>
          <w:p w14:paraId="6434FA7E" w14:textId="71138918" w:rsidR="00F26AE9" w:rsidRPr="00265BB7" w:rsidRDefault="00F26AE9" w:rsidP="00275E92">
            <w:pPr>
              <w:spacing w:after="0"/>
              <w:rPr>
                <w:rFonts w:cs="Arial"/>
                <w:sz w:val="22"/>
                <w:szCs w:val="22"/>
              </w:rPr>
            </w:pPr>
            <w:r w:rsidRPr="00265BB7">
              <w:rPr>
                <w:rFonts w:cs="Arial"/>
                <w:sz w:val="22"/>
                <w:szCs w:val="22"/>
              </w:rPr>
              <w:t>2.1</w:t>
            </w:r>
          </w:p>
        </w:tc>
        <w:tc>
          <w:tcPr>
            <w:tcW w:w="2268" w:type="dxa"/>
            <w:tcMar>
              <w:top w:w="28" w:type="dxa"/>
              <w:left w:w="108" w:type="dxa"/>
              <w:bottom w:w="28" w:type="dxa"/>
              <w:right w:w="108" w:type="dxa"/>
            </w:tcMar>
            <w:vAlign w:val="center"/>
          </w:tcPr>
          <w:p w14:paraId="5F7A9A20" w14:textId="49779C44" w:rsidR="00F26AE9" w:rsidRPr="00265BB7" w:rsidRDefault="00B10172" w:rsidP="00275E92">
            <w:pPr>
              <w:spacing w:after="0"/>
              <w:rPr>
                <w:rFonts w:eastAsiaTheme="minorHAnsi" w:cs="Arial"/>
                <w:sz w:val="22"/>
                <w:szCs w:val="22"/>
              </w:rPr>
            </w:pPr>
            <w:r>
              <w:rPr>
                <w:rFonts w:eastAsiaTheme="minorHAnsi" w:cs="Arial"/>
                <w:sz w:val="22"/>
                <w:szCs w:val="22"/>
              </w:rPr>
              <w:t>May</w:t>
            </w:r>
            <w:r w:rsidRPr="00265BB7">
              <w:rPr>
                <w:rFonts w:eastAsiaTheme="minorHAnsi" w:cs="Arial"/>
                <w:sz w:val="22"/>
                <w:szCs w:val="22"/>
              </w:rPr>
              <w:t xml:space="preserve"> </w:t>
            </w:r>
            <w:r w:rsidR="00F26AE9" w:rsidRPr="00265BB7">
              <w:rPr>
                <w:rFonts w:eastAsiaTheme="minorHAnsi" w:cs="Arial"/>
                <w:sz w:val="22"/>
                <w:szCs w:val="22"/>
              </w:rPr>
              <w:t>2025</w:t>
            </w:r>
          </w:p>
        </w:tc>
        <w:tc>
          <w:tcPr>
            <w:tcW w:w="5670" w:type="dxa"/>
            <w:tcMar>
              <w:top w:w="28" w:type="dxa"/>
              <w:left w:w="108" w:type="dxa"/>
              <w:bottom w:w="28" w:type="dxa"/>
              <w:right w:w="108" w:type="dxa"/>
            </w:tcMar>
            <w:vAlign w:val="center"/>
          </w:tcPr>
          <w:p w14:paraId="7D779C1B" w14:textId="77777777" w:rsidR="00F26AE9" w:rsidRPr="00265BB7" w:rsidRDefault="00F26AE9" w:rsidP="00275E92">
            <w:pPr>
              <w:spacing w:after="0"/>
              <w:rPr>
                <w:rFonts w:cs="Arial"/>
                <w:sz w:val="22"/>
                <w:szCs w:val="22"/>
              </w:rPr>
            </w:pPr>
            <w:r w:rsidRPr="00265BB7">
              <w:rPr>
                <w:rFonts w:cs="Arial"/>
                <w:sz w:val="22"/>
                <w:szCs w:val="22"/>
              </w:rPr>
              <w:t xml:space="preserve">Updated after consultation </w:t>
            </w:r>
          </w:p>
        </w:tc>
      </w:tr>
    </w:tbl>
    <w:p w14:paraId="551266BD" w14:textId="77777777" w:rsidR="0053098B" w:rsidRDefault="0053098B">
      <w:pPr>
        <w:spacing w:after="0" w:line="240" w:lineRule="auto"/>
        <w:rPr>
          <w:sz w:val="13"/>
        </w:rPr>
      </w:pPr>
      <w:r>
        <w:br w:type="page"/>
      </w:r>
    </w:p>
    <w:p w14:paraId="582D513C" w14:textId="77777777" w:rsidR="00D16FE3" w:rsidRPr="00A17B1B" w:rsidRDefault="00D16FE3" w:rsidP="00D16FE3">
      <w:pPr>
        <w:pStyle w:val="ACMACorporateAddresses"/>
        <w:sectPr w:rsidR="00D16FE3" w:rsidRPr="00A17B1B" w:rsidSect="005A62E5">
          <w:headerReference w:type="even" r:id="rId15"/>
          <w:headerReference w:type="default" r:id="rId16"/>
          <w:footerReference w:type="even" r:id="rId17"/>
          <w:footerReference w:type="default" r:id="rId18"/>
          <w:pgSz w:w="11906" w:h="16838" w:code="9"/>
          <w:pgMar w:top="3924" w:right="1418" w:bottom="1134" w:left="1418" w:header="709" w:footer="119" w:gutter="0"/>
          <w:cols w:space="708"/>
          <w:docGrid w:linePitch="360"/>
        </w:sectPr>
      </w:pPr>
    </w:p>
    <w:p w14:paraId="49342B83" w14:textId="4C46BC93" w:rsidR="00E60FA2" w:rsidRDefault="00DF0799">
      <w:pPr>
        <w:pStyle w:val="TOC1"/>
        <w:tabs>
          <w:tab w:val="left" w:pos="885"/>
        </w:tabs>
        <w:rPr>
          <w:rFonts w:asciiTheme="minorHAnsi" w:eastAsiaTheme="minorEastAsia" w:hAnsiTheme="minorHAnsi" w:cstheme="minorBidi"/>
          <w:b w:val="0"/>
          <w:spacing w:val="0"/>
          <w:kern w:val="2"/>
          <w:sz w:val="24"/>
          <w14:ligatures w14:val="standardContextual"/>
        </w:rPr>
      </w:pPr>
      <w:r w:rsidRPr="00A17B1B">
        <w:lastRenderedPageBreak/>
        <w:fldChar w:fldCharType="begin"/>
      </w:r>
      <w:r w:rsidRPr="00A17B1B">
        <w:instrText xml:space="preserve"> TOC \o "1-3" \h \z \t "Exec summary heading,1" </w:instrText>
      </w:r>
      <w:r w:rsidRPr="00A17B1B">
        <w:fldChar w:fldCharType="separate"/>
      </w:r>
      <w:hyperlink w:anchor="_Toc198287994" w:history="1">
        <w:r w:rsidR="00E60FA2" w:rsidRPr="00355C09">
          <w:rPr>
            <w:rStyle w:val="Hyperlink"/>
          </w:rPr>
          <w:t>1</w:t>
        </w:r>
        <w:r w:rsidR="00E60FA2">
          <w:rPr>
            <w:rFonts w:asciiTheme="minorHAnsi" w:eastAsiaTheme="minorEastAsia" w:hAnsiTheme="minorHAnsi" w:cstheme="minorBidi"/>
            <w:b w:val="0"/>
            <w:spacing w:val="0"/>
            <w:kern w:val="2"/>
            <w:sz w:val="24"/>
            <w14:ligatures w14:val="standardContextual"/>
          </w:rPr>
          <w:tab/>
        </w:r>
        <w:r w:rsidR="00E60FA2" w:rsidRPr="00355C09">
          <w:rPr>
            <w:rStyle w:val="Hyperlink"/>
          </w:rPr>
          <w:t>Introduction</w:t>
        </w:r>
        <w:r w:rsidR="00E60FA2">
          <w:rPr>
            <w:webHidden/>
          </w:rPr>
          <w:tab/>
        </w:r>
        <w:r w:rsidR="00E60FA2">
          <w:rPr>
            <w:webHidden/>
          </w:rPr>
          <w:fldChar w:fldCharType="begin"/>
        </w:r>
        <w:r w:rsidR="00E60FA2">
          <w:rPr>
            <w:webHidden/>
          </w:rPr>
          <w:instrText xml:space="preserve"> PAGEREF _Toc198287994 \h </w:instrText>
        </w:r>
        <w:r w:rsidR="00E60FA2">
          <w:rPr>
            <w:webHidden/>
          </w:rPr>
        </w:r>
        <w:r w:rsidR="00E60FA2">
          <w:rPr>
            <w:webHidden/>
          </w:rPr>
          <w:fldChar w:fldCharType="separate"/>
        </w:r>
        <w:r w:rsidR="00E60FA2">
          <w:rPr>
            <w:webHidden/>
          </w:rPr>
          <w:t>1</w:t>
        </w:r>
        <w:r w:rsidR="00E60FA2">
          <w:rPr>
            <w:webHidden/>
          </w:rPr>
          <w:fldChar w:fldCharType="end"/>
        </w:r>
      </w:hyperlink>
    </w:p>
    <w:p w14:paraId="71761D46" w14:textId="0B3FB47B"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7995" w:history="1">
        <w:r w:rsidRPr="00355C09">
          <w:rPr>
            <w:rStyle w:val="Hyperlink"/>
            <w:snapToGrid w:val="0"/>
            <w:lang w:eastAsia="en-US"/>
          </w:rPr>
          <w:t>1.1</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Purpose</w:t>
        </w:r>
        <w:r>
          <w:rPr>
            <w:webHidden/>
          </w:rPr>
          <w:tab/>
        </w:r>
        <w:r>
          <w:rPr>
            <w:webHidden/>
          </w:rPr>
          <w:fldChar w:fldCharType="begin"/>
        </w:r>
        <w:r>
          <w:rPr>
            <w:webHidden/>
          </w:rPr>
          <w:instrText xml:space="preserve"> PAGEREF _Toc198287995 \h </w:instrText>
        </w:r>
        <w:r>
          <w:rPr>
            <w:webHidden/>
          </w:rPr>
        </w:r>
        <w:r>
          <w:rPr>
            <w:webHidden/>
          </w:rPr>
          <w:fldChar w:fldCharType="separate"/>
        </w:r>
        <w:r>
          <w:rPr>
            <w:webHidden/>
          </w:rPr>
          <w:t>1</w:t>
        </w:r>
        <w:r>
          <w:rPr>
            <w:webHidden/>
          </w:rPr>
          <w:fldChar w:fldCharType="end"/>
        </w:r>
      </w:hyperlink>
    </w:p>
    <w:p w14:paraId="5B4DFAB8" w14:textId="677356A0"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7996" w:history="1">
        <w:r w:rsidRPr="00355C09">
          <w:rPr>
            <w:rStyle w:val="Hyperlink"/>
          </w:rPr>
          <w:t>1.1.1</w:t>
        </w:r>
        <w:r>
          <w:rPr>
            <w:rFonts w:asciiTheme="minorHAnsi" w:eastAsiaTheme="minorEastAsia" w:hAnsiTheme="minorHAnsi" w:cstheme="minorBidi"/>
            <w:kern w:val="2"/>
            <w:sz w:val="24"/>
            <w:szCs w:val="24"/>
            <w14:ligatures w14:val="standardContextual"/>
          </w:rPr>
          <w:tab/>
        </w:r>
        <w:r w:rsidRPr="00355C09">
          <w:rPr>
            <w:rStyle w:val="Hyperlink"/>
          </w:rPr>
          <w:t>Applications outside of current policy</w:t>
        </w:r>
        <w:r>
          <w:rPr>
            <w:webHidden/>
          </w:rPr>
          <w:tab/>
        </w:r>
        <w:r>
          <w:rPr>
            <w:webHidden/>
          </w:rPr>
          <w:fldChar w:fldCharType="begin"/>
        </w:r>
        <w:r>
          <w:rPr>
            <w:webHidden/>
          </w:rPr>
          <w:instrText xml:space="preserve"> PAGEREF _Toc198287996 \h </w:instrText>
        </w:r>
        <w:r>
          <w:rPr>
            <w:webHidden/>
          </w:rPr>
        </w:r>
        <w:r>
          <w:rPr>
            <w:webHidden/>
          </w:rPr>
          <w:fldChar w:fldCharType="separate"/>
        </w:r>
        <w:r>
          <w:rPr>
            <w:webHidden/>
          </w:rPr>
          <w:t>1</w:t>
        </w:r>
        <w:r>
          <w:rPr>
            <w:webHidden/>
          </w:rPr>
          <w:fldChar w:fldCharType="end"/>
        </w:r>
      </w:hyperlink>
    </w:p>
    <w:p w14:paraId="59983B16" w14:textId="5EA39693"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7997" w:history="1">
        <w:r w:rsidRPr="00355C09">
          <w:rPr>
            <w:rStyle w:val="Hyperlink"/>
            <w:snapToGrid w:val="0"/>
            <w:lang w:eastAsia="en-US"/>
          </w:rPr>
          <w:t>1.2</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Background</w:t>
        </w:r>
        <w:r>
          <w:rPr>
            <w:webHidden/>
          </w:rPr>
          <w:tab/>
        </w:r>
        <w:r>
          <w:rPr>
            <w:webHidden/>
          </w:rPr>
          <w:fldChar w:fldCharType="begin"/>
        </w:r>
        <w:r>
          <w:rPr>
            <w:webHidden/>
          </w:rPr>
          <w:instrText xml:space="preserve"> PAGEREF _Toc198287997 \h </w:instrText>
        </w:r>
        <w:r>
          <w:rPr>
            <w:webHidden/>
          </w:rPr>
        </w:r>
        <w:r>
          <w:rPr>
            <w:webHidden/>
          </w:rPr>
          <w:fldChar w:fldCharType="separate"/>
        </w:r>
        <w:r>
          <w:rPr>
            <w:webHidden/>
          </w:rPr>
          <w:t>1</w:t>
        </w:r>
        <w:r>
          <w:rPr>
            <w:webHidden/>
          </w:rPr>
          <w:fldChar w:fldCharType="end"/>
        </w:r>
      </w:hyperlink>
    </w:p>
    <w:p w14:paraId="401F9774" w14:textId="4C74B41F"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7998" w:history="1">
        <w:r w:rsidRPr="00355C09">
          <w:rPr>
            <w:rStyle w:val="Hyperlink"/>
          </w:rPr>
          <w:t>1.2.1</w:t>
        </w:r>
        <w:r>
          <w:rPr>
            <w:rFonts w:asciiTheme="minorHAnsi" w:eastAsiaTheme="minorEastAsia" w:hAnsiTheme="minorHAnsi" w:cstheme="minorBidi"/>
            <w:kern w:val="2"/>
            <w:sz w:val="24"/>
            <w:szCs w:val="24"/>
            <w14:ligatures w14:val="standardContextual"/>
          </w:rPr>
          <w:tab/>
        </w:r>
        <w:r w:rsidRPr="00355C09">
          <w:rPr>
            <w:rStyle w:val="Hyperlink"/>
          </w:rPr>
          <w:t xml:space="preserve">Satellite filing and </w:t>
        </w:r>
        <w:r w:rsidRPr="00355C09">
          <w:rPr>
            <w:rStyle w:val="Hyperlink"/>
            <w:shd w:val="clear" w:color="auto" w:fill="FFFFFF"/>
          </w:rPr>
          <w:t>International Telecommunication Union (ITU)</w:t>
        </w:r>
        <w:r>
          <w:rPr>
            <w:webHidden/>
          </w:rPr>
          <w:tab/>
        </w:r>
        <w:r>
          <w:rPr>
            <w:webHidden/>
          </w:rPr>
          <w:fldChar w:fldCharType="begin"/>
        </w:r>
        <w:r>
          <w:rPr>
            <w:webHidden/>
          </w:rPr>
          <w:instrText xml:space="preserve"> PAGEREF _Toc198287998 \h </w:instrText>
        </w:r>
        <w:r>
          <w:rPr>
            <w:webHidden/>
          </w:rPr>
        </w:r>
        <w:r>
          <w:rPr>
            <w:webHidden/>
          </w:rPr>
          <w:fldChar w:fldCharType="separate"/>
        </w:r>
        <w:r>
          <w:rPr>
            <w:webHidden/>
          </w:rPr>
          <w:t>1</w:t>
        </w:r>
        <w:r>
          <w:rPr>
            <w:webHidden/>
          </w:rPr>
          <w:fldChar w:fldCharType="end"/>
        </w:r>
      </w:hyperlink>
    </w:p>
    <w:p w14:paraId="17021C87" w14:textId="5AC8290D"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7999" w:history="1">
        <w:r w:rsidRPr="00355C09">
          <w:rPr>
            <w:rStyle w:val="Hyperlink"/>
          </w:rPr>
          <w:t>1.2.2</w:t>
        </w:r>
        <w:r>
          <w:rPr>
            <w:rFonts w:asciiTheme="minorHAnsi" w:eastAsiaTheme="minorEastAsia" w:hAnsiTheme="minorHAnsi" w:cstheme="minorBidi"/>
            <w:kern w:val="2"/>
            <w:sz w:val="24"/>
            <w:szCs w:val="24"/>
            <w14:ligatures w14:val="standardContextual"/>
          </w:rPr>
          <w:tab/>
        </w:r>
        <w:r w:rsidRPr="00355C09">
          <w:rPr>
            <w:rStyle w:val="Hyperlink"/>
          </w:rPr>
          <w:t>Role of the ACMA</w:t>
        </w:r>
        <w:r>
          <w:rPr>
            <w:webHidden/>
          </w:rPr>
          <w:tab/>
        </w:r>
        <w:r>
          <w:rPr>
            <w:webHidden/>
          </w:rPr>
          <w:fldChar w:fldCharType="begin"/>
        </w:r>
        <w:r>
          <w:rPr>
            <w:webHidden/>
          </w:rPr>
          <w:instrText xml:space="preserve"> PAGEREF _Toc198287999 \h </w:instrText>
        </w:r>
        <w:r>
          <w:rPr>
            <w:webHidden/>
          </w:rPr>
        </w:r>
        <w:r>
          <w:rPr>
            <w:webHidden/>
          </w:rPr>
          <w:fldChar w:fldCharType="separate"/>
        </w:r>
        <w:r>
          <w:rPr>
            <w:webHidden/>
          </w:rPr>
          <w:t>2</w:t>
        </w:r>
        <w:r>
          <w:rPr>
            <w:webHidden/>
          </w:rPr>
          <w:fldChar w:fldCharType="end"/>
        </w:r>
      </w:hyperlink>
    </w:p>
    <w:p w14:paraId="470D2349" w14:textId="166B77BC"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00" w:history="1">
        <w:r w:rsidRPr="00355C09">
          <w:rPr>
            <w:rStyle w:val="Hyperlink"/>
          </w:rPr>
          <w:t>1.2.3</w:t>
        </w:r>
        <w:r>
          <w:rPr>
            <w:rFonts w:asciiTheme="minorHAnsi" w:eastAsiaTheme="minorEastAsia" w:hAnsiTheme="minorHAnsi" w:cstheme="minorBidi"/>
            <w:kern w:val="2"/>
            <w:sz w:val="24"/>
            <w:szCs w:val="24"/>
            <w14:ligatures w14:val="standardContextual"/>
          </w:rPr>
          <w:tab/>
        </w:r>
        <w:r w:rsidRPr="00355C09">
          <w:rPr>
            <w:rStyle w:val="Hyperlink"/>
          </w:rPr>
          <w:t>Use of an ITU satellite filing</w:t>
        </w:r>
        <w:r>
          <w:rPr>
            <w:webHidden/>
          </w:rPr>
          <w:tab/>
        </w:r>
        <w:r>
          <w:rPr>
            <w:webHidden/>
          </w:rPr>
          <w:fldChar w:fldCharType="begin"/>
        </w:r>
        <w:r>
          <w:rPr>
            <w:webHidden/>
          </w:rPr>
          <w:instrText xml:space="preserve"> PAGEREF _Toc198288000 \h </w:instrText>
        </w:r>
        <w:r>
          <w:rPr>
            <w:webHidden/>
          </w:rPr>
        </w:r>
        <w:r>
          <w:rPr>
            <w:webHidden/>
          </w:rPr>
          <w:fldChar w:fldCharType="separate"/>
        </w:r>
        <w:r>
          <w:rPr>
            <w:webHidden/>
          </w:rPr>
          <w:t>2</w:t>
        </w:r>
        <w:r>
          <w:rPr>
            <w:webHidden/>
          </w:rPr>
          <w:fldChar w:fldCharType="end"/>
        </w:r>
      </w:hyperlink>
    </w:p>
    <w:p w14:paraId="5E0F82DB" w14:textId="3EA53F31"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01" w:history="1">
        <w:r w:rsidRPr="00355C09">
          <w:rPr>
            <w:rStyle w:val="Hyperlink"/>
          </w:rPr>
          <w:t>1.2.4</w:t>
        </w:r>
        <w:r>
          <w:rPr>
            <w:rFonts w:asciiTheme="minorHAnsi" w:eastAsiaTheme="minorEastAsia" w:hAnsiTheme="minorHAnsi" w:cstheme="minorBidi"/>
            <w:kern w:val="2"/>
            <w:sz w:val="24"/>
            <w:szCs w:val="24"/>
            <w14:ligatures w14:val="standardContextual"/>
          </w:rPr>
          <w:tab/>
        </w:r>
        <w:r w:rsidRPr="00355C09">
          <w:rPr>
            <w:rStyle w:val="Hyperlink"/>
          </w:rPr>
          <w:t>Filing does not confer a right to licence</w:t>
        </w:r>
        <w:r>
          <w:rPr>
            <w:webHidden/>
          </w:rPr>
          <w:tab/>
        </w:r>
        <w:r>
          <w:rPr>
            <w:webHidden/>
          </w:rPr>
          <w:fldChar w:fldCharType="begin"/>
        </w:r>
        <w:r>
          <w:rPr>
            <w:webHidden/>
          </w:rPr>
          <w:instrText xml:space="preserve"> PAGEREF _Toc198288001 \h </w:instrText>
        </w:r>
        <w:r>
          <w:rPr>
            <w:webHidden/>
          </w:rPr>
        </w:r>
        <w:r>
          <w:rPr>
            <w:webHidden/>
          </w:rPr>
          <w:fldChar w:fldCharType="separate"/>
        </w:r>
        <w:r>
          <w:rPr>
            <w:webHidden/>
          </w:rPr>
          <w:t>3</w:t>
        </w:r>
        <w:r>
          <w:rPr>
            <w:webHidden/>
          </w:rPr>
          <w:fldChar w:fldCharType="end"/>
        </w:r>
      </w:hyperlink>
    </w:p>
    <w:p w14:paraId="141BF583" w14:textId="50EFFAE3"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02" w:history="1">
        <w:r w:rsidRPr="00355C09">
          <w:rPr>
            <w:rStyle w:val="Hyperlink"/>
          </w:rPr>
          <w:t>1.2.5</w:t>
        </w:r>
        <w:r>
          <w:rPr>
            <w:rFonts w:asciiTheme="minorHAnsi" w:eastAsiaTheme="minorEastAsia" w:hAnsiTheme="minorHAnsi" w:cstheme="minorBidi"/>
            <w:kern w:val="2"/>
            <w:sz w:val="24"/>
            <w:szCs w:val="24"/>
            <w14:ligatures w14:val="standardContextual"/>
          </w:rPr>
          <w:tab/>
        </w:r>
        <w:r w:rsidRPr="00355C09">
          <w:rPr>
            <w:rStyle w:val="Hyperlink"/>
          </w:rPr>
          <w:t>Cost recovery</w:t>
        </w:r>
        <w:r>
          <w:rPr>
            <w:webHidden/>
          </w:rPr>
          <w:tab/>
        </w:r>
        <w:r>
          <w:rPr>
            <w:webHidden/>
          </w:rPr>
          <w:fldChar w:fldCharType="begin"/>
        </w:r>
        <w:r>
          <w:rPr>
            <w:webHidden/>
          </w:rPr>
          <w:instrText xml:space="preserve"> PAGEREF _Toc198288002 \h </w:instrText>
        </w:r>
        <w:r>
          <w:rPr>
            <w:webHidden/>
          </w:rPr>
        </w:r>
        <w:r>
          <w:rPr>
            <w:webHidden/>
          </w:rPr>
          <w:fldChar w:fldCharType="separate"/>
        </w:r>
        <w:r>
          <w:rPr>
            <w:webHidden/>
          </w:rPr>
          <w:t>3</w:t>
        </w:r>
        <w:r>
          <w:rPr>
            <w:webHidden/>
          </w:rPr>
          <w:fldChar w:fldCharType="end"/>
        </w:r>
      </w:hyperlink>
    </w:p>
    <w:p w14:paraId="0FA64FED" w14:textId="2E20F553"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03" w:history="1">
        <w:r w:rsidRPr="00355C09">
          <w:rPr>
            <w:rStyle w:val="Hyperlink"/>
            <w:snapToGrid w:val="0"/>
            <w:lang w:eastAsia="en-US"/>
          </w:rPr>
          <w:t>1.3</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Scope</w:t>
        </w:r>
        <w:r>
          <w:rPr>
            <w:webHidden/>
          </w:rPr>
          <w:tab/>
        </w:r>
        <w:r>
          <w:rPr>
            <w:webHidden/>
          </w:rPr>
          <w:fldChar w:fldCharType="begin"/>
        </w:r>
        <w:r>
          <w:rPr>
            <w:webHidden/>
          </w:rPr>
          <w:instrText xml:space="preserve"> PAGEREF _Toc198288003 \h </w:instrText>
        </w:r>
        <w:r>
          <w:rPr>
            <w:webHidden/>
          </w:rPr>
        </w:r>
        <w:r>
          <w:rPr>
            <w:webHidden/>
          </w:rPr>
          <w:fldChar w:fldCharType="separate"/>
        </w:r>
        <w:r>
          <w:rPr>
            <w:webHidden/>
          </w:rPr>
          <w:t>3</w:t>
        </w:r>
        <w:r>
          <w:rPr>
            <w:webHidden/>
          </w:rPr>
          <w:fldChar w:fldCharType="end"/>
        </w:r>
      </w:hyperlink>
    </w:p>
    <w:p w14:paraId="7A54E673" w14:textId="35510945"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04" w:history="1">
        <w:r w:rsidRPr="00355C09">
          <w:rPr>
            <w:rStyle w:val="Hyperlink"/>
          </w:rPr>
          <w:t>1.4</w:t>
        </w:r>
        <w:r>
          <w:rPr>
            <w:rFonts w:asciiTheme="minorHAnsi" w:eastAsiaTheme="minorEastAsia" w:hAnsiTheme="minorHAnsi" w:cstheme="minorBidi"/>
            <w:spacing w:val="0"/>
            <w:kern w:val="2"/>
            <w:sz w:val="24"/>
            <w:szCs w:val="24"/>
            <w14:ligatures w14:val="standardContextual"/>
          </w:rPr>
          <w:tab/>
        </w:r>
        <w:r w:rsidRPr="00355C09">
          <w:rPr>
            <w:rStyle w:val="Hyperlink"/>
          </w:rPr>
          <w:t>Matters not in scope</w:t>
        </w:r>
        <w:r>
          <w:rPr>
            <w:webHidden/>
          </w:rPr>
          <w:tab/>
        </w:r>
        <w:r>
          <w:rPr>
            <w:webHidden/>
          </w:rPr>
          <w:fldChar w:fldCharType="begin"/>
        </w:r>
        <w:r>
          <w:rPr>
            <w:webHidden/>
          </w:rPr>
          <w:instrText xml:space="preserve"> PAGEREF _Toc198288004 \h </w:instrText>
        </w:r>
        <w:r>
          <w:rPr>
            <w:webHidden/>
          </w:rPr>
        </w:r>
        <w:r>
          <w:rPr>
            <w:webHidden/>
          </w:rPr>
          <w:fldChar w:fldCharType="separate"/>
        </w:r>
        <w:r>
          <w:rPr>
            <w:webHidden/>
          </w:rPr>
          <w:t>4</w:t>
        </w:r>
        <w:r>
          <w:rPr>
            <w:webHidden/>
          </w:rPr>
          <w:fldChar w:fldCharType="end"/>
        </w:r>
      </w:hyperlink>
    </w:p>
    <w:p w14:paraId="2619C230" w14:textId="2F467BD4"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05" w:history="1">
        <w:r w:rsidRPr="00355C09">
          <w:rPr>
            <w:rStyle w:val="Hyperlink"/>
          </w:rPr>
          <w:t>1.4.1</w:t>
        </w:r>
        <w:r>
          <w:rPr>
            <w:rFonts w:asciiTheme="minorHAnsi" w:eastAsiaTheme="minorEastAsia" w:hAnsiTheme="minorHAnsi" w:cstheme="minorBidi"/>
            <w:kern w:val="2"/>
            <w:sz w:val="24"/>
            <w:szCs w:val="24"/>
            <w14:ligatures w14:val="standardContextual"/>
          </w:rPr>
          <w:tab/>
        </w:r>
        <w:r w:rsidRPr="00355C09">
          <w:rPr>
            <w:rStyle w:val="Hyperlink"/>
          </w:rPr>
          <w:t>Deeds of agreement</w:t>
        </w:r>
        <w:r>
          <w:rPr>
            <w:webHidden/>
          </w:rPr>
          <w:tab/>
        </w:r>
        <w:r>
          <w:rPr>
            <w:webHidden/>
          </w:rPr>
          <w:fldChar w:fldCharType="begin"/>
        </w:r>
        <w:r>
          <w:rPr>
            <w:webHidden/>
          </w:rPr>
          <w:instrText xml:space="preserve"> PAGEREF _Toc198288005 \h </w:instrText>
        </w:r>
        <w:r>
          <w:rPr>
            <w:webHidden/>
          </w:rPr>
        </w:r>
        <w:r>
          <w:rPr>
            <w:webHidden/>
          </w:rPr>
          <w:fldChar w:fldCharType="separate"/>
        </w:r>
        <w:r>
          <w:rPr>
            <w:webHidden/>
          </w:rPr>
          <w:t>4</w:t>
        </w:r>
        <w:r>
          <w:rPr>
            <w:webHidden/>
          </w:rPr>
          <w:fldChar w:fldCharType="end"/>
        </w:r>
      </w:hyperlink>
    </w:p>
    <w:p w14:paraId="453B8161" w14:textId="4391EC04"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06" w:history="1">
        <w:r w:rsidRPr="00355C09">
          <w:rPr>
            <w:rStyle w:val="Hyperlink"/>
          </w:rPr>
          <w:t>1.4.2</w:t>
        </w:r>
        <w:r>
          <w:rPr>
            <w:rFonts w:asciiTheme="minorHAnsi" w:eastAsiaTheme="minorEastAsia" w:hAnsiTheme="minorHAnsi" w:cstheme="minorBidi"/>
            <w:kern w:val="2"/>
            <w:sz w:val="24"/>
            <w:szCs w:val="24"/>
            <w14:ligatures w14:val="standardContextual"/>
          </w:rPr>
          <w:tab/>
        </w:r>
        <w:r w:rsidRPr="00355C09">
          <w:rPr>
            <w:rStyle w:val="Hyperlink"/>
          </w:rPr>
          <w:t>Radiocommunications licensing</w:t>
        </w:r>
        <w:r>
          <w:rPr>
            <w:webHidden/>
          </w:rPr>
          <w:tab/>
        </w:r>
        <w:r>
          <w:rPr>
            <w:webHidden/>
          </w:rPr>
          <w:fldChar w:fldCharType="begin"/>
        </w:r>
        <w:r>
          <w:rPr>
            <w:webHidden/>
          </w:rPr>
          <w:instrText xml:space="preserve"> PAGEREF _Toc198288006 \h </w:instrText>
        </w:r>
        <w:r>
          <w:rPr>
            <w:webHidden/>
          </w:rPr>
        </w:r>
        <w:r>
          <w:rPr>
            <w:webHidden/>
          </w:rPr>
          <w:fldChar w:fldCharType="separate"/>
        </w:r>
        <w:r>
          <w:rPr>
            <w:webHidden/>
          </w:rPr>
          <w:t>4</w:t>
        </w:r>
        <w:r>
          <w:rPr>
            <w:webHidden/>
          </w:rPr>
          <w:fldChar w:fldCharType="end"/>
        </w:r>
      </w:hyperlink>
    </w:p>
    <w:p w14:paraId="16DF4D31" w14:textId="27CA8D08"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07" w:history="1">
        <w:r w:rsidRPr="00355C09">
          <w:rPr>
            <w:rStyle w:val="Hyperlink"/>
          </w:rPr>
          <w:t>1.4.3</w:t>
        </w:r>
        <w:r>
          <w:rPr>
            <w:rFonts w:asciiTheme="minorHAnsi" w:eastAsiaTheme="minorEastAsia" w:hAnsiTheme="minorHAnsi" w:cstheme="minorBidi"/>
            <w:kern w:val="2"/>
            <w:sz w:val="24"/>
            <w:szCs w:val="24"/>
            <w14:ligatures w14:val="standardContextual"/>
          </w:rPr>
          <w:tab/>
        </w:r>
        <w:r w:rsidRPr="00355C09">
          <w:rPr>
            <w:rStyle w:val="Hyperlink"/>
          </w:rPr>
          <w:t>Telecommunications and broadcasting</w:t>
        </w:r>
        <w:r>
          <w:rPr>
            <w:webHidden/>
          </w:rPr>
          <w:tab/>
        </w:r>
        <w:r>
          <w:rPr>
            <w:webHidden/>
          </w:rPr>
          <w:fldChar w:fldCharType="begin"/>
        </w:r>
        <w:r>
          <w:rPr>
            <w:webHidden/>
          </w:rPr>
          <w:instrText xml:space="preserve"> PAGEREF _Toc198288007 \h </w:instrText>
        </w:r>
        <w:r>
          <w:rPr>
            <w:webHidden/>
          </w:rPr>
        </w:r>
        <w:r>
          <w:rPr>
            <w:webHidden/>
          </w:rPr>
          <w:fldChar w:fldCharType="separate"/>
        </w:r>
        <w:r>
          <w:rPr>
            <w:webHidden/>
          </w:rPr>
          <w:t>5</w:t>
        </w:r>
        <w:r>
          <w:rPr>
            <w:webHidden/>
          </w:rPr>
          <w:fldChar w:fldCharType="end"/>
        </w:r>
      </w:hyperlink>
    </w:p>
    <w:p w14:paraId="0FA11A4F" w14:textId="6BB71D6A"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08" w:history="1">
        <w:r w:rsidRPr="00355C09">
          <w:rPr>
            <w:rStyle w:val="Hyperlink"/>
          </w:rPr>
          <w:t>1.4.4</w:t>
        </w:r>
        <w:r>
          <w:rPr>
            <w:rFonts w:asciiTheme="minorHAnsi" w:eastAsiaTheme="minorEastAsia" w:hAnsiTheme="minorHAnsi" w:cstheme="minorBidi"/>
            <w:kern w:val="2"/>
            <w:sz w:val="24"/>
            <w:szCs w:val="24"/>
            <w14:ligatures w14:val="standardContextual"/>
          </w:rPr>
          <w:tab/>
        </w:r>
        <w:r w:rsidRPr="00355C09">
          <w:rPr>
            <w:rStyle w:val="Hyperlink"/>
          </w:rPr>
          <w:t>Rockets, launches and space objects</w:t>
        </w:r>
        <w:r>
          <w:rPr>
            <w:webHidden/>
          </w:rPr>
          <w:tab/>
        </w:r>
        <w:r>
          <w:rPr>
            <w:webHidden/>
          </w:rPr>
          <w:fldChar w:fldCharType="begin"/>
        </w:r>
        <w:r>
          <w:rPr>
            <w:webHidden/>
          </w:rPr>
          <w:instrText xml:space="preserve"> PAGEREF _Toc198288008 \h </w:instrText>
        </w:r>
        <w:r>
          <w:rPr>
            <w:webHidden/>
          </w:rPr>
        </w:r>
        <w:r>
          <w:rPr>
            <w:webHidden/>
          </w:rPr>
          <w:fldChar w:fldCharType="separate"/>
        </w:r>
        <w:r>
          <w:rPr>
            <w:webHidden/>
          </w:rPr>
          <w:t>5</w:t>
        </w:r>
        <w:r>
          <w:rPr>
            <w:webHidden/>
          </w:rPr>
          <w:fldChar w:fldCharType="end"/>
        </w:r>
      </w:hyperlink>
    </w:p>
    <w:p w14:paraId="327B0372" w14:textId="0E01BE86"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09" w:history="1">
        <w:r w:rsidRPr="00355C09">
          <w:rPr>
            <w:rStyle w:val="Hyperlink"/>
          </w:rPr>
          <w:t>1.4.5</w:t>
        </w:r>
        <w:r>
          <w:rPr>
            <w:rFonts w:asciiTheme="minorHAnsi" w:eastAsiaTheme="minorEastAsia" w:hAnsiTheme="minorHAnsi" w:cstheme="minorBidi"/>
            <w:kern w:val="2"/>
            <w:sz w:val="24"/>
            <w:szCs w:val="24"/>
            <w14:ligatures w14:val="standardContextual"/>
          </w:rPr>
          <w:tab/>
        </w:r>
        <w:r w:rsidRPr="00355C09">
          <w:rPr>
            <w:rStyle w:val="Hyperlink"/>
          </w:rPr>
          <w:t>Critical infrastructure</w:t>
        </w:r>
        <w:r>
          <w:rPr>
            <w:webHidden/>
          </w:rPr>
          <w:tab/>
        </w:r>
        <w:r>
          <w:rPr>
            <w:webHidden/>
          </w:rPr>
          <w:fldChar w:fldCharType="begin"/>
        </w:r>
        <w:r>
          <w:rPr>
            <w:webHidden/>
          </w:rPr>
          <w:instrText xml:space="preserve"> PAGEREF _Toc198288009 \h </w:instrText>
        </w:r>
        <w:r>
          <w:rPr>
            <w:webHidden/>
          </w:rPr>
        </w:r>
        <w:r>
          <w:rPr>
            <w:webHidden/>
          </w:rPr>
          <w:fldChar w:fldCharType="separate"/>
        </w:r>
        <w:r>
          <w:rPr>
            <w:webHidden/>
          </w:rPr>
          <w:t>5</w:t>
        </w:r>
        <w:r>
          <w:rPr>
            <w:webHidden/>
          </w:rPr>
          <w:fldChar w:fldCharType="end"/>
        </w:r>
      </w:hyperlink>
    </w:p>
    <w:p w14:paraId="343FEF7A" w14:textId="2464CE3A" w:rsidR="00E60FA2" w:rsidRDefault="00E60FA2">
      <w:pPr>
        <w:pStyle w:val="TOC1"/>
        <w:tabs>
          <w:tab w:val="left" w:pos="885"/>
        </w:tabs>
        <w:rPr>
          <w:rFonts w:asciiTheme="minorHAnsi" w:eastAsiaTheme="minorEastAsia" w:hAnsiTheme="minorHAnsi" w:cstheme="minorBidi"/>
          <w:b w:val="0"/>
          <w:spacing w:val="0"/>
          <w:kern w:val="2"/>
          <w:sz w:val="24"/>
          <w14:ligatures w14:val="standardContextual"/>
        </w:rPr>
      </w:pPr>
      <w:hyperlink w:anchor="_Toc198288010" w:history="1">
        <w:r w:rsidRPr="00355C09">
          <w:rPr>
            <w:rStyle w:val="Hyperlink"/>
          </w:rPr>
          <w:t>2</w:t>
        </w:r>
        <w:r>
          <w:rPr>
            <w:rFonts w:asciiTheme="minorHAnsi" w:eastAsiaTheme="minorEastAsia" w:hAnsiTheme="minorHAnsi" w:cstheme="minorBidi"/>
            <w:b w:val="0"/>
            <w:spacing w:val="0"/>
            <w:kern w:val="2"/>
            <w:sz w:val="24"/>
            <w14:ligatures w14:val="standardContextual"/>
          </w:rPr>
          <w:tab/>
        </w:r>
        <w:r w:rsidRPr="00355C09">
          <w:rPr>
            <w:rStyle w:val="Hyperlink"/>
          </w:rPr>
          <w:t>Application and assessment process</w:t>
        </w:r>
        <w:r>
          <w:rPr>
            <w:webHidden/>
          </w:rPr>
          <w:tab/>
        </w:r>
        <w:r>
          <w:rPr>
            <w:webHidden/>
          </w:rPr>
          <w:fldChar w:fldCharType="begin"/>
        </w:r>
        <w:r>
          <w:rPr>
            <w:webHidden/>
          </w:rPr>
          <w:instrText xml:space="preserve"> PAGEREF _Toc198288010 \h </w:instrText>
        </w:r>
        <w:r>
          <w:rPr>
            <w:webHidden/>
          </w:rPr>
        </w:r>
        <w:r>
          <w:rPr>
            <w:webHidden/>
          </w:rPr>
          <w:fldChar w:fldCharType="separate"/>
        </w:r>
        <w:r>
          <w:rPr>
            <w:webHidden/>
          </w:rPr>
          <w:t>6</w:t>
        </w:r>
        <w:r>
          <w:rPr>
            <w:webHidden/>
          </w:rPr>
          <w:fldChar w:fldCharType="end"/>
        </w:r>
      </w:hyperlink>
    </w:p>
    <w:p w14:paraId="13D2E49A" w14:textId="5A32F6E0"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11" w:history="1">
        <w:r w:rsidRPr="00355C09">
          <w:rPr>
            <w:rStyle w:val="Hyperlink"/>
          </w:rPr>
          <w:t>2.1</w:t>
        </w:r>
        <w:r>
          <w:rPr>
            <w:rFonts w:asciiTheme="minorHAnsi" w:eastAsiaTheme="minorEastAsia" w:hAnsiTheme="minorHAnsi" w:cstheme="minorBidi"/>
            <w:spacing w:val="0"/>
            <w:kern w:val="2"/>
            <w:sz w:val="24"/>
            <w:szCs w:val="24"/>
            <w14:ligatures w14:val="standardContextual"/>
          </w:rPr>
          <w:tab/>
        </w:r>
        <w:r w:rsidRPr="00355C09">
          <w:rPr>
            <w:rStyle w:val="Hyperlink"/>
          </w:rPr>
          <w:t>Who can apply</w:t>
        </w:r>
        <w:r>
          <w:rPr>
            <w:webHidden/>
          </w:rPr>
          <w:tab/>
        </w:r>
        <w:r>
          <w:rPr>
            <w:webHidden/>
          </w:rPr>
          <w:fldChar w:fldCharType="begin"/>
        </w:r>
        <w:r>
          <w:rPr>
            <w:webHidden/>
          </w:rPr>
          <w:instrText xml:space="preserve"> PAGEREF _Toc198288011 \h </w:instrText>
        </w:r>
        <w:r>
          <w:rPr>
            <w:webHidden/>
          </w:rPr>
        </w:r>
        <w:r>
          <w:rPr>
            <w:webHidden/>
          </w:rPr>
          <w:fldChar w:fldCharType="separate"/>
        </w:r>
        <w:r>
          <w:rPr>
            <w:webHidden/>
          </w:rPr>
          <w:t>6</w:t>
        </w:r>
        <w:r>
          <w:rPr>
            <w:webHidden/>
          </w:rPr>
          <w:fldChar w:fldCharType="end"/>
        </w:r>
      </w:hyperlink>
    </w:p>
    <w:p w14:paraId="1C98B426" w14:textId="57EB756A"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12" w:history="1">
        <w:r w:rsidRPr="00355C09">
          <w:rPr>
            <w:rStyle w:val="Hyperlink"/>
          </w:rPr>
          <w:t>2.2</w:t>
        </w:r>
        <w:r>
          <w:rPr>
            <w:rFonts w:asciiTheme="minorHAnsi" w:eastAsiaTheme="minorEastAsia" w:hAnsiTheme="minorHAnsi" w:cstheme="minorBidi"/>
            <w:spacing w:val="0"/>
            <w:kern w:val="2"/>
            <w:sz w:val="24"/>
            <w:szCs w:val="24"/>
            <w14:ligatures w14:val="standardContextual"/>
          </w:rPr>
          <w:tab/>
        </w:r>
        <w:r w:rsidRPr="00355C09">
          <w:rPr>
            <w:rStyle w:val="Hyperlink"/>
          </w:rPr>
          <w:t>When an application is required</w:t>
        </w:r>
        <w:r>
          <w:rPr>
            <w:webHidden/>
          </w:rPr>
          <w:tab/>
        </w:r>
        <w:r>
          <w:rPr>
            <w:webHidden/>
          </w:rPr>
          <w:fldChar w:fldCharType="begin"/>
        </w:r>
        <w:r>
          <w:rPr>
            <w:webHidden/>
          </w:rPr>
          <w:instrText xml:space="preserve"> PAGEREF _Toc198288012 \h </w:instrText>
        </w:r>
        <w:r>
          <w:rPr>
            <w:webHidden/>
          </w:rPr>
        </w:r>
        <w:r>
          <w:rPr>
            <w:webHidden/>
          </w:rPr>
          <w:fldChar w:fldCharType="separate"/>
        </w:r>
        <w:r>
          <w:rPr>
            <w:webHidden/>
          </w:rPr>
          <w:t>6</w:t>
        </w:r>
        <w:r>
          <w:rPr>
            <w:webHidden/>
          </w:rPr>
          <w:fldChar w:fldCharType="end"/>
        </w:r>
      </w:hyperlink>
    </w:p>
    <w:p w14:paraId="2943E53B" w14:textId="45178E82"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13" w:history="1">
        <w:r w:rsidRPr="00355C09">
          <w:rPr>
            <w:rStyle w:val="Hyperlink"/>
          </w:rPr>
          <w:t>2.2.1</w:t>
        </w:r>
        <w:r>
          <w:rPr>
            <w:rFonts w:asciiTheme="minorHAnsi" w:eastAsiaTheme="minorEastAsia" w:hAnsiTheme="minorHAnsi" w:cstheme="minorBidi"/>
            <w:kern w:val="2"/>
            <w:sz w:val="24"/>
            <w:szCs w:val="24"/>
            <w14:ligatures w14:val="standardContextual"/>
          </w:rPr>
          <w:tab/>
        </w:r>
        <w:r w:rsidRPr="00355C09">
          <w:rPr>
            <w:rStyle w:val="Hyperlink"/>
          </w:rPr>
          <w:t>Application limits</w:t>
        </w:r>
        <w:r>
          <w:rPr>
            <w:webHidden/>
          </w:rPr>
          <w:tab/>
        </w:r>
        <w:r>
          <w:rPr>
            <w:webHidden/>
          </w:rPr>
          <w:fldChar w:fldCharType="begin"/>
        </w:r>
        <w:r>
          <w:rPr>
            <w:webHidden/>
          </w:rPr>
          <w:instrText xml:space="preserve"> PAGEREF _Toc198288013 \h </w:instrText>
        </w:r>
        <w:r>
          <w:rPr>
            <w:webHidden/>
          </w:rPr>
        </w:r>
        <w:r>
          <w:rPr>
            <w:webHidden/>
          </w:rPr>
          <w:fldChar w:fldCharType="separate"/>
        </w:r>
        <w:r>
          <w:rPr>
            <w:webHidden/>
          </w:rPr>
          <w:t>6</w:t>
        </w:r>
        <w:r>
          <w:rPr>
            <w:webHidden/>
          </w:rPr>
          <w:fldChar w:fldCharType="end"/>
        </w:r>
      </w:hyperlink>
    </w:p>
    <w:p w14:paraId="2CBDD097" w14:textId="1F961D5F"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14" w:history="1">
        <w:r w:rsidRPr="00355C09">
          <w:rPr>
            <w:rStyle w:val="Hyperlink"/>
          </w:rPr>
          <w:t>2.2.2</w:t>
        </w:r>
        <w:r>
          <w:rPr>
            <w:rFonts w:asciiTheme="minorHAnsi" w:eastAsiaTheme="minorEastAsia" w:hAnsiTheme="minorHAnsi" w:cstheme="minorBidi"/>
            <w:kern w:val="2"/>
            <w:sz w:val="24"/>
            <w:szCs w:val="24"/>
            <w14:ligatures w14:val="standardContextual"/>
          </w:rPr>
          <w:tab/>
        </w:r>
        <w:r w:rsidRPr="00355C09">
          <w:rPr>
            <w:rStyle w:val="Hyperlink"/>
          </w:rPr>
          <w:t>Naming conventions for new satellite systems</w:t>
        </w:r>
        <w:r>
          <w:rPr>
            <w:webHidden/>
          </w:rPr>
          <w:tab/>
        </w:r>
        <w:r>
          <w:rPr>
            <w:webHidden/>
          </w:rPr>
          <w:fldChar w:fldCharType="begin"/>
        </w:r>
        <w:r>
          <w:rPr>
            <w:webHidden/>
          </w:rPr>
          <w:instrText xml:space="preserve"> PAGEREF _Toc198288014 \h </w:instrText>
        </w:r>
        <w:r>
          <w:rPr>
            <w:webHidden/>
          </w:rPr>
        </w:r>
        <w:r>
          <w:rPr>
            <w:webHidden/>
          </w:rPr>
          <w:fldChar w:fldCharType="separate"/>
        </w:r>
        <w:r>
          <w:rPr>
            <w:webHidden/>
          </w:rPr>
          <w:t>7</w:t>
        </w:r>
        <w:r>
          <w:rPr>
            <w:webHidden/>
          </w:rPr>
          <w:fldChar w:fldCharType="end"/>
        </w:r>
      </w:hyperlink>
    </w:p>
    <w:p w14:paraId="08F807A0" w14:textId="1F7AAF31"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15" w:history="1">
        <w:r w:rsidRPr="00355C09">
          <w:rPr>
            <w:rStyle w:val="Hyperlink"/>
            <w:snapToGrid w:val="0"/>
            <w:lang w:eastAsia="en-US"/>
          </w:rPr>
          <w:t>2.2.3</w:t>
        </w:r>
        <w:r>
          <w:rPr>
            <w:rFonts w:asciiTheme="minorHAnsi" w:eastAsiaTheme="minorEastAsia" w:hAnsiTheme="minorHAnsi" w:cstheme="minorBidi"/>
            <w:kern w:val="2"/>
            <w:sz w:val="24"/>
            <w:szCs w:val="24"/>
            <w14:ligatures w14:val="standardContextual"/>
          </w:rPr>
          <w:tab/>
        </w:r>
        <w:r w:rsidRPr="00355C09">
          <w:rPr>
            <w:rStyle w:val="Hyperlink"/>
            <w:snapToGrid w:val="0"/>
            <w:lang w:eastAsia="en-US"/>
          </w:rPr>
          <w:t>Short-duration missions</w:t>
        </w:r>
        <w:r>
          <w:rPr>
            <w:webHidden/>
          </w:rPr>
          <w:tab/>
        </w:r>
        <w:r>
          <w:rPr>
            <w:webHidden/>
          </w:rPr>
          <w:fldChar w:fldCharType="begin"/>
        </w:r>
        <w:r>
          <w:rPr>
            <w:webHidden/>
          </w:rPr>
          <w:instrText xml:space="preserve"> PAGEREF _Toc198288015 \h </w:instrText>
        </w:r>
        <w:r>
          <w:rPr>
            <w:webHidden/>
          </w:rPr>
        </w:r>
        <w:r>
          <w:rPr>
            <w:webHidden/>
          </w:rPr>
          <w:fldChar w:fldCharType="separate"/>
        </w:r>
        <w:r>
          <w:rPr>
            <w:webHidden/>
          </w:rPr>
          <w:t>7</w:t>
        </w:r>
        <w:r>
          <w:rPr>
            <w:webHidden/>
          </w:rPr>
          <w:fldChar w:fldCharType="end"/>
        </w:r>
      </w:hyperlink>
    </w:p>
    <w:p w14:paraId="2E4945A4" w14:textId="1DB78DDD"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16" w:history="1">
        <w:r w:rsidRPr="00355C09">
          <w:rPr>
            <w:rStyle w:val="Hyperlink"/>
          </w:rPr>
          <w:t>2.3</w:t>
        </w:r>
        <w:r>
          <w:rPr>
            <w:rFonts w:asciiTheme="minorHAnsi" w:eastAsiaTheme="minorEastAsia" w:hAnsiTheme="minorHAnsi" w:cstheme="minorBidi"/>
            <w:spacing w:val="0"/>
            <w:kern w:val="2"/>
            <w:sz w:val="24"/>
            <w:szCs w:val="24"/>
            <w14:ligatures w14:val="standardContextual"/>
          </w:rPr>
          <w:tab/>
        </w:r>
        <w:r w:rsidRPr="00355C09">
          <w:rPr>
            <w:rStyle w:val="Hyperlink"/>
          </w:rPr>
          <w:t>Before you apply</w:t>
        </w:r>
        <w:r>
          <w:rPr>
            <w:webHidden/>
          </w:rPr>
          <w:tab/>
        </w:r>
        <w:r>
          <w:rPr>
            <w:webHidden/>
          </w:rPr>
          <w:fldChar w:fldCharType="begin"/>
        </w:r>
        <w:r>
          <w:rPr>
            <w:webHidden/>
          </w:rPr>
          <w:instrText xml:space="preserve"> PAGEREF _Toc198288016 \h </w:instrText>
        </w:r>
        <w:r>
          <w:rPr>
            <w:webHidden/>
          </w:rPr>
        </w:r>
        <w:r>
          <w:rPr>
            <w:webHidden/>
          </w:rPr>
          <w:fldChar w:fldCharType="separate"/>
        </w:r>
        <w:r>
          <w:rPr>
            <w:webHidden/>
          </w:rPr>
          <w:t>8</w:t>
        </w:r>
        <w:r>
          <w:rPr>
            <w:webHidden/>
          </w:rPr>
          <w:fldChar w:fldCharType="end"/>
        </w:r>
      </w:hyperlink>
    </w:p>
    <w:p w14:paraId="4C01671D" w14:textId="4C1DA31E"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17" w:history="1">
        <w:r w:rsidRPr="00355C09">
          <w:rPr>
            <w:rStyle w:val="Hyperlink"/>
          </w:rPr>
          <w:t>2.3.1</w:t>
        </w:r>
        <w:r>
          <w:rPr>
            <w:rFonts w:asciiTheme="minorHAnsi" w:eastAsiaTheme="minorEastAsia" w:hAnsiTheme="minorHAnsi" w:cstheme="minorBidi"/>
            <w:kern w:val="2"/>
            <w:sz w:val="24"/>
            <w:szCs w:val="24"/>
            <w14:ligatures w14:val="standardContextual"/>
          </w:rPr>
          <w:tab/>
        </w:r>
        <w:r w:rsidRPr="00355C09">
          <w:rPr>
            <w:rStyle w:val="Hyperlink"/>
          </w:rPr>
          <w:t>Discuss your application with the ACMA</w:t>
        </w:r>
        <w:r>
          <w:rPr>
            <w:webHidden/>
          </w:rPr>
          <w:tab/>
        </w:r>
        <w:r>
          <w:rPr>
            <w:webHidden/>
          </w:rPr>
          <w:fldChar w:fldCharType="begin"/>
        </w:r>
        <w:r>
          <w:rPr>
            <w:webHidden/>
          </w:rPr>
          <w:instrText xml:space="preserve"> PAGEREF _Toc198288017 \h </w:instrText>
        </w:r>
        <w:r>
          <w:rPr>
            <w:webHidden/>
          </w:rPr>
        </w:r>
        <w:r>
          <w:rPr>
            <w:webHidden/>
          </w:rPr>
          <w:fldChar w:fldCharType="separate"/>
        </w:r>
        <w:r>
          <w:rPr>
            <w:webHidden/>
          </w:rPr>
          <w:t>8</w:t>
        </w:r>
        <w:r>
          <w:rPr>
            <w:webHidden/>
          </w:rPr>
          <w:fldChar w:fldCharType="end"/>
        </w:r>
      </w:hyperlink>
    </w:p>
    <w:p w14:paraId="6CDDA8C3" w14:textId="4FDED8D8"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18" w:history="1">
        <w:r w:rsidRPr="00355C09">
          <w:rPr>
            <w:rStyle w:val="Hyperlink"/>
          </w:rPr>
          <w:t>2.3.2</w:t>
        </w:r>
        <w:r>
          <w:rPr>
            <w:rFonts w:asciiTheme="minorHAnsi" w:eastAsiaTheme="minorEastAsia" w:hAnsiTheme="minorHAnsi" w:cstheme="minorBidi"/>
            <w:kern w:val="2"/>
            <w:sz w:val="24"/>
            <w:szCs w:val="24"/>
            <w14:ligatures w14:val="standardContextual"/>
          </w:rPr>
          <w:tab/>
        </w:r>
        <w:r w:rsidRPr="00355C09">
          <w:rPr>
            <w:rStyle w:val="Hyperlink"/>
          </w:rPr>
          <w:t>Assess requirements for coordination with other Australian satellite systems</w:t>
        </w:r>
        <w:r>
          <w:rPr>
            <w:webHidden/>
          </w:rPr>
          <w:tab/>
        </w:r>
        <w:r>
          <w:rPr>
            <w:webHidden/>
          </w:rPr>
          <w:fldChar w:fldCharType="begin"/>
        </w:r>
        <w:r>
          <w:rPr>
            <w:webHidden/>
          </w:rPr>
          <w:instrText xml:space="preserve"> PAGEREF _Toc198288018 \h </w:instrText>
        </w:r>
        <w:r>
          <w:rPr>
            <w:webHidden/>
          </w:rPr>
        </w:r>
        <w:r>
          <w:rPr>
            <w:webHidden/>
          </w:rPr>
          <w:fldChar w:fldCharType="separate"/>
        </w:r>
        <w:r>
          <w:rPr>
            <w:webHidden/>
          </w:rPr>
          <w:t>8</w:t>
        </w:r>
        <w:r>
          <w:rPr>
            <w:webHidden/>
          </w:rPr>
          <w:fldChar w:fldCharType="end"/>
        </w:r>
      </w:hyperlink>
    </w:p>
    <w:p w14:paraId="0EA029E5" w14:textId="3D017EC0"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19" w:history="1">
        <w:r w:rsidRPr="00355C09">
          <w:rPr>
            <w:rStyle w:val="Hyperlink"/>
            <w:snapToGrid w:val="0"/>
            <w:lang w:eastAsia="en-US"/>
          </w:rPr>
          <w:t>2.4</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Application process</w:t>
        </w:r>
        <w:r>
          <w:rPr>
            <w:webHidden/>
          </w:rPr>
          <w:tab/>
        </w:r>
        <w:r>
          <w:rPr>
            <w:webHidden/>
          </w:rPr>
          <w:fldChar w:fldCharType="begin"/>
        </w:r>
        <w:r>
          <w:rPr>
            <w:webHidden/>
          </w:rPr>
          <w:instrText xml:space="preserve"> PAGEREF _Toc198288019 \h </w:instrText>
        </w:r>
        <w:r>
          <w:rPr>
            <w:webHidden/>
          </w:rPr>
        </w:r>
        <w:r>
          <w:rPr>
            <w:webHidden/>
          </w:rPr>
          <w:fldChar w:fldCharType="separate"/>
        </w:r>
        <w:r>
          <w:rPr>
            <w:webHidden/>
          </w:rPr>
          <w:t>9</w:t>
        </w:r>
        <w:r>
          <w:rPr>
            <w:webHidden/>
          </w:rPr>
          <w:fldChar w:fldCharType="end"/>
        </w:r>
      </w:hyperlink>
    </w:p>
    <w:p w14:paraId="3173DCC8" w14:textId="7D46DAAB"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20" w:history="1">
        <w:r w:rsidRPr="00355C09">
          <w:rPr>
            <w:rStyle w:val="Hyperlink"/>
          </w:rPr>
          <w:t>2.4.1</w:t>
        </w:r>
        <w:r>
          <w:rPr>
            <w:rFonts w:asciiTheme="minorHAnsi" w:eastAsiaTheme="minorEastAsia" w:hAnsiTheme="minorHAnsi" w:cstheme="minorBidi"/>
            <w:kern w:val="2"/>
            <w:sz w:val="24"/>
            <w:szCs w:val="24"/>
            <w14:ligatures w14:val="standardContextual"/>
          </w:rPr>
          <w:tab/>
        </w:r>
        <w:r w:rsidRPr="00355C09">
          <w:rPr>
            <w:rStyle w:val="Hyperlink"/>
          </w:rPr>
          <w:t>Complete the application form</w:t>
        </w:r>
        <w:r>
          <w:rPr>
            <w:webHidden/>
          </w:rPr>
          <w:tab/>
        </w:r>
        <w:r>
          <w:rPr>
            <w:webHidden/>
          </w:rPr>
          <w:fldChar w:fldCharType="begin"/>
        </w:r>
        <w:r>
          <w:rPr>
            <w:webHidden/>
          </w:rPr>
          <w:instrText xml:space="preserve"> PAGEREF _Toc198288020 \h </w:instrText>
        </w:r>
        <w:r>
          <w:rPr>
            <w:webHidden/>
          </w:rPr>
        </w:r>
        <w:r>
          <w:rPr>
            <w:webHidden/>
          </w:rPr>
          <w:fldChar w:fldCharType="separate"/>
        </w:r>
        <w:r>
          <w:rPr>
            <w:webHidden/>
          </w:rPr>
          <w:t>9</w:t>
        </w:r>
        <w:r>
          <w:rPr>
            <w:webHidden/>
          </w:rPr>
          <w:fldChar w:fldCharType="end"/>
        </w:r>
      </w:hyperlink>
    </w:p>
    <w:p w14:paraId="44E9AD09" w14:textId="21D42DB1"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21" w:history="1">
        <w:r w:rsidRPr="00355C09">
          <w:rPr>
            <w:rStyle w:val="Hyperlink"/>
          </w:rPr>
          <w:t>2.4.2</w:t>
        </w:r>
        <w:r>
          <w:rPr>
            <w:rFonts w:asciiTheme="minorHAnsi" w:eastAsiaTheme="minorEastAsia" w:hAnsiTheme="minorHAnsi" w:cstheme="minorBidi"/>
            <w:kern w:val="2"/>
            <w:sz w:val="24"/>
            <w:szCs w:val="24"/>
            <w14:ligatures w14:val="standardContextual"/>
          </w:rPr>
          <w:tab/>
        </w:r>
        <w:r w:rsidRPr="00355C09">
          <w:rPr>
            <w:rStyle w:val="Hyperlink"/>
          </w:rPr>
          <w:t>Address the assessment criteria</w:t>
        </w:r>
        <w:r>
          <w:rPr>
            <w:webHidden/>
          </w:rPr>
          <w:tab/>
        </w:r>
        <w:r>
          <w:rPr>
            <w:webHidden/>
          </w:rPr>
          <w:fldChar w:fldCharType="begin"/>
        </w:r>
        <w:r>
          <w:rPr>
            <w:webHidden/>
          </w:rPr>
          <w:instrText xml:space="preserve"> PAGEREF _Toc198288021 \h </w:instrText>
        </w:r>
        <w:r>
          <w:rPr>
            <w:webHidden/>
          </w:rPr>
        </w:r>
        <w:r>
          <w:rPr>
            <w:webHidden/>
          </w:rPr>
          <w:fldChar w:fldCharType="separate"/>
        </w:r>
        <w:r>
          <w:rPr>
            <w:webHidden/>
          </w:rPr>
          <w:t>9</w:t>
        </w:r>
        <w:r>
          <w:rPr>
            <w:webHidden/>
          </w:rPr>
          <w:fldChar w:fldCharType="end"/>
        </w:r>
      </w:hyperlink>
    </w:p>
    <w:p w14:paraId="53A01DF1" w14:textId="0704E24A"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22" w:history="1">
        <w:r w:rsidRPr="00355C09">
          <w:rPr>
            <w:rStyle w:val="Hyperlink"/>
          </w:rPr>
          <w:t>2.4.3</w:t>
        </w:r>
        <w:r>
          <w:rPr>
            <w:rFonts w:asciiTheme="minorHAnsi" w:eastAsiaTheme="minorEastAsia" w:hAnsiTheme="minorHAnsi" w:cstheme="minorBidi"/>
            <w:kern w:val="2"/>
            <w:sz w:val="24"/>
            <w:szCs w:val="24"/>
            <w14:ligatures w14:val="standardContextual"/>
          </w:rPr>
          <w:tab/>
        </w:r>
        <w:r w:rsidRPr="00355C09">
          <w:rPr>
            <w:rStyle w:val="Hyperlink"/>
          </w:rPr>
          <w:t>Required information</w:t>
        </w:r>
        <w:r>
          <w:rPr>
            <w:webHidden/>
          </w:rPr>
          <w:tab/>
        </w:r>
        <w:r>
          <w:rPr>
            <w:webHidden/>
          </w:rPr>
          <w:fldChar w:fldCharType="begin"/>
        </w:r>
        <w:r>
          <w:rPr>
            <w:webHidden/>
          </w:rPr>
          <w:instrText xml:space="preserve"> PAGEREF _Toc198288022 \h </w:instrText>
        </w:r>
        <w:r>
          <w:rPr>
            <w:webHidden/>
          </w:rPr>
        </w:r>
        <w:r>
          <w:rPr>
            <w:webHidden/>
          </w:rPr>
          <w:fldChar w:fldCharType="separate"/>
        </w:r>
        <w:r>
          <w:rPr>
            <w:webHidden/>
          </w:rPr>
          <w:t>9</w:t>
        </w:r>
        <w:r>
          <w:rPr>
            <w:webHidden/>
          </w:rPr>
          <w:fldChar w:fldCharType="end"/>
        </w:r>
      </w:hyperlink>
    </w:p>
    <w:p w14:paraId="40A98110" w14:textId="55B9F4D7"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23" w:history="1">
        <w:r w:rsidRPr="00355C09">
          <w:rPr>
            <w:rStyle w:val="Hyperlink"/>
          </w:rPr>
          <w:t>2.4.4</w:t>
        </w:r>
        <w:r>
          <w:rPr>
            <w:rFonts w:asciiTheme="minorHAnsi" w:eastAsiaTheme="minorEastAsia" w:hAnsiTheme="minorHAnsi" w:cstheme="minorBidi"/>
            <w:kern w:val="2"/>
            <w:sz w:val="24"/>
            <w:szCs w:val="24"/>
            <w14:ligatures w14:val="standardContextual"/>
          </w:rPr>
          <w:tab/>
        </w:r>
        <w:r w:rsidRPr="00355C09">
          <w:rPr>
            <w:rStyle w:val="Hyperlink"/>
            <w:snapToGrid w:val="0"/>
            <w:lang w:eastAsia="en-US"/>
          </w:rPr>
          <w:t>Submit the application</w:t>
        </w:r>
        <w:r>
          <w:rPr>
            <w:webHidden/>
          </w:rPr>
          <w:tab/>
        </w:r>
        <w:r>
          <w:rPr>
            <w:webHidden/>
          </w:rPr>
          <w:fldChar w:fldCharType="begin"/>
        </w:r>
        <w:r>
          <w:rPr>
            <w:webHidden/>
          </w:rPr>
          <w:instrText xml:space="preserve"> PAGEREF _Toc198288023 \h </w:instrText>
        </w:r>
        <w:r>
          <w:rPr>
            <w:webHidden/>
          </w:rPr>
        </w:r>
        <w:r>
          <w:rPr>
            <w:webHidden/>
          </w:rPr>
          <w:fldChar w:fldCharType="separate"/>
        </w:r>
        <w:r>
          <w:rPr>
            <w:webHidden/>
          </w:rPr>
          <w:t>10</w:t>
        </w:r>
        <w:r>
          <w:rPr>
            <w:webHidden/>
          </w:rPr>
          <w:fldChar w:fldCharType="end"/>
        </w:r>
      </w:hyperlink>
    </w:p>
    <w:p w14:paraId="41C92CD6" w14:textId="3712AB81"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24" w:history="1">
        <w:r w:rsidRPr="00355C09">
          <w:rPr>
            <w:rStyle w:val="Hyperlink"/>
          </w:rPr>
          <w:t>2.4.5</w:t>
        </w:r>
        <w:r>
          <w:rPr>
            <w:rFonts w:asciiTheme="minorHAnsi" w:eastAsiaTheme="minorEastAsia" w:hAnsiTheme="minorHAnsi" w:cstheme="minorBidi"/>
            <w:kern w:val="2"/>
            <w:sz w:val="24"/>
            <w:szCs w:val="24"/>
            <w14:ligatures w14:val="standardContextual"/>
          </w:rPr>
          <w:tab/>
        </w:r>
        <w:r w:rsidRPr="00355C09">
          <w:rPr>
            <w:rStyle w:val="Hyperlink"/>
          </w:rPr>
          <w:t>Pay the ACMA’s cost recovery charges</w:t>
        </w:r>
        <w:r>
          <w:rPr>
            <w:webHidden/>
          </w:rPr>
          <w:tab/>
        </w:r>
        <w:r>
          <w:rPr>
            <w:webHidden/>
          </w:rPr>
          <w:fldChar w:fldCharType="begin"/>
        </w:r>
        <w:r>
          <w:rPr>
            <w:webHidden/>
          </w:rPr>
          <w:instrText xml:space="preserve"> PAGEREF _Toc198288024 \h </w:instrText>
        </w:r>
        <w:r>
          <w:rPr>
            <w:webHidden/>
          </w:rPr>
        </w:r>
        <w:r>
          <w:rPr>
            <w:webHidden/>
          </w:rPr>
          <w:fldChar w:fldCharType="separate"/>
        </w:r>
        <w:r>
          <w:rPr>
            <w:webHidden/>
          </w:rPr>
          <w:t>10</w:t>
        </w:r>
        <w:r>
          <w:rPr>
            <w:webHidden/>
          </w:rPr>
          <w:fldChar w:fldCharType="end"/>
        </w:r>
      </w:hyperlink>
    </w:p>
    <w:p w14:paraId="5DC9E867" w14:textId="1A011E48"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25" w:history="1">
        <w:r w:rsidRPr="00355C09">
          <w:rPr>
            <w:rStyle w:val="Hyperlink"/>
          </w:rPr>
          <w:t>2.4.6</w:t>
        </w:r>
        <w:r>
          <w:rPr>
            <w:rFonts w:asciiTheme="minorHAnsi" w:eastAsiaTheme="minorEastAsia" w:hAnsiTheme="minorHAnsi" w:cstheme="minorBidi"/>
            <w:kern w:val="2"/>
            <w:sz w:val="24"/>
            <w:szCs w:val="24"/>
            <w14:ligatures w14:val="standardContextual"/>
          </w:rPr>
          <w:tab/>
        </w:r>
        <w:r w:rsidRPr="00355C09">
          <w:rPr>
            <w:rStyle w:val="Hyperlink"/>
          </w:rPr>
          <w:t>Agree to conditions and pay ITU cost recovery charges</w:t>
        </w:r>
        <w:r>
          <w:rPr>
            <w:webHidden/>
          </w:rPr>
          <w:tab/>
        </w:r>
        <w:r>
          <w:rPr>
            <w:webHidden/>
          </w:rPr>
          <w:fldChar w:fldCharType="begin"/>
        </w:r>
        <w:r>
          <w:rPr>
            <w:webHidden/>
          </w:rPr>
          <w:instrText xml:space="preserve"> PAGEREF _Toc198288025 \h </w:instrText>
        </w:r>
        <w:r>
          <w:rPr>
            <w:webHidden/>
          </w:rPr>
        </w:r>
        <w:r>
          <w:rPr>
            <w:webHidden/>
          </w:rPr>
          <w:fldChar w:fldCharType="separate"/>
        </w:r>
        <w:r>
          <w:rPr>
            <w:webHidden/>
          </w:rPr>
          <w:t>11</w:t>
        </w:r>
        <w:r>
          <w:rPr>
            <w:webHidden/>
          </w:rPr>
          <w:fldChar w:fldCharType="end"/>
        </w:r>
      </w:hyperlink>
    </w:p>
    <w:p w14:paraId="25E5AF61" w14:textId="78666368"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26" w:history="1">
        <w:r w:rsidRPr="00355C09">
          <w:rPr>
            <w:rStyle w:val="Hyperlink"/>
          </w:rPr>
          <w:t>2.4.7</w:t>
        </w:r>
        <w:r>
          <w:rPr>
            <w:rFonts w:asciiTheme="minorHAnsi" w:eastAsiaTheme="minorEastAsia" w:hAnsiTheme="minorHAnsi" w:cstheme="minorBidi"/>
            <w:kern w:val="2"/>
            <w:sz w:val="24"/>
            <w:szCs w:val="24"/>
            <w14:ligatures w14:val="standardContextual"/>
          </w:rPr>
          <w:tab/>
        </w:r>
        <w:r w:rsidRPr="00355C09">
          <w:rPr>
            <w:rStyle w:val="Hyperlink"/>
          </w:rPr>
          <w:t>The ACMA submits the filing to ITU</w:t>
        </w:r>
        <w:r>
          <w:rPr>
            <w:webHidden/>
          </w:rPr>
          <w:tab/>
        </w:r>
        <w:r>
          <w:rPr>
            <w:webHidden/>
          </w:rPr>
          <w:fldChar w:fldCharType="begin"/>
        </w:r>
        <w:r>
          <w:rPr>
            <w:webHidden/>
          </w:rPr>
          <w:instrText xml:space="preserve"> PAGEREF _Toc198288026 \h </w:instrText>
        </w:r>
        <w:r>
          <w:rPr>
            <w:webHidden/>
          </w:rPr>
        </w:r>
        <w:r>
          <w:rPr>
            <w:webHidden/>
          </w:rPr>
          <w:fldChar w:fldCharType="separate"/>
        </w:r>
        <w:r>
          <w:rPr>
            <w:webHidden/>
          </w:rPr>
          <w:t>11</w:t>
        </w:r>
        <w:r>
          <w:rPr>
            <w:webHidden/>
          </w:rPr>
          <w:fldChar w:fldCharType="end"/>
        </w:r>
      </w:hyperlink>
    </w:p>
    <w:p w14:paraId="7785EEA8" w14:textId="59D0C126"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27" w:history="1">
        <w:r w:rsidRPr="00355C09">
          <w:rPr>
            <w:rStyle w:val="Hyperlink"/>
          </w:rPr>
          <w:t>2.4.8</w:t>
        </w:r>
        <w:r>
          <w:rPr>
            <w:rFonts w:asciiTheme="minorHAnsi" w:eastAsiaTheme="minorEastAsia" w:hAnsiTheme="minorHAnsi" w:cstheme="minorBidi"/>
            <w:kern w:val="2"/>
            <w:sz w:val="24"/>
            <w:szCs w:val="24"/>
            <w14:ligatures w14:val="standardContextual"/>
          </w:rPr>
          <w:tab/>
        </w:r>
        <w:r w:rsidRPr="00355C09">
          <w:rPr>
            <w:rStyle w:val="Hyperlink"/>
          </w:rPr>
          <w:t>Operator commences coordination with Australian satellite operators</w:t>
        </w:r>
        <w:r>
          <w:rPr>
            <w:webHidden/>
          </w:rPr>
          <w:tab/>
        </w:r>
        <w:r>
          <w:rPr>
            <w:webHidden/>
          </w:rPr>
          <w:fldChar w:fldCharType="begin"/>
        </w:r>
        <w:r>
          <w:rPr>
            <w:webHidden/>
          </w:rPr>
          <w:instrText xml:space="preserve"> PAGEREF _Toc198288027 \h </w:instrText>
        </w:r>
        <w:r>
          <w:rPr>
            <w:webHidden/>
          </w:rPr>
        </w:r>
        <w:r>
          <w:rPr>
            <w:webHidden/>
          </w:rPr>
          <w:fldChar w:fldCharType="separate"/>
        </w:r>
        <w:r>
          <w:rPr>
            <w:webHidden/>
          </w:rPr>
          <w:t>11</w:t>
        </w:r>
        <w:r>
          <w:rPr>
            <w:webHidden/>
          </w:rPr>
          <w:fldChar w:fldCharType="end"/>
        </w:r>
      </w:hyperlink>
    </w:p>
    <w:p w14:paraId="68219BBD" w14:textId="43B4BBC5"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28" w:history="1">
        <w:r w:rsidRPr="00355C09">
          <w:rPr>
            <w:rStyle w:val="Hyperlink"/>
          </w:rPr>
          <w:t>2.4.9</w:t>
        </w:r>
        <w:r>
          <w:rPr>
            <w:rFonts w:asciiTheme="minorHAnsi" w:eastAsiaTheme="minorEastAsia" w:hAnsiTheme="minorHAnsi" w:cstheme="minorBidi"/>
            <w:kern w:val="2"/>
            <w:sz w:val="24"/>
            <w:szCs w:val="24"/>
            <w14:ligatures w14:val="standardContextual"/>
          </w:rPr>
          <w:tab/>
        </w:r>
        <w:r w:rsidRPr="00355C09">
          <w:rPr>
            <w:rStyle w:val="Hyperlink"/>
          </w:rPr>
          <w:t>Obligations once a filing is approved</w:t>
        </w:r>
        <w:r>
          <w:rPr>
            <w:webHidden/>
          </w:rPr>
          <w:tab/>
        </w:r>
        <w:r>
          <w:rPr>
            <w:webHidden/>
          </w:rPr>
          <w:fldChar w:fldCharType="begin"/>
        </w:r>
        <w:r>
          <w:rPr>
            <w:webHidden/>
          </w:rPr>
          <w:instrText xml:space="preserve"> PAGEREF _Toc198288028 \h </w:instrText>
        </w:r>
        <w:r>
          <w:rPr>
            <w:webHidden/>
          </w:rPr>
        </w:r>
        <w:r>
          <w:rPr>
            <w:webHidden/>
          </w:rPr>
          <w:fldChar w:fldCharType="separate"/>
        </w:r>
        <w:r>
          <w:rPr>
            <w:webHidden/>
          </w:rPr>
          <w:t>11</w:t>
        </w:r>
        <w:r>
          <w:rPr>
            <w:webHidden/>
          </w:rPr>
          <w:fldChar w:fldCharType="end"/>
        </w:r>
      </w:hyperlink>
    </w:p>
    <w:p w14:paraId="6C609379" w14:textId="4E638D35"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29" w:history="1">
        <w:r w:rsidRPr="00355C09">
          <w:rPr>
            <w:rStyle w:val="Hyperlink"/>
            <w:snapToGrid w:val="0"/>
            <w:lang w:eastAsia="en-US"/>
          </w:rPr>
          <w:t>2.5</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How we assess an application</w:t>
        </w:r>
        <w:r>
          <w:rPr>
            <w:webHidden/>
          </w:rPr>
          <w:tab/>
        </w:r>
        <w:r>
          <w:rPr>
            <w:webHidden/>
          </w:rPr>
          <w:fldChar w:fldCharType="begin"/>
        </w:r>
        <w:r>
          <w:rPr>
            <w:webHidden/>
          </w:rPr>
          <w:instrText xml:space="preserve"> PAGEREF _Toc198288029 \h </w:instrText>
        </w:r>
        <w:r>
          <w:rPr>
            <w:webHidden/>
          </w:rPr>
        </w:r>
        <w:r>
          <w:rPr>
            <w:webHidden/>
          </w:rPr>
          <w:fldChar w:fldCharType="separate"/>
        </w:r>
        <w:r>
          <w:rPr>
            <w:webHidden/>
          </w:rPr>
          <w:t>11</w:t>
        </w:r>
        <w:r>
          <w:rPr>
            <w:webHidden/>
          </w:rPr>
          <w:fldChar w:fldCharType="end"/>
        </w:r>
      </w:hyperlink>
    </w:p>
    <w:p w14:paraId="500685C9" w14:textId="23D1E20B"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30" w:history="1">
        <w:r w:rsidRPr="00355C09">
          <w:rPr>
            <w:rStyle w:val="Hyperlink"/>
            <w:snapToGrid w:val="0"/>
            <w:lang w:eastAsia="en-US"/>
          </w:rPr>
          <w:t>2.5.1</w:t>
        </w:r>
        <w:r>
          <w:rPr>
            <w:rFonts w:asciiTheme="minorHAnsi" w:eastAsiaTheme="minorEastAsia" w:hAnsiTheme="minorHAnsi" w:cstheme="minorBidi"/>
            <w:kern w:val="2"/>
            <w:sz w:val="24"/>
            <w:szCs w:val="24"/>
            <w14:ligatures w14:val="standardContextual"/>
          </w:rPr>
          <w:tab/>
        </w:r>
        <w:r w:rsidRPr="00355C09">
          <w:rPr>
            <w:rStyle w:val="Hyperlink"/>
            <w:snapToGrid w:val="0"/>
            <w:lang w:eastAsia="en-US"/>
          </w:rPr>
          <w:t>Pre-application consultation with the ACMA</w:t>
        </w:r>
        <w:r>
          <w:rPr>
            <w:webHidden/>
          </w:rPr>
          <w:tab/>
        </w:r>
        <w:r>
          <w:rPr>
            <w:webHidden/>
          </w:rPr>
          <w:fldChar w:fldCharType="begin"/>
        </w:r>
        <w:r>
          <w:rPr>
            <w:webHidden/>
          </w:rPr>
          <w:instrText xml:space="preserve"> PAGEREF _Toc198288030 \h </w:instrText>
        </w:r>
        <w:r>
          <w:rPr>
            <w:webHidden/>
          </w:rPr>
        </w:r>
        <w:r>
          <w:rPr>
            <w:webHidden/>
          </w:rPr>
          <w:fldChar w:fldCharType="separate"/>
        </w:r>
        <w:r>
          <w:rPr>
            <w:webHidden/>
          </w:rPr>
          <w:t>11</w:t>
        </w:r>
        <w:r>
          <w:rPr>
            <w:webHidden/>
          </w:rPr>
          <w:fldChar w:fldCharType="end"/>
        </w:r>
      </w:hyperlink>
    </w:p>
    <w:p w14:paraId="2547618A" w14:textId="3D62DE68"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31" w:history="1">
        <w:r w:rsidRPr="00355C09">
          <w:rPr>
            <w:rStyle w:val="Hyperlink"/>
          </w:rPr>
          <w:t>2.5.2</w:t>
        </w:r>
        <w:r>
          <w:rPr>
            <w:rFonts w:asciiTheme="minorHAnsi" w:eastAsiaTheme="minorEastAsia" w:hAnsiTheme="minorHAnsi" w:cstheme="minorBidi"/>
            <w:kern w:val="2"/>
            <w:sz w:val="24"/>
            <w:szCs w:val="24"/>
            <w14:ligatures w14:val="standardContextual"/>
          </w:rPr>
          <w:tab/>
        </w:r>
        <w:r w:rsidRPr="00355C09">
          <w:rPr>
            <w:rStyle w:val="Hyperlink"/>
          </w:rPr>
          <w:t>Review for completeness</w:t>
        </w:r>
        <w:r>
          <w:rPr>
            <w:webHidden/>
          </w:rPr>
          <w:tab/>
        </w:r>
        <w:r>
          <w:rPr>
            <w:webHidden/>
          </w:rPr>
          <w:fldChar w:fldCharType="begin"/>
        </w:r>
        <w:r>
          <w:rPr>
            <w:webHidden/>
          </w:rPr>
          <w:instrText xml:space="preserve"> PAGEREF _Toc198288031 \h </w:instrText>
        </w:r>
        <w:r>
          <w:rPr>
            <w:webHidden/>
          </w:rPr>
        </w:r>
        <w:r>
          <w:rPr>
            <w:webHidden/>
          </w:rPr>
          <w:fldChar w:fldCharType="separate"/>
        </w:r>
        <w:r>
          <w:rPr>
            <w:webHidden/>
          </w:rPr>
          <w:t>11</w:t>
        </w:r>
        <w:r>
          <w:rPr>
            <w:webHidden/>
          </w:rPr>
          <w:fldChar w:fldCharType="end"/>
        </w:r>
      </w:hyperlink>
    </w:p>
    <w:p w14:paraId="3E75A5BA" w14:textId="05EB1141"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32" w:history="1">
        <w:r w:rsidRPr="00355C09">
          <w:rPr>
            <w:rStyle w:val="Hyperlink"/>
          </w:rPr>
          <w:t>2.5.3</w:t>
        </w:r>
        <w:r>
          <w:rPr>
            <w:rFonts w:asciiTheme="minorHAnsi" w:eastAsiaTheme="minorEastAsia" w:hAnsiTheme="minorHAnsi" w:cstheme="minorBidi"/>
            <w:kern w:val="2"/>
            <w:sz w:val="24"/>
            <w:szCs w:val="24"/>
            <w14:ligatures w14:val="standardContextual"/>
          </w:rPr>
          <w:tab/>
        </w:r>
        <w:r w:rsidRPr="00355C09">
          <w:rPr>
            <w:rStyle w:val="Hyperlink"/>
          </w:rPr>
          <w:t>Preliminary assessment</w:t>
        </w:r>
        <w:r>
          <w:rPr>
            <w:webHidden/>
          </w:rPr>
          <w:tab/>
        </w:r>
        <w:r>
          <w:rPr>
            <w:webHidden/>
          </w:rPr>
          <w:fldChar w:fldCharType="begin"/>
        </w:r>
        <w:r>
          <w:rPr>
            <w:webHidden/>
          </w:rPr>
          <w:instrText xml:space="preserve"> PAGEREF _Toc198288032 \h </w:instrText>
        </w:r>
        <w:r>
          <w:rPr>
            <w:webHidden/>
          </w:rPr>
        </w:r>
        <w:r>
          <w:rPr>
            <w:webHidden/>
          </w:rPr>
          <w:fldChar w:fldCharType="separate"/>
        </w:r>
        <w:r>
          <w:rPr>
            <w:webHidden/>
          </w:rPr>
          <w:t>11</w:t>
        </w:r>
        <w:r>
          <w:rPr>
            <w:webHidden/>
          </w:rPr>
          <w:fldChar w:fldCharType="end"/>
        </w:r>
      </w:hyperlink>
    </w:p>
    <w:p w14:paraId="4263AC0F" w14:textId="7E0496AD"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33" w:history="1">
        <w:r w:rsidRPr="00355C09">
          <w:rPr>
            <w:rStyle w:val="Hyperlink"/>
          </w:rPr>
          <w:t>2.5.4</w:t>
        </w:r>
        <w:r>
          <w:rPr>
            <w:rFonts w:asciiTheme="minorHAnsi" w:eastAsiaTheme="minorEastAsia" w:hAnsiTheme="minorHAnsi" w:cstheme="minorBidi"/>
            <w:kern w:val="2"/>
            <w:sz w:val="24"/>
            <w:szCs w:val="24"/>
            <w14:ligatures w14:val="standardContextual"/>
          </w:rPr>
          <w:tab/>
        </w:r>
        <w:r w:rsidRPr="00355C09">
          <w:rPr>
            <w:rStyle w:val="Hyperlink"/>
          </w:rPr>
          <w:t>Approving officer assessment</w:t>
        </w:r>
        <w:r>
          <w:rPr>
            <w:webHidden/>
          </w:rPr>
          <w:tab/>
        </w:r>
        <w:r>
          <w:rPr>
            <w:webHidden/>
          </w:rPr>
          <w:fldChar w:fldCharType="begin"/>
        </w:r>
        <w:r>
          <w:rPr>
            <w:webHidden/>
          </w:rPr>
          <w:instrText xml:space="preserve"> PAGEREF _Toc198288033 \h </w:instrText>
        </w:r>
        <w:r>
          <w:rPr>
            <w:webHidden/>
          </w:rPr>
        </w:r>
        <w:r>
          <w:rPr>
            <w:webHidden/>
          </w:rPr>
          <w:fldChar w:fldCharType="separate"/>
        </w:r>
        <w:r>
          <w:rPr>
            <w:webHidden/>
          </w:rPr>
          <w:t>12</w:t>
        </w:r>
        <w:r>
          <w:rPr>
            <w:webHidden/>
          </w:rPr>
          <w:fldChar w:fldCharType="end"/>
        </w:r>
      </w:hyperlink>
    </w:p>
    <w:p w14:paraId="04CC8CFA" w14:textId="2943F0D3"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34" w:history="1">
        <w:r w:rsidRPr="00355C09">
          <w:rPr>
            <w:rStyle w:val="Hyperlink"/>
          </w:rPr>
          <w:t>2.5.5</w:t>
        </w:r>
        <w:r>
          <w:rPr>
            <w:rFonts w:asciiTheme="minorHAnsi" w:eastAsiaTheme="minorEastAsia" w:hAnsiTheme="minorHAnsi" w:cstheme="minorBidi"/>
            <w:kern w:val="2"/>
            <w:sz w:val="24"/>
            <w:szCs w:val="24"/>
            <w14:ligatures w14:val="standardContextual"/>
          </w:rPr>
          <w:tab/>
        </w:r>
        <w:r w:rsidRPr="00355C09">
          <w:rPr>
            <w:rStyle w:val="Hyperlink"/>
          </w:rPr>
          <w:t>Conditions of approval</w:t>
        </w:r>
        <w:r>
          <w:rPr>
            <w:webHidden/>
          </w:rPr>
          <w:tab/>
        </w:r>
        <w:r>
          <w:rPr>
            <w:webHidden/>
          </w:rPr>
          <w:fldChar w:fldCharType="begin"/>
        </w:r>
        <w:r>
          <w:rPr>
            <w:webHidden/>
          </w:rPr>
          <w:instrText xml:space="preserve"> PAGEREF _Toc198288034 \h </w:instrText>
        </w:r>
        <w:r>
          <w:rPr>
            <w:webHidden/>
          </w:rPr>
        </w:r>
        <w:r>
          <w:rPr>
            <w:webHidden/>
          </w:rPr>
          <w:fldChar w:fldCharType="separate"/>
        </w:r>
        <w:r>
          <w:rPr>
            <w:webHidden/>
          </w:rPr>
          <w:t>13</w:t>
        </w:r>
        <w:r>
          <w:rPr>
            <w:webHidden/>
          </w:rPr>
          <w:fldChar w:fldCharType="end"/>
        </w:r>
      </w:hyperlink>
    </w:p>
    <w:p w14:paraId="3648F7E9" w14:textId="4E511A6A"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35" w:history="1">
        <w:r w:rsidRPr="00355C09">
          <w:rPr>
            <w:rStyle w:val="Hyperlink"/>
            <w:snapToGrid w:val="0"/>
            <w:lang w:eastAsia="en-US"/>
          </w:rPr>
          <w:t>2.6</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Assessment timeframes and conflicting applications</w:t>
        </w:r>
        <w:r>
          <w:rPr>
            <w:webHidden/>
          </w:rPr>
          <w:tab/>
        </w:r>
        <w:r>
          <w:rPr>
            <w:webHidden/>
          </w:rPr>
          <w:fldChar w:fldCharType="begin"/>
        </w:r>
        <w:r>
          <w:rPr>
            <w:webHidden/>
          </w:rPr>
          <w:instrText xml:space="preserve"> PAGEREF _Toc198288035 \h </w:instrText>
        </w:r>
        <w:r>
          <w:rPr>
            <w:webHidden/>
          </w:rPr>
        </w:r>
        <w:r>
          <w:rPr>
            <w:webHidden/>
          </w:rPr>
          <w:fldChar w:fldCharType="separate"/>
        </w:r>
        <w:r>
          <w:rPr>
            <w:webHidden/>
          </w:rPr>
          <w:t>13</w:t>
        </w:r>
        <w:r>
          <w:rPr>
            <w:webHidden/>
          </w:rPr>
          <w:fldChar w:fldCharType="end"/>
        </w:r>
      </w:hyperlink>
    </w:p>
    <w:p w14:paraId="285B7C1D" w14:textId="194FD7D4"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36" w:history="1">
        <w:r w:rsidRPr="00355C09">
          <w:rPr>
            <w:rStyle w:val="Hyperlink"/>
          </w:rPr>
          <w:t>2.6.1</w:t>
        </w:r>
        <w:r>
          <w:rPr>
            <w:rFonts w:asciiTheme="minorHAnsi" w:eastAsiaTheme="minorEastAsia" w:hAnsiTheme="minorHAnsi" w:cstheme="minorBidi"/>
            <w:kern w:val="2"/>
            <w:sz w:val="24"/>
            <w:szCs w:val="24"/>
            <w14:ligatures w14:val="standardContextual"/>
          </w:rPr>
          <w:tab/>
        </w:r>
        <w:r w:rsidRPr="00355C09">
          <w:rPr>
            <w:rStyle w:val="Hyperlink"/>
            <w:snapToGrid w:val="0"/>
            <w:lang w:eastAsia="en-US"/>
          </w:rPr>
          <w:t>Confidentiality</w:t>
        </w:r>
        <w:r>
          <w:rPr>
            <w:webHidden/>
          </w:rPr>
          <w:tab/>
        </w:r>
        <w:r>
          <w:rPr>
            <w:webHidden/>
          </w:rPr>
          <w:fldChar w:fldCharType="begin"/>
        </w:r>
        <w:r>
          <w:rPr>
            <w:webHidden/>
          </w:rPr>
          <w:instrText xml:space="preserve"> PAGEREF _Toc198288036 \h </w:instrText>
        </w:r>
        <w:r>
          <w:rPr>
            <w:webHidden/>
          </w:rPr>
        </w:r>
        <w:r>
          <w:rPr>
            <w:webHidden/>
          </w:rPr>
          <w:fldChar w:fldCharType="separate"/>
        </w:r>
        <w:r>
          <w:rPr>
            <w:webHidden/>
          </w:rPr>
          <w:t>14</w:t>
        </w:r>
        <w:r>
          <w:rPr>
            <w:webHidden/>
          </w:rPr>
          <w:fldChar w:fldCharType="end"/>
        </w:r>
      </w:hyperlink>
    </w:p>
    <w:p w14:paraId="58B52F8A" w14:textId="05A5A1F0" w:rsidR="00E60FA2" w:rsidRDefault="00E60FA2">
      <w:pPr>
        <w:pStyle w:val="TOC1"/>
        <w:tabs>
          <w:tab w:val="left" w:pos="885"/>
        </w:tabs>
        <w:rPr>
          <w:rFonts w:asciiTheme="minorHAnsi" w:eastAsiaTheme="minorEastAsia" w:hAnsiTheme="minorHAnsi" w:cstheme="minorBidi"/>
          <w:b w:val="0"/>
          <w:spacing w:val="0"/>
          <w:kern w:val="2"/>
          <w:sz w:val="24"/>
          <w14:ligatures w14:val="standardContextual"/>
        </w:rPr>
      </w:pPr>
      <w:hyperlink w:anchor="_Toc198288037" w:history="1">
        <w:r w:rsidRPr="00355C09">
          <w:rPr>
            <w:rStyle w:val="Hyperlink"/>
          </w:rPr>
          <w:t>3</w:t>
        </w:r>
        <w:r>
          <w:rPr>
            <w:rFonts w:asciiTheme="minorHAnsi" w:eastAsiaTheme="minorEastAsia" w:hAnsiTheme="minorHAnsi" w:cstheme="minorBidi"/>
            <w:b w:val="0"/>
            <w:spacing w:val="0"/>
            <w:kern w:val="2"/>
            <w:sz w:val="24"/>
            <w14:ligatures w14:val="standardContextual"/>
          </w:rPr>
          <w:tab/>
        </w:r>
        <w:r w:rsidRPr="00355C09">
          <w:rPr>
            <w:rStyle w:val="Hyperlink"/>
          </w:rPr>
          <w:t>Assessment criteria</w:t>
        </w:r>
        <w:r>
          <w:rPr>
            <w:webHidden/>
          </w:rPr>
          <w:tab/>
        </w:r>
        <w:r>
          <w:rPr>
            <w:webHidden/>
          </w:rPr>
          <w:fldChar w:fldCharType="begin"/>
        </w:r>
        <w:r>
          <w:rPr>
            <w:webHidden/>
          </w:rPr>
          <w:instrText xml:space="preserve"> PAGEREF _Toc198288037 \h </w:instrText>
        </w:r>
        <w:r>
          <w:rPr>
            <w:webHidden/>
          </w:rPr>
        </w:r>
        <w:r>
          <w:rPr>
            <w:webHidden/>
          </w:rPr>
          <w:fldChar w:fldCharType="separate"/>
        </w:r>
        <w:r>
          <w:rPr>
            <w:webHidden/>
          </w:rPr>
          <w:t>15</w:t>
        </w:r>
        <w:r>
          <w:rPr>
            <w:webHidden/>
          </w:rPr>
          <w:fldChar w:fldCharType="end"/>
        </w:r>
      </w:hyperlink>
    </w:p>
    <w:p w14:paraId="39ED9427" w14:textId="127793EF"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38" w:history="1">
        <w:r w:rsidRPr="00355C09">
          <w:rPr>
            <w:rStyle w:val="Hyperlink"/>
          </w:rPr>
          <w:t>3.1</w:t>
        </w:r>
        <w:r>
          <w:rPr>
            <w:rFonts w:asciiTheme="minorHAnsi" w:eastAsiaTheme="minorEastAsia" w:hAnsiTheme="minorHAnsi" w:cstheme="minorBidi"/>
            <w:spacing w:val="0"/>
            <w:kern w:val="2"/>
            <w:sz w:val="24"/>
            <w:szCs w:val="24"/>
            <w14:ligatures w14:val="standardContextual"/>
          </w:rPr>
          <w:tab/>
        </w:r>
        <w:r w:rsidRPr="00355C09">
          <w:rPr>
            <w:rStyle w:val="Hyperlink"/>
          </w:rPr>
          <w:t>Conformity with planning arrangements</w:t>
        </w:r>
        <w:r>
          <w:rPr>
            <w:webHidden/>
          </w:rPr>
          <w:tab/>
        </w:r>
        <w:r>
          <w:rPr>
            <w:webHidden/>
          </w:rPr>
          <w:fldChar w:fldCharType="begin"/>
        </w:r>
        <w:r>
          <w:rPr>
            <w:webHidden/>
          </w:rPr>
          <w:instrText xml:space="preserve"> PAGEREF _Toc198288038 \h </w:instrText>
        </w:r>
        <w:r>
          <w:rPr>
            <w:webHidden/>
          </w:rPr>
        </w:r>
        <w:r>
          <w:rPr>
            <w:webHidden/>
          </w:rPr>
          <w:fldChar w:fldCharType="separate"/>
        </w:r>
        <w:r>
          <w:rPr>
            <w:webHidden/>
          </w:rPr>
          <w:t>15</w:t>
        </w:r>
        <w:r>
          <w:rPr>
            <w:webHidden/>
          </w:rPr>
          <w:fldChar w:fldCharType="end"/>
        </w:r>
      </w:hyperlink>
    </w:p>
    <w:p w14:paraId="6A597FE5" w14:textId="6278EB2B"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39" w:history="1">
        <w:r w:rsidRPr="00355C09">
          <w:rPr>
            <w:rStyle w:val="Hyperlink"/>
          </w:rPr>
          <w:t>3.1.1</w:t>
        </w:r>
        <w:r>
          <w:rPr>
            <w:rFonts w:asciiTheme="minorHAnsi" w:eastAsiaTheme="minorEastAsia" w:hAnsiTheme="minorHAnsi" w:cstheme="minorBidi"/>
            <w:kern w:val="2"/>
            <w:sz w:val="24"/>
            <w:szCs w:val="24"/>
            <w14:ligatures w14:val="standardContextual"/>
          </w:rPr>
          <w:tab/>
        </w:r>
        <w:r w:rsidRPr="00355C09">
          <w:rPr>
            <w:rStyle w:val="Hyperlink"/>
          </w:rPr>
          <w:t>Space research treaty obligations and radiocommunications licensing</w:t>
        </w:r>
        <w:r>
          <w:rPr>
            <w:webHidden/>
          </w:rPr>
          <w:tab/>
        </w:r>
        <w:r>
          <w:rPr>
            <w:webHidden/>
          </w:rPr>
          <w:fldChar w:fldCharType="begin"/>
        </w:r>
        <w:r>
          <w:rPr>
            <w:webHidden/>
          </w:rPr>
          <w:instrText xml:space="preserve"> PAGEREF _Toc198288039 \h </w:instrText>
        </w:r>
        <w:r>
          <w:rPr>
            <w:webHidden/>
          </w:rPr>
        </w:r>
        <w:r>
          <w:rPr>
            <w:webHidden/>
          </w:rPr>
          <w:fldChar w:fldCharType="separate"/>
        </w:r>
        <w:r>
          <w:rPr>
            <w:webHidden/>
          </w:rPr>
          <w:t>15</w:t>
        </w:r>
        <w:r>
          <w:rPr>
            <w:webHidden/>
          </w:rPr>
          <w:fldChar w:fldCharType="end"/>
        </w:r>
      </w:hyperlink>
    </w:p>
    <w:p w14:paraId="068C6B55" w14:textId="03EED1B7"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40" w:history="1">
        <w:r w:rsidRPr="00355C09">
          <w:rPr>
            <w:rStyle w:val="Hyperlink"/>
          </w:rPr>
          <w:t>3.2</w:t>
        </w:r>
        <w:r>
          <w:rPr>
            <w:rFonts w:asciiTheme="minorHAnsi" w:eastAsiaTheme="minorEastAsia" w:hAnsiTheme="minorHAnsi" w:cstheme="minorBidi"/>
            <w:spacing w:val="0"/>
            <w:kern w:val="2"/>
            <w:sz w:val="24"/>
            <w:szCs w:val="24"/>
            <w14:ligatures w14:val="standardContextual"/>
          </w:rPr>
          <w:tab/>
        </w:r>
        <w:r w:rsidRPr="00355C09">
          <w:rPr>
            <w:rStyle w:val="Hyperlink"/>
          </w:rPr>
          <w:t>Australian jurisdiction</w:t>
        </w:r>
        <w:r>
          <w:rPr>
            <w:webHidden/>
          </w:rPr>
          <w:tab/>
        </w:r>
        <w:r>
          <w:rPr>
            <w:webHidden/>
          </w:rPr>
          <w:fldChar w:fldCharType="begin"/>
        </w:r>
        <w:r>
          <w:rPr>
            <w:webHidden/>
          </w:rPr>
          <w:instrText xml:space="preserve"> PAGEREF _Toc198288040 \h </w:instrText>
        </w:r>
        <w:r>
          <w:rPr>
            <w:webHidden/>
          </w:rPr>
        </w:r>
        <w:r>
          <w:rPr>
            <w:webHidden/>
          </w:rPr>
          <w:fldChar w:fldCharType="separate"/>
        </w:r>
        <w:r>
          <w:rPr>
            <w:webHidden/>
          </w:rPr>
          <w:t>17</w:t>
        </w:r>
        <w:r>
          <w:rPr>
            <w:webHidden/>
          </w:rPr>
          <w:fldChar w:fldCharType="end"/>
        </w:r>
      </w:hyperlink>
    </w:p>
    <w:p w14:paraId="53FE4803" w14:textId="4CF5EE32"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41" w:history="1">
        <w:r w:rsidRPr="00355C09">
          <w:rPr>
            <w:rStyle w:val="Hyperlink"/>
          </w:rPr>
          <w:t>3.3</w:t>
        </w:r>
        <w:r>
          <w:rPr>
            <w:rFonts w:asciiTheme="minorHAnsi" w:eastAsiaTheme="minorEastAsia" w:hAnsiTheme="minorHAnsi" w:cstheme="minorBidi"/>
            <w:spacing w:val="0"/>
            <w:kern w:val="2"/>
            <w:sz w:val="24"/>
            <w:szCs w:val="24"/>
            <w14:ligatures w14:val="standardContextual"/>
          </w:rPr>
          <w:tab/>
        </w:r>
        <w:r w:rsidRPr="00355C09">
          <w:rPr>
            <w:rStyle w:val="Hyperlink"/>
          </w:rPr>
          <w:t>Operational control</w:t>
        </w:r>
        <w:r>
          <w:rPr>
            <w:webHidden/>
          </w:rPr>
          <w:tab/>
        </w:r>
        <w:r>
          <w:rPr>
            <w:webHidden/>
          </w:rPr>
          <w:fldChar w:fldCharType="begin"/>
        </w:r>
        <w:r>
          <w:rPr>
            <w:webHidden/>
          </w:rPr>
          <w:instrText xml:space="preserve"> PAGEREF _Toc198288041 \h </w:instrText>
        </w:r>
        <w:r>
          <w:rPr>
            <w:webHidden/>
          </w:rPr>
        </w:r>
        <w:r>
          <w:rPr>
            <w:webHidden/>
          </w:rPr>
          <w:fldChar w:fldCharType="separate"/>
        </w:r>
        <w:r>
          <w:rPr>
            <w:webHidden/>
          </w:rPr>
          <w:t>17</w:t>
        </w:r>
        <w:r>
          <w:rPr>
            <w:webHidden/>
          </w:rPr>
          <w:fldChar w:fldCharType="end"/>
        </w:r>
      </w:hyperlink>
    </w:p>
    <w:p w14:paraId="5D1D7467" w14:textId="63164654"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42" w:history="1">
        <w:r w:rsidRPr="00355C09">
          <w:rPr>
            <w:rStyle w:val="Hyperlink"/>
          </w:rPr>
          <w:t>3.4</w:t>
        </w:r>
        <w:r>
          <w:rPr>
            <w:rFonts w:asciiTheme="minorHAnsi" w:eastAsiaTheme="minorEastAsia" w:hAnsiTheme="minorHAnsi" w:cstheme="minorBidi"/>
            <w:spacing w:val="0"/>
            <w:kern w:val="2"/>
            <w:sz w:val="24"/>
            <w:szCs w:val="24"/>
            <w14:ligatures w14:val="standardContextual"/>
          </w:rPr>
          <w:tab/>
        </w:r>
        <w:r w:rsidRPr="00355C09">
          <w:rPr>
            <w:rStyle w:val="Hyperlink"/>
          </w:rPr>
          <w:t>Technical and financial credentials</w:t>
        </w:r>
        <w:r>
          <w:rPr>
            <w:webHidden/>
          </w:rPr>
          <w:tab/>
        </w:r>
        <w:r>
          <w:rPr>
            <w:webHidden/>
          </w:rPr>
          <w:fldChar w:fldCharType="begin"/>
        </w:r>
        <w:r>
          <w:rPr>
            <w:webHidden/>
          </w:rPr>
          <w:instrText xml:space="preserve"> PAGEREF _Toc198288042 \h </w:instrText>
        </w:r>
        <w:r>
          <w:rPr>
            <w:webHidden/>
          </w:rPr>
        </w:r>
        <w:r>
          <w:rPr>
            <w:webHidden/>
          </w:rPr>
          <w:fldChar w:fldCharType="separate"/>
        </w:r>
        <w:r>
          <w:rPr>
            <w:webHidden/>
          </w:rPr>
          <w:t>17</w:t>
        </w:r>
        <w:r>
          <w:rPr>
            <w:webHidden/>
          </w:rPr>
          <w:fldChar w:fldCharType="end"/>
        </w:r>
      </w:hyperlink>
    </w:p>
    <w:p w14:paraId="4E07810A" w14:textId="461730A6"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43" w:history="1">
        <w:r w:rsidRPr="00355C09">
          <w:rPr>
            <w:rStyle w:val="Hyperlink"/>
          </w:rPr>
          <w:t>3.5</w:t>
        </w:r>
        <w:r>
          <w:rPr>
            <w:rFonts w:asciiTheme="minorHAnsi" w:eastAsiaTheme="minorEastAsia" w:hAnsiTheme="minorHAnsi" w:cstheme="minorBidi"/>
            <w:spacing w:val="0"/>
            <w:kern w:val="2"/>
            <w:sz w:val="24"/>
            <w:szCs w:val="24"/>
            <w14:ligatures w14:val="standardContextual"/>
          </w:rPr>
          <w:tab/>
        </w:r>
        <w:r w:rsidRPr="00355C09">
          <w:rPr>
            <w:rStyle w:val="Hyperlink"/>
          </w:rPr>
          <w:t>Australian benefit</w:t>
        </w:r>
        <w:r>
          <w:rPr>
            <w:webHidden/>
          </w:rPr>
          <w:tab/>
        </w:r>
        <w:r>
          <w:rPr>
            <w:webHidden/>
          </w:rPr>
          <w:fldChar w:fldCharType="begin"/>
        </w:r>
        <w:r>
          <w:rPr>
            <w:webHidden/>
          </w:rPr>
          <w:instrText xml:space="preserve"> PAGEREF _Toc198288043 \h </w:instrText>
        </w:r>
        <w:r>
          <w:rPr>
            <w:webHidden/>
          </w:rPr>
        </w:r>
        <w:r>
          <w:rPr>
            <w:webHidden/>
          </w:rPr>
          <w:fldChar w:fldCharType="separate"/>
        </w:r>
        <w:r>
          <w:rPr>
            <w:webHidden/>
          </w:rPr>
          <w:t>18</w:t>
        </w:r>
        <w:r>
          <w:rPr>
            <w:webHidden/>
          </w:rPr>
          <w:fldChar w:fldCharType="end"/>
        </w:r>
      </w:hyperlink>
    </w:p>
    <w:p w14:paraId="10EE2C82" w14:textId="73EBDC72"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44" w:history="1">
        <w:r w:rsidRPr="00355C09">
          <w:rPr>
            <w:rStyle w:val="Hyperlink"/>
          </w:rPr>
          <w:t>3.5.1</w:t>
        </w:r>
        <w:r>
          <w:rPr>
            <w:rFonts w:asciiTheme="minorHAnsi" w:eastAsiaTheme="minorEastAsia" w:hAnsiTheme="minorHAnsi" w:cstheme="minorBidi"/>
            <w:kern w:val="2"/>
            <w:sz w:val="24"/>
            <w:szCs w:val="24"/>
            <w14:ligatures w14:val="standardContextual"/>
          </w:rPr>
          <w:tab/>
        </w:r>
        <w:r w:rsidRPr="00355C09">
          <w:rPr>
            <w:rStyle w:val="Hyperlink"/>
          </w:rPr>
          <w:t>Non-qualifying benefits</w:t>
        </w:r>
        <w:r>
          <w:rPr>
            <w:webHidden/>
          </w:rPr>
          <w:tab/>
        </w:r>
        <w:r>
          <w:rPr>
            <w:webHidden/>
          </w:rPr>
          <w:fldChar w:fldCharType="begin"/>
        </w:r>
        <w:r>
          <w:rPr>
            <w:webHidden/>
          </w:rPr>
          <w:instrText xml:space="preserve"> PAGEREF _Toc198288044 \h </w:instrText>
        </w:r>
        <w:r>
          <w:rPr>
            <w:webHidden/>
          </w:rPr>
        </w:r>
        <w:r>
          <w:rPr>
            <w:webHidden/>
          </w:rPr>
          <w:fldChar w:fldCharType="separate"/>
        </w:r>
        <w:r>
          <w:rPr>
            <w:webHidden/>
          </w:rPr>
          <w:t>18</w:t>
        </w:r>
        <w:r>
          <w:rPr>
            <w:webHidden/>
          </w:rPr>
          <w:fldChar w:fldCharType="end"/>
        </w:r>
      </w:hyperlink>
    </w:p>
    <w:p w14:paraId="1C2E42D5" w14:textId="39952B6F"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45" w:history="1">
        <w:r w:rsidRPr="00355C09">
          <w:rPr>
            <w:rStyle w:val="Hyperlink"/>
          </w:rPr>
          <w:t>3.5.2</w:t>
        </w:r>
        <w:r>
          <w:rPr>
            <w:rFonts w:asciiTheme="minorHAnsi" w:eastAsiaTheme="minorEastAsia" w:hAnsiTheme="minorHAnsi" w:cstheme="minorBidi"/>
            <w:kern w:val="2"/>
            <w:sz w:val="24"/>
            <w:szCs w:val="24"/>
            <w14:ligatures w14:val="standardContextual"/>
          </w:rPr>
          <w:tab/>
        </w:r>
        <w:r w:rsidRPr="00355C09">
          <w:rPr>
            <w:rStyle w:val="Hyperlink"/>
          </w:rPr>
          <w:t>Consideration of past performance</w:t>
        </w:r>
        <w:r>
          <w:rPr>
            <w:webHidden/>
          </w:rPr>
          <w:tab/>
        </w:r>
        <w:r>
          <w:rPr>
            <w:webHidden/>
          </w:rPr>
          <w:fldChar w:fldCharType="begin"/>
        </w:r>
        <w:r>
          <w:rPr>
            <w:webHidden/>
          </w:rPr>
          <w:instrText xml:space="preserve"> PAGEREF _Toc198288045 \h </w:instrText>
        </w:r>
        <w:r>
          <w:rPr>
            <w:webHidden/>
          </w:rPr>
        </w:r>
        <w:r>
          <w:rPr>
            <w:webHidden/>
          </w:rPr>
          <w:fldChar w:fldCharType="separate"/>
        </w:r>
        <w:r>
          <w:rPr>
            <w:webHidden/>
          </w:rPr>
          <w:t>19</w:t>
        </w:r>
        <w:r>
          <w:rPr>
            <w:webHidden/>
          </w:rPr>
          <w:fldChar w:fldCharType="end"/>
        </w:r>
      </w:hyperlink>
    </w:p>
    <w:p w14:paraId="35C6A36C" w14:textId="3F32036A"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46" w:history="1">
        <w:r w:rsidRPr="00355C09">
          <w:rPr>
            <w:rStyle w:val="Hyperlink"/>
          </w:rPr>
          <w:t>3.6</w:t>
        </w:r>
        <w:r>
          <w:rPr>
            <w:rFonts w:asciiTheme="minorHAnsi" w:eastAsiaTheme="minorEastAsia" w:hAnsiTheme="minorHAnsi" w:cstheme="minorBidi"/>
            <w:spacing w:val="0"/>
            <w:kern w:val="2"/>
            <w:sz w:val="24"/>
            <w:szCs w:val="24"/>
            <w14:ligatures w14:val="standardContextual"/>
          </w:rPr>
          <w:tab/>
        </w:r>
        <w:r w:rsidRPr="00355C09">
          <w:rPr>
            <w:rStyle w:val="Hyperlink"/>
          </w:rPr>
          <w:t>Coordination with Australian satellite systems</w:t>
        </w:r>
        <w:r>
          <w:rPr>
            <w:webHidden/>
          </w:rPr>
          <w:tab/>
        </w:r>
        <w:r>
          <w:rPr>
            <w:webHidden/>
          </w:rPr>
          <w:fldChar w:fldCharType="begin"/>
        </w:r>
        <w:r>
          <w:rPr>
            <w:webHidden/>
          </w:rPr>
          <w:instrText xml:space="preserve"> PAGEREF _Toc198288046 \h </w:instrText>
        </w:r>
        <w:r>
          <w:rPr>
            <w:webHidden/>
          </w:rPr>
        </w:r>
        <w:r>
          <w:rPr>
            <w:webHidden/>
          </w:rPr>
          <w:fldChar w:fldCharType="separate"/>
        </w:r>
        <w:r>
          <w:rPr>
            <w:webHidden/>
          </w:rPr>
          <w:t>19</w:t>
        </w:r>
        <w:r>
          <w:rPr>
            <w:webHidden/>
          </w:rPr>
          <w:fldChar w:fldCharType="end"/>
        </w:r>
      </w:hyperlink>
    </w:p>
    <w:p w14:paraId="207828FF" w14:textId="120DB89A"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47" w:history="1">
        <w:r w:rsidRPr="00355C09">
          <w:rPr>
            <w:rStyle w:val="Hyperlink"/>
          </w:rPr>
          <w:t>3.6.1</w:t>
        </w:r>
        <w:r>
          <w:rPr>
            <w:rFonts w:asciiTheme="minorHAnsi" w:eastAsiaTheme="minorEastAsia" w:hAnsiTheme="minorHAnsi" w:cstheme="minorBidi"/>
            <w:kern w:val="2"/>
            <w:sz w:val="24"/>
            <w:szCs w:val="24"/>
            <w14:ligatures w14:val="standardContextual"/>
          </w:rPr>
          <w:tab/>
        </w:r>
        <w:r w:rsidRPr="00355C09">
          <w:rPr>
            <w:rStyle w:val="Hyperlink"/>
          </w:rPr>
          <w:t>Requirement to complete coordination</w:t>
        </w:r>
        <w:r>
          <w:rPr>
            <w:webHidden/>
          </w:rPr>
          <w:tab/>
        </w:r>
        <w:r>
          <w:rPr>
            <w:webHidden/>
          </w:rPr>
          <w:fldChar w:fldCharType="begin"/>
        </w:r>
        <w:r>
          <w:rPr>
            <w:webHidden/>
          </w:rPr>
          <w:instrText xml:space="preserve"> PAGEREF _Toc198288047 \h </w:instrText>
        </w:r>
        <w:r>
          <w:rPr>
            <w:webHidden/>
          </w:rPr>
        </w:r>
        <w:r>
          <w:rPr>
            <w:webHidden/>
          </w:rPr>
          <w:fldChar w:fldCharType="separate"/>
        </w:r>
        <w:r>
          <w:rPr>
            <w:webHidden/>
          </w:rPr>
          <w:t>19</w:t>
        </w:r>
        <w:r>
          <w:rPr>
            <w:webHidden/>
          </w:rPr>
          <w:fldChar w:fldCharType="end"/>
        </w:r>
      </w:hyperlink>
    </w:p>
    <w:p w14:paraId="3CC99268" w14:textId="64BD1C97"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48" w:history="1">
        <w:r w:rsidRPr="00355C09">
          <w:rPr>
            <w:rStyle w:val="Hyperlink"/>
          </w:rPr>
          <w:t>3.6.2</w:t>
        </w:r>
        <w:r>
          <w:rPr>
            <w:rFonts w:asciiTheme="minorHAnsi" w:eastAsiaTheme="minorEastAsia" w:hAnsiTheme="minorHAnsi" w:cstheme="minorBidi"/>
            <w:kern w:val="2"/>
            <w:sz w:val="24"/>
            <w:szCs w:val="24"/>
            <w14:ligatures w14:val="standardContextual"/>
          </w:rPr>
          <w:tab/>
        </w:r>
        <w:r w:rsidRPr="00355C09">
          <w:rPr>
            <w:rStyle w:val="Hyperlink"/>
          </w:rPr>
          <w:t>Australian satellite filings that require coordination</w:t>
        </w:r>
        <w:r>
          <w:rPr>
            <w:webHidden/>
          </w:rPr>
          <w:tab/>
        </w:r>
        <w:r>
          <w:rPr>
            <w:webHidden/>
          </w:rPr>
          <w:fldChar w:fldCharType="begin"/>
        </w:r>
        <w:r>
          <w:rPr>
            <w:webHidden/>
          </w:rPr>
          <w:instrText xml:space="preserve"> PAGEREF _Toc198288048 \h </w:instrText>
        </w:r>
        <w:r>
          <w:rPr>
            <w:webHidden/>
          </w:rPr>
        </w:r>
        <w:r>
          <w:rPr>
            <w:webHidden/>
          </w:rPr>
          <w:fldChar w:fldCharType="separate"/>
        </w:r>
        <w:r>
          <w:rPr>
            <w:webHidden/>
          </w:rPr>
          <w:t>20</w:t>
        </w:r>
        <w:r>
          <w:rPr>
            <w:webHidden/>
          </w:rPr>
          <w:fldChar w:fldCharType="end"/>
        </w:r>
      </w:hyperlink>
    </w:p>
    <w:p w14:paraId="1C027C78" w14:textId="7345DE6E"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49" w:history="1">
        <w:r w:rsidRPr="00355C09">
          <w:rPr>
            <w:rStyle w:val="Hyperlink"/>
          </w:rPr>
          <w:t>3.6.3</w:t>
        </w:r>
        <w:r>
          <w:rPr>
            <w:rFonts w:asciiTheme="minorHAnsi" w:eastAsiaTheme="minorEastAsia" w:hAnsiTheme="minorHAnsi" w:cstheme="minorBidi"/>
            <w:kern w:val="2"/>
            <w:sz w:val="24"/>
            <w:szCs w:val="24"/>
            <w14:ligatures w14:val="standardContextual"/>
          </w:rPr>
          <w:tab/>
        </w:r>
        <w:r w:rsidRPr="00355C09">
          <w:rPr>
            <w:rStyle w:val="Hyperlink"/>
          </w:rPr>
          <w:t>Assessing coordination required</w:t>
        </w:r>
        <w:r>
          <w:rPr>
            <w:webHidden/>
          </w:rPr>
          <w:tab/>
        </w:r>
        <w:r>
          <w:rPr>
            <w:webHidden/>
          </w:rPr>
          <w:fldChar w:fldCharType="begin"/>
        </w:r>
        <w:r>
          <w:rPr>
            <w:webHidden/>
          </w:rPr>
          <w:instrText xml:space="preserve"> PAGEREF _Toc198288049 \h </w:instrText>
        </w:r>
        <w:r>
          <w:rPr>
            <w:webHidden/>
          </w:rPr>
        </w:r>
        <w:r>
          <w:rPr>
            <w:webHidden/>
          </w:rPr>
          <w:fldChar w:fldCharType="separate"/>
        </w:r>
        <w:r>
          <w:rPr>
            <w:webHidden/>
          </w:rPr>
          <w:t>20</w:t>
        </w:r>
        <w:r>
          <w:rPr>
            <w:webHidden/>
          </w:rPr>
          <w:fldChar w:fldCharType="end"/>
        </w:r>
      </w:hyperlink>
    </w:p>
    <w:p w14:paraId="266DD585" w14:textId="617B79A5"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50" w:history="1">
        <w:r w:rsidRPr="00355C09">
          <w:rPr>
            <w:rStyle w:val="Hyperlink"/>
          </w:rPr>
          <w:t>3.6.4</w:t>
        </w:r>
        <w:r>
          <w:rPr>
            <w:rFonts w:asciiTheme="minorHAnsi" w:eastAsiaTheme="minorEastAsia" w:hAnsiTheme="minorHAnsi" w:cstheme="minorBidi"/>
            <w:kern w:val="2"/>
            <w:sz w:val="24"/>
            <w:szCs w:val="24"/>
            <w14:ligatures w14:val="standardContextual"/>
          </w:rPr>
          <w:tab/>
        </w:r>
        <w:r w:rsidRPr="00355C09">
          <w:rPr>
            <w:rStyle w:val="Hyperlink"/>
          </w:rPr>
          <w:t>Advising the ACMA of completion of coordination</w:t>
        </w:r>
        <w:r>
          <w:rPr>
            <w:webHidden/>
          </w:rPr>
          <w:tab/>
        </w:r>
        <w:r>
          <w:rPr>
            <w:webHidden/>
          </w:rPr>
          <w:fldChar w:fldCharType="begin"/>
        </w:r>
        <w:r>
          <w:rPr>
            <w:webHidden/>
          </w:rPr>
          <w:instrText xml:space="preserve"> PAGEREF _Toc198288050 \h </w:instrText>
        </w:r>
        <w:r>
          <w:rPr>
            <w:webHidden/>
          </w:rPr>
        </w:r>
        <w:r>
          <w:rPr>
            <w:webHidden/>
          </w:rPr>
          <w:fldChar w:fldCharType="separate"/>
        </w:r>
        <w:r>
          <w:rPr>
            <w:webHidden/>
          </w:rPr>
          <w:t>20</w:t>
        </w:r>
        <w:r>
          <w:rPr>
            <w:webHidden/>
          </w:rPr>
          <w:fldChar w:fldCharType="end"/>
        </w:r>
      </w:hyperlink>
    </w:p>
    <w:p w14:paraId="5EA5258F" w14:textId="7B91F493"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51" w:history="1">
        <w:r w:rsidRPr="00355C09">
          <w:rPr>
            <w:rStyle w:val="Hyperlink"/>
          </w:rPr>
          <w:t>3.6.5</w:t>
        </w:r>
        <w:r>
          <w:rPr>
            <w:rFonts w:asciiTheme="minorHAnsi" w:eastAsiaTheme="minorEastAsia" w:hAnsiTheme="minorHAnsi" w:cstheme="minorBidi"/>
            <w:kern w:val="2"/>
            <w:sz w:val="24"/>
            <w:szCs w:val="24"/>
            <w14:ligatures w14:val="standardContextual"/>
          </w:rPr>
          <w:tab/>
        </w:r>
        <w:r w:rsidRPr="00355C09">
          <w:rPr>
            <w:rStyle w:val="Hyperlink"/>
          </w:rPr>
          <w:t>When to commence coordination</w:t>
        </w:r>
        <w:r>
          <w:rPr>
            <w:webHidden/>
          </w:rPr>
          <w:tab/>
        </w:r>
        <w:r>
          <w:rPr>
            <w:webHidden/>
          </w:rPr>
          <w:fldChar w:fldCharType="begin"/>
        </w:r>
        <w:r>
          <w:rPr>
            <w:webHidden/>
          </w:rPr>
          <w:instrText xml:space="preserve"> PAGEREF _Toc198288051 \h </w:instrText>
        </w:r>
        <w:r>
          <w:rPr>
            <w:webHidden/>
          </w:rPr>
        </w:r>
        <w:r>
          <w:rPr>
            <w:webHidden/>
          </w:rPr>
          <w:fldChar w:fldCharType="separate"/>
        </w:r>
        <w:r>
          <w:rPr>
            <w:webHidden/>
          </w:rPr>
          <w:t>21</w:t>
        </w:r>
        <w:r>
          <w:rPr>
            <w:webHidden/>
          </w:rPr>
          <w:fldChar w:fldCharType="end"/>
        </w:r>
      </w:hyperlink>
    </w:p>
    <w:p w14:paraId="009EBB6A" w14:textId="6D000089"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52" w:history="1">
        <w:r w:rsidRPr="00355C09">
          <w:rPr>
            <w:rStyle w:val="Hyperlink"/>
          </w:rPr>
          <w:t>3.6.6</w:t>
        </w:r>
        <w:r>
          <w:rPr>
            <w:rFonts w:asciiTheme="minorHAnsi" w:eastAsiaTheme="minorEastAsia" w:hAnsiTheme="minorHAnsi" w:cstheme="minorBidi"/>
            <w:kern w:val="2"/>
            <w:sz w:val="24"/>
            <w:szCs w:val="24"/>
            <w14:ligatures w14:val="standardContextual"/>
          </w:rPr>
          <w:tab/>
        </w:r>
        <w:r w:rsidRPr="00355C09">
          <w:rPr>
            <w:rStyle w:val="Hyperlink"/>
          </w:rPr>
          <w:t>Failure to coordinate between Australian satellite operators</w:t>
        </w:r>
        <w:r>
          <w:rPr>
            <w:webHidden/>
          </w:rPr>
          <w:tab/>
        </w:r>
        <w:r>
          <w:rPr>
            <w:webHidden/>
          </w:rPr>
          <w:fldChar w:fldCharType="begin"/>
        </w:r>
        <w:r>
          <w:rPr>
            <w:webHidden/>
          </w:rPr>
          <w:instrText xml:space="preserve"> PAGEREF _Toc198288052 \h </w:instrText>
        </w:r>
        <w:r>
          <w:rPr>
            <w:webHidden/>
          </w:rPr>
        </w:r>
        <w:r>
          <w:rPr>
            <w:webHidden/>
          </w:rPr>
          <w:fldChar w:fldCharType="separate"/>
        </w:r>
        <w:r>
          <w:rPr>
            <w:webHidden/>
          </w:rPr>
          <w:t>21</w:t>
        </w:r>
        <w:r>
          <w:rPr>
            <w:webHidden/>
          </w:rPr>
          <w:fldChar w:fldCharType="end"/>
        </w:r>
      </w:hyperlink>
    </w:p>
    <w:p w14:paraId="64888A87" w14:textId="0D043C2E"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53" w:history="1">
        <w:r w:rsidRPr="00355C09">
          <w:rPr>
            <w:rStyle w:val="Hyperlink"/>
          </w:rPr>
          <w:t>3.6.7</w:t>
        </w:r>
        <w:r>
          <w:rPr>
            <w:rFonts w:asciiTheme="minorHAnsi" w:eastAsiaTheme="minorEastAsia" w:hAnsiTheme="minorHAnsi" w:cstheme="minorBidi"/>
            <w:kern w:val="2"/>
            <w:sz w:val="24"/>
            <w:szCs w:val="24"/>
            <w14:ligatures w14:val="standardContextual"/>
          </w:rPr>
          <w:tab/>
        </w:r>
        <w:r w:rsidRPr="00355C09">
          <w:rPr>
            <w:rStyle w:val="Hyperlink"/>
          </w:rPr>
          <w:t>Resolving disagreements between Australian satellite operators</w:t>
        </w:r>
        <w:r>
          <w:rPr>
            <w:webHidden/>
          </w:rPr>
          <w:tab/>
        </w:r>
        <w:r>
          <w:rPr>
            <w:webHidden/>
          </w:rPr>
          <w:fldChar w:fldCharType="begin"/>
        </w:r>
        <w:r>
          <w:rPr>
            <w:webHidden/>
          </w:rPr>
          <w:instrText xml:space="preserve"> PAGEREF _Toc198288053 \h </w:instrText>
        </w:r>
        <w:r>
          <w:rPr>
            <w:webHidden/>
          </w:rPr>
        </w:r>
        <w:r>
          <w:rPr>
            <w:webHidden/>
          </w:rPr>
          <w:fldChar w:fldCharType="separate"/>
        </w:r>
        <w:r>
          <w:rPr>
            <w:webHidden/>
          </w:rPr>
          <w:t>22</w:t>
        </w:r>
        <w:r>
          <w:rPr>
            <w:webHidden/>
          </w:rPr>
          <w:fldChar w:fldCharType="end"/>
        </w:r>
      </w:hyperlink>
    </w:p>
    <w:p w14:paraId="65373FA6" w14:textId="59EE5592"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54" w:history="1">
        <w:r w:rsidRPr="00355C09">
          <w:rPr>
            <w:rStyle w:val="Hyperlink"/>
          </w:rPr>
          <w:t>3.7</w:t>
        </w:r>
        <w:r>
          <w:rPr>
            <w:rFonts w:asciiTheme="minorHAnsi" w:eastAsiaTheme="minorEastAsia" w:hAnsiTheme="minorHAnsi" w:cstheme="minorBidi"/>
            <w:spacing w:val="0"/>
            <w:kern w:val="2"/>
            <w:sz w:val="24"/>
            <w:szCs w:val="24"/>
            <w14:ligatures w14:val="standardContextual"/>
          </w:rPr>
          <w:tab/>
        </w:r>
        <w:r w:rsidRPr="00355C09">
          <w:rPr>
            <w:rStyle w:val="Hyperlink"/>
          </w:rPr>
          <w:t>Requirements for ‘planned band’ applications</w:t>
        </w:r>
        <w:r>
          <w:rPr>
            <w:webHidden/>
          </w:rPr>
          <w:tab/>
        </w:r>
        <w:r>
          <w:rPr>
            <w:webHidden/>
          </w:rPr>
          <w:fldChar w:fldCharType="begin"/>
        </w:r>
        <w:r>
          <w:rPr>
            <w:webHidden/>
          </w:rPr>
          <w:instrText xml:space="preserve"> PAGEREF _Toc198288054 \h </w:instrText>
        </w:r>
        <w:r>
          <w:rPr>
            <w:webHidden/>
          </w:rPr>
        </w:r>
        <w:r>
          <w:rPr>
            <w:webHidden/>
          </w:rPr>
          <w:fldChar w:fldCharType="separate"/>
        </w:r>
        <w:r>
          <w:rPr>
            <w:webHidden/>
          </w:rPr>
          <w:t>22</w:t>
        </w:r>
        <w:r>
          <w:rPr>
            <w:webHidden/>
          </w:rPr>
          <w:fldChar w:fldCharType="end"/>
        </w:r>
      </w:hyperlink>
    </w:p>
    <w:p w14:paraId="1391AA1C" w14:textId="01EA375C"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55" w:history="1">
        <w:r w:rsidRPr="00355C09">
          <w:rPr>
            <w:rStyle w:val="Hyperlink"/>
          </w:rPr>
          <w:t>3.8</w:t>
        </w:r>
        <w:r>
          <w:rPr>
            <w:rFonts w:asciiTheme="minorHAnsi" w:eastAsiaTheme="minorEastAsia" w:hAnsiTheme="minorHAnsi" w:cstheme="minorBidi"/>
            <w:spacing w:val="0"/>
            <w:kern w:val="2"/>
            <w:sz w:val="24"/>
            <w:szCs w:val="24"/>
            <w14:ligatures w14:val="standardContextual"/>
          </w:rPr>
          <w:tab/>
        </w:r>
        <w:r w:rsidRPr="00355C09">
          <w:rPr>
            <w:rStyle w:val="Hyperlink"/>
          </w:rPr>
          <w:t>Requirements for amateur satellite bands</w:t>
        </w:r>
        <w:r>
          <w:rPr>
            <w:webHidden/>
          </w:rPr>
          <w:tab/>
        </w:r>
        <w:r>
          <w:rPr>
            <w:webHidden/>
          </w:rPr>
          <w:fldChar w:fldCharType="begin"/>
        </w:r>
        <w:r>
          <w:rPr>
            <w:webHidden/>
          </w:rPr>
          <w:instrText xml:space="preserve"> PAGEREF _Toc198288055 \h </w:instrText>
        </w:r>
        <w:r>
          <w:rPr>
            <w:webHidden/>
          </w:rPr>
        </w:r>
        <w:r>
          <w:rPr>
            <w:webHidden/>
          </w:rPr>
          <w:fldChar w:fldCharType="separate"/>
        </w:r>
        <w:r>
          <w:rPr>
            <w:webHidden/>
          </w:rPr>
          <w:t>23</w:t>
        </w:r>
        <w:r>
          <w:rPr>
            <w:webHidden/>
          </w:rPr>
          <w:fldChar w:fldCharType="end"/>
        </w:r>
      </w:hyperlink>
    </w:p>
    <w:p w14:paraId="5637AFBD" w14:textId="4844B97C" w:rsidR="00E60FA2" w:rsidRDefault="00E60FA2">
      <w:pPr>
        <w:pStyle w:val="TOC1"/>
        <w:tabs>
          <w:tab w:val="left" w:pos="885"/>
        </w:tabs>
        <w:rPr>
          <w:rFonts w:asciiTheme="minorHAnsi" w:eastAsiaTheme="minorEastAsia" w:hAnsiTheme="minorHAnsi" w:cstheme="minorBidi"/>
          <w:b w:val="0"/>
          <w:spacing w:val="0"/>
          <w:kern w:val="2"/>
          <w:sz w:val="24"/>
          <w14:ligatures w14:val="standardContextual"/>
        </w:rPr>
      </w:pPr>
      <w:hyperlink w:anchor="_Toc198288056" w:history="1">
        <w:r w:rsidRPr="00355C09">
          <w:rPr>
            <w:rStyle w:val="Hyperlink"/>
          </w:rPr>
          <w:t>4</w:t>
        </w:r>
        <w:r>
          <w:rPr>
            <w:rFonts w:asciiTheme="minorHAnsi" w:eastAsiaTheme="minorEastAsia" w:hAnsiTheme="minorHAnsi" w:cstheme="minorBidi"/>
            <w:b w:val="0"/>
            <w:spacing w:val="0"/>
            <w:kern w:val="2"/>
            <w:sz w:val="24"/>
            <w14:ligatures w14:val="standardContextual"/>
          </w:rPr>
          <w:tab/>
        </w:r>
        <w:r w:rsidRPr="00355C09">
          <w:rPr>
            <w:rStyle w:val="Hyperlink"/>
          </w:rPr>
          <w:t>Procedures for approved applicants</w:t>
        </w:r>
        <w:r>
          <w:rPr>
            <w:webHidden/>
          </w:rPr>
          <w:tab/>
        </w:r>
        <w:r>
          <w:rPr>
            <w:webHidden/>
          </w:rPr>
          <w:fldChar w:fldCharType="begin"/>
        </w:r>
        <w:r>
          <w:rPr>
            <w:webHidden/>
          </w:rPr>
          <w:instrText xml:space="preserve"> PAGEREF _Toc198288056 \h </w:instrText>
        </w:r>
        <w:r>
          <w:rPr>
            <w:webHidden/>
          </w:rPr>
        </w:r>
        <w:r>
          <w:rPr>
            <w:webHidden/>
          </w:rPr>
          <w:fldChar w:fldCharType="separate"/>
        </w:r>
        <w:r>
          <w:rPr>
            <w:webHidden/>
          </w:rPr>
          <w:t>24</w:t>
        </w:r>
        <w:r>
          <w:rPr>
            <w:webHidden/>
          </w:rPr>
          <w:fldChar w:fldCharType="end"/>
        </w:r>
      </w:hyperlink>
    </w:p>
    <w:p w14:paraId="315DCF03" w14:textId="0F4C9362"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57" w:history="1">
        <w:r w:rsidRPr="00355C09">
          <w:rPr>
            <w:rStyle w:val="Hyperlink"/>
            <w:snapToGrid w:val="0"/>
            <w:lang w:eastAsia="en-US"/>
          </w:rPr>
          <w:t>4.1</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Background</w:t>
        </w:r>
        <w:r>
          <w:rPr>
            <w:webHidden/>
          </w:rPr>
          <w:tab/>
        </w:r>
        <w:r>
          <w:rPr>
            <w:webHidden/>
          </w:rPr>
          <w:fldChar w:fldCharType="begin"/>
        </w:r>
        <w:r>
          <w:rPr>
            <w:webHidden/>
          </w:rPr>
          <w:instrText xml:space="preserve"> PAGEREF _Toc198288057 \h </w:instrText>
        </w:r>
        <w:r>
          <w:rPr>
            <w:webHidden/>
          </w:rPr>
        </w:r>
        <w:r>
          <w:rPr>
            <w:webHidden/>
          </w:rPr>
          <w:fldChar w:fldCharType="separate"/>
        </w:r>
        <w:r>
          <w:rPr>
            <w:webHidden/>
          </w:rPr>
          <w:t>24</w:t>
        </w:r>
        <w:r>
          <w:rPr>
            <w:webHidden/>
          </w:rPr>
          <w:fldChar w:fldCharType="end"/>
        </w:r>
      </w:hyperlink>
    </w:p>
    <w:p w14:paraId="76DB6866" w14:textId="70E318DA"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58" w:history="1">
        <w:r w:rsidRPr="00355C09">
          <w:rPr>
            <w:rStyle w:val="Hyperlink"/>
          </w:rPr>
          <w:t>4.1.1</w:t>
        </w:r>
        <w:r>
          <w:rPr>
            <w:rFonts w:asciiTheme="minorHAnsi" w:eastAsiaTheme="minorEastAsia" w:hAnsiTheme="minorHAnsi" w:cstheme="minorBidi"/>
            <w:kern w:val="2"/>
            <w:sz w:val="24"/>
            <w:szCs w:val="24"/>
            <w14:ligatures w14:val="standardContextual"/>
          </w:rPr>
          <w:tab/>
        </w:r>
        <w:r w:rsidRPr="00355C09">
          <w:rPr>
            <w:rStyle w:val="Hyperlink"/>
          </w:rPr>
          <w:t>Relevant provisions of the Radio Regulations</w:t>
        </w:r>
        <w:r>
          <w:rPr>
            <w:webHidden/>
          </w:rPr>
          <w:tab/>
        </w:r>
        <w:r>
          <w:rPr>
            <w:webHidden/>
          </w:rPr>
          <w:fldChar w:fldCharType="begin"/>
        </w:r>
        <w:r>
          <w:rPr>
            <w:webHidden/>
          </w:rPr>
          <w:instrText xml:space="preserve"> PAGEREF _Toc198288058 \h </w:instrText>
        </w:r>
        <w:r>
          <w:rPr>
            <w:webHidden/>
          </w:rPr>
        </w:r>
        <w:r>
          <w:rPr>
            <w:webHidden/>
          </w:rPr>
          <w:fldChar w:fldCharType="separate"/>
        </w:r>
        <w:r>
          <w:rPr>
            <w:webHidden/>
          </w:rPr>
          <w:t>24</w:t>
        </w:r>
        <w:r>
          <w:rPr>
            <w:webHidden/>
          </w:rPr>
          <w:fldChar w:fldCharType="end"/>
        </w:r>
      </w:hyperlink>
    </w:p>
    <w:p w14:paraId="5A4107BD" w14:textId="7D74E80E"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59" w:history="1">
        <w:r w:rsidRPr="00355C09">
          <w:rPr>
            <w:rStyle w:val="Hyperlink"/>
            <w:snapToGrid w:val="0"/>
            <w:lang w:eastAsia="en-US"/>
          </w:rPr>
          <w:t>4.2</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Harmful interference</w:t>
        </w:r>
        <w:r>
          <w:rPr>
            <w:webHidden/>
          </w:rPr>
          <w:tab/>
        </w:r>
        <w:r>
          <w:rPr>
            <w:webHidden/>
          </w:rPr>
          <w:fldChar w:fldCharType="begin"/>
        </w:r>
        <w:r>
          <w:rPr>
            <w:webHidden/>
          </w:rPr>
          <w:instrText xml:space="preserve"> PAGEREF _Toc198288059 \h </w:instrText>
        </w:r>
        <w:r>
          <w:rPr>
            <w:webHidden/>
          </w:rPr>
        </w:r>
        <w:r>
          <w:rPr>
            <w:webHidden/>
          </w:rPr>
          <w:fldChar w:fldCharType="separate"/>
        </w:r>
        <w:r>
          <w:rPr>
            <w:webHidden/>
          </w:rPr>
          <w:t>24</w:t>
        </w:r>
        <w:r>
          <w:rPr>
            <w:webHidden/>
          </w:rPr>
          <w:fldChar w:fldCharType="end"/>
        </w:r>
      </w:hyperlink>
    </w:p>
    <w:p w14:paraId="0BD2D314" w14:textId="6C31BC65"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60" w:history="1">
        <w:r w:rsidRPr="00355C09">
          <w:rPr>
            <w:rStyle w:val="Hyperlink"/>
            <w:snapToGrid w:val="0"/>
            <w:lang w:eastAsia="en-US"/>
          </w:rPr>
          <w:t>4.3</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Ongoing obligations of the satellite operator</w:t>
        </w:r>
        <w:r>
          <w:rPr>
            <w:webHidden/>
          </w:rPr>
          <w:tab/>
        </w:r>
        <w:r>
          <w:rPr>
            <w:webHidden/>
          </w:rPr>
          <w:fldChar w:fldCharType="begin"/>
        </w:r>
        <w:r>
          <w:rPr>
            <w:webHidden/>
          </w:rPr>
          <w:instrText xml:space="preserve"> PAGEREF _Toc198288060 \h </w:instrText>
        </w:r>
        <w:r>
          <w:rPr>
            <w:webHidden/>
          </w:rPr>
        </w:r>
        <w:r>
          <w:rPr>
            <w:webHidden/>
          </w:rPr>
          <w:fldChar w:fldCharType="separate"/>
        </w:r>
        <w:r>
          <w:rPr>
            <w:webHidden/>
          </w:rPr>
          <w:t>25</w:t>
        </w:r>
        <w:r>
          <w:rPr>
            <w:webHidden/>
          </w:rPr>
          <w:fldChar w:fldCharType="end"/>
        </w:r>
      </w:hyperlink>
    </w:p>
    <w:p w14:paraId="31F84B95" w14:textId="68887F51"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61" w:history="1">
        <w:r w:rsidRPr="00355C09">
          <w:rPr>
            <w:rStyle w:val="Hyperlink"/>
            <w:snapToGrid w:val="0"/>
            <w:lang w:eastAsia="en-US"/>
          </w:rPr>
          <w:t>4.4</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International Frequency Information Circular (IFIC) process</w:t>
        </w:r>
        <w:r>
          <w:rPr>
            <w:webHidden/>
          </w:rPr>
          <w:tab/>
        </w:r>
        <w:r>
          <w:rPr>
            <w:webHidden/>
          </w:rPr>
          <w:fldChar w:fldCharType="begin"/>
        </w:r>
        <w:r>
          <w:rPr>
            <w:webHidden/>
          </w:rPr>
          <w:instrText xml:space="preserve"> PAGEREF _Toc198288061 \h </w:instrText>
        </w:r>
        <w:r>
          <w:rPr>
            <w:webHidden/>
          </w:rPr>
        </w:r>
        <w:r>
          <w:rPr>
            <w:webHidden/>
          </w:rPr>
          <w:fldChar w:fldCharType="separate"/>
        </w:r>
        <w:r>
          <w:rPr>
            <w:webHidden/>
          </w:rPr>
          <w:t>26</w:t>
        </w:r>
        <w:r>
          <w:rPr>
            <w:webHidden/>
          </w:rPr>
          <w:fldChar w:fldCharType="end"/>
        </w:r>
      </w:hyperlink>
    </w:p>
    <w:p w14:paraId="1D785824" w14:textId="53744024"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62" w:history="1">
        <w:r w:rsidRPr="00355C09">
          <w:rPr>
            <w:rStyle w:val="Hyperlink"/>
          </w:rPr>
          <w:t>4.4.1</w:t>
        </w:r>
        <w:r>
          <w:rPr>
            <w:rFonts w:asciiTheme="minorHAnsi" w:eastAsiaTheme="minorEastAsia" w:hAnsiTheme="minorHAnsi" w:cstheme="minorBidi"/>
            <w:kern w:val="2"/>
            <w:sz w:val="24"/>
            <w:szCs w:val="24"/>
            <w14:ligatures w14:val="standardContextual"/>
          </w:rPr>
          <w:tab/>
        </w:r>
        <w:r w:rsidRPr="00355C09">
          <w:rPr>
            <w:rStyle w:val="Hyperlink"/>
          </w:rPr>
          <w:t>Foreign satellite systems published in an IFIC: potentially affected Australian satellite systems</w:t>
        </w:r>
        <w:r>
          <w:rPr>
            <w:webHidden/>
          </w:rPr>
          <w:tab/>
        </w:r>
        <w:r>
          <w:rPr>
            <w:webHidden/>
          </w:rPr>
          <w:fldChar w:fldCharType="begin"/>
        </w:r>
        <w:r>
          <w:rPr>
            <w:webHidden/>
          </w:rPr>
          <w:instrText xml:space="preserve"> PAGEREF _Toc198288062 \h </w:instrText>
        </w:r>
        <w:r>
          <w:rPr>
            <w:webHidden/>
          </w:rPr>
        </w:r>
        <w:r>
          <w:rPr>
            <w:webHidden/>
          </w:rPr>
          <w:fldChar w:fldCharType="separate"/>
        </w:r>
        <w:r>
          <w:rPr>
            <w:webHidden/>
          </w:rPr>
          <w:t>27</w:t>
        </w:r>
        <w:r>
          <w:rPr>
            <w:webHidden/>
          </w:rPr>
          <w:fldChar w:fldCharType="end"/>
        </w:r>
      </w:hyperlink>
    </w:p>
    <w:p w14:paraId="2CDA1BB8" w14:textId="239766B8"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63" w:history="1">
        <w:r w:rsidRPr="00355C09">
          <w:rPr>
            <w:rStyle w:val="Hyperlink"/>
          </w:rPr>
          <w:t>4.4.2</w:t>
        </w:r>
        <w:r>
          <w:rPr>
            <w:rFonts w:asciiTheme="minorHAnsi" w:eastAsiaTheme="minorEastAsia" w:hAnsiTheme="minorHAnsi" w:cstheme="minorBidi"/>
            <w:kern w:val="2"/>
            <w:sz w:val="24"/>
            <w:szCs w:val="24"/>
            <w14:ligatures w14:val="standardContextual"/>
          </w:rPr>
          <w:tab/>
        </w:r>
        <w:r w:rsidRPr="00355C09">
          <w:rPr>
            <w:rStyle w:val="Hyperlink"/>
          </w:rPr>
          <w:t>IFIC responses to foreign administrations</w:t>
        </w:r>
        <w:r>
          <w:rPr>
            <w:webHidden/>
          </w:rPr>
          <w:tab/>
        </w:r>
        <w:r>
          <w:rPr>
            <w:webHidden/>
          </w:rPr>
          <w:fldChar w:fldCharType="begin"/>
        </w:r>
        <w:r>
          <w:rPr>
            <w:webHidden/>
          </w:rPr>
          <w:instrText xml:space="preserve"> PAGEREF _Toc198288063 \h </w:instrText>
        </w:r>
        <w:r>
          <w:rPr>
            <w:webHidden/>
          </w:rPr>
        </w:r>
        <w:r>
          <w:rPr>
            <w:webHidden/>
          </w:rPr>
          <w:fldChar w:fldCharType="separate"/>
        </w:r>
        <w:r>
          <w:rPr>
            <w:webHidden/>
          </w:rPr>
          <w:t>28</w:t>
        </w:r>
        <w:r>
          <w:rPr>
            <w:webHidden/>
          </w:rPr>
          <w:fldChar w:fldCharType="end"/>
        </w:r>
      </w:hyperlink>
    </w:p>
    <w:p w14:paraId="466635FD" w14:textId="7677B3DE"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64" w:history="1">
        <w:r w:rsidRPr="00355C09">
          <w:rPr>
            <w:rStyle w:val="Hyperlink"/>
          </w:rPr>
          <w:t>4.4.3</w:t>
        </w:r>
        <w:r>
          <w:rPr>
            <w:rFonts w:asciiTheme="minorHAnsi" w:eastAsiaTheme="minorEastAsia" w:hAnsiTheme="minorHAnsi" w:cstheme="minorBidi"/>
            <w:kern w:val="2"/>
            <w:sz w:val="24"/>
            <w:szCs w:val="24"/>
            <w14:ligatures w14:val="standardContextual"/>
          </w:rPr>
          <w:tab/>
        </w:r>
        <w:r w:rsidRPr="00355C09">
          <w:rPr>
            <w:rStyle w:val="Hyperlink"/>
          </w:rPr>
          <w:t>Australian satellite systems published in an IFIC</w:t>
        </w:r>
        <w:r>
          <w:rPr>
            <w:webHidden/>
          </w:rPr>
          <w:tab/>
        </w:r>
        <w:r>
          <w:rPr>
            <w:webHidden/>
          </w:rPr>
          <w:fldChar w:fldCharType="begin"/>
        </w:r>
        <w:r>
          <w:rPr>
            <w:webHidden/>
          </w:rPr>
          <w:instrText xml:space="preserve"> PAGEREF _Toc198288064 \h </w:instrText>
        </w:r>
        <w:r>
          <w:rPr>
            <w:webHidden/>
          </w:rPr>
        </w:r>
        <w:r>
          <w:rPr>
            <w:webHidden/>
          </w:rPr>
          <w:fldChar w:fldCharType="separate"/>
        </w:r>
        <w:r>
          <w:rPr>
            <w:webHidden/>
          </w:rPr>
          <w:t>28</w:t>
        </w:r>
        <w:r>
          <w:rPr>
            <w:webHidden/>
          </w:rPr>
          <w:fldChar w:fldCharType="end"/>
        </w:r>
      </w:hyperlink>
    </w:p>
    <w:p w14:paraId="5A320413" w14:textId="57E0EF40"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65" w:history="1">
        <w:r w:rsidRPr="00355C09">
          <w:rPr>
            <w:rStyle w:val="Hyperlink"/>
          </w:rPr>
          <w:t>4.4.4</w:t>
        </w:r>
        <w:r>
          <w:rPr>
            <w:rFonts w:asciiTheme="minorHAnsi" w:eastAsiaTheme="minorEastAsia" w:hAnsiTheme="minorHAnsi" w:cstheme="minorBidi"/>
            <w:kern w:val="2"/>
            <w:sz w:val="24"/>
            <w:szCs w:val="24"/>
            <w14:ligatures w14:val="standardContextual"/>
          </w:rPr>
          <w:tab/>
        </w:r>
        <w:r w:rsidRPr="00355C09">
          <w:rPr>
            <w:rStyle w:val="Hyperlink"/>
          </w:rPr>
          <w:t>Requests from other administrations</w:t>
        </w:r>
        <w:r>
          <w:rPr>
            <w:webHidden/>
          </w:rPr>
          <w:tab/>
        </w:r>
        <w:r>
          <w:rPr>
            <w:webHidden/>
          </w:rPr>
          <w:fldChar w:fldCharType="begin"/>
        </w:r>
        <w:r>
          <w:rPr>
            <w:webHidden/>
          </w:rPr>
          <w:instrText xml:space="preserve"> PAGEREF _Toc198288065 \h </w:instrText>
        </w:r>
        <w:r>
          <w:rPr>
            <w:webHidden/>
          </w:rPr>
        </w:r>
        <w:r>
          <w:rPr>
            <w:webHidden/>
          </w:rPr>
          <w:fldChar w:fldCharType="separate"/>
        </w:r>
        <w:r>
          <w:rPr>
            <w:webHidden/>
          </w:rPr>
          <w:t>28</w:t>
        </w:r>
        <w:r>
          <w:rPr>
            <w:webHidden/>
          </w:rPr>
          <w:fldChar w:fldCharType="end"/>
        </w:r>
      </w:hyperlink>
    </w:p>
    <w:p w14:paraId="4BD32C96" w14:textId="1983F4C6"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66" w:history="1">
        <w:r w:rsidRPr="00355C09">
          <w:rPr>
            <w:rStyle w:val="Hyperlink"/>
          </w:rPr>
          <w:t>4.4.5</w:t>
        </w:r>
        <w:r>
          <w:rPr>
            <w:rFonts w:asciiTheme="minorHAnsi" w:eastAsiaTheme="minorEastAsia" w:hAnsiTheme="minorHAnsi" w:cstheme="minorBidi"/>
            <w:kern w:val="2"/>
            <w:sz w:val="24"/>
            <w:szCs w:val="24"/>
            <w14:ligatures w14:val="standardContextual"/>
          </w:rPr>
          <w:tab/>
        </w:r>
        <w:r w:rsidRPr="00355C09">
          <w:rPr>
            <w:rStyle w:val="Hyperlink"/>
          </w:rPr>
          <w:t>Additional services that the satellite operator can request from the ACMA</w:t>
        </w:r>
        <w:r>
          <w:rPr>
            <w:webHidden/>
          </w:rPr>
          <w:tab/>
        </w:r>
        <w:r>
          <w:rPr>
            <w:webHidden/>
          </w:rPr>
          <w:fldChar w:fldCharType="begin"/>
        </w:r>
        <w:r>
          <w:rPr>
            <w:webHidden/>
          </w:rPr>
          <w:instrText xml:space="preserve"> PAGEREF _Toc198288066 \h </w:instrText>
        </w:r>
        <w:r>
          <w:rPr>
            <w:webHidden/>
          </w:rPr>
        </w:r>
        <w:r>
          <w:rPr>
            <w:webHidden/>
          </w:rPr>
          <w:fldChar w:fldCharType="separate"/>
        </w:r>
        <w:r>
          <w:rPr>
            <w:webHidden/>
          </w:rPr>
          <w:t>29</w:t>
        </w:r>
        <w:r>
          <w:rPr>
            <w:webHidden/>
          </w:rPr>
          <w:fldChar w:fldCharType="end"/>
        </w:r>
      </w:hyperlink>
    </w:p>
    <w:p w14:paraId="7F624E9B" w14:textId="0E5CA5A9"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67" w:history="1">
        <w:r w:rsidRPr="00355C09">
          <w:rPr>
            <w:rStyle w:val="Hyperlink"/>
          </w:rPr>
          <w:t>4.4.6</w:t>
        </w:r>
        <w:r>
          <w:rPr>
            <w:rFonts w:asciiTheme="minorHAnsi" w:eastAsiaTheme="minorEastAsia" w:hAnsiTheme="minorHAnsi" w:cstheme="minorBidi"/>
            <w:kern w:val="2"/>
            <w:sz w:val="24"/>
            <w:szCs w:val="24"/>
            <w14:ligatures w14:val="standardContextual"/>
          </w:rPr>
          <w:tab/>
        </w:r>
        <w:r w:rsidRPr="00355C09">
          <w:rPr>
            <w:rStyle w:val="Hyperlink"/>
          </w:rPr>
          <w:t>IFIC cost recovery charges</w:t>
        </w:r>
        <w:r>
          <w:rPr>
            <w:webHidden/>
          </w:rPr>
          <w:tab/>
        </w:r>
        <w:r>
          <w:rPr>
            <w:webHidden/>
          </w:rPr>
          <w:fldChar w:fldCharType="begin"/>
        </w:r>
        <w:r>
          <w:rPr>
            <w:webHidden/>
          </w:rPr>
          <w:instrText xml:space="preserve"> PAGEREF _Toc198288067 \h </w:instrText>
        </w:r>
        <w:r>
          <w:rPr>
            <w:webHidden/>
          </w:rPr>
        </w:r>
        <w:r>
          <w:rPr>
            <w:webHidden/>
          </w:rPr>
          <w:fldChar w:fldCharType="separate"/>
        </w:r>
        <w:r>
          <w:rPr>
            <w:webHidden/>
          </w:rPr>
          <w:t>29</w:t>
        </w:r>
        <w:r>
          <w:rPr>
            <w:webHidden/>
          </w:rPr>
          <w:fldChar w:fldCharType="end"/>
        </w:r>
      </w:hyperlink>
    </w:p>
    <w:p w14:paraId="796E8186" w14:textId="1A1F94FA"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68" w:history="1">
        <w:r w:rsidRPr="00355C09">
          <w:rPr>
            <w:rStyle w:val="Hyperlink"/>
          </w:rPr>
          <w:t>4.4.7</w:t>
        </w:r>
        <w:r>
          <w:rPr>
            <w:rFonts w:asciiTheme="minorHAnsi" w:eastAsiaTheme="minorEastAsia" w:hAnsiTheme="minorHAnsi" w:cstheme="minorBidi"/>
            <w:kern w:val="2"/>
            <w:sz w:val="24"/>
            <w:szCs w:val="24"/>
            <w14:ligatures w14:val="standardContextual"/>
          </w:rPr>
          <w:tab/>
        </w:r>
        <w:r w:rsidRPr="00355C09">
          <w:rPr>
            <w:rStyle w:val="Hyperlink"/>
          </w:rPr>
          <w:t>IFIC and short-duration missions</w:t>
        </w:r>
        <w:r>
          <w:rPr>
            <w:webHidden/>
          </w:rPr>
          <w:tab/>
        </w:r>
        <w:r>
          <w:rPr>
            <w:webHidden/>
          </w:rPr>
          <w:fldChar w:fldCharType="begin"/>
        </w:r>
        <w:r>
          <w:rPr>
            <w:webHidden/>
          </w:rPr>
          <w:instrText xml:space="preserve"> PAGEREF _Toc198288068 \h </w:instrText>
        </w:r>
        <w:r>
          <w:rPr>
            <w:webHidden/>
          </w:rPr>
        </w:r>
        <w:r>
          <w:rPr>
            <w:webHidden/>
          </w:rPr>
          <w:fldChar w:fldCharType="separate"/>
        </w:r>
        <w:r>
          <w:rPr>
            <w:webHidden/>
          </w:rPr>
          <w:t>29</w:t>
        </w:r>
        <w:r>
          <w:rPr>
            <w:webHidden/>
          </w:rPr>
          <w:fldChar w:fldCharType="end"/>
        </w:r>
      </w:hyperlink>
    </w:p>
    <w:p w14:paraId="1F6BDD34" w14:textId="75C11896"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69" w:history="1">
        <w:r w:rsidRPr="00355C09">
          <w:rPr>
            <w:rStyle w:val="Hyperlink"/>
          </w:rPr>
          <w:t>4.5</w:t>
        </w:r>
        <w:r>
          <w:rPr>
            <w:rFonts w:asciiTheme="minorHAnsi" w:eastAsiaTheme="minorEastAsia" w:hAnsiTheme="minorHAnsi" w:cstheme="minorBidi"/>
            <w:spacing w:val="0"/>
            <w:kern w:val="2"/>
            <w:sz w:val="24"/>
            <w:szCs w:val="24"/>
            <w14:ligatures w14:val="standardContextual"/>
          </w:rPr>
          <w:tab/>
        </w:r>
        <w:r w:rsidRPr="00355C09">
          <w:rPr>
            <w:rStyle w:val="Hyperlink"/>
          </w:rPr>
          <w:t>Milestones for management of satellite coordination</w:t>
        </w:r>
        <w:r>
          <w:rPr>
            <w:webHidden/>
          </w:rPr>
          <w:tab/>
        </w:r>
        <w:r>
          <w:rPr>
            <w:webHidden/>
          </w:rPr>
          <w:fldChar w:fldCharType="begin"/>
        </w:r>
        <w:r>
          <w:rPr>
            <w:webHidden/>
          </w:rPr>
          <w:instrText xml:space="preserve"> PAGEREF _Toc198288069 \h </w:instrText>
        </w:r>
        <w:r>
          <w:rPr>
            <w:webHidden/>
          </w:rPr>
        </w:r>
        <w:r>
          <w:rPr>
            <w:webHidden/>
          </w:rPr>
          <w:fldChar w:fldCharType="separate"/>
        </w:r>
        <w:r>
          <w:rPr>
            <w:webHidden/>
          </w:rPr>
          <w:t>29</w:t>
        </w:r>
        <w:r>
          <w:rPr>
            <w:webHidden/>
          </w:rPr>
          <w:fldChar w:fldCharType="end"/>
        </w:r>
      </w:hyperlink>
    </w:p>
    <w:p w14:paraId="0811E08C" w14:textId="0453BD79"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70" w:history="1">
        <w:r w:rsidRPr="00355C09">
          <w:rPr>
            <w:rStyle w:val="Hyperlink"/>
            <w:snapToGrid w:val="0"/>
            <w:lang w:eastAsia="en-US"/>
          </w:rPr>
          <w:t>4.6</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Notification for recording in the MIFR</w:t>
        </w:r>
        <w:r>
          <w:rPr>
            <w:webHidden/>
          </w:rPr>
          <w:tab/>
        </w:r>
        <w:r>
          <w:rPr>
            <w:webHidden/>
          </w:rPr>
          <w:fldChar w:fldCharType="begin"/>
        </w:r>
        <w:r>
          <w:rPr>
            <w:webHidden/>
          </w:rPr>
          <w:instrText xml:space="preserve"> PAGEREF _Toc198288070 \h </w:instrText>
        </w:r>
        <w:r>
          <w:rPr>
            <w:webHidden/>
          </w:rPr>
        </w:r>
        <w:r>
          <w:rPr>
            <w:webHidden/>
          </w:rPr>
          <w:fldChar w:fldCharType="separate"/>
        </w:r>
        <w:r>
          <w:rPr>
            <w:webHidden/>
          </w:rPr>
          <w:t>30</w:t>
        </w:r>
        <w:r>
          <w:rPr>
            <w:webHidden/>
          </w:rPr>
          <w:fldChar w:fldCharType="end"/>
        </w:r>
      </w:hyperlink>
    </w:p>
    <w:p w14:paraId="30E0075E" w14:textId="42AE6590"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71" w:history="1">
        <w:r w:rsidRPr="00355C09">
          <w:rPr>
            <w:rStyle w:val="Hyperlink"/>
          </w:rPr>
          <w:t>4.6.1</w:t>
        </w:r>
        <w:r>
          <w:rPr>
            <w:rFonts w:asciiTheme="minorHAnsi" w:eastAsiaTheme="minorEastAsia" w:hAnsiTheme="minorHAnsi" w:cstheme="minorBidi"/>
            <w:kern w:val="2"/>
            <w:sz w:val="24"/>
            <w:szCs w:val="24"/>
            <w14:ligatures w14:val="standardContextual"/>
          </w:rPr>
          <w:tab/>
        </w:r>
        <w:r w:rsidRPr="00355C09">
          <w:rPr>
            <w:rStyle w:val="Hyperlink"/>
          </w:rPr>
          <w:t>Resolution 49 data</w:t>
        </w:r>
        <w:r>
          <w:rPr>
            <w:webHidden/>
          </w:rPr>
          <w:tab/>
        </w:r>
        <w:r>
          <w:rPr>
            <w:webHidden/>
          </w:rPr>
          <w:fldChar w:fldCharType="begin"/>
        </w:r>
        <w:r>
          <w:rPr>
            <w:webHidden/>
          </w:rPr>
          <w:instrText xml:space="preserve"> PAGEREF _Toc198288071 \h </w:instrText>
        </w:r>
        <w:r>
          <w:rPr>
            <w:webHidden/>
          </w:rPr>
        </w:r>
        <w:r>
          <w:rPr>
            <w:webHidden/>
          </w:rPr>
          <w:fldChar w:fldCharType="separate"/>
        </w:r>
        <w:r>
          <w:rPr>
            <w:webHidden/>
          </w:rPr>
          <w:t>31</w:t>
        </w:r>
        <w:r>
          <w:rPr>
            <w:webHidden/>
          </w:rPr>
          <w:fldChar w:fldCharType="end"/>
        </w:r>
      </w:hyperlink>
    </w:p>
    <w:p w14:paraId="1D8776F2" w14:textId="5BEF0B1D"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72" w:history="1">
        <w:r w:rsidRPr="00355C09">
          <w:rPr>
            <w:rStyle w:val="Hyperlink"/>
          </w:rPr>
          <w:t>4.6.2</w:t>
        </w:r>
        <w:r>
          <w:rPr>
            <w:rFonts w:asciiTheme="minorHAnsi" w:eastAsiaTheme="minorEastAsia" w:hAnsiTheme="minorHAnsi" w:cstheme="minorBidi"/>
            <w:kern w:val="2"/>
            <w:sz w:val="24"/>
            <w:szCs w:val="24"/>
            <w14:ligatures w14:val="standardContextual"/>
          </w:rPr>
          <w:tab/>
        </w:r>
        <w:r w:rsidRPr="00355C09">
          <w:rPr>
            <w:rStyle w:val="Hyperlink"/>
          </w:rPr>
          <w:t>Confirmation of bringing into use</w:t>
        </w:r>
        <w:r>
          <w:rPr>
            <w:webHidden/>
          </w:rPr>
          <w:tab/>
        </w:r>
        <w:r>
          <w:rPr>
            <w:webHidden/>
          </w:rPr>
          <w:fldChar w:fldCharType="begin"/>
        </w:r>
        <w:r>
          <w:rPr>
            <w:webHidden/>
          </w:rPr>
          <w:instrText xml:space="preserve"> PAGEREF _Toc198288072 \h </w:instrText>
        </w:r>
        <w:r>
          <w:rPr>
            <w:webHidden/>
          </w:rPr>
        </w:r>
        <w:r>
          <w:rPr>
            <w:webHidden/>
          </w:rPr>
          <w:fldChar w:fldCharType="separate"/>
        </w:r>
        <w:r>
          <w:rPr>
            <w:webHidden/>
          </w:rPr>
          <w:t>31</w:t>
        </w:r>
        <w:r>
          <w:rPr>
            <w:webHidden/>
          </w:rPr>
          <w:fldChar w:fldCharType="end"/>
        </w:r>
      </w:hyperlink>
    </w:p>
    <w:p w14:paraId="70EAD490" w14:textId="49CEB865"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73" w:history="1">
        <w:r w:rsidRPr="00355C09">
          <w:rPr>
            <w:rStyle w:val="Hyperlink"/>
          </w:rPr>
          <w:t>4.6.3</w:t>
        </w:r>
        <w:r>
          <w:rPr>
            <w:rFonts w:asciiTheme="minorHAnsi" w:eastAsiaTheme="minorEastAsia" w:hAnsiTheme="minorHAnsi" w:cstheme="minorBidi"/>
            <w:kern w:val="2"/>
            <w:sz w:val="24"/>
            <w:szCs w:val="24"/>
            <w14:ligatures w14:val="standardContextual"/>
          </w:rPr>
          <w:tab/>
        </w:r>
        <w:r w:rsidRPr="00355C09">
          <w:rPr>
            <w:rStyle w:val="Hyperlink"/>
          </w:rPr>
          <w:t>Initial notification data</w:t>
        </w:r>
        <w:r>
          <w:rPr>
            <w:webHidden/>
          </w:rPr>
          <w:tab/>
        </w:r>
        <w:r>
          <w:rPr>
            <w:webHidden/>
          </w:rPr>
          <w:fldChar w:fldCharType="begin"/>
        </w:r>
        <w:r>
          <w:rPr>
            <w:webHidden/>
          </w:rPr>
          <w:instrText xml:space="preserve"> PAGEREF _Toc198288073 \h </w:instrText>
        </w:r>
        <w:r>
          <w:rPr>
            <w:webHidden/>
          </w:rPr>
        </w:r>
        <w:r>
          <w:rPr>
            <w:webHidden/>
          </w:rPr>
          <w:fldChar w:fldCharType="separate"/>
        </w:r>
        <w:r>
          <w:rPr>
            <w:webHidden/>
          </w:rPr>
          <w:t>31</w:t>
        </w:r>
        <w:r>
          <w:rPr>
            <w:webHidden/>
          </w:rPr>
          <w:fldChar w:fldCharType="end"/>
        </w:r>
      </w:hyperlink>
    </w:p>
    <w:p w14:paraId="7BE9906B" w14:textId="01D61147"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74" w:history="1">
        <w:r w:rsidRPr="00355C09">
          <w:rPr>
            <w:rStyle w:val="Hyperlink"/>
          </w:rPr>
          <w:t>4.6.4</w:t>
        </w:r>
        <w:r>
          <w:rPr>
            <w:rFonts w:asciiTheme="minorHAnsi" w:eastAsiaTheme="minorEastAsia" w:hAnsiTheme="minorHAnsi" w:cstheme="minorBidi"/>
            <w:kern w:val="2"/>
            <w:sz w:val="24"/>
            <w:szCs w:val="24"/>
            <w14:ligatures w14:val="standardContextual"/>
          </w:rPr>
          <w:tab/>
        </w:r>
        <w:r w:rsidRPr="00355C09">
          <w:rPr>
            <w:rStyle w:val="Hyperlink"/>
          </w:rPr>
          <w:t>Suspension of services</w:t>
        </w:r>
        <w:r>
          <w:rPr>
            <w:webHidden/>
          </w:rPr>
          <w:tab/>
        </w:r>
        <w:r>
          <w:rPr>
            <w:webHidden/>
          </w:rPr>
          <w:fldChar w:fldCharType="begin"/>
        </w:r>
        <w:r>
          <w:rPr>
            <w:webHidden/>
          </w:rPr>
          <w:instrText xml:space="preserve"> PAGEREF _Toc198288074 \h </w:instrText>
        </w:r>
        <w:r>
          <w:rPr>
            <w:webHidden/>
          </w:rPr>
        </w:r>
        <w:r>
          <w:rPr>
            <w:webHidden/>
          </w:rPr>
          <w:fldChar w:fldCharType="separate"/>
        </w:r>
        <w:r>
          <w:rPr>
            <w:webHidden/>
          </w:rPr>
          <w:t>31</w:t>
        </w:r>
        <w:r>
          <w:rPr>
            <w:webHidden/>
          </w:rPr>
          <w:fldChar w:fldCharType="end"/>
        </w:r>
      </w:hyperlink>
    </w:p>
    <w:p w14:paraId="4A565FAB" w14:textId="03ECF60B"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75" w:history="1">
        <w:r w:rsidRPr="00355C09">
          <w:rPr>
            <w:rStyle w:val="Hyperlink"/>
          </w:rPr>
          <w:t>4.6.5</w:t>
        </w:r>
        <w:r>
          <w:rPr>
            <w:rFonts w:asciiTheme="minorHAnsi" w:eastAsiaTheme="minorEastAsia" w:hAnsiTheme="minorHAnsi" w:cstheme="minorBidi"/>
            <w:kern w:val="2"/>
            <w:sz w:val="24"/>
            <w:szCs w:val="24"/>
            <w14:ligatures w14:val="standardContextual"/>
          </w:rPr>
          <w:tab/>
        </w:r>
        <w:r w:rsidRPr="00355C09">
          <w:rPr>
            <w:rStyle w:val="Hyperlink"/>
          </w:rPr>
          <w:t>Application of provisions 11.32A and 11.33</w:t>
        </w:r>
        <w:r>
          <w:rPr>
            <w:webHidden/>
          </w:rPr>
          <w:tab/>
        </w:r>
        <w:r>
          <w:rPr>
            <w:webHidden/>
          </w:rPr>
          <w:fldChar w:fldCharType="begin"/>
        </w:r>
        <w:r>
          <w:rPr>
            <w:webHidden/>
          </w:rPr>
          <w:instrText xml:space="preserve"> PAGEREF _Toc198288075 \h </w:instrText>
        </w:r>
        <w:r>
          <w:rPr>
            <w:webHidden/>
          </w:rPr>
        </w:r>
        <w:r>
          <w:rPr>
            <w:webHidden/>
          </w:rPr>
          <w:fldChar w:fldCharType="separate"/>
        </w:r>
        <w:r>
          <w:rPr>
            <w:webHidden/>
          </w:rPr>
          <w:t>31</w:t>
        </w:r>
        <w:r>
          <w:rPr>
            <w:webHidden/>
          </w:rPr>
          <w:fldChar w:fldCharType="end"/>
        </w:r>
      </w:hyperlink>
    </w:p>
    <w:p w14:paraId="6EA0F444" w14:textId="74FECC54"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76" w:history="1">
        <w:r w:rsidRPr="00355C09">
          <w:rPr>
            <w:rStyle w:val="Hyperlink"/>
          </w:rPr>
          <w:t>4.6.6</w:t>
        </w:r>
        <w:r>
          <w:rPr>
            <w:rFonts w:asciiTheme="minorHAnsi" w:eastAsiaTheme="minorEastAsia" w:hAnsiTheme="minorHAnsi" w:cstheme="minorBidi"/>
            <w:kern w:val="2"/>
            <w:sz w:val="24"/>
            <w:szCs w:val="24"/>
            <w14:ligatures w14:val="standardContextual"/>
          </w:rPr>
          <w:tab/>
        </w:r>
        <w:r w:rsidRPr="00355C09">
          <w:rPr>
            <w:rStyle w:val="Hyperlink"/>
          </w:rPr>
          <w:t>Permission to bring into use (operate)</w:t>
        </w:r>
        <w:r>
          <w:rPr>
            <w:webHidden/>
          </w:rPr>
          <w:tab/>
        </w:r>
        <w:r>
          <w:rPr>
            <w:webHidden/>
          </w:rPr>
          <w:fldChar w:fldCharType="begin"/>
        </w:r>
        <w:r>
          <w:rPr>
            <w:webHidden/>
          </w:rPr>
          <w:instrText xml:space="preserve"> PAGEREF _Toc198288076 \h </w:instrText>
        </w:r>
        <w:r>
          <w:rPr>
            <w:webHidden/>
          </w:rPr>
        </w:r>
        <w:r>
          <w:rPr>
            <w:webHidden/>
          </w:rPr>
          <w:fldChar w:fldCharType="separate"/>
        </w:r>
        <w:r>
          <w:rPr>
            <w:webHidden/>
          </w:rPr>
          <w:t>32</w:t>
        </w:r>
        <w:r>
          <w:rPr>
            <w:webHidden/>
          </w:rPr>
          <w:fldChar w:fldCharType="end"/>
        </w:r>
      </w:hyperlink>
    </w:p>
    <w:p w14:paraId="2FC7CA0B" w14:textId="324DA867"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77" w:history="1">
        <w:r w:rsidRPr="00355C09">
          <w:rPr>
            <w:rStyle w:val="Hyperlink"/>
            <w:snapToGrid w:val="0"/>
            <w:lang w:eastAsia="en-US"/>
          </w:rPr>
          <w:t>4.7</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Satellite operator may conduct coordination directly</w:t>
        </w:r>
        <w:r>
          <w:rPr>
            <w:webHidden/>
          </w:rPr>
          <w:tab/>
        </w:r>
        <w:r>
          <w:rPr>
            <w:webHidden/>
          </w:rPr>
          <w:fldChar w:fldCharType="begin"/>
        </w:r>
        <w:r>
          <w:rPr>
            <w:webHidden/>
          </w:rPr>
          <w:instrText xml:space="preserve"> PAGEREF _Toc198288077 \h </w:instrText>
        </w:r>
        <w:r>
          <w:rPr>
            <w:webHidden/>
          </w:rPr>
        </w:r>
        <w:r>
          <w:rPr>
            <w:webHidden/>
          </w:rPr>
          <w:fldChar w:fldCharType="separate"/>
        </w:r>
        <w:r>
          <w:rPr>
            <w:webHidden/>
          </w:rPr>
          <w:t>32</w:t>
        </w:r>
        <w:r>
          <w:rPr>
            <w:webHidden/>
          </w:rPr>
          <w:fldChar w:fldCharType="end"/>
        </w:r>
      </w:hyperlink>
    </w:p>
    <w:p w14:paraId="1E9ECCDC" w14:textId="575FC248"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78" w:history="1">
        <w:r w:rsidRPr="00355C09">
          <w:rPr>
            <w:rStyle w:val="Hyperlink"/>
            <w:snapToGrid w:val="0"/>
            <w:lang w:eastAsia="en-US"/>
          </w:rPr>
          <w:t>4.8</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Efforts to achieve coordination agreements</w:t>
        </w:r>
        <w:r>
          <w:rPr>
            <w:webHidden/>
          </w:rPr>
          <w:tab/>
        </w:r>
        <w:r>
          <w:rPr>
            <w:webHidden/>
          </w:rPr>
          <w:fldChar w:fldCharType="begin"/>
        </w:r>
        <w:r>
          <w:rPr>
            <w:webHidden/>
          </w:rPr>
          <w:instrText xml:space="preserve"> PAGEREF _Toc198288078 \h </w:instrText>
        </w:r>
        <w:r>
          <w:rPr>
            <w:webHidden/>
          </w:rPr>
        </w:r>
        <w:r>
          <w:rPr>
            <w:webHidden/>
          </w:rPr>
          <w:fldChar w:fldCharType="separate"/>
        </w:r>
        <w:r>
          <w:rPr>
            <w:webHidden/>
          </w:rPr>
          <w:t>33</w:t>
        </w:r>
        <w:r>
          <w:rPr>
            <w:webHidden/>
          </w:rPr>
          <w:fldChar w:fldCharType="end"/>
        </w:r>
      </w:hyperlink>
    </w:p>
    <w:p w14:paraId="4D25C4A0" w14:textId="7F613902"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79" w:history="1">
        <w:r w:rsidRPr="00355C09">
          <w:rPr>
            <w:rStyle w:val="Hyperlink"/>
            <w:snapToGrid w:val="0"/>
            <w:lang w:eastAsia="en-US"/>
          </w:rPr>
          <w:t>4.9</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Compliance with the procedures</w:t>
        </w:r>
        <w:r>
          <w:rPr>
            <w:webHidden/>
          </w:rPr>
          <w:tab/>
        </w:r>
        <w:r>
          <w:rPr>
            <w:webHidden/>
          </w:rPr>
          <w:fldChar w:fldCharType="begin"/>
        </w:r>
        <w:r>
          <w:rPr>
            <w:webHidden/>
          </w:rPr>
          <w:instrText xml:space="preserve"> PAGEREF _Toc198288079 \h </w:instrText>
        </w:r>
        <w:r>
          <w:rPr>
            <w:webHidden/>
          </w:rPr>
        </w:r>
        <w:r>
          <w:rPr>
            <w:webHidden/>
          </w:rPr>
          <w:fldChar w:fldCharType="separate"/>
        </w:r>
        <w:r>
          <w:rPr>
            <w:webHidden/>
          </w:rPr>
          <w:t>33</w:t>
        </w:r>
        <w:r>
          <w:rPr>
            <w:webHidden/>
          </w:rPr>
          <w:fldChar w:fldCharType="end"/>
        </w:r>
      </w:hyperlink>
    </w:p>
    <w:p w14:paraId="3CF50A83" w14:textId="0493D52D"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80" w:history="1">
        <w:r w:rsidRPr="00355C09">
          <w:rPr>
            <w:rStyle w:val="Hyperlink"/>
          </w:rPr>
          <w:t>4.10</w:t>
        </w:r>
        <w:r>
          <w:rPr>
            <w:rFonts w:asciiTheme="minorHAnsi" w:eastAsiaTheme="minorEastAsia" w:hAnsiTheme="minorHAnsi" w:cstheme="minorBidi"/>
            <w:spacing w:val="0"/>
            <w:kern w:val="2"/>
            <w:sz w:val="24"/>
            <w:szCs w:val="24"/>
            <w14:ligatures w14:val="standardContextual"/>
          </w:rPr>
          <w:tab/>
        </w:r>
        <w:r w:rsidRPr="00355C09">
          <w:rPr>
            <w:rStyle w:val="Hyperlink"/>
          </w:rPr>
          <w:t>ACMA support conditional on a substantial benefit to Australia</w:t>
        </w:r>
        <w:r>
          <w:rPr>
            <w:webHidden/>
          </w:rPr>
          <w:tab/>
        </w:r>
        <w:r>
          <w:rPr>
            <w:webHidden/>
          </w:rPr>
          <w:fldChar w:fldCharType="begin"/>
        </w:r>
        <w:r>
          <w:rPr>
            <w:webHidden/>
          </w:rPr>
          <w:instrText xml:space="preserve"> PAGEREF _Toc198288080 \h </w:instrText>
        </w:r>
        <w:r>
          <w:rPr>
            <w:webHidden/>
          </w:rPr>
        </w:r>
        <w:r>
          <w:rPr>
            <w:webHidden/>
          </w:rPr>
          <w:fldChar w:fldCharType="separate"/>
        </w:r>
        <w:r>
          <w:rPr>
            <w:webHidden/>
          </w:rPr>
          <w:t>34</w:t>
        </w:r>
        <w:r>
          <w:rPr>
            <w:webHidden/>
          </w:rPr>
          <w:fldChar w:fldCharType="end"/>
        </w:r>
      </w:hyperlink>
    </w:p>
    <w:p w14:paraId="1FA11C02" w14:textId="7F66AF52" w:rsidR="00E60FA2" w:rsidRDefault="00E60FA2">
      <w:pPr>
        <w:pStyle w:val="TOC1"/>
        <w:tabs>
          <w:tab w:val="left" w:pos="885"/>
        </w:tabs>
        <w:rPr>
          <w:rFonts w:asciiTheme="minorHAnsi" w:eastAsiaTheme="minorEastAsia" w:hAnsiTheme="minorHAnsi" w:cstheme="minorBidi"/>
          <w:b w:val="0"/>
          <w:spacing w:val="0"/>
          <w:kern w:val="2"/>
          <w:sz w:val="24"/>
          <w14:ligatures w14:val="standardContextual"/>
        </w:rPr>
      </w:pPr>
      <w:hyperlink w:anchor="_Toc198288081" w:history="1">
        <w:r w:rsidRPr="00355C09">
          <w:rPr>
            <w:rStyle w:val="Hyperlink"/>
          </w:rPr>
          <w:t>5</w:t>
        </w:r>
        <w:r>
          <w:rPr>
            <w:rFonts w:asciiTheme="minorHAnsi" w:eastAsiaTheme="minorEastAsia" w:hAnsiTheme="minorHAnsi" w:cstheme="minorBidi"/>
            <w:b w:val="0"/>
            <w:spacing w:val="0"/>
            <w:kern w:val="2"/>
            <w:sz w:val="24"/>
            <w14:ligatures w14:val="standardContextual"/>
          </w:rPr>
          <w:tab/>
        </w:r>
        <w:r w:rsidRPr="00355C09">
          <w:rPr>
            <w:rStyle w:val="Hyperlink"/>
          </w:rPr>
          <w:t>Change of access to an ITU satellite filing</w:t>
        </w:r>
        <w:r>
          <w:rPr>
            <w:webHidden/>
          </w:rPr>
          <w:tab/>
        </w:r>
        <w:r>
          <w:rPr>
            <w:webHidden/>
          </w:rPr>
          <w:fldChar w:fldCharType="begin"/>
        </w:r>
        <w:r>
          <w:rPr>
            <w:webHidden/>
          </w:rPr>
          <w:instrText xml:space="preserve"> PAGEREF _Toc198288081 \h </w:instrText>
        </w:r>
        <w:r>
          <w:rPr>
            <w:webHidden/>
          </w:rPr>
        </w:r>
        <w:r>
          <w:rPr>
            <w:webHidden/>
          </w:rPr>
          <w:fldChar w:fldCharType="separate"/>
        </w:r>
        <w:r>
          <w:rPr>
            <w:webHidden/>
          </w:rPr>
          <w:t>36</w:t>
        </w:r>
        <w:r>
          <w:rPr>
            <w:webHidden/>
          </w:rPr>
          <w:fldChar w:fldCharType="end"/>
        </w:r>
      </w:hyperlink>
    </w:p>
    <w:p w14:paraId="02BC3918" w14:textId="5DF2E5EB"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82" w:history="1">
        <w:r w:rsidRPr="00355C09">
          <w:rPr>
            <w:rStyle w:val="Hyperlink"/>
            <w:snapToGrid w:val="0"/>
            <w:lang w:eastAsia="en-US"/>
          </w:rPr>
          <w:t>5.1</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Transfer of access to an ITU satellite filing</w:t>
        </w:r>
        <w:r>
          <w:rPr>
            <w:webHidden/>
          </w:rPr>
          <w:tab/>
        </w:r>
        <w:r>
          <w:rPr>
            <w:webHidden/>
          </w:rPr>
          <w:fldChar w:fldCharType="begin"/>
        </w:r>
        <w:r>
          <w:rPr>
            <w:webHidden/>
          </w:rPr>
          <w:instrText xml:space="preserve"> PAGEREF _Toc198288082 \h </w:instrText>
        </w:r>
        <w:r>
          <w:rPr>
            <w:webHidden/>
          </w:rPr>
        </w:r>
        <w:r>
          <w:rPr>
            <w:webHidden/>
          </w:rPr>
          <w:fldChar w:fldCharType="separate"/>
        </w:r>
        <w:r>
          <w:rPr>
            <w:webHidden/>
          </w:rPr>
          <w:t>36</w:t>
        </w:r>
        <w:r>
          <w:rPr>
            <w:webHidden/>
          </w:rPr>
          <w:fldChar w:fldCharType="end"/>
        </w:r>
      </w:hyperlink>
    </w:p>
    <w:p w14:paraId="09E70252" w14:textId="661248FE"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83" w:history="1">
        <w:r w:rsidRPr="00355C09">
          <w:rPr>
            <w:rStyle w:val="Hyperlink"/>
            <w:snapToGrid w:val="0"/>
            <w:lang w:eastAsia="en-US"/>
          </w:rPr>
          <w:t>5.2</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Change in ownership</w:t>
        </w:r>
        <w:r>
          <w:rPr>
            <w:webHidden/>
          </w:rPr>
          <w:tab/>
        </w:r>
        <w:r>
          <w:rPr>
            <w:webHidden/>
          </w:rPr>
          <w:fldChar w:fldCharType="begin"/>
        </w:r>
        <w:r>
          <w:rPr>
            <w:webHidden/>
          </w:rPr>
          <w:instrText xml:space="preserve"> PAGEREF _Toc198288083 \h </w:instrText>
        </w:r>
        <w:r>
          <w:rPr>
            <w:webHidden/>
          </w:rPr>
        </w:r>
        <w:r>
          <w:rPr>
            <w:webHidden/>
          </w:rPr>
          <w:fldChar w:fldCharType="separate"/>
        </w:r>
        <w:r>
          <w:rPr>
            <w:webHidden/>
          </w:rPr>
          <w:t>36</w:t>
        </w:r>
        <w:r>
          <w:rPr>
            <w:webHidden/>
          </w:rPr>
          <w:fldChar w:fldCharType="end"/>
        </w:r>
      </w:hyperlink>
    </w:p>
    <w:p w14:paraId="7E50CAE5" w14:textId="53887A34"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84" w:history="1">
        <w:r w:rsidRPr="00355C09">
          <w:rPr>
            <w:rStyle w:val="Hyperlink"/>
          </w:rPr>
          <w:t>5.2.1</w:t>
        </w:r>
        <w:r>
          <w:rPr>
            <w:rFonts w:asciiTheme="minorHAnsi" w:eastAsiaTheme="minorEastAsia" w:hAnsiTheme="minorHAnsi" w:cstheme="minorBidi"/>
            <w:kern w:val="2"/>
            <w:sz w:val="24"/>
            <w:szCs w:val="24"/>
            <w14:ligatures w14:val="standardContextual"/>
          </w:rPr>
          <w:tab/>
        </w:r>
        <w:r w:rsidRPr="00355C09">
          <w:rPr>
            <w:rStyle w:val="Hyperlink"/>
          </w:rPr>
          <w:t>Corporate restructuring or shareholder changes</w:t>
        </w:r>
        <w:r>
          <w:rPr>
            <w:webHidden/>
          </w:rPr>
          <w:tab/>
        </w:r>
        <w:r>
          <w:rPr>
            <w:webHidden/>
          </w:rPr>
          <w:fldChar w:fldCharType="begin"/>
        </w:r>
        <w:r>
          <w:rPr>
            <w:webHidden/>
          </w:rPr>
          <w:instrText xml:space="preserve"> PAGEREF _Toc198288084 \h </w:instrText>
        </w:r>
        <w:r>
          <w:rPr>
            <w:webHidden/>
          </w:rPr>
        </w:r>
        <w:r>
          <w:rPr>
            <w:webHidden/>
          </w:rPr>
          <w:fldChar w:fldCharType="separate"/>
        </w:r>
        <w:r>
          <w:rPr>
            <w:webHidden/>
          </w:rPr>
          <w:t>37</w:t>
        </w:r>
        <w:r>
          <w:rPr>
            <w:webHidden/>
          </w:rPr>
          <w:fldChar w:fldCharType="end"/>
        </w:r>
      </w:hyperlink>
    </w:p>
    <w:p w14:paraId="7C84B27B" w14:textId="3C3F5962"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85" w:history="1">
        <w:r w:rsidRPr="00355C09">
          <w:rPr>
            <w:rStyle w:val="Hyperlink"/>
          </w:rPr>
          <w:t>5.3</w:t>
        </w:r>
        <w:r>
          <w:rPr>
            <w:rFonts w:asciiTheme="minorHAnsi" w:eastAsiaTheme="minorEastAsia" w:hAnsiTheme="minorHAnsi" w:cstheme="minorBidi"/>
            <w:spacing w:val="0"/>
            <w:kern w:val="2"/>
            <w:sz w:val="24"/>
            <w:szCs w:val="24"/>
            <w14:ligatures w14:val="standardContextual"/>
          </w:rPr>
          <w:tab/>
        </w:r>
        <w:r w:rsidRPr="00355C09">
          <w:rPr>
            <w:rStyle w:val="Hyperlink"/>
            <w:snapToGrid w:val="0"/>
            <w:lang w:eastAsia="en-US"/>
          </w:rPr>
          <w:t>Satellite filings relinquished by operator request</w:t>
        </w:r>
        <w:r>
          <w:rPr>
            <w:webHidden/>
          </w:rPr>
          <w:tab/>
        </w:r>
        <w:r>
          <w:rPr>
            <w:webHidden/>
          </w:rPr>
          <w:fldChar w:fldCharType="begin"/>
        </w:r>
        <w:r>
          <w:rPr>
            <w:webHidden/>
          </w:rPr>
          <w:instrText xml:space="preserve"> PAGEREF _Toc198288085 \h </w:instrText>
        </w:r>
        <w:r>
          <w:rPr>
            <w:webHidden/>
          </w:rPr>
        </w:r>
        <w:r>
          <w:rPr>
            <w:webHidden/>
          </w:rPr>
          <w:fldChar w:fldCharType="separate"/>
        </w:r>
        <w:r>
          <w:rPr>
            <w:webHidden/>
          </w:rPr>
          <w:t>37</w:t>
        </w:r>
        <w:r>
          <w:rPr>
            <w:webHidden/>
          </w:rPr>
          <w:fldChar w:fldCharType="end"/>
        </w:r>
      </w:hyperlink>
    </w:p>
    <w:p w14:paraId="09C020FB" w14:textId="29A962FB" w:rsidR="00E60FA2" w:rsidRDefault="00E60FA2">
      <w:pPr>
        <w:pStyle w:val="TOC1"/>
        <w:tabs>
          <w:tab w:val="left" w:pos="885"/>
        </w:tabs>
        <w:rPr>
          <w:rFonts w:asciiTheme="minorHAnsi" w:eastAsiaTheme="minorEastAsia" w:hAnsiTheme="minorHAnsi" w:cstheme="minorBidi"/>
          <w:b w:val="0"/>
          <w:spacing w:val="0"/>
          <w:kern w:val="2"/>
          <w:sz w:val="24"/>
          <w14:ligatures w14:val="standardContextual"/>
        </w:rPr>
      </w:pPr>
      <w:hyperlink w:anchor="_Toc198288086" w:history="1">
        <w:r w:rsidRPr="00355C09">
          <w:rPr>
            <w:rStyle w:val="Hyperlink"/>
          </w:rPr>
          <w:t>6</w:t>
        </w:r>
        <w:r>
          <w:rPr>
            <w:rFonts w:asciiTheme="minorHAnsi" w:eastAsiaTheme="minorEastAsia" w:hAnsiTheme="minorHAnsi" w:cstheme="minorBidi"/>
            <w:b w:val="0"/>
            <w:spacing w:val="0"/>
            <w:kern w:val="2"/>
            <w:sz w:val="24"/>
            <w14:ligatures w14:val="standardContextual"/>
          </w:rPr>
          <w:tab/>
        </w:r>
        <w:r w:rsidRPr="00355C09">
          <w:rPr>
            <w:rStyle w:val="Hyperlink"/>
          </w:rPr>
          <w:t>Charges</w:t>
        </w:r>
        <w:r>
          <w:rPr>
            <w:webHidden/>
          </w:rPr>
          <w:tab/>
        </w:r>
        <w:r>
          <w:rPr>
            <w:webHidden/>
          </w:rPr>
          <w:fldChar w:fldCharType="begin"/>
        </w:r>
        <w:r>
          <w:rPr>
            <w:webHidden/>
          </w:rPr>
          <w:instrText xml:space="preserve"> PAGEREF _Toc198288086 \h </w:instrText>
        </w:r>
        <w:r>
          <w:rPr>
            <w:webHidden/>
          </w:rPr>
        </w:r>
        <w:r>
          <w:rPr>
            <w:webHidden/>
          </w:rPr>
          <w:fldChar w:fldCharType="separate"/>
        </w:r>
        <w:r>
          <w:rPr>
            <w:webHidden/>
          </w:rPr>
          <w:t>38</w:t>
        </w:r>
        <w:r>
          <w:rPr>
            <w:webHidden/>
          </w:rPr>
          <w:fldChar w:fldCharType="end"/>
        </w:r>
      </w:hyperlink>
    </w:p>
    <w:p w14:paraId="2ABE003F" w14:textId="52BBD398"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87" w:history="1">
        <w:r w:rsidRPr="00355C09">
          <w:rPr>
            <w:rStyle w:val="Hyperlink"/>
          </w:rPr>
          <w:t>6.1</w:t>
        </w:r>
        <w:r>
          <w:rPr>
            <w:rFonts w:asciiTheme="minorHAnsi" w:eastAsiaTheme="minorEastAsia" w:hAnsiTheme="minorHAnsi" w:cstheme="minorBidi"/>
            <w:spacing w:val="0"/>
            <w:kern w:val="2"/>
            <w:sz w:val="24"/>
            <w:szCs w:val="24"/>
            <w14:ligatures w14:val="standardContextual"/>
          </w:rPr>
          <w:tab/>
        </w:r>
        <w:r w:rsidRPr="00355C09">
          <w:rPr>
            <w:rStyle w:val="Hyperlink"/>
          </w:rPr>
          <w:t>Assessment of satellite filing applications</w:t>
        </w:r>
        <w:r>
          <w:rPr>
            <w:webHidden/>
          </w:rPr>
          <w:tab/>
        </w:r>
        <w:r>
          <w:rPr>
            <w:webHidden/>
          </w:rPr>
          <w:fldChar w:fldCharType="begin"/>
        </w:r>
        <w:r>
          <w:rPr>
            <w:webHidden/>
          </w:rPr>
          <w:instrText xml:space="preserve"> PAGEREF _Toc198288087 \h </w:instrText>
        </w:r>
        <w:r>
          <w:rPr>
            <w:webHidden/>
          </w:rPr>
        </w:r>
        <w:r>
          <w:rPr>
            <w:webHidden/>
          </w:rPr>
          <w:fldChar w:fldCharType="separate"/>
        </w:r>
        <w:r>
          <w:rPr>
            <w:webHidden/>
          </w:rPr>
          <w:t>38</w:t>
        </w:r>
        <w:r>
          <w:rPr>
            <w:webHidden/>
          </w:rPr>
          <w:fldChar w:fldCharType="end"/>
        </w:r>
      </w:hyperlink>
    </w:p>
    <w:p w14:paraId="561C3A2A" w14:textId="4741CF9D"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88" w:history="1">
        <w:r w:rsidRPr="00355C09">
          <w:rPr>
            <w:rStyle w:val="Hyperlink"/>
          </w:rPr>
          <w:t>6.1.1</w:t>
        </w:r>
        <w:r>
          <w:rPr>
            <w:rFonts w:asciiTheme="minorHAnsi" w:eastAsiaTheme="minorEastAsia" w:hAnsiTheme="minorHAnsi" w:cstheme="minorBidi"/>
            <w:kern w:val="2"/>
            <w:sz w:val="24"/>
            <w:szCs w:val="24"/>
            <w14:ligatures w14:val="standardContextual"/>
          </w:rPr>
          <w:tab/>
        </w:r>
        <w:r w:rsidRPr="00355C09">
          <w:rPr>
            <w:rStyle w:val="Hyperlink"/>
          </w:rPr>
          <w:t>New satellite operators</w:t>
        </w:r>
        <w:r>
          <w:rPr>
            <w:webHidden/>
          </w:rPr>
          <w:tab/>
        </w:r>
        <w:r>
          <w:rPr>
            <w:webHidden/>
          </w:rPr>
          <w:fldChar w:fldCharType="begin"/>
        </w:r>
        <w:r>
          <w:rPr>
            <w:webHidden/>
          </w:rPr>
          <w:instrText xml:space="preserve"> PAGEREF _Toc198288088 \h </w:instrText>
        </w:r>
        <w:r>
          <w:rPr>
            <w:webHidden/>
          </w:rPr>
        </w:r>
        <w:r>
          <w:rPr>
            <w:webHidden/>
          </w:rPr>
          <w:fldChar w:fldCharType="separate"/>
        </w:r>
        <w:r>
          <w:rPr>
            <w:webHidden/>
          </w:rPr>
          <w:t>38</w:t>
        </w:r>
        <w:r>
          <w:rPr>
            <w:webHidden/>
          </w:rPr>
          <w:fldChar w:fldCharType="end"/>
        </w:r>
      </w:hyperlink>
    </w:p>
    <w:p w14:paraId="13F04FD4" w14:textId="7346868C" w:rsidR="00E60FA2" w:rsidRDefault="00E60FA2">
      <w:pPr>
        <w:pStyle w:val="TOC3"/>
        <w:tabs>
          <w:tab w:val="left" w:pos="885"/>
        </w:tabs>
        <w:rPr>
          <w:rFonts w:asciiTheme="minorHAnsi" w:eastAsiaTheme="minorEastAsia" w:hAnsiTheme="minorHAnsi" w:cstheme="minorBidi"/>
          <w:kern w:val="2"/>
          <w:sz w:val="24"/>
          <w:szCs w:val="24"/>
          <w14:ligatures w14:val="standardContextual"/>
        </w:rPr>
      </w:pPr>
      <w:hyperlink w:anchor="_Toc198288089" w:history="1">
        <w:r w:rsidRPr="00355C09">
          <w:rPr>
            <w:rStyle w:val="Hyperlink"/>
          </w:rPr>
          <w:t>6.1.2</w:t>
        </w:r>
        <w:r>
          <w:rPr>
            <w:rFonts w:asciiTheme="minorHAnsi" w:eastAsiaTheme="minorEastAsia" w:hAnsiTheme="minorHAnsi" w:cstheme="minorBidi"/>
            <w:kern w:val="2"/>
            <w:sz w:val="24"/>
            <w:szCs w:val="24"/>
            <w14:ligatures w14:val="standardContextual"/>
          </w:rPr>
          <w:tab/>
        </w:r>
        <w:r w:rsidRPr="00355C09">
          <w:rPr>
            <w:rStyle w:val="Hyperlink"/>
          </w:rPr>
          <w:t>Existing satellite operators</w:t>
        </w:r>
        <w:r>
          <w:rPr>
            <w:webHidden/>
          </w:rPr>
          <w:tab/>
        </w:r>
        <w:r>
          <w:rPr>
            <w:webHidden/>
          </w:rPr>
          <w:fldChar w:fldCharType="begin"/>
        </w:r>
        <w:r>
          <w:rPr>
            <w:webHidden/>
          </w:rPr>
          <w:instrText xml:space="preserve"> PAGEREF _Toc198288089 \h </w:instrText>
        </w:r>
        <w:r>
          <w:rPr>
            <w:webHidden/>
          </w:rPr>
        </w:r>
        <w:r>
          <w:rPr>
            <w:webHidden/>
          </w:rPr>
          <w:fldChar w:fldCharType="separate"/>
        </w:r>
        <w:r>
          <w:rPr>
            <w:webHidden/>
          </w:rPr>
          <w:t>38</w:t>
        </w:r>
        <w:r>
          <w:rPr>
            <w:webHidden/>
          </w:rPr>
          <w:fldChar w:fldCharType="end"/>
        </w:r>
      </w:hyperlink>
    </w:p>
    <w:p w14:paraId="05332115" w14:textId="35948F52"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90" w:history="1">
        <w:r w:rsidRPr="00355C09">
          <w:rPr>
            <w:rStyle w:val="Hyperlink"/>
          </w:rPr>
          <w:t>6.2</w:t>
        </w:r>
        <w:r>
          <w:rPr>
            <w:rFonts w:asciiTheme="minorHAnsi" w:eastAsiaTheme="minorEastAsia" w:hAnsiTheme="minorHAnsi" w:cstheme="minorBidi"/>
            <w:spacing w:val="0"/>
            <w:kern w:val="2"/>
            <w:sz w:val="24"/>
            <w:szCs w:val="24"/>
            <w14:ligatures w14:val="standardContextual"/>
          </w:rPr>
          <w:tab/>
        </w:r>
        <w:r w:rsidRPr="00355C09">
          <w:rPr>
            <w:rStyle w:val="Hyperlink"/>
          </w:rPr>
          <w:t>Cost recovery for work performed by the ACMA</w:t>
        </w:r>
        <w:r>
          <w:rPr>
            <w:webHidden/>
          </w:rPr>
          <w:tab/>
        </w:r>
        <w:r>
          <w:rPr>
            <w:webHidden/>
          </w:rPr>
          <w:fldChar w:fldCharType="begin"/>
        </w:r>
        <w:r>
          <w:rPr>
            <w:webHidden/>
          </w:rPr>
          <w:instrText xml:space="preserve"> PAGEREF _Toc198288090 \h </w:instrText>
        </w:r>
        <w:r>
          <w:rPr>
            <w:webHidden/>
          </w:rPr>
        </w:r>
        <w:r>
          <w:rPr>
            <w:webHidden/>
          </w:rPr>
          <w:fldChar w:fldCharType="separate"/>
        </w:r>
        <w:r>
          <w:rPr>
            <w:webHidden/>
          </w:rPr>
          <w:t>38</w:t>
        </w:r>
        <w:r>
          <w:rPr>
            <w:webHidden/>
          </w:rPr>
          <w:fldChar w:fldCharType="end"/>
        </w:r>
      </w:hyperlink>
    </w:p>
    <w:p w14:paraId="1588C46D" w14:textId="46F0B1C5" w:rsidR="00E60FA2" w:rsidRDefault="00E60FA2">
      <w:pPr>
        <w:pStyle w:val="TOC2"/>
        <w:rPr>
          <w:rFonts w:asciiTheme="minorHAnsi" w:eastAsiaTheme="minorEastAsia" w:hAnsiTheme="minorHAnsi" w:cstheme="minorBidi"/>
          <w:spacing w:val="0"/>
          <w:kern w:val="2"/>
          <w:sz w:val="24"/>
          <w:szCs w:val="24"/>
          <w14:ligatures w14:val="standardContextual"/>
        </w:rPr>
      </w:pPr>
      <w:hyperlink w:anchor="_Toc198288091" w:history="1">
        <w:r w:rsidRPr="00355C09">
          <w:rPr>
            <w:rStyle w:val="Hyperlink"/>
          </w:rPr>
          <w:t>6.3</w:t>
        </w:r>
        <w:r>
          <w:rPr>
            <w:rFonts w:asciiTheme="minorHAnsi" w:eastAsiaTheme="minorEastAsia" w:hAnsiTheme="minorHAnsi" w:cstheme="minorBidi"/>
            <w:spacing w:val="0"/>
            <w:kern w:val="2"/>
            <w:sz w:val="24"/>
            <w:szCs w:val="24"/>
            <w14:ligatures w14:val="standardContextual"/>
          </w:rPr>
          <w:tab/>
        </w:r>
        <w:r w:rsidRPr="00355C09">
          <w:rPr>
            <w:rStyle w:val="Hyperlink"/>
          </w:rPr>
          <w:t>ITU cost recovery.</w:t>
        </w:r>
        <w:r>
          <w:rPr>
            <w:webHidden/>
          </w:rPr>
          <w:tab/>
        </w:r>
        <w:r>
          <w:rPr>
            <w:webHidden/>
          </w:rPr>
          <w:fldChar w:fldCharType="begin"/>
        </w:r>
        <w:r>
          <w:rPr>
            <w:webHidden/>
          </w:rPr>
          <w:instrText xml:space="preserve"> PAGEREF _Toc198288091 \h </w:instrText>
        </w:r>
        <w:r>
          <w:rPr>
            <w:webHidden/>
          </w:rPr>
        </w:r>
        <w:r>
          <w:rPr>
            <w:webHidden/>
          </w:rPr>
          <w:fldChar w:fldCharType="separate"/>
        </w:r>
        <w:r>
          <w:rPr>
            <w:webHidden/>
          </w:rPr>
          <w:t>38</w:t>
        </w:r>
        <w:r>
          <w:rPr>
            <w:webHidden/>
          </w:rPr>
          <w:fldChar w:fldCharType="end"/>
        </w:r>
      </w:hyperlink>
    </w:p>
    <w:p w14:paraId="3AE43A01" w14:textId="3E1C26E7" w:rsidR="00E60FA2" w:rsidRDefault="00E60FA2">
      <w:pPr>
        <w:pStyle w:val="TOC1"/>
        <w:rPr>
          <w:rFonts w:asciiTheme="minorHAnsi" w:eastAsiaTheme="minorEastAsia" w:hAnsiTheme="minorHAnsi" w:cstheme="minorBidi"/>
          <w:b w:val="0"/>
          <w:spacing w:val="0"/>
          <w:kern w:val="2"/>
          <w:sz w:val="24"/>
          <w14:ligatures w14:val="standardContextual"/>
        </w:rPr>
      </w:pPr>
      <w:hyperlink w:anchor="_Toc198288092" w:history="1">
        <w:r w:rsidRPr="00355C09">
          <w:rPr>
            <w:rStyle w:val="Hyperlink"/>
          </w:rPr>
          <w:t>Appendix A: Best-practice milestones</w:t>
        </w:r>
        <w:r>
          <w:rPr>
            <w:webHidden/>
          </w:rPr>
          <w:tab/>
        </w:r>
        <w:r>
          <w:rPr>
            <w:webHidden/>
          </w:rPr>
          <w:fldChar w:fldCharType="begin"/>
        </w:r>
        <w:r>
          <w:rPr>
            <w:webHidden/>
          </w:rPr>
          <w:instrText xml:space="preserve"> PAGEREF _Toc198288092 \h </w:instrText>
        </w:r>
        <w:r>
          <w:rPr>
            <w:webHidden/>
          </w:rPr>
        </w:r>
        <w:r>
          <w:rPr>
            <w:webHidden/>
          </w:rPr>
          <w:fldChar w:fldCharType="separate"/>
        </w:r>
        <w:r>
          <w:rPr>
            <w:webHidden/>
          </w:rPr>
          <w:t>39</w:t>
        </w:r>
        <w:r>
          <w:rPr>
            <w:webHidden/>
          </w:rPr>
          <w:fldChar w:fldCharType="end"/>
        </w:r>
      </w:hyperlink>
    </w:p>
    <w:p w14:paraId="3609CB31" w14:textId="6091F8E0" w:rsidR="004D56FF" w:rsidRPr="00A17B1B" w:rsidRDefault="00DF0799" w:rsidP="00EB726B">
      <w:pPr>
        <w:pStyle w:val="Paragraph"/>
        <w:sectPr w:rsidR="004D56FF" w:rsidRPr="00A17B1B" w:rsidSect="005A62E5">
          <w:headerReference w:type="even" r:id="rId19"/>
          <w:headerReference w:type="default" r:id="rId20"/>
          <w:footerReference w:type="even" r:id="rId21"/>
          <w:footerReference w:type="default" r:id="rId22"/>
          <w:footerReference w:type="first" r:id="rId23"/>
          <w:pgSz w:w="11906" w:h="16838" w:code="9"/>
          <w:pgMar w:top="1418" w:right="1418" w:bottom="1134" w:left="1418" w:header="709" w:footer="119" w:gutter="0"/>
          <w:pgNumType w:fmt="lowerRoman" w:start="3"/>
          <w:cols w:space="708"/>
          <w:titlePg/>
          <w:docGrid w:linePitch="360"/>
        </w:sectPr>
      </w:pPr>
      <w:r w:rsidRPr="00A17B1B">
        <w:fldChar w:fldCharType="end"/>
      </w:r>
    </w:p>
    <w:p w14:paraId="16F5594F" w14:textId="77777777" w:rsidR="004376F2" w:rsidRDefault="004376F2" w:rsidP="004376F2">
      <w:pPr>
        <w:pStyle w:val="Heading1"/>
      </w:pPr>
      <w:bookmarkStart w:id="0" w:name="_Toc195092418"/>
      <w:bookmarkStart w:id="1" w:name="_Toc198287994"/>
      <w:r w:rsidRPr="00B971F8">
        <w:lastRenderedPageBreak/>
        <w:t>Introduction</w:t>
      </w:r>
      <w:bookmarkEnd w:id="0"/>
      <w:bookmarkEnd w:id="1"/>
    </w:p>
    <w:p w14:paraId="5D6FEDDC" w14:textId="77777777" w:rsidR="004376F2" w:rsidRPr="004C5726" w:rsidRDefault="004376F2" w:rsidP="004376F2">
      <w:pPr>
        <w:pStyle w:val="Heading2"/>
        <w:rPr>
          <w:snapToGrid w:val="0"/>
          <w:lang w:eastAsia="en-US"/>
        </w:rPr>
      </w:pPr>
      <w:bookmarkStart w:id="2" w:name="_Toc174974677"/>
      <w:bookmarkStart w:id="3" w:name="_Toc174974678"/>
      <w:bookmarkStart w:id="4" w:name="_Toc174974679"/>
      <w:bookmarkStart w:id="5" w:name="_Toc195092419"/>
      <w:bookmarkStart w:id="6" w:name="_Toc198287995"/>
      <w:bookmarkEnd w:id="2"/>
      <w:bookmarkEnd w:id="3"/>
      <w:bookmarkEnd w:id="4"/>
      <w:r w:rsidRPr="004C5726">
        <w:rPr>
          <w:snapToGrid w:val="0"/>
          <w:lang w:eastAsia="en-US"/>
        </w:rPr>
        <w:t>Purpose</w:t>
      </w:r>
      <w:bookmarkEnd w:id="5"/>
      <w:bookmarkEnd w:id="6"/>
    </w:p>
    <w:p w14:paraId="2A04F9AC" w14:textId="77777777" w:rsidR="004376F2" w:rsidRPr="00B971F8" w:rsidRDefault="004376F2" w:rsidP="004376F2">
      <w:pPr>
        <w:pStyle w:val="Paragraphbeforelist"/>
      </w:pPr>
      <w:r>
        <w:rPr>
          <w:rStyle w:val="normaltextrun"/>
          <w:szCs w:val="20"/>
          <w:shd w:val="clear" w:color="auto" w:fill="FFFFFF"/>
        </w:rPr>
        <w:t xml:space="preserve">This document describes the ACMA’s policies and procedures regarding the assessment and submission of satellite filings to the </w:t>
      </w:r>
      <w:r w:rsidRPr="00C22BCD">
        <w:rPr>
          <w:rStyle w:val="normaltextrun"/>
          <w:szCs w:val="20"/>
          <w:shd w:val="clear" w:color="auto" w:fill="FFFFFF"/>
        </w:rPr>
        <w:t>International Telecommunication Union</w:t>
      </w:r>
      <w:r>
        <w:rPr>
          <w:rStyle w:val="normaltextrun"/>
          <w:szCs w:val="20"/>
          <w:shd w:val="clear" w:color="auto" w:fill="FFFFFF"/>
        </w:rPr>
        <w:t xml:space="preserve"> (ITU). It sets out:</w:t>
      </w:r>
    </w:p>
    <w:p w14:paraId="1BEB12C7" w14:textId="77777777" w:rsidR="004376F2" w:rsidRPr="006C29D6" w:rsidRDefault="004376F2" w:rsidP="00DE0B1D">
      <w:pPr>
        <w:pStyle w:val="Bulletlevel1"/>
      </w:pPr>
      <w:r w:rsidRPr="006C29D6">
        <w:t>the ACMA’s application and assessment process for a new or modified ITU satellite filing</w:t>
      </w:r>
    </w:p>
    <w:p w14:paraId="243C2739" w14:textId="77777777" w:rsidR="004376F2" w:rsidRPr="00B971F8" w:rsidRDefault="004376F2" w:rsidP="00DE0B1D">
      <w:pPr>
        <w:pStyle w:val="Bulletlevel1last"/>
      </w:pPr>
      <w:r w:rsidRPr="00B971F8">
        <w:t xml:space="preserve">procedures for approved applicants and </w:t>
      </w:r>
      <w:r>
        <w:t xml:space="preserve">the </w:t>
      </w:r>
      <w:r w:rsidRPr="00B971F8">
        <w:t xml:space="preserve">ongoing obligations </w:t>
      </w:r>
      <w:r>
        <w:t>of</w:t>
      </w:r>
      <w:r w:rsidRPr="00B971F8">
        <w:t xml:space="preserve"> satellite operators.</w:t>
      </w:r>
    </w:p>
    <w:p w14:paraId="32B981C3" w14:textId="65D2911D" w:rsidR="004376F2" w:rsidRDefault="004376F2" w:rsidP="00404DD7">
      <w:pPr>
        <w:pStyle w:val="Heading3"/>
      </w:pPr>
      <w:bookmarkStart w:id="7" w:name="_Toc195092420"/>
      <w:bookmarkStart w:id="8" w:name="_Toc198287996"/>
      <w:r w:rsidRPr="00E57C3C">
        <w:t>Applications outside of current policy</w:t>
      </w:r>
      <w:bookmarkEnd w:id="7"/>
      <w:bookmarkEnd w:id="8"/>
      <w:r>
        <w:t xml:space="preserve"> </w:t>
      </w:r>
    </w:p>
    <w:p w14:paraId="11B3D755" w14:textId="77777777" w:rsidR="004376F2" w:rsidRDefault="004376F2" w:rsidP="00EB726B">
      <w:pPr>
        <w:pStyle w:val="Paragraph"/>
      </w:pPr>
      <w:r>
        <w:t>The information in this document reflects the ACMA’s current policy in relation to Australian satellite filing procedures. We</w:t>
      </w:r>
      <w:r w:rsidRPr="00B971F8">
        <w:t xml:space="preserve"> reserve the right to deviate from these procedures, </w:t>
      </w:r>
      <w:r>
        <w:t>at</w:t>
      </w:r>
      <w:r w:rsidRPr="00B971F8">
        <w:t xml:space="preserve"> our absolute discretion, if warranted by the circumstances of a particular application or under a lawful direction from the Minister for Communications.</w:t>
      </w:r>
      <w:r>
        <w:t xml:space="preserve"> Such matters will be treated on a case-by-case basis.</w:t>
      </w:r>
    </w:p>
    <w:p w14:paraId="4D7CC406" w14:textId="73B94D8E" w:rsidR="004376F2" w:rsidRDefault="004376F2" w:rsidP="00EB726B">
      <w:pPr>
        <w:pStyle w:val="Paragraph"/>
        <w:rPr>
          <w:rFonts w:cstheme="minorHAnsi"/>
        </w:rPr>
      </w:pPr>
      <w:r>
        <w:t>Questions concerning a satellite filing</w:t>
      </w:r>
      <w:r w:rsidRPr="00B971F8">
        <w:t xml:space="preserve"> that </w:t>
      </w:r>
      <w:r>
        <w:t xml:space="preserve">are not addressed in this document should be referred to </w:t>
      </w:r>
      <w:r w:rsidRPr="00B971F8">
        <w:t>The Manager, Space Systems Section</w:t>
      </w:r>
      <w:r w:rsidR="00E35EB4">
        <w:t xml:space="preserve"> </w:t>
      </w:r>
      <w:r>
        <w:rPr>
          <w:rFonts w:cstheme="minorHAnsi"/>
        </w:rPr>
        <w:t xml:space="preserve">by email to </w:t>
      </w:r>
      <w:hyperlink r:id="rId24" w:history="1">
        <w:r w:rsidRPr="00F91B89">
          <w:rPr>
            <w:rStyle w:val="Hyperlink"/>
            <w:rFonts w:cstheme="minorHAnsi"/>
            <w:szCs w:val="22"/>
          </w:rPr>
          <w:t>satellite.coordination@acma</w:t>
        </w:r>
        <w:r w:rsidRPr="00EF51B0">
          <w:rPr>
            <w:rStyle w:val="Hyperlink"/>
            <w:rFonts w:cstheme="minorHAnsi"/>
            <w:szCs w:val="22"/>
          </w:rPr>
          <w:t>.gov.au</w:t>
        </w:r>
      </w:hyperlink>
      <w:r w:rsidR="00DF2AA0">
        <w:rPr>
          <w:rStyle w:val="Hyperlink"/>
          <w:rFonts w:cstheme="minorHAnsi"/>
          <w:szCs w:val="22"/>
        </w:rPr>
        <w:t>.</w:t>
      </w:r>
      <w:r>
        <w:rPr>
          <w:rFonts w:cstheme="minorHAnsi"/>
        </w:rPr>
        <w:t xml:space="preserve"> </w:t>
      </w:r>
    </w:p>
    <w:p w14:paraId="3FFE0563" w14:textId="77777777" w:rsidR="004376F2" w:rsidRPr="004C5726" w:rsidRDefault="004376F2" w:rsidP="004376F2">
      <w:pPr>
        <w:pStyle w:val="Heading2"/>
        <w:rPr>
          <w:snapToGrid w:val="0"/>
          <w:lang w:eastAsia="en-US"/>
        </w:rPr>
      </w:pPr>
      <w:bookmarkStart w:id="9" w:name="_Toc195092421"/>
      <w:bookmarkStart w:id="10" w:name="_Toc198287997"/>
      <w:r w:rsidRPr="004C5726">
        <w:rPr>
          <w:snapToGrid w:val="0"/>
          <w:lang w:eastAsia="en-US"/>
        </w:rPr>
        <w:t>Background</w:t>
      </w:r>
      <w:bookmarkEnd w:id="9"/>
      <w:bookmarkEnd w:id="10"/>
    </w:p>
    <w:p w14:paraId="0F218288" w14:textId="77777777" w:rsidR="004376F2" w:rsidRPr="00B971F8" w:rsidRDefault="004376F2" w:rsidP="004376F2">
      <w:pPr>
        <w:pStyle w:val="Heading3"/>
      </w:pPr>
      <w:bookmarkStart w:id="11" w:name="_Toc195092422"/>
      <w:bookmarkStart w:id="12" w:name="_Toc198287998"/>
      <w:r w:rsidRPr="00B971F8">
        <w:t>Satellite filing</w:t>
      </w:r>
      <w:r>
        <w:t xml:space="preserve"> and </w:t>
      </w:r>
      <w:r w:rsidRPr="00B971F8">
        <w:rPr>
          <w:rStyle w:val="normaltextrun"/>
          <w:szCs w:val="20"/>
          <w:shd w:val="clear" w:color="auto" w:fill="FFFFFF"/>
        </w:rPr>
        <w:t>International Telecommunication Union</w:t>
      </w:r>
      <w:r>
        <w:rPr>
          <w:rStyle w:val="normaltextrun"/>
          <w:szCs w:val="20"/>
          <w:shd w:val="clear" w:color="auto" w:fill="FFFFFF"/>
        </w:rPr>
        <w:t xml:space="preserve"> (ITU)</w:t>
      </w:r>
      <w:bookmarkEnd w:id="11"/>
      <w:bookmarkEnd w:id="12"/>
      <w:r>
        <w:t xml:space="preserve"> </w:t>
      </w:r>
    </w:p>
    <w:p w14:paraId="13994D89" w14:textId="77777777" w:rsidR="004376F2" w:rsidRDefault="004376F2" w:rsidP="00EB726B">
      <w:pPr>
        <w:pStyle w:val="Paragraph"/>
      </w:pPr>
      <w:r>
        <w:t>The ITU is a specialised agency of the United Nations that facilitates global cooperation in the use of information and communication technologies. The legal framework of the ITU comprises the</w:t>
      </w:r>
      <w:r w:rsidRPr="00B971F8">
        <w:t xml:space="preserve"> </w:t>
      </w:r>
      <w:r w:rsidRPr="00343471">
        <w:t>Constitution, Convention and Administrative Regulations (of which the Radio Regulations are a part).</w:t>
      </w:r>
      <w:r>
        <w:rPr>
          <w:rStyle w:val="FootnoteReference"/>
        </w:rPr>
        <w:footnoteReference w:id="1"/>
      </w:r>
      <w:r w:rsidRPr="00343471">
        <w:t xml:space="preserve"> </w:t>
      </w:r>
      <w:r>
        <w:t>Together, these instruments</w:t>
      </w:r>
      <w:r w:rsidRPr="00B971F8">
        <w:t xml:space="preserve"> aim</w:t>
      </w:r>
      <w:r w:rsidRPr="004F0B70">
        <w:t xml:space="preserve"> to facilitate the rational, </w:t>
      </w:r>
      <w:r>
        <w:t xml:space="preserve">equitable, </w:t>
      </w:r>
      <w:r w:rsidRPr="004F0B70">
        <w:t xml:space="preserve">efficient and </w:t>
      </w:r>
      <w:r>
        <w:t>economical</w:t>
      </w:r>
      <w:r w:rsidRPr="004F0B70">
        <w:t xml:space="preserve"> use of the radiofrequency spectrum and associated orbits </w:t>
      </w:r>
      <w:r>
        <w:t xml:space="preserve">for satellite systems, </w:t>
      </w:r>
      <w:r w:rsidRPr="004F0B70">
        <w:t xml:space="preserve">and </w:t>
      </w:r>
      <w:r>
        <w:t>frequency coordination of satellite systems</w:t>
      </w:r>
      <w:r w:rsidRPr="004F0B70">
        <w:t xml:space="preserve">. A complete overview of these regulations is beyond the scope of this document – further information is available from the </w:t>
      </w:r>
      <w:hyperlink r:id="rId25" w:history="1">
        <w:r>
          <w:rPr>
            <w:rStyle w:val="Hyperlink"/>
          </w:rPr>
          <w:t>ITU Space Services Department</w:t>
        </w:r>
      </w:hyperlink>
      <w:r w:rsidRPr="004F0B70">
        <w:t>.</w:t>
      </w:r>
      <w:r w:rsidRPr="00B971F8">
        <w:t xml:space="preserve">  </w:t>
      </w:r>
    </w:p>
    <w:p w14:paraId="7B404819" w14:textId="77777777" w:rsidR="004376F2" w:rsidRDefault="004376F2" w:rsidP="00EB726B">
      <w:pPr>
        <w:pStyle w:val="Paragraph"/>
      </w:pPr>
      <w:r w:rsidRPr="00B971F8">
        <w:t xml:space="preserve">Under the </w:t>
      </w:r>
      <w:r w:rsidRPr="00B971F8">
        <w:rPr>
          <w:rStyle w:val="normaltextrun"/>
          <w:szCs w:val="20"/>
          <w:shd w:val="clear" w:color="auto" w:fill="FFFFFF"/>
        </w:rPr>
        <w:t>ITU</w:t>
      </w:r>
      <w:r w:rsidRPr="00B971F8">
        <w:t xml:space="preserve"> Radio Regulations – </w:t>
      </w:r>
      <w:r>
        <w:t>a binding</w:t>
      </w:r>
      <w:r w:rsidRPr="00B971F8">
        <w:t xml:space="preserve"> international </w:t>
      </w:r>
      <w:r>
        <w:t>instrument</w:t>
      </w:r>
      <w:r w:rsidRPr="00B971F8">
        <w:t xml:space="preserve"> to which Australia is a signatory – national administrations of ITU member states may file satellite systems with the ITU.</w:t>
      </w:r>
      <w:r w:rsidRPr="000A52F2">
        <w:rPr>
          <w:rStyle w:val="FootnoteReference"/>
        </w:rPr>
        <w:footnoteReference w:id="2"/>
      </w:r>
      <w:r>
        <w:t xml:space="preserve"> </w:t>
      </w:r>
      <w:r w:rsidRPr="00F44667">
        <w:t>Th</w:t>
      </w:r>
      <w:r>
        <w:t xml:space="preserve">at is, the </w:t>
      </w:r>
      <w:r w:rsidRPr="00F44667">
        <w:t xml:space="preserve">ITU only </w:t>
      </w:r>
      <w:r>
        <w:t xml:space="preserve">accepts satellite filings from </w:t>
      </w:r>
      <w:r w:rsidRPr="00F44667">
        <w:t>administrations</w:t>
      </w:r>
      <w:r>
        <w:t xml:space="preserve">. In Australia, the </w:t>
      </w:r>
      <w:r w:rsidRPr="00F44667">
        <w:t xml:space="preserve">ACMA acts as the Australian administration </w:t>
      </w:r>
      <w:r>
        <w:t>in the ITU satellite filing process.</w:t>
      </w:r>
    </w:p>
    <w:p w14:paraId="6C1AE449" w14:textId="77777777" w:rsidR="004376F2" w:rsidRDefault="004376F2" w:rsidP="00EB726B">
      <w:pPr>
        <w:pStyle w:val="Paragraph"/>
      </w:pPr>
      <w:r w:rsidRPr="00B971F8">
        <w:t>The Radio Regulations</w:t>
      </w:r>
      <w:r>
        <w:t>, predominately Articles 9 &amp; 11,</w:t>
      </w:r>
      <w:r w:rsidRPr="00B971F8">
        <w:t xml:space="preserve"> specify the international process of coordination </w:t>
      </w:r>
      <w:r>
        <w:t xml:space="preserve">and publication </w:t>
      </w:r>
      <w:r w:rsidRPr="00B971F8">
        <w:t xml:space="preserve">of technical parameters for satellite systems. In Australia, this involves satellite operators providing technical information about a satellite system to the ACMA, which in turn </w:t>
      </w:r>
      <w:r>
        <w:t>submits</w:t>
      </w:r>
      <w:r w:rsidRPr="00B971F8">
        <w:t xml:space="preserve"> it to the ITU (that is, ‘files’ it). The ITU </w:t>
      </w:r>
      <w:r>
        <w:t>publishes</w:t>
      </w:r>
      <w:r w:rsidRPr="00B971F8">
        <w:t xml:space="preserve"> the information</w:t>
      </w:r>
      <w:r>
        <w:t xml:space="preserve"> and </w:t>
      </w:r>
      <w:r w:rsidRPr="00B971F8">
        <w:t xml:space="preserve">the administrations of other ITU member states assess the </w:t>
      </w:r>
      <w:r>
        <w:t xml:space="preserve">published </w:t>
      </w:r>
      <w:r w:rsidRPr="00B971F8">
        <w:t xml:space="preserve">system to determine whether it might cause interference to their </w:t>
      </w:r>
      <w:r>
        <w:t xml:space="preserve">terrestrial or </w:t>
      </w:r>
      <w:r w:rsidRPr="00B971F8">
        <w:t>satellite systems</w:t>
      </w:r>
      <w:r>
        <w:t xml:space="preserve">. </w:t>
      </w:r>
      <w:r w:rsidRPr="00B971F8">
        <w:t>This information submitted to and published by the ITU is referred to as an ITU satellite filing.</w:t>
      </w:r>
      <w:r>
        <w:t xml:space="preserve"> The </w:t>
      </w:r>
      <w:r>
        <w:lastRenderedPageBreak/>
        <w:t>initial publication of a satellite system starts a process known as satellite frequency coordination.</w:t>
      </w:r>
    </w:p>
    <w:p w14:paraId="5EB4B270" w14:textId="77777777" w:rsidR="004376F2" w:rsidRDefault="004376F2" w:rsidP="00EB726B">
      <w:pPr>
        <w:pStyle w:val="Paragraph"/>
      </w:pPr>
      <w:r>
        <w:t>The purpose of a satellite filing and the satellite frequency coordination process is to gain international recognition of the radiofrequency spectrum and orbital resources used by a satellite system. This process leads to the ITU recording the technical data and frequency assignments of the system in its Master International Frequency Register (MIFR). This operates as a ‘first-in-time system’,</w:t>
      </w:r>
      <w:r>
        <w:rPr>
          <w:rStyle w:val="FootnoteReference"/>
        </w:rPr>
        <w:footnoteReference w:id="3"/>
      </w:r>
      <w:r>
        <w:t xml:space="preserve"> whereby any new satellite system must coordinate with administrations identified by the ITU before it can be recorded in the MIFR.</w:t>
      </w:r>
      <w:r>
        <w:rPr>
          <w:rStyle w:val="FootnoteReference"/>
        </w:rPr>
        <w:footnoteReference w:id="4"/>
      </w:r>
      <w:r>
        <w:t xml:space="preserve"> </w:t>
      </w:r>
    </w:p>
    <w:p w14:paraId="552E5E82" w14:textId="77777777" w:rsidR="004376F2" w:rsidRPr="00B971F8" w:rsidRDefault="004376F2" w:rsidP="00EB726B">
      <w:pPr>
        <w:pStyle w:val="Paragraph"/>
      </w:pPr>
      <w:r w:rsidRPr="00B971F8">
        <w:t>Satellite operators may approach any national administration, including the ACMA, to undertake this work. Each national administration may set its own policies about which satellite operators it will accept.</w:t>
      </w:r>
      <w:r>
        <w:t xml:space="preserve"> </w:t>
      </w:r>
    </w:p>
    <w:p w14:paraId="6EEC89AD" w14:textId="77777777" w:rsidR="004376F2" w:rsidRPr="00B971F8" w:rsidRDefault="004376F2" w:rsidP="004376F2">
      <w:pPr>
        <w:pStyle w:val="Heading3"/>
      </w:pPr>
      <w:bookmarkStart w:id="13" w:name="_Toc195092423"/>
      <w:bookmarkStart w:id="14" w:name="_Toc198287999"/>
      <w:r>
        <w:t>Role of the ACMA</w:t>
      </w:r>
      <w:bookmarkEnd w:id="13"/>
      <w:bookmarkEnd w:id="14"/>
    </w:p>
    <w:p w14:paraId="036A93A2" w14:textId="77777777" w:rsidR="004376F2" w:rsidRPr="00BF1A67" w:rsidRDefault="004376F2" w:rsidP="004376F2">
      <w:pPr>
        <w:pStyle w:val="Paragraph"/>
      </w:pPr>
      <w:r w:rsidRPr="00B971F8">
        <w:t>In Australia,</w:t>
      </w:r>
      <w:r w:rsidRPr="00B971F8" w:rsidDel="00037ED5">
        <w:t xml:space="preserve"> </w:t>
      </w:r>
      <w:r w:rsidRPr="00B971F8">
        <w:t xml:space="preserve">satellite filing work is considered a spectrum management function under the </w:t>
      </w:r>
      <w:hyperlink r:id="rId26" w:history="1">
        <w:r w:rsidRPr="003D6B8C">
          <w:rPr>
            <w:rStyle w:val="Hyperlink"/>
            <w:i/>
          </w:rPr>
          <w:t>Australian Communications and Media Authority Act 2005</w:t>
        </w:r>
      </w:hyperlink>
      <w:r w:rsidRPr="00B971F8">
        <w:rPr>
          <w:i/>
        </w:rPr>
        <w:t xml:space="preserve"> </w:t>
      </w:r>
      <w:r w:rsidRPr="00B971F8">
        <w:t>(ACMA Act)</w:t>
      </w:r>
      <w:r>
        <w:t>.</w:t>
      </w:r>
      <w:r>
        <w:rPr>
          <w:rStyle w:val="FootnoteReference"/>
        </w:rPr>
        <w:footnoteReference w:id="5"/>
      </w:r>
      <w:r w:rsidRPr="00B971F8">
        <w:t xml:space="preserve"> In undertaking this work, the ACMA also considers the </w:t>
      </w:r>
      <w:r>
        <w:t xml:space="preserve">international </w:t>
      </w:r>
      <w:r w:rsidRPr="00B971F8">
        <w:t xml:space="preserve">regulatory framework of the ITU, other treaty-level agreements, and Australian law. </w:t>
      </w:r>
      <w:r>
        <w:t>The ACMA undertakes satellite filing work on a cost recovery basis.</w:t>
      </w:r>
    </w:p>
    <w:p w14:paraId="2AAE62FA" w14:textId="77777777" w:rsidR="004376F2" w:rsidRPr="00B971F8" w:rsidRDefault="004376F2" w:rsidP="00EB726B">
      <w:pPr>
        <w:pStyle w:val="Paragraph"/>
      </w:pPr>
      <w:r w:rsidRPr="00B971F8">
        <w:t>Any information related to a satellite system submitted to the ITU by the ACMA remains the responsibility of the ACMA (for the Commonwealth of Australia) as only administrations of ITU member states can submit, modify or suppress information related to satellite systems, and exchange coordination information with other administrations. Through submission of information to the ITU, the ACMA obtains access to deal with the ITU’s published information associated with the satellite system and, if brought into use and recorded by the ITU in the M</w:t>
      </w:r>
      <w:r>
        <w:t>IFR</w:t>
      </w:r>
      <w:r w:rsidRPr="00B971F8">
        <w:t>, the radiofrequencies and orbit</w:t>
      </w:r>
      <w:r>
        <w:t>s</w:t>
      </w:r>
      <w:r w:rsidRPr="00B971F8">
        <w:t xml:space="preserve"> for the satellite system. </w:t>
      </w:r>
    </w:p>
    <w:p w14:paraId="7F17E257" w14:textId="6659235C" w:rsidR="004376F2" w:rsidRDefault="004376F2" w:rsidP="004376F2">
      <w:pPr>
        <w:pStyle w:val="Paragraph"/>
      </w:pPr>
      <w:r w:rsidRPr="00B971F8">
        <w:t xml:space="preserve">The ACMA may, in accordance with the provisions of this document, provide for the exclusive use of an ITU satellite filing to a satellite operator. </w:t>
      </w:r>
      <w:r>
        <w:t>However, this does not confer a</w:t>
      </w:r>
      <w:r w:rsidRPr="00B971F8">
        <w:t xml:space="preserve"> right </w:t>
      </w:r>
      <w:r>
        <w:t>to</w:t>
      </w:r>
      <w:r w:rsidRPr="004D5D53">
        <w:t xml:space="preserve"> </w:t>
      </w:r>
      <w:r w:rsidRPr="00B762DE">
        <w:t xml:space="preserve">operate a satellite system </w:t>
      </w:r>
      <w:r>
        <w:t xml:space="preserve">under the </w:t>
      </w:r>
      <w:r w:rsidRPr="001E698F">
        <w:rPr>
          <w:i/>
          <w:iCs/>
        </w:rPr>
        <w:t>Radiocommunications Act 1992</w:t>
      </w:r>
      <w:r w:rsidRPr="00E86C00">
        <w:t>.</w:t>
      </w:r>
      <w:r>
        <w:t xml:space="preserve"> </w:t>
      </w:r>
      <w:r w:rsidRPr="00E86C00">
        <w:t xml:space="preserve">As for all other types of radiocommunications, a </w:t>
      </w:r>
      <w:r>
        <w:t>satellite</w:t>
      </w:r>
      <w:r w:rsidRPr="00E86C00">
        <w:t xml:space="preserve"> system may not be operated in Australia without a licence</w:t>
      </w:r>
      <w:r>
        <w:t xml:space="preserve"> issued by the ACMA. A satellite filing (either filed through Australia or another country) </w:t>
      </w:r>
      <w:r w:rsidRPr="001F0F19">
        <w:t xml:space="preserve">is </w:t>
      </w:r>
      <w:proofErr w:type="gramStart"/>
      <w:r w:rsidRPr="001F0F19">
        <w:t>a necessary prerequisite</w:t>
      </w:r>
      <w:proofErr w:type="gramEnd"/>
      <w:r w:rsidRPr="001F0F19">
        <w:t xml:space="preserve"> that must be in place before a</w:t>
      </w:r>
      <w:r>
        <w:t>n</w:t>
      </w:r>
      <w:r w:rsidRPr="001F0F19">
        <w:t xml:space="preserve"> apparatus licence can be issued.</w:t>
      </w:r>
    </w:p>
    <w:p w14:paraId="5253156C" w14:textId="77777777" w:rsidR="004376F2" w:rsidRPr="00B971F8" w:rsidRDefault="004376F2" w:rsidP="004376F2">
      <w:pPr>
        <w:pStyle w:val="Heading3"/>
        <w:keepLines/>
      </w:pPr>
      <w:bookmarkStart w:id="15" w:name="_Toc195092424"/>
      <w:bookmarkStart w:id="16" w:name="_Toc198288000"/>
      <w:r>
        <w:t>Use of an ITU satellite filing</w:t>
      </w:r>
      <w:bookmarkEnd w:id="15"/>
      <w:bookmarkEnd w:id="16"/>
    </w:p>
    <w:p w14:paraId="5869A6C6" w14:textId="77777777" w:rsidR="004376F2" w:rsidRPr="00B971F8" w:rsidRDefault="004376F2" w:rsidP="004376F2">
      <w:pPr>
        <w:pStyle w:val="Paragraph"/>
      </w:pPr>
      <w:r>
        <w:t>Satellite filings</w:t>
      </w:r>
      <w:r w:rsidRPr="00B971F8">
        <w:t xml:space="preserve"> submitted to the ITU by the ACMA, acting as the administration of Australia</w:t>
      </w:r>
      <w:r>
        <w:t>,</w:t>
      </w:r>
      <w:r w:rsidRPr="00B971F8">
        <w:t xml:space="preserve"> will remain the responsibility of the ACMA (for the Commonwealth of Australia), on the basis that only administrations of </w:t>
      </w:r>
      <w:r>
        <w:t xml:space="preserve">ITU </w:t>
      </w:r>
      <w:r w:rsidRPr="00B971F8">
        <w:t xml:space="preserve">member states can </w:t>
      </w:r>
      <w:r>
        <w:t>deal with satellite filings</w:t>
      </w:r>
      <w:r w:rsidRPr="00B971F8">
        <w:t xml:space="preserve">. </w:t>
      </w:r>
    </w:p>
    <w:p w14:paraId="682FF243" w14:textId="77777777" w:rsidR="004376F2" w:rsidRPr="00944F2D" w:rsidRDefault="004376F2" w:rsidP="00F244BA">
      <w:pPr>
        <w:pStyle w:val="Paragraphbeforelist"/>
        <w:keepNext/>
        <w:keepLines/>
      </w:pPr>
      <w:r>
        <w:rPr>
          <w:rStyle w:val="normaltextrun"/>
          <w:szCs w:val="22"/>
        </w:rPr>
        <w:lastRenderedPageBreak/>
        <w:t>When the ACMA submits a satellite filing to the ITU on behalf of a satellite operator, the satellite operator gains exclusive access to this filing. To the extent permitted under Australian law and in accordance with Australia’s international obligations, this allows the satellite operator to:</w:t>
      </w:r>
      <w:r>
        <w:rPr>
          <w:rStyle w:val="eop"/>
          <w:szCs w:val="22"/>
        </w:rPr>
        <w:t> </w:t>
      </w:r>
    </w:p>
    <w:p w14:paraId="126DE99B" w14:textId="77777777" w:rsidR="004376F2" w:rsidRPr="006C29D6" w:rsidRDefault="004376F2" w:rsidP="00F244BA">
      <w:pPr>
        <w:pStyle w:val="Bulletlevel1"/>
        <w:keepNext/>
        <w:keepLines/>
      </w:pPr>
      <w:r w:rsidRPr="006E1FC3">
        <w:rPr>
          <w:rStyle w:val="normaltextrun"/>
        </w:rPr>
        <w:t>engage</w:t>
      </w:r>
      <w:r w:rsidRPr="006C29D6">
        <w:rPr>
          <w:rStyle w:val="normaltextrun"/>
        </w:rPr>
        <w:t xml:space="preserve"> in international coordination agreements in relation to the satellite system as it sees fit</w:t>
      </w:r>
      <w:r w:rsidRPr="006C29D6">
        <w:rPr>
          <w:rStyle w:val="eop"/>
        </w:rPr>
        <w:t> </w:t>
      </w:r>
    </w:p>
    <w:p w14:paraId="1DA79D0D" w14:textId="77777777" w:rsidR="004376F2" w:rsidRPr="00621B38" w:rsidRDefault="004376F2" w:rsidP="00F244BA">
      <w:pPr>
        <w:pStyle w:val="Bulletlevel1last"/>
        <w:keepNext/>
        <w:keepLines/>
      </w:pPr>
      <w:r w:rsidRPr="00621B38">
        <w:t xml:space="preserve">gain international recognition of operation of </w:t>
      </w:r>
      <w:r>
        <w:t xml:space="preserve">stations on </w:t>
      </w:r>
      <w:r w:rsidRPr="00621B38">
        <w:t xml:space="preserve">a physical </w:t>
      </w:r>
      <w:r w:rsidRPr="006E1FC3">
        <w:t>satellite</w:t>
      </w:r>
      <w:r w:rsidRPr="00621B38">
        <w:t xml:space="preserve"> in accordance with the parameters of the satellite filing and any related coordination agreements, and in accordance with the Radio Regulations and </w:t>
      </w:r>
      <w:r>
        <w:t xml:space="preserve">consistent </w:t>
      </w:r>
      <w:r w:rsidRPr="00621B38">
        <w:t>with the Australian satellite filing procedures (this document).</w:t>
      </w:r>
    </w:p>
    <w:p w14:paraId="4240C8F9" w14:textId="77777777" w:rsidR="004376F2" w:rsidRDefault="004376F2" w:rsidP="00EB726B">
      <w:pPr>
        <w:pStyle w:val="Paragraph"/>
      </w:pPr>
      <w:r w:rsidRPr="00B762DE">
        <w:t>As the responsible administration for Australian satellite filings, the ACMA does not consider a satellite filing as an asset that can be traded.</w:t>
      </w:r>
    </w:p>
    <w:p w14:paraId="4A6ADCB6" w14:textId="77777777" w:rsidR="004376F2" w:rsidRDefault="004376F2" w:rsidP="004376F2">
      <w:pPr>
        <w:pStyle w:val="Heading3"/>
      </w:pPr>
      <w:bookmarkStart w:id="17" w:name="_Toc195092425"/>
      <w:bookmarkStart w:id="18" w:name="_Toc198288001"/>
      <w:r>
        <w:t>Filing does not confer a right to licence</w:t>
      </w:r>
      <w:bookmarkEnd w:id="17"/>
      <w:bookmarkEnd w:id="18"/>
    </w:p>
    <w:p w14:paraId="00A20D4F" w14:textId="2607B32E" w:rsidR="004376F2" w:rsidRPr="00B971F8" w:rsidRDefault="004376F2" w:rsidP="00EB726B">
      <w:pPr>
        <w:pStyle w:val="Paragraph"/>
      </w:pPr>
      <w:r>
        <w:t>Th</w:t>
      </w:r>
      <w:r w:rsidRPr="00B762DE">
        <w:t xml:space="preserve">e ACMA agreeing to file a satellite system with the ITU does not </w:t>
      </w:r>
      <w:r>
        <w:t>confer</w:t>
      </w:r>
      <w:r w:rsidRPr="00B762DE">
        <w:t xml:space="preserve"> a right to operate a satellite system </w:t>
      </w:r>
      <w:r>
        <w:t xml:space="preserve">under the Radiocommunications Act for services </w:t>
      </w:r>
      <w:r w:rsidRPr="00B762DE">
        <w:t>in Australia and there are other requirements beyond those consider</w:t>
      </w:r>
      <w:r>
        <w:t xml:space="preserve">ed in this document </w:t>
      </w:r>
      <w:r w:rsidRPr="00B762DE">
        <w:t xml:space="preserve">that need to be fulfilled before </w:t>
      </w:r>
      <w:r>
        <w:t xml:space="preserve">such </w:t>
      </w:r>
      <w:r w:rsidRPr="00B762DE">
        <w:t>operation can commence.</w:t>
      </w:r>
    </w:p>
    <w:p w14:paraId="63E54559" w14:textId="77777777" w:rsidR="004376F2" w:rsidRPr="00B971F8" w:rsidRDefault="004376F2" w:rsidP="004376F2">
      <w:pPr>
        <w:pStyle w:val="Heading3"/>
      </w:pPr>
      <w:bookmarkStart w:id="19" w:name="_Toc195092426"/>
      <w:bookmarkStart w:id="20" w:name="_Toc198288002"/>
      <w:r>
        <w:t>Cost recovery</w:t>
      </w:r>
      <w:bookmarkEnd w:id="19"/>
      <w:bookmarkEnd w:id="20"/>
    </w:p>
    <w:p w14:paraId="6DA24345" w14:textId="77777777" w:rsidR="004376F2" w:rsidRDefault="004376F2" w:rsidP="00EB726B">
      <w:pPr>
        <w:pStyle w:val="Paragraph"/>
      </w:pPr>
      <w:r>
        <w:t xml:space="preserve">Both the ACMA and the ITU undertake satellite filing on a cost recovery basis. ACMA charges are </w:t>
      </w:r>
      <w:r w:rsidRPr="00B971F8">
        <w:t xml:space="preserve">set out in the </w:t>
      </w:r>
      <w:hyperlink r:id="rId27" w:history="1">
        <w:r w:rsidRPr="003C2C08">
          <w:rPr>
            <w:rStyle w:val="Hyperlink"/>
          </w:rPr>
          <w:t>Radiocommunications (Charges) Determination 2022</w:t>
        </w:r>
      </w:hyperlink>
      <w:r>
        <w:rPr>
          <w:rStyle w:val="Hyperlink"/>
          <w:i/>
          <w:iCs/>
        </w:rPr>
        <w:t>.</w:t>
      </w:r>
      <w:r>
        <w:t xml:space="preserve"> ITU </w:t>
      </w:r>
      <w:r w:rsidRPr="00AB4E58">
        <w:rPr>
          <w:u w:color="0000FF"/>
        </w:rPr>
        <w:t>cost recovery fee</w:t>
      </w:r>
      <w:r>
        <w:rPr>
          <w:u w:color="0000FF"/>
        </w:rPr>
        <w:t xml:space="preserve">s are specified in </w:t>
      </w:r>
      <w:r>
        <w:t xml:space="preserve">ITU </w:t>
      </w:r>
      <w:hyperlink r:id="rId28" w:history="1">
        <w:r w:rsidRPr="00B453EF">
          <w:rPr>
            <w:rStyle w:val="Hyperlink"/>
          </w:rPr>
          <w:t>Council Decision 482</w:t>
        </w:r>
      </w:hyperlink>
      <w:r>
        <w:t>. Satellite operators are required to pay the ITU fees in advance of the ACMA submitting a filing to the ITU.</w:t>
      </w:r>
    </w:p>
    <w:p w14:paraId="04FB8E81" w14:textId="77777777" w:rsidR="004376F2" w:rsidRDefault="004376F2" w:rsidP="00EB726B">
      <w:pPr>
        <w:pStyle w:val="Paragraph"/>
      </w:pPr>
      <w:r>
        <w:t xml:space="preserve">For each calendar year, an administration can nominate one of their satellite filings submitted that year as a </w:t>
      </w:r>
      <w:hyperlink r:id="rId29" w:history="1">
        <w:r w:rsidRPr="009974A9">
          <w:rPr>
            <w:rStyle w:val="Hyperlink"/>
          </w:rPr>
          <w:t>free entitlement</w:t>
        </w:r>
      </w:hyperlink>
      <w:r>
        <w:t>. As financial viability of the applicant is part of our assessment process, which includes the ability to pay all relevant ITU charges, the ACMA’s normal practice is not to utilise the free filing entitlement.</w:t>
      </w:r>
    </w:p>
    <w:p w14:paraId="419695A6" w14:textId="77777777" w:rsidR="004376F2" w:rsidRPr="004C5726" w:rsidRDefault="004376F2" w:rsidP="004376F2">
      <w:pPr>
        <w:pStyle w:val="Heading2"/>
        <w:rPr>
          <w:snapToGrid w:val="0"/>
          <w:lang w:eastAsia="en-US"/>
        </w:rPr>
      </w:pPr>
      <w:bookmarkStart w:id="21" w:name="_Toc131074965"/>
      <w:bookmarkStart w:id="22" w:name="_Toc131074976"/>
      <w:bookmarkStart w:id="23" w:name="_Toc126325143"/>
      <w:bookmarkStart w:id="24" w:name="_Toc126325233"/>
      <w:bookmarkStart w:id="25" w:name="_Toc126325144"/>
      <w:bookmarkStart w:id="26" w:name="_Toc126325234"/>
      <w:bookmarkStart w:id="27" w:name="_Toc126325145"/>
      <w:bookmarkStart w:id="28" w:name="_Toc126325235"/>
      <w:bookmarkStart w:id="29" w:name="_Toc306786380"/>
      <w:bookmarkStart w:id="30" w:name="_Toc111546501"/>
      <w:bookmarkStart w:id="31" w:name="_Toc114472665"/>
      <w:bookmarkStart w:id="32" w:name="_Toc128663947"/>
      <w:bookmarkStart w:id="33" w:name="_Toc195092427"/>
      <w:bookmarkStart w:id="34" w:name="_Toc198288003"/>
      <w:bookmarkEnd w:id="21"/>
      <w:bookmarkEnd w:id="22"/>
      <w:bookmarkEnd w:id="23"/>
      <w:bookmarkEnd w:id="24"/>
      <w:bookmarkEnd w:id="25"/>
      <w:bookmarkEnd w:id="26"/>
      <w:bookmarkEnd w:id="27"/>
      <w:bookmarkEnd w:id="28"/>
      <w:r w:rsidRPr="004C5726">
        <w:rPr>
          <w:snapToGrid w:val="0"/>
          <w:lang w:eastAsia="en-US"/>
        </w:rPr>
        <w:t>Scope</w:t>
      </w:r>
      <w:bookmarkEnd w:id="29"/>
      <w:bookmarkEnd w:id="30"/>
      <w:bookmarkEnd w:id="31"/>
      <w:bookmarkEnd w:id="32"/>
      <w:bookmarkEnd w:id="33"/>
      <w:bookmarkEnd w:id="34"/>
    </w:p>
    <w:p w14:paraId="48F7D047" w14:textId="77777777" w:rsidR="004376F2" w:rsidRDefault="004376F2" w:rsidP="00EB726B">
      <w:pPr>
        <w:pStyle w:val="Paragraph"/>
      </w:pPr>
      <w:r>
        <w:t>This document covers matters relating to ACMA requirements for the filing of satellite systems with the ITU, including the role and responsibilities of the ACMA, application procedures and, for approved applicants, requirements for participating in the ITU filing process and ongoing obligations</w:t>
      </w:r>
      <w:r w:rsidRPr="00B971F8">
        <w:t>.</w:t>
      </w:r>
    </w:p>
    <w:p w14:paraId="65FE1EDD" w14:textId="77777777" w:rsidR="004376F2" w:rsidRDefault="004376F2" w:rsidP="00EB726B">
      <w:pPr>
        <w:pStyle w:val="Paragraph"/>
      </w:pPr>
      <w:r>
        <w:t>Throughout this document we use the term ‘satellite system’ as defined in the Radio Regulations,</w:t>
      </w:r>
      <w:r w:rsidRPr="00507BC6">
        <w:rPr>
          <w:rStyle w:val="FootnoteReference"/>
          <w:szCs w:val="22"/>
        </w:rPr>
        <w:footnoteReference w:id="6"/>
      </w:r>
      <w:r w:rsidRPr="00507BC6">
        <w:t xml:space="preserve"> as it is a broad term covering both geostationary </w:t>
      </w:r>
      <w:r>
        <w:t xml:space="preserve">satellite </w:t>
      </w:r>
      <w:r w:rsidRPr="00507BC6">
        <w:t>orbit (GSO) and non-geostationary</w:t>
      </w:r>
      <w:r>
        <w:t xml:space="preserve"> satellite</w:t>
      </w:r>
      <w:r w:rsidRPr="00507BC6">
        <w:t xml:space="preserve"> orbit (NGSO) </w:t>
      </w:r>
      <w:r>
        <w:t xml:space="preserve">satellite </w:t>
      </w:r>
      <w:r w:rsidRPr="00507BC6">
        <w:t>systems. In certain circumstances, we use the narrower term satellite network,</w:t>
      </w:r>
      <w:r w:rsidRPr="00507BC6">
        <w:rPr>
          <w:rStyle w:val="FootnoteReference"/>
          <w:szCs w:val="22"/>
        </w:rPr>
        <w:footnoteReference w:id="7"/>
      </w:r>
      <w:r>
        <w:t xml:space="preserve"> for example, when discussing requirements that apply to GSO satellite networks or considering ITU requirements that refer specifically to a ‘satellite network’.</w:t>
      </w:r>
    </w:p>
    <w:p w14:paraId="60F2F3C7" w14:textId="77777777" w:rsidR="004376F2" w:rsidRDefault="004376F2" w:rsidP="004376F2">
      <w:pPr>
        <w:pStyle w:val="Heading2"/>
      </w:pPr>
      <w:bookmarkStart w:id="35" w:name="_Toc195092428"/>
      <w:bookmarkStart w:id="36" w:name="_Toc198288004"/>
      <w:r>
        <w:lastRenderedPageBreak/>
        <w:t>Matters not in scope</w:t>
      </w:r>
      <w:bookmarkEnd w:id="35"/>
      <w:bookmarkEnd w:id="36"/>
    </w:p>
    <w:p w14:paraId="637EFDEB" w14:textId="77777777" w:rsidR="004376F2" w:rsidRDefault="004376F2" w:rsidP="004376F2">
      <w:pPr>
        <w:pStyle w:val="Paragraph"/>
      </w:pPr>
      <w:r>
        <w:t>Matters that are outside the scope of this document (and in some cases ACMA responsibilities) are outlined below, together with references for further information.</w:t>
      </w:r>
    </w:p>
    <w:p w14:paraId="19E01E67" w14:textId="77777777" w:rsidR="004376F2" w:rsidRDefault="004376F2" w:rsidP="004376F2">
      <w:pPr>
        <w:pStyle w:val="Heading3"/>
      </w:pPr>
      <w:bookmarkStart w:id="37" w:name="_Toc195092429"/>
      <w:bookmarkStart w:id="38" w:name="_Toc198288005"/>
      <w:r>
        <w:t>Deeds of agreement</w:t>
      </w:r>
      <w:bookmarkEnd w:id="37"/>
      <w:bookmarkEnd w:id="38"/>
      <w:r>
        <w:t xml:space="preserve"> </w:t>
      </w:r>
    </w:p>
    <w:p w14:paraId="45FB1CD3" w14:textId="77777777" w:rsidR="004376F2" w:rsidRDefault="004376F2" w:rsidP="00EB726B">
      <w:pPr>
        <w:pStyle w:val="Paragraph"/>
      </w:pPr>
      <w:r>
        <w:t xml:space="preserve">Before 2012, satellite filing involved the use of </w:t>
      </w:r>
      <w:hyperlink r:id="rId30" w:history="1">
        <w:r w:rsidRPr="00001CCF">
          <w:rPr>
            <w:rStyle w:val="Hyperlink"/>
          </w:rPr>
          <w:t>deeds of agreement</w:t>
        </w:r>
      </w:hyperlink>
      <w:r>
        <w:t xml:space="preserve"> between the ACMA and a satellite operator. The use of deeds was discontinued in 2012 as a result of a </w:t>
      </w:r>
      <w:hyperlink r:id="rId31" w:history="1">
        <w:r w:rsidRPr="00DE01AF">
          <w:rPr>
            <w:rStyle w:val="Hyperlink"/>
          </w:rPr>
          <w:t>review</w:t>
        </w:r>
      </w:hyperlink>
      <w:r>
        <w:t xml:space="preserve"> of the ACMA’s satellite filing procedures. </w:t>
      </w:r>
    </w:p>
    <w:p w14:paraId="4D8DA876" w14:textId="77777777" w:rsidR="004376F2" w:rsidRDefault="004376F2" w:rsidP="00EB726B">
      <w:pPr>
        <w:pStyle w:val="Paragraph"/>
      </w:pPr>
      <w:r w:rsidRPr="00B971F8">
        <w:t xml:space="preserve">Satellite systems operating under existing Deeds of Agreement </w:t>
      </w:r>
      <w:r>
        <w:t>are</w:t>
      </w:r>
      <w:r w:rsidRPr="00B971F8">
        <w:t xml:space="preserve"> not</w:t>
      </w:r>
      <w:r w:rsidRPr="00B971F8" w:rsidDel="00481907">
        <w:t xml:space="preserve"> </w:t>
      </w:r>
      <w:r w:rsidRPr="00B971F8">
        <w:t xml:space="preserve">subject to </w:t>
      </w:r>
      <w:r>
        <w:t xml:space="preserve">the </w:t>
      </w:r>
      <w:r w:rsidRPr="00B971F8">
        <w:t>procedure</w:t>
      </w:r>
      <w:r>
        <w:t>s described in this document</w:t>
      </w:r>
      <w:r w:rsidRPr="00B971F8">
        <w:t>,</w:t>
      </w:r>
      <w:r>
        <w:rPr>
          <w:rStyle w:val="FootnoteReference"/>
        </w:rPr>
        <w:footnoteReference w:id="8"/>
      </w:r>
      <w:r w:rsidRPr="00B971F8">
        <w:t xml:space="preserve"> unless otherwise agreed to in writing between the ACMA and the satellite operator.</w:t>
      </w:r>
      <w:r>
        <w:t xml:space="preserve"> The exception to this is charges for ITU satellite filing work, including ACMA cost recovery charges. See section </w:t>
      </w:r>
      <w:r>
        <w:fldChar w:fldCharType="begin"/>
      </w:r>
      <w:r>
        <w:instrText xml:space="preserve"> REF _Ref132637092 \r \h </w:instrText>
      </w:r>
      <w:r>
        <w:fldChar w:fldCharType="separate"/>
      </w:r>
      <w:r>
        <w:t>6</w:t>
      </w:r>
      <w:r>
        <w:fldChar w:fldCharType="end"/>
      </w:r>
      <w:r>
        <w:t xml:space="preserve"> </w:t>
      </w:r>
      <w:r>
        <w:fldChar w:fldCharType="begin"/>
      </w:r>
      <w:r>
        <w:instrText xml:space="preserve"> REF _Ref132637092 \h </w:instrText>
      </w:r>
      <w:r>
        <w:fldChar w:fldCharType="separate"/>
      </w:r>
      <w:r>
        <w:t>Charges</w:t>
      </w:r>
      <w:r>
        <w:fldChar w:fldCharType="end"/>
      </w:r>
      <w:r>
        <w:t>.</w:t>
      </w:r>
    </w:p>
    <w:p w14:paraId="4E84A097" w14:textId="77777777" w:rsidR="004376F2" w:rsidRPr="00B971F8" w:rsidRDefault="004376F2" w:rsidP="004376F2">
      <w:pPr>
        <w:pStyle w:val="Heading3"/>
      </w:pPr>
      <w:bookmarkStart w:id="39" w:name="_Radiocommunications_licensing"/>
      <w:bookmarkStart w:id="40" w:name="_Toc128663950"/>
      <w:bookmarkStart w:id="41" w:name="_Toc195092430"/>
      <w:bookmarkStart w:id="42" w:name="_Toc198288006"/>
      <w:bookmarkEnd w:id="39"/>
      <w:r w:rsidRPr="00B971F8">
        <w:t>Radiocommunications licensing</w:t>
      </w:r>
      <w:bookmarkEnd w:id="40"/>
      <w:bookmarkEnd w:id="41"/>
      <w:bookmarkEnd w:id="42"/>
    </w:p>
    <w:p w14:paraId="5111A602" w14:textId="77777777" w:rsidR="004376F2" w:rsidRPr="00B762DE" w:rsidRDefault="004376F2" w:rsidP="00EB726B">
      <w:pPr>
        <w:pStyle w:val="Paragraph"/>
      </w:pPr>
      <w:r w:rsidRPr="00B762DE">
        <w:t>As for all other types of radiocommunications, a space-based radiocommunications system may not be operated in Australia without a radiocommunication</w:t>
      </w:r>
      <w:r>
        <w:t>s</w:t>
      </w:r>
      <w:r w:rsidRPr="00B762DE">
        <w:t xml:space="preserve"> licence which is separate to the ITU satellite filing. In general, there are 2 broad options for licensing space systems in Australia.</w:t>
      </w:r>
      <w:r>
        <w:rPr>
          <w:rStyle w:val="FootnoteReference"/>
        </w:rPr>
        <w:footnoteReference w:id="9"/>
      </w:r>
    </w:p>
    <w:p w14:paraId="2D1A7CCF" w14:textId="77777777" w:rsidR="004376F2" w:rsidRPr="00B971F8" w:rsidRDefault="004376F2" w:rsidP="004376F2">
      <w:pPr>
        <w:pStyle w:val="Paragraph"/>
      </w:pPr>
      <w:r w:rsidRPr="00B971F8">
        <w:t>The first option requires operators to obtain apparatus licences for each of their earth station</w:t>
      </w:r>
      <w:r>
        <w:t xml:space="preserve"> transmitters and receivers</w:t>
      </w:r>
      <w:r w:rsidRPr="00B971F8">
        <w:t xml:space="preserve"> individually: </w:t>
      </w:r>
      <w:r>
        <w:t xml:space="preserve">either an </w:t>
      </w:r>
      <w:hyperlink r:id="rId32" w:history="1">
        <w:r w:rsidRPr="009E6A2D">
          <w:rPr>
            <w:rStyle w:val="Hyperlink"/>
          </w:rPr>
          <w:t>earth</w:t>
        </w:r>
      </w:hyperlink>
      <w:r w:rsidRPr="009E6A2D">
        <w:rPr>
          <w:u w:color="0000FF"/>
        </w:rPr>
        <w:t xml:space="preserve"> licence</w:t>
      </w:r>
      <w:r>
        <w:rPr>
          <w:u w:color="0000FF"/>
        </w:rPr>
        <w:t xml:space="preserve"> </w:t>
      </w:r>
      <w:r>
        <w:t xml:space="preserve">or </w:t>
      </w:r>
      <w:hyperlink r:id="rId33" w:history="1">
        <w:r>
          <w:rPr>
            <w:rStyle w:val="Hyperlink"/>
          </w:rPr>
          <w:t>area-wide apparatus licence</w:t>
        </w:r>
      </w:hyperlink>
      <w:r>
        <w:t xml:space="preserve"> (currently limited to certain bands) </w:t>
      </w:r>
      <w:r w:rsidRPr="00B971F8">
        <w:t xml:space="preserve">for the uplink and an </w:t>
      </w:r>
      <w:hyperlink r:id="rId34" w:history="1">
        <w:r w:rsidRPr="003331FD">
          <w:rPr>
            <w:rStyle w:val="Hyperlink"/>
          </w:rPr>
          <w:t>ea</w:t>
        </w:r>
        <w:r w:rsidRPr="003331FD">
          <w:rPr>
            <w:rStyle w:val="Hyperlink"/>
            <w:iCs/>
          </w:rPr>
          <w:t>rth receive</w:t>
        </w:r>
      </w:hyperlink>
      <w:r w:rsidRPr="003331FD">
        <w:rPr>
          <w:iCs/>
          <w:u w:color="0000FF"/>
        </w:rPr>
        <w:t xml:space="preserve"> licence</w:t>
      </w:r>
      <w:r>
        <w:rPr>
          <w:iCs/>
          <w:u w:color="0000FF"/>
        </w:rPr>
        <w:t xml:space="preserve"> or </w:t>
      </w:r>
      <w:hyperlink r:id="rId35" w:history="1">
        <w:r w:rsidRPr="001502E7">
          <w:rPr>
            <w:rStyle w:val="Hyperlink"/>
            <w:iCs/>
          </w:rPr>
          <w:t xml:space="preserve">area-wide </w:t>
        </w:r>
        <w:r>
          <w:rPr>
            <w:rStyle w:val="Hyperlink"/>
            <w:iCs/>
          </w:rPr>
          <w:t xml:space="preserve">receive </w:t>
        </w:r>
        <w:r w:rsidRPr="001502E7">
          <w:rPr>
            <w:rStyle w:val="Hyperlink"/>
            <w:iCs/>
          </w:rPr>
          <w:t>licence</w:t>
        </w:r>
      </w:hyperlink>
      <w:r>
        <w:rPr>
          <w:iCs/>
          <w:u w:color="0000FF"/>
        </w:rPr>
        <w:t xml:space="preserve"> </w:t>
      </w:r>
      <w:r w:rsidRPr="00B971F8">
        <w:t xml:space="preserve">for the downlink. Under this approach, a licence is not required for the space stations </w:t>
      </w:r>
      <w:r>
        <w:t xml:space="preserve">or space receive stations </w:t>
      </w:r>
      <w:r w:rsidRPr="00B971F8">
        <w:t xml:space="preserve">onboard a satellite. </w:t>
      </w:r>
      <w:r>
        <w:t xml:space="preserve">For further information, see the ACMA </w:t>
      </w:r>
      <w:hyperlink r:id="rId36" w:history="1">
        <w:r w:rsidRPr="005F48F2">
          <w:rPr>
            <w:rStyle w:val="Hyperlink"/>
          </w:rPr>
          <w:t>business operating procedure</w:t>
        </w:r>
      </w:hyperlink>
      <w:r>
        <w:t xml:space="preserve"> on </w:t>
      </w:r>
      <w:r w:rsidRPr="005F48F2">
        <w:rPr>
          <w:u w:color="0000FF"/>
        </w:rPr>
        <w:t>earth, earth receive licensing and area-wide device registrations</w:t>
      </w:r>
      <w:r>
        <w:t xml:space="preserve">. </w:t>
      </w:r>
    </w:p>
    <w:p w14:paraId="6C32E21F" w14:textId="77777777" w:rsidR="004376F2" w:rsidRDefault="004376F2" w:rsidP="004376F2">
      <w:pPr>
        <w:pStyle w:val="Paragraph"/>
      </w:pPr>
      <w:r w:rsidRPr="00B971F8">
        <w:t xml:space="preserve">The second option involves a combination of apparatus and class licences. In certain bands specified in the </w:t>
      </w:r>
      <w:hyperlink r:id="rId37" w:history="1">
        <w:r>
          <w:rPr>
            <w:rStyle w:val="Hyperlink"/>
            <w:iCs/>
          </w:rPr>
          <w:t>Radiocommunications (Communication with Space Object) Class Licence 2025</w:t>
        </w:r>
      </w:hyperlink>
      <w:r w:rsidRPr="00A32545">
        <w:t xml:space="preserve"> (the </w:t>
      </w:r>
      <w:r>
        <w:t>sp</w:t>
      </w:r>
      <w:r w:rsidRPr="00801700">
        <w:rPr>
          <w:u w:color="0000FF"/>
        </w:rPr>
        <w:t>ace object class licence),</w:t>
      </w:r>
      <w:r w:rsidRPr="00A32545">
        <w:t xml:space="preserve"> operators may </w:t>
      </w:r>
      <w:r w:rsidRPr="00B971F8">
        <w:t xml:space="preserve">obtain an apparatus licence for the space stations </w:t>
      </w:r>
      <w:r>
        <w:t xml:space="preserve">and space receive stations </w:t>
      </w:r>
      <w:r w:rsidRPr="00B971F8">
        <w:t>onboard a satellite wi</w:t>
      </w:r>
      <w:r w:rsidRPr="00ED74C6">
        <w:t>th a space li</w:t>
      </w:r>
      <w:r w:rsidRPr="00B971F8">
        <w:t>cence</w:t>
      </w:r>
      <w:r w:rsidRPr="00B971F8">
        <w:rPr>
          <w:iCs/>
        </w:rPr>
        <w:t xml:space="preserve"> </w:t>
      </w:r>
      <w:r w:rsidRPr="00B971F8">
        <w:t>for the downlink a</w:t>
      </w:r>
      <w:r w:rsidRPr="00ED74C6">
        <w:t>nd a space receive li</w:t>
      </w:r>
      <w:r w:rsidRPr="00B971F8">
        <w:t xml:space="preserve">cence for the uplink. </w:t>
      </w:r>
      <w:r>
        <w:t xml:space="preserve">The space object (that is, the satellite containing the stations) must be owned, controlled or operated by a corporation or Commonwealth entity listed in the </w:t>
      </w:r>
      <w:hyperlink r:id="rId38" w:history="1">
        <w:r>
          <w:rPr>
            <w:rStyle w:val="Hyperlink"/>
          </w:rPr>
          <w:t>Radiocommunications (Australian Space Objects) Determination 20</w:t>
        </w:r>
      </w:hyperlink>
      <w:r>
        <w:rPr>
          <w:rStyle w:val="Hyperlink"/>
        </w:rPr>
        <w:t xml:space="preserve">25 </w:t>
      </w:r>
      <w:r>
        <w:t xml:space="preserve">or a space object that is owned, controlled or operated by or for a company/entity listed in the </w:t>
      </w:r>
      <w:hyperlink r:id="rId39" w:history="1">
        <w:r w:rsidRPr="008F430B">
          <w:rPr>
            <w:rStyle w:val="Hyperlink"/>
          </w:rPr>
          <w:t>Radiocommunications (Foreign Space Objects) Determination 20</w:t>
        </w:r>
        <w:r>
          <w:rPr>
            <w:rStyle w:val="Hyperlink"/>
          </w:rPr>
          <w:t>25</w:t>
        </w:r>
      </w:hyperlink>
      <w:r>
        <w:t xml:space="preserve">. </w:t>
      </w:r>
      <w:r w:rsidRPr="00B971F8">
        <w:t xml:space="preserve">Earth stations </w:t>
      </w:r>
      <w:r>
        <w:t xml:space="preserve">and earth receive stations </w:t>
      </w:r>
      <w:r w:rsidRPr="00B971F8">
        <w:t xml:space="preserve">in the system are then automatically authorised collectively under </w:t>
      </w:r>
      <w:bookmarkStart w:id="43" w:name="_Hlk347270"/>
      <w:r w:rsidRPr="00B971F8">
        <w:t>the</w:t>
      </w:r>
      <w:bookmarkEnd w:id="43"/>
      <w:r w:rsidRPr="00B971F8">
        <w:t xml:space="preserve"> </w:t>
      </w:r>
      <w:r>
        <w:t>space object</w:t>
      </w:r>
      <w:r w:rsidRPr="00B971F8">
        <w:t xml:space="preserve"> class licence. </w:t>
      </w:r>
    </w:p>
    <w:p w14:paraId="77199FB1" w14:textId="77777777" w:rsidR="004376F2" w:rsidRPr="00B971F8" w:rsidRDefault="004376F2" w:rsidP="004376F2">
      <w:pPr>
        <w:pStyle w:val="Paragraph"/>
      </w:pPr>
      <w:r w:rsidRPr="00B971F8">
        <w:t>This approach is typically used for satellite systems with numerous or ubiquitous earth stations</w:t>
      </w:r>
      <w:r>
        <w:t xml:space="preserve"> (transmit or receive)</w:t>
      </w:r>
      <w:r w:rsidRPr="00B971F8">
        <w:t xml:space="preserve">. It provides an efficient means of licensing </w:t>
      </w:r>
      <w:proofErr w:type="gramStart"/>
      <w:r w:rsidRPr="00B971F8">
        <w:t>a large number of</w:t>
      </w:r>
      <w:proofErr w:type="gramEnd"/>
      <w:r w:rsidRPr="00B971F8">
        <w:t xml:space="preserve"> </w:t>
      </w:r>
      <w:proofErr w:type="gramStart"/>
      <w:r w:rsidRPr="00B971F8">
        <w:t>earth</w:t>
      </w:r>
      <w:proofErr w:type="gramEnd"/>
      <w:r w:rsidRPr="00B971F8">
        <w:t xml:space="preserve"> stations and avoids the need to obtain a licence for every earth station in a satellite system.</w:t>
      </w:r>
      <w:r>
        <w:t xml:space="preserve"> </w:t>
      </w:r>
      <w:r>
        <w:rPr>
          <w:szCs w:val="20"/>
        </w:rPr>
        <w:t>For the purposes of the Radiocommunications</w:t>
      </w:r>
      <w:r>
        <w:rPr>
          <w:i/>
          <w:iCs/>
          <w:szCs w:val="20"/>
        </w:rPr>
        <w:t xml:space="preserve"> </w:t>
      </w:r>
      <w:r>
        <w:rPr>
          <w:szCs w:val="20"/>
        </w:rPr>
        <w:t xml:space="preserve">Act, any implementation of a satellite system (that is, physical satellites in orbit) for which Australia is the responsible </w:t>
      </w:r>
      <w:r>
        <w:rPr>
          <w:szCs w:val="20"/>
        </w:rPr>
        <w:lastRenderedPageBreak/>
        <w:t xml:space="preserve">administration shall </w:t>
      </w:r>
      <w:proofErr w:type="gramStart"/>
      <w:r>
        <w:rPr>
          <w:szCs w:val="20"/>
        </w:rPr>
        <w:t>be considered to be</w:t>
      </w:r>
      <w:proofErr w:type="gramEnd"/>
      <w:r>
        <w:rPr>
          <w:szCs w:val="20"/>
        </w:rPr>
        <w:t xml:space="preserve"> an Australian space object.</w:t>
      </w:r>
      <w:r w:rsidRPr="00B971F8">
        <w:t xml:space="preserve"> </w:t>
      </w:r>
      <w:r>
        <w:t xml:space="preserve">For further information, see the ACMA </w:t>
      </w:r>
      <w:hyperlink r:id="rId40" w:history="1">
        <w:r w:rsidRPr="007F1DB8">
          <w:rPr>
            <w:rStyle w:val="Hyperlink"/>
          </w:rPr>
          <w:t>business operating procedure</w:t>
        </w:r>
      </w:hyperlink>
      <w:r>
        <w:t xml:space="preserve"> on </w:t>
      </w:r>
      <w:r w:rsidRPr="007F1DB8">
        <w:rPr>
          <w:u w:color="0000FF"/>
        </w:rPr>
        <w:t>space and space receive licensing</w:t>
      </w:r>
      <w:r>
        <w:t xml:space="preserve">. </w:t>
      </w:r>
    </w:p>
    <w:p w14:paraId="2D1040D0" w14:textId="77777777" w:rsidR="004376F2" w:rsidRPr="00B971F8" w:rsidRDefault="004376F2" w:rsidP="004376F2">
      <w:pPr>
        <w:pStyle w:val="Paragraph"/>
      </w:pPr>
      <w:r w:rsidRPr="00B971F8">
        <w:t xml:space="preserve">A key requirement, irrespective of which approach to licensing is used, is that the satellite system must </w:t>
      </w:r>
      <w:r>
        <w:t xml:space="preserve">first </w:t>
      </w:r>
      <w:r w:rsidRPr="00B971F8">
        <w:t xml:space="preserve">be filed with the ITU by the ACMA or the equivalent national administration of another ITU member state. </w:t>
      </w:r>
    </w:p>
    <w:p w14:paraId="63933A9C" w14:textId="77777777" w:rsidR="004376F2" w:rsidRPr="00B971F8" w:rsidRDefault="004376F2" w:rsidP="004376F2">
      <w:pPr>
        <w:pStyle w:val="Heading3"/>
      </w:pPr>
      <w:bookmarkStart w:id="44" w:name="_Toc128663951"/>
      <w:bookmarkStart w:id="45" w:name="_Toc195092431"/>
      <w:bookmarkStart w:id="46" w:name="_Toc198288007"/>
      <w:r w:rsidRPr="00B971F8">
        <w:t xml:space="preserve">Telecommunications and </w:t>
      </w:r>
      <w:bookmarkEnd w:id="44"/>
      <w:r>
        <w:t>b</w:t>
      </w:r>
      <w:r w:rsidRPr="00B971F8">
        <w:t>roadcasting</w:t>
      </w:r>
      <w:bookmarkEnd w:id="45"/>
      <w:bookmarkEnd w:id="46"/>
      <w:r w:rsidRPr="00B971F8">
        <w:t xml:space="preserve"> </w:t>
      </w:r>
    </w:p>
    <w:p w14:paraId="223C64B7" w14:textId="77777777" w:rsidR="004376F2" w:rsidRPr="00B971F8" w:rsidRDefault="004376F2" w:rsidP="004376F2">
      <w:pPr>
        <w:pStyle w:val="Paragraph"/>
      </w:pPr>
      <w:r w:rsidRPr="00B971F8">
        <w:t xml:space="preserve">For some satellite services, the </w:t>
      </w:r>
      <w:r w:rsidRPr="00B971F8">
        <w:rPr>
          <w:i/>
        </w:rPr>
        <w:t>Telecommunications Act 1997</w:t>
      </w:r>
      <w:r w:rsidRPr="00B971F8">
        <w:t xml:space="preserve"> may require </w:t>
      </w:r>
      <w:r>
        <w:t>you to obtain</w:t>
      </w:r>
      <w:r w:rsidRPr="00B971F8">
        <w:t xml:space="preserve"> a </w:t>
      </w:r>
      <w:hyperlink r:id="rId41" w:history="1">
        <w:r w:rsidRPr="00EE2704">
          <w:rPr>
            <w:rStyle w:val="Hyperlink"/>
          </w:rPr>
          <w:t>carrier licence</w:t>
        </w:r>
      </w:hyperlink>
      <w:r>
        <w:t xml:space="preserve"> if the service is used for the carriage of telecommunication services</w:t>
      </w:r>
      <w:r w:rsidRPr="00B971F8">
        <w:t xml:space="preserve">. Similarly, </w:t>
      </w:r>
      <w:r>
        <w:t>if a satellite service is providing a broadcasting service covered by the</w:t>
      </w:r>
      <w:r w:rsidRPr="00B971F8">
        <w:t xml:space="preserve"> </w:t>
      </w:r>
      <w:r w:rsidRPr="00B971F8">
        <w:rPr>
          <w:i/>
        </w:rPr>
        <w:t>Broadcasting Services Act 1992</w:t>
      </w:r>
      <w:r>
        <w:t xml:space="preserve">, a </w:t>
      </w:r>
      <w:hyperlink r:id="rId42" w:history="1">
        <w:r w:rsidRPr="00E96EB6">
          <w:rPr>
            <w:rStyle w:val="Hyperlink"/>
          </w:rPr>
          <w:t>broadcasting licence</w:t>
        </w:r>
      </w:hyperlink>
      <w:r w:rsidRPr="00B971F8">
        <w:t xml:space="preserve"> may be required.</w:t>
      </w:r>
      <w:r>
        <w:t xml:space="preserve"> </w:t>
      </w:r>
    </w:p>
    <w:p w14:paraId="01F0857E" w14:textId="77777777" w:rsidR="004376F2" w:rsidRPr="00B971F8" w:rsidRDefault="004376F2" w:rsidP="004376F2">
      <w:pPr>
        <w:pStyle w:val="Heading3"/>
      </w:pPr>
      <w:bookmarkStart w:id="47" w:name="_Toc195092432"/>
      <w:bookmarkStart w:id="48" w:name="_Toc198288008"/>
      <w:r>
        <w:t>Rockets, launches and space objects</w:t>
      </w:r>
      <w:bookmarkEnd w:id="47"/>
      <w:bookmarkEnd w:id="48"/>
      <w:r w:rsidRPr="00B971F8">
        <w:t xml:space="preserve"> </w:t>
      </w:r>
    </w:p>
    <w:p w14:paraId="033DF16B" w14:textId="77777777" w:rsidR="004376F2" w:rsidRDefault="004376F2" w:rsidP="004376F2">
      <w:pPr>
        <w:pStyle w:val="Paragraph"/>
      </w:pPr>
      <w:r>
        <w:t>The ACMA’s role in regulating the space sector is limited to use of the radiofrequency spectrum. The Australian Space Agency is generally responsible for the regulation of space activities concerning high-power rockets, space launches, and objects in space and their return to Australia.</w:t>
      </w:r>
      <w:r w:rsidRPr="00720419">
        <w:rPr>
          <w:vertAlign w:val="superscript"/>
        </w:rPr>
        <w:footnoteReference w:id="10"/>
      </w:r>
      <w:r>
        <w:t xml:space="preserve"> </w:t>
      </w:r>
    </w:p>
    <w:p w14:paraId="7A6343A7" w14:textId="77777777" w:rsidR="004376F2" w:rsidRPr="00B971F8" w:rsidRDefault="004376F2" w:rsidP="004376F2">
      <w:pPr>
        <w:pStyle w:val="Paragraph"/>
      </w:pPr>
      <w:r>
        <w:t>R</w:t>
      </w:r>
      <w:r w:rsidRPr="00B971F8">
        <w:t>egulation</w:t>
      </w:r>
      <w:r>
        <w:t xml:space="preserve"> of</w:t>
      </w:r>
      <w:r w:rsidRPr="00B971F8">
        <w:t xml:space="preserve"> Australian space activities </w:t>
      </w:r>
      <w:r>
        <w:t xml:space="preserve">administered by the Australian Space Agency </w:t>
      </w:r>
      <w:r w:rsidRPr="00B971F8">
        <w:t>include</w:t>
      </w:r>
      <w:r>
        <w:t>s</w:t>
      </w:r>
      <w:r w:rsidRPr="00B971F8">
        <w:t xml:space="preserve"> the requirement to obtain </w:t>
      </w:r>
      <w:r>
        <w:t>authorisation to launch a satellite from Australia</w:t>
      </w:r>
      <w:r w:rsidRPr="00B971F8">
        <w:t xml:space="preserve"> or overseas </w:t>
      </w:r>
      <w:r>
        <w:t>as well as</w:t>
      </w:r>
      <w:r w:rsidRPr="00B971F8">
        <w:t xml:space="preserve"> a requirement to register a satellite with the United Nations.</w:t>
      </w:r>
      <w:r>
        <w:rPr>
          <w:rStyle w:val="FootnoteReference"/>
        </w:rPr>
        <w:footnoteReference w:id="11"/>
      </w:r>
      <w:r>
        <w:t xml:space="preserve"> Further information on these matters is available on the </w:t>
      </w:r>
      <w:hyperlink r:id="rId43" w:history="1">
        <w:r w:rsidRPr="00FB4178">
          <w:rPr>
            <w:rStyle w:val="Hyperlink"/>
          </w:rPr>
          <w:t>website</w:t>
        </w:r>
      </w:hyperlink>
      <w:r>
        <w:t xml:space="preserve"> of the Australian Space Agency</w:t>
      </w:r>
      <w:r w:rsidRPr="00B971F8">
        <w:t>.</w:t>
      </w:r>
    </w:p>
    <w:p w14:paraId="4D274DD5" w14:textId="77777777" w:rsidR="004376F2" w:rsidRPr="001F5F00" w:rsidRDefault="004376F2" w:rsidP="004376F2">
      <w:pPr>
        <w:pStyle w:val="Heading3"/>
      </w:pPr>
      <w:bookmarkStart w:id="49" w:name="_Toc136616840"/>
      <w:bookmarkStart w:id="50" w:name="_Toc195092433"/>
      <w:bookmarkStart w:id="51" w:name="_Toc198288009"/>
      <w:r>
        <w:t>Critical infrastructure</w:t>
      </w:r>
      <w:bookmarkEnd w:id="49"/>
      <w:bookmarkEnd w:id="50"/>
      <w:bookmarkEnd w:id="51"/>
    </w:p>
    <w:p w14:paraId="77E1B36D" w14:textId="77777777" w:rsidR="004376F2" w:rsidRDefault="004376F2" w:rsidP="004376F2">
      <w:pPr>
        <w:pStyle w:val="Paragraph"/>
      </w:pPr>
      <w:r w:rsidRPr="00AF7B54">
        <w:t>The Department of Home Affairs is the lead Australian Government agency for critical infrastructure</w:t>
      </w:r>
      <w:r>
        <w:t xml:space="preserve">. </w:t>
      </w:r>
      <w:r w:rsidRPr="00552D44">
        <w:t>Critical infrastructure provides services that are essential for everyday life such as energy, food, water, transport, communications, health</w:t>
      </w:r>
      <w:r>
        <w:t>,</w:t>
      </w:r>
      <w:r w:rsidRPr="00552D44">
        <w:t xml:space="preserve"> and banking and finance.</w:t>
      </w:r>
    </w:p>
    <w:p w14:paraId="28AD4EA4" w14:textId="77777777" w:rsidR="004376F2" w:rsidRDefault="004376F2" w:rsidP="004376F2">
      <w:pPr>
        <w:pStyle w:val="Paragraph"/>
      </w:pPr>
      <w:r>
        <w:t xml:space="preserve">Space technology </w:t>
      </w:r>
      <w:r w:rsidRPr="00584E28">
        <w:t>involving the commercial provision of space</w:t>
      </w:r>
      <w:r w:rsidRPr="00584E28">
        <w:rPr>
          <w:rFonts w:ascii="Cambria Math" w:hAnsi="Cambria Math" w:cs="Cambria Math"/>
        </w:rPr>
        <w:t>‑</w:t>
      </w:r>
      <w:r w:rsidRPr="00584E28">
        <w:t xml:space="preserve">related services </w:t>
      </w:r>
      <w:r>
        <w:t>is a c</w:t>
      </w:r>
      <w:r w:rsidRPr="00B336BE">
        <w:t xml:space="preserve">ritical infrastructure sector </w:t>
      </w:r>
      <w:r>
        <w:t xml:space="preserve">identified </w:t>
      </w:r>
      <w:r w:rsidRPr="00B336BE">
        <w:t xml:space="preserve">under the </w:t>
      </w:r>
      <w:hyperlink r:id="rId44" w:history="1">
        <w:r w:rsidRPr="00A3367B">
          <w:rPr>
            <w:rStyle w:val="Hyperlink"/>
            <w:i/>
          </w:rPr>
          <w:t>Security of Critical Infrastructure Act 2018</w:t>
        </w:r>
      </w:hyperlink>
      <w:r>
        <w:t xml:space="preserve">. However, the critical infrastructure regime is not something that is directly relevant to the ACMA’s role in filing satellite systems but could result in a future obligation on a satellite operator once the proposed satellite system has been built. </w:t>
      </w:r>
    </w:p>
    <w:p w14:paraId="1BAEAEBD" w14:textId="77777777" w:rsidR="004376F2" w:rsidRPr="00C81938" w:rsidRDefault="004376F2" w:rsidP="004376F2">
      <w:pPr>
        <w:pStyle w:val="Paragraph"/>
      </w:pPr>
      <w:r>
        <w:t xml:space="preserve">Further information on critical infrastructure is available on the </w:t>
      </w:r>
      <w:hyperlink r:id="rId45" w:history="1">
        <w:r w:rsidRPr="002E611E">
          <w:rPr>
            <w:rStyle w:val="Hyperlink"/>
          </w:rPr>
          <w:t>website</w:t>
        </w:r>
      </w:hyperlink>
      <w:r>
        <w:t xml:space="preserve"> of the Department of Home Affairs.</w:t>
      </w:r>
    </w:p>
    <w:p w14:paraId="1772553D" w14:textId="77777777" w:rsidR="004376F2" w:rsidRPr="00B971F8" w:rsidRDefault="004376F2" w:rsidP="004376F2">
      <w:pPr>
        <w:pStyle w:val="Paragraph"/>
      </w:pPr>
    </w:p>
    <w:p w14:paraId="183CD111" w14:textId="77777777" w:rsidR="004376F2" w:rsidRPr="00B971F8" w:rsidRDefault="004376F2" w:rsidP="004376F2">
      <w:pPr>
        <w:pStyle w:val="Heading1"/>
      </w:pPr>
      <w:bookmarkStart w:id="52" w:name="_Toc125376505"/>
      <w:bookmarkStart w:id="53" w:name="_Toc128663953"/>
      <w:bookmarkStart w:id="54" w:name="_Toc195092434"/>
      <w:bookmarkStart w:id="55" w:name="_Toc198288010"/>
      <w:bookmarkEnd w:id="52"/>
      <w:r w:rsidRPr="00B971F8">
        <w:lastRenderedPageBreak/>
        <w:t xml:space="preserve">Application and </w:t>
      </w:r>
      <w:r>
        <w:t>assessment</w:t>
      </w:r>
      <w:r w:rsidRPr="00B971F8">
        <w:t xml:space="preserve"> process</w:t>
      </w:r>
      <w:bookmarkEnd w:id="53"/>
      <w:bookmarkEnd w:id="54"/>
      <w:bookmarkEnd w:id="55"/>
    </w:p>
    <w:p w14:paraId="702D2CB9" w14:textId="77777777" w:rsidR="004376F2" w:rsidRDefault="004376F2" w:rsidP="004376F2">
      <w:pPr>
        <w:pStyle w:val="Heading2"/>
      </w:pPr>
      <w:bookmarkStart w:id="56" w:name="_Toc132204985"/>
      <w:bookmarkStart w:id="57" w:name="_Toc132206465"/>
      <w:bookmarkStart w:id="58" w:name="_Toc132207306"/>
      <w:bookmarkStart w:id="59" w:name="_Toc132284180"/>
      <w:bookmarkStart w:id="60" w:name="_Toc195092435"/>
      <w:bookmarkStart w:id="61" w:name="_Toc198288011"/>
      <w:bookmarkEnd w:id="56"/>
      <w:bookmarkEnd w:id="57"/>
      <w:bookmarkEnd w:id="58"/>
      <w:bookmarkEnd w:id="59"/>
      <w:r>
        <w:t>Who can apply</w:t>
      </w:r>
      <w:bookmarkEnd w:id="60"/>
      <w:bookmarkEnd w:id="61"/>
    </w:p>
    <w:p w14:paraId="1019B437" w14:textId="41A54386" w:rsidR="004376F2" w:rsidRPr="00A0533D" w:rsidRDefault="004376F2" w:rsidP="004376F2">
      <w:pPr>
        <w:pStyle w:val="Paragraph"/>
      </w:pPr>
      <w:r>
        <w:t>Applications will</w:t>
      </w:r>
      <w:r w:rsidDel="004140B4">
        <w:t xml:space="preserve"> </w:t>
      </w:r>
      <w:r>
        <w:t xml:space="preserve">be accepted from a </w:t>
      </w:r>
      <w:r w:rsidRPr="00B971F8">
        <w:t xml:space="preserve">satellite operator that is incorporated in Australia under the </w:t>
      </w:r>
      <w:r w:rsidRPr="00B971F8">
        <w:rPr>
          <w:i/>
        </w:rPr>
        <w:t>Corporations Act 2001</w:t>
      </w:r>
      <w:r w:rsidRPr="00B971F8">
        <w:t xml:space="preserve">, carries </w:t>
      </w:r>
      <w:r>
        <w:t>out</w:t>
      </w:r>
      <w:r w:rsidRPr="00B971F8">
        <w:t xml:space="preserve"> business in Australia and has management staff in Australia. Alternatively, the satellite operator may be a department of the Commonwealth </w:t>
      </w:r>
      <w:r>
        <w:t xml:space="preserve">government </w:t>
      </w:r>
      <w:r w:rsidRPr="00B971F8">
        <w:t>or a Commonwealth agency, a part of a state or territory government</w:t>
      </w:r>
      <w:r>
        <w:t xml:space="preserve">, a public entity or an educational institution such as an </w:t>
      </w:r>
      <w:r w:rsidRPr="00A0533D">
        <w:t xml:space="preserve">Australian university (see </w:t>
      </w:r>
      <w:r w:rsidRPr="00A0533D">
        <w:fldChar w:fldCharType="begin"/>
      </w:r>
      <w:r w:rsidRPr="00A0533D">
        <w:instrText xml:space="preserve"> REF _Ref132204579 \r \h </w:instrText>
      </w:r>
      <w:r>
        <w:instrText xml:space="preserve"> \* MERGEFORMAT </w:instrText>
      </w:r>
      <w:r w:rsidRPr="00A0533D">
        <w:fldChar w:fldCharType="separate"/>
      </w:r>
      <w:r w:rsidRPr="00A0533D">
        <w:t>3.2</w:t>
      </w:r>
      <w:r w:rsidRPr="00A0533D">
        <w:fldChar w:fldCharType="end"/>
      </w:r>
      <w:r w:rsidRPr="00A0533D">
        <w:t xml:space="preserve"> </w:t>
      </w:r>
      <w:r w:rsidRPr="00A0533D">
        <w:fldChar w:fldCharType="begin"/>
      </w:r>
      <w:r w:rsidRPr="00A0533D">
        <w:instrText xml:space="preserve"> REF _Ref132204588 \h </w:instrText>
      </w:r>
      <w:r>
        <w:instrText xml:space="preserve"> \* MERGEFORMAT </w:instrText>
      </w:r>
      <w:r w:rsidRPr="00A0533D">
        <w:fldChar w:fldCharType="separate"/>
      </w:r>
      <w:r w:rsidRPr="00A0533D">
        <w:t>Australian jurisdiction</w:t>
      </w:r>
      <w:r w:rsidRPr="00A0533D">
        <w:fldChar w:fldCharType="end"/>
      </w:r>
      <w:r w:rsidRPr="00A0533D">
        <w:t>).</w:t>
      </w:r>
      <w:r w:rsidRPr="00A0533D">
        <w:rPr>
          <w:rStyle w:val="FootnoteReference"/>
        </w:rPr>
        <w:footnoteReference w:id="12"/>
      </w:r>
    </w:p>
    <w:p w14:paraId="452350F6" w14:textId="77777777" w:rsidR="004376F2" w:rsidRPr="00A0533D" w:rsidRDefault="004376F2" w:rsidP="004376F2">
      <w:pPr>
        <w:pStyle w:val="Heading2"/>
      </w:pPr>
      <w:bookmarkStart w:id="62" w:name="_Toc132204987"/>
      <w:bookmarkStart w:id="63" w:name="_Toc132206467"/>
      <w:bookmarkStart w:id="64" w:name="_Toc132207308"/>
      <w:bookmarkStart w:id="65" w:name="_Toc132284182"/>
      <w:bookmarkStart w:id="66" w:name="_Ref175060756"/>
      <w:bookmarkStart w:id="67" w:name="_Ref175060768"/>
      <w:bookmarkStart w:id="68" w:name="_Toc195092436"/>
      <w:bookmarkStart w:id="69" w:name="_Toc198288012"/>
      <w:bookmarkEnd w:id="62"/>
      <w:bookmarkEnd w:id="63"/>
      <w:bookmarkEnd w:id="64"/>
      <w:bookmarkEnd w:id="65"/>
      <w:r w:rsidRPr="00A0533D">
        <w:t>When an application is required</w:t>
      </w:r>
      <w:bookmarkEnd w:id="66"/>
      <w:bookmarkEnd w:id="67"/>
      <w:bookmarkEnd w:id="68"/>
      <w:bookmarkEnd w:id="69"/>
    </w:p>
    <w:p w14:paraId="76E5C2EF" w14:textId="77777777" w:rsidR="004376F2" w:rsidRPr="00A0533D" w:rsidRDefault="004376F2" w:rsidP="004376F2">
      <w:pPr>
        <w:pStyle w:val="Paragraphbeforelist"/>
      </w:pPr>
      <w:r w:rsidRPr="00A0533D">
        <w:t>The process described in this section applies to satellite operators seeking:</w:t>
      </w:r>
    </w:p>
    <w:p w14:paraId="6774354C" w14:textId="77777777" w:rsidR="004376F2" w:rsidRPr="00A0533D" w:rsidRDefault="004376F2" w:rsidP="00D931F4">
      <w:pPr>
        <w:pStyle w:val="Bulletlevel1"/>
      </w:pPr>
      <w:r w:rsidRPr="00A0533D">
        <w:t>a new ITU satellite filing</w:t>
      </w:r>
    </w:p>
    <w:p w14:paraId="702D82CB" w14:textId="77777777" w:rsidR="004376F2" w:rsidRPr="00A0533D" w:rsidRDefault="004376F2" w:rsidP="00D931F4">
      <w:pPr>
        <w:pStyle w:val="Bulletlevel1"/>
      </w:pPr>
      <w:r w:rsidRPr="00A0533D">
        <w:t>modification to an existing ITU satellite filing (such as adding or changing a frequency band, modif</w:t>
      </w:r>
      <w:r>
        <w:t>ying a</w:t>
      </w:r>
      <w:r w:rsidRPr="00A0533D">
        <w:t xml:space="preserve"> service area, or altering orbital parameters)</w:t>
      </w:r>
    </w:p>
    <w:p w14:paraId="1CFF8BF3" w14:textId="77777777" w:rsidR="004376F2" w:rsidRPr="00A0533D" w:rsidRDefault="004376F2" w:rsidP="00D931F4">
      <w:pPr>
        <w:pStyle w:val="Bulletlevel1last"/>
      </w:pPr>
      <w:r w:rsidRPr="00A0533D">
        <w:t xml:space="preserve">to transfer use of an existing ITU satellite filing to another entity. </w:t>
      </w:r>
      <w:r w:rsidRPr="00BE7FAF">
        <w:t>This includes a change of ownership of a satellite operator with access to an ITU satellite filing</w:t>
      </w:r>
      <w:r w:rsidRPr="00A0533D">
        <w:t>.</w:t>
      </w:r>
      <w:r w:rsidRPr="00A0533D">
        <w:rPr>
          <w:rStyle w:val="FootnoteReference"/>
        </w:rPr>
        <w:footnoteReference w:id="13"/>
      </w:r>
      <w:r w:rsidRPr="00A0533D">
        <w:t xml:space="preserve"> </w:t>
      </w:r>
    </w:p>
    <w:p w14:paraId="12A8B9D4" w14:textId="77777777" w:rsidR="004376F2" w:rsidRPr="00A0533D" w:rsidRDefault="004376F2" w:rsidP="004376F2">
      <w:pPr>
        <w:pStyle w:val="Paragraph"/>
      </w:pPr>
      <w:r w:rsidRPr="00A0533D">
        <w:t xml:space="preserve">Applications to modify a filing will only be accepted from the entity that has been granted use of the filing by the ACMA. </w:t>
      </w:r>
    </w:p>
    <w:p w14:paraId="6DEDB79B" w14:textId="19EB756E" w:rsidR="004376F2" w:rsidRDefault="004376F2" w:rsidP="004376F2">
      <w:pPr>
        <w:pStyle w:val="Paragraph"/>
      </w:pPr>
      <w:r w:rsidRPr="00A0533D">
        <w:t xml:space="preserve">For a modification, as the ACMA’s ongoing support for a satellite operation is conditional on there being a substantial benefit to Australia, a </w:t>
      </w:r>
      <w:r>
        <w:t>justification for</w:t>
      </w:r>
      <w:r w:rsidRPr="00A0533D">
        <w:t xml:space="preserve"> the modification will always be required. However, for minor modifications</w:t>
      </w:r>
      <w:r>
        <w:t>,</w:t>
      </w:r>
      <w:r w:rsidRPr="00A0533D">
        <w:t xml:space="preserve"> it is possible that not all assessment criteria will need to be addressed. For example, changes to a recent</w:t>
      </w:r>
      <w:r>
        <w:t>ly</w:t>
      </w:r>
      <w:r w:rsidRPr="00A0533D">
        <w:t xml:space="preserve"> submitted filing to include additional earth station locations</w:t>
      </w:r>
      <w:r w:rsidR="003D39AE">
        <w:t>,</w:t>
      </w:r>
      <w:r w:rsidRPr="00A0533D">
        <w:t xml:space="preserve"> or </w:t>
      </w:r>
      <w:r>
        <w:t xml:space="preserve">a </w:t>
      </w:r>
      <w:r w:rsidRPr="00A0533D">
        <w:t>correction to orbital information after launch</w:t>
      </w:r>
      <w:r w:rsidR="003D39AE">
        <w:t>,</w:t>
      </w:r>
      <w:r w:rsidRPr="00A0533D">
        <w:t xml:space="preserve"> are likely to be considered a minor modification</w:t>
      </w:r>
      <w:r>
        <w:t>, so</w:t>
      </w:r>
      <w:r w:rsidRPr="00A0533D">
        <w:t xml:space="preserve"> long as the material provided with </w:t>
      </w:r>
      <w:r>
        <w:t xml:space="preserve">the </w:t>
      </w:r>
      <w:r w:rsidRPr="00A0533D">
        <w:t xml:space="preserve">original filing request is still valid and it </w:t>
      </w:r>
      <w:r>
        <w:t>remains</w:t>
      </w:r>
      <w:r w:rsidRPr="00A0533D">
        <w:t xml:space="preserve"> clear that there is a substantial benefit to Australia. Please contact us to discuss if a full application is required (see section 2.3 Before you apply). </w:t>
      </w:r>
    </w:p>
    <w:p w14:paraId="53A99AFC" w14:textId="77777777" w:rsidR="004376F2" w:rsidRPr="00B971F8" w:rsidRDefault="004376F2" w:rsidP="004376F2">
      <w:pPr>
        <w:pStyle w:val="Paragraph"/>
      </w:pPr>
      <w:r>
        <w:t>A</w:t>
      </w:r>
      <w:r w:rsidRPr="00B971F8">
        <w:t xml:space="preserve"> filing is</w:t>
      </w:r>
      <w:r>
        <w:t xml:space="preserve"> not</w:t>
      </w:r>
      <w:r w:rsidRPr="00B971F8">
        <w:t xml:space="preserve"> </w:t>
      </w:r>
      <w:r>
        <w:t xml:space="preserve">normally </w:t>
      </w:r>
      <w:r w:rsidRPr="00B971F8">
        <w:t>required for short</w:t>
      </w:r>
      <w:r>
        <w:t>-</w:t>
      </w:r>
      <w:r w:rsidRPr="00B971F8">
        <w:t>term activities such as support for launches or sub</w:t>
      </w:r>
      <w:r>
        <w:t>-</w:t>
      </w:r>
      <w:r w:rsidRPr="00B971F8">
        <w:t>orbital vehicles.</w:t>
      </w:r>
      <w:r>
        <w:t xml:space="preserve"> However, a radiocommunications licence issued by the ACMA is still required for these activities (as noted previously at section 1.4.2 </w:t>
      </w:r>
      <w:r w:rsidRPr="00B63E5B">
        <w:t>Radiocommunications licensing</w:t>
      </w:r>
      <w:r>
        <w:t xml:space="preserve">). </w:t>
      </w:r>
    </w:p>
    <w:p w14:paraId="2CABA21F" w14:textId="77777777" w:rsidR="004376F2" w:rsidRDefault="004376F2" w:rsidP="004376F2">
      <w:pPr>
        <w:pStyle w:val="Paragraph"/>
      </w:pPr>
      <w:r>
        <w:t xml:space="preserve">Satellite operators engaging in recurring short-term activities such as launch support are likely to require a satellite filing for </w:t>
      </w:r>
      <w:r w:rsidRPr="00B971F8">
        <w:t xml:space="preserve">international </w:t>
      </w:r>
      <w:r>
        <w:t>recognition</w:t>
      </w:r>
      <w:r w:rsidRPr="00B971F8">
        <w:t xml:space="preserve"> of frequency use</w:t>
      </w:r>
      <w:r>
        <w:t>,</w:t>
      </w:r>
      <w:r w:rsidRPr="00B971F8">
        <w:t xml:space="preserve"> </w:t>
      </w:r>
      <w:r>
        <w:t xml:space="preserve">especially in cases where the radiocommunication services of other </w:t>
      </w:r>
      <w:r w:rsidRPr="00B971F8">
        <w:t>countries could be impacted.</w:t>
      </w:r>
      <w:r>
        <w:t xml:space="preserve"> Please contact us to discuss your situation (see section </w:t>
      </w:r>
      <w:r w:rsidRPr="00C9183B">
        <w:t>2.3 Before you apply</w:t>
      </w:r>
      <w:r>
        <w:t xml:space="preserve">). </w:t>
      </w:r>
    </w:p>
    <w:p w14:paraId="4F773A4E" w14:textId="77777777" w:rsidR="004376F2" w:rsidRPr="0092003E" w:rsidRDefault="004376F2" w:rsidP="004376F2">
      <w:pPr>
        <w:pStyle w:val="Heading3"/>
      </w:pPr>
      <w:bookmarkStart w:id="70" w:name="_Toc195092437"/>
      <w:bookmarkStart w:id="71" w:name="_Toc198288013"/>
      <w:r>
        <w:t>Application limits</w:t>
      </w:r>
      <w:bookmarkEnd w:id="70"/>
      <w:bookmarkEnd w:id="71"/>
    </w:p>
    <w:p w14:paraId="2C04A146" w14:textId="77777777" w:rsidR="004376F2" w:rsidRDefault="004376F2" w:rsidP="00EB726B">
      <w:pPr>
        <w:pStyle w:val="Paragraph"/>
      </w:pPr>
      <w:r>
        <w:t xml:space="preserve">For GSO satellite </w:t>
      </w:r>
      <w:r w:rsidDel="00F02B1E">
        <w:t>networks</w:t>
      </w:r>
      <w:r>
        <w:t>, t</w:t>
      </w:r>
      <w:r w:rsidRPr="00B971F8">
        <w:t xml:space="preserve">he ACMA is unlikely to approve a satellite operator having satellite </w:t>
      </w:r>
      <w:r w:rsidRPr="00B971F8" w:rsidDel="00F02B1E">
        <w:t>networks</w:t>
      </w:r>
      <w:r>
        <w:t xml:space="preserve"> </w:t>
      </w:r>
      <w:r w:rsidRPr="00B971F8">
        <w:t xml:space="preserve">in the coordination stage at more than </w:t>
      </w:r>
      <w:r>
        <w:t>4</w:t>
      </w:r>
      <w:r w:rsidRPr="00B971F8">
        <w:t xml:space="preserve"> geostationary orbital locations, unless the operator can demonstrate that the number of locations is integral to their business plan and the proposed</w:t>
      </w:r>
      <w:r>
        <w:t xml:space="preserve"> satellite</w:t>
      </w:r>
      <w:r w:rsidRPr="00B971F8">
        <w:t xml:space="preserve"> networks would have </w:t>
      </w:r>
      <w:r>
        <w:t xml:space="preserve">substantial </w:t>
      </w:r>
      <w:r w:rsidRPr="00B971F8">
        <w:t xml:space="preserve">benefits to Australia. For </w:t>
      </w:r>
      <w:r w:rsidRPr="00B971F8">
        <w:lastRenderedPageBreak/>
        <w:t xml:space="preserve">clarity, this rule applies </w:t>
      </w:r>
      <w:r>
        <w:t xml:space="preserve">to </w:t>
      </w:r>
      <w:r w:rsidRPr="00B971F8">
        <w:t>a count of orbital positions and not the ITU satellite filings.</w:t>
      </w:r>
      <w:r>
        <w:t xml:space="preserve"> </w:t>
      </w:r>
      <w:r w:rsidRPr="00B971F8">
        <w:t xml:space="preserve">For example, </w:t>
      </w:r>
      <w:r>
        <w:t>6</w:t>
      </w:r>
      <w:r w:rsidRPr="00B971F8">
        <w:t xml:space="preserve"> ITU satellite filings at </w:t>
      </w:r>
      <w:r>
        <w:t>4</w:t>
      </w:r>
      <w:r w:rsidRPr="00B971F8">
        <w:t xml:space="preserve"> orbital locations is considered acceptable.</w:t>
      </w:r>
    </w:p>
    <w:p w14:paraId="48ABB33A" w14:textId="77777777" w:rsidR="004376F2" w:rsidRPr="00B971F8" w:rsidRDefault="004376F2" w:rsidP="00EB726B">
      <w:pPr>
        <w:pStyle w:val="Paragraph"/>
      </w:pPr>
      <w:r w:rsidRPr="00B971F8">
        <w:t>The ACMA may relax this limitation in cases where the application of this rule could seriously impact the national interest</w:t>
      </w:r>
      <w:r>
        <w:t xml:space="preserve"> – </w:t>
      </w:r>
      <w:r w:rsidRPr="00B971F8">
        <w:t>for example, to allow the Department of Defence to provide adequate communications infrastructure for Defence requirements.</w:t>
      </w:r>
    </w:p>
    <w:p w14:paraId="7E0785C4" w14:textId="77777777" w:rsidR="004376F2" w:rsidRPr="0092003E" w:rsidRDefault="004376F2" w:rsidP="004376F2">
      <w:pPr>
        <w:pStyle w:val="Heading3"/>
      </w:pPr>
      <w:bookmarkStart w:id="72" w:name="_Toc111546509"/>
      <w:bookmarkStart w:id="73" w:name="_Toc114472673"/>
      <w:bookmarkStart w:id="74" w:name="_Toc128663956"/>
      <w:bookmarkStart w:id="75" w:name="_Toc195092438"/>
      <w:bookmarkStart w:id="76" w:name="_Toc198288014"/>
      <w:r w:rsidRPr="00B971F8">
        <w:t>Naming conventions</w:t>
      </w:r>
      <w:bookmarkEnd w:id="72"/>
      <w:bookmarkEnd w:id="73"/>
      <w:bookmarkEnd w:id="74"/>
      <w:r>
        <w:t xml:space="preserve"> for new satellite systems</w:t>
      </w:r>
      <w:bookmarkEnd w:id="75"/>
      <w:bookmarkEnd w:id="76"/>
    </w:p>
    <w:p w14:paraId="01A3BE45" w14:textId="77777777" w:rsidR="004376F2" w:rsidRPr="00B971F8" w:rsidRDefault="004376F2" w:rsidP="00EB726B">
      <w:pPr>
        <w:pStyle w:val="Paragraph"/>
      </w:pPr>
      <w:r>
        <w:t xml:space="preserve">The application form requires you to identify new satellite systems by a unique name. This will be used in documents and submissions to the ITU concerning the satellite system, including entry in the MIFR. </w:t>
      </w:r>
      <w:r w:rsidRPr="00B971F8">
        <w:t>Satellite system</w:t>
      </w:r>
      <w:r>
        <w:t xml:space="preserve"> name</w:t>
      </w:r>
      <w:r w:rsidRPr="00B971F8">
        <w:t xml:space="preserve">s </w:t>
      </w:r>
      <w:r>
        <w:t>must</w:t>
      </w:r>
      <w:r w:rsidRPr="00B971F8">
        <w:t xml:space="preserve"> be </w:t>
      </w:r>
      <w:r>
        <w:t xml:space="preserve">unique, unambiguous and comply with the </w:t>
      </w:r>
      <w:hyperlink r:id="rId46" w:history="1">
        <w:r w:rsidRPr="009D75E9">
          <w:rPr>
            <w:rStyle w:val="Hyperlink"/>
          </w:rPr>
          <w:t>ITU naming guidelines</w:t>
        </w:r>
      </w:hyperlink>
      <w:r>
        <w:t>.</w:t>
      </w:r>
    </w:p>
    <w:p w14:paraId="01C71F88" w14:textId="4A9E7D76" w:rsidR="004376F2" w:rsidRDefault="004376F2" w:rsidP="00EB726B">
      <w:pPr>
        <w:pStyle w:val="Paragraph"/>
      </w:pPr>
      <w:r w:rsidRPr="00B971F8">
        <w:t xml:space="preserve">The ACMA prefers names that provide information about the satellite system (such as identifying the satellite operator, type of service, generation of satellite). </w:t>
      </w:r>
    </w:p>
    <w:p w14:paraId="4F115C4E" w14:textId="77777777" w:rsidR="004376F2" w:rsidRPr="00467C31" w:rsidRDefault="004376F2" w:rsidP="004376F2">
      <w:pPr>
        <w:pStyle w:val="Heading3"/>
        <w:rPr>
          <w:snapToGrid w:val="0"/>
          <w:lang w:eastAsia="en-US"/>
        </w:rPr>
      </w:pPr>
      <w:bookmarkStart w:id="77" w:name="_Toc195092439"/>
      <w:bookmarkStart w:id="78" w:name="_Toc198288015"/>
      <w:r>
        <w:rPr>
          <w:snapToGrid w:val="0"/>
          <w:lang w:eastAsia="en-US"/>
        </w:rPr>
        <w:t>S</w:t>
      </w:r>
      <w:r w:rsidRPr="00467C31">
        <w:rPr>
          <w:snapToGrid w:val="0"/>
          <w:lang w:eastAsia="en-US"/>
        </w:rPr>
        <w:t>hort</w:t>
      </w:r>
      <w:r>
        <w:rPr>
          <w:snapToGrid w:val="0"/>
          <w:lang w:eastAsia="en-US"/>
        </w:rPr>
        <w:t>-</w:t>
      </w:r>
      <w:r w:rsidRPr="00467C31">
        <w:rPr>
          <w:snapToGrid w:val="0"/>
          <w:lang w:eastAsia="en-US"/>
        </w:rPr>
        <w:t>duration mission</w:t>
      </w:r>
      <w:r>
        <w:rPr>
          <w:snapToGrid w:val="0"/>
          <w:lang w:eastAsia="en-US"/>
        </w:rPr>
        <w:t>s</w:t>
      </w:r>
      <w:bookmarkEnd w:id="77"/>
      <w:bookmarkEnd w:id="78"/>
    </w:p>
    <w:p w14:paraId="680EEEA4" w14:textId="77777777" w:rsidR="004376F2" w:rsidRDefault="004376F2" w:rsidP="004376F2">
      <w:pPr>
        <w:pStyle w:val="Paragraph"/>
      </w:pPr>
      <w:r>
        <w:t xml:space="preserve">Applicants </w:t>
      </w:r>
      <w:r w:rsidRPr="004C4C25">
        <w:t>planning short</w:t>
      </w:r>
      <w:r>
        <w:t>-</w:t>
      </w:r>
      <w:r w:rsidRPr="004C4C25">
        <w:t>duration</w:t>
      </w:r>
      <w:r>
        <w:t xml:space="preserve"> satellite</w:t>
      </w:r>
      <w:r w:rsidRPr="004C4C25">
        <w:t xml:space="preserve"> missions for demonstration, proof of concept (pathfinders), research or education purposes</w:t>
      </w:r>
      <w:r>
        <w:t>,</w:t>
      </w:r>
      <w:r w:rsidRPr="004C4C25">
        <w:t xml:space="preserve"> </w:t>
      </w:r>
      <w:r>
        <w:t xml:space="preserve">may apply for expedited approval. </w:t>
      </w:r>
      <w:r w:rsidRPr="00BA286E">
        <w:t xml:space="preserve">Any future application from such an operator that is for a commercial or advanced satellite system will be treated as an application from a new satellite operator and considered </w:t>
      </w:r>
      <w:r>
        <w:t xml:space="preserve">under our standard approval process for new filings (refer section </w:t>
      </w:r>
      <w:r>
        <w:fldChar w:fldCharType="begin"/>
      </w:r>
      <w:r>
        <w:instrText xml:space="preserve"> REF _Ref183343542 \r \h </w:instrText>
      </w:r>
      <w:r>
        <w:fldChar w:fldCharType="separate"/>
      </w:r>
      <w:r>
        <w:t>2.5.4</w:t>
      </w:r>
      <w:r>
        <w:fldChar w:fldCharType="end"/>
      </w:r>
      <w:r>
        <w:t xml:space="preserve"> </w:t>
      </w:r>
      <w:r>
        <w:fldChar w:fldCharType="begin"/>
      </w:r>
      <w:r>
        <w:instrText xml:space="preserve"> REF _Ref183343548 \h </w:instrText>
      </w:r>
      <w:r>
        <w:fldChar w:fldCharType="separate"/>
      </w:r>
      <w:r>
        <w:t>Approving officer assessment</w:t>
      </w:r>
      <w:r>
        <w:fldChar w:fldCharType="end"/>
      </w:r>
      <w:r>
        <w:t>). Note that w</w:t>
      </w:r>
      <w:r w:rsidRPr="00B971F8">
        <w:t>here warranted by the specifics of the proposed filing (for example</w:t>
      </w:r>
      <w:r>
        <w:t>,</w:t>
      </w:r>
      <w:r w:rsidRPr="00B971F8">
        <w:t xml:space="preserve"> due to sensitivities or matters of national significance), filings are likely to be brought to the attention of the </w:t>
      </w:r>
      <w:r>
        <w:t xml:space="preserve">ACMA </w:t>
      </w:r>
      <w:hyperlink r:id="rId47" w:history="1">
        <w:r w:rsidRPr="00EA775D">
          <w:rPr>
            <w:rStyle w:val="Hyperlink"/>
          </w:rPr>
          <w:t>Authority</w:t>
        </w:r>
      </w:hyperlink>
      <w:r w:rsidRPr="00B971F8">
        <w:t xml:space="preserve"> irrespective of</w:t>
      </w:r>
      <w:r>
        <w:t xml:space="preserve"> whether the applicant applied for expedited approval as a short-duration mission.</w:t>
      </w:r>
    </w:p>
    <w:p w14:paraId="1FE5F40E" w14:textId="77777777" w:rsidR="004376F2" w:rsidRDefault="004376F2" w:rsidP="004376F2">
      <w:pPr>
        <w:pStyle w:val="Paragraph"/>
      </w:pPr>
      <w:r>
        <w:t xml:space="preserve">While the expedited approval process is designed to support </w:t>
      </w:r>
      <w:r w:rsidRPr="00B971F8">
        <w:t>NGSO</w:t>
      </w:r>
      <w:r>
        <w:t xml:space="preserve"> satellite</w:t>
      </w:r>
      <w:r w:rsidRPr="00B971F8">
        <w:t xml:space="preserve"> </w:t>
      </w:r>
      <w:r>
        <w:t>systems</w:t>
      </w:r>
      <w:r w:rsidRPr="00B971F8">
        <w:t xml:space="preserve"> utilising CubeSats</w:t>
      </w:r>
      <w:r>
        <w:t>,</w:t>
      </w:r>
      <w:r>
        <w:rPr>
          <w:rStyle w:val="FootnoteReference"/>
        </w:rPr>
        <w:footnoteReference w:id="14"/>
      </w:r>
      <w:r>
        <w:t xml:space="preserve"> the requirements for short-duration missions can be used for any short-duration satellite system provided it meets the requirements outlined below.</w:t>
      </w:r>
    </w:p>
    <w:p w14:paraId="53D074D5" w14:textId="77777777" w:rsidR="004376F2" w:rsidRDefault="004376F2" w:rsidP="004376F2">
      <w:pPr>
        <w:pStyle w:val="Paragraph"/>
      </w:pPr>
      <w:r>
        <w:t>Applications for short-duration missions still need to address all the assessment criteria and meet all other requirements as outlined in this document.</w:t>
      </w:r>
    </w:p>
    <w:p w14:paraId="7F1EEE9C" w14:textId="77777777" w:rsidR="004376F2" w:rsidRDefault="004376F2" w:rsidP="00EB726B">
      <w:pPr>
        <w:pStyle w:val="Paragraph"/>
      </w:pPr>
      <w:r w:rsidRPr="005D4907">
        <w:t xml:space="preserve">ITU </w:t>
      </w:r>
      <w:r w:rsidRPr="006F6191">
        <w:t>Resolution 32</w:t>
      </w:r>
      <w:r w:rsidRPr="005D4907">
        <w:t xml:space="preserve"> (</w:t>
      </w:r>
      <w:r w:rsidRPr="004B2352">
        <w:t>REV.WRC-23</w:t>
      </w:r>
      <w:r>
        <w:t>)</w:t>
      </w:r>
      <w:r>
        <w:rPr>
          <w:rStyle w:val="FootnoteReference"/>
        </w:rPr>
        <w:footnoteReference w:id="15"/>
      </w:r>
      <w:r>
        <w:t xml:space="preserve"> provides for abridged coordination requirements for certain NGSO satellite networks or satellite systems identified as short-duration missions with cancellation of the filing 3 years after bringing into use without any possibility of extension. All applications for short-duration missions will need to be in accordance with </w:t>
      </w:r>
      <w:r w:rsidRPr="005D4907">
        <w:t>Resolution 32</w:t>
      </w:r>
      <w:r>
        <w:t xml:space="preserve">. Applications will need to specifically state that the filing is to be submitted under Resolution 32. </w:t>
      </w:r>
    </w:p>
    <w:p w14:paraId="60B4D1B4" w14:textId="77777777" w:rsidR="004376F2" w:rsidRPr="00B971F8" w:rsidRDefault="004376F2" w:rsidP="003F5967">
      <w:pPr>
        <w:pStyle w:val="Paragraphbeforelist"/>
        <w:keepNext/>
        <w:keepLines/>
      </w:pPr>
      <w:bookmarkStart w:id="79" w:name="_Hlk135224444"/>
      <w:r>
        <w:lastRenderedPageBreak/>
        <w:t>Applicants seeking expedited approval for a short-duration mission</w:t>
      </w:r>
      <w:r w:rsidRPr="00B971F8">
        <w:t xml:space="preserve"> </w:t>
      </w:r>
      <w:r>
        <w:t xml:space="preserve">must meet the requirements of </w:t>
      </w:r>
      <w:r w:rsidRPr="00B971F8">
        <w:t>ITU Resolution 32 (</w:t>
      </w:r>
      <w:r w:rsidRPr="004B2352">
        <w:t>REV.WRC-23</w:t>
      </w:r>
      <w:r w:rsidRPr="00B971F8">
        <w:t>)</w:t>
      </w:r>
      <w:r>
        <w:t>. Key requirements are</w:t>
      </w:r>
      <w:r w:rsidRPr="00B971F8">
        <w:t>:</w:t>
      </w:r>
    </w:p>
    <w:p w14:paraId="13DDCA20" w14:textId="77777777" w:rsidR="004376F2" w:rsidRPr="00B971F8" w:rsidRDefault="004376F2" w:rsidP="003F5967">
      <w:pPr>
        <w:pStyle w:val="Bulletlevel1"/>
        <w:keepNext/>
        <w:keepLines/>
      </w:pPr>
      <w:r>
        <w:t>A</w:t>
      </w:r>
      <w:r w:rsidRPr="00B971F8">
        <w:t xml:space="preserve">ssignments are in the bands that are not subject to the ITU coordination procedure under Section II of Article 9 of the </w:t>
      </w:r>
      <w:r>
        <w:t>Radio</w:t>
      </w:r>
      <w:r w:rsidRPr="00B971F8">
        <w:t xml:space="preserve"> Regulations</w:t>
      </w:r>
      <w:r>
        <w:t>.</w:t>
      </w:r>
    </w:p>
    <w:p w14:paraId="3E9FD809" w14:textId="77777777" w:rsidR="004376F2" w:rsidRPr="00B971F8" w:rsidRDefault="004376F2" w:rsidP="003F5967">
      <w:pPr>
        <w:pStyle w:val="Bulletlevel1"/>
        <w:keepNext/>
        <w:keepLines/>
      </w:pPr>
      <w:r>
        <w:t>N</w:t>
      </w:r>
      <w:r w:rsidRPr="00B971F8">
        <w:t>umber of satellites does not exceed 10</w:t>
      </w:r>
      <w:r>
        <w:t>.</w:t>
      </w:r>
    </w:p>
    <w:p w14:paraId="152FA3C5" w14:textId="77777777" w:rsidR="004376F2" w:rsidRPr="00B971F8" w:rsidRDefault="004376F2" w:rsidP="003F5967">
      <w:pPr>
        <w:pStyle w:val="Bulletlevel1"/>
        <w:keepNext/>
        <w:keepLines/>
      </w:pPr>
      <w:r>
        <w:t>M</w:t>
      </w:r>
      <w:r w:rsidRPr="00B971F8">
        <w:t>ission</w:t>
      </w:r>
      <w:r>
        <w:t xml:space="preserve"> duration</w:t>
      </w:r>
      <w:r w:rsidRPr="00B971F8">
        <w:t xml:space="preserve"> will not be longer than </w:t>
      </w:r>
      <w:r>
        <w:t>3</w:t>
      </w:r>
      <w:r w:rsidRPr="00B971F8">
        <w:t xml:space="preserve"> years starting from the date of the deployment of the first satellite into the orbit which was notified in the ITU filing</w:t>
      </w:r>
      <w:r>
        <w:t>. Note the ITU will cancel the filing after 3 years under Resolution 32.</w:t>
      </w:r>
    </w:p>
    <w:p w14:paraId="5FAA6F84" w14:textId="77777777" w:rsidR="004376F2" w:rsidRDefault="004376F2" w:rsidP="003F5967">
      <w:pPr>
        <w:pStyle w:val="Bulletlevel1last"/>
        <w:keepNext/>
        <w:keepLines/>
      </w:pPr>
      <w:r w:rsidRPr="00B971F8">
        <w:t>The</w:t>
      </w:r>
      <w:r w:rsidRPr="00B971F8" w:rsidDel="00205822">
        <w:t xml:space="preserve"> </w:t>
      </w:r>
      <w:r w:rsidRPr="00B971F8">
        <w:t>satellite system ha</w:t>
      </w:r>
      <w:r>
        <w:t>s</w:t>
      </w:r>
      <w:r w:rsidRPr="00B971F8">
        <w:t xml:space="preserve"> the capability to cease transmitting immediately </w:t>
      </w:r>
      <w:proofErr w:type="gramStart"/>
      <w:r w:rsidRPr="00B971F8">
        <w:t>in order to</w:t>
      </w:r>
      <w:proofErr w:type="gramEnd"/>
      <w:r w:rsidRPr="00B971F8">
        <w:t xml:space="preserve"> eliminate harmful interference</w:t>
      </w:r>
      <w:r>
        <w:t>.</w:t>
      </w:r>
    </w:p>
    <w:p w14:paraId="28850893" w14:textId="77777777" w:rsidR="004376F2" w:rsidRDefault="004376F2" w:rsidP="00EB726B">
      <w:pPr>
        <w:pStyle w:val="Paragraph"/>
      </w:pPr>
      <w:r>
        <w:t>Approved requests for short-duration missions</w:t>
      </w:r>
      <w:r w:rsidRPr="00B971F8">
        <w:t xml:space="preserve"> will be submitted to the ITU in </w:t>
      </w:r>
      <w:r>
        <w:t>accordance with</w:t>
      </w:r>
      <w:r w:rsidRPr="00B971F8">
        <w:t xml:space="preserve"> ITU Resolution 32 (</w:t>
      </w:r>
      <w:r w:rsidRPr="002D0F33">
        <w:t>REV.WRC-23</w:t>
      </w:r>
      <w:r w:rsidRPr="00B971F8">
        <w:t>)</w:t>
      </w:r>
      <w:r>
        <w:t>.</w:t>
      </w:r>
    </w:p>
    <w:p w14:paraId="12A6BF47" w14:textId="77777777" w:rsidR="004376F2" w:rsidRPr="00B971F8" w:rsidRDefault="004376F2" w:rsidP="003F5967">
      <w:pPr>
        <w:pStyle w:val="Paragraph"/>
      </w:pPr>
      <w:r>
        <w:t xml:space="preserve">Applicants interested in short-duration missions are encouraged to read the </w:t>
      </w:r>
      <w:hyperlink r:id="rId48" w:history="1">
        <w:r w:rsidRPr="008F7891">
          <w:rPr>
            <w:rStyle w:val="Hyperlink"/>
          </w:rPr>
          <w:t xml:space="preserve">ITU </w:t>
        </w:r>
        <w:r>
          <w:rPr>
            <w:rStyle w:val="Hyperlink"/>
          </w:rPr>
          <w:t>Handbook on Small Satellites</w:t>
        </w:r>
      </w:hyperlink>
      <w:r>
        <w:t xml:space="preserve"> (developed to improve </w:t>
      </w:r>
      <w:r w:rsidRPr="00F67C8A">
        <w:t>knowledge concerning the applicable regulatory procedures for small satellites</w:t>
      </w:r>
      <w:r w:rsidRPr="00472010">
        <w:t>, including nanosatellites and picosatellites</w:t>
      </w:r>
      <w:r>
        <w:t xml:space="preserve">) and other resources provide by the ITU </w:t>
      </w:r>
      <w:hyperlink r:id="rId49" w:history="1">
        <w:r w:rsidRPr="00376849">
          <w:rPr>
            <w:rStyle w:val="Hyperlink"/>
          </w:rPr>
          <w:t>Space Services Department</w:t>
        </w:r>
      </w:hyperlink>
      <w:r>
        <w:t>.</w:t>
      </w:r>
    </w:p>
    <w:p w14:paraId="2204D266" w14:textId="77777777" w:rsidR="004376F2" w:rsidRDefault="004376F2" w:rsidP="004376F2">
      <w:pPr>
        <w:pStyle w:val="Heading2"/>
      </w:pPr>
      <w:bookmarkStart w:id="80" w:name="_Toc132284187"/>
      <w:bookmarkStart w:id="81" w:name="_Toc132295774"/>
      <w:bookmarkStart w:id="82" w:name="_Toc132295878"/>
      <w:bookmarkStart w:id="83" w:name="_Toc132284188"/>
      <w:bookmarkStart w:id="84" w:name="_Toc132295775"/>
      <w:bookmarkStart w:id="85" w:name="_Toc132295879"/>
      <w:bookmarkStart w:id="86" w:name="_Toc132284189"/>
      <w:bookmarkStart w:id="87" w:name="_Toc132295776"/>
      <w:bookmarkStart w:id="88" w:name="_Toc132295880"/>
      <w:bookmarkStart w:id="89" w:name="_Toc132284190"/>
      <w:bookmarkStart w:id="90" w:name="_Toc132295777"/>
      <w:bookmarkStart w:id="91" w:name="_Toc132295881"/>
      <w:bookmarkStart w:id="92" w:name="_Toc132206472"/>
      <w:bookmarkStart w:id="93" w:name="_Toc132207313"/>
      <w:bookmarkStart w:id="94" w:name="_Toc132204992"/>
      <w:bookmarkStart w:id="95" w:name="_Toc132206473"/>
      <w:bookmarkStart w:id="96" w:name="_Toc132207314"/>
      <w:bookmarkStart w:id="97" w:name="_Toc132204993"/>
      <w:bookmarkStart w:id="98" w:name="_Toc132206474"/>
      <w:bookmarkStart w:id="99" w:name="_Toc132207315"/>
      <w:bookmarkStart w:id="100" w:name="_Toc132204994"/>
      <w:bookmarkStart w:id="101" w:name="_Toc132206475"/>
      <w:bookmarkStart w:id="102" w:name="_Toc132207316"/>
      <w:bookmarkStart w:id="103" w:name="_Toc132204995"/>
      <w:bookmarkStart w:id="104" w:name="_Toc132206476"/>
      <w:bookmarkStart w:id="105" w:name="_Toc132207317"/>
      <w:bookmarkStart w:id="106" w:name="_Toc132204996"/>
      <w:bookmarkStart w:id="107" w:name="_Toc132206477"/>
      <w:bookmarkStart w:id="108" w:name="_Toc132207318"/>
      <w:bookmarkStart w:id="109" w:name="_Toc195092440"/>
      <w:bookmarkStart w:id="110" w:name="_Toc198288016"/>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r w:rsidRPr="00AD0190">
        <w:t>Before you apply</w:t>
      </w:r>
      <w:bookmarkEnd w:id="109"/>
      <w:bookmarkEnd w:id="110"/>
    </w:p>
    <w:p w14:paraId="2E085119" w14:textId="77777777" w:rsidR="004376F2" w:rsidRDefault="004376F2" w:rsidP="004376F2">
      <w:pPr>
        <w:pStyle w:val="Paragraph"/>
      </w:pPr>
      <w:r>
        <w:t xml:space="preserve">Please read this document in full to understand the satellite filing application process and your obligations. </w:t>
      </w:r>
    </w:p>
    <w:p w14:paraId="101BEED9" w14:textId="77777777" w:rsidR="004376F2" w:rsidRPr="00FB25E2" w:rsidRDefault="004376F2" w:rsidP="004376F2">
      <w:pPr>
        <w:pStyle w:val="Heading3"/>
      </w:pPr>
      <w:bookmarkStart w:id="111" w:name="_Toc195092441"/>
      <w:bookmarkStart w:id="112" w:name="_Toc198288017"/>
      <w:r>
        <w:t xml:space="preserve">Discuss your application with </w:t>
      </w:r>
      <w:r w:rsidRPr="00B971F8">
        <w:t>the ACMA</w:t>
      </w:r>
      <w:bookmarkEnd w:id="111"/>
      <w:bookmarkEnd w:id="112"/>
    </w:p>
    <w:p w14:paraId="1AA6A83E" w14:textId="77777777" w:rsidR="004376F2" w:rsidRDefault="004376F2" w:rsidP="00EB726B">
      <w:pPr>
        <w:pStyle w:val="Paragraph"/>
      </w:pPr>
      <w:r w:rsidRPr="00B971F8">
        <w:t xml:space="preserve">It is envisaged that a potential satellite operator may wish to have initial meetings or correspondence with the ACMA to determine the process or the depth of information required. The ACMA may, at its discretion, engage in such meetings or correspondence, </w:t>
      </w:r>
      <w:r>
        <w:t>which may</w:t>
      </w:r>
      <w:r w:rsidRPr="00B971F8">
        <w:t xml:space="preserve"> be charged at the </w:t>
      </w:r>
      <w:r>
        <w:t xml:space="preserve">ACMA’s </w:t>
      </w:r>
      <w:r w:rsidRPr="00B971F8">
        <w:t>standard hourly rate.</w:t>
      </w:r>
      <w:r>
        <w:rPr>
          <w:rStyle w:val="FootnoteReference"/>
        </w:rPr>
        <w:footnoteReference w:id="16"/>
      </w:r>
    </w:p>
    <w:p w14:paraId="069108DA" w14:textId="77777777" w:rsidR="004376F2" w:rsidRDefault="004376F2" w:rsidP="004376F2">
      <w:pPr>
        <w:pStyle w:val="Paragraph"/>
      </w:pPr>
      <w:r>
        <w:t xml:space="preserve">We encourage you to contact us at </w:t>
      </w:r>
      <w:hyperlink r:id="rId50" w:history="1">
        <w:r w:rsidRPr="005B16EC">
          <w:rPr>
            <w:rStyle w:val="Hyperlink"/>
          </w:rPr>
          <w:t>satellite.coordination@acma.gov.au</w:t>
        </w:r>
      </w:hyperlink>
      <w:r>
        <w:t xml:space="preserve"> to advise us of your intention to apply. We will consider your requirements and provide you with initial advice on starting the process.</w:t>
      </w:r>
      <w:r w:rsidRPr="00313FBD">
        <w:t xml:space="preserve"> </w:t>
      </w:r>
    </w:p>
    <w:p w14:paraId="050D3AC3" w14:textId="77777777" w:rsidR="004376F2" w:rsidRPr="008C111C" w:rsidRDefault="004376F2" w:rsidP="004376F2">
      <w:pPr>
        <w:pStyle w:val="Heading3"/>
      </w:pPr>
      <w:bookmarkStart w:id="113" w:name="_Toc195092442"/>
      <w:bookmarkStart w:id="114" w:name="_Toc198288018"/>
      <w:r>
        <w:t>Assess</w:t>
      </w:r>
      <w:r w:rsidRPr="008C111C">
        <w:t xml:space="preserve"> </w:t>
      </w:r>
      <w:r>
        <w:t xml:space="preserve">requirements for </w:t>
      </w:r>
      <w:r w:rsidRPr="008C111C">
        <w:t>coordination</w:t>
      </w:r>
      <w:r>
        <w:t xml:space="preserve"> </w:t>
      </w:r>
      <w:r w:rsidRPr="008C111C">
        <w:t>with other Australian satellite systems</w:t>
      </w:r>
      <w:bookmarkEnd w:id="113"/>
      <w:bookmarkEnd w:id="114"/>
    </w:p>
    <w:p w14:paraId="6793FAB8" w14:textId="520E83B0" w:rsidR="004376F2" w:rsidRPr="000A6461" w:rsidRDefault="004376F2" w:rsidP="004376F2">
      <w:pPr>
        <w:pStyle w:val="Paragraph"/>
        <w:rPr>
          <w:rFonts w:eastAsia="Calibri"/>
          <w:lang w:eastAsia="en-US"/>
        </w:rPr>
      </w:pPr>
      <w:r>
        <w:rPr>
          <w:rFonts w:eastAsia="Calibri"/>
          <w:lang w:eastAsia="en-US"/>
        </w:rPr>
        <w:t>Prospective</w:t>
      </w:r>
      <w:r w:rsidRPr="000A6461">
        <w:rPr>
          <w:rFonts w:eastAsia="Calibri"/>
          <w:lang w:eastAsia="en-US"/>
        </w:rPr>
        <w:t xml:space="preserve"> satellite operators are encouraged to carefully consider </w:t>
      </w:r>
      <w:r>
        <w:rPr>
          <w:rFonts w:eastAsia="Calibri"/>
          <w:lang w:eastAsia="en-US"/>
        </w:rPr>
        <w:t xml:space="preserve">any </w:t>
      </w:r>
      <w:r w:rsidRPr="000A6461">
        <w:rPr>
          <w:rFonts w:eastAsia="Calibri"/>
          <w:lang w:eastAsia="en-US"/>
        </w:rPr>
        <w:t xml:space="preserve">requirements </w:t>
      </w:r>
      <w:r>
        <w:rPr>
          <w:rFonts w:eastAsia="Calibri"/>
          <w:lang w:eastAsia="en-US"/>
        </w:rPr>
        <w:t xml:space="preserve">to coordinate </w:t>
      </w:r>
      <w:r w:rsidRPr="000A6461">
        <w:rPr>
          <w:rFonts w:eastAsia="Calibri"/>
          <w:lang w:eastAsia="en-US"/>
        </w:rPr>
        <w:t xml:space="preserve">with existing Australian satellite systems and </w:t>
      </w:r>
      <w:proofErr w:type="gramStart"/>
      <w:r>
        <w:rPr>
          <w:rFonts w:eastAsia="Calibri"/>
          <w:lang w:eastAsia="en-US"/>
        </w:rPr>
        <w:t>take into account</w:t>
      </w:r>
      <w:proofErr w:type="gramEnd"/>
      <w:r>
        <w:rPr>
          <w:rFonts w:eastAsia="Calibri"/>
          <w:lang w:eastAsia="en-US"/>
        </w:rPr>
        <w:t xml:space="preserve"> </w:t>
      </w:r>
      <w:r w:rsidRPr="000A6461">
        <w:rPr>
          <w:rFonts w:eastAsia="Calibri"/>
          <w:lang w:eastAsia="en-US"/>
        </w:rPr>
        <w:t>their ability to complete any required coordination when developing a filing application.</w:t>
      </w:r>
    </w:p>
    <w:p w14:paraId="3306414E" w14:textId="77777777" w:rsidR="004376F2" w:rsidRPr="000A6461" w:rsidRDefault="004376F2" w:rsidP="004376F2">
      <w:pPr>
        <w:pStyle w:val="Paragraph"/>
        <w:rPr>
          <w:rFonts w:eastAsia="Calibri"/>
          <w:lang w:eastAsia="en-US"/>
        </w:rPr>
      </w:pPr>
      <w:r w:rsidRPr="000A6461">
        <w:rPr>
          <w:rFonts w:eastAsia="Calibri"/>
          <w:lang w:eastAsia="en-US"/>
        </w:rPr>
        <w:t xml:space="preserve">Coordination is required where any part of a satellite system to be included in the application has </w:t>
      </w:r>
      <w:r>
        <w:rPr>
          <w:rFonts w:eastAsia="Calibri"/>
          <w:lang w:eastAsia="en-US"/>
        </w:rPr>
        <w:t xml:space="preserve">a </w:t>
      </w:r>
      <w:r w:rsidRPr="000A6461">
        <w:rPr>
          <w:rFonts w:eastAsia="Calibri"/>
          <w:lang w:eastAsia="en-US"/>
        </w:rPr>
        <w:t xml:space="preserve">frequency overlap with an existing or proposed Australian satellite system. Coordination with those systems will need to be completed before </w:t>
      </w:r>
      <w:r>
        <w:rPr>
          <w:rFonts w:eastAsia="Calibri"/>
          <w:lang w:eastAsia="en-US"/>
        </w:rPr>
        <w:t>activities supporting bringing into use</w:t>
      </w:r>
      <w:r w:rsidRPr="000A6461">
        <w:rPr>
          <w:rFonts w:eastAsia="Calibri"/>
          <w:lang w:eastAsia="en-US"/>
        </w:rPr>
        <w:t xml:space="preserve"> </w:t>
      </w:r>
      <w:r>
        <w:rPr>
          <w:rFonts w:eastAsia="Calibri"/>
          <w:lang w:eastAsia="en-US"/>
        </w:rPr>
        <w:t xml:space="preserve">can </w:t>
      </w:r>
      <w:r w:rsidRPr="000A6461">
        <w:rPr>
          <w:rFonts w:eastAsia="Calibri"/>
          <w:lang w:eastAsia="en-US"/>
        </w:rPr>
        <w:t xml:space="preserve">commence (see section </w:t>
      </w:r>
      <w:r w:rsidRPr="000A6461">
        <w:rPr>
          <w:rFonts w:eastAsia="Calibri"/>
          <w:lang w:eastAsia="en-US"/>
        </w:rPr>
        <w:fldChar w:fldCharType="begin"/>
      </w:r>
      <w:r w:rsidRPr="000A6461">
        <w:rPr>
          <w:rFonts w:eastAsia="Calibri"/>
          <w:lang w:eastAsia="en-US"/>
        </w:rPr>
        <w:instrText xml:space="preserve"> REF _Ref132205360 \r \h  \* MERGEFORMAT </w:instrText>
      </w:r>
      <w:r w:rsidRPr="000A6461">
        <w:rPr>
          <w:rFonts w:eastAsia="Calibri"/>
          <w:lang w:eastAsia="en-US"/>
        </w:rPr>
      </w:r>
      <w:r w:rsidRPr="000A6461">
        <w:rPr>
          <w:rFonts w:eastAsia="Calibri"/>
          <w:lang w:eastAsia="en-US"/>
        </w:rPr>
        <w:fldChar w:fldCharType="separate"/>
      </w:r>
      <w:r w:rsidRPr="000A6461">
        <w:rPr>
          <w:rFonts w:eastAsia="Calibri"/>
          <w:lang w:eastAsia="en-US"/>
        </w:rPr>
        <w:t>3.</w:t>
      </w:r>
      <w:r w:rsidRPr="000A6461">
        <w:rPr>
          <w:rFonts w:eastAsia="Calibri"/>
          <w:lang w:eastAsia="en-US"/>
        </w:rPr>
        <w:fldChar w:fldCharType="end"/>
      </w:r>
      <w:r>
        <w:rPr>
          <w:rFonts w:eastAsia="Calibri"/>
          <w:lang w:eastAsia="en-US"/>
        </w:rPr>
        <w:t>6</w:t>
      </w:r>
      <w:r w:rsidRPr="000A6461">
        <w:rPr>
          <w:rFonts w:eastAsia="Calibri"/>
          <w:lang w:eastAsia="en-US"/>
        </w:rPr>
        <w:t xml:space="preserve"> </w:t>
      </w:r>
      <w:r w:rsidRPr="000A6461">
        <w:rPr>
          <w:rFonts w:eastAsia="Calibri"/>
          <w:lang w:eastAsia="en-US"/>
        </w:rPr>
        <w:fldChar w:fldCharType="begin"/>
      </w:r>
      <w:r w:rsidRPr="000A6461">
        <w:rPr>
          <w:rFonts w:eastAsia="Calibri"/>
          <w:lang w:eastAsia="en-US"/>
        </w:rPr>
        <w:instrText xml:space="preserve"> REF _Ref132205388 \h  \* MERGEFORMAT </w:instrText>
      </w:r>
      <w:r w:rsidRPr="000A6461">
        <w:rPr>
          <w:rFonts w:eastAsia="Calibri"/>
          <w:lang w:eastAsia="en-US"/>
        </w:rPr>
      </w:r>
      <w:r w:rsidRPr="000A6461">
        <w:rPr>
          <w:rFonts w:eastAsia="Calibri"/>
          <w:lang w:eastAsia="en-US"/>
        </w:rPr>
        <w:fldChar w:fldCharType="separate"/>
      </w:r>
      <w:r w:rsidRPr="000A6461">
        <w:rPr>
          <w:rFonts w:eastAsia="Calibri"/>
          <w:lang w:eastAsia="en-US"/>
        </w:rPr>
        <w:t>Coordination with Australian satellite systems</w:t>
      </w:r>
      <w:r w:rsidRPr="000A6461">
        <w:rPr>
          <w:rFonts w:eastAsia="Calibri"/>
          <w:lang w:eastAsia="en-US"/>
        </w:rPr>
        <w:fldChar w:fldCharType="end"/>
      </w:r>
      <w:r w:rsidRPr="000A6461">
        <w:rPr>
          <w:rFonts w:eastAsia="Calibri"/>
          <w:lang w:eastAsia="en-US"/>
        </w:rPr>
        <w:t>).</w:t>
      </w:r>
    </w:p>
    <w:p w14:paraId="07F1241E" w14:textId="7D92F910" w:rsidR="004376F2" w:rsidRPr="00AC3E5D" w:rsidRDefault="000F7CAD" w:rsidP="00836412">
      <w:pPr>
        <w:pStyle w:val="Paragraphbeforelist"/>
        <w:rPr>
          <w:rFonts w:eastAsia="Calibri"/>
          <w:lang w:eastAsia="en-US"/>
        </w:rPr>
      </w:pPr>
      <w:r>
        <w:rPr>
          <w:rFonts w:eastAsia="Calibri"/>
          <w:lang w:eastAsia="en-US"/>
        </w:rPr>
        <w:t>C</w:t>
      </w:r>
      <w:r w:rsidR="004376F2" w:rsidRPr="000A6461">
        <w:rPr>
          <w:rFonts w:eastAsia="Calibri"/>
          <w:lang w:eastAsia="en-US"/>
        </w:rPr>
        <w:t xml:space="preserve">oordination </w:t>
      </w:r>
      <w:r w:rsidR="004376F2">
        <w:rPr>
          <w:rFonts w:eastAsia="Calibri"/>
          <w:lang w:eastAsia="en-US"/>
        </w:rPr>
        <w:t xml:space="preserve">will </w:t>
      </w:r>
      <w:r w:rsidR="004376F2" w:rsidRPr="000A6461">
        <w:rPr>
          <w:rFonts w:eastAsia="Calibri"/>
          <w:lang w:eastAsia="en-US"/>
        </w:rPr>
        <w:t>normally commence after a filing is submitted</w:t>
      </w:r>
      <w:r>
        <w:rPr>
          <w:rFonts w:eastAsia="Calibri"/>
          <w:lang w:eastAsia="en-US"/>
        </w:rPr>
        <w:t>. However</w:t>
      </w:r>
      <w:r w:rsidR="004376F2" w:rsidRPr="000A6461">
        <w:rPr>
          <w:rFonts w:eastAsia="Calibri"/>
          <w:lang w:eastAsia="en-US"/>
        </w:rPr>
        <w:t>, if</w:t>
      </w:r>
      <w:r>
        <w:rPr>
          <w:rFonts w:eastAsia="Calibri"/>
          <w:lang w:eastAsia="en-US"/>
        </w:rPr>
        <w:t>,</w:t>
      </w:r>
      <w:r w:rsidR="004376F2" w:rsidRPr="000A6461">
        <w:rPr>
          <w:rFonts w:eastAsia="Calibri"/>
          <w:lang w:eastAsia="en-US"/>
        </w:rPr>
        <w:t xml:space="preserve"> in undertaking a preliminary review of an application</w:t>
      </w:r>
      <w:r>
        <w:rPr>
          <w:rFonts w:eastAsia="Calibri"/>
          <w:lang w:eastAsia="en-US"/>
        </w:rPr>
        <w:t>,</w:t>
      </w:r>
      <w:r w:rsidR="004376F2" w:rsidRPr="000A6461">
        <w:rPr>
          <w:rFonts w:eastAsia="Calibri"/>
          <w:lang w:eastAsia="en-US"/>
        </w:rPr>
        <w:t xml:space="preserve"> the ACMA considers the incompatibility between the proposed and an existing satellite system as particularly severe (for example, GSO locations in close orbital proximity or a large NGSO constellation with frequency bands overlapping </w:t>
      </w:r>
      <w:r w:rsidR="004376F2">
        <w:rPr>
          <w:rFonts w:eastAsia="Calibri"/>
          <w:lang w:eastAsia="en-US"/>
        </w:rPr>
        <w:lastRenderedPageBreak/>
        <w:t xml:space="preserve">with </w:t>
      </w:r>
      <w:r w:rsidR="004376F2" w:rsidRPr="000A6461">
        <w:rPr>
          <w:rFonts w:eastAsia="Calibri"/>
          <w:lang w:eastAsia="en-US"/>
        </w:rPr>
        <w:t xml:space="preserve">GSO filings), then </w:t>
      </w:r>
      <w:r w:rsidR="00F412DA">
        <w:t>the</w:t>
      </w:r>
      <w:r w:rsidR="00F412DA" w:rsidRPr="00B31D12">
        <w:t xml:space="preserve"> ACMA may decide that coordination is required before it further considers the application</w:t>
      </w:r>
      <w:r w:rsidR="00B72064">
        <w:t xml:space="preserve"> (</w:t>
      </w:r>
      <w:r w:rsidR="00D71E3F">
        <w:t>see section</w:t>
      </w:r>
      <w:r w:rsidR="00B72064">
        <w:t xml:space="preserve"> </w:t>
      </w:r>
      <w:r w:rsidR="00B72064">
        <w:fldChar w:fldCharType="begin"/>
      </w:r>
      <w:r w:rsidR="00B72064">
        <w:instrText xml:space="preserve"> REF _Ref195702425 \r \h </w:instrText>
      </w:r>
      <w:r w:rsidR="00B72064">
        <w:fldChar w:fldCharType="separate"/>
      </w:r>
      <w:r w:rsidR="00B72064">
        <w:t>3.6.5</w:t>
      </w:r>
      <w:r w:rsidR="00B72064">
        <w:fldChar w:fldCharType="end"/>
      </w:r>
      <w:r w:rsidR="003D536E">
        <w:t xml:space="preserve"> </w:t>
      </w:r>
      <w:r w:rsidR="003D536E">
        <w:fldChar w:fldCharType="begin"/>
      </w:r>
      <w:r w:rsidR="003D536E">
        <w:instrText xml:space="preserve"> REF _Ref195702488 \h </w:instrText>
      </w:r>
      <w:r w:rsidR="003D536E">
        <w:fldChar w:fldCharType="separate"/>
      </w:r>
      <w:r w:rsidR="003D536E" w:rsidRPr="00B31D12">
        <w:t>When to commence</w:t>
      </w:r>
      <w:r w:rsidR="003D536E" w:rsidRPr="00A15C81">
        <w:t xml:space="preserve"> </w:t>
      </w:r>
      <w:r w:rsidR="003D536E" w:rsidRPr="00B31D12">
        <w:t>coordination</w:t>
      </w:r>
      <w:r w:rsidR="003D536E">
        <w:fldChar w:fldCharType="end"/>
      </w:r>
      <w:r w:rsidR="00D71E3F">
        <w:t>).</w:t>
      </w:r>
    </w:p>
    <w:p w14:paraId="2019A6BE" w14:textId="1C7881CA" w:rsidR="004376F2" w:rsidRPr="007C4AE6" w:rsidRDefault="004376F2" w:rsidP="00EB726B">
      <w:pPr>
        <w:pStyle w:val="Paragraph"/>
      </w:pPr>
      <w:r w:rsidRPr="007C4AE6">
        <w:t>To assist future coordination activities</w:t>
      </w:r>
      <w:r w:rsidR="000F7CAD">
        <w:t>,</w:t>
      </w:r>
      <w:r w:rsidRPr="007C4AE6">
        <w:t xml:space="preserve"> the ACMA encourages applicants to contact Australian satellite operators before </w:t>
      </w:r>
      <w:proofErr w:type="gramStart"/>
      <w:r w:rsidRPr="007C4AE6">
        <w:t>submitting an application</w:t>
      </w:r>
      <w:proofErr w:type="gramEnd"/>
      <w:r w:rsidRPr="007C4AE6">
        <w:t xml:space="preserve"> to the ACMA</w:t>
      </w:r>
      <w:r>
        <w:t>,</w:t>
      </w:r>
      <w:r w:rsidRPr="007C4AE6">
        <w:t xml:space="preserve"> where possible. </w:t>
      </w:r>
    </w:p>
    <w:p w14:paraId="131E9CBF" w14:textId="77777777" w:rsidR="004376F2" w:rsidRDefault="004376F2" w:rsidP="00EB726B">
      <w:pPr>
        <w:pStyle w:val="Paragraph"/>
      </w:pPr>
      <w:r w:rsidRPr="007C4AE6">
        <w:t xml:space="preserve">Applicants who do not have contact details for Australian satellite operators should contact the ACMA. The ACMA will only provide </w:t>
      </w:r>
      <w:r w:rsidRPr="007C4AE6">
        <w:rPr>
          <w:lang w:eastAsia="en-US"/>
        </w:rPr>
        <w:t>contact details when authorised to do so by the relevant party. Operators are encouraged to provide such authorisation to facilitate discussions between operators.</w:t>
      </w:r>
    </w:p>
    <w:p w14:paraId="186FF713" w14:textId="77777777" w:rsidR="004376F2" w:rsidRPr="004C5726" w:rsidRDefault="004376F2" w:rsidP="004376F2">
      <w:pPr>
        <w:pStyle w:val="Heading2"/>
        <w:rPr>
          <w:snapToGrid w:val="0"/>
          <w:lang w:eastAsia="en-US"/>
        </w:rPr>
      </w:pPr>
      <w:bookmarkStart w:id="115" w:name="_Toc195092443"/>
      <w:bookmarkStart w:id="116" w:name="_Toc198288019"/>
      <w:r w:rsidRPr="004C5726">
        <w:rPr>
          <w:snapToGrid w:val="0"/>
          <w:lang w:eastAsia="en-US"/>
        </w:rPr>
        <w:t>Application process</w:t>
      </w:r>
      <w:bookmarkEnd w:id="115"/>
      <w:bookmarkEnd w:id="116"/>
    </w:p>
    <w:p w14:paraId="1A664369" w14:textId="77777777" w:rsidR="004376F2" w:rsidRDefault="004376F2" w:rsidP="00B02C45">
      <w:pPr>
        <w:pStyle w:val="Paragraph"/>
        <w:spacing w:after="360"/>
      </w:pPr>
      <w:r>
        <w:t>The application process is summarised in the diagram below and leads to publication of the satellite filing by the ITU.</w:t>
      </w:r>
    </w:p>
    <w:p w14:paraId="64A048D4" w14:textId="77777777" w:rsidR="004376F2" w:rsidRDefault="004376F2" w:rsidP="00EB726B">
      <w:pPr>
        <w:pStyle w:val="Paragraph"/>
      </w:pPr>
      <w:r w:rsidRPr="00F056D4">
        <w:rPr>
          <w:noProof/>
        </w:rPr>
        <w:drawing>
          <wp:inline distT="0" distB="0" distL="0" distR="0" wp14:anchorId="7E35A779" wp14:editId="15431F85">
            <wp:extent cx="6040120" cy="1724025"/>
            <wp:effectExtent l="0" t="190500" r="17780" b="200025"/>
            <wp:docPr id="3" name="Diagram 3" descr="Application process for satellite filing"/>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1" r:lo="rId52" r:qs="rId53" r:cs="rId54"/>
              </a:graphicData>
            </a:graphic>
          </wp:inline>
        </w:drawing>
      </w:r>
    </w:p>
    <w:p w14:paraId="7416CDBF" w14:textId="77777777" w:rsidR="004376F2" w:rsidRDefault="004376F2" w:rsidP="004376F2">
      <w:pPr>
        <w:pStyle w:val="Heading3"/>
      </w:pPr>
      <w:bookmarkStart w:id="117" w:name="_Toc195092444"/>
      <w:bookmarkStart w:id="118" w:name="_Toc198288020"/>
      <w:r>
        <w:t>Complete the application form</w:t>
      </w:r>
      <w:bookmarkEnd w:id="117"/>
      <w:bookmarkEnd w:id="118"/>
    </w:p>
    <w:p w14:paraId="29E00556" w14:textId="3B138F82" w:rsidR="004376F2" w:rsidRDefault="004376F2" w:rsidP="00EB726B">
      <w:pPr>
        <w:pStyle w:val="Paragraph"/>
      </w:pPr>
      <w:r>
        <w:t xml:space="preserve">Complete </w:t>
      </w:r>
      <w:hyperlink r:id="rId56" w:history="1">
        <w:r w:rsidR="00A86615" w:rsidRPr="00F11865">
          <w:rPr>
            <w:rStyle w:val="Hyperlink"/>
            <w:i/>
            <w:iCs/>
          </w:rPr>
          <w:t>Form R205: Application for use of access to an International Telecommunication Union (ITU) satellite fi</w:t>
        </w:r>
        <w:r w:rsidR="00A86615" w:rsidRPr="00F11865">
          <w:rPr>
            <w:rStyle w:val="Hyperlink"/>
            <w:i/>
            <w:iCs/>
          </w:rPr>
          <w:t>l</w:t>
        </w:r>
        <w:r w:rsidR="00A86615" w:rsidRPr="00F11865">
          <w:rPr>
            <w:rStyle w:val="Hyperlink"/>
            <w:i/>
            <w:iCs/>
          </w:rPr>
          <w:t>ing</w:t>
        </w:r>
      </w:hyperlink>
      <w:r w:rsidR="00A86615">
        <w:t xml:space="preserve"> </w:t>
      </w:r>
      <w:r>
        <w:t xml:space="preserve">and submit with the filing application. </w:t>
      </w:r>
    </w:p>
    <w:p w14:paraId="12396BEB" w14:textId="77777777" w:rsidR="004376F2" w:rsidRDefault="004376F2" w:rsidP="00EB726B">
      <w:pPr>
        <w:pStyle w:val="Paragraph"/>
      </w:pPr>
      <w:r>
        <w:t>Note a completed form is required for new filing requests, modifications to existing filings and ownership changes.</w:t>
      </w:r>
    </w:p>
    <w:p w14:paraId="3FEDC846" w14:textId="77777777" w:rsidR="004376F2" w:rsidRDefault="004376F2" w:rsidP="004376F2">
      <w:pPr>
        <w:pStyle w:val="Heading3"/>
      </w:pPr>
      <w:bookmarkStart w:id="119" w:name="_Toc195092445"/>
      <w:bookmarkStart w:id="120" w:name="_Toc198288021"/>
      <w:r>
        <w:t>Address the assessment criteria</w:t>
      </w:r>
      <w:bookmarkEnd w:id="119"/>
      <w:bookmarkEnd w:id="120"/>
    </w:p>
    <w:p w14:paraId="2028FE39" w14:textId="77777777" w:rsidR="004376F2" w:rsidRDefault="004376F2" w:rsidP="00EB726B">
      <w:pPr>
        <w:pStyle w:val="Paragraph"/>
      </w:pPr>
      <w:r>
        <w:t xml:space="preserve">Applicants for a new satellite filing must provide a comprehensive statement against the assessment criteria (see section 3) and satellite filing data. </w:t>
      </w:r>
    </w:p>
    <w:p w14:paraId="5FAD8D8C" w14:textId="77777777" w:rsidR="004376F2" w:rsidRDefault="004376F2" w:rsidP="00EB726B">
      <w:pPr>
        <w:pStyle w:val="Paragraph"/>
      </w:pPr>
      <w:r>
        <w:t>While there is no specific format for the statement, we recommend that a covering letter that summarises the application, along with required supporting information (see below), be provided.</w:t>
      </w:r>
    </w:p>
    <w:p w14:paraId="201C2095" w14:textId="77777777" w:rsidR="004376F2" w:rsidRDefault="004376F2" w:rsidP="00EB726B">
      <w:pPr>
        <w:pStyle w:val="Paragraph"/>
      </w:pPr>
      <w:r w:rsidRPr="008A1274">
        <w:t>For modification</w:t>
      </w:r>
      <w:r>
        <w:t xml:space="preserve"> requests,</w:t>
      </w:r>
      <w:r w:rsidRPr="008A1274">
        <w:t xml:space="preserve"> </w:t>
      </w:r>
      <w:r>
        <w:t>p</w:t>
      </w:r>
      <w:r w:rsidRPr="008A1274">
        <w:t xml:space="preserve">lease contact us to discuss if a full application is required (see section </w:t>
      </w:r>
      <w:r w:rsidRPr="008A1274">
        <w:fldChar w:fldCharType="begin"/>
      </w:r>
      <w:r w:rsidRPr="008A1274">
        <w:instrText xml:space="preserve"> REF _Ref175060756 \r \h </w:instrText>
      </w:r>
      <w:r>
        <w:instrText xml:space="preserve"> \* MERGEFORMAT </w:instrText>
      </w:r>
      <w:r w:rsidRPr="008A1274">
        <w:fldChar w:fldCharType="separate"/>
      </w:r>
      <w:r w:rsidRPr="008A1274">
        <w:t>2.2</w:t>
      </w:r>
      <w:r w:rsidRPr="008A1274">
        <w:fldChar w:fldCharType="end"/>
      </w:r>
      <w:r w:rsidRPr="008A1274">
        <w:t xml:space="preserve"> </w:t>
      </w:r>
      <w:r w:rsidRPr="008A1274">
        <w:fldChar w:fldCharType="begin"/>
      </w:r>
      <w:r w:rsidRPr="008A1274">
        <w:instrText xml:space="preserve"> REF _Ref175060768 \h </w:instrText>
      </w:r>
      <w:r>
        <w:instrText xml:space="preserve"> \* MERGEFORMAT </w:instrText>
      </w:r>
      <w:r w:rsidRPr="008A1274">
        <w:fldChar w:fldCharType="separate"/>
      </w:r>
      <w:r w:rsidRPr="008A1274">
        <w:t>When an application is required</w:t>
      </w:r>
      <w:r w:rsidRPr="008A1274">
        <w:fldChar w:fldCharType="end"/>
      </w:r>
      <w:r w:rsidRPr="008A1274">
        <w:t>).</w:t>
      </w:r>
    </w:p>
    <w:p w14:paraId="721ABD1B" w14:textId="77777777" w:rsidR="004376F2" w:rsidRDefault="004376F2" w:rsidP="004376F2">
      <w:pPr>
        <w:pStyle w:val="Heading3"/>
      </w:pPr>
      <w:bookmarkStart w:id="121" w:name="_Toc195092446"/>
      <w:bookmarkStart w:id="122" w:name="_Toc198288022"/>
      <w:r>
        <w:t>Required information</w:t>
      </w:r>
      <w:bookmarkEnd w:id="121"/>
      <w:bookmarkEnd w:id="122"/>
    </w:p>
    <w:p w14:paraId="06D5B1DE" w14:textId="77777777" w:rsidR="004376F2" w:rsidRDefault="004376F2" w:rsidP="00EB726B">
      <w:pPr>
        <w:pStyle w:val="Paragraph"/>
      </w:pPr>
      <w:r w:rsidRPr="00B971F8">
        <w:t xml:space="preserve">The ACMA requires detailed technical information about the proposed satellite </w:t>
      </w:r>
      <w:r w:rsidRPr="00B971F8" w:rsidDel="009655D1">
        <w:t>system</w:t>
      </w:r>
      <w:r>
        <w:t xml:space="preserve"> to allow</w:t>
      </w:r>
      <w:r w:rsidRPr="00B971F8">
        <w:t xml:space="preserve"> </w:t>
      </w:r>
      <w:r>
        <w:t>us</w:t>
      </w:r>
      <w:r w:rsidRPr="00B971F8">
        <w:t xml:space="preserve"> to make an informed assessment of the request</w:t>
      </w:r>
      <w:r>
        <w:t>.</w:t>
      </w:r>
    </w:p>
    <w:p w14:paraId="4F154B45" w14:textId="77777777" w:rsidR="004376F2" w:rsidRPr="00B971F8" w:rsidRDefault="004376F2" w:rsidP="004376F2">
      <w:pPr>
        <w:pStyle w:val="Paragraphbeforelist"/>
      </w:pPr>
      <w:r w:rsidRPr="00B971F8">
        <w:lastRenderedPageBreak/>
        <w:t xml:space="preserve">The following list sets out the minimum information </w:t>
      </w:r>
      <w:r>
        <w:t>to be provided. Depending on the application, we may request additional information:</w:t>
      </w:r>
    </w:p>
    <w:p w14:paraId="7EF563B0" w14:textId="77777777" w:rsidR="004376F2" w:rsidRPr="006C29D6" w:rsidRDefault="004376F2" w:rsidP="006C29D6">
      <w:pPr>
        <w:pStyle w:val="Bulletlevel1"/>
      </w:pPr>
      <w:r w:rsidRPr="006C29D6">
        <w:t xml:space="preserve">An overview of the proposed satellite system including its purpose, objective, a description of frequency bands and an overview of </w:t>
      </w:r>
      <w:proofErr w:type="gramStart"/>
      <w:r w:rsidRPr="006C29D6">
        <w:t>future plans</w:t>
      </w:r>
      <w:proofErr w:type="gramEnd"/>
      <w:r w:rsidRPr="006C29D6">
        <w:t>.</w:t>
      </w:r>
    </w:p>
    <w:p w14:paraId="26FE5E09" w14:textId="77777777" w:rsidR="004376F2" w:rsidRPr="006C29D6" w:rsidRDefault="004376F2" w:rsidP="006C29D6">
      <w:pPr>
        <w:pStyle w:val="Bulletlevel1"/>
      </w:pPr>
      <w:r w:rsidRPr="006C29D6">
        <w:t>Details of the corporate structure, including clear identification, of the holding company or controlling entity.</w:t>
      </w:r>
    </w:p>
    <w:p w14:paraId="076A45EE" w14:textId="77777777" w:rsidR="004376F2" w:rsidRPr="006C29D6" w:rsidRDefault="004376F2" w:rsidP="006C29D6">
      <w:pPr>
        <w:pStyle w:val="Bulletlevel1"/>
      </w:pPr>
      <w:r w:rsidRPr="006C29D6">
        <w:t xml:space="preserve">Advance publication information or coordination request data, in a form that would be ready to submit to the ITU, including relevant beam diagrams (it is the responsibility of the satellite operator to ensure the accuracy and compliance with the Radio Regulations of this data. See section </w:t>
      </w:r>
      <w:r w:rsidRPr="006C29D6">
        <w:fldChar w:fldCharType="begin"/>
      </w:r>
      <w:r w:rsidRPr="006C29D6">
        <w:instrText xml:space="preserve"> REF _Ref132285604 \r \h </w:instrText>
      </w:r>
      <w:r w:rsidRPr="006C29D6">
        <w:fldChar w:fldCharType="separate"/>
      </w:r>
      <w:r w:rsidRPr="006C29D6">
        <w:t>3.1</w:t>
      </w:r>
      <w:r w:rsidRPr="006C29D6">
        <w:fldChar w:fldCharType="end"/>
      </w:r>
      <w:r w:rsidRPr="006C29D6">
        <w:t xml:space="preserve"> </w:t>
      </w:r>
      <w:r w:rsidRPr="006C29D6">
        <w:fldChar w:fldCharType="begin"/>
      </w:r>
      <w:r w:rsidRPr="006C29D6">
        <w:instrText xml:space="preserve"> REF _Ref132285607 \h </w:instrText>
      </w:r>
      <w:r w:rsidRPr="006C29D6">
        <w:fldChar w:fldCharType="separate"/>
      </w:r>
      <w:r w:rsidRPr="006C29D6">
        <w:t>Conformity with planning arrangements</w:t>
      </w:r>
      <w:r w:rsidRPr="006C29D6">
        <w:fldChar w:fldCharType="end"/>
      </w:r>
      <w:r w:rsidRPr="006C29D6">
        <w:t>).</w:t>
      </w:r>
    </w:p>
    <w:p w14:paraId="130979F4" w14:textId="77777777" w:rsidR="004376F2" w:rsidRPr="006C29D6" w:rsidRDefault="004376F2" w:rsidP="006C29D6">
      <w:pPr>
        <w:pStyle w:val="Bulletlevel1"/>
      </w:pPr>
      <w:r w:rsidRPr="006C29D6">
        <w:t>Link budgets for typical configurations of the satellite system.</w:t>
      </w:r>
    </w:p>
    <w:p w14:paraId="6D984BD9" w14:textId="77777777" w:rsidR="004376F2" w:rsidRPr="00B971F8" w:rsidRDefault="004376F2" w:rsidP="00D931F4">
      <w:pPr>
        <w:pStyle w:val="Bulletlevel1"/>
      </w:pPr>
      <w:r>
        <w:t>The</w:t>
      </w:r>
      <w:r w:rsidRPr="00B971F8">
        <w:t xml:space="preserve"> type of service to be provided</w:t>
      </w:r>
      <w:r>
        <w:t>,</w:t>
      </w:r>
      <w:r w:rsidRPr="00B971F8">
        <w:t xml:space="preserve"> for example</w:t>
      </w:r>
      <w:r>
        <w:t>,</w:t>
      </w:r>
      <w:r w:rsidRPr="00B971F8">
        <w:t xml:space="preserve"> feeder links, TV broadcasting, data services, space operation, earth</w:t>
      </w:r>
      <w:r>
        <w:t xml:space="preserve"> </w:t>
      </w:r>
      <w:r w:rsidRPr="00B971F8">
        <w:t>exploration</w:t>
      </w:r>
      <w:r>
        <w:t>.</w:t>
      </w:r>
    </w:p>
    <w:p w14:paraId="06A2A53E" w14:textId="77777777" w:rsidR="004376F2" w:rsidRPr="006C29D6" w:rsidRDefault="004376F2" w:rsidP="006C29D6">
      <w:pPr>
        <w:pStyle w:val="Bulletlevel1"/>
      </w:pPr>
      <w:r w:rsidRPr="006C29D6">
        <w:t>Expected date of satellite launch (or lease) and date of service commencement.</w:t>
      </w:r>
    </w:p>
    <w:p w14:paraId="28A9F419" w14:textId="77777777" w:rsidR="004376F2" w:rsidRDefault="004376F2" w:rsidP="00D931F4">
      <w:pPr>
        <w:pStyle w:val="Bulletlevel1"/>
      </w:pPr>
      <w:r>
        <w:t>P</w:t>
      </w:r>
      <w:r w:rsidRPr="00B971F8">
        <w:t>lanned location and a brief description of all gateways</w:t>
      </w:r>
      <w:r>
        <w:t>.</w:t>
      </w:r>
    </w:p>
    <w:p w14:paraId="1B061BE1" w14:textId="77777777" w:rsidR="004376F2" w:rsidRDefault="004376F2" w:rsidP="00D931F4">
      <w:pPr>
        <w:pStyle w:val="Bulletlevel1"/>
      </w:pPr>
      <w:r>
        <w:t>If the filing includes amateur satellite bands, a letter of support from the amateur community.</w:t>
      </w:r>
    </w:p>
    <w:p w14:paraId="54685470" w14:textId="77777777" w:rsidR="004376F2" w:rsidRDefault="004376F2" w:rsidP="00D931F4">
      <w:pPr>
        <w:pStyle w:val="Bulletlevel1"/>
      </w:pPr>
      <w:r>
        <w:t>Details of financial and technical credentials for the coordination of the satellite system and design of the physical satellite.</w:t>
      </w:r>
    </w:p>
    <w:p w14:paraId="417C3463" w14:textId="77777777" w:rsidR="004376F2" w:rsidRDefault="004376F2" w:rsidP="00D931F4">
      <w:pPr>
        <w:pStyle w:val="Bulletlevel1"/>
      </w:pPr>
      <w:r>
        <w:t xml:space="preserve">List of potentially affected Australian satellite systems and strategies to address coordination. </w:t>
      </w:r>
    </w:p>
    <w:p w14:paraId="54F2A2CA" w14:textId="77777777" w:rsidR="004376F2" w:rsidRDefault="004376F2" w:rsidP="00D931F4">
      <w:pPr>
        <w:pStyle w:val="Bulletlevel1"/>
      </w:pPr>
      <w:r w:rsidRPr="00B971F8">
        <w:t>Details of expected Australian coordination with foreign satellite systems</w:t>
      </w:r>
      <w:r>
        <w:t>.</w:t>
      </w:r>
    </w:p>
    <w:p w14:paraId="7B5BFDA4" w14:textId="77777777" w:rsidR="004376F2" w:rsidRDefault="004376F2" w:rsidP="00D931F4">
      <w:pPr>
        <w:pStyle w:val="Bulletlevel1"/>
      </w:pPr>
      <w:r>
        <w:t>E</w:t>
      </w:r>
      <w:r w:rsidRPr="00B971F8">
        <w:t xml:space="preserve">vidence of sufficient technical skills to be able to </w:t>
      </w:r>
      <w:r>
        <w:t>undertake</w:t>
      </w:r>
      <w:r w:rsidRPr="00B971F8">
        <w:t xml:space="preserve"> coordination</w:t>
      </w:r>
      <w:r>
        <w:t>.</w:t>
      </w:r>
    </w:p>
    <w:p w14:paraId="131E69C0" w14:textId="77777777" w:rsidR="004376F2" w:rsidRDefault="004376F2" w:rsidP="00D931F4">
      <w:pPr>
        <w:pStyle w:val="Bulletlevel1"/>
      </w:pPr>
      <w:r>
        <w:t>Details of a</w:t>
      </w:r>
      <w:r w:rsidRPr="00B971F8">
        <w:t>ny inconsistencies between the proposed system and current domestic legislation</w:t>
      </w:r>
      <w:r>
        <w:t xml:space="preserve"> and policy</w:t>
      </w:r>
      <w:r w:rsidRPr="00B971F8">
        <w:t>, and any incompatibility with existing Australian radiocommunication</w:t>
      </w:r>
      <w:r>
        <w:t>s</w:t>
      </w:r>
      <w:r w:rsidRPr="00B971F8">
        <w:t xml:space="preserve"> services, along with proposals to resolve the inconsistency or incompatibility</w:t>
      </w:r>
      <w:r>
        <w:t>.</w:t>
      </w:r>
    </w:p>
    <w:p w14:paraId="10CBB741" w14:textId="77777777" w:rsidR="004376F2" w:rsidRPr="00B971F8" w:rsidRDefault="004376F2" w:rsidP="00D931F4">
      <w:pPr>
        <w:pStyle w:val="Bulletlevel1"/>
      </w:pPr>
      <w:r>
        <w:t xml:space="preserve">For applications for additional use of planned bands, evidence of </w:t>
      </w:r>
      <w:r w:rsidRPr="00B971F8">
        <w:t>compatibility between the proposed assignment and the Australian plan assignments</w:t>
      </w:r>
      <w:r>
        <w:t xml:space="preserve"> (see section 3.7 Requirements for ‘planned band’ applications).</w:t>
      </w:r>
    </w:p>
    <w:p w14:paraId="7241FD8B" w14:textId="77777777" w:rsidR="004376F2" w:rsidRPr="00B971F8" w:rsidRDefault="004376F2" w:rsidP="00D931F4">
      <w:pPr>
        <w:pStyle w:val="Bulletlevel1"/>
      </w:pPr>
      <w:r>
        <w:t>F</w:t>
      </w:r>
      <w:r w:rsidRPr="00B971F8">
        <w:t>or a satellite system consisting of a constellation of NGSO satellites:</w:t>
      </w:r>
    </w:p>
    <w:p w14:paraId="68A8C1E4" w14:textId="77777777" w:rsidR="004376F2" w:rsidRPr="00B971F8" w:rsidRDefault="004376F2" w:rsidP="00DE1DB5">
      <w:pPr>
        <w:pStyle w:val="Bulletlevel2"/>
      </w:pPr>
      <w:r w:rsidRPr="00B971F8">
        <w:t xml:space="preserve">details of the expected time required to </w:t>
      </w:r>
      <w:r>
        <w:t>deploy</w:t>
      </w:r>
      <w:r w:rsidRPr="00B971F8">
        <w:t xml:space="preserve"> </w:t>
      </w:r>
      <w:proofErr w:type="gramStart"/>
      <w:r w:rsidRPr="00B971F8">
        <w:t>all of</w:t>
      </w:r>
      <w:proofErr w:type="gramEnd"/>
      <w:r w:rsidRPr="00B971F8">
        <w:t xml:space="preserve"> the satellites in the NGSO constellation</w:t>
      </w:r>
    </w:p>
    <w:p w14:paraId="2D234689" w14:textId="77777777" w:rsidR="004376F2" w:rsidRPr="00B971F8" w:rsidRDefault="004376F2" w:rsidP="00DE1DB5">
      <w:pPr>
        <w:pStyle w:val="Bulletlevel2"/>
      </w:pPr>
      <w:r w:rsidRPr="00B971F8">
        <w:t>the extent to which it is intended that services will be provided to Australia</w:t>
      </w:r>
    </w:p>
    <w:p w14:paraId="3D55AF2A" w14:textId="77777777" w:rsidR="004376F2" w:rsidRPr="00B971F8" w:rsidRDefault="004376F2" w:rsidP="00DE1DB5">
      <w:pPr>
        <w:pStyle w:val="Bulletlevel2last"/>
      </w:pPr>
      <w:r w:rsidRPr="00B971F8">
        <w:t xml:space="preserve">the extent to </w:t>
      </w:r>
      <w:r w:rsidRPr="00DE1DB5">
        <w:t>which</w:t>
      </w:r>
      <w:r w:rsidRPr="00B971F8">
        <w:t xml:space="preserve"> it is intended that services will be provided to other countries</w:t>
      </w:r>
      <w:r>
        <w:t>.</w:t>
      </w:r>
    </w:p>
    <w:p w14:paraId="1B2DBD58" w14:textId="77777777" w:rsidR="004376F2" w:rsidRPr="00B971F8" w:rsidRDefault="004376F2" w:rsidP="004376F2">
      <w:pPr>
        <w:pStyle w:val="Heading3"/>
      </w:pPr>
      <w:bookmarkStart w:id="123" w:name="_Toc195092447"/>
      <w:bookmarkStart w:id="124" w:name="_Toc198288023"/>
      <w:r>
        <w:rPr>
          <w:snapToGrid w:val="0"/>
          <w:lang w:eastAsia="en-US"/>
        </w:rPr>
        <w:t>Submit the</w:t>
      </w:r>
      <w:r w:rsidRPr="00D64BA2">
        <w:rPr>
          <w:snapToGrid w:val="0"/>
          <w:lang w:eastAsia="en-US"/>
        </w:rPr>
        <w:t xml:space="preserve"> application</w:t>
      </w:r>
      <w:bookmarkEnd w:id="123"/>
      <w:bookmarkEnd w:id="124"/>
    </w:p>
    <w:p w14:paraId="44C59FB3" w14:textId="77777777" w:rsidR="004376F2" w:rsidRPr="00B971F8" w:rsidRDefault="004376F2" w:rsidP="00EB726B">
      <w:pPr>
        <w:pStyle w:val="Paragraph"/>
      </w:pPr>
      <w:r w:rsidRPr="00B971F8">
        <w:t xml:space="preserve">Applications </w:t>
      </w:r>
      <w:r>
        <w:t>(a completed RF205 form and statement addressing the assessment criteria) should</w:t>
      </w:r>
      <w:r w:rsidRPr="00B971F8">
        <w:t xml:space="preserve"> be submitted to the ACMA via email to: </w:t>
      </w:r>
      <w:hyperlink r:id="rId57" w:history="1">
        <w:r w:rsidRPr="00B4781D">
          <w:rPr>
            <w:rStyle w:val="Hyperlink"/>
          </w:rPr>
          <w:t>satellite.coordination@acma.gov.au</w:t>
        </w:r>
      </w:hyperlink>
      <w:r w:rsidRPr="00B971F8">
        <w:t xml:space="preserve"> </w:t>
      </w:r>
    </w:p>
    <w:p w14:paraId="6C8C81D9" w14:textId="2B13A24F" w:rsidR="004376F2" w:rsidRDefault="004376F2" w:rsidP="004376F2">
      <w:pPr>
        <w:pStyle w:val="Heading3"/>
      </w:pPr>
      <w:bookmarkStart w:id="125" w:name="_Toc195092448"/>
      <w:bookmarkStart w:id="126" w:name="_Toc198288024"/>
      <w:r>
        <w:t xml:space="preserve">Pay </w:t>
      </w:r>
      <w:r w:rsidR="008B45A1">
        <w:t xml:space="preserve">the </w:t>
      </w:r>
      <w:r>
        <w:t>ACMA</w:t>
      </w:r>
      <w:r w:rsidR="008B45A1">
        <w:t>’s</w:t>
      </w:r>
      <w:r>
        <w:t xml:space="preserve"> cost recovery charges</w:t>
      </w:r>
      <w:bookmarkEnd w:id="125"/>
      <w:bookmarkEnd w:id="126"/>
    </w:p>
    <w:p w14:paraId="655E4A48" w14:textId="77777777" w:rsidR="004376F2" w:rsidRDefault="004376F2" w:rsidP="004376F2">
      <w:pPr>
        <w:pStyle w:val="Paragraph"/>
      </w:pPr>
      <w:r>
        <w:t>New satellite operators are charged</w:t>
      </w:r>
      <w:r w:rsidRPr="00B94D27">
        <w:t xml:space="preserve"> for </w:t>
      </w:r>
      <w:r>
        <w:t xml:space="preserve">an </w:t>
      </w:r>
      <w:r w:rsidRPr="00B94D27">
        <w:t>initial assessment and consultation</w:t>
      </w:r>
      <w:r>
        <w:t xml:space="preserve"> based on 5 hours of work at the hourly rate. Charges are set out in Part 6 of the </w:t>
      </w:r>
      <w:hyperlink r:id="rId58" w:history="1">
        <w:r w:rsidRPr="00E653FB">
          <w:rPr>
            <w:rStyle w:val="Hyperlink"/>
          </w:rPr>
          <w:t>Radiocommunications (Charges) Determination 2022</w:t>
        </w:r>
      </w:hyperlink>
      <w:r>
        <w:t xml:space="preserve">. Additional work is charged on a quarterly basis at the hourly rate. </w:t>
      </w:r>
    </w:p>
    <w:p w14:paraId="6D548E16" w14:textId="7419CFD1" w:rsidR="004376F2" w:rsidRDefault="008B45A1" w:rsidP="004376F2">
      <w:pPr>
        <w:pStyle w:val="Paragraph"/>
      </w:pPr>
      <w:r>
        <w:lastRenderedPageBreak/>
        <w:t xml:space="preserve">The </w:t>
      </w:r>
      <w:r w:rsidR="004376F2">
        <w:t>ACMA</w:t>
      </w:r>
      <w:r>
        <w:t>’s</w:t>
      </w:r>
      <w:r w:rsidR="004376F2">
        <w:t xml:space="preserve"> policy is that payment is required for all work charged (invoiced) before a decision on whether to file is made by the approving officer. Exceptions may be made to this policy if the invoice issue date is less than 30 days before the expected decision date. Irrespective of the invoice date, the ACMA will not submit a filing to the ITU unless payment of outstanding charges has been made. </w:t>
      </w:r>
    </w:p>
    <w:p w14:paraId="5FDBCB57" w14:textId="77777777" w:rsidR="004376F2" w:rsidRDefault="004376F2" w:rsidP="004376F2">
      <w:pPr>
        <w:pStyle w:val="Paragraph"/>
      </w:pPr>
      <w:r>
        <w:t>For existing satellite operators, charges are included in quarterly invoicing. See section</w:t>
      </w:r>
      <w:r w:rsidDel="00223EAA">
        <w:t xml:space="preserve"> </w:t>
      </w:r>
      <w:r>
        <w:fldChar w:fldCharType="begin"/>
      </w:r>
      <w:r>
        <w:instrText xml:space="preserve"> REF _Ref132637092 \r \h </w:instrText>
      </w:r>
      <w:r>
        <w:fldChar w:fldCharType="separate"/>
      </w:r>
      <w:r>
        <w:t>6</w:t>
      </w:r>
      <w:r>
        <w:fldChar w:fldCharType="end"/>
      </w:r>
      <w:r>
        <w:t xml:space="preserve"> </w:t>
      </w:r>
      <w:r>
        <w:fldChar w:fldCharType="begin"/>
      </w:r>
      <w:r>
        <w:instrText xml:space="preserve"> REF _Ref132637099 \h </w:instrText>
      </w:r>
      <w:r>
        <w:fldChar w:fldCharType="separate"/>
      </w:r>
      <w:r>
        <w:t>Charges</w:t>
      </w:r>
      <w:r>
        <w:fldChar w:fldCharType="end"/>
      </w:r>
      <w:r>
        <w:t>.</w:t>
      </w:r>
    </w:p>
    <w:p w14:paraId="0E14B16F" w14:textId="77777777" w:rsidR="004376F2" w:rsidRDefault="004376F2" w:rsidP="004376F2">
      <w:pPr>
        <w:pStyle w:val="Heading3"/>
      </w:pPr>
      <w:bookmarkStart w:id="127" w:name="_Toc195092449"/>
      <w:bookmarkStart w:id="128" w:name="_Toc198288025"/>
      <w:r>
        <w:t>Agree to conditions and pay ITU cost recovery charges</w:t>
      </w:r>
      <w:bookmarkEnd w:id="127"/>
      <w:bookmarkEnd w:id="128"/>
    </w:p>
    <w:p w14:paraId="4AE7A738" w14:textId="77777777" w:rsidR="004376F2" w:rsidRDefault="004376F2" w:rsidP="00EB726B">
      <w:pPr>
        <w:pStyle w:val="Paragraph"/>
      </w:pPr>
      <w:r>
        <w:t xml:space="preserve">Once an application has been assessed by the ACMA, this typically results in identification of a number of conditions to which an applicant is required to agree before the ACMA will submit the filing to the ITU (see section </w:t>
      </w:r>
      <w:r>
        <w:fldChar w:fldCharType="begin"/>
      </w:r>
      <w:r>
        <w:instrText xml:space="preserve"> REF _Ref132284508 \r \h </w:instrText>
      </w:r>
      <w:r>
        <w:fldChar w:fldCharType="separate"/>
      </w:r>
      <w:r>
        <w:t>2.5.5</w:t>
      </w:r>
      <w:r>
        <w:fldChar w:fldCharType="end"/>
      </w:r>
      <w:r>
        <w:t xml:space="preserve"> </w:t>
      </w:r>
      <w:r>
        <w:fldChar w:fldCharType="begin"/>
      </w:r>
      <w:r>
        <w:instrText xml:space="preserve"> REF _Ref132284512 \h </w:instrText>
      </w:r>
      <w:r>
        <w:fldChar w:fldCharType="separate"/>
      </w:r>
      <w:r>
        <w:t>Conditions of approval</w:t>
      </w:r>
      <w:r>
        <w:fldChar w:fldCharType="end"/>
      </w:r>
      <w:r>
        <w:t>).</w:t>
      </w:r>
    </w:p>
    <w:p w14:paraId="3406FC84" w14:textId="77777777" w:rsidR="004376F2" w:rsidRPr="00927FCC" w:rsidRDefault="004376F2" w:rsidP="00EB726B">
      <w:pPr>
        <w:pStyle w:val="Paragraph"/>
      </w:pPr>
      <w:r>
        <w:t xml:space="preserve">The applicant will also be asked to pay the ITU cost recovery fee before the filing is submitted to the ITU, ITU fees can be paid in advance to avoid delays in submitting after the filing is approved. See section </w:t>
      </w:r>
      <w:r>
        <w:fldChar w:fldCharType="begin"/>
      </w:r>
      <w:r>
        <w:instrText xml:space="preserve"> REF _Ref132284546 \r \h </w:instrText>
      </w:r>
      <w:r>
        <w:fldChar w:fldCharType="separate"/>
      </w:r>
      <w:r>
        <w:t>6.3</w:t>
      </w:r>
      <w:r>
        <w:fldChar w:fldCharType="end"/>
      </w:r>
      <w:r>
        <w:t xml:space="preserve"> </w:t>
      </w:r>
      <w:r>
        <w:fldChar w:fldCharType="begin"/>
      </w:r>
      <w:r>
        <w:instrText xml:space="preserve"> REF _Ref132284551 \h </w:instrText>
      </w:r>
      <w:r>
        <w:fldChar w:fldCharType="separate"/>
      </w:r>
      <w:r w:rsidRPr="00185425">
        <w:t>ITU cost recovery</w:t>
      </w:r>
      <w:r>
        <w:fldChar w:fldCharType="end"/>
      </w:r>
      <w:r>
        <w:t>.</w:t>
      </w:r>
    </w:p>
    <w:p w14:paraId="0B122062" w14:textId="4D2F46C4" w:rsidR="004376F2" w:rsidRDefault="008B45A1" w:rsidP="004376F2">
      <w:pPr>
        <w:pStyle w:val="Heading3"/>
      </w:pPr>
      <w:bookmarkStart w:id="129" w:name="_Toc195092450"/>
      <w:bookmarkStart w:id="130" w:name="_Toc198288026"/>
      <w:r>
        <w:t xml:space="preserve">The </w:t>
      </w:r>
      <w:r w:rsidR="004376F2">
        <w:t>ACMA submits the filing to ITU</w:t>
      </w:r>
      <w:bookmarkEnd w:id="129"/>
      <w:bookmarkEnd w:id="130"/>
    </w:p>
    <w:p w14:paraId="51710D91" w14:textId="77777777" w:rsidR="004376F2" w:rsidRDefault="004376F2" w:rsidP="004376F2">
      <w:pPr>
        <w:pStyle w:val="Paragraph"/>
      </w:pPr>
      <w:r>
        <w:t>With conditions of approval agreed and payment of the ITU cost recovery fee made, the ACMA submits the filing to the ITU.</w:t>
      </w:r>
    </w:p>
    <w:p w14:paraId="792255D4" w14:textId="77777777" w:rsidR="004376F2" w:rsidRDefault="004376F2" w:rsidP="004376F2">
      <w:pPr>
        <w:pStyle w:val="Heading3"/>
      </w:pPr>
      <w:bookmarkStart w:id="131" w:name="_Toc195092451"/>
      <w:bookmarkStart w:id="132" w:name="_Toc198288027"/>
      <w:r>
        <w:t>Operator commences coordination with Australian satellite operators</w:t>
      </w:r>
      <w:bookmarkEnd w:id="131"/>
      <w:bookmarkEnd w:id="132"/>
    </w:p>
    <w:p w14:paraId="3543A445" w14:textId="007183EB" w:rsidR="004376F2" w:rsidRDefault="004376F2" w:rsidP="004376F2">
      <w:pPr>
        <w:pStyle w:val="Paragraph"/>
      </w:pPr>
      <w:r>
        <w:t>Once a filing has been received by the ITU, the ACMA advises Australian satellite operators of a new filing. If they have not already, the satellite operator commences coordination with existing Australia</w:t>
      </w:r>
      <w:r w:rsidR="008B45A1">
        <w:t>n</w:t>
      </w:r>
      <w:r>
        <w:t xml:space="preserve"> satellite systems. As a matter of best practice, the ACMA expects that as a minimum, contact will be made with other Australian operators within 6 months of the new filing being submitted to the ITU and an approach to completing coordination has been agreed between operators.</w:t>
      </w:r>
    </w:p>
    <w:p w14:paraId="7F01C773" w14:textId="77777777" w:rsidR="004376F2" w:rsidRDefault="004376F2" w:rsidP="004376F2">
      <w:pPr>
        <w:pStyle w:val="Heading3"/>
      </w:pPr>
      <w:bookmarkStart w:id="133" w:name="_Toc195092452"/>
      <w:bookmarkStart w:id="134" w:name="_Toc198288028"/>
      <w:r>
        <w:t>Obligations once a filing is approved</w:t>
      </w:r>
      <w:bookmarkEnd w:id="133"/>
      <w:bookmarkEnd w:id="134"/>
    </w:p>
    <w:p w14:paraId="024D858F" w14:textId="77777777" w:rsidR="004376F2" w:rsidRDefault="004376F2" w:rsidP="004376F2">
      <w:pPr>
        <w:pStyle w:val="Paragraph"/>
      </w:pPr>
      <w:r>
        <w:t xml:space="preserve">After a filing is submitted to the ITU, the satellite operator is required to act in accordance with the requirements of this document and in particular the requirements set out in section </w:t>
      </w:r>
      <w:r>
        <w:fldChar w:fldCharType="begin"/>
      </w:r>
      <w:r>
        <w:instrText xml:space="preserve"> REF _Ref132285954 \r \h </w:instrText>
      </w:r>
      <w:r>
        <w:fldChar w:fldCharType="separate"/>
      </w:r>
      <w:r>
        <w:t>4.3</w:t>
      </w:r>
      <w:r>
        <w:fldChar w:fldCharType="end"/>
      </w:r>
      <w:r>
        <w:t xml:space="preserve"> </w:t>
      </w:r>
      <w:r>
        <w:fldChar w:fldCharType="begin"/>
      </w:r>
      <w:r>
        <w:instrText xml:space="preserve"> REF _Ref132285957 \h </w:instrText>
      </w:r>
      <w:r>
        <w:fldChar w:fldCharType="separate"/>
      </w:r>
      <w:r w:rsidRPr="004C5726">
        <w:rPr>
          <w:snapToGrid w:val="0"/>
          <w:lang w:eastAsia="en-US"/>
        </w:rPr>
        <w:t>Ongoing obligations of the satellite operator</w:t>
      </w:r>
      <w:r>
        <w:fldChar w:fldCharType="end"/>
      </w:r>
      <w:r>
        <w:t>.</w:t>
      </w:r>
    </w:p>
    <w:p w14:paraId="73097F4F" w14:textId="77777777" w:rsidR="004376F2" w:rsidRPr="004C5726" w:rsidRDefault="004376F2" w:rsidP="004376F2">
      <w:pPr>
        <w:pStyle w:val="Heading2"/>
        <w:rPr>
          <w:snapToGrid w:val="0"/>
          <w:lang w:eastAsia="en-US"/>
        </w:rPr>
      </w:pPr>
      <w:bookmarkStart w:id="135" w:name="_Toc195092453"/>
      <w:bookmarkStart w:id="136" w:name="_Toc198288029"/>
      <w:r>
        <w:rPr>
          <w:snapToGrid w:val="0"/>
          <w:lang w:eastAsia="en-US"/>
        </w:rPr>
        <w:t>How we assess</w:t>
      </w:r>
      <w:r w:rsidRPr="004C5726">
        <w:rPr>
          <w:snapToGrid w:val="0"/>
          <w:lang w:eastAsia="en-US"/>
        </w:rPr>
        <w:t xml:space="preserve"> </w:t>
      </w:r>
      <w:r>
        <w:rPr>
          <w:snapToGrid w:val="0"/>
          <w:lang w:eastAsia="en-US"/>
        </w:rPr>
        <w:t xml:space="preserve">an </w:t>
      </w:r>
      <w:r w:rsidRPr="004C5726">
        <w:rPr>
          <w:snapToGrid w:val="0"/>
          <w:lang w:eastAsia="en-US"/>
        </w:rPr>
        <w:t>application</w:t>
      </w:r>
      <w:bookmarkEnd w:id="135"/>
      <w:bookmarkEnd w:id="136"/>
    </w:p>
    <w:p w14:paraId="4E65FB07" w14:textId="77777777" w:rsidR="004376F2" w:rsidRDefault="004376F2" w:rsidP="004376F2">
      <w:pPr>
        <w:pStyle w:val="Heading3"/>
        <w:numPr>
          <w:ilvl w:val="0"/>
          <w:numId w:val="0"/>
        </w:numPr>
        <w:ind w:left="720"/>
      </w:pPr>
    </w:p>
    <w:p w14:paraId="395C19BB" w14:textId="77777777" w:rsidR="004376F2" w:rsidRPr="002A3ABC" w:rsidRDefault="004376F2" w:rsidP="004376F2">
      <w:pPr>
        <w:pStyle w:val="Heading3"/>
        <w:keepLines/>
        <w:rPr>
          <w:snapToGrid w:val="0"/>
          <w:lang w:eastAsia="en-US"/>
        </w:rPr>
      </w:pPr>
      <w:bookmarkStart w:id="137" w:name="_Toc195092454"/>
      <w:bookmarkStart w:id="138" w:name="_Toc198288030"/>
      <w:r w:rsidRPr="002A3ABC">
        <w:rPr>
          <w:snapToGrid w:val="0"/>
          <w:lang w:eastAsia="en-US"/>
        </w:rPr>
        <w:t>Pre-application consultation with the ACMA</w:t>
      </w:r>
      <w:bookmarkEnd w:id="137"/>
      <w:bookmarkEnd w:id="138"/>
      <w:r w:rsidRPr="002A3ABC">
        <w:rPr>
          <w:snapToGrid w:val="0"/>
          <w:lang w:eastAsia="en-US"/>
        </w:rPr>
        <w:t xml:space="preserve"> </w:t>
      </w:r>
    </w:p>
    <w:p w14:paraId="1D53DAC6" w14:textId="77777777" w:rsidR="004376F2" w:rsidRDefault="004376F2" w:rsidP="004376F2">
      <w:pPr>
        <w:pStyle w:val="Paragraph"/>
      </w:pPr>
      <w:r>
        <w:t>A prospective</w:t>
      </w:r>
      <w:r w:rsidRPr="00AF0630">
        <w:t xml:space="preserve"> satellite operator may wish to have initial meetings or correspondence with the ACMA to determine the process or the depth of information required. The ACMA may, at its discretion, engage in such meetings or</w:t>
      </w:r>
      <w:r>
        <w:t xml:space="preserve"> </w:t>
      </w:r>
      <w:r w:rsidRPr="00AF0630">
        <w:t xml:space="preserve">correspondence. </w:t>
      </w:r>
    </w:p>
    <w:p w14:paraId="34FCAE7B" w14:textId="77777777" w:rsidR="004376F2" w:rsidRDefault="004376F2" w:rsidP="004376F2">
      <w:pPr>
        <w:pStyle w:val="Heading3"/>
      </w:pPr>
      <w:bookmarkStart w:id="139" w:name="_Toc195092455"/>
      <w:bookmarkStart w:id="140" w:name="_Toc198288031"/>
      <w:r>
        <w:t>Review for completeness</w:t>
      </w:r>
      <w:bookmarkEnd w:id="139"/>
      <w:bookmarkEnd w:id="140"/>
    </w:p>
    <w:p w14:paraId="5CBE6246" w14:textId="77777777" w:rsidR="004376F2" w:rsidRPr="00B971F8" w:rsidRDefault="004376F2" w:rsidP="004376F2">
      <w:pPr>
        <w:pStyle w:val="Paragraph"/>
      </w:pPr>
      <w:r w:rsidRPr="00B971F8">
        <w:t xml:space="preserve">The ACMA </w:t>
      </w:r>
      <w:r>
        <w:t>will</w:t>
      </w:r>
      <w:r w:rsidRPr="00B971F8">
        <w:t xml:space="preserve"> review</w:t>
      </w:r>
      <w:r>
        <w:t xml:space="preserve"> </w:t>
      </w:r>
      <w:r w:rsidRPr="00B971F8">
        <w:t>application</w:t>
      </w:r>
      <w:r>
        <w:t>s to determine if all required information has been supplied</w:t>
      </w:r>
      <w:r w:rsidRPr="00B971F8">
        <w:t>.</w:t>
      </w:r>
      <w:r w:rsidRPr="00B971F8" w:rsidDel="00E5279E">
        <w:t xml:space="preserve"> </w:t>
      </w:r>
      <w:r w:rsidRPr="00B971F8">
        <w:t xml:space="preserve">Incomplete applications </w:t>
      </w:r>
      <w:r>
        <w:t>will normally</w:t>
      </w:r>
      <w:r w:rsidRPr="00B971F8">
        <w:t xml:space="preserve"> </w:t>
      </w:r>
      <w:r>
        <w:t xml:space="preserve">be </w:t>
      </w:r>
      <w:r w:rsidRPr="00B971F8">
        <w:t>returned to the operator without assessment.</w:t>
      </w:r>
    </w:p>
    <w:p w14:paraId="0ECCFD1C" w14:textId="77777777" w:rsidR="004376F2" w:rsidRDefault="004376F2" w:rsidP="004376F2">
      <w:pPr>
        <w:pStyle w:val="Heading3"/>
      </w:pPr>
      <w:bookmarkStart w:id="141" w:name="_Toc195092456"/>
      <w:bookmarkStart w:id="142" w:name="_Toc198288032"/>
      <w:r>
        <w:t>Preliminary assessment</w:t>
      </w:r>
      <w:bookmarkEnd w:id="141"/>
      <w:bookmarkEnd w:id="142"/>
    </w:p>
    <w:p w14:paraId="6916E14D" w14:textId="77777777" w:rsidR="004376F2" w:rsidRDefault="004376F2" w:rsidP="004376F2">
      <w:pPr>
        <w:pStyle w:val="Paragraph"/>
      </w:pPr>
      <w:r>
        <w:t>A preliminary assessment</w:t>
      </w:r>
      <w:r w:rsidRPr="00B971F8">
        <w:t xml:space="preserve"> </w:t>
      </w:r>
      <w:r>
        <w:t>of the completed application is undertaken by ACMA staff, having regard to the assessment criteria set out in section 3. Draft r</w:t>
      </w:r>
      <w:r w:rsidRPr="00B971F8">
        <w:t>ecommendation</w:t>
      </w:r>
      <w:r>
        <w:t>s</w:t>
      </w:r>
      <w:r w:rsidRPr="00B971F8">
        <w:t xml:space="preserve"> about whether </w:t>
      </w:r>
      <w:r w:rsidRPr="00B971F8">
        <w:lastRenderedPageBreak/>
        <w:t>to accept the application</w:t>
      </w:r>
      <w:r>
        <w:t xml:space="preserve"> and conditions of approval are prepared for consideration by the approving officer. These may be discussed with the applicant.</w:t>
      </w:r>
    </w:p>
    <w:p w14:paraId="2DCE47C7" w14:textId="77777777" w:rsidR="004376F2" w:rsidRDefault="004376F2" w:rsidP="004376F2">
      <w:pPr>
        <w:pStyle w:val="Heading3"/>
      </w:pPr>
      <w:bookmarkStart w:id="143" w:name="_Ref183343542"/>
      <w:bookmarkStart w:id="144" w:name="_Ref183343548"/>
      <w:bookmarkStart w:id="145" w:name="_Toc195092457"/>
      <w:bookmarkStart w:id="146" w:name="_Toc198288033"/>
      <w:r>
        <w:t>Approving officer assessment</w:t>
      </w:r>
      <w:bookmarkEnd w:id="143"/>
      <w:bookmarkEnd w:id="144"/>
      <w:bookmarkEnd w:id="145"/>
      <w:bookmarkEnd w:id="146"/>
    </w:p>
    <w:p w14:paraId="5DA459FC" w14:textId="77777777" w:rsidR="004376F2" w:rsidRDefault="004376F2" w:rsidP="00EB726B">
      <w:pPr>
        <w:pStyle w:val="Paragraph"/>
      </w:pPr>
      <w:r w:rsidRPr="00F8751D">
        <w:t xml:space="preserve">The </w:t>
      </w:r>
      <w:r w:rsidRPr="00933DBC">
        <w:t>approving officer</w:t>
      </w:r>
      <w:r w:rsidRPr="00F8751D">
        <w:t xml:space="preserve"> assesses</w:t>
      </w:r>
      <w:r w:rsidRPr="00B971F8">
        <w:t xml:space="preserve"> the application against the assessment criteria and decide</w:t>
      </w:r>
      <w:r>
        <w:t>s</w:t>
      </w:r>
      <w:r w:rsidRPr="00B971F8">
        <w:t xml:space="preserve"> whether to accept the application. The</w:t>
      </w:r>
      <w:r w:rsidRPr="00B971F8" w:rsidDel="00F034AF">
        <w:t xml:space="preserve"> </w:t>
      </w:r>
      <w:r>
        <w:t>approving</w:t>
      </w:r>
      <w:r w:rsidRPr="00B971F8">
        <w:t xml:space="preserve"> officer may impose conditions further to those detailed in this document, if required, to ensure that </w:t>
      </w:r>
      <w:r>
        <w:t>all</w:t>
      </w:r>
      <w:r w:rsidRPr="00B971F8">
        <w:t xml:space="preserve"> regulatory </w:t>
      </w:r>
      <w:r>
        <w:t>requirements are met</w:t>
      </w:r>
      <w:r w:rsidRPr="00B971F8">
        <w:t xml:space="preserve">. </w:t>
      </w:r>
    </w:p>
    <w:p w14:paraId="051CF756" w14:textId="77777777" w:rsidR="004376F2" w:rsidRDefault="004376F2" w:rsidP="004376F2">
      <w:pPr>
        <w:pStyle w:val="Paragraphbeforelist"/>
      </w:pPr>
      <w:r w:rsidRPr="00B971F8">
        <w:t>The</w:t>
      </w:r>
      <w:r w:rsidRPr="00B971F8" w:rsidDel="00270C34">
        <w:t xml:space="preserve"> </w:t>
      </w:r>
      <w:r>
        <w:t xml:space="preserve">approving </w:t>
      </w:r>
      <w:r w:rsidRPr="00B971F8">
        <w:t xml:space="preserve">officer </w:t>
      </w:r>
      <w:r w:rsidRPr="00B971F8" w:rsidDel="005445F4">
        <w:t xml:space="preserve">is </w:t>
      </w:r>
      <w:r>
        <w:t>determined based on the type of application and the applicant’s filing history. The table below details the level of approving officer for the various types of missions and applicants.</w:t>
      </w:r>
    </w:p>
    <w:p w14:paraId="6E07DAE0" w14:textId="77777777" w:rsidR="006E3FFF" w:rsidRDefault="006E3FFF" w:rsidP="004376F2">
      <w:pPr>
        <w:pStyle w:val="Paragraphbeforelist"/>
      </w:pPr>
    </w:p>
    <w:p w14:paraId="4349491A" w14:textId="77777777" w:rsidR="004376F2" w:rsidRPr="00E162C4" w:rsidRDefault="004376F2" w:rsidP="004376F2">
      <w:pPr>
        <w:pStyle w:val="Tableheading"/>
        <w:spacing w:line="240" w:lineRule="atLeast"/>
      </w:pPr>
      <w:r>
        <w:t>Approving officer</w:t>
      </w:r>
    </w:p>
    <w:tbl>
      <w:tblPr>
        <w:tblStyle w:val="ACMAtablestyle"/>
        <w:tblW w:w="5001" w:type="pct"/>
        <w:tblLook w:val="01E0" w:firstRow="1" w:lastRow="1" w:firstColumn="1" w:lastColumn="1" w:noHBand="0" w:noVBand="0"/>
        <w:tblCaption w:val="Table title to go here"/>
        <w:tblDescription w:val="Table description to go here"/>
      </w:tblPr>
      <w:tblGrid>
        <w:gridCol w:w="1839"/>
        <w:gridCol w:w="4526"/>
        <w:gridCol w:w="2697"/>
      </w:tblGrid>
      <w:tr w:rsidR="004376F2" w:rsidRPr="00E162C4" w14:paraId="67D60E39" w14:textId="77777777" w:rsidTr="00275E92">
        <w:trPr>
          <w:cnfStyle w:val="100000000000" w:firstRow="1" w:lastRow="0" w:firstColumn="0" w:lastColumn="0" w:oddVBand="0" w:evenVBand="0" w:oddHBand="0" w:evenHBand="0" w:firstRowFirstColumn="0" w:firstRowLastColumn="0" w:lastRowFirstColumn="0" w:lastRowLastColumn="0"/>
        </w:trPr>
        <w:tc>
          <w:tcPr>
            <w:tcW w:w="1015" w:type="pct"/>
          </w:tcPr>
          <w:p w14:paraId="6D864063" w14:textId="77777777" w:rsidR="004376F2" w:rsidRDefault="004376F2" w:rsidP="00275E92">
            <w:pPr>
              <w:pStyle w:val="Tableheaderrow"/>
              <w:keepNext/>
              <w:keepLines/>
            </w:pPr>
            <w:r>
              <w:t>Mission type</w:t>
            </w:r>
          </w:p>
        </w:tc>
        <w:tc>
          <w:tcPr>
            <w:tcW w:w="2497" w:type="pct"/>
          </w:tcPr>
          <w:p w14:paraId="5260FCEA" w14:textId="77777777" w:rsidR="004376F2" w:rsidRPr="00AE2E9E" w:rsidRDefault="004376F2" w:rsidP="00275E92">
            <w:pPr>
              <w:pStyle w:val="Tableheaderrow"/>
              <w:keepNext/>
              <w:keepLines/>
            </w:pPr>
            <w:r>
              <w:t>Applicant type</w:t>
            </w:r>
          </w:p>
        </w:tc>
        <w:tc>
          <w:tcPr>
            <w:tcW w:w="1488" w:type="pct"/>
          </w:tcPr>
          <w:p w14:paraId="6DD38D06" w14:textId="77777777" w:rsidR="004376F2" w:rsidRPr="00E162C4" w:rsidRDefault="004376F2" w:rsidP="00275E92">
            <w:pPr>
              <w:pStyle w:val="Tableheaderrow"/>
              <w:keepNext/>
              <w:keepLines/>
            </w:pPr>
            <w:r>
              <w:t>Approval</w:t>
            </w:r>
          </w:p>
        </w:tc>
      </w:tr>
      <w:tr w:rsidR="004376F2" w:rsidRPr="00E162C4" w14:paraId="3E06CFE5" w14:textId="77777777" w:rsidTr="00275E92">
        <w:trPr>
          <w:cnfStyle w:val="000000100000" w:firstRow="0" w:lastRow="0" w:firstColumn="0" w:lastColumn="0" w:oddVBand="0" w:evenVBand="0" w:oddHBand="1" w:evenHBand="0" w:firstRowFirstColumn="0" w:firstRowLastColumn="0" w:lastRowFirstColumn="0" w:lastRowLastColumn="0"/>
        </w:trPr>
        <w:tc>
          <w:tcPr>
            <w:tcW w:w="1015" w:type="pct"/>
          </w:tcPr>
          <w:p w14:paraId="19EC820B" w14:textId="77777777" w:rsidR="004376F2" w:rsidRDefault="004376F2" w:rsidP="00275E92">
            <w:pPr>
              <w:pStyle w:val="TableBody"/>
              <w:keepNext/>
              <w:keepLines/>
              <w:spacing w:after="60"/>
            </w:pPr>
            <w:r>
              <w:t>All</w:t>
            </w:r>
          </w:p>
        </w:tc>
        <w:tc>
          <w:tcPr>
            <w:tcW w:w="2497" w:type="pct"/>
            <w:shd w:val="clear" w:color="auto" w:fill="auto"/>
          </w:tcPr>
          <w:p w14:paraId="2145919A" w14:textId="77777777" w:rsidR="004376F2" w:rsidRPr="006C29D6" w:rsidRDefault="004376F2" w:rsidP="006C29D6">
            <w:pPr>
              <w:pStyle w:val="Bulletlevel1"/>
            </w:pPr>
            <w:r w:rsidRPr="006C29D6">
              <w:t>Holds existing ITU filing/s approved by the ACMA</w:t>
            </w:r>
          </w:p>
          <w:p w14:paraId="04EF7DDE" w14:textId="77777777" w:rsidR="004376F2" w:rsidRPr="006C29D6" w:rsidRDefault="004376F2" w:rsidP="006C29D6">
            <w:pPr>
              <w:pStyle w:val="Bulletlevel1"/>
            </w:pPr>
            <w:r w:rsidRPr="006C29D6">
              <w:t>With a track record of service provision to Australia</w:t>
            </w:r>
          </w:p>
        </w:tc>
        <w:tc>
          <w:tcPr>
            <w:tcW w:w="1488" w:type="pct"/>
            <w:shd w:val="clear" w:color="auto" w:fill="auto"/>
          </w:tcPr>
          <w:p w14:paraId="72BC549C" w14:textId="77777777" w:rsidR="004376F2" w:rsidRPr="00E162C4" w:rsidRDefault="004376F2" w:rsidP="00275E92">
            <w:pPr>
              <w:pStyle w:val="TableBody"/>
              <w:keepNext/>
              <w:keepLines/>
            </w:pPr>
            <w:r>
              <w:t>Executive Manager, Spectrum Planning and Engineering Branch</w:t>
            </w:r>
          </w:p>
        </w:tc>
      </w:tr>
      <w:tr w:rsidR="004376F2" w:rsidRPr="00D42607" w14:paraId="20DA01F3" w14:textId="77777777" w:rsidTr="00275E92">
        <w:trPr>
          <w:cnfStyle w:val="000000010000" w:firstRow="0" w:lastRow="0" w:firstColumn="0" w:lastColumn="0" w:oddVBand="0" w:evenVBand="0" w:oddHBand="0" w:evenHBand="1" w:firstRowFirstColumn="0" w:firstRowLastColumn="0" w:lastRowFirstColumn="0" w:lastRowLastColumn="0"/>
        </w:trPr>
        <w:tc>
          <w:tcPr>
            <w:tcW w:w="1015" w:type="pct"/>
          </w:tcPr>
          <w:p w14:paraId="26625B56" w14:textId="77777777" w:rsidR="004376F2" w:rsidRDefault="004376F2" w:rsidP="00275E92">
            <w:pPr>
              <w:pStyle w:val="TableBody"/>
              <w:keepNext/>
              <w:keepLines/>
              <w:spacing w:after="60"/>
            </w:pPr>
            <w:r>
              <w:t>Short duration</w:t>
            </w:r>
          </w:p>
        </w:tc>
        <w:tc>
          <w:tcPr>
            <w:tcW w:w="2497" w:type="pct"/>
          </w:tcPr>
          <w:p w14:paraId="2656AF3C" w14:textId="77777777" w:rsidR="004376F2" w:rsidRPr="006C29D6" w:rsidRDefault="004376F2" w:rsidP="006C29D6">
            <w:pPr>
              <w:pStyle w:val="Bulletlevel1"/>
            </w:pPr>
            <w:r w:rsidRPr="006C29D6">
              <w:t xml:space="preserve">New applicants </w:t>
            </w:r>
          </w:p>
          <w:p w14:paraId="668D6517" w14:textId="77777777" w:rsidR="004376F2" w:rsidRPr="006C29D6" w:rsidRDefault="004376F2" w:rsidP="006C29D6">
            <w:pPr>
              <w:pStyle w:val="Bulletlevel1"/>
            </w:pPr>
            <w:r w:rsidRPr="006C29D6">
              <w:t>Applicants without a track record of service provision to Australia (a previous short-duration satellite mission not yet brought into use or not serving Australia)</w:t>
            </w:r>
            <w:r w:rsidRPr="006C29D6" w:rsidDel="00A46398">
              <w:t xml:space="preserve"> </w:t>
            </w:r>
          </w:p>
        </w:tc>
        <w:tc>
          <w:tcPr>
            <w:tcW w:w="1488" w:type="pct"/>
          </w:tcPr>
          <w:p w14:paraId="596C0A75" w14:textId="77777777" w:rsidR="004376F2" w:rsidRPr="004A20AD" w:rsidRDefault="004376F2" w:rsidP="00275E92">
            <w:pPr>
              <w:pStyle w:val="TableBody"/>
              <w:keepNext/>
              <w:keepLines/>
              <w:rPr>
                <w:lang w:val="fr-FR"/>
              </w:rPr>
            </w:pPr>
            <w:r w:rsidRPr="004A20AD">
              <w:rPr>
                <w:lang w:val="fr-FR"/>
              </w:rPr>
              <w:t>General Manager, Communications Infrastructure Division</w:t>
            </w:r>
          </w:p>
        </w:tc>
      </w:tr>
      <w:tr w:rsidR="004376F2" w:rsidRPr="00D42607" w14:paraId="216A3D78" w14:textId="77777777" w:rsidTr="00275E92">
        <w:trPr>
          <w:cnfStyle w:val="000000100000" w:firstRow="0" w:lastRow="0" w:firstColumn="0" w:lastColumn="0" w:oddVBand="0" w:evenVBand="0" w:oddHBand="1" w:evenHBand="0" w:firstRowFirstColumn="0" w:firstRowLastColumn="0" w:lastRowFirstColumn="0" w:lastRowLastColumn="0"/>
        </w:trPr>
        <w:tc>
          <w:tcPr>
            <w:tcW w:w="1015" w:type="pct"/>
          </w:tcPr>
          <w:p w14:paraId="668979C7" w14:textId="77777777" w:rsidR="004376F2" w:rsidRDefault="004376F2" w:rsidP="00275E92">
            <w:pPr>
              <w:pStyle w:val="TableBody"/>
              <w:keepNext/>
              <w:keepLines/>
              <w:spacing w:after="60"/>
            </w:pPr>
            <w:r>
              <w:t xml:space="preserve">All </w:t>
            </w:r>
          </w:p>
        </w:tc>
        <w:tc>
          <w:tcPr>
            <w:tcW w:w="2497" w:type="pct"/>
          </w:tcPr>
          <w:p w14:paraId="4311B177" w14:textId="77777777" w:rsidR="004376F2" w:rsidRPr="006C29D6" w:rsidRDefault="004376F2" w:rsidP="006C29D6">
            <w:pPr>
              <w:pStyle w:val="Bulletlevel1"/>
            </w:pPr>
            <w:r w:rsidRPr="006C29D6">
              <w:t xml:space="preserve">Holds existing ITU filing/s approved by the ACMA </w:t>
            </w:r>
          </w:p>
          <w:p w14:paraId="18D20AD5" w14:textId="77777777" w:rsidR="004376F2" w:rsidRPr="006C29D6" w:rsidRDefault="004376F2" w:rsidP="006C29D6">
            <w:pPr>
              <w:pStyle w:val="Bulletlevel1"/>
            </w:pPr>
            <w:r w:rsidRPr="006C29D6">
              <w:t>Satellite system not yet brought into use or not serving Australia</w:t>
            </w:r>
          </w:p>
        </w:tc>
        <w:tc>
          <w:tcPr>
            <w:tcW w:w="1488" w:type="pct"/>
          </w:tcPr>
          <w:p w14:paraId="4CF656BC" w14:textId="77777777" w:rsidR="004376F2" w:rsidRPr="004A20AD" w:rsidRDefault="004376F2" w:rsidP="00275E92">
            <w:pPr>
              <w:pStyle w:val="TableBody"/>
              <w:keepNext/>
              <w:keepLines/>
              <w:rPr>
                <w:lang w:val="fr-FR"/>
              </w:rPr>
            </w:pPr>
            <w:r w:rsidRPr="004A20AD">
              <w:rPr>
                <w:lang w:val="fr-FR"/>
              </w:rPr>
              <w:t>General Manager, Communications Infrastructure Division</w:t>
            </w:r>
          </w:p>
        </w:tc>
      </w:tr>
      <w:tr w:rsidR="004376F2" w:rsidRPr="00E162C4" w14:paraId="468851EB" w14:textId="77777777" w:rsidTr="00275E92">
        <w:trPr>
          <w:cnfStyle w:val="000000010000" w:firstRow="0" w:lastRow="0" w:firstColumn="0" w:lastColumn="0" w:oddVBand="0" w:evenVBand="0" w:oddHBand="0" w:evenHBand="1" w:firstRowFirstColumn="0" w:firstRowLastColumn="0" w:lastRowFirstColumn="0" w:lastRowLastColumn="0"/>
        </w:trPr>
        <w:tc>
          <w:tcPr>
            <w:tcW w:w="1015" w:type="pct"/>
          </w:tcPr>
          <w:p w14:paraId="03C4EFE7" w14:textId="77777777" w:rsidR="004376F2" w:rsidRPr="00E162C4" w:rsidRDefault="004376F2" w:rsidP="00275E92">
            <w:pPr>
              <w:pStyle w:val="TableBody"/>
              <w:keepNext/>
              <w:keepLines/>
            </w:pPr>
            <w:r>
              <w:t>All except short duration</w:t>
            </w:r>
          </w:p>
        </w:tc>
        <w:tc>
          <w:tcPr>
            <w:tcW w:w="2497" w:type="pct"/>
          </w:tcPr>
          <w:p w14:paraId="35341316" w14:textId="77777777" w:rsidR="004376F2" w:rsidRPr="006C29D6" w:rsidRDefault="004376F2" w:rsidP="006C29D6">
            <w:pPr>
              <w:pStyle w:val="Bulletlevel1"/>
            </w:pPr>
            <w:r w:rsidRPr="006C29D6">
              <w:t xml:space="preserve">New applicants </w:t>
            </w:r>
          </w:p>
          <w:p w14:paraId="29CD063D" w14:textId="77777777" w:rsidR="004376F2" w:rsidRPr="006C29D6" w:rsidRDefault="004376F2" w:rsidP="006C29D6">
            <w:pPr>
              <w:pStyle w:val="Bulletlevel1"/>
            </w:pPr>
            <w:r w:rsidRPr="006C29D6">
              <w:t>Applicants previously only approved for a short-duration satellite mission</w:t>
            </w:r>
          </w:p>
          <w:p w14:paraId="3975246F" w14:textId="77777777" w:rsidR="004376F2" w:rsidRPr="006C29D6" w:rsidRDefault="004376F2" w:rsidP="006C29D6">
            <w:pPr>
              <w:pStyle w:val="Bulletlevel1"/>
            </w:pPr>
            <w:r w:rsidRPr="006C29D6">
              <w:t>All cases not covered by above</w:t>
            </w:r>
          </w:p>
        </w:tc>
        <w:tc>
          <w:tcPr>
            <w:tcW w:w="1488" w:type="pct"/>
          </w:tcPr>
          <w:p w14:paraId="5E037ABB" w14:textId="77777777" w:rsidR="004376F2" w:rsidRPr="00E162C4" w:rsidRDefault="004376F2" w:rsidP="00275E92">
            <w:pPr>
              <w:pStyle w:val="TableBody"/>
              <w:keepNext/>
              <w:keepLines/>
            </w:pPr>
            <w:r>
              <w:t>Authority</w:t>
            </w:r>
          </w:p>
        </w:tc>
      </w:tr>
    </w:tbl>
    <w:p w14:paraId="76BB731E" w14:textId="77777777" w:rsidR="004376F2" w:rsidRPr="00552E0C" w:rsidRDefault="004376F2" w:rsidP="004376F2">
      <w:pPr>
        <w:pStyle w:val="Paragraph"/>
      </w:pPr>
    </w:p>
    <w:p w14:paraId="103C426F" w14:textId="77777777" w:rsidR="004376F2" w:rsidRDefault="004376F2" w:rsidP="00EB726B">
      <w:pPr>
        <w:pStyle w:val="Paragraph"/>
      </w:pPr>
      <w:r w:rsidRPr="00B971F8">
        <w:t>Where warranted by the specifics of the proposed filing (for example</w:t>
      </w:r>
      <w:r>
        <w:t>,</w:t>
      </w:r>
      <w:r w:rsidRPr="00B971F8">
        <w:t xml:space="preserve"> due to sensitivities or matters of national significance), </w:t>
      </w:r>
      <w:r>
        <w:t>applications</w:t>
      </w:r>
      <w:r w:rsidRPr="00B971F8">
        <w:t xml:space="preserve"> are likely to be brought to the attention of the </w:t>
      </w:r>
      <w:hyperlink r:id="rId59" w:history="1">
        <w:r w:rsidRPr="00EA775D">
          <w:rPr>
            <w:rStyle w:val="Hyperlink"/>
          </w:rPr>
          <w:t>Authority</w:t>
        </w:r>
      </w:hyperlink>
      <w:r w:rsidRPr="00B971F8">
        <w:t xml:space="preserve"> irrespective of the specific approval </w:t>
      </w:r>
      <w:r>
        <w:t>level</w:t>
      </w:r>
      <w:r w:rsidRPr="00B971F8">
        <w:t xml:space="preserve"> otherwise applicable to the type of application.</w:t>
      </w:r>
      <w:r>
        <w:t xml:space="preserve"> Similarly, applications that would normally be considered by the Executive Manager, Spectrum Planning and Engineering Branch may be elevated to the General Manager, Communications Infrastructure Division if warranted by the circumstances of a particular application, at the discretion of ACMA staff.</w:t>
      </w:r>
    </w:p>
    <w:p w14:paraId="72CD4B9A" w14:textId="77777777" w:rsidR="004376F2" w:rsidRDefault="004376F2" w:rsidP="004376F2">
      <w:pPr>
        <w:pStyle w:val="Heading3"/>
      </w:pPr>
      <w:bookmarkStart w:id="147" w:name="_Ref132284439"/>
      <w:bookmarkStart w:id="148" w:name="_Ref132284447"/>
      <w:bookmarkStart w:id="149" w:name="_Ref132284508"/>
      <w:bookmarkStart w:id="150" w:name="_Ref132284512"/>
      <w:bookmarkStart w:id="151" w:name="_Toc195092458"/>
      <w:bookmarkStart w:id="152" w:name="_Toc198288034"/>
      <w:r>
        <w:lastRenderedPageBreak/>
        <w:t>Conditions of approval</w:t>
      </w:r>
      <w:bookmarkEnd w:id="147"/>
      <w:bookmarkEnd w:id="148"/>
      <w:bookmarkEnd w:id="149"/>
      <w:bookmarkEnd w:id="150"/>
      <w:bookmarkEnd w:id="151"/>
      <w:bookmarkEnd w:id="152"/>
    </w:p>
    <w:p w14:paraId="48DA4463" w14:textId="77777777" w:rsidR="004376F2" w:rsidRPr="005936D8" w:rsidRDefault="004376F2" w:rsidP="006E3FFF">
      <w:pPr>
        <w:pStyle w:val="Paragraphbeforelist"/>
      </w:pPr>
      <w:bookmarkStart w:id="153" w:name="_Hlk135225364"/>
      <w:r>
        <w:t xml:space="preserve">In addition to the assessment criteria set out in section 3, an assessment typically results in identification of several conditions </w:t>
      </w:r>
      <w:bookmarkStart w:id="154" w:name="_Hlk135225402"/>
      <w:bookmarkEnd w:id="153"/>
      <w:r>
        <w:t>to which an applicant is required to agree before the ACMA will submit the filing to the ITU</w:t>
      </w:r>
      <w:bookmarkEnd w:id="154"/>
      <w:r>
        <w:t xml:space="preserve">. These conditions are in addition to those contained in the satellite filing </w:t>
      </w:r>
      <w:hyperlink r:id="rId60" w:history="1">
        <w:r w:rsidRPr="004474F6">
          <w:rPr>
            <w:rStyle w:val="Hyperlink"/>
          </w:rPr>
          <w:t>application form</w:t>
        </w:r>
      </w:hyperlink>
      <w:r>
        <w:t xml:space="preserve"> and also serve to emphasise the ongoing need for a satellite operator to operate in accordance with ACMA satellite filing procedures. </w:t>
      </w:r>
    </w:p>
    <w:p w14:paraId="787E641A" w14:textId="77777777" w:rsidR="004376F2" w:rsidRPr="001C4018" w:rsidRDefault="004376F2" w:rsidP="004376F2">
      <w:pPr>
        <w:pStyle w:val="Paragraphbeforelist"/>
      </w:pPr>
      <w:bookmarkStart w:id="155" w:name="_Hlk135225683"/>
      <w:r>
        <w:t xml:space="preserve">These conditions normally include that the </w:t>
      </w:r>
      <w:r w:rsidRPr="00B971F8">
        <w:t>applicant agree</w:t>
      </w:r>
      <w:r>
        <w:t>s</w:t>
      </w:r>
      <w:r w:rsidRPr="00B971F8">
        <w:t xml:space="preserve"> </w:t>
      </w:r>
      <w:r>
        <w:t xml:space="preserve">to, </w:t>
      </w:r>
      <w:r w:rsidRPr="00B971F8">
        <w:t>and accept</w:t>
      </w:r>
      <w:r>
        <w:t>s, the matters set out below:</w:t>
      </w:r>
    </w:p>
    <w:p w14:paraId="23D326FE" w14:textId="77777777" w:rsidR="004376F2" w:rsidRPr="00103BB1" w:rsidRDefault="004376F2" w:rsidP="00D931F4">
      <w:pPr>
        <w:pStyle w:val="Bulletlevel1"/>
      </w:pPr>
      <w:r>
        <w:t>A</w:t>
      </w:r>
      <w:r w:rsidRPr="001A4A61">
        <w:t xml:space="preserve">pproval to file does not in any way imply that the ACMA will issue </w:t>
      </w:r>
      <w:r w:rsidRPr="00103BB1">
        <w:t>radiocommunications licences providing authorisation for the applicant to provide a service within Australia’s territory. Authorisation will be considered under relevant ACMA policy at the time a radiocommunications licence application is received by the ACMA.</w:t>
      </w:r>
    </w:p>
    <w:p w14:paraId="768BA753" w14:textId="77777777" w:rsidR="004376F2" w:rsidRPr="00103BB1" w:rsidRDefault="004376F2" w:rsidP="00D931F4">
      <w:pPr>
        <w:pStyle w:val="Bulletlevel1"/>
      </w:pPr>
      <w:r w:rsidRPr="00103BB1">
        <w:t xml:space="preserve">The frequency coordination with potentially affected existing Australian satellite systems </w:t>
      </w:r>
      <w:r>
        <w:t xml:space="preserve">will </w:t>
      </w:r>
      <w:r w:rsidRPr="00103BB1">
        <w:t>need to be completed before commencing activities to bring the satellite system into use.</w:t>
      </w:r>
    </w:p>
    <w:p w14:paraId="669F1F2D" w14:textId="77777777" w:rsidR="004376F2" w:rsidRPr="001A4A61" w:rsidRDefault="004376F2" w:rsidP="00D931F4">
      <w:pPr>
        <w:pStyle w:val="Bulletlevel1"/>
      </w:pPr>
      <w:r>
        <w:t>V</w:t>
      </w:r>
      <w:r w:rsidRPr="001A4A61">
        <w:t xml:space="preserve">arious </w:t>
      </w:r>
      <w:r>
        <w:t>radiofrequency</w:t>
      </w:r>
      <w:r w:rsidRPr="001A4A61">
        <w:t xml:space="preserve"> bands are under review </w:t>
      </w:r>
      <w:r>
        <w:t xml:space="preserve">from time to time </w:t>
      </w:r>
      <w:r w:rsidRPr="001A4A61">
        <w:t xml:space="preserve">and licensing </w:t>
      </w:r>
      <w:r>
        <w:t>arrangements in these bands</w:t>
      </w:r>
      <w:r w:rsidRPr="001A4A61">
        <w:t xml:space="preserve"> will be dependent on the outcome of those processes. </w:t>
      </w:r>
      <w:r>
        <w:t>The applicant is responsible for conducting</w:t>
      </w:r>
      <w:r w:rsidRPr="001A4A61">
        <w:t xml:space="preserve"> </w:t>
      </w:r>
      <w:r>
        <w:t>their</w:t>
      </w:r>
      <w:r w:rsidRPr="001A4A61">
        <w:t xml:space="preserve"> own due diligence </w:t>
      </w:r>
      <w:proofErr w:type="gramStart"/>
      <w:r w:rsidRPr="001A4A61">
        <w:t>with regard to</w:t>
      </w:r>
      <w:proofErr w:type="gramEnd"/>
      <w:r w:rsidRPr="001A4A61">
        <w:t xml:space="preserve"> current polices and reviews that might affect future licensing</w:t>
      </w:r>
      <w:r>
        <w:t xml:space="preserve"> arrangements.</w:t>
      </w:r>
    </w:p>
    <w:p w14:paraId="017BDD4A" w14:textId="77777777" w:rsidR="004376F2" w:rsidRPr="00B96E19" w:rsidRDefault="004376F2" w:rsidP="00D931F4">
      <w:pPr>
        <w:pStyle w:val="Bulletlevel1"/>
      </w:pPr>
      <w:r w:rsidRPr="00B96E19">
        <w:t xml:space="preserve">If the application to file an NGSO satellite constellation is approved, the ACMA and the satellite operator </w:t>
      </w:r>
      <w:r w:rsidRPr="00407367">
        <w:t>may</w:t>
      </w:r>
      <w:r w:rsidRPr="00B96E19">
        <w:t xml:space="preserve"> develop one or more milestones to establish dates for the realisation of the entire constellation. The ACMA recognises that many factors may affect the delivery of a constellation and suggests that these milestones be reviewed periodically by both parties. </w:t>
      </w:r>
    </w:p>
    <w:p w14:paraId="07E50E7E" w14:textId="77777777" w:rsidR="004376F2" w:rsidRPr="00B96E19" w:rsidRDefault="004376F2" w:rsidP="00D931F4">
      <w:pPr>
        <w:pStyle w:val="Bulletlevel1"/>
      </w:pPr>
      <w:r w:rsidRPr="00B96E19">
        <w:t>If the implementation of an NGSO satellite constellation differs from the original application in any detail (such as number of satellites, orbital height, inclination), an appropriate modification of the ITU satellite filing may be required to reflect the implemented NGSO satellite constellation</w:t>
      </w:r>
      <w:r w:rsidRPr="00407367">
        <w:t xml:space="preserve">. Depending on the circumstances, this may require the satellite operator to submit a new </w:t>
      </w:r>
      <w:r>
        <w:t>application</w:t>
      </w:r>
      <w:r w:rsidRPr="00407367">
        <w:t xml:space="preserve"> request</w:t>
      </w:r>
      <w:r>
        <w:t>ing to modify an existing filing, or to apply for a new filing altogether</w:t>
      </w:r>
      <w:r w:rsidRPr="00B96E19">
        <w:t>.</w:t>
      </w:r>
      <w:r>
        <w:rPr>
          <w:rStyle w:val="FootnoteReference"/>
        </w:rPr>
        <w:footnoteReference w:id="17"/>
      </w:r>
    </w:p>
    <w:p w14:paraId="7969AA7F" w14:textId="77777777" w:rsidR="004376F2" w:rsidRPr="002E36B6" w:rsidRDefault="004376F2" w:rsidP="00D931F4">
      <w:pPr>
        <w:pStyle w:val="Bulletlevel1"/>
      </w:pPr>
      <w:r>
        <w:t>T</w:t>
      </w:r>
      <w:r w:rsidRPr="002E36B6">
        <w:t>he ACMA’s ongoing support for a satellite operation is conditional on there being a substantial benefit to Australia.</w:t>
      </w:r>
    </w:p>
    <w:p w14:paraId="65BED4B7" w14:textId="77777777" w:rsidR="004376F2" w:rsidRDefault="004376F2" w:rsidP="00D931F4">
      <w:pPr>
        <w:pStyle w:val="Bulletlevel1last"/>
      </w:pPr>
      <w:r>
        <w:t>After an application is approved, the applicant must adhere to the</w:t>
      </w:r>
      <w:r w:rsidRPr="00D83CD1">
        <w:t xml:space="preserve"> ongoing obligations </w:t>
      </w:r>
      <w:r>
        <w:t xml:space="preserve">set out </w:t>
      </w:r>
      <w:r w:rsidRPr="00F07B7C">
        <w:t>in</w:t>
      </w:r>
      <w:r>
        <w:t xml:space="preserve"> section </w:t>
      </w:r>
      <w:r>
        <w:fldChar w:fldCharType="begin"/>
      </w:r>
      <w:r>
        <w:instrText xml:space="preserve"> REF _Ref132207988 \r \h </w:instrText>
      </w:r>
      <w:r>
        <w:fldChar w:fldCharType="separate"/>
      </w:r>
      <w:r>
        <w:t>4.3</w:t>
      </w:r>
      <w:r>
        <w:fldChar w:fldCharType="end"/>
      </w:r>
      <w:r w:rsidRPr="00F07B7C">
        <w:t xml:space="preserve"> </w:t>
      </w:r>
      <w:r>
        <w:t>and</w:t>
      </w:r>
      <w:r w:rsidRPr="00D83CD1" w:rsidDel="005B39A9">
        <w:t xml:space="preserve"> </w:t>
      </w:r>
      <w:r>
        <w:t>all</w:t>
      </w:r>
      <w:r w:rsidRPr="00D83CD1">
        <w:t xml:space="preserve"> other </w:t>
      </w:r>
      <w:r>
        <w:t xml:space="preserve">applicable </w:t>
      </w:r>
      <w:r w:rsidRPr="00D83CD1">
        <w:t xml:space="preserve">requirements as set </w:t>
      </w:r>
      <w:r>
        <w:t>out in this document</w:t>
      </w:r>
      <w:r w:rsidRPr="00D83CD1">
        <w:t>.</w:t>
      </w:r>
    </w:p>
    <w:p w14:paraId="64F35B67" w14:textId="77777777" w:rsidR="004376F2" w:rsidRPr="004C5726" w:rsidRDefault="004376F2" w:rsidP="004376F2">
      <w:pPr>
        <w:pStyle w:val="Heading2"/>
        <w:rPr>
          <w:snapToGrid w:val="0"/>
          <w:lang w:eastAsia="en-US"/>
        </w:rPr>
      </w:pPr>
      <w:bookmarkStart w:id="156" w:name="_Toc132284208"/>
      <w:bookmarkStart w:id="157" w:name="_Toc132295795"/>
      <w:bookmarkStart w:id="158" w:name="_Toc132295899"/>
      <w:bookmarkStart w:id="159" w:name="_Toc132284209"/>
      <w:bookmarkStart w:id="160" w:name="_Toc132295796"/>
      <w:bookmarkStart w:id="161" w:name="_Toc132295900"/>
      <w:bookmarkStart w:id="162" w:name="_Toc195092459"/>
      <w:bookmarkStart w:id="163" w:name="_Toc198288035"/>
      <w:bookmarkEnd w:id="155"/>
      <w:bookmarkEnd w:id="156"/>
      <w:bookmarkEnd w:id="157"/>
      <w:bookmarkEnd w:id="158"/>
      <w:bookmarkEnd w:id="159"/>
      <w:bookmarkEnd w:id="160"/>
      <w:bookmarkEnd w:id="161"/>
      <w:r>
        <w:rPr>
          <w:snapToGrid w:val="0"/>
          <w:lang w:eastAsia="en-US"/>
        </w:rPr>
        <w:t>Assessment timeframes and conflicting applications</w:t>
      </w:r>
      <w:bookmarkEnd w:id="162"/>
      <w:bookmarkEnd w:id="163"/>
    </w:p>
    <w:p w14:paraId="67065FF9" w14:textId="77777777" w:rsidR="004376F2" w:rsidRDefault="004376F2" w:rsidP="004376F2">
      <w:pPr>
        <w:pStyle w:val="Paragraph"/>
      </w:pPr>
      <w:r>
        <w:t xml:space="preserve">For applications that require consideration by the </w:t>
      </w:r>
      <w:hyperlink r:id="rId61" w:history="1">
        <w:r w:rsidRPr="00364CAB">
          <w:rPr>
            <w:rStyle w:val="Hyperlink"/>
          </w:rPr>
          <w:t>Authority</w:t>
        </w:r>
      </w:hyperlink>
      <w:r>
        <w:t>, we typically expect</w:t>
      </w:r>
      <w:r w:rsidRPr="00B971F8">
        <w:t xml:space="preserve"> </w:t>
      </w:r>
      <w:r>
        <w:t>the assessment</w:t>
      </w:r>
      <w:r w:rsidRPr="00B971F8">
        <w:t xml:space="preserve"> process </w:t>
      </w:r>
      <w:r>
        <w:t>to</w:t>
      </w:r>
      <w:r w:rsidRPr="00B971F8">
        <w:t xml:space="preserve"> take up to </w:t>
      </w:r>
      <w:r>
        <w:t>6</w:t>
      </w:r>
      <w:r w:rsidRPr="00B971F8">
        <w:t xml:space="preserve"> months</w:t>
      </w:r>
      <w:r>
        <w:t xml:space="preserve"> from receipt of the complete application</w:t>
      </w:r>
      <w:r w:rsidRPr="00B971F8">
        <w:t xml:space="preserve">. </w:t>
      </w:r>
    </w:p>
    <w:p w14:paraId="7A9CC053" w14:textId="77777777" w:rsidR="004376F2" w:rsidRDefault="004376F2" w:rsidP="004376F2">
      <w:pPr>
        <w:pStyle w:val="Paragraph"/>
      </w:pPr>
      <w:r w:rsidRPr="00B971F8">
        <w:t xml:space="preserve">For other applications, the ACMA </w:t>
      </w:r>
      <w:r>
        <w:t xml:space="preserve">will endeavour </w:t>
      </w:r>
      <w:r w:rsidRPr="00B971F8">
        <w:t>to complete the assessment process within one month of receiving a complete application</w:t>
      </w:r>
      <w:r>
        <w:t xml:space="preserve">. </w:t>
      </w:r>
    </w:p>
    <w:p w14:paraId="6A8B2D6E" w14:textId="77777777" w:rsidR="004376F2" w:rsidRDefault="004376F2" w:rsidP="004376F2">
      <w:pPr>
        <w:pStyle w:val="Paragraph"/>
      </w:pPr>
      <w:r>
        <w:t xml:space="preserve">Other priorities and </w:t>
      </w:r>
      <w:r w:rsidRPr="00B971F8">
        <w:t xml:space="preserve">workload of the ACMA may affect </w:t>
      </w:r>
      <w:r>
        <w:t xml:space="preserve">these application assessment timeframes. Complex applications or applications in periods of high activity (for example, when staff are attending international meetings) may take </w:t>
      </w:r>
      <w:r w:rsidRPr="00674AFE">
        <w:t xml:space="preserve">longer </w:t>
      </w:r>
      <w:r w:rsidRPr="008E3CD0">
        <w:t xml:space="preserve">and if there are competing </w:t>
      </w:r>
      <w:r w:rsidRPr="008E3CD0">
        <w:lastRenderedPageBreak/>
        <w:t>tasks, the ACMA would normally prioritise work supporting existing satellite filings over requests for new satellite filing</w:t>
      </w:r>
      <w:r w:rsidRPr="00BA1221">
        <w:t>s</w:t>
      </w:r>
      <w:r>
        <w:t>.</w:t>
      </w:r>
      <w:r w:rsidDel="002D31D4">
        <w:t xml:space="preserve"> </w:t>
      </w:r>
    </w:p>
    <w:p w14:paraId="785AC9C5" w14:textId="77777777" w:rsidR="004376F2" w:rsidRPr="00B971F8" w:rsidRDefault="004376F2" w:rsidP="00EB726B">
      <w:pPr>
        <w:pStyle w:val="Paragraph"/>
      </w:pPr>
      <w:r w:rsidRPr="00B971F8">
        <w:t xml:space="preserve">Satellite operators are encouraged to allow sufficient time for this work when planning their satellite systems. </w:t>
      </w:r>
    </w:p>
    <w:p w14:paraId="4DFB9196" w14:textId="77777777" w:rsidR="004376F2" w:rsidRDefault="004376F2" w:rsidP="004376F2">
      <w:pPr>
        <w:pStyle w:val="Paragraph"/>
      </w:pPr>
      <w:r w:rsidRPr="00B971F8">
        <w:t xml:space="preserve">The ACMA may not </w:t>
      </w:r>
      <w:r>
        <w:t>assess</w:t>
      </w:r>
      <w:r w:rsidRPr="00B971F8">
        <w:t xml:space="preserve"> an application that could affect the assessment of another application that was submitted to the ACMA at an earlier date. In the unlikely event of multiple complete applications (for satellite systems with the potential to interfere with one another) being submitted on the same </w:t>
      </w:r>
      <w:r>
        <w:t>date</w:t>
      </w:r>
      <w:r w:rsidRPr="00B971F8">
        <w:t>, all satellite systems will be treated as requiring coordination with the other satellite systems</w:t>
      </w:r>
      <w:r>
        <w:t>.</w:t>
      </w:r>
      <w:r w:rsidRPr="00B971F8">
        <w:t xml:space="preserve"> </w:t>
      </w:r>
      <w:r>
        <w:t>A</w:t>
      </w:r>
      <w:r w:rsidRPr="00B971F8">
        <w:t xml:space="preserve">pplications </w:t>
      </w:r>
      <w:r>
        <w:t>submitted on different dates</w:t>
      </w:r>
      <w:r w:rsidRPr="00B971F8">
        <w:t xml:space="preserve"> will normally be assessed on their merits in the order of submission of a complete application.</w:t>
      </w:r>
    </w:p>
    <w:p w14:paraId="470D0D9F" w14:textId="77777777" w:rsidR="004376F2" w:rsidRDefault="004376F2" w:rsidP="004376F2">
      <w:pPr>
        <w:pStyle w:val="Paragraph"/>
      </w:pPr>
      <w:r w:rsidRPr="00B971F8">
        <w:t>The</w:t>
      </w:r>
      <w:r>
        <w:t xml:space="preserve"> ACMA will not submit a satellite filing to the ITU until </w:t>
      </w:r>
      <w:r w:rsidRPr="00B971F8">
        <w:t>the ACMA has reached a favourable finding regarding the application.</w:t>
      </w:r>
    </w:p>
    <w:p w14:paraId="5AD05657" w14:textId="77777777" w:rsidR="004376F2" w:rsidRPr="00B971F8" w:rsidRDefault="004376F2" w:rsidP="004376F2">
      <w:pPr>
        <w:pStyle w:val="Heading3"/>
      </w:pPr>
      <w:bookmarkStart w:id="164" w:name="_Toc174974719"/>
      <w:bookmarkStart w:id="165" w:name="_Toc174974720"/>
      <w:bookmarkStart w:id="166" w:name="_Toc195092460"/>
      <w:bookmarkStart w:id="167" w:name="_Toc198288036"/>
      <w:bookmarkEnd w:id="164"/>
      <w:bookmarkEnd w:id="165"/>
      <w:r w:rsidRPr="00D64BA2">
        <w:rPr>
          <w:snapToGrid w:val="0"/>
          <w:lang w:eastAsia="en-US"/>
        </w:rPr>
        <w:t>Confidentiality</w:t>
      </w:r>
      <w:bookmarkEnd w:id="166"/>
      <w:bookmarkEnd w:id="167"/>
    </w:p>
    <w:p w14:paraId="058D2FAF" w14:textId="191D9EFC" w:rsidR="004376F2" w:rsidRDefault="004376F2" w:rsidP="00EB726B">
      <w:pPr>
        <w:pStyle w:val="Paragraph"/>
      </w:pPr>
      <w:r w:rsidRPr="00B971F8">
        <w:t>Information that can be obtained from public sources, such as the ITU website, or by purchasing the</w:t>
      </w:r>
      <w:r>
        <w:t xml:space="preserve"> </w:t>
      </w:r>
      <w:hyperlink r:id="rId62" w:history="1">
        <w:r w:rsidR="00957D99">
          <w:rPr>
            <w:rStyle w:val="Hyperlink"/>
          </w:rPr>
          <w:t>International Frequency Information Circular</w:t>
        </w:r>
      </w:hyperlink>
      <w:r w:rsidRPr="00B971F8">
        <w:t>, will not be treated as confidential.</w:t>
      </w:r>
    </w:p>
    <w:p w14:paraId="146B0B84" w14:textId="77777777" w:rsidR="004376F2" w:rsidRPr="00B971F8" w:rsidRDefault="004376F2" w:rsidP="00EB726B">
      <w:pPr>
        <w:pStyle w:val="Paragraph"/>
      </w:pPr>
      <w:r w:rsidRPr="00B971F8">
        <w:t>Generally</w:t>
      </w:r>
      <w:r>
        <w:t>,</w:t>
      </w:r>
      <w:r w:rsidRPr="00B971F8">
        <w:t xml:space="preserve"> other information regarding a satellite system provided by a satellite operator will be treated as ‘commercial in</w:t>
      </w:r>
      <w:r>
        <w:t xml:space="preserve"> </w:t>
      </w:r>
      <w:r w:rsidRPr="00B971F8">
        <w:t>confidence’ by the ACMA, unless otherwise agreed between the parties or required to be disclosed.</w:t>
      </w:r>
      <w:r>
        <w:t xml:space="preserve"> However, satellite operators should be aware that how information is treated by other parties (for example, foreign administrations or foreign satellite operators) is a matter for those parties and outside the ACMA’s control.</w:t>
      </w:r>
    </w:p>
    <w:p w14:paraId="69A5909B" w14:textId="77777777" w:rsidR="004376F2" w:rsidRPr="00B971F8" w:rsidRDefault="004376F2" w:rsidP="00EB726B">
      <w:pPr>
        <w:pStyle w:val="Paragraph"/>
      </w:pPr>
      <w:r>
        <w:t xml:space="preserve">Satellite operators are required to provide contact details </w:t>
      </w:r>
      <w:r>
        <w:rPr>
          <w:lang w:eastAsia="en-US"/>
        </w:rPr>
        <w:t xml:space="preserve">to the ACMA. These can be provided by the ACMA to foreign administrations, Australian satellite operators and foreign satellite operators to facilitate discussions between administrations and operators. </w:t>
      </w:r>
    </w:p>
    <w:p w14:paraId="0FA9795B" w14:textId="77777777" w:rsidR="004376F2" w:rsidRPr="00964F3A" w:rsidRDefault="004376F2" w:rsidP="004376F2">
      <w:pPr>
        <w:pStyle w:val="Heading1"/>
      </w:pPr>
      <w:bookmarkStart w:id="168" w:name="_Toc306786391"/>
      <w:bookmarkStart w:id="169" w:name="_Toc111546511"/>
      <w:bookmarkStart w:id="170" w:name="_Toc114472675"/>
      <w:bookmarkStart w:id="171" w:name="_Toc128663958"/>
      <w:bookmarkStart w:id="172" w:name="_Toc195092461"/>
      <w:bookmarkStart w:id="173" w:name="_Toc198288037"/>
      <w:r w:rsidRPr="00964F3A">
        <w:lastRenderedPageBreak/>
        <w:t>Assessment criteria</w:t>
      </w:r>
      <w:bookmarkEnd w:id="168"/>
      <w:bookmarkEnd w:id="169"/>
      <w:bookmarkEnd w:id="170"/>
      <w:bookmarkEnd w:id="171"/>
      <w:bookmarkEnd w:id="172"/>
      <w:bookmarkEnd w:id="173"/>
    </w:p>
    <w:p w14:paraId="73A152E0" w14:textId="77777777" w:rsidR="004376F2" w:rsidRPr="00E51DAE" w:rsidRDefault="004376F2" w:rsidP="004376F2">
      <w:pPr>
        <w:pStyle w:val="Paragraph"/>
      </w:pPr>
      <w:r w:rsidRPr="00E51DAE">
        <w:t xml:space="preserve">All applicants must provide a comprehensive statement against the assessment criteria described below. This includes applicants (who have provided this information previously) seeking a modification (such as </w:t>
      </w:r>
      <w:r>
        <w:t xml:space="preserve">to </w:t>
      </w:r>
      <w:r w:rsidRPr="00E51DAE">
        <w:t xml:space="preserve">add or change a frequency </w:t>
      </w:r>
      <w:proofErr w:type="gramStart"/>
      <w:r w:rsidRPr="00E51DAE">
        <w:t>band, or</w:t>
      </w:r>
      <w:proofErr w:type="gramEnd"/>
      <w:r w:rsidRPr="00E51DAE">
        <w:t xml:space="preserve"> alter orbital parameters) or transfer use of a filing, or who are subject to a change of ownership, so the ACMA can determine whether an applicant is eligible for the ACMA to act on </w:t>
      </w:r>
      <w:r>
        <w:t>its</w:t>
      </w:r>
      <w:r w:rsidRPr="00E51DAE">
        <w:t xml:space="preserve"> behalf. </w:t>
      </w:r>
    </w:p>
    <w:p w14:paraId="0EF54BC5" w14:textId="77777777" w:rsidR="004376F2" w:rsidRPr="00E51DAE" w:rsidRDefault="004376F2" w:rsidP="004376F2">
      <w:pPr>
        <w:pStyle w:val="Paragraph"/>
      </w:pPr>
      <w:r w:rsidRPr="00E51DAE">
        <w:t xml:space="preserve">For a modification, as the ACMA’s ongoing support for a satellite operation is conditional on there being a substantial benefit to Australia, a </w:t>
      </w:r>
      <w:r>
        <w:t>justification for</w:t>
      </w:r>
      <w:r w:rsidRPr="00E51DAE">
        <w:t xml:space="preserve"> the modification will always be required. However, for minor modifications</w:t>
      </w:r>
      <w:r>
        <w:t>,</w:t>
      </w:r>
      <w:r w:rsidRPr="00E51DAE">
        <w:t xml:space="preserve"> it is possible that not all assessment criteria will need to be addressed. For example</w:t>
      </w:r>
      <w:r>
        <w:t>,</w:t>
      </w:r>
      <w:r w:rsidRPr="00E51DAE">
        <w:t xml:space="preserve"> no additional comments are required against the assessment criteria for changes to a recently submitted filing to include additional earth station locations or </w:t>
      </w:r>
      <w:r>
        <w:t xml:space="preserve">a </w:t>
      </w:r>
      <w:r w:rsidRPr="00E51DAE">
        <w:t>correction to orbital information after launch</w:t>
      </w:r>
      <w:r>
        <w:t>,</w:t>
      </w:r>
      <w:r w:rsidRPr="00E51DAE">
        <w:t xml:space="preserve"> if the material provided with original filing request </w:t>
      </w:r>
      <w:r>
        <w:t>remains</w:t>
      </w:r>
      <w:r w:rsidRPr="00E51DAE">
        <w:t xml:space="preserve"> valid and </w:t>
      </w:r>
      <w:proofErr w:type="gramStart"/>
      <w:r w:rsidRPr="00E51DAE">
        <w:t>it is clear that there</w:t>
      </w:r>
      <w:proofErr w:type="gramEnd"/>
      <w:r w:rsidRPr="00E51DAE">
        <w:t xml:space="preserve"> is still a substantial benefit to Australia. Please contact us to discuss if a full application is required.</w:t>
      </w:r>
    </w:p>
    <w:p w14:paraId="736889B9" w14:textId="77777777" w:rsidR="004376F2" w:rsidRPr="00B971F8" w:rsidDel="00C67F41" w:rsidRDefault="004376F2" w:rsidP="00EB726B">
      <w:pPr>
        <w:pStyle w:val="Paragraph"/>
      </w:pPr>
      <w:r w:rsidRPr="00251095">
        <w:t>While there is no specific format for the statement, a covering letter that summarises the application, along with required supporting information</w:t>
      </w:r>
      <w:r>
        <w:t xml:space="preserve"> and comments against each assessment criterion</w:t>
      </w:r>
      <w:r w:rsidRPr="00251095">
        <w:t xml:space="preserve"> submitted with your application form and satellite filing data is recommended.</w:t>
      </w:r>
      <w:r w:rsidRPr="00692936">
        <w:rPr>
          <w:highlight w:val="yellow"/>
        </w:rPr>
        <w:t xml:space="preserve"> </w:t>
      </w:r>
    </w:p>
    <w:p w14:paraId="0C787127" w14:textId="77777777" w:rsidR="004376F2" w:rsidRPr="00B971F8" w:rsidRDefault="004376F2" w:rsidP="004376F2">
      <w:pPr>
        <w:pStyle w:val="Heading2"/>
      </w:pPr>
      <w:bookmarkStart w:id="174" w:name="_Toc111546512"/>
      <w:bookmarkStart w:id="175" w:name="_Toc114472676"/>
      <w:bookmarkStart w:id="176" w:name="_Toc128663959"/>
      <w:bookmarkStart w:id="177" w:name="_Ref132285604"/>
      <w:bookmarkStart w:id="178" w:name="_Ref132285607"/>
      <w:bookmarkStart w:id="179" w:name="_Ref132285612"/>
      <w:bookmarkStart w:id="180" w:name="_Toc195092462"/>
      <w:bookmarkStart w:id="181" w:name="_Toc198288038"/>
      <w:r w:rsidRPr="00B971F8">
        <w:t>Conformity with planning arrangements</w:t>
      </w:r>
      <w:bookmarkEnd w:id="174"/>
      <w:bookmarkEnd w:id="175"/>
      <w:bookmarkEnd w:id="176"/>
      <w:bookmarkEnd w:id="177"/>
      <w:bookmarkEnd w:id="178"/>
      <w:bookmarkEnd w:id="179"/>
      <w:bookmarkEnd w:id="180"/>
      <w:bookmarkEnd w:id="181"/>
    </w:p>
    <w:p w14:paraId="03998ADC" w14:textId="77777777" w:rsidR="004376F2" w:rsidRPr="00B971F8" w:rsidRDefault="004376F2" w:rsidP="004376F2">
      <w:pPr>
        <w:pStyle w:val="Paragraphbeforelist"/>
      </w:pPr>
      <w:r w:rsidRPr="00B971F8">
        <w:t>The proposed satellite system must conform with:</w:t>
      </w:r>
    </w:p>
    <w:p w14:paraId="3470DB69" w14:textId="77777777" w:rsidR="004376F2" w:rsidRPr="00B971F8" w:rsidRDefault="004376F2" w:rsidP="00D931F4">
      <w:pPr>
        <w:pStyle w:val="Bulletlevel1"/>
      </w:pPr>
      <w:r w:rsidRPr="00B971F8">
        <w:t xml:space="preserve">the ITU </w:t>
      </w:r>
      <w:hyperlink r:id="rId63" w:history="1">
        <w:r w:rsidRPr="00561928">
          <w:rPr>
            <w:rStyle w:val="Hyperlink"/>
          </w:rPr>
          <w:t>Radio Regulations</w:t>
        </w:r>
      </w:hyperlink>
      <w:r w:rsidRPr="00B971F8">
        <w:t>, any relevant administrative regulations of the ITU</w:t>
      </w:r>
      <w:r>
        <w:rPr>
          <w:rStyle w:val="FootnoteReference"/>
        </w:rPr>
        <w:footnoteReference w:id="18"/>
      </w:r>
      <w:r w:rsidRPr="00B971F8">
        <w:t xml:space="preserve"> and the ITU </w:t>
      </w:r>
      <w:hyperlink r:id="rId64" w:history="1">
        <w:r w:rsidRPr="00417FC7">
          <w:rPr>
            <w:rStyle w:val="Hyperlink"/>
          </w:rPr>
          <w:t>Rules of Procedure</w:t>
        </w:r>
      </w:hyperlink>
    </w:p>
    <w:p w14:paraId="689E1B8A" w14:textId="77777777" w:rsidR="004376F2" w:rsidRPr="00B971F8" w:rsidRDefault="004376F2" w:rsidP="00D931F4">
      <w:pPr>
        <w:pStyle w:val="Bulletlevel1last"/>
      </w:pPr>
      <w:r w:rsidRPr="00B971F8">
        <w:t>all relevant Australian domestic</w:t>
      </w:r>
      <w:r>
        <w:t xml:space="preserve"> radiocommunications legislative requirements and</w:t>
      </w:r>
      <w:r w:rsidRPr="00B971F8">
        <w:t xml:space="preserve"> radiocommunications policies </w:t>
      </w:r>
      <w:bookmarkStart w:id="182" w:name="OLE_LINK15"/>
      <w:bookmarkStart w:id="183" w:name="OLE_LINK16"/>
      <w:r w:rsidRPr="00B971F8">
        <w:t xml:space="preserve">(such as </w:t>
      </w:r>
      <w:hyperlink r:id="rId65" w:history="1">
        <w:r w:rsidRPr="00F10280">
          <w:rPr>
            <w:rStyle w:val="Hyperlink"/>
          </w:rPr>
          <w:t>radiocommunications assignment and licensing instructions</w:t>
        </w:r>
      </w:hyperlink>
      <w:r w:rsidRPr="00B971F8">
        <w:t xml:space="preserve"> and </w:t>
      </w:r>
      <w:hyperlink r:id="rId66" w:history="1">
        <w:r w:rsidRPr="00051E9C">
          <w:rPr>
            <w:rStyle w:val="Hyperlink"/>
          </w:rPr>
          <w:t>spectrum embargoes</w:t>
        </w:r>
      </w:hyperlink>
      <w:r w:rsidRPr="00B971F8">
        <w:t xml:space="preserve">) and legislative instruments (such as </w:t>
      </w:r>
      <w:r>
        <w:t xml:space="preserve">the </w:t>
      </w:r>
      <w:hyperlink r:id="rId67" w:history="1">
        <w:r w:rsidRPr="007300FD">
          <w:rPr>
            <w:rStyle w:val="Hyperlink"/>
          </w:rPr>
          <w:t>Australian Radiofrequency Spectrum Plan</w:t>
        </w:r>
      </w:hyperlink>
      <w:r>
        <w:t xml:space="preserve">, </w:t>
      </w:r>
      <w:hyperlink r:id="rId68" w:history="1">
        <w:r w:rsidRPr="0088223C">
          <w:rPr>
            <w:rStyle w:val="Hyperlink"/>
          </w:rPr>
          <w:t>frequency band plans</w:t>
        </w:r>
      </w:hyperlink>
      <w:r w:rsidRPr="00B971F8">
        <w:t xml:space="preserve"> and </w:t>
      </w:r>
      <w:hyperlink r:id="rId69" w:history="1">
        <w:r w:rsidRPr="00F12199">
          <w:rPr>
            <w:rStyle w:val="Hyperlink"/>
          </w:rPr>
          <w:t>class licences</w:t>
        </w:r>
      </w:hyperlink>
      <w:r w:rsidRPr="00B971F8">
        <w:t>) in effect at the time that the system becomes operational</w:t>
      </w:r>
      <w:bookmarkEnd w:id="182"/>
      <w:bookmarkEnd w:id="183"/>
      <w:r w:rsidRPr="00B971F8">
        <w:t xml:space="preserve">. </w:t>
      </w:r>
    </w:p>
    <w:p w14:paraId="14937984" w14:textId="77777777" w:rsidR="004376F2" w:rsidRDefault="004376F2" w:rsidP="004376F2">
      <w:pPr>
        <w:pStyle w:val="Paragraph"/>
      </w:pPr>
      <w:r w:rsidRPr="00B971F8">
        <w:t>Any inconsistencies between the proposed system and current domestic legislation</w:t>
      </w:r>
      <w:r>
        <w:t xml:space="preserve"> and policy</w:t>
      </w:r>
      <w:r w:rsidRPr="00B971F8">
        <w:t>, and any incompatibility with existing Australian radiocommunication</w:t>
      </w:r>
      <w:r>
        <w:t>s</w:t>
      </w:r>
      <w:r w:rsidRPr="00B971F8">
        <w:t xml:space="preserve"> services should be noted, along with proposals to resolve the inconsistency or incompatibility (for example, the satellite operator may plan to provide the ACMA with a sharing scenario between </w:t>
      </w:r>
      <w:r>
        <w:t>existing</w:t>
      </w:r>
      <w:r w:rsidRPr="00B971F8">
        <w:t xml:space="preserve"> systems and </w:t>
      </w:r>
      <w:r>
        <w:t>its</w:t>
      </w:r>
      <w:r w:rsidRPr="00B971F8">
        <w:t xml:space="preserve"> proposed system)</w:t>
      </w:r>
      <w:r>
        <w:t>.</w:t>
      </w:r>
      <w:r w:rsidRPr="00B971F8">
        <w:t xml:space="preserve"> Satellite operators are strongly encouraged to take the initiative in this area.</w:t>
      </w:r>
    </w:p>
    <w:p w14:paraId="78A98482" w14:textId="77777777" w:rsidR="004376F2" w:rsidRDefault="004376F2" w:rsidP="004376F2">
      <w:pPr>
        <w:pStyle w:val="Heading3"/>
      </w:pPr>
      <w:bookmarkStart w:id="184" w:name="_Toc195092463"/>
      <w:bookmarkStart w:id="185" w:name="_Toc198288039"/>
      <w:r>
        <w:t>Space research treaty obligations and radiocommunications licensing</w:t>
      </w:r>
      <w:bookmarkEnd w:id="184"/>
      <w:bookmarkEnd w:id="185"/>
    </w:p>
    <w:p w14:paraId="1A4D5AFA" w14:textId="41555E9E" w:rsidR="004376F2" w:rsidRDefault="004376F2" w:rsidP="004376F2">
      <w:pPr>
        <w:pStyle w:val="Paragraph"/>
      </w:pPr>
      <w:r w:rsidRPr="00A632C4">
        <w:t xml:space="preserve">Under the terms of treaties between the Australian </w:t>
      </w:r>
      <w:r w:rsidR="008B45A1">
        <w:t>G</w:t>
      </w:r>
      <w:r w:rsidR="008B45A1" w:rsidRPr="00A632C4">
        <w:t xml:space="preserve">overnment </w:t>
      </w:r>
      <w:r w:rsidRPr="00A632C4">
        <w:t>and the European Space Agency (ESA)</w:t>
      </w:r>
      <w:r>
        <w:t>, and the Australian and United States governments,</w:t>
      </w:r>
      <w:r w:rsidRPr="00A632C4">
        <w:t xml:space="preserve"> the Australian </w:t>
      </w:r>
      <w:r w:rsidR="008B45A1">
        <w:t>G</w:t>
      </w:r>
      <w:r w:rsidRPr="00A632C4">
        <w:t xml:space="preserve">overnment </w:t>
      </w:r>
      <w:r>
        <w:t xml:space="preserve">supports communications facilities used in Australia by the </w:t>
      </w:r>
      <w:r w:rsidRPr="00BC40EB">
        <w:t>ESA</w:t>
      </w:r>
      <w:r>
        <w:t xml:space="preserve"> </w:t>
      </w:r>
      <w:r w:rsidRPr="00BC40EB">
        <w:t xml:space="preserve">and </w:t>
      </w:r>
      <w:r>
        <w:t>the N</w:t>
      </w:r>
      <w:r w:rsidRPr="003F5B77">
        <w:t>ational Aeronautics and Space Administratio</w:t>
      </w:r>
      <w:r>
        <w:t>n (</w:t>
      </w:r>
      <w:r w:rsidRPr="00A632C4">
        <w:t>NASA</w:t>
      </w:r>
      <w:r>
        <w:t>)</w:t>
      </w:r>
      <w:r w:rsidRPr="00BC40EB">
        <w:t xml:space="preserve"> </w:t>
      </w:r>
      <w:r>
        <w:t xml:space="preserve">for their </w:t>
      </w:r>
      <w:r w:rsidRPr="00BC40EB">
        <w:t xml:space="preserve">space vehicle tracking </w:t>
      </w:r>
      <w:r>
        <w:lastRenderedPageBreak/>
        <w:t>programs. Under these treaties, Australia is to use its best endeavours/take all reasonable steps to protect associated earth station receivers from harmful interference.</w:t>
      </w:r>
      <w:r w:rsidRPr="007738E4">
        <w:rPr>
          <w:rStyle w:val="FootnoteReference"/>
        </w:rPr>
        <w:t xml:space="preserve"> </w:t>
      </w:r>
      <w:r>
        <w:rPr>
          <w:rStyle w:val="FootnoteReference"/>
        </w:rPr>
        <w:footnoteReference w:id="19"/>
      </w:r>
      <w:r>
        <w:t xml:space="preserve"> </w:t>
      </w:r>
    </w:p>
    <w:p w14:paraId="488BC21B" w14:textId="77777777" w:rsidR="00AC3082" w:rsidRDefault="00AC3082" w:rsidP="00AC3082">
      <w:pPr>
        <w:pStyle w:val="Paragraphbeforelist"/>
      </w:pPr>
      <w:r>
        <w:t xml:space="preserve">Earth stations supported under the treaties comprise those at ESA’s </w:t>
      </w:r>
      <w:r w:rsidRPr="00815F2E">
        <w:t>New Norcia</w:t>
      </w:r>
      <w:r w:rsidRPr="00162D32">
        <w:t xml:space="preserve"> </w:t>
      </w:r>
      <w:r>
        <w:t>(</w:t>
      </w:r>
      <w:r w:rsidRPr="00162D32">
        <w:t>Western Australia</w:t>
      </w:r>
      <w:r>
        <w:t>) facility and NASA’s Canberra Deep Space Communication Complex (Tidbinbilla). Frequency bands currently utilised by earth stations at the New Norcia and Tidbinbilla facilities are:</w:t>
      </w:r>
    </w:p>
    <w:p w14:paraId="34A26C3D" w14:textId="7A1FF31F" w:rsidR="00AC3082" w:rsidRPr="006C29D6" w:rsidRDefault="00AC3082" w:rsidP="00AC3082">
      <w:pPr>
        <w:pStyle w:val="Bulletlevel1"/>
      </w:pPr>
      <w:r w:rsidRPr="006C29D6">
        <w:t>Earth-to-space: 2025</w:t>
      </w:r>
      <w:r>
        <w:t>–</w:t>
      </w:r>
      <w:r w:rsidRPr="006C29D6">
        <w:t>2110 MHz, 2110</w:t>
      </w:r>
      <w:r>
        <w:t>–</w:t>
      </w:r>
      <w:r w:rsidRPr="006C29D6">
        <w:t>2120 MHz (deep space), 7145</w:t>
      </w:r>
      <w:r>
        <w:t>–</w:t>
      </w:r>
      <w:r w:rsidRPr="006C29D6">
        <w:t>7190 MHz (deep space), 7190</w:t>
      </w:r>
      <w:r>
        <w:t>–</w:t>
      </w:r>
      <w:r w:rsidRPr="006C29D6">
        <w:t>7235 MHz, 22.55</w:t>
      </w:r>
      <w:r>
        <w:t>–</w:t>
      </w:r>
      <w:r w:rsidRPr="006C29D6">
        <w:t>23.15 GHz, and 34.2</w:t>
      </w:r>
      <w:r>
        <w:t>–</w:t>
      </w:r>
      <w:r w:rsidRPr="006C29D6">
        <w:t>34.7 GHz (deep space)</w:t>
      </w:r>
    </w:p>
    <w:p w14:paraId="561F1F40" w14:textId="77777777" w:rsidR="00AC3082" w:rsidRPr="007D3A6A" w:rsidRDefault="00AC3082" w:rsidP="00AC3082">
      <w:pPr>
        <w:pStyle w:val="Bulletlevel1last"/>
      </w:pPr>
      <w:r w:rsidRPr="00254FE3">
        <w:t>space-to-Earth: 2200</w:t>
      </w:r>
      <w:r>
        <w:t>–</w:t>
      </w:r>
      <w:r w:rsidRPr="00254FE3">
        <w:t>2290 MHz, 2290</w:t>
      </w:r>
      <w:r>
        <w:t>–</w:t>
      </w:r>
      <w:r w:rsidRPr="00254FE3">
        <w:t>2300 MHz (deep space), 8400</w:t>
      </w:r>
      <w:r>
        <w:t>–</w:t>
      </w:r>
      <w:r w:rsidRPr="00254FE3">
        <w:t>8450 MHz (deep space</w:t>
      </w:r>
      <w:r>
        <w:t>), 8450–8500 MHz, 25.5–27 GHz, 31.8–32.3 GHz (deep space).</w:t>
      </w:r>
    </w:p>
    <w:p w14:paraId="02FEB1D8" w14:textId="2A37AA15" w:rsidR="00AC3082" w:rsidRPr="00A009AC" w:rsidRDefault="00F35E9E" w:rsidP="00AC3082">
      <w:pPr>
        <w:pStyle w:val="Paragraph"/>
      </w:pPr>
      <w:r>
        <w:t xml:space="preserve">The facilities are </w:t>
      </w:r>
      <w:r w:rsidR="006F3586">
        <w:t>managed</w:t>
      </w:r>
      <w:r>
        <w:t xml:space="preserve"> by Commonwealth Scientific and Industrial Research Organisation (CSIRO)</w:t>
      </w:r>
      <w:r w:rsidDel="00C96E99">
        <w:t xml:space="preserve"> </w:t>
      </w:r>
      <w:r>
        <w:t>on behalf of ESA/NASA</w:t>
      </w:r>
      <w:r w:rsidR="006F3586">
        <w:t>.</w:t>
      </w:r>
      <w:r>
        <w:t xml:space="preserve"> </w:t>
      </w:r>
      <w:proofErr w:type="gramStart"/>
      <w:r w:rsidR="00AC3082" w:rsidRPr="00A009AC">
        <w:t>With the exception of</w:t>
      </w:r>
      <w:proofErr w:type="gramEnd"/>
      <w:r w:rsidR="00AC3082" w:rsidRPr="00A009AC">
        <w:t xml:space="preserve"> the frequency bands 2025</w:t>
      </w:r>
      <w:r w:rsidR="00AC3082">
        <w:t>–</w:t>
      </w:r>
      <w:r w:rsidR="00AC3082" w:rsidRPr="00A009AC">
        <w:t>2110 MHz and 2200</w:t>
      </w:r>
      <w:r w:rsidR="00AC3082">
        <w:t>–</w:t>
      </w:r>
      <w:r w:rsidR="00AC3082" w:rsidRPr="00A009AC">
        <w:t>2290 MHz</w:t>
      </w:r>
      <w:r w:rsidR="00AC3082">
        <w:t xml:space="preserve">, </w:t>
      </w:r>
      <w:r w:rsidR="00AC3082" w:rsidRPr="00A009AC">
        <w:t xml:space="preserve">typically </w:t>
      </w:r>
      <w:r w:rsidR="007D0A42">
        <w:t xml:space="preserve">the </w:t>
      </w:r>
      <w:r w:rsidR="00AC3082" w:rsidRPr="00A009AC">
        <w:t xml:space="preserve">only </w:t>
      </w:r>
      <w:r w:rsidR="00AC3082">
        <w:t xml:space="preserve">earth stations licensed to operate in these bands in Australia are </w:t>
      </w:r>
      <w:r w:rsidR="00524111">
        <w:t>those</w:t>
      </w:r>
      <w:r w:rsidR="00AC3082">
        <w:t xml:space="preserve"> operated by </w:t>
      </w:r>
      <w:r w:rsidR="00AC3082" w:rsidRPr="00A009AC">
        <w:t>ESA/NASA.</w:t>
      </w:r>
      <w:r w:rsidR="000B2487">
        <w:t xml:space="preserve"> </w:t>
      </w:r>
      <w:r w:rsidR="00836412">
        <w:t>The m</w:t>
      </w:r>
      <w:r w:rsidR="00F17889">
        <w:t xml:space="preserve">ain area of concern </w:t>
      </w:r>
      <w:r w:rsidR="00D210F7">
        <w:t xml:space="preserve">is </w:t>
      </w:r>
      <w:r w:rsidR="00836412">
        <w:t xml:space="preserve">the </w:t>
      </w:r>
      <w:r w:rsidR="00D210F7">
        <w:t>i</w:t>
      </w:r>
      <w:r w:rsidR="002434D4">
        <w:t xml:space="preserve">mpact on ESA/NASA </w:t>
      </w:r>
      <w:r w:rsidR="00CA67EF">
        <w:t xml:space="preserve">earth station </w:t>
      </w:r>
      <w:r w:rsidR="00353298">
        <w:t>receivers from NG</w:t>
      </w:r>
      <w:r w:rsidR="000B2487">
        <w:t xml:space="preserve">SO/LEO satellite system </w:t>
      </w:r>
      <w:r w:rsidR="00353298">
        <w:t xml:space="preserve">communication with </w:t>
      </w:r>
      <w:r w:rsidR="00CA67EF">
        <w:t>earth receive stations</w:t>
      </w:r>
      <w:r w:rsidR="00CD5876">
        <w:t xml:space="preserve">, particularly those </w:t>
      </w:r>
      <w:r w:rsidR="000B2487">
        <w:t>utilising the frequency band 2200–2290 MHz and located within 600 km of Tidbinbilla</w:t>
      </w:r>
      <w:r w:rsidR="004C3BA5">
        <w:t>.</w:t>
      </w:r>
    </w:p>
    <w:p w14:paraId="24A7E417" w14:textId="74EF52F2" w:rsidR="004376F2" w:rsidRDefault="004376F2" w:rsidP="00EB726B">
      <w:pPr>
        <w:pStyle w:val="Paragraph"/>
      </w:pPr>
      <w:r>
        <w:t xml:space="preserve">As </w:t>
      </w:r>
      <w:r w:rsidRPr="00B61615">
        <w:t xml:space="preserve">ESA/NASA </w:t>
      </w:r>
      <w:r w:rsidRPr="00EA1CDF">
        <w:t xml:space="preserve">earth </w:t>
      </w:r>
      <w:r>
        <w:t xml:space="preserve">stations </w:t>
      </w:r>
      <w:r w:rsidRPr="00EA1CDF">
        <w:t>communicate with satellite systems filed by administrations other than Australia (typically US for NASA and Germany for ESA), the impact o</w:t>
      </w:r>
      <w:r>
        <w:t>n ESA/NASA</w:t>
      </w:r>
      <w:r w:rsidRPr="00EA1CDF">
        <w:t xml:space="preserve"> facilit</w:t>
      </w:r>
      <w:r>
        <w:t xml:space="preserve">ies is not normally </w:t>
      </w:r>
      <w:r w:rsidRPr="00EA1CDF">
        <w:t>consider</w:t>
      </w:r>
      <w:r>
        <w:t>ed when assessing new satellite filing requests. It is a matter for the ITU satellite coordination process</w:t>
      </w:r>
      <w:r w:rsidR="007D7D6E">
        <w:t xml:space="preserve"> and</w:t>
      </w:r>
      <w:r w:rsidR="0086440D">
        <w:t>,</w:t>
      </w:r>
      <w:r w:rsidR="007D7D6E">
        <w:t xml:space="preserve"> if relevant</w:t>
      </w:r>
      <w:r w:rsidR="0086440D">
        <w:t>,</w:t>
      </w:r>
      <w:r w:rsidR="007D7D6E">
        <w:t xml:space="preserve"> </w:t>
      </w:r>
      <w:r w:rsidR="00CD1B98">
        <w:t xml:space="preserve">for the ACMA </w:t>
      </w:r>
      <w:r>
        <w:t xml:space="preserve">when assessing </w:t>
      </w:r>
      <w:r w:rsidRPr="00EA1CDF">
        <w:t xml:space="preserve">radiocommunications licence </w:t>
      </w:r>
      <w:r>
        <w:t xml:space="preserve">applications </w:t>
      </w:r>
      <w:r w:rsidRPr="00EA1CDF">
        <w:t>for space-based communica</w:t>
      </w:r>
      <w:r>
        <w:t xml:space="preserve">tion </w:t>
      </w:r>
      <w:r w:rsidRPr="00EA1CDF">
        <w:t>systems</w:t>
      </w:r>
      <w:r>
        <w:t xml:space="preserve"> in Australia. </w:t>
      </w:r>
    </w:p>
    <w:p w14:paraId="28269291" w14:textId="30A1756E" w:rsidR="007D4292" w:rsidRDefault="004376F2" w:rsidP="00704F43">
      <w:pPr>
        <w:pStyle w:val="Paragraph"/>
      </w:pPr>
      <w:r>
        <w:t>While coordination with ESA/NASA earth stations is not included in current ACMA licence assessment procedure</w:t>
      </w:r>
      <w:r w:rsidR="008B45A1">
        <w:t>s</w:t>
      </w:r>
      <w:r>
        <w:t xml:space="preserve"> (as it is not normally required) </w:t>
      </w:r>
      <w:r w:rsidR="008B45A1">
        <w:t xml:space="preserve">the </w:t>
      </w:r>
      <w:r>
        <w:t xml:space="preserve">applicant should be aware </w:t>
      </w:r>
      <w:r w:rsidR="00E5512D">
        <w:t>the AC</w:t>
      </w:r>
      <w:r w:rsidR="00A85B2C">
        <w:t>MA</w:t>
      </w:r>
      <w:r w:rsidR="00E5512D">
        <w:t xml:space="preserve"> is </w:t>
      </w:r>
      <w:r w:rsidR="00A85B2C">
        <w:t>considering</w:t>
      </w:r>
      <w:r w:rsidR="00E5512D">
        <w:t xml:space="preserve"> updates to</w:t>
      </w:r>
      <w:r w:rsidR="00A85B2C">
        <w:t xml:space="preserve"> include coordination with ESA/NASA facilitie</w:t>
      </w:r>
      <w:r w:rsidR="00FF3BBF">
        <w:t xml:space="preserve">s </w:t>
      </w:r>
      <w:r w:rsidR="004F03E9">
        <w:t>for earth receive stations communicating with NGSO/LEO satellite system</w:t>
      </w:r>
      <w:r w:rsidR="00836412">
        <w:t>s</w:t>
      </w:r>
      <w:r w:rsidR="004F03E9">
        <w:t>.</w:t>
      </w:r>
    </w:p>
    <w:p w14:paraId="03BDE5A3" w14:textId="5882428F" w:rsidR="004376F2" w:rsidRDefault="001B4AB0" w:rsidP="006426DC">
      <w:pPr>
        <w:pStyle w:val="Paragraphbeforelist"/>
      </w:pPr>
      <w:r>
        <w:t>In the meantime</w:t>
      </w:r>
      <w:r w:rsidR="00836412">
        <w:t>,</w:t>
      </w:r>
      <w:r>
        <w:t xml:space="preserve"> </w:t>
      </w:r>
      <w:r w:rsidR="004376F2">
        <w:t>when the ACMA considers new radiocommunications licence applications for space-based communications systems:</w:t>
      </w:r>
    </w:p>
    <w:p w14:paraId="271F5BBC" w14:textId="4458B60E" w:rsidR="004376F2" w:rsidRPr="006C29D6" w:rsidRDefault="004376F2" w:rsidP="006C29D6">
      <w:pPr>
        <w:pStyle w:val="Bulletlevel1"/>
      </w:pPr>
      <w:r w:rsidRPr="006C29D6">
        <w:t>For the frequency bands 2025</w:t>
      </w:r>
      <w:r w:rsidR="008B45A1">
        <w:t>–</w:t>
      </w:r>
      <w:r w:rsidRPr="006C29D6">
        <w:t>2110 MHz and 2200</w:t>
      </w:r>
      <w:r w:rsidR="008B45A1">
        <w:t>–</w:t>
      </w:r>
      <w:r w:rsidRPr="006C29D6">
        <w:t xml:space="preserve">2290 MHz, which have been used by a range of space-based communication systems for many years, </w:t>
      </w:r>
      <w:r w:rsidR="00560993">
        <w:t>we will</w:t>
      </w:r>
      <w:r w:rsidRPr="006C29D6">
        <w:t xml:space="preserve"> rely on the ITU satellite coordination process for satellite systems filed by different administrations as ESA/NASA satellite systems are foreign filed.</w:t>
      </w:r>
      <w:r w:rsidR="00115B27">
        <w:t xml:space="preserve"> We will continue this approach, except for earth receive stations communicating with NGSO/LEO satellite system</w:t>
      </w:r>
      <w:r w:rsidR="00836412">
        <w:t>s</w:t>
      </w:r>
      <w:r w:rsidR="00115B27">
        <w:t xml:space="preserve"> </w:t>
      </w:r>
      <w:r w:rsidR="004D1618">
        <w:t>utilising the frequency band 2200–2290 MHz and located within 600 km of Tidbinbilla</w:t>
      </w:r>
      <w:r w:rsidR="00D54356">
        <w:t>. In such cases</w:t>
      </w:r>
      <w:r w:rsidR="00836412">
        <w:t>,</w:t>
      </w:r>
      <w:r w:rsidR="00D54356">
        <w:t xml:space="preserve"> we will ask the </w:t>
      </w:r>
      <w:r w:rsidR="00B473C9">
        <w:t>applicant</w:t>
      </w:r>
      <w:r w:rsidR="00D54356">
        <w:t xml:space="preserve"> to discuss the proposed operati</w:t>
      </w:r>
      <w:r w:rsidR="00B473C9">
        <w:t>on</w:t>
      </w:r>
      <w:r w:rsidR="00D54356">
        <w:t xml:space="preserve"> with </w:t>
      </w:r>
      <w:r w:rsidR="00836412">
        <w:t xml:space="preserve">the </w:t>
      </w:r>
      <w:r w:rsidR="00D54356">
        <w:t>CSIR</w:t>
      </w:r>
      <w:r w:rsidR="00B473C9">
        <w:t>O</w:t>
      </w:r>
      <w:r w:rsidR="00D54356">
        <w:t>.</w:t>
      </w:r>
      <w:r w:rsidR="004D1618">
        <w:t xml:space="preserve"> </w:t>
      </w:r>
    </w:p>
    <w:p w14:paraId="790EF3A4" w14:textId="5E06FE63" w:rsidR="004376F2" w:rsidRDefault="004376F2" w:rsidP="006A5BEF">
      <w:pPr>
        <w:pStyle w:val="Bulletlevel1last"/>
      </w:pPr>
      <w:r>
        <w:t xml:space="preserve">For the other bands listed above, as they are typically only used for space activities by ESA/NASA, </w:t>
      </w:r>
      <w:r w:rsidR="00E12417">
        <w:t xml:space="preserve">we will continue </w:t>
      </w:r>
      <w:r>
        <w:t xml:space="preserve">our </w:t>
      </w:r>
      <w:r w:rsidRPr="006A5BEF">
        <w:t>practice</w:t>
      </w:r>
      <w:r w:rsidR="00E76450">
        <w:t xml:space="preserve"> of</w:t>
      </w:r>
      <w:r>
        <w:t xml:space="preserve"> seek</w:t>
      </w:r>
      <w:r w:rsidR="00E76450">
        <w:t>ing</w:t>
      </w:r>
      <w:r>
        <w:t xml:space="preserve"> the views </w:t>
      </w:r>
      <w:r w:rsidRPr="007D3A6A">
        <w:t xml:space="preserve">of </w:t>
      </w:r>
      <w:r>
        <w:t xml:space="preserve">the </w:t>
      </w:r>
      <w:r w:rsidRPr="007D3A6A">
        <w:t>CSIRO (on behalf of ESA/NASA)</w:t>
      </w:r>
      <w:r>
        <w:t xml:space="preserve"> to make sure that the intended usage has been coordinated with ES/NASA facilities in Australia</w:t>
      </w:r>
      <w:r w:rsidR="00C96E99">
        <w:t>.</w:t>
      </w:r>
    </w:p>
    <w:p w14:paraId="27F1E8F5" w14:textId="3940A2B2" w:rsidR="00B50BF5" w:rsidRDefault="00B50BF5" w:rsidP="00EB726B">
      <w:pPr>
        <w:pStyle w:val="Paragraph"/>
      </w:pPr>
      <w:r>
        <w:lastRenderedPageBreak/>
        <w:t>Applicants are encouraged to contact the CSIRO</w:t>
      </w:r>
      <w:r w:rsidDel="00C96E99">
        <w:t xml:space="preserve"> </w:t>
      </w:r>
      <w:r>
        <w:t>before submitting a filing application to the ACMA</w:t>
      </w:r>
      <w:r w:rsidR="00836412">
        <w:t>. This is</w:t>
      </w:r>
      <w:r>
        <w:t xml:space="preserve"> so coordination with ESA/NASA facilities can be considered early in the planning of earth station locations in Australia and </w:t>
      </w:r>
      <w:r w:rsidR="00836412">
        <w:t xml:space="preserve">to </w:t>
      </w:r>
      <w:r>
        <w:t>simplify the process of applying for radiocommunication licences for any earth stations to be operated</w:t>
      </w:r>
      <w:r w:rsidR="00A42A55">
        <w:t xml:space="preserve"> in Australia.</w:t>
      </w:r>
    </w:p>
    <w:p w14:paraId="6C71174D" w14:textId="77777777" w:rsidR="004376F2" w:rsidRDefault="004376F2" w:rsidP="004376F2">
      <w:pPr>
        <w:pStyle w:val="Paragraph"/>
      </w:pPr>
      <w:r w:rsidRPr="007775B5">
        <w:t xml:space="preserve">Applicants who do not have contact details for </w:t>
      </w:r>
      <w:r>
        <w:t xml:space="preserve">ESA/NASA Australia representatives (currently the CSIRO) </w:t>
      </w:r>
      <w:r w:rsidRPr="007775B5">
        <w:t>should contact the ACMA.</w:t>
      </w:r>
      <w:r w:rsidRPr="00855034">
        <w:t xml:space="preserve"> </w:t>
      </w:r>
    </w:p>
    <w:p w14:paraId="4997D284" w14:textId="77777777" w:rsidR="004376F2" w:rsidRPr="00B971F8" w:rsidRDefault="004376F2" w:rsidP="004376F2">
      <w:pPr>
        <w:pStyle w:val="Heading2"/>
      </w:pPr>
      <w:bookmarkStart w:id="186" w:name="_Toc111546513"/>
      <w:bookmarkStart w:id="187" w:name="_Toc114472677"/>
      <w:bookmarkStart w:id="188" w:name="_Toc128663960"/>
      <w:bookmarkStart w:id="189" w:name="_Ref132204579"/>
      <w:bookmarkStart w:id="190" w:name="_Ref132204588"/>
      <w:bookmarkStart w:id="191" w:name="_Toc195092464"/>
      <w:bookmarkStart w:id="192" w:name="_Toc198288040"/>
      <w:r w:rsidRPr="00B971F8">
        <w:t xml:space="preserve">Australian </w:t>
      </w:r>
      <w:bookmarkEnd w:id="186"/>
      <w:bookmarkEnd w:id="187"/>
      <w:r w:rsidRPr="00B971F8">
        <w:t>jurisdiction</w:t>
      </w:r>
      <w:bookmarkEnd w:id="188"/>
      <w:bookmarkEnd w:id="189"/>
      <w:bookmarkEnd w:id="190"/>
      <w:bookmarkEnd w:id="191"/>
      <w:bookmarkEnd w:id="192"/>
    </w:p>
    <w:p w14:paraId="6074015F" w14:textId="77777777" w:rsidR="004376F2" w:rsidRDefault="004376F2" w:rsidP="004376F2">
      <w:pPr>
        <w:pStyle w:val="Paragraph"/>
      </w:pPr>
      <w:r w:rsidRPr="00B971F8">
        <w:t xml:space="preserve">The </w:t>
      </w:r>
      <w:r>
        <w:t>applicant</w:t>
      </w:r>
      <w:r w:rsidRPr="00B971F8">
        <w:t xml:space="preserve"> must be a company that is incorporated in Australia under the </w:t>
      </w:r>
      <w:r w:rsidRPr="00507BC6">
        <w:t>Corporations Act, c</w:t>
      </w:r>
      <w:r w:rsidRPr="00B971F8">
        <w:t xml:space="preserve">arries </w:t>
      </w:r>
      <w:r>
        <w:t>out</w:t>
      </w:r>
      <w:r w:rsidRPr="00B971F8">
        <w:t xml:space="preserve"> business in Australia and has management staff in Australia. Alternatively, the </w:t>
      </w:r>
      <w:r>
        <w:t>applicant</w:t>
      </w:r>
      <w:r w:rsidRPr="00B971F8">
        <w:t xml:space="preserve"> may be a department of the </w:t>
      </w:r>
      <w:r>
        <w:t>Australian</w:t>
      </w:r>
      <w:r w:rsidRPr="00B971F8">
        <w:t xml:space="preserve"> </w:t>
      </w:r>
      <w:r>
        <w:t xml:space="preserve">Government </w:t>
      </w:r>
      <w:r w:rsidRPr="00B971F8">
        <w:t>or a Commonwealth agency, a part of a</w:t>
      </w:r>
      <w:r>
        <w:t>n Australian</w:t>
      </w:r>
      <w:r w:rsidRPr="00B971F8">
        <w:t xml:space="preserve"> state or territory government</w:t>
      </w:r>
      <w:r>
        <w:t>, a public entity or an educational institution such as an Australian university.</w:t>
      </w:r>
      <w:r>
        <w:rPr>
          <w:rStyle w:val="FootnoteReference"/>
        </w:rPr>
        <w:footnoteReference w:id="20"/>
      </w:r>
    </w:p>
    <w:p w14:paraId="5D65772C" w14:textId="77777777" w:rsidR="004376F2" w:rsidRPr="00B971F8" w:rsidRDefault="004376F2" w:rsidP="004376F2">
      <w:pPr>
        <w:pStyle w:val="Paragraph"/>
      </w:pPr>
      <w:r w:rsidRPr="00B971F8">
        <w:t>If the satellite system is to provide services to multiple countries (that is, in addition to Australia) or the applicant controls foreign satellite filings, justification should be given as to why Australia is the most appropriate administration to conduct the ITU filing process.</w:t>
      </w:r>
      <w:r>
        <w:t xml:space="preserve"> This response should include details of any existing or planned filing under control of the applicant submitted to another administration, with an explanation of the planned purpose of such filings and their association with the current application.</w:t>
      </w:r>
    </w:p>
    <w:p w14:paraId="1899AEC6" w14:textId="77777777" w:rsidR="004376F2" w:rsidRPr="002E36B6" w:rsidRDefault="004376F2" w:rsidP="004376F2">
      <w:pPr>
        <w:pStyle w:val="Paragraphbeforelist"/>
      </w:pPr>
      <w:r w:rsidRPr="002E36B6">
        <w:t>If the applicant is a company that is a subsidiary of, or controlled by, a foreign entity, information is to be provided showing:</w:t>
      </w:r>
    </w:p>
    <w:p w14:paraId="5AD2A8F6" w14:textId="77777777" w:rsidR="004376F2" w:rsidRPr="002E36B6" w:rsidRDefault="004376F2" w:rsidP="00D931F4">
      <w:pPr>
        <w:pStyle w:val="Bulletlevel1"/>
      </w:pPr>
      <w:r w:rsidRPr="002E36B6">
        <w:t>how the applicant functions independently from the foreign entity</w:t>
      </w:r>
    </w:p>
    <w:p w14:paraId="5EA8C6B3" w14:textId="77777777" w:rsidR="004376F2" w:rsidRPr="002E36B6" w:rsidRDefault="004376F2" w:rsidP="00D931F4">
      <w:pPr>
        <w:pStyle w:val="Bulletlevel1"/>
      </w:pPr>
      <w:r w:rsidRPr="002E36B6">
        <w:t>the corporate structure, including clear identification of the holding company or controlling entity and whether the holding company or controlling entity has access to filings through another administration</w:t>
      </w:r>
      <w:r>
        <w:t>.</w:t>
      </w:r>
    </w:p>
    <w:p w14:paraId="0BDB98FF" w14:textId="77777777" w:rsidR="004376F2" w:rsidRPr="00B971F8" w:rsidRDefault="004376F2" w:rsidP="004376F2">
      <w:pPr>
        <w:pStyle w:val="Heading2"/>
      </w:pPr>
      <w:bookmarkStart w:id="193" w:name="_Toc174974726"/>
      <w:bookmarkStart w:id="194" w:name="_Toc111546514"/>
      <w:bookmarkStart w:id="195" w:name="_Toc114472678"/>
      <w:bookmarkStart w:id="196" w:name="_Toc128663961"/>
      <w:bookmarkStart w:id="197" w:name="_Toc195092465"/>
      <w:bookmarkStart w:id="198" w:name="_Toc198288041"/>
      <w:bookmarkEnd w:id="193"/>
      <w:r w:rsidRPr="00B971F8">
        <w:t>Operational control</w:t>
      </w:r>
      <w:bookmarkEnd w:id="194"/>
      <w:bookmarkEnd w:id="195"/>
      <w:bookmarkEnd w:id="196"/>
      <w:bookmarkEnd w:id="197"/>
      <w:bookmarkEnd w:id="198"/>
    </w:p>
    <w:p w14:paraId="02892B8F" w14:textId="77777777" w:rsidR="004376F2" w:rsidRPr="00B971F8" w:rsidRDefault="004376F2" w:rsidP="004376F2">
      <w:pPr>
        <w:pStyle w:val="Paragraph"/>
      </w:pPr>
      <w:r w:rsidRPr="00B971F8">
        <w:t>The satellite operator must remain able to exercise operational control of the satellite system from within Australia.</w:t>
      </w:r>
      <w:r w:rsidRPr="00B971F8">
        <w:rPr>
          <w:vertAlign w:val="superscript"/>
        </w:rPr>
        <w:footnoteReference w:id="21"/>
      </w:r>
      <w:r w:rsidRPr="00B971F8">
        <w:t xml:space="preserve"> </w:t>
      </w:r>
      <w:r>
        <w:t>While t</w:t>
      </w:r>
      <w:r w:rsidRPr="00B971F8">
        <w:t>his provision does not preclude the use of outsourced telemetry</w:t>
      </w:r>
      <w:r>
        <w:t>,</w:t>
      </w:r>
      <w:r w:rsidRPr="00B971F8">
        <w:t xml:space="preserve"> tracking and control (TT&amp;C)</w:t>
      </w:r>
      <w:r>
        <w:t>,</w:t>
      </w:r>
      <w:r w:rsidRPr="00B971F8">
        <w:t xml:space="preserve"> the satellite operator, however, will remain the party responsible for meeting </w:t>
      </w:r>
      <w:r>
        <w:t>this</w:t>
      </w:r>
      <w:r w:rsidRPr="00B971F8">
        <w:t xml:space="preserve"> requirement should such arrangements be made.</w:t>
      </w:r>
    </w:p>
    <w:p w14:paraId="6358B3E9" w14:textId="77777777" w:rsidR="004376F2" w:rsidRPr="00B971F8" w:rsidRDefault="004376F2" w:rsidP="004376F2">
      <w:pPr>
        <w:pStyle w:val="Paragraph"/>
      </w:pPr>
      <w:r w:rsidRPr="00B971F8">
        <w:t>Brief details of planned TT&amp;C operation</w:t>
      </w:r>
      <w:r>
        <w:t>s</w:t>
      </w:r>
      <w:r w:rsidRPr="00B971F8">
        <w:t xml:space="preserve"> need to be provided</w:t>
      </w:r>
      <w:r>
        <w:t xml:space="preserve"> with the application</w:t>
      </w:r>
      <w:r w:rsidRPr="00B971F8">
        <w:t>.</w:t>
      </w:r>
    </w:p>
    <w:p w14:paraId="5CFADCDE" w14:textId="77777777" w:rsidR="004376F2" w:rsidRPr="00B971F8" w:rsidRDefault="004376F2" w:rsidP="004376F2">
      <w:pPr>
        <w:pStyle w:val="Paragraph"/>
      </w:pPr>
      <w:r w:rsidRPr="00B971F8">
        <w:t>Space station/s must be fitted with devices to ensure immediate cessation of their radio emissions by telecommand, whenever such cessation is required under the provisions of the Radio Regulations</w:t>
      </w:r>
      <w:r>
        <w:t xml:space="preserve"> or Australian regulatory requirements. </w:t>
      </w:r>
    </w:p>
    <w:p w14:paraId="1EF81EB8" w14:textId="77777777" w:rsidR="004376F2" w:rsidRPr="00B971F8" w:rsidRDefault="004376F2" w:rsidP="004376F2">
      <w:pPr>
        <w:pStyle w:val="Heading2"/>
      </w:pPr>
      <w:bookmarkStart w:id="199" w:name="_Toc111546515"/>
      <w:bookmarkStart w:id="200" w:name="_Toc114472679"/>
      <w:bookmarkStart w:id="201" w:name="_Toc128663962"/>
      <w:bookmarkStart w:id="202" w:name="_Toc195092466"/>
      <w:bookmarkStart w:id="203" w:name="_Toc198288042"/>
      <w:r w:rsidRPr="00B971F8">
        <w:t>Technical and financial credentials</w:t>
      </w:r>
      <w:bookmarkEnd w:id="199"/>
      <w:bookmarkEnd w:id="200"/>
      <w:bookmarkEnd w:id="201"/>
      <w:bookmarkEnd w:id="202"/>
      <w:bookmarkEnd w:id="203"/>
    </w:p>
    <w:p w14:paraId="2FBF4C2A" w14:textId="77777777" w:rsidR="004376F2" w:rsidRDefault="004376F2" w:rsidP="004376F2">
      <w:pPr>
        <w:pStyle w:val="Paragraph"/>
      </w:pPr>
      <w:r w:rsidRPr="00B971F8">
        <w:t>A</w:t>
      </w:r>
      <w:r>
        <w:t xml:space="preserve">n </w:t>
      </w:r>
      <w:r w:rsidRPr="00B971F8">
        <w:t>applicant must demonstrate that it has the technical and financial credentials required for the coordination of the satellite system and design of the physical satellite.</w:t>
      </w:r>
      <w:r>
        <w:t xml:space="preserve"> For these purposes, the d</w:t>
      </w:r>
      <w:r w:rsidRPr="008621D1">
        <w:t xml:space="preserve">esign of the physical satellite means the design needed to sign the satellite manufacture contract, rather than design of the satellite </w:t>
      </w:r>
      <w:r>
        <w:t>system</w:t>
      </w:r>
      <w:r w:rsidRPr="008621D1">
        <w:t xml:space="preserve"> (</w:t>
      </w:r>
      <w:r>
        <w:t xml:space="preserve">such as </w:t>
      </w:r>
      <w:r w:rsidRPr="008621D1">
        <w:t xml:space="preserve">coverage areas, link </w:t>
      </w:r>
      <w:r w:rsidRPr="008621D1">
        <w:lastRenderedPageBreak/>
        <w:t>budgets, beam patterns)</w:t>
      </w:r>
      <w:r>
        <w:t>.</w:t>
      </w:r>
      <w:r w:rsidRPr="00B971F8">
        <w:t xml:space="preserve"> </w:t>
      </w:r>
      <w:r w:rsidRPr="00D07D92">
        <w:t>This applies not only to new applicants but to all types of applicants (including those seeking a modification, transfer or chang</w:t>
      </w:r>
      <w:r>
        <w:t>ing</w:t>
      </w:r>
      <w:r w:rsidRPr="00D07D92">
        <w:t xml:space="preserve"> ownership).</w:t>
      </w:r>
    </w:p>
    <w:p w14:paraId="58D9C07F" w14:textId="77777777" w:rsidR="004376F2" w:rsidRPr="00B971F8" w:rsidRDefault="004376F2" w:rsidP="004376F2">
      <w:pPr>
        <w:pStyle w:val="Paragraph"/>
      </w:pPr>
      <w:r w:rsidRPr="00B971F8">
        <w:t>Details of expected Australian coordination with foreign satellite systems</w:t>
      </w:r>
      <w:r>
        <w:t>, as well as plans to resolve any coordination issues that arise,</w:t>
      </w:r>
      <w:r w:rsidRPr="00B971F8">
        <w:t xml:space="preserve"> need to be provided in the application.</w:t>
      </w:r>
    </w:p>
    <w:p w14:paraId="34BAAECA" w14:textId="77777777" w:rsidR="004376F2" w:rsidRDefault="004376F2" w:rsidP="006426DC">
      <w:pPr>
        <w:pStyle w:val="Paragraphbeforelist"/>
        <w:keepNext/>
        <w:keepLines/>
      </w:pPr>
      <w:r w:rsidRPr="00B971F8">
        <w:t>A coordination strategy and evidence of sufficient technical skills to be able to perform coordination should be provided in the application. This information must address</w:t>
      </w:r>
      <w:r>
        <w:t>:</w:t>
      </w:r>
    </w:p>
    <w:p w14:paraId="78D04F60" w14:textId="77777777" w:rsidR="004376F2" w:rsidRDefault="004376F2" w:rsidP="006426DC">
      <w:pPr>
        <w:pStyle w:val="Bulletlevel1"/>
        <w:keepNext/>
        <w:keepLines/>
      </w:pPr>
      <w:r w:rsidRPr="00B971F8">
        <w:t xml:space="preserve">the coordination required to be able to successfully notify the </w:t>
      </w:r>
      <w:r>
        <w:t>applicant’s</w:t>
      </w:r>
      <w:r w:rsidRPr="00B971F8">
        <w:t xml:space="preserve"> satellite system</w:t>
      </w:r>
      <w:r>
        <w:t xml:space="preserve"> to the ITU</w:t>
      </w:r>
    </w:p>
    <w:p w14:paraId="6A820777" w14:textId="77777777" w:rsidR="004376F2" w:rsidRPr="00B971F8" w:rsidRDefault="004376F2" w:rsidP="00D931F4">
      <w:pPr>
        <w:pStyle w:val="Bulletlevel1last"/>
      </w:pPr>
      <w:r>
        <w:t xml:space="preserve">the </w:t>
      </w:r>
      <w:r w:rsidRPr="00B971F8">
        <w:t xml:space="preserve">coordination that arises from </w:t>
      </w:r>
      <w:r>
        <w:t xml:space="preserve">the ITU’s </w:t>
      </w:r>
      <w:r w:rsidRPr="00B971F8">
        <w:t xml:space="preserve">publication of details of foreign satellite systems published after the </w:t>
      </w:r>
      <w:r>
        <w:t>applicant’s</w:t>
      </w:r>
      <w:r w:rsidRPr="00B971F8">
        <w:t xml:space="preserve"> satellite system</w:t>
      </w:r>
      <w:r>
        <w:t xml:space="preserve"> is published</w:t>
      </w:r>
      <w:r w:rsidRPr="00B971F8">
        <w:t>.</w:t>
      </w:r>
    </w:p>
    <w:p w14:paraId="19654829" w14:textId="77777777" w:rsidR="004376F2" w:rsidRPr="00B971F8" w:rsidRDefault="004376F2" w:rsidP="004376F2">
      <w:pPr>
        <w:pStyle w:val="Paragraph"/>
      </w:pPr>
      <w:r w:rsidRPr="00B971F8">
        <w:t>Applicants need to provide a business plan or other evidence demonstrating a current ability to fund, at a minimum, the coordination of the satellite system and design of the physical satellite</w:t>
      </w:r>
      <w:r>
        <w:t>.</w:t>
      </w:r>
    </w:p>
    <w:p w14:paraId="5D8DFDE5" w14:textId="77777777" w:rsidR="004376F2" w:rsidRPr="00B971F8" w:rsidRDefault="004376F2" w:rsidP="004376F2">
      <w:pPr>
        <w:pStyle w:val="Heading2"/>
      </w:pPr>
      <w:bookmarkStart w:id="204" w:name="_Toc111546516"/>
      <w:bookmarkStart w:id="205" w:name="_Toc114472680"/>
      <w:bookmarkStart w:id="206" w:name="_Toc128663963"/>
      <w:bookmarkStart w:id="207" w:name="_Ref132205360"/>
      <w:bookmarkStart w:id="208" w:name="_Ref132205365"/>
      <w:bookmarkStart w:id="209" w:name="_Toc195092467"/>
      <w:bookmarkStart w:id="210" w:name="_Toc198288043"/>
      <w:bookmarkStart w:id="211" w:name="_Hlk94260753"/>
      <w:r w:rsidRPr="00B971F8">
        <w:t>Australian benefit</w:t>
      </w:r>
      <w:bookmarkEnd w:id="204"/>
      <w:bookmarkEnd w:id="205"/>
      <w:bookmarkEnd w:id="206"/>
      <w:bookmarkEnd w:id="207"/>
      <w:bookmarkEnd w:id="208"/>
      <w:bookmarkEnd w:id="209"/>
      <w:bookmarkEnd w:id="210"/>
    </w:p>
    <w:bookmarkEnd w:id="211"/>
    <w:p w14:paraId="2B523274" w14:textId="77777777" w:rsidR="004376F2" w:rsidRDefault="004376F2" w:rsidP="004376F2">
      <w:pPr>
        <w:pStyle w:val="Paragraphbeforelist"/>
      </w:pPr>
      <w:r w:rsidRPr="00B971F8">
        <w:t>The services that would be provided by the proposed satellite system, should it be brought into use, must</w:t>
      </w:r>
      <w:r>
        <w:t>:</w:t>
      </w:r>
    </w:p>
    <w:p w14:paraId="0B665413" w14:textId="77777777" w:rsidR="004376F2" w:rsidRPr="006C29D6" w:rsidRDefault="004376F2" w:rsidP="006C29D6">
      <w:pPr>
        <w:pStyle w:val="Bulletlevel1"/>
      </w:pPr>
      <w:r w:rsidRPr="006C29D6">
        <w:t>provide substantial</w:t>
      </w:r>
      <w:r w:rsidRPr="006C29D6" w:rsidDel="0066781E">
        <w:t xml:space="preserve"> </w:t>
      </w:r>
      <w:r w:rsidRPr="006C29D6">
        <w:t>benefit to the Australian public that:</w:t>
      </w:r>
    </w:p>
    <w:p w14:paraId="6FB41EC3" w14:textId="77777777" w:rsidR="004376F2" w:rsidRPr="00ED32DC" w:rsidRDefault="004376F2" w:rsidP="00ED32DC">
      <w:pPr>
        <w:pStyle w:val="Bulletlevel2"/>
      </w:pPr>
      <w:r>
        <w:t>is</w:t>
      </w:r>
      <w:r w:rsidRPr="00B537F7">
        <w:t xml:space="preserve"> </w:t>
      </w:r>
      <w:r w:rsidRPr="00B971F8">
        <w:t xml:space="preserve">limited to </w:t>
      </w:r>
      <w:r w:rsidRPr="00ED32DC">
        <w:t>that derived from the use of the radiofrequency spectrum and</w:t>
      </w:r>
    </w:p>
    <w:p w14:paraId="6C0D1214" w14:textId="036A1E93" w:rsidR="004376F2" w:rsidRDefault="004376F2" w:rsidP="00ED32DC">
      <w:pPr>
        <w:pStyle w:val="Bulletlevel2"/>
      </w:pPr>
      <w:r w:rsidRPr="00ED32DC">
        <w:t>aligns with the</w:t>
      </w:r>
      <w:r>
        <w:t xml:space="preserve"> object of the Radiocommunications Act</w:t>
      </w:r>
    </w:p>
    <w:p w14:paraId="4C7B7131" w14:textId="77777777" w:rsidR="004376F2" w:rsidRDefault="004376F2" w:rsidP="00ED32DC">
      <w:pPr>
        <w:pStyle w:val="Bulletlevel1last"/>
      </w:pPr>
      <w:r>
        <w:t xml:space="preserve">include Australia in the </w:t>
      </w:r>
      <w:r w:rsidRPr="00B971F8">
        <w:t>service area of the proposed satellite system</w:t>
      </w:r>
      <w:r>
        <w:t>.</w:t>
      </w:r>
      <w:r w:rsidRPr="00272904">
        <w:t xml:space="preserve"> </w:t>
      </w:r>
      <w:r w:rsidRPr="00B971F8">
        <w:t>Information about the proportion of service capacity provided to Australia compared to the proportion provided abroad (if applicable) needs to be included</w:t>
      </w:r>
      <w:r>
        <w:t xml:space="preserve"> along with a justification for such a service area.</w:t>
      </w:r>
    </w:p>
    <w:p w14:paraId="36B23C3E" w14:textId="77777777" w:rsidR="004376F2" w:rsidRPr="00B971F8" w:rsidRDefault="004376F2" w:rsidP="004376F2">
      <w:pPr>
        <w:pStyle w:val="Paragraphbeforelist"/>
      </w:pPr>
      <w:r w:rsidRPr="00B971F8">
        <w:t xml:space="preserve">Applicants must provide detailed claims against this assessment criterion. Examples of services </w:t>
      </w:r>
      <w:r>
        <w:t>that</w:t>
      </w:r>
      <w:r w:rsidRPr="00B971F8">
        <w:t xml:space="preserve"> might be considered to provide substantial Australian benefit include:</w:t>
      </w:r>
    </w:p>
    <w:p w14:paraId="6EBDEF63" w14:textId="77777777" w:rsidR="004376F2" w:rsidRPr="004F3625" w:rsidRDefault="004376F2" w:rsidP="00D931F4">
      <w:pPr>
        <w:pStyle w:val="Bulletlevel1"/>
      </w:pPr>
      <w:r w:rsidRPr="004F3625">
        <w:t xml:space="preserve">the provision of </w:t>
      </w:r>
      <w:proofErr w:type="gramStart"/>
      <w:r w:rsidRPr="004F3625">
        <w:t>a majority of</w:t>
      </w:r>
      <w:proofErr w:type="gramEnd"/>
      <w:r w:rsidRPr="004F3625">
        <w:t xml:space="preserve"> a satellite service’s capacity to Australians, particularly if this meets the needs of consumers that are under-served or not served </w:t>
      </w:r>
    </w:p>
    <w:p w14:paraId="07959324" w14:textId="77777777" w:rsidR="004376F2" w:rsidRPr="004F3625" w:rsidRDefault="004376F2" w:rsidP="00D931F4">
      <w:pPr>
        <w:pStyle w:val="Bulletlevel1"/>
      </w:pPr>
      <w:r w:rsidRPr="004F3625">
        <w:t xml:space="preserve">a service </w:t>
      </w:r>
      <w:r>
        <w:t>that</w:t>
      </w:r>
      <w:r w:rsidRPr="004F3625">
        <w:t xml:space="preserve"> assists </w:t>
      </w:r>
      <w:r>
        <w:t>the</w:t>
      </w:r>
      <w:r w:rsidRPr="004F3625">
        <w:t xml:space="preserve"> Australian </w:t>
      </w:r>
      <w:r>
        <w:t>G</w:t>
      </w:r>
      <w:r w:rsidRPr="004F3625">
        <w:t>overnment (or government agency) in performing its activities</w:t>
      </w:r>
      <w:r>
        <w:rPr>
          <w:rStyle w:val="FootnoteReference"/>
        </w:rPr>
        <w:footnoteReference w:id="22"/>
      </w:r>
      <w:r w:rsidRPr="004F3625">
        <w:t xml:space="preserve"> </w:t>
      </w:r>
    </w:p>
    <w:p w14:paraId="103A8E65" w14:textId="77777777" w:rsidR="004376F2" w:rsidRPr="00852B8D" w:rsidRDefault="004376F2" w:rsidP="00D931F4">
      <w:pPr>
        <w:pStyle w:val="Bulletlevel1last"/>
      </w:pPr>
      <w:r w:rsidRPr="004F3625">
        <w:t xml:space="preserve">radiocommunications links to be used by </w:t>
      </w:r>
      <w:r w:rsidRPr="00B971F8">
        <w:t xml:space="preserve">recognised research bodies for the purposes of scientific research or environmental monitoring, or by Australian industries providing commercial services either exclusively into Australia or into </w:t>
      </w:r>
      <w:r w:rsidRPr="00852B8D">
        <w:t>other countries in addition to Australia.</w:t>
      </w:r>
    </w:p>
    <w:p w14:paraId="317562A7" w14:textId="77777777" w:rsidR="004376F2" w:rsidRPr="002E36B6" w:rsidRDefault="004376F2" w:rsidP="004376F2">
      <w:pPr>
        <w:pStyle w:val="Heading3"/>
      </w:pPr>
      <w:bookmarkStart w:id="212" w:name="_Toc195092468"/>
      <w:bookmarkStart w:id="213" w:name="_Toc198288044"/>
      <w:r w:rsidRPr="002E36B6">
        <w:t>Non-qualifying benefits</w:t>
      </w:r>
      <w:bookmarkEnd w:id="212"/>
      <w:bookmarkEnd w:id="213"/>
    </w:p>
    <w:p w14:paraId="7F566FB7" w14:textId="77777777" w:rsidR="004376F2" w:rsidRPr="002E36B6" w:rsidRDefault="004376F2" w:rsidP="004376F2">
      <w:pPr>
        <w:pStyle w:val="Paragraph"/>
      </w:pPr>
      <w:r w:rsidRPr="002E36B6">
        <w:t>The ACMA considers that locating earth station gateways in Australia for satellite control and data distribution is something that would happen in the normal course of business rather than providing a substantial benefit to Australia.</w:t>
      </w:r>
    </w:p>
    <w:p w14:paraId="3208B186" w14:textId="77777777" w:rsidR="004376F2" w:rsidRPr="002E36B6" w:rsidRDefault="004376F2" w:rsidP="004376F2">
      <w:pPr>
        <w:pStyle w:val="Paragraph"/>
      </w:pPr>
      <w:r w:rsidRPr="002E36B6">
        <w:lastRenderedPageBreak/>
        <w:t>The ACMA also considers that the benefit of possible future investment in Australia is challenging to demonstrate as it relies on an uncertain future activity that would occur after the satellite is successfully brought into operation.</w:t>
      </w:r>
    </w:p>
    <w:p w14:paraId="128F26D7" w14:textId="77777777" w:rsidR="004376F2" w:rsidRPr="002E36B6" w:rsidRDefault="004376F2" w:rsidP="004376F2">
      <w:pPr>
        <w:pStyle w:val="Heading3"/>
      </w:pPr>
      <w:bookmarkStart w:id="214" w:name="_Toc195092469"/>
      <w:bookmarkStart w:id="215" w:name="_Toc198288045"/>
      <w:r w:rsidRPr="002E36B6">
        <w:t>Consideration of past performance</w:t>
      </w:r>
      <w:bookmarkEnd w:id="214"/>
      <w:bookmarkEnd w:id="215"/>
      <w:r w:rsidRPr="002E36B6">
        <w:t xml:space="preserve"> </w:t>
      </w:r>
    </w:p>
    <w:p w14:paraId="18D1D2AF" w14:textId="77777777" w:rsidR="004376F2" w:rsidRPr="002E36B6" w:rsidRDefault="004376F2" w:rsidP="004376F2">
      <w:pPr>
        <w:pStyle w:val="Paragraph"/>
      </w:pPr>
      <w:r w:rsidRPr="002E36B6">
        <w:t>In assessing the benefit to Australia, the ACMA will consider the past performance of applicants who hold a satellite filing previously filed by the ACMA and whether the applicant has met its ongoing obligations for previous satellite filings. As part of this assessment, the ACMA may consider an operator’s performance compared with the schedule of milestones as outlined in this document.</w:t>
      </w:r>
    </w:p>
    <w:p w14:paraId="448C4F7A" w14:textId="77777777" w:rsidR="004376F2" w:rsidRPr="00B971F8" w:rsidRDefault="004376F2" w:rsidP="004376F2">
      <w:pPr>
        <w:pStyle w:val="Paragraph"/>
      </w:pPr>
      <w:r w:rsidRPr="002E36B6">
        <w:t>As part of considering past performance, previous business activity (including investments) associated with existing filings may be used as evidence to support claims that existing filings are being used in a way that brings substantial benefit to Australia (as derived from use of the radiofrequency spectrum).</w:t>
      </w:r>
    </w:p>
    <w:p w14:paraId="55D1D53C" w14:textId="77777777" w:rsidR="004376F2" w:rsidRPr="0054479A" w:rsidRDefault="004376F2" w:rsidP="004376F2">
      <w:pPr>
        <w:pStyle w:val="Heading2"/>
      </w:pPr>
      <w:bookmarkStart w:id="216" w:name="_Toc111546517"/>
      <w:bookmarkStart w:id="217" w:name="_Toc114472681"/>
      <w:bookmarkStart w:id="218" w:name="_Hlk94260718"/>
      <w:bookmarkStart w:id="219" w:name="_Toc128663964"/>
      <w:bookmarkStart w:id="220" w:name="_Ref132205388"/>
      <w:bookmarkStart w:id="221" w:name="_Ref132205396"/>
      <w:bookmarkStart w:id="222" w:name="_Ref132205401"/>
      <w:bookmarkStart w:id="223" w:name="_Toc195092470"/>
      <w:bookmarkStart w:id="224" w:name="_Toc198288046"/>
      <w:r w:rsidRPr="00B971F8">
        <w:t>Coordination with Australian satellite systems</w:t>
      </w:r>
      <w:bookmarkEnd w:id="216"/>
      <w:bookmarkEnd w:id="217"/>
      <w:bookmarkEnd w:id="218"/>
      <w:bookmarkEnd w:id="219"/>
      <w:bookmarkEnd w:id="220"/>
      <w:bookmarkEnd w:id="221"/>
      <w:bookmarkEnd w:id="222"/>
      <w:bookmarkEnd w:id="223"/>
      <w:bookmarkEnd w:id="224"/>
    </w:p>
    <w:p w14:paraId="6DEE376F" w14:textId="41427AA5" w:rsidR="004376F2" w:rsidRPr="00B971F8" w:rsidRDefault="004376F2" w:rsidP="00EB726B">
      <w:pPr>
        <w:pStyle w:val="Paragraph"/>
      </w:pPr>
      <w:r w:rsidRPr="00B971F8">
        <w:t xml:space="preserve">Under Article 44 </w:t>
      </w:r>
      <w:r>
        <w:t xml:space="preserve">(Use of the Radio-Frequency Spectrum and of the Geostationary-Satellite and Other Satellite Orbits) </w:t>
      </w:r>
      <w:r w:rsidRPr="00B971F8">
        <w:t xml:space="preserve">of the </w:t>
      </w:r>
      <w:hyperlink r:id="rId70" w:history="1">
        <w:r w:rsidRPr="004A1AC5">
          <w:rPr>
            <w:rStyle w:val="Hyperlink"/>
          </w:rPr>
          <w:t>ITU Constitution</w:t>
        </w:r>
      </w:hyperlink>
      <w:r w:rsidRPr="00B971F8">
        <w:t>, in acting as the Australian administration, the ACMA must bear in mind that radio frequencies, and any</w:t>
      </w:r>
      <w:r>
        <w:t xml:space="preserve"> </w:t>
      </w:r>
      <w:r w:rsidRPr="00B971F8">
        <w:t xml:space="preserve">associated orbits, are limited natural resources </w:t>
      </w:r>
      <w:r>
        <w:t>that</w:t>
      </w:r>
      <w:r w:rsidRPr="00B971F8">
        <w:t xml:space="preserve"> must be used rationally, </w:t>
      </w:r>
      <w:r>
        <w:t xml:space="preserve">equitably, </w:t>
      </w:r>
      <w:r w:rsidRPr="00B971F8">
        <w:t xml:space="preserve">efficiently and economically. The ACMA considers that Australian satellite systems </w:t>
      </w:r>
      <w:r>
        <w:t>that</w:t>
      </w:r>
      <w:r w:rsidRPr="00B971F8">
        <w:t xml:space="preserve"> are technically incompatible with each other do not fulfil this requirement and, </w:t>
      </w:r>
      <w:r>
        <w:t xml:space="preserve">when </w:t>
      </w:r>
      <w:r w:rsidRPr="00B971F8">
        <w:t>acting as the filing administration for both systems, the ACMA will require any conflict to be resolved.</w:t>
      </w:r>
    </w:p>
    <w:p w14:paraId="66D198F4" w14:textId="77777777" w:rsidR="004376F2" w:rsidRDefault="004376F2" w:rsidP="004376F2">
      <w:pPr>
        <w:pStyle w:val="Paragraph"/>
      </w:pPr>
      <w:r w:rsidRPr="00B971F8">
        <w:t xml:space="preserve">While the </w:t>
      </w:r>
      <w:r>
        <w:t>Radio</w:t>
      </w:r>
      <w:r w:rsidRPr="00B971F8">
        <w:t xml:space="preserve"> Regulations set out processes for coordination of satellite systems of different administrations </w:t>
      </w:r>
      <w:r>
        <w:t>that</w:t>
      </w:r>
      <w:r w:rsidRPr="00B971F8">
        <w:t xml:space="preserve"> could potentially interfere with each other, they do not contain processes regarding the potential for interference between satellite systems of the same administration. Such intra-administration coordination is left to the </w:t>
      </w:r>
      <w:r>
        <w:t xml:space="preserve">relevant </w:t>
      </w:r>
      <w:r w:rsidRPr="00B971F8">
        <w:t>administration.</w:t>
      </w:r>
    </w:p>
    <w:p w14:paraId="11E5BDC2" w14:textId="77777777" w:rsidR="004376F2" w:rsidRDefault="004376F2" w:rsidP="004376F2">
      <w:pPr>
        <w:pStyle w:val="Paragraph"/>
      </w:pPr>
      <w:r w:rsidRPr="00B971F8">
        <w:t xml:space="preserve">The coordination process uses the date of receipt of a complete application to the ACMA as a reference point to determine </w:t>
      </w:r>
      <w:r>
        <w:t>which</w:t>
      </w:r>
      <w:r w:rsidRPr="00B971F8">
        <w:t xml:space="preserve"> satellite systems </w:t>
      </w:r>
      <w:r>
        <w:t>are affected by</w:t>
      </w:r>
      <w:r w:rsidRPr="00B971F8">
        <w:t xml:space="preserve"> </w:t>
      </w:r>
      <w:r>
        <w:t xml:space="preserve">filing applications </w:t>
      </w:r>
      <w:r w:rsidRPr="00B971F8">
        <w:t xml:space="preserve">received </w:t>
      </w:r>
      <w:proofErr w:type="gramStart"/>
      <w:r>
        <w:t>at a later date</w:t>
      </w:r>
      <w:proofErr w:type="gramEnd"/>
      <w:r w:rsidRPr="00B971F8">
        <w:t>.</w:t>
      </w:r>
    </w:p>
    <w:p w14:paraId="35AD6B48" w14:textId="77777777" w:rsidR="004376F2" w:rsidRDefault="004376F2" w:rsidP="004376F2">
      <w:pPr>
        <w:pStyle w:val="Paragraph"/>
      </w:pPr>
      <w:r w:rsidRPr="002E36B6">
        <w:t>The ACMA expects satellite operators involved in coordination activities to show goodwill in overcoming any difficulties in achieving coordination and to act rationally by considering only relevant technical matters.</w:t>
      </w:r>
    </w:p>
    <w:p w14:paraId="58F97EA6" w14:textId="77777777" w:rsidR="004376F2" w:rsidRPr="00B31D12" w:rsidRDefault="004376F2" w:rsidP="004376F2">
      <w:pPr>
        <w:pStyle w:val="Heading3"/>
      </w:pPr>
      <w:bookmarkStart w:id="225" w:name="_Toc195092471"/>
      <w:bookmarkStart w:id="226" w:name="_Toc198288047"/>
      <w:r w:rsidRPr="00B31D12">
        <w:t>Requirement to complete coordination</w:t>
      </w:r>
      <w:bookmarkEnd w:id="225"/>
      <w:bookmarkEnd w:id="226"/>
      <w:r w:rsidRPr="00B31D12">
        <w:t xml:space="preserve"> </w:t>
      </w:r>
    </w:p>
    <w:p w14:paraId="767C89CE" w14:textId="77777777" w:rsidR="004376F2" w:rsidRPr="00B31D12" w:rsidRDefault="004376F2" w:rsidP="006426DC">
      <w:pPr>
        <w:pStyle w:val="Paragraphbeforelist"/>
      </w:pPr>
      <w:r>
        <w:t xml:space="preserve">Satellite operators are required to complete </w:t>
      </w:r>
      <w:r w:rsidRPr="00103BB1">
        <w:t xml:space="preserve">frequency coordination with potentially affected existing Australian satellite systems before </w:t>
      </w:r>
      <w:r>
        <w:t xml:space="preserve">starting the process of bringing into use </w:t>
      </w:r>
      <w:r w:rsidRPr="00103BB1">
        <w:t>the satellite system</w:t>
      </w:r>
      <w:r>
        <w:t>. This means that c</w:t>
      </w:r>
      <w:r w:rsidRPr="00B31D12">
        <w:t xml:space="preserve">oordination with all </w:t>
      </w:r>
      <w:r>
        <w:t>operators</w:t>
      </w:r>
      <w:r w:rsidRPr="00B31D12">
        <w:t xml:space="preserve"> identified by the ACMA needs to </w:t>
      </w:r>
      <w:r>
        <w:t xml:space="preserve">have </w:t>
      </w:r>
      <w:r w:rsidRPr="00B31D12">
        <w:t>be</w:t>
      </w:r>
      <w:r>
        <w:t>en</w:t>
      </w:r>
      <w:r w:rsidRPr="00B31D12">
        <w:t xml:space="preserve"> completed before any of the following</w:t>
      </w:r>
      <w:r>
        <w:t xml:space="preserve"> can occur</w:t>
      </w:r>
      <w:r w:rsidRPr="00B31D12">
        <w:t>:</w:t>
      </w:r>
    </w:p>
    <w:p w14:paraId="22BFAC6F" w14:textId="586A5CCB" w:rsidR="004376F2" w:rsidRPr="00B31D12" w:rsidRDefault="004376F2" w:rsidP="00D931F4">
      <w:pPr>
        <w:pStyle w:val="Bulletlevel1"/>
      </w:pPr>
      <w:r w:rsidRPr="00B31D12">
        <w:t>submi</w:t>
      </w:r>
      <w:r>
        <w:t>ssion of</w:t>
      </w:r>
      <w:r w:rsidRPr="00B31D12">
        <w:t xml:space="preserve"> the notification to the ITU (the request for recording in the M</w:t>
      </w:r>
      <w:r>
        <w:t>IFR</w:t>
      </w:r>
      <w:r w:rsidRPr="00B31D12">
        <w:t>)</w:t>
      </w:r>
    </w:p>
    <w:p w14:paraId="2E46D6E6" w14:textId="201D62F9" w:rsidR="004376F2" w:rsidRPr="00B31D12" w:rsidRDefault="004376F2" w:rsidP="00D931F4">
      <w:pPr>
        <w:pStyle w:val="Bulletlevel1"/>
      </w:pPr>
      <w:r>
        <w:t>application for</w:t>
      </w:r>
      <w:r w:rsidRPr="00B31D12">
        <w:t xml:space="preserve"> domestic licensing</w:t>
      </w:r>
    </w:p>
    <w:p w14:paraId="6EAEEE59" w14:textId="226ABD41" w:rsidR="004376F2" w:rsidRPr="00B31D12" w:rsidRDefault="004376F2" w:rsidP="00D931F4">
      <w:pPr>
        <w:pStyle w:val="Bulletlevel1"/>
      </w:pPr>
      <w:r w:rsidRPr="00B31D12">
        <w:t xml:space="preserve">launch of the new satellite system </w:t>
      </w:r>
    </w:p>
    <w:p w14:paraId="47FAC065" w14:textId="77777777" w:rsidR="004376F2" w:rsidRPr="00B31D12" w:rsidRDefault="004376F2" w:rsidP="00767D86">
      <w:pPr>
        <w:pStyle w:val="Bulletlevel1last"/>
      </w:pPr>
      <w:r w:rsidRPr="00B31D12">
        <w:t>commencement of operation and notif</w:t>
      </w:r>
      <w:r>
        <w:t xml:space="preserve">ication to </w:t>
      </w:r>
      <w:r w:rsidRPr="00B31D12">
        <w:t>the ITU about bringing the frequency assignments into use.</w:t>
      </w:r>
    </w:p>
    <w:p w14:paraId="79B3CA77" w14:textId="73EB356F" w:rsidR="004376F2" w:rsidRPr="00B31D12" w:rsidRDefault="004376F2" w:rsidP="004376F2">
      <w:pPr>
        <w:pStyle w:val="Paragraph"/>
      </w:pPr>
      <w:r w:rsidRPr="00B31D12">
        <w:lastRenderedPageBreak/>
        <w:t>If all required coordination is not completed</w:t>
      </w:r>
      <w:r w:rsidR="00612FAA">
        <w:t>,</w:t>
      </w:r>
      <w:r w:rsidRPr="00B31D12">
        <w:t xml:space="preserve"> the ACMA </w:t>
      </w:r>
      <w:r w:rsidR="00612FAA" w:rsidRPr="00B31D12">
        <w:t>w</w:t>
      </w:r>
      <w:r w:rsidR="00612FAA">
        <w:t>ill</w:t>
      </w:r>
      <w:r w:rsidR="00612FAA" w:rsidRPr="00B31D12">
        <w:t xml:space="preserve"> </w:t>
      </w:r>
      <w:r w:rsidRPr="00B31D12">
        <w:t>not proceed with actions supporting these activities.</w:t>
      </w:r>
    </w:p>
    <w:p w14:paraId="016B2707" w14:textId="216DE6D3" w:rsidR="004376F2" w:rsidRPr="00B31D12" w:rsidRDefault="004376F2" w:rsidP="004376F2">
      <w:pPr>
        <w:pStyle w:val="Paragraph"/>
      </w:pPr>
      <w:r w:rsidRPr="00B31D12">
        <w:t xml:space="preserve">Note that while the ACMA has no direct role in approving launches, the Australian Space Agency consults with the ACMA and other areas of government on </w:t>
      </w:r>
      <w:r w:rsidR="00612FAA">
        <w:t xml:space="preserve">the </w:t>
      </w:r>
      <w:r>
        <w:t xml:space="preserve">prospective </w:t>
      </w:r>
      <w:r w:rsidRPr="00B31D12">
        <w:t>launch of Australian space objects. How the ACMA responds to such request</w:t>
      </w:r>
      <w:r w:rsidR="00612FAA">
        <w:t>s</w:t>
      </w:r>
      <w:r w:rsidRPr="00B31D12">
        <w:t xml:space="preserve"> would in part be informed by the status of coordination with other Australian satellite operators.</w:t>
      </w:r>
    </w:p>
    <w:p w14:paraId="06C4EB52" w14:textId="77777777" w:rsidR="004376F2" w:rsidRPr="00B31D12" w:rsidRDefault="004376F2" w:rsidP="004376F2">
      <w:pPr>
        <w:pStyle w:val="Heading3"/>
      </w:pPr>
      <w:bookmarkStart w:id="227" w:name="_Toc195092472"/>
      <w:bookmarkStart w:id="228" w:name="_Toc198288048"/>
      <w:r w:rsidRPr="00B31D12">
        <w:t>Australian satellite filings</w:t>
      </w:r>
      <w:r>
        <w:t xml:space="preserve"> that</w:t>
      </w:r>
      <w:r w:rsidRPr="00B31D12">
        <w:t xml:space="preserve"> require coordination</w:t>
      </w:r>
      <w:bookmarkEnd w:id="227"/>
      <w:bookmarkEnd w:id="228"/>
      <w:r w:rsidRPr="00B31D12">
        <w:t xml:space="preserve"> </w:t>
      </w:r>
    </w:p>
    <w:p w14:paraId="4B846FF9" w14:textId="77777777" w:rsidR="004376F2" w:rsidRPr="00B31D12" w:rsidRDefault="004376F2" w:rsidP="00767D86">
      <w:pPr>
        <w:pStyle w:val="Paragraph"/>
      </w:pPr>
      <w:r w:rsidRPr="00B31D12">
        <w:t xml:space="preserve">Coordination of a new </w:t>
      </w:r>
      <w:r>
        <w:t xml:space="preserve">Australian </w:t>
      </w:r>
      <w:r w:rsidRPr="00B31D12">
        <w:t>satellite filing is required to be considered for all existing</w:t>
      </w:r>
      <w:r>
        <w:t xml:space="preserve"> Australian satellite</w:t>
      </w:r>
      <w:r w:rsidRPr="00B31D12">
        <w:t xml:space="preserve"> filings where there is a frequency overlap (</w:t>
      </w:r>
      <w:r>
        <w:t>including</w:t>
      </w:r>
      <w:r w:rsidRPr="00B31D12">
        <w:t xml:space="preserve"> overlaps in bands with bidirectional allocations</w:t>
      </w:r>
      <w:r>
        <w:t>,</w:t>
      </w:r>
      <w:r w:rsidRPr="00B31D12">
        <w:t xml:space="preserve"> in which case earth station to earth station coordination </w:t>
      </w:r>
      <w:r>
        <w:t xml:space="preserve">would also </w:t>
      </w:r>
      <w:r w:rsidRPr="00B31D12">
        <w:t>need to be considered).</w:t>
      </w:r>
    </w:p>
    <w:p w14:paraId="32C877DD" w14:textId="77777777" w:rsidR="004376F2" w:rsidRPr="00B31D12" w:rsidRDefault="004376F2" w:rsidP="00EB726B">
      <w:pPr>
        <w:pStyle w:val="Paragraph"/>
      </w:pPr>
      <w:r w:rsidRPr="00B31D12">
        <w:t xml:space="preserve">To assist an applicant, the ACMA may establish whether there is a need </w:t>
      </w:r>
      <w:r>
        <w:t xml:space="preserve">for </w:t>
      </w:r>
      <w:r w:rsidRPr="00B31D12">
        <w:t xml:space="preserve">coordination with a previously submitted satellite system based on frequency overlap.  However, it is the applicant’s responsibility to provide its own assessment of potential domestic coordination requirements, based on information published by the ITU on Australian satellite filings. ITU software and commercially available coordination software can assist in establishing coordination requirements. </w:t>
      </w:r>
    </w:p>
    <w:p w14:paraId="4FAB37B2" w14:textId="0544DDB8" w:rsidR="004376F2" w:rsidRPr="00B31D12" w:rsidRDefault="004376F2" w:rsidP="004376F2">
      <w:pPr>
        <w:pStyle w:val="Paragraph"/>
      </w:pPr>
      <w:r>
        <w:t>In the case of</w:t>
      </w:r>
      <w:r w:rsidRPr="00B31D12">
        <w:t xml:space="preserve"> an Australian satellite system for which an application was </w:t>
      </w:r>
      <w:r>
        <w:t xml:space="preserve">previously </w:t>
      </w:r>
      <w:r w:rsidRPr="00B31D12">
        <w:t xml:space="preserve">accepted by the ACMA and </w:t>
      </w:r>
      <w:r>
        <w:t>remains</w:t>
      </w:r>
      <w:r w:rsidRPr="00B31D12">
        <w:t xml:space="preserve"> under consideration, </w:t>
      </w:r>
      <w:r>
        <w:t>but has</w:t>
      </w:r>
      <w:r w:rsidRPr="00B31D12">
        <w:t xml:space="preserve"> not yet </w:t>
      </w:r>
      <w:r w:rsidR="00612FAA">
        <w:t xml:space="preserve">been </w:t>
      </w:r>
      <w:r w:rsidRPr="00B31D12">
        <w:t xml:space="preserve">published by the ITU, the ACMA will establish, </w:t>
      </w:r>
      <w:r>
        <w:t>based on</w:t>
      </w:r>
      <w:r w:rsidRPr="00B31D12">
        <w:t xml:space="preserve"> frequency overlap, if the applicant is required to coordinate with the operator of </w:t>
      </w:r>
      <w:r>
        <w:t xml:space="preserve">that </w:t>
      </w:r>
      <w:r w:rsidRPr="00B31D12">
        <w:t>system.</w:t>
      </w:r>
    </w:p>
    <w:p w14:paraId="76847C68" w14:textId="77777777" w:rsidR="004376F2" w:rsidRPr="00B31D12" w:rsidRDefault="004376F2" w:rsidP="004376F2">
      <w:pPr>
        <w:pStyle w:val="Heading3"/>
      </w:pPr>
      <w:bookmarkStart w:id="229" w:name="_Toc195092473"/>
      <w:bookmarkStart w:id="230" w:name="_Toc198288049"/>
      <w:r w:rsidRPr="00B31D12">
        <w:t xml:space="preserve">Assessing </w:t>
      </w:r>
      <w:r>
        <w:t>coordination required</w:t>
      </w:r>
      <w:bookmarkEnd w:id="229"/>
      <w:bookmarkEnd w:id="230"/>
      <w:r>
        <w:t xml:space="preserve"> </w:t>
      </w:r>
    </w:p>
    <w:p w14:paraId="53A58C54" w14:textId="237FF625" w:rsidR="004376F2" w:rsidRPr="00B31D12" w:rsidRDefault="004376F2" w:rsidP="00767D86">
      <w:pPr>
        <w:pStyle w:val="Paragraph"/>
      </w:pPr>
      <w:r w:rsidRPr="00B31D12">
        <w:t xml:space="preserve">The likelihood of interference </w:t>
      </w:r>
      <w:r w:rsidR="00134C2F">
        <w:t>between</w:t>
      </w:r>
      <w:r w:rsidR="00134C2F" w:rsidRPr="00B31D12">
        <w:t xml:space="preserve"> </w:t>
      </w:r>
      <w:r w:rsidRPr="00B31D12">
        <w:t xml:space="preserve">the satellite filings being coordinated </w:t>
      </w:r>
      <w:r>
        <w:t xml:space="preserve">with </w:t>
      </w:r>
      <w:r w:rsidRPr="00B31D12">
        <w:t xml:space="preserve">can be assessed by using the thresholds/conditions listed in the Radio Regulations (in this process, the new satellite filing should be </w:t>
      </w:r>
      <w:r>
        <w:t>taken</w:t>
      </w:r>
      <w:r w:rsidRPr="00B31D12">
        <w:t xml:space="preserve"> as a filing from another administration). Relevant requirements are generally contained in ITU RR Appendix 5. Conditions of Appendices 30, 30A and 30B of the Radio Regulations are applicable for coordination in planned frequency bands</w:t>
      </w:r>
      <w:r>
        <w:t xml:space="preserve"> (see Section 3.7 for a description of these provisions)</w:t>
      </w:r>
      <w:r w:rsidRPr="00B31D12">
        <w:t xml:space="preserve">. ITU software and commercially available coordination software can assist in </w:t>
      </w:r>
      <w:r>
        <w:t>evaluating interference potential against the above parameters and requirements</w:t>
      </w:r>
      <w:r w:rsidRPr="00B31D12">
        <w:t xml:space="preserve">. </w:t>
      </w:r>
    </w:p>
    <w:p w14:paraId="110557BF" w14:textId="51DA7E23" w:rsidR="004376F2" w:rsidRPr="00B31D12" w:rsidRDefault="004376F2" w:rsidP="00767D86">
      <w:pPr>
        <w:pStyle w:val="Paragraph"/>
      </w:pPr>
      <w:r w:rsidRPr="00B31D12">
        <w:t>While the ITU Radio Regulations may not require coordination in all cases of frequency overlap (for example</w:t>
      </w:r>
      <w:r w:rsidR="00612FAA">
        <w:t>,</w:t>
      </w:r>
      <w:r w:rsidRPr="00B31D12">
        <w:t xml:space="preserve"> in frequency bands not subject to coordination) and hence no threshold/conditions exist to assist with coordination, as a general principle</w:t>
      </w:r>
      <w:r w:rsidR="004050AF">
        <w:t>,</w:t>
      </w:r>
      <w:r w:rsidRPr="00B31D12">
        <w:t xml:space="preserve"> the ACMA requires new Australia</w:t>
      </w:r>
      <w:r w:rsidR="004050AF">
        <w:t>n</w:t>
      </w:r>
      <w:r w:rsidRPr="00B31D12">
        <w:t xml:space="preserve"> satellite systems to be coordinated with existing Australia</w:t>
      </w:r>
      <w:r>
        <w:t>n</w:t>
      </w:r>
      <w:r w:rsidRPr="00B31D12">
        <w:t xml:space="preserve"> satellite systems with services allocated with the same or higher category of allocation. </w:t>
      </w:r>
    </w:p>
    <w:p w14:paraId="1503FD13" w14:textId="77777777" w:rsidR="004376F2" w:rsidRPr="00B31D12" w:rsidRDefault="004376F2" w:rsidP="00767D86">
      <w:pPr>
        <w:pStyle w:val="Paragraph"/>
      </w:pPr>
      <w:r>
        <w:t>T</w:t>
      </w:r>
      <w:r w:rsidRPr="00B31D12">
        <w:t xml:space="preserve">he ACMA </w:t>
      </w:r>
      <w:r>
        <w:t xml:space="preserve">can be contacted </w:t>
      </w:r>
      <w:r w:rsidRPr="00B31D12">
        <w:t>for advice</w:t>
      </w:r>
      <w:r>
        <w:t xml:space="preserve"> if there is any uncertainty around these processes</w:t>
      </w:r>
      <w:r w:rsidRPr="00B31D12">
        <w:t>.</w:t>
      </w:r>
    </w:p>
    <w:p w14:paraId="55108EB4" w14:textId="77777777" w:rsidR="004376F2" w:rsidRPr="00B31D12" w:rsidRDefault="004376F2" w:rsidP="004376F2">
      <w:pPr>
        <w:pStyle w:val="Heading3"/>
      </w:pPr>
      <w:bookmarkStart w:id="231" w:name="_Toc195092474"/>
      <w:bookmarkStart w:id="232" w:name="_Toc198288050"/>
      <w:r w:rsidRPr="00B31D12">
        <w:t xml:space="preserve">Advising the ACMA </w:t>
      </w:r>
      <w:r>
        <w:t>of completion of</w:t>
      </w:r>
      <w:r w:rsidRPr="00B31D12">
        <w:t xml:space="preserve"> coordination</w:t>
      </w:r>
      <w:bookmarkEnd w:id="231"/>
      <w:bookmarkEnd w:id="232"/>
    </w:p>
    <w:p w14:paraId="15B35295" w14:textId="77777777" w:rsidR="004050AF" w:rsidRDefault="004376F2" w:rsidP="00767D86">
      <w:pPr>
        <w:pStyle w:val="Paragraphbeforelist"/>
      </w:pPr>
      <w:r w:rsidRPr="00B31D12">
        <w:t xml:space="preserve">Coordination with all </w:t>
      </w:r>
      <w:r>
        <w:t xml:space="preserve">satellite systems </w:t>
      </w:r>
      <w:r w:rsidRPr="00B31D12">
        <w:t xml:space="preserve">identified by the ACMA </w:t>
      </w:r>
      <w:r>
        <w:t>can</w:t>
      </w:r>
      <w:r w:rsidRPr="00B31D12">
        <w:t xml:space="preserve"> be completed by either</w:t>
      </w:r>
      <w:r>
        <w:t>:</w:t>
      </w:r>
      <w:r w:rsidRPr="00B31D12">
        <w:t xml:space="preserve"> </w:t>
      </w:r>
    </w:p>
    <w:p w14:paraId="58006144" w14:textId="7B455E29" w:rsidR="004050AF" w:rsidRDefault="004376F2" w:rsidP="00767D86">
      <w:pPr>
        <w:pStyle w:val="Bulletlevel1"/>
      </w:pPr>
      <w:r w:rsidRPr="00B31D12">
        <w:t xml:space="preserve">obtaining an agreement </w:t>
      </w:r>
      <w:r>
        <w:t>with</w:t>
      </w:r>
      <w:r w:rsidRPr="00B31D12">
        <w:t xml:space="preserve"> the relevant satellite operator</w:t>
      </w:r>
    </w:p>
    <w:p w14:paraId="773F7032" w14:textId="2F3A349F" w:rsidR="004376F2" w:rsidRPr="00B31D12" w:rsidRDefault="004376F2" w:rsidP="00767D86">
      <w:pPr>
        <w:pStyle w:val="Bulletlevel1last"/>
      </w:pPr>
      <w:r>
        <w:t>providing evidence of</w:t>
      </w:r>
      <w:r w:rsidRPr="00B31D12">
        <w:t xml:space="preserve"> an agreement between the </w:t>
      </w:r>
      <w:r w:rsidR="004050AF">
        <w:t>2</w:t>
      </w:r>
      <w:r w:rsidR="004050AF" w:rsidRPr="00B31D12">
        <w:t xml:space="preserve"> </w:t>
      </w:r>
      <w:r w:rsidRPr="00B31D12">
        <w:t>satellite operators that the coordination is not required.</w:t>
      </w:r>
    </w:p>
    <w:p w14:paraId="57C02214" w14:textId="77777777" w:rsidR="004376F2" w:rsidRPr="00B31D12" w:rsidRDefault="004376F2" w:rsidP="00767D86">
      <w:pPr>
        <w:pStyle w:val="Paragraph"/>
      </w:pPr>
      <w:r>
        <w:lastRenderedPageBreak/>
        <w:t xml:space="preserve">Coordination is only completed once a copy of the </w:t>
      </w:r>
      <w:r w:rsidRPr="00B31D12">
        <w:t xml:space="preserve">coordination </w:t>
      </w:r>
      <w:r>
        <w:t xml:space="preserve">agreement has been provided to and accepted by the ACMA. Agreements </w:t>
      </w:r>
      <w:r w:rsidRPr="00B31D12">
        <w:t>can be in a form of an email exchange or a signed document</w:t>
      </w:r>
      <w:r>
        <w:t>,</w:t>
      </w:r>
      <w:r w:rsidRPr="00B31D12">
        <w:t xml:space="preserve"> depending on the complexity of the agreement.</w:t>
      </w:r>
    </w:p>
    <w:p w14:paraId="00E8331C" w14:textId="77777777" w:rsidR="004376F2" w:rsidRPr="00B31D12" w:rsidRDefault="004376F2" w:rsidP="004376F2">
      <w:pPr>
        <w:pStyle w:val="Heading3"/>
        <w:rPr>
          <w:i/>
          <w:iCs/>
        </w:rPr>
      </w:pPr>
      <w:bookmarkStart w:id="233" w:name="_Toc195092475"/>
      <w:bookmarkStart w:id="234" w:name="_Ref195702291"/>
      <w:bookmarkStart w:id="235" w:name="_Ref195702297"/>
      <w:bookmarkStart w:id="236" w:name="_Ref195702420"/>
      <w:bookmarkStart w:id="237" w:name="_Ref195702425"/>
      <w:bookmarkStart w:id="238" w:name="_Ref195702488"/>
      <w:bookmarkStart w:id="239" w:name="_Toc198288051"/>
      <w:r w:rsidRPr="00B31D12">
        <w:t>When to commence</w:t>
      </w:r>
      <w:r w:rsidRPr="00A15C81">
        <w:t xml:space="preserve"> </w:t>
      </w:r>
      <w:r w:rsidRPr="00B31D12">
        <w:t>coordination</w:t>
      </w:r>
      <w:bookmarkEnd w:id="233"/>
      <w:bookmarkEnd w:id="234"/>
      <w:bookmarkEnd w:id="235"/>
      <w:bookmarkEnd w:id="236"/>
      <w:bookmarkEnd w:id="237"/>
      <w:bookmarkEnd w:id="238"/>
      <w:bookmarkEnd w:id="239"/>
    </w:p>
    <w:p w14:paraId="66FD647A" w14:textId="78424695" w:rsidR="004376F2" w:rsidRPr="00B31D12" w:rsidRDefault="004376F2" w:rsidP="00767D86">
      <w:pPr>
        <w:pStyle w:val="Paragraph"/>
      </w:pPr>
      <w:r w:rsidRPr="00B31D12">
        <w:t xml:space="preserve">Coordination with existing Australian satellite filings is to commence after the filing has been received by the ITU (available </w:t>
      </w:r>
      <w:r>
        <w:t>from the</w:t>
      </w:r>
      <w:r w:rsidRPr="00B31D12">
        <w:t xml:space="preserve"> </w:t>
      </w:r>
      <w:r w:rsidR="004050AF">
        <w:t>‘</w:t>
      </w:r>
      <w:hyperlink r:id="rId71" w:history="1">
        <w:r w:rsidRPr="00B31D12">
          <w:rPr>
            <w:rStyle w:val="Hyperlink"/>
          </w:rPr>
          <w:t>As Received</w:t>
        </w:r>
      </w:hyperlink>
      <w:r w:rsidR="004050AF">
        <w:t>’</w:t>
      </w:r>
      <w:r>
        <w:t xml:space="preserve"> portal on the ITU website</w:t>
      </w:r>
      <w:r w:rsidRPr="00B31D12">
        <w:t xml:space="preserve">). The ACMA will </w:t>
      </w:r>
      <w:r>
        <w:t xml:space="preserve">then </w:t>
      </w:r>
      <w:r w:rsidRPr="00B31D12">
        <w:t xml:space="preserve">provide a list to all affected operators of potentially affected </w:t>
      </w:r>
      <w:r>
        <w:t xml:space="preserve">existing </w:t>
      </w:r>
      <w:r w:rsidRPr="00B31D12">
        <w:t>satellite filings</w:t>
      </w:r>
      <w:r>
        <w:t xml:space="preserve"> where there is a </w:t>
      </w:r>
      <w:r w:rsidRPr="00B31D12">
        <w:t xml:space="preserve">frequency overlap. </w:t>
      </w:r>
    </w:p>
    <w:p w14:paraId="22049C14" w14:textId="77777777" w:rsidR="004376F2" w:rsidRPr="00B31D12" w:rsidRDefault="004376F2" w:rsidP="00767D86">
      <w:pPr>
        <w:pStyle w:val="Paragraph"/>
      </w:pPr>
      <w:r w:rsidRPr="00B31D12">
        <w:t xml:space="preserve">The ACMA </w:t>
      </w:r>
      <w:r>
        <w:t xml:space="preserve">encourages as a best practice </w:t>
      </w:r>
      <w:r w:rsidRPr="00B31D12">
        <w:t xml:space="preserve">that coordination be initiated by the applicant within 6 months </w:t>
      </w:r>
      <w:r>
        <w:t xml:space="preserve">of </w:t>
      </w:r>
      <w:r w:rsidRPr="00B31D12">
        <w:t xml:space="preserve">the ACMA </w:t>
      </w:r>
      <w:r>
        <w:t>advising</w:t>
      </w:r>
      <w:r w:rsidRPr="00B31D12">
        <w:t xml:space="preserve"> existing Australian operators </w:t>
      </w:r>
      <w:r>
        <w:t>of</w:t>
      </w:r>
      <w:r w:rsidRPr="00B31D12">
        <w:t xml:space="preserve"> the new ITU filing. </w:t>
      </w:r>
      <w:r>
        <w:t>All satellite</w:t>
      </w:r>
      <w:r w:rsidRPr="00B31D12">
        <w:t xml:space="preserve"> operators are expected to </w:t>
      </w:r>
      <w:r>
        <w:t>act in good faith, making</w:t>
      </w:r>
      <w:r w:rsidRPr="00B31D12">
        <w:t xml:space="preserve"> best endeavours to</w:t>
      </w:r>
      <w:r>
        <w:t>wards</w:t>
      </w:r>
      <w:r w:rsidRPr="00B31D12">
        <w:t xml:space="preserve"> reach</w:t>
      </w:r>
      <w:r>
        <w:t xml:space="preserve">ing </w:t>
      </w:r>
      <w:r w:rsidRPr="00B31D12">
        <w:t>coordination agreements in a timely fashion.</w:t>
      </w:r>
    </w:p>
    <w:p w14:paraId="25E45E98" w14:textId="1C3F2D7A" w:rsidR="004376F2" w:rsidRPr="00B31D12" w:rsidRDefault="004376F2" w:rsidP="00E02D76">
      <w:pPr>
        <w:pStyle w:val="Paragraph"/>
      </w:pPr>
      <w:r w:rsidRPr="00B31D12">
        <w:t xml:space="preserve">Our expectation is that only filings that are </w:t>
      </w:r>
      <w:r>
        <w:t xml:space="preserve">readily </w:t>
      </w:r>
      <w:r w:rsidRPr="00B31D12">
        <w:t xml:space="preserve">able to coordinate with other Australian satellite filings will be submitted to the ACMA. </w:t>
      </w:r>
      <w:r>
        <w:t>I</w:t>
      </w:r>
      <w:r w:rsidRPr="00B31D12">
        <w:t>f</w:t>
      </w:r>
      <w:r w:rsidR="004050AF">
        <w:t>,</w:t>
      </w:r>
      <w:r w:rsidRPr="00B31D12">
        <w:t xml:space="preserve"> when reviewing a filing application</w:t>
      </w:r>
      <w:r>
        <w:t>,</w:t>
      </w:r>
      <w:r w:rsidRPr="00B31D12">
        <w:t xml:space="preserve"> the ACMA considers that technical compatibility between the new and existing filings </w:t>
      </w:r>
      <w:r>
        <w:t>will</w:t>
      </w:r>
      <w:r w:rsidRPr="00B31D12">
        <w:t xml:space="preserve"> be challenging to achieve, then</w:t>
      </w:r>
      <w:r>
        <w:t xml:space="preserve"> the</w:t>
      </w:r>
      <w:r w:rsidRPr="00B31D12">
        <w:t xml:space="preserve"> ACMA may decide that coordination is required before it further considers the application. The scope of the required coordination would depend on the scenario and the experience of the satellite operator.</w:t>
      </w:r>
    </w:p>
    <w:p w14:paraId="450DB0F4" w14:textId="77777777" w:rsidR="004376F2" w:rsidRPr="00B31D12" w:rsidRDefault="004376F2" w:rsidP="001D0516">
      <w:pPr>
        <w:pStyle w:val="Paragraphbeforelist"/>
      </w:pPr>
      <w:r w:rsidRPr="00B31D12">
        <w:t>For example:</w:t>
      </w:r>
    </w:p>
    <w:p w14:paraId="394A6246" w14:textId="2D6190B6" w:rsidR="004376F2" w:rsidRPr="00B31D12" w:rsidRDefault="004050AF" w:rsidP="001D0516">
      <w:pPr>
        <w:pStyle w:val="Bulletlevel1"/>
        <w:rPr>
          <w:b/>
          <w:bCs/>
          <w:i/>
          <w:iCs/>
        </w:rPr>
      </w:pPr>
      <w:r>
        <w:t>I</w:t>
      </w:r>
      <w:r w:rsidRPr="00B31D12">
        <w:t xml:space="preserve">n </w:t>
      </w:r>
      <w:r w:rsidR="004376F2">
        <w:t>the</w:t>
      </w:r>
      <w:r w:rsidR="004376F2" w:rsidRPr="00B31D12">
        <w:t xml:space="preserve"> case of </w:t>
      </w:r>
      <w:r>
        <w:t xml:space="preserve">2 </w:t>
      </w:r>
      <w:r w:rsidR="004376F2" w:rsidRPr="00B31D12">
        <w:t>GSO</w:t>
      </w:r>
      <w:r w:rsidR="004376F2">
        <w:t xml:space="preserve"> satellite</w:t>
      </w:r>
      <w:r w:rsidR="004376F2" w:rsidRPr="00B31D12">
        <w:t xml:space="preserve"> networks </w:t>
      </w:r>
      <w:r w:rsidR="004376F2">
        <w:t xml:space="preserve">with a frequency overlap </w:t>
      </w:r>
      <w:r w:rsidR="004376F2" w:rsidRPr="00B31D12">
        <w:t>that occupy the same orbital slot and serve the same geographical area</w:t>
      </w:r>
      <w:r w:rsidR="004376F2">
        <w:t>,</w:t>
      </w:r>
      <w:r w:rsidR="004376F2" w:rsidRPr="00B31D12">
        <w:t xml:space="preserve"> it is likely that a coordination agreement would be required to be completed before the filing can be submitted to the ITU</w:t>
      </w:r>
      <w:r>
        <w:t>.</w:t>
      </w:r>
    </w:p>
    <w:p w14:paraId="75A8E4E7" w14:textId="12F96971" w:rsidR="004376F2" w:rsidRPr="00B31D12" w:rsidRDefault="004050AF" w:rsidP="001D0516">
      <w:pPr>
        <w:pStyle w:val="Bulletlevel1last"/>
      </w:pPr>
      <w:r>
        <w:t>I</w:t>
      </w:r>
      <w:r w:rsidR="004376F2" w:rsidRPr="00B31D12">
        <w:t xml:space="preserve">n </w:t>
      </w:r>
      <w:r w:rsidR="004376F2">
        <w:t xml:space="preserve">the </w:t>
      </w:r>
      <w:r w:rsidR="004376F2" w:rsidRPr="00B31D12">
        <w:t xml:space="preserve">case of </w:t>
      </w:r>
      <w:r w:rsidR="004376F2">
        <w:t xml:space="preserve">a </w:t>
      </w:r>
      <w:r w:rsidR="004376F2" w:rsidRPr="00B31D12">
        <w:t xml:space="preserve">frequency overlap between a large NGSO </w:t>
      </w:r>
      <w:r w:rsidR="004376F2">
        <w:t xml:space="preserve">satellite </w:t>
      </w:r>
      <w:r w:rsidR="004376F2" w:rsidRPr="00B31D12">
        <w:t xml:space="preserve">constellation and GSO </w:t>
      </w:r>
      <w:r w:rsidR="004376F2">
        <w:t xml:space="preserve">satellite </w:t>
      </w:r>
      <w:r w:rsidR="004376F2" w:rsidRPr="00B31D12">
        <w:t>network, we may require coordination to be initiated with potentially affected operators</w:t>
      </w:r>
      <w:r w:rsidR="004376F2">
        <w:t>. This would need to be supported by an</w:t>
      </w:r>
      <w:r w:rsidR="004376F2" w:rsidRPr="00B31D12">
        <w:t xml:space="preserve"> acknowledgement from </w:t>
      </w:r>
      <w:r w:rsidR="004376F2">
        <w:t>relevant</w:t>
      </w:r>
      <w:r w:rsidR="004376F2" w:rsidRPr="00B31D12">
        <w:t xml:space="preserve"> operators that development of a coordination agreement has commenced</w:t>
      </w:r>
      <w:r w:rsidR="004376F2">
        <w:t>,</w:t>
      </w:r>
      <w:r w:rsidR="004376F2" w:rsidRPr="00B31D12">
        <w:t xml:space="preserve"> with the intention </w:t>
      </w:r>
      <w:r w:rsidR="004376F2">
        <w:t>of completing</w:t>
      </w:r>
      <w:r w:rsidR="004376F2" w:rsidRPr="00B31D12">
        <w:t xml:space="preserve"> the agreement in the future</w:t>
      </w:r>
      <w:r w:rsidR="004376F2">
        <w:t>,</w:t>
      </w:r>
      <w:r w:rsidR="004376F2" w:rsidRPr="00B31D12">
        <w:t xml:space="preserve"> before the commencement of bringing into use activities.</w:t>
      </w:r>
    </w:p>
    <w:p w14:paraId="6B626B13" w14:textId="77777777" w:rsidR="004376F2" w:rsidRPr="00CA39F2" w:rsidRDefault="004376F2" w:rsidP="0081282E">
      <w:pPr>
        <w:pStyle w:val="Paragraph"/>
        <w:rPr>
          <w:b/>
          <w:bCs/>
        </w:rPr>
      </w:pPr>
      <w:r w:rsidRPr="00B31D12">
        <w:t>As stated in the introduction</w:t>
      </w:r>
      <w:r>
        <w:t xml:space="preserve"> </w:t>
      </w:r>
      <w:r w:rsidRPr="00A72C5D">
        <w:t>section</w:t>
      </w:r>
      <w:r>
        <w:t xml:space="preserve"> of these procedures,</w:t>
      </w:r>
      <w:r w:rsidRPr="00B31D12">
        <w:t xml:space="preserve"> we reserve the right to deviate from the procedures, </w:t>
      </w:r>
      <w:r>
        <w:t>at</w:t>
      </w:r>
      <w:r w:rsidRPr="00B31D12">
        <w:t xml:space="preserve"> our absolute discretion, if warranted by the circumstances of a particular application or under a lawful direction from the Minister for Communications. The above two </w:t>
      </w:r>
      <w:r w:rsidRPr="00860CB0">
        <w:t xml:space="preserve">scenarios are examples </w:t>
      </w:r>
      <w:r>
        <w:t>of</w:t>
      </w:r>
      <w:r w:rsidRPr="00860CB0">
        <w:t xml:space="preserve"> when we might deviate from our standard procedure to commence coordination after submission of the satellite filing to the ITU.</w:t>
      </w:r>
      <w:r>
        <w:t xml:space="preserve"> </w:t>
      </w:r>
    </w:p>
    <w:p w14:paraId="39B2AD2A" w14:textId="77777777" w:rsidR="004376F2" w:rsidRDefault="004376F2" w:rsidP="004376F2">
      <w:pPr>
        <w:pStyle w:val="Heading3"/>
      </w:pPr>
      <w:bookmarkStart w:id="240" w:name="_Toc195092476"/>
      <w:bookmarkStart w:id="241" w:name="_Toc198288052"/>
      <w:r>
        <w:t>Failure to coordinate between Australian satellite operators</w:t>
      </w:r>
      <w:bookmarkEnd w:id="240"/>
      <w:bookmarkEnd w:id="241"/>
    </w:p>
    <w:p w14:paraId="16AA0871" w14:textId="77777777" w:rsidR="004376F2" w:rsidRPr="003C3F90" w:rsidRDefault="004376F2" w:rsidP="004376F2">
      <w:pPr>
        <w:pStyle w:val="Paragraph"/>
      </w:pPr>
      <w:r>
        <w:t>C</w:t>
      </w:r>
      <w:r w:rsidRPr="00B971F8">
        <w:t xml:space="preserve">oordination </w:t>
      </w:r>
      <w:r>
        <w:t xml:space="preserve">between Australian satellite systems </w:t>
      </w:r>
      <w:r w:rsidRPr="00B971F8">
        <w:t>will need to be completed before</w:t>
      </w:r>
      <w:r>
        <w:t xml:space="preserve"> starting the process of</w:t>
      </w:r>
      <w:r w:rsidRPr="00B971F8">
        <w:t xml:space="preserve"> bringing </w:t>
      </w:r>
      <w:r>
        <w:t xml:space="preserve">the </w:t>
      </w:r>
      <w:r w:rsidRPr="00B971F8">
        <w:t>frequency assignments of the satellite filing into use</w:t>
      </w:r>
      <w:r>
        <w:t>. This process</w:t>
      </w:r>
      <w:r w:rsidRPr="003C3F90">
        <w:t xml:space="preserve"> includes submitting the notification to the ITU (the request for recording in the M</w:t>
      </w:r>
      <w:r>
        <w:t>IFR),</w:t>
      </w:r>
      <w:r w:rsidRPr="003C3F90">
        <w:t xml:space="preserve"> </w:t>
      </w:r>
      <w:r>
        <w:t>applications</w:t>
      </w:r>
      <w:r w:rsidRPr="003C3F90">
        <w:t xml:space="preserve"> for domestic licensing</w:t>
      </w:r>
      <w:r>
        <w:t>,</w:t>
      </w:r>
      <w:r w:rsidRPr="003C3F90">
        <w:t xml:space="preserve"> launch</w:t>
      </w:r>
      <w:r>
        <w:t>ing</w:t>
      </w:r>
      <w:r w:rsidRPr="003C3F90">
        <w:t xml:space="preserve"> the new satellite system and/or commenc</w:t>
      </w:r>
      <w:r>
        <w:t xml:space="preserve">ing </w:t>
      </w:r>
      <w:r w:rsidRPr="003C3F90">
        <w:t>operation</w:t>
      </w:r>
      <w:r>
        <w:t xml:space="preserve"> and </w:t>
      </w:r>
      <w:r w:rsidRPr="003F45A2">
        <w:t>notifying the ITU about bringing the frequency assignments into use</w:t>
      </w:r>
      <w:r>
        <w:t>.</w:t>
      </w:r>
    </w:p>
    <w:p w14:paraId="141284E9" w14:textId="77777777" w:rsidR="004376F2" w:rsidRDefault="004376F2" w:rsidP="004376F2">
      <w:pPr>
        <w:pStyle w:val="Paragraph"/>
      </w:pPr>
      <w:r w:rsidRPr="00B971F8">
        <w:t xml:space="preserve">The ACMA will not </w:t>
      </w:r>
      <w:r>
        <w:t xml:space="preserve">submit the notification data to the ITU or </w:t>
      </w:r>
      <w:r w:rsidRPr="00B971F8">
        <w:t xml:space="preserve">advise the ITU </w:t>
      </w:r>
      <w:r>
        <w:t>that a satellite system has been brought</w:t>
      </w:r>
      <w:r w:rsidRPr="00B971F8">
        <w:t xml:space="preserve"> into use until </w:t>
      </w:r>
      <w:r>
        <w:t>coordination</w:t>
      </w:r>
      <w:r w:rsidRPr="00B971F8">
        <w:t xml:space="preserve"> agreement</w:t>
      </w:r>
      <w:r>
        <w:t>s</w:t>
      </w:r>
      <w:r w:rsidRPr="00B971F8">
        <w:t xml:space="preserve"> </w:t>
      </w:r>
      <w:r>
        <w:t>are</w:t>
      </w:r>
      <w:r w:rsidRPr="00B971F8">
        <w:t xml:space="preserve"> reached and a copy of </w:t>
      </w:r>
      <w:r>
        <w:t>each</w:t>
      </w:r>
      <w:r w:rsidRPr="00B971F8">
        <w:t xml:space="preserve"> agreement is provided to the ACMA.</w:t>
      </w:r>
      <w:r w:rsidRPr="00751C6B">
        <w:t xml:space="preserve"> This policy only applies to the relevant frequency assignments for which coordination is outstanding, not the entire satellite system.</w:t>
      </w:r>
    </w:p>
    <w:p w14:paraId="2581986B" w14:textId="77777777" w:rsidR="004376F2" w:rsidRDefault="004376F2" w:rsidP="004376F2">
      <w:pPr>
        <w:pStyle w:val="Paragraph"/>
      </w:pPr>
      <w:r w:rsidRPr="002D3770">
        <w:lastRenderedPageBreak/>
        <w:t>Whether a</w:t>
      </w:r>
      <w:r>
        <w:t xml:space="preserve"> coordination</w:t>
      </w:r>
      <w:r w:rsidRPr="002D3770">
        <w:t xml:space="preserve"> agreement is in place may be a relevant factor for the ACMA to consider when assessing a future licence application. The weighting given to the absence of a coordination agreement would depend on the specifics of the licence application.</w:t>
      </w:r>
      <w:r>
        <w:t xml:space="preserve"> </w:t>
      </w:r>
    </w:p>
    <w:p w14:paraId="77C0F611" w14:textId="77777777" w:rsidR="004376F2" w:rsidRDefault="004376F2" w:rsidP="004376F2">
      <w:pPr>
        <w:pStyle w:val="Heading3"/>
      </w:pPr>
      <w:bookmarkStart w:id="242" w:name="_Toc195092477"/>
      <w:bookmarkStart w:id="243" w:name="_Toc198288053"/>
      <w:r>
        <w:t>Resolving disagreements between Australian satellite operators</w:t>
      </w:r>
      <w:bookmarkEnd w:id="242"/>
      <w:bookmarkEnd w:id="243"/>
      <w:r>
        <w:t xml:space="preserve"> </w:t>
      </w:r>
    </w:p>
    <w:p w14:paraId="40ACE908" w14:textId="77777777" w:rsidR="004376F2" w:rsidRPr="00B971F8" w:rsidRDefault="004376F2" w:rsidP="004376F2">
      <w:pPr>
        <w:pStyle w:val="Paragraph"/>
      </w:pPr>
      <w:r w:rsidRPr="00751C6B">
        <w:t xml:space="preserve">All Australian satellite operators have an obligation to use their best endeavours to reach coordination agreements in good faith, in a timely fashion. The ACMA will take account of the approach taken by parties in meeting this obligation </w:t>
      </w:r>
      <w:r>
        <w:t xml:space="preserve">if there is </w:t>
      </w:r>
      <w:r w:rsidRPr="00751C6B">
        <w:t xml:space="preserve">a dispute. </w:t>
      </w:r>
    </w:p>
    <w:p w14:paraId="44749F50" w14:textId="77777777" w:rsidR="004376F2" w:rsidRDefault="004376F2" w:rsidP="004376F2">
      <w:pPr>
        <w:pStyle w:val="Paragraph"/>
      </w:pPr>
      <w:r>
        <w:t xml:space="preserve">If </w:t>
      </w:r>
      <w:r w:rsidRPr="00751C6B">
        <w:t>there is a dispute, the ACMA may act as a decision</w:t>
      </w:r>
      <w:r>
        <w:t xml:space="preserve"> </w:t>
      </w:r>
      <w:r w:rsidRPr="00751C6B">
        <w:t xml:space="preserve">maker. If </w:t>
      </w:r>
      <w:r>
        <w:t>a satellite operator</w:t>
      </w:r>
      <w:r w:rsidRPr="00751C6B">
        <w:t xml:space="preserve"> can demonstrate that continued efforts towards domestic frequency coordination are being </w:t>
      </w:r>
      <w:r>
        <w:t>prevented</w:t>
      </w:r>
      <w:r w:rsidRPr="00751C6B">
        <w:t xml:space="preserve"> by circumstances outside of its control</w:t>
      </w:r>
      <w:r>
        <w:t>, including unreasonable objections of existing operators</w:t>
      </w:r>
      <w:r w:rsidRPr="00751C6B">
        <w:t>, it may request that the ACMA act</w:t>
      </w:r>
      <w:r>
        <w:t>s</w:t>
      </w:r>
      <w:r w:rsidRPr="00751C6B">
        <w:t xml:space="preserve"> as a decision</w:t>
      </w:r>
      <w:r>
        <w:t xml:space="preserve"> </w:t>
      </w:r>
      <w:r w:rsidRPr="00751C6B">
        <w:t xml:space="preserve">maker. If so, the ACMA may request information on the issue from all relevant parties. The ACMA may then investigate the issue and reach a decision as it sees fit. </w:t>
      </w:r>
    </w:p>
    <w:p w14:paraId="49109DDF" w14:textId="77777777" w:rsidR="004376F2" w:rsidRPr="00B971F8" w:rsidRDefault="004376F2" w:rsidP="004376F2">
      <w:pPr>
        <w:pStyle w:val="Paragraph"/>
      </w:pPr>
      <w:r w:rsidRPr="00751C6B">
        <w:t xml:space="preserve">In reaching its decision, the ACMA may consider issues such as </w:t>
      </w:r>
      <w:r>
        <w:t xml:space="preserve">technical aspects (orbital separation or other thresholds/conditions of the Radio Regulations), </w:t>
      </w:r>
      <w:r w:rsidRPr="00751C6B">
        <w:t xml:space="preserve">dates of receipt, coordination history, compliance with the procedures of this </w:t>
      </w:r>
      <w:r>
        <w:t>document</w:t>
      </w:r>
      <w:r w:rsidRPr="00751C6B">
        <w:t xml:space="preserve">, maturity of satellite system(s), and other matters that it may consider to be in the public interest. The ACMA may revoke such a decision in the case of a </w:t>
      </w:r>
      <w:r>
        <w:t xml:space="preserve">subsequent </w:t>
      </w:r>
      <w:r w:rsidRPr="00751C6B">
        <w:t>signed agreement between both parties.</w:t>
      </w:r>
    </w:p>
    <w:p w14:paraId="1D855DBD" w14:textId="77777777" w:rsidR="004376F2" w:rsidRPr="00607CA1" w:rsidRDefault="004376F2" w:rsidP="004376F2">
      <w:pPr>
        <w:pStyle w:val="Heading2"/>
      </w:pPr>
      <w:bookmarkStart w:id="244" w:name="_Toc132206497"/>
      <w:bookmarkStart w:id="245" w:name="_Toc132207339"/>
      <w:bookmarkStart w:id="246" w:name="_Toc132284220"/>
      <w:bookmarkStart w:id="247" w:name="_Toc132295809"/>
      <w:bookmarkStart w:id="248" w:name="_Toc132295913"/>
      <w:bookmarkStart w:id="249" w:name="_Toc132206498"/>
      <w:bookmarkStart w:id="250" w:name="_Toc132207340"/>
      <w:bookmarkStart w:id="251" w:name="_Toc132284221"/>
      <w:bookmarkStart w:id="252" w:name="_Toc132295810"/>
      <w:bookmarkStart w:id="253" w:name="_Toc132295914"/>
      <w:bookmarkStart w:id="254" w:name="_Toc132206499"/>
      <w:bookmarkStart w:id="255" w:name="_Toc132207341"/>
      <w:bookmarkStart w:id="256" w:name="_Toc132284222"/>
      <w:bookmarkStart w:id="257" w:name="_Toc132295811"/>
      <w:bookmarkStart w:id="258" w:name="_Toc132295915"/>
      <w:bookmarkStart w:id="259" w:name="_Toc132206500"/>
      <w:bookmarkStart w:id="260" w:name="_Toc132207342"/>
      <w:bookmarkStart w:id="261" w:name="_Toc132284223"/>
      <w:bookmarkStart w:id="262" w:name="_Toc132295812"/>
      <w:bookmarkStart w:id="263" w:name="_Toc132295916"/>
      <w:bookmarkStart w:id="264" w:name="_Toc132206501"/>
      <w:bookmarkStart w:id="265" w:name="_Toc132207343"/>
      <w:bookmarkStart w:id="266" w:name="_Toc132284224"/>
      <w:bookmarkStart w:id="267" w:name="_Toc132295813"/>
      <w:bookmarkStart w:id="268" w:name="_Toc132295917"/>
      <w:bookmarkStart w:id="269" w:name="_Toc132206502"/>
      <w:bookmarkStart w:id="270" w:name="_Toc132207344"/>
      <w:bookmarkStart w:id="271" w:name="_Toc132284225"/>
      <w:bookmarkStart w:id="272" w:name="_Toc132295814"/>
      <w:bookmarkStart w:id="273" w:name="_Toc132295918"/>
      <w:bookmarkStart w:id="274" w:name="_Toc132206503"/>
      <w:bookmarkStart w:id="275" w:name="_Toc132207345"/>
      <w:bookmarkStart w:id="276" w:name="_Toc132284226"/>
      <w:bookmarkStart w:id="277" w:name="_Toc132295815"/>
      <w:bookmarkStart w:id="278" w:name="_Toc132295919"/>
      <w:bookmarkStart w:id="279" w:name="_Toc132206504"/>
      <w:bookmarkStart w:id="280" w:name="_Toc132207346"/>
      <w:bookmarkStart w:id="281" w:name="_Toc132284227"/>
      <w:bookmarkStart w:id="282" w:name="_Toc132295816"/>
      <w:bookmarkStart w:id="283" w:name="_Toc132295920"/>
      <w:bookmarkStart w:id="284" w:name="_Toc132206505"/>
      <w:bookmarkStart w:id="285" w:name="_Toc132207347"/>
      <w:bookmarkStart w:id="286" w:name="_Toc132284228"/>
      <w:bookmarkStart w:id="287" w:name="_Toc132295817"/>
      <w:bookmarkStart w:id="288" w:name="_Toc132295921"/>
      <w:bookmarkStart w:id="289" w:name="_Toc132206506"/>
      <w:bookmarkStart w:id="290" w:name="_Toc132207348"/>
      <w:bookmarkStart w:id="291" w:name="_Toc132284229"/>
      <w:bookmarkStart w:id="292" w:name="_Toc132295818"/>
      <w:bookmarkStart w:id="293" w:name="_Toc132295922"/>
      <w:bookmarkStart w:id="294" w:name="_Toc132206507"/>
      <w:bookmarkStart w:id="295" w:name="_Toc132207349"/>
      <w:bookmarkStart w:id="296" w:name="_Toc132284230"/>
      <w:bookmarkStart w:id="297" w:name="_Toc132295819"/>
      <w:bookmarkStart w:id="298" w:name="_Toc132295923"/>
      <w:bookmarkStart w:id="299" w:name="_Toc132206508"/>
      <w:bookmarkStart w:id="300" w:name="_Toc132207350"/>
      <w:bookmarkStart w:id="301" w:name="_Toc132284231"/>
      <w:bookmarkStart w:id="302" w:name="_Toc132295820"/>
      <w:bookmarkStart w:id="303" w:name="_Toc132295924"/>
      <w:bookmarkStart w:id="304" w:name="_Toc132206509"/>
      <w:bookmarkStart w:id="305" w:name="_Toc132207351"/>
      <w:bookmarkStart w:id="306" w:name="_Toc132284232"/>
      <w:bookmarkStart w:id="307" w:name="_Toc132295821"/>
      <w:bookmarkStart w:id="308" w:name="_Toc132295925"/>
      <w:bookmarkStart w:id="309" w:name="_Toc306786393"/>
      <w:bookmarkStart w:id="310" w:name="_Toc111546520"/>
      <w:bookmarkStart w:id="311" w:name="_Toc114472684"/>
      <w:bookmarkStart w:id="312" w:name="_Toc128663966"/>
      <w:bookmarkStart w:id="313" w:name="_Toc195092478"/>
      <w:bookmarkStart w:id="314" w:name="_Toc198288054"/>
      <w:bookmarkStart w:id="315" w:name="_Hlk94260804"/>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r w:rsidRPr="00607CA1">
        <w:t>Requirements for ‘planned band’ applications</w:t>
      </w:r>
      <w:bookmarkEnd w:id="309"/>
      <w:bookmarkEnd w:id="310"/>
      <w:bookmarkEnd w:id="311"/>
      <w:bookmarkEnd w:id="312"/>
      <w:bookmarkEnd w:id="313"/>
      <w:bookmarkEnd w:id="314"/>
    </w:p>
    <w:bookmarkEnd w:id="315"/>
    <w:p w14:paraId="2069DA74" w14:textId="77777777" w:rsidR="004376F2" w:rsidRPr="00B971F8" w:rsidRDefault="004376F2" w:rsidP="004376F2">
      <w:pPr>
        <w:pStyle w:val="Paragraph"/>
      </w:pPr>
      <w:r w:rsidRPr="00B971F8">
        <w:t>The term ‘planned bands’ means the specific frequency bands detailed in Appendi</w:t>
      </w:r>
      <w:r>
        <w:t>c</w:t>
      </w:r>
      <w:r w:rsidRPr="00B971F8">
        <w:t>es 30 (BSS downlink)</w:t>
      </w:r>
      <w:r>
        <w:t>,</w:t>
      </w:r>
      <w:r w:rsidRPr="00810D2F">
        <w:rPr>
          <w:vertAlign w:val="superscript"/>
        </w:rPr>
        <w:footnoteReference w:id="23"/>
      </w:r>
      <w:r w:rsidRPr="00B971F8">
        <w:t xml:space="preserve"> 30A (BSS uplink) and 30B (FSS services)</w:t>
      </w:r>
      <w:r w:rsidRPr="00810D2F">
        <w:rPr>
          <w:vertAlign w:val="superscript"/>
        </w:rPr>
        <w:footnoteReference w:id="24"/>
      </w:r>
      <w:r w:rsidRPr="00810D2F">
        <w:rPr>
          <w:vertAlign w:val="superscript"/>
        </w:rPr>
        <w:t xml:space="preserve"> </w:t>
      </w:r>
      <w:r w:rsidRPr="00B971F8">
        <w:t xml:space="preserve">of the </w:t>
      </w:r>
      <w:r>
        <w:t>Radio</w:t>
      </w:r>
      <w:r w:rsidRPr="00B971F8">
        <w:t xml:space="preserve"> Regulations. These bands have been comprehensively planned, applying the principle of equitable use</w:t>
      </w:r>
      <w:r>
        <w:t xml:space="preserve"> – </w:t>
      </w:r>
      <w:r w:rsidRPr="00B971F8">
        <w:t xml:space="preserve">there are a small number of plan entries for every country. In this </w:t>
      </w:r>
      <w:r>
        <w:t>document</w:t>
      </w:r>
      <w:r w:rsidRPr="00B971F8">
        <w:t>, the term ‘planned bands’ is inclusive of the plans detailed within the</w:t>
      </w:r>
      <w:r>
        <w:t>se</w:t>
      </w:r>
      <w:r w:rsidRPr="00B971F8">
        <w:t xml:space="preserve"> appendi</w:t>
      </w:r>
      <w:r>
        <w:t>c</w:t>
      </w:r>
      <w:r w:rsidRPr="00B971F8">
        <w:t>es and any potential modifications to these plans.</w:t>
      </w:r>
    </w:p>
    <w:p w14:paraId="17EE4FDC" w14:textId="77777777" w:rsidR="004376F2" w:rsidRPr="00B971F8" w:rsidRDefault="004376F2" w:rsidP="004376F2">
      <w:pPr>
        <w:pStyle w:val="Paragraph"/>
      </w:pPr>
      <w:r w:rsidRPr="00B971F8">
        <w:t xml:space="preserve">Satellite networks subject to </w:t>
      </w:r>
      <w:r>
        <w:t>A</w:t>
      </w:r>
      <w:r w:rsidRPr="00B971F8">
        <w:t>ppendi</w:t>
      </w:r>
      <w:r>
        <w:t>c</w:t>
      </w:r>
      <w:r w:rsidRPr="00B971F8">
        <w:t>es 30, 30A and 30B are subject to significantly different procedures from other satellite networks.</w:t>
      </w:r>
    </w:p>
    <w:p w14:paraId="2C7A7BD9" w14:textId="77777777" w:rsidR="004376F2" w:rsidRPr="00B971F8" w:rsidRDefault="004376F2" w:rsidP="004376F2">
      <w:pPr>
        <w:pStyle w:val="Paragraph"/>
      </w:pPr>
      <w:r w:rsidRPr="00B971F8">
        <w:t xml:space="preserve">The ACMA may consider applications for satellite networks that are within the planned bands, on merit. </w:t>
      </w:r>
    </w:p>
    <w:p w14:paraId="71EDEDE6" w14:textId="6BB2D9E7" w:rsidR="004376F2" w:rsidRPr="00B971F8" w:rsidRDefault="004376F2" w:rsidP="004376F2">
      <w:pPr>
        <w:pStyle w:val="Paragraph"/>
      </w:pPr>
      <w:r w:rsidRPr="00B971F8">
        <w:t xml:space="preserve">Such applications need not be strictly limited to </w:t>
      </w:r>
      <w:r>
        <w:t xml:space="preserve">implementation of </w:t>
      </w:r>
      <w:r w:rsidRPr="00B971F8">
        <w:t>the plan assignments contained in the Radio Regulations</w:t>
      </w:r>
      <w:r w:rsidR="00BE2EF4">
        <w:t>.</w:t>
      </w:r>
      <w:r w:rsidR="00BE2EF4" w:rsidRPr="00B971F8">
        <w:t xml:space="preserve"> </w:t>
      </w:r>
      <w:r w:rsidR="00BE2EF4">
        <w:t>A</w:t>
      </w:r>
      <w:r w:rsidR="00BE2EF4" w:rsidRPr="00B971F8">
        <w:t xml:space="preserve">pplications </w:t>
      </w:r>
      <w:r w:rsidRPr="00B971F8">
        <w:t xml:space="preserve">for </w:t>
      </w:r>
      <w:r>
        <w:t xml:space="preserve">additional use to </w:t>
      </w:r>
      <w:r w:rsidRPr="00B971F8">
        <w:t>the plan may also be considered. In such cases, however, further information should be provided in the application (in addition to the information against the other assessment criteria) detailing the compatibility between the proposed assignment and the Australian plan assignments.</w:t>
      </w:r>
    </w:p>
    <w:p w14:paraId="4FCC87FD" w14:textId="77777777" w:rsidR="004376F2" w:rsidRPr="002D3770" w:rsidRDefault="004376F2" w:rsidP="00E02D76">
      <w:pPr>
        <w:pStyle w:val="Heading2"/>
        <w:keepLines/>
      </w:pPr>
      <w:bookmarkStart w:id="317" w:name="_Toc132284234"/>
      <w:bookmarkStart w:id="318" w:name="_Toc132295823"/>
      <w:bookmarkStart w:id="319" w:name="_Toc132295927"/>
      <w:bookmarkStart w:id="320" w:name="_Toc195092479"/>
      <w:bookmarkStart w:id="321" w:name="_Toc198288055"/>
      <w:bookmarkEnd w:id="317"/>
      <w:bookmarkEnd w:id="318"/>
      <w:bookmarkEnd w:id="319"/>
      <w:r w:rsidRPr="002D3770">
        <w:lastRenderedPageBreak/>
        <w:t>Requirements for amateur satellite bands</w:t>
      </w:r>
      <w:bookmarkEnd w:id="320"/>
      <w:bookmarkEnd w:id="321"/>
      <w:r w:rsidRPr="002D3770">
        <w:t xml:space="preserve">  </w:t>
      </w:r>
    </w:p>
    <w:p w14:paraId="7489E36D" w14:textId="77777777" w:rsidR="004376F2" w:rsidRPr="002D3770" w:rsidRDefault="004376F2" w:rsidP="00E02D76">
      <w:pPr>
        <w:pStyle w:val="Paragraph"/>
        <w:keepNext/>
        <w:keepLines/>
      </w:pPr>
      <w:r w:rsidRPr="002D3770">
        <w:t>Applicants seeking frequency assignments in the amateur bands are required to provide a letter of support from the Australian amateur radio community.</w:t>
      </w:r>
    </w:p>
    <w:p w14:paraId="68E6C9BA" w14:textId="77777777" w:rsidR="004376F2" w:rsidRPr="002D3770" w:rsidRDefault="004376F2" w:rsidP="00E02D76">
      <w:pPr>
        <w:pStyle w:val="Paragraph"/>
        <w:keepNext/>
        <w:keepLines/>
      </w:pPr>
      <w:r w:rsidRPr="002D3770">
        <w:t xml:space="preserve">All amateur band assignments need to be coordinated through the </w:t>
      </w:r>
      <w:hyperlink r:id="rId72" w:history="1">
        <w:r w:rsidRPr="002D3770">
          <w:rPr>
            <w:rStyle w:val="Hyperlink"/>
          </w:rPr>
          <w:t>International Amateur Radio Union</w:t>
        </w:r>
      </w:hyperlink>
      <w:r w:rsidRPr="002D3770">
        <w:t xml:space="preserve">. </w:t>
      </w:r>
    </w:p>
    <w:p w14:paraId="78D5CB98" w14:textId="1777426E" w:rsidR="004376F2" w:rsidRPr="00B971F8" w:rsidRDefault="004376F2" w:rsidP="00E02D76">
      <w:pPr>
        <w:pStyle w:val="Paragraph"/>
        <w:keepNext/>
        <w:keepLines/>
      </w:pPr>
      <w:bookmarkStart w:id="322" w:name="_Toc128663969"/>
      <w:bookmarkEnd w:id="322"/>
      <w:r w:rsidRPr="002D3770">
        <w:t xml:space="preserve">Communication with an amateur satellite is authorised under </w:t>
      </w:r>
      <w:hyperlink r:id="rId73" w:history="1">
        <w:r w:rsidR="00BE2EF4">
          <w:rPr>
            <w:rStyle w:val="Hyperlink"/>
          </w:rPr>
          <w:t>a</w:t>
        </w:r>
        <w:r w:rsidRPr="00FE4682">
          <w:rPr>
            <w:rStyle w:val="Hyperlink"/>
          </w:rPr>
          <w:t>mateur</w:t>
        </w:r>
      </w:hyperlink>
      <w:r w:rsidRPr="00C32261">
        <w:t xml:space="preserve"> radio licences</w:t>
      </w:r>
      <w:r>
        <w:t xml:space="preserve">, </w:t>
      </w:r>
      <w:r w:rsidRPr="002D3770">
        <w:t>provided operation is in accordance with the</w:t>
      </w:r>
      <w:r>
        <w:t xml:space="preserve"> conditions of the licence.</w:t>
      </w:r>
      <w:r w:rsidRPr="002D3770">
        <w:t xml:space="preserve"> The satellite operator needs to demonstrate that the satellite communications will comply with the amateur licence conditions.</w:t>
      </w:r>
      <w:r>
        <w:t xml:space="preserve"> </w:t>
      </w:r>
    </w:p>
    <w:p w14:paraId="3CF07D0E" w14:textId="77777777" w:rsidR="004376F2" w:rsidRPr="00FB25E2" w:rsidRDefault="004376F2" w:rsidP="004376F2">
      <w:pPr>
        <w:pStyle w:val="Heading1"/>
      </w:pPr>
      <w:bookmarkStart w:id="323" w:name="_Toc128663974"/>
      <w:bookmarkStart w:id="324" w:name="_Toc195092480"/>
      <w:bookmarkStart w:id="325" w:name="_Toc198288056"/>
      <w:r w:rsidRPr="00FB25E2">
        <w:lastRenderedPageBreak/>
        <w:t>Procedures for approved applicants</w:t>
      </w:r>
      <w:bookmarkEnd w:id="323"/>
      <w:bookmarkEnd w:id="324"/>
      <w:bookmarkEnd w:id="325"/>
    </w:p>
    <w:p w14:paraId="70FA5F38" w14:textId="77777777" w:rsidR="004376F2" w:rsidRPr="004C5726" w:rsidRDefault="004376F2" w:rsidP="004376F2">
      <w:pPr>
        <w:pStyle w:val="Heading2"/>
        <w:rPr>
          <w:snapToGrid w:val="0"/>
          <w:lang w:eastAsia="en-US"/>
        </w:rPr>
      </w:pPr>
      <w:bookmarkStart w:id="326" w:name="_Toc306786403"/>
      <w:bookmarkStart w:id="327" w:name="_Toc111546528"/>
      <w:bookmarkStart w:id="328" w:name="_Toc114472693"/>
      <w:bookmarkStart w:id="329" w:name="_Toc128663975"/>
      <w:bookmarkStart w:id="330" w:name="_Toc195092481"/>
      <w:bookmarkStart w:id="331" w:name="_Toc198288057"/>
      <w:r w:rsidRPr="004C5726">
        <w:rPr>
          <w:snapToGrid w:val="0"/>
          <w:lang w:eastAsia="en-US"/>
        </w:rPr>
        <w:t>Background</w:t>
      </w:r>
      <w:bookmarkEnd w:id="326"/>
      <w:bookmarkEnd w:id="327"/>
      <w:bookmarkEnd w:id="328"/>
      <w:bookmarkEnd w:id="329"/>
      <w:bookmarkEnd w:id="330"/>
      <w:bookmarkEnd w:id="331"/>
    </w:p>
    <w:p w14:paraId="5023DF14" w14:textId="77777777" w:rsidR="004376F2" w:rsidRDefault="004376F2" w:rsidP="00EB726B">
      <w:pPr>
        <w:pStyle w:val="Paragraph"/>
      </w:pPr>
      <w:r w:rsidRPr="00F44667">
        <w:t xml:space="preserve">The role of the ACMA is to facilitate access to spectrum and orbital resources in accordance with Australia’s international and domestic obligations. It is not the ACMA’s role to provide advice on physical satellite or satellite system design. Decisions of a technical nature in the design and coordination of the satellite system have the potential to affect the viability of a project, and these decisions rest with the satellite operator. </w:t>
      </w:r>
    </w:p>
    <w:p w14:paraId="0B31E64C" w14:textId="77777777" w:rsidR="004376F2" w:rsidRPr="00F44667" w:rsidRDefault="004376F2" w:rsidP="00EB726B">
      <w:pPr>
        <w:pStyle w:val="Paragraph"/>
      </w:pPr>
      <w:r w:rsidRPr="00F44667">
        <w:t>The ACMA may directly participate in coordination activities only if other avenues have been exhausted and not performing this work would be in derogation of Australia’s international obligations.</w:t>
      </w:r>
      <w:r w:rsidRPr="00F44667">
        <w:rPr>
          <w:rStyle w:val="FootnoteReference"/>
        </w:rPr>
        <w:footnoteReference w:id="25"/>
      </w:r>
    </w:p>
    <w:p w14:paraId="145CB7E5" w14:textId="77777777" w:rsidR="004376F2" w:rsidRPr="00B971F8" w:rsidRDefault="004376F2" w:rsidP="004376F2">
      <w:pPr>
        <w:pStyle w:val="Paragraph"/>
      </w:pPr>
      <w:r w:rsidRPr="00B971F8">
        <w:t>Member states of the ITU (such as Australia) are bound by the Radio Regulations</w:t>
      </w:r>
      <w:r>
        <w:t>,</w:t>
      </w:r>
      <w:r w:rsidRPr="00B971F8">
        <w:t xml:space="preserve"> </w:t>
      </w:r>
      <w:r>
        <w:t>which</w:t>
      </w:r>
      <w:r w:rsidRPr="00B971F8">
        <w:t xml:space="preserve"> outline the conditions </w:t>
      </w:r>
      <w:r>
        <w:t>required for</w:t>
      </w:r>
      <w:r w:rsidRPr="00B971F8">
        <w:t xml:space="preserve"> international notification of a radiocommunications service</w:t>
      </w:r>
      <w:r>
        <w:t>,</w:t>
      </w:r>
      <w:r w:rsidRPr="00B971F8">
        <w:t xml:space="preserve"> typically</w:t>
      </w:r>
      <w:r>
        <w:t xml:space="preserve"> concerning</w:t>
      </w:r>
      <w:r w:rsidRPr="00B971F8">
        <w:t xml:space="preserve"> the potential for harmful interference to any service of another country. The Radio Regulations contain the requirements and process to obtain agreement with other administrations </w:t>
      </w:r>
      <w:r>
        <w:t>before</w:t>
      </w:r>
      <w:r w:rsidRPr="00B971F8">
        <w:t xml:space="preserve"> the notification of a satellite system</w:t>
      </w:r>
      <w:r>
        <w:t xml:space="preserve"> for recording in the MIFR</w:t>
      </w:r>
      <w:r w:rsidRPr="00B971F8">
        <w:t>.</w:t>
      </w:r>
    </w:p>
    <w:p w14:paraId="44078E34" w14:textId="77777777" w:rsidR="004376F2" w:rsidRDefault="004376F2" w:rsidP="004376F2">
      <w:pPr>
        <w:pStyle w:val="Paragraph"/>
      </w:pPr>
      <w:r w:rsidRPr="00B971F8">
        <w:t xml:space="preserve">The ITU maintains a list of </w:t>
      </w:r>
      <w:r w:rsidRPr="00A54D1E">
        <w:t xml:space="preserve">satellite </w:t>
      </w:r>
      <w:r>
        <w:t>system</w:t>
      </w:r>
      <w:r w:rsidRPr="00A54D1E">
        <w:t xml:space="preserve">s and earth stations to help administrations comply with some forms of coordination and reach </w:t>
      </w:r>
      <w:r w:rsidRPr="00B971F8">
        <w:t xml:space="preserve">coordination agreements required of a satellite system. Coordination can only be requested or obtained at an administration level. In practice, coordination is often </w:t>
      </w:r>
      <w:r>
        <w:t>undertaken</w:t>
      </w:r>
      <w:r w:rsidRPr="00B971F8">
        <w:t xml:space="preserve"> at an operator-to-operator level. For this reason, </w:t>
      </w:r>
      <w:r w:rsidRPr="003A4E79">
        <w:t>all</w:t>
      </w:r>
      <w:r w:rsidRPr="00B971F8">
        <w:t xml:space="preserve"> Australian satellite operators must make substantive coordination efforts</w:t>
      </w:r>
      <w:r>
        <w:t>,</w:t>
      </w:r>
      <w:r w:rsidRPr="00B971F8">
        <w:t xml:space="preserve"> </w:t>
      </w:r>
      <w:r>
        <w:t>so</w:t>
      </w:r>
      <w:r w:rsidRPr="00B971F8">
        <w:t xml:space="preserve"> orbital</w:t>
      </w:r>
      <w:r>
        <w:t xml:space="preserve"> and </w:t>
      </w:r>
      <w:r w:rsidRPr="00B971F8">
        <w:t>spectrum resource</w:t>
      </w:r>
      <w:r>
        <w:t>s are not denied</w:t>
      </w:r>
      <w:r w:rsidRPr="00B971F8">
        <w:t xml:space="preserve"> to other countries. </w:t>
      </w:r>
    </w:p>
    <w:p w14:paraId="70E73BB3" w14:textId="77777777" w:rsidR="004376F2" w:rsidRDefault="004376F2" w:rsidP="004376F2">
      <w:pPr>
        <w:pStyle w:val="Heading3"/>
      </w:pPr>
      <w:bookmarkStart w:id="332" w:name="_Toc198288058"/>
      <w:r>
        <w:t>Relevant provisions of the Radio Regulations</w:t>
      </w:r>
      <w:bookmarkEnd w:id="332"/>
      <w:r>
        <w:t xml:space="preserve"> </w:t>
      </w:r>
    </w:p>
    <w:p w14:paraId="71EA47EC" w14:textId="77777777" w:rsidR="004376F2" w:rsidRDefault="004376F2" w:rsidP="004376F2">
      <w:pPr>
        <w:pStyle w:val="Paragraph"/>
      </w:pPr>
      <w:r>
        <w:t>There are provisions of the Radio Regulations not referred to in these procedures that are applicable to management of a ITU satellite filing (for example, ITU RR 11.41, Resolution 35 and Resolution 40), and non-compliance with some of these provisions may lead to the ITU suppressing the satellite filing.</w:t>
      </w:r>
    </w:p>
    <w:p w14:paraId="43D6195A" w14:textId="77777777" w:rsidR="004376F2" w:rsidRDefault="004376F2" w:rsidP="004376F2">
      <w:pPr>
        <w:pStyle w:val="Paragraph"/>
      </w:pPr>
      <w:r>
        <w:t>As listed in section 4.3 Ongoing obligations of the satellite operator, the satellite operator is responsible for ensuring compliance with the Radio Regulations, any relevant administrative regulations of the ITU and the ITU Rules of Procedure.</w:t>
      </w:r>
    </w:p>
    <w:p w14:paraId="07976BD6" w14:textId="77777777" w:rsidR="004376F2" w:rsidRPr="004C5726" w:rsidRDefault="004376F2" w:rsidP="004376F2">
      <w:pPr>
        <w:pStyle w:val="Heading2"/>
        <w:rPr>
          <w:snapToGrid w:val="0"/>
          <w:lang w:eastAsia="en-US"/>
        </w:rPr>
      </w:pPr>
      <w:bookmarkStart w:id="333" w:name="_Toc306786404"/>
      <w:bookmarkStart w:id="334" w:name="_Toc111546529"/>
      <w:bookmarkStart w:id="335" w:name="_Toc114472694"/>
      <w:bookmarkStart w:id="336" w:name="_Toc128663976"/>
      <w:bookmarkStart w:id="337" w:name="_Toc195092482"/>
      <w:bookmarkStart w:id="338" w:name="_Toc198288059"/>
      <w:r w:rsidRPr="004C5726">
        <w:rPr>
          <w:snapToGrid w:val="0"/>
          <w:lang w:eastAsia="en-US"/>
        </w:rPr>
        <w:t>Harmful interference</w:t>
      </w:r>
      <w:bookmarkEnd w:id="333"/>
      <w:bookmarkEnd w:id="334"/>
      <w:bookmarkEnd w:id="335"/>
      <w:bookmarkEnd w:id="336"/>
      <w:bookmarkEnd w:id="337"/>
      <w:bookmarkEnd w:id="338"/>
    </w:p>
    <w:p w14:paraId="5710B7EC" w14:textId="77777777" w:rsidR="004376F2" w:rsidRPr="00B971F8" w:rsidRDefault="004376F2" w:rsidP="004376F2">
      <w:pPr>
        <w:pStyle w:val="Paragraph"/>
      </w:pPr>
      <w:r w:rsidRPr="00B971F8">
        <w:t>The satellite operator must take all reasonable steps to ensure harmful interference is not caused by the operation of its satellite system.</w:t>
      </w:r>
    </w:p>
    <w:p w14:paraId="376CC801" w14:textId="77777777" w:rsidR="004376F2" w:rsidRPr="00B971F8" w:rsidRDefault="004376F2" w:rsidP="00E02D76">
      <w:pPr>
        <w:pStyle w:val="Paragraphbeforelist"/>
        <w:keepNext/>
        <w:keepLines/>
      </w:pPr>
      <w:r w:rsidRPr="00B971F8">
        <w:lastRenderedPageBreak/>
        <w:t>If the satellite operator receives a complaint that transmissions from its satellite system have caused, are causing, or are likely to cause harmful interference, the satellite operator must provide the ACMA with:</w:t>
      </w:r>
    </w:p>
    <w:p w14:paraId="63419E16" w14:textId="77777777" w:rsidR="004376F2" w:rsidRPr="00BD5F6A" w:rsidRDefault="004376F2" w:rsidP="00E02D76">
      <w:pPr>
        <w:pStyle w:val="Bulletlevel1"/>
        <w:keepNext/>
        <w:keepLines/>
      </w:pPr>
      <w:r w:rsidRPr="00BD5F6A">
        <w:t>a copy of the complaint (as soon as possible)</w:t>
      </w:r>
    </w:p>
    <w:p w14:paraId="675A9605" w14:textId="77777777" w:rsidR="004376F2" w:rsidRPr="00BC0BB3" w:rsidRDefault="004376F2" w:rsidP="00E02D76">
      <w:pPr>
        <w:pStyle w:val="Bulletlevel1last"/>
        <w:keepNext/>
        <w:keepLines/>
      </w:pPr>
      <w:r w:rsidRPr="00BC0BB3">
        <w:t>an engineering assessment of the nature and extent of the harmful interference alleged in the complaint.</w:t>
      </w:r>
    </w:p>
    <w:p w14:paraId="193A2A77" w14:textId="1DD85E8D" w:rsidR="004376F2" w:rsidRPr="00B971F8" w:rsidRDefault="004376F2" w:rsidP="004376F2">
      <w:pPr>
        <w:pStyle w:val="Paragraph"/>
      </w:pPr>
      <w:r w:rsidRPr="00B971F8">
        <w:t xml:space="preserve">Similarly, if the ACMA receives a complaint of harmful interference, </w:t>
      </w:r>
      <w:r w:rsidR="00E629DB">
        <w:t>we</w:t>
      </w:r>
      <w:r>
        <w:t xml:space="preserve"> will</w:t>
      </w:r>
      <w:r w:rsidRPr="00B971F8">
        <w:t xml:space="preserve"> </w:t>
      </w:r>
      <w:r>
        <w:t>inform</w:t>
      </w:r>
      <w:r w:rsidRPr="00B971F8">
        <w:t xml:space="preserve"> the relevant satellite operator as soon as practicable.</w:t>
      </w:r>
    </w:p>
    <w:p w14:paraId="677BD93D" w14:textId="77777777" w:rsidR="004376F2" w:rsidRDefault="004376F2" w:rsidP="00EB726B">
      <w:pPr>
        <w:pStyle w:val="Paragraph"/>
      </w:pPr>
      <w:r w:rsidRPr="00B971F8">
        <w:t xml:space="preserve">Should the ACMA agree that there is a case of harmful interference that needs to be remedied, </w:t>
      </w:r>
      <w:r>
        <w:t>we</w:t>
      </w:r>
      <w:r w:rsidRPr="00B971F8">
        <w:t xml:space="preserve"> may issue an instruction to the </w:t>
      </w:r>
      <w:r>
        <w:t xml:space="preserve">relevant </w:t>
      </w:r>
      <w:r w:rsidRPr="00B971F8">
        <w:t xml:space="preserve">satellite operator. Such an instruction may require immediate removal of the </w:t>
      </w:r>
      <w:r>
        <w:t>cause of the</w:t>
      </w:r>
      <w:r w:rsidRPr="00B971F8">
        <w:t xml:space="preserve"> harmful interference, as deemed appropriate by the ACMA. </w:t>
      </w:r>
    </w:p>
    <w:p w14:paraId="1549FA57" w14:textId="77777777" w:rsidR="004376F2" w:rsidRPr="00B971F8" w:rsidRDefault="004376F2" w:rsidP="0081282E">
      <w:pPr>
        <w:pStyle w:val="Paragraphbeforelist"/>
      </w:pPr>
      <w:r w:rsidRPr="00B971F8">
        <w:t>This may be achieved through means such as:</w:t>
      </w:r>
    </w:p>
    <w:p w14:paraId="521594C6" w14:textId="77777777" w:rsidR="004376F2" w:rsidRPr="00BD5F6A" w:rsidRDefault="004376F2" w:rsidP="00D931F4">
      <w:pPr>
        <w:pStyle w:val="Bulletlevel1"/>
      </w:pPr>
      <w:r>
        <w:t>stopping t</w:t>
      </w:r>
      <w:r w:rsidRPr="00BD5F6A">
        <w:t>ransmission, if necessary</w:t>
      </w:r>
    </w:p>
    <w:p w14:paraId="20F96079" w14:textId="77777777" w:rsidR="004376F2" w:rsidRPr="00BD5F6A" w:rsidRDefault="004376F2" w:rsidP="00D931F4">
      <w:pPr>
        <w:pStyle w:val="Bulletlevel1"/>
      </w:pPr>
      <w:bookmarkStart w:id="339" w:name="OLE_LINK27"/>
      <w:bookmarkStart w:id="340" w:name="OLE_LINK28"/>
      <w:r w:rsidRPr="00BD5F6A">
        <w:t>var</w:t>
      </w:r>
      <w:bookmarkEnd w:id="339"/>
      <w:bookmarkEnd w:id="340"/>
      <w:r>
        <w:t xml:space="preserve">ying space or earth station </w:t>
      </w:r>
      <w:r w:rsidRPr="00BD5F6A">
        <w:t>power output</w:t>
      </w:r>
    </w:p>
    <w:p w14:paraId="19F6D50E" w14:textId="77777777" w:rsidR="004376F2" w:rsidRPr="00BD5F6A" w:rsidRDefault="004376F2" w:rsidP="00D931F4">
      <w:pPr>
        <w:pStyle w:val="Bulletlevel1"/>
      </w:pPr>
      <w:r w:rsidRPr="00BD5F6A">
        <w:t>var</w:t>
      </w:r>
      <w:r>
        <w:t>ying</w:t>
      </w:r>
      <w:r w:rsidRPr="00BD5F6A" w:rsidDel="000F3E02">
        <w:t xml:space="preserve"> </w:t>
      </w:r>
      <w:r w:rsidRPr="00BD5F6A">
        <w:t>occupied bandwidth</w:t>
      </w:r>
    </w:p>
    <w:p w14:paraId="2D583E6C" w14:textId="77777777" w:rsidR="004376F2" w:rsidRPr="00BD5F6A" w:rsidRDefault="004376F2" w:rsidP="00D931F4">
      <w:pPr>
        <w:pStyle w:val="Bulletlevel1"/>
      </w:pPr>
      <w:r w:rsidRPr="00BD5F6A">
        <w:t>var</w:t>
      </w:r>
      <w:r>
        <w:t>ying</w:t>
      </w:r>
      <w:r w:rsidRPr="00BD5F6A" w:rsidDel="000F3E02">
        <w:t xml:space="preserve"> </w:t>
      </w:r>
      <w:r w:rsidRPr="00BD5F6A">
        <w:t>assigned frequency</w:t>
      </w:r>
    </w:p>
    <w:p w14:paraId="2D5F81E3" w14:textId="77777777" w:rsidR="004376F2" w:rsidRPr="00B971F8" w:rsidRDefault="004376F2" w:rsidP="00D931F4">
      <w:pPr>
        <w:pStyle w:val="Bulletlevel1"/>
      </w:pPr>
      <w:r w:rsidRPr="00BD5F6A">
        <w:t>var</w:t>
      </w:r>
      <w:r>
        <w:t>ying</w:t>
      </w:r>
      <w:r w:rsidRPr="00BD5F6A" w:rsidDel="000F3E02">
        <w:t xml:space="preserve"> </w:t>
      </w:r>
      <w:r w:rsidRPr="00BD5F6A">
        <w:t>station keeping or position</w:t>
      </w:r>
    </w:p>
    <w:p w14:paraId="4406B456" w14:textId="77777777" w:rsidR="004376F2" w:rsidRPr="00BC0BB3" w:rsidRDefault="004376F2" w:rsidP="00D931F4">
      <w:pPr>
        <w:pStyle w:val="Bulletlevel1last"/>
      </w:pPr>
      <w:r w:rsidRPr="00BC0BB3">
        <w:t>provi</w:t>
      </w:r>
      <w:r>
        <w:t xml:space="preserve">ding </w:t>
      </w:r>
      <w:r w:rsidRPr="00BC0BB3">
        <w:t>information to the ACMA, the ITU or other administrations to resolve the issue.</w:t>
      </w:r>
      <w:bookmarkStart w:id="341" w:name="OLE_LINK11"/>
      <w:bookmarkStart w:id="342" w:name="OLE_LINK12"/>
    </w:p>
    <w:p w14:paraId="50411D09" w14:textId="77777777" w:rsidR="004376F2" w:rsidRPr="00B971F8" w:rsidRDefault="004376F2" w:rsidP="004376F2">
      <w:pPr>
        <w:pStyle w:val="Paragraph"/>
      </w:pPr>
      <w:r w:rsidRPr="00B971F8">
        <w:t xml:space="preserve">Any instruction issued by the ACMA in relation to a claim of harmful interference will typically be designed in such a way to cause the minimum amount of disruption to the satellite operator while adequately addressing the issue of harmful interference. </w:t>
      </w:r>
    </w:p>
    <w:p w14:paraId="6D03BB48" w14:textId="77777777" w:rsidR="004376F2" w:rsidRPr="00B971F8" w:rsidRDefault="004376F2" w:rsidP="004376F2">
      <w:pPr>
        <w:pStyle w:val="Paragraph"/>
      </w:pPr>
      <w:r>
        <w:t>If necessary, t</w:t>
      </w:r>
      <w:r w:rsidRPr="00B971F8">
        <w:t xml:space="preserve">he ACMA may proceed to refer the matter to a conciliator, under Part 4.3 of the </w:t>
      </w:r>
      <w:r>
        <w:t xml:space="preserve">Radiocommunications </w:t>
      </w:r>
      <w:r w:rsidRPr="00B971F8">
        <w:t xml:space="preserve">Act. Following the conciliation process, the ACMA may issue a direction under section 212 of Part 4.3 of the </w:t>
      </w:r>
      <w:bookmarkEnd w:id="341"/>
      <w:bookmarkEnd w:id="342"/>
      <w:r>
        <w:t xml:space="preserve">Radiocommunications </w:t>
      </w:r>
      <w:r w:rsidRPr="00B971F8">
        <w:t xml:space="preserve">Act. </w:t>
      </w:r>
    </w:p>
    <w:p w14:paraId="4334B144" w14:textId="77777777" w:rsidR="004376F2" w:rsidRPr="004C5726" w:rsidRDefault="004376F2" w:rsidP="004376F2">
      <w:pPr>
        <w:pStyle w:val="Heading2"/>
        <w:rPr>
          <w:snapToGrid w:val="0"/>
          <w:lang w:eastAsia="en-US"/>
        </w:rPr>
      </w:pPr>
      <w:bookmarkStart w:id="343" w:name="_Toc306786405"/>
      <w:bookmarkStart w:id="344" w:name="_Toc111546530"/>
      <w:bookmarkStart w:id="345" w:name="_Toc114472695"/>
      <w:bookmarkStart w:id="346" w:name="_Toc128663977"/>
      <w:bookmarkStart w:id="347" w:name="_Ref132207988"/>
      <w:bookmarkStart w:id="348" w:name="_Ref132285954"/>
      <w:bookmarkStart w:id="349" w:name="_Ref132285957"/>
      <w:bookmarkStart w:id="350" w:name="_Toc195092483"/>
      <w:bookmarkStart w:id="351" w:name="_Toc198288060"/>
      <w:r w:rsidRPr="004C5726">
        <w:rPr>
          <w:snapToGrid w:val="0"/>
          <w:lang w:eastAsia="en-US"/>
        </w:rPr>
        <w:t>Ongoing obligations of the satellite operator</w:t>
      </w:r>
      <w:bookmarkEnd w:id="343"/>
      <w:bookmarkEnd w:id="344"/>
      <w:bookmarkEnd w:id="345"/>
      <w:bookmarkEnd w:id="346"/>
      <w:bookmarkEnd w:id="347"/>
      <w:bookmarkEnd w:id="348"/>
      <w:bookmarkEnd w:id="349"/>
      <w:bookmarkEnd w:id="350"/>
      <w:bookmarkEnd w:id="351"/>
      <w:r w:rsidRPr="004C5726">
        <w:rPr>
          <w:snapToGrid w:val="0"/>
          <w:lang w:eastAsia="en-US"/>
        </w:rPr>
        <w:t xml:space="preserve"> </w:t>
      </w:r>
    </w:p>
    <w:p w14:paraId="57815E22" w14:textId="77777777" w:rsidR="004376F2" w:rsidRPr="00B971F8" w:rsidRDefault="004376F2" w:rsidP="004376F2">
      <w:pPr>
        <w:pStyle w:val="Paragraphbeforelist"/>
      </w:pPr>
      <w:r w:rsidRPr="00B971F8">
        <w:t xml:space="preserve">The satellite operator must, </w:t>
      </w:r>
      <w:proofErr w:type="gramStart"/>
      <w:r w:rsidRPr="00B971F8">
        <w:t>at all times</w:t>
      </w:r>
      <w:proofErr w:type="gramEnd"/>
      <w:r w:rsidRPr="00B971F8">
        <w:t>, ensure the following conditions are met</w:t>
      </w:r>
      <w:r>
        <w:t>:</w:t>
      </w:r>
    </w:p>
    <w:p w14:paraId="190535CA" w14:textId="77777777" w:rsidR="004376F2" w:rsidRPr="004E0297" w:rsidRDefault="004376F2" w:rsidP="00D931F4">
      <w:pPr>
        <w:pStyle w:val="Bulletlevel1"/>
      </w:pPr>
      <w:r w:rsidRPr="004E0297">
        <w:t xml:space="preserve">In the case of </w:t>
      </w:r>
      <w:r>
        <w:t>commercial</w:t>
      </w:r>
      <w:r w:rsidRPr="004E0297">
        <w:t xml:space="preserve"> satellite operators, the satellite operator must remain a company that is incorporated in Australia (under the Corporations Act),</w:t>
      </w:r>
      <w:r w:rsidRPr="004E0297" w:rsidDel="00DB3F51">
        <w:t xml:space="preserve"> </w:t>
      </w:r>
      <w:r>
        <w:t>carry</w:t>
      </w:r>
      <w:r w:rsidRPr="004E0297">
        <w:t xml:space="preserve"> on business in Australia and </w:t>
      </w:r>
      <w:r>
        <w:t>have</w:t>
      </w:r>
      <w:r w:rsidRPr="004E0297">
        <w:t xml:space="preserve"> management staff in Australia.</w:t>
      </w:r>
    </w:p>
    <w:p w14:paraId="77ED4E63" w14:textId="77777777" w:rsidR="004376F2" w:rsidRPr="004E0297" w:rsidRDefault="004376F2" w:rsidP="00D931F4">
      <w:pPr>
        <w:pStyle w:val="Bulletlevel1"/>
      </w:pPr>
      <w:bookmarkStart w:id="352" w:name="OLE_LINK3"/>
      <w:bookmarkStart w:id="353" w:name="OLE_LINK4"/>
      <w:r w:rsidRPr="004E0297">
        <w:t>The satellite operator must maintain the ability to exercise operational control from within Australia (</w:t>
      </w:r>
      <w:r>
        <w:t>t</w:t>
      </w:r>
      <w:r w:rsidRPr="004E0297">
        <w:t>his provision does not preclude the use of outsourced TT&amp;C. The satellite operator, however, is still the party responsible for fulfilling this provision should such arrangements be made)</w:t>
      </w:r>
      <w:r>
        <w:t>.</w:t>
      </w:r>
    </w:p>
    <w:bookmarkEnd w:id="352"/>
    <w:bookmarkEnd w:id="353"/>
    <w:p w14:paraId="65E51B28" w14:textId="77777777" w:rsidR="004376F2" w:rsidRPr="004E0297" w:rsidRDefault="004376F2" w:rsidP="00D931F4">
      <w:pPr>
        <w:pStyle w:val="Bulletlevel1"/>
      </w:pPr>
      <w:r w:rsidRPr="004E0297">
        <w:t xml:space="preserve">The satellite operator must comply with the </w:t>
      </w:r>
      <w:r>
        <w:t>Radio</w:t>
      </w:r>
      <w:r w:rsidRPr="004E0297">
        <w:t xml:space="preserve"> Regulations, any relevant administrative regulations of the ITU</w:t>
      </w:r>
      <w:r>
        <w:rPr>
          <w:rStyle w:val="FootnoteReference"/>
        </w:rPr>
        <w:footnoteReference w:id="26"/>
      </w:r>
      <w:r w:rsidRPr="004E0297">
        <w:t xml:space="preserve"> and the ITU Rules of Procedure, and frequency coordination agreements endorsed by the ACMA</w:t>
      </w:r>
      <w:r w:rsidRPr="004E0297" w:rsidDel="00685967">
        <w:t xml:space="preserve"> and </w:t>
      </w:r>
      <w:r w:rsidRPr="004E0297">
        <w:t xml:space="preserve">relevant </w:t>
      </w:r>
      <w:r w:rsidRPr="004E0297" w:rsidDel="00685967">
        <w:t>foreign administrations</w:t>
      </w:r>
      <w:r w:rsidRPr="004E0297">
        <w:t xml:space="preserve">. </w:t>
      </w:r>
    </w:p>
    <w:p w14:paraId="214FBCA7" w14:textId="77777777" w:rsidR="004376F2" w:rsidRPr="004E0297" w:rsidRDefault="004376F2" w:rsidP="00E02D76">
      <w:pPr>
        <w:pStyle w:val="Bulletlevel1"/>
        <w:keepNext/>
        <w:keepLines/>
      </w:pPr>
      <w:r w:rsidRPr="004E0297">
        <w:lastRenderedPageBreak/>
        <w:t>The satellite system must be operated</w:t>
      </w:r>
      <w:r>
        <w:t xml:space="preserve"> </w:t>
      </w:r>
      <w:r w:rsidRPr="004E0297">
        <w:t>in accordance with applicable Australian legislation, including</w:t>
      </w:r>
      <w:r>
        <w:t xml:space="preserve"> the</w:t>
      </w:r>
      <w:r w:rsidRPr="004E0297">
        <w:t>:</w:t>
      </w:r>
    </w:p>
    <w:p w14:paraId="0B051475" w14:textId="77777777" w:rsidR="004376F2" w:rsidRPr="00CF2075" w:rsidRDefault="004376F2" w:rsidP="00E02D76">
      <w:pPr>
        <w:pStyle w:val="Bulletlevel2"/>
        <w:keepNext/>
        <w:keepLines/>
        <w:rPr>
          <w:i/>
          <w:iCs/>
        </w:rPr>
      </w:pPr>
      <w:r w:rsidRPr="00CF2075">
        <w:rPr>
          <w:i/>
          <w:iCs/>
        </w:rPr>
        <w:t xml:space="preserve">Radiocommunications Act 1992 </w:t>
      </w:r>
    </w:p>
    <w:p w14:paraId="5CEE9269" w14:textId="77777777" w:rsidR="004376F2" w:rsidRPr="00CF2075" w:rsidRDefault="004376F2" w:rsidP="00646BE8">
      <w:pPr>
        <w:pStyle w:val="Bulletlevel2"/>
        <w:rPr>
          <w:i/>
          <w:iCs/>
        </w:rPr>
      </w:pPr>
      <w:r w:rsidRPr="00CF2075">
        <w:rPr>
          <w:i/>
          <w:iCs/>
        </w:rPr>
        <w:t>Telecommunications Act 1997</w:t>
      </w:r>
    </w:p>
    <w:p w14:paraId="4773B20B" w14:textId="77777777" w:rsidR="004376F2" w:rsidRPr="00CF2075" w:rsidRDefault="004376F2" w:rsidP="00646BE8">
      <w:pPr>
        <w:pStyle w:val="Bulletlevel2"/>
        <w:rPr>
          <w:i/>
          <w:iCs/>
        </w:rPr>
      </w:pPr>
      <w:r w:rsidRPr="00CF2075">
        <w:rPr>
          <w:i/>
          <w:iCs/>
        </w:rPr>
        <w:t>Broadcasting Services Act 1992</w:t>
      </w:r>
    </w:p>
    <w:p w14:paraId="3C82190D" w14:textId="77777777" w:rsidR="004376F2" w:rsidRPr="004E0297" w:rsidRDefault="004376F2" w:rsidP="00E02D76">
      <w:pPr>
        <w:pStyle w:val="Bulletlevel2"/>
      </w:pPr>
      <w:r w:rsidRPr="00E02D76">
        <w:rPr>
          <w:i/>
          <w:iCs/>
        </w:rPr>
        <w:t>Space (Launches and Returns) Act 2018</w:t>
      </w:r>
      <w:r w:rsidRPr="004E0297">
        <w:t>.</w:t>
      </w:r>
    </w:p>
    <w:p w14:paraId="6607E562" w14:textId="77777777" w:rsidR="004376F2" w:rsidRPr="004E0297" w:rsidRDefault="004376F2" w:rsidP="00D931F4">
      <w:pPr>
        <w:pStyle w:val="Bulletlevel1"/>
      </w:pPr>
      <w:r w:rsidRPr="004E0297">
        <w:t xml:space="preserve">The satellite operator should respect applicable legislation of a country where services are being delivered </w:t>
      </w:r>
      <w:r w:rsidRPr="004E0297" w:rsidDel="00662BDF">
        <w:t>to</w:t>
      </w:r>
      <w:r w:rsidRPr="004E0297">
        <w:t xml:space="preserve"> or are originating from.</w:t>
      </w:r>
    </w:p>
    <w:p w14:paraId="57F7BC63" w14:textId="77777777" w:rsidR="004376F2" w:rsidRPr="004E0297" w:rsidRDefault="004376F2" w:rsidP="00D931F4">
      <w:pPr>
        <w:pStyle w:val="Bulletlevel1"/>
      </w:pPr>
      <w:r w:rsidRPr="004E0297">
        <w:t>Any statement made to the ACMA, in relation to the satellite system, must be true and correct at the time it is made</w:t>
      </w:r>
      <w:r>
        <w:t>, and corrected as soon as possible if necessary</w:t>
      </w:r>
      <w:r w:rsidRPr="004E0297">
        <w:t xml:space="preserve">. </w:t>
      </w:r>
    </w:p>
    <w:p w14:paraId="56030F5C" w14:textId="77777777" w:rsidR="004376F2" w:rsidRDefault="004376F2" w:rsidP="00D931F4">
      <w:pPr>
        <w:pStyle w:val="Bulletlevel1"/>
      </w:pPr>
      <w:r w:rsidRPr="004E0297">
        <w:t xml:space="preserve">Permission must be obtained from the ACMA </w:t>
      </w:r>
      <w:r>
        <w:t>before</w:t>
      </w:r>
      <w:r w:rsidRPr="004E0297">
        <w:t xml:space="preserve"> bringing the satellite into use.</w:t>
      </w:r>
    </w:p>
    <w:p w14:paraId="4E711DC1" w14:textId="77777777" w:rsidR="004376F2" w:rsidRDefault="004376F2" w:rsidP="00D931F4">
      <w:pPr>
        <w:pStyle w:val="Bulletlevel1"/>
      </w:pPr>
      <w:r>
        <w:t xml:space="preserve">Coordination with Australian satellite systems identified by the ACMA, </w:t>
      </w:r>
      <w:r w:rsidRPr="00407367">
        <w:t>for which an application was accepted earlier by the ACMA</w:t>
      </w:r>
      <w:r>
        <w:t>,</w:t>
      </w:r>
      <w:r w:rsidRPr="00407367">
        <w:t xml:space="preserve"> </w:t>
      </w:r>
      <w:r>
        <w:t>must be completed before starting the process of bringing the satellite system into use. This includes:</w:t>
      </w:r>
    </w:p>
    <w:p w14:paraId="648F4D14" w14:textId="77777777" w:rsidR="004376F2" w:rsidRDefault="004376F2" w:rsidP="00E02D76">
      <w:pPr>
        <w:pStyle w:val="Bulletlevel2"/>
      </w:pPr>
      <w:r w:rsidRPr="00A50B01">
        <w:t>submitting the notification to the ITU (the request for recording in the M</w:t>
      </w:r>
      <w:r>
        <w:t>IFR,</w:t>
      </w:r>
    </w:p>
    <w:p w14:paraId="688CDB8B" w14:textId="77777777" w:rsidR="004376F2" w:rsidRDefault="004376F2" w:rsidP="00E02D76">
      <w:pPr>
        <w:pStyle w:val="Bulletlevel2"/>
      </w:pPr>
      <w:r>
        <w:t>applications</w:t>
      </w:r>
      <w:r w:rsidRPr="00447C8F">
        <w:t xml:space="preserve"> for domestic licensing</w:t>
      </w:r>
      <w:r>
        <w:t>,</w:t>
      </w:r>
    </w:p>
    <w:p w14:paraId="7ECF572F" w14:textId="77777777" w:rsidR="004376F2" w:rsidRDefault="004376F2" w:rsidP="00E02D76">
      <w:pPr>
        <w:pStyle w:val="Bulletlevel2"/>
      </w:pPr>
      <w:r>
        <w:t>launch of the new satellite system and/or commencement of operation, and</w:t>
      </w:r>
    </w:p>
    <w:p w14:paraId="7350914B" w14:textId="77777777" w:rsidR="004376F2" w:rsidRDefault="004376F2" w:rsidP="00E02D76">
      <w:pPr>
        <w:pStyle w:val="Bulletlevel2last"/>
      </w:pPr>
      <w:r>
        <w:t>notifying the ITU about bringing the frequency assignments into use.</w:t>
      </w:r>
    </w:p>
    <w:p w14:paraId="74E2E7C0" w14:textId="77777777" w:rsidR="004376F2" w:rsidRDefault="004376F2" w:rsidP="00E02D76">
      <w:pPr>
        <w:pStyle w:val="Paragraphbeforelist"/>
      </w:pPr>
      <w:r>
        <w:t>In addition:</w:t>
      </w:r>
    </w:p>
    <w:p w14:paraId="3FE1942E" w14:textId="77777777" w:rsidR="004376F2" w:rsidRPr="004E0297" w:rsidRDefault="004376F2" w:rsidP="00D931F4">
      <w:pPr>
        <w:pStyle w:val="Bulletlevel1"/>
      </w:pPr>
      <w:r w:rsidRPr="004E0297">
        <w:t xml:space="preserve">The satellite operator is responsible for all ITU </w:t>
      </w:r>
      <w:r>
        <w:t xml:space="preserve">fees </w:t>
      </w:r>
      <w:r w:rsidRPr="004E0297">
        <w:t>and ACMA cost recovery charges for work performed on behalf of the operator</w:t>
      </w:r>
      <w:r>
        <w:t>.</w:t>
      </w:r>
      <w:r w:rsidRPr="0015084D">
        <w:rPr>
          <w:vertAlign w:val="superscript"/>
        </w:rPr>
        <w:footnoteReference w:id="27"/>
      </w:r>
      <w:r w:rsidRPr="004E0297">
        <w:t xml:space="preserve"> </w:t>
      </w:r>
    </w:p>
    <w:p w14:paraId="4BFE840C" w14:textId="77777777" w:rsidR="004376F2" w:rsidRDefault="004376F2" w:rsidP="00D931F4">
      <w:pPr>
        <w:pStyle w:val="Bulletlevel1"/>
      </w:pPr>
      <w:r w:rsidRPr="004E0297">
        <w:t>The satellite operator must promptly communicate to the ACMA any significant changes to the planned radiocommunications services from those presented in the original application to the ACMA. Significant detrimental changes to the Australian benefit from the proposed radiocommunications services may result in the ACMA re-assessing whether to continue to support the satellite system.</w:t>
      </w:r>
    </w:p>
    <w:p w14:paraId="7E1CAA4E" w14:textId="77777777" w:rsidR="004376F2" w:rsidRPr="00323A06" w:rsidRDefault="004376F2" w:rsidP="00D931F4">
      <w:pPr>
        <w:pStyle w:val="Bulletlevel1last"/>
      </w:pPr>
      <w:r w:rsidRPr="00BC0BB3">
        <w:t xml:space="preserve">The satellite operator must promptly communicate to the ACMA when the person or organisation that holds a business name </w:t>
      </w:r>
      <w:proofErr w:type="gramStart"/>
      <w:r w:rsidRPr="00BC0BB3">
        <w:t>changes</w:t>
      </w:r>
      <w:proofErr w:type="gramEnd"/>
      <w:r w:rsidRPr="00BC0BB3">
        <w:t xml:space="preserve">. </w:t>
      </w:r>
    </w:p>
    <w:p w14:paraId="2CBE6C65" w14:textId="77777777" w:rsidR="004376F2" w:rsidRPr="004C5726" w:rsidRDefault="004376F2" w:rsidP="004376F2">
      <w:pPr>
        <w:pStyle w:val="Heading2"/>
        <w:rPr>
          <w:snapToGrid w:val="0"/>
          <w:lang w:eastAsia="en-US"/>
        </w:rPr>
      </w:pPr>
      <w:bookmarkStart w:id="354" w:name="_Toc306786406"/>
      <w:bookmarkStart w:id="355" w:name="_Toc111546531"/>
      <w:bookmarkStart w:id="356" w:name="_Toc114472696"/>
      <w:bookmarkStart w:id="357" w:name="_Toc128663978"/>
      <w:bookmarkStart w:id="358" w:name="_Ref175061595"/>
      <w:bookmarkStart w:id="359" w:name="_Ref175061620"/>
      <w:bookmarkStart w:id="360" w:name="_Toc195092484"/>
      <w:bookmarkStart w:id="361" w:name="_Toc198288061"/>
      <w:r w:rsidRPr="004C5726">
        <w:rPr>
          <w:snapToGrid w:val="0"/>
          <w:lang w:eastAsia="en-US"/>
        </w:rPr>
        <w:t>International Frequency Information Circular (IFIC) process</w:t>
      </w:r>
      <w:bookmarkEnd w:id="354"/>
      <w:bookmarkEnd w:id="355"/>
      <w:bookmarkEnd w:id="356"/>
      <w:bookmarkEnd w:id="357"/>
      <w:bookmarkEnd w:id="358"/>
      <w:bookmarkEnd w:id="359"/>
      <w:bookmarkEnd w:id="360"/>
      <w:bookmarkEnd w:id="361"/>
    </w:p>
    <w:p w14:paraId="2051347D" w14:textId="77777777" w:rsidR="004376F2" w:rsidRPr="00B971F8" w:rsidRDefault="004376F2" w:rsidP="004376F2">
      <w:pPr>
        <w:pStyle w:val="Paragraph"/>
      </w:pPr>
      <w:r>
        <w:t>The Radio</w:t>
      </w:r>
      <w:r w:rsidRPr="00B971F8">
        <w:t xml:space="preserve"> Regulations detail processes for the international coordination and notification of satellite systems. In accordance with these regulations, the ITU publishes details of new and modified satellite systems in its fortnightly International Frequency Information Circular (IFIC). Each IFIC contains </w:t>
      </w:r>
      <w:proofErr w:type="gramStart"/>
      <w:r w:rsidRPr="00B971F8">
        <w:t>a number of</w:t>
      </w:r>
      <w:proofErr w:type="gramEnd"/>
      <w:r w:rsidRPr="00B971F8">
        <w:t xml:space="preserve"> individual publications of different types, as set out in the Radio Regulations (and other ITU documents). The ACMA is obliged to provide comments on compatibility with satellite systems </w:t>
      </w:r>
      <w:r>
        <w:t>mentioned in</w:t>
      </w:r>
      <w:r w:rsidRPr="00B971F8">
        <w:t xml:space="preserve"> many of these publications; such comments include providing or denying agreement to a foreign satellite system in accordance with the provisions of the Radio Regulations.</w:t>
      </w:r>
    </w:p>
    <w:p w14:paraId="6657520F" w14:textId="77777777" w:rsidR="004376F2" w:rsidRPr="00B971F8" w:rsidRDefault="004376F2" w:rsidP="004376F2">
      <w:pPr>
        <w:pStyle w:val="Heading3"/>
      </w:pPr>
      <w:bookmarkStart w:id="362" w:name="_Toc306786407"/>
      <w:bookmarkStart w:id="363" w:name="_Toc111546532"/>
      <w:bookmarkStart w:id="364" w:name="_Toc114472697"/>
      <w:bookmarkStart w:id="365" w:name="_Toc128663979"/>
      <w:bookmarkStart w:id="366" w:name="_Toc195092485"/>
      <w:bookmarkStart w:id="367" w:name="_Toc198288062"/>
      <w:r w:rsidRPr="00B971F8">
        <w:lastRenderedPageBreak/>
        <w:t>Foreign satellite systems published in an IFIC</w:t>
      </w:r>
      <w:r>
        <w:t xml:space="preserve">: </w:t>
      </w:r>
      <w:r w:rsidRPr="00B971F8">
        <w:t>potentially affected Australian satellite systems</w:t>
      </w:r>
      <w:bookmarkEnd w:id="362"/>
      <w:bookmarkEnd w:id="363"/>
      <w:bookmarkEnd w:id="364"/>
      <w:bookmarkEnd w:id="365"/>
      <w:bookmarkEnd w:id="366"/>
      <w:bookmarkEnd w:id="367"/>
    </w:p>
    <w:p w14:paraId="3EF4018F" w14:textId="77777777" w:rsidR="004376F2" w:rsidRDefault="004376F2" w:rsidP="004376F2">
      <w:pPr>
        <w:pStyle w:val="Paragraph"/>
      </w:pPr>
      <w:r w:rsidRPr="00B971F8">
        <w:t xml:space="preserve">Satellite operators must perform their own calculations to determine the likelihood of </w:t>
      </w:r>
      <w:r w:rsidRPr="00B971F8" w:rsidDel="00AF59D1">
        <w:t>interference</w:t>
      </w:r>
      <w:r w:rsidRPr="00B971F8">
        <w:t xml:space="preserve"> and must arrange access to the information required to perform such assessments.</w:t>
      </w:r>
    </w:p>
    <w:p w14:paraId="31ECAB4F" w14:textId="77777777" w:rsidR="004376F2" w:rsidRPr="00B971F8" w:rsidRDefault="004376F2" w:rsidP="004376F2">
      <w:pPr>
        <w:pStyle w:val="Paragraphbeforelist"/>
      </w:pPr>
      <w:r w:rsidRPr="00B971F8">
        <w:t>The satellite operator must provide written comments on each IFIC to the ACMA</w:t>
      </w:r>
      <w:r>
        <w:t xml:space="preserve"> (except in cases described in section 4.4.2 below)</w:t>
      </w:r>
      <w:r w:rsidRPr="00B971F8">
        <w:t xml:space="preserve">, detailing what coordination the ACMA should initiate. These comments must be received by the ACMA at least </w:t>
      </w:r>
      <w:r>
        <w:t>5</w:t>
      </w:r>
      <w:r w:rsidRPr="00B971F8">
        <w:t xml:space="preserve"> weeks before the comments due date. These comments must clearly state:</w:t>
      </w:r>
    </w:p>
    <w:p w14:paraId="5F74BFCD" w14:textId="77777777" w:rsidR="004376F2" w:rsidRPr="0030539D" w:rsidRDefault="004376F2" w:rsidP="00D931F4">
      <w:pPr>
        <w:pStyle w:val="Bulletlevel1"/>
      </w:pPr>
      <w:bookmarkStart w:id="368" w:name="OLE_LINK29"/>
      <w:bookmarkStart w:id="369" w:name="OLE_LINK30"/>
      <w:r w:rsidRPr="0030539D">
        <w:t xml:space="preserve">the </w:t>
      </w:r>
      <w:r>
        <w:t xml:space="preserve">foreign </w:t>
      </w:r>
      <w:r w:rsidRPr="0030539D">
        <w:t>administration, foreign satellite systems, Australian satellite system(s), frequency bands, and relevant provisions</w:t>
      </w:r>
      <w:r>
        <w:t xml:space="preserve"> of the Radio Regulations</w:t>
      </w:r>
      <w:r w:rsidRPr="0030539D">
        <w:t xml:space="preserve"> for which coordination is requested, supported by</w:t>
      </w:r>
      <w:bookmarkEnd w:id="368"/>
      <w:bookmarkEnd w:id="369"/>
      <w:r>
        <w:t>:</w:t>
      </w:r>
    </w:p>
    <w:p w14:paraId="1CEF0DF7" w14:textId="77777777" w:rsidR="004376F2" w:rsidRPr="0030539D" w:rsidRDefault="004376F2" w:rsidP="005450F7">
      <w:pPr>
        <w:pStyle w:val="Bulletlevel2"/>
      </w:pPr>
      <w:r w:rsidRPr="0030539D">
        <w:t>justification for the request to engage in coordination, in accordance with the provisions of the Radio Regulations (in particular</w:t>
      </w:r>
      <w:r>
        <w:t>,</w:t>
      </w:r>
      <w:r w:rsidRPr="0030539D">
        <w:t xml:space="preserve"> </w:t>
      </w:r>
      <w:r>
        <w:t xml:space="preserve">ITU </w:t>
      </w:r>
      <w:r w:rsidRPr="0030539D">
        <w:t>RR 9.52)</w:t>
      </w:r>
    </w:p>
    <w:p w14:paraId="19F78530" w14:textId="77777777" w:rsidR="004376F2" w:rsidRPr="0030539D" w:rsidRDefault="004376F2" w:rsidP="00E02D76">
      <w:pPr>
        <w:pStyle w:val="Bulletlevel2"/>
      </w:pPr>
      <w:r w:rsidRPr="0030539D">
        <w:t>where possible, a propos</w:t>
      </w:r>
      <w:bookmarkStart w:id="370" w:name="OLE_LINK8"/>
      <w:r w:rsidRPr="0030539D">
        <w:t xml:space="preserve">ed method for resolving the </w:t>
      </w:r>
      <w:r>
        <w:t xml:space="preserve">coordination </w:t>
      </w:r>
      <w:r w:rsidRPr="0030539D">
        <w:t>issue</w:t>
      </w:r>
    </w:p>
    <w:p w14:paraId="47BD4EB7" w14:textId="77777777" w:rsidR="004376F2" w:rsidRPr="00BC0BB3" w:rsidRDefault="004376F2" w:rsidP="00D931F4">
      <w:pPr>
        <w:pStyle w:val="Bulletlevel1last"/>
      </w:pPr>
      <w:r>
        <w:t>a</w:t>
      </w:r>
      <w:r w:rsidRPr="00BC0BB3">
        <w:t xml:space="preserve"> list of any coordination that, while flagged by the ITU, does not need to be performed, or has already been completed.</w:t>
      </w:r>
    </w:p>
    <w:p w14:paraId="448198DF" w14:textId="77777777" w:rsidR="004376F2" w:rsidRPr="00B971F8" w:rsidRDefault="004376F2" w:rsidP="004376F2">
      <w:pPr>
        <w:pStyle w:val="Paragraph"/>
      </w:pPr>
      <w:r w:rsidRPr="00B971F8">
        <w:t xml:space="preserve">The decision to initiate coordination must be based on technical calculations demonstrating a potential for interference. These calculations must be made available to the ACMA upon request. The trigger value of </w:t>
      </w:r>
      <w:r>
        <w:t>6%</w:t>
      </w:r>
      <w:r w:rsidRPr="00B971F8">
        <w:t xml:space="preserve"> for </w:t>
      </w:r>
      <w:r w:rsidRPr="00A510B5">
        <w:t>D</w:t>
      </w:r>
      <w:r w:rsidRPr="00B971F8">
        <w:t xml:space="preserve">T/T is a good indicator of the potential for interference in many cases, but a more thorough analysis (for example C/I calculations) can lead to a reduced amount of necessary coordination. The </w:t>
      </w:r>
      <w:r w:rsidRPr="00A510B5">
        <w:t>D</w:t>
      </w:r>
      <w:r w:rsidRPr="00B971F8">
        <w:t xml:space="preserve">T/T trigger threshold can be considered a </w:t>
      </w:r>
      <w:r w:rsidRPr="00A510B5">
        <w:t>necessary</w:t>
      </w:r>
      <w:r w:rsidRPr="00B971F8">
        <w:t xml:space="preserve"> condition for the need for </w:t>
      </w:r>
      <w:r w:rsidRPr="00B971F8" w:rsidDel="0029663F">
        <w:t>coordination</w:t>
      </w:r>
      <w:r w:rsidRPr="00B971F8">
        <w:t xml:space="preserve"> but should not be considered a </w:t>
      </w:r>
      <w:r w:rsidRPr="00A510B5">
        <w:t>sufficient</w:t>
      </w:r>
      <w:r w:rsidRPr="00B971F8">
        <w:t xml:space="preserve"> condition to</w:t>
      </w:r>
      <w:r>
        <w:t xml:space="preserve"> respond to the IFIC publications with disagreement.</w:t>
      </w:r>
      <w:r w:rsidRPr="00B971F8">
        <w:t xml:space="preserve"> Unnecessary coordination can place a burden on the ITU, both administrations, and both satellite operators. It also makes the process of achieving all required coordination agreements more complicated. </w:t>
      </w:r>
    </w:p>
    <w:p w14:paraId="3AD28D69" w14:textId="77777777" w:rsidR="004376F2" w:rsidRPr="00B971F8" w:rsidRDefault="004376F2" w:rsidP="004376F2">
      <w:pPr>
        <w:pStyle w:val="Paragraph"/>
      </w:pPr>
      <w:r w:rsidRPr="00B971F8">
        <w:t xml:space="preserve">It should be noted that in many cases the ITU will apply a coordination arc as a tool for assessing the potential for interference. It is strongly suggested that in these cases, satellite operators rely on their own calculations rather than the coordination arc approach as the coordination arc as a tool may not identify all cases of potential interference. The coordination arc approach may also highlight cases where </w:t>
      </w:r>
      <w:r w:rsidRPr="00A510B5">
        <w:t>D</w:t>
      </w:r>
      <w:r w:rsidRPr="00B971F8">
        <w:t xml:space="preserve">T/T is less than </w:t>
      </w:r>
      <w:r>
        <w:t xml:space="preserve">6% – </w:t>
      </w:r>
      <w:r w:rsidRPr="00B971F8">
        <w:t>in this case</w:t>
      </w:r>
      <w:r>
        <w:t>,</w:t>
      </w:r>
      <w:r w:rsidRPr="00B971F8">
        <w:t xml:space="preserve"> the satellite operator is recommended to state that it does not want coordination initiated. </w:t>
      </w:r>
    </w:p>
    <w:p w14:paraId="3A87CC49" w14:textId="77777777" w:rsidR="004376F2" w:rsidRPr="00B971F8" w:rsidRDefault="004376F2" w:rsidP="004376F2">
      <w:pPr>
        <w:pStyle w:val="Paragraph"/>
      </w:pPr>
      <w:r w:rsidRPr="00B971F8">
        <w:t xml:space="preserve">Requests by satellite operators to initiate coordination for satellite networks that are outside the coordination arc will only be submitted by the ACMA to the ITU if accompanied by a summary of </w:t>
      </w:r>
      <w:r w:rsidRPr="00A510B5">
        <w:t>D</w:t>
      </w:r>
      <w:r w:rsidRPr="00B971F8">
        <w:t xml:space="preserve">T/T calculations showing an increase </w:t>
      </w:r>
      <w:r>
        <w:t>to</w:t>
      </w:r>
      <w:r w:rsidRPr="00B971F8">
        <w:t xml:space="preserve"> at least </w:t>
      </w:r>
      <w:r>
        <w:t>6%</w:t>
      </w:r>
      <w:r w:rsidRPr="00B971F8">
        <w:t>.</w:t>
      </w:r>
    </w:p>
    <w:p w14:paraId="06B4EFE1" w14:textId="77777777" w:rsidR="004376F2" w:rsidRPr="00B971F8" w:rsidRDefault="004376F2" w:rsidP="004376F2">
      <w:pPr>
        <w:pStyle w:val="Paragraph"/>
      </w:pPr>
      <w:r w:rsidRPr="00B971F8">
        <w:t>In certain cases, such as an Australian satellite operator’s satellite system using non-directional terminals or a</w:t>
      </w:r>
      <w:r>
        <w:t>n</w:t>
      </w:r>
      <w:r w:rsidRPr="00B971F8">
        <w:t xml:space="preserve"> NGSO constellation, frequency overlap with a foreign-published satellite system </w:t>
      </w:r>
      <w:r>
        <w:t xml:space="preserve">in the IFIC </w:t>
      </w:r>
      <w:r w:rsidRPr="00B971F8">
        <w:t>may be sufficient to initiate coordination.</w:t>
      </w:r>
    </w:p>
    <w:bookmarkEnd w:id="370"/>
    <w:p w14:paraId="666338AB" w14:textId="77777777" w:rsidR="004376F2" w:rsidRPr="00B971F8" w:rsidRDefault="004376F2" w:rsidP="004376F2">
      <w:pPr>
        <w:pStyle w:val="Paragraph"/>
      </w:pPr>
      <w:r w:rsidRPr="00B971F8">
        <w:t>Satellite operators are encouraged to perform sufficient calculations during this mandatory step so that the number of requests to enter coordination are minimised (while still providing sufficient protection to their satellite systems).</w:t>
      </w:r>
    </w:p>
    <w:p w14:paraId="0781DF3A" w14:textId="77777777" w:rsidR="004376F2" w:rsidRPr="00B971F8" w:rsidRDefault="004376F2" w:rsidP="00E02D76">
      <w:pPr>
        <w:pStyle w:val="Paragraphbeforelist"/>
      </w:pPr>
      <w:r w:rsidRPr="00B971F8">
        <w:lastRenderedPageBreak/>
        <w:t>The ACMA will, in accordance with its domestic and international obligations, perform checks on all comments received from satellite operators in response to an IFIC publication for a foreign satellite system. If any inconsistencies are found</w:t>
      </w:r>
      <w:r>
        <w:t xml:space="preserve"> in the comments</w:t>
      </w:r>
      <w:r w:rsidRPr="00B971F8">
        <w:t>, the ACMA may contact the</w:t>
      </w:r>
      <w:r>
        <w:t xml:space="preserve"> relevant satellite</w:t>
      </w:r>
      <w:r w:rsidRPr="00B971F8">
        <w:t xml:space="preserve"> operator and attempt to resolve any inconsistency identified. In the absence of advice from the satellite operator, regarding potentially affected Australian satellite systems for which it is responsible, at least </w:t>
      </w:r>
      <w:r>
        <w:t>5</w:t>
      </w:r>
      <w:r w:rsidRPr="00B971F8">
        <w:t xml:space="preserve"> weeks </w:t>
      </w:r>
      <w:r>
        <w:t>before</w:t>
      </w:r>
      <w:r w:rsidRPr="00B971F8">
        <w:t xml:space="preserve"> the comments due date, the ACMA will retain its discretion in responding to the foreign administration, but will generally do the following:</w:t>
      </w:r>
    </w:p>
    <w:p w14:paraId="1C5D6527" w14:textId="77777777" w:rsidR="004376F2" w:rsidRPr="00C277F9" w:rsidRDefault="004376F2" w:rsidP="00D931F4">
      <w:pPr>
        <w:pStyle w:val="Bulletlevel1"/>
      </w:pPr>
      <w:r>
        <w:t xml:space="preserve">For </w:t>
      </w:r>
      <w:r w:rsidRPr="00C277F9">
        <w:t xml:space="preserve">comments made under provisions of the </w:t>
      </w:r>
      <w:r>
        <w:t>Radio</w:t>
      </w:r>
      <w:r w:rsidRPr="00C277F9">
        <w:t xml:space="preserve"> Regulations </w:t>
      </w:r>
      <w:r>
        <w:t>that</w:t>
      </w:r>
      <w:r w:rsidRPr="00C277F9">
        <w:t xml:space="preserve"> specify a mandatory response, the ACMA will provide agreement to the foreign administration whose satellite system(s) have been identified as potentially affecting the </w:t>
      </w:r>
      <w:r>
        <w:t xml:space="preserve">Australian-filed </w:t>
      </w:r>
      <w:r w:rsidRPr="00C277F9">
        <w:t xml:space="preserve">satellite system </w:t>
      </w:r>
      <w:r>
        <w:t>that</w:t>
      </w:r>
      <w:r w:rsidRPr="00C277F9">
        <w:t xml:space="preserve"> falls under the responsibility of the non-responding operator.</w:t>
      </w:r>
    </w:p>
    <w:p w14:paraId="45FE3BAB" w14:textId="77777777" w:rsidR="004376F2" w:rsidRPr="00BC0BB3" w:rsidRDefault="004376F2" w:rsidP="00D931F4">
      <w:pPr>
        <w:pStyle w:val="Bulletlevel1last"/>
      </w:pPr>
      <w:r>
        <w:t>For</w:t>
      </w:r>
      <w:r w:rsidRPr="00BC0BB3">
        <w:t xml:space="preserve"> comments made under provisions of the </w:t>
      </w:r>
      <w:r>
        <w:t>Radio</w:t>
      </w:r>
      <w:r w:rsidRPr="00BC0BB3">
        <w:t xml:space="preserve"> Regulations </w:t>
      </w:r>
      <w:r>
        <w:t>that</w:t>
      </w:r>
      <w:r w:rsidRPr="00BC0BB3">
        <w:t xml:space="preserve"> do not specify a mandatory response, the ACMA will provide no response to the foreign administration whose satellite system(s) have been identified as potentially affecting the </w:t>
      </w:r>
      <w:r>
        <w:t xml:space="preserve">Australian-filed </w:t>
      </w:r>
      <w:r w:rsidRPr="00BC0BB3">
        <w:t xml:space="preserve">satellite system </w:t>
      </w:r>
      <w:r>
        <w:t>that</w:t>
      </w:r>
      <w:r w:rsidRPr="00BC0BB3">
        <w:t xml:space="preserve"> falls under the responsibility of the non-responding operator.</w:t>
      </w:r>
    </w:p>
    <w:p w14:paraId="4543F94B" w14:textId="77777777" w:rsidR="004376F2" w:rsidRPr="00B971F8" w:rsidRDefault="004376F2" w:rsidP="004376F2">
      <w:pPr>
        <w:pStyle w:val="Heading3"/>
      </w:pPr>
      <w:bookmarkStart w:id="371" w:name="_Toc306786408"/>
      <w:bookmarkStart w:id="372" w:name="_Toc111546533"/>
      <w:bookmarkStart w:id="373" w:name="_Toc114472698"/>
      <w:bookmarkStart w:id="374" w:name="_Toc128663980"/>
      <w:bookmarkStart w:id="375" w:name="_Toc195092486"/>
      <w:bookmarkStart w:id="376" w:name="_Toc198288063"/>
      <w:r w:rsidRPr="00B971F8">
        <w:t>IFIC responses to foreign administrations</w:t>
      </w:r>
      <w:bookmarkEnd w:id="371"/>
      <w:bookmarkEnd w:id="372"/>
      <w:bookmarkEnd w:id="373"/>
      <w:bookmarkEnd w:id="374"/>
      <w:bookmarkEnd w:id="375"/>
      <w:bookmarkEnd w:id="376"/>
    </w:p>
    <w:p w14:paraId="5BBF9AD8" w14:textId="77777777" w:rsidR="004376F2" w:rsidRPr="00B971F8" w:rsidRDefault="004376F2" w:rsidP="004376F2">
      <w:pPr>
        <w:pStyle w:val="Paragraph"/>
      </w:pPr>
      <w:r w:rsidRPr="00B971F8">
        <w:t>The ACMA collates the satellite operator</w:t>
      </w:r>
      <w:r>
        <w:t>s’</w:t>
      </w:r>
      <w:r w:rsidRPr="00B971F8">
        <w:t xml:space="preserve"> responses, and, subject to the procedures given in the previous section, sends these responses</w:t>
      </w:r>
      <w:r>
        <w:t xml:space="preserve"> to the ITU</w:t>
      </w:r>
      <w:r w:rsidRPr="00B971F8">
        <w:t xml:space="preserve"> in accordance with </w:t>
      </w:r>
      <w:r>
        <w:t>its</w:t>
      </w:r>
      <w:r w:rsidRPr="00B971F8">
        <w:t xml:space="preserve"> current procedures. The satellite operator will receive a copy of the collated responses.</w:t>
      </w:r>
    </w:p>
    <w:p w14:paraId="60A4402F" w14:textId="77777777" w:rsidR="004376F2" w:rsidRPr="002D3770" w:rsidRDefault="004376F2" w:rsidP="004376F2">
      <w:pPr>
        <w:pStyle w:val="Paragraph"/>
      </w:pPr>
      <w:r w:rsidRPr="002D3770">
        <w:t xml:space="preserve">Operators of satellite systems that are not subject to the coordination procedure under Section II of Article 9 of the Radio Regulations may decide not to provide comments to the fortnightly IFIC publications. It is considered a valid coordination strategy to not initiate objections to a new foreign filing in these bands as coexistence is much more likely when compared with bands that are subject to the more complex ITU coordination process. By choosing to not engage in coordination, the operator accepts the risk of interference from newly published foreign satellite systems in the IFIC and will not cause interference to these systems. </w:t>
      </w:r>
    </w:p>
    <w:p w14:paraId="183F449C" w14:textId="77777777" w:rsidR="004376F2" w:rsidRPr="00B971F8" w:rsidRDefault="004376F2" w:rsidP="004376F2">
      <w:pPr>
        <w:pStyle w:val="Paragraph"/>
      </w:pPr>
      <w:r w:rsidRPr="002D3770">
        <w:t>However, a satellite operator is required to respond to comments received from foreign administrations responding to the publication of its own satellite system.</w:t>
      </w:r>
    </w:p>
    <w:p w14:paraId="4E37DFF9" w14:textId="77777777" w:rsidR="004376F2" w:rsidRPr="00B971F8" w:rsidRDefault="004376F2" w:rsidP="004376F2">
      <w:pPr>
        <w:pStyle w:val="Heading3"/>
      </w:pPr>
      <w:bookmarkStart w:id="377" w:name="_Toc306786409"/>
      <w:bookmarkStart w:id="378" w:name="_Toc111546534"/>
      <w:bookmarkStart w:id="379" w:name="_Toc114472699"/>
      <w:bookmarkStart w:id="380" w:name="_Toc128663981"/>
      <w:bookmarkStart w:id="381" w:name="_Toc195092487"/>
      <w:bookmarkStart w:id="382" w:name="_Toc198288064"/>
      <w:r w:rsidRPr="00B971F8">
        <w:t>Australian satellite systems published in an IFIC</w:t>
      </w:r>
      <w:bookmarkEnd w:id="377"/>
      <w:bookmarkEnd w:id="378"/>
      <w:bookmarkEnd w:id="379"/>
      <w:bookmarkEnd w:id="380"/>
      <w:bookmarkEnd w:id="381"/>
      <w:bookmarkEnd w:id="382"/>
    </w:p>
    <w:p w14:paraId="5098425A" w14:textId="77777777" w:rsidR="004376F2" w:rsidRPr="00B971F8" w:rsidRDefault="004376F2" w:rsidP="004376F2">
      <w:pPr>
        <w:pStyle w:val="Paragraph"/>
      </w:pPr>
      <w:r w:rsidRPr="00B971F8">
        <w:t xml:space="preserve">Foreign administrations will comment on Australian satellite systems published in ‘special sections’ of an IFIC. The ACMA will forward copies of these comments to the </w:t>
      </w:r>
      <w:r>
        <w:t xml:space="preserve">relevant </w:t>
      </w:r>
      <w:r w:rsidRPr="00B971F8">
        <w:t xml:space="preserve">satellite operator. </w:t>
      </w:r>
    </w:p>
    <w:p w14:paraId="7C3649F0" w14:textId="77777777" w:rsidR="004376F2" w:rsidRDefault="004376F2" w:rsidP="004376F2">
      <w:pPr>
        <w:pStyle w:val="Paragraph"/>
      </w:pPr>
      <w:r w:rsidRPr="002D3770">
        <w:t>The satellite operator is responsible for reviewing the comments and drafting a reply so that the ACMA may respond to the foreign administration if required.</w:t>
      </w:r>
      <w:r>
        <w:t xml:space="preserve">  </w:t>
      </w:r>
    </w:p>
    <w:p w14:paraId="49BF74D2" w14:textId="77777777" w:rsidR="004376F2" w:rsidRPr="00B971F8" w:rsidRDefault="004376F2" w:rsidP="004376F2">
      <w:pPr>
        <w:pStyle w:val="Heading3"/>
      </w:pPr>
      <w:bookmarkStart w:id="383" w:name="_Toc306786410"/>
      <w:bookmarkStart w:id="384" w:name="_Toc111546535"/>
      <w:bookmarkStart w:id="385" w:name="_Toc114472700"/>
      <w:bookmarkStart w:id="386" w:name="_Toc128663982"/>
      <w:bookmarkStart w:id="387" w:name="_Toc195092488"/>
      <w:bookmarkStart w:id="388" w:name="_Toc198288065"/>
      <w:r w:rsidRPr="00B971F8">
        <w:t>Requests from other administrations</w:t>
      </w:r>
      <w:bookmarkEnd w:id="383"/>
      <w:bookmarkEnd w:id="384"/>
      <w:bookmarkEnd w:id="385"/>
      <w:bookmarkEnd w:id="386"/>
      <w:bookmarkEnd w:id="387"/>
      <w:bookmarkEnd w:id="388"/>
    </w:p>
    <w:p w14:paraId="50F18736" w14:textId="77777777" w:rsidR="004376F2" w:rsidRPr="00B971F8" w:rsidRDefault="004376F2" w:rsidP="004376F2">
      <w:pPr>
        <w:pStyle w:val="Paragraph"/>
      </w:pPr>
      <w:r w:rsidRPr="00B971F8">
        <w:t>As part of the international coordination process, Australia is often required to respond to requests for information. These requests may come directly from a foreign administration (or satellite operator) or from the ITU. For example, under</w:t>
      </w:r>
      <w:r w:rsidRPr="00B971F8" w:rsidDel="0036768C">
        <w:t xml:space="preserve"> </w:t>
      </w:r>
      <w:r>
        <w:t>ITU RR</w:t>
      </w:r>
      <w:r w:rsidRPr="00B971F8">
        <w:t xml:space="preserve"> 9.60, an administration may ‘request the assistance of the Bureau’ (the Radiocommunications Bureau (BR), a section of the ITU). Australia is usually obliged to respond to the</w:t>
      </w:r>
      <w:r>
        <w:t>se</w:t>
      </w:r>
      <w:r w:rsidRPr="00B971F8">
        <w:t xml:space="preserve"> requests in a substantive and timely manner. </w:t>
      </w:r>
    </w:p>
    <w:p w14:paraId="5CDD042C" w14:textId="77777777" w:rsidR="004376F2" w:rsidRPr="00B971F8" w:rsidRDefault="004376F2" w:rsidP="004376F2">
      <w:pPr>
        <w:pStyle w:val="Paragraph"/>
      </w:pPr>
      <w:r w:rsidRPr="00B971F8">
        <w:lastRenderedPageBreak/>
        <w:t xml:space="preserve">Satellite operators are required to assist the ACMA </w:t>
      </w:r>
      <w:r>
        <w:t xml:space="preserve">to </w:t>
      </w:r>
      <w:r w:rsidRPr="00B971F8">
        <w:t xml:space="preserve">fulfil this obligation by providing thorough, substantive responses in a timely manner. Failure to respond in a timely manner or failure to provide sufficient technical detail may result in the ACMA providing a response on behalf of a satellite operator, as the ACMA sees fit at the time (which may not be in the best interests of the satellite operator). </w:t>
      </w:r>
    </w:p>
    <w:p w14:paraId="25F5F8DB" w14:textId="77777777" w:rsidR="004376F2" w:rsidRPr="00B971F8" w:rsidRDefault="004376F2" w:rsidP="004376F2">
      <w:pPr>
        <w:pStyle w:val="Paragraph"/>
      </w:pPr>
      <w:r w:rsidRPr="00B971F8">
        <w:t>Satellite operators are also required to avoid, as much as possible, the need for other administrations to request the assistance of the</w:t>
      </w:r>
      <w:r>
        <w:t xml:space="preserve"> ITU</w:t>
      </w:r>
      <w:r w:rsidRPr="00B971F8">
        <w:t xml:space="preserve"> BR</w:t>
      </w:r>
      <w:r>
        <w:t xml:space="preserve"> (radiocommunications Bureau)</w:t>
      </w:r>
      <w:r w:rsidRPr="00B971F8">
        <w:t xml:space="preserve">. </w:t>
      </w:r>
    </w:p>
    <w:p w14:paraId="6858C079" w14:textId="77777777" w:rsidR="004376F2" w:rsidRPr="00B971F8" w:rsidRDefault="004376F2" w:rsidP="004376F2">
      <w:pPr>
        <w:pStyle w:val="Paragraph"/>
      </w:pPr>
      <w:r w:rsidRPr="00B971F8">
        <w:t>Multiple instances of failing to respond to requests under provision 9.60, or multiple cases of requests under provision 9.60 that are con</w:t>
      </w:r>
      <w:r w:rsidRPr="004C262B">
        <w:t>sidered to have been avoidable, may result in the ACMA taking action as described in section</w:t>
      </w:r>
      <w:r w:rsidRPr="009A38CE">
        <w:t xml:space="preserve"> </w:t>
      </w:r>
      <w:r w:rsidRPr="009A38CE">
        <w:fldChar w:fldCharType="begin"/>
      </w:r>
      <w:r w:rsidRPr="009A38CE">
        <w:instrText xml:space="preserve"> REF _Ref138425853 \r \h </w:instrText>
      </w:r>
      <w:r>
        <w:instrText xml:space="preserve"> \* MERGEFORMAT </w:instrText>
      </w:r>
      <w:r w:rsidRPr="009A38CE">
        <w:fldChar w:fldCharType="separate"/>
      </w:r>
      <w:r w:rsidRPr="009A38CE">
        <w:t>4.9</w:t>
      </w:r>
      <w:r w:rsidRPr="009A38CE">
        <w:fldChar w:fldCharType="end"/>
      </w:r>
      <w:r>
        <w:t xml:space="preserve"> </w:t>
      </w:r>
      <w:r w:rsidRPr="004C262B">
        <w:fldChar w:fldCharType="begin"/>
      </w:r>
      <w:r w:rsidRPr="004C262B">
        <w:instrText xml:space="preserve"> REF _Ref138425861 \h </w:instrText>
      </w:r>
      <w:r>
        <w:rPr>
          <w:i/>
          <w:iCs/>
        </w:rPr>
        <w:instrText xml:space="preserve"> \* MERGEFORMAT </w:instrText>
      </w:r>
      <w:r w:rsidRPr="004C262B">
        <w:fldChar w:fldCharType="separate"/>
      </w:r>
      <w:r w:rsidRPr="004C262B">
        <w:rPr>
          <w:snapToGrid w:val="0"/>
          <w:lang w:eastAsia="en-US"/>
        </w:rPr>
        <w:t>Compliance with the procedures</w:t>
      </w:r>
      <w:r w:rsidRPr="004C262B">
        <w:fldChar w:fldCharType="end"/>
      </w:r>
      <w:r w:rsidRPr="00B971F8">
        <w:t xml:space="preserve"> </w:t>
      </w:r>
      <w:r>
        <w:t>in</w:t>
      </w:r>
      <w:r w:rsidRPr="00B971F8">
        <w:t xml:space="preserve"> this </w:t>
      </w:r>
      <w:r>
        <w:t>document</w:t>
      </w:r>
      <w:r w:rsidRPr="00B971F8">
        <w:t>.</w:t>
      </w:r>
    </w:p>
    <w:p w14:paraId="2FDCD6C6" w14:textId="77777777" w:rsidR="004376F2" w:rsidRPr="00B971F8" w:rsidRDefault="004376F2" w:rsidP="004376F2">
      <w:pPr>
        <w:pStyle w:val="Heading3"/>
      </w:pPr>
      <w:bookmarkStart w:id="389" w:name="_Toc306786411"/>
      <w:bookmarkStart w:id="390" w:name="_Toc111546536"/>
      <w:bookmarkStart w:id="391" w:name="_Toc114472701"/>
      <w:bookmarkStart w:id="392" w:name="_Toc128663983"/>
      <w:bookmarkStart w:id="393" w:name="_Toc195092489"/>
      <w:bookmarkStart w:id="394" w:name="_Toc198288066"/>
      <w:r w:rsidRPr="00B971F8">
        <w:t>Additional services that the satellite operator can request from the ACMA</w:t>
      </w:r>
      <w:bookmarkEnd w:id="389"/>
      <w:bookmarkEnd w:id="390"/>
      <w:bookmarkEnd w:id="391"/>
      <w:bookmarkEnd w:id="392"/>
      <w:bookmarkEnd w:id="393"/>
      <w:bookmarkEnd w:id="394"/>
      <w:r w:rsidRPr="00B971F8">
        <w:t xml:space="preserve"> </w:t>
      </w:r>
    </w:p>
    <w:p w14:paraId="46282439" w14:textId="77777777" w:rsidR="004376F2" w:rsidRPr="00B971F8" w:rsidRDefault="004376F2" w:rsidP="004376F2">
      <w:pPr>
        <w:pStyle w:val="Paragraph"/>
      </w:pPr>
      <w:r w:rsidRPr="00B971F8">
        <w:t xml:space="preserve">The satellite operator may request the ACMA to assist with issues relating to </w:t>
      </w:r>
      <w:r>
        <w:t>its</w:t>
      </w:r>
      <w:r w:rsidRPr="00B971F8">
        <w:t xml:space="preserve"> satellite system, for example, assessing the potential for interference </w:t>
      </w:r>
      <w:proofErr w:type="gramStart"/>
      <w:r w:rsidRPr="00B971F8">
        <w:t>in a given</w:t>
      </w:r>
      <w:proofErr w:type="gramEnd"/>
      <w:r w:rsidRPr="00B971F8">
        <w:t xml:space="preserve"> scenario. The ACMA has the sole discretion in determining whether to accept such a request.</w:t>
      </w:r>
    </w:p>
    <w:p w14:paraId="0D0284B0" w14:textId="77777777" w:rsidR="004376F2" w:rsidRPr="00B971F8" w:rsidRDefault="004376F2" w:rsidP="004376F2">
      <w:pPr>
        <w:pStyle w:val="Heading3"/>
      </w:pPr>
      <w:bookmarkStart w:id="395" w:name="_Toc111546537"/>
      <w:bookmarkStart w:id="396" w:name="_Toc114472702"/>
      <w:bookmarkStart w:id="397" w:name="_Toc128663984"/>
      <w:bookmarkStart w:id="398" w:name="_Toc195092490"/>
      <w:bookmarkStart w:id="399" w:name="_Toc198288067"/>
      <w:r>
        <w:t>IFIC c</w:t>
      </w:r>
      <w:r w:rsidRPr="00B971F8">
        <w:t>ost recovery charges</w:t>
      </w:r>
      <w:bookmarkEnd w:id="395"/>
      <w:bookmarkEnd w:id="396"/>
      <w:bookmarkEnd w:id="397"/>
      <w:bookmarkEnd w:id="398"/>
      <w:bookmarkEnd w:id="399"/>
    </w:p>
    <w:p w14:paraId="34A90F95" w14:textId="77777777" w:rsidR="004376F2" w:rsidRPr="00B971F8" w:rsidRDefault="004376F2" w:rsidP="004376F2">
      <w:pPr>
        <w:pStyle w:val="Paragraph"/>
      </w:pPr>
      <w:r w:rsidRPr="00B971F8">
        <w:t>The ACMA recovers its costs for work undertaken on the IFIC process, handling of the correspondence to/from the ITU BR and foreign administration</w:t>
      </w:r>
      <w:r>
        <w:t>s</w:t>
      </w:r>
      <w:r w:rsidRPr="00B971F8">
        <w:t xml:space="preserve">, and for providing support to the satellite operator. The hourly rate for this </w:t>
      </w:r>
      <w:r>
        <w:t>work</w:t>
      </w:r>
      <w:r w:rsidRPr="00B971F8">
        <w:t xml:space="preserve"> is in the </w:t>
      </w:r>
      <w:hyperlink r:id="rId74" w:history="1">
        <w:r w:rsidRPr="00DC7FF6">
          <w:rPr>
            <w:rStyle w:val="Hyperlink"/>
          </w:rPr>
          <w:t>Radiocommunications (Charges) Determination 2022</w:t>
        </w:r>
      </w:hyperlink>
      <w:r>
        <w:rPr>
          <w:i/>
          <w:iCs/>
        </w:rPr>
        <w:t xml:space="preserve"> </w:t>
      </w:r>
      <w:r w:rsidRPr="00B971F8">
        <w:rPr>
          <w:iCs/>
        </w:rPr>
        <w:t>and its revisions</w:t>
      </w:r>
      <w:r w:rsidRPr="00B971F8">
        <w:t xml:space="preserve">. </w:t>
      </w:r>
    </w:p>
    <w:p w14:paraId="54C79115" w14:textId="77777777" w:rsidR="004376F2" w:rsidRDefault="004376F2" w:rsidP="004376F2">
      <w:pPr>
        <w:pStyle w:val="Paragraph"/>
      </w:pPr>
      <w:r w:rsidRPr="00B971F8">
        <w:t xml:space="preserve">The current IFIC cost recovery is based on </w:t>
      </w:r>
      <w:r>
        <w:t>2</w:t>
      </w:r>
      <w:r w:rsidRPr="00B971F8">
        <w:t xml:space="preserve"> components: IFIC processing costs and IFIC correspondence cost. IFIC processing costs are </w:t>
      </w:r>
      <w:r>
        <w:t>apportioned</w:t>
      </w:r>
      <w:r w:rsidRPr="00B971F8">
        <w:t xml:space="preserve"> based on benchmarked averages of number of foreign satellite systems (subject to coordination) affecting a particular operator. </w:t>
      </w:r>
      <w:r>
        <w:t xml:space="preserve">The </w:t>
      </w:r>
      <w:r w:rsidRPr="00B971F8">
        <w:t>IFIC correspondence cost is based on the amount of correspondence sent for each operator.</w:t>
      </w:r>
    </w:p>
    <w:p w14:paraId="0715B730" w14:textId="77777777" w:rsidR="004376F2" w:rsidRPr="002D3770" w:rsidRDefault="004376F2" w:rsidP="004376F2">
      <w:pPr>
        <w:pStyle w:val="Heading3"/>
      </w:pPr>
      <w:bookmarkStart w:id="400" w:name="_Toc195092491"/>
      <w:bookmarkStart w:id="401" w:name="_Toc198288068"/>
      <w:r w:rsidRPr="002D3770">
        <w:t>IFIC and short-duration missions</w:t>
      </w:r>
      <w:bookmarkEnd w:id="400"/>
      <w:bookmarkEnd w:id="401"/>
    </w:p>
    <w:p w14:paraId="672156C5" w14:textId="77777777" w:rsidR="004376F2" w:rsidRPr="00B971F8" w:rsidRDefault="004376F2" w:rsidP="000C20F7">
      <w:pPr>
        <w:pStyle w:val="Paragraphbeforelist"/>
      </w:pPr>
      <w:r w:rsidRPr="002D3770">
        <w:t>For short-duration missions submitted in accordance with ITU Resolution 32 (WRC</w:t>
      </w:r>
      <w:r w:rsidRPr="002D3770">
        <w:noBreakHyphen/>
        <w:t>19)</w:t>
      </w:r>
      <w:r w:rsidRPr="002D3770">
        <w:rPr>
          <w:rStyle w:val="FootnoteReference"/>
        </w:rPr>
        <w:footnoteReference w:id="28"/>
      </w:r>
      <w:r w:rsidRPr="002D3770">
        <w:t>, the satellite operator may choose not to provide written comments on coordination concerning new satellite systems filed by foreign administrations. However, a satellite operator will be required to respond to the comments received from foreign administrations to the publication of its own satellite system.</w:t>
      </w:r>
    </w:p>
    <w:p w14:paraId="050AB576" w14:textId="77777777" w:rsidR="004376F2" w:rsidRPr="00B971F8" w:rsidRDefault="004376F2" w:rsidP="004376F2">
      <w:pPr>
        <w:pStyle w:val="Heading2"/>
      </w:pPr>
      <w:bookmarkStart w:id="402" w:name="_Toc195092492"/>
      <w:bookmarkStart w:id="403" w:name="_Toc198288069"/>
      <w:bookmarkStart w:id="404" w:name="_Toc306786412"/>
      <w:bookmarkStart w:id="405" w:name="_Toc111546538"/>
      <w:bookmarkStart w:id="406" w:name="_Toc114472703"/>
      <w:bookmarkStart w:id="407" w:name="_Toc128663985"/>
      <w:r>
        <w:t>Milestones for management of satellite coordination</w:t>
      </w:r>
      <w:bookmarkEnd w:id="402"/>
      <w:bookmarkEnd w:id="403"/>
      <w:r w:rsidRPr="00B971F8">
        <w:t xml:space="preserve"> </w:t>
      </w:r>
      <w:bookmarkStart w:id="408" w:name="OLE_LINK7"/>
      <w:bookmarkEnd w:id="404"/>
      <w:bookmarkEnd w:id="405"/>
      <w:bookmarkEnd w:id="406"/>
      <w:bookmarkEnd w:id="407"/>
    </w:p>
    <w:bookmarkEnd w:id="408"/>
    <w:p w14:paraId="06E026F1" w14:textId="77777777" w:rsidR="004376F2" w:rsidRPr="00B971F8" w:rsidRDefault="004376F2" w:rsidP="00425FCB">
      <w:pPr>
        <w:pStyle w:val="Paragraphbeforelist"/>
      </w:pPr>
      <w:r w:rsidRPr="00B971F8">
        <w:t xml:space="preserve">All member states of the ITU are bound by the Constitution and Convention of the ITU. The Constitution of the ITU, Article 44, paragraph 2 states that member states </w:t>
      </w:r>
      <w:r>
        <w:t>bear in mind</w:t>
      </w:r>
      <w:r w:rsidRPr="00B971F8">
        <w:t xml:space="preserve"> that: </w:t>
      </w:r>
    </w:p>
    <w:p w14:paraId="6042B26E" w14:textId="77777777" w:rsidR="004376F2" w:rsidRPr="00B971F8" w:rsidRDefault="004376F2" w:rsidP="002F692A">
      <w:pPr>
        <w:pStyle w:val="Paragraph"/>
        <w:ind w:left="284"/>
      </w:pPr>
      <w:r w:rsidRPr="002F692A">
        <w:rPr>
          <w:i/>
          <w:iCs/>
        </w:rPr>
        <w:t>… radio frequencies and any associated orbits, including the geostationary-satellite orbit, are limited natural resources and that they must be used rationally, efficiently and economically, in conformity with the provisions of the Radio Regulations, so that countries or groups of countries may have equitable access to those orbits and frequencies</w:t>
      </w:r>
      <w:r w:rsidRPr="00B971F8">
        <w:t xml:space="preserve"> ... </w:t>
      </w:r>
    </w:p>
    <w:p w14:paraId="79C41FB7" w14:textId="77777777" w:rsidR="004376F2" w:rsidRPr="00B971F8" w:rsidRDefault="004376F2" w:rsidP="00425FCB">
      <w:pPr>
        <w:pStyle w:val="Paragraphbeforelist"/>
        <w:keepNext/>
      </w:pPr>
      <w:r w:rsidRPr="00B971F8">
        <w:lastRenderedPageBreak/>
        <w:t xml:space="preserve">Further, </w:t>
      </w:r>
      <w:r>
        <w:t>p</w:t>
      </w:r>
      <w:r w:rsidRPr="00B971F8">
        <w:t xml:space="preserve">aragraph 1 states: </w:t>
      </w:r>
    </w:p>
    <w:p w14:paraId="7401B60C" w14:textId="77777777" w:rsidR="004376F2" w:rsidRPr="002F692A" w:rsidRDefault="004376F2" w:rsidP="00425FCB">
      <w:pPr>
        <w:pStyle w:val="Paragraph"/>
        <w:keepNext/>
        <w:ind w:left="284"/>
        <w:rPr>
          <w:i/>
          <w:iCs/>
        </w:rPr>
      </w:pPr>
      <w:r w:rsidRPr="002F692A">
        <w:rPr>
          <w:i/>
          <w:iCs/>
        </w:rPr>
        <w:t xml:space="preserve">Member states shall endeavour to limit the number of </w:t>
      </w:r>
      <w:proofErr w:type="gramStart"/>
      <w:r w:rsidRPr="002F692A">
        <w:rPr>
          <w:i/>
          <w:iCs/>
        </w:rPr>
        <w:t>frequencies</w:t>
      </w:r>
      <w:proofErr w:type="gramEnd"/>
      <w:r w:rsidRPr="002F692A">
        <w:rPr>
          <w:i/>
          <w:iCs/>
        </w:rPr>
        <w:t xml:space="preserve"> and the spectrum used to the minimum essential to provide in a satisfactory manner the necessary services ...</w:t>
      </w:r>
    </w:p>
    <w:p w14:paraId="00B1F342" w14:textId="77777777" w:rsidR="004376F2" w:rsidRPr="00B971F8" w:rsidRDefault="004376F2" w:rsidP="00EB726B">
      <w:pPr>
        <w:pStyle w:val="Paragraph"/>
      </w:pPr>
      <w:r w:rsidRPr="00B971F8">
        <w:t>The ACMA also notes the problem associated with satellite systems that never result in the provision of actual services</w:t>
      </w:r>
      <w:r>
        <w:t xml:space="preserve"> – </w:t>
      </w:r>
      <w:r w:rsidRPr="00B971F8">
        <w:t>the so called ‘paper satellite’ problem</w:t>
      </w:r>
      <w:r>
        <w:t>.</w:t>
      </w:r>
      <w:r w:rsidRPr="00B971F8">
        <w:t xml:space="preserve"> </w:t>
      </w:r>
    </w:p>
    <w:p w14:paraId="45CDD90F" w14:textId="7EF798EB" w:rsidR="004376F2" w:rsidRPr="00E909FB" w:rsidRDefault="004376F2" w:rsidP="00425FCB">
      <w:pPr>
        <w:pStyle w:val="Paragraph"/>
      </w:pPr>
      <w:bookmarkStart w:id="409" w:name="_Toc306786414"/>
      <w:bookmarkStart w:id="410" w:name="_Toc111546540"/>
      <w:bookmarkStart w:id="411" w:name="_Toc114472705"/>
      <w:bookmarkStart w:id="412" w:name="_Toc128663987"/>
      <w:r w:rsidRPr="00E909FB">
        <w:t xml:space="preserve">To assist satellite operators </w:t>
      </w:r>
      <w:r>
        <w:t xml:space="preserve">to </w:t>
      </w:r>
      <w:r w:rsidRPr="00E909FB">
        <w:t>participate in the satellite coordination process in a way that supports Australia’s obligations under the ITU Constitution and Convention</w:t>
      </w:r>
      <w:r>
        <w:t>,</w:t>
      </w:r>
      <w:r w:rsidRPr="00E909FB">
        <w:t xml:space="preserve"> an example schedule of milestones is at </w:t>
      </w:r>
      <w:r w:rsidR="00F370F5">
        <w:fldChar w:fldCharType="begin"/>
      </w:r>
      <w:r w:rsidR="00F370F5">
        <w:instrText xml:space="preserve"> REF _Ref195189766 \h </w:instrText>
      </w:r>
      <w:r w:rsidR="00F370F5">
        <w:fldChar w:fldCharType="separate"/>
      </w:r>
      <w:r w:rsidR="00F370F5" w:rsidRPr="00A17B1B">
        <w:t xml:space="preserve">Appendix A: </w:t>
      </w:r>
      <w:r w:rsidR="00F370F5">
        <w:t>Best-practice milestones</w:t>
      </w:r>
      <w:r w:rsidR="00F370F5">
        <w:fldChar w:fldCharType="end"/>
      </w:r>
      <w:r w:rsidRPr="00E909FB">
        <w:t xml:space="preserve">. The milestones have been designed to allow for uncertainties in international satellite coordination, providing a way to assess progress towards providing actual services by comparing progress against the milestones. </w:t>
      </w:r>
    </w:p>
    <w:bookmarkEnd w:id="409"/>
    <w:bookmarkEnd w:id="410"/>
    <w:bookmarkEnd w:id="411"/>
    <w:bookmarkEnd w:id="412"/>
    <w:p w14:paraId="050CE321" w14:textId="77777777" w:rsidR="004376F2" w:rsidRPr="00E909FB" w:rsidRDefault="004376F2" w:rsidP="004376F2">
      <w:pPr>
        <w:pStyle w:val="Paragraphbeforelist"/>
      </w:pPr>
      <w:r>
        <w:t xml:space="preserve">Participating in the satellite coordination </w:t>
      </w:r>
      <w:r w:rsidRPr="00AD6882">
        <w:t xml:space="preserve">requires satellite operators to maintain information </w:t>
      </w:r>
      <w:bookmarkStart w:id="413" w:name="_Toc306786415"/>
      <w:bookmarkStart w:id="414" w:name="_Toc111546541"/>
      <w:bookmarkStart w:id="415" w:name="_Toc114472706"/>
      <w:bookmarkStart w:id="416" w:name="_Toc128663988"/>
      <w:r w:rsidRPr="00E909FB">
        <w:t>regarding the potential for harmful interference and future coordination strategy</w:t>
      </w:r>
      <w:bookmarkEnd w:id="413"/>
      <w:bookmarkEnd w:id="414"/>
      <w:bookmarkEnd w:id="415"/>
      <w:bookmarkEnd w:id="416"/>
      <w:r w:rsidRPr="00E909FB">
        <w:t>. At a minimum</w:t>
      </w:r>
      <w:r>
        <w:t>,</w:t>
      </w:r>
      <w:r w:rsidRPr="00E909FB">
        <w:t xml:space="preserve"> this information should contain</w:t>
      </w:r>
      <w:r>
        <w:t xml:space="preserve"> a</w:t>
      </w:r>
      <w:r w:rsidRPr="00E909FB">
        <w:t>:</w:t>
      </w:r>
    </w:p>
    <w:p w14:paraId="5A721D49" w14:textId="77777777" w:rsidR="004376F2" w:rsidRPr="00E909FB" w:rsidRDefault="004376F2" w:rsidP="00D931F4">
      <w:pPr>
        <w:pStyle w:val="Bulletlevel1"/>
      </w:pPr>
      <w:r>
        <w:t>c</w:t>
      </w:r>
      <w:r w:rsidRPr="00E909FB">
        <w:t>oordination summary:</w:t>
      </w:r>
    </w:p>
    <w:p w14:paraId="66DA717A" w14:textId="77777777" w:rsidR="004376F2" w:rsidRPr="008475CF" w:rsidRDefault="004376F2" w:rsidP="00FE5516">
      <w:pPr>
        <w:pStyle w:val="Bulletlevel2"/>
      </w:pPr>
      <w:r w:rsidRPr="008475CF">
        <w:t>administrations</w:t>
      </w:r>
    </w:p>
    <w:p w14:paraId="65404E1A" w14:textId="77777777" w:rsidR="004376F2" w:rsidRPr="008475CF" w:rsidRDefault="004376F2" w:rsidP="00FE5516">
      <w:pPr>
        <w:pStyle w:val="Bulletlevel2"/>
      </w:pPr>
      <w:r>
        <w:t xml:space="preserve">affected </w:t>
      </w:r>
      <w:r w:rsidRPr="008475CF">
        <w:t xml:space="preserve">satellite systems </w:t>
      </w:r>
      <w:r>
        <w:t xml:space="preserve">     </w:t>
      </w:r>
    </w:p>
    <w:p w14:paraId="6F013427" w14:textId="77777777" w:rsidR="004376F2" w:rsidRPr="008475CF" w:rsidRDefault="004376F2" w:rsidP="00FE5516">
      <w:pPr>
        <w:pStyle w:val="Bulletlevel2"/>
      </w:pPr>
      <w:r w:rsidRPr="008475CF">
        <w:t>provisions of the Radio Regulations under which coordination is required</w:t>
      </w:r>
    </w:p>
    <w:p w14:paraId="1C3AADE9" w14:textId="77777777" w:rsidR="004376F2" w:rsidRPr="008475CF" w:rsidRDefault="004376F2" w:rsidP="00D931F4">
      <w:pPr>
        <w:pStyle w:val="Bulletlevel1"/>
      </w:pPr>
      <w:r>
        <w:t>c</w:t>
      </w:r>
      <w:r w:rsidRPr="008475CF">
        <w:t>oordination strategy</w:t>
      </w:r>
      <w:r>
        <w:t>:</w:t>
      </w:r>
    </w:p>
    <w:p w14:paraId="122E934C" w14:textId="77777777" w:rsidR="004376F2" w:rsidRPr="008475CF" w:rsidRDefault="004376F2" w:rsidP="00FE5516">
      <w:pPr>
        <w:pStyle w:val="Bulletlevel2"/>
      </w:pPr>
      <w:r w:rsidRPr="008475CF">
        <w:t>how coordination will be prioritised</w:t>
      </w:r>
    </w:p>
    <w:p w14:paraId="1FD5814F" w14:textId="77777777" w:rsidR="004376F2" w:rsidRPr="008475CF" w:rsidRDefault="004376F2" w:rsidP="00FE5516">
      <w:pPr>
        <w:pStyle w:val="Bulletlevel2"/>
      </w:pPr>
      <w:r w:rsidRPr="008475CF">
        <w:t>any administration or operator meetings planned</w:t>
      </w:r>
    </w:p>
    <w:p w14:paraId="5CCE7E1A" w14:textId="77777777" w:rsidR="004376F2" w:rsidRPr="008475CF" w:rsidRDefault="004376F2" w:rsidP="00D931F4">
      <w:pPr>
        <w:pStyle w:val="Bulletlevel1"/>
      </w:pPr>
      <w:r>
        <w:t>s</w:t>
      </w:r>
      <w:r w:rsidRPr="008475CF">
        <w:t>ummary of coordination activities</w:t>
      </w:r>
      <w:r>
        <w:t>:</w:t>
      </w:r>
    </w:p>
    <w:p w14:paraId="78C89371" w14:textId="77777777" w:rsidR="004376F2" w:rsidRPr="008475CF" w:rsidRDefault="004376F2" w:rsidP="00FE5516">
      <w:pPr>
        <w:pStyle w:val="Bulletlevel2"/>
      </w:pPr>
      <w:r w:rsidRPr="008475CF">
        <w:t>must show substantive efforts for coordination (</w:t>
      </w:r>
      <w:r>
        <w:t xml:space="preserve">for example, </w:t>
      </w:r>
      <w:r w:rsidRPr="008475CF">
        <w:t>meetings, exchanges of correspondence offering proposed solutions)</w:t>
      </w:r>
    </w:p>
    <w:p w14:paraId="41CD5AC0" w14:textId="77777777" w:rsidR="004376F2" w:rsidRPr="008475CF" w:rsidRDefault="004376F2" w:rsidP="00FE5516">
      <w:pPr>
        <w:pStyle w:val="Bulletlevel2"/>
      </w:pPr>
      <w:r w:rsidRPr="008475CF">
        <w:t>efforts must be proactive, substantive and ongoing</w:t>
      </w:r>
      <w:r>
        <w:t xml:space="preserve"> or completed</w:t>
      </w:r>
    </w:p>
    <w:p w14:paraId="7E1F4599" w14:textId="77777777" w:rsidR="004376F2" w:rsidRPr="008475CF" w:rsidRDefault="004376F2" w:rsidP="00D931F4">
      <w:pPr>
        <w:pStyle w:val="Bulletlevel1"/>
      </w:pPr>
      <w:r>
        <w:t>s</w:t>
      </w:r>
      <w:r w:rsidRPr="008475CF">
        <w:t>ummary of coordination resulting from coordination request (IFIC) responses made to other administrations</w:t>
      </w:r>
      <w:r>
        <w:t>:</w:t>
      </w:r>
    </w:p>
    <w:p w14:paraId="10BDF439" w14:textId="77777777" w:rsidR="004376F2" w:rsidRPr="008475CF" w:rsidRDefault="004376F2" w:rsidP="00512838">
      <w:pPr>
        <w:pStyle w:val="Bulletlevel2"/>
      </w:pPr>
      <w:r w:rsidRPr="008475CF">
        <w:t>progress on this coordination</w:t>
      </w:r>
    </w:p>
    <w:p w14:paraId="624EE913" w14:textId="77777777" w:rsidR="004376F2" w:rsidRPr="008475CF" w:rsidRDefault="004376F2" w:rsidP="00512838">
      <w:pPr>
        <w:pStyle w:val="Bulletlevel2"/>
      </w:pPr>
      <w:r w:rsidRPr="008475CF">
        <w:t>must show substantive efforts for coordination (</w:t>
      </w:r>
      <w:r>
        <w:t>for example,</w:t>
      </w:r>
      <w:r w:rsidRPr="008475CF">
        <w:t xml:space="preserve"> meetings, exchanges of correspondence offering proposed solutions)</w:t>
      </w:r>
    </w:p>
    <w:p w14:paraId="08506ADA" w14:textId="77777777" w:rsidR="004376F2" w:rsidRPr="00B971F8" w:rsidRDefault="004376F2" w:rsidP="00512838">
      <w:pPr>
        <w:pStyle w:val="Bulletlevel2last"/>
      </w:pPr>
      <w:r w:rsidRPr="00BC0BB3">
        <w:t>efforts must be proactive, substantive and ongoing</w:t>
      </w:r>
      <w:r>
        <w:t xml:space="preserve"> o</w:t>
      </w:r>
      <w:r>
        <w:rPr>
          <w:rFonts w:cs="Times New Roman"/>
        </w:rPr>
        <w:t>r completed</w:t>
      </w:r>
      <w:r w:rsidRPr="00BC0BB3">
        <w:t>.</w:t>
      </w:r>
    </w:p>
    <w:p w14:paraId="101FE4B8" w14:textId="77777777" w:rsidR="004376F2" w:rsidRPr="004C5726" w:rsidRDefault="004376F2" w:rsidP="004376F2">
      <w:pPr>
        <w:pStyle w:val="Heading2"/>
        <w:rPr>
          <w:snapToGrid w:val="0"/>
          <w:lang w:eastAsia="en-US"/>
        </w:rPr>
      </w:pPr>
      <w:bookmarkStart w:id="417" w:name="_Toc306786419"/>
      <w:bookmarkStart w:id="418" w:name="_Toc111546542"/>
      <w:bookmarkStart w:id="419" w:name="_Toc114472707"/>
      <w:bookmarkStart w:id="420" w:name="_Toc128663989"/>
      <w:bookmarkStart w:id="421" w:name="_Toc195092493"/>
      <w:bookmarkStart w:id="422" w:name="_Toc198288070"/>
      <w:r w:rsidRPr="004C5726">
        <w:rPr>
          <w:snapToGrid w:val="0"/>
          <w:lang w:eastAsia="en-US"/>
        </w:rPr>
        <w:t>Notification</w:t>
      </w:r>
      <w:bookmarkEnd w:id="417"/>
      <w:bookmarkEnd w:id="418"/>
      <w:bookmarkEnd w:id="419"/>
      <w:bookmarkEnd w:id="420"/>
      <w:r>
        <w:rPr>
          <w:snapToGrid w:val="0"/>
          <w:lang w:eastAsia="en-US"/>
        </w:rPr>
        <w:t xml:space="preserve"> for recording in the MIFR</w:t>
      </w:r>
      <w:bookmarkEnd w:id="421"/>
      <w:bookmarkEnd w:id="422"/>
    </w:p>
    <w:p w14:paraId="3296312C" w14:textId="77777777" w:rsidR="004376F2" w:rsidRPr="00B971F8" w:rsidRDefault="004376F2" w:rsidP="00425FCB">
      <w:pPr>
        <w:pStyle w:val="Paragraphbeforelist"/>
      </w:pPr>
      <w:bookmarkStart w:id="423" w:name="OLE_LINK5"/>
      <w:bookmarkStart w:id="424" w:name="OLE_LINK6"/>
      <w:r>
        <w:t>Before</w:t>
      </w:r>
      <w:r w:rsidRPr="00B971F8">
        <w:t xml:space="preserve"> the regulatory deadline of the ITU (</w:t>
      </w:r>
      <w:r>
        <w:t>7</w:t>
      </w:r>
      <w:r w:rsidRPr="00B971F8">
        <w:t xml:space="preserve"> years</w:t>
      </w:r>
      <w:r>
        <w:t>, in most cases,</w:t>
      </w:r>
      <w:r w:rsidRPr="00B971F8">
        <w:t xml:space="preserve"> from receipt of </w:t>
      </w:r>
      <w:r>
        <w:t>the satellite filing</w:t>
      </w:r>
      <w:r w:rsidRPr="00B971F8">
        <w:t xml:space="preserve"> </w:t>
      </w:r>
      <w:r>
        <w:t>by the ITU</w:t>
      </w:r>
      <w:r w:rsidRPr="00B971F8">
        <w:t>), the ITU requires that:</w:t>
      </w:r>
    </w:p>
    <w:p w14:paraId="46E94604" w14:textId="77777777" w:rsidR="004376F2" w:rsidRPr="008475CF" w:rsidRDefault="004376F2" w:rsidP="00D931F4">
      <w:pPr>
        <w:pStyle w:val="Bulletlevel1"/>
      </w:pPr>
      <w:r w:rsidRPr="008475CF">
        <w:t>Resolution 49</w:t>
      </w:r>
      <w:r>
        <w:rPr>
          <w:rStyle w:val="FootnoteReference"/>
        </w:rPr>
        <w:footnoteReference w:id="29"/>
      </w:r>
      <w:r w:rsidRPr="008475CF">
        <w:t xml:space="preserve"> (due diligence) data be submitted to the ITU</w:t>
      </w:r>
    </w:p>
    <w:p w14:paraId="7E2FE9E8" w14:textId="77777777" w:rsidR="004376F2" w:rsidRPr="008475CF" w:rsidRDefault="004376F2" w:rsidP="00D931F4">
      <w:pPr>
        <w:pStyle w:val="Bulletlevel1"/>
      </w:pPr>
      <w:r w:rsidRPr="008475CF">
        <w:t>the satellite system be ‘brought into use’, with confirmation of this submitted to the ITU</w:t>
      </w:r>
    </w:p>
    <w:p w14:paraId="0F2D5D0C" w14:textId="77777777" w:rsidR="004376F2" w:rsidRPr="00BC0BB3" w:rsidRDefault="004376F2" w:rsidP="00D931F4">
      <w:pPr>
        <w:pStyle w:val="Bulletlevel1last"/>
      </w:pPr>
      <w:r w:rsidRPr="00BC0BB3">
        <w:t>initial notification data be submitted to the ITU (noting that the process to successfully notify a satellite system is long).</w:t>
      </w:r>
    </w:p>
    <w:p w14:paraId="5A576143" w14:textId="77777777" w:rsidR="004376F2" w:rsidRPr="00B971F8" w:rsidRDefault="004376F2" w:rsidP="004376F2">
      <w:pPr>
        <w:pStyle w:val="Paragraph"/>
      </w:pPr>
      <w:r w:rsidRPr="00B971F8">
        <w:lastRenderedPageBreak/>
        <w:t xml:space="preserve">Failure to meet any of these </w:t>
      </w:r>
      <w:r>
        <w:t>3 key</w:t>
      </w:r>
      <w:r w:rsidRPr="00B971F8">
        <w:t xml:space="preserve"> requirements within the timeframe will result in the ITU suppressing the satellite </w:t>
      </w:r>
      <w:r>
        <w:t>filing</w:t>
      </w:r>
      <w:r w:rsidRPr="00B971F8">
        <w:t>. This is outside of the control of the ACMA.</w:t>
      </w:r>
    </w:p>
    <w:p w14:paraId="653B2140" w14:textId="77777777" w:rsidR="004376F2" w:rsidRPr="00B971F8" w:rsidRDefault="004376F2" w:rsidP="004376F2">
      <w:pPr>
        <w:pStyle w:val="Heading3"/>
      </w:pPr>
      <w:bookmarkStart w:id="425" w:name="_Toc306786420"/>
      <w:bookmarkStart w:id="426" w:name="_Toc111546543"/>
      <w:bookmarkStart w:id="427" w:name="_Toc114472708"/>
      <w:bookmarkStart w:id="428" w:name="_Toc128663990"/>
      <w:bookmarkStart w:id="429" w:name="_Toc195092494"/>
      <w:bookmarkStart w:id="430" w:name="_Toc198288071"/>
      <w:r w:rsidRPr="00B971F8">
        <w:t>Resolution 49 data</w:t>
      </w:r>
      <w:bookmarkEnd w:id="425"/>
      <w:bookmarkEnd w:id="426"/>
      <w:bookmarkEnd w:id="427"/>
      <w:bookmarkEnd w:id="428"/>
      <w:bookmarkEnd w:id="429"/>
      <w:bookmarkEnd w:id="430"/>
    </w:p>
    <w:p w14:paraId="28779341" w14:textId="77777777" w:rsidR="004376F2" w:rsidRPr="001045E8" w:rsidRDefault="004376F2" w:rsidP="004376F2">
      <w:pPr>
        <w:pStyle w:val="Paragraph"/>
      </w:pPr>
      <w:r w:rsidRPr="001045E8">
        <w:t xml:space="preserve">The Resolution 49 data is required to be submitted to the ACMA well before the ITU requirement for this data (the regulatory period of the satellite </w:t>
      </w:r>
      <w:r>
        <w:t>filing</w:t>
      </w:r>
      <w:r w:rsidRPr="001045E8">
        <w:t>). Resolution 49 requires specific information relating to contractual arrangements regarding spacecraft manufacture and launch. The purpose of the Resolution 49 data is to provide administrative due diligence for addressing the problem of reservation of orbit and spectrum capacity without actual use</w:t>
      </w:r>
      <w:r>
        <w:t>.</w:t>
      </w:r>
      <w:r w:rsidRPr="001045E8">
        <w:t xml:space="preserve"> This purpose is best served by administrations both vetting the contents of the data and insisting on its early submission to the ITU.</w:t>
      </w:r>
    </w:p>
    <w:p w14:paraId="0E58F9E3" w14:textId="77777777" w:rsidR="004376F2" w:rsidRPr="00B971F8" w:rsidRDefault="004376F2" w:rsidP="004376F2">
      <w:pPr>
        <w:pStyle w:val="Paragraph"/>
      </w:pPr>
      <w:r w:rsidRPr="00B971F8">
        <w:t>The ACMA requires written confirmation of signing of the launch and manufacture contracts (rather than viewing the contracts)</w:t>
      </w:r>
      <w:r>
        <w:t>.</w:t>
      </w:r>
      <w:r>
        <w:rPr>
          <w:rStyle w:val="FootnoteReference"/>
        </w:rPr>
        <w:footnoteReference w:id="30"/>
      </w:r>
      <w:r w:rsidRPr="00B971F8">
        <w:t xml:space="preserve"> Written confirmation of these contracts must contain the information required for Resolution 49 and be provided by </w:t>
      </w:r>
      <w:r w:rsidRPr="001045E8">
        <w:t>both</w:t>
      </w:r>
      <w:r w:rsidRPr="00B971F8">
        <w:t xml:space="preserve"> the satellite operator and the launch provider or manufacturer. In the case of a service to be provided by a satellite already in operation at another location, a notice of intent to relocate an existing satellite must be given, in addition to Resolution 49 data.</w:t>
      </w:r>
    </w:p>
    <w:p w14:paraId="067721B5" w14:textId="77777777" w:rsidR="004376F2" w:rsidRPr="00B971F8" w:rsidRDefault="004376F2" w:rsidP="004376F2">
      <w:pPr>
        <w:pStyle w:val="Heading3"/>
      </w:pPr>
      <w:bookmarkStart w:id="431" w:name="_Toc306786421"/>
      <w:bookmarkStart w:id="432" w:name="_Toc111546544"/>
      <w:bookmarkStart w:id="433" w:name="_Toc114472709"/>
      <w:bookmarkStart w:id="434" w:name="_Toc128663991"/>
      <w:bookmarkStart w:id="435" w:name="_Toc195092495"/>
      <w:bookmarkStart w:id="436" w:name="_Toc198288072"/>
      <w:r w:rsidRPr="00B971F8">
        <w:t>Confirmation of bringing into use</w:t>
      </w:r>
      <w:bookmarkEnd w:id="431"/>
      <w:bookmarkEnd w:id="432"/>
      <w:bookmarkEnd w:id="433"/>
      <w:bookmarkEnd w:id="434"/>
      <w:bookmarkEnd w:id="435"/>
      <w:bookmarkEnd w:id="436"/>
      <w:r w:rsidRPr="00B971F8">
        <w:t xml:space="preserve"> </w:t>
      </w:r>
    </w:p>
    <w:p w14:paraId="2354BEA0" w14:textId="77777777" w:rsidR="004376F2" w:rsidRPr="00B971F8" w:rsidRDefault="004376F2" w:rsidP="004376F2">
      <w:pPr>
        <w:pStyle w:val="Paragraph"/>
      </w:pPr>
      <w:r w:rsidRPr="00B971F8">
        <w:t xml:space="preserve">Confirmation of bringing into use must be submitted </w:t>
      </w:r>
      <w:r>
        <w:t xml:space="preserve">before </w:t>
      </w:r>
      <w:r w:rsidRPr="00B971F8">
        <w:t>the end of the regulatory period (</w:t>
      </w:r>
      <w:r>
        <w:t>7</w:t>
      </w:r>
      <w:r w:rsidRPr="00B971F8">
        <w:t xml:space="preserve"> years from receipt of the </w:t>
      </w:r>
      <w:r>
        <w:t>a</w:t>
      </w:r>
      <w:r w:rsidRPr="00B971F8">
        <w:t xml:space="preserve">dvance </w:t>
      </w:r>
      <w:r>
        <w:t>p</w:t>
      </w:r>
      <w:r w:rsidRPr="00B971F8">
        <w:t xml:space="preserve">ublication </w:t>
      </w:r>
      <w:r>
        <w:t xml:space="preserve">information </w:t>
      </w:r>
      <w:r w:rsidRPr="00B971F8">
        <w:t xml:space="preserve">or </w:t>
      </w:r>
      <w:r>
        <w:t>c</w:t>
      </w:r>
      <w:r w:rsidRPr="00B971F8">
        <w:t>oordination</w:t>
      </w:r>
      <w:r w:rsidRPr="00B971F8" w:rsidDel="00D20688">
        <w:t xml:space="preserve"> </w:t>
      </w:r>
      <w:r>
        <w:t>request data</w:t>
      </w:r>
      <w:r w:rsidRPr="00B971F8">
        <w:t xml:space="preserve"> submission in most cases). This information should be submitted to the ACMA in advance of this deadline, along with a description of what parts of the satellite system have been brought into use.</w:t>
      </w:r>
    </w:p>
    <w:p w14:paraId="0521B780" w14:textId="77777777" w:rsidR="004376F2" w:rsidRPr="00B971F8" w:rsidRDefault="004376F2" w:rsidP="004376F2">
      <w:pPr>
        <w:pStyle w:val="Heading3"/>
      </w:pPr>
      <w:bookmarkStart w:id="437" w:name="_Toc306786422"/>
      <w:bookmarkStart w:id="438" w:name="_Toc111546545"/>
      <w:bookmarkStart w:id="439" w:name="_Toc114472710"/>
      <w:bookmarkStart w:id="440" w:name="_Toc128663992"/>
      <w:bookmarkStart w:id="441" w:name="_Toc195092496"/>
      <w:bookmarkStart w:id="442" w:name="_Toc198288073"/>
      <w:r w:rsidRPr="00B971F8">
        <w:t>Initial notification data</w:t>
      </w:r>
      <w:bookmarkEnd w:id="437"/>
      <w:bookmarkEnd w:id="438"/>
      <w:bookmarkEnd w:id="439"/>
      <w:bookmarkEnd w:id="440"/>
      <w:bookmarkEnd w:id="441"/>
      <w:bookmarkEnd w:id="442"/>
    </w:p>
    <w:p w14:paraId="798965E4" w14:textId="77777777" w:rsidR="004376F2" w:rsidRPr="00B971F8" w:rsidRDefault="004376F2" w:rsidP="004376F2">
      <w:pPr>
        <w:pStyle w:val="Paragraph"/>
      </w:pPr>
      <w:r w:rsidRPr="00B971F8">
        <w:t xml:space="preserve">Notification data should be submitted to the ACMA in a manner which is suitable for submission to the ITU, in advance of the regulatory dates. The ACMA will perform some checks on this data, but it is the responsibility of the satellite operator to ensure the accuracy of this data. The satellite operator should provide the ACMA with the information verifying the completion of coordination with the affected foreign administrations, by providing references or copies of the relevant correspondence. </w:t>
      </w:r>
    </w:p>
    <w:p w14:paraId="2716C51B" w14:textId="77777777" w:rsidR="004376F2" w:rsidRPr="00B971F8" w:rsidRDefault="004376F2" w:rsidP="004376F2">
      <w:pPr>
        <w:pStyle w:val="Paragraph"/>
      </w:pPr>
      <w:r w:rsidRPr="00B971F8">
        <w:t xml:space="preserve">The ACMA will submit the notification data to the </w:t>
      </w:r>
      <w:proofErr w:type="gramStart"/>
      <w:r w:rsidRPr="00B971F8">
        <w:t>ITU, or</w:t>
      </w:r>
      <w:proofErr w:type="gramEnd"/>
      <w:r w:rsidRPr="00B971F8">
        <w:t xml:space="preserve"> further liaise with the satellite operator (if required), to enable the data to be submitted.</w:t>
      </w:r>
    </w:p>
    <w:p w14:paraId="2F94583A" w14:textId="77777777" w:rsidR="004376F2" w:rsidRPr="00B971F8" w:rsidRDefault="004376F2" w:rsidP="004376F2">
      <w:pPr>
        <w:pStyle w:val="Heading3"/>
      </w:pPr>
      <w:bookmarkStart w:id="443" w:name="_Toc306786423"/>
      <w:bookmarkStart w:id="444" w:name="_Toc111546546"/>
      <w:bookmarkStart w:id="445" w:name="_Toc114472711"/>
      <w:bookmarkStart w:id="446" w:name="_Toc128663993"/>
      <w:bookmarkStart w:id="447" w:name="_Toc195092497"/>
      <w:bookmarkStart w:id="448" w:name="_Toc198288074"/>
      <w:r w:rsidRPr="00B971F8">
        <w:t>Suspension of services</w:t>
      </w:r>
      <w:bookmarkEnd w:id="443"/>
      <w:bookmarkEnd w:id="444"/>
      <w:bookmarkEnd w:id="445"/>
      <w:bookmarkEnd w:id="446"/>
      <w:bookmarkEnd w:id="447"/>
      <w:bookmarkEnd w:id="448"/>
    </w:p>
    <w:p w14:paraId="6909847B" w14:textId="77777777" w:rsidR="004376F2" w:rsidRPr="00B971F8" w:rsidRDefault="004376F2" w:rsidP="004376F2">
      <w:pPr>
        <w:pStyle w:val="Paragraph"/>
      </w:pPr>
      <w:r w:rsidRPr="00B971F8">
        <w:t xml:space="preserve">To allow the ACMA to comply with provisions of the Radio Regulations, satellite operators are required to inform the ACMA of the suspension of </w:t>
      </w:r>
      <w:r>
        <w:t xml:space="preserve">services and their frequency </w:t>
      </w:r>
      <w:r w:rsidRPr="00B971F8">
        <w:t>assignments for which notification data has been submitted to the ITU.</w:t>
      </w:r>
    </w:p>
    <w:p w14:paraId="2D2C539A" w14:textId="77777777" w:rsidR="004376F2" w:rsidRPr="00B971F8" w:rsidRDefault="004376F2" w:rsidP="004376F2">
      <w:pPr>
        <w:pStyle w:val="Heading3"/>
      </w:pPr>
      <w:bookmarkStart w:id="449" w:name="_Toc306786424"/>
      <w:bookmarkStart w:id="450" w:name="_Toc111546547"/>
      <w:bookmarkStart w:id="451" w:name="_Toc114472712"/>
      <w:bookmarkStart w:id="452" w:name="_Toc128663994"/>
      <w:bookmarkStart w:id="453" w:name="_Toc195092498"/>
      <w:bookmarkStart w:id="454" w:name="_Toc198288075"/>
      <w:r w:rsidRPr="00B971F8">
        <w:t>Application of provision</w:t>
      </w:r>
      <w:r>
        <w:t>s</w:t>
      </w:r>
      <w:r w:rsidRPr="00B971F8">
        <w:t xml:space="preserve"> 11.32A and 11.33</w:t>
      </w:r>
      <w:bookmarkEnd w:id="449"/>
      <w:bookmarkEnd w:id="450"/>
      <w:bookmarkEnd w:id="451"/>
      <w:bookmarkEnd w:id="452"/>
      <w:bookmarkEnd w:id="453"/>
      <w:bookmarkEnd w:id="454"/>
    </w:p>
    <w:p w14:paraId="18900A86" w14:textId="77777777" w:rsidR="004376F2" w:rsidRPr="00B971F8" w:rsidRDefault="004376F2" w:rsidP="004376F2">
      <w:pPr>
        <w:pStyle w:val="Paragraph"/>
      </w:pPr>
      <w:r w:rsidRPr="00B971F8">
        <w:t xml:space="preserve">Examination is required of frequency assignments </w:t>
      </w:r>
      <w:r>
        <w:t>in</w:t>
      </w:r>
      <w:r w:rsidRPr="00B971F8">
        <w:t xml:space="preserve"> notices with respect to the probability of harmful interference. </w:t>
      </w:r>
      <w:r>
        <w:t>ITU RR</w:t>
      </w:r>
      <w:r w:rsidRPr="00B971F8">
        <w:t xml:space="preserve"> 11.32A</w:t>
      </w:r>
      <w:r w:rsidRPr="00B971F8" w:rsidDel="003B2F74">
        <w:t xml:space="preserve"> </w:t>
      </w:r>
      <w:r>
        <w:t>covers</w:t>
      </w:r>
      <w:r w:rsidRPr="00B971F8">
        <w:t xml:space="preserve"> </w:t>
      </w:r>
      <w:r>
        <w:t>‘</w:t>
      </w:r>
      <w:r w:rsidRPr="00571D50">
        <w:rPr>
          <w:i/>
          <w:iCs/>
        </w:rPr>
        <w:t>those cases for which the notifying administration states that the procedure for coordination … could not be successfully completed</w:t>
      </w:r>
      <w:r w:rsidRPr="00B971F8">
        <w:t>.</w:t>
      </w:r>
      <w:r>
        <w:t>’</w:t>
      </w:r>
      <w:r w:rsidRPr="00B971F8">
        <w:t xml:space="preserve"> </w:t>
      </w:r>
      <w:r>
        <w:t>ITU RR</w:t>
      </w:r>
      <w:r w:rsidRPr="00B971F8">
        <w:t xml:space="preserve"> 11.33 </w:t>
      </w:r>
      <w:r>
        <w:t>is</w:t>
      </w:r>
      <w:r w:rsidRPr="00B971F8">
        <w:t xml:space="preserve"> similar. Since the ITU specifies that </w:t>
      </w:r>
      <w:r>
        <w:t>these</w:t>
      </w:r>
      <w:r w:rsidRPr="00B971F8">
        <w:t xml:space="preserve"> provision</w:t>
      </w:r>
      <w:r>
        <w:t>s</w:t>
      </w:r>
      <w:r w:rsidRPr="00B971F8">
        <w:t xml:space="preserve"> </w:t>
      </w:r>
      <w:r>
        <w:t>are</w:t>
      </w:r>
      <w:r w:rsidRPr="00B971F8">
        <w:t xml:space="preserve"> for instances of required coordination agreement </w:t>
      </w:r>
      <w:r>
        <w:t>that</w:t>
      </w:r>
      <w:r w:rsidRPr="00B971F8">
        <w:t xml:space="preserve"> </w:t>
      </w:r>
      <w:r w:rsidRPr="000D2E34">
        <w:t xml:space="preserve">could not </w:t>
      </w:r>
      <w:r w:rsidRPr="00B971F8">
        <w:t>be obtained (</w:t>
      </w:r>
      <w:r>
        <w:t>for example,</w:t>
      </w:r>
      <w:r w:rsidRPr="00B971F8">
        <w:t xml:space="preserve"> </w:t>
      </w:r>
      <w:r w:rsidRPr="00B971F8" w:rsidDel="00E43C77">
        <w:t xml:space="preserve">the </w:t>
      </w:r>
      <w:r w:rsidRPr="00B971F8">
        <w:lastRenderedPageBreak/>
        <w:t xml:space="preserve">operator, despite its best efforts, could not complete all required coordination </w:t>
      </w:r>
      <w:r>
        <w:t>before</w:t>
      </w:r>
      <w:r w:rsidRPr="00B971F8">
        <w:t xml:space="preserve"> the expiry date of the </w:t>
      </w:r>
      <w:r>
        <w:t>satellite</w:t>
      </w:r>
      <w:r w:rsidRPr="00B971F8">
        <w:t xml:space="preserve"> filing), the ACMA may only request that the ITU apply these provisions if a satellite operator can demonstrate substantive efforts were made towards obtaining required coordination. </w:t>
      </w:r>
    </w:p>
    <w:p w14:paraId="68F06668" w14:textId="77777777" w:rsidR="004376F2" w:rsidRPr="00B971F8" w:rsidRDefault="004376F2" w:rsidP="004376F2">
      <w:pPr>
        <w:pStyle w:val="Paragraph"/>
      </w:pPr>
      <w:r w:rsidRPr="00B971F8">
        <w:t>Satellite operators are encouraged to liaise with the ACMA when experiencing trouble coordinating with other satellite operators. If needed, the ACMA (acting as the Australian administration) can represent the satellite operator, particularly in administration</w:t>
      </w:r>
      <w:r>
        <w:t>-</w:t>
      </w:r>
      <w:r w:rsidRPr="00B971F8">
        <w:t>to</w:t>
      </w:r>
      <w:r>
        <w:t>-</w:t>
      </w:r>
      <w:r w:rsidRPr="00B971F8">
        <w:t xml:space="preserve">administration correspondence. If needed, the ACMA may request the assistance of the </w:t>
      </w:r>
      <w:r>
        <w:t>ITU BR</w:t>
      </w:r>
      <w:r w:rsidRPr="00B971F8">
        <w:t xml:space="preserve"> on behalf of a satellite operator (provided that the ACMA is convinced that sufficient attempts to resolve the issue have been made).</w:t>
      </w:r>
      <w:bookmarkEnd w:id="423"/>
      <w:bookmarkEnd w:id="424"/>
    </w:p>
    <w:p w14:paraId="699598AB" w14:textId="77777777" w:rsidR="004376F2" w:rsidRPr="00B971F8" w:rsidRDefault="004376F2" w:rsidP="004376F2">
      <w:pPr>
        <w:pStyle w:val="Heading3"/>
      </w:pPr>
      <w:bookmarkStart w:id="455" w:name="_Toc306786425"/>
      <w:bookmarkStart w:id="456" w:name="_Toc111546548"/>
      <w:bookmarkStart w:id="457" w:name="_Toc114472713"/>
      <w:bookmarkStart w:id="458" w:name="_Toc128663995"/>
      <w:bookmarkStart w:id="459" w:name="_Toc195092499"/>
      <w:bookmarkStart w:id="460" w:name="_Toc198288076"/>
      <w:r w:rsidRPr="00B971F8">
        <w:t>Permission to bring into use</w:t>
      </w:r>
      <w:bookmarkEnd w:id="455"/>
      <w:bookmarkEnd w:id="456"/>
      <w:bookmarkEnd w:id="457"/>
      <w:bookmarkEnd w:id="458"/>
      <w:r>
        <w:t xml:space="preserve"> (operate)</w:t>
      </w:r>
      <w:bookmarkEnd w:id="459"/>
      <w:bookmarkEnd w:id="460"/>
    </w:p>
    <w:p w14:paraId="2B0EBFC0" w14:textId="77777777" w:rsidR="004376F2" w:rsidRDefault="004376F2" w:rsidP="004376F2">
      <w:pPr>
        <w:pStyle w:val="Paragraph"/>
      </w:pPr>
      <w:r w:rsidRPr="00B971F8">
        <w:t xml:space="preserve">The satellite operator must ensure that permission to </w:t>
      </w:r>
      <w:r>
        <w:t>operate</w:t>
      </w:r>
      <w:r w:rsidRPr="00B971F8">
        <w:t xml:space="preserve"> has been granted by the ACMA </w:t>
      </w:r>
      <w:r>
        <w:t>before</w:t>
      </w:r>
      <w:r w:rsidRPr="00B971F8">
        <w:t xml:space="preserve"> the</w:t>
      </w:r>
      <w:r>
        <w:t xml:space="preserve"> frequency assignments of the</w:t>
      </w:r>
      <w:r w:rsidRPr="00B971F8">
        <w:t xml:space="preserve"> satellite system </w:t>
      </w:r>
      <w:r>
        <w:t>are</w:t>
      </w:r>
      <w:r w:rsidRPr="00B971F8">
        <w:t xml:space="preserve"> brought into use (including use for testing purposes only). Such permission may be requested for specific parts of the satellite system. For example, permission may be sought for a subset of frequencies or for a specific beam. The ACMA may not grant permission unless permission is specifically requested, and the operation of the satellite system is covered by relevant </w:t>
      </w:r>
      <w:r>
        <w:t xml:space="preserve">radiocommunications </w:t>
      </w:r>
      <w:r w:rsidRPr="00B971F8">
        <w:t>licences.</w:t>
      </w:r>
    </w:p>
    <w:p w14:paraId="6FDEE43E" w14:textId="77777777" w:rsidR="004376F2" w:rsidRDefault="004376F2" w:rsidP="004376F2">
      <w:pPr>
        <w:pStyle w:val="Paragraph"/>
      </w:pPr>
      <w:r w:rsidRPr="00B971F8">
        <w:t xml:space="preserve">This provision will not prevent the use of parts of the satellite system in an emergency. The ACMA must be informed of emergency </w:t>
      </w:r>
      <w:r>
        <w:t xml:space="preserve">use </w:t>
      </w:r>
      <w:r w:rsidRPr="00B971F8">
        <w:t xml:space="preserve">as soon as practicable, with details of the nature of the emergency. </w:t>
      </w:r>
    </w:p>
    <w:p w14:paraId="54E700E7" w14:textId="4DC997EF" w:rsidR="004376F2" w:rsidRDefault="004376F2" w:rsidP="004376F2">
      <w:pPr>
        <w:pStyle w:val="Paragraph"/>
      </w:pPr>
      <w:r>
        <w:t>W</w:t>
      </w:r>
      <w:r w:rsidRPr="00F3033B">
        <w:t>hile the ACMA has no direct role in approving launches, the Australian Space Agency consults with the ACMA and other areas of government on</w:t>
      </w:r>
      <w:r w:rsidR="00B83A47">
        <w:t xml:space="preserve"> the</w:t>
      </w:r>
      <w:r w:rsidRPr="00F3033B">
        <w:t xml:space="preserve"> launch of Australian space objects. How the ACMA responds to such request would</w:t>
      </w:r>
      <w:r>
        <w:t>,</w:t>
      </w:r>
      <w:r w:rsidRPr="00F3033B">
        <w:t xml:space="preserve"> in part</w:t>
      </w:r>
      <w:r>
        <w:t>,</w:t>
      </w:r>
      <w:r w:rsidRPr="00F3033B">
        <w:t xml:space="preserve"> be informed by the status of coordination with other Australian satellite operators</w:t>
      </w:r>
      <w:r>
        <w:t xml:space="preserve"> and whether the permission to operate was given by the ACMA</w:t>
      </w:r>
      <w:r w:rsidRPr="00F3033B">
        <w:t>.</w:t>
      </w:r>
    </w:p>
    <w:p w14:paraId="3D1A8ACA" w14:textId="77777777" w:rsidR="004376F2" w:rsidRPr="004C5726" w:rsidRDefault="004376F2" w:rsidP="004376F2">
      <w:pPr>
        <w:pStyle w:val="Heading2"/>
        <w:rPr>
          <w:snapToGrid w:val="0"/>
          <w:lang w:eastAsia="en-US"/>
        </w:rPr>
      </w:pPr>
      <w:bookmarkStart w:id="461" w:name="_Toc306786426"/>
      <w:bookmarkStart w:id="462" w:name="_Toc111546549"/>
      <w:bookmarkStart w:id="463" w:name="_Toc114472714"/>
      <w:bookmarkStart w:id="464" w:name="_Toc128663996"/>
      <w:bookmarkStart w:id="465" w:name="_Toc195092501"/>
      <w:bookmarkStart w:id="466" w:name="_Toc198288077"/>
      <w:r w:rsidRPr="004C5726">
        <w:rPr>
          <w:snapToGrid w:val="0"/>
          <w:lang w:eastAsia="en-US"/>
        </w:rPr>
        <w:t>Satellite operator may conduct coordination directly</w:t>
      </w:r>
      <w:bookmarkEnd w:id="461"/>
      <w:bookmarkEnd w:id="462"/>
      <w:bookmarkEnd w:id="463"/>
      <w:bookmarkEnd w:id="464"/>
      <w:bookmarkEnd w:id="465"/>
      <w:bookmarkEnd w:id="466"/>
    </w:p>
    <w:p w14:paraId="3E4B3E4D" w14:textId="77777777" w:rsidR="004376F2" w:rsidRPr="00B971F8" w:rsidRDefault="004376F2" w:rsidP="004376F2">
      <w:pPr>
        <w:pStyle w:val="Paragraph"/>
      </w:pPr>
      <w:r>
        <w:t>T</w:t>
      </w:r>
      <w:r w:rsidRPr="00B971F8">
        <w:t>o satisfy ITU coordination requirements, an administration responsible for a satellite system must achieve coordination with other administrations. The ACMA, however, believes that satellite operators are best placed to perform the technical coordination of frequency assignments for their satellite systems.</w:t>
      </w:r>
    </w:p>
    <w:p w14:paraId="67A1DE6C" w14:textId="77777777" w:rsidR="004376F2" w:rsidRPr="00B971F8" w:rsidRDefault="004376F2" w:rsidP="00425FCB">
      <w:pPr>
        <w:pStyle w:val="Paragraphbeforelist"/>
      </w:pPr>
      <w:r w:rsidRPr="00B971F8">
        <w:t>The ACMA authorises and encourages satellite operators to engage in operator</w:t>
      </w:r>
      <w:r>
        <w:t>-</w:t>
      </w:r>
      <w:r w:rsidRPr="00B971F8">
        <w:t>to</w:t>
      </w:r>
      <w:r>
        <w:t>-</w:t>
      </w:r>
      <w:r w:rsidRPr="00B971F8">
        <w:t>operator coordination on the condition that:</w:t>
      </w:r>
    </w:p>
    <w:p w14:paraId="47DEB5E4" w14:textId="77777777" w:rsidR="004376F2" w:rsidRPr="00621B38" w:rsidRDefault="004376F2" w:rsidP="00D931F4">
      <w:pPr>
        <w:pStyle w:val="Bulletlevel1"/>
      </w:pPr>
      <w:r w:rsidRPr="00621B38">
        <w:t>the coordination is performed on a purely technical basis</w:t>
      </w:r>
    </w:p>
    <w:p w14:paraId="45F4D1CE" w14:textId="77777777" w:rsidR="004376F2" w:rsidRPr="00B46AE0" w:rsidRDefault="004376F2" w:rsidP="00D931F4">
      <w:pPr>
        <w:pStyle w:val="Bulletlevel1last"/>
      </w:pPr>
      <w:r w:rsidRPr="00B971F8">
        <w:t>the satellite operator does not engage in coordination discussions for Australian satellite systems or radiocommunication services for which they do not have access.</w:t>
      </w:r>
    </w:p>
    <w:p w14:paraId="5C21ADD7" w14:textId="77777777" w:rsidR="004376F2" w:rsidRPr="00B971F8" w:rsidRDefault="004376F2" w:rsidP="00425FCB">
      <w:pPr>
        <w:pStyle w:val="Paragraphbeforelist"/>
      </w:pPr>
      <w:r w:rsidRPr="00B971F8">
        <w:t>The ACMA may attend a coordination meeting:</w:t>
      </w:r>
    </w:p>
    <w:p w14:paraId="1317016D" w14:textId="77777777" w:rsidR="004376F2" w:rsidRPr="00621B38" w:rsidRDefault="004376F2" w:rsidP="00D931F4">
      <w:pPr>
        <w:pStyle w:val="Bulletlevel1"/>
      </w:pPr>
      <w:r w:rsidRPr="00621B38">
        <w:t>at the request of the satellite operator</w:t>
      </w:r>
    </w:p>
    <w:p w14:paraId="749E70C9" w14:textId="77777777" w:rsidR="004376F2" w:rsidRPr="00621B38" w:rsidRDefault="004376F2" w:rsidP="00D931F4">
      <w:pPr>
        <w:pStyle w:val="Bulletlevel1"/>
      </w:pPr>
      <w:r w:rsidRPr="00621B38">
        <w:t xml:space="preserve">at the request of </w:t>
      </w:r>
      <w:r>
        <w:t>a</w:t>
      </w:r>
      <w:r w:rsidRPr="00621B38">
        <w:t xml:space="preserve"> satellite operator or </w:t>
      </w:r>
      <w:r>
        <w:t xml:space="preserve">an </w:t>
      </w:r>
      <w:r w:rsidRPr="00621B38">
        <w:t>administration of another country</w:t>
      </w:r>
    </w:p>
    <w:p w14:paraId="7D59C614" w14:textId="77777777" w:rsidR="004376F2" w:rsidRPr="00621B38" w:rsidRDefault="004376F2" w:rsidP="00D931F4">
      <w:pPr>
        <w:pStyle w:val="Bulletlevel1last"/>
      </w:pPr>
      <w:r w:rsidRPr="00621B38">
        <w:t>because it believes attendance to be in Australia’s interests.</w:t>
      </w:r>
    </w:p>
    <w:p w14:paraId="7810DF3A" w14:textId="77777777" w:rsidR="004376F2" w:rsidRDefault="004376F2" w:rsidP="004376F2">
      <w:pPr>
        <w:pStyle w:val="Paragraph"/>
      </w:pPr>
      <w:r w:rsidRPr="00B971F8">
        <w:lastRenderedPageBreak/>
        <w:t xml:space="preserve">The ACMA </w:t>
      </w:r>
      <w:r>
        <w:t xml:space="preserve">has </w:t>
      </w:r>
      <w:r w:rsidRPr="00B971F8">
        <w:t xml:space="preserve">discretion </w:t>
      </w:r>
      <w:r>
        <w:t>to</w:t>
      </w:r>
      <w:r w:rsidRPr="00B971F8">
        <w:t xml:space="preserve"> decide whether to attend. If the ACMA decides to attend a meeting following a request to do so, it will </w:t>
      </w:r>
      <w:r>
        <w:t>be</w:t>
      </w:r>
      <w:r w:rsidRPr="00B971F8">
        <w:t xml:space="preserve"> at the expense of the satellite operator.</w:t>
      </w:r>
    </w:p>
    <w:p w14:paraId="3A50BEEA" w14:textId="77777777" w:rsidR="004376F2" w:rsidRPr="00B971F8" w:rsidRDefault="004376F2" w:rsidP="004376F2">
      <w:pPr>
        <w:pStyle w:val="Paragraph"/>
      </w:pPr>
      <w:r>
        <w:t xml:space="preserve">Before attending a bilateral administration-level coordination meeting, the ACMA will determine which Australian satellite operators will have an opportunity to participate in the meeting and to conduct operator-level coordination during the meeting. </w:t>
      </w:r>
    </w:p>
    <w:p w14:paraId="46B8E0D0" w14:textId="77777777" w:rsidR="004376F2" w:rsidRPr="00404EA1" w:rsidRDefault="004376F2" w:rsidP="004376F2">
      <w:pPr>
        <w:pStyle w:val="Heading2"/>
        <w:rPr>
          <w:snapToGrid w:val="0"/>
          <w:lang w:eastAsia="en-US"/>
        </w:rPr>
      </w:pPr>
      <w:bookmarkStart w:id="467" w:name="_Toc306786427"/>
      <w:bookmarkStart w:id="468" w:name="_Toc111546550"/>
      <w:bookmarkStart w:id="469" w:name="_Toc114472715"/>
      <w:bookmarkStart w:id="470" w:name="_Toc128663997"/>
      <w:bookmarkStart w:id="471" w:name="_Toc195092502"/>
      <w:bookmarkStart w:id="472" w:name="_Toc198288078"/>
      <w:r w:rsidRPr="00404EA1">
        <w:rPr>
          <w:snapToGrid w:val="0"/>
          <w:lang w:eastAsia="en-US"/>
        </w:rPr>
        <w:t>Efforts to achieve coordination agreements</w:t>
      </w:r>
      <w:bookmarkEnd w:id="467"/>
      <w:bookmarkEnd w:id="468"/>
      <w:bookmarkEnd w:id="469"/>
      <w:bookmarkEnd w:id="470"/>
      <w:bookmarkEnd w:id="471"/>
      <w:bookmarkEnd w:id="472"/>
    </w:p>
    <w:p w14:paraId="3D95622E" w14:textId="77777777" w:rsidR="004376F2" w:rsidRPr="00B971F8" w:rsidRDefault="004376F2" w:rsidP="004376F2">
      <w:pPr>
        <w:pStyle w:val="Paragraph"/>
      </w:pPr>
      <w:r w:rsidRPr="00B971F8">
        <w:t>A satellite operator is responsible for effecting coordination between its satellite systems and those of other administrations. The ACMA</w:t>
      </w:r>
      <w:r w:rsidRPr="00B971F8" w:rsidDel="00BB1724">
        <w:t xml:space="preserve"> </w:t>
      </w:r>
      <w:r w:rsidRPr="00B971F8">
        <w:t>supports coordination work to occur at an operator</w:t>
      </w:r>
      <w:r>
        <w:t>-</w:t>
      </w:r>
      <w:r w:rsidRPr="00B971F8">
        <w:t>to</w:t>
      </w:r>
      <w:r>
        <w:t>-</w:t>
      </w:r>
      <w:r w:rsidRPr="00B971F8">
        <w:t>operator level.</w:t>
      </w:r>
      <w:r w:rsidRPr="00810D2F">
        <w:rPr>
          <w:vertAlign w:val="superscript"/>
        </w:rPr>
        <w:footnoteReference w:id="31"/>
      </w:r>
      <w:r w:rsidRPr="00B971F8">
        <w:t xml:space="preserve"> The satellite operator is best placed to determine any compromises to the satellite system that can be made. A coordination agreement should be formalised by the satellite operator and the other party. The agreement then needs to be forwarded to the ACMA.</w:t>
      </w:r>
    </w:p>
    <w:p w14:paraId="26E457A7" w14:textId="77777777" w:rsidR="004376F2" w:rsidRPr="00B971F8" w:rsidRDefault="004376F2" w:rsidP="004376F2">
      <w:pPr>
        <w:pStyle w:val="Paragraph"/>
      </w:pPr>
      <w:r w:rsidRPr="00B971F8">
        <w:t xml:space="preserve">Any agreement at an operator level must be endorsed by the ACMA (acting as the Australian administration) and by the foreign administration. </w:t>
      </w:r>
      <w:r>
        <w:t>Before</w:t>
      </w:r>
      <w:r w:rsidRPr="00B971F8">
        <w:t xml:space="preserve"> endorsing the agreement, the ACMA will check that the terms of the agreement are limited to the satellite system of the satellite </w:t>
      </w:r>
      <w:proofErr w:type="gramStart"/>
      <w:r w:rsidRPr="00B971F8">
        <w:t>operator, and</w:t>
      </w:r>
      <w:proofErr w:type="gramEnd"/>
      <w:r w:rsidRPr="00B971F8">
        <w:t xml:space="preserve"> are in accordance with </w:t>
      </w:r>
      <w:r>
        <w:t>Australia’s</w:t>
      </w:r>
      <w:r w:rsidRPr="00B971F8">
        <w:t xml:space="preserve"> obligations</w:t>
      </w:r>
      <w:r>
        <w:t xml:space="preserve"> </w:t>
      </w:r>
      <w:r w:rsidRPr="00B971F8">
        <w:t>such as the ITU rules</w:t>
      </w:r>
      <w:r>
        <w:t xml:space="preserve"> and </w:t>
      </w:r>
      <w:r w:rsidRPr="00B971F8">
        <w:t>Australian law. The ACMA will then send a copy of the endorsed agreement to the foreign administration requesting endorsement (and send a notice</w:t>
      </w:r>
      <w:r>
        <w:t xml:space="preserve"> to the ITU</w:t>
      </w:r>
      <w:r w:rsidRPr="00B971F8">
        <w:t xml:space="preserve"> that agreement has been reached, if </w:t>
      </w:r>
      <w:r w:rsidRPr="00B971F8" w:rsidDel="0042720D">
        <w:t>r</w:t>
      </w:r>
      <w:r w:rsidRPr="00B971F8">
        <w:t xml:space="preserve">equired by the satellite operator). </w:t>
      </w:r>
    </w:p>
    <w:p w14:paraId="21036C73" w14:textId="77777777" w:rsidR="004376F2" w:rsidRPr="00B971F8" w:rsidRDefault="004376F2" w:rsidP="004376F2">
      <w:pPr>
        <w:pStyle w:val="Paragraph"/>
      </w:pPr>
      <w:r>
        <w:t>An</w:t>
      </w:r>
      <w:r w:rsidRPr="00B971F8">
        <w:t xml:space="preserve"> administration or satellite operator is obliged to pursue coordination required for their satellite system</w:t>
      </w:r>
      <w:r>
        <w:t>s</w:t>
      </w:r>
      <w:r w:rsidRPr="00B971F8">
        <w:t xml:space="preserve"> (often incorrectly referred to as ‘ahead in the queue’) as well as any relevant coordination required </w:t>
      </w:r>
      <w:r>
        <w:t>for</w:t>
      </w:r>
      <w:r w:rsidRPr="00B971F8">
        <w:t xml:space="preserve"> foreign satellite systems (often incorrectly referred to as ‘behind in the queue’).</w:t>
      </w:r>
      <w:r w:rsidRPr="00810D2F">
        <w:rPr>
          <w:vertAlign w:val="superscript"/>
        </w:rPr>
        <w:footnoteReference w:id="32"/>
      </w:r>
      <w:r w:rsidRPr="00B971F8">
        <w:t xml:space="preserve"> This requirement is </w:t>
      </w:r>
      <w:r>
        <w:t>because</w:t>
      </w:r>
      <w:r w:rsidRPr="00B971F8">
        <w:t xml:space="preserve"> bilateral coordination only works if parties are prepared to make efforts in both </w:t>
      </w:r>
      <w:r>
        <w:t>scenarios</w:t>
      </w:r>
      <w:r w:rsidRPr="00B971F8">
        <w:t xml:space="preserve">. </w:t>
      </w:r>
    </w:p>
    <w:p w14:paraId="1B6435E5" w14:textId="77777777" w:rsidR="004376F2" w:rsidRPr="00B971F8" w:rsidRDefault="004376F2" w:rsidP="004376F2">
      <w:pPr>
        <w:pStyle w:val="Paragraph"/>
      </w:pPr>
      <w:r w:rsidRPr="00B971F8">
        <w:t>Once coordination has been initiated in response to an IFIC publication, a satellite operator must make reasonable efforts towards completing this coordination in a timely manner. The ACMA, acting as the Australian administration, will not condone efforts to deliberately ignore or delay coordination work solely because it is inconvenient to perform this work.</w:t>
      </w:r>
    </w:p>
    <w:p w14:paraId="6E745BEB" w14:textId="77777777" w:rsidR="004376F2" w:rsidRPr="00B971F8" w:rsidRDefault="004376F2" w:rsidP="004376F2">
      <w:pPr>
        <w:pStyle w:val="Paragraph"/>
      </w:pPr>
      <w:r w:rsidRPr="00B971F8">
        <w:t>However, the way coordination will be performed (for example, through operator level meetings</w:t>
      </w:r>
      <w:r>
        <w:t xml:space="preserve"> or</w:t>
      </w:r>
      <w:r w:rsidRPr="00B971F8">
        <w:t xml:space="preserve"> through correspondence) is for the satellite operator to determine.</w:t>
      </w:r>
    </w:p>
    <w:p w14:paraId="00F73C63" w14:textId="77777777" w:rsidR="004376F2" w:rsidRPr="00404EA1" w:rsidRDefault="004376F2" w:rsidP="004376F2">
      <w:pPr>
        <w:pStyle w:val="Heading2"/>
        <w:rPr>
          <w:snapToGrid w:val="0"/>
          <w:lang w:eastAsia="en-US"/>
        </w:rPr>
      </w:pPr>
      <w:bookmarkStart w:id="473" w:name="_Ref138425853"/>
      <w:bookmarkStart w:id="474" w:name="_Ref138425861"/>
      <w:bookmarkStart w:id="475" w:name="_Toc195092503"/>
      <w:bookmarkStart w:id="476" w:name="_Toc198288079"/>
      <w:r>
        <w:rPr>
          <w:snapToGrid w:val="0"/>
          <w:lang w:eastAsia="en-US"/>
        </w:rPr>
        <w:t>Compliance with the procedures</w:t>
      </w:r>
      <w:bookmarkEnd w:id="473"/>
      <w:bookmarkEnd w:id="474"/>
      <w:bookmarkEnd w:id="475"/>
      <w:bookmarkEnd w:id="476"/>
    </w:p>
    <w:p w14:paraId="27D458BD" w14:textId="77777777" w:rsidR="004376F2" w:rsidRPr="00B971F8" w:rsidRDefault="004376F2" w:rsidP="004376F2">
      <w:pPr>
        <w:pStyle w:val="Paragraph"/>
      </w:pPr>
      <w:r w:rsidRPr="00B971F8">
        <w:t>The preference of the ACMA is to resolve issues in an informal way with the satellite operator. The ACMA has a history of resolving most issues in this manner. However, the ACMA has a range of other approaches available to it, as outlined in this section.</w:t>
      </w:r>
    </w:p>
    <w:p w14:paraId="185D1C09" w14:textId="77777777" w:rsidR="004376F2" w:rsidRPr="00B971F8" w:rsidRDefault="004376F2" w:rsidP="004376F2">
      <w:pPr>
        <w:pStyle w:val="Paragraph"/>
      </w:pPr>
      <w:r w:rsidRPr="00B971F8">
        <w:t xml:space="preserve">The ACMA performing its role as the </w:t>
      </w:r>
      <w:r>
        <w:t xml:space="preserve">responsible </w:t>
      </w:r>
      <w:r w:rsidRPr="00B971F8">
        <w:t xml:space="preserve">administration and supporting a satellite system is contingent on satellite operators conforming to </w:t>
      </w:r>
      <w:r>
        <w:t>the procedures set out in this document</w:t>
      </w:r>
      <w:r w:rsidRPr="00B971F8">
        <w:t xml:space="preserve">. </w:t>
      </w:r>
    </w:p>
    <w:p w14:paraId="47094E49" w14:textId="77777777" w:rsidR="004376F2" w:rsidRPr="00B971F8" w:rsidRDefault="004376F2" w:rsidP="004376F2">
      <w:pPr>
        <w:pStyle w:val="Paragraph"/>
      </w:pPr>
      <w:r w:rsidRPr="00B971F8">
        <w:lastRenderedPageBreak/>
        <w:t xml:space="preserve">If an operator does not conform to </w:t>
      </w:r>
      <w:r>
        <w:t>the procedures</w:t>
      </w:r>
      <w:r w:rsidRPr="00B971F8">
        <w:t>, then the ACMA will take action to remedy the defect using, as appropriate, whatever powers are available to it.</w:t>
      </w:r>
    </w:p>
    <w:p w14:paraId="4B0D33E1" w14:textId="77777777" w:rsidR="004376F2" w:rsidRPr="00B971F8" w:rsidRDefault="004376F2" w:rsidP="004376F2">
      <w:pPr>
        <w:pStyle w:val="Paragraph"/>
      </w:pPr>
      <w:r w:rsidRPr="00B971F8">
        <w:t>The ACMA may, for example, stop performing satellite coordination work on behalf of a satellite operator</w:t>
      </w:r>
      <w:r>
        <w:t>, if it is reasonable to do so</w:t>
      </w:r>
      <w:r w:rsidRPr="00B971F8">
        <w:t>. However, the ACMA is unlikely to stop performing its role without first having provided the satellite operator with at least one written warning.</w:t>
      </w:r>
    </w:p>
    <w:p w14:paraId="548C095E" w14:textId="77777777" w:rsidR="004376F2" w:rsidRPr="00B971F8" w:rsidRDefault="004376F2" w:rsidP="004376F2">
      <w:pPr>
        <w:pStyle w:val="Paragraph"/>
      </w:pPr>
      <w:proofErr w:type="gramStart"/>
      <w:r w:rsidRPr="00B971F8">
        <w:t>A number of</w:t>
      </w:r>
      <w:proofErr w:type="gramEnd"/>
      <w:r w:rsidRPr="00B971F8">
        <w:t xml:space="preserve"> matters are considered sufficiently critical to warrant possible further action</w:t>
      </w:r>
      <w:r>
        <w:t xml:space="preserve"> to ensure compliance</w:t>
      </w:r>
      <w:r w:rsidRPr="00B971F8">
        <w:t xml:space="preserve">. For these matters, it may not be sufficient for the ACMA to simply stop providing satellite coordination </w:t>
      </w:r>
      <w:proofErr w:type="gramStart"/>
      <w:r w:rsidRPr="00B971F8">
        <w:t>services, and</w:t>
      </w:r>
      <w:proofErr w:type="gramEnd"/>
      <w:r w:rsidRPr="00B971F8">
        <w:t xml:space="preserve"> still satisfy its obligations. These are ‘assessment criteria’</w:t>
      </w:r>
      <w:r>
        <w:t xml:space="preserve"> (see section 3)</w:t>
      </w:r>
      <w:r w:rsidRPr="00B971F8">
        <w:t>, ‘ongoing obligations’</w:t>
      </w:r>
      <w:r>
        <w:t xml:space="preserve"> (see section 4.3)</w:t>
      </w:r>
      <w:r w:rsidRPr="00B971F8">
        <w:t>, ‘coordination’</w:t>
      </w:r>
      <w:r>
        <w:t xml:space="preserve"> (see section 4.8)</w:t>
      </w:r>
      <w:r w:rsidRPr="00B971F8">
        <w:t xml:space="preserve"> and ‘harmful interference’</w:t>
      </w:r>
      <w:r>
        <w:t xml:space="preserve"> (see section 4.2)</w:t>
      </w:r>
      <w:r w:rsidRPr="00B971F8">
        <w:t xml:space="preserve">. </w:t>
      </w:r>
    </w:p>
    <w:p w14:paraId="1B5031B1" w14:textId="77777777" w:rsidR="004376F2" w:rsidRPr="00B971F8" w:rsidRDefault="004376F2" w:rsidP="004376F2">
      <w:pPr>
        <w:pStyle w:val="Paragraph"/>
      </w:pPr>
      <w:r w:rsidRPr="00B971F8">
        <w:t xml:space="preserve">In the event of non-compliance with </w:t>
      </w:r>
      <w:r>
        <w:t xml:space="preserve">the </w:t>
      </w:r>
      <w:r w:rsidRPr="00B971F8">
        <w:t>procedures, the ACMA may issue an instruction to the satellite operator, giving specific reasons as to why it believes that there is non-compliance. The satellite operator must promptly reply to such an instruction, addressing each issue raised by the ACMA and detailing how it will remedy any non-compliance.</w:t>
      </w:r>
    </w:p>
    <w:p w14:paraId="6E8F2545" w14:textId="77777777" w:rsidR="004376F2" w:rsidRPr="00B971F8" w:rsidRDefault="004376F2" w:rsidP="004376F2">
      <w:pPr>
        <w:pStyle w:val="Paragraph"/>
      </w:pPr>
      <w:r w:rsidRPr="00B971F8">
        <w:t xml:space="preserve">Should the satellite operator not adequately address and remedy the non-compliance, the ACMA may decide to cancel a satellite operator’s access to a satellite </w:t>
      </w:r>
      <w:r>
        <w:t>filing</w:t>
      </w:r>
      <w:r w:rsidRPr="00B971F8">
        <w:t xml:space="preserve">. It may then instruct the ITU to suppress (permanently delete) the satellite </w:t>
      </w:r>
      <w:r>
        <w:t>filing</w:t>
      </w:r>
      <w:r w:rsidRPr="00B971F8">
        <w:t xml:space="preserve">, or re-issue access to the filings for the satellite system to another satellite operator if it decides that doing so is in the best interests of Australia. In the case of non-compliance with </w:t>
      </w:r>
      <w:r>
        <w:t>the procedures</w:t>
      </w:r>
      <w:r w:rsidRPr="00B971F8">
        <w:t xml:space="preserve">, the ACMA has sole discretion in determining whether access to a satellite </w:t>
      </w:r>
      <w:r>
        <w:t>filing</w:t>
      </w:r>
      <w:r w:rsidRPr="00B971F8">
        <w:t xml:space="preserve"> should be re-issued, or whether the ACMA will request that the ITU </w:t>
      </w:r>
      <w:r>
        <w:t xml:space="preserve">to </w:t>
      </w:r>
      <w:r w:rsidRPr="00B971F8">
        <w:t xml:space="preserve">suppress the satellite </w:t>
      </w:r>
      <w:r>
        <w:t>filing</w:t>
      </w:r>
      <w:r w:rsidRPr="00B971F8">
        <w:t xml:space="preserve">. </w:t>
      </w:r>
    </w:p>
    <w:p w14:paraId="0495BD55" w14:textId="77777777" w:rsidR="004376F2" w:rsidRPr="00B971F8" w:rsidRDefault="004376F2" w:rsidP="007475FF">
      <w:pPr>
        <w:pStyle w:val="Paragraphbeforelist"/>
      </w:pPr>
      <w:r w:rsidRPr="00B971F8">
        <w:t xml:space="preserve">In the case of non-compliance with </w:t>
      </w:r>
      <w:r>
        <w:t>the procedures</w:t>
      </w:r>
      <w:r w:rsidRPr="00B971F8">
        <w:t>, cost recovery charges may apply for the following items:</w:t>
      </w:r>
    </w:p>
    <w:p w14:paraId="7F8D23B1" w14:textId="77777777" w:rsidR="004376F2" w:rsidRPr="00112EE0" w:rsidRDefault="004376F2" w:rsidP="00D931F4">
      <w:pPr>
        <w:pStyle w:val="Bulletlevel1"/>
      </w:pPr>
      <w:r w:rsidRPr="00112EE0">
        <w:t>assessment of non-compliance</w:t>
      </w:r>
    </w:p>
    <w:p w14:paraId="649F37E2" w14:textId="77777777" w:rsidR="004376F2" w:rsidRPr="00112EE0" w:rsidRDefault="004376F2" w:rsidP="00D931F4">
      <w:pPr>
        <w:pStyle w:val="Bulletlevel1"/>
      </w:pPr>
      <w:r w:rsidRPr="00112EE0">
        <w:t>assessment of whether to re-issue access to the filings for the satellite system to another satellite operator (if applicable)</w:t>
      </w:r>
    </w:p>
    <w:p w14:paraId="4B2FB93C" w14:textId="77777777" w:rsidR="004376F2" w:rsidRPr="00621B38" w:rsidRDefault="004376F2" w:rsidP="00D931F4">
      <w:pPr>
        <w:pStyle w:val="Bulletlevel1last"/>
      </w:pPr>
      <w:r w:rsidRPr="00621B38">
        <w:t>any necessary communication with the ITU or foreign administrations regarding the satellite system (</w:t>
      </w:r>
      <w:r>
        <w:t>if</w:t>
      </w:r>
      <w:r w:rsidRPr="00621B38">
        <w:t xml:space="preserve"> the </w:t>
      </w:r>
      <w:r>
        <w:t>filing is</w:t>
      </w:r>
      <w:r w:rsidRPr="00621B38">
        <w:t xml:space="preserve"> suppressed).</w:t>
      </w:r>
    </w:p>
    <w:p w14:paraId="00E20E5D" w14:textId="77777777" w:rsidR="004376F2" w:rsidRDefault="004376F2" w:rsidP="00EB726B">
      <w:pPr>
        <w:pStyle w:val="Paragraph"/>
      </w:pPr>
      <w:r w:rsidRPr="00B971F8">
        <w:t>As appropriate, the ACMA may also take account of the approach by a satellite operator towards its filing</w:t>
      </w:r>
      <w:r>
        <w:t>-</w:t>
      </w:r>
      <w:r w:rsidRPr="00B971F8">
        <w:t xml:space="preserve">related obligations when considering other actions. </w:t>
      </w:r>
    </w:p>
    <w:p w14:paraId="7B4DB7E9" w14:textId="77777777" w:rsidR="004376F2" w:rsidRPr="002D3770" w:rsidRDefault="004376F2" w:rsidP="004376F2">
      <w:pPr>
        <w:pStyle w:val="Heading2"/>
      </w:pPr>
      <w:bookmarkStart w:id="477" w:name="_Toc195092504"/>
      <w:bookmarkStart w:id="478" w:name="_Toc198288080"/>
      <w:r w:rsidRPr="002D3770">
        <w:t>ACMA support conditional on a substantial benefit to Australia</w:t>
      </w:r>
      <w:bookmarkEnd w:id="477"/>
      <w:bookmarkEnd w:id="478"/>
    </w:p>
    <w:p w14:paraId="6F955357" w14:textId="77777777" w:rsidR="004376F2" w:rsidRPr="002D3770" w:rsidRDefault="004376F2" w:rsidP="007475FF">
      <w:pPr>
        <w:pStyle w:val="Paragraphbeforelist"/>
      </w:pPr>
      <w:r w:rsidRPr="002D3770">
        <w:t xml:space="preserve">The ACMA is required to perform </w:t>
      </w:r>
      <w:proofErr w:type="gramStart"/>
      <w:r w:rsidRPr="002D3770">
        <w:t>a number of</w:t>
      </w:r>
      <w:proofErr w:type="gramEnd"/>
      <w:r w:rsidRPr="002D3770">
        <w:t xml:space="preserve"> activities to maintain </w:t>
      </w:r>
      <w:r>
        <w:t>a</w:t>
      </w:r>
      <w:r w:rsidRPr="002D3770">
        <w:t xml:space="preserve"> satellite filing and to assist the satellite operator in using the satellite filing. These activities include:</w:t>
      </w:r>
    </w:p>
    <w:p w14:paraId="4EAB12FC" w14:textId="77777777" w:rsidR="004376F2" w:rsidRPr="002D3770" w:rsidRDefault="004376F2" w:rsidP="00D931F4">
      <w:pPr>
        <w:pStyle w:val="Bulletlevel1"/>
      </w:pPr>
      <w:r w:rsidRPr="002D3770">
        <w:t>preparation of IFIC responses to other administrations and the</w:t>
      </w:r>
      <w:r>
        <w:t xml:space="preserve"> ITU</w:t>
      </w:r>
      <w:r w:rsidRPr="002D3770">
        <w:t xml:space="preserve"> BR</w:t>
      </w:r>
    </w:p>
    <w:p w14:paraId="14043A6C" w14:textId="77777777" w:rsidR="004376F2" w:rsidRPr="002D3770" w:rsidRDefault="004376F2" w:rsidP="00D931F4">
      <w:pPr>
        <w:pStyle w:val="Bulletlevel1"/>
      </w:pPr>
      <w:r w:rsidRPr="002D3770">
        <w:t xml:space="preserve">communicating with the </w:t>
      </w:r>
      <w:r>
        <w:t xml:space="preserve">ITU </w:t>
      </w:r>
      <w:r w:rsidRPr="002D3770">
        <w:t>BR and other administrations on behalf of the satellite operator</w:t>
      </w:r>
    </w:p>
    <w:p w14:paraId="0141F1CB" w14:textId="77777777" w:rsidR="004376F2" w:rsidRPr="002D3770" w:rsidRDefault="004376F2" w:rsidP="00D931F4">
      <w:pPr>
        <w:pStyle w:val="Bulletlevel1"/>
      </w:pPr>
      <w:r w:rsidRPr="002D3770">
        <w:t xml:space="preserve">submission of the satellite filing to the </w:t>
      </w:r>
      <w:r>
        <w:t xml:space="preserve">ITU </w:t>
      </w:r>
      <w:r w:rsidRPr="002D3770">
        <w:t>BR</w:t>
      </w:r>
    </w:p>
    <w:p w14:paraId="59E5A0D5" w14:textId="77777777" w:rsidR="004376F2" w:rsidRDefault="004376F2" w:rsidP="00D931F4">
      <w:pPr>
        <w:pStyle w:val="Bulletlevel1last"/>
      </w:pPr>
      <w:r w:rsidRPr="002D3770">
        <w:t>endorsement of operator-level frequency agreements.</w:t>
      </w:r>
    </w:p>
    <w:p w14:paraId="5957EC09" w14:textId="77777777" w:rsidR="004376F2" w:rsidRPr="002D3770" w:rsidRDefault="004376F2" w:rsidP="007475FF">
      <w:pPr>
        <w:pStyle w:val="Paragraph"/>
      </w:pPr>
      <w:r>
        <w:lastRenderedPageBreak/>
        <w:t>Ongoing ACMA support for the above activities is conditional on the satellite operator maintaining a substantial benefit to Australia, as described in Australian Benefit assessment criteria (section 3.5).</w:t>
      </w:r>
      <w:r w:rsidRPr="002D3770">
        <w:t xml:space="preserve"> </w:t>
      </w:r>
    </w:p>
    <w:p w14:paraId="1D0706B7" w14:textId="77777777" w:rsidR="004376F2" w:rsidRPr="002D3770" w:rsidRDefault="004376F2" w:rsidP="004376F2">
      <w:pPr>
        <w:pStyle w:val="Paragraph"/>
      </w:pPr>
      <w:r w:rsidRPr="002D3770">
        <w:t xml:space="preserve">The ACMA may also choose to represent the satellite operator at the ITU Radio Regulations Board or take positions in supporting an operator in international meetings (for example, ITU forums such as study groups, World Radio Conferences, Plenipotentiary Conferences, and regional forums such as Asia–Pacific Telecommunity) when requested by the satellite operator. </w:t>
      </w:r>
    </w:p>
    <w:p w14:paraId="31994E1B" w14:textId="77777777" w:rsidR="004376F2" w:rsidRPr="002D3770" w:rsidRDefault="004376F2" w:rsidP="004376F2">
      <w:pPr>
        <w:pStyle w:val="Paragraph"/>
      </w:pPr>
      <w:r w:rsidRPr="002D3770">
        <w:t xml:space="preserve">When deciding whether to represent the satellite operator upon such a request or fulfilling other complex requests, the ACMA may ask the operator to provide evidence that such action will be of benefit to Australia without being detrimental to the interests of other Australian satellite operators.  </w:t>
      </w:r>
    </w:p>
    <w:p w14:paraId="6156416A" w14:textId="77777777" w:rsidR="004376F2" w:rsidRPr="00B971F8" w:rsidRDefault="004376F2" w:rsidP="004376F2">
      <w:pPr>
        <w:pStyle w:val="Paragraph"/>
      </w:pPr>
      <w:r w:rsidRPr="002D3770">
        <w:t>In assessing such requests, the ACMA will consider the satellite operator’s past performance regarding obligations listed in the filing procedures, including the satellite operator’s adherence to the milestone guidelines, responsiveness to foreign and domestic satellite coordination requests, or progression of the filing to the notification and bringing into use stages.</w:t>
      </w:r>
    </w:p>
    <w:p w14:paraId="45187705" w14:textId="77777777" w:rsidR="004376F2" w:rsidRPr="00FB25E2" w:rsidRDefault="004376F2" w:rsidP="004376F2">
      <w:pPr>
        <w:pStyle w:val="Heading1"/>
      </w:pPr>
      <w:bookmarkStart w:id="479" w:name="_Toc306786429"/>
      <w:bookmarkStart w:id="480" w:name="_Toc111546552"/>
      <w:bookmarkStart w:id="481" w:name="_Toc114472717"/>
      <w:bookmarkStart w:id="482" w:name="_Toc128663999"/>
      <w:bookmarkStart w:id="483" w:name="_Toc195092505"/>
      <w:bookmarkStart w:id="484" w:name="_Toc198288081"/>
      <w:r>
        <w:lastRenderedPageBreak/>
        <w:t>Change of access to</w:t>
      </w:r>
      <w:r w:rsidRPr="00FB25E2">
        <w:t xml:space="preserve"> an ITU </w:t>
      </w:r>
      <w:bookmarkEnd w:id="479"/>
      <w:bookmarkEnd w:id="480"/>
      <w:bookmarkEnd w:id="481"/>
      <w:bookmarkEnd w:id="482"/>
      <w:r w:rsidRPr="00FB25E2">
        <w:t>satellite filing</w:t>
      </w:r>
      <w:bookmarkEnd w:id="483"/>
      <w:bookmarkEnd w:id="484"/>
    </w:p>
    <w:p w14:paraId="569AC9CA" w14:textId="77777777" w:rsidR="004376F2" w:rsidRDefault="004376F2" w:rsidP="004376F2">
      <w:pPr>
        <w:pStyle w:val="Paragraph"/>
      </w:pPr>
      <w:r w:rsidRPr="00B366C6">
        <w:t xml:space="preserve">The provisions of this part of the </w:t>
      </w:r>
      <w:r>
        <w:t>procedures</w:t>
      </w:r>
      <w:r w:rsidRPr="00B366C6">
        <w:t xml:space="preserve"> apply to the information submitted to the ITU (the ITU satellite filing) and not to physical satellites</w:t>
      </w:r>
      <w:r>
        <w:t xml:space="preserve"> (</w:t>
      </w:r>
      <w:r w:rsidRPr="00B366C6">
        <w:t xml:space="preserve">and the entities that own </w:t>
      </w:r>
      <w:r>
        <w:t>the physical satellites</w:t>
      </w:r>
      <w:r w:rsidRPr="00B366C6">
        <w:t xml:space="preserve"> which may be tradeable assets</w:t>
      </w:r>
      <w:r>
        <w:t>)</w:t>
      </w:r>
      <w:r w:rsidRPr="00B366C6">
        <w:t xml:space="preserve">. The ACMA procedures set out here are not intended to impact on the transfer of </w:t>
      </w:r>
      <w:r>
        <w:t>physical satellites as</w:t>
      </w:r>
      <w:r w:rsidRPr="00B366C6">
        <w:t xml:space="preserve"> tradeable assets.</w:t>
      </w:r>
    </w:p>
    <w:p w14:paraId="0B3C3575" w14:textId="77777777" w:rsidR="004376F2" w:rsidRPr="00977E4D" w:rsidRDefault="004376F2" w:rsidP="004376F2">
      <w:pPr>
        <w:pStyle w:val="Paragraph"/>
      </w:pPr>
      <w:r w:rsidRPr="002D3770">
        <w:t>Operators should contact the ACMA in advance of a proposed ownership change to determine the potential impact on access to satellite filings</w:t>
      </w:r>
      <w:r>
        <w:t>.</w:t>
      </w:r>
    </w:p>
    <w:p w14:paraId="1FDB92A3" w14:textId="77777777" w:rsidR="004376F2" w:rsidRPr="00B971F8" w:rsidRDefault="004376F2" w:rsidP="004376F2">
      <w:pPr>
        <w:pStyle w:val="Heading2"/>
        <w:rPr>
          <w:snapToGrid w:val="0"/>
          <w:lang w:eastAsia="en-US"/>
        </w:rPr>
      </w:pPr>
      <w:bookmarkStart w:id="485" w:name="_Toc114472719"/>
      <w:bookmarkStart w:id="486" w:name="_Toc128664000"/>
      <w:bookmarkStart w:id="487" w:name="_Toc195092506"/>
      <w:bookmarkStart w:id="488" w:name="_Toc198288082"/>
      <w:r w:rsidRPr="00B971F8">
        <w:rPr>
          <w:snapToGrid w:val="0"/>
          <w:lang w:eastAsia="en-US"/>
        </w:rPr>
        <w:t>Transfer of access to an ITU satellite filing</w:t>
      </w:r>
      <w:bookmarkEnd w:id="485"/>
      <w:bookmarkEnd w:id="486"/>
      <w:bookmarkEnd w:id="487"/>
      <w:bookmarkEnd w:id="488"/>
    </w:p>
    <w:p w14:paraId="4595357B" w14:textId="77777777" w:rsidR="004376F2" w:rsidRDefault="004376F2" w:rsidP="004376F2">
      <w:pPr>
        <w:pStyle w:val="Paragraphbeforelist"/>
        <w:rPr>
          <w:snapToGrid w:val="0"/>
          <w:lang w:eastAsia="en-US"/>
        </w:rPr>
      </w:pPr>
      <w:r>
        <w:rPr>
          <w:snapToGrid w:val="0"/>
          <w:lang w:eastAsia="en-US"/>
        </w:rPr>
        <w:t>If a</w:t>
      </w:r>
      <w:r w:rsidRPr="00B971F8">
        <w:rPr>
          <w:snapToGrid w:val="0"/>
          <w:lang w:eastAsia="en-US"/>
        </w:rPr>
        <w:t xml:space="preserve"> satellite operator </w:t>
      </w:r>
      <w:r>
        <w:rPr>
          <w:snapToGrid w:val="0"/>
          <w:lang w:eastAsia="en-US"/>
        </w:rPr>
        <w:t>wishes to transfer</w:t>
      </w:r>
      <w:r w:rsidRPr="00B971F8">
        <w:rPr>
          <w:snapToGrid w:val="0"/>
          <w:lang w:eastAsia="en-US"/>
        </w:rPr>
        <w:t xml:space="preserve"> access to </w:t>
      </w:r>
      <w:r>
        <w:rPr>
          <w:snapToGrid w:val="0"/>
          <w:lang w:eastAsia="en-US"/>
        </w:rPr>
        <w:t xml:space="preserve">a satellite </w:t>
      </w:r>
      <w:r w:rsidRPr="00B971F8">
        <w:rPr>
          <w:snapToGrid w:val="0"/>
          <w:lang w:eastAsia="en-US"/>
        </w:rPr>
        <w:t xml:space="preserve">filing </w:t>
      </w:r>
      <w:r>
        <w:rPr>
          <w:snapToGrid w:val="0"/>
          <w:lang w:eastAsia="en-US"/>
        </w:rPr>
        <w:t>to</w:t>
      </w:r>
      <w:r w:rsidRPr="00B971F8">
        <w:rPr>
          <w:snapToGrid w:val="0"/>
          <w:lang w:eastAsia="en-US"/>
        </w:rPr>
        <w:t xml:space="preserve"> another satellite operator</w:t>
      </w:r>
      <w:r>
        <w:rPr>
          <w:snapToGrid w:val="0"/>
          <w:lang w:eastAsia="en-US"/>
        </w:rPr>
        <w:t>, the following must be provided to the ACMA:</w:t>
      </w:r>
    </w:p>
    <w:p w14:paraId="0831875A" w14:textId="77777777" w:rsidR="004376F2" w:rsidRPr="006C29D6" w:rsidRDefault="004376F2" w:rsidP="006C29D6">
      <w:pPr>
        <w:pStyle w:val="Bulletlevel1"/>
      </w:pPr>
      <w:r w:rsidRPr="006C29D6">
        <w:t>the written agreement of both parties</w:t>
      </w:r>
    </w:p>
    <w:p w14:paraId="6F224F19" w14:textId="77777777" w:rsidR="004376F2" w:rsidRDefault="004376F2" w:rsidP="007475FF">
      <w:pPr>
        <w:pStyle w:val="Bulletlevel1last"/>
        <w:rPr>
          <w:snapToGrid w:val="0"/>
          <w:lang w:eastAsia="en-US"/>
        </w:rPr>
      </w:pPr>
      <w:r w:rsidRPr="00B971F8">
        <w:rPr>
          <w:snapToGrid w:val="0"/>
          <w:lang w:eastAsia="en-US"/>
        </w:rPr>
        <w:t>an application</w:t>
      </w:r>
      <w:r w:rsidRPr="00B971F8">
        <w:rPr>
          <w:lang w:eastAsia="en-US"/>
        </w:rPr>
        <w:t xml:space="preserve"> form</w:t>
      </w:r>
      <w:r>
        <w:rPr>
          <w:lang w:eastAsia="en-US"/>
        </w:rPr>
        <w:t xml:space="preserve"> (R205)</w:t>
      </w:r>
      <w:r w:rsidRPr="00B971F8">
        <w:rPr>
          <w:lang w:eastAsia="en-US"/>
        </w:rPr>
        <w:t xml:space="preserve"> </w:t>
      </w:r>
      <w:r>
        <w:rPr>
          <w:lang w:eastAsia="en-US"/>
        </w:rPr>
        <w:t>that</w:t>
      </w:r>
      <w:r w:rsidRPr="00B971F8">
        <w:rPr>
          <w:lang w:eastAsia="en-US"/>
        </w:rPr>
        <w:t xml:space="preserve"> address</w:t>
      </w:r>
      <w:r>
        <w:rPr>
          <w:lang w:eastAsia="en-US"/>
        </w:rPr>
        <w:t>es</w:t>
      </w:r>
      <w:r w:rsidRPr="00B971F8" w:rsidDel="006B4CA3">
        <w:rPr>
          <w:snapToGrid w:val="0"/>
          <w:lang w:eastAsia="en-US"/>
        </w:rPr>
        <w:t xml:space="preserve"> </w:t>
      </w:r>
      <w:r w:rsidRPr="00B971F8">
        <w:rPr>
          <w:lang w:eastAsia="en-US"/>
        </w:rPr>
        <w:t xml:space="preserve">all </w:t>
      </w:r>
      <w:r w:rsidRPr="00B971F8">
        <w:rPr>
          <w:snapToGrid w:val="0"/>
          <w:lang w:eastAsia="en-US"/>
        </w:rPr>
        <w:t>assessment criteria</w:t>
      </w:r>
      <w:r>
        <w:rPr>
          <w:snapToGrid w:val="0"/>
          <w:lang w:eastAsia="en-US"/>
        </w:rPr>
        <w:t xml:space="preserve"> </w:t>
      </w:r>
      <w:proofErr w:type="gramStart"/>
      <w:r>
        <w:rPr>
          <w:snapToGrid w:val="0"/>
          <w:lang w:eastAsia="en-US"/>
        </w:rPr>
        <w:t>with regard to</w:t>
      </w:r>
      <w:proofErr w:type="gramEnd"/>
      <w:r>
        <w:rPr>
          <w:snapToGrid w:val="0"/>
          <w:lang w:eastAsia="en-US"/>
        </w:rPr>
        <w:t xml:space="preserve"> the proposed </w:t>
      </w:r>
      <w:r w:rsidRPr="007475FF">
        <w:t>recipient</w:t>
      </w:r>
      <w:r>
        <w:rPr>
          <w:snapToGrid w:val="0"/>
          <w:lang w:eastAsia="en-US"/>
        </w:rPr>
        <w:t>.</w:t>
      </w:r>
    </w:p>
    <w:p w14:paraId="12417642" w14:textId="77777777" w:rsidR="004376F2" w:rsidRPr="00B971F8" w:rsidRDefault="004376F2" w:rsidP="00EB726B">
      <w:pPr>
        <w:pStyle w:val="Paragraph"/>
        <w:rPr>
          <w:snapToGrid w:val="0"/>
          <w:lang w:eastAsia="en-US"/>
        </w:rPr>
      </w:pPr>
      <w:r>
        <w:rPr>
          <w:snapToGrid w:val="0"/>
          <w:lang w:eastAsia="en-US"/>
        </w:rPr>
        <w:t xml:space="preserve">In addition, the recipient must </w:t>
      </w:r>
      <w:r w:rsidRPr="00B971F8">
        <w:rPr>
          <w:snapToGrid w:val="0"/>
          <w:lang w:eastAsia="en-US"/>
        </w:rPr>
        <w:t xml:space="preserve">follow </w:t>
      </w:r>
      <w:r>
        <w:rPr>
          <w:snapToGrid w:val="0"/>
          <w:lang w:eastAsia="en-US"/>
        </w:rPr>
        <w:t xml:space="preserve">all </w:t>
      </w:r>
      <w:r w:rsidRPr="00B971F8">
        <w:rPr>
          <w:snapToGrid w:val="0"/>
          <w:lang w:eastAsia="en-US"/>
        </w:rPr>
        <w:t xml:space="preserve">other relevant procedures as set out in this </w:t>
      </w:r>
      <w:r>
        <w:rPr>
          <w:snapToGrid w:val="0"/>
          <w:lang w:eastAsia="en-US"/>
        </w:rPr>
        <w:t>document</w:t>
      </w:r>
      <w:r w:rsidRPr="00B971F8">
        <w:rPr>
          <w:snapToGrid w:val="0"/>
          <w:lang w:eastAsia="en-US"/>
        </w:rPr>
        <w:t xml:space="preserve">. Cost recovery charges will apply for assessment of </w:t>
      </w:r>
      <w:r>
        <w:rPr>
          <w:snapToGrid w:val="0"/>
          <w:lang w:eastAsia="en-US"/>
        </w:rPr>
        <w:t>such an</w:t>
      </w:r>
      <w:r w:rsidRPr="00B971F8">
        <w:rPr>
          <w:snapToGrid w:val="0"/>
          <w:lang w:eastAsia="en-US"/>
        </w:rPr>
        <w:t xml:space="preserve"> application. </w:t>
      </w:r>
    </w:p>
    <w:p w14:paraId="74628556" w14:textId="77777777" w:rsidR="004376F2" w:rsidRPr="002D3770" w:rsidRDefault="004376F2" w:rsidP="004376F2">
      <w:pPr>
        <w:pStyle w:val="Heading2"/>
        <w:rPr>
          <w:snapToGrid w:val="0"/>
          <w:lang w:eastAsia="en-US"/>
        </w:rPr>
      </w:pPr>
      <w:bookmarkStart w:id="489" w:name="_Toc128664001"/>
      <w:bookmarkStart w:id="490" w:name="_Toc114472720"/>
      <w:bookmarkStart w:id="491" w:name="_Toc128664002"/>
      <w:bookmarkStart w:id="492" w:name="_Toc195092507"/>
      <w:bookmarkStart w:id="493" w:name="_Toc198288083"/>
      <w:bookmarkEnd w:id="489"/>
      <w:r w:rsidRPr="002D3770">
        <w:rPr>
          <w:snapToGrid w:val="0"/>
          <w:lang w:eastAsia="en-US"/>
        </w:rPr>
        <w:t>Change in ownership</w:t>
      </w:r>
      <w:bookmarkEnd w:id="490"/>
      <w:bookmarkEnd w:id="491"/>
      <w:bookmarkEnd w:id="492"/>
      <w:bookmarkEnd w:id="493"/>
    </w:p>
    <w:p w14:paraId="02A21966" w14:textId="257BF18F" w:rsidR="004376F2" w:rsidRDefault="004376F2" w:rsidP="00EB726B">
      <w:pPr>
        <w:pStyle w:val="Paragraph"/>
      </w:pPr>
      <w:r w:rsidRPr="1985EECD">
        <w:t xml:space="preserve">When the entity that has access to the filing </w:t>
      </w:r>
      <w:r>
        <w:t>undergoes</w:t>
      </w:r>
      <w:r w:rsidRPr="1985EECD">
        <w:t xml:space="preserve"> a change in ownership</w:t>
      </w:r>
      <w:r>
        <w:t>,</w:t>
      </w:r>
      <w:r w:rsidRPr="1985EECD">
        <w:t xml:space="preserve"> </w:t>
      </w:r>
      <w:r>
        <w:t>including changes to its holding company (if the satellite operator is</w:t>
      </w:r>
      <w:r w:rsidR="001A29EB">
        <w:t>,</w:t>
      </w:r>
      <w:r>
        <w:t xml:space="preserve"> or becomes a subsidiary of, or</w:t>
      </w:r>
      <w:r w:rsidR="001A29EB">
        <w:t xml:space="preserve"> is</w:t>
      </w:r>
      <w:r>
        <w:t xml:space="preserve"> controlled by, another entity)</w:t>
      </w:r>
      <w:r w:rsidRPr="00607BE6">
        <w:t>, the satellite operator must apply to the ACMA to re-assess compliance with the assessment criteria.</w:t>
      </w:r>
      <w:r>
        <w:t xml:space="preserve"> </w:t>
      </w:r>
      <w:r w:rsidRPr="00607BE6">
        <w:t>The application must address all assessment criteria. Cost recovery charges will apply for assessment of the application.</w:t>
      </w:r>
    </w:p>
    <w:p w14:paraId="1FB519ED" w14:textId="77777777" w:rsidR="004376F2" w:rsidRDefault="004376F2" w:rsidP="007475FF">
      <w:pPr>
        <w:pStyle w:val="Paragraph"/>
      </w:pPr>
      <w:r>
        <w:t>The intention of this requirement is not to</w:t>
      </w:r>
      <w:r w:rsidRPr="000D716C">
        <w:t xml:space="preserve"> preclude a new owner from obtaining full access to a filing following a change of ownership. Rather, it establishes a process whereby the ACMA would first consider whether it remains in Australia’s interest to support the filing under the new ownership arrangement</w:t>
      </w:r>
      <w:r>
        <w:t>, and what level of ACMA support is appropriate.</w:t>
      </w:r>
      <w:r w:rsidRPr="00D160B3">
        <w:t xml:space="preserve"> </w:t>
      </w:r>
      <w:r>
        <w:t>In most cases, unless there was a s</w:t>
      </w:r>
      <w:r w:rsidRPr="004E0297">
        <w:t>ignificant detrimental change to the Australian benefit</w:t>
      </w:r>
      <w:r>
        <w:t xml:space="preserve">, we would expect access to the filing and support for routine filing activities would continue. </w:t>
      </w:r>
    </w:p>
    <w:p w14:paraId="01B0519A" w14:textId="77777777" w:rsidR="004376F2" w:rsidRPr="00607BE6" w:rsidRDefault="004376F2" w:rsidP="007475FF">
      <w:pPr>
        <w:pStyle w:val="Paragraph"/>
      </w:pPr>
      <w:r>
        <w:t>Whether support would be provided for other (non-routine) activities would depend on whether there was a reduction in benefit to Australia arising from a change in ownership arrangements. To illustrate, if we were unsure of the benefit to Australia of those arrangements, we could advise that we would continue to support routine activities such as correspondence related to the ITU satellite coordination process. However, it would be unlikely that we would agree to make a new filing unless there was a compelling case that addressed our concerns. Even so, s</w:t>
      </w:r>
      <w:r w:rsidRPr="004E0297">
        <w:t>ignificant detrimental changes to the Australian benefit</w:t>
      </w:r>
      <w:r w:rsidRPr="00607BE6" w:rsidDel="000D497D">
        <w:t xml:space="preserve"> </w:t>
      </w:r>
      <w:r>
        <w:t xml:space="preserve">are likely to </w:t>
      </w:r>
      <w:r w:rsidRPr="004E0297">
        <w:t xml:space="preserve">result in </w:t>
      </w:r>
      <w:r>
        <w:t>us</w:t>
      </w:r>
      <w:r w:rsidRPr="004E0297">
        <w:t xml:space="preserve"> re-assessing whether to continue to support the satellite system</w:t>
      </w:r>
      <w:r>
        <w:t xml:space="preserve"> or to cease access to the filing.</w:t>
      </w:r>
    </w:p>
    <w:p w14:paraId="64372369" w14:textId="77777777" w:rsidR="004376F2" w:rsidRPr="00B971F8" w:rsidRDefault="004376F2" w:rsidP="004376F2">
      <w:pPr>
        <w:pStyle w:val="Heading3"/>
      </w:pPr>
      <w:bookmarkStart w:id="494" w:name="_Toc195092508"/>
      <w:bookmarkStart w:id="495" w:name="_Toc198288084"/>
      <w:r>
        <w:lastRenderedPageBreak/>
        <w:t>Corporate restructuring or shareholder changes</w:t>
      </w:r>
      <w:bookmarkEnd w:id="494"/>
      <w:bookmarkEnd w:id="495"/>
    </w:p>
    <w:p w14:paraId="32566244" w14:textId="77777777" w:rsidR="004376F2" w:rsidRDefault="004376F2" w:rsidP="00EB726B">
      <w:pPr>
        <w:pStyle w:val="Paragraph"/>
      </w:pPr>
      <w:r w:rsidRPr="0037625D">
        <w:t>When changes in ownership are related to corporate restructuring</w:t>
      </w:r>
      <w:r>
        <w:t xml:space="preserve"> or shareholder changes, the satellite operator is required to self-assess whether the changes will </w:t>
      </w:r>
      <w:r w:rsidRPr="0037625D">
        <w:t xml:space="preserve">substantially </w:t>
      </w:r>
      <w:r>
        <w:t xml:space="preserve">impact </w:t>
      </w:r>
      <w:r w:rsidRPr="0037625D">
        <w:t>the ongoing compliance with the assessment criteria</w:t>
      </w:r>
      <w:r>
        <w:t xml:space="preserve">. If the impact is substantial, the </w:t>
      </w:r>
      <w:r w:rsidRPr="0037625D">
        <w:t xml:space="preserve">satellite operator </w:t>
      </w:r>
      <w:r>
        <w:t>must</w:t>
      </w:r>
      <w:r w:rsidRPr="0037625D">
        <w:t xml:space="preserve"> inform the ACMA </w:t>
      </w:r>
      <w:r>
        <w:t xml:space="preserve">accordingly, and the </w:t>
      </w:r>
      <w:r w:rsidRPr="0037625D">
        <w:t xml:space="preserve">ACMA would </w:t>
      </w:r>
      <w:r>
        <w:t xml:space="preserve">then </w:t>
      </w:r>
      <w:r w:rsidRPr="0037625D">
        <w:t xml:space="preserve">consider </w:t>
      </w:r>
      <w:r>
        <w:t xml:space="preserve">if </w:t>
      </w:r>
      <w:r w:rsidRPr="0037625D">
        <w:t xml:space="preserve">there is a need for re-assessment </w:t>
      </w:r>
      <w:r>
        <w:t>against the assessment criteria</w:t>
      </w:r>
      <w:r w:rsidRPr="0037625D">
        <w:t>.</w:t>
      </w:r>
    </w:p>
    <w:p w14:paraId="3704A37E" w14:textId="77777777" w:rsidR="004376F2" w:rsidRDefault="004376F2" w:rsidP="007475FF">
      <w:pPr>
        <w:pStyle w:val="Paragraph"/>
      </w:pPr>
      <w:r>
        <w:t>As outlined above, in most cases, unless there was a significant detrimental change to the Australian benefit, we would expect that continued access to the filing would be provided, and support for routine filing activities would continue. However, whether support would be provided for other non-routine activities would depend on whether there was a reduction in benefit to Australia.</w:t>
      </w:r>
    </w:p>
    <w:p w14:paraId="4800FBFA" w14:textId="77777777" w:rsidR="004376F2" w:rsidRPr="00B971F8" w:rsidRDefault="004376F2" w:rsidP="004376F2">
      <w:pPr>
        <w:pStyle w:val="Heading2"/>
      </w:pPr>
      <w:bookmarkStart w:id="496" w:name="_Toc306786431"/>
      <w:bookmarkStart w:id="497" w:name="_Toc111546554"/>
      <w:bookmarkStart w:id="498" w:name="_Toc114472721"/>
      <w:bookmarkStart w:id="499" w:name="_Toc128664003"/>
      <w:bookmarkStart w:id="500" w:name="_Toc195092509"/>
      <w:bookmarkStart w:id="501" w:name="_Toc198288085"/>
      <w:r w:rsidRPr="006F2BB2">
        <w:rPr>
          <w:snapToGrid w:val="0"/>
          <w:lang w:eastAsia="en-US"/>
        </w:rPr>
        <w:t xml:space="preserve">Satellite </w:t>
      </w:r>
      <w:r>
        <w:rPr>
          <w:snapToGrid w:val="0"/>
          <w:lang w:eastAsia="en-US"/>
        </w:rPr>
        <w:t>filings</w:t>
      </w:r>
      <w:r w:rsidRPr="006F2BB2">
        <w:rPr>
          <w:snapToGrid w:val="0"/>
          <w:lang w:eastAsia="en-US"/>
        </w:rPr>
        <w:t xml:space="preserve"> relinquished by operator request</w:t>
      </w:r>
      <w:bookmarkEnd w:id="496"/>
      <w:bookmarkEnd w:id="497"/>
      <w:bookmarkEnd w:id="498"/>
      <w:bookmarkEnd w:id="499"/>
      <w:bookmarkEnd w:id="500"/>
      <w:bookmarkEnd w:id="501"/>
    </w:p>
    <w:p w14:paraId="68CF928A" w14:textId="77777777" w:rsidR="004376F2" w:rsidRDefault="004376F2" w:rsidP="00EB726B">
      <w:pPr>
        <w:pStyle w:val="Paragraph"/>
      </w:pPr>
      <w:r w:rsidRPr="00B971F8">
        <w:t xml:space="preserve">Satellite operators are encouraged to inform the ACMA as soon as any satellite </w:t>
      </w:r>
      <w:r>
        <w:t>filing</w:t>
      </w:r>
      <w:r w:rsidRPr="00B971F8">
        <w:t xml:space="preserve"> becomes unnecessary to their requirements or if it becomes obvious that a satellite system is highly unlikely to be successfully coordinated or brought into use.</w:t>
      </w:r>
    </w:p>
    <w:p w14:paraId="52764959" w14:textId="77777777" w:rsidR="00784AF1" w:rsidRPr="00B971F8" w:rsidRDefault="00784AF1" w:rsidP="00784AF1">
      <w:pPr>
        <w:pStyle w:val="Heading1"/>
      </w:pPr>
      <w:bookmarkStart w:id="502" w:name="_Ref132637092"/>
      <w:bookmarkStart w:id="503" w:name="_Ref132637099"/>
      <w:bookmarkStart w:id="504" w:name="_Ref132637346"/>
      <w:bookmarkStart w:id="505" w:name="_Ref132637349"/>
      <w:bookmarkStart w:id="506" w:name="_Toc195092510"/>
      <w:bookmarkStart w:id="507" w:name="_Toc198288086"/>
      <w:r>
        <w:lastRenderedPageBreak/>
        <w:t>Charges</w:t>
      </w:r>
      <w:bookmarkEnd w:id="502"/>
      <w:bookmarkEnd w:id="503"/>
      <w:bookmarkEnd w:id="504"/>
      <w:bookmarkEnd w:id="505"/>
      <w:bookmarkEnd w:id="506"/>
      <w:bookmarkEnd w:id="507"/>
    </w:p>
    <w:p w14:paraId="1EE8C954" w14:textId="77777777" w:rsidR="00784AF1" w:rsidRPr="00B971F8" w:rsidRDefault="00784AF1" w:rsidP="00784AF1">
      <w:pPr>
        <w:pStyle w:val="Heading2"/>
      </w:pPr>
      <w:bookmarkStart w:id="508" w:name="_Toc128664007"/>
      <w:bookmarkStart w:id="509" w:name="_Toc195092511"/>
      <w:bookmarkStart w:id="510" w:name="_Toc198288087"/>
      <w:bookmarkStart w:id="511" w:name="_Toc306786435"/>
      <w:bookmarkStart w:id="512" w:name="_Toc111546558"/>
      <w:bookmarkStart w:id="513" w:name="_Toc114472725"/>
      <w:r w:rsidRPr="00185425">
        <w:t>Assessme</w:t>
      </w:r>
      <w:r w:rsidRPr="00B971F8">
        <w:t>nt of satellite filing applications</w:t>
      </w:r>
      <w:bookmarkEnd w:id="508"/>
      <w:bookmarkEnd w:id="509"/>
      <w:bookmarkEnd w:id="510"/>
      <w:r w:rsidRPr="00B971F8">
        <w:t xml:space="preserve"> </w:t>
      </w:r>
      <w:bookmarkEnd w:id="511"/>
      <w:bookmarkEnd w:id="512"/>
      <w:bookmarkEnd w:id="513"/>
    </w:p>
    <w:p w14:paraId="638067DE" w14:textId="77777777" w:rsidR="00784AF1" w:rsidRDefault="00784AF1" w:rsidP="00784AF1">
      <w:pPr>
        <w:pStyle w:val="Paragraph"/>
      </w:pPr>
      <w:r w:rsidRPr="00B971F8">
        <w:t xml:space="preserve">The ACMA charges </w:t>
      </w:r>
      <w:r w:rsidRPr="00B971F8" w:rsidDel="0050795B">
        <w:t xml:space="preserve">an amount </w:t>
      </w:r>
      <w:r w:rsidRPr="00B971F8">
        <w:t xml:space="preserve">outlined in the </w:t>
      </w:r>
      <w:hyperlink r:id="rId75" w:history="1">
        <w:r w:rsidRPr="00BF58E8">
          <w:rPr>
            <w:rStyle w:val="Hyperlink"/>
          </w:rPr>
          <w:t>Radiocommunications (Charges) Determination 2022</w:t>
        </w:r>
      </w:hyperlink>
      <w:r>
        <w:t xml:space="preserve">, Schedule 1, Part 6 for assessment of a satellite filing application. </w:t>
      </w:r>
    </w:p>
    <w:p w14:paraId="501D8D02" w14:textId="77777777" w:rsidR="00784AF1" w:rsidRDefault="00784AF1" w:rsidP="00784AF1">
      <w:pPr>
        <w:pStyle w:val="Heading3"/>
      </w:pPr>
      <w:bookmarkStart w:id="514" w:name="_Toc195092512"/>
      <w:bookmarkStart w:id="515" w:name="_Toc198288088"/>
      <w:r>
        <w:t>New satellite operators</w:t>
      </w:r>
      <w:bookmarkEnd w:id="514"/>
      <w:bookmarkEnd w:id="515"/>
    </w:p>
    <w:p w14:paraId="18B76C02" w14:textId="77777777" w:rsidR="00784AF1" w:rsidRDefault="00784AF1" w:rsidP="00784AF1">
      <w:pPr>
        <w:pStyle w:val="Paragraph"/>
      </w:pPr>
      <w:r>
        <w:t xml:space="preserve">New satellite operators are charged for an initial assessment and consultation, based on 5 hours of work at the hourly rate. Charges are set out in Part 6 of the </w:t>
      </w:r>
      <w:hyperlink r:id="rId76">
        <w:r w:rsidRPr="4B2AFD95">
          <w:rPr>
            <w:rStyle w:val="Hyperlink"/>
          </w:rPr>
          <w:t>Radiocommunications (Charges) Determination 2022</w:t>
        </w:r>
      </w:hyperlink>
      <w:r>
        <w:t xml:space="preserve">. </w:t>
      </w:r>
      <w:r w:rsidRPr="0029305B">
        <w:t>Additional work is charged at the hourly rate and levied on a quarterly basis</w:t>
      </w:r>
    </w:p>
    <w:p w14:paraId="4FB739E1" w14:textId="77777777" w:rsidR="00784AF1" w:rsidRDefault="00784AF1" w:rsidP="00784AF1">
      <w:pPr>
        <w:pStyle w:val="Paragraph"/>
      </w:pPr>
      <w:r>
        <w:t xml:space="preserve">ACMA general policy is that payment is required for all work charged (invoiced) before a decision on whether to file is made by the approving officer. Exceptions may be made to this policy if the invoice issue date is less than 30 days before the expected decision date. Irrespective of the invoice date, the ACMA will not submit the filing to the ITU unless payment of outstanding charges has been received. </w:t>
      </w:r>
    </w:p>
    <w:p w14:paraId="43344C92" w14:textId="77777777" w:rsidR="00784AF1" w:rsidRDefault="00784AF1" w:rsidP="00784AF1">
      <w:pPr>
        <w:pStyle w:val="Heading3"/>
      </w:pPr>
      <w:bookmarkStart w:id="516" w:name="_Toc195092513"/>
      <w:bookmarkStart w:id="517" w:name="_Toc198288089"/>
      <w:r>
        <w:t>Existing satellite operators</w:t>
      </w:r>
      <w:bookmarkEnd w:id="516"/>
      <w:bookmarkEnd w:id="517"/>
    </w:p>
    <w:p w14:paraId="486A6317" w14:textId="694A1A57" w:rsidR="00784AF1" w:rsidRPr="00B971F8" w:rsidRDefault="00784AF1" w:rsidP="001C30F5">
      <w:pPr>
        <w:pStyle w:val="Paragraph"/>
      </w:pPr>
      <w:r>
        <w:t xml:space="preserve">For existing satellite operators, these charges are included in </w:t>
      </w:r>
      <w:r w:rsidR="001A29EB">
        <w:t xml:space="preserve">the </w:t>
      </w:r>
      <w:r>
        <w:t>ACMA</w:t>
      </w:r>
      <w:r w:rsidR="001A29EB">
        <w:t>’s</w:t>
      </w:r>
      <w:r>
        <w:t xml:space="preserve"> quarterly invoicing for </w:t>
      </w:r>
      <w:r w:rsidR="001A29EB">
        <w:t xml:space="preserve">the </w:t>
      </w:r>
      <w:r>
        <w:t xml:space="preserve">cost recovery work </w:t>
      </w:r>
      <w:r w:rsidR="001A29EB">
        <w:t xml:space="preserve">it </w:t>
      </w:r>
      <w:r>
        <w:t>perform</w:t>
      </w:r>
      <w:r w:rsidR="001A29EB">
        <w:t>s</w:t>
      </w:r>
      <w:r>
        <w:t xml:space="preserve"> (see below). Charges are for the quarter in which the work occurred and, as such, if work spans multiple quarters, charges will be invoiced in the quarter in which the work is undertaken (and not at the completion of the assessment). </w:t>
      </w:r>
    </w:p>
    <w:p w14:paraId="34685255" w14:textId="77777777" w:rsidR="00784AF1" w:rsidRPr="00B971F8" w:rsidRDefault="00784AF1" w:rsidP="00784AF1">
      <w:pPr>
        <w:pStyle w:val="Heading2"/>
      </w:pPr>
      <w:bookmarkStart w:id="518" w:name="_Toc306786436"/>
      <w:bookmarkStart w:id="519" w:name="_Toc111546559"/>
      <w:bookmarkStart w:id="520" w:name="_Toc114472726"/>
      <w:bookmarkStart w:id="521" w:name="_Toc128664008"/>
      <w:bookmarkStart w:id="522" w:name="_Toc195092514"/>
      <w:bookmarkStart w:id="523" w:name="_Toc198288090"/>
      <w:r w:rsidRPr="00185425">
        <w:t>Cost recovery for work performed by the ACMA</w:t>
      </w:r>
      <w:bookmarkEnd w:id="518"/>
      <w:bookmarkEnd w:id="519"/>
      <w:bookmarkEnd w:id="520"/>
      <w:bookmarkEnd w:id="521"/>
      <w:bookmarkEnd w:id="522"/>
      <w:bookmarkEnd w:id="523"/>
    </w:p>
    <w:p w14:paraId="212B4CB7" w14:textId="032B5648" w:rsidR="00784AF1" w:rsidRPr="00B971F8" w:rsidRDefault="00784AF1" w:rsidP="001C30F5">
      <w:pPr>
        <w:pStyle w:val="Paragraph"/>
      </w:pPr>
      <w:r w:rsidRPr="00B971F8">
        <w:t xml:space="preserve">The ACMA recovers its costs for work undertaken on the satellite operator’s behalf on an hourly basis. The amount charged per hour is set out in the </w:t>
      </w:r>
      <w:hyperlink r:id="rId77" w:history="1">
        <w:r w:rsidRPr="00A41A8E">
          <w:rPr>
            <w:rStyle w:val="Hyperlink"/>
          </w:rPr>
          <w:t>Radiocommunications (Charges) Determination 2022</w:t>
        </w:r>
      </w:hyperlink>
      <w:r>
        <w:rPr>
          <w:i/>
          <w:iCs/>
        </w:rPr>
        <w:t xml:space="preserve"> </w:t>
      </w:r>
      <w:r w:rsidRPr="00B971F8">
        <w:rPr>
          <w:iCs/>
        </w:rPr>
        <w:t>and its revisions</w:t>
      </w:r>
      <w:r w:rsidRPr="00B971F8">
        <w:t xml:space="preserve">. The ACMA will raise invoices every quarter. Payment terms will be the ACMA’s standard payment terms set out in the invoice. Failure to comply with the payment terms of the ACMA for </w:t>
      </w:r>
      <w:r>
        <w:t>2</w:t>
      </w:r>
      <w:r w:rsidRPr="00B971F8">
        <w:t xml:space="preserve"> consecutive quarters (or for </w:t>
      </w:r>
      <w:r>
        <w:t>3</w:t>
      </w:r>
      <w:r w:rsidRPr="00B971F8">
        <w:t xml:space="preserve"> non-consecutive quarters) may result in the ACMA ceasing to provide its </w:t>
      </w:r>
      <w:proofErr w:type="gramStart"/>
      <w:r w:rsidRPr="00B971F8">
        <w:t>services</w:t>
      </w:r>
      <w:r w:rsidR="001A29EB">
        <w:t>,</w:t>
      </w:r>
      <w:r w:rsidRPr="00B971F8">
        <w:t xml:space="preserve"> or</w:t>
      </w:r>
      <w:proofErr w:type="gramEnd"/>
      <w:r w:rsidRPr="00B971F8">
        <w:t xml:space="preserve"> taking other action.</w:t>
      </w:r>
    </w:p>
    <w:p w14:paraId="152AC70C" w14:textId="77777777" w:rsidR="00784AF1" w:rsidRPr="00B971F8" w:rsidRDefault="00784AF1" w:rsidP="00784AF1">
      <w:pPr>
        <w:pStyle w:val="Heading2"/>
      </w:pPr>
      <w:bookmarkStart w:id="524" w:name="_Toc306786437"/>
      <w:bookmarkStart w:id="525" w:name="_Toc111546560"/>
      <w:bookmarkStart w:id="526" w:name="_Toc114472727"/>
      <w:bookmarkStart w:id="527" w:name="_Toc128664009"/>
      <w:bookmarkStart w:id="528" w:name="_Ref132207882"/>
      <w:bookmarkStart w:id="529" w:name="_Ref132284546"/>
      <w:bookmarkStart w:id="530" w:name="_Ref132284551"/>
      <w:bookmarkStart w:id="531" w:name="_Toc195092515"/>
      <w:bookmarkStart w:id="532" w:name="_Toc198288091"/>
      <w:r w:rsidRPr="00185425">
        <w:t>ITU cost recovery</w:t>
      </w:r>
      <w:bookmarkEnd w:id="524"/>
      <w:bookmarkEnd w:id="525"/>
      <w:bookmarkEnd w:id="526"/>
      <w:bookmarkEnd w:id="527"/>
      <w:bookmarkEnd w:id="528"/>
      <w:bookmarkEnd w:id="529"/>
      <w:bookmarkEnd w:id="530"/>
      <w:r>
        <w:t>.</w:t>
      </w:r>
      <w:bookmarkEnd w:id="531"/>
      <w:bookmarkEnd w:id="532"/>
      <w:r>
        <w:t xml:space="preserve"> </w:t>
      </w:r>
    </w:p>
    <w:p w14:paraId="2522E48A" w14:textId="77777777" w:rsidR="00784AF1" w:rsidRDefault="00784AF1" w:rsidP="00784AF1">
      <w:pPr>
        <w:pStyle w:val="Paragraph"/>
      </w:pPr>
      <w:r>
        <w:t xml:space="preserve">Before </w:t>
      </w:r>
      <w:r w:rsidRPr="00B971F8">
        <w:t xml:space="preserve">submitting data to the ITU that will attract an ITU </w:t>
      </w:r>
      <w:hyperlink r:id="rId78" w:history="1">
        <w:r w:rsidRPr="00D1650C">
          <w:rPr>
            <w:rStyle w:val="Hyperlink"/>
          </w:rPr>
          <w:t>cost recovery</w:t>
        </w:r>
      </w:hyperlink>
      <w:r>
        <w:t xml:space="preserve"> </w:t>
      </w:r>
      <w:r w:rsidRPr="00B971F8">
        <w:t>fee</w:t>
      </w:r>
      <w:r>
        <w:t xml:space="preserve"> in accordance with ITU Council Decision 482 (as modified from time to time), t</w:t>
      </w:r>
      <w:r w:rsidRPr="00B971F8">
        <w:t xml:space="preserve">he ACMA will raise an invoice for an estimate of the </w:t>
      </w:r>
      <w:r>
        <w:t xml:space="preserve">ITU cost recovery </w:t>
      </w:r>
      <w:r w:rsidRPr="00B971F8">
        <w:t>fees in Australian dollars. This estimate will include an amount to cover currency fluctuations. This money will be held in trust by the ACMA until the payment is made.</w:t>
      </w:r>
      <w:r w:rsidRPr="00B971F8">
        <w:rPr>
          <w:vertAlign w:val="superscript"/>
        </w:rPr>
        <w:footnoteReference w:id="33"/>
      </w:r>
      <w:r w:rsidRPr="00B971F8">
        <w:t xml:space="preserve"> After the payment is made, the satellite operator will be credited the difference between the actual fee and the amount held in trust if it is </w:t>
      </w:r>
      <w:proofErr w:type="gramStart"/>
      <w:r w:rsidRPr="00B971F8">
        <w:t>greater</w:t>
      </w:r>
      <w:r>
        <w:t>,</w:t>
      </w:r>
      <w:r w:rsidRPr="00B971F8">
        <w:t xml:space="preserve"> </w:t>
      </w:r>
      <w:r>
        <w:t>or</w:t>
      </w:r>
      <w:proofErr w:type="gramEnd"/>
      <w:r w:rsidRPr="00B971F8">
        <w:t xml:space="preserve"> charged for the difference if it is less.</w:t>
      </w:r>
    </w:p>
    <w:p w14:paraId="46A6390E" w14:textId="77777777" w:rsidR="00784AF1" w:rsidRDefault="00784AF1" w:rsidP="00784AF1">
      <w:pPr>
        <w:pStyle w:val="Paragraph"/>
      </w:pPr>
      <w:r>
        <w:t>ITU fees can be paid in advance to avoid delays in submitting after a filing has been approved.</w:t>
      </w:r>
    </w:p>
    <w:p w14:paraId="5CB94FE1" w14:textId="77777777" w:rsidR="00784AF1" w:rsidRPr="00B971F8" w:rsidRDefault="00784AF1" w:rsidP="00EB726B">
      <w:pPr>
        <w:pStyle w:val="Paragraph"/>
      </w:pPr>
    </w:p>
    <w:p w14:paraId="03F60FDA" w14:textId="08E2A4DD" w:rsidR="00240CE9" w:rsidRPr="00A17B1B" w:rsidRDefault="00FF3C69" w:rsidP="00AA2372">
      <w:pPr>
        <w:pStyle w:val="Heading1"/>
        <w:numPr>
          <w:ilvl w:val="0"/>
          <w:numId w:val="0"/>
        </w:numPr>
        <w:ind w:left="432" w:hanging="432"/>
      </w:pPr>
      <w:bookmarkStart w:id="533" w:name="_Toc348105641"/>
      <w:bookmarkStart w:id="534" w:name="_Ref195189766"/>
      <w:bookmarkStart w:id="535" w:name="_Toc198288092"/>
      <w:r w:rsidRPr="00A17B1B">
        <w:lastRenderedPageBreak/>
        <w:t>Appendix A</w:t>
      </w:r>
      <w:bookmarkEnd w:id="533"/>
      <w:r w:rsidR="00DF0799" w:rsidRPr="00A17B1B">
        <w:t xml:space="preserve">: </w:t>
      </w:r>
      <w:r w:rsidR="00436A7B">
        <w:t>Best</w:t>
      </w:r>
      <w:r w:rsidR="005D4D61">
        <w:t>-practice milestones</w:t>
      </w:r>
      <w:bookmarkEnd w:id="534"/>
      <w:bookmarkEnd w:id="535"/>
    </w:p>
    <w:p w14:paraId="3DB3E051" w14:textId="77777777" w:rsidR="00436A7B" w:rsidRPr="001472B3" w:rsidRDefault="00436A7B" w:rsidP="00436A7B">
      <w:pPr>
        <w:pStyle w:val="Tableheading"/>
        <w:spacing w:line="240" w:lineRule="atLeast"/>
      </w:pPr>
      <w:bookmarkStart w:id="536" w:name="_Ref252180634"/>
      <w:r w:rsidRPr="001C4018">
        <w:t>Milestones</w:t>
      </w:r>
      <w:bookmarkEnd w:id="536"/>
    </w:p>
    <w:tbl>
      <w:tblPr>
        <w:tblStyle w:val="ACMAtablestyle"/>
        <w:tblW w:w="5000" w:type="pct"/>
        <w:tblCellMar>
          <w:left w:w="85" w:type="dxa"/>
          <w:right w:w="85" w:type="dxa"/>
        </w:tblCellMar>
        <w:tblLook w:val="01E0" w:firstRow="1" w:lastRow="1" w:firstColumn="1" w:lastColumn="1" w:noHBand="0" w:noVBand="0"/>
        <w:tblCaption w:val="Table title to go here"/>
        <w:tblDescription w:val="Table description to go here"/>
      </w:tblPr>
      <w:tblGrid>
        <w:gridCol w:w="6699"/>
        <w:gridCol w:w="2361"/>
      </w:tblGrid>
      <w:tr w:rsidR="00436A7B" w:rsidRPr="00E162C4" w14:paraId="2CE52F49" w14:textId="77777777" w:rsidTr="00275E92">
        <w:trPr>
          <w:cnfStyle w:val="100000000000" w:firstRow="1" w:lastRow="0" w:firstColumn="0" w:lastColumn="0" w:oddVBand="0" w:evenVBand="0" w:oddHBand="0" w:evenHBand="0" w:firstRowFirstColumn="0" w:firstRowLastColumn="0" w:lastRowFirstColumn="0" w:lastRowLastColumn="0"/>
        </w:trPr>
        <w:tc>
          <w:tcPr>
            <w:tcW w:w="3697" w:type="pct"/>
          </w:tcPr>
          <w:p w14:paraId="38B159C8" w14:textId="77777777" w:rsidR="00436A7B" w:rsidRPr="00E162C4" w:rsidRDefault="00436A7B" w:rsidP="00275E92">
            <w:pPr>
              <w:pStyle w:val="Tableheaderrow"/>
            </w:pPr>
            <w:r>
              <w:t>Milestone</w:t>
            </w:r>
          </w:p>
        </w:tc>
        <w:tc>
          <w:tcPr>
            <w:tcW w:w="1303" w:type="pct"/>
          </w:tcPr>
          <w:p w14:paraId="06CE216E" w14:textId="77777777" w:rsidR="00436A7B" w:rsidRPr="00E162C4" w:rsidRDefault="00436A7B" w:rsidP="00275E92">
            <w:pPr>
              <w:pStyle w:val="Tableheaderrow"/>
            </w:pPr>
            <w:r>
              <w:t>Completion date</w:t>
            </w:r>
            <w:r w:rsidRPr="00FD05E1">
              <w:rPr>
                <w:rStyle w:val="FootnoteReference"/>
                <w:b w:val="0"/>
                <w:bCs/>
              </w:rPr>
              <w:footnoteReference w:id="34"/>
            </w:r>
          </w:p>
        </w:tc>
      </w:tr>
      <w:tr w:rsidR="00436A7B" w:rsidRPr="00E162C4" w14:paraId="3E317E1A" w14:textId="77777777" w:rsidTr="00275E92">
        <w:trPr>
          <w:cnfStyle w:val="000000100000" w:firstRow="0" w:lastRow="0" w:firstColumn="0" w:lastColumn="0" w:oddVBand="0" w:evenVBand="0" w:oddHBand="1" w:evenHBand="0" w:firstRowFirstColumn="0" w:firstRowLastColumn="0" w:lastRowFirstColumn="0" w:lastRowLastColumn="0"/>
        </w:trPr>
        <w:tc>
          <w:tcPr>
            <w:tcW w:w="3697" w:type="pct"/>
            <w:shd w:val="clear" w:color="auto" w:fill="auto"/>
          </w:tcPr>
          <w:p w14:paraId="6F53D171" w14:textId="77777777" w:rsidR="00436A7B" w:rsidRPr="001C30F5" w:rsidRDefault="00436A7B" w:rsidP="00275E92">
            <w:pPr>
              <w:spacing w:after="120"/>
              <w:rPr>
                <w:rFonts w:cs="Arial"/>
                <w:sz w:val="22"/>
                <w:szCs w:val="22"/>
              </w:rPr>
            </w:pPr>
            <w:r w:rsidRPr="001C30F5">
              <w:rPr>
                <w:rFonts w:cs="Arial"/>
                <w:sz w:val="22"/>
                <w:szCs w:val="22"/>
              </w:rPr>
              <w:t>Initial contact with administrations for which coordination is required.</w:t>
            </w:r>
          </w:p>
          <w:p w14:paraId="7D96D8A7" w14:textId="77777777" w:rsidR="00436A7B" w:rsidRPr="001A29EB" w:rsidRDefault="00436A7B" w:rsidP="00275E92">
            <w:pPr>
              <w:pStyle w:val="TableBody"/>
              <w:rPr>
                <w:szCs w:val="22"/>
              </w:rPr>
            </w:pPr>
            <w:r w:rsidRPr="001A29EB">
              <w:rPr>
                <w:rFonts w:cs="Arial"/>
                <w:szCs w:val="22"/>
              </w:rPr>
              <w:t>Analysis of the potential for harmful interference and future coordination strategy.</w:t>
            </w:r>
          </w:p>
        </w:tc>
        <w:tc>
          <w:tcPr>
            <w:tcW w:w="1303" w:type="pct"/>
            <w:shd w:val="clear" w:color="auto" w:fill="auto"/>
          </w:tcPr>
          <w:p w14:paraId="1F028192" w14:textId="77777777" w:rsidR="00436A7B" w:rsidRPr="001A29EB" w:rsidRDefault="00436A7B" w:rsidP="00275E92">
            <w:pPr>
              <w:pStyle w:val="TableBody"/>
              <w:rPr>
                <w:szCs w:val="22"/>
              </w:rPr>
            </w:pPr>
            <w:r w:rsidRPr="001A29EB">
              <w:rPr>
                <w:szCs w:val="22"/>
              </w:rPr>
              <w:t>1 year</w:t>
            </w:r>
          </w:p>
        </w:tc>
      </w:tr>
      <w:tr w:rsidR="00436A7B" w:rsidRPr="00E162C4" w14:paraId="17B4353F" w14:textId="77777777" w:rsidTr="00275E92">
        <w:trPr>
          <w:cnfStyle w:val="000000010000" w:firstRow="0" w:lastRow="0" w:firstColumn="0" w:lastColumn="0" w:oddVBand="0" w:evenVBand="0" w:oddHBand="0" w:evenHBand="1" w:firstRowFirstColumn="0" w:firstRowLastColumn="0" w:lastRowFirstColumn="0" w:lastRowLastColumn="0"/>
        </w:trPr>
        <w:tc>
          <w:tcPr>
            <w:tcW w:w="3697" w:type="pct"/>
          </w:tcPr>
          <w:p w14:paraId="0BBF90E7" w14:textId="77777777" w:rsidR="00436A7B" w:rsidRPr="001A29EB" w:rsidRDefault="00436A7B" w:rsidP="00275E92">
            <w:pPr>
              <w:pStyle w:val="TableBody"/>
              <w:rPr>
                <w:szCs w:val="22"/>
              </w:rPr>
            </w:pPr>
            <w:r w:rsidRPr="001A29EB">
              <w:rPr>
                <w:rFonts w:cs="Arial"/>
                <w:szCs w:val="22"/>
              </w:rPr>
              <w:t>Analysis of the potential for harmful interference and future coordination strategy.</w:t>
            </w:r>
          </w:p>
        </w:tc>
        <w:tc>
          <w:tcPr>
            <w:tcW w:w="1303" w:type="pct"/>
          </w:tcPr>
          <w:p w14:paraId="4F269F25" w14:textId="77777777" w:rsidR="00436A7B" w:rsidRPr="001A29EB" w:rsidRDefault="00436A7B" w:rsidP="00275E92">
            <w:pPr>
              <w:pStyle w:val="TableBody"/>
              <w:rPr>
                <w:szCs w:val="22"/>
              </w:rPr>
            </w:pPr>
            <w:r w:rsidRPr="001A29EB">
              <w:rPr>
                <w:szCs w:val="22"/>
              </w:rPr>
              <w:t>2 years</w:t>
            </w:r>
          </w:p>
        </w:tc>
      </w:tr>
      <w:tr w:rsidR="00436A7B" w:rsidRPr="00E162C4" w14:paraId="5A14783C" w14:textId="77777777" w:rsidTr="00275E92">
        <w:trPr>
          <w:cnfStyle w:val="000000100000" w:firstRow="0" w:lastRow="0" w:firstColumn="0" w:lastColumn="0" w:oddVBand="0" w:evenVBand="0" w:oddHBand="1" w:evenHBand="0" w:firstRowFirstColumn="0" w:firstRowLastColumn="0" w:lastRowFirstColumn="0" w:lastRowLastColumn="0"/>
        </w:trPr>
        <w:tc>
          <w:tcPr>
            <w:tcW w:w="3697" w:type="pct"/>
            <w:shd w:val="clear" w:color="auto" w:fill="auto"/>
          </w:tcPr>
          <w:p w14:paraId="776B6D74" w14:textId="77777777" w:rsidR="00436A7B" w:rsidRPr="001A29EB" w:rsidRDefault="00436A7B" w:rsidP="00275E92">
            <w:pPr>
              <w:pStyle w:val="TableBody"/>
              <w:rPr>
                <w:szCs w:val="22"/>
              </w:rPr>
            </w:pPr>
            <w:r w:rsidRPr="001A29EB">
              <w:rPr>
                <w:rFonts w:cs="Arial"/>
                <w:szCs w:val="22"/>
              </w:rPr>
              <w:t>Analysis of the potential for harmful interference and future coordination strategy.</w:t>
            </w:r>
          </w:p>
        </w:tc>
        <w:tc>
          <w:tcPr>
            <w:tcW w:w="1303" w:type="pct"/>
            <w:shd w:val="clear" w:color="auto" w:fill="auto"/>
          </w:tcPr>
          <w:p w14:paraId="6F52E47D" w14:textId="77777777" w:rsidR="00436A7B" w:rsidRPr="001A29EB" w:rsidRDefault="00436A7B" w:rsidP="00275E92">
            <w:pPr>
              <w:pStyle w:val="TableBody"/>
              <w:rPr>
                <w:szCs w:val="22"/>
              </w:rPr>
            </w:pPr>
            <w:r w:rsidRPr="001A29EB">
              <w:rPr>
                <w:szCs w:val="22"/>
              </w:rPr>
              <w:t>3 years</w:t>
            </w:r>
          </w:p>
        </w:tc>
      </w:tr>
      <w:tr w:rsidR="00436A7B" w:rsidRPr="00E162C4" w14:paraId="096B686F" w14:textId="77777777" w:rsidTr="00275E92">
        <w:trPr>
          <w:cnfStyle w:val="000000010000" w:firstRow="0" w:lastRow="0" w:firstColumn="0" w:lastColumn="0" w:oddVBand="0" w:evenVBand="0" w:oddHBand="0" w:evenHBand="1" w:firstRowFirstColumn="0" w:firstRowLastColumn="0" w:lastRowFirstColumn="0" w:lastRowLastColumn="0"/>
        </w:trPr>
        <w:tc>
          <w:tcPr>
            <w:tcW w:w="3697" w:type="pct"/>
          </w:tcPr>
          <w:p w14:paraId="5E557421" w14:textId="77777777" w:rsidR="00436A7B" w:rsidRPr="001C30F5" w:rsidRDefault="00436A7B" w:rsidP="00275E92">
            <w:pPr>
              <w:spacing w:after="120"/>
              <w:rPr>
                <w:rFonts w:cs="Arial"/>
                <w:sz w:val="22"/>
                <w:szCs w:val="22"/>
              </w:rPr>
            </w:pPr>
            <w:r w:rsidRPr="001C30F5">
              <w:rPr>
                <w:rFonts w:cs="Arial"/>
                <w:sz w:val="22"/>
                <w:szCs w:val="22"/>
              </w:rPr>
              <w:t>Launch contract signing, in the case of a service to be provided by a newly launched satellite.</w:t>
            </w:r>
          </w:p>
          <w:p w14:paraId="0F550A21" w14:textId="77777777" w:rsidR="00436A7B" w:rsidRPr="001C30F5" w:rsidRDefault="00436A7B" w:rsidP="00275E92">
            <w:pPr>
              <w:spacing w:after="120"/>
              <w:rPr>
                <w:rFonts w:cs="Arial"/>
                <w:sz w:val="22"/>
                <w:szCs w:val="22"/>
              </w:rPr>
            </w:pPr>
            <w:r w:rsidRPr="001C30F5">
              <w:rPr>
                <w:rFonts w:cs="Arial"/>
                <w:sz w:val="22"/>
                <w:szCs w:val="22"/>
              </w:rPr>
              <w:t>Satellite contract signing, in the case of a service to be provided by a newly launched satellite.</w:t>
            </w:r>
          </w:p>
          <w:p w14:paraId="4C725C4B" w14:textId="77777777" w:rsidR="00436A7B" w:rsidRPr="001C30F5" w:rsidRDefault="00436A7B" w:rsidP="00275E92">
            <w:pPr>
              <w:spacing w:after="120"/>
              <w:rPr>
                <w:rFonts w:cs="Arial"/>
                <w:sz w:val="22"/>
                <w:szCs w:val="22"/>
              </w:rPr>
            </w:pPr>
            <w:r w:rsidRPr="001C30F5">
              <w:rPr>
                <w:rFonts w:cs="Arial"/>
                <w:sz w:val="22"/>
                <w:szCs w:val="22"/>
              </w:rPr>
              <w:t>Notice of intent to relocate an existing satellite, in the case of a service to be provided by a satellite already in operation at another location.</w:t>
            </w:r>
          </w:p>
          <w:p w14:paraId="5A4B8DF3" w14:textId="77777777" w:rsidR="00436A7B" w:rsidRPr="001C30F5" w:rsidRDefault="00436A7B" w:rsidP="00275E92">
            <w:pPr>
              <w:spacing w:after="120"/>
              <w:rPr>
                <w:rFonts w:cs="Arial"/>
                <w:sz w:val="22"/>
                <w:szCs w:val="22"/>
              </w:rPr>
            </w:pPr>
            <w:r w:rsidRPr="001C30F5">
              <w:rPr>
                <w:rFonts w:cs="Arial"/>
                <w:sz w:val="22"/>
                <w:szCs w:val="22"/>
              </w:rPr>
              <w:t>Resolution 49 data submitted to ITU.</w:t>
            </w:r>
          </w:p>
          <w:p w14:paraId="1F9181EA" w14:textId="77777777" w:rsidR="00436A7B" w:rsidRPr="001A29EB" w:rsidRDefault="00436A7B" w:rsidP="00275E92">
            <w:pPr>
              <w:pStyle w:val="TableBody"/>
              <w:rPr>
                <w:rFonts w:cs="Arial"/>
                <w:szCs w:val="22"/>
              </w:rPr>
            </w:pPr>
            <w:r w:rsidRPr="001A29EB">
              <w:rPr>
                <w:rFonts w:cs="Arial"/>
                <w:szCs w:val="22"/>
              </w:rPr>
              <w:t>Analysis of the potential for harmful interference and future coordination strategy.</w:t>
            </w:r>
          </w:p>
        </w:tc>
        <w:tc>
          <w:tcPr>
            <w:tcW w:w="1303" w:type="pct"/>
          </w:tcPr>
          <w:p w14:paraId="2C31B14C" w14:textId="77777777" w:rsidR="00436A7B" w:rsidRPr="001A29EB" w:rsidRDefault="00436A7B" w:rsidP="00275E92">
            <w:pPr>
              <w:pStyle w:val="TableBody"/>
              <w:rPr>
                <w:szCs w:val="22"/>
              </w:rPr>
            </w:pPr>
            <w:r w:rsidRPr="001A29EB">
              <w:rPr>
                <w:szCs w:val="22"/>
              </w:rPr>
              <w:t>4 years</w:t>
            </w:r>
          </w:p>
        </w:tc>
      </w:tr>
      <w:tr w:rsidR="00436A7B" w:rsidRPr="00E162C4" w14:paraId="30E38BDE" w14:textId="77777777" w:rsidTr="00275E92">
        <w:trPr>
          <w:cnfStyle w:val="000000100000" w:firstRow="0" w:lastRow="0" w:firstColumn="0" w:lastColumn="0" w:oddVBand="0" w:evenVBand="0" w:oddHBand="1" w:evenHBand="0" w:firstRowFirstColumn="0" w:firstRowLastColumn="0" w:lastRowFirstColumn="0" w:lastRowLastColumn="0"/>
        </w:trPr>
        <w:tc>
          <w:tcPr>
            <w:tcW w:w="3697" w:type="pct"/>
            <w:shd w:val="clear" w:color="auto" w:fill="auto"/>
          </w:tcPr>
          <w:p w14:paraId="78922A29" w14:textId="77777777" w:rsidR="00436A7B" w:rsidRPr="001A29EB" w:rsidRDefault="00436A7B" w:rsidP="00275E92">
            <w:pPr>
              <w:pStyle w:val="TableBody"/>
              <w:tabs>
                <w:tab w:val="left" w:pos="539"/>
              </w:tabs>
              <w:rPr>
                <w:rFonts w:cs="Arial"/>
                <w:szCs w:val="22"/>
              </w:rPr>
            </w:pPr>
            <w:r w:rsidRPr="001A29EB">
              <w:rPr>
                <w:rFonts w:cs="Arial"/>
                <w:szCs w:val="22"/>
              </w:rPr>
              <w:t>Analysis of the potential for harmful interference and future coordination strategy.</w:t>
            </w:r>
          </w:p>
        </w:tc>
        <w:tc>
          <w:tcPr>
            <w:tcW w:w="1303" w:type="pct"/>
            <w:shd w:val="clear" w:color="auto" w:fill="auto"/>
          </w:tcPr>
          <w:p w14:paraId="1A685DCF" w14:textId="77777777" w:rsidR="00436A7B" w:rsidRPr="001A29EB" w:rsidRDefault="00436A7B" w:rsidP="00275E92">
            <w:pPr>
              <w:pStyle w:val="TableBody"/>
              <w:rPr>
                <w:szCs w:val="22"/>
              </w:rPr>
            </w:pPr>
            <w:r w:rsidRPr="001A29EB">
              <w:rPr>
                <w:szCs w:val="22"/>
              </w:rPr>
              <w:t>5 years</w:t>
            </w:r>
          </w:p>
        </w:tc>
      </w:tr>
      <w:tr w:rsidR="00436A7B" w:rsidRPr="00E162C4" w14:paraId="460F878E" w14:textId="77777777" w:rsidTr="00275E92">
        <w:trPr>
          <w:cnfStyle w:val="000000010000" w:firstRow="0" w:lastRow="0" w:firstColumn="0" w:lastColumn="0" w:oddVBand="0" w:evenVBand="0" w:oddHBand="0" w:evenHBand="1" w:firstRowFirstColumn="0" w:firstRowLastColumn="0" w:lastRowFirstColumn="0" w:lastRowLastColumn="0"/>
        </w:trPr>
        <w:tc>
          <w:tcPr>
            <w:tcW w:w="3697" w:type="pct"/>
          </w:tcPr>
          <w:p w14:paraId="247989EF" w14:textId="77777777" w:rsidR="00436A7B" w:rsidRPr="001A29EB" w:rsidRDefault="00436A7B" w:rsidP="00275E92">
            <w:pPr>
              <w:pStyle w:val="TableBody"/>
              <w:rPr>
                <w:rFonts w:cs="Arial"/>
                <w:szCs w:val="22"/>
              </w:rPr>
            </w:pPr>
            <w:r w:rsidRPr="001A29EB">
              <w:rPr>
                <w:rFonts w:cs="Arial"/>
                <w:szCs w:val="22"/>
              </w:rPr>
              <w:t>Analysis of the potential for harmful interference and future coordination strategy.</w:t>
            </w:r>
          </w:p>
        </w:tc>
        <w:tc>
          <w:tcPr>
            <w:tcW w:w="1303" w:type="pct"/>
          </w:tcPr>
          <w:p w14:paraId="65AD57D6" w14:textId="77777777" w:rsidR="00436A7B" w:rsidRPr="001A29EB" w:rsidRDefault="00436A7B" w:rsidP="00275E92">
            <w:pPr>
              <w:pStyle w:val="TableBody"/>
              <w:rPr>
                <w:szCs w:val="22"/>
              </w:rPr>
            </w:pPr>
            <w:r w:rsidRPr="001A29EB">
              <w:rPr>
                <w:rFonts w:cs="Arial"/>
                <w:szCs w:val="22"/>
              </w:rPr>
              <w:t xml:space="preserve">6 years </w:t>
            </w:r>
            <w:r w:rsidRPr="001A29EB">
              <w:rPr>
                <w:rFonts w:cs="Arial"/>
                <w:szCs w:val="22"/>
              </w:rPr>
              <w:br/>
              <w:t>(7 years for planned bands)</w:t>
            </w:r>
          </w:p>
        </w:tc>
      </w:tr>
      <w:tr w:rsidR="00436A7B" w:rsidRPr="00E162C4" w14:paraId="5B0CDA80" w14:textId="77777777" w:rsidTr="00275E92">
        <w:trPr>
          <w:cnfStyle w:val="000000100000" w:firstRow="0" w:lastRow="0" w:firstColumn="0" w:lastColumn="0" w:oddVBand="0" w:evenVBand="0" w:oddHBand="1" w:evenHBand="0" w:firstRowFirstColumn="0" w:firstRowLastColumn="0" w:lastRowFirstColumn="0" w:lastRowLastColumn="0"/>
        </w:trPr>
        <w:tc>
          <w:tcPr>
            <w:tcW w:w="3697" w:type="pct"/>
            <w:shd w:val="clear" w:color="auto" w:fill="auto"/>
          </w:tcPr>
          <w:p w14:paraId="5CD0321E" w14:textId="77777777" w:rsidR="00436A7B" w:rsidRPr="001C30F5" w:rsidRDefault="00436A7B" w:rsidP="00275E92">
            <w:pPr>
              <w:spacing w:after="120"/>
              <w:rPr>
                <w:rFonts w:cs="Arial"/>
                <w:sz w:val="22"/>
                <w:szCs w:val="22"/>
              </w:rPr>
            </w:pPr>
            <w:r w:rsidRPr="001C30F5">
              <w:rPr>
                <w:rFonts w:cs="Arial"/>
                <w:sz w:val="22"/>
                <w:szCs w:val="22"/>
              </w:rPr>
              <w:t>Satellite launch, in the case of a service to be provided by a newly launched satellite.</w:t>
            </w:r>
            <w:r w:rsidRPr="001C30F5">
              <w:rPr>
                <w:rFonts w:cs="Arial"/>
                <w:sz w:val="22"/>
                <w:szCs w:val="22"/>
                <w:vertAlign w:val="superscript"/>
              </w:rPr>
              <w:t xml:space="preserve"> </w:t>
            </w:r>
          </w:p>
          <w:p w14:paraId="3A1F9971" w14:textId="77777777" w:rsidR="00436A7B" w:rsidRPr="001C30F5" w:rsidRDefault="00436A7B" w:rsidP="00275E92">
            <w:pPr>
              <w:spacing w:after="120"/>
              <w:rPr>
                <w:rFonts w:cs="Arial"/>
                <w:sz w:val="22"/>
                <w:szCs w:val="22"/>
              </w:rPr>
            </w:pPr>
            <w:r w:rsidRPr="001C30F5">
              <w:rPr>
                <w:rFonts w:cs="Arial"/>
                <w:sz w:val="22"/>
                <w:szCs w:val="22"/>
              </w:rPr>
              <w:t>System operational in accordance with the parameters of the ITU satellite filing.</w:t>
            </w:r>
          </w:p>
          <w:p w14:paraId="694E5725" w14:textId="77777777" w:rsidR="00436A7B" w:rsidRPr="001C30F5" w:rsidRDefault="00436A7B" w:rsidP="00275E92">
            <w:pPr>
              <w:spacing w:after="120"/>
              <w:rPr>
                <w:rFonts w:cs="Arial"/>
                <w:sz w:val="22"/>
                <w:szCs w:val="22"/>
              </w:rPr>
            </w:pPr>
            <w:r w:rsidRPr="001C30F5">
              <w:rPr>
                <w:rFonts w:cs="Arial"/>
                <w:sz w:val="22"/>
                <w:szCs w:val="22"/>
              </w:rPr>
              <w:t>Initial notification data submitted.</w:t>
            </w:r>
          </w:p>
          <w:p w14:paraId="7D721123" w14:textId="77777777" w:rsidR="00436A7B" w:rsidRPr="001C30F5" w:rsidRDefault="00436A7B" w:rsidP="00275E92">
            <w:pPr>
              <w:spacing w:after="120"/>
              <w:rPr>
                <w:rFonts w:cs="Arial"/>
                <w:sz w:val="22"/>
                <w:szCs w:val="22"/>
              </w:rPr>
            </w:pPr>
            <w:r w:rsidRPr="001C30F5">
              <w:rPr>
                <w:rFonts w:cs="Arial"/>
                <w:sz w:val="22"/>
                <w:szCs w:val="22"/>
              </w:rPr>
              <w:t>Relevant radiocommunications licences obtained.</w:t>
            </w:r>
          </w:p>
          <w:p w14:paraId="1C085EBB" w14:textId="77777777" w:rsidR="00436A7B" w:rsidRPr="001A29EB" w:rsidRDefault="00436A7B" w:rsidP="00275E92">
            <w:pPr>
              <w:pStyle w:val="TableBody"/>
              <w:rPr>
                <w:rFonts w:cs="Arial"/>
                <w:szCs w:val="22"/>
              </w:rPr>
            </w:pPr>
            <w:r w:rsidRPr="001A29EB">
              <w:rPr>
                <w:rFonts w:cs="Arial"/>
                <w:szCs w:val="22"/>
              </w:rPr>
              <w:t>Analysis of the potential for harmful interference and future coordination strategy.</w:t>
            </w:r>
          </w:p>
        </w:tc>
        <w:tc>
          <w:tcPr>
            <w:tcW w:w="1303" w:type="pct"/>
            <w:shd w:val="clear" w:color="auto" w:fill="auto"/>
          </w:tcPr>
          <w:p w14:paraId="0826FEE2" w14:textId="77777777" w:rsidR="00436A7B" w:rsidRPr="001A29EB" w:rsidRDefault="00436A7B" w:rsidP="00275E92">
            <w:pPr>
              <w:pStyle w:val="TableBody"/>
              <w:rPr>
                <w:szCs w:val="22"/>
              </w:rPr>
            </w:pPr>
            <w:r w:rsidRPr="001A29EB">
              <w:rPr>
                <w:rFonts w:cs="Arial"/>
                <w:szCs w:val="22"/>
              </w:rPr>
              <w:t xml:space="preserve">7 years </w:t>
            </w:r>
            <w:r w:rsidRPr="001A29EB">
              <w:rPr>
                <w:rFonts w:cs="Arial"/>
                <w:szCs w:val="22"/>
              </w:rPr>
              <w:br/>
              <w:t>(8 years for planned bands)</w:t>
            </w:r>
          </w:p>
        </w:tc>
      </w:tr>
    </w:tbl>
    <w:p w14:paraId="17273566" w14:textId="77777777" w:rsidR="00436A7B" w:rsidRPr="00B971F8" w:rsidRDefault="00436A7B" w:rsidP="00436A7B"/>
    <w:p w14:paraId="11CAD499" w14:textId="19C1DFD0" w:rsidR="00FF3C69" w:rsidRPr="00A17B1B" w:rsidRDefault="00FF3C69" w:rsidP="00436A7B">
      <w:pPr>
        <w:pStyle w:val="Paragraph"/>
      </w:pPr>
    </w:p>
    <w:sectPr w:rsidR="00FF3C69" w:rsidRPr="00A17B1B" w:rsidSect="005A62E5">
      <w:headerReference w:type="even" r:id="rId79"/>
      <w:headerReference w:type="default" r:id="rId80"/>
      <w:footerReference w:type="even" r:id="rId81"/>
      <w:footerReference w:type="default" r:id="rId82"/>
      <w:pgSz w:w="11906" w:h="16838" w:code="9"/>
      <w:pgMar w:top="1418" w:right="1418" w:bottom="1134" w:left="1418"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2CA964" w14:textId="77777777" w:rsidR="00B00BAB" w:rsidRDefault="00B00BAB">
      <w:r>
        <w:separator/>
      </w:r>
    </w:p>
  </w:endnote>
  <w:endnote w:type="continuationSeparator" w:id="0">
    <w:p w14:paraId="7259C2D8" w14:textId="77777777" w:rsidR="00B00BAB" w:rsidRDefault="00B00B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B57AB0" w14:textId="77777777" w:rsidR="005E250B" w:rsidRDefault="005E250B" w:rsidP="005E250B">
    <w:pPr>
      <w:pStyle w:val="Footer"/>
      <w:jc w:val="right"/>
    </w:pPr>
    <w:r w:rsidRPr="005E250B">
      <w:rPr>
        <w:noProof/>
        <w:vertAlign w:val="subscript"/>
      </w:rPr>
      <w:drawing>
        <wp:inline distT="0" distB="0" distL="0" distR="0" wp14:anchorId="491F3937" wp14:editId="4DE2C733">
          <wp:extent cx="1066800" cy="277368"/>
          <wp:effectExtent l="0" t="0" r="0" b="0"/>
          <wp:docPr id="1024414204" name="Picture 1024414204"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734DCC"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02F269"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6E88E5"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1C86834C"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40091D"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62AA9040"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C25AD2" w14:textId="77777777" w:rsidR="00C053A1" w:rsidRPr="005A62E5" w:rsidRDefault="005A62E5" w:rsidP="005A62E5">
    <w:pPr>
      <w:pStyle w:val="Header"/>
      <w:tabs>
        <w:tab w:val="clear" w:pos="4153"/>
        <w:tab w:val="clear" w:pos="8306"/>
        <w:tab w:val="right" w:pos="9072"/>
      </w:tabs>
      <w:rPr>
        <w:noProof/>
        <w:sz w:val="20"/>
      </w:rPr>
    </w:pPr>
    <w:r>
      <w:rPr>
        <w:color w:val="505050"/>
      </w:rPr>
      <w:t>Australian Communications and Media Authority</w:t>
    </w:r>
    <w:r>
      <w:rPr>
        <w:color w:val="505050"/>
      </w:rPr>
      <w:tab/>
    </w:r>
    <w:r w:rsidRPr="005A62E5">
      <w:rPr>
        <w:color w:val="505050"/>
      </w:rPr>
      <w:fldChar w:fldCharType="begin"/>
    </w:r>
    <w:r w:rsidRPr="005A62E5">
      <w:rPr>
        <w:color w:val="505050"/>
      </w:rPr>
      <w:instrText xml:space="preserve"> PAGE   \* MERGEFORMAT </w:instrText>
    </w:r>
    <w:r w:rsidRPr="005A62E5">
      <w:rPr>
        <w:color w:val="505050"/>
      </w:rPr>
      <w:fldChar w:fldCharType="separate"/>
    </w:r>
    <w:r w:rsidRPr="005A62E5">
      <w:rPr>
        <w:noProof/>
        <w:color w:val="505050"/>
      </w:rPr>
      <w:t>1</w:t>
    </w:r>
    <w:r w:rsidRPr="005A62E5">
      <w:rPr>
        <w:noProof/>
        <w:color w:val="50505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28F37E"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30516885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F552F8"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72649357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CA381A" w14:textId="77777777" w:rsidR="00B00BAB" w:rsidRDefault="00B00BAB" w:rsidP="00DB3A64">
      <w:pPr>
        <w:spacing w:after="0"/>
      </w:pPr>
      <w:r>
        <w:separator/>
      </w:r>
    </w:p>
  </w:footnote>
  <w:footnote w:type="continuationSeparator" w:id="0">
    <w:p w14:paraId="5C0FFAEF" w14:textId="77777777" w:rsidR="00B00BAB" w:rsidRDefault="00B00BAB">
      <w:r>
        <w:continuationSeparator/>
      </w:r>
    </w:p>
  </w:footnote>
  <w:footnote w:id="1">
    <w:p w14:paraId="6160B512" w14:textId="77777777" w:rsidR="004376F2" w:rsidRPr="001B46E3" w:rsidRDefault="004376F2" w:rsidP="004376F2">
      <w:pPr>
        <w:pStyle w:val="FootnoteText"/>
        <w:rPr>
          <w:lang w:val="en-US"/>
        </w:rPr>
      </w:pPr>
      <w:r>
        <w:rPr>
          <w:rStyle w:val="FootnoteReference"/>
        </w:rPr>
        <w:footnoteRef/>
      </w:r>
      <w:r>
        <w:t xml:space="preserve"> In this document, we refer to the ITU Radio Regulations as the Radio Regulations or ITU RR.</w:t>
      </w:r>
    </w:p>
  </w:footnote>
  <w:footnote w:id="2">
    <w:p w14:paraId="560F679A" w14:textId="77777777" w:rsidR="004376F2" w:rsidRPr="0028646E" w:rsidRDefault="004376F2" w:rsidP="004376F2">
      <w:pPr>
        <w:pStyle w:val="FootnoteText"/>
        <w:spacing w:line="240" w:lineRule="auto"/>
        <w:rPr>
          <w:lang w:val="en-US"/>
        </w:rPr>
      </w:pPr>
      <w:r>
        <w:rPr>
          <w:rStyle w:val="FootnoteReference"/>
        </w:rPr>
        <w:footnoteRef/>
      </w:r>
      <w:r>
        <w:t xml:space="preserve"> </w:t>
      </w:r>
      <w:r>
        <w:rPr>
          <w:lang w:val="en-US"/>
        </w:rPr>
        <w:t xml:space="preserve">At the time of writing, there were 194 member states of the ITU including Australia; </w:t>
      </w:r>
      <w:r>
        <w:t>a satellite system is defined in the ITU Radio Regulations as any group of cooperating earth stations and/or space stations using one or more artificial earth satellites.</w:t>
      </w:r>
    </w:p>
  </w:footnote>
  <w:footnote w:id="3">
    <w:p w14:paraId="280666A6" w14:textId="77777777" w:rsidR="004376F2" w:rsidRDefault="004376F2" w:rsidP="004376F2">
      <w:pPr>
        <w:pStyle w:val="FootnoteText"/>
      </w:pPr>
      <w:r>
        <w:rPr>
          <w:rStyle w:val="FootnoteReference"/>
        </w:rPr>
        <w:footnoteRef/>
      </w:r>
      <w:r>
        <w:t xml:space="preserve"> T</w:t>
      </w:r>
      <w:r w:rsidRPr="00D96570">
        <w:t xml:space="preserve">he intent of </w:t>
      </w:r>
      <w:r>
        <w:t xml:space="preserve">this process </w:t>
      </w:r>
      <w:r w:rsidRPr="00D96570">
        <w:t xml:space="preserve">is to identify </w:t>
      </w:r>
      <w:r>
        <w:t>with</w:t>
      </w:r>
      <w:r w:rsidRPr="00D96570">
        <w:t xml:space="preserve"> which administrations </w:t>
      </w:r>
      <w:r>
        <w:t>that</w:t>
      </w:r>
      <w:r w:rsidRPr="00D96570">
        <w:t xml:space="preserve"> coordination is to be addressed, and not to state an order of priorities for rights to </w:t>
      </w:r>
      <w:r>
        <w:t>spectrum at</w:t>
      </w:r>
      <w:r w:rsidRPr="00D96570">
        <w:t xml:space="preserve"> a particular orbital position</w:t>
      </w:r>
      <w:r>
        <w:t>.</w:t>
      </w:r>
    </w:p>
  </w:footnote>
  <w:footnote w:id="4">
    <w:p w14:paraId="189CB0C5" w14:textId="77777777" w:rsidR="004376F2" w:rsidRDefault="004376F2" w:rsidP="004376F2">
      <w:pPr>
        <w:pStyle w:val="FootnoteText"/>
      </w:pPr>
      <w:r>
        <w:rPr>
          <w:rStyle w:val="FootnoteReference"/>
        </w:rPr>
        <w:footnoteRef/>
      </w:r>
      <w:r>
        <w:t xml:space="preserve"> Requirements to coordinate vary across different types of services and frequency bands.</w:t>
      </w:r>
    </w:p>
  </w:footnote>
  <w:footnote w:id="5">
    <w:p w14:paraId="4E362D76" w14:textId="77777777" w:rsidR="004376F2" w:rsidRDefault="004376F2" w:rsidP="004376F2">
      <w:pPr>
        <w:pStyle w:val="FootnoteText"/>
        <w:spacing w:line="240" w:lineRule="auto"/>
      </w:pPr>
      <w:r>
        <w:rPr>
          <w:rStyle w:val="FootnoteReference"/>
        </w:rPr>
        <w:footnoteRef/>
      </w:r>
      <w:r>
        <w:t xml:space="preserve"> </w:t>
      </w:r>
      <w:r w:rsidRPr="00C91470">
        <w:rPr>
          <w:rFonts w:cs="Arial"/>
        </w:rPr>
        <w:t xml:space="preserve">The filing of a satellite </w:t>
      </w:r>
      <w:r>
        <w:rPr>
          <w:rFonts w:cs="Arial"/>
        </w:rPr>
        <w:t>system</w:t>
      </w:r>
      <w:r w:rsidRPr="00C91470">
        <w:rPr>
          <w:rFonts w:cs="Arial"/>
        </w:rPr>
        <w:t xml:space="preserve"> falls within the spectrum management functions of the ACMA under paragraph 9(j) of the ACMA Act in that it is incidental to or conducive to the performance of the management of the radiofrequency spectrum as set out in paragraph 9(a) of the ACMA Act</w:t>
      </w:r>
      <w:r>
        <w:rPr>
          <w:rFonts w:cs="Arial"/>
        </w:rPr>
        <w:t>,</w:t>
      </w:r>
      <w:r w:rsidRPr="00C91470">
        <w:rPr>
          <w:rFonts w:cs="Arial"/>
        </w:rPr>
        <w:t xml:space="preserve"> which is done in accordance with the </w:t>
      </w:r>
      <w:r w:rsidRPr="00C91470">
        <w:rPr>
          <w:rFonts w:cs="Arial"/>
          <w:i/>
          <w:iCs/>
        </w:rPr>
        <w:t>Radiocommunications Act 1992</w:t>
      </w:r>
      <w:r>
        <w:rPr>
          <w:rFonts w:cs="Arial"/>
          <w:i/>
          <w:iCs/>
        </w:rPr>
        <w:t>.</w:t>
      </w:r>
    </w:p>
  </w:footnote>
  <w:footnote w:id="6">
    <w:p w14:paraId="0F7AF50A" w14:textId="77777777" w:rsidR="004376F2" w:rsidRPr="00F951D6" w:rsidRDefault="004376F2" w:rsidP="004376F2">
      <w:pPr>
        <w:pStyle w:val="FootnoteText"/>
        <w:rPr>
          <w:rFonts w:cs="Arial"/>
        </w:rPr>
      </w:pPr>
      <w:r w:rsidRPr="00B36163">
        <w:rPr>
          <w:rStyle w:val="FootnoteReference"/>
        </w:rPr>
        <w:footnoteRef/>
      </w:r>
      <w:r w:rsidRPr="00B36163">
        <w:t xml:space="preserve"> Satellite system is </w:t>
      </w:r>
      <w:r w:rsidRPr="00B36163">
        <w:rPr>
          <w:rFonts w:cs="Arial"/>
        </w:rPr>
        <w:t xml:space="preserve">defined in ITU RR 1.111 as </w:t>
      </w:r>
      <w:r w:rsidRPr="00F951D6">
        <w:rPr>
          <w:rFonts w:cs="Arial"/>
        </w:rPr>
        <w:t xml:space="preserve">a space system using one or more artificial earth satellites, where a space </w:t>
      </w:r>
      <w:r w:rsidRPr="00B36163">
        <w:rPr>
          <w:rFonts w:cs="Arial"/>
        </w:rPr>
        <w:t>system</w:t>
      </w:r>
      <w:r>
        <w:rPr>
          <w:rFonts w:cs="Arial"/>
        </w:rPr>
        <w:t xml:space="preserve"> </w:t>
      </w:r>
      <w:r w:rsidRPr="00F951D6">
        <w:rPr>
          <w:rFonts w:cs="Arial"/>
        </w:rPr>
        <w:t xml:space="preserve">(ITU RR 1.110) </w:t>
      </w:r>
      <w:r>
        <w:rPr>
          <w:rFonts w:cs="Arial"/>
        </w:rPr>
        <w:t>is a</w:t>
      </w:r>
      <w:r w:rsidRPr="00F951D6">
        <w:rPr>
          <w:rFonts w:cs="Arial"/>
        </w:rPr>
        <w:t>ny group of cooperating earth stations and/or space stations</w:t>
      </w:r>
    </w:p>
    <w:p w14:paraId="7B174D0E" w14:textId="77777777" w:rsidR="004376F2" w:rsidRPr="00B36163" w:rsidRDefault="004376F2" w:rsidP="004376F2">
      <w:pPr>
        <w:pStyle w:val="FootnoteText"/>
        <w:rPr>
          <w:rFonts w:cs="Arial"/>
        </w:rPr>
      </w:pPr>
      <w:r w:rsidRPr="00F951D6">
        <w:rPr>
          <w:rFonts w:cs="Arial"/>
        </w:rPr>
        <w:t>employing space radiocommunication for specific purposes</w:t>
      </w:r>
      <w:r>
        <w:rPr>
          <w:rFonts w:cs="Arial"/>
        </w:rPr>
        <w:t>.</w:t>
      </w:r>
    </w:p>
  </w:footnote>
  <w:footnote w:id="7">
    <w:p w14:paraId="47F41CC7" w14:textId="77777777" w:rsidR="004376F2" w:rsidRPr="00B36163" w:rsidRDefault="004376F2" w:rsidP="004376F2">
      <w:pPr>
        <w:autoSpaceDE w:val="0"/>
        <w:autoSpaceDN w:val="0"/>
        <w:adjustRightInd w:val="0"/>
        <w:spacing w:after="0" w:line="240" w:lineRule="auto"/>
      </w:pPr>
      <w:r w:rsidRPr="00B36163">
        <w:rPr>
          <w:rStyle w:val="FootnoteReference"/>
          <w:rFonts w:cs="Arial"/>
          <w:sz w:val="16"/>
          <w:szCs w:val="16"/>
        </w:rPr>
        <w:footnoteRef/>
      </w:r>
      <w:r w:rsidRPr="00B36163">
        <w:rPr>
          <w:rFonts w:cs="Arial"/>
          <w:sz w:val="16"/>
          <w:szCs w:val="16"/>
        </w:rPr>
        <w:t xml:space="preserve"> Satellite network is defined in ITU RR 1.112 as </w:t>
      </w:r>
      <w:r w:rsidRPr="00F951D6">
        <w:rPr>
          <w:rFonts w:cs="Arial"/>
          <w:sz w:val="16"/>
          <w:szCs w:val="16"/>
        </w:rPr>
        <w:t xml:space="preserve">satellite system or a part of a satellite system, consisting of only one satellite </w:t>
      </w:r>
      <w:r>
        <w:rPr>
          <w:rFonts w:cs="Arial"/>
          <w:sz w:val="16"/>
          <w:szCs w:val="16"/>
        </w:rPr>
        <w:t xml:space="preserve">(typically a GSO satellite) </w:t>
      </w:r>
      <w:r w:rsidRPr="00F951D6">
        <w:rPr>
          <w:rFonts w:cs="Arial"/>
          <w:sz w:val="16"/>
          <w:szCs w:val="16"/>
        </w:rPr>
        <w:t>and the cooperating earth stations</w:t>
      </w:r>
      <w:r>
        <w:rPr>
          <w:rFonts w:cs="Arial"/>
          <w:sz w:val="16"/>
          <w:szCs w:val="16"/>
        </w:rPr>
        <w:t>.</w:t>
      </w:r>
    </w:p>
  </w:footnote>
  <w:footnote w:id="8">
    <w:p w14:paraId="7B00E085" w14:textId="77777777" w:rsidR="004376F2" w:rsidRPr="00797924" w:rsidRDefault="004376F2" w:rsidP="004376F2">
      <w:pPr>
        <w:pStyle w:val="FootnoteText"/>
      </w:pPr>
      <w:r>
        <w:rPr>
          <w:rStyle w:val="FootnoteReference"/>
        </w:rPr>
        <w:footnoteRef/>
      </w:r>
      <w:r>
        <w:t xml:space="preserve"> </w:t>
      </w:r>
      <w:r>
        <w:rPr>
          <w:lang w:val="en-US"/>
        </w:rPr>
        <w:t>The general obligations of satellite operators under domestic and international law, some of which are outlined in this document, still apply.</w:t>
      </w:r>
    </w:p>
  </w:footnote>
  <w:footnote w:id="9">
    <w:p w14:paraId="6BB25389" w14:textId="77777777" w:rsidR="004376F2" w:rsidRPr="002B351F" w:rsidRDefault="004376F2" w:rsidP="004376F2">
      <w:pPr>
        <w:pStyle w:val="FootnoteText"/>
      </w:pPr>
      <w:r>
        <w:rPr>
          <w:rStyle w:val="FootnoteReference"/>
        </w:rPr>
        <w:footnoteRef/>
      </w:r>
      <w:r>
        <w:t xml:space="preserve"> </w:t>
      </w:r>
      <w:r>
        <w:rPr>
          <w:lang w:val="en-US"/>
        </w:rPr>
        <w:t xml:space="preserve">In addition to the 2 options discussed here, satellite operators seeking to operate a satellite system for research, demonstration or trial purposes may apply for a </w:t>
      </w:r>
      <w:hyperlink r:id="rId1" w:history="1">
        <w:r w:rsidRPr="00972720">
          <w:rPr>
            <w:rStyle w:val="Hyperlink"/>
            <w:lang w:val="en-US"/>
          </w:rPr>
          <w:t>scientific licence</w:t>
        </w:r>
      </w:hyperlink>
      <w:r>
        <w:rPr>
          <w:lang w:val="en-US"/>
        </w:rPr>
        <w:t>.</w:t>
      </w:r>
    </w:p>
  </w:footnote>
  <w:footnote w:id="10">
    <w:p w14:paraId="333BAD79" w14:textId="77777777" w:rsidR="004376F2" w:rsidRDefault="004376F2" w:rsidP="004376F2">
      <w:pPr>
        <w:pStyle w:val="FootnoteText"/>
        <w:spacing w:line="240" w:lineRule="auto"/>
      </w:pPr>
      <w:r>
        <w:rPr>
          <w:rStyle w:val="FootnoteReference"/>
        </w:rPr>
        <w:footnoteRef/>
      </w:r>
      <w:r>
        <w:t xml:space="preserve"> The Australian Space Agency is a</w:t>
      </w:r>
      <w:r w:rsidRPr="00B971F8">
        <w:rPr>
          <w:rFonts w:cs="Arial"/>
        </w:rPr>
        <w:t xml:space="preserve"> non-statutory entity in the </w:t>
      </w:r>
      <w:hyperlink r:id="rId2" w:history="1">
        <w:r w:rsidRPr="0039517B">
          <w:rPr>
            <w:rStyle w:val="Hyperlink"/>
            <w:rFonts w:cs="Arial"/>
          </w:rPr>
          <w:t>Department of Industry, Science and Resources</w:t>
        </w:r>
      </w:hyperlink>
      <w:r>
        <w:rPr>
          <w:rFonts w:cs="Arial"/>
        </w:rPr>
        <w:t>.</w:t>
      </w:r>
    </w:p>
  </w:footnote>
  <w:footnote w:id="11">
    <w:p w14:paraId="137ADACB" w14:textId="77777777" w:rsidR="004376F2" w:rsidRPr="00A325F4" w:rsidRDefault="004376F2" w:rsidP="004376F2">
      <w:pPr>
        <w:pStyle w:val="FootnoteText"/>
      </w:pPr>
      <w:r>
        <w:rPr>
          <w:rStyle w:val="FootnoteReference"/>
        </w:rPr>
        <w:footnoteRef/>
      </w:r>
      <w:r>
        <w:t xml:space="preserve"> </w:t>
      </w:r>
      <w:r>
        <w:rPr>
          <w:lang w:val="en-US"/>
        </w:rPr>
        <w:t>This is additional to the processes described in this document concerning satellite filing and registration in the MIFR.</w:t>
      </w:r>
    </w:p>
  </w:footnote>
  <w:footnote w:id="12">
    <w:p w14:paraId="6B285D6F" w14:textId="77777777" w:rsidR="004376F2" w:rsidRDefault="004376F2" w:rsidP="004376F2">
      <w:pPr>
        <w:pStyle w:val="FootnoteText"/>
      </w:pPr>
      <w:r>
        <w:rPr>
          <w:rStyle w:val="FootnoteReference"/>
        </w:rPr>
        <w:footnoteRef/>
      </w:r>
      <w:r>
        <w:t xml:space="preserve"> Universities that are established under state, territory or federal legislation. </w:t>
      </w:r>
    </w:p>
  </w:footnote>
  <w:footnote w:id="13">
    <w:p w14:paraId="0695544D" w14:textId="77777777" w:rsidR="004376F2" w:rsidRPr="00BD1A98" w:rsidRDefault="004376F2" w:rsidP="004376F2">
      <w:pPr>
        <w:pStyle w:val="FootnoteText"/>
      </w:pPr>
      <w:r>
        <w:rPr>
          <w:rStyle w:val="FootnoteReference"/>
        </w:rPr>
        <w:footnoteRef/>
      </w:r>
      <w:r>
        <w:t xml:space="preserve"> More information on transfer and change of ownership is available in </w:t>
      </w:r>
      <w:r>
        <w:rPr>
          <w:lang w:val="en-US"/>
        </w:rPr>
        <w:t>section 5 Change of access to an ITU satellite filing.</w:t>
      </w:r>
    </w:p>
  </w:footnote>
  <w:footnote w:id="14">
    <w:p w14:paraId="29CFD3E2" w14:textId="77777777" w:rsidR="004376F2" w:rsidRPr="00FA7F29" w:rsidRDefault="004376F2" w:rsidP="004376F2">
      <w:pPr>
        <w:pStyle w:val="FootnoteText"/>
      </w:pPr>
      <w:r>
        <w:rPr>
          <w:rStyle w:val="FootnoteReference"/>
        </w:rPr>
        <w:footnoteRef/>
      </w:r>
      <w:r>
        <w:t xml:space="preserve"> A CubeSat is a standardised type of small satellite comprising a number of modular units (or cubes) each measuring 10 x 10 x 10 cm.</w:t>
      </w:r>
    </w:p>
  </w:footnote>
  <w:footnote w:id="15">
    <w:p w14:paraId="25004AA3" w14:textId="77777777" w:rsidR="004376F2" w:rsidRDefault="004376F2" w:rsidP="004376F2">
      <w:pPr>
        <w:pStyle w:val="FootnoteText"/>
      </w:pPr>
      <w:r>
        <w:rPr>
          <w:rStyle w:val="FootnoteReference"/>
        </w:rPr>
        <w:footnoteRef/>
      </w:r>
      <w:r>
        <w:t xml:space="preserve"> Regulatory procedures for frequency assignments to non-geostationary satellite networks or systems identified as short-duration mission not subject to the application of Section II of Article 9. Available from ITU webpage </w:t>
      </w:r>
      <w:hyperlink r:id="rId3" w:history="1">
        <w:r w:rsidRPr="00D45782">
          <w:rPr>
            <w:rStyle w:val="Hyperlink"/>
          </w:rPr>
          <w:t>Categorization of the W(A)RC Resolutions in force</w:t>
        </w:r>
      </w:hyperlink>
      <w:r>
        <w:t>.</w:t>
      </w:r>
    </w:p>
  </w:footnote>
  <w:footnote w:id="16">
    <w:p w14:paraId="173C1846" w14:textId="77777777" w:rsidR="004376F2" w:rsidRPr="00897243" w:rsidRDefault="004376F2" w:rsidP="004376F2">
      <w:pPr>
        <w:pStyle w:val="FootnoteText"/>
      </w:pPr>
      <w:r>
        <w:rPr>
          <w:rStyle w:val="FootnoteReference"/>
        </w:rPr>
        <w:footnoteRef/>
      </w:r>
      <w:r>
        <w:t xml:space="preserve"> Cost recovery charges are set out in the </w:t>
      </w:r>
      <w:hyperlink r:id="rId4" w:history="1">
        <w:r w:rsidRPr="00F251AA">
          <w:rPr>
            <w:rStyle w:val="Hyperlink"/>
          </w:rPr>
          <w:t>Radiocommunications (Charges) Determination 2022</w:t>
        </w:r>
      </w:hyperlink>
      <w:r>
        <w:t>.</w:t>
      </w:r>
    </w:p>
  </w:footnote>
  <w:footnote w:id="17">
    <w:p w14:paraId="777BECB9" w14:textId="77777777" w:rsidR="004376F2" w:rsidRDefault="004376F2" w:rsidP="004376F2">
      <w:pPr>
        <w:pStyle w:val="FootnoteText"/>
      </w:pPr>
      <w:r>
        <w:rPr>
          <w:rStyle w:val="FootnoteReference"/>
        </w:rPr>
        <w:footnoteRef/>
      </w:r>
      <w:r>
        <w:t xml:space="preserve"> Applicants considering a modification should carefully consider ITU treatment of date of receipt in ITU </w:t>
      </w:r>
      <w:hyperlink r:id="rId5" w:history="1">
        <w:r w:rsidRPr="004267FA">
          <w:rPr>
            <w:rStyle w:val="Hyperlink"/>
          </w:rPr>
          <w:t>Rules of Procedure approved by the Radio Regulations Board</w:t>
        </w:r>
      </w:hyperlink>
      <w:r>
        <w:t xml:space="preserve"> on ITU RR 9.27.</w:t>
      </w:r>
    </w:p>
  </w:footnote>
  <w:footnote w:id="18">
    <w:p w14:paraId="6835775B" w14:textId="77777777" w:rsidR="004376F2" w:rsidRDefault="004376F2" w:rsidP="004376F2">
      <w:pPr>
        <w:pStyle w:val="FootnoteText"/>
      </w:pPr>
      <w:r>
        <w:rPr>
          <w:rStyle w:val="FootnoteReference"/>
        </w:rPr>
        <w:footnoteRef/>
      </w:r>
      <w:r>
        <w:t xml:space="preserve"> A non-exhaustive list this includes the </w:t>
      </w:r>
      <w:r w:rsidRPr="004622AB">
        <w:t>Constitution and Convention of the </w:t>
      </w:r>
      <w:r>
        <w:t xml:space="preserve">ITU, decisions of the ITU Council, resolutions of the ITU </w:t>
      </w:r>
      <w:r w:rsidRPr="001A54A7">
        <w:t>Plenipotentiary Conference</w:t>
      </w:r>
      <w:r>
        <w:t xml:space="preserve"> and decisions of the ITU Radio Regulation Board.</w:t>
      </w:r>
    </w:p>
  </w:footnote>
  <w:footnote w:id="19">
    <w:p w14:paraId="6630CB87" w14:textId="77777777" w:rsidR="004376F2" w:rsidRDefault="004376F2" w:rsidP="004376F2">
      <w:pPr>
        <w:pStyle w:val="FootnoteText"/>
      </w:pPr>
      <w:r>
        <w:rPr>
          <w:rStyle w:val="FootnoteReference"/>
        </w:rPr>
        <w:footnoteRef/>
      </w:r>
      <w:r>
        <w:t xml:space="preserve"> The specific wording varies between treaty. For details see </w:t>
      </w:r>
      <w:hyperlink r:id="rId6" w:history="1">
        <w:r w:rsidRPr="00296410">
          <w:rPr>
            <w:rStyle w:val="Hyperlink"/>
          </w:rPr>
          <w:t>Agreement between the Government of Australia and the European Space Agency for a Co-operative Space Vehicle Tracking Program</w:t>
        </w:r>
      </w:hyperlink>
      <w:r w:rsidRPr="00296410">
        <w:rPr>
          <w:u w:val="single"/>
        </w:rPr>
        <w:t xml:space="preserve">  </w:t>
      </w:r>
      <w:r w:rsidRPr="00296410">
        <w:t xml:space="preserve">and </w:t>
      </w:r>
      <w:hyperlink r:id="rId7" w:history="1">
        <w:r w:rsidRPr="00296410">
          <w:rPr>
            <w:rStyle w:val="Hyperlink"/>
          </w:rPr>
          <w:t>Agreement between the Government of Australia and the Government of the United States of America for Space Vehicle Tracking and Communication Facilities</w:t>
        </w:r>
      </w:hyperlink>
      <w:r>
        <w:rPr>
          <w:rStyle w:val="Hyperlink"/>
        </w:rPr>
        <w:t>.</w:t>
      </w:r>
    </w:p>
  </w:footnote>
  <w:footnote w:id="20">
    <w:p w14:paraId="78FCE257" w14:textId="77777777" w:rsidR="004376F2" w:rsidRDefault="004376F2" w:rsidP="004376F2">
      <w:pPr>
        <w:pStyle w:val="FootnoteText"/>
      </w:pPr>
      <w:r>
        <w:rPr>
          <w:rStyle w:val="FootnoteReference"/>
        </w:rPr>
        <w:footnoteRef/>
      </w:r>
      <w:r>
        <w:t xml:space="preserve"> Universities that are established under state, territory or federal legislation.</w:t>
      </w:r>
    </w:p>
  </w:footnote>
  <w:footnote w:id="21">
    <w:p w14:paraId="18841DD1" w14:textId="77777777" w:rsidR="004376F2" w:rsidRPr="008621D1" w:rsidRDefault="004376F2" w:rsidP="004376F2">
      <w:pPr>
        <w:pStyle w:val="FootnoteText"/>
        <w:rPr>
          <w:rFonts w:cs="Arial"/>
        </w:rPr>
      </w:pPr>
      <w:r w:rsidRPr="008621D1">
        <w:rPr>
          <w:rStyle w:val="FootnoteReference"/>
          <w:rFonts w:cs="Arial"/>
        </w:rPr>
        <w:footnoteRef/>
      </w:r>
      <w:r w:rsidRPr="008621D1">
        <w:rPr>
          <w:rFonts w:cs="Arial"/>
        </w:rPr>
        <w:t xml:space="preserve"> The meaning of operational control in this instance is the ability to control any aspect of the satellite radio emissions</w:t>
      </w:r>
      <w:r>
        <w:rPr>
          <w:rFonts w:cs="Arial"/>
        </w:rPr>
        <w:t xml:space="preserve"> including immediate cessation of emissions</w:t>
      </w:r>
      <w:r w:rsidRPr="008621D1">
        <w:rPr>
          <w:rFonts w:cs="Arial"/>
        </w:rPr>
        <w:t>.</w:t>
      </w:r>
    </w:p>
  </w:footnote>
  <w:footnote w:id="22">
    <w:p w14:paraId="1F78984B" w14:textId="77777777" w:rsidR="004376F2" w:rsidRDefault="004376F2" w:rsidP="004376F2">
      <w:pPr>
        <w:pStyle w:val="FootnoteText"/>
      </w:pPr>
      <w:r>
        <w:rPr>
          <w:rStyle w:val="FootnoteReference"/>
        </w:rPr>
        <w:footnoteRef/>
      </w:r>
      <w:r>
        <w:t xml:space="preserve"> </w:t>
      </w:r>
      <w:r w:rsidRPr="008621D1">
        <w:rPr>
          <w:rFonts w:cs="Arial"/>
        </w:rPr>
        <w:t>This may be the Australian Government, or the government of a state or territory of Australia.</w:t>
      </w:r>
    </w:p>
  </w:footnote>
  <w:footnote w:id="23">
    <w:p w14:paraId="70774604" w14:textId="77777777" w:rsidR="004376F2" w:rsidRPr="008621D1" w:rsidRDefault="004376F2" w:rsidP="004376F2">
      <w:pPr>
        <w:pStyle w:val="FootnoteText"/>
        <w:rPr>
          <w:rFonts w:cs="Arial"/>
        </w:rPr>
      </w:pPr>
      <w:r w:rsidRPr="008621D1">
        <w:rPr>
          <w:rStyle w:val="FootnoteReference"/>
          <w:rFonts w:cs="Arial"/>
        </w:rPr>
        <w:footnoteRef/>
      </w:r>
      <w:r w:rsidRPr="008621D1">
        <w:rPr>
          <w:rFonts w:cs="Arial"/>
        </w:rPr>
        <w:t xml:space="preserve"> ‘Broadcasting Satellite Service’ as defined in the ITU Radio Regulations.</w:t>
      </w:r>
    </w:p>
  </w:footnote>
  <w:footnote w:id="24">
    <w:p w14:paraId="2AC60050" w14:textId="77777777" w:rsidR="004376F2" w:rsidRPr="008621D1" w:rsidRDefault="004376F2" w:rsidP="004376F2">
      <w:pPr>
        <w:pStyle w:val="FootnoteText"/>
        <w:rPr>
          <w:rFonts w:cs="Arial"/>
        </w:rPr>
      </w:pPr>
      <w:r w:rsidRPr="008621D1">
        <w:rPr>
          <w:rStyle w:val="FootnoteReference"/>
          <w:rFonts w:cs="Arial"/>
        </w:rPr>
        <w:footnoteRef/>
      </w:r>
      <w:r w:rsidRPr="008621D1">
        <w:rPr>
          <w:rFonts w:cs="Arial"/>
        </w:rPr>
        <w:t xml:space="preserve"> ‘Fixed Satellite Service</w:t>
      </w:r>
      <w:bookmarkStart w:id="316" w:name="OLE_LINK19"/>
      <w:r w:rsidRPr="008621D1">
        <w:rPr>
          <w:rFonts w:cs="Arial"/>
        </w:rPr>
        <w:t>’ as defined in the ITU Radio Regulations</w:t>
      </w:r>
      <w:bookmarkEnd w:id="316"/>
      <w:r w:rsidRPr="008621D1">
        <w:rPr>
          <w:rFonts w:cs="Arial"/>
        </w:rPr>
        <w:t>.</w:t>
      </w:r>
    </w:p>
  </w:footnote>
  <w:footnote w:id="25">
    <w:p w14:paraId="0906D675" w14:textId="77777777" w:rsidR="004376F2" w:rsidRPr="008621D1" w:rsidRDefault="004376F2" w:rsidP="004376F2">
      <w:pPr>
        <w:pStyle w:val="FootnoteText"/>
        <w:rPr>
          <w:rFonts w:cs="Arial"/>
        </w:rPr>
      </w:pPr>
      <w:r w:rsidRPr="008621D1">
        <w:rPr>
          <w:rStyle w:val="FootnoteReference"/>
          <w:rFonts w:cs="Arial"/>
        </w:rPr>
        <w:footnoteRef/>
      </w:r>
      <w:r w:rsidRPr="008621D1">
        <w:rPr>
          <w:rFonts w:cs="Arial"/>
        </w:rPr>
        <w:t xml:space="preserve"> The ACMA </w:t>
      </w:r>
      <w:r w:rsidRPr="008621D1" w:rsidDel="00247515">
        <w:rPr>
          <w:rFonts w:cs="Arial"/>
        </w:rPr>
        <w:t>is under no obligation to act in the satellite operator’s interests should such</w:t>
      </w:r>
      <w:r w:rsidRPr="008621D1">
        <w:rPr>
          <w:rFonts w:cs="Arial"/>
        </w:rPr>
        <w:t xml:space="preserve"> action need </w:t>
      </w:r>
      <w:r w:rsidRPr="008621D1" w:rsidDel="00277593">
        <w:rPr>
          <w:rFonts w:cs="Arial"/>
        </w:rPr>
        <w:t xml:space="preserve">to be taken </w:t>
      </w:r>
      <w:r w:rsidRPr="008621D1">
        <w:rPr>
          <w:rFonts w:cs="Arial"/>
        </w:rPr>
        <w:t>to meet Australia’s international obligations.</w:t>
      </w:r>
    </w:p>
  </w:footnote>
  <w:footnote w:id="26">
    <w:p w14:paraId="665DEE5D" w14:textId="77777777" w:rsidR="004376F2" w:rsidRDefault="004376F2" w:rsidP="004376F2">
      <w:pPr>
        <w:pStyle w:val="FootnoteText"/>
      </w:pPr>
      <w:r>
        <w:rPr>
          <w:rStyle w:val="FootnoteReference"/>
        </w:rPr>
        <w:footnoteRef/>
      </w:r>
      <w:r>
        <w:t xml:space="preserve"> As a non-exhaustive list this includes the </w:t>
      </w:r>
      <w:r w:rsidRPr="004622AB">
        <w:t>Constitution and Convention of the </w:t>
      </w:r>
      <w:r>
        <w:t xml:space="preserve">ITU, decisions of the ITU Council, resolutions of the ITU </w:t>
      </w:r>
      <w:r w:rsidRPr="001A54A7">
        <w:t>Plenipotentiary Conference</w:t>
      </w:r>
      <w:r>
        <w:t xml:space="preserve"> and decisions of the ITU Radio Regulation Board.</w:t>
      </w:r>
    </w:p>
  </w:footnote>
  <w:footnote w:id="27">
    <w:p w14:paraId="3C8E57E7" w14:textId="77777777" w:rsidR="004376F2" w:rsidRPr="008621D1" w:rsidRDefault="004376F2" w:rsidP="004376F2">
      <w:pPr>
        <w:pStyle w:val="FootnoteText"/>
        <w:rPr>
          <w:rFonts w:cs="Arial"/>
        </w:rPr>
      </w:pPr>
      <w:r w:rsidRPr="008621D1">
        <w:rPr>
          <w:rStyle w:val="FootnoteReference"/>
          <w:rFonts w:cs="Arial"/>
        </w:rPr>
        <w:footnoteRef/>
      </w:r>
      <w:r w:rsidRPr="008621D1">
        <w:rPr>
          <w:rFonts w:cs="Arial"/>
        </w:rPr>
        <w:t xml:space="preserve"> See section </w:t>
      </w:r>
      <w:r>
        <w:rPr>
          <w:rFonts w:cs="Arial"/>
        </w:rPr>
        <w:fldChar w:fldCharType="begin"/>
      </w:r>
      <w:r>
        <w:rPr>
          <w:rFonts w:cs="Arial"/>
        </w:rPr>
        <w:instrText xml:space="preserve"> REF _Ref132637346 \r \h </w:instrText>
      </w:r>
      <w:r>
        <w:rPr>
          <w:rFonts w:cs="Arial"/>
        </w:rPr>
      </w:r>
      <w:r>
        <w:rPr>
          <w:rFonts w:cs="Arial"/>
        </w:rPr>
        <w:fldChar w:fldCharType="separate"/>
      </w:r>
      <w:r>
        <w:rPr>
          <w:rFonts w:cs="Arial"/>
        </w:rPr>
        <w:t>6</w:t>
      </w:r>
      <w:r>
        <w:rPr>
          <w:rFonts w:cs="Arial"/>
        </w:rPr>
        <w:fldChar w:fldCharType="end"/>
      </w:r>
      <w:r>
        <w:rPr>
          <w:rFonts w:cs="Arial"/>
        </w:rPr>
        <w:t xml:space="preserve"> </w:t>
      </w:r>
      <w:r w:rsidRPr="004C262B">
        <w:rPr>
          <w:rFonts w:cs="Arial"/>
        </w:rPr>
        <w:fldChar w:fldCharType="begin"/>
      </w:r>
      <w:r w:rsidRPr="004C262B">
        <w:rPr>
          <w:rFonts w:cs="Arial"/>
        </w:rPr>
        <w:instrText xml:space="preserve"> REF _Ref132637349 \h  \* MERGEFORMAT </w:instrText>
      </w:r>
      <w:r w:rsidRPr="004C262B">
        <w:rPr>
          <w:rFonts w:cs="Arial"/>
        </w:rPr>
      </w:r>
      <w:r w:rsidRPr="004C262B">
        <w:rPr>
          <w:rFonts w:cs="Arial"/>
        </w:rPr>
        <w:fldChar w:fldCharType="separate"/>
      </w:r>
      <w:r w:rsidRPr="004C262B">
        <w:t>Charges</w:t>
      </w:r>
      <w:r w:rsidRPr="004C262B">
        <w:rPr>
          <w:rFonts w:cs="Arial"/>
        </w:rPr>
        <w:fldChar w:fldCharType="end"/>
      </w:r>
      <w:r w:rsidRPr="004C262B">
        <w:rPr>
          <w:rFonts w:cs="Arial"/>
        </w:rPr>
        <w:t>.</w:t>
      </w:r>
    </w:p>
  </w:footnote>
  <w:footnote w:id="28">
    <w:p w14:paraId="3BCF04E5" w14:textId="77777777" w:rsidR="004376F2" w:rsidRDefault="004376F2" w:rsidP="004376F2">
      <w:pPr>
        <w:pStyle w:val="FootnoteText"/>
      </w:pPr>
      <w:r>
        <w:rPr>
          <w:rStyle w:val="FootnoteReference"/>
        </w:rPr>
        <w:footnoteRef/>
      </w:r>
      <w:r>
        <w:t xml:space="preserve"> Regulatory procedures for frequency assignments to NGSO satellite networks or systems identified as short-duration missions are not subject to the application of Section II of Article 9.</w:t>
      </w:r>
    </w:p>
  </w:footnote>
  <w:footnote w:id="29">
    <w:p w14:paraId="0FFBA614" w14:textId="77777777" w:rsidR="004376F2" w:rsidRDefault="004376F2" w:rsidP="004376F2">
      <w:pPr>
        <w:pStyle w:val="FootnoteText"/>
      </w:pPr>
      <w:r>
        <w:rPr>
          <w:rStyle w:val="FootnoteReference"/>
        </w:rPr>
        <w:footnoteRef/>
      </w:r>
      <w:r>
        <w:t xml:space="preserve"> Resolution 49 is included in Volume III of the Radio Regulations</w:t>
      </w:r>
    </w:p>
  </w:footnote>
  <w:footnote w:id="30">
    <w:p w14:paraId="441EFB6C" w14:textId="77777777" w:rsidR="004376F2" w:rsidRDefault="004376F2" w:rsidP="004376F2">
      <w:pPr>
        <w:pStyle w:val="FootnoteText"/>
      </w:pPr>
      <w:r>
        <w:rPr>
          <w:rStyle w:val="FootnoteReference"/>
        </w:rPr>
        <w:footnoteRef/>
      </w:r>
      <w:r>
        <w:t xml:space="preserve"> </w:t>
      </w:r>
      <w:r w:rsidRPr="002A78CB">
        <w:t xml:space="preserve">The ACMA recognises the confidentiality </w:t>
      </w:r>
      <w:r>
        <w:t>and commercial sensitivity</w:t>
      </w:r>
      <w:r w:rsidRPr="002A78CB">
        <w:t xml:space="preserve"> of contracts that are made for satellite launch and manufacture.</w:t>
      </w:r>
    </w:p>
  </w:footnote>
  <w:footnote w:id="31">
    <w:p w14:paraId="73A033E0" w14:textId="77777777" w:rsidR="004376F2" w:rsidRPr="008621D1" w:rsidRDefault="004376F2" w:rsidP="004376F2">
      <w:pPr>
        <w:pStyle w:val="FootnoteText"/>
        <w:rPr>
          <w:rFonts w:cs="Arial"/>
        </w:rPr>
      </w:pPr>
      <w:r w:rsidRPr="008621D1">
        <w:rPr>
          <w:rStyle w:val="FootnoteReference"/>
          <w:rFonts w:cs="Arial"/>
        </w:rPr>
        <w:footnoteRef/>
      </w:r>
      <w:r w:rsidRPr="008621D1">
        <w:rPr>
          <w:rFonts w:cs="Arial"/>
        </w:rPr>
        <w:t xml:space="preserve"> Recognising that involvement of the ACMA may be required</w:t>
      </w:r>
      <w:r>
        <w:rPr>
          <w:rFonts w:cs="Arial"/>
        </w:rPr>
        <w:t xml:space="preserve">, </w:t>
      </w:r>
      <w:r w:rsidRPr="008621D1">
        <w:rPr>
          <w:rFonts w:cs="Arial"/>
        </w:rPr>
        <w:t>for example, at the insistence of a foreign administration.</w:t>
      </w:r>
    </w:p>
  </w:footnote>
  <w:footnote w:id="32">
    <w:p w14:paraId="63F309D1" w14:textId="77777777" w:rsidR="004376F2" w:rsidRPr="008621D1" w:rsidRDefault="004376F2" w:rsidP="004376F2">
      <w:pPr>
        <w:pStyle w:val="FootnoteText"/>
        <w:rPr>
          <w:rFonts w:cs="Arial"/>
        </w:rPr>
      </w:pPr>
      <w:r w:rsidRPr="008621D1">
        <w:rPr>
          <w:rStyle w:val="FootnoteReference"/>
          <w:rFonts w:cs="Arial"/>
        </w:rPr>
        <w:footnoteRef/>
      </w:r>
      <w:r w:rsidRPr="008621D1">
        <w:rPr>
          <w:rFonts w:cs="Arial"/>
        </w:rPr>
        <w:t xml:space="preserve"> ITU Rules of Procedure (Part A1, Article 9, Section 9.6)</w:t>
      </w:r>
      <w:r>
        <w:rPr>
          <w:rFonts w:cs="Arial"/>
        </w:rPr>
        <w:t>; ITU RR</w:t>
      </w:r>
      <w:r w:rsidRPr="008621D1">
        <w:rPr>
          <w:rFonts w:cs="Arial"/>
        </w:rPr>
        <w:t xml:space="preserve"> 9.53: </w:t>
      </w:r>
      <w:r>
        <w:rPr>
          <w:rFonts w:cs="Arial"/>
        </w:rPr>
        <w:t>‘</w:t>
      </w:r>
      <w:r w:rsidRPr="008621D1">
        <w:rPr>
          <w:rFonts w:cs="Arial"/>
        </w:rPr>
        <w:t>... the requesting and responding Administrations shall make every possible mutual effort to overcome the difficulties ...</w:t>
      </w:r>
      <w:r>
        <w:rPr>
          <w:rFonts w:cs="Arial"/>
        </w:rPr>
        <w:t>’.</w:t>
      </w:r>
    </w:p>
  </w:footnote>
  <w:footnote w:id="33">
    <w:p w14:paraId="71E7AD64" w14:textId="77777777" w:rsidR="00784AF1" w:rsidRPr="008621D1" w:rsidRDefault="00784AF1" w:rsidP="00784AF1">
      <w:pPr>
        <w:pStyle w:val="FootnoteText"/>
        <w:rPr>
          <w:rFonts w:cs="Arial"/>
        </w:rPr>
      </w:pPr>
      <w:r w:rsidRPr="008621D1">
        <w:rPr>
          <w:rStyle w:val="FootnoteReference"/>
          <w:rFonts w:cs="Arial"/>
        </w:rPr>
        <w:footnoteRef/>
      </w:r>
      <w:r w:rsidRPr="008621D1">
        <w:rPr>
          <w:rFonts w:cs="Arial"/>
        </w:rPr>
        <w:t xml:space="preserve"> The ACMA cannot process a payment for a greater amount than </w:t>
      </w:r>
      <w:r>
        <w:rPr>
          <w:rFonts w:cs="Arial"/>
        </w:rPr>
        <w:t xml:space="preserve">the amount </w:t>
      </w:r>
      <w:r w:rsidRPr="008621D1">
        <w:rPr>
          <w:rFonts w:cs="Arial"/>
        </w:rPr>
        <w:t xml:space="preserve">it currently holds in trust for </w:t>
      </w:r>
      <w:r>
        <w:rPr>
          <w:rFonts w:cs="Arial"/>
        </w:rPr>
        <w:t>a satellite operator</w:t>
      </w:r>
      <w:r w:rsidRPr="008621D1">
        <w:rPr>
          <w:rFonts w:cs="Arial"/>
        </w:rPr>
        <w:t>.</w:t>
      </w:r>
    </w:p>
  </w:footnote>
  <w:footnote w:id="34">
    <w:p w14:paraId="563835D0" w14:textId="77777777" w:rsidR="00436A7B" w:rsidRPr="00D047C4" w:rsidRDefault="00436A7B" w:rsidP="00436A7B">
      <w:pPr>
        <w:pStyle w:val="FootnoteText"/>
        <w:rPr>
          <w:lang w:val="en-US"/>
        </w:rPr>
      </w:pPr>
      <w:r>
        <w:rPr>
          <w:rStyle w:val="FootnoteReference"/>
        </w:rPr>
        <w:footnoteRef/>
      </w:r>
      <w:r>
        <w:t xml:space="preserve"> </w:t>
      </w:r>
      <w:r w:rsidRPr="008B0DF3">
        <w:t>Time limit is determined from the original date of receipt (at the ITU) of advance publication information or coordination request data.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CE2026" w14:textId="77777777" w:rsidR="00C053A1" w:rsidRPr="005A62E5" w:rsidRDefault="005A62E5" w:rsidP="005A62E5">
    <w:pPr>
      <w:pStyle w:val="Header"/>
    </w:pPr>
    <w:r>
      <w:rPr>
        <w:noProof/>
      </w:rPr>
      <w:drawing>
        <wp:inline distT="0" distB="0" distL="0" distR="0" wp14:anchorId="72F3ED22" wp14:editId="12DD269E">
          <wp:extent cx="3229598" cy="381000"/>
          <wp:effectExtent l="0" t="0" r="9525" b="0"/>
          <wp:docPr id="1092816450" name="Picture 1092816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stretch>
                    <a:fillRect/>
                  </a:stretch>
                </pic:blipFill>
                <pic:spPr>
                  <a:xfrm>
                    <a:off x="0" y="0"/>
                    <a:ext cx="3300801" cy="3894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EE4B51"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56AF39"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93F56C"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40708213" w14:textId="77777777" w:rsidTr="003B0421">
      <w:trPr>
        <w:trHeight w:hRule="exact" w:val="988"/>
      </w:trPr>
      <w:tc>
        <w:tcPr>
          <w:tcW w:w="7678" w:type="dxa"/>
          <w:shd w:val="clear" w:color="auto" w:fill="auto"/>
        </w:tcPr>
        <w:p w14:paraId="1D18187F" w14:textId="77777777" w:rsidR="00971914" w:rsidRDefault="00971914" w:rsidP="00971914">
          <w:pPr>
            <w:pStyle w:val="Header"/>
          </w:pPr>
        </w:p>
      </w:tc>
    </w:tr>
    <w:tr w:rsidR="00971914" w14:paraId="69B3110A" w14:textId="77777777" w:rsidTr="003B0421">
      <w:tc>
        <w:tcPr>
          <w:tcW w:w="7678" w:type="dxa"/>
          <w:shd w:val="clear" w:color="auto" w:fill="auto"/>
        </w:tcPr>
        <w:p w14:paraId="373AE6BF" w14:textId="77777777" w:rsidR="00971914" w:rsidRDefault="00971914" w:rsidP="00971914">
          <w:pPr>
            <w:pStyle w:val="GridTable31"/>
          </w:pPr>
          <w:r>
            <w:t xml:space="preserve">Contents </w:t>
          </w:r>
          <w:r w:rsidRPr="00915B1C">
            <w:rPr>
              <w:b w:val="0"/>
              <w:spacing w:val="0"/>
              <w:sz w:val="28"/>
              <w:szCs w:val="28"/>
            </w:rPr>
            <w:t>(Continued)</w:t>
          </w:r>
        </w:p>
      </w:tc>
    </w:tr>
    <w:tr w:rsidR="00971914" w14:paraId="74093B16" w14:textId="77777777" w:rsidTr="003B0421">
      <w:trPr>
        <w:trHeight w:val="1220"/>
      </w:trPr>
      <w:tc>
        <w:tcPr>
          <w:tcW w:w="7678" w:type="dxa"/>
          <w:shd w:val="clear" w:color="auto" w:fill="auto"/>
        </w:tcPr>
        <w:p w14:paraId="15A19CCE" w14:textId="77777777" w:rsidR="00971914" w:rsidRDefault="00971914" w:rsidP="00971914"/>
      </w:tc>
    </w:tr>
  </w:tbl>
  <w:p w14:paraId="212CBA4C"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7349B08" w14:textId="77777777" w:rsidTr="003B0421">
      <w:trPr>
        <w:trHeight w:hRule="exact" w:val="988"/>
      </w:trPr>
      <w:tc>
        <w:tcPr>
          <w:tcW w:w="7678" w:type="dxa"/>
          <w:shd w:val="clear" w:color="auto" w:fill="auto"/>
        </w:tcPr>
        <w:p w14:paraId="612B5A50" w14:textId="77777777" w:rsidR="00971914" w:rsidRDefault="00971914" w:rsidP="00971914">
          <w:pPr>
            <w:pStyle w:val="Header"/>
          </w:pPr>
        </w:p>
      </w:tc>
    </w:tr>
    <w:tr w:rsidR="00971914" w14:paraId="7D0FAEC8" w14:textId="77777777" w:rsidTr="003B0421">
      <w:tc>
        <w:tcPr>
          <w:tcW w:w="7678" w:type="dxa"/>
          <w:shd w:val="clear" w:color="auto" w:fill="auto"/>
        </w:tcPr>
        <w:p w14:paraId="182C784C" w14:textId="77777777" w:rsidR="00971914" w:rsidRDefault="00971914" w:rsidP="00971914">
          <w:pPr>
            <w:pStyle w:val="GridTable31"/>
          </w:pPr>
          <w:r>
            <w:t xml:space="preserve">Contents </w:t>
          </w:r>
          <w:r w:rsidRPr="00915B1C">
            <w:rPr>
              <w:b w:val="0"/>
              <w:spacing w:val="0"/>
              <w:sz w:val="28"/>
              <w:szCs w:val="28"/>
            </w:rPr>
            <w:t>(Continued)</w:t>
          </w:r>
        </w:p>
      </w:tc>
    </w:tr>
    <w:tr w:rsidR="00971914" w14:paraId="71B89BBB" w14:textId="77777777" w:rsidTr="003B0421">
      <w:trPr>
        <w:trHeight w:val="1220"/>
      </w:trPr>
      <w:tc>
        <w:tcPr>
          <w:tcW w:w="7678" w:type="dxa"/>
          <w:shd w:val="clear" w:color="auto" w:fill="auto"/>
        </w:tcPr>
        <w:p w14:paraId="5DB1312E" w14:textId="77777777" w:rsidR="00971914" w:rsidRDefault="00971914" w:rsidP="00971914"/>
      </w:tc>
    </w:tr>
  </w:tbl>
  <w:p w14:paraId="523B55F6"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6B02C7"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A626E2"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93C0CEB6"/>
    <w:lvl w:ilvl="0">
      <w:start w:val="1"/>
      <w:numFmt w:val="decimal"/>
      <w:pStyle w:val="ListNumber"/>
      <w:lvlText w:val="%1."/>
      <w:lvlJc w:val="left"/>
      <w:pPr>
        <w:ind w:left="360" w:hanging="360"/>
      </w:pPr>
      <w:rPr>
        <w:rFonts w:hint="default"/>
        <w:b w:val="0"/>
        <w:bCs/>
        <w:caps/>
        <w:sz w:val="22"/>
        <w:szCs w:val="28"/>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44B5554"/>
    <w:multiLevelType w:val="hybridMultilevel"/>
    <w:tmpl w:val="141851E2"/>
    <w:lvl w:ilvl="0" w:tplc="0152DD9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0902B5"/>
    <w:multiLevelType w:val="hybridMultilevel"/>
    <w:tmpl w:val="CFC0A918"/>
    <w:lvl w:ilvl="0" w:tplc="0152DD9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1AD521D"/>
    <w:multiLevelType w:val="hybridMultilevel"/>
    <w:tmpl w:val="B108FD84"/>
    <w:lvl w:ilvl="0" w:tplc="DD00C67E">
      <w:start w:val="1"/>
      <w:numFmt w:val="bullet"/>
      <w:pStyle w:val="Bulletlevel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8" w15:restartNumberingAfterBreak="0">
    <w:nsid w:val="1D3D715B"/>
    <w:multiLevelType w:val="hybridMultilevel"/>
    <w:tmpl w:val="FFFFFFFF"/>
    <w:lvl w:ilvl="0" w:tplc="0409000F">
      <w:start w:val="1"/>
      <w:numFmt w:val="decimal"/>
      <w:lvlText w:val="%1."/>
      <w:lvlJc w:val="left"/>
      <w:pPr>
        <w:ind w:left="360" w:hanging="360"/>
      </w:pPr>
      <w:rPr>
        <w:rFonts w:cs="Times New Roman"/>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9" w15:restartNumberingAfterBreak="0">
    <w:nsid w:val="2026055B"/>
    <w:multiLevelType w:val="hybridMultilevel"/>
    <w:tmpl w:val="FF422F5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72579B4"/>
    <w:multiLevelType w:val="hybridMultilevel"/>
    <w:tmpl w:val="3FF2728C"/>
    <w:lvl w:ilvl="0" w:tplc="0152DD9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D320ACA"/>
    <w:multiLevelType w:val="hybridMultilevel"/>
    <w:tmpl w:val="41408718"/>
    <w:lvl w:ilvl="0" w:tplc="0152DD9E">
      <w:start w:val="1"/>
      <w:numFmt w:val="bullet"/>
      <w:lvlText w:val=""/>
      <w:lvlJc w:val="left"/>
      <w:pPr>
        <w:ind w:left="720" w:hanging="360"/>
      </w:pPr>
      <w:rPr>
        <w:rFonts w:ascii="Symbol" w:hAnsi="Symbol" w:hint="default"/>
      </w:rPr>
    </w:lvl>
    <w:lvl w:ilvl="1" w:tplc="0152DD9E">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E301DD4"/>
    <w:multiLevelType w:val="multilevel"/>
    <w:tmpl w:val="B58E7C2E"/>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3435097D"/>
    <w:multiLevelType w:val="hybridMultilevel"/>
    <w:tmpl w:val="7326FCDC"/>
    <w:lvl w:ilvl="0" w:tplc="8DFEE398">
      <w:start w:val="1"/>
      <w:numFmt w:val="bullet"/>
      <w:pStyle w:val="Bulletlevel2las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4" w15:restartNumberingAfterBreak="0">
    <w:nsid w:val="37086907"/>
    <w:multiLevelType w:val="multilevel"/>
    <w:tmpl w:val="5C382F8A"/>
    <w:lvl w:ilvl="0">
      <w:start w:val="1"/>
      <w:numFmt w:val="decimal"/>
      <w:pStyle w:val="Partheading"/>
      <w:suff w:val="space"/>
      <w:lvlText w:val="Part %1:"/>
      <w:lvlJc w:val="left"/>
      <w:pPr>
        <w:ind w:left="0" w:firstLine="0"/>
      </w:pPr>
      <w:rPr>
        <w:rFonts w:hint="default"/>
      </w:rPr>
    </w:lvl>
    <w:lvl w:ilvl="1">
      <w:start w:val="1"/>
      <w:numFmt w:val="decimal"/>
      <w:pStyle w:val="Numberedheading"/>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15:restartNumberingAfterBreak="0">
    <w:nsid w:val="3F1B3DB8"/>
    <w:multiLevelType w:val="multilevel"/>
    <w:tmpl w:val="2054ADAE"/>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rPr>
        <w:i w:val="0"/>
        <w:iCs w:val="0"/>
      </w:r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6" w15:restartNumberingAfterBreak="0">
    <w:nsid w:val="445F43AB"/>
    <w:multiLevelType w:val="hybridMultilevel"/>
    <w:tmpl w:val="8736A8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4B0015BD"/>
    <w:multiLevelType w:val="hybridMultilevel"/>
    <w:tmpl w:val="CF4890B4"/>
    <w:lvl w:ilvl="0" w:tplc="0152DD9E">
      <w:start w:val="1"/>
      <w:numFmt w:val="bullet"/>
      <w:lvlText w:val=""/>
      <w:lvlJc w:val="left"/>
      <w:pPr>
        <w:ind w:left="720" w:hanging="360"/>
      </w:pPr>
      <w:rPr>
        <w:rFonts w:ascii="Symbol" w:hAnsi="Symbol" w:hint="default"/>
      </w:rPr>
    </w:lvl>
    <w:lvl w:ilvl="1" w:tplc="0152DD9E">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2191764"/>
    <w:multiLevelType w:val="hybridMultilevel"/>
    <w:tmpl w:val="3DDC927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CBD5FF9"/>
    <w:multiLevelType w:val="hybridMultilevel"/>
    <w:tmpl w:val="255468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62E1A81"/>
    <w:multiLevelType w:val="hybridMultilevel"/>
    <w:tmpl w:val="D8885FB6"/>
    <w:lvl w:ilvl="0" w:tplc="1026004E">
      <w:start w:val="1"/>
      <w:numFmt w:val="bullet"/>
      <w:pStyle w:val="Bulletlevel1la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76E0920"/>
    <w:multiLevelType w:val="hybridMultilevel"/>
    <w:tmpl w:val="3C26C916"/>
    <w:lvl w:ilvl="0" w:tplc="8A52EFB4">
      <w:numFmt w:val="bullet"/>
      <w:lvlText w:val=""/>
      <w:lvlJc w:val="left"/>
      <w:pPr>
        <w:ind w:left="720" w:hanging="360"/>
      </w:pPr>
      <w:rPr>
        <w:rFonts w:ascii="Symbol" w:eastAsia="Calibri"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8970BC7"/>
    <w:multiLevelType w:val="hybridMultilevel"/>
    <w:tmpl w:val="7D26B1A2"/>
    <w:lvl w:ilvl="0" w:tplc="0152DD9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8BC098E"/>
    <w:multiLevelType w:val="hybridMultilevel"/>
    <w:tmpl w:val="2E386898"/>
    <w:lvl w:ilvl="0" w:tplc="BD340FDA">
      <w:start w:val="1"/>
      <w:numFmt w:val="bullet"/>
      <w:pStyle w:val="Bulletlevel1"/>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17521768">
    <w:abstractNumId w:val="3"/>
  </w:num>
  <w:num w:numId="2" w16cid:durableId="969045093">
    <w:abstractNumId w:val="1"/>
  </w:num>
  <w:num w:numId="3" w16cid:durableId="1714190328">
    <w:abstractNumId w:val="2"/>
  </w:num>
  <w:num w:numId="4" w16cid:durableId="1292904938">
    <w:abstractNumId w:val="0"/>
  </w:num>
  <w:num w:numId="5" w16cid:durableId="1192914688">
    <w:abstractNumId w:val="12"/>
  </w:num>
  <w:num w:numId="6" w16cid:durableId="818768531">
    <w:abstractNumId w:val="21"/>
  </w:num>
  <w:num w:numId="7" w16cid:durableId="636617026">
    <w:abstractNumId w:val="18"/>
  </w:num>
  <w:num w:numId="8" w16cid:durableId="227307242">
    <w:abstractNumId w:val="20"/>
  </w:num>
  <w:num w:numId="9" w16cid:durableId="1325478460">
    <w:abstractNumId w:val="23"/>
  </w:num>
  <w:num w:numId="10" w16cid:durableId="26877423">
    <w:abstractNumId w:val="5"/>
  </w:num>
  <w:num w:numId="11" w16cid:durableId="529613017">
    <w:abstractNumId w:val="2"/>
    <w:lvlOverride w:ilvl="0">
      <w:startOverride w:val="1"/>
    </w:lvlOverride>
  </w:num>
  <w:num w:numId="12" w16cid:durableId="506287035">
    <w:abstractNumId w:val="2"/>
    <w:lvlOverride w:ilvl="0">
      <w:startOverride w:val="1"/>
    </w:lvlOverride>
  </w:num>
  <w:num w:numId="13" w16cid:durableId="44449778">
    <w:abstractNumId w:val="27"/>
  </w:num>
  <w:num w:numId="14" w16cid:durableId="319240718">
    <w:abstractNumId w:val="24"/>
  </w:num>
  <w:num w:numId="15" w16cid:durableId="1091731347">
    <w:abstractNumId w:val="7"/>
  </w:num>
  <w:num w:numId="16" w16cid:durableId="1733236431">
    <w:abstractNumId w:val="13"/>
  </w:num>
  <w:num w:numId="17" w16cid:durableId="1480268017">
    <w:abstractNumId w:val="2"/>
    <w:lvlOverride w:ilvl="0">
      <w:startOverride w:val="1"/>
    </w:lvlOverride>
  </w:num>
  <w:num w:numId="18" w16cid:durableId="964309664">
    <w:abstractNumId w:val="2"/>
    <w:lvlOverride w:ilvl="0">
      <w:startOverride w:val="1"/>
    </w:lvlOverride>
  </w:num>
  <w:num w:numId="19" w16cid:durableId="1025836865">
    <w:abstractNumId w:val="2"/>
    <w:lvlOverride w:ilvl="0">
      <w:startOverride w:val="1"/>
    </w:lvlOverride>
  </w:num>
  <w:num w:numId="20" w16cid:durableId="1678726611">
    <w:abstractNumId w:val="2"/>
    <w:lvlOverride w:ilvl="0">
      <w:startOverride w:val="1"/>
    </w:lvlOverride>
  </w:num>
  <w:num w:numId="21" w16cid:durableId="475730963">
    <w:abstractNumId w:val="2"/>
    <w:lvlOverride w:ilvl="0">
      <w:startOverride w:val="1"/>
    </w:lvlOverride>
  </w:num>
  <w:num w:numId="22" w16cid:durableId="1304847979">
    <w:abstractNumId w:val="2"/>
    <w:lvlOverride w:ilvl="0">
      <w:startOverride w:val="1"/>
    </w:lvlOverride>
  </w:num>
  <w:num w:numId="23" w16cid:durableId="452334975">
    <w:abstractNumId w:val="17"/>
  </w:num>
  <w:num w:numId="24" w16cid:durableId="209878413">
    <w:abstractNumId w:val="11"/>
  </w:num>
  <w:num w:numId="25" w16cid:durableId="1331249733">
    <w:abstractNumId w:val="10"/>
  </w:num>
  <w:num w:numId="26" w16cid:durableId="1286346535">
    <w:abstractNumId w:val="26"/>
  </w:num>
  <w:num w:numId="27" w16cid:durableId="1815023130">
    <w:abstractNumId w:val="4"/>
  </w:num>
  <w:num w:numId="28" w16cid:durableId="1574126352">
    <w:abstractNumId w:val="6"/>
  </w:num>
  <w:num w:numId="29" w16cid:durableId="125898600">
    <w:abstractNumId w:val="14"/>
  </w:num>
  <w:num w:numId="30" w16cid:durableId="1592741278">
    <w:abstractNumId w:val="25"/>
  </w:num>
  <w:num w:numId="31" w16cid:durableId="456949141">
    <w:abstractNumId w:val="16"/>
  </w:num>
  <w:num w:numId="32" w16cid:durableId="136191247">
    <w:abstractNumId w:val="22"/>
  </w:num>
  <w:num w:numId="33" w16cid:durableId="937450185">
    <w:abstractNumId w:val="19"/>
  </w:num>
  <w:num w:numId="34" w16cid:durableId="28383472">
    <w:abstractNumId w:val="8"/>
  </w:num>
  <w:num w:numId="35" w16cid:durableId="1587956662">
    <w:abstractNumId w:val="9"/>
  </w:num>
  <w:num w:numId="36" w16cid:durableId="7145590">
    <w:abstractNumId w:val="1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removePersonalInformation/>
  <w:removeDateAndTime/>
  <w:proofState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093"/>
    <w:rsid w:val="00010667"/>
    <w:rsid w:val="000129D5"/>
    <w:rsid w:val="00015AE7"/>
    <w:rsid w:val="0001645F"/>
    <w:rsid w:val="00016E21"/>
    <w:rsid w:val="0001719C"/>
    <w:rsid w:val="00017DCB"/>
    <w:rsid w:val="000216E1"/>
    <w:rsid w:val="0002224E"/>
    <w:rsid w:val="000245E5"/>
    <w:rsid w:val="00026F91"/>
    <w:rsid w:val="00046C36"/>
    <w:rsid w:val="0004764C"/>
    <w:rsid w:val="0005011A"/>
    <w:rsid w:val="0005045A"/>
    <w:rsid w:val="00051C1E"/>
    <w:rsid w:val="000539F9"/>
    <w:rsid w:val="00054C27"/>
    <w:rsid w:val="00055EC3"/>
    <w:rsid w:val="000563CE"/>
    <w:rsid w:val="000659B6"/>
    <w:rsid w:val="0006686F"/>
    <w:rsid w:val="0006722A"/>
    <w:rsid w:val="000732CF"/>
    <w:rsid w:val="00075B96"/>
    <w:rsid w:val="00075C3D"/>
    <w:rsid w:val="0008196A"/>
    <w:rsid w:val="000915ED"/>
    <w:rsid w:val="0009209D"/>
    <w:rsid w:val="0009463C"/>
    <w:rsid w:val="000969BD"/>
    <w:rsid w:val="000969BF"/>
    <w:rsid w:val="000971BD"/>
    <w:rsid w:val="000A0C22"/>
    <w:rsid w:val="000A1400"/>
    <w:rsid w:val="000A3C43"/>
    <w:rsid w:val="000A4A51"/>
    <w:rsid w:val="000A542A"/>
    <w:rsid w:val="000A5D2B"/>
    <w:rsid w:val="000B2487"/>
    <w:rsid w:val="000B4664"/>
    <w:rsid w:val="000B5DE3"/>
    <w:rsid w:val="000C0A57"/>
    <w:rsid w:val="000C20F7"/>
    <w:rsid w:val="000C230C"/>
    <w:rsid w:val="000C6AB4"/>
    <w:rsid w:val="000D71D9"/>
    <w:rsid w:val="000D76E0"/>
    <w:rsid w:val="000D7E8B"/>
    <w:rsid w:val="000E4449"/>
    <w:rsid w:val="000E6097"/>
    <w:rsid w:val="000F7CAD"/>
    <w:rsid w:val="0010267F"/>
    <w:rsid w:val="00103829"/>
    <w:rsid w:val="001106BC"/>
    <w:rsid w:val="00111FCE"/>
    <w:rsid w:val="00113F84"/>
    <w:rsid w:val="00115B27"/>
    <w:rsid w:val="001229A5"/>
    <w:rsid w:val="00122C4C"/>
    <w:rsid w:val="0012489B"/>
    <w:rsid w:val="00126605"/>
    <w:rsid w:val="00130017"/>
    <w:rsid w:val="00130F91"/>
    <w:rsid w:val="001349ED"/>
    <w:rsid w:val="00134C2F"/>
    <w:rsid w:val="00137424"/>
    <w:rsid w:val="00140318"/>
    <w:rsid w:val="00141AD9"/>
    <w:rsid w:val="00146CE6"/>
    <w:rsid w:val="00147315"/>
    <w:rsid w:val="00152903"/>
    <w:rsid w:val="00153FD5"/>
    <w:rsid w:val="0015614F"/>
    <w:rsid w:val="001577C2"/>
    <w:rsid w:val="001633C4"/>
    <w:rsid w:val="001704D5"/>
    <w:rsid w:val="00171591"/>
    <w:rsid w:val="00173981"/>
    <w:rsid w:val="0017719D"/>
    <w:rsid w:val="00181180"/>
    <w:rsid w:val="00183FD7"/>
    <w:rsid w:val="00185CAB"/>
    <w:rsid w:val="001875B7"/>
    <w:rsid w:val="00187CB3"/>
    <w:rsid w:val="0019050A"/>
    <w:rsid w:val="001910D4"/>
    <w:rsid w:val="001976E3"/>
    <w:rsid w:val="001A29EB"/>
    <w:rsid w:val="001A404B"/>
    <w:rsid w:val="001A44EC"/>
    <w:rsid w:val="001B28D9"/>
    <w:rsid w:val="001B4AB0"/>
    <w:rsid w:val="001B58AA"/>
    <w:rsid w:val="001B7E48"/>
    <w:rsid w:val="001C17CE"/>
    <w:rsid w:val="001C30F5"/>
    <w:rsid w:val="001C36CA"/>
    <w:rsid w:val="001C44D1"/>
    <w:rsid w:val="001C6AEE"/>
    <w:rsid w:val="001C7630"/>
    <w:rsid w:val="001D0516"/>
    <w:rsid w:val="001D4DD0"/>
    <w:rsid w:val="001D6D15"/>
    <w:rsid w:val="001D7EE4"/>
    <w:rsid w:val="001F2B8F"/>
    <w:rsid w:val="001F7558"/>
    <w:rsid w:val="00205B57"/>
    <w:rsid w:val="002157E0"/>
    <w:rsid w:val="00216A57"/>
    <w:rsid w:val="00217448"/>
    <w:rsid w:val="0022334F"/>
    <w:rsid w:val="00226819"/>
    <w:rsid w:val="00233101"/>
    <w:rsid w:val="00233817"/>
    <w:rsid w:val="002367FF"/>
    <w:rsid w:val="00240CE9"/>
    <w:rsid w:val="002434BA"/>
    <w:rsid w:val="002434D4"/>
    <w:rsid w:val="00243F81"/>
    <w:rsid w:val="00246089"/>
    <w:rsid w:val="00246093"/>
    <w:rsid w:val="00246702"/>
    <w:rsid w:val="00247C59"/>
    <w:rsid w:val="00247F2E"/>
    <w:rsid w:val="0025078B"/>
    <w:rsid w:val="00250ADC"/>
    <w:rsid w:val="00250B07"/>
    <w:rsid w:val="00257553"/>
    <w:rsid w:val="00260FB2"/>
    <w:rsid w:val="00262128"/>
    <w:rsid w:val="00265283"/>
    <w:rsid w:val="00265BB7"/>
    <w:rsid w:val="0027165D"/>
    <w:rsid w:val="00273CEB"/>
    <w:rsid w:val="00281C89"/>
    <w:rsid w:val="0028282F"/>
    <w:rsid w:val="00284A74"/>
    <w:rsid w:val="002916AD"/>
    <w:rsid w:val="00291EFE"/>
    <w:rsid w:val="0029593B"/>
    <w:rsid w:val="00295AA7"/>
    <w:rsid w:val="00297FC5"/>
    <w:rsid w:val="002A0417"/>
    <w:rsid w:val="002A16D8"/>
    <w:rsid w:val="002A1BC8"/>
    <w:rsid w:val="002A3EF2"/>
    <w:rsid w:val="002A4D88"/>
    <w:rsid w:val="002A7DCF"/>
    <w:rsid w:val="002B0DED"/>
    <w:rsid w:val="002B19A2"/>
    <w:rsid w:val="002B381A"/>
    <w:rsid w:val="002B4FCC"/>
    <w:rsid w:val="002B7408"/>
    <w:rsid w:val="002B7CFD"/>
    <w:rsid w:val="002C210F"/>
    <w:rsid w:val="002D3600"/>
    <w:rsid w:val="002D3BC0"/>
    <w:rsid w:val="002D715C"/>
    <w:rsid w:val="002E4DDC"/>
    <w:rsid w:val="002F692A"/>
    <w:rsid w:val="00302480"/>
    <w:rsid w:val="00302758"/>
    <w:rsid w:val="00306491"/>
    <w:rsid w:val="003125DD"/>
    <w:rsid w:val="003165E6"/>
    <w:rsid w:val="003215B5"/>
    <w:rsid w:val="003221CF"/>
    <w:rsid w:val="003233ED"/>
    <w:rsid w:val="00324D9F"/>
    <w:rsid w:val="00327948"/>
    <w:rsid w:val="0033000F"/>
    <w:rsid w:val="00330255"/>
    <w:rsid w:val="00332011"/>
    <w:rsid w:val="00332518"/>
    <w:rsid w:val="00332925"/>
    <w:rsid w:val="00332BB1"/>
    <w:rsid w:val="003332ED"/>
    <w:rsid w:val="003342DF"/>
    <w:rsid w:val="003368DC"/>
    <w:rsid w:val="00345927"/>
    <w:rsid w:val="00350584"/>
    <w:rsid w:val="00351857"/>
    <w:rsid w:val="00353298"/>
    <w:rsid w:val="003545E8"/>
    <w:rsid w:val="0035466C"/>
    <w:rsid w:val="003602DD"/>
    <w:rsid w:val="003610E1"/>
    <w:rsid w:val="003671BE"/>
    <w:rsid w:val="00372485"/>
    <w:rsid w:val="00373200"/>
    <w:rsid w:val="00375EF5"/>
    <w:rsid w:val="003767A5"/>
    <w:rsid w:val="00381D15"/>
    <w:rsid w:val="00382386"/>
    <w:rsid w:val="00383AA2"/>
    <w:rsid w:val="00385254"/>
    <w:rsid w:val="003A04DB"/>
    <w:rsid w:val="003A5F5B"/>
    <w:rsid w:val="003A789A"/>
    <w:rsid w:val="003B12EC"/>
    <w:rsid w:val="003B33CD"/>
    <w:rsid w:val="003C4631"/>
    <w:rsid w:val="003C53ED"/>
    <w:rsid w:val="003C77E0"/>
    <w:rsid w:val="003D17D7"/>
    <w:rsid w:val="003D2678"/>
    <w:rsid w:val="003D39AE"/>
    <w:rsid w:val="003D536E"/>
    <w:rsid w:val="003D71A3"/>
    <w:rsid w:val="003E2B8A"/>
    <w:rsid w:val="003F10EE"/>
    <w:rsid w:val="003F16F6"/>
    <w:rsid w:val="003F1B47"/>
    <w:rsid w:val="003F4DC7"/>
    <w:rsid w:val="003F5235"/>
    <w:rsid w:val="003F5967"/>
    <w:rsid w:val="004027E4"/>
    <w:rsid w:val="00404DD7"/>
    <w:rsid w:val="004050AF"/>
    <w:rsid w:val="0041071D"/>
    <w:rsid w:val="00414AFC"/>
    <w:rsid w:val="004151A7"/>
    <w:rsid w:val="00415310"/>
    <w:rsid w:val="00421709"/>
    <w:rsid w:val="00423763"/>
    <w:rsid w:val="00425FCB"/>
    <w:rsid w:val="004267B6"/>
    <w:rsid w:val="0042762F"/>
    <w:rsid w:val="00427DC7"/>
    <w:rsid w:val="00431613"/>
    <w:rsid w:val="00431792"/>
    <w:rsid w:val="0043297A"/>
    <w:rsid w:val="00432EB2"/>
    <w:rsid w:val="00436A7B"/>
    <w:rsid w:val="0043714F"/>
    <w:rsid w:val="004376F2"/>
    <w:rsid w:val="004438B5"/>
    <w:rsid w:val="00447037"/>
    <w:rsid w:val="004511C5"/>
    <w:rsid w:val="0045124D"/>
    <w:rsid w:val="00454596"/>
    <w:rsid w:val="00454C98"/>
    <w:rsid w:val="0045605D"/>
    <w:rsid w:val="0046135B"/>
    <w:rsid w:val="00461D47"/>
    <w:rsid w:val="00470100"/>
    <w:rsid w:val="004718CC"/>
    <w:rsid w:val="00481695"/>
    <w:rsid w:val="0048384A"/>
    <w:rsid w:val="00495A96"/>
    <w:rsid w:val="00495BB3"/>
    <w:rsid w:val="004962DC"/>
    <w:rsid w:val="004A56BB"/>
    <w:rsid w:val="004A70D6"/>
    <w:rsid w:val="004B1751"/>
    <w:rsid w:val="004B2960"/>
    <w:rsid w:val="004C0253"/>
    <w:rsid w:val="004C3BA5"/>
    <w:rsid w:val="004D1618"/>
    <w:rsid w:val="004D56FF"/>
    <w:rsid w:val="004E333E"/>
    <w:rsid w:val="004E39D3"/>
    <w:rsid w:val="004E508A"/>
    <w:rsid w:val="004E616D"/>
    <w:rsid w:val="004F03E9"/>
    <w:rsid w:val="004F1BDE"/>
    <w:rsid w:val="004F2CEE"/>
    <w:rsid w:val="004F556E"/>
    <w:rsid w:val="004F591C"/>
    <w:rsid w:val="004F7F44"/>
    <w:rsid w:val="005037B4"/>
    <w:rsid w:val="00505C09"/>
    <w:rsid w:val="005079BF"/>
    <w:rsid w:val="0051269A"/>
    <w:rsid w:val="00512838"/>
    <w:rsid w:val="005144FA"/>
    <w:rsid w:val="005219E7"/>
    <w:rsid w:val="00521ED4"/>
    <w:rsid w:val="00524111"/>
    <w:rsid w:val="00525B37"/>
    <w:rsid w:val="0053098B"/>
    <w:rsid w:val="00531B9A"/>
    <w:rsid w:val="00531D15"/>
    <w:rsid w:val="0053245B"/>
    <w:rsid w:val="00537604"/>
    <w:rsid w:val="00542377"/>
    <w:rsid w:val="005450F7"/>
    <w:rsid w:val="005476EB"/>
    <w:rsid w:val="00551782"/>
    <w:rsid w:val="00560993"/>
    <w:rsid w:val="00563EF1"/>
    <w:rsid w:val="005660C8"/>
    <w:rsid w:val="00566AB4"/>
    <w:rsid w:val="00571D50"/>
    <w:rsid w:val="00575AC5"/>
    <w:rsid w:val="0057605D"/>
    <w:rsid w:val="00581347"/>
    <w:rsid w:val="00581AC9"/>
    <w:rsid w:val="005849F8"/>
    <w:rsid w:val="005938DF"/>
    <w:rsid w:val="00594E9C"/>
    <w:rsid w:val="005A099B"/>
    <w:rsid w:val="005A2D9C"/>
    <w:rsid w:val="005A55FE"/>
    <w:rsid w:val="005A62E5"/>
    <w:rsid w:val="005A6A11"/>
    <w:rsid w:val="005A7874"/>
    <w:rsid w:val="005D2502"/>
    <w:rsid w:val="005D40BB"/>
    <w:rsid w:val="005D47F3"/>
    <w:rsid w:val="005D49BF"/>
    <w:rsid w:val="005D4AA5"/>
    <w:rsid w:val="005D4D61"/>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2F51"/>
    <w:rsid w:val="00612FAA"/>
    <w:rsid w:val="00616E09"/>
    <w:rsid w:val="00622A3B"/>
    <w:rsid w:val="00622EEA"/>
    <w:rsid w:val="0062396C"/>
    <w:rsid w:val="00623FF9"/>
    <w:rsid w:val="00627D4E"/>
    <w:rsid w:val="00632B89"/>
    <w:rsid w:val="0063346D"/>
    <w:rsid w:val="00634478"/>
    <w:rsid w:val="006426DC"/>
    <w:rsid w:val="00644373"/>
    <w:rsid w:val="00645915"/>
    <w:rsid w:val="00646BE8"/>
    <w:rsid w:val="006519C3"/>
    <w:rsid w:val="00652B30"/>
    <w:rsid w:val="00656345"/>
    <w:rsid w:val="00656DC6"/>
    <w:rsid w:val="00660EC6"/>
    <w:rsid w:val="00664110"/>
    <w:rsid w:val="00664D17"/>
    <w:rsid w:val="00665624"/>
    <w:rsid w:val="00666520"/>
    <w:rsid w:val="00667C5B"/>
    <w:rsid w:val="00684A91"/>
    <w:rsid w:val="00684B6B"/>
    <w:rsid w:val="00691EB8"/>
    <w:rsid w:val="00692CDE"/>
    <w:rsid w:val="00693073"/>
    <w:rsid w:val="006977FF"/>
    <w:rsid w:val="006A01FA"/>
    <w:rsid w:val="006A0E9E"/>
    <w:rsid w:val="006A25C7"/>
    <w:rsid w:val="006A4AAD"/>
    <w:rsid w:val="006A5BEF"/>
    <w:rsid w:val="006A6DA2"/>
    <w:rsid w:val="006A7AB2"/>
    <w:rsid w:val="006B52DE"/>
    <w:rsid w:val="006B5717"/>
    <w:rsid w:val="006B582F"/>
    <w:rsid w:val="006B5EB2"/>
    <w:rsid w:val="006C0CEB"/>
    <w:rsid w:val="006C1631"/>
    <w:rsid w:val="006C29D6"/>
    <w:rsid w:val="006C3B1E"/>
    <w:rsid w:val="006C47FD"/>
    <w:rsid w:val="006C5C19"/>
    <w:rsid w:val="006C70A0"/>
    <w:rsid w:val="006D27CB"/>
    <w:rsid w:val="006D2F08"/>
    <w:rsid w:val="006D576C"/>
    <w:rsid w:val="006D5865"/>
    <w:rsid w:val="006E1FC3"/>
    <w:rsid w:val="006E3FFF"/>
    <w:rsid w:val="006E49B5"/>
    <w:rsid w:val="006E4B1B"/>
    <w:rsid w:val="006E5445"/>
    <w:rsid w:val="006E7D93"/>
    <w:rsid w:val="006F3586"/>
    <w:rsid w:val="007029A3"/>
    <w:rsid w:val="00702EA1"/>
    <w:rsid w:val="00704F43"/>
    <w:rsid w:val="00706E4E"/>
    <w:rsid w:val="0070791C"/>
    <w:rsid w:val="00710185"/>
    <w:rsid w:val="00711ACA"/>
    <w:rsid w:val="0071383C"/>
    <w:rsid w:val="007141A7"/>
    <w:rsid w:val="007152CD"/>
    <w:rsid w:val="00715722"/>
    <w:rsid w:val="00721032"/>
    <w:rsid w:val="00721B55"/>
    <w:rsid w:val="00726CE4"/>
    <w:rsid w:val="00734143"/>
    <w:rsid w:val="00737E47"/>
    <w:rsid w:val="00740EAC"/>
    <w:rsid w:val="00741D3F"/>
    <w:rsid w:val="00744956"/>
    <w:rsid w:val="00745A5C"/>
    <w:rsid w:val="0074605F"/>
    <w:rsid w:val="007475FF"/>
    <w:rsid w:val="00747E94"/>
    <w:rsid w:val="00754C83"/>
    <w:rsid w:val="0075574C"/>
    <w:rsid w:val="00761E5C"/>
    <w:rsid w:val="00765DF8"/>
    <w:rsid w:val="00766749"/>
    <w:rsid w:val="00767C1B"/>
    <w:rsid w:val="00767D86"/>
    <w:rsid w:val="007714A9"/>
    <w:rsid w:val="00774F88"/>
    <w:rsid w:val="00774FDB"/>
    <w:rsid w:val="007775FC"/>
    <w:rsid w:val="00777BA2"/>
    <w:rsid w:val="00781408"/>
    <w:rsid w:val="00783940"/>
    <w:rsid w:val="00784AF1"/>
    <w:rsid w:val="00784F7F"/>
    <w:rsid w:val="007878BD"/>
    <w:rsid w:val="00796F25"/>
    <w:rsid w:val="007A2E98"/>
    <w:rsid w:val="007A3BA3"/>
    <w:rsid w:val="007A6CC0"/>
    <w:rsid w:val="007A7FEC"/>
    <w:rsid w:val="007B1499"/>
    <w:rsid w:val="007B1BBF"/>
    <w:rsid w:val="007B2960"/>
    <w:rsid w:val="007B355D"/>
    <w:rsid w:val="007B5371"/>
    <w:rsid w:val="007B7980"/>
    <w:rsid w:val="007C03DF"/>
    <w:rsid w:val="007C0DEF"/>
    <w:rsid w:val="007C5AC6"/>
    <w:rsid w:val="007C5D5A"/>
    <w:rsid w:val="007C607F"/>
    <w:rsid w:val="007C6820"/>
    <w:rsid w:val="007C6E44"/>
    <w:rsid w:val="007C79DD"/>
    <w:rsid w:val="007D0A42"/>
    <w:rsid w:val="007D1A97"/>
    <w:rsid w:val="007D2CD6"/>
    <w:rsid w:val="007D3063"/>
    <w:rsid w:val="007D3CEB"/>
    <w:rsid w:val="007D4292"/>
    <w:rsid w:val="007D4974"/>
    <w:rsid w:val="007D7D6E"/>
    <w:rsid w:val="007E2F31"/>
    <w:rsid w:val="007E3375"/>
    <w:rsid w:val="007E7683"/>
    <w:rsid w:val="007F49FA"/>
    <w:rsid w:val="007F54C4"/>
    <w:rsid w:val="007F6E9A"/>
    <w:rsid w:val="00800CCD"/>
    <w:rsid w:val="008044D4"/>
    <w:rsid w:val="00810AB4"/>
    <w:rsid w:val="0081282E"/>
    <w:rsid w:val="00817B56"/>
    <w:rsid w:val="00821A88"/>
    <w:rsid w:val="0082495D"/>
    <w:rsid w:val="00831AC3"/>
    <w:rsid w:val="00836412"/>
    <w:rsid w:val="00836FCE"/>
    <w:rsid w:val="008408FF"/>
    <w:rsid w:val="00843093"/>
    <w:rsid w:val="00851F3F"/>
    <w:rsid w:val="0085618F"/>
    <w:rsid w:val="00856EDC"/>
    <w:rsid w:val="008623B5"/>
    <w:rsid w:val="0086440D"/>
    <w:rsid w:val="00870ABA"/>
    <w:rsid w:val="008710E1"/>
    <w:rsid w:val="008716E5"/>
    <w:rsid w:val="00881CA9"/>
    <w:rsid w:val="0088339A"/>
    <w:rsid w:val="00883628"/>
    <w:rsid w:val="00885544"/>
    <w:rsid w:val="0088634E"/>
    <w:rsid w:val="00891197"/>
    <w:rsid w:val="00893AB8"/>
    <w:rsid w:val="008A04C8"/>
    <w:rsid w:val="008A6913"/>
    <w:rsid w:val="008B45A1"/>
    <w:rsid w:val="008B70F3"/>
    <w:rsid w:val="008B71C4"/>
    <w:rsid w:val="008B76DF"/>
    <w:rsid w:val="008C04F7"/>
    <w:rsid w:val="008C10F4"/>
    <w:rsid w:val="008C65F7"/>
    <w:rsid w:val="008E14A8"/>
    <w:rsid w:val="008E4767"/>
    <w:rsid w:val="008E7A8C"/>
    <w:rsid w:val="00900DBA"/>
    <w:rsid w:val="0090203B"/>
    <w:rsid w:val="00902432"/>
    <w:rsid w:val="00903285"/>
    <w:rsid w:val="00906F40"/>
    <w:rsid w:val="0090731E"/>
    <w:rsid w:val="00907DB9"/>
    <w:rsid w:val="0091079C"/>
    <w:rsid w:val="00915B1C"/>
    <w:rsid w:val="009174F3"/>
    <w:rsid w:val="0091797D"/>
    <w:rsid w:val="00923CBA"/>
    <w:rsid w:val="009242EB"/>
    <w:rsid w:val="00926703"/>
    <w:rsid w:val="00927691"/>
    <w:rsid w:val="00927A5F"/>
    <w:rsid w:val="00930510"/>
    <w:rsid w:val="00935B63"/>
    <w:rsid w:val="0094078F"/>
    <w:rsid w:val="00940FA3"/>
    <w:rsid w:val="00941FB0"/>
    <w:rsid w:val="009426D4"/>
    <w:rsid w:val="00947F25"/>
    <w:rsid w:val="00950159"/>
    <w:rsid w:val="0095490B"/>
    <w:rsid w:val="00955B79"/>
    <w:rsid w:val="00956DED"/>
    <w:rsid w:val="00957D99"/>
    <w:rsid w:val="00960A33"/>
    <w:rsid w:val="00971914"/>
    <w:rsid w:val="00974363"/>
    <w:rsid w:val="0097718F"/>
    <w:rsid w:val="00981898"/>
    <w:rsid w:val="0099577C"/>
    <w:rsid w:val="009B24A5"/>
    <w:rsid w:val="009B2601"/>
    <w:rsid w:val="009B4E9E"/>
    <w:rsid w:val="009C1690"/>
    <w:rsid w:val="009C6881"/>
    <w:rsid w:val="009C7759"/>
    <w:rsid w:val="009D043D"/>
    <w:rsid w:val="009D07C8"/>
    <w:rsid w:val="009D1D05"/>
    <w:rsid w:val="009D2529"/>
    <w:rsid w:val="009D382F"/>
    <w:rsid w:val="009D6C71"/>
    <w:rsid w:val="009E0631"/>
    <w:rsid w:val="009E16D0"/>
    <w:rsid w:val="009E2051"/>
    <w:rsid w:val="009E38FD"/>
    <w:rsid w:val="009E5421"/>
    <w:rsid w:val="009E6E00"/>
    <w:rsid w:val="009F0A61"/>
    <w:rsid w:val="009F13D6"/>
    <w:rsid w:val="009F4C6B"/>
    <w:rsid w:val="009F78A8"/>
    <w:rsid w:val="00A02AD6"/>
    <w:rsid w:val="00A05AFE"/>
    <w:rsid w:val="00A07096"/>
    <w:rsid w:val="00A07318"/>
    <w:rsid w:val="00A11370"/>
    <w:rsid w:val="00A13B64"/>
    <w:rsid w:val="00A148D6"/>
    <w:rsid w:val="00A17B1B"/>
    <w:rsid w:val="00A224CE"/>
    <w:rsid w:val="00A22522"/>
    <w:rsid w:val="00A2440D"/>
    <w:rsid w:val="00A24882"/>
    <w:rsid w:val="00A24AFD"/>
    <w:rsid w:val="00A24F5C"/>
    <w:rsid w:val="00A32F96"/>
    <w:rsid w:val="00A40871"/>
    <w:rsid w:val="00A412AB"/>
    <w:rsid w:val="00A4193E"/>
    <w:rsid w:val="00A42A55"/>
    <w:rsid w:val="00A440E0"/>
    <w:rsid w:val="00A442EF"/>
    <w:rsid w:val="00A51D1A"/>
    <w:rsid w:val="00A52AD2"/>
    <w:rsid w:val="00A5418D"/>
    <w:rsid w:val="00A5474E"/>
    <w:rsid w:val="00A64234"/>
    <w:rsid w:val="00A70ADF"/>
    <w:rsid w:val="00A71466"/>
    <w:rsid w:val="00A72C5D"/>
    <w:rsid w:val="00A74B5E"/>
    <w:rsid w:val="00A805CB"/>
    <w:rsid w:val="00A81BED"/>
    <w:rsid w:val="00A81EC4"/>
    <w:rsid w:val="00A824E8"/>
    <w:rsid w:val="00A85B2C"/>
    <w:rsid w:val="00A86615"/>
    <w:rsid w:val="00A87905"/>
    <w:rsid w:val="00A9092C"/>
    <w:rsid w:val="00A967FD"/>
    <w:rsid w:val="00AA1F0B"/>
    <w:rsid w:val="00AA2372"/>
    <w:rsid w:val="00AA2749"/>
    <w:rsid w:val="00AA288B"/>
    <w:rsid w:val="00AA2DE5"/>
    <w:rsid w:val="00AB156C"/>
    <w:rsid w:val="00AB5A0D"/>
    <w:rsid w:val="00AB6814"/>
    <w:rsid w:val="00AC04BA"/>
    <w:rsid w:val="00AC0E39"/>
    <w:rsid w:val="00AC3082"/>
    <w:rsid w:val="00AC537E"/>
    <w:rsid w:val="00AD3082"/>
    <w:rsid w:val="00AD32B4"/>
    <w:rsid w:val="00AD4AD0"/>
    <w:rsid w:val="00AD5436"/>
    <w:rsid w:val="00AD60CD"/>
    <w:rsid w:val="00AD6C8C"/>
    <w:rsid w:val="00AE091D"/>
    <w:rsid w:val="00AE21FD"/>
    <w:rsid w:val="00AE3B60"/>
    <w:rsid w:val="00AE53A1"/>
    <w:rsid w:val="00AF2484"/>
    <w:rsid w:val="00AF63E7"/>
    <w:rsid w:val="00AF6E17"/>
    <w:rsid w:val="00B00BAB"/>
    <w:rsid w:val="00B0165D"/>
    <w:rsid w:val="00B01B60"/>
    <w:rsid w:val="00B02C45"/>
    <w:rsid w:val="00B031F3"/>
    <w:rsid w:val="00B052A4"/>
    <w:rsid w:val="00B10172"/>
    <w:rsid w:val="00B125DE"/>
    <w:rsid w:val="00B12A52"/>
    <w:rsid w:val="00B13FDD"/>
    <w:rsid w:val="00B22EB2"/>
    <w:rsid w:val="00B27442"/>
    <w:rsid w:val="00B31167"/>
    <w:rsid w:val="00B329D8"/>
    <w:rsid w:val="00B32BB9"/>
    <w:rsid w:val="00B33AE1"/>
    <w:rsid w:val="00B37C38"/>
    <w:rsid w:val="00B4288C"/>
    <w:rsid w:val="00B43262"/>
    <w:rsid w:val="00B44100"/>
    <w:rsid w:val="00B46CBA"/>
    <w:rsid w:val="00B46F94"/>
    <w:rsid w:val="00B473C9"/>
    <w:rsid w:val="00B50BF5"/>
    <w:rsid w:val="00B6003C"/>
    <w:rsid w:val="00B61F03"/>
    <w:rsid w:val="00B626E4"/>
    <w:rsid w:val="00B72064"/>
    <w:rsid w:val="00B72F4A"/>
    <w:rsid w:val="00B83A47"/>
    <w:rsid w:val="00B83C27"/>
    <w:rsid w:val="00B84BC3"/>
    <w:rsid w:val="00B84BDD"/>
    <w:rsid w:val="00B90B59"/>
    <w:rsid w:val="00B92812"/>
    <w:rsid w:val="00BB0BDF"/>
    <w:rsid w:val="00BB45A1"/>
    <w:rsid w:val="00BB7686"/>
    <w:rsid w:val="00BC23F9"/>
    <w:rsid w:val="00BC3421"/>
    <w:rsid w:val="00BC732C"/>
    <w:rsid w:val="00BD12E4"/>
    <w:rsid w:val="00BD4421"/>
    <w:rsid w:val="00BD7249"/>
    <w:rsid w:val="00BE2580"/>
    <w:rsid w:val="00BE266D"/>
    <w:rsid w:val="00BE2EF4"/>
    <w:rsid w:val="00BE35CB"/>
    <w:rsid w:val="00BE3938"/>
    <w:rsid w:val="00BE4C11"/>
    <w:rsid w:val="00BE6805"/>
    <w:rsid w:val="00BE71C0"/>
    <w:rsid w:val="00BF610C"/>
    <w:rsid w:val="00C0060B"/>
    <w:rsid w:val="00C01A6C"/>
    <w:rsid w:val="00C0277D"/>
    <w:rsid w:val="00C04D93"/>
    <w:rsid w:val="00C053A1"/>
    <w:rsid w:val="00C16198"/>
    <w:rsid w:val="00C2083D"/>
    <w:rsid w:val="00C24A53"/>
    <w:rsid w:val="00C34A05"/>
    <w:rsid w:val="00C35CCE"/>
    <w:rsid w:val="00C4032F"/>
    <w:rsid w:val="00C40988"/>
    <w:rsid w:val="00C44047"/>
    <w:rsid w:val="00C45155"/>
    <w:rsid w:val="00C5498F"/>
    <w:rsid w:val="00C55235"/>
    <w:rsid w:val="00C55D36"/>
    <w:rsid w:val="00C562DF"/>
    <w:rsid w:val="00C5672A"/>
    <w:rsid w:val="00C64914"/>
    <w:rsid w:val="00C64CD0"/>
    <w:rsid w:val="00C6684F"/>
    <w:rsid w:val="00C70E70"/>
    <w:rsid w:val="00C75F8D"/>
    <w:rsid w:val="00C77380"/>
    <w:rsid w:val="00C82940"/>
    <w:rsid w:val="00C87E8A"/>
    <w:rsid w:val="00C92973"/>
    <w:rsid w:val="00C96E99"/>
    <w:rsid w:val="00C97736"/>
    <w:rsid w:val="00CA345A"/>
    <w:rsid w:val="00CA67EF"/>
    <w:rsid w:val="00CB1E82"/>
    <w:rsid w:val="00CB3D6A"/>
    <w:rsid w:val="00CB4BA8"/>
    <w:rsid w:val="00CB52D7"/>
    <w:rsid w:val="00CB7B48"/>
    <w:rsid w:val="00CC6732"/>
    <w:rsid w:val="00CD1B98"/>
    <w:rsid w:val="00CD3A4F"/>
    <w:rsid w:val="00CD5876"/>
    <w:rsid w:val="00CE0864"/>
    <w:rsid w:val="00CE0BB5"/>
    <w:rsid w:val="00CE3C96"/>
    <w:rsid w:val="00CE51A8"/>
    <w:rsid w:val="00CF2075"/>
    <w:rsid w:val="00CF369B"/>
    <w:rsid w:val="00D00E28"/>
    <w:rsid w:val="00D0269E"/>
    <w:rsid w:val="00D05D6C"/>
    <w:rsid w:val="00D15810"/>
    <w:rsid w:val="00D16D4E"/>
    <w:rsid w:val="00D16FE3"/>
    <w:rsid w:val="00D210F7"/>
    <w:rsid w:val="00D27F41"/>
    <w:rsid w:val="00D3245F"/>
    <w:rsid w:val="00D36441"/>
    <w:rsid w:val="00D4064E"/>
    <w:rsid w:val="00D414E9"/>
    <w:rsid w:val="00D42EF0"/>
    <w:rsid w:val="00D4323D"/>
    <w:rsid w:val="00D44E9B"/>
    <w:rsid w:val="00D45FD2"/>
    <w:rsid w:val="00D46DA5"/>
    <w:rsid w:val="00D47AEB"/>
    <w:rsid w:val="00D50DB9"/>
    <w:rsid w:val="00D51302"/>
    <w:rsid w:val="00D52C43"/>
    <w:rsid w:val="00D54356"/>
    <w:rsid w:val="00D55E07"/>
    <w:rsid w:val="00D60571"/>
    <w:rsid w:val="00D6507F"/>
    <w:rsid w:val="00D71E3F"/>
    <w:rsid w:val="00D730BC"/>
    <w:rsid w:val="00D73912"/>
    <w:rsid w:val="00D7749B"/>
    <w:rsid w:val="00D85226"/>
    <w:rsid w:val="00D87B94"/>
    <w:rsid w:val="00D92D49"/>
    <w:rsid w:val="00D92EC1"/>
    <w:rsid w:val="00D931F4"/>
    <w:rsid w:val="00D96DEA"/>
    <w:rsid w:val="00DA328D"/>
    <w:rsid w:val="00DA4E41"/>
    <w:rsid w:val="00DB117A"/>
    <w:rsid w:val="00DB3A64"/>
    <w:rsid w:val="00DB5173"/>
    <w:rsid w:val="00DB7873"/>
    <w:rsid w:val="00DC14A8"/>
    <w:rsid w:val="00DC187B"/>
    <w:rsid w:val="00DC7DEF"/>
    <w:rsid w:val="00DD1A43"/>
    <w:rsid w:val="00DD73C2"/>
    <w:rsid w:val="00DE0B1D"/>
    <w:rsid w:val="00DE1DB5"/>
    <w:rsid w:val="00DE319B"/>
    <w:rsid w:val="00DF0799"/>
    <w:rsid w:val="00DF2237"/>
    <w:rsid w:val="00DF2AA0"/>
    <w:rsid w:val="00DF34FE"/>
    <w:rsid w:val="00DF56AA"/>
    <w:rsid w:val="00DF56AF"/>
    <w:rsid w:val="00DF78E7"/>
    <w:rsid w:val="00E02D76"/>
    <w:rsid w:val="00E110E0"/>
    <w:rsid w:val="00E11E68"/>
    <w:rsid w:val="00E12417"/>
    <w:rsid w:val="00E15371"/>
    <w:rsid w:val="00E231BA"/>
    <w:rsid w:val="00E23372"/>
    <w:rsid w:val="00E24104"/>
    <w:rsid w:val="00E302D0"/>
    <w:rsid w:val="00E35707"/>
    <w:rsid w:val="00E35EB4"/>
    <w:rsid w:val="00E36AA1"/>
    <w:rsid w:val="00E41ECB"/>
    <w:rsid w:val="00E42676"/>
    <w:rsid w:val="00E54FDB"/>
    <w:rsid w:val="00E5512D"/>
    <w:rsid w:val="00E5617D"/>
    <w:rsid w:val="00E563D7"/>
    <w:rsid w:val="00E60FA2"/>
    <w:rsid w:val="00E629DB"/>
    <w:rsid w:val="00E663F4"/>
    <w:rsid w:val="00E66601"/>
    <w:rsid w:val="00E666F2"/>
    <w:rsid w:val="00E66DD4"/>
    <w:rsid w:val="00E748CC"/>
    <w:rsid w:val="00E75415"/>
    <w:rsid w:val="00E76450"/>
    <w:rsid w:val="00E775B1"/>
    <w:rsid w:val="00E8152A"/>
    <w:rsid w:val="00E87CB4"/>
    <w:rsid w:val="00E93629"/>
    <w:rsid w:val="00E93B5C"/>
    <w:rsid w:val="00E94535"/>
    <w:rsid w:val="00E94CEC"/>
    <w:rsid w:val="00EA04EF"/>
    <w:rsid w:val="00EA6F19"/>
    <w:rsid w:val="00EB7090"/>
    <w:rsid w:val="00EB726B"/>
    <w:rsid w:val="00EC1BBE"/>
    <w:rsid w:val="00EC2B68"/>
    <w:rsid w:val="00EC3AEF"/>
    <w:rsid w:val="00EC5CD7"/>
    <w:rsid w:val="00ED1769"/>
    <w:rsid w:val="00ED2CBF"/>
    <w:rsid w:val="00ED32DC"/>
    <w:rsid w:val="00EE4637"/>
    <w:rsid w:val="00EE5FB3"/>
    <w:rsid w:val="00EE7F79"/>
    <w:rsid w:val="00EF715A"/>
    <w:rsid w:val="00F012EF"/>
    <w:rsid w:val="00F01BC3"/>
    <w:rsid w:val="00F04366"/>
    <w:rsid w:val="00F06E14"/>
    <w:rsid w:val="00F11865"/>
    <w:rsid w:val="00F17889"/>
    <w:rsid w:val="00F179D4"/>
    <w:rsid w:val="00F244BA"/>
    <w:rsid w:val="00F26009"/>
    <w:rsid w:val="00F26AE9"/>
    <w:rsid w:val="00F33C56"/>
    <w:rsid w:val="00F347C7"/>
    <w:rsid w:val="00F34848"/>
    <w:rsid w:val="00F35E9E"/>
    <w:rsid w:val="00F370F5"/>
    <w:rsid w:val="00F412DA"/>
    <w:rsid w:val="00F42D46"/>
    <w:rsid w:val="00F4496C"/>
    <w:rsid w:val="00F44F3A"/>
    <w:rsid w:val="00F45DD5"/>
    <w:rsid w:val="00F51F10"/>
    <w:rsid w:val="00F529A5"/>
    <w:rsid w:val="00F60F00"/>
    <w:rsid w:val="00F614C0"/>
    <w:rsid w:val="00F61C77"/>
    <w:rsid w:val="00F7389C"/>
    <w:rsid w:val="00F83848"/>
    <w:rsid w:val="00F86DA1"/>
    <w:rsid w:val="00F975E9"/>
    <w:rsid w:val="00FA1B7D"/>
    <w:rsid w:val="00FA7ACA"/>
    <w:rsid w:val="00FC07B9"/>
    <w:rsid w:val="00FC4E21"/>
    <w:rsid w:val="00FC5F6D"/>
    <w:rsid w:val="00FD0107"/>
    <w:rsid w:val="00FD2C2F"/>
    <w:rsid w:val="00FD3B31"/>
    <w:rsid w:val="00FE1823"/>
    <w:rsid w:val="00FE487A"/>
    <w:rsid w:val="00FE5516"/>
    <w:rsid w:val="00FE7278"/>
    <w:rsid w:val="00FF0569"/>
    <w:rsid w:val="00FF206E"/>
    <w:rsid w:val="00FF3BBF"/>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3906E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heading 4" w:uiPriority="3"/>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4B2960"/>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numPr>
        <w:numId w:val="36"/>
      </w:numPr>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711ACA"/>
    <w:pPr>
      <w:keepNext/>
      <w:numPr>
        <w:ilvl w:val="1"/>
        <w:numId w:val="36"/>
      </w:numPr>
      <w:spacing w:before="320" w:after="60" w:line="280" w:lineRule="atLeast"/>
      <w:outlineLvl w:val="1"/>
    </w:pPr>
    <w:rPr>
      <w:rFonts w:cs="Arial"/>
      <w:b/>
      <w:bCs/>
      <w:iCs/>
      <w:sz w:val="28"/>
      <w:szCs w:val="28"/>
    </w:rPr>
  </w:style>
  <w:style w:type="paragraph" w:styleId="Heading3">
    <w:name w:val="heading 3"/>
    <w:basedOn w:val="Normal"/>
    <w:next w:val="Normal"/>
    <w:link w:val="Heading3Char"/>
    <w:uiPriority w:val="2"/>
    <w:qFormat/>
    <w:rsid w:val="00711ACA"/>
    <w:pPr>
      <w:keepNext/>
      <w:numPr>
        <w:ilvl w:val="2"/>
        <w:numId w:val="36"/>
      </w:numPr>
      <w:spacing w:before="60" w:after="60" w:line="280" w:lineRule="atLeast"/>
      <w:outlineLvl w:val="2"/>
    </w:pPr>
    <w:rPr>
      <w:rFonts w:cs="Arial"/>
      <w:b/>
      <w:bCs/>
      <w:sz w:val="22"/>
      <w:szCs w:val="26"/>
    </w:rPr>
  </w:style>
  <w:style w:type="paragraph" w:styleId="Heading4">
    <w:name w:val="heading 4"/>
    <w:basedOn w:val="BodySubHeader"/>
    <w:next w:val="Normal"/>
    <w:link w:val="Heading4Char"/>
    <w:uiPriority w:val="3"/>
    <w:qFormat/>
    <w:rsid w:val="00711ACA"/>
    <w:pPr>
      <w:numPr>
        <w:ilvl w:val="3"/>
        <w:numId w:val="36"/>
      </w:numPr>
      <w:spacing w:line="280" w:lineRule="atLeast"/>
      <w:outlineLvl w:val="3"/>
    </w:pPr>
    <w:rPr>
      <w:rFonts w:cs="Arial"/>
      <w:sz w:val="22"/>
    </w:rPr>
  </w:style>
  <w:style w:type="paragraph" w:styleId="Heading5">
    <w:name w:val="heading 5"/>
    <w:basedOn w:val="Normal"/>
    <w:next w:val="Normal"/>
    <w:link w:val="Heading5Char"/>
    <w:semiHidden/>
    <w:qFormat/>
    <w:rsid w:val="00AD5436"/>
    <w:pPr>
      <w:numPr>
        <w:ilvl w:val="4"/>
        <w:numId w:val="36"/>
      </w:numPr>
      <w:spacing w:before="240" w:after="60"/>
      <w:outlineLvl w:val="4"/>
    </w:pPr>
    <w:rPr>
      <w:b/>
      <w:bCs/>
      <w:i/>
      <w:iCs/>
      <w:sz w:val="26"/>
      <w:szCs w:val="26"/>
    </w:rPr>
  </w:style>
  <w:style w:type="paragraph" w:styleId="Heading6">
    <w:name w:val="heading 6"/>
    <w:basedOn w:val="Normal"/>
    <w:next w:val="Normal"/>
    <w:link w:val="Heading6Char"/>
    <w:semiHidden/>
    <w:qFormat/>
    <w:rsid w:val="00AD5436"/>
    <w:pPr>
      <w:numPr>
        <w:ilvl w:val="5"/>
        <w:numId w:val="36"/>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semiHidden/>
    <w:qFormat/>
    <w:rsid w:val="00AD5436"/>
    <w:pPr>
      <w:numPr>
        <w:ilvl w:val="6"/>
        <w:numId w:val="36"/>
      </w:numPr>
      <w:spacing w:before="240" w:after="60"/>
      <w:outlineLvl w:val="6"/>
    </w:pPr>
    <w:rPr>
      <w:rFonts w:ascii="Times New Roman" w:hAnsi="Times New Roman"/>
      <w:sz w:val="24"/>
    </w:rPr>
  </w:style>
  <w:style w:type="paragraph" w:styleId="Heading8">
    <w:name w:val="heading 8"/>
    <w:basedOn w:val="Normal"/>
    <w:next w:val="Normal"/>
    <w:link w:val="Heading8Char"/>
    <w:semiHidden/>
    <w:qFormat/>
    <w:rsid w:val="00AD5436"/>
    <w:pPr>
      <w:numPr>
        <w:ilvl w:val="7"/>
        <w:numId w:val="36"/>
      </w:numPr>
      <w:spacing w:before="240" w:after="60"/>
      <w:outlineLvl w:val="7"/>
    </w:pPr>
    <w:rPr>
      <w:rFonts w:ascii="Times New Roman" w:hAnsi="Times New Roman"/>
      <w:i/>
      <w:iCs/>
      <w:sz w:val="24"/>
    </w:rPr>
  </w:style>
  <w:style w:type="paragraph" w:styleId="Heading9">
    <w:name w:val="heading 9"/>
    <w:basedOn w:val="Normal"/>
    <w:next w:val="Normal"/>
    <w:link w:val="Heading9Char"/>
    <w:semiHidden/>
    <w:qFormat/>
    <w:rsid w:val="00AD5436"/>
    <w:pPr>
      <w:numPr>
        <w:ilvl w:val="8"/>
        <w:numId w:val="36"/>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4267B6"/>
    <w:pPr>
      <w:spacing w:after="0"/>
    </w:pPr>
    <w:rPr>
      <w:b/>
      <w:sz w:val="22"/>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rsid w:val="00146CE6"/>
    <w:pPr>
      <w:spacing w:before="240" w:after="0"/>
    </w:pPr>
    <w:rPr>
      <w:b/>
      <w:i/>
    </w:rPr>
  </w:style>
  <w:style w:type="paragraph" w:styleId="ListBullet">
    <w:name w:val="List Bullet"/>
    <w:aliases w:val="List Bullet 1"/>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4B2960"/>
    <w:pPr>
      <w:numPr>
        <w:numId w:val="3"/>
      </w:numPr>
      <w:spacing w:after="80" w:line="260" w:lineRule="atLeast"/>
      <w:ind w:left="284" w:hanging="284"/>
    </w:pPr>
    <w:rPr>
      <w:sz w:val="22"/>
    </w:rPr>
  </w:style>
  <w:style w:type="paragraph" w:styleId="ListNumber2">
    <w:name w:val="List Number 2"/>
    <w:basedOn w:val="Normal"/>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E66601"/>
    <w:pPr>
      <w:pageBreakBefore/>
      <w:spacing w:after="36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D60571"/>
    <w:pPr>
      <w:tabs>
        <w:tab w:val="right" w:pos="9072"/>
      </w:tabs>
      <w:spacing w:before="280" w:after="80" w:line="320" w:lineRule="exact"/>
    </w:pPr>
    <w:rPr>
      <w:b/>
      <w:noProof/>
      <w:spacing w:val="-14"/>
      <w:sz w:val="28"/>
    </w:rPr>
  </w:style>
  <w:style w:type="paragraph" w:styleId="TOC2">
    <w:name w:val="toc 2"/>
    <w:basedOn w:val="Normal"/>
    <w:next w:val="Normal"/>
    <w:uiPriority w:val="39"/>
    <w:qFormat/>
    <w:rsid w:val="00D60571"/>
    <w:pPr>
      <w:tabs>
        <w:tab w:val="right" w:pos="9072"/>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D60571"/>
    <w:pPr>
      <w:tabs>
        <w:tab w:val="right" w:pos="9072"/>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uiPriority w:val="99"/>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uiPriority w:val="99"/>
    <w:rsid w:val="00A17B1B"/>
    <w:pPr>
      <w:spacing w:after="0" w:line="200" w:lineRule="atLeast"/>
    </w:pPr>
    <w:rPr>
      <w:sz w:val="16"/>
      <w:szCs w:val="16"/>
    </w:rPr>
  </w:style>
  <w:style w:type="paragraph" w:customStyle="1" w:styleId="TableBody">
    <w:name w:val="Table Body"/>
    <w:basedOn w:val="Normal"/>
    <w:uiPriority w:val="15"/>
    <w:qFormat/>
    <w:rsid w:val="004267B6"/>
    <w:pPr>
      <w:spacing w:after="0" w:line="240" w:lineRule="auto"/>
    </w:pPr>
    <w:rPr>
      <w:sz w:val="22"/>
    </w:r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711ACA"/>
    <w:pPr>
      <w:numPr>
        <w:numId w:val="13"/>
      </w:numPr>
      <w:spacing w:line="280" w:lineRule="atLeast"/>
      <w:ind w:left="284" w:hanging="284"/>
    </w:pPr>
    <w:rPr>
      <w:rFonts w:cs="Arial"/>
      <w:sz w:val="22"/>
    </w:rPr>
  </w:style>
  <w:style w:type="paragraph" w:customStyle="1" w:styleId="ACMACorporateAddressHeader">
    <w:name w:val="ACMA_CorporateAddressHeader"/>
    <w:basedOn w:val="Normal"/>
    <w:next w:val="ACMACorporateAddresses"/>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unhideWhenUsed/>
    <w:qFormat/>
    <w:rsid w:val="00FC07B9"/>
    <w:pPr>
      <w:spacing w:before="0" w:after="120"/>
    </w:pPr>
    <w:rPr>
      <w:b w:val="0"/>
    </w:rPr>
  </w:style>
  <w:style w:type="paragraph" w:customStyle="1" w:styleId="ACMACopyrightHeader">
    <w:name w:val="ACMA_CopyrightHeader"/>
    <w:basedOn w:val="ACMACorporateAddressHeader"/>
    <w:unhideWhenUsed/>
    <w:qFormat/>
    <w:rsid w:val="00950159"/>
    <w:pPr>
      <w:spacing w:before="3000"/>
    </w:pPr>
  </w:style>
  <w:style w:type="paragraph" w:customStyle="1" w:styleId="ACMACClogo">
    <w:name w:val="ACMA_CClogo"/>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711ACA"/>
    <w:pPr>
      <w:spacing w:line="280" w:lineRule="atLeast"/>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711ACA"/>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711ACA"/>
    <w:rPr>
      <w:rFonts w:ascii="Arial" w:hAnsi="Arial" w:cs="Arial"/>
      <w:b/>
      <w:bCs/>
      <w:sz w:val="22"/>
      <w:szCs w:val="26"/>
    </w:rPr>
  </w:style>
  <w:style w:type="paragraph" w:customStyle="1" w:styleId="Paragraph">
    <w:name w:val="Paragraph"/>
    <w:basedOn w:val="Normal"/>
    <w:qFormat/>
    <w:rsid w:val="00711ACA"/>
    <w:pPr>
      <w:spacing w:line="280" w:lineRule="atLeast"/>
    </w:pPr>
    <w:rPr>
      <w:rFonts w:cs="Arial"/>
      <w:sz w:val="22"/>
    </w:rPr>
  </w:style>
  <w:style w:type="paragraph" w:customStyle="1" w:styleId="Bulletlevel2">
    <w:name w:val="Bullet level 2"/>
    <w:basedOn w:val="ListBullet2"/>
    <w:uiPriority w:val="7"/>
    <w:qFormat/>
    <w:rsid w:val="00711ACA"/>
    <w:pPr>
      <w:numPr>
        <w:numId w:val="15"/>
      </w:numPr>
      <w:tabs>
        <w:tab w:val="left" w:pos="295"/>
      </w:tabs>
      <w:spacing w:line="280" w:lineRule="atLeast"/>
      <w:ind w:left="568" w:hanging="284"/>
    </w:pPr>
    <w:rPr>
      <w:rFonts w:cs="Arial"/>
      <w:sz w:val="22"/>
    </w:rPr>
  </w:style>
  <w:style w:type="paragraph" w:customStyle="1" w:styleId="Bulletlevel1last">
    <w:name w:val="Bullet level 1 last"/>
    <w:basedOn w:val="ListBulletLast"/>
    <w:uiPriority w:val="6"/>
    <w:qFormat/>
    <w:rsid w:val="00711ACA"/>
    <w:pPr>
      <w:numPr>
        <w:numId w:val="14"/>
      </w:numPr>
      <w:spacing w:line="280" w:lineRule="atLeast"/>
      <w:ind w:left="284" w:hanging="284"/>
    </w:pPr>
    <w:rPr>
      <w:sz w:val="22"/>
    </w:rPr>
  </w:style>
  <w:style w:type="paragraph" w:customStyle="1" w:styleId="Numberlistlevel2">
    <w:name w:val="Number list level 2"/>
    <w:basedOn w:val="ListNumber2"/>
    <w:uiPriority w:val="11"/>
    <w:qFormat/>
    <w:rsid w:val="00711ACA"/>
    <w:pPr>
      <w:spacing w:line="280" w:lineRule="atLeast"/>
      <w:ind w:left="738" w:hanging="284"/>
    </w:pPr>
    <w:rPr>
      <w:sz w:val="22"/>
    </w:rPr>
  </w:style>
  <w:style w:type="paragraph" w:customStyle="1" w:styleId="Numberlistlast">
    <w:name w:val="Number list last"/>
    <w:basedOn w:val="ListNumberLast"/>
    <w:uiPriority w:val="10"/>
    <w:qFormat/>
    <w:rsid w:val="00711ACA"/>
    <w:pPr>
      <w:spacing w:line="280" w:lineRule="atLeast"/>
      <w:ind w:left="284" w:hanging="284"/>
    </w:pPr>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5A62E5"/>
    <w:pPr>
      <w:numPr>
        <w:numId w:val="16"/>
      </w:numPr>
      <w:spacing w:after="240"/>
      <w:ind w:left="568" w:hanging="284"/>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711ACA"/>
    <w:pPr>
      <w:keepNext/>
      <w:spacing w:line="280" w:lineRule="atLeast"/>
    </w:pPr>
    <w:rPr>
      <w:sz w:val="22"/>
    </w:r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711ACA"/>
    <w:pPr>
      <w:keepNext/>
      <w:spacing w:line="280" w:lineRule="atLeast"/>
    </w:pPr>
    <w:rPr>
      <w:sz w:val="22"/>
    </w:r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Executivesummarysubheading">
    <w:name w:val="Executive summary subheading"/>
    <w:basedOn w:val="Heading4"/>
    <w:uiPriority w:val="3"/>
    <w:qFormat/>
    <w:rsid w:val="00711ACA"/>
    <w:pPr>
      <w:spacing w:after="80"/>
    </w:pPr>
  </w:style>
  <w:style w:type="paragraph" w:customStyle="1" w:styleId="Note">
    <w:name w:val="Note"/>
    <w:basedOn w:val="ACMANotes"/>
    <w:uiPriority w:val="23"/>
    <w:semiHidden/>
    <w:qFormat/>
    <w:rsid w:val="004376F2"/>
  </w:style>
  <w:style w:type="character" w:customStyle="1" w:styleId="Heading4Char">
    <w:name w:val="Heading 4 Char"/>
    <w:basedOn w:val="DefaultParagraphFont"/>
    <w:link w:val="Heading4"/>
    <w:uiPriority w:val="3"/>
    <w:rsid w:val="004376F2"/>
    <w:rPr>
      <w:rFonts w:ascii="Arial" w:hAnsi="Arial" w:cs="Arial"/>
      <w:b/>
      <w:i/>
      <w:sz w:val="22"/>
    </w:rPr>
  </w:style>
  <w:style w:type="character" w:customStyle="1" w:styleId="Heading5Char">
    <w:name w:val="Heading 5 Char"/>
    <w:basedOn w:val="DefaultParagraphFont"/>
    <w:link w:val="Heading5"/>
    <w:semiHidden/>
    <w:rsid w:val="004376F2"/>
    <w:rPr>
      <w:rFonts w:ascii="Arial" w:hAnsi="Arial"/>
      <w:b/>
      <w:bCs/>
      <w:i/>
      <w:iCs/>
      <w:sz w:val="26"/>
      <w:szCs w:val="26"/>
    </w:rPr>
  </w:style>
  <w:style w:type="character" w:customStyle="1" w:styleId="Heading6Char">
    <w:name w:val="Heading 6 Char"/>
    <w:basedOn w:val="DefaultParagraphFont"/>
    <w:link w:val="Heading6"/>
    <w:semiHidden/>
    <w:rsid w:val="004376F2"/>
    <w:rPr>
      <w:b/>
      <w:bCs/>
      <w:sz w:val="22"/>
      <w:szCs w:val="22"/>
    </w:rPr>
  </w:style>
  <w:style w:type="character" w:customStyle="1" w:styleId="Heading7Char">
    <w:name w:val="Heading 7 Char"/>
    <w:basedOn w:val="DefaultParagraphFont"/>
    <w:link w:val="Heading7"/>
    <w:semiHidden/>
    <w:rsid w:val="004376F2"/>
  </w:style>
  <w:style w:type="character" w:customStyle="1" w:styleId="Heading8Char">
    <w:name w:val="Heading 8 Char"/>
    <w:basedOn w:val="DefaultParagraphFont"/>
    <w:link w:val="Heading8"/>
    <w:semiHidden/>
    <w:rsid w:val="004376F2"/>
    <w:rPr>
      <w:i/>
      <w:iCs/>
    </w:rPr>
  </w:style>
  <w:style w:type="character" w:customStyle="1" w:styleId="Heading9Char">
    <w:name w:val="Heading 9 Char"/>
    <w:basedOn w:val="DefaultParagraphFont"/>
    <w:link w:val="Heading9"/>
    <w:semiHidden/>
    <w:rsid w:val="004376F2"/>
    <w:rPr>
      <w:rFonts w:ascii="Arial" w:hAnsi="Arial" w:cs="Arial"/>
      <w:sz w:val="22"/>
      <w:szCs w:val="22"/>
    </w:rPr>
  </w:style>
  <w:style w:type="paragraph" w:customStyle="1" w:styleId="ReportTitle0">
    <w:name w:val="Report Title"/>
    <w:basedOn w:val="Normal"/>
    <w:rsid w:val="004376F2"/>
    <w:pPr>
      <w:spacing w:after="0" w:line="560" w:lineRule="exact"/>
    </w:pPr>
    <w:rPr>
      <w:rFonts w:ascii="HelveticaNeueLT Std Med" w:hAnsi="HelveticaNeueLT Std Med"/>
      <w:b/>
      <w:color w:val="4D4D4F"/>
      <w:spacing w:val="-28"/>
      <w:sz w:val="53"/>
    </w:rPr>
  </w:style>
  <w:style w:type="paragraph" w:customStyle="1" w:styleId="ReportSubtitle0">
    <w:name w:val="Report Sub title"/>
    <w:basedOn w:val="Normal"/>
    <w:rsid w:val="004376F2"/>
    <w:pPr>
      <w:spacing w:after="0" w:line="560" w:lineRule="exact"/>
    </w:pPr>
    <w:rPr>
      <w:rFonts w:ascii="HelveticaNeueLT Std Lt" w:hAnsi="HelveticaNeueLT Std Lt"/>
      <w:color w:val="808285"/>
      <w:spacing w:val="-28"/>
      <w:sz w:val="53"/>
    </w:rPr>
  </w:style>
  <w:style w:type="table" w:customStyle="1" w:styleId="TableGrid1">
    <w:name w:val="Table Grid1"/>
    <w:basedOn w:val="TableNormal"/>
    <w:next w:val="TableGrid"/>
    <w:rsid w:val="004376F2"/>
    <w:pPr>
      <w:spacing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0">
    <w:name w:val="Report Date"/>
    <w:basedOn w:val="ReportSubtitle0"/>
    <w:rsid w:val="004376F2"/>
    <w:pPr>
      <w:spacing w:line="240" w:lineRule="auto"/>
    </w:pPr>
    <w:rPr>
      <w:caps/>
      <w:spacing w:val="-10"/>
      <w:sz w:val="20"/>
    </w:rPr>
  </w:style>
  <w:style w:type="paragraph" w:customStyle="1" w:styleId="TableHeading0">
    <w:name w:val="Table Heading"/>
    <w:basedOn w:val="Normal"/>
    <w:qFormat/>
    <w:rsid w:val="004376F2"/>
    <w:pPr>
      <w:spacing w:after="0"/>
    </w:pPr>
    <w:rPr>
      <w:b/>
    </w:rPr>
  </w:style>
  <w:style w:type="paragraph" w:customStyle="1" w:styleId="Bodysubheader0">
    <w:name w:val="Body sub header"/>
    <w:basedOn w:val="Normal"/>
    <w:next w:val="Normal"/>
    <w:rsid w:val="004376F2"/>
    <w:pPr>
      <w:spacing w:after="0"/>
    </w:pPr>
    <w:rPr>
      <w:rFonts w:ascii="HelveticaNeueLT Std" w:hAnsi="HelveticaNeueLT Std"/>
      <w:b/>
      <w:i/>
    </w:rPr>
  </w:style>
  <w:style w:type="paragraph" w:customStyle="1" w:styleId="ExecSummaryHeading0">
    <w:name w:val="Exec Summary Heading"/>
    <w:basedOn w:val="Normal"/>
    <w:rsid w:val="004376F2"/>
    <w:pPr>
      <w:spacing w:after="1440" w:line="550" w:lineRule="exact"/>
    </w:pPr>
    <w:rPr>
      <w:rFonts w:ascii="HelveticaNeueLT Std Med" w:hAnsi="HelveticaNeueLT Std Med"/>
      <w:b/>
      <w:color w:val="4D4D4F"/>
      <w:spacing w:val="-18"/>
      <w:sz w:val="53"/>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99"/>
    <w:rsid w:val="004376F2"/>
    <w:rPr>
      <w:rFonts w:ascii="Arial" w:hAnsi="Arial"/>
      <w:sz w:val="16"/>
      <w:szCs w:val="16"/>
    </w:rPr>
  </w:style>
  <w:style w:type="paragraph" w:styleId="TOC9">
    <w:name w:val="toc 9"/>
    <w:basedOn w:val="Normal"/>
    <w:next w:val="Normal"/>
    <w:uiPriority w:val="39"/>
    <w:rsid w:val="004376F2"/>
    <w:pPr>
      <w:tabs>
        <w:tab w:val="right" w:pos="7660"/>
      </w:tabs>
      <w:spacing w:before="280" w:after="0" w:line="320" w:lineRule="exact"/>
    </w:pPr>
    <w:rPr>
      <w:rFonts w:ascii="HelveticaNeueLT Std Med" w:hAnsi="HelveticaNeueLT Std Med"/>
      <w:b/>
      <w:noProof/>
      <w:color w:val="808285"/>
      <w:sz w:val="28"/>
      <w:szCs w:val="28"/>
    </w:rPr>
  </w:style>
  <w:style w:type="paragraph" w:customStyle="1" w:styleId="ChapterHeading">
    <w:name w:val="Chapter Heading"/>
    <w:basedOn w:val="Normal"/>
    <w:rsid w:val="004376F2"/>
    <w:pPr>
      <w:spacing w:after="0" w:line="560" w:lineRule="exact"/>
    </w:pPr>
    <w:rPr>
      <w:rFonts w:ascii="HelveticaNeueLT Std Lt" w:hAnsi="HelveticaNeueLT Std Lt"/>
      <w:color w:val="808285"/>
      <w:spacing w:val="-28"/>
      <w:sz w:val="53"/>
    </w:rPr>
  </w:style>
  <w:style w:type="paragraph" w:styleId="ListParagraph">
    <w:name w:val="List Paragraph"/>
    <w:aliases w:val="List Paragraph1,Recommendation"/>
    <w:basedOn w:val="Normal"/>
    <w:link w:val="ListParagraphChar"/>
    <w:uiPriority w:val="34"/>
    <w:qFormat/>
    <w:rsid w:val="004376F2"/>
    <w:pPr>
      <w:ind w:left="720"/>
      <w:contextualSpacing/>
    </w:pPr>
  </w:style>
  <w:style w:type="paragraph" w:customStyle="1" w:styleId="AlexTextBox">
    <w:name w:val="AlexTextBox"/>
    <w:basedOn w:val="Normal"/>
    <w:link w:val="AlexTextBoxChar"/>
    <w:qFormat/>
    <w:rsid w:val="004376F2"/>
    <w:pPr>
      <w:spacing w:after="120"/>
    </w:pPr>
    <w:rPr>
      <w:rFonts w:ascii="HelveticaNeueLT Std Lt" w:hAnsi="HelveticaNeueLT Std Lt"/>
    </w:rPr>
  </w:style>
  <w:style w:type="character" w:customStyle="1" w:styleId="AlexTextBoxChar">
    <w:name w:val="AlexTextBox Char"/>
    <w:basedOn w:val="DefaultParagraphFont"/>
    <w:link w:val="AlexTextBox"/>
    <w:rsid w:val="004376F2"/>
    <w:rPr>
      <w:rFonts w:ascii="HelveticaNeueLT Std Lt" w:hAnsi="HelveticaNeueLT Std Lt"/>
      <w:sz w:val="20"/>
    </w:rPr>
  </w:style>
  <w:style w:type="paragraph" w:customStyle="1" w:styleId="ACMABodyText">
    <w:name w:val="ACMA Body Text"/>
    <w:rsid w:val="004376F2"/>
    <w:pPr>
      <w:suppressAutoHyphens/>
      <w:spacing w:before="80" w:after="120" w:line="280" w:lineRule="atLeast"/>
    </w:pPr>
    <w:rPr>
      <w:snapToGrid w:val="0"/>
      <w:szCs w:val="20"/>
      <w:lang w:eastAsia="en-US"/>
    </w:rPr>
  </w:style>
  <w:style w:type="paragraph" w:customStyle="1" w:styleId="ACMABulletLevel1">
    <w:name w:val="ACMA Bullet Level 1"/>
    <w:rsid w:val="004376F2"/>
    <w:pPr>
      <w:tabs>
        <w:tab w:val="num" w:pos="-31680"/>
      </w:tabs>
      <w:spacing w:after="120"/>
      <w:ind w:left="357" w:hanging="357"/>
    </w:pPr>
    <w:rPr>
      <w:szCs w:val="20"/>
      <w:lang w:eastAsia="en-US"/>
    </w:rPr>
  </w:style>
  <w:style w:type="character" w:styleId="Strong">
    <w:name w:val="Strong"/>
    <w:basedOn w:val="DefaultParagraphFont"/>
    <w:qFormat/>
    <w:rsid w:val="004376F2"/>
    <w:rPr>
      <w:b/>
      <w:bCs/>
    </w:rPr>
  </w:style>
  <w:style w:type="character" w:customStyle="1" w:styleId="ListParagraphChar">
    <w:name w:val="List Paragraph Char"/>
    <w:aliases w:val="List Paragraph1 Char,Recommendation Char"/>
    <w:basedOn w:val="DefaultParagraphFont"/>
    <w:link w:val="ListParagraph"/>
    <w:uiPriority w:val="34"/>
    <w:locked/>
    <w:rsid w:val="004376F2"/>
    <w:rPr>
      <w:rFonts w:ascii="Arial" w:hAnsi="Arial"/>
      <w:sz w:val="20"/>
    </w:rPr>
  </w:style>
  <w:style w:type="paragraph" w:customStyle="1" w:styleId="Default">
    <w:name w:val="Default"/>
    <w:rsid w:val="004376F2"/>
    <w:pPr>
      <w:autoSpaceDE w:val="0"/>
      <w:autoSpaceDN w:val="0"/>
      <w:adjustRightInd w:val="0"/>
    </w:pPr>
    <w:rPr>
      <w:rFonts w:ascii="Calibri" w:hAnsi="Calibri" w:cs="Calibri"/>
      <w:color w:val="000000"/>
    </w:rPr>
  </w:style>
  <w:style w:type="character" w:customStyle="1" w:styleId="normaltextrun">
    <w:name w:val="normaltextrun"/>
    <w:basedOn w:val="DefaultParagraphFont"/>
    <w:rsid w:val="004376F2"/>
  </w:style>
  <w:style w:type="paragraph" w:customStyle="1" w:styleId="ACMAReportTitle">
    <w:name w:val="ACMA_ReportTitle"/>
    <w:basedOn w:val="Normal"/>
    <w:qFormat/>
    <w:rsid w:val="004376F2"/>
    <w:pPr>
      <w:spacing w:after="0" w:line="560" w:lineRule="exact"/>
    </w:pPr>
    <w:rPr>
      <w:b/>
      <w:spacing w:val="-28"/>
      <w:sz w:val="53"/>
    </w:rPr>
  </w:style>
  <w:style w:type="paragraph" w:customStyle="1" w:styleId="ACMAReportSubTitle">
    <w:name w:val="ACMA_ReportSubTitle"/>
    <w:basedOn w:val="Normal"/>
    <w:qFormat/>
    <w:rsid w:val="004376F2"/>
    <w:pPr>
      <w:spacing w:after="200" w:line="560" w:lineRule="exact"/>
    </w:pPr>
    <w:rPr>
      <w:color w:val="323232"/>
      <w:spacing w:val="-28"/>
      <w:sz w:val="53"/>
    </w:rPr>
  </w:style>
  <w:style w:type="paragraph" w:customStyle="1" w:styleId="ACMAReportDate">
    <w:name w:val="ACMA_ReportDate"/>
    <w:basedOn w:val="ACMAReportSubTitle"/>
    <w:qFormat/>
    <w:rsid w:val="004376F2"/>
    <w:pPr>
      <w:spacing w:after="120" w:line="240" w:lineRule="auto"/>
    </w:pPr>
    <w:rPr>
      <w:caps/>
      <w:spacing w:val="-10"/>
      <w:sz w:val="20"/>
    </w:rPr>
  </w:style>
  <w:style w:type="paragraph" w:customStyle="1" w:styleId="ACMAExecSummaryHeading">
    <w:name w:val="ACMA_ExecSummaryHeading"/>
    <w:basedOn w:val="Normal"/>
    <w:qFormat/>
    <w:rsid w:val="004376F2"/>
    <w:pPr>
      <w:spacing w:after="1440" w:line="550" w:lineRule="exact"/>
    </w:pPr>
    <w:rPr>
      <w:b/>
      <w:color w:val="323232"/>
      <w:spacing w:val="-18"/>
      <w:sz w:val="53"/>
    </w:rPr>
  </w:style>
  <w:style w:type="paragraph" w:customStyle="1" w:styleId="ACMANormalTabbed">
    <w:name w:val="ACMA_NormalTabbed"/>
    <w:basedOn w:val="Normal"/>
    <w:qFormat/>
    <w:rsid w:val="004376F2"/>
    <w:pPr>
      <w:tabs>
        <w:tab w:val="left" w:pos="1134"/>
      </w:tabs>
    </w:pPr>
  </w:style>
  <w:style w:type="paragraph" w:customStyle="1" w:styleId="ACMASpaceaftertable">
    <w:name w:val="ACMA_Space after table"/>
    <w:basedOn w:val="Normal"/>
    <w:qFormat/>
    <w:rsid w:val="004376F2"/>
    <w:rPr>
      <w:rFonts w:cs="Arial"/>
    </w:rPr>
  </w:style>
  <w:style w:type="paragraph" w:customStyle="1" w:styleId="Partheading">
    <w:name w:val="Part heading"/>
    <w:basedOn w:val="Heading1"/>
    <w:qFormat/>
    <w:rsid w:val="004376F2"/>
    <w:pPr>
      <w:numPr>
        <w:numId w:val="29"/>
      </w:numPr>
    </w:pPr>
  </w:style>
  <w:style w:type="paragraph" w:customStyle="1" w:styleId="Numberedheading">
    <w:name w:val="Numbered heading"/>
    <w:basedOn w:val="Heading2"/>
    <w:qFormat/>
    <w:rsid w:val="004376F2"/>
    <w:pPr>
      <w:numPr>
        <w:numId w:val="29"/>
      </w:numPr>
      <w:spacing w:line="240" w:lineRule="atLeast"/>
    </w:pPr>
  </w:style>
  <w:style w:type="paragraph" w:customStyle="1" w:styleId="Heading2noTOC">
    <w:name w:val="Heading 2 no TOC"/>
    <w:qFormat/>
    <w:rsid w:val="004376F2"/>
    <w:rPr>
      <w:rFonts w:ascii="Arial" w:hAnsi="Arial" w:cs="Arial"/>
      <w:b/>
      <w:bCs/>
      <w:iCs/>
      <w:sz w:val="28"/>
      <w:szCs w:val="28"/>
    </w:rPr>
  </w:style>
  <w:style w:type="paragraph" w:customStyle="1" w:styleId="Pa13">
    <w:name w:val="Pa13"/>
    <w:basedOn w:val="Default"/>
    <w:next w:val="Default"/>
    <w:uiPriority w:val="99"/>
    <w:rsid w:val="004376F2"/>
    <w:pPr>
      <w:spacing w:line="261" w:lineRule="atLeast"/>
    </w:pPr>
    <w:rPr>
      <w:rFonts w:ascii="HelveticaNeueLT Std Med" w:hAnsi="HelveticaNeueLT Std Med" w:cs="Times New Roman"/>
      <w:color w:val="auto"/>
    </w:rPr>
  </w:style>
  <w:style w:type="paragraph" w:customStyle="1" w:styleId="Pa9">
    <w:name w:val="Pa9"/>
    <w:basedOn w:val="Default"/>
    <w:next w:val="Default"/>
    <w:uiPriority w:val="99"/>
    <w:rsid w:val="004376F2"/>
    <w:pPr>
      <w:spacing w:line="221" w:lineRule="atLeast"/>
    </w:pPr>
    <w:rPr>
      <w:rFonts w:ascii="HelveticaNeueLT Std Med" w:hAnsi="HelveticaNeueLT Std Med" w:cs="Times New Roman"/>
      <w:color w:val="auto"/>
    </w:rPr>
  </w:style>
  <w:style w:type="paragraph" w:customStyle="1" w:styleId="Pa5">
    <w:name w:val="Pa5"/>
    <w:basedOn w:val="Default"/>
    <w:next w:val="Default"/>
    <w:uiPriority w:val="99"/>
    <w:rsid w:val="004376F2"/>
    <w:pPr>
      <w:spacing w:line="201" w:lineRule="atLeast"/>
    </w:pPr>
    <w:rPr>
      <w:rFonts w:ascii="HelveticaNeueLT Std Med" w:hAnsi="HelveticaNeueLT Std Med" w:cs="Times New Roman"/>
      <w:color w:val="auto"/>
    </w:rPr>
  </w:style>
  <w:style w:type="character" w:customStyle="1" w:styleId="eop">
    <w:name w:val="eop"/>
    <w:basedOn w:val="DefaultParagraphFont"/>
    <w:rsid w:val="004376F2"/>
  </w:style>
  <w:style w:type="paragraph" w:customStyle="1" w:styleId="Numberedparagraph">
    <w:name w:val="Numbered paragraph"/>
    <w:basedOn w:val="Normal"/>
    <w:qFormat/>
    <w:rsid w:val="004376F2"/>
    <w:pPr>
      <w:tabs>
        <w:tab w:val="num" w:pos="567"/>
      </w:tabs>
      <w:ind w:hanging="567"/>
    </w:pPr>
    <w:rPr>
      <w:rFonts w:cs="Arial"/>
    </w:rPr>
  </w:style>
  <w:style w:type="paragraph" w:styleId="TOC4">
    <w:name w:val="toc 4"/>
    <w:basedOn w:val="Normal"/>
    <w:next w:val="Normal"/>
    <w:autoRedefine/>
    <w:uiPriority w:val="39"/>
    <w:unhideWhenUsed/>
    <w:rsid w:val="004376F2"/>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4376F2"/>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4376F2"/>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4376F2"/>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4376F2"/>
    <w:pPr>
      <w:spacing w:after="100" w:line="259" w:lineRule="auto"/>
      <w:ind w:left="1540"/>
    </w:pPr>
    <w:rPr>
      <w:rFonts w:asciiTheme="minorHAnsi" w:eastAsiaTheme="minorEastAsia" w:hAnsiTheme="minorHAnsi" w:cstheme="minorBidi"/>
      <w:sz w:val="22"/>
      <w:szCs w:val="22"/>
    </w:rPr>
  </w:style>
  <w:style w:type="paragraph" w:customStyle="1" w:styleId="Bodycopy">
    <w:name w:val="Body copy"/>
    <w:basedOn w:val="Normal"/>
    <w:uiPriority w:val="4"/>
    <w:qFormat/>
    <w:rsid w:val="004376F2"/>
    <w:pPr>
      <w:spacing w:line="260" w:lineRule="atLeas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legislation.gov.au/Series/C2005A00044" TargetMode="External"/><Relationship Id="rId21" Type="http://schemas.openxmlformats.org/officeDocument/2006/relationships/footer" Target="footer4.xml"/><Relationship Id="rId42" Type="http://schemas.openxmlformats.org/officeDocument/2006/relationships/hyperlink" Target="https://www.acma.gov.au/broadcasting-licences" TargetMode="External"/><Relationship Id="rId47" Type="http://schemas.openxmlformats.org/officeDocument/2006/relationships/hyperlink" Target="https://www.acma.gov.au/authority" TargetMode="External"/><Relationship Id="rId63" Type="http://schemas.openxmlformats.org/officeDocument/2006/relationships/hyperlink" Target="https://www.itu.int/pub/R-REG-RR" TargetMode="External"/><Relationship Id="rId68" Type="http://schemas.openxmlformats.org/officeDocument/2006/relationships/hyperlink" Target="https://www.acma.gov.au/band-plans-allocate-spectrum" TargetMode="External"/><Relationship Id="rId84" Type="http://schemas.openxmlformats.org/officeDocument/2006/relationships/theme" Target="theme/theme1.xml"/><Relationship Id="rId16" Type="http://schemas.openxmlformats.org/officeDocument/2006/relationships/header" Target="header4.xml"/><Relationship Id="rId11" Type="http://schemas.openxmlformats.org/officeDocument/2006/relationships/hyperlink" Target="http://i.creativecommons.org/l/by/3.0/88x31.png" TargetMode="External"/><Relationship Id="rId32" Type="http://schemas.openxmlformats.org/officeDocument/2006/relationships/hyperlink" Target="https://www.acma.gov.au/licences/earth-licence-0" TargetMode="External"/><Relationship Id="rId37" Type="http://schemas.openxmlformats.org/officeDocument/2006/relationships/hyperlink" Target="https://www.legislation.gov.au/F2025L00261/latest/text" TargetMode="External"/><Relationship Id="rId53" Type="http://schemas.openxmlformats.org/officeDocument/2006/relationships/diagramQuickStyle" Target="diagrams/quickStyle1.xml"/><Relationship Id="rId58" Type="http://schemas.openxmlformats.org/officeDocument/2006/relationships/hyperlink" Target="https://www.legislation.gov.au/Series/F2022L01245" TargetMode="External"/><Relationship Id="rId74" Type="http://schemas.openxmlformats.org/officeDocument/2006/relationships/hyperlink" Target="https://www.legislation.gov.au/Series/F2022L01245" TargetMode="External"/><Relationship Id="rId79" Type="http://schemas.openxmlformats.org/officeDocument/2006/relationships/header" Target="header7.xml"/><Relationship Id="rId5" Type="http://schemas.openxmlformats.org/officeDocument/2006/relationships/webSettings" Target="webSettings.xml"/><Relationship Id="rId61" Type="http://schemas.openxmlformats.org/officeDocument/2006/relationships/hyperlink" Target="https://www.acma.gov.au/authority" TargetMode="External"/><Relationship Id="rId82" Type="http://schemas.openxmlformats.org/officeDocument/2006/relationships/footer" Target="footer8.xml"/><Relationship Id="rId19" Type="http://schemas.openxmlformats.org/officeDocument/2006/relationships/header" Target="header5.xml"/><Relationship Id="rId14" Type="http://schemas.openxmlformats.org/officeDocument/2006/relationships/hyperlink" Target="https://webarchive.nla.gov.au/awa/20241017165421/https:/www.acma.gov.au/consultations/2023-09/review-australian-satellite-filing-procedures" TargetMode="External"/><Relationship Id="rId22" Type="http://schemas.openxmlformats.org/officeDocument/2006/relationships/footer" Target="footer5.xml"/><Relationship Id="rId27" Type="http://schemas.openxmlformats.org/officeDocument/2006/relationships/hyperlink" Target="https://www.legislation.gov.au/Series/F2022L01245" TargetMode="External"/><Relationship Id="rId30" Type="http://schemas.openxmlformats.org/officeDocument/2006/relationships/hyperlink" Target="https://webarchive.nla.gov.au/awa/20120316184229/http:/www.acma.gov.au/WEB/STANDARD/pc=PC_537" TargetMode="External"/><Relationship Id="rId35" Type="http://schemas.openxmlformats.org/officeDocument/2006/relationships/hyperlink" Target="https://www.acma.gov.au/acma-creates-new-licence-type" TargetMode="External"/><Relationship Id="rId43" Type="http://schemas.openxmlformats.org/officeDocument/2006/relationships/hyperlink" Target="https://www.industry.gov.au/australian-space-agency/regulating-australian-space-activities" TargetMode="External"/><Relationship Id="rId48" Type="http://schemas.openxmlformats.org/officeDocument/2006/relationships/hyperlink" Target="https://www.itu.int/pub/R-HDB-65-2023" TargetMode="External"/><Relationship Id="rId56" Type="http://schemas.openxmlformats.org/officeDocument/2006/relationships/hyperlink" Target="https://www.acma.gov.au/publications/2019-11/form/form-r205-application-use-access-international-telecommunication-union-itu-satellite-filing" TargetMode="External"/><Relationship Id="rId64" Type="http://schemas.openxmlformats.org/officeDocument/2006/relationships/hyperlink" Target="https://www.itu.int/pub/R-REG-ROP/en" TargetMode="External"/><Relationship Id="rId69" Type="http://schemas.openxmlformats.org/officeDocument/2006/relationships/hyperlink" Target="https://www.acma.gov.au/class-licences" TargetMode="External"/><Relationship Id="rId77" Type="http://schemas.openxmlformats.org/officeDocument/2006/relationships/hyperlink" Target="https://www.legislation.gov.au/Series/F2022L01245" TargetMode="External"/><Relationship Id="rId8" Type="http://schemas.openxmlformats.org/officeDocument/2006/relationships/header" Target="header1.xml"/><Relationship Id="rId51" Type="http://schemas.openxmlformats.org/officeDocument/2006/relationships/diagramData" Target="diagrams/data1.xml"/><Relationship Id="rId72" Type="http://schemas.openxmlformats.org/officeDocument/2006/relationships/hyperlink" Target="https://www.iaru.org/reference/satellites/" TargetMode="External"/><Relationship Id="rId80" Type="http://schemas.openxmlformats.org/officeDocument/2006/relationships/header" Target="header8.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itu.int/ITU-R/go/space/en" TargetMode="External"/><Relationship Id="rId33" Type="http://schemas.openxmlformats.org/officeDocument/2006/relationships/hyperlink" Target="https://www.acma.gov.au/area-wide-apparatus-licence" TargetMode="External"/><Relationship Id="rId38" Type="http://schemas.openxmlformats.org/officeDocument/2006/relationships/hyperlink" Target="https://www.legislation.gov.au/F2025L00259/latest/text" TargetMode="External"/><Relationship Id="rId46" Type="http://schemas.openxmlformats.org/officeDocument/2006/relationships/hyperlink" Target="https://www.itu.int/en/ITU-R/space/Pages/supportNaming.aspx" TargetMode="External"/><Relationship Id="rId59" Type="http://schemas.openxmlformats.org/officeDocument/2006/relationships/hyperlink" Target="https://www.acma.gov.au/authority" TargetMode="External"/><Relationship Id="rId67" Type="http://schemas.openxmlformats.org/officeDocument/2006/relationships/hyperlink" Target="https://www.acma.gov.au/australian-radiofrequency-spectrum-plan" TargetMode="External"/><Relationship Id="rId20" Type="http://schemas.openxmlformats.org/officeDocument/2006/relationships/header" Target="header6.xml"/><Relationship Id="rId41" Type="http://schemas.openxmlformats.org/officeDocument/2006/relationships/hyperlink" Target="https://www.acma.gov.au/apply-telecommunications-carrier-licence" TargetMode="External"/><Relationship Id="rId54" Type="http://schemas.openxmlformats.org/officeDocument/2006/relationships/diagramColors" Target="diagrams/colors1.xml"/><Relationship Id="rId62" Type="http://schemas.openxmlformats.org/officeDocument/2006/relationships/hyperlink" Target="https://www.itu.int/pub/R-SP-LN/e" TargetMode="External"/><Relationship Id="rId70" Type="http://schemas.openxmlformats.org/officeDocument/2006/relationships/hyperlink" Target="https://www.itu.int/hub/publication/s-conf-plen-2022/" TargetMode="External"/><Relationship Id="rId75" Type="http://schemas.openxmlformats.org/officeDocument/2006/relationships/hyperlink" Target="https://www.legislation.gov.au/Series/F2022L01245"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itu.int/ITU-R/go/space-cost-recovery/en" TargetMode="External"/><Relationship Id="rId36" Type="http://schemas.openxmlformats.org/officeDocument/2006/relationships/hyperlink" Target="https://www.acma.gov.au/publications/2019-10/report/business-operating-procedure-submission-and-processing-applications-earth-and-earth-receive-apparatus-licences-fixed-earth-stations" TargetMode="External"/><Relationship Id="rId49" Type="http://schemas.openxmlformats.org/officeDocument/2006/relationships/hyperlink" Target="https://www.itu.int/en/ITU-R/space/Pages/default.aspx" TargetMode="External"/><Relationship Id="rId57" Type="http://schemas.openxmlformats.org/officeDocument/2006/relationships/hyperlink" Target="mailto:satellite.coordination@acma.gov.au" TargetMode="External"/><Relationship Id="rId10" Type="http://schemas.openxmlformats.org/officeDocument/2006/relationships/header" Target="header2.xml"/><Relationship Id="rId31" Type="http://schemas.openxmlformats.org/officeDocument/2006/relationships/hyperlink" Target="https://webarchive.nla.gov.au/awa/20101018222531/http:/acma.gov.au/WEB/STANDARD/pc=PC_312294" TargetMode="External"/><Relationship Id="rId44" Type="http://schemas.openxmlformats.org/officeDocument/2006/relationships/hyperlink" Target="https://www.legislation.gov.au/Series/C2018A00029" TargetMode="External"/><Relationship Id="rId52" Type="http://schemas.openxmlformats.org/officeDocument/2006/relationships/diagramLayout" Target="diagrams/layout1.xml"/><Relationship Id="rId60" Type="http://schemas.openxmlformats.org/officeDocument/2006/relationships/hyperlink" Target="https://www.acma.gov.au/node/1911" TargetMode="External"/><Relationship Id="rId65" Type="http://schemas.openxmlformats.org/officeDocument/2006/relationships/hyperlink" Target="https://www.acma.gov.au/ralis-frequency-coordination" TargetMode="External"/><Relationship Id="rId73" Type="http://schemas.openxmlformats.org/officeDocument/2006/relationships/hyperlink" Target="https://www.acma.gov.au/amateur-radio-licences" TargetMode="External"/><Relationship Id="rId78" Type="http://schemas.openxmlformats.org/officeDocument/2006/relationships/hyperlink" Target="https://www.itu.int/ITU-R/go/space-cost-recovery/en" TargetMode="External"/><Relationship Id="rId8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39" Type="http://schemas.openxmlformats.org/officeDocument/2006/relationships/hyperlink" Target="https://www.legislation.gov.au/F2025L00260/latest/text" TargetMode="External"/><Relationship Id="rId34" Type="http://schemas.openxmlformats.org/officeDocument/2006/relationships/hyperlink" Target="https://www.acma.gov.au/licences/earth-receive-licence" TargetMode="External"/><Relationship Id="rId50" Type="http://schemas.openxmlformats.org/officeDocument/2006/relationships/hyperlink" Target="mailto:satellite.coordination@acma.gov.au" TargetMode="External"/><Relationship Id="rId55" Type="http://schemas.microsoft.com/office/2007/relationships/diagramDrawing" Target="diagrams/drawing1.xml"/><Relationship Id="rId76" Type="http://schemas.openxmlformats.org/officeDocument/2006/relationships/hyperlink" Target="https://www.legislation.gov.au/Series/F2022L01245" TargetMode="External"/><Relationship Id="rId7" Type="http://schemas.openxmlformats.org/officeDocument/2006/relationships/endnotes" Target="endnotes.xml"/><Relationship Id="rId71" Type="http://schemas.openxmlformats.org/officeDocument/2006/relationships/hyperlink" Target="https://www.itu.int/ITU-R/space/asreceived/Publication/AsReceived" TargetMode="External"/><Relationship Id="rId2" Type="http://schemas.openxmlformats.org/officeDocument/2006/relationships/numbering" Target="numbering.xml"/><Relationship Id="rId29" Type="http://schemas.openxmlformats.org/officeDocument/2006/relationships/hyperlink" Target="https://www.itu.int/net/ITU-R/space/costrec/free_ent.asp" TargetMode="External"/><Relationship Id="rId24" Type="http://schemas.openxmlformats.org/officeDocument/2006/relationships/hyperlink" Target="mailto:satellite.coordination@acma.gov.au" TargetMode="External"/><Relationship Id="rId40" Type="http://schemas.openxmlformats.org/officeDocument/2006/relationships/hyperlink" Target="https://www.acma.gov.au/procedures-space-and-space-receive-licensing" TargetMode="External"/><Relationship Id="rId45" Type="http://schemas.openxmlformats.org/officeDocument/2006/relationships/hyperlink" Target="https://www.homeaffairs.gov.au/about-us/our-portfolios/national-security/security-coordination/critical-infrastructure-resilience" TargetMode="External"/><Relationship Id="rId66" Type="http://schemas.openxmlformats.org/officeDocument/2006/relationships/hyperlink" Target="https://www.acma.gov.au/spectrum-embargoes"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itu.int/en/ITU-R/study-groups/Pages/Categorization-WRC-Resolutions.aspx" TargetMode="External"/><Relationship Id="rId7" Type="http://schemas.openxmlformats.org/officeDocument/2006/relationships/hyperlink" Target="https://info.dfat.gov.au/Info/Treaties/treaties.nsf/AllDocIDs/E8E50E3ADB1BEC39CA2581C4002241D2" TargetMode="External"/><Relationship Id="rId2" Type="http://schemas.openxmlformats.org/officeDocument/2006/relationships/hyperlink" Target="https://www.industry.gov.au/" TargetMode="External"/><Relationship Id="rId1" Type="http://schemas.openxmlformats.org/officeDocument/2006/relationships/hyperlink" Target="https://www.acma.gov.au/licences/scientific-licence" TargetMode="External"/><Relationship Id="rId6" Type="http://schemas.openxmlformats.org/officeDocument/2006/relationships/hyperlink" Target="https://info.dfat.gov.au/Info/Treaties/treaties.nsf/AllDocIDs/C3710A23C10AA344CA2579210001C39B" TargetMode="External"/><Relationship Id="rId5" Type="http://schemas.openxmlformats.org/officeDocument/2006/relationships/hyperlink" Target="https://www.itu.int/pub/R-REG-ROP/en" TargetMode="External"/><Relationship Id="rId4" Type="http://schemas.openxmlformats.org/officeDocument/2006/relationships/hyperlink" Target="https://www.legislation.gov.au/Series/F2022L01245"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17344A0-D660-418D-BAFB-42DF4F1AE425}" type="doc">
      <dgm:prSet loTypeId="urn:microsoft.com/office/officeart/2005/8/layout/process3" loCatId="process" qsTypeId="urn:microsoft.com/office/officeart/2005/8/quickstyle/simple1" qsCatId="simple" csTypeId="urn:microsoft.com/office/officeart/2005/8/colors/accent1_2" csCatId="accent1" phldr="1"/>
      <dgm:spPr/>
      <dgm:t>
        <a:bodyPr/>
        <a:lstStyle/>
        <a:p>
          <a:endParaRPr lang="en-AU"/>
        </a:p>
      </dgm:t>
    </dgm:pt>
    <dgm:pt modelId="{F816C9DA-508F-4EC0-93DB-1D582B158896}">
      <dgm:prSet phldrT="[Text]" custT="1"/>
      <dgm:spPr>
        <a:solidFill>
          <a:srgbClr val="00A0A4"/>
        </a:solidFill>
      </dgm:spPr>
      <dgm:t>
        <a:bodyPr/>
        <a:lstStyle/>
        <a:p>
          <a:r>
            <a:rPr lang="en-AU" sz="1100" b="1">
              <a:latin typeface="Arial" panose="020B0604020202020204" pitchFamily="34" charset="0"/>
              <a:cs typeface="Arial" panose="020B0604020202020204" pitchFamily="34" charset="0"/>
            </a:rPr>
            <a:t>Satellite operator</a:t>
          </a:r>
        </a:p>
      </dgm:t>
    </dgm:pt>
    <dgm:pt modelId="{FB5DDD6A-6711-49A0-9A47-183137B70411}" type="parTrans" cxnId="{C69844C8-4BE5-43E7-931A-C74725C1492A}">
      <dgm:prSet/>
      <dgm:spPr/>
      <dgm:t>
        <a:bodyPr/>
        <a:lstStyle/>
        <a:p>
          <a:endParaRPr lang="en-AU"/>
        </a:p>
      </dgm:t>
    </dgm:pt>
    <dgm:pt modelId="{D35E93B8-5877-40FA-8F05-8550037A0724}" type="sibTrans" cxnId="{C69844C8-4BE5-43E7-931A-C74725C1492A}">
      <dgm:prSet/>
      <dgm:spPr>
        <a:solidFill>
          <a:schemeClr val="tx1"/>
        </a:solidFill>
      </dgm:spPr>
      <dgm:t>
        <a:bodyPr/>
        <a:lstStyle/>
        <a:p>
          <a:endParaRPr lang="en-AU"/>
        </a:p>
      </dgm:t>
    </dgm:pt>
    <dgm:pt modelId="{723F5D27-FD3C-4EF5-BA3C-DE11195F908F}">
      <dgm:prSet phldrT="[Text]" custT="1"/>
      <dgm:spPr>
        <a:solidFill>
          <a:srgbClr val="39457C"/>
        </a:solidFill>
      </dgm:spPr>
      <dgm:t>
        <a:bodyPr/>
        <a:lstStyle/>
        <a:p>
          <a:r>
            <a:rPr lang="en-AU" sz="1100" b="1">
              <a:latin typeface="Arial" panose="020B0604020202020204" pitchFamily="34" charset="0"/>
              <a:cs typeface="Arial" panose="020B0604020202020204" pitchFamily="34" charset="0"/>
            </a:rPr>
            <a:t>ACMA</a:t>
          </a:r>
        </a:p>
      </dgm:t>
    </dgm:pt>
    <dgm:pt modelId="{173C9F3C-881A-4C4A-9AEC-59DAC6DDC128}" type="parTrans" cxnId="{017066C3-4C9B-47AC-AA55-86BC916BEAA8}">
      <dgm:prSet/>
      <dgm:spPr/>
      <dgm:t>
        <a:bodyPr/>
        <a:lstStyle/>
        <a:p>
          <a:endParaRPr lang="en-AU"/>
        </a:p>
      </dgm:t>
    </dgm:pt>
    <dgm:pt modelId="{E58A939B-EC2D-4C1C-AB01-BEB599CDD494}" type="sibTrans" cxnId="{017066C3-4C9B-47AC-AA55-86BC916BEAA8}">
      <dgm:prSet/>
      <dgm:spPr>
        <a:solidFill>
          <a:schemeClr val="tx1"/>
        </a:solidFill>
      </dgm:spPr>
      <dgm:t>
        <a:bodyPr/>
        <a:lstStyle/>
        <a:p>
          <a:endParaRPr lang="en-AU"/>
        </a:p>
      </dgm:t>
    </dgm:pt>
    <dgm:pt modelId="{7142248C-A0F5-449C-99F5-CA606357AFE4}">
      <dgm:prSet phldrT="[Text]" custT="1"/>
      <dgm:spPr>
        <a:ln>
          <a:solidFill>
            <a:srgbClr val="39457C"/>
          </a:solidFill>
        </a:ln>
      </dgm:spPr>
      <dgm:t>
        <a:bodyPr/>
        <a:lstStyle/>
        <a:p>
          <a:pPr>
            <a:spcAft>
              <a:spcPts val="600"/>
            </a:spcAft>
          </a:pPr>
          <a:r>
            <a:rPr lang="en-AU" sz="1100">
              <a:latin typeface="Arial" panose="020B0604020202020204" pitchFamily="34" charset="0"/>
              <a:cs typeface="Arial" panose="020B0604020202020204" pitchFamily="34" charset="0"/>
            </a:rPr>
            <a:t>Assess against assessment criteria</a:t>
          </a:r>
        </a:p>
      </dgm:t>
    </dgm:pt>
    <dgm:pt modelId="{8D122CA9-74FF-4C9D-8884-7E3901C6BF82}" type="parTrans" cxnId="{F22B873B-A98C-4F36-95B4-7B9439A2B73B}">
      <dgm:prSet/>
      <dgm:spPr/>
      <dgm:t>
        <a:bodyPr/>
        <a:lstStyle/>
        <a:p>
          <a:endParaRPr lang="en-AU"/>
        </a:p>
      </dgm:t>
    </dgm:pt>
    <dgm:pt modelId="{8E00ABBB-1EF1-4A84-9E55-A3C1E73798BF}" type="sibTrans" cxnId="{F22B873B-A98C-4F36-95B4-7B9439A2B73B}">
      <dgm:prSet/>
      <dgm:spPr/>
      <dgm:t>
        <a:bodyPr/>
        <a:lstStyle/>
        <a:p>
          <a:endParaRPr lang="en-AU"/>
        </a:p>
      </dgm:t>
    </dgm:pt>
    <dgm:pt modelId="{3BD4EA04-DCB9-4332-82B9-3E9B61C19295}">
      <dgm:prSet phldrT="[Text]" custT="1"/>
      <dgm:spPr>
        <a:solidFill>
          <a:schemeClr val="bg1">
            <a:alpha val="90000"/>
          </a:schemeClr>
        </a:solidFill>
        <a:ln>
          <a:solidFill>
            <a:srgbClr val="00A0A4"/>
          </a:solidFill>
        </a:ln>
      </dgm:spPr>
      <dgm:t>
        <a:bodyPr/>
        <a:lstStyle/>
        <a:p>
          <a:pPr>
            <a:spcAft>
              <a:spcPct val="15000"/>
            </a:spcAft>
          </a:pPr>
          <a:r>
            <a:rPr lang="en-AU" sz="1050">
              <a:latin typeface="Arial" panose="020B0604020202020204" pitchFamily="34" charset="0"/>
              <a:cs typeface="Arial" panose="020B0604020202020204" pitchFamily="34" charset="0"/>
            </a:rPr>
            <a:t>Pay ACMA upfront charges (new satellite operator)</a:t>
          </a:r>
        </a:p>
      </dgm:t>
    </dgm:pt>
    <dgm:pt modelId="{AA4F9AD8-8EB1-4800-924D-520EC3ABE5A6}" type="parTrans" cxnId="{CFE6E251-0286-442D-BDE4-481DEA9A3C53}">
      <dgm:prSet/>
      <dgm:spPr/>
      <dgm:t>
        <a:bodyPr/>
        <a:lstStyle/>
        <a:p>
          <a:endParaRPr lang="en-AU"/>
        </a:p>
      </dgm:t>
    </dgm:pt>
    <dgm:pt modelId="{B7BADCB6-6B3F-4043-9DFE-C6D96E4B210C}" type="sibTrans" cxnId="{CFE6E251-0286-442D-BDE4-481DEA9A3C53}">
      <dgm:prSet/>
      <dgm:spPr/>
      <dgm:t>
        <a:bodyPr/>
        <a:lstStyle/>
        <a:p>
          <a:endParaRPr lang="en-AU"/>
        </a:p>
      </dgm:t>
    </dgm:pt>
    <dgm:pt modelId="{CAB04F44-D6B9-4862-B3DE-3F273D22A2AE}">
      <dgm:prSet phldrT="[Text]" custT="1"/>
      <dgm:spPr>
        <a:solidFill>
          <a:srgbClr val="00A0A4"/>
        </a:solidFill>
      </dgm:spPr>
      <dgm:t>
        <a:bodyPr/>
        <a:lstStyle/>
        <a:p>
          <a:r>
            <a:rPr lang="en-AU" sz="1100" b="1">
              <a:latin typeface="Arial" panose="020B0604020202020204" pitchFamily="34" charset="0"/>
              <a:cs typeface="Arial" panose="020B0604020202020204" pitchFamily="34" charset="0"/>
            </a:rPr>
            <a:t>Satellite operator</a:t>
          </a:r>
        </a:p>
      </dgm:t>
    </dgm:pt>
    <dgm:pt modelId="{2282C237-A710-4613-96C4-C6108A882625}" type="parTrans" cxnId="{0ECC2E4D-C5E8-44DC-8D7D-26A277E9B0A6}">
      <dgm:prSet/>
      <dgm:spPr/>
      <dgm:t>
        <a:bodyPr/>
        <a:lstStyle/>
        <a:p>
          <a:endParaRPr lang="en-AU"/>
        </a:p>
      </dgm:t>
    </dgm:pt>
    <dgm:pt modelId="{49E580BF-48AB-47CE-98A6-9C3F40580663}" type="sibTrans" cxnId="{0ECC2E4D-C5E8-44DC-8D7D-26A277E9B0A6}">
      <dgm:prSet/>
      <dgm:spPr>
        <a:solidFill>
          <a:schemeClr val="tx1"/>
        </a:solidFill>
      </dgm:spPr>
      <dgm:t>
        <a:bodyPr/>
        <a:lstStyle/>
        <a:p>
          <a:endParaRPr lang="en-AU"/>
        </a:p>
      </dgm:t>
    </dgm:pt>
    <dgm:pt modelId="{821CC1AC-8D8B-4740-A639-9D5CF35DAF97}">
      <dgm:prSet phldrT="[Text]" custT="1"/>
      <dgm:spPr>
        <a:solidFill>
          <a:srgbClr val="39457C"/>
        </a:solidFill>
      </dgm:spPr>
      <dgm:t>
        <a:bodyPr/>
        <a:lstStyle/>
        <a:p>
          <a:r>
            <a:rPr lang="en-AU" sz="1100" b="1">
              <a:latin typeface="Arial" panose="020B0604020202020204" pitchFamily="34" charset="0"/>
              <a:cs typeface="Arial" panose="020B0604020202020204" pitchFamily="34" charset="0"/>
            </a:rPr>
            <a:t>ACMA</a:t>
          </a:r>
          <a:endParaRPr lang="en-AU" sz="1000" b="1">
            <a:latin typeface="Arial" panose="020B0604020202020204" pitchFamily="34" charset="0"/>
            <a:cs typeface="Arial" panose="020B0604020202020204" pitchFamily="34" charset="0"/>
          </a:endParaRPr>
        </a:p>
      </dgm:t>
    </dgm:pt>
    <dgm:pt modelId="{D9254805-DC61-42DA-96BE-0B769E50126E}" type="parTrans" cxnId="{7DF3FDBA-033B-4149-9F9D-D048D26FD92B}">
      <dgm:prSet/>
      <dgm:spPr/>
      <dgm:t>
        <a:bodyPr/>
        <a:lstStyle/>
        <a:p>
          <a:endParaRPr lang="en-AU"/>
        </a:p>
      </dgm:t>
    </dgm:pt>
    <dgm:pt modelId="{6785E7FA-D46F-4CB1-B16F-96887BA84347}" type="sibTrans" cxnId="{7DF3FDBA-033B-4149-9F9D-D048D26FD92B}">
      <dgm:prSet/>
      <dgm:spPr/>
      <dgm:t>
        <a:bodyPr/>
        <a:lstStyle/>
        <a:p>
          <a:endParaRPr lang="en-AU"/>
        </a:p>
      </dgm:t>
    </dgm:pt>
    <dgm:pt modelId="{D23C3BDC-AB0F-4782-8475-E790ABF615AB}">
      <dgm:prSet custT="1"/>
      <dgm:spPr>
        <a:ln>
          <a:solidFill>
            <a:srgbClr val="39457C"/>
          </a:solidFill>
        </a:ln>
      </dgm:spPr>
      <dgm:t>
        <a:bodyPr/>
        <a:lstStyle/>
        <a:p>
          <a:r>
            <a:rPr lang="en-AU" sz="1100">
              <a:latin typeface="Arial" panose="020B0604020202020204" pitchFamily="34" charset="0"/>
              <a:cs typeface="Arial" panose="020B0604020202020204" pitchFamily="34" charset="0"/>
            </a:rPr>
            <a:t>Submit the filing to the ITU</a:t>
          </a:r>
        </a:p>
      </dgm:t>
    </dgm:pt>
    <dgm:pt modelId="{0DB10F07-6E2F-4FFB-A660-DD75E963B8E2}" type="parTrans" cxnId="{2FBB6A1B-6AD8-4952-928E-1A726C8CA7A7}">
      <dgm:prSet/>
      <dgm:spPr/>
      <dgm:t>
        <a:bodyPr/>
        <a:lstStyle/>
        <a:p>
          <a:endParaRPr lang="en-AU"/>
        </a:p>
      </dgm:t>
    </dgm:pt>
    <dgm:pt modelId="{816F4545-EA3B-4705-B531-67D48F721D13}" type="sibTrans" cxnId="{2FBB6A1B-6AD8-4952-928E-1A726C8CA7A7}">
      <dgm:prSet/>
      <dgm:spPr/>
      <dgm:t>
        <a:bodyPr/>
        <a:lstStyle/>
        <a:p>
          <a:endParaRPr lang="en-AU"/>
        </a:p>
      </dgm:t>
    </dgm:pt>
    <dgm:pt modelId="{9F6FC945-9BAC-496C-9FDF-96EBB50B1674}">
      <dgm:prSet custT="1"/>
      <dgm:spPr>
        <a:ln>
          <a:solidFill>
            <a:srgbClr val="00A0A4"/>
          </a:solidFill>
        </a:ln>
      </dgm:spPr>
      <dgm:t>
        <a:bodyPr/>
        <a:lstStyle/>
        <a:p>
          <a:pPr>
            <a:spcAft>
              <a:spcPts val="600"/>
            </a:spcAft>
          </a:pPr>
          <a:r>
            <a:rPr lang="en-AU" sz="1100">
              <a:latin typeface="Arial" panose="020B0604020202020204" pitchFamily="34" charset="0"/>
              <a:cs typeface="Arial" panose="020B0604020202020204" pitchFamily="34" charset="0"/>
            </a:rPr>
            <a:t>Pay estimated ITU cost recovery if ACMA agrees to file</a:t>
          </a:r>
        </a:p>
      </dgm:t>
    </dgm:pt>
    <dgm:pt modelId="{FCC799E1-F8BE-4C8F-BAF7-6FC647225DD0}" type="parTrans" cxnId="{8FCFE63A-CD02-4039-B2C5-EF72B790EA19}">
      <dgm:prSet/>
      <dgm:spPr/>
      <dgm:t>
        <a:bodyPr/>
        <a:lstStyle/>
        <a:p>
          <a:endParaRPr lang="en-AU"/>
        </a:p>
      </dgm:t>
    </dgm:pt>
    <dgm:pt modelId="{75D8BB26-F205-40EA-A334-2C55B07A45DF}" type="sibTrans" cxnId="{8FCFE63A-CD02-4039-B2C5-EF72B790EA19}">
      <dgm:prSet/>
      <dgm:spPr/>
      <dgm:t>
        <a:bodyPr/>
        <a:lstStyle/>
        <a:p>
          <a:endParaRPr lang="en-AU"/>
        </a:p>
      </dgm:t>
    </dgm:pt>
    <dgm:pt modelId="{6C8C75F4-B5C3-4249-9625-D3414846AB59}">
      <dgm:prSet phldrT="[Text]" custT="1"/>
      <dgm:spPr>
        <a:solidFill>
          <a:schemeClr val="bg1">
            <a:alpha val="90000"/>
          </a:schemeClr>
        </a:solidFill>
        <a:ln>
          <a:solidFill>
            <a:srgbClr val="00A0A4"/>
          </a:solidFill>
        </a:ln>
      </dgm:spPr>
      <dgm:t>
        <a:bodyPr/>
        <a:lstStyle/>
        <a:p>
          <a:pPr>
            <a:spcAft>
              <a:spcPts val="600"/>
            </a:spcAft>
          </a:pPr>
          <a:r>
            <a:rPr lang="en-AU" sz="1050">
              <a:latin typeface="Arial" panose="020B0604020202020204" pitchFamily="34" charset="0"/>
              <a:cs typeface="Arial" panose="020B0604020202020204" pitchFamily="34" charset="0"/>
            </a:rPr>
            <a:t>Lodge application</a:t>
          </a:r>
        </a:p>
      </dgm:t>
    </dgm:pt>
    <dgm:pt modelId="{E0AE7A22-6524-4F32-952C-26FAEE605C8B}" type="parTrans" cxnId="{AB5F79A2-87B3-48E5-A5ED-941B034F9E77}">
      <dgm:prSet/>
      <dgm:spPr/>
      <dgm:t>
        <a:bodyPr/>
        <a:lstStyle/>
        <a:p>
          <a:endParaRPr lang="en-AU"/>
        </a:p>
      </dgm:t>
    </dgm:pt>
    <dgm:pt modelId="{EDC5883F-0CE8-43DB-9EB1-A9BD2697F13D}" type="sibTrans" cxnId="{AB5F79A2-87B3-48E5-A5ED-941B034F9E77}">
      <dgm:prSet/>
      <dgm:spPr/>
      <dgm:t>
        <a:bodyPr/>
        <a:lstStyle/>
        <a:p>
          <a:endParaRPr lang="en-AU"/>
        </a:p>
      </dgm:t>
    </dgm:pt>
    <dgm:pt modelId="{5A0FB9CC-6FDC-4F2C-ADA4-BEA6717EE4C3}">
      <dgm:prSet phldrT="[Text]" custT="1"/>
      <dgm:spPr>
        <a:ln>
          <a:solidFill>
            <a:srgbClr val="39457C"/>
          </a:solidFill>
        </a:ln>
      </dgm:spPr>
      <dgm:t>
        <a:bodyPr/>
        <a:lstStyle/>
        <a:p>
          <a:pPr>
            <a:spcAft>
              <a:spcPct val="15000"/>
            </a:spcAft>
          </a:pPr>
          <a:r>
            <a:rPr lang="en-AU" sz="1100">
              <a:latin typeface="Arial" panose="020B0604020202020204" pitchFamily="34" charset="0"/>
              <a:cs typeface="Arial" panose="020B0604020202020204" pitchFamily="34" charset="0"/>
            </a:rPr>
            <a:t>Charge application cost recovery fee</a:t>
          </a:r>
        </a:p>
      </dgm:t>
    </dgm:pt>
    <dgm:pt modelId="{1EDA269B-1A27-4B84-8350-5E89D3AD3753}" type="parTrans" cxnId="{D80DF7A9-31C7-46C6-A752-1B27FB93ECB5}">
      <dgm:prSet/>
      <dgm:spPr/>
      <dgm:t>
        <a:bodyPr/>
        <a:lstStyle/>
        <a:p>
          <a:endParaRPr lang="en-AU"/>
        </a:p>
      </dgm:t>
    </dgm:pt>
    <dgm:pt modelId="{B95310E3-CEB9-4ED1-9C9E-26FA0490DB52}" type="sibTrans" cxnId="{D80DF7A9-31C7-46C6-A752-1B27FB93ECB5}">
      <dgm:prSet/>
      <dgm:spPr/>
      <dgm:t>
        <a:bodyPr/>
        <a:lstStyle/>
        <a:p>
          <a:endParaRPr lang="en-AU"/>
        </a:p>
      </dgm:t>
    </dgm:pt>
    <dgm:pt modelId="{BDAA2620-905A-4E18-A346-7376BE9E00CA}">
      <dgm:prSet custT="1"/>
      <dgm:spPr>
        <a:ln>
          <a:solidFill>
            <a:srgbClr val="00A0A4"/>
          </a:solidFill>
        </a:ln>
      </dgm:spPr>
      <dgm:t>
        <a:bodyPr/>
        <a:lstStyle/>
        <a:p>
          <a:pPr>
            <a:spcAft>
              <a:spcPct val="15000"/>
            </a:spcAft>
          </a:pPr>
          <a:r>
            <a:rPr lang="en-AU" sz="1100">
              <a:latin typeface="Arial" panose="020B0604020202020204" pitchFamily="34" charset="0"/>
              <a:cs typeface="Arial" panose="020B0604020202020204" pitchFamily="34" charset="0"/>
            </a:rPr>
            <a:t>Pay  application cost recovery fee</a:t>
          </a:r>
        </a:p>
      </dgm:t>
    </dgm:pt>
    <dgm:pt modelId="{A0064624-88F9-4617-93A2-B34DCF805BE5}" type="parTrans" cxnId="{E07B323C-B94C-49FD-8D6E-9B59EB730DDB}">
      <dgm:prSet/>
      <dgm:spPr/>
      <dgm:t>
        <a:bodyPr/>
        <a:lstStyle/>
        <a:p>
          <a:endParaRPr lang="en-AU"/>
        </a:p>
      </dgm:t>
    </dgm:pt>
    <dgm:pt modelId="{14A842A6-5C87-47FD-A955-50D2EDE01EC8}" type="sibTrans" cxnId="{E07B323C-B94C-49FD-8D6E-9B59EB730DDB}">
      <dgm:prSet/>
      <dgm:spPr/>
      <dgm:t>
        <a:bodyPr/>
        <a:lstStyle/>
        <a:p>
          <a:endParaRPr lang="en-AU"/>
        </a:p>
      </dgm:t>
    </dgm:pt>
    <dgm:pt modelId="{0C3F5B0A-EC65-445A-8513-048458903F59}">
      <dgm:prSet custT="1"/>
      <dgm:spPr>
        <a:ln>
          <a:solidFill>
            <a:srgbClr val="39457C"/>
          </a:solidFill>
        </a:ln>
      </dgm:spPr>
      <dgm:t>
        <a:bodyPr/>
        <a:lstStyle/>
        <a:p>
          <a:r>
            <a:rPr lang="en-AU" sz="1100">
              <a:latin typeface="Arial" panose="020B0604020202020204" pitchFamily="34" charset="0"/>
              <a:cs typeface="Arial" panose="020B0604020202020204" pitchFamily="34" charset="0"/>
            </a:rPr>
            <a:t>Advise Australian satellite operators of a new filing</a:t>
          </a:r>
        </a:p>
      </dgm:t>
    </dgm:pt>
    <dgm:pt modelId="{5C7D5E50-696F-4BF2-80D0-FDCDA7060090}" type="parTrans" cxnId="{1FA50B1E-4C66-48FD-B3CD-205C32478144}">
      <dgm:prSet/>
      <dgm:spPr/>
      <dgm:t>
        <a:bodyPr/>
        <a:lstStyle/>
        <a:p>
          <a:endParaRPr lang="en-AU"/>
        </a:p>
      </dgm:t>
    </dgm:pt>
    <dgm:pt modelId="{9BE66C05-F0DE-4550-AE18-E5A99AA9A140}" type="sibTrans" cxnId="{1FA50B1E-4C66-48FD-B3CD-205C32478144}">
      <dgm:prSet/>
      <dgm:spPr/>
      <dgm:t>
        <a:bodyPr/>
        <a:lstStyle/>
        <a:p>
          <a:endParaRPr lang="en-AU"/>
        </a:p>
      </dgm:t>
    </dgm:pt>
    <dgm:pt modelId="{8E784B46-15FA-4BF9-A9CC-8F75F1AD3E22}" type="pres">
      <dgm:prSet presAssocID="{217344A0-D660-418D-BAFB-42DF4F1AE425}" presName="linearFlow" presStyleCnt="0">
        <dgm:presLayoutVars>
          <dgm:dir/>
          <dgm:animLvl val="lvl"/>
          <dgm:resizeHandles val="exact"/>
        </dgm:presLayoutVars>
      </dgm:prSet>
      <dgm:spPr/>
    </dgm:pt>
    <dgm:pt modelId="{388B7A0A-8CAA-4359-8FB3-9C32FEA3591C}" type="pres">
      <dgm:prSet presAssocID="{F816C9DA-508F-4EC0-93DB-1D582B158896}" presName="composite" presStyleCnt="0"/>
      <dgm:spPr/>
    </dgm:pt>
    <dgm:pt modelId="{E83585A0-852A-4237-84C8-41FE55F63589}" type="pres">
      <dgm:prSet presAssocID="{F816C9DA-508F-4EC0-93DB-1D582B158896}" presName="parTx" presStyleLbl="node1" presStyleIdx="0" presStyleCnt="4">
        <dgm:presLayoutVars>
          <dgm:chMax val="0"/>
          <dgm:chPref val="0"/>
          <dgm:bulletEnabled val="1"/>
        </dgm:presLayoutVars>
      </dgm:prSet>
      <dgm:spPr/>
    </dgm:pt>
    <dgm:pt modelId="{89629669-8EA1-4A06-B394-AE3475B3943A}" type="pres">
      <dgm:prSet presAssocID="{F816C9DA-508F-4EC0-93DB-1D582B158896}" presName="parSh" presStyleLbl="node1" presStyleIdx="0" presStyleCnt="4"/>
      <dgm:spPr/>
    </dgm:pt>
    <dgm:pt modelId="{1CD854F9-58D1-4C2E-B697-707785DECF7B}" type="pres">
      <dgm:prSet presAssocID="{F816C9DA-508F-4EC0-93DB-1D582B158896}" presName="desTx" presStyleLbl="fgAcc1" presStyleIdx="0" presStyleCnt="4" custScaleX="115742">
        <dgm:presLayoutVars>
          <dgm:bulletEnabled val="1"/>
        </dgm:presLayoutVars>
      </dgm:prSet>
      <dgm:spPr/>
    </dgm:pt>
    <dgm:pt modelId="{6CEDF3F2-F344-4FF1-90A5-6AC50AEDB159}" type="pres">
      <dgm:prSet presAssocID="{D35E93B8-5877-40FA-8F05-8550037A0724}" presName="sibTrans" presStyleLbl="sibTrans2D1" presStyleIdx="0" presStyleCnt="3"/>
      <dgm:spPr/>
    </dgm:pt>
    <dgm:pt modelId="{3E0FC4C5-2746-4474-97F2-6A214BC4D6BE}" type="pres">
      <dgm:prSet presAssocID="{D35E93B8-5877-40FA-8F05-8550037A0724}" presName="connTx" presStyleLbl="sibTrans2D1" presStyleIdx="0" presStyleCnt="3"/>
      <dgm:spPr/>
    </dgm:pt>
    <dgm:pt modelId="{33A35ED3-E9EE-49B7-BCC3-62EFBA9CFB21}" type="pres">
      <dgm:prSet presAssocID="{723F5D27-FD3C-4EF5-BA3C-DE11195F908F}" presName="composite" presStyleCnt="0"/>
      <dgm:spPr/>
    </dgm:pt>
    <dgm:pt modelId="{A22C2EC6-FDC8-4D46-9B86-511B5625B036}" type="pres">
      <dgm:prSet presAssocID="{723F5D27-FD3C-4EF5-BA3C-DE11195F908F}" presName="parTx" presStyleLbl="node1" presStyleIdx="0" presStyleCnt="4">
        <dgm:presLayoutVars>
          <dgm:chMax val="0"/>
          <dgm:chPref val="0"/>
          <dgm:bulletEnabled val="1"/>
        </dgm:presLayoutVars>
      </dgm:prSet>
      <dgm:spPr/>
    </dgm:pt>
    <dgm:pt modelId="{E442A290-8AAA-4AB1-9D6F-0EED1AF15B52}" type="pres">
      <dgm:prSet presAssocID="{723F5D27-FD3C-4EF5-BA3C-DE11195F908F}" presName="parSh" presStyleLbl="node1" presStyleIdx="1" presStyleCnt="4"/>
      <dgm:spPr/>
    </dgm:pt>
    <dgm:pt modelId="{AA50BA3B-091F-4CCD-AD21-32AC38D8D236}" type="pres">
      <dgm:prSet presAssocID="{723F5D27-FD3C-4EF5-BA3C-DE11195F908F}" presName="desTx" presStyleLbl="fgAcc1" presStyleIdx="1" presStyleCnt="4" custScaleX="118263">
        <dgm:presLayoutVars>
          <dgm:bulletEnabled val="1"/>
        </dgm:presLayoutVars>
      </dgm:prSet>
      <dgm:spPr/>
    </dgm:pt>
    <dgm:pt modelId="{31DE91BE-66AC-4591-A282-09BF0871F6C7}" type="pres">
      <dgm:prSet presAssocID="{E58A939B-EC2D-4C1C-AB01-BEB599CDD494}" presName="sibTrans" presStyleLbl="sibTrans2D1" presStyleIdx="1" presStyleCnt="3"/>
      <dgm:spPr/>
    </dgm:pt>
    <dgm:pt modelId="{7789F96C-C777-4588-8472-B84E302C98BD}" type="pres">
      <dgm:prSet presAssocID="{E58A939B-EC2D-4C1C-AB01-BEB599CDD494}" presName="connTx" presStyleLbl="sibTrans2D1" presStyleIdx="1" presStyleCnt="3"/>
      <dgm:spPr/>
    </dgm:pt>
    <dgm:pt modelId="{63B06ACA-6292-4AFF-8B85-B43082CDE105}" type="pres">
      <dgm:prSet presAssocID="{CAB04F44-D6B9-4862-B3DE-3F273D22A2AE}" presName="composite" presStyleCnt="0"/>
      <dgm:spPr/>
    </dgm:pt>
    <dgm:pt modelId="{A55E4424-285B-4797-8378-AED6B51D8465}" type="pres">
      <dgm:prSet presAssocID="{CAB04F44-D6B9-4862-B3DE-3F273D22A2AE}" presName="parTx" presStyleLbl="node1" presStyleIdx="1" presStyleCnt="4">
        <dgm:presLayoutVars>
          <dgm:chMax val="0"/>
          <dgm:chPref val="0"/>
          <dgm:bulletEnabled val="1"/>
        </dgm:presLayoutVars>
      </dgm:prSet>
      <dgm:spPr/>
    </dgm:pt>
    <dgm:pt modelId="{78AED265-F30D-4CDD-9598-BFDA4BA947C0}" type="pres">
      <dgm:prSet presAssocID="{CAB04F44-D6B9-4862-B3DE-3F273D22A2AE}" presName="parSh" presStyleLbl="node1" presStyleIdx="2" presStyleCnt="4"/>
      <dgm:spPr/>
    </dgm:pt>
    <dgm:pt modelId="{17D3EEA9-32BD-4C39-BC94-8AE3C5D224CB}" type="pres">
      <dgm:prSet presAssocID="{CAB04F44-D6B9-4862-B3DE-3F273D22A2AE}" presName="desTx" presStyleLbl="fgAcc1" presStyleIdx="2" presStyleCnt="4" custScaleX="114544">
        <dgm:presLayoutVars>
          <dgm:bulletEnabled val="1"/>
        </dgm:presLayoutVars>
      </dgm:prSet>
      <dgm:spPr/>
    </dgm:pt>
    <dgm:pt modelId="{C381687A-0E26-4B36-B107-2686A85D4808}" type="pres">
      <dgm:prSet presAssocID="{49E580BF-48AB-47CE-98A6-9C3F40580663}" presName="sibTrans" presStyleLbl="sibTrans2D1" presStyleIdx="2" presStyleCnt="3"/>
      <dgm:spPr/>
    </dgm:pt>
    <dgm:pt modelId="{E8D03B32-6398-4140-8816-BFFB25C0BF03}" type="pres">
      <dgm:prSet presAssocID="{49E580BF-48AB-47CE-98A6-9C3F40580663}" presName="connTx" presStyleLbl="sibTrans2D1" presStyleIdx="2" presStyleCnt="3"/>
      <dgm:spPr/>
    </dgm:pt>
    <dgm:pt modelId="{8B57A61F-9667-4761-84D6-FAABF580470D}" type="pres">
      <dgm:prSet presAssocID="{821CC1AC-8D8B-4740-A639-9D5CF35DAF97}" presName="composite" presStyleCnt="0"/>
      <dgm:spPr/>
    </dgm:pt>
    <dgm:pt modelId="{CAD63E6A-B803-40D6-B3D1-EB87789AE28D}" type="pres">
      <dgm:prSet presAssocID="{821CC1AC-8D8B-4740-A639-9D5CF35DAF97}" presName="parTx" presStyleLbl="node1" presStyleIdx="2" presStyleCnt="4">
        <dgm:presLayoutVars>
          <dgm:chMax val="0"/>
          <dgm:chPref val="0"/>
          <dgm:bulletEnabled val="1"/>
        </dgm:presLayoutVars>
      </dgm:prSet>
      <dgm:spPr/>
    </dgm:pt>
    <dgm:pt modelId="{7A261C3B-6AE8-487B-B4FD-FB8005FE78A5}" type="pres">
      <dgm:prSet presAssocID="{821CC1AC-8D8B-4740-A639-9D5CF35DAF97}" presName="parSh" presStyleLbl="node1" presStyleIdx="3" presStyleCnt="4" custLinFactNeighborX="566" custLinFactNeighborY="-30738"/>
      <dgm:spPr/>
    </dgm:pt>
    <dgm:pt modelId="{5D057B7A-F0D3-410E-AB31-5BE8C3A7C811}" type="pres">
      <dgm:prSet presAssocID="{821CC1AC-8D8B-4740-A639-9D5CF35DAF97}" presName="desTx" presStyleLbl="fgAcc1" presStyleIdx="3" presStyleCnt="4" custScaleX="105488" custScaleY="102274">
        <dgm:presLayoutVars>
          <dgm:bulletEnabled val="1"/>
        </dgm:presLayoutVars>
      </dgm:prSet>
      <dgm:spPr/>
    </dgm:pt>
  </dgm:ptLst>
  <dgm:cxnLst>
    <dgm:cxn modelId="{6B0A2408-A34E-4DAB-9FE5-5E7D1D2F3EA1}" type="presOf" srcId="{BDAA2620-905A-4E18-A346-7376BE9E00CA}" destId="{17D3EEA9-32BD-4C39-BC94-8AE3C5D224CB}" srcOrd="0" destOrd="1" presId="urn:microsoft.com/office/officeart/2005/8/layout/process3"/>
    <dgm:cxn modelId="{7C34510A-1B71-435F-838C-D7F7E0F991C7}" type="presOf" srcId="{6C8C75F4-B5C3-4249-9625-D3414846AB59}" destId="{1CD854F9-58D1-4C2E-B697-707785DECF7B}" srcOrd="0" destOrd="0" presId="urn:microsoft.com/office/officeart/2005/8/layout/process3"/>
    <dgm:cxn modelId="{50C4B818-02AB-4CCB-A668-1FC1E4E020E7}" type="presOf" srcId="{0C3F5B0A-EC65-445A-8513-048458903F59}" destId="{5D057B7A-F0D3-410E-AB31-5BE8C3A7C811}" srcOrd="0" destOrd="1" presId="urn:microsoft.com/office/officeart/2005/8/layout/process3"/>
    <dgm:cxn modelId="{2FBB6A1B-6AD8-4952-928E-1A726C8CA7A7}" srcId="{821CC1AC-8D8B-4740-A639-9D5CF35DAF97}" destId="{D23C3BDC-AB0F-4782-8475-E790ABF615AB}" srcOrd="0" destOrd="0" parTransId="{0DB10F07-6E2F-4FFB-A660-DD75E963B8E2}" sibTransId="{816F4545-EA3B-4705-B531-67D48F721D13}"/>
    <dgm:cxn modelId="{1FA50B1E-4C66-48FD-B3CD-205C32478144}" srcId="{821CC1AC-8D8B-4740-A639-9D5CF35DAF97}" destId="{0C3F5B0A-EC65-445A-8513-048458903F59}" srcOrd="1" destOrd="0" parTransId="{5C7D5E50-696F-4BF2-80D0-FDCDA7060090}" sibTransId="{9BE66C05-F0DE-4550-AE18-E5A99AA9A140}"/>
    <dgm:cxn modelId="{AA3AB729-CCC7-4F61-AF54-72DC68D00D8A}" type="presOf" srcId="{821CC1AC-8D8B-4740-A639-9D5CF35DAF97}" destId="{CAD63E6A-B803-40D6-B3D1-EB87789AE28D}" srcOrd="0" destOrd="0" presId="urn:microsoft.com/office/officeart/2005/8/layout/process3"/>
    <dgm:cxn modelId="{C206132E-26F1-4427-8DD9-E3FA7A3EB0FB}" type="presOf" srcId="{3BD4EA04-DCB9-4332-82B9-3E9B61C19295}" destId="{1CD854F9-58D1-4C2E-B697-707785DECF7B}" srcOrd="0" destOrd="1" presId="urn:microsoft.com/office/officeart/2005/8/layout/process3"/>
    <dgm:cxn modelId="{F77F8F33-D975-454F-95E6-8CB5BA93C4EF}" type="presOf" srcId="{5A0FB9CC-6FDC-4F2C-ADA4-BEA6717EE4C3}" destId="{AA50BA3B-091F-4CCD-AD21-32AC38D8D236}" srcOrd="0" destOrd="1" presId="urn:microsoft.com/office/officeart/2005/8/layout/process3"/>
    <dgm:cxn modelId="{2BB14638-4403-4662-917E-B22B5B417ECD}" type="presOf" srcId="{D35E93B8-5877-40FA-8F05-8550037A0724}" destId="{3E0FC4C5-2746-4474-97F2-6A214BC4D6BE}" srcOrd="1" destOrd="0" presId="urn:microsoft.com/office/officeart/2005/8/layout/process3"/>
    <dgm:cxn modelId="{8FCFE63A-CD02-4039-B2C5-EF72B790EA19}" srcId="{CAB04F44-D6B9-4862-B3DE-3F273D22A2AE}" destId="{9F6FC945-9BAC-496C-9FDF-96EBB50B1674}" srcOrd="0" destOrd="0" parTransId="{FCC799E1-F8BE-4C8F-BAF7-6FC647225DD0}" sibTransId="{75D8BB26-F205-40EA-A334-2C55B07A45DF}"/>
    <dgm:cxn modelId="{F22B873B-A98C-4F36-95B4-7B9439A2B73B}" srcId="{723F5D27-FD3C-4EF5-BA3C-DE11195F908F}" destId="{7142248C-A0F5-449C-99F5-CA606357AFE4}" srcOrd="0" destOrd="0" parTransId="{8D122CA9-74FF-4C9D-8884-7E3901C6BF82}" sibTransId="{8E00ABBB-1EF1-4A84-9E55-A3C1E73798BF}"/>
    <dgm:cxn modelId="{E07B323C-B94C-49FD-8D6E-9B59EB730DDB}" srcId="{CAB04F44-D6B9-4862-B3DE-3F273D22A2AE}" destId="{BDAA2620-905A-4E18-A346-7376BE9E00CA}" srcOrd="1" destOrd="0" parTransId="{A0064624-88F9-4617-93A2-B34DCF805BE5}" sibTransId="{14A842A6-5C87-47FD-A955-50D2EDE01EC8}"/>
    <dgm:cxn modelId="{75172567-D92A-421C-8054-052F5995AEB7}" type="presOf" srcId="{E58A939B-EC2D-4C1C-AB01-BEB599CDD494}" destId="{31DE91BE-66AC-4591-A282-09BF0871F6C7}" srcOrd="0" destOrd="0" presId="urn:microsoft.com/office/officeart/2005/8/layout/process3"/>
    <dgm:cxn modelId="{0ECC2E4D-C5E8-44DC-8D7D-26A277E9B0A6}" srcId="{217344A0-D660-418D-BAFB-42DF4F1AE425}" destId="{CAB04F44-D6B9-4862-B3DE-3F273D22A2AE}" srcOrd="2" destOrd="0" parTransId="{2282C237-A710-4613-96C4-C6108A882625}" sibTransId="{49E580BF-48AB-47CE-98A6-9C3F40580663}"/>
    <dgm:cxn modelId="{AF664D6D-FE50-44DE-BF99-43C18705E99B}" type="presOf" srcId="{E58A939B-EC2D-4C1C-AB01-BEB599CDD494}" destId="{7789F96C-C777-4588-8472-B84E302C98BD}" srcOrd="1" destOrd="0" presId="urn:microsoft.com/office/officeart/2005/8/layout/process3"/>
    <dgm:cxn modelId="{735AEC70-3D52-44CD-A10F-26EF1C600E5C}" type="presOf" srcId="{D23C3BDC-AB0F-4782-8475-E790ABF615AB}" destId="{5D057B7A-F0D3-410E-AB31-5BE8C3A7C811}" srcOrd="0" destOrd="0" presId="urn:microsoft.com/office/officeart/2005/8/layout/process3"/>
    <dgm:cxn modelId="{CFE6E251-0286-442D-BDE4-481DEA9A3C53}" srcId="{F816C9DA-508F-4EC0-93DB-1D582B158896}" destId="{3BD4EA04-DCB9-4332-82B9-3E9B61C19295}" srcOrd="1" destOrd="0" parTransId="{AA4F9AD8-8EB1-4800-924D-520EC3ABE5A6}" sibTransId="{B7BADCB6-6B3F-4043-9DFE-C6D96E4B210C}"/>
    <dgm:cxn modelId="{4B204773-CAFB-4E29-B8A4-3015176A640B}" type="presOf" srcId="{D35E93B8-5877-40FA-8F05-8550037A0724}" destId="{6CEDF3F2-F344-4FF1-90A5-6AC50AEDB159}" srcOrd="0" destOrd="0" presId="urn:microsoft.com/office/officeart/2005/8/layout/process3"/>
    <dgm:cxn modelId="{C0C04C7E-9945-4210-80DE-27B3C9F7C573}" type="presOf" srcId="{723F5D27-FD3C-4EF5-BA3C-DE11195F908F}" destId="{A22C2EC6-FDC8-4D46-9B86-511B5625B036}" srcOrd="0" destOrd="0" presId="urn:microsoft.com/office/officeart/2005/8/layout/process3"/>
    <dgm:cxn modelId="{402F3397-AC43-4F51-AF28-19CC97A5EC3C}" type="presOf" srcId="{821CC1AC-8D8B-4740-A639-9D5CF35DAF97}" destId="{7A261C3B-6AE8-487B-B4FD-FB8005FE78A5}" srcOrd="1" destOrd="0" presId="urn:microsoft.com/office/officeart/2005/8/layout/process3"/>
    <dgm:cxn modelId="{0190EB99-A988-49A2-BEE6-90CC7CB9E82A}" type="presOf" srcId="{F816C9DA-508F-4EC0-93DB-1D582B158896}" destId="{89629669-8EA1-4A06-B394-AE3475B3943A}" srcOrd="1" destOrd="0" presId="urn:microsoft.com/office/officeart/2005/8/layout/process3"/>
    <dgm:cxn modelId="{966F549A-929E-4028-911B-8A19081BF7EB}" type="presOf" srcId="{CAB04F44-D6B9-4862-B3DE-3F273D22A2AE}" destId="{78AED265-F30D-4CDD-9598-BFDA4BA947C0}" srcOrd="1" destOrd="0" presId="urn:microsoft.com/office/officeart/2005/8/layout/process3"/>
    <dgm:cxn modelId="{FDB8ABA1-8740-4B2D-B3E1-14664CB37CD0}" type="presOf" srcId="{723F5D27-FD3C-4EF5-BA3C-DE11195F908F}" destId="{E442A290-8AAA-4AB1-9D6F-0EED1AF15B52}" srcOrd="1" destOrd="0" presId="urn:microsoft.com/office/officeart/2005/8/layout/process3"/>
    <dgm:cxn modelId="{AB5F79A2-87B3-48E5-A5ED-941B034F9E77}" srcId="{F816C9DA-508F-4EC0-93DB-1D582B158896}" destId="{6C8C75F4-B5C3-4249-9625-D3414846AB59}" srcOrd="0" destOrd="0" parTransId="{E0AE7A22-6524-4F32-952C-26FAEE605C8B}" sibTransId="{EDC5883F-0CE8-43DB-9EB1-A9BD2697F13D}"/>
    <dgm:cxn modelId="{D80DF7A9-31C7-46C6-A752-1B27FB93ECB5}" srcId="{723F5D27-FD3C-4EF5-BA3C-DE11195F908F}" destId="{5A0FB9CC-6FDC-4F2C-ADA4-BEA6717EE4C3}" srcOrd="1" destOrd="0" parTransId="{1EDA269B-1A27-4B84-8350-5E89D3AD3753}" sibTransId="{B95310E3-CEB9-4ED1-9C9E-26FA0490DB52}"/>
    <dgm:cxn modelId="{BF60DCAC-7B47-417A-81AD-127C75568058}" type="presOf" srcId="{49E580BF-48AB-47CE-98A6-9C3F40580663}" destId="{E8D03B32-6398-4140-8816-BFFB25C0BF03}" srcOrd="1" destOrd="0" presId="urn:microsoft.com/office/officeart/2005/8/layout/process3"/>
    <dgm:cxn modelId="{7DF3FDBA-033B-4149-9F9D-D048D26FD92B}" srcId="{217344A0-D660-418D-BAFB-42DF4F1AE425}" destId="{821CC1AC-8D8B-4740-A639-9D5CF35DAF97}" srcOrd="3" destOrd="0" parTransId="{D9254805-DC61-42DA-96BE-0B769E50126E}" sibTransId="{6785E7FA-D46F-4CB1-B16F-96887BA84347}"/>
    <dgm:cxn modelId="{7B5E14BB-E554-4F9F-AF01-C54EC3BF387E}" type="presOf" srcId="{49E580BF-48AB-47CE-98A6-9C3F40580663}" destId="{C381687A-0E26-4B36-B107-2686A85D4808}" srcOrd="0" destOrd="0" presId="urn:microsoft.com/office/officeart/2005/8/layout/process3"/>
    <dgm:cxn modelId="{017066C3-4C9B-47AC-AA55-86BC916BEAA8}" srcId="{217344A0-D660-418D-BAFB-42DF4F1AE425}" destId="{723F5D27-FD3C-4EF5-BA3C-DE11195F908F}" srcOrd="1" destOrd="0" parTransId="{173C9F3C-881A-4C4A-9AEC-59DAC6DDC128}" sibTransId="{E58A939B-EC2D-4C1C-AB01-BEB599CDD494}"/>
    <dgm:cxn modelId="{C69844C8-4BE5-43E7-931A-C74725C1492A}" srcId="{217344A0-D660-418D-BAFB-42DF4F1AE425}" destId="{F816C9DA-508F-4EC0-93DB-1D582B158896}" srcOrd="0" destOrd="0" parTransId="{FB5DDD6A-6711-49A0-9A47-183137B70411}" sibTransId="{D35E93B8-5877-40FA-8F05-8550037A0724}"/>
    <dgm:cxn modelId="{B9A932EF-075E-4E33-B406-AC1CE1385F7B}" type="presOf" srcId="{7142248C-A0F5-449C-99F5-CA606357AFE4}" destId="{AA50BA3B-091F-4CCD-AD21-32AC38D8D236}" srcOrd="0" destOrd="0" presId="urn:microsoft.com/office/officeart/2005/8/layout/process3"/>
    <dgm:cxn modelId="{8F1BE6F3-8A0C-4926-BB7D-EC4E68FCE598}" type="presOf" srcId="{F816C9DA-508F-4EC0-93DB-1D582B158896}" destId="{E83585A0-852A-4237-84C8-41FE55F63589}" srcOrd="0" destOrd="0" presId="urn:microsoft.com/office/officeart/2005/8/layout/process3"/>
    <dgm:cxn modelId="{57E623FA-706F-4CFD-B768-371CFBA70372}" type="presOf" srcId="{CAB04F44-D6B9-4862-B3DE-3F273D22A2AE}" destId="{A55E4424-285B-4797-8378-AED6B51D8465}" srcOrd="0" destOrd="0" presId="urn:microsoft.com/office/officeart/2005/8/layout/process3"/>
    <dgm:cxn modelId="{F444FDFC-7D3C-4C3C-8F83-B1CD487D1A76}" type="presOf" srcId="{217344A0-D660-418D-BAFB-42DF4F1AE425}" destId="{8E784B46-15FA-4BF9-A9CC-8F75F1AD3E22}" srcOrd="0" destOrd="0" presId="urn:microsoft.com/office/officeart/2005/8/layout/process3"/>
    <dgm:cxn modelId="{9D57A8DE-6202-47E7-A896-730C4929347A}" type="presOf" srcId="{9F6FC945-9BAC-496C-9FDF-96EBB50B1674}" destId="{17D3EEA9-32BD-4C39-BC94-8AE3C5D224CB}" srcOrd="0" destOrd="0" presId="urn:microsoft.com/office/officeart/2005/8/layout/process3"/>
    <dgm:cxn modelId="{0DC140E9-3F0C-4858-AE00-1228F83C596D}" type="presParOf" srcId="{8E784B46-15FA-4BF9-A9CC-8F75F1AD3E22}" destId="{388B7A0A-8CAA-4359-8FB3-9C32FEA3591C}" srcOrd="0" destOrd="0" presId="urn:microsoft.com/office/officeart/2005/8/layout/process3"/>
    <dgm:cxn modelId="{4FDA4FE0-FC3B-4321-9782-16A20F269E1E}" type="presParOf" srcId="{388B7A0A-8CAA-4359-8FB3-9C32FEA3591C}" destId="{E83585A0-852A-4237-84C8-41FE55F63589}" srcOrd="0" destOrd="0" presId="urn:microsoft.com/office/officeart/2005/8/layout/process3"/>
    <dgm:cxn modelId="{3E1D9DDD-3122-4EB1-B82A-D99A63F67A06}" type="presParOf" srcId="{388B7A0A-8CAA-4359-8FB3-9C32FEA3591C}" destId="{89629669-8EA1-4A06-B394-AE3475B3943A}" srcOrd="1" destOrd="0" presId="urn:microsoft.com/office/officeart/2005/8/layout/process3"/>
    <dgm:cxn modelId="{585CB5BF-687A-4EC4-8F4E-BDF6170F07DD}" type="presParOf" srcId="{388B7A0A-8CAA-4359-8FB3-9C32FEA3591C}" destId="{1CD854F9-58D1-4C2E-B697-707785DECF7B}" srcOrd="2" destOrd="0" presId="urn:microsoft.com/office/officeart/2005/8/layout/process3"/>
    <dgm:cxn modelId="{7C9B90FA-16BF-4622-A0C9-EC9C0B7E25D9}" type="presParOf" srcId="{8E784B46-15FA-4BF9-A9CC-8F75F1AD3E22}" destId="{6CEDF3F2-F344-4FF1-90A5-6AC50AEDB159}" srcOrd="1" destOrd="0" presId="urn:microsoft.com/office/officeart/2005/8/layout/process3"/>
    <dgm:cxn modelId="{AFA42CD0-F7F9-4BC3-BCC5-8908DAF9F588}" type="presParOf" srcId="{6CEDF3F2-F344-4FF1-90A5-6AC50AEDB159}" destId="{3E0FC4C5-2746-4474-97F2-6A214BC4D6BE}" srcOrd="0" destOrd="0" presId="urn:microsoft.com/office/officeart/2005/8/layout/process3"/>
    <dgm:cxn modelId="{CA0AD546-9C2C-4F5B-A169-BDE975D801FE}" type="presParOf" srcId="{8E784B46-15FA-4BF9-A9CC-8F75F1AD3E22}" destId="{33A35ED3-E9EE-49B7-BCC3-62EFBA9CFB21}" srcOrd="2" destOrd="0" presId="urn:microsoft.com/office/officeart/2005/8/layout/process3"/>
    <dgm:cxn modelId="{C14978BA-1893-4225-A2D7-DC3B6D9D48B2}" type="presParOf" srcId="{33A35ED3-E9EE-49B7-BCC3-62EFBA9CFB21}" destId="{A22C2EC6-FDC8-4D46-9B86-511B5625B036}" srcOrd="0" destOrd="0" presId="urn:microsoft.com/office/officeart/2005/8/layout/process3"/>
    <dgm:cxn modelId="{8C78F2A7-C415-472C-A692-E6724018C46D}" type="presParOf" srcId="{33A35ED3-E9EE-49B7-BCC3-62EFBA9CFB21}" destId="{E442A290-8AAA-4AB1-9D6F-0EED1AF15B52}" srcOrd="1" destOrd="0" presId="urn:microsoft.com/office/officeart/2005/8/layout/process3"/>
    <dgm:cxn modelId="{C1FAEA34-784B-4D87-A37C-E3FD8AA1731B}" type="presParOf" srcId="{33A35ED3-E9EE-49B7-BCC3-62EFBA9CFB21}" destId="{AA50BA3B-091F-4CCD-AD21-32AC38D8D236}" srcOrd="2" destOrd="0" presId="urn:microsoft.com/office/officeart/2005/8/layout/process3"/>
    <dgm:cxn modelId="{5A3EB05E-5AE1-4433-9213-B446C7C61F40}" type="presParOf" srcId="{8E784B46-15FA-4BF9-A9CC-8F75F1AD3E22}" destId="{31DE91BE-66AC-4591-A282-09BF0871F6C7}" srcOrd="3" destOrd="0" presId="urn:microsoft.com/office/officeart/2005/8/layout/process3"/>
    <dgm:cxn modelId="{AA5202EA-7A20-4CEF-8356-E6859179FAFD}" type="presParOf" srcId="{31DE91BE-66AC-4591-A282-09BF0871F6C7}" destId="{7789F96C-C777-4588-8472-B84E302C98BD}" srcOrd="0" destOrd="0" presId="urn:microsoft.com/office/officeart/2005/8/layout/process3"/>
    <dgm:cxn modelId="{24CF7A59-6921-42E6-A950-D1734E49D213}" type="presParOf" srcId="{8E784B46-15FA-4BF9-A9CC-8F75F1AD3E22}" destId="{63B06ACA-6292-4AFF-8B85-B43082CDE105}" srcOrd="4" destOrd="0" presId="urn:microsoft.com/office/officeart/2005/8/layout/process3"/>
    <dgm:cxn modelId="{03FD9D63-F84D-48F1-B5BF-56C519FAE9EB}" type="presParOf" srcId="{63B06ACA-6292-4AFF-8B85-B43082CDE105}" destId="{A55E4424-285B-4797-8378-AED6B51D8465}" srcOrd="0" destOrd="0" presId="urn:microsoft.com/office/officeart/2005/8/layout/process3"/>
    <dgm:cxn modelId="{57A315DE-C8B5-4C70-A7CB-284C0E559C98}" type="presParOf" srcId="{63B06ACA-6292-4AFF-8B85-B43082CDE105}" destId="{78AED265-F30D-4CDD-9598-BFDA4BA947C0}" srcOrd="1" destOrd="0" presId="urn:microsoft.com/office/officeart/2005/8/layout/process3"/>
    <dgm:cxn modelId="{52199CA3-2BBA-45D3-99BD-A2E3854DC652}" type="presParOf" srcId="{63B06ACA-6292-4AFF-8B85-B43082CDE105}" destId="{17D3EEA9-32BD-4C39-BC94-8AE3C5D224CB}" srcOrd="2" destOrd="0" presId="urn:microsoft.com/office/officeart/2005/8/layout/process3"/>
    <dgm:cxn modelId="{30CC65C4-1164-4193-85E0-7C569CFE565F}" type="presParOf" srcId="{8E784B46-15FA-4BF9-A9CC-8F75F1AD3E22}" destId="{C381687A-0E26-4B36-B107-2686A85D4808}" srcOrd="5" destOrd="0" presId="urn:microsoft.com/office/officeart/2005/8/layout/process3"/>
    <dgm:cxn modelId="{D5238FD7-D32D-4CAA-B16A-7D7EC548FC2D}" type="presParOf" srcId="{C381687A-0E26-4B36-B107-2686A85D4808}" destId="{E8D03B32-6398-4140-8816-BFFB25C0BF03}" srcOrd="0" destOrd="0" presId="urn:microsoft.com/office/officeart/2005/8/layout/process3"/>
    <dgm:cxn modelId="{22ADA996-247E-496E-B570-965864D9BAD3}" type="presParOf" srcId="{8E784B46-15FA-4BF9-A9CC-8F75F1AD3E22}" destId="{8B57A61F-9667-4761-84D6-FAABF580470D}" srcOrd="6" destOrd="0" presId="urn:microsoft.com/office/officeart/2005/8/layout/process3"/>
    <dgm:cxn modelId="{522E5C43-2E23-4418-95BF-9AF4D6417382}" type="presParOf" srcId="{8B57A61F-9667-4761-84D6-FAABF580470D}" destId="{CAD63E6A-B803-40D6-B3D1-EB87789AE28D}" srcOrd="0" destOrd="0" presId="urn:microsoft.com/office/officeart/2005/8/layout/process3"/>
    <dgm:cxn modelId="{FF94B579-AD10-433C-8BD2-DC0E3F2BFB48}" type="presParOf" srcId="{8B57A61F-9667-4761-84D6-FAABF580470D}" destId="{7A261C3B-6AE8-487B-B4FD-FB8005FE78A5}" srcOrd="1" destOrd="0" presId="urn:microsoft.com/office/officeart/2005/8/layout/process3"/>
    <dgm:cxn modelId="{1BB036EF-C1CA-4790-8BB6-9C230EAD7F9B}" type="presParOf" srcId="{8B57A61F-9667-4761-84D6-FAABF580470D}" destId="{5D057B7A-F0D3-410E-AB31-5BE8C3A7C811}" srcOrd="2" destOrd="0" presId="urn:microsoft.com/office/officeart/2005/8/layout/process3"/>
  </dgm:cxnLst>
  <dgm:bg/>
  <dgm:whole/>
  <dgm:extLst>
    <a:ext uri="http://schemas.microsoft.com/office/drawing/2008/diagram">
      <dsp:dataModelExt xmlns:dsp="http://schemas.microsoft.com/office/drawing/2008/diagram" relId="rId5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9629669-8EA1-4A06-B394-AE3475B3943A}">
      <dsp:nvSpPr>
        <dsp:cNvPr id="0" name=""/>
        <dsp:cNvSpPr/>
      </dsp:nvSpPr>
      <dsp:spPr>
        <a:xfrm>
          <a:off x="4408" y="-172561"/>
          <a:ext cx="958639" cy="575183"/>
        </a:xfrm>
        <a:prstGeom prst="roundRect">
          <a:avLst>
            <a:gd name="adj" fmla="val 10000"/>
          </a:avLst>
        </a:prstGeom>
        <a:solidFill>
          <a:srgbClr val="00A0A4"/>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41910" numCol="1" spcCol="1270" anchor="t" anchorCtr="0">
          <a:noAutofit/>
        </a:bodyPr>
        <a:lstStyle/>
        <a:p>
          <a:pPr marL="0" lvl="0" indent="0" algn="l" defTabSz="488950">
            <a:lnSpc>
              <a:spcPct val="90000"/>
            </a:lnSpc>
            <a:spcBef>
              <a:spcPct val="0"/>
            </a:spcBef>
            <a:spcAft>
              <a:spcPct val="35000"/>
            </a:spcAft>
            <a:buNone/>
          </a:pPr>
          <a:r>
            <a:rPr lang="en-AU" sz="1100" b="1" kern="1200">
              <a:latin typeface="Arial" panose="020B0604020202020204" pitchFamily="34" charset="0"/>
              <a:cs typeface="Arial" panose="020B0604020202020204" pitchFamily="34" charset="0"/>
            </a:rPr>
            <a:t>Satellite operator</a:t>
          </a:r>
        </a:p>
      </dsp:txBody>
      <dsp:txXfrm>
        <a:off x="4408" y="-172561"/>
        <a:ext cx="958639" cy="383455"/>
      </dsp:txXfrm>
    </dsp:sp>
    <dsp:sp modelId="{1CD854F9-58D1-4C2E-B697-707785DECF7B}">
      <dsp:nvSpPr>
        <dsp:cNvPr id="0" name=""/>
        <dsp:cNvSpPr/>
      </dsp:nvSpPr>
      <dsp:spPr>
        <a:xfrm>
          <a:off x="124951" y="210894"/>
          <a:ext cx="1109548" cy="1685692"/>
        </a:xfrm>
        <a:prstGeom prst="roundRect">
          <a:avLst>
            <a:gd name="adj" fmla="val 10000"/>
          </a:avLst>
        </a:prstGeom>
        <a:solidFill>
          <a:schemeClr val="bg1">
            <a:alpha val="90000"/>
          </a:schemeClr>
        </a:solidFill>
        <a:ln w="25400" cap="flat" cmpd="sng" algn="ctr">
          <a:solidFill>
            <a:srgbClr val="00A0A4"/>
          </a:solidFill>
          <a:prstDash val="solid"/>
        </a:ln>
        <a:effectLst/>
      </dsp:spPr>
      <dsp:style>
        <a:lnRef idx="2">
          <a:scrgbClr r="0" g="0" b="0"/>
        </a:lnRef>
        <a:fillRef idx="1">
          <a:scrgbClr r="0" g="0" b="0"/>
        </a:fillRef>
        <a:effectRef idx="0">
          <a:scrgbClr r="0" g="0" b="0"/>
        </a:effectRef>
        <a:fontRef idx="minor"/>
      </dsp:style>
      <dsp:txBody>
        <a:bodyPr spcFirstLastPara="0" vert="horz" wrap="square" lIns="78232" tIns="78232" rIns="78232" bIns="78232" numCol="1" spcCol="1270" anchor="t" anchorCtr="0">
          <a:noAutofit/>
        </a:bodyPr>
        <a:lstStyle/>
        <a:p>
          <a:pPr marL="57150" lvl="1" indent="-57150" algn="l" defTabSz="466725">
            <a:lnSpc>
              <a:spcPct val="90000"/>
            </a:lnSpc>
            <a:spcBef>
              <a:spcPct val="0"/>
            </a:spcBef>
            <a:spcAft>
              <a:spcPts val="600"/>
            </a:spcAft>
            <a:buChar char="•"/>
          </a:pPr>
          <a:r>
            <a:rPr lang="en-AU" sz="1050" kern="1200">
              <a:latin typeface="Arial" panose="020B0604020202020204" pitchFamily="34" charset="0"/>
              <a:cs typeface="Arial" panose="020B0604020202020204" pitchFamily="34" charset="0"/>
            </a:rPr>
            <a:t>Lodge application</a:t>
          </a:r>
        </a:p>
        <a:p>
          <a:pPr marL="57150" lvl="1" indent="-57150" algn="l" defTabSz="466725">
            <a:lnSpc>
              <a:spcPct val="90000"/>
            </a:lnSpc>
            <a:spcBef>
              <a:spcPct val="0"/>
            </a:spcBef>
            <a:spcAft>
              <a:spcPct val="15000"/>
            </a:spcAft>
            <a:buChar char="•"/>
          </a:pPr>
          <a:r>
            <a:rPr lang="en-AU" sz="1050" kern="1200">
              <a:latin typeface="Arial" panose="020B0604020202020204" pitchFamily="34" charset="0"/>
              <a:cs typeface="Arial" panose="020B0604020202020204" pitchFamily="34" charset="0"/>
            </a:rPr>
            <a:t>Pay ACMA upfront charges (new satellite operator)</a:t>
          </a:r>
        </a:p>
      </dsp:txBody>
      <dsp:txXfrm>
        <a:off x="157449" y="243392"/>
        <a:ext cx="1044552" cy="1620696"/>
      </dsp:txXfrm>
    </dsp:sp>
    <dsp:sp modelId="{6CEDF3F2-F344-4FF1-90A5-6AC50AEDB159}">
      <dsp:nvSpPr>
        <dsp:cNvPr id="0" name=""/>
        <dsp:cNvSpPr/>
      </dsp:nvSpPr>
      <dsp:spPr>
        <a:xfrm>
          <a:off x="1127056" y="-100053"/>
          <a:ext cx="347697" cy="238440"/>
        </a:xfrm>
        <a:prstGeom prst="rightArrow">
          <a:avLst>
            <a:gd name="adj1" fmla="val 60000"/>
            <a:gd name="adj2" fmla="val 50000"/>
          </a:avLst>
        </a:prstGeom>
        <a:solidFill>
          <a:schemeClr val="tx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177800">
            <a:lnSpc>
              <a:spcPct val="90000"/>
            </a:lnSpc>
            <a:spcBef>
              <a:spcPct val="0"/>
            </a:spcBef>
            <a:spcAft>
              <a:spcPct val="35000"/>
            </a:spcAft>
            <a:buNone/>
          </a:pPr>
          <a:endParaRPr lang="en-AU" sz="400" kern="1200"/>
        </a:p>
      </dsp:txBody>
      <dsp:txXfrm>
        <a:off x="1127056" y="-52365"/>
        <a:ext cx="276165" cy="143064"/>
      </dsp:txXfrm>
    </dsp:sp>
    <dsp:sp modelId="{E442A290-8AAA-4AB1-9D6F-0EED1AF15B52}">
      <dsp:nvSpPr>
        <dsp:cNvPr id="0" name=""/>
        <dsp:cNvSpPr/>
      </dsp:nvSpPr>
      <dsp:spPr>
        <a:xfrm>
          <a:off x="1619081" y="-172561"/>
          <a:ext cx="958639" cy="575183"/>
        </a:xfrm>
        <a:prstGeom prst="roundRect">
          <a:avLst>
            <a:gd name="adj" fmla="val 10000"/>
          </a:avLst>
        </a:prstGeom>
        <a:solidFill>
          <a:srgbClr val="39457C"/>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41910" numCol="1" spcCol="1270" anchor="t" anchorCtr="0">
          <a:noAutofit/>
        </a:bodyPr>
        <a:lstStyle/>
        <a:p>
          <a:pPr marL="0" lvl="0" indent="0" algn="l" defTabSz="488950">
            <a:lnSpc>
              <a:spcPct val="90000"/>
            </a:lnSpc>
            <a:spcBef>
              <a:spcPct val="0"/>
            </a:spcBef>
            <a:spcAft>
              <a:spcPct val="35000"/>
            </a:spcAft>
            <a:buNone/>
          </a:pPr>
          <a:r>
            <a:rPr lang="en-AU" sz="1100" b="1" kern="1200">
              <a:latin typeface="Arial" panose="020B0604020202020204" pitchFamily="34" charset="0"/>
              <a:cs typeface="Arial" panose="020B0604020202020204" pitchFamily="34" charset="0"/>
            </a:rPr>
            <a:t>ACMA</a:t>
          </a:r>
        </a:p>
      </dsp:txBody>
      <dsp:txXfrm>
        <a:off x="1619081" y="-172561"/>
        <a:ext cx="958639" cy="383455"/>
      </dsp:txXfrm>
    </dsp:sp>
    <dsp:sp modelId="{AA50BA3B-091F-4CCD-AD21-32AC38D8D236}">
      <dsp:nvSpPr>
        <dsp:cNvPr id="0" name=""/>
        <dsp:cNvSpPr/>
      </dsp:nvSpPr>
      <dsp:spPr>
        <a:xfrm>
          <a:off x="1727540" y="210894"/>
          <a:ext cx="1133716" cy="1685692"/>
        </a:xfrm>
        <a:prstGeom prst="roundRect">
          <a:avLst>
            <a:gd name="adj" fmla="val 10000"/>
          </a:avLst>
        </a:prstGeom>
        <a:solidFill>
          <a:schemeClr val="lt1">
            <a:alpha val="90000"/>
            <a:hueOff val="0"/>
            <a:satOff val="0"/>
            <a:lumOff val="0"/>
            <a:alphaOff val="0"/>
          </a:schemeClr>
        </a:solidFill>
        <a:ln w="25400" cap="flat" cmpd="sng" algn="ctr">
          <a:solidFill>
            <a:srgbClr val="39457C"/>
          </a:solidFill>
          <a:prstDash val="solid"/>
        </a:ln>
        <a:effectLst/>
      </dsp:spPr>
      <dsp:style>
        <a:lnRef idx="2">
          <a:scrgbClr r="0" g="0" b="0"/>
        </a:lnRef>
        <a:fillRef idx="1">
          <a:scrgbClr r="0" g="0" b="0"/>
        </a:fillRef>
        <a:effectRef idx="0">
          <a:scrgbClr r="0" g="0" b="0"/>
        </a:effectRef>
        <a:fontRef idx="minor"/>
      </dsp:style>
      <dsp:txBody>
        <a:bodyPr spcFirstLastPara="0" vert="horz" wrap="square" lIns="78232" tIns="78232" rIns="78232" bIns="78232" numCol="1" spcCol="1270" anchor="t" anchorCtr="0">
          <a:noAutofit/>
        </a:bodyPr>
        <a:lstStyle/>
        <a:p>
          <a:pPr marL="57150" lvl="1" indent="-57150" algn="l" defTabSz="488950">
            <a:lnSpc>
              <a:spcPct val="90000"/>
            </a:lnSpc>
            <a:spcBef>
              <a:spcPct val="0"/>
            </a:spcBef>
            <a:spcAft>
              <a:spcPts val="600"/>
            </a:spcAft>
            <a:buChar char="•"/>
          </a:pPr>
          <a:r>
            <a:rPr lang="en-AU" sz="1100" kern="1200">
              <a:latin typeface="Arial" panose="020B0604020202020204" pitchFamily="34" charset="0"/>
              <a:cs typeface="Arial" panose="020B0604020202020204" pitchFamily="34" charset="0"/>
            </a:rPr>
            <a:t>Assess against assessment criteria</a:t>
          </a:r>
        </a:p>
        <a:p>
          <a:pPr marL="57150" lvl="1" indent="-57150" algn="l" defTabSz="488950">
            <a:lnSpc>
              <a:spcPct val="90000"/>
            </a:lnSpc>
            <a:spcBef>
              <a:spcPct val="0"/>
            </a:spcBef>
            <a:spcAft>
              <a:spcPct val="15000"/>
            </a:spcAft>
            <a:buChar char="•"/>
          </a:pPr>
          <a:r>
            <a:rPr lang="en-AU" sz="1100" kern="1200">
              <a:latin typeface="Arial" panose="020B0604020202020204" pitchFamily="34" charset="0"/>
              <a:cs typeface="Arial" panose="020B0604020202020204" pitchFamily="34" charset="0"/>
            </a:rPr>
            <a:t>Charge application cost recovery fee</a:t>
          </a:r>
        </a:p>
      </dsp:txBody>
      <dsp:txXfrm>
        <a:off x="1760745" y="244099"/>
        <a:ext cx="1067306" cy="1619282"/>
      </dsp:txXfrm>
    </dsp:sp>
    <dsp:sp modelId="{31DE91BE-66AC-4591-A282-09BF0871F6C7}">
      <dsp:nvSpPr>
        <dsp:cNvPr id="0" name=""/>
        <dsp:cNvSpPr/>
      </dsp:nvSpPr>
      <dsp:spPr>
        <a:xfrm>
          <a:off x="2744750" y="-100053"/>
          <a:ext cx="354101" cy="238440"/>
        </a:xfrm>
        <a:prstGeom prst="rightArrow">
          <a:avLst>
            <a:gd name="adj1" fmla="val 60000"/>
            <a:gd name="adj2" fmla="val 50000"/>
          </a:avLst>
        </a:prstGeom>
        <a:solidFill>
          <a:schemeClr val="tx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177800">
            <a:lnSpc>
              <a:spcPct val="90000"/>
            </a:lnSpc>
            <a:spcBef>
              <a:spcPct val="0"/>
            </a:spcBef>
            <a:spcAft>
              <a:spcPct val="35000"/>
            </a:spcAft>
            <a:buNone/>
          </a:pPr>
          <a:endParaRPr lang="en-AU" sz="400" kern="1200"/>
        </a:p>
      </dsp:txBody>
      <dsp:txXfrm>
        <a:off x="2744750" y="-52365"/>
        <a:ext cx="282569" cy="143064"/>
      </dsp:txXfrm>
    </dsp:sp>
    <dsp:sp modelId="{78AED265-F30D-4CDD-9598-BFDA4BA947C0}">
      <dsp:nvSpPr>
        <dsp:cNvPr id="0" name=""/>
        <dsp:cNvSpPr/>
      </dsp:nvSpPr>
      <dsp:spPr>
        <a:xfrm>
          <a:off x="3245838" y="-172561"/>
          <a:ext cx="958639" cy="575183"/>
        </a:xfrm>
        <a:prstGeom prst="roundRect">
          <a:avLst>
            <a:gd name="adj" fmla="val 10000"/>
          </a:avLst>
        </a:prstGeom>
        <a:solidFill>
          <a:srgbClr val="00A0A4"/>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41910" numCol="1" spcCol="1270" anchor="t" anchorCtr="0">
          <a:noAutofit/>
        </a:bodyPr>
        <a:lstStyle/>
        <a:p>
          <a:pPr marL="0" lvl="0" indent="0" algn="l" defTabSz="488950">
            <a:lnSpc>
              <a:spcPct val="90000"/>
            </a:lnSpc>
            <a:spcBef>
              <a:spcPct val="0"/>
            </a:spcBef>
            <a:spcAft>
              <a:spcPct val="35000"/>
            </a:spcAft>
            <a:buNone/>
          </a:pPr>
          <a:r>
            <a:rPr lang="en-AU" sz="1100" b="1" kern="1200">
              <a:latin typeface="Arial" panose="020B0604020202020204" pitchFamily="34" charset="0"/>
              <a:cs typeface="Arial" panose="020B0604020202020204" pitchFamily="34" charset="0"/>
            </a:rPr>
            <a:t>Satellite operator</a:t>
          </a:r>
        </a:p>
      </dsp:txBody>
      <dsp:txXfrm>
        <a:off x="3245838" y="-172561"/>
        <a:ext cx="958639" cy="383455"/>
      </dsp:txXfrm>
    </dsp:sp>
    <dsp:sp modelId="{17D3EEA9-32BD-4C39-BC94-8AE3C5D224CB}">
      <dsp:nvSpPr>
        <dsp:cNvPr id="0" name=""/>
        <dsp:cNvSpPr/>
      </dsp:nvSpPr>
      <dsp:spPr>
        <a:xfrm>
          <a:off x="3372123" y="210894"/>
          <a:ext cx="1098064" cy="1685692"/>
        </a:xfrm>
        <a:prstGeom prst="roundRect">
          <a:avLst>
            <a:gd name="adj" fmla="val 10000"/>
          </a:avLst>
        </a:prstGeom>
        <a:solidFill>
          <a:schemeClr val="lt1">
            <a:alpha val="90000"/>
            <a:hueOff val="0"/>
            <a:satOff val="0"/>
            <a:lumOff val="0"/>
            <a:alphaOff val="0"/>
          </a:schemeClr>
        </a:solidFill>
        <a:ln w="25400" cap="flat" cmpd="sng" algn="ctr">
          <a:solidFill>
            <a:srgbClr val="00A0A4"/>
          </a:solidFill>
          <a:prstDash val="solid"/>
        </a:ln>
        <a:effectLst/>
      </dsp:spPr>
      <dsp:style>
        <a:lnRef idx="2">
          <a:scrgbClr r="0" g="0" b="0"/>
        </a:lnRef>
        <a:fillRef idx="1">
          <a:scrgbClr r="0" g="0" b="0"/>
        </a:fillRef>
        <a:effectRef idx="0">
          <a:scrgbClr r="0" g="0" b="0"/>
        </a:effectRef>
        <a:fontRef idx="minor"/>
      </dsp:style>
      <dsp:txBody>
        <a:bodyPr spcFirstLastPara="0" vert="horz" wrap="square" lIns="78232" tIns="78232" rIns="78232" bIns="78232" numCol="1" spcCol="1270" anchor="t" anchorCtr="0">
          <a:noAutofit/>
        </a:bodyPr>
        <a:lstStyle/>
        <a:p>
          <a:pPr marL="57150" lvl="1" indent="-57150" algn="l" defTabSz="488950">
            <a:lnSpc>
              <a:spcPct val="90000"/>
            </a:lnSpc>
            <a:spcBef>
              <a:spcPct val="0"/>
            </a:spcBef>
            <a:spcAft>
              <a:spcPts val="600"/>
            </a:spcAft>
            <a:buChar char="•"/>
          </a:pPr>
          <a:r>
            <a:rPr lang="en-AU" sz="1100" kern="1200">
              <a:latin typeface="Arial" panose="020B0604020202020204" pitchFamily="34" charset="0"/>
              <a:cs typeface="Arial" panose="020B0604020202020204" pitchFamily="34" charset="0"/>
            </a:rPr>
            <a:t>Pay estimated ITU cost recovery if ACMA agrees to file</a:t>
          </a:r>
        </a:p>
        <a:p>
          <a:pPr marL="57150" lvl="1" indent="-57150" algn="l" defTabSz="488950">
            <a:lnSpc>
              <a:spcPct val="90000"/>
            </a:lnSpc>
            <a:spcBef>
              <a:spcPct val="0"/>
            </a:spcBef>
            <a:spcAft>
              <a:spcPct val="15000"/>
            </a:spcAft>
            <a:buChar char="•"/>
          </a:pPr>
          <a:r>
            <a:rPr lang="en-AU" sz="1100" kern="1200">
              <a:latin typeface="Arial" panose="020B0604020202020204" pitchFamily="34" charset="0"/>
              <a:cs typeface="Arial" panose="020B0604020202020204" pitchFamily="34" charset="0"/>
            </a:rPr>
            <a:t>Pay  application cost recovery fee</a:t>
          </a:r>
        </a:p>
      </dsp:txBody>
      <dsp:txXfrm>
        <a:off x="3404284" y="243055"/>
        <a:ext cx="1033742" cy="1621370"/>
      </dsp:txXfrm>
    </dsp:sp>
    <dsp:sp modelId="{C381687A-0E26-4B36-B107-2686A85D4808}">
      <dsp:nvSpPr>
        <dsp:cNvPr id="0" name=""/>
        <dsp:cNvSpPr/>
      </dsp:nvSpPr>
      <dsp:spPr>
        <a:xfrm rot="21579593">
          <a:off x="4368404" y="-104903"/>
          <a:ext cx="347536" cy="238440"/>
        </a:xfrm>
        <a:prstGeom prst="rightArrow">
          <a:avLst>
            <a:gd name="adj1" fmla="val 60000"/>
            <a:gd name="adj2" fmla="val 50000"/>
          </a:avLst>
        </a:prstGeom>
        <a:solidFill>
          <a:schemeClr val="tx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177800">
            <a:lnSpc>
              <a:spcPct val="90000"/>
            </a:lnSpc>
            <a:spcBef>
              <a:spcPct val="0"/>
            </a:spcBef>
            <a:spcAft>
              <a:spcPct val="35000"/>
            </a:spcAft>
            <a:buNone/>
          </a:pPr>
          <a:endParaRPr lang="en-AU" sz="400" kern="1200"/>
        </a:p>
      </dsp:txBody>
      <dsp:txXfrm>
        <a:off x="4368405" y="-57003"/>
        <a:ext cx="276004" cy="143064"/>
      </dsp:txXfrm>
    </dsp:sp>
    <dsp:sp modelId="{7A261C3B-6AE8-487B-B4FD-FB8005FE78A5}">
      <dsp:nvSpPr>
        <dsp:cNvPr id="0" name=""/>
        <dsp:cNvSpPr/>
      </dsp:nvSpPr>
      <dsp:spPr>
        <a:xfrm>
          <a:off x="4860195" y="-182144"/>
          <a:ext cx="958639" cy="575183"/>
        </a:xfrm>
        <a:prstGeom prst="roundRect">
          <a:avLst>
            <a:gd name="adj" fmla="val 10000"/>
          </a:avLst>
        </a:prstGeom>
        <a:solidFill>
          <a:srgbClr val="39457C"/>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41910" numCol="1" spcCol="1270" anchor="t" anchorCtr="0">
          <a:noAutofit/>
        </a:bodyPr>
        <a:lstStyle/>
        <a:p>
          <a:pPr marL="0" lvl="0" indent="0" algn="l" defTabSz="488950">
            <a:lnSpc>
              <a:spcPct val="90000"/>
            </a:lnSpc>
            <a:spcBef>
              <a:spcPct val="0"/>
            </a:spcBef>
            <a:spcAft>
              <a:spcPct val="35000"/>
            </a:spcAft>
            <a:buNone/>
          </a:pPr>
          <a:r>
            <a:rPr lang="en-AU" sz="1100" b="1" kern="1200">
              <a:latin typeface="Arial" panose="020B0604020202020204" pitchFamily="34" charset="0"/>
              <a:cs typeface="Arial" panose="020B0604020202020204" pitchFamily="34" charset="0"/>
            </a:rPr>
            <a:t>ACMA</a:t>
          </a:r>
          <a:endParaRPr lang="en-AU" sz="1000" b="1" kern="1200">
            <a:latin typeface="Arial" panose="020B0604020202020204" pitchFamily="34" charset="0"/>
            <a:cs typeface="Arial" panose="020B0604020202020204" pitchFamily="34" charset="0"/>
          </a:endParaRPr>
        </a:p>
      </dsp:txBody>
      <dsp:txXfrm>
        <a:off x="4860195" y="-182144"/>
        <a:ext cx="958639" cy="383455"/>
      </dsp:txXfrm>
    </dsp:sp>
    <dsp:sp modelId="{5D057B7A-F0D3-410E-AB31-5BE8C3A7C811}">
      <dsp:nvSpPr>
        <dsp:cNvPr id="0" name=""/>
        <dsp:cNvSpPr/>
      </dsp:nvSpPr>
      <dsp:spPr>
        <a:xfrm>
          <a:off x="5024461" y="182144"/>
          <a:ext cx="1011249" cy="1724025"/>
        </a:xfrm>
        <a:prstGeom prst="roundRect">
          <a:avLst>
            <a:gd name="adj" fmla="val 10000"/>
          </a:avLst>
        </a:prstGeom>
        <a:solidFill>
          <a:schemeClr val="lt1">
            <a:alpha val="90000"/>
            <a:hueOff val="0"/>
            <a:satOff val="0"/>
            <a:lumOff val="0"/>
            <a:alphaOff val="0"/>
          </a:schemeClr>
        </a:solidFill>
        <a:ln w="25400" cap="flat" cmpd="sng" algn="ctr">
          <a:solidFill>
            <a:srgbClr val="39457C"/>
          </a:solidFill>
          <a:prstDash val="solid"/>
        </a:ln>
        <a:effectLst/>
      </dsp:spPr>
      <dsp:style>
        <a:lnRef idx="2">
          <a:scrgbClr r="0" g="0" b="0"/>
        </a:lnRef>
        <a:fillRef idx="1">
          <a:scrgbClr r="0" g="0" b="0"/>
        </a:fillRef>
        <a:effectRef idx="0">
          <a:scrgbClr r="0" g="0" b="0"/>
        </a:effectRef>
        <a:fontRef idx="minor"/>
      </dsp:style>
      <dsp:txBody>
        <a:bodyPr spcFirstLastPara="0" vert="horz" wrap="square" lIns="78232" tIns="78232" rIns="78232" bIns="78232" numCol="1" spcCol="1270" anchor="t" anchorCtr="0">
          <a:noAutofit/>
        </a:bodyPr>
        <a:lstStyle/>
        <a:p>
          <a:pPr marL="57150" lvl="1" indent="-57150" algn="l" defTabSz="488950">
            <a:lnSpc>
              <a:spcPct val="90000"/>
            </a:lnSpc>
            <a:spcBef>
              <a:spcPct val="0"/>
            </a:spcBef>
            <a:spcAft>
              <a:spcPct val="15000"/>
            </a:spcAft>
            <a:buChar char="•"/>
          </a:pPr>
          <a:r>
            <a:rPr lang="en-AU" sz="1100" kern="1200">
              <a:latin typeface="Arial" panose="020B0604020202020204" pitchFamily="34" charset="0"/>
              <a:cs typeface="Arial" panose="020B0604020202020204" pitchFamily="34" charset="0"/>
            </a:rPr>
            <a:t>Submit the filing to the ITU</a:t>
          </a:r>
        </a:p>
        <a:p>
          <a:pPr marL="57150" lvl="1" indent="-57150" algn="l" defTabSz="488950">
            <a:lnSpc>
              <a:spcPct val="90000"/>
            </a:lnSpc>
            <a:spcBef>
              <a:spcPct val="0"/>
            </a:spcBef>
            <a:spcAft>
              <a:spcPct val="15000"/>
            </a:spcAft>
            <a:buChar char="•"/>
          </a:pPr>
          <a:r>
            <a:rPr lang="en-AU" sz="1100" kern="1200">
              <a:latin typeface="Arial" panose="020B0604020202020204" pitchFamily="34" charset="0"/>
              <a:cs typeface="Arial" panose="020B0604020202020204" pitchFamily="34" charset="0"/>
            </a:rPr>
            <a:t>Advise Australian satellite operators of a new filing</a:t>
          </a:r>
        </a:p>
      </dsp:txBody>
      <dsp:txXfrm>
        <a:off x="5054079" y="211762"/>
        <a:ext cx="952013" cy="1664789"/>
      </dsp:txXfrm>
    </dsp:sp>
  </dsp:spTree>
</dsp:drawing>
</file>

<file path=word/diagrams/layout1.xml><?xml version="1.0" encoding="utf-8"?>
<dgm:layoutDef xmlns:dgm="http://schemas.openxmlformats.org/drawingml/2006/diagram" xmlns:a="http://schemas.openxmlformats.org/drawingml/2006/main" uniqueId="urn:microsoft.com/office/officeart/2005/8/layout/process3">
  <dgm:title val=""/>
  <dgm:desc val=""/>
  <dgm:catLst>
    <dgm:cat type="process" pri="2000"/>
  </dgm:catLst>
  <dgm:sampData>
    <dgm:dataModel>
      <dgm:ptLst>
        <dgm:pt modelId="0" type="doc"/>
        <dgm:pt modelId="1">
          <dgm:prSet phldr="1"/>
        </dgm:pt>
        <dgm:pt modelId="11">
          <dgm:prSet phldr="1"/>
        </dgm:pt>
        <dgm:pt modelId="2">
          <dgm:prSet phldr="1"/>
        </dgm:pt>
        <dgm:pt modelId="21">
          <dgm:prSet phldr="1"/>
        </dgm:pt>
        <dgm:pt modelId="3">
          <dgm:prSet phldr="1"/>
        </dgm:pt>
        <dgm:pt modelId="31">
          <dgm:prSet phldr="1"/>
        </dgm:pt>
      </dgm:ptLst>
      <dgm:cxnLst>
        <dgm:cxn modelId="4" srcId="0" destId="1" srcOrd="0" destOrd="0"/>
        <dgm:cxn modelId="5" srcId="0" destId="2" srcOrd="1" destOrd="0"/>
        <dgm:cxn modelId="6" srcId="0" destId="3" srcOrd="3" destOrd="0"/>
        <dgm:cxn modelId="12" srcId="1" destId="11" srcOrd="0" destOrd="0"/>
        <dgm:cxn modelId="23" srcId="2" destId="21" srcOrd="0" destOrd="0"/>
        <dgm:cxn modelId="34" srcId="3" destId="31" srcOrd="0" destOrd="0"/>
      </dgm:cxnLst>
      <dgm:bg/>
      <dgm:whole/>
    </dgm:dataModel>
  </dgm:sampData>
  <dgm:style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rSet phldr="1"/>
        </dgm:pt>
        <dgm:pt modelId="11">
          <dgm:prSet phldr="1"/>
        </dgm:pt>
        <dgm:pt modelId="2">
          <dgm:prSet phldr="1"/>
        </dgm:pt>
        <dgm:pt modelId="21">
          <dgm:prSet phldr="1"/>
        </dgm:pt>
        <dgm:pt modelId="3">
          <dgm:prSet phldr="1"/>
        </dgm:pt>
        <dgm:pt modelId="31">
          <dgm:prSet phldr="1"/>
        </dgm:pt>
        <dgm:pt modelId="4">
          <dgm:prSet phldr="1"/>
        </dgm:pt>
        <dgm:pt modelId="41">
          <dgm:prSet phldr="1"/>
        </dgm:pt>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choose name="Name0">
      <dgm:if name="Name1" func="var" arg="dir" op="equ" val="norm">
        <dgm:alg type="lin"/>
      </dgm:if>
      <dgm:else name="Name2">
        <dgm:alg type="lin">
          <dgm:param type="linDir" val="fromR"/>
        </dgm:alg>
      </dgm:else>
    </dgm:choose>
    <dgm:shape xmlns:r="http://schemas.openxmlformats.org/officeDocument/2006/relationships" r:blip="">
      <dgm:adjLst/>
    </dgm:shape>
    <dgm:presOf/>
    <dgm:constrLst>
      <dgm:constr type="w" for="ch" forName="composite" refType="w"/>
      <dgm:constr type="w" for="ch" ptType="sibTrans" refType="w" refFor="ch" refForName="composite" fact="0.3333"/>
      <dgm:constr type="w" for="des" forName="parTx"/>
      <dgm:constr type="h" for="des" forName="parTx" op="equ"/>
      <dgm:constr type="h" for="des" forName="parSh" op="equ"/>
      <dgm:constr type="w" for="des" forName="desTx"/>
      <dgm:constr type="h" for="des" forName="desTx" op="equ"/>
      <dgm:constr type="w" for="des" forName="parSh"/>
      <dgm:constr type="primFontSz" for="des" forName="parTx" val="65"/>
      <dgm:constr type="secFontSz" for="des" forName="desTx" refType="primFontSz" refFor="des" refForName="parTx" op="equ"/>
      <dgm:constr type="primFontSz" for="des" forName="connTx" refType="primFontSz" refFor="des" refForName="parTx" fact="0.8"/>
      <dgm:constr type="primFontSz" for="des" forName="connTx" refType="primFontSz" refFor="des" refForName="parTx" op="lte" fact="0.8"/>
      <dgm:constr type="h" for="des" forName="parTx" refType="primFontSz" refFor="des" refForName="parTx" fact="0.8"/>
      <dgm:constr type="h" for="des" forName="parSh" refType="primFontSz" refFor="des" refForName="parTx" fact="1.2"/>
      <dgm:constr type="h" for="des" forName="desTx" refType="primFontSz" refFor="des" refForName="parTx" fact="1.6"/>
      <dgm:constr type="h" for="des" forName="parSh" refType="h" refFor="des" refForName="parTx" op="lte" fact="1.5"/>
      <dgm:constr type="h" for="des" forName="parSh" refType="h" refFor="des" refForName="parTx" op="gte" fact="1.5"/>
    </dgm:constrLst>
    <dgm:ruleLst>
      <dgm:rule type="w" for="ch" forName="composite" val="0" fact="NaN" max="NaN"/>
      <dgm:rule type="primFontSz" for="des" forName="parTx" val="5" fact="NaN" max="NaN"/>
    </dgm:ruleLst>
    <dgm:forEach name="Name3" axis="ch" ptType="node">
      <dgm:layoutNode name="composite">
        <dgm:alg type="composite"/>
        <dgm:shape xmlns:r="http://schemas.openxmlformats.org/officeDocument/2006/relationships" r:blip="">
          <dgm:adjLst/>
        </dgm:shape>
        <dgm:presOf/>
        <dgm:choose name="Name4">
          <dgm:if name="Name5" func="var" arg="dir" op="equ" val="norm">
            <dgm:constrLst>
              <dgm:constr type="h" refType="w" fact="1000"/>
              <dgm:constr type="l" for="ch" forName="parTx"/>
              <dgm:constr type="w" for="ch" forName="parTx" refType="w" fact="0.83"/>
              <dgm:constr type="t" for="ch" forName="parTx"/>
              <dgm:constr type="l" for="ch" forName="parSh"/>
              <dgm:constr type="w" for="ch" forName="parSh" refType="w" refFor="ch" refForName="parTx"/>
              <dgm:constr type="t" for="ch" forName="parSh"/>
              <dgm:constr type="l" for="ch" forName="desTx" refType="w" fact="0.17"/>
              <dgm:constr type="w" for="ch" forName="desTx" refType="w" refFor="ch" refForName="parTx"/>
              <dgm:constr type="t" for="ch" forName="desTx" refType="h" refFor="ch" refForName="parTx"/>
            </dgm:constrLst>
          </dgm:if>
          <dgm:else name="Name6">
            <dgm:constrLst>
              <dgm:constr type="h" refType="w" fact="1000"/>
              <dgm:constr type="l" for="ch" forName="parTx" refType="w" fact="0.17"/>
              <dgm:constr type="w" for="ch" forName="parTx" refType="w" fact="0.83"/>
              <dgm:constr type="t" for="ch" forName="parTx"/>
              <dgm:constr type="l" for="ch" forName="parSh" refType="w" fact="0.15"/>
              <dgm:constr type="w" for="ch" forName="parSh" refType="w" refFor="ch" refForName="parTx"/>
              <dgm:constr type="t" for="ch" forName="parSh"/>
              <dgm:constr type="l" for="ch" forName="desTx"/>
              <dgm:constr type="w" for="ch" forName="desTx" refType="w" refFor="ch" refForName="parTx"/>
              <dgm:constr type="t" for="ch" forName="desTx" refType="h" refFor="ch" refForName="parTx"/>
            </dgm:constrLst>
          </dgm:else>
        </dgm:choose>
        <dgm:ruleLst>
          <dgm:rule type="h" val="INF" fact="NaN" max="NaN"/>
        </dgm:ruleLst>
        <dgm:layoutNode name="parTx">
          <dgm:varLst>
            <dgm:chMax val="0"/>
            <dgm:chPref val="0"/>
            <dgm:bulletEnabled val="1"/>
          </dgm:varLst>
          <dgm:alg type="tx">
            <dgm:param type="parTxLTRAlign" val="l"/>
            <dgm:param type="parTxRTLAlign" val="r"/>
            <dgm:param type="txAnchorVert" val="t"/>
          </dgm:alg>
          <dgm:shape xmlns:r="http://schemas.openxmlformats.org/officeDocument/2006/relationships" type="rect" r:blip="" zOrderOff="1" hideGeom="1">
            <dgm:adjLst>
              <dgm:adj idx="1" val="0.1"/>
            </dgm:adjLst>
          </dgm:shape>
          <dgm:presOf axis="self" ptType="node"/>
          <dgm:constrLst>
            <dgm:constr type="h" refType="w" op="lte" fact="0.4"/>
            <dgm:constr type="bMarg" refType="primFontSz" fact="0.3"/>
            <dgm:constr type="h"/>
          </dgm:constrLst>
          <dgm:ruleLst>
            <dgm:rule type="h" val="INF" fact="NaN" max="NaN"/>
          </dgm:ruleLst>
        </dgm:layoutNode>
        <dgm:layoutNode name="parSh">
          <dgm:alg type="sp"/>
          <dgm:shape xmlns:r="http://schemas.openxmlformats.org/officeDocument/2006/relationships" type="roundRect" r:blip="">
            <dgm:adjLst>
              <dgm:adj idx="1" val="0.1"/>
            </dgm:adjLst>
          </dgm:shape>
          <dgm:presOf axis="self" ptType="node"/>
          <dgm:constrLst>
            <dgm:constr type="h"/>
          </dgm:constrLst>
          <dgm:ruleLst/>
        </dgm:layoutNode>
        <dgm:layoutNode name="desTx" styleLbl="fgAcc1">
          <dgm:varLst>
            <dgm:bulletEnabled val="1"/>
          </dgm:varLst>
          <dgm:alg type="tx">
            <dgm:param type="stBulletLvl" val="1"/>
          </dgm:alg>
          <dgm:shape xmlns:r="http://schemas.openxmlformats.org/officeDocument/2006/relationships" type="roundRect" r:blip="">
            <dgm:adjLst>
              <dgm:adj idx="1" val="0.1"/>
            </dgm:adjLst>
          </dgm:shape>
          <dgm:presOf axis="des" ptType="node"/>
          <dgm:constrLst>
            <dgm:constr type="secFontSz" val="65"/>
            <dgm:constr type="primFontSz" refType="secFontSz"/>
            <dgm:constr type="h"/>
          </dgm:constrLst>
          <dgm:ruleLst>
            <dgm:rule type="h" val="INF" fact="NaN" max="NaN"/>
          </dgm:ruleLst>
        </dgm:layoutNode>
      </dgm:layoutNode>
      <dgm:forEach name="sibTransForEach" axis="followSib" ptType="sibTrans" cnt="1">
        <dgm:layoutNode name="sibTrans">
          <dgm:alg type="conn">
            <dgm:param type="begPts" val="auto"/>
            <dgm:param type="endPts" val="auto"/>
            <dgm:param type="srcNode" val="parTx"/>
            <dgm:param type="dstNode" val="parTx"/>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Tx">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Custom 1">
      <a:dk1>
        <a:srgbClr val="000000"/>
      </a:dk1>
      <a:lt1>
        <a:sysClr val="window" lastClr="FFFFFF"/>
      </a:lt1>
      <a:dk2>
        <a:srgbClr val="000000"/>
      </a:dk2>
      <a:lt2>
        <a:srgbClr val="FFFFFF"/>
      </a:lt2>
      <a:accent1>
        <a:srgbClr val="00A0A4"/>
      </a:accent1>
      <a:accent2>
        <a:srgbClr val="7C426F"/>
      </a:accent2>
      <a:accent3>
        <a:srgbClr val="39457C"/>
      </a:accent3>
      <a:accent4>
        <a:srgbClr val="85BEC2"/>
      </a:accent4>
      <a:accent5>
        <a:srgbClr val="CBB6CA"/>
      </a:accent5>
      <a:accent6>
        <a:srgbClr val="D3E5E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17680</Words>
  <Characters>100246</Characters>
  <Application>Microsoft Office Word</Application>
  <DocSecurity>0</DocSecurity>
  <Lines>1728</Lines>
  <Paragraphs>842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117084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2025-05-16T01:40:00Z</dcterms:created>
  <dcterms:modified xsi:type="dcterms:W3CDTF">2025-05-19T04:53:00Z</dcterms:modified>
  <cp:category/>
</cp:coreProperties>
</file>